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征收范围红线图</w:t>
      </w:r>
    </w:p>
    <w:bookmarkEnd w:id="0"/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146050</wp:posOffset>
            </wp:positionV>
            <wp:extent cx="5551805" cy="7068820"/>
            <wp:effectExtent l="0" t="0" r="10795" b="17780"/>
            <wp:wrapNone/>
            <wp:docPr id="1" name="图片 2" descr="174122125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412212598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72C1D"/>
    <w:rsid w:val="265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/>
      <w:bCs/>
      <w:kern w:val="0"/>
      <w:sz w:val="2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2025-03-20T02:06:00Z</dcterms:created>
  <dc:creator>张学琴</dc:creator>
  <cp:lastModifiedBy>张学琴</cp:lastModifiedBy>
  <dcterms:modified xsi:type="dcterms:W3CDTF">2025-03-20T02:07:14Z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ACBD829CF91842DBA47502BC1CCEC0A2_11</vt:lpwstr>
  </property>
</Properties>
</file>