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仿宋_GB2312" w:hAnsi="宋体" w:eastAsia="仿宋_GB2312"/>
          <w:sz w:val="44"/>
          <w:szCs w:val="44"/>
        </w:rPr>
      </w:pPr>
    </w:p>
    <w:p>
      <w:pPr>
        <w:spacing w:line="360" w:lineRule="auto"/>
        <w:jc w:val="center"/>
        <w:rPr>
          <w:rFonts w:ascii="仿宋_GB2312" w:hAnsi="宋体" w:eastAsia="仿宋_GB2312"/>
          <w:sz w:val="44"/>
          <w:szCs w:val="44"/>
        </w:rPr>
      </w:pPr>
    </w:p>
    <w:p>
      <w:pPr>
        <w:spacing w:line="360" w:lineRule="auto"/>
        <w:jc w:val="center"/>
        <w:rPr>
          <w:rFonts w:ascii="黑体" w:hAnsi="黑体" w:eastAsia="黑体"/>
          <w:sz w:val="44"/>
          <w:szCs w:val="44"/>
        </w:rPr>
      </w:pPr>
      <w:r>
        <w:rPr>
          <w:rFonts w:hint="eastAsia" w:ascii="黑体" w:hAnsi="黑体" w:eastAsia="黑体"/>
          <w:sz w:val="44"/>
          <w:szCs w:val="44"/>
        </w:rPr>
        <w:t>乐山市五通桥区</w:t>
      </w:r>
    </w:p>
    <w:p>
      <w:pPr>
        <w:spacing w:line="360" w:lineRule="auto"/>
        <w:jc w:val="center"/>
        <w:rPr>
          <w:rFonts w:ascii="黑体" w:hAnsi="黑体" w:eastAsia="黑体"/>
          <w:sz w:val="44"/>
          <w:szCs w:val="44"/>
        </w:rPr>
      </w:pPr>
      <w:r>
        <w:rPr>
          <w:rFonts w:hint="eastAsia" w:ascii="黑体" w:hAnsi="黑体" w:eastAsia="黑体"/>
          <w:sz w:val="44"/>
          <w:szCs w:val="44"/>
        </w:rPr>
        <w:t>冠英镇土地利用总体规划（2006-2020年）</w:t>
      </w:r>
    </w:p>
    <w:p>
      <w:pPr>
        <w:spacing w:line="360" w:lineRule="auto"/>
        <w:jc w:val="center"/>
        <w:rPr>
          <w:rFonts w:ascii="黑体" w:hAnsi="黑体" w:eastAsia="黑体"/>
          <w:sz w:val="44"/>
          <w:szCs w:val="44"/>
        </w:rPr>
      </w:pPr>
      <w:r>
        <w:rPr>
          <w:rFonts w:hint="eastAsia" w:ascii="黑体" w:hAnsi="黑体" w:eastAsia="黑体"/>
          <w:sz w:val="44"/>
          <w:szCs w:val="44"/>
        </w:rPr>
        <w:t>调整完善方案</w:t>
      </w: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宋体" w:hAnsi="宋体"/>
          <w:b/>
          <w:sz w:val="44"/>
          <w:szCs w:val="44"/>
        </w:rPr>
      </w:pPr>
      <w:r>
        <w:rPr>
          <w:rFonts w:hint="eastAsia" w:ascii="宋体" w:hAnsi="宋体"/>
          <w:b/>
          <w:sz w:val="44"/>
          <w:szCs w:val="44"/>
        </w:rPr>
        <w:t>五通桥区冠英镇人民政府</w:t>
      </w:r>
    </w:p>
    <w:p>
      <w:pPr>
        <w:spacing w:line="360" w:lineRule="auto"/>
        <w:jc w:val="center"/>
        <w:rPr>
          <w:rFonts w:ascii="宋体" w:hAnsi="宋体"/>
          <w:b/>
          <w:sz w:val="44"/>
          <w:szCs w:val="44"/>
        </w:rPr>
      </w:pPr>
      <w:r>
        <w:rPr>
          <w:rFonts w:hint="eastAsia" w:ascii="宋体" w:hAnsi="宋体"/>
          <w:b/>
          <w:sz w:val="44"/>
          <w:szCs w:val="44"/>
        </w:rPr>
        <w:t>二</w:t>
      </w:r>
      <w:r>
        <w:rPr>
          <w:rFonts w:hint="eastAsia" w:ascii="宋体" w:hAnsi="宋体" w:cs="微软雅黑"/>
          <w:b/>
          <w:sz w:val="44"/>
          <w:szCs w:val="44"/>
        </w:rPr>
        <w:t>〇</w:t>
      </w:r>
      <w:r>
        <w:rPr>
          <w:rFonts w:hint="eastAsia" w:ascii="宋体" w:hAnsi="宋体" w:cs="仿宋_GB2312"/>
          <w:b/>
          <w:sz w:val="44"/>
          <w:szCs w:val="44"/>
        </w:rPr>
        <w:t>一</w:t>
      </w:r>
      <w:r>
        <w:rPr>
          <w:rFonts w:hint="eastAsia" w:ascii="宋体" w:hAnsi="宋体"/>
          <w:b/>
          <w:sz w:val="44"/>
          <w:szCs w:val="44"/>
        </w:rPr>
        <w:t>七年七月</w:t>
      </w:r>
    </w:p>
    <w:p>
      <w:pPr>
        <w:spacing w:line="360" w:lineRule="auto"/>
        <w:jc w:val="center"/>
        <w:rPr>
          <w:rFonts w:ascii="仿宋_GB2312" w:hAnsi="黑体" w:eastAsia="仿宋_GB2312"/>
          <w:sz w:val="44"/>
          <w:szCs w:val="44"/>
        </w:rPr>
      </w:pPr>
    </w:p>
    <w:p>
      <w:pPr>
        <w:spacing w:line="500" w:lineRule="exact"/>
        <w:jc w:val="center"/>
        <w:rPr>
          <w:rFonts w:ascii="仿宋_GB2312" w:hAnsi="黑体" w:eastAsia="仿宋_GB2312"/>
          <w:sz w:val="44"/>
          <w:szCs w:val="44"/>
        </w:rPr>
        <w:sectPr>
          <w:footerReference r:id="rId3" w:type="default"/>
          <w:pgSz w:w="11906" w:h="16838"/>
          <w:pgMar w:top="1440" w:right="1800" w:bottom="1440" w:left="1800" w:header="851" w:footer="992" w:gutter="0"/>
          <w:cols w:space="425" w:num="1"/>
          <w:docGrid w:type="lines" w:linePitch="312" w:charSpace="0"/>
        </w:sectPr>
      </w:pPr>
    </w:p>
    <w:p>
      <w:pPr>
        <w:pStyle w:val="11"/>
        <w:rPr>
          <w:rFonts w:ascii="仿宋_GB2312" w:eastAsia="仿宋_GB2312"/>
        </w:rPr>
      </w:pPr>
    </w:p>
    <w:p>
      <w:pPr>
        <w:pStyle w:val="11"/>
        <w:rPr>
          <w:rFonts w:ascii="仿宋_GB2312" w:eastAsia="仿宋_GB2312"/>
        </w:rPr>
      </w:pPr>
      <w:r>
        <w:rPr>
          <w:rFonts w:hint="eastAsia" w:ascii="仿宋_GB2312" w:eastAsia="仿宋_GB2312"/>
        </w:rPr>
        <w:t>目  录</w:t>
      </w:r>
    </w:p>
    <w:p>
      <w:pPr>
        <w:pStyle w:val="11"/>
        <w:rPr>
          <w:rFonts w:ascii="仿宋_GB2312" w:eastAsia="仿宋_GB2312" w:hAnsiTheme="minorHAnsi" w:cstheme="minorBidi"/>
          <w:b w:val="0"/>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 TOC \o "1-2" \h \z \u </w:instrText>
      </w:r>
      <w:r>
        <w:rPr>
          <w:rFonts w:hint="eastAsia" w:ascii="仿宋_GB2312" w:eastAsia="仿宋_GB2312"/>
          <w:sz w:val="28"/>
          <w:szCs w:val="28"/>
        </w:rPr>
        <w:fldChar w:fldCharType="separate"/>
      </w:r>
      <w:r>
        <w:fldChar w:fldCharType="begin"/>
      </w:r>
      <w:r>
        <w:instrText xml:space="preserve"> HYPERLINK \l "_Toc486428839" </w:instrText>
      </w:r>
      <w:r>
        <w:fldChar w:fldCharType="separate"/>
      </w:r>
      <w:r>
        <w:rPr>
          <w:rStyle w:val="16"/>
          <w:rFonts w:hint="eastAsia" w:ascii="仿宋_GB2312" w:eastAsia="仿宋_GB2312"/>
          <w:sz w:val="28"/>
          <w:szCs w:val="28"/>
        </w:rPr>
        <w:t>一、2014年土地利用现状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_Toc486428839 \h </w:instrText>
      </w:r>
      <w:r>
        <w:rPr>
          <w:rFonts w:hint="eastAsia" w:ascii="仿宋_GB2312" w:eastAsia="仿宋_GB2312"/>
          <w:sz w:val="28"/>
          <w:szCs w:val="28"/>
        </w:rPr>
        <w:fldChar w:fldCharType="separate"/>
      </w:r>
      <w:r>
        <w:rPr>
          <w:rFonts w:hint="eastAsia" w:ascii="仿宋_GB2312" w:eastAsia="仿宋_GB2312"/>
          <w:sz w:val="28"/>
          <w:szCs w:val="28"/>
        </w:rPr>
        <w:t>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"_Toc486428840" </w:instrText>
      </w:r>
      <w:r>
        <w:fldChar w:fldCharType="separate"/>
      </w:r>
      <w:r>
        <w:rPr>
          <w:rStyle w:val="16"/>
          <w:rFonts w:hint="eastAsia" w:ascii="仿宋_GB2312" w:eastAsia="仿宋_GB2312"/>
          <w:sz w:val="28"/>
          <w:szCs w:val="28"/>
        </w:rPr>
        <w:t>（一）土地利用现状及分布</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_Toc486428840 \h </w:instrText>
      </w:r>
      <w:r>
        <w:rPr>
          <w:rFonts w:hint="eastAsia" w:ascii="仿宋_GB2312" w:eastAsia="仿宋_GB2312"/>
          <w:sz w:val="28"/>
          <w:szCs w:val="28"/>
        </w:rPr>
        <w:fldChar w:fldCharType="separate"/>
      </w:r>
      <w:r>
        <w:rPr>
          <w:rFonts w:hint="eastAsia" w:ascii="仿宋_GB2312" w:eastAsia="仿宋_GB2312"/>
          <w:sz w:val="28"/>
          <w:szCs w:val="28"/>
        </w:rPr>
        <w:t>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"_Toc486428841" </w:instrText>
      </w:r>
      <w:r>
        <w:fldChar w:fldCharType="separate"/>
      </w:r>
      <w:r>
        <w:rPr>
          <w:rStyle w:val="16"/>
          <w:rFonts w:hint="eastAsia" w:ascii="仿宋_GB2312" w:eastAsia="仿宋_GB2312"/>
          <w:sz w:val="28"/>
          <w:szCs w:val="28"/>
        </w:rPr>
        <w:t>（二）土地利用的特点</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_Toc486428841 \h </w:instrText>
      </w:r>
      <w:r>
        <w:rPr>
          <w:rFonts w:hint="eastAsia" w:ascii="仿宋_GB2312" w:eastAsia="仿宋_GB2312"/>
          <w:sz w:val="28"/>
          <w:szCs w:val="28"/>
        </w:rPr>
        <w:fldChar w:fldCharType="separate"/>
      </w:r>
      <w:r>
        <w:rPr>
          <w:rFonts w:hint="eastAsia" w:ascii="仿宋_GB2312" w:eastAsia="仿宋_GB2312"/>
          <w:sz w:val="28"/>
          <w:szCs w:val="28"/>
        </w:rPr>
        <w:t>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"_Toc486428842" </w:instrText>
      </w:r>
      <w:r>
        <w:fldChar w:fldCharType="separate"/>
      </w:r>
      <w:r>
        <w:rPr>
          <w:rStyle w:val="16"/>
          <w:rFonts w:hint="eastAsia" w:ascii="仿宋_GB2312" w:eastAsia="仿宋_GB2312"/>
          <w:sz w:val="28"/>
          <w:szCs w:val="28"/>
        </w:rPr>
        <w:t>（三）土地利用中存在的问题</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_Toc486428842 \h </w:instrText>
      </w:r>
      <w:r>
        <w:rPr>
          <w:rFonts w:hint="eastAsia" w:ascii="仿宋_GB2312" w:eastAsia="仿宋_GB2312"/>
          <w:sz w:val="28"/>
          <w:szCs w:val="28"/>
        </w:rPr>
        <w:fldChar w:fldCharType="separate"/>
      </w:r>
      <w:r>
        <w:rPr>
          <w:rFonts w:hint="eastAsia" w:ascii="仿宋_GB2312" w:eastAsia="仿宋_GB2312"/>
          <w:sz w:val="28"/>
          <w:szCs w:val="28"/>
        </w:rPr>
        <w:t>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"_Toc486428843" </w:instrText>
      </w:r>
      <w:r>
        <w:fldChar w:fldCharType="separate"/>
      </w:r>
      <w:r>
        <w:rPr>
          <w:rStyle w:val="16"/>
          <w:rFonts w:hint="eastAsia" w:ascii="仿宋_GB2312" w:eastAsia="仿宋_GB2312"/>
          <w:sz w:val="28"/>
          <w:szCs w:val="28"/>
        </w:rPr>
        <w:t>二、规划目标调整情况</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_Toc486428843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"_Toc486428844" </w:instrText>
      </w:r>
      <w:r>
        <w:fldChar w:fldCharType="separate"/>
      </w:r>
      <w:r>
        <w:rPr>
          <w:rStyle w:val="16"/>
          <w:rFonts w:hint="eastAsia" w:ascii="仿宋_GB2312" w:eastAsia="仿宋_GB2312"/>
          <w:sz w:val="28"/>
          <w:szCs w:val="28"/>
        </w:rPr>
        <w:t>（一）耕地保有量调整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_Toc486428844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"_Toc486428845" </w:instrText>
      </w:r>
      <w:r>
        <w:fldChar w:fldCharType="separate"/>
      </w:r>
      <w:r>
        <w:rPr>
          <w:rStyle w:val="16"/>
          <w:rFonts w:hint="eastAsia" w:ascii="仿宋_GB2312" w:eastAsia="仿宋_GB2312"/>
          <w:sz w:val="28"/>
          <w:szCs w:val="28"/>
        </w:rPr>
        <w:t>（二）基本农田保护面积调整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_Toc486428845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"_Toc486428846" </w:instrText>
      </w:r>
      <w:r>
        <w:fldChar w:fldCharType="separate"/>
      </w:r>
      <w:r>
        <w:rPr>
          <w:rStyle w:val="16"/>
          <w:rFonts w:hint="eastAsia" w:ascii="仿宋_GB2312" w:eastAsia="仿宋_GB2312"/>
          <w:sz w:val="28"/>
          <w:szCs w:val="28"/>
        </w:rPr>
        <w:t>（三）建设用地规模调整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_Toc486428846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"_Toc486428847" </w:instrText>
      </w:r>
      <w:r>
        <w:fldChar w:fldCharType="separate"/>
      </w:r>
      <w:r>
        <w:rPr>
          <w:rStyle w:val="16"/>
          <w:rFonts w:hint="eastAsia" w:ascii="仿宋_GB2312" w:eastAsia="仿宋_GB2312"/>
          <w:sz w:val="28"/>
          <w:szCs w:val="28"/>
        </w:rPr>
        <w:t>（四）城乡建设用地规模调整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_Toc486428847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"_Toc486428848" </w:instrText>
      </w:r>
      <w:r>
        <w:fldChar w:fldCharType="separate"/>
      </w:r>
      <w:r>
        <w:rPr>
          <w:rStyle w:val="16"/>
          <w:rFonts w:hint="eastAsia" w:ascii="仿宋_GB2312" w:eastAsia="仿宋_GB2312"/>
          <w:sz w:val="28"/>
          <w:szCs w:val="28"/>
        </w:rPr>
        <w:t>（五）城镇工矿用地规模调整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_Toc486428848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"_Toc486428849" </w:instrText>
      </w:r>
      <w:r>
        <w:fldChar w:fldCharType="separate"/>
      </w:r>
      <w:r>
        <w:rPr>
          <w:rStyle w:val="16"/>
          <w:rFonts w:hint="eastAsia" w:ascii="仿宋_GB2312" w:eastAsia="仿宋_GB2312"/>
          <w:sz w:val="28"/>
          <w:szCs w:val="28"/>
        </w:rPr>
        <w:t>（六）新增建设用地总量</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_Toc486428849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"_Toc486428850" </w:instrText>
      </w:r>
      <w:r>
        <w:fldChar w:fldCharType="separate"/>
      </w:r>
      <w:r>
        <w:rPr>
          <w:rStyle w:val="16"/>
          <w:rFonts w:hint="eastAsia" w:ascii="仿宋_GB2312" w:eastAsia="仿宋_GB2312"/>
          <w:sz w:val="28"/>
          <w:szCs w:val="28"/>
        </w:rPr>
        <w:t>（七）新增建设用地占用耕地指标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_Toc486428850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"_Toc486428851" </w:instrText>
      </w:r>
      <w:r>
        <w:fldChar w:fldCharType="separate"/>
      </w:r>
      <w:r>
        <w:rPr>
          <w:rStyle w:val="16"/>
          <w:rFonts w:hint="eastAsia" w:ascii="仿宋_GB2312" w:eastAsia="仿宋_GB2312"/>
          <w:sz w:val="28"/>
          <w:szCs w:val="28"/>
        </w:rPr>
        <w:t>（八）新增建设用地占用农用地指标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_Toc486428851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"_Toc486428852" </w:instrText>
      </w:r>
      <w:r>
        <w:fldChar w:fldCharType="separate"/>
      </w:r>
      <w:r>
        <w:rPr>
          <w:rStyle w:val="16"/>
          <w:rFonts w:hint="eastAsia" w:ascii="仿宋_GB2312" w:eastAsia="仿宋_GB2312"/>
          <w:sz w:val="28"/>
          <w:szCs w:val="28"/>
        </w:rPr>
        <w:t>（九）土地整治补充耕地规模</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_Toc486428852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"_Toc486428853" </w:instrText>
      </w:r>
      <w:r>
        <w:fldChar w:fldCharType="separate"/>
      </w:r>
      <w:r>
        <w:rPr>
          <w:rStyle w:val="16"/>
          <w:rFonts w:hint="eastAsia" w:ascii="仿宋_GB2312" w:eastAsia="仿宋_GB2312"/>
          <w:sz w:val="28"/>
          <w:szCs w:val="28"/>
        </w:rPr>
        <w:t>（十）人均城镇工矿用地规模</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_Toc486428853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"_Toc486428854" </w:instrText>
      </w:r>
      <w:r>
        <w:fldChar w:fldCharType="separate"/>
      </w:r>
      <w:r>
        <w:rPr>
          <w:rStyle w:val="16"/>
          <w:rFonts w:hint="eastAsia" w:ascii="仿宋_GB2312" w:eastAsia="仿宋_GB2312"/>
          <w:sz w:val="28"/>
          <w:szCs w:val="28"/>
        </w:rPr>
        <w:t>（十一）园地面积调整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_Toc486428854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"_Toc486428855" </w:instrText>
      </w:r>
      <w:r>
        <w:fldChar w:fldCharType="separate"/>
      </w:r>
      <w:r>
        <w:rPr>
          <w:rStyle w:val="16"/>
          <w:rFonts w:hint="eastAsia" w:ascii="仿宋_GB2312" w:eastAsia="仿宋_GB2312"/>
          <w:sz w:val="28"/>
          <w:szCs w:val="28"/>
        </w:rPr>
        <w:t>（十二）林地面积调整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_Toc486428855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"_Toc486428856" </w:instrText>
      </w:r>
      <w:r>
        <w:fldChar w:fldCharType="separate"/>
      </w:r>
      <w:r>
        <w:rPr>
          <w:rStyle w:val="16"/>
          <w:rFonts w:hint="eastAsia" w:ascii="仿宋_GB2312" w:eastAsia="仿宋_GB2312"/>
          <w:sz w:val="28"/>
          <w:szCs w:val="28"/>
        </w:rPr>
        <w:t>三、土地利用结构和布局调整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_Toc486428856 \h </w:instrText>
      </w:r>
      <w:r>
        <w:rPr>
          <w:rFonts w:hint="eastAsia" w:ascii="仿宋_GB2312" w:eastAsia="仿宋_GB2312"/>
          <w:sz w:val="28"/>
          <w:szCs w:val="28"/>
        </w:rPr>
        <w:fldChar w:fldCharType="separate"/>
      </w:r>
      <w:r>
        <w:rPr>
          <w:rFonts w:hint="eastAsia" w:ascii="仿宋_GB2312" w:eastAsia="仿宋_GB2312"/>
          <w:sz w:val="28"/>
          <w:szCs w:val="28"/>
        </w:rPr>
        <w:t>12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"_Toc486428857" </w:instrText>
      </w:r>
      <w:r>
        <w:fldChar w:fldCharType="separate"/>
      </w:r>
      <w:r>
        <w:rPr>
          <w:rStyle w:val="16"/>
          <w:rFonts w:hint="eastAsia" w:ascii="仿宋_GB2312" w:eastAsia="仿宋_GB2312"/>
          <w:sz w:val="28"/>
          <w:szCs w:val="28"/>
        </w:rPr>
        <w:t>（一）农用地结构和布局调整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_Toc486428857 \h </w:instrText>
      </w:r>
      <w:r>
        <w:rPr>
          <w:rFonts w:hint="eastAsia" w:ascii="仿宋_GB2312" w:eastAsia="仿宋_GB2312"/>
          <w:sz w:val="28"/>
          <w:szCs w:val="28"/>
        </w:rPr>
        <w:fldChar w:fldCharType="separate"/>
      </w:r>
      <w:r>
        <w:rPr>
          <w:rFonts w:hint="eastAsia" w:ascii="仿宋_GB2312" w:eastAsia="仿宋_GB2312"/>
          <w:sz w:val="28"/>
          <w:szCs w:val="28"/>
        </w:rPr>
        <w:t>12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"_Toc486428858" </w:instrText>
      </w:r>
      <w:r>
        <w:fldChar w:fldCharType="separate"/>
      </w:r>
      <w:r>
        <w:rPr>
          <w:rStyle w:val="16"/>
          <w:rFonts w:hint="eastAsia" w:ascii="仿宋_GB2312" w:eastAsia="仿宋_GB2312"/>
          <w:sz w:val="28"/>
          <w:szCs w:val="28"/>
        </w:rPr>
        <w:t>（二）建设用地结构和布局调整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_Toc486428858 \h </w:instrText>
      </w:r>
      <w:r>
        <w:rPr>
          <w:rFonts w:hint="eastAsia" w:ascii="仿宋_GB2312" w:eastAsia="仿宋_GB2312"/>
          <w:sz w:val="28"/>
          <w:szCs w:val="28"/>
        </w:rPr>
        <w:fldChar w:fldCharType="separate"/>
      </w:r>
      <w:r>
        <w:rPr>
          <w:rFonts w:hint="eastAsia" w:ascii="仿宋_GB2312" w:eastAsia="仿宋_GB2312"/>
          <w:sz w:val="28"/>
          <w:szCs w:val="28"/>
        </w:rPr>
        <w:t>14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"_Toc486428859" </w:instrText>
      </w:r>
      <w:r>
        <w:fldChar w:fldCharType="separate"/>
      </w:r>
      <w:r>
        <w:rPr>
          <w:rStyle w:val="16"/>
          <w:rFonts w:hint="eastAsia" w:ascii="仿宋_GB2312" w:eastAsia="仿宋_GB2312"/>
          <w:sz w:val="28"/>
          <w:szCs w:val="28"/>
        </w:rPr>
        <w:t>（三）其他用地结构和布局调整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_Toc486428859 \h </w:instrText>
      </w:r>
      <w:r>
        <w:rPr>
          <w:rFonts w:hint="eastAsia" w:ascii="仿宋_GB2312" w:eastAsia="仿宋_GB2312"/>
          <w:sz w:val="28"/>
          <w:szCs w:val="28"/>
        </w:rPr>
        <w:fldChar w:fldCharType="separate"/>
      </w:r>
      <w:r>
        <w:rPr>
          <w:rFonts w:hint="eastAsia" w:ascii="仿宋_GB2312" w:eastAsia="仿宋_GB2312"/>
          <w:sz w:val="28"/>
          <w:szCs w:val="28"/>
        </w:rPr>
        <w:t>15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"_Toc486428860" </w:instrText>
      </w:r>
      <w:r>
        <w:fldChar w:fldCharType="separate"/>
      </w:r>
      <w:r>
        <w:rPr>
          <w:rStyle w:val="16"/>
          <w:rFonts w:hint="eastAsia" w:ascii="仿宋_GB2312" w:eastAsia="仿宋_GB2312"/>
          <w:sz w:val="28"/>
          <w:szCs w:val="28"/>
        </w:rPr>
        <w:t>四、耕地和基本农田保护规划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_Toc486428860 \h </w:instrText>
      </w:r>
      <w:r>
        <w:rPr>
          <w:rFonts w:hint="eastAsia" w:ascii="仿宋_GB2312" w:eastAsia="仿宋_GB2312"/>
          <w:sz w:val="28"/>
          <w:szCs w:val="28"/>
        </w:rPr>
        <w:fldChar w:fldCharType="separate"/>
      </w:r>
      <w:r>
        <w:rPr>
          <w:rFonts w:hint="eastAsia" w:ascii="仿宋_GB2312" w:eastAsia="仿宋_GB2312"/>
          <w:sz w:val="28"/>
          <w:szCs w:val="28"/>
        </w:rPr>
        <w:t>16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"_Toc486428861" </w:instrText>
      </w:r>
      <w:r>
        <w:fldChar w:fldCharType="separate"/>
      </w:r>
      <w:r>
        <w:rPr>
          <w:rStyle w:val="16"/>
          <w:rFonts w:hint="eastAsia" w:ascii="仿宋_GB2312" w:eastAsia="仿宋_GB2312"/>
          <w:sz w:val="28"/>
          <w:szCs w:val="28"/>
        </w:rPr>
        <w:t>（一）耕地和基本农田保护目标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_Toc486428861 \h </w:instrText>
      </w:r>
      <w:r>
        <w:rPr>
          <w:rFonts w:hint="eastAsia" w:ascii="仿宋_GB2312" w:eastAsia="仿宋_GB2312"/>
          <w:sz w:val="28"/>
          <w:szCs w:val="28"/>
        </w:rPr>
        <w:fldChar w:fldCharType="separate"/>
      </w:r>
      <w:r>
        <w:rPr>
          <w:rFonts w:hint="eastAsia" w:ascii="仿宋_GB2312" w:eastAsia="仿宋_GB2312"/>
          <w:sz w:val="28"/>
          <w:szCs w:val="28"/>
        </w:rPr>
        <w:t>16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"_Toc486428862" </w:instrText>
      </w:r>
      <w:r>
        <w:fldChar w:fldCharType="separate"/>
      </w:r>
      <w:r>
        <w:rPr>
          <w:rStyle w:val="16"/>
          <w:rFonts w:hint="eastAsia" w:ascii="仿宋_GB2312" w:eastAsia="仿宋_GB2312"/>
          <w:sz w:val="28"/>
          <w:szCs w:val="28"/>
        </w:rPr>
        <w:t>（二）土地综合整治</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_Toc486428862 \h </w:instrText>
      </w:r>
      <w:r>
        <w:rPr>
          <w:rFonts w:hint="eastAsia" w:ascii="仿宋_GB2312" w:eastAsia="仿宋_GB2312"/>
          <w:sz w:val="28"/>
          <w:szCs w:val="28"/>
        </w:rPr>
        <w:fldChar w:fldCharType="separate"/>
      </w:r>
      <w:r>
        <w:rPr>
          <w:rFonts w:hint="eastAsia" w:ascii="仿宋_GB2312" w:eastAsia="仿宋_GB2312"/>
          <w:sz w:val="28"/>
          <w:szCs w:val="28"/>
        </w:rPr>
        <w:t>17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"_Toc486428863" </w:instrText>
      </w:r>
      <w:r>
        <w:fldChar w:fldCharType="separate"/>
      </w:r>
      <w:r>
        <w:rPr>
          <w:rStyle w:val="16"/>
          <w:rFonts w:hint="eastAsia" w:ascii="仿宋_GB2312" w:eastAsia="仿宋_GB2312"/>
          <w:sz w:val="28"/>
          <w:szCs w:val="28"/>
        </w:rPr>
        <w:t>（三）基本农田数量保护、质量建设和管护的措施</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_Toc486428863 \h </w:instrText>
      </w:r>
      <w:r>
        <w:rPr>
          <w:rFonts w:hint="eastAsia" w:ascii="仿宋_GB2312" w:eastAsia="仿宋_GB2312"/>
          <w:sz w:val="28"/>
          <w:szCs w:val="28"/>
        </w:rPr>
        <w:fldChar w:fldCharType="separate"/>
      </w:r>
      <w:r>
        <w:rPr>
          <w:rFonts w:hint="eastAsia" w:ascii="仿宋_GB2312" w:eastAsia="仿宋_GB2312"/>
          <w:sz w:val="28"/>
          <w:szCs w:val="28"/>
        </w:rPr>
        <w:t>18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"_Toc486428864" </w:instrText>
      </w:r>
      <w:r>
        <w:fldChar w:fldCharType="separate"/>
      </w:r>
      <w:r>
        <w:rPr>
          <w:rStyle w:val="16"/>
          <w:rFonts w:hint="eastAsia" w:ascii="仿宋_GB2312" w:eastAsia="仿宋_GB2312"/>
          <w:sz w:val="28"/>
          <w:szCs w:val="28"/>
        </w:rPr>
        <w:t>五、建设用地规划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_Toc486428864 \h </w:instrText>
      </w:r>
      <w:r>
        <w:rPr>
          <w:rFonts w:hint="eastAsia" w:ascii="仿宋_GB2312" w:eastAsia="仿宋_GB2312"/>
          <w:sz w:val="28"/>
          <w:szCs w:val="28"/>
        </w:rPr>
        <w:fldChar w:fldCharType="separate"/>
      </w:r>
      <w:r>
        <w:rPr>
          <w:rFonts w:hint="eastAsia" w:ascii="仿宋_GB2312" w:eastAsia="仿宋_GB2312"/>
          <w:sz w:val="28"/>
          <w:szCs w:val="28"/>
        </w:rPr>
        <w:t>21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"_Toc486428865" </w:instrText>
      </w:r>
      <w:r>
        <w:fldChar w:fldCharType="separate"/>
      </w:r>
      <w:r>
        <w:rPr>
          <w:rStyle w:val="16"/>
          <w:rFonts w:hint="eastAsia" w:ascii="仿宋_GB2312" w:eastAsia="仿宋_GB2312"/>
          <w:sz w:val="28"/>
          <w:szCs w:val="28"/>
        </w:rPr>
        <w:t>（一）城镇和农村居民点用地控制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_Toc486428865 \h </w:instrText>
      </w:r>
      <w:r>
        <w:rPr>
          <w:rFonts w:hint="eastAsia" w:ascii="仿宋_GB2312" w:eastAsia="仿宋_GB2312"/>
          <w:sz w:val="28"/>
          <w:szCs w:val="28"/>
        </w:rPr>
        <w:fldChar w:fldCharType="separate"/>
      </w:r>
      <w:r>
        <w:rPr>
          <w:rFonts w:hint="eastAsia" w:ascii="仿宋_GB2312" w:eastAsia="仿宋_GB2312"/>
          <w:sz w:val="28"/>
          <w:szCs w:val="28"/>
        </w:rPr>
        <w:t>21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"_Toc486428866" </w:instrText>
      </w:r>
      <w:r>
        <w:fldChar w:fldCharType="separate"/>
      </w:r>
      <w:r>
        <w:rPr>
          <w:rStyle w:val="16"/>
          <w:rFonts w:hint="eastAsia" w:ascii="仿宋_GB2312" w:eastAsia="仿宋_GB2312"/>
          <w:sz w:val="28"/>
          <w:szCs w:val="28"/>
        </w:rPr>
        <w:t>（二）重点建设项目用地安排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_Toc486428866 \h </w:instrText>
      </w:r>
      <w:r>
        <w:rPr>
          <w:rFonts w:hint="eastAsia" w:ascii="仿宋_GB2312" w:eastAsia="仿宋_GB2312"/>
          <w:sz w:val="28"/>
          <w:szCs w:val="28"/>
        </w:rPr>
        <w:fldChar w:fldCharType="separate"/>
      </w:r>
      <w:r>
        <w:rPr>
          <w:rFonts w:hint="eastAsia" w:ascii="仿宋_GB2312" w:eastAsia="仿宋_GB2312"/>
          <w:sz w:val="28"/>
          <w:szCs w:val="28"/>
        </w:rPr>
        <w:t>22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"_Toc486428867" </w:instrText>
      </w:r>
      <w:r>
        <w:fldChar w:fldCharType="separate"/>
      </w:r>
      <w:r>
        <w:rPr>
          <w:rStyle w:val="16"/>
          <w:rFonts w:hint="eastAsia" w:ascii="仿宋_GB2312" w:eastAsia="仿宋_GB2312"/>
          <w:sz w:val="28"/>
          <w:szCs w:val="28"/>
        </w:rPr>
        <w:t>（三）建设用地空间管制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_Toc486428867 \h </w:instrText>
      </w:r>
      <w:r>
        <w:rPr>
          <w:rFonts w:hint="eastAsia" w:ascii="仿宋_GB2312" w:eastAsia="仿宋_GB2312"/>
          <w:sz w:val="28"/>
          <w:szCs w:val="28"/>
        </w:rPr>
        <w:fldChar w:fldCharType="separate"/>
      </w:r>
      <w:r>
        <w:rPr>
          <w:rFonts w:hint="eastAsia" w:ascii="仿宋_GB2312" w:eastAsia="仿宋_GB2312"/>
          <w:sz w:val="28"/>
          <w:szCs w:val="28"/>
        </w:rPr>
        <w:t>23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"_Toc486428868" </w:instrText>
      </w:r>
      <w:r>
        <w:fldChar w:fldCharType="separate"/>
      </w:r>
      <w:r>
        <w:rPr>
          <w:rStyle w:val="16"/>
          <w:rFonts w:hint="eastAsia" w:ascii="仿宋_GB2312" w:eastAsia="仿宋_GB2312"/>
          <w:sz w:val="28"/>
          <w:szCs w:val="28"/>
        </w:rPr>
        <w:t>六、用途分区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_Toc486428868 \h </w:instrText>
      </w:r>
      <w:r>
        <w:rPr>
          <w:rFonts w:hint="eastAsia" w:ascii="仿宋_GB2312" w:eastAsia="仿宋_GB2312"/>
          <w:sz w:val="28"/>
          <w:szCs w:val="28"/>
        </w:rPr>
        <w:fldChar w:fldCharType="separate"/>
      </w:r>
      <w:r>
        <w:rPr>
          <w:rFonts w:hint="eastAsia" w:ascii="仿宋_GB2312" w:eastAsia="仿宋_GB2312"/>
          <w:sz w:val="28"/>
          <w:szCs w:val="28"/>
        </w:rPr>
        <w:t>27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"_Toc486428869" </w:instrText>
      </w:r>
      <w:r>
        <w:fldChar w:fldCharType="separate"/>
      </w:r>
      <w:r>
        <w:rPr>
          <w:rStyle w:val="16"/>
          <w:rFonts w:hint="eastAsia" w:ascii="仿宋_GB2312" w:eastAsia="仿宋_GB2312"/>
          <w:sz w:val="28"/>
          <w:szCs w:val="28"/>
        </w:rPr>
        <w:t>（一）基本农田保护区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_Toc486428869 \h </w:instrText>
      </w:r>
      <w:r>
        <w:rPr>
          <w:rFonts w:hint="eastAsia" w:ascii="仿宋_GB2312" w:eastAsia="仿宋_GB2312"/>
          <w:sz w:val="28"/>
          <w:szCs w:val="28"/>
        </w:rPr>
        <w:fldChar w:fldCharType="separate"/>
      </w:r>
      <w:r>
        <w:rPr>
          <w:rFonts w:hint="eastAsia" w:ascii="仿宋_GB2312" w:eastAsia="仿宋_GB2312"/>
          <w:sz w:val="28"/>
          <w:szCs w:val="28"/>
        </w:rPr>
        <w:t>27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"_Toc486428870" </w:instrText>
      </w:r>
      <w:r>
        <w:fldChar w:fldCharType="separate"/>
      </w:r>
      <w:r>
        <w:rPr>
          <w:rStyle w:val="16"/>
          <w:rFonts w:hint="eastAsia" w:ascii="仿宋_GB2312" w:eastAsia="仿宋_GB2312"/>
          <w:sz w:val="28"/>
          <w:szCs w:val="28"/>
        </w:rPr>
        <w:t>（二）一般农地区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_Toc486428870 \h </w:instrText>
      </w:r>
      <w:r>
        <w:rPr>
          <w:rFonts w:hint="eastAsia" w:ascii="仿宋_GB2312" w:eastAsia="仿宋_GB2312"/>
          <w:sz w:val="28"/>
          <w:szCs w:val="28"/>
        </w:rPr>
        <w:fldChar w:fldCharType="separate"/>
      </w:r>
      <w:r>
        <w:rPr>
          <w:rFonts w:hint="eastAsia" w:ascii="仿宋_GB2312" w:eastAsia="仿宋_GB2312"/>
          <w:sz w:val="28"/>
          <w:szCs w:val="28"/>
        </w:rPr>
        <w:t>28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"_Toc486428871" </w:instrText>
      </w:r>
      <w:r>
        <w:fldChar w:fldCharType="separate"/>
      </w:r>
      <w:r>
        <w:rPr>
          <w:rStyle w:val="16"/>
          <w:rFonts w:hint="eastAsia" w:ascii="仿宋_GB2312" w:eastAsia="仿宋_GB2312"/>
          <w:sz w:val="28"/>
          <w:szCs w:val="28"/>
        </w:rPr>
        <w:t>（三）城镇建设用地区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_Toc486428871 \h </w:instrText>
      </w:r>
      <w:r>
        <w:rPr>
          <w:rFonts w:hint="eastAsia" w:ascii="仿宋_GB2312" w:eastAsia="仿宋_GB2312"/>
          <w:sz w:val="28"/>
          <w:szCs w:val="28"/>
        </w:rPr>
        <w:fldChar w:fldCharType="separate"/>
      </w:r>
      <w:r>
        <w:rPr>
          <w:rFonts w:hint="eastAsia" w:ascii="仿宋_GB2312" w:eastAsia="仿宋_GB2312"/>
          <w:sz w:val="28"/>
          <w:szCs w:val="28"/>
        </w:rPr>
        <w:t>28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"_Toc486428872" </w:instrText>
      </w:r>
      <w:r>
        <w:fldChar w:fldCharType="separate"/>
      </w:r>
      <w:r>
        <w:rPr>
          <w:rStyle w:val="16"/>
          <w:rFonts w:hint="eastAsia" w:ascii="仿宋_GB2312" w:eastAsia="仿宋_GB2312"/>
          <w:sz w:val="28"/>
          <w:szCs w:val="28"/>
        </w:rPr>
        <w:t>（四）村镇建设用地区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_Toc486428872 \h </w:instrText>
      </w:r>
      <w:r>
        <w:rPr>
          <w:rFonts w:hint="eastAsia" w:ascii="仿宋_GB2312" w:eastAsia="仿宋_GB2312"/>
          <w:sz w:val="28"/>
          <w:szCs w:val="28"/>
        </w:rPr>
        <w:fldChar w:fldCharType="separate"/>
      </w:r>
      <w:r>
        <w:rPr>
          <w:rFonts w:hint="eastAsia" w:ascii="仿宋_GB2312" w:eastAsia="仿宋_GB2312"/>
          <w:sz w:val="28"/>
          <w:szCs w:val="28"/>
        </w:rPr>
        <w:t>29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"_Toc486428873" </w:instrText>
      </w:r>
      <w:r>
        <w:fldChar w:fldCharType="separate"/>
      </w:r>
      <w:r>
        <w:rPr>
          <w:rStyle w:val="16"/>
          <w:rFonts w:hint="eastAsia" w:ascii="仿宋_GB2312" w:eastAsia="仿宋_GB2312"/>
          <w:sz w:val="28"/>
          <w:szCs w:val="28"/>
        </w:rPr>
        <w:t>（五）独立工矿用地区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_Toc486428873 \h </w:instrText>
      </w:r>
      <w:r>
        <w:rPr>
          <w:rFonts w:hint="eastAsia" w:ascii="仿宋_GB2312" w:eastAsia="仿宋_GB2312"/>
          <w:sz w:val="28"/>
          <w:szCs w:val="28"/>
        </w:rPr>
        <w:fldChar w:fldCharType="separate"/>
      </w:r>
      <w:r>
        <w:rPr>
          <w:rFonts w:hint="eastAsia" w:ascii="仿宋_GB2312" w:eastAsia="仿宋_GB2312"/>
          <w:sz w:val="28"/>
          <w:szCs w:val="28"/>
        </w:rPr>
        <w:t>30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"_Toc486428874" </w:instrText>
      </w:r>
      <w:r>
        <w:fldChar w:fldCharType="separate"/>
      </w:r>
      <w:r>
        <w:rPr>
          <w:rStyle w:val="16"/>
          <w:rFonts w:hint="eastAsia" w:ascii="仿宋_GB2312" w:eastAsia="仿宋_GB2312"/>
          <w:sz w:val="28"/>
          <w:szCs w:val="28"/>
        </w:rPr>
        <w:t>（六）林业用地区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_Toc486428874 \h </w:instrText>
      </w:r>
      <w:r>
        <w:rPr>
          <w:rFonts w:hint="eastAsia" w:ascii="仿宋_GB2312" w:eastAsia="仿宋_GB2312"/>
          <w:sz w:val="28"/>
          <w:szCs w:val="28"/>
        </w:rPr>
        <w:fldChar w:fldCharType="separate"/>
      </w:r>
      <w:r>
        <w:rPr>
          <w:rFonts w:hint="eastAsia" w:ascii="仿宋_GB2312" w:eastAsia="仿宋_GB2312"/>
          <w:sz w:val="28"/>
          <w:szCs w:val="28"/>
        </w:rPr>
        <w:t>30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"_Toc486428875" </w:instrText>
      </w:r>
      <w:r>
        <w:fldChar w:fldCharType="separate"/>
      </w:r>
      <w:r>
        <w:rPr>
          <w:rStyle w:val="16"/>
          <w:rFonts w:hint="eastAsia" w:ascii="仿宋_GB2312" w:eastAsia="仿宋_GB2312"/>
          <w:sz w:val="28"/>
          <w:szCs w:val="28"/>
        </w:rPr>
        <w:t>（七）其他用地区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_Toc486428875 \h </w:instrText>
      </w:r>
      <w:r>
        <w:rPr>
          <w:rFonts w:hint="eastAsia" w:ascii="仿宋_GB2312" w:eastAsia="仿宋_GB2312"/>
          <w:sz w:val="28"/>
          <w:szCs w:val="28"/>
        </w:rPr>
        <w:fldChar w:fldCharType="separate"/>
      </w:r>
      <w:r>
        <w:rPr>
          <w:rFonts w:hint="eastAsia" w:ascii="仿宋_GB2312" w:eastAsia="仿宋_GB2312"/>
          <w:sz w:val="28"/>
          <w:szCs w:val="28"/>
        </w:rPr>
        <w:t>31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"_Toc486428876" </w:instrText>
      </w:r>
      <w:r>
        <w:fldChar w:fldCharType="separate"/>
      </w:r>
      <w:r>
        <w:rPr>
          <w:rStyle w:val="16"/>
          <w:rFonts w:hint="eastAsia" w:ascii="仿宋_GB2312" w:eastAsia="仿宋_GB2312"/>
          <w:sz w:val="28"/>
          <w:szCs w:val="28"/>
        </w:rPr>
        <w:t>七、生态保护用地规划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_Toc486428876 \h </w:instrText>
      </w:r>
      <w:r>
        <w:rPr>
          <w:rFonts w:hint="eastAsia" w:ascii="仿宋_GB2312" w:eastAsia="仿宋_GB2312"/>
          <w:sz w:val="28"/>
          <w:szCs w:val="28"/>
        </w:rPr>
        <w:fldChar w:fldCharType="separate"/>
      </w:r>
      <w:r>
        <w:rPr>
          <w:rFonts w:hint="eastAsia" w:ascii="仿宋_GB2312" w:eastAsia="仿宋_GB2312"/>
          <w:sz w:val="28"/>
          <w:szCs w:val="28"/>
        </w:rPr>
        <w:t>32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"_Toc486428877" </w:instrText>
      </w:r>
      <w:r>
        <w:fldChar w:fldCharType="separate"/>
      </w:r>
      <w:r>
        <w:rPr>
          <w:rStyle w:val="16"/>
          <w:rFonts w:hint="eastAsia" w:ascii="仿宋_GB2312" w:eastAsia="仿宋_GB2312"/>
          <w:sz w:val="28"/>
          <w:szCs w:val="28"/>
        </w:rPr>
        <w:t>（一）构建良好的农业生态环境基础</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_Toc486428877 \h </w:instrText>
      </w:r>
      <w:r>
        <w:rPr>
          <w:rFonts w:hint="eastAsia" w:ascii="仿宋_GB2312" w:eastAsia="仿宋_GB2312"/>
          <w:sz w:val="28"/>
          <w:szCs w:val="28"/>
        </w:rPr>
        <w:fldChar w:fldCharType="separate"/>
      </w:r>
      <w:r>
        <w:rPr>
          <w:rFonts w:hint="eastAsia" w:ascii="仿宋_GB2312" w:eastAsia="仿宋_GB2312"/>
          <w:sz w:val="28"/>
          <w:szCs w:val="28"/>
        </w:rPr>
        <w:t>32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"_Toc486428878" </w:instrText>
      </w:r>
      <w:r>
        <w:fldChar w:fldCharType="separate"/>
      </w:r>
      <w:r>
        <w:rPr>
          <w:rStyle w:val="16"/>
          <w:rFonts w:hint="eastAsia" w:ascii="仿宋_GB2312" w:eastAsia="仿宋_GB2312"/>
          <w:sz w:val="28"/>
          <w:szCs w:val="28"/>
        </w:rPr>
        <w:t>（二）加强城镇生态环境建设</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_Toc486428878 \h </w:instrText>
      </w:r>
      <w:r>
        <w:rPr>
          <w:rFonts w:hint="eastAsia" w:ascii="仿宋_GB2312" w:eastAsia="仿宋_GB2312"/>
          <w:sz w:val="28"/>
          <w:szCs w:val="28"/>
        </w:rPr>
        <w:fldChar w:fldCharType="separate"/>
      </w:r>
      <w:r>
        <w:rPr>
          <w:rFonts w:hint="eastAsia" w:ascii="仿宋_GB2312" w:eastAsia="仿宋_GB2312"/>
          <w:sz w:val="28"/>
          <w:szCs w:val="28"/>
        </w:rPr>
        <w:t>33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"_Toc486428879" </w:instrText>
      </w:r>
      <w:r>
        <w:fldChar w:fldCharType="separate"/>
      </w:r>
      <w:r>
        <w:rPr>
          <w:rStyle w:val="16"/>
          <w:rFonts w:hint="eastAsia" w:ascii="仿宋_GB2312" w:eastAsia="仿宋_GB2312"/>
          <w:sz w:val="28"/>
          <w:szCs w:val="28"/>
        </w:rPr>
        <w:t>（三）加强农村地区生态环境建设</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_Toc486428879 \h </w:instrText>
      </w:r>
      <w:r>
        <w:rPr>
          <w:rFonts w:hint="eastAsia" w:ascii="仿宋_GB2312" w:eastAsia="仿宋_GB2312"/>
          <w:sz w:val="28"/>
          <w:szCs w:val="28"/>
        </w:rPr>
        <w:fldChar w:fldCharType="separate"/>
      </w:r>
      <w:r>
        <w:rPr>
          <w:rFonts w:hint="eastAsia" w:ascii="仿宋_GB2312" w:eastAsia="仿宋_GB2312"/>
          <w:sz w:val="28"/>
          <w:szCs w:val="28"/>
        </w:rPr>
        <w:t>33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"_Toc486428880" </w:instrText>
      </w:r>
      <w:r>
        <w:fldChar w:fldCharType="separate"/>
      </w:r>
      <w:r>
        <w:rPr>
          <w:rStyle w:val="16"/>
          <w:rFonts w:hint="eastAsia" w:ascii="仿宋_GB2312" w:hAnsi="宋体" w:eastAsia="仿宋_GB2312"/>
          <w:sz w:val="28"/>
          <w:szCs w:val="28"/>
        </w:rPr>
        <w:t>附表一  冠英镇土地利用主要调控指标表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_Toc486428880 \h </w:instrText>
      </w:r>
      <w:r>
        <w:rPr>
          <w:rFonts w:hint="eastAsia" w:ascii="仿宋_GB2312" w:eastAsia="仿宋_GB2312"/>
          <w:sz w:val="28"/>
          <w:szCs w:val="28"/>
        </w:rPr>
        <w:fldChar w:fldCharType="separate"/>
      </w:r>
      <w:r>
        <w:rPr>
          <w:rFonts w:hint="eastAsia" w:ascii="仿宋_GB2312" w:eastAsia="仿宋_GB2312"/>
          <w:sz w:val="28"/>
          <w:szCs w:val="28"/>
        </w:rPr>
        <w:t>35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"_Toc486428881" </w:instrText>
      </w:r>
      <w:r>
        <w:fldChar w:fldCharType="separate"/>
      </w:r>
      <w:r>
        <w:rPr>
          <w:rStyle w:val="16"/>
          <w:rFonts w:hint="eastAsia" w:ascii="仿宋_GB2312" w:hAnsi="宋体" w:eastAsia="仿宋_GB2312"/>
          <w:sz w:val="28"/>
          <w:szCs w:val="28"/>
        </w:rPr>
        <w:t>附表二  冠英镇土地利用结构调整表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_Toc486428881 \h </w:instrText>
      </w:r>
      <w:r>
        <w:rPr>
          <w:rFonts w:hint="eastAsia" w:ascii="仿宋_GB2312" w:eastAsia="仿宋_GB2312"/>
          <w:sz w:val="28"/>
          <w:szCs w:val="28"/>
        </w:rPr>
        <w:fldChar w:fldCharType="separate"/>
      </w:r>
      <w:r>
        <w:rPr>
          <w:rFonts w:hint="eastAsia" w:ascii="仿宋_GB2312" w:eastAsia="仿宋_GB2312"/>
          <w:sz w:val="28"/>
          <w:szCs w:val="28"/>
        </w:rPr>
        <w:t>36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"_Toc486428882" </w:instrText>
      </w:r>
      <w:r>
        <w:fldChar w:fldCharType="separate"/>
      </w:r>
      <w:r>
        <w:rPr>
          <w:rStyle w:val="16"/>
          <w:rFonts w:hint="eastAsia" w:ascii="仿宋_GB2312" w:hAnsi="宋体" w:eastAsia="仿宋_GB2312"/>
          <w:sz w:val="28"/>
          <w:szCs w:val="28"/>
        </w:rPr>
        <w:t>附表三  冠英镇各乡村土地用途分区面积表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_Toc486428882 \h </w:instrText>
      </w:r>
      <w:r>
        <w:rPr>
          <w:rFonts w:hint="eastAsia" w:ascii="仿宋_GB2312" w:eastAsia="仿宋_GB2312"/>
          <w:sz w:val="28"/>
          <w:szCs w:val="28"/>
        </w:rPr>
        <w:fldChar w:fldCharType="separate"/>
      </w:r>
      <w:r>
        <w:rPr>
          <w:rFonts w:hint="eastAsia" w:ascii="仿宋_GB2312" w:eastAsia="仿宋_GB2312"/>
          <w:sz w:val="28"/>
          <w:szCs w:val="28"/>
        </w:rPr>
        <w:t>37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"_Toc486428883" </w:instrText>
      </w:r>
      <w:r>
        <w:fldChar w:fldCharType="separate"/>
      </w:r>
      <w:r>
        <w:rPr>
          <w:rStyle w:val="16"/>
          <w:rFonts w:hint="eastAsia" w:ascii="仿宋_GB2312" w:hAnsi="宋体" w:eastAsia="仿宋_GB2312"/>
          <w:sz w:val="28"/>
          <w:szCs w:val="28"/>
        </w:rPr>
        <w:t>附表四   冠英镇耕地保有量、基本农田情况表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_Toc486428883 \h </w:instrText>
      </w:r>
      <w:r>
        <w:rPr>
          <w:rFonts w:hint="eastAsia" w:ascii="仿宋_GB2312" w:eastAsia="仿宋_GB2312"/>
          <w:sz w:val="28"/>
          <w:szCs w:val="28"/>
        </w:rPr>
        <w:fldChar w:fldCharType="separate"/>
      </w:r>
      <w:r>
        <w:rPr>
          <w:rFonts w:hint="eastAsia" w:ascii="仿宋_GB2312" w:eastAsia="仿宋_GB2312"/>
          <w:sz w:val="28"/>
          <w:szCs w:val="28"/>
        </w:rPr>
        <w:t>39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"_Toc486428884" </w:instrText>
      </w:r>
      <w:r>
        <w:fldChar w:fldCharType="separate"/>
      </w:r>
      <w:r>
        <w:rPr>
          <w:rStyle w:val="16"/>
          <w:rFonts w:hint="eastAsia" w:ascii="仿宋_GB2312" w:hAnsi="宋体" w:eastAsia="仿宋_GB2312"/>
          <w:sz w:val="28"/>
          <w:szCs w:val="28"/>
        </w:rPr>
        <w:t>附表五  冠英镇省、市、县重点建设项目规划表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_Toc486428884 \h </w:instrText>
      </w:r>
      <w:r>
        <w:rPr>
          <w:rFonts w:hint="eastAsia" w:ascii="仿宋_GB2312" w:eastAsia="仿宋_GB2312"/>
          <w:sz w:val="28"/>
          <w:szCs w:val="28"/>
        </w:rPr>
        <w:fldChar w:fldCharType="separate"/>
      </w:r>
      <w:r>
        <w:rPr>
          <w:rFonts w:hint="eastAsia" w:ascii="仿宋_GB2312" w:eastAsia="仿宋_GB2312"/>
          <w:sz w:val="28"/>
          <w:szCs w:val="28"/>
        </w:rPr>
        <w:t>40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"_Toc486428885" </w:instrText>
      </w:r>
      <w:r>
        <w:fldChar w:fldCharType="separate"/>
      </w:r>
      <w:r>
        <w:rPr>
          <w:rStyle w:val="16"/>
          <w:rFonts w:hint="eastAsia" w:ascii="仿宋_GB2312" w:hAnsi="宋体" w:eastAsia="仿宋_GB2312"/>
          <w:sz w:val="28"/>
          <w:szCs w:val="28"/>
        </w:rPr>
        <w:t>附表六  冠英镇各乡村规划控制指标表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_Toc486428885 \h </w:instrText>
      </w:r>
      <w:r>
        <w:rPr>
          <w:rFonts w:hint="eastAsia" w:ascii="仿宋_GB2312" w:eastAsia="仿宋_GB2312"/>
          <w:sz w:val="28"/>
          <w:szCs w:val="28"/>
        </w:rPr>
        <w:fldChar w:fldCharType="separate"/>
      </w:r>
      <w:r>
        <w:rPr>
          <w:rFonts w:hint="eastAsia" w:ascii="仿宋_GB2312" w:eastAsia="仿宋_GB2312"/>
          <w:sz w:val="28"/>
          <w:szCs w:val="28"/>
        </w:rPr>
        <w:t>43</w:t>
      </w:r>
      <w:r>
        <w:rPr>
          <w:rFonts w:hint="eastAsia" w:ascii="仿宋_GB2312" w:eastAsia="仿宋_GB2312"/>
          <w:sz w:val="28"/>
          <w:szCs w:val="28"/>
        </w:rPr>
        <w:fldChar w:fldCharType="end"/>
      </w:r>
      <w:r>
        <w:rPr>
          <w:rFonts w:hint="eastAsia" w:ascii="仿宋_GB2312" w:eastAsia="仿宋_GB2312"/>
          <w:sz w:val="28"/>
          <w:szCs w:val="28"/>
        </w:rPr>
        <w:fldChar w:fldCharType="end"/>
      </w:r>
    </w:p>
    <w:p>
      <w:pPr>
        <w:spacing w:line="500" w:lineRule="exact"/>
        <w:jc w:val="center"/>
        <w:rPr>
          <w:rFonts w:ascii="仿宋_GB2312" w:hAnsi="黑体" w:eastAsia="仿宋_GB2312"/>
          <w:sz w:val="28"/>
          <w:szCs w:val="28"/>
        </w:rPr>
      </w:pPr>
      <w:r>
        <w:rPr>
          <w:rFonts w:hint="eastAsia" w:ascii="仿宋_GB2312" w:hAnsi="宋体" w:eastAsia="仿宋_GB2312"/>
          <w:sz w:val="28"/>
          <w:szCs w:val="28"/>
        </w:rPr>
        <w:fldChar w:fldCharType="end"/>
      </w:r>
    </w:p>
    <w:p>
      <w:pPr>
        <w:spacing w:line="500" w:lineRule="exact"/>
        <w:jc w:val="center"/>
        <w:rPr>
          <w:rFonts w:ascii="仿宋_GB2312" w:hAnsi="黑体" w:eastAsia="仿宋_GB2312"/>
          <w:sz w:val="28"/>
          <w:szCs w:val="28"/>
        </w:rPr>
      </w:pPr>
    </w:p>
    <w:p>
      <w:pPr>
        <w:widowControl/>
        <w:jc w:val="left"/>
        <w:rPr>
          <w:rFonts w:ascii="仿宋_GB2312" w:hAnsi="宋体" w:eastAsia="仿宋_GB2312"/>
          <w:sz w:val="28"/>
          <w:szCs w:val="28"/>
        </w:rPr>
        <w:sectPr>
          <w:footerReference r:id="rId4" w:type="default"/>
          <w:type w:val="oddPage"/>
          <w:pgSz w:w="11906" w:h="16838"/>
          <w:pgMar w:top="1440" w:right="1800" w:bottom="1440" w:left="1800" w:header="851" w:footer="992" w:gutter="0"/>
          <w:pgNumType w:fmt="upperRoman" w:start="1"/>
          <w:cols w:space="425" w:num="1"/>
          <w:docGrid w:type="lines" w:linePitch="312" w:charSpace="0"/>
        </w:sectPr>
      </w:pPr>
    </w:p>
    <w:p>
      <w:pPr>
        <w:spacing w:line="500" w:lineRule="exact"/>
        <w:rPr>
          <w:rFonts w:ascii="仿宋_GB2312" w:hAnsi="宋体" w:eastAsia="仿宋_GB2312"/>
          <w:sz w:val="28"/>
          <w:szCs w:val="28"/>
        </w:rPr>
      </w:pPr>
    </w:p>
    <w:p>
      <w:pPr>
        <w:pStyle w:val="2"/>
      </w:pPr>
      <w:bookmarkStart w:id="0" w:name="_Toc486428839"/>
      <w:r>
        <w:rPr>
          <w:rFonts w:hint="eastAsia"/>
        </w:rPr>
        <w:t>一、2014年土地利用现状</w:t>
      </w:r>
      <w:bookmarkEnd w:id="0"/>
    </w:p>
    <w:p>
      <w:pPr>
        <w:pStyle w:val="3"/>
      </w:pPr>
      <w:bookmarkStart w:id="1" w:name="_Toc486428840"/>
      <w:r>
        <w:rPr>
          <w:rFonts w:hint="eastAsia"/>
        </w:rPr>
        <w:t>（一）土地利用现状及分布</w:t>
      </w:r>
      <w:bookmarkEnd w:id="1"/>
    </w:p>
    <w:p>
      <w:pPr>
        <w:ind w:firstLine="560" w:firstLineChars="200"/>
        <w:rPr>
          <w:rFonts w:ascii="仿宋_GB2312" w:hAnsi="等线" w:eastAsia="仿宋_GB2312" w:cs="宋体"/>
          <w:color w:val="000000"/>
          <w:kern w:val="0"/>
          <w:sz w:val="22"/>
        </w:rPr>
      </w:pPr>
      <w:r>
        <w:rPr>
          <w:rFonts w:hint="eastAsia" w:ascii="仿宋_GB2312" w:hAnsi="宋体" w:eastAsia="仿宋_GB2312"/>
          <w:sz w:val="28"/>
          <w:szCs w:val="28"/>
        </w:rPr>
        <w:t>根据五通桥2014年土地利用现状变更调查结果，2014年冠英镇土地总面积5607.56公顷。其中农用地面积4105.73公顷，占土地总面积的73.22%；建设用地面积987.03公顷，占土地总面积的17.6%；其他土地面积514.8公顷，占土地总面积的9.18%。</w:t>
      </w:r>
    </w:p>
    <w:p>
      <w:pPr>
        <w:pStyle w:val="4"/>
        <w:ind w:firstLine="562"/>
      </w:pPr>
      <w:r>
        <w:rPr>
          <w:rFonts w:hint="eastAsia"/>
        </w:rPr>
        <w:t>1．农用地</w:t>
      </w:r>
    </w:p>
    <w:p>
      <w:pPr>
        <w:spacing w:line="50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（1）耕地</w:t>
      </w:r>
    </w:p>
    <w:p>
      <w:pPr>
        <w:ind w:left="2" w:firstLine="560" w:firstLineChars="200"/>
        <w:rPr>
          <w:rFonts w:ascii="仿宋_GB2312" w:hAnsi="宋体" w:eastAsia="仿宋_GB2312"/>
          <w:sz w:val="28"/>
          <w:szCs w:val="28"/>
        </w:rPr>
      </w:pPr>
      <w:r>
        <w:rPr>
          <w:rFonts w:hint="eastAsia" w:ascii="仿宋_GB2312" w:hAnsi="宋体" w:eastAsia="仿宋_GB2312"/>
          <w:sz w:val="28"/>
          <w:szCs w:val="28"/>
        </w:rPr>
        <w:t>全镇耕地面积为2515.45公顷，占农用地面积的61.27%；</w:t>
      </w:r>
      <w:bookmarkStart w:id="2" w:name="_Hlk486281055"/>
      <w:bookmarkStart w:id="3" w:name="_Hlk486263791"/>
      <w:r>
        <w:rPr>
          <w:rFonts w:hint="eastAsia" w:ascii="仿宋_GB2312" w:hAnsi="宋体" w:eastAsia="仿宋_GB2312"/>
          <w:sz w:val="28"/>
          <w:szCs w:val="28"/>
        </w:rPr>
        <w:t>主要分布情况为冠英镇社区</w:t>
      </w:r>
      <w:r>
        <w:rPr>
          <w:rFonts w:ascii="仿宋_GB2312" w:hAnsi="宋体" w:eastAsia="仿宋_GB2312"/>
          <w:sz w:val="28"/>
          <w:szCs w:val="28"/>
        </w:rPr>
        <w:t>0.50</w:t>
      </w:r>
      <w:r>
        <w:rPr>
          <w:rFonts w:hint="eastAsia" w:ascii="仿宋_GB2312" w:hAnsi="宋体" w:eastAsia="仿宋_GB2312"/>
          <w:sz w:val="28"/>
          <w:szCs w:val="28"/>
        </w:rPr>
        <w:t>公顷、青乐村</w:t>
      </w:r>
      <w:r>
        <w:rPr>
          <w:rFonts w:ascii="仿宋_GB2312" w:hAnsi="宋体" w:eastAsia="仿宋_GB2312"/>
          <w:sz w:val="28"/>
          <w:szCs w:val="28"/>
        </w:rPr>
        <w:t>85.28</w:t>
      </w:r>
      <w:r>
        <w:rPr>
          <w:rFonts w:hint="eastAsia" w:ascii="仿宋_GB2312" w:hAnsi="宋体" w:eastAsia="仿宋_GB2312"/>
          <w:sz w:val="28"/>
          <w:szCs w:val="28"/>
        </w:rPr>
        <w:t>公顷、天池村</w:t>
      </w:r>
      <w:r>
        <w:rPr>
          <w:rFonts w:ascii="仿宋_GB2312" w:hAnsi="宋体" w:eastAsia="仿宋_GB2312"/>
          <w:sz w:val="28"/>
          <w:szCs w:val="28"/>
        </w:rPr>
        <w:t>92.40</w:t>
      </w:r>
      <w:r>
        <w:rPr>
          <w:rFonts w:hint="eastAsia" w:ascii="仿宋_GB2312" w:hAnsi="宋体" w:eastAsia="仿宋_GB2312"/>
          <w:sz w:val="28"/>
          <w:szCs w:val="28"/>
        </w:rPr>
        <w:t>公顷、马桑村</w:t>
      </w:r>
      <w:r>
        <w:rPr>
          <w:rFonts w:ascii="仿宋_GB2312" w:hAnsi="宋体" w:eastAsia="仿宋_GB2312"/>
          <w:sz w:val="28"/>
          <w:szCs w:val="28"/>
        </w:rPr>
        <w:t>74.03</w:t>
      </w:r>
      <w:r>
        <w:rPr>
          <w:rFonts w:hint="eastAsia" w:ascii="仿宋_GB2312" w:hAnsi="宋体" w:eastAsia="仿宋_GB2312"/>
          <w:sz w:val="28"/>
          <w:szCs w:val="28"/>
        </w:rPr>
        <w:t>公顷、荣丰村</w:t>
      </w:r>
      <w:r>
        <w:rPr>
          <w:rFonts w:ascii="仿宋_GB2312" w:hAnsi="宋体" w:eastAsia="仿宋_GB2312"/>
          <w:sz w:val="28"/>
          <w:szCs w:val="28"/>
        </w:rPr>
        <w:t>148.75</w:t>
      </w:r>
      <w:r>
        <w:rPr>
          <w:rFonts w:hint="eastAsia" w:ascii="仿宋_GB2312" w:hAnsi="宋体" w:eastAsia="仿宋_GB2312"/>
          <w:sz w:val="28"/>
          <w:szCs w:val="28"/>
        </w:rPr>
        <w:t>公顷、麦子坳村</w:t>
      </w:r>
      <w:r>
        <w:rPr>
          <w:rFonts w:ascii="仿宋_GB2312" w:hAnsi="宋体" w:eastAsia="仿宋_GB2312"/>
          <w:sz w:val="28"/>
          <w:szCs w:val="28"/>
        </w:rPr>
        <w:t>110.25</w:t>
      </w:r>
      <w:r>
        <w:rPr>
          <w:rFonts w:hint="eastAsia" w:ascii="仿宋_GB2312" w:hAnsi="宋体" w:eastAsia="仿宋_GB2312"/>
          <w:sz w:val="28"/>
          <w:szCs w:val="28"/>
        </w:rPr>
        <w:t>公顷、鸭口山村</w:t>
      </w:r>
      <w:r>
        <w:rPr>
          <w:rFonts w:ascii="仿宋_GB2312" w:hAnsi="宋体" w:eastAsia="仿宋_GB2312"/>
          <w:sz w:val="28"/>
          <w:szCs w:val="28"/>
        </w:rPr>
        <w:t>115.63</w:t>
      </w:r>
      <w:r>
        <w:rPr>
          <w:rFonts w:hint="eastAsia" w:ascii="仿宋_GB2312" w:hAnsi="宋体" w:eastAsia="仿宋_GB2312"/>
          <w:sz w:val="28"/>
          <w:szCs w:val="28"/>
        </w:rPr>
        <w:t>公顷、黄益塘村</w:t>
      </w:r>
      <w:r>
        <w:rPr>
          <w:rFonts w:ascii="仿宋_GB2312" w:hAnsi="宋体" w:eastAsia="仿宋_GB2312"/>
          <w:sz w:val="28"/>
          <w:szCs w:val="28"/>
        </w:rPr>
        <w:t>145.00</w:t>
      </w:r>
      <w:r>
        <w:rPr>
          <w:rFonts w:hint="eastAsia" w:ascii="仿宋_GB2312" w:hAnsi="宋体" w:eastAsia="仿宋_GB2312"/>
          <w:sz w:val="28"/>
          <w:szCs w:val="28"/>
        </w:rPr>
        <w:t>公顷、兴福村</w:t>
      </w:r>
      <w:r>
        <w:rPr>
          <w:rFonts w:ascii="仿宋_GB2312" w:hAnsi="宋体" w:eastAsia="仿宋_GB2312"/>
          <w:sz w:val="28"/>
          <w:szCs w:val="28"/>
        </w:rPr>
        <w:t>40.13</w:t>
      </w:r>
      <w:r>
        <w:rPr>
          <w:rFonts w:hint="eastAsia" w:ascii="仿宋_GB2312" w:hAnsi="宋体" w:eastAsia="仿宋_GB2312"/>
          <w:sz w:val="28"/>
          <w:szCs w:val="28"/>
        </w:rPr>
        <w:t>公顷、石子埂村</w:t>
      </w:r>
      <w:r>
        <w:rPr>
          <w:rFonts w:ascii="仿宋_GB2312" w:hAnsi="宋体" w:eastAsia="仿宋_GB2312"/>
          <w:sz w:val="28"/>
          <w:szCs w:val="28"/>
        </w:rPr>
        <w:t>100.98</w:t>
      </w:r>
      <w:r>
        <w:rPr>
          <w:rFonts w:hint="eastAsia" w:ascii="仿宋_GB2312" w:hAnsi="宋体" w:eastAsia="仿宋_GB2312"/>
          <w:sz w:val="28"/>
          <w:szCs w:val="28"/>
        </w:rPr>
        <w:t>公顷、新街口村</w:t>
      </w:r>
      <w:r>
        <w:rPr>
          <w:rFonts w:ascii="仿宋_GB2312" w:hAnsi="宋体" w:eastAsia="仿宋_GB2312"/>
          <w:sz w:val="28"/>
          <w:szCs w:val="28"/>
        </w:rPr>
        <w:t>35.97</w:t>
      </w:r>
      <w:r>
        <w:rPr>
          <w:rFonts w:hint="eastAsia" w:ascii="仿宋_GB2312" w:hAnsi="宋体" w:eastAsia="仿宋_GB2312"/>
          <w:sz w:val="28"/>
          <w:szCs w:val="28"/>
        </w:rPr>
        <w:t>公顷、大兴庙村</w:t>
      </w:r>
      <w:r>
        <w:rPr>
          <w:rFonts w:ascii="仿宋_GB2312" w:hAnsi="宋体" w:eastAsia="仿宋_GB2312"/>
          <w:sz w:val="28"/>
          <w:szCs w:val="28"/>
        </w:rPr>
        <w:t>93.56</w:t>
      </w:r>
      <w:r>
        <w:rPr>
          <w:rFonts w:hint="eastAsia" w:ascii="仿宋_GB2312" w:hAnsi="宋体" w:eastAsia="仿宋_GB2312"/>
          <w:sz w:val="28"/>
          <w:szCs w:val="28"/>
        </w:rPr>
        <w:t>公顷、徐坝村</w:t>
      </w:r>
      <w:r>
        <w:rPr>
          <w:rFonts w:ascii="仿宋_GB2312" w:hAnsi="宋体" w:eastAsia="仿宋_GB2312"/>
          <w:sz w:val="28"/>
          <w:szCs w:val="28"/>
        </w:rPr>
        <w:t>120.09</w:t>
      </w:r>
      <w:r>
        <w:rPr>
          <w:rFonts w:hint="eastAsia" w:ascii="仿宋_GB2312" w:hAnsi="宋体" w:eastAsia="仿宋_GB2312"/>
          <w:sz w:val="28"/>
          <w:szCs w:val="28"/>
        </w:rPr>
        <w:t>公顷、河桥村</w:t>
      </w:r>
      <w:r>
        <w:rPr>
          <w:rFonts w:ascii="仿宋_GB2312" w:hAnsi="宋体" w:eastAsia="仿宋_GB2312"/>
          <w:sz w:val="28"/>
          <w:szCs w:val="28"/>
        </w:rPr>
        <w:t>127.82</w:t>
      </w:r>
      <w:r>
        <w:rPr>
          <w:rFonts w:hint="eastAsia" w:ascii="仿宋_GB2312" w:hAnsi="宋体" w:eastAsia="仿宋_GB2312"/>
          <w:sz w:val="28"/>
          <w:szCs w:val="28"/>
        </w:rPr>
        <w:t>公顷、挖断山村</w:t>
      </w:r>
      <w:r>
        <w:rPr>
          <w:rFonts w:ascii="仿宋_GB2312" w:hAnsi="宋体" w:eastAsia="仿宋_GB2312"/>
          <w:sz w:val="28"/>
          <w:szCs w:val="28"/>
        </w:rPr>
        <w:t>120.36</w:t>
      </w:r>
      <w:r>
        <w:rPr>
          <w:rFonts w:hint="eastAsia" w:ascii="仿宋_GB2312" w:hAnsi="宋体" w:eastAsia="仿宋_GB2312"/>
          <w:sz w:val="28"/>
          <w:szCs w:val="28"/>
        </w:rPr>
        <w:t>公顷、许村</w:t>
      </w:r>
      <w:r>
        <w:rPr>
          <w:rFonts w:ascii="仿宋_GB2312" w:hAnsi="宋体" w:eastAsia="仿宋_GB2312"/>
          <w:sz w:val="28"/>
          <w:szCs w:val="28"/>
        </w:rPr>
        <w:t>82.69</w:t>
      </w:r>
      <w:r>
        <w:rPr>
          <w:rFonts w:hint="eastAsia" w:ascii="仿宋_GB2312" w:hAnsi="宋体" w:eastAsia="仿宋_GB2312"/>
          <w:sz w:val="28"/>
          <w:szCs w:val="28"/>
        </w:rPr>
        <w:t>公顷、尚村</w:t>
      </w:r>
      <w:r>
        <w:rPr>
          <w:rFonts w:ascii="仿宋_GB2312" w:hAnsi="宋体" w:eastAsia="仿宋_GB2312"/>
          <w:sz w:val="28"/>
          <w:szCs w:val="28"/>
        </w:rPr>
        <w:t>129.25</w:t>
      </w:r>
      <w:r>
        <w:rPr>
          <w:rFonts w:hint="eastAsia" w:ascii="仿宋_GB2312" w:hAnsi="宋体" w:eastAsia="仿宋_GB2312"/>
          <w:sz w:val="28"/>
          <w:szCs w:val="28"/>
        </w:rPr>
        <w:t>公顷、章庙村</w:t>
      </w:r>
      <w:r>
        <w:rPr>
          <w:rFonts w:ascii="仿宋_GB2312" w:hAnsi="宋体" w:eastAsia="仿宋_GB2312"/>
          <w:sz w:val="28"/>
          <w:szCs w:val="28"/>
        </w:rPr>
        <w:t>54.84</w:t>
      </w:r>
      <w:r>
        <w:rPr>
          <w:rFonts w:hint="eastAsia" w:ascii="仿宋_GB2312" w:hAnsi="宋体" w:eastAsia="仿宋_GB2312"/>
          <w:sz w:val="28"/>
          <w:szCs w:val="28"/>
        </w:rPr>
        <w:t>公顷、双龙庵村</w:t>
      </w:r>
      <w:r>
        <w:rPr>
          <w:rFonts w:ascii="仿宋_GB2312" w:hAnsi="宋体" w:eastAsia="仿宋_GB2312"/>
          <w:sz w:val="28"/>
          <w:szCs w:val="28"/>
        </w:rPr>
        <w:t>124.53</w:t>
      </w:r>
      <w:r>
        <w:rPr>
          <w:rFonts w:hint="eastAsia" w:ascii="仿宋_GB2312" w:hAnsi="宋体" w:eastAsia="仿宋_GB2312"/>
          <w:sz w:val="28"/>
          <w:szCs w:val="28"/>
        </w:rPr>
        <w:t>公顷、诸益村144.49公顷、龙埂村91.81公顷、双河村129.50公顷、仙女井村198.76公顷、神佛村148.83公顷。</w:t>
      </w:r>
      <w:bookmarkEnd w:id="2"/>
    </w:p>
    <w:bookmarkEnd w:id="3"/>
    <w:p>
      <w:pPr>
        <w:ind w:firstLine="562" w:firstLineChars="200"/>
        <w:rPr>
          <w:rFonts w:ascii="仿宋_GB2312" w:hAnsi="宋体" w:eastAsia="仿宋_GB2312"/>
          <w:b/>
          <w:sz w:val="28"/>
          <w:szCs w:val="28"/>
        </w:rPr>
      </w:pPr>
      <w:r>
        <w:rPr>
          <w:rFonts w:hint="eastAsia" w:ascii="仿宋_GB2312" w:hAnsi="宋体" w:eastAsia="仿宋_GB2312"/>
          <w:b/>
          <w:sz w:val="28"/>
          <w:szCs w:val="28"/>
        </w:rPr>
        <w:t>（2）园地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全镇园地面积为420.4公顷，占农用地面积的10.24%；主要分布情况为冠英镇社区</w:t>
      </w:r>
      <w:r>
        <w:rPr>
          <w:rFonts w:ascii="仿宋_GB2312" w:hAnsi="宋体" w:eastAsia="仿宋_GB2312"/>
          <w:sz w:val="28"/>
          <w:szCs w:val="28"/>
        </w:rPr>
        <w:t>0.06</w:t>
      </w:r>
      <w:r>
        <w:rPr>
          <w:rFonts w:hint="eastAsia" w:ascii="仿宋_GB2312" w:hAnsi="宋体" w:eastAsia="仿宋_GB2312"/>
          <w:sz w:val="28"/>
          <w:szCs w:val="28"/>
        </w:rPr>
        <w:t>公顷、青乐村</w:t>
      </w:r>
      <w:r>
        <w:rPr>
          <w:rFonts w:ascii="仿宋_GB2312" w:hAnsi="宋体" w:eastAsia="仿宋_GB2312"/>
          <w:sz w:val="28"/>
          <w:szCs w:val="28"/>
        </w:rPr>
        <w:t>6.80</w:t>
      </w:r>
      <w:r>
        <w:rPr>
          <w:rFonts w:hint="eastAsia" w:ascii="仿宋_GB2312" w:hAnsi="宋体" w:eastAsia="仿宋_GB2312"/>
          <w:sz w:val="28"/>
          <w:szCs w:val="28"/>
        </w:rPr>
        <w:t>公顷、天池村</w:t>
      </w:r>
      <w:r>
        <w:rPr>
          <w:rFonts w:ascii="仿宋_GB2312" w:hAnsi="宋体" w:eastAsia="仿宋_GB2312"/>
          <w:sz w:val="28"/>
          <w:szCs w:val="28"/>
        </w:rPr>
        <w:t>10.76</w:t>
      </w:r>
      <w:r>
        <w:rPr>
          <w:rFonts w:hint="eastAsia" w:ascii="仿宋_GB2312" w:hAnsi="宋体" w:eastAsia="仿宋_GB2312"/>
          <w:sz w:val="28"/>
          <w:szCs w:val="28"/>
        </w:rPr>
        <w:t>公顷、马桑村</w:t>
      </w:r>
      <w:r>
        <w:rPr>
          <w:rFonts w:ascii="仿宋_GB2312" w:hAnsi="宋体" w:eastAsia="仿宋_GB2312"/>
          <w:sz w:val="28"/>
          <w:szCs w:val="28"/>
        </w:rPr>
        <w:t>12.00</w:t>
      </w:r>
      <w:r>
        <w:rPr>
          <w:rFonts w:hint="eastAsia" w:ascii="仿宋_GB2312" w:hAnsi="宋体" w:eastAsia="仿宋_GB2312"/>
          <w:sz w:val="28"/>
          <w:szCs w:val="28"/>
        </w:rPr>
        <w:t>公顷、荣丰村</w:t>
      </w:r>
      <w:r>
        <w:rPr>
          <w:rFonts w:ascii="仿宋_GB2312" w:hAnsi="宋体" w:eastAsia="仿宋_GB2312"/>
          <w:sz w:val="28"/>
          <w:szCs w:val="28"/>
        </w:rPr>
        <w:t>67.17</w:t>
      </w:r>
      <w:r>
        <w:rPr>
          <w:rFonts w:hint="eastAsia" w:ascii="仿宋_GB2312" w:hAnsi="宋体" w:eastAsia="仿宋_GB2312"/>
          <w:sz w:val="28"/>
          <w:szCs w:val="28"/>
        </w:rPr>
        <w:t>公顷、麦子坳村</w:t>
      </w:r>
      <w:r>
        <w:rPr>
          <w:rFonts w:ascii="仿宋_GB2312" w:hAnsi="宋体" w:eastAsia="仿宋_GB2312"/>
          <w:sz w:val="28"/>
          <w:szCs w:val="28"/>
        </w:rPr>
        <w:t>36.77</w:t>
      </w:r>
      <w:r>
        <w:rPr>
          <w:rFonts w:hint="eastAsia" w:ascii="仿宋_GB2312" w:hAnsi="宋体" w:eastAsia="仿宋_GB2312"/>
          <w:sz w:val="28"/>
          <w:szCs w:val="28"/>
        </w:rPr>
        <w:t>公顷、鸭口山村</w:t>
      </w:r>
      <w:r>
        <w:rPr>
          <w:rFonts w:ascii="仿宋_GB2312" w:hAnsi="宋体" w:eastAsia="仿宋_GB2312"/>
          <w:sz w:val="28"/>
          <w:szCs w:val="28"/>
        </w:rPr>
        <w:t>16.88</w:t>
      </w:r>
      <w:r>
        <w:rPr>
          <w:rFonts w:hint="eastAsia" w:ascii="仿宋_GB2312" w:hAnsi="宋体" w:eastAsia="仿宋_GB2312"/>
          <w:sz w:val="28"/>
          <w:szCs w:val="28"/>
        </w:rPr>
        <w:t>公顷、黄益塘村</w:t>
      </w:r>
      <w:r>
        <w:rPr>
          <w:rFonts w:ascii="仿宋_GB2312" w:hAnsi="宋体" w:eastAsia="仿宋_GB2312"/>
          <w:sz w:val="28"/>
          <w:szCs w:val="28"/>
        </w:rPr>
        <w:t>20.09</w:t>
      </w:r>
      <w:r>
        <w:rPr>
          <w:rFonts w:hint="eastAsia" w:ascii="仿宋_GB2312" w:hAnsi="宋体" w:eastAsia="仿宋_GB2312"/>
          <w:sz w:val="28"/>
          <w:szCs w:val="28"/>
        </w:rPr>
        <w:t>公顷、兴福村</w:t>
      </w:r>
      <w:r>
        <w:rPr>
          <w:rFonts w:ascii="仿宋_GB2312" w:hAnsi="宋体" w:eastAsia="仿宋_GB2312"/>
          <w:sz w:val="28"/>
          <w:szCs w:val="28"/>
        </w:rPr>
        <w:t>3.73</w:t>
      </w:r>
      <w:r>
        <w:rPr>
          <w:rFonts w:hint="eastAsia" w:ascii="仿宋_GB2312" w:hAnsi="宋体" w:eastAsia="仿宋_GB2312"/>
          <w:sz w:val="28"/>
          <w:szCs w:val="28"/>
        </w:rPr>
        <w:t>公顷、石子埂村</w:t>
      </w:r>
      <w:r>
        <w:rPr>
          <w:rFonts w:ascii="仿宋_GB2312" w:hAnsi="宋体" w:eastAsia="仿宋_GB2312"/>
          <w:sz w:val="28"/>
          <w:szCs w:val="28"/>
        </w:rPr>
        <w:t>2.38</w:t>
      </w:r>
      <w:r>
        <w:rPr>
          <w:rFonts w:hint="eastAsia" w:ascii="仿宋_GB2312" w:hAnsi="宋体" w:eastAsia="仿宋_GB2312"/>
          <w:sz w:val="28"/>
          <w:szCs w:val="28"/>
        </w:rPr>
        <w:t>公顷、新街口村</w:t>
      </w:r>
      <w:r>
        <w:rPr>
          <w:rFonts w:ascii="仿宋_GB2312" w:hAnsi="宋体" w:eastAsia="仿宋_GB2312"/>
          <w:sz w:val="28"/>
          <w:szCs w:val="28"/>
        </w:rPr>
        <w:t>1.54</w:t>
      </w:r>
      <w:r>
        <w:rPr>
          <w:rFonts w:hint="eastAsia" w:ascii="仿宋_GB2312" w:hAnsi="宋体" w:eastAsia="仿宋_GB2312"/>
          <w:sz w:val="28"/>
          <w:szCs w:val="28"/>
        </w:rPr>
        <w:t>公顷、大兴庙村</w:t>
      </w:r>
      <w:r>
        <w:rPr>
          <w:rFonts w:ascii="仿宋_GB2312" w:hAnsi="宋体" w:eastAsia="仿宋_GB2312"/>
          <w:sz w:val="28"/>
          <w:szCs w:val="28"/>
        </w:rPr>
        <w:t>23.79</w:t>
      </w:r>
      <w:r>
        <w:rPr>
          <w:rFonts w:hint="eastAsia" w:ascii="仿宋_GB2312" w:hAnsi="宋体" w:eastAsia="仿宋_GB2312"/>
          <w:sz w:val="28"/>
          <w:szCs w:val="28"/>
        </w:rPr>
        <w:t>公顷、徐坝村</w:t>
      </w:r>
      <w:r>
        <w:rPr>
          <w:rFonts w:ascii="仿宋_GB2312" w:hAnsi="宋体" w:eastAsia="仿宋_GB2312"/>
          <w:sz w:val="28"/>
          <w:szCs w:val="28"/>
        </w:rPr>
        <w:t>2.18</w:t>
      </w:r>
      <w:r>
        <w:rPr>
          <w:rFonts w:hint="eastAsia" w:ascii="仿宋_GB2312" w:hAnsi="宋体" w:eastAsia="仿宋_GB2312"/>
          <w:sz w:val="28"/>
          <w:szCs w:val="28"/>
        </w:rPr>
        <w:t>公顷、河桥村</w:t>
      </w:r>
      <w:r>
        <w:rPr>
          <w:rFonts w:ascii="仿宋_GB2312" w:hAnsi="宋体" w:eastAsia="仿宋_GB2312"/>
          <w:sz w:val="28"/>
          <w:szCs w:val="28"/>
        </w:rPr>
        <w:t>41.88</w:t>
      </w:r>
      <w:r>
        <w:rPr>
          <w:rFonts w:hint="eastAsia" w:ascii="仿宋_GB2312" w:hAnsi="宋体" w:eastAsia="仿宋_GB2312"/>
          <w:sz w:val="28"/>
          <w:szCs w:val="28"/>
        </w:rPr>
        <w:t>公顷、挖断山村</w:t>
      </w:r>
      <w:r>
        <w:rPr>
          <w:rFonts w:ascii="仿宋_GB2312" w:hAnsi="宋体" w:eastAsia="仿宋_GB2312"/>
          <w:sz w:val="28"/>
          <w:szCs w:val="28"/>
        </w:rPr>
        <w:t>6.02</w:t>
      </w:r>
      <w:r>
        <w:rPr>
          <w:rFonts w:hint="eastAsia" w:ascii="仿宋_GB2312" w:hAnsi="宋体" w:eastAsia="仿宋_GB2312"/>
          <w:sz w:val="28"/>
          <w:szCs w:val="28"/>
        </w:rPr>
        <w:t>公顷、许村</w:t>
      </w:r>
      <w:r>
        <w:rPr>
          <w:rFonts w:ascii="仿宋_GB2312" w:hAnsi="宋体" w:eastAsia="仿宋_GB2312"/>
          <w:sz w:val="28"/>
          <w:szCs w:val="28"/>
        </w:rPr>
        <w:t>0.87</w:t>
      </w:r>
      <w:r>
        <w:rPr>
          <w:rFonts w:hint="eastAsia" w:ascii="仿宋_GB2312" w:hAnsi="宋体" w:eastAsia="仿宋_GB2312"/>
          <w:sz w:val="28"/>
          <w:szCs w:val="28"/>
        </w:rPr>
        <w:t>公顷、尚村</w:t>
      </w:r>
      <w:r>
        <w:rPr>
          <w:rFonts w:ascii="仿宋_GB2312" w:hAnsi="宋体" w:eastAsia="仿宋_GB2312"/>
          <w:sz w:val="28"/>
          <w:szCs w:val="28"/>
        </w:rPr>
        <w:t>2.81</w:t>
      </w:r>
      <w:r>
        <w:rPr>
          <w:rFonts w:hint="eastAsia" w:ascii="仿宋_GB2312" w:hAnsi="宋体" w:eastAsia="仿宋_GB2312"/>
          <w:sz w:val="28"/>
          <w:szCs w:val="28"/>
        </w:rPr>
        <w:t>公顷、章庙村</w:t>
      </w:r>
      <w:r>
        <w:rPr>
          <w:rFonts w:ascii="仿宋_GB2312" w:hAnsi="宋体" w:eastAsia="仿宋_GB2312"/>
          <w:sz w:val="28"/>
          <w:szCs w:val="28"/>
        </w:rPr>
        <w:t>76.89</w:t>
      </w:r>
      <w:r>
        <w:rPr>
          <w:rFonts w:hint="eastAsia" w:ascii="仿宋_GB2312" w:hAnsi="宋体" w:eastAsia="仿宋_GB2312"/>
          <w:sz w:val="28"/>
          <w:szCs w:val="28"/>
        </w:rPr>
        <w:t>公顷、双龙庵村</w:t>
      </w:r>
      <w:r>
        <w:rPr>
          <w:rFonts w:ascii="仿宋_GB2312" w:hAnsi="宋体" w:eastAsia="仿宋_GB2312"/>
          <w:sz w:val="28"/>
          <w:szCs w:val="28"/>
        </w:rPr>
        <w:t>18.6</w:t>
      </w:r>
      <w:r>
        <w:rPr>
          <w:rFonts w:hint="eastAsia" w:ascii="仿宋_GB2312" w:hAnsi="宋体" w:eastAsia="仿宋_GB2312"/>
          <w:sz w:val="28"/>
          <w:szCs w:val="28"/>
        </w:rPr>
        <w:t>公顷、诸益村</w:t>
      </w:r>
      <w:r>
        <w:rPr>
          <w:rFonts w:ascii="仿宋_GB2312" w:hAnsi="宋体" w:eastAsia="仿宋_GB2312"/>
          <w:sz w:val="28"/>
          <w:szCs w:val="28"/>
        </w:rPr>
        <w:t>8.97</w:t>
      </w:r>
      <w:r>
        <w:rPr>
          <w:rFonts w:hint="eastAsia" w:ascii="仿宋_GB2312" w:hAnsi="宋体" w:eastAsia="仿宋_GB2312"/>
          <w:sz w:val="28"/>
          <w:szCs w:val="28"/>
        </w:rPr>
        <w:t>公顷、龙埂村</w:t>
      </w:r>
      <w:r>
        <w:rPr>
          <w:rFonts w:ascii="仿宋_GB2312" w:hAnsi="宋体" w:eastAsia="仿宋_GB2312"/>
          <w:sz w:val="28"/>
          <w:szCs w:val="28"/>
        </w:rPr>
        <w:t>5.94</w:t>
      </w:r>
      <w:r>
        <w:rPr>
          <w:rFonts w:hint="eastAsia" w:ascii="仿宋_GB2312" w:hAnsi="宋体" w:eastAsia="仿宋_GB2312"/>
          <w:sz w:val="28"/>
          <w:szCs w:val="28"/>
        </w:rPr>
        <w:t>公顷、双河村</w:t>
      </w:r>
      <w:r>
        <w:rPr>
          <w:rFonts w:ascii="仿宋_GB2312" w:hAnsi="宋体" w:eastAsia="仿宋_GB2312"/>
          <w:sz w:val="28"/>
          <w:szCs w:val="28"/>
        </w:rPr>
        <w:t>5.41</w:t>
      </w:r>
      <w:r>
        <w:rPr>
          <w:rFonts w:hint="eastAsia" w:ascii="仿宋_GB2312" w:hAnsi="宋体" w:eastAsia="仿宋_GB2312"/>
          <w:sz w:val="28"/>
          <w:szCs w:val="28"/>
        </w:rPr>
        <w:t>公顷、仙女井村</w:t>
      </w:r>
      <w:r>
        <w:rPr>
          <w:rFonts w:ascii="仿宋_GB2312" w:hAnsi="宋体" w:eastAsia="仿宋_GB2312"/>
          <w:sz w:val="28"/>
          <w:szCs w:val="28"/>
        </w:rPr>
        <w:t>15.29</w:t>
      </w:r>
      <w:r>
        <w:rPr>
          <w:rFonts w:hint="eastAsia" w:ascii="仿宋_GB2312" w:hAnsi="宋体" w:eastAsia="仿宋_GB2312"/>
          <w:sz w:val="28"/>
          <w:szCs w:val="28"/>
        </w:rPr>
        <w:t>公顷、神佛村</w:t>
      </w:r>
      <w:r>
        <w:rPr>
          <w:rFonts w:ascii="仿宋_GB2312" w:hAnsi="宋体" w:eastAsia="仿宋_GB2312"/>
          <w:sz w:val="28"/>
          <w:szCs w:val="28"/>
        </w:rPr>
        <w:t>33.57</w:t>
      </w:r>
      <w:r>
        <w:rPr>
          <w:rFonts w:hint="eastAsia" w:ascii="仿宋_GB2312" w:hAnsi="宋体" w:eastAsia="仿宋_GB2312"/>
          <w:sz w:val="28"/>
          <w:szCs w:val="28"/>
        </w:rPr>
        <w:t>公顷。</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（3）林地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全镇林地面积为734.66公顷，占农用地面积的17.89%；主要分布情况为青乐村</w:t>
      </w:r>
      <w:r>
        <w:rPr>
          <w:rFonts w:ascii="仿宋_GB2312" w:hAnsi="宋体" w:eastAsia="仿宋_GB2312"/>
          <w:sz w:val="28"/>
          <w:szCs w:val="28"/>
        </w:rPr>
        <w:t>13.44</w:t>
      </w:r>
      <w:r>
        <w:rPr>
          <w:rFonts w:hint="eastAsia" w:ascii="仿宋_GB2312" w:hAnsi="宋体" w:eastAsia="仿宋_GB2312"/>
          <w:sz w:val="28"/>
          <w:szCs w:val="28"/>
        </w:rPr>
        <w:t>公顷、天池村</w:t>
      </w:r>
      <w:r>
        <w:rPr>
          <w:rFonts w:ascii="仿宋_GB2312" w:hAnsi="宋体" w:eastAsia="仿宋_GB2312"/>
          <w:sz w:val="28"/>
          <w:szCs w:val="28"/>
        </w:rPr>
        <w:t>5.26</w:t>
      </w:r>
      <w:r>
        <w:rPr>
          <w:rFonts w:hint="eastAsia" w:ascii="仿宋_GB2312" w:hAnsi="宋体" w:eastAsia="仿宋_GB2312"/>
          <w:sz w:val="28"/>
          <w:szCs w:val="28"/>
        </w:rPr>
        <w:t>公顷、马桑村</w:t>
      </w:r>
      <w:r>
        <w:rPr>
          <w:rFonts w:ascii="仿宋_GB2312" w:hAnsi="宋体" w:eastAsia="仿宋_GB2312"/>
          <w:sz w:val="28"/>
          <w:szCs w:val="28"/>
        </w:rPr>
        <w:t>3.86</w:t>
      </w:r>
      <w:r>
        <w:rPr>
          <w:rFonts w:hint="eastAsia" w:ascii="仿宋_GB2312" w:hAnsi="宋体" w:eastAsia="仿宋_GB2312"/>
          <w:sz w:val="28"/>
          <w:szCs w:val="28"/>
        </w:rPr>
        <w:t>公顷、荣丰村</w:t>
      </w:r>
      <w:r>
        <w:rPr>
          <w:rFonts w:ascii="仿宋_GB2312" w:hAnsi="宋体" w:eastAsia="仿宋_GB2312"/>
          <w:sz w:val="28"/>
          <w:szCs w:val="28"/>
        </w:rPr>
        <w:t>42.56</w:t>
      </w:r>
      <w:r>
        <w:rPr>
          <w:rFonts w:hint="eastAsia" w:ascii="仿宋_GB2312" w:hAnsi="宋体" w:eastAsia="仿宋_GB2312"/>
          <w:sz w:val="28"/>
          <w:szCs w:val="28"/>
        </w:rPr>
        <w:t>公顷、麦子坳村</w:t>
      </w:r>
      <w:r>
        <w:rPr>
          <w:rFonts w:ascii="仿宋_GB2312" w:hAnsi="宋体" w:eastAsia="仿宋_GB2312"/>
          <w:sz w:val="28"/>
          <w:szCs w:val="28"/>
        </w:rPr>
        <w:t>87.45</w:t>
      </w:r>
      <w:r>
        <w:rPr>
          <w:rFonts w:hint="eastAsia" w:ascii="仿宋_GB2312" w:hAnsi="宋体" w:eastAsia="仿宋_GB2312"/>
          <w:sz w:val="28"/>
          <w:szCs w:val="28"/>
        </w:rPr>
        <w:t>公顷、鸭口山村</w:t>
      </w:r>
      <w:r>
        <w:rPr>
          <w:rFonts w:ascii="仿宋_GB2312" w:hAnsi="宋体" w:eastAsia="仿宋_GB2312"/>
          <w:sz w:val="28"/>
          <w:szCs w:val="28"/>
        </w:rPr>
        <w:t>93.41</w:t>
      </w:r>
      <w:r>
        <w:rPr>
          <w:rFonts w:hint="eastAsia" w:ascii="仿宋_GB2312" w:hAnsi="宋体" w:eastAsia="仿宋_GB2312"/>
          <w:sz w:val="28"/>
          <w:szCs w:val="28"/>
        </w:rPr>
        <w:t>公顷、黄益塘村</w:t>
      </w:r>
      <w:r>
        <w:rPr>
          <w:rFonts w:ascii="仿宋_GB2312" w:hAnsi="宋体" w:eastAsia="仿宋_GB2312"/>
          <w:sz w:val="28"/>
          <w:szCs w:val="28"/>
        </w:rPr>
        <w:t>62.25</w:t>
      </w:r>
      <w:r>
        <w:rPr>
          <w:rFonts w:hint="eastAsia" w:ascii="仿宋_GB2312" w:hAnsi="宋体" w:eastAsia="仿宋_GB2312"/>
          <w:sz w:val="28"/>
          <w:szCs w:val="28"/>
        </w:rPr>
        <w:t>公顷、兴福村</w:t>
      </w:r>
      <w:r>
        <w:rPr>
          <w:rFonts w:ascii="仿宋_GB2312" w:hAnsi="宋体" w:eastAsia="仿宋_GB2312"/>
          <w:sz w:val="28"/>
          <w:szCs w:val="28"/>
        </w:rPr>
        <w:t>6.85</w:t>
      </w:r>
      <w:r>
        <w:rPr>
          <w:rFonts w:hint="eastAsia" w:ascii="仿宋_GB2312" w:hAnsi="宋体" w:eastAsia="仿宋_GB2312"/>
          <w:sz w:val="28"/>
          <w:szCs w:val="28"/>
        </w:rPr>
        <w:t>公顷、石子埂村</w:t>
      </w:r>
      <w:r>
        <w:rPr>
          <w:rFonts w:ascii="仿宋_GB2312" w:hAnsi="宋体" w:eastAsia="仿宋_GB2312"/>
          <w:sz w:val="28"/>
          <w:szCs w:val="28"/>
        </w:rPr>
        <w:t>4.74</w:t>
      </w:r>
      <w:r>
        <w:rPr>
          <w:rFonts w:hint="eastAsia" w:ascii="仿宋_GB2312" w:hAnsi="宋体" w:eastAsia="仿宋_GB2312"/>
          <w:sz w:val="28"/>
          <w:szCs w:val="28"/>
        </w:rPr>
        <w:t>公顷、新街口村</w:t>
      </w:r>
      <w:r>
        <w:rPr>
          <w:rFonts w:ascii="仿宋_GB2312" w:hAnsi="宋体" w:eastAsia="仿宋_GB2312"/>
          <w:sz w:val="28"/>
          <w:szCs w:val="28"/>
        </w:rPr>
        <w:t>3.79</w:t>
      </w:r>
      <w:r>
        <w:rPr>
          <w:rFonts w:hint="eastAsia" w:ascii="仿宋_GB2312" w:hAnsi="宋体" w:eastAsia="仿宋_GB2312"/>
          <w:sz w:val="28"/>
          <w:szCs w:val="28"/>
        </w:rPr>
        <w:t>公顷、大兴庙村</w:t>
      </w:r>
      <w:r>
        <w:rPr>
          <w:rFonts w:ascii="仿宋_GB2312" w:hAnsi="宋体" w:eastAsia="仿宋_GB2312"/>
          <w:sz w:val="28"/>
          <w:szCs w:val="28"/>
        </w:rPr>
        <w:t>6.73</w:t>
      </w:r>
      <w:r>
        <w:rPr>
          <w:rFonts w:hint="eastAsia" w:ascii="仿宋_GB2312" w:hAnsi="宋体" w:eastAsia="仿宋_GB2312"/>
          <w:sz w:val="28"/>
          <w:szCs w:val="28"/>
        </w:rPr>
        <w:t>公顷、徐坝村</w:t>
      </w:r>
      <w:r>
        <w:rPr>
          <w:rFonts w:ascii="仿宋_GB2312" w:hAnsi="宋体" w:eastAsia="仿宋_GB2312"/>
          <w:sz w:val="28"/>
          <w:szCs w:val="28"/>
        </w:rPr>
        <w:t>1.38</w:t>
      </w:r>
      <w:r>
        <w:rPr>
          <w:rFonts w:hint="eastAsia" w:ascii="仿宋_GB2312" w:hAnsi="宋体" w:eastAsia="仿宋_GB2312"/>
          <w:sz w:val="28"/>
          <w:szCs w:val="28"/>
        </w:rPr>
        <w:t>公顷、河桥村</w:t>
      </w:r>
      <w:r>
        <w:rPr>
          <w:rFonts w:ascii="仿宋_GB2312" w:hAnsi="宋体" w:eastAsia="仿宋_GB2312"/>
          <w:sz w:val="28"/>
          <w:szCs w:val="28"/>
        </w:rPr>
        <w:t>20.62</w:t>
      </w:r>
      <w:r>
        <w:rPr>
          <w:rFonts w:hint="eastAsia" w:ascii="仿宋_GB2312" w:hAnsi="宋体" w:eastAsia="仿宋_GB2312"/>
          <w:sz w:val="28"/>
          <w:szCs w:val="28"/>
        </w:rPr>
        <w:t>公顷、挖断山村</w:t>
      </w:r>
      <w:r>
        <w:rPr>
          <w:rFonts w:ascii="仿宋_GB2312" w:hAnsi="宋体" w:eastAsia="仿宋_GB2312"/>
          <w:sz w:val="28"/>
          <w:szCs w:val="28"/>
        </w:rPr>
        <w:t>28.77</w:t>
      </w:r>
      <w:r>
        <w:rPr>
          <w:rFonts w:hint="eastAsia" w:ascii="仿宋_GB2312" w:hAnsi="宋体" w:eastAsia="仿宋_GB2312"/>
          <w:sz w:val="28"/>
          <w:szCs w:val="28"/>
        </w:rPr>
        <w:t>公顷、许村</w:t>
      </w:r>
      <w:r>
        <w:rPr>
          <w:rFonts w:ascii="仿宋_GB2312" w:hAnsi="宋体" w:eastAsia="仿宋_GB2312"/>
          <w:sz w:val="28"/>
          <w:szCs w:val="28"/>
        </w:rPr>
        <w:t>22.56</w:t>
      </w:r>
      <w:r>
        <w:rPr>
          <w:rFonts w:hint="eastAsia" w:ascii="仿宋_GB2312" w:hAnsi="宋体" w:eastAsia="仿宋_GB2312"/>
          <w:sz w:val="28"/>
          <w:szCs w:val="28"/>
        </w:rPr>
        <w:t>公顷、尚村</w:t>
      </w:r>
      <w:r>
        <w:rPr>
          <w:rFonts w:ascii="仿宋_GB2312" w:hAnsi="宋体" w:eastAsia="仿宋_GB2312"/>
          <w:sz w:val="28"/>
          <w:szCs w:val="28"/>
        </w:rPr>
        <w:t>10.98</w:t>
      </w:r>
      <w:r>
        <w:rPr>
          <w:rFonts w:hint="eastAsia" w:ascii="仿宋_GB2312" w:hAnsi="宋体" w:eastAsia="仿宋_GB2312"/>
          <w:sz w:val="28"/>
          <w:szCs w:val="28"/>
        </w:rPr>
        <w:t>公顷、章庙村</w:t>
      </w:r>
      <w:r>
        <w:rPr>
          <w:rFonts w:ascii="仿宋_GB2312" w:hAnsi="宋体" w:eastAsia="仿宋_GB2312"/>
          <w:sz w:val="28"/>
          <w:szCs w:val="28"/>
        </w:rPr>
        <w:t>42.91</w:t>
      </w:r>
      <w:r>
        <w:rPr>
          <w:rFonts w:hint="eastAsia" w:ascii="仿宋_GB2312" w:hAnsi="宋体" w:eastAsia="仿宋_GB2312"/>
          <w:sz w:val="28"/>
          <w:szCs w:val="28"/>
        </w:rPr>
        <w:t>公顷、双龙庵村</w:t>
      </w:r>
      <w:r>
        <w:rPr>
          <w:rFonts w:ascii="仿宋_GB2312" w:hAnsi="宋体" w:eastAsia="仿宋_GB2312"/>
          <w:sz w:val="28"/>
          <w:szCs w:val="28"/>
        </w:rPr>
        <w:t>31.43</w:t>
      </w:r>
      <w:r>
        <w:rPr>
          <w:rFonts w:hint="eastAsia" w:ascii="仿宋_GB2312" w:hAnsi="宋体" w:eastAsia="仿宋_GB2312"/>
          <w:sz w:val="28"/>
          <w:szCs w:val="28"/>
        </w:rPr>
        <w:t>公顷、诸益村</w:t>
      </w:r>
      <w:r>
        <w:rPr>
          <w:rFonts w:ascii="仿宋_GB2312" w:hAnsi="宋体" w:eastAsia="仿宋_GB2312"/>
          <w:sz w:val="28"/>
          <w:szCs w:val="28"/>
        </w:rPr>
        <w:t>25.19</w:t>
      </w:r>
      <w:r>
        <w:rPr>
          <w:rFonts w:hint="eastAsia" w:ascii="仿宋_GB2312" w:hAnsi="宋体" w:eastAsia="仿宋_GB2312"/>
          <w:sz w:val="28"/>
          <w:szCs w:val="28"/>
        </w:rPr>
        <w:t>公顷、龙埂村</w:t>
      </w:r>
      <w:r>
        <w:rPr>
          <w:rFonts w:ascii="仿宋_GB2312" w:hAnsi="宋体" w:eastAsia="仿宋_GB2312"/>
          <w:sz w:val="28"/>
          <w:szCs w:val="28"/>
        </w:rPr>
        <w:t>19.86</w:t>
      </w:r>
      <w:r>
        <w:rPr>
          <w:rFonts w:hint="eastAsia" w:ascii="仿宋_GB2312" w:hAnsi="宋体" w:eastAsia="仿宋_GB2312"/>
          <w:sz w:val="28"/>
          <w:szCs w:val="28"/>
        </w:rPr>
        <w:t>公顷、双河村</w:t>
      </w:r>
      <w:r>
        <w:rPr>
          <w:rFonts w:ascii="仿宋_GB2312" w:hAnsi="宋体" w:eastAsia="仿宋_GB2312"/>
          <w:sz w:val="28"/>
          <w:szCs w:val="28"/>
        </w:rPr>
        <w:t>61.17</w:t>
      </w:r>
      <w:r>
        <w:rPr>
          <w:rFonts w:hint="eastAsia" w:ascii="仿宋_GB2312" w:hAnsi="宋体" w:eastAsia="仿宋_GB2312"/>
          <w:sz w:val="28"/>
          <w:szCs w:val="28"/>
        </w:rPr>
        <w:t>公顷、仙女井村</w:t>
      </w:r>
      <w:r>
        <w:rPr>
          <w:rFonts w:ascii="仿宋_GB2312" w:hAnsi="宋体" w:eastAsia="仿宋_GB2312"/>
          <w:sz w:val="28"/>
          <w:szCs w:val="28"/>
        </w:rPr>
        <w:t>79.96</w:t>
      </w:r>
      <w:r>
        <w:rPr>
          <w:rFonts w:hint="eastAsia" w:ascii="仿宋_GB2312" w:hAnsi="宋体" w:eastAsia="仿宋_GB2312"/>
          <w:sz w:val="28"/>
          <w:szCs w:val="28"/>
        </w:rPr>
        <w:t>公顷、神佛村</w:t>
      </w:r>
      <w:r>
        <w:rPr>
          <w:rFonts w:ascii="仿宋_GB2312" w:hAnsi="宋体" w:eastAsia="仿宋_GB2312"/>
          <w:sz w:val="28"/>
          <w:szCs w:val="28"/>
        </w:rPr>
        <w:t>59.49</w:t>
      </w:r>
      <w:r>
        <w:rPr>
          <w:rFonts w:hint="eastAsia" w:ascii="仿宋_GB2312" w:hAnsi="宋体" w:eastAsia="仿宋_GB2312"/>
          <w:sz w:val="28"/>
          <w:szCs w:val="28"/>
        </w:rPr>
        <w:t>公顷。</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（4）其他农用地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全镇其他农用地面积为435.22公顷，占农用地面积的10.6%；主要分布情况为冠英镇社区</w:t>
      </w:r>
      <w:r>
        <w:rPr>
          <w:rFonts w:ascii="仿宋_GB2312" w:hAnsi="宋体" w:eastAsia="仿宋_GB2312"/>
          <w:sz w:val="28"/>
          <w:szCs w:val="28"/>
        </w:rPr>
        <w:t>0.17</w:t>
      </w:r>
      <w:r>
        <w:rPr>
          <w:rFonts w:hint="eastAsia" w:ascii="仿宋_GB2312" w:hAnsi="宋体" w:eastAsia="仿宋_GB2312"/>
          <w:sz w:val="28"/>
          <w:szCs w:val="28"/>
        </w:rPr>
        <w:t>公顷、青乐村</w:t>
      </w:r>
      <w:r>
        <w:rPr>
          <w:rFonts w:ascii="仿宋_GB2312" w:hAnsi="宋体" w:eastAsia="仿宋_GB2312"/>
          <w:sz w:val="28"/>
          <w:szCs w:val="28"/>
        </w:rPr>
        <w:t>8.92</w:t>
      </w:r>
      <w:r>
        <w:rPr>
          <w:rFonts w:hint="eastAsia" w:ascii="仿宋_GB2312" w:hAnsi="宋体" w:eastAsia="仿宋_GB2312"/>
          <w:sz w:val="28"/>
          <w:szCs w:val="28"/>
        </w:rPr>
        <w:t>公顷、天池村</w:t>
      </w:r>
      <w:r>
        <w:rPr>
          <w:rFonts w:ascii="仿宋_GB2312" w:hAnsi="宋体" w:eastAsia="仿宋_GB2312"/>
          <w:sz w:val="28"/>
          <w:szCs w:val="28"/>
        </w:rPr>
        <w:t>10.11</w:t>
      </w:r>
      <w:r>
        <w:rPr>
          <w:rFonts w:hint="eastAsia" w:ascii="仿宋_GB2312" w:hAnsi="宋体" w:eastAsia="仿宋_GB2312"/>
          <w:sz w:val="28"/>
          <w:szCs w:val="28"/>
        </w:rPr>
        <w:t>公顷、马桑村</w:t>
      </w:r>
      <w:r>
        <w:rPr>
          <w:rFonts w:ascii="仿宋_GB2312" w:hAnsi="宋体" w:eastAsia="仿宋_GB2312"/>
          <w:sz w:val="28"/>
          <w:szCs w:val="28"/>
        </w:rPr>
        <w:t>12.66</w:t>
      </w:r>
      <w:r>
        <w:rPr>
          <w:rFonts w:hint="eastAsia" w:ascii="仿宋_GB2312" w:hAnsi="宋体" w:eastAsia="仿宋_GB2312"/>
          <w:sz w:val="28"/>
          <w:szCs w:val="28"/>
        </w:rPr>
        <w:t>公顷、荣丰村</w:t>
      </w:r>
      <w:r>
        <w:rPr>
          <w:rFonts w:ascii="仿宋_GB2312" w:hAnsi="宋体" w:eastAsia="仿宋_GB2312"/>
          <w:sz w:val="28"/>
          <w:szCs w:val="28"/>
        </w:rPr>
        <w:t>27.06</w:t>
      </w:r>
      <w:r>
        <w:rPr>
          <w:rFonts w:hint="eastAsia" w:ascii="仿宋_GB2312" w:hAnsi="宋体" w:eastAsia="仿宋_GB2312"/>
          <w:sz w:val="28"/>
          <w:szCs w:val="28"/>
        </w:rPr>
        <w:t>公顷、麦子坳村</w:t>
      </w:r>
      <w:r>
        <w:rPr>
          <w:rFonts w:ascii="仿宋_GB2312" w:hAnsi="宋体" w:eastAsia="仿宋_GB2312"/>
          <w:sz w:val="28"/>
          <w:szCs w:val="28"/>
        </w:rPr>
        <w:t>25.55</w:t>
      </w:r>
      <w:r>
        <w:rPr>
          <w:rFonts w:hint="eastAsia" w:ascii="仿宋_GB2312" w:hAnsi="宋体" w:eastAsia="仿宋_GB2312"/>
          <w:sz w:val="28"/>
          <w:szCs w:val="28"/>
        </w:rPr>
        <w:t>公顷、鸭口山村</w:t>
      </w:r>
      <w:r>
        <w:rPr>
          <w:rFonts w:ascii="仿宋_GB2312" w:hAnsi="宋体" w:eastAsia="仿宋_GB2312"/>
          <w:sz w:val="28"/>
          <w:szCs w:val="28"/>
        </w:rPr>
        <w:t>27.89</w:t>
      </w:r>
      <w:r>
        <w:rPr>
          <w:rFonts w:hint="eastAsia" w:ascii="仿宋_GB2312" w:hAnsi="宋体" w:eastAsia="仿宋_GB2312"/>
          <w:sz w:val="28"/>
          <w:szCs w:val="28"/>
        </w:rPr>
        <w:t>公顷、黄益塘村</w:t>
      </w:r>
      <w:r>
        <w:rPr>
          <w:rFonts w:ascii="仿宋_GB2312" w:hAnsi="宋体" w:eastAsia="仿宋_GB2312"/>
          <w:sz w:val="28"/>
          <w:szCs w:val="28"/>
        </w:rPr>
        <w:t>29.22</w:t>
      </w:r>
      <w:r>
        <w:rPr>
          <w:rFonts w:hint="eastAsia" w:ascii="仿宋_GB2312" w:hAnsi="宋体" w:eastAsia="仿宋_GB2312"/>
          <w:sz w:val="28"/>
          <w:szCs w:val="28"/>
        </w:rPr>
        <w:t>公顷、兴福村</w:t>
      </w:r>
      <w:r>
        <w:rPr>
          <w:rFonts w:ascii="仿宋_GB2312" w:hAnsi="宋体" w:eastAsia="仿宋_GB2312"/>
          <w:sz w:val="28"/>
          <w:szCs w:val="28"/>
        </w:rPr>
        <w:t>2.55</w:t>
      </w:r>
      <w:r>
        <w:rPr>
          <w:rFonts w:hint="eastAsia" w:ascii="仿宋_GB2312" w:hAnsi="宋体" w:eastAsia="仿宋_GB2312"/>
          <w:sz w:val="28"/>
          <w:szCs w:val="28"/>
        </w:rPr>
        <w:t>公顷、石子埂村</w:t>
      </w:r>
      <w:r>
        <w:rPr>
          <w:rFonts w:ascii="仿宋_GB2312" w:hAnsi="宋体" w:eastAsia="仿宋_GB2312"/>
          <w:sz w:val="28"/>
          <w:szCs w:val="28"/>
        </w:rPr>
        <w:t>8.70</w:t>
      </w:r>
      <w:r>
        <w:rPr>
          <w:rFonts w:hint="eastAsia" w:ascii="仿宋_GB2312" w:hAnsi="宋体" w:eastAsia="仿宋_GB2312"/>
          <w:sz w:val="28"/>
          <w:szCs w:val="28"/>
        </w:rPr>
        <w:t>公顷、新街口村</w:t>
      </w:r>
      <w:r>
        <w:rPr>
          <w:rFonts w:ascii="仿宋_GB2312" w:hAnsi="宋体" w:eastAsia="仿宋_GB2312"/>
          <w:sz w:val="28"/>
          <w:szCs w:val="28"/>
        </w:rPr>
        <w:t>2.38</w:t>
      </w:r>
      <w:r>
        <w:rPr>
          <w:rFonts w:hint="eastAsia" w:ascii="仿宋_GB2312" w:hAnsi="宋体" w:eastAsia="仿宋_GB2312"/>
          <w:sz w:val="28"/>
          <w:szCs w:val="28"/>
        </w:rPr>
        <w:t>公顷、大兴庙村</w:t>
      </w:r>
      <w:r>
        <w:rPr>
          <w:rFonts w:ascii="仿宋_GB2312" w:hAnsi="宋体" w:eastAsia="仿宋_GB2312"/>
          <w:sz w:val="28"/>
          <w:szCs w:val="28"/>
        </w:rPr>
        <w:t>18.28</w:t>
      </w:r>
      <w:r>
        <w:rPr>
          <w:rFonts w:hint="eastAsia" w:ascii="仿宋_GB2312" w:hAnsi="宋体" w:eastAsia="仿宋_GB2312"/>
          <w:sz w:val="28"/>
          <w:szCs w:val="28"/>
        </w:rPr>
        <w:t>公顷、徐坝村</w:t>
      </w:r>
      <w:r>
        <w:rPr>
          <w:rFonts w:ascii="仿宋_GB2312" w:hAnsi="宋体" w:eastAsia="仿宋_GB2312"/>
          <w:sz w:val="28"/>
          <w:szCs w:val="28"/>
        </w:rPr>
        <w:t>8.74</w:t>
      </w:r>
      <w:r>
        <w:rPr>
          <w:rFonts w:hint="eastAsia" w:ascii="仿宋_GB2312" w:hAnsi="宋体" w:eastAsia="仿宋_GB2312"/>
          <w:sz w:val="28"/>
          <w:szCs w:val="28"/>
        </w:rPr>
        <w:t>公顷、河桥村</w:t>
      </w:r>
      <w:r>
        <w:rPr>
          <w:rFonts w:ascii="仿宋_GB2312" w:hAnsi="宋体" w:eastAsia="仿宋_GB2312"/>
          <w:sz w:val="28"/>
          <w:szCs w:val="28"/>
        </w:rPr>
        <w:t>19.25</w:t>
      </w:r>
      <w:r>
        <w:rPr>
          <w:rFonts w:hint="eastAsia" w:ascii="仿宋_GB2312" w:hAnsi="宋体" w:eastAsia="仿宋_GB2312"/>
          <w:sz w:val="28"/>
          <w:szCs w:val="28"/>
        </w:rPr>
        <w:t>公顷、挖断山村</w:t>
      </w:r>
      <w:r>
        <w:rPr>
          <w:rFonts w:ascii="仿宋_GB2312" w:hAnsi="宋体" w:eastAsia="仿宋_GB2312"/>
          <w:sz w:val="28"/>
          <w:szCs w:val="28"/>
        </w:rPr>
        <w:t>18.43</w:t>
      </w:r>
      <w:r>
        <w:rPr>
          <w:rFonts w:hint="eastAsia" w:ascii="仿宋_GB2312" w:hAnsi="宋体" w:eastAsia="仿宋_GB2312"/>
          <w:sz w:val="28"/>
          <w:szCs w:val="28"/>
        </w:rPr>
        <w:t>公顷、许村</w:t>
      </w:r>
      <w:r>
        <w:rPr>
          <w:rFonts w:ascii="仿宋_GB2312" w:hAnsi="宋体" w:eastAsia="仿宋_GB2312"/>
          <w:sz w:val="28"/>
          <w:szCs w:val="28"/>
        </w:rPr>
        <w:t>6.29</w:t>
      </w:r>
      <w:r>
        <w:rPr>
          <w:rFonts w:hint="eastAsia" w:ascii="仿宋_GB2312" w:hAnsi="宋体" w:eastAsia="仿宋_GB2312"/>
          <w:sz w:val="28"/>
          <w:szCs w:val="28"/>
        </w:rPr>
        <w:t>公顷、尚村</w:t>
      </w:r>
      <w:r>
        <w:rPr>
          <w:rFonts w:ascii="仿宋_GB2312" w:hAnsi="宋体" w:eastAsia="仿宋_GB2312"/>
          <w:sz w:val="28"/>
          <w:szCs w:val="28"/>
        </w:rPr>
        <w:t>10.19</w:t>
      </w:r>
      <w:r>
        <w:rPr>
          <w:rFonts w:hint="eastAsia" w:ascii="仿宋_GB2312" w:hAnsi="宋体" w:eastAsia="仿宋_GB2312"/>
          <w:sz w:val="28"/>
          <w:szCs w:val="28"/>
        </w:rPr>
        <w:t>公顷、章庙村</w:t>
      </w:r>
      <w:r>
        <w:rPr>
          <w:rFonts w:ascii="仿宋_GB2312" w:hAnsi="宋体" w:eastAsia="仿宋_GB2312"/>
          <w:sz w:val="28"/>
          <w:szCs w:val="28"/>
        </w:rPr>
        <w:t>15.03</w:t>
      </w:r>
      <w:r>
        <w:rPr>
          <w:rFonts w:hint="eastAsia" w:ascii="仿宋_GB2312" w:hAnsi="宋体" w:eastAsia="仿宋_GB2312"/>
          <w:sz w:val="28"/>
          <w:szCs w:val="28"/>
        </w:rPr>
        <w:t>公顷、双龙庵村</w:t>
      </w:r>
      <w:r>
        <w:rPr>
          <w:rFonts w:ascii="仿宋_GB2312" w:hAnsi="宋体" w:eastAsia="仿宋_GB2312"/>
          <w:sz w:val="28"/>
          <w:szCs w:val="28"/>
        </w:rPr>
        <w:t>24.45</w:t>
      </w:r>
      <w:r>
        <w:rPr>
          <w:rFonts w:hint="eastAsia" w:ascii="仿宋_GB2312" w:hAnsi="宋体" w:eastAsia="仿宋_GB2312"/>
          <w:sz w:val="28"/>
          <w:szCs w:val="28"/>
        </w:rPr>
        <w:t>公顷、诸益村</w:t>
      </w:r>
      <w:r>
        <w:rPr>
          <w:rFonts w:ascii="仿宋_GB2312" w:hAnsi="宋体" w:eastAsia="仿宋_GB2312"/>
          <w:sz w:val="28"/>
          <w:szCs w:val="28"/>
        </w:rPr>
        <w:t>32.7</w:t>
      </w:r>
      <w:r>
        <w:rPr>
          <w:rFonts w:hint="eastAsia" w:ascii="仿宋_GB2312" w:hAnsi="宋体" w:eastAsia="仿宋_GB2312"/>
          <w:sz w:val="28"/>
          <w:szCs w:val="28"/>
        </w:rPr>
        <w:t>公顷、龙埂村</w:t>
      </w:r>
      <w:r>
        <w:rPr>
          <w:rFonts w:ascii="仿宋_GB2312" w:hAnsi="宋体" w:eastAsia="仿宋_GB2312"/>
          <w:sz w:val="28"/>
          <w:szCs w:val="28"/>
        </w:rPr>
        <w:t>18.09</w:t>
      </w:r>
      <w:r>
        <w:rPr>
          <w:rFonts w:hint="eastAsia" w:ascii="仿宋_GB2312" w:hAnsi="宋体" w:eastAsia="仿宋_GB2312"/>
          <w:sz w:val="28"/>
          <w:szCs w:val="28"/>
        </w:rPr>
        <w:t>公顷、双河村</w:t>
      </w:r>
      <w:r>
        <w:rPr>
          <w:rFonts w:ascii="仿宋_GB2312" w:hAnsi="宋体" w:eastAsia="仿宋_GB2312"/>
          <w:sz w:val="28"/>
          <w:szCs w:val="28"/>
        </w:rPr>
        <w:t>29.45</w:t>
      </w:r>
      <w:r>
        <w:rPr>
          <w:rFonts w:hint="eastAsia" w:ascii="仿宋_GB2312" w:hAnsi="宋体" w:eastAsia="仿宋_GB2312"/>
          <w:sz w:val="28"/>
          <w:szCs w:val="28"/>
        </w:rPr>
        <w:t>公顷、仙女井村</w:t>
      </w:r>
      <w:r>
        <w:rPr>
          <w:rFonts w:ascii="仿宋_GB2312" w:hAnsi="宋体" w:eastAsia="仿宋_GB2312"/>
          <w:sz w:val="28"/>
          <w:szCs w:val="28"/>
        </w:rPr>
        <w:t>44.82</w:t>
      </w:r>
      <w:r>
        <w:rPr>
          <w:rFonts w:hint="eastAsia" w:ascii="仿宋_GB2312" w:hAnsi="宋体" w:eastAsia="仿宋_GB2312"/>
          <w:sz w:val="28"/>
          <w:szCs w:val="28"/>
        </w:rPr>
        <w:t>公顷、神佛村</w:t>
      </w:r>
      <w:r>
        <w:rPr>
          <w:rFonts w:ascii="仿宋_GB2312" w:hAnsi="宋体" w:eastAsia="仿宋_GB2312"/>
          <w:sz w:val="28"/>
          <w:szCs w:val="28"/>
        </w:rPr>
        <w:t>34.29</w:t>
      </w:r>
      <w:r>
        <w:rPr>
          <w:rFonts w:hint="eastAsia" w:ascii="仿宋_GB2312" w:hAnsi="宋体" w:eastAsia="仿宋_GB2312"/>
          <w:sz w:val="28"/>
          <w:szCs w:val="28"/>
        </w:rPr>
        <w:t>公顷。</w:t>
      </w:r>
    </w:p>
    <w:p>
      <w:pPr>
        <w:pStyle w:val="4"/>
        <w:ind w:firstLine="562"/>
      </w:pPr>
      <w:r>
        <w:rPr>
          <w:rFonts w:hint="eastAsia"/>
        </w:rPr>
        <w:t>2．建设用地</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（1）城乡建设用地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全镇城乡建设用地面积为718.65公顷，占建设用地的72.81%；其中，城镇用地面积为</w:t>
      </w:r>
      <w:r>
        <w:rPr>
          <w:rFonts w:ascii="仿宋_GB2312" w:hAnsi="宋体" w:eastAsia="仿宋_GB2312"/>
          <w:sz w:val="28"/>
          <w:szCs w:val="28"/>
        </w:rPr>
        <w:t>212.62</w:t>
      </w:r>
      <w:r>
        <w:rPr>
          <w:rFonts w:hint="eastAsia" w:ascii="仿宋_GB2312" w:hAnsi="宋体" w:eastAsia="仿宋_GB2312"/>
          <w:sz w:val="28"/>
          <w:szCs w:val="28"/>
        </w:rPr>
        <w:t>公顷，占城乡建设用地的</w:t>
      </w:r>
      <w:r>
        <w:rPr>
          <w:rFonts w:ascii="仿宋_GB2312" w:hAnsi="宋体" w:eastAsia="仿宋_GB2312"/>
          <w:sz w:val="28"/>
          <w:szCs w:val="28"/>
        </w:rPr>
        <w:t>29.59%</w:t>
      </w:r>
      <w:r>
        <w:rPr>
          <w:rFonts w:hint="eastAsia" w:ascii="仿宋_GB2312" w:hAnsi="宋体" w:eastAsia="仿宋_GB2312"/>
          <w:sz w:val="28"/>
          <w:szCs w:val="28"/>
        </w:rPr>
        <w:t>；农村居民点用地面积为</w:t>
      </w:r>
      <w:r>
        <w:rPr>
          <w:rFonts w:ascii="仿宋_GB2312" w:hAnsi="宋体" w:eastAsia="仿宋_GB2312"/>
          <w:sz w:val="28"/>
          <w:szCs w:val="28"/>
        </w:rPr>
        <w:t>480.36</w:t>
      </w:r>
      <w:r>
        <w:rPr>
          <w:rFonts w:hint="eastAsia" w:ascii="仿宋_GB2312" w:hAnsi="宋体" w:eastAsia="仿宋_GB2312"/>
          <w:sz w:val="28"/>
          <w:szCs w:val="28"/>
        </w:rPr>
        <w:t>公顷，占城乡建设用地的</w:t>
      </w:r>
      <w:r>
        <w:rPr>
          <w:rFonts w:ascii="仿宋_GB2312" w:hAnsi="宋体" w:eastAsia="仿宋_GB2312"/>
          <w:sz w:val="28"/>
          <w:szCs w:val="28"/>
        </w:rPr>
        <w:t>66.84%</w:t>
      </w:r>
      <w:r>
        <w:rPr>
          <w:rFonts w:hint="eastAsia" w:ascii="仿宋_GB2312" w:hAnsi="宋体" w:eastAsia="仿宋_GB2312"/>
          <w:sz w:val="28"/>
          <w:szCs w:val="28"/>
        </w:rPr>
        <w:t>；采矿用地的面积为</w:t>
      </w:r>
      <w:r>
        <w:rPr>
          <w:rFonts w:ascii="仿宋_GB2312" w:hAnsi="宋体" w:eastAsia="仿宋_GB2312"/>
          <w:sz w:val="28"/>
          <w:szCs w:val="28"/>
        </w:rPr>
        <w:t>25.67</w:t>
      </w:r>
      <w:r>
        <w:rPr>
          <w:rFonts w:hint="eastAsia" w:ascii="仿宋_GB2312" w:hAnsi="宋体" w:eastAsia="仿宋_GB2312"/>
          <w:sz w:val="28"/>
          <w:szCs w:val="28"/>
        </w:rPr>
        <w:t>公顷，占城乡建设用地的</w:t>
      </w:r>
      <w:r>
        <w:rPr>
          <w:rFonts w:ascii="仿宋_GB2312" w:hAnsi="宋体" w:eastAsia="仿宋_GB2312"/>
          <w:sz w:val="28"/>
          <w:szCs w:val="28"/>
        </w:rPr>
        <w:t>3.57%</w:t>
      </w:r>
      <w:r>
        <w:rPr>
          <w:rFonts w:hint="eastAsia" w:ascii="仿宋_GB2312" w:hAnsi="宋体" w:eastAsia="仿宋_GB2312"/>
          <w:sz w:val="28"/>
          <w:szCs w:val="28"/>
        </w:rPr>
        <w:t>；其他独立建设用地面积为0</w:t>
      </w:r>
      <w:r>
        <w:rPr>
          <w:rFonts w:ascii="仿宋_GB2312" w:hAnsi="宋体" w:eastAsia="仿宋_GB2312"/>
          <w:sz w:val="28"/>
          <w:szCs w:val="28"/>
        </w:rPr>
        <w:t>.00</w:t>
      </w:r>
      <w:r>
        <w:rPr>
          <w:rFonts w:hint="eastAsia" w:ascii="仿宋_GB2312" w:hAnsi="宋体" w:eastAsia="仿宋_GB2312"/>
          <w:sz w:val="28"/>
          <w:szCs w:val="28"/>
        </w:rPr>
        <w:t>公顷，占城乡建设用地的</w:t>
      </w:r>
      <w:r>
        <w:rPr>
          <w:rFonts w:ascii="仿宋_GB2312" w:hAnsi="宋体" w:eastAsia="仿宋_GB2312"/>
          <w:sz w:val="28"/>
          <w:szCs w:val="28"/>
        </w:rPr>
        <w:t>0.00</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城镇用地分布情况为冠英镇社区</w:t>
      </w:r>
      <w:r>
        <w:rPr>
          <w:rFonts w:ascii="仿宋_GB2312" w:hAnsi="宋体" w:eastAsia="仿宋_GB2312"/>
          <w:sz w:val="28"/>
          <w:szCs w:val="28"/>
        </w:rPr>
        <w:t>45.29</w:t>
      </w:r>
      <w:r>
        <w:rPr>
          <w:rFonts w:hint="eastAsia" w:ascii="仿宋_GB2312" w:hAnsi="宋体" w:eastAsia="仿宋_GB2312"/>
          <w:sz w:val="28"/>
          <w:szCs w:val="28"/>
        </w:rPr>
        <w:t>公顷、天池村</w:t>
      </w:r>
      <w:r>
        <w:rPr>
          <w:rFonts w:ascii="仿宋_GB2312" w:hAnsi="宋体" w:eastAsia="仿宋_GB2312"/>
          <w:sz w:val="28"/>
          <w:szCs w:val="28"/>
        </w:rPr>
        <w:t>13.09</w:t>
      </w:r>
      <w:r>
        <w:rPr>
          <w:rFonts w:hint="eastAsia" w:ascii="仿宋_GB2312" w:hAnsi="宋体" w:eastAsia="仿宋_GB2312"/>
          <w:sz w:val="28"/>
          <w:szCs w:val="28"/>
        </w:rPr>
        <w:t>公顷、马桑村</w:t>
      </w:r>
      <w:r>
        <w:rPr>
          <w:rFonts w:ascii="仿宋_GB2312" w:hAnsi="宋体" w:eastAsia="仿宋_GB2312"/>
          <w:sz w:val="28"/>
          <w:szCs w:val="28"/>
        </w:rPr>
        <w:t>1.18</w:t>
      </w:r>
      <w:r>
        <w:rPr>
          <w:rFonts w:hint="eastAsia" w:ascii="仿宋_GB2312" w:hAnsi="宋体" w:eastAsia="仿宋_GB2312"/>
          <w:sz w:val="28"/>
          <w:szCs w:val="28"/>
        </w:rPr>
        <w:t>公顷、荣丰村</w:t>
      </w:r>
      <w:r>
        <w:rPr>
          <w:rFonts w:ascii="仿宋_GB2312" w:hAnsi="宋体" w:eastAsia="仿宋_GB2312"/>
          <w:sz w:val="28"/>
          <w:szCs w:val="28"/>
        </w:rPr>
        <w:t>42.32</w:t>
      </w:r>
      <w:r>
        <w:rPr>
          <w:rFonts w:hint="eastAsia" w:ascii="仿宋_GB2312" w:hAnsi="宋体" w:eastAsia="仿宋_GB2312"/>
          <w:sz w:val="28"/>
          <w:szCs w:val="28"/>
        </w:rPr>
        <w:t>公顷、黄益塘村</w:t>
      </w:r>
      <w:r>
        <w:rPr>
          <w:rFonts w:ascii="仿宋_GB2312" w:hAnsi="宋体" w:eastAsia="仿宋_GB2312"/>
          <w:sz w:val="28"/>
          <w:szCs w:val="28"/>
        </w:rPr>
        <w:t>0.13</w:t>
      </w:r>
      <w:r>
        <w:rPr>
          <w:rFonts w:hint="eastAsia" w:ascii="仿宋_GB2312" w:hAnsi="宋体" w:eastAsia="仿宋_GB2312"/>
          <w:sz w:val="28"/>
          <w:szCs w:val="28"/>
        </w:rPr>
        <w:t>公顷、兴福村</w:t>
      </w:r>
      <w:r>
        <w:rPr>
          <w:rFonts w:ascii="仿宋_GB2312" w:hAnsi="宋体" w:eastAsia="仿宋_GB2312"/>
          <w:sz w:val="28"/>
          <w:szCs w:val="28"/>
        </w:rPr>
        <w:t>32.24</w:t>
      </w:r>
      <w:r>
        <w:rPr>
          <w:rFonts w:hint="eastAsia" w:ascii="仿宋_GB2312" w:hAnsi="宋体" w:eastAsia="仿宋_GB2312"/>
          <w:sz w:val="28"/>
          <w:szCs w:val="28"/>
        </w:rPr>
        <w:t>公顷、石子埂村</w:t>
      </w:r>
      <w:r>
        <w:rPr>
          <w:rFonts w:ascii="仿宋_GB2312" w:hAnsi="宋体" w:eastAsia="仿宋_GB2312"/>
          <w:sz w:val="28"/>
          <w:szCs w:val="28"/>
        </w:rPr>
        <w:t>46.63</w:t>
      </w:r>
      <w:r>
        <w:rPr>
          <w:rFonts w:hint="eastAsia" w:ascii="仿宋_GB2312" w:hAnsi="宋体" w:eastAsia="仿宋_GB2312"/>
          <w:sz w:val="28"/>
          <w:szCs w:val="28"/>
        </w:rPr>
        <w:t>公顷、新街口村</w:t>
      </w:r>
      <w:r>
        <w:rPr>
          <w:rFonts w:ascii="仿宋_GB2312" w:hAnsi="宋体" w:eastAsia="仿宋_GB2312"/>
          <w:sz w:val="28"/>
          <w:szCs w:val="28"/>
        </w:rPr>
        <w:t>2.46</w:t>
      </w:r>
      <w:r>
        <w:rPr>
          <w:rFonts w:hint="eastAsia" w:ascii="仿宋_GB2312" w:hAnsi="宋体" w:eastAsia="仿宋_GB2312"/>
          <w:sz w:val="28"/>
          <w:szCs w:val="28"/>
        </w:rPr>
        <w:t>公顷、许村</w:t>
      </w:r>
      <w:r>
        <w:rPr>
          <w:rFonts w:ascii="仿宋_GB2312" w:hAnsi="宋体" w:eastAsia="仿宋_GB2312"/>
          <w:sz w:val="28"/>
          <w:szCs w:val="28"/>
        </w:rPr>
        <w:t>1.02</w:t>
      </w:r>
      <w:r>
        <w:rPr>
          <w:rFonts w:hint="eastAsia" w:ascii="仿宋_GB2312" w:hAnsi="宋体" w:eastAsia="仿宋_GB2312"/>
          <w:sz w:val="28"/>
          <w:szCs w:val="28"/>
        </w:rPr>
        <w:t>公顷、尚村</w:t>
      </w:r>
      <w:r>
        <w:rPr>
          <w:rFonts w:ascii="仿宋_GB2312" w:hAnsi="宋体" w:eastAsia="仿宋_GB2312"/>
          <w:sz w:val="28"/>
          <w:szCs w:val="28"/>
        </w:rPr>
        <w:t>28.26</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农村居民点用地分布情况为冠英镇社区</w:t>
      </w:r>
      <w:r>
        <w:rPr>
          <w:rFonts w:ascii="仿宋_GB2312" w:hAnsi="宋体" w:eastAsia="仿宋_GB2312"/>
          <w:sz w:val="28"/>
          <w:szCs w:val="28"/>
        </w:rPr>
        <w:t>0.05</w:t>
      </w:r>
      <w:r>
        <w:rPr>
          <w:rFonts w:hint="eastAsia" w:ascii="仿宋_GB2312" w:hAnsi="宋体" w:eastAsia="仿宋_GB2312"/>
          <w:sz w:val="28"/>
          <w:szCs w:val="28"/>
        </w:rPr>
        <w:t>公顷、青乐村</w:t>
      </w:r>
      <w:r>
        <w:rPr>
          <w:rFonts w:ascii="仿宋_GB2312" w:hAnsi="宋体" w:eastAsia="仿宋_GB2312"/>
          <w:sz w:val="28"/>
          <w:szCs w:val="28"/>
        </w:rPr>
        <w:t>15.45</w:t>
      </w:r>
      <w:r>
        <w:rPr>
          <w:rFonts w:hint="eastAsia" w:ascii="仿宋_GB2312" w:hAnsi="宋体" w:eastAsia="仿宋_GB2312"/>
          <w:sz w:val="28"/>
          <w:szCs w:val="28"/>
        </w:rPr>
        <w:t>公顷、天池村</w:t>
      </w:r>
      <w:r>
        <w:rPr>
          <w:rFonts w:ascii="仿宋_GB2312" w:hAnsi="宋体" w:eastAsia="仿宋_GB2312"/>
          <w:sz w:val="28"/>
          <w:szCs w:val="28"/>
        </w:rPr>
        <w:t>27.53</w:t>
      </w:r>
      <w:r>
        <w:rPr>
          <w:rFonts w:hint="eastAsia" w:ascii="仿宋_GB2312" w:hAnsi="宋体" w:eastAsia="仿宋_GB2312"/>
          <w:sz w:val="28"/>
          <w:szCs w:val="28"/>
        </w:rPr>
        <w:t>公顷、马桑村</w:t>
      </w:r>
      <w:r>
        <w:rPr>
          <w:rFonts w:ascii="仿宋_GB2312" w:hAnsi="宋体" w:eastAsia="仿宋_GB2312"/>
          <w:sz w:val="28"/>
          <w:szCs w:val="28"/>
        </w:rPr>
        <w:t>27.13</w:t>
      </w:r>
      <w:r>
        <w:rPr>
          <w:rFonts w:hint="eastAsia" w:ascii="仿宋_GB2312" w:hAnsi="宋体" w:eastAsia="仿宋_GB2312"/>
          <w:sz w:val="28"/>
          <w:szCs w:val="28"/>
        </w:rPr>
        <w:t>公顷、荣丰村</w:t>
      </w:r>
      <w:r>
        <w:rPr>
          <w:rFonts w:ascii="仿宋_GB2312" w:hAnsi="宋体" w:eastAsia="仿宋_GB2312"/>
          <w:sz w:val="28"/>
          <w:szCs w:val="28"/>
        </w:rPr>
        <w:t>52.36</w:t>
      </w:r>
      <w:r>
        <w:rPr>
          <w:rFonts w:hint="eastAsia" w:ascii="仿宋_GB2312" w:hAnsi="宋体" w:eastAsia="仿宋_GB2312"/>
          <w:sz w:val="28"/>
          <w:szCs w:val="28"/>
        </w:rPr>
        <w:t>公顷、麦子坳村</w:t>
      </w:r>
      <w:r>
        <w:rPr>
          <w:rFonts w:ascii="仿宋_GB2312" w:hAnsi="宋体" w:eastAsia="仿宋_GB2312"/>
          <w:sz w:val="28"/>
          <w:szCs w:val="28"/>
        </w:rPr>
        <w:t>11.01</w:t>
      </w:r>
      <w:r>
        <w:rPr>
          <w:rFonts w:hint="eastAsia" w:ascii="仿宋_GB2312" w:hAnsi="宋体" w:eastAsia="仿宋_GB2312"/>
          <w:sz w:val="28"/>
          <w:szCs w:val="28"/>
        </w:rPr>
        <w:t>公顷、鸭口山村</w:t>
      </w:r>
      <w:r>
        <w:rPr>
          <w:rFonts w:ascii="仿宋_GB2312" w:hAnsi="宋体" w:eastAsia="仿宋_GB2312"/>
          <w:sz w:val="28"/>
          <w:szCs w:val="28"/>
        </w:rPr>
        <w:t>11.78</w:t>
      </w:r>
      <w:r>
        <w:rPr>
          <w:rFonts w:hint="eastAsia" w:ascii="仿宋_GB2312" w:hAnsi="宋体" w:eastAsia="仿宋_GB2312"/>
          <w:sz w:val="28"/>
          <w:szCs w:val="28"/>
        </w:rPr>
        <w:t>公顷、黄益塘村</w:t>
      </w:r>
      <w:r>
        <w:rPr>
          <w:rFonts w:ascii="仿宋_GB2312" w:hAnsi="宋体" w:eastAsia="仿宋_GB2312"/>
          <w:sz w:val="28"/>
          <w:szCs w:val="28"/>
        </w:rPr>
        <w:t>17.94</w:t>
      </w:r>
      <w:r>
        <w:rPr>
          <w:rFonts w:hint="eastAsia" w:ascii="仿宋_GB2312" w:hAnsi="宋体" w:eastAsia="仿宋_GB2312"/>
          <w:sz w:val="28"/>
          <w:szCs w:val="28"/>
        </w:rPr>
        <w:t>公顷、兴福村</w:t>
      </w:r>
      <w:r>
        <w:rPr>
          <w:rFonts w:ascii="仿宋_GB2312" w:hAnsi="宋体" w:eastAsia="仿宋_GB2312"/>
          <w:sz w:val="28"/>
          <w:szCs w:val="28"/>
        </w:rPr>
        <w:t>15.10</w:t>
      </w:r>
      <w:r>
        <w:rPr>
          <w:rFonts w:hint="eastAsia" w:ascii="仿宋_GB2312" w:hAnsi="宋体" w:eastAsia="仿宋_GB2312"/>
          <w:sz w:val="28"/>
          <w:szCs w:val="28"/>
        </w:rPr>
        <w:t>公顷、石子埂村</w:t>
      </w:r>
      <w:r>
        <w:rPr>
          <w:rFonts w:ascii="仿宋_GB2312" w:hAnsi="宋体" w:eastAsia="仿宋_GB2312"/>
          <w:sz w:val="28"/>
          <w:szCs w:val="28"/>
        </w:rPr>
        <w:t>32.80</w:t>
      </w:r>
      <w:r>
        <w:rPr>
          <w:rFonts w:hint="eastAsia" w:ascii="仿宋_GB2312" w:hAnsi="宋体" w:eastAsia="仿宋_GB2312"/>
          <w:sz w:val="28"/>
          <w:szCs w:val="28"/>
        </w:rPr>
        <w:t>公顷、新街口村</w:t>
      </w:r>
      <w:r>
        <w:rPr>
          <w:rFonts w:ascii="仿宋_GB2312" w:hAnsi="宋体" w:eastAsia="仿宋_GB2312"/>
          <w:sz w:val="28"/>
          <w:szCs w:val="28"/>
        </w:rPr>
        <w:t>9.08</w:t>
      </w:r>
      <w:r>
        <w:rPr>
          <w:rFonts w:hint="eastAsia" w:ascii="仿宋_GB2312" w:hAnsi="宋体" w:eastAsia="仿宋_GB2312"/>
          <w:sz w:val="28"/>
          <w:szCs w:val="28"/>
        </w:rPr>
        <w:t>公顷、大兴庙村</w:t>
      </w:r>
      <w:r>
        <w:rPr>
          <w:rFonts w:ascii="仿宋_GB2312" w:hAnsi="宋体" w:eastAsia="仿宋_GB2312"/>
          <w:sz w:val="28"/>
          <w:szCs w:val="28"/>
        </w:rPr>
        <w:t>20.55</w:t>
      </w:r>
      <w:r>
        <w:rPr>
          <w:rFonts w:hint="eastAsia" w:ascii="仿宋_GB2312" w:hAnsi="宋体" w:eastAsia="仿宋_GB2312"/>
          <w:sz w:val="28"/>
          <w:szCs w:val="28"/>
        </w:rPr>
        <w:t>公顷、徐坝村</w:t>
      </w:r>
      <w:r>
        <w:rPr>
          <w:rFonts w:ascii="仿宋_GB2312" w:hAnsi="宋体" w:eastAsia="仿宋_GB2312"/>
          <w:sz w:val="28"/>
          <w:szCs w:val="28"/>
        </w:rPr>
        <w:t>22.05</w:t>
      </w:r>
      <w:r>
        <w:rPr>
          <w:rFonts w:hint="eastAsia" w:ascii="仿宋_GB2312" w:hAnsi="宋体" w:eastAsia="仿宋_GB2312"/>
          <w:sz w:val="28"/>
          <w:szCs w:val="28"/>
        </w:rPr>
        <w:t>公顷、河桥村</w:t>
      </w:r>
      <w:r>
        <w:rPr>
          <w:rFonts w:ascii="仿宋_GB2312" w:hAnsi="宋体" w:eastAsia="仿宋_GB2312"/>
          <w:sz w:val="28"/>
          <w:szCs w:val="28"/>
        </w:rPr>
        <w:t>20.38</w:t>
      </w:r>
      <w:r>
        <w:rPr>
          <w:rFonts w:hint="eastAsia" w:ascii="仿宋_GB2312" w:hAnsi="宋体" w:eastAsia="仿宋_GB2312"/>
          <w:sz w:val="28"/>
          <w:szCs w:val="28"/>
        </w:rPr>
        <w:t>公顷、挖断山村</w:t>
      </w:r>
      <w:r>
        <w:rPr>
          <w:rFonts w:ascii="仿宋_GB2312" w:hAnsi="宋体" w:eastAsia="仿宋_GB2312"/>
          <w:sz w:val="28"/>
          <w:szCs w:val="28"/>
        </w:rPr>
        <w:t>22.61</w:t>
      </w:r>
      <w:r>
        <w:rPr>
          <w:rFonts w:hint="eastAsia" w:ascii="仿宋_GB2312" w:hAnsi="宋体" w:eastAsia="仿宋_GB2312"/>
          <w:sz w:val="28"/>
          <w:szCs w:val="28"/>
        </w:rPr>
        <w:t>公顷、许村</w:t>
      </w:r>
      <w:r>
        <w:rPr>
          <w:rFonts w:ascii="仿宋_GB2312" w:hAnsi="宋体" w:eastAsia="仿宋_GB2312"/>
          <w:sz w:val="28"/>
          <w:szCs w:val="28"/>
        </w:rPr>
        <w:t>23.01</w:t>
      </w:r>
      <w:r>
        <w:rPr>
          <w:rFonts w:hint="eastAsia" w:ascii="仿宋_GB2312" w:hAnsi="宋体" w:eastAsia="仿宋_GB2312"/>
          <w:sz w:val="28"/>
          <w:szCs w:val="28"/>
        </w:rPr>
        <w:t>公顷、尚村</w:t>
      </w:r>
      <w:r>
        <w:rPr>
          <w:rFonts w:ascii="仿宋_GB2312" w:hAnsi="宋体" w:eastAsia="仿宋_GB2312"/>
          <w:sz w:val="28"/>
          <w:szCs w:val="28"/>
        </w:rPr>
        <w:t>36.94</w:t>
      </w:r>
      <w:r>
        <w:rPr>
          <w:rFonts w:hint="eastAsia" w:ascii="仿宋_GB2312" w:hAnsi="宋体" w:eastAsia="仿宋_GB2312"/>
          <w:sz w:val="28"/>
          <w:szCs w:val="28"/>
        </w:rPr>
        <w:t>公顷、章庙村</w:t>
      </w:r>
      <w:r>
        <w:rPr>
          <w:rFonts w:ascii="仿宋_GB2312" w:hAnsi="宋体" w:eastAsia="仿宋_GB2312"/>
          <w:sz w:val="28"/>
          <w:szCs w:val="28"/>
        </w:rPr>
        <w:t>9.53</w:t>
      </w:r>
      <w:r>
        <w:rPr>
          <w:rFonts w:hint="eastAsia" w:ascii="仿宋_GB2312" w:hAnsi="宋体" w:eastAsia="仿宋_GB2312"/>
          <w:sz w:val="28"/>
          <w:szCs w:val="28"/>
        </w:rPr>
        <w:t>公顷、双龙庵村</w:t>
      </w:r>
      <w:r>
        <w:rPr>
          <w:rFonts w:ascii="仿宋_GB2312" w:hAnsi="宋体" w:eastAsia="仿宋_GB2312"/>
          <w:sz w:val="28"/>
          <w:szCs w:val="28"/>
        </w:rPr>
        <w:t>17.43</w:t>
      </w:r>
      <w:r>
        <w:rPr>
          <w:rFonts w:hint="eastAsia" w:ascii="仿宋_GB2312" w:hAnsi="宋体" w:eastAsia="仿宋_GB2312"/>
          <w:sz w:val="28"/>
          <w:szCs w:val="28"/>
        </w:rPr>
        <w:t>公顷、诸益村</w:t>
      </w:r>
      <w:r>
        <w:rPr>
          <w:rFonts w:ascii="仿宋_GB2312" w:hAnsi="宋体" w:eastAsia="仿宋_GB2312"/>
          <w:sz w:val="28"/>
          <w:szCs w:val="28"/>
        </w:rPr>
        <w:t>23.16</w:t>
      </w:r>
      <w:r>
        <w:rPr>
          <w:rFonts w:hint="eastAsia" w:ascii="仿宋_GB2312" w:hAnsi="宋体" w:eastAsia="仿宋_GB2312"/>
          <w:sz w:val="28"/>
          <w:szCs w:val="28"/>
        </w:rPr>
        <w:t>公顷、龙埂村</w:t>
      </w:r>
      <w:r>
        <w:rPr>
          <w:rFonts w:ascii="仿宋_GB2312" w:hAnsi="宋体" w:eastAsia="仿宋_GB2312"/>
          <w:sz w:val="28"/>
          <w:szCs w:val="28"/>
        </w:rPr>
        <w:t>15.54</w:t>
      </w:r>
      <w:r>
        <w:rPr>
          <w:rFonts w:hint="eastAsia" w:ascii="仿宋_GB2312" w:hAnsi="宋体" w:eastAsia="仿宋_GB2312"/>
          <w:sz w:val="28"/>
          <w:szCs w:val="28"/>
        </w:rPr>
        <w:t>公顷、双河村</w:t>
      </w:r>
      <w:r>
        <w:rPr>
          <w:rFonts w:ascii="仿宋_GB2312" w:hAnsi="宋体" w:eastAsia="仿宋_GB2312"/>
          <w:sz w:val="28"/>
          <w:szCs w:val="28"/>
        </w:rPr>
        <w:t>14.04</w:t>
      </w:r>
      <w:r>
        <w:rPr>
          <w:rFonts w:hint="eastAsia" w:ascii="仿宋_GB2312" w:hAnsi="宋体" w:eastAsia="仿宋_GB2312"/>
          <w:sz w:val="28"/>
          <w:szCs w:val="28"/>
        </w:rPr>
        <w:t>公顷、仙女井村</w:t>
      </w:r>
      <w:r>
        <w:rPr>
          <w:rFonts w:ascii="仿宋_GB2312" w:hAnsi="宋体" w:eastAsia="仿宋_GB2312"/>
          <w:sz w:val="28"/>
          <w:szCs w:val="28"/>
        </w:rPr>
        <w:t>19.68</w:t>
      </w:r>
      <w:r>
        <w:rPr>
          <w:rFonts w:hint="eastAsia" w:ascii="仿宋_GB2312" w:hAnsi="宋体" w:eastAsia="仿宋_GB2312"/>
          <w:sz w:val="28"/>
          <w:szCs w:val="28"/>
        </w:rPr>
        <w:t>公顷、神佛村</w:t>
      </w:r>
      <w:r>
        <w:rPr>
          <w:rFonts w:ascii="仿宋_GB2312" w:hAnsi="宋体" w:eastAsia="仿宋_GB2312"/>
          <w:sz w:val="28"/>
          <w:szCs w:val="28"/>
        </w:rPr>
        <w:t>15.21</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采矿用地分布情况为青乐村</w:t>
      </w:r>
      <w:r>
        <w:rPr>
          <w:rFonts w:ascii="仿宋_GB2312" w:hAnsi="宋体" w:eastAsia="仿宋_GB2312"/>
          <w:sz w:val="28"/>
          <w:szCs w:val="28"/>
        </w:rPr>
        <w:t>2.97</w:t>
      </w:r>
      <w:r>
        <w:rPr>
          <w:rFonts w:hint="eastAsia" w:ascii="仿宋_GB2312" w:hAnsi="宋体" w:eastAsia="仿宋_GB2312"/>
          <w:sz w:val="28"/>
          <w:szCs w:val="28"/>
        </w:rPr>
        <w:t>公顷、天池村</w:t>
      </w:r>
      <w:r>
        <w:rPr>
          <w:rFonts w:ascii="仿宋_GB2312" w:hAnsi="宋体" w:eastAsia="仿宋_GB2312"/>
          <w:sz w:val="28"/>
          <w:szCs w:val="28"/>
        </w:rPr>
        <w:t>2.39</w:t>
      </w:r>
      <w:r>
        <w:rPr>
          <w:rFonts w:hint="eastAsia" w:ascii="仿宋_GB2312" w:hAnsi="宋体" w:eastAsia="仿宋_GB2312"/>
          <w:sz w:val="28"/>
          <w:szCs w:val="28"/>
        </w:rPr>
        <w:t>公顷、马桑村</w:t>
      </w:r>
      <w:r>
        <w:rPr>
          <w:rFonts w:ascii="仿宋_GB2312" w:hAnsi="宋体" w:eastAsia="仿宋_GB2312"/>
          <w:sz w:val="28"/>
          <w:szCs w:val="28"/>
        </w:rPr>
        <w:t>0.73</w:t>
      </w:r>
      <w:r>
        <w:rPr>
          <w:rFonts w:hint="eastAsia" w:ascii="仿宋_GB2312" w:hAnsi="宋体" w:eastAsia="仿宋_GB2312"/>
          <w:sz w:val="28"/>
          <w:szCs w:val="28"/>
        </w:rPr>
        <w:t>公顷、荣丰村</w:t>
      </w:r>
      <w:r>
        <w:rPr>
          <w:rFonts w:ascii="仿宋_GB2312" w:hAnsi="宋体" w:eastAsia="仿宋_GB2312"/>
          <w:sz w:val="28"/>
          <w:szCs w:val="28"/>
        </w:rPr>
        <w:t>8.33</w:t>
      </w:r>
      <w:r>
        <w:rPr>
          <w:rFonts w:hint="eastAsia" w:ascii="仿宋_GB2312" w:hAnsi="宋体" w:eastAsia="仿宋_GB2312"/>
          <w:sz w:val="28"/>
          <w:szCs w:val="28"/>
        </w:rPr>
        <w:t>公顷、麦子坳村</w:t>
      </w:r>
      <w:r>
        <w:rPr>
          <w:rFonts w:ascii="仿宋_GB2312" w:hAnsi="宋体" w:eastAsia="仿宋_GB2312"/>
          <w:sz w:val="28"/>
          <w:szCs w:val="28"/>
        </w:rPr>
        <w:t>0.06</w:t>
      </w:r>
      <w:r>
        <w:rPr>
          <w:rFonts w:hint="eastAsia" w:ascii="仿宋_GB2312" w:hAnsi="宋体" w:eastAsia="仿宋_GB2312"/>
          <w:sz w:val="28"/>
          <w:szCs w:val="28"/>
        </w:rPr>
        <w:t>公顷、兴福村</w:t>
      </w:r>
      <w:r>
        <w:rPr>
          <w:rFonts w:ascii="仿宋_GB2312" w:hAnsi="宋体" w:eastAsia="仿宋_GB2312"/>
          <w:sz w:val="28"/>
          <w:szCs w:val="28"/>
        </w:rPr>
        <w:t>1.83</w:t>
      </w:r>
      <w:r>
        <w:rPr>
          <w:rFonts w:hint="eastAsia" w:ascii="仿宋_GB2312" w:hAnsi="宋体" w:eastAsia="仿宋_GB2312"/>
          <w:sz w:val="28"/>
          <w:szCs w:val="28"/>
        </w:rPr>
        <w:t>公顷、新街口村</w:t>
      </w:r>
      <w:r>
        <w:rPr>
          <w:rFonts w:ascii="仿宋_GB2312" w:hAnsi="宋体" w:eastAsia="仿宋_GB2312"/>
          <w:sz w:val="28"/>
          <w:szCs w:val="28"/>
        </w:rPr>
        <w:t>3.12</w:t>
      </w:r>
      <w:r>
        <w:rPr>
          <w:rFonts w:hint="eastAsia" w:ascii="仿宋_GB2312" w:hAnsi="宋体" w:eastAsia="仿宋_GB2312"/>
          <w:sz w:val="28"/>
          <w:szCs w:val="28"/>
        </w:rPr>
        <w:t>公顷、大兴庙村</w:t>
      </w:r>
      <w:r>
        <w:rPr>
          <w:rFonts w:ascii="仿宋_GB2312" w:hAnsi="宋体" w:eastAsia="仿宋_GB2312"/>
          <w:sz w:val="28"/>
          <w:szCs w:val="28"/>
        </w:rPr>
        <w:t>2.39</w:t>
      </w:r>
      <w:r>
        <w:rPr>
          <w:rFonts w:hint="eastAsia" w:ascii="仿宋_GB2312" w:hAnsi="宋体" w:eastAsia="仿宋_GB2312"/>
          <w:sz w:val="28"/>
          <w:szCs w:val="28"/>
        </w:rPr>
        <w:t>公顷、河桥村</w:t>
      </w:r>
      <w:r>
        <w:rPr>
          <w:rFonts w:ascii="仿宋_GB2312" w:hAnsi="宋体" w:eastAsia="仿宋_GB2312"/>
          <w:sz w:val="28"/>
          <w:szCs w:val="28"/>
        </w:rPr>
        <w:t>1.74</w:t>
      </w:r>
      <w:r>
        <w:rPr>
          <w:rFonts w:hint="eastAsia" w:ascii="仿宋_GB2312" w:hAnsi="宋体" w:eastAsia="仿宋_GB2312"/>
          <w:sz w:val="28"/>
          <w:szCs w:val="28"/>
        </w:rPr>
        <w:t>公顷、挖断山村</w:t>
      </w:r>
      <w:r>
        <w:rPr>
          <w:rFonts w:ascii="仿宋_GB2312" w:hAnsi="宋体" w:eastAsia="仿宋_GB2312"/>
          <w:sz w:val="28"/>
          <w:szCs w:val="28"/>
        </w:rPr>
        <w:t>1.14</w:t>
      </w:r>
      <w:r>
        <w:rPr>
          <w:rFonts w:hint="eastAsia" w:ascii="仿宋_GB2312" w:hAnsi="宋体" w:eastAsia="仿宋_GB2312"/>
          <w:sz w:val="28"/>
          <w:szCs w:val="28"/>
        </w:rPr>
        <w:t>公顷、许村</w:t>
      </w:r>
      <w:r>
        <w:rPr>
          <w:rFonts w:ascii="仿宋_GB2312" w:hAnsi="宋体" w:eastAsia="仿宋_GB2312"/>
          <w:sz w:val="28"/>
          <w:szCs w:val="28"/>
        </w:rPr>
        <w:t>0.97</w:t>
      </w:r>
      <w:r>
        <w:rPr>
          <w:rFonts w:hint="eastAsia" w:ascii="仿宋_GB2312" w:hAnsi="宋体" w:eastAsia="仿宋_GB2312"/>
          <w:sz w:val="28"/>
          <w:szCs w:val="28"/>
        </w:rPr>
        <w:t>公顷。</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（2）交通水利用地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全镇交通水利用地面积为268.38公顷，占建设用地的27.19%；主要分布情况为天池村</w:t>
      </w:r>
      <w:r>
        <w:rPr>
          <w:rFonts w:ascii="仿宋_GB2312" w:hAnsi="宋体" w:eastAsia="仿宋_GB2312"/>
          <w:sz w:val="28"/>
          <w:szCs w:val="28"/>
        </w:rPr>
        <w:t>1.57</w:t>
      </w:r>
      <w:r>
        <w:rPr>
          <w:rFonts w:hint="eastAsia" w:ascii="仿宋_GB2312" w:hAnsi="宋体" w:eastAsia="仿宋_GB2312"/>
          <w:sz w:val="28"/>
          <w:szCs w:val="28"/>
        </w:rPr>
        <w:t>公顷、马桑村</w:t>
      </w:r>
      <w:r>
        <w:rPr>
          <w:rFonts w:ascii="仿宋_GB2312" w:hAnsi="宋体" w:eastAsia="仿宋_GB2312"/>
          <w:sz w:val="28"/>
          <w:szCs w:val="28"/>
        </w:rPr>
        <w:t>44.29</w:t>
      </w:r>
      <w:r>
        <w:rPr>
          <w:rFonts w:hint="eastAsia" w:ascii="仿宋_GB2312" w:hAnsi="宋体" w:eastAsia="仿宋_GB2312"/>
          <w:sz w:val="28"/>
          <w:szCs w:val="28"/>
        </w:rPr>
        <w:t>公顷、荣丰村</w:t>
      </w:r>
      <w:r>
        <w:rPr>
          <w:rFonts w:ascii="仿宋_GB2312" w:hAnsi="宋体" w:eastAsia="仿宋_GB2312"/>
          <w:sz w:val="28"/>
          <w:szCs w:val="28"/>
        </w:rPr>
        <w:t>29.95</w:t>
      </w:r>
      <w:r>
        <w:rPr>
          <w:rFonts w:hint="eastAsia" w:ascii="仿宋_GB2312" w:hAnsi="宋体" w:eastAsia="仿宋_GB2312"/>
          <w:sz w:val="28"/>
          <w:szCs w:val="28"/>
        </w:rPr>
        <w:t>公顷、麦子坳村</w:t>
      </w:r>
      <w:r>
        <w:rPr>
          <w:rFonts w:ascii="仿宋_GB2312" w:hAnsi="宋体" w:eastAsia="仿宋_GB2312"/>
          <w:sz w:val="28"/>
          <w:szCs w:val="28"/>
        </w:rPr>
        <w:t>8.50</w:t>
      </w:r>
      <w:r>
        <w:rPr>
          <w:rFonts w:hint="eastAsia" w:ascii="仿宋_GB2312" w:hAnsi="宋体" w:eastAsia="仿宋_GB2312"/>
          <w:sz w:val="28"/>
          <w:szCs w:val="28"/>
        </w:rPr>
        <w:t>公顷、鸭口山村</w:t>
      </w:r>
      <w:r>
        <w:rPr>
          <w:rFonts w:ascii="仿宋_GB2312" w:hAnsi="宋体" w:eastAsia="仿宋_GB2312"/>
          <w:sz w:val="28"/>
          <w:szCs w:val="28"/>
        </w:rPr>
        <w:t>16.19</w:t>
      </w:r>
      <w:r>
        <w:rPr>
          <w:rFonts w:hint="eastAsia" w:ascii="仿宋_GB2312" w:hAnsi="宋体" w:eastAsia="仿宋_GB2312"/>
          <w:sz w:val="28"/>
          <w:szCs w:val="28"/>
        </w:rPr>
        <w:t>公顷、黄益塘村</w:t>
      </w:r>
      <w:r>
        <w:rPr>
          <w:rFonts w:ascii="仿宋_GB2312" w:hAnsi="宋体" w:eastAsia="仿宋_GB2312"/>
          <w:sz w:val="28"/>
          <w:szCs w:val="28"/>
        </w:rPr>
        <w:t>17.54</w:t>
      </w:r>
      <w:r>
        <w:rPr>
          <w:rFonts w:hint="eastAsia" w:ascii="仿宋_GB2312" w:hAnsi="宋体" w:eastAsia="仿宋_GB2312"/>
          <w:sz w:val="28"/>
          <w:szCs w:val="28"/>
        </w:rPr>
        <w:t>公顷、兴福村</w:t>
      </w:r>
      <w:r>
        <w:rPr>
          <w:rFonts w:ascii="仿宋_GB2312" w:hAnsi="宋体" w:eastAsia="仿宋_GB2312"/>
          <w:sz w:val="28"/>
          <w:szCs w:val="28"/>
        </w:rPr>
        <w:t>3.37</w:t>
      </w:r>
      <w:r>
        <w:rPr>
          <w:rFonts w:hint="eastAsia" w:ascii="仿宋_GB2312" w:hAnsi="宋体" w:eastAsia="仿宋_GB2312"/>
          <w:sz w:val="28"/>
          <w:szCs w:val="28"/>
        </w:rPr>
        <w:t>公顷、石子埂村</w:t>
      </w:r>
      <w:r>
        <w:rPr>
          <w:rFonts w:ascii="仿宋_GB2312" w:hAnsi="宋体" w:eastAsia="仿宋_GB2312"/>
          <w:sz w:val="28"/>
          <w:szCs w:val="28"/>
        </w:rPr>
        <w:t>36.16</w:t>
      </w:r>
      <w:r>
        <w:rPr>
          <w:rFonts w:hint="eastAsia" w:ascii="仿宋_GB2312" w:hAnsi="宋体" w:eastAsia="仿宋_GB2312"/>
          <w:sz w:val="28"/>
          <w:szCs w:val="28"/>
        </w:rPr>
        <w:t>公顷、新街口村</w:t>
      </w:r>
      <w:r>
        <w:rPr>
          <w:rFonts w:ascii="仿宋_GB2312" w:hAnsi="宋体" w:eastAsia="仿宋_GB2312"/>
          <w:sz w:val="28"/>
          <w:szCs w:val="28"/>
        </w:rPr>
        <w:t>7.03</w:t>
      </w:r>
      <w:r>
        <w:rPr>
          <w:rFonts w:hint="eastAsia" w:ascii="仿宋_GB2312" w:hAnsi="宋体" w:eastAsia="仿宋_GB2312"/>
          <w:sz w:val="28"/>
          <w:szCs w:val="28"/>
        </w:rPr>
        <w:t>公顷、大兴庙村</w:t>
      </w:r>
      <w:r>
        <w:rPr>
          <w:rFonts w:ascii="仿宋_GB2312" w:hAnsi="宋体" w:eastAsia="仿宋_GB2312"/>
          <w:sz w:val="28"/>
          <w:szCs w:val="28"/>
        </w:rPr>
        <w:t>17.81</w:t>
      </w:r>
      <w:r>
        <w:rPr>
          <w:rFonts w:hint="eastAsia" w:ascii="仿宋_GB2312" w:hAnsi="宋体" w:eastAsia="仿宋_GB2312"/>
          <w:sz w:val="28"/>
          <w:szCs w:val="28"/>
        </w:rPr>
        <w:t>公顷、徐坝村</w:t>
      </w:r>
      <w:r>
        <w:rPr>
          <w:rFonts w:ascii="仿宋_GB2312" w:hAnsi="宋体" w:eastAsia="仿宋_GB2312"/>
          <w:sz w:val="28"/>
          <w:szCs w:val="28"/>
        </w:rPr>
        <w:t>12.81</w:t>
      </w:r>
      <w:r>
        <w:rPr>
          <w:rFonts w:hint="eastAsia" w:ascii="仿宋_GB2312" w:hAnsi="宋体" w:eastAsia="仿宋_GB2312"/>
          <w:sz w:val="28"/>
          <w:szCs w:val="28"/>
        </w:rPr>
        <w:t>公顷、河桥村</w:t>
      </w:r>
      <w:r>
        <w:rPr>
          <w:rFonts w:ascii="仿宋_GB2312" w:hAnsi="宋体" w:eastAsia="仿宋_GB2312"/>
          <w:sz w:val="28"/>
          <w:szCs w:val="28"/>
        </w:rPr>
        <w:t>23.47</w:t>
      </w:r>
      <w:r>
        <w:rPr>
          <w:rFonts w:hint="eastAsia" w:ascii="仿宋_GB2312" w:hAnsi="宋体" w:eastAsia="仿宋_GB2312"/>
          <w:sz w:val="28"/>
          <w:szCs w:val="28"/>
        </w:rPr>
        <w:t>公顷、挖断山村</w:t>
      </w:r>
      <w:r>
        <w:rPr>
          <w:rFonts w:ascii="仿宋_GB2312" w:hAnsi="宋体" w:eastAsia="仿宋_GB2312"/>
          <w:sz w:val="28"/>
          <w:szCs w:val="28"/>
        </w:rPr>
        <w:t>10.57</w:t>
      </w:r>
      <w:r>
        <w:rPr>
          <w:rFonts w:hint="eastAsia" w:ascii="仿宋_GB2312" w:hAnsi="宋体" w:eastAsia="仿宋_GB2312"/>
          <w:sz w:val="28"/>
          <w:szCs w:val="28"/>
        </w:rPr>
        <w:t>公顷、许村</w:t>
      </w:r>
      <w:r>
        <w:rPr>
          <w:rFonts w:ascii="仿宋_GB2312" w:hAnsi="宋体" w:eastAsia="仿宋_GB2312"/>
          <w:sz w:val="28"/>
          <w:szCs w:val="28"/>
        </w:rPr>
        <w:t>1.33</w:t>
      </w:r>
      <w:r>
        <w:rPr>
          <w:rFonts w:hint="eastAsia" w:ascii="仿宋_GB2312" w:hAnsi="宋体" w:eastAsia="仿宋_GB2312"/>
          <w:sz w:val="28"/>
          <w:szCs w:val="28"/>
        </w:rPr>
        <w:t>公顷、尚村</w:t>
      </w:r>
      <w:r>
        <w:rPr>
          <w:rFonts w:ascii="仿宋_GB2312" w:hAnsi="宋体" w:eastAsia="仿宋_GB2312"/>
          <w:sz w:val="28"/>
          <w:szCs w:val="28"/>
        </w:rPr>
        <w:t>11.05</w:t>
      </w:r>
      <w:r>
        <w:rPr>
          <w:rFonts w:hint="eastAsia" w:ascii="仿宋_GB2312" w:hAnsi="宋体" w:eastAsia="仿宋_GB2312"/>
          <w:sz w:val="28"/>
          <w:szCs w:val="28"/>
        </w:rPr>
        <w:t>公顷、诸益村</w:t>
      </w:r>
      <w:r>
        <w:rPr>
          <w:rFonts w:ascii="仿宋_GB2312" w:hAnsi="宋体" w:eastAsia="仿宋_GB2312"/>
          <w:sz w:val="28"/>
          <w:szCs w:val="28"/>
        </w:rPr>
        <w:t>9.46</w:t>
      </w:r>
      <w:r>
        <w:rPr>
          <w:rFonts w:hint="eastAsia" w:ascii="仿宋_GB2312" w:hAnsi="宋体" w:eastAsia="仿宋_GB2312"/>
          <w:sz w:val="28"/>
          <w:szCs w:val="28"/>
        </w:rPr>
        <w:t>公顷、龙埂村</w:t>
      </w:r>
      <w:r>
        <w:rPr>
          <w:rFonts w:ascii="仿宋_GB2312" w:hAnsi="宋体" w:eastAsia="仿宋_GB2312"/>
          <w:sz w:val="28"/>
          <w:szCs w:val="28"/>
        </w:rPr>
        <w:t>3.67</w:t>
      </w:r>
      <w:r>
        <w:rPr>
          <w:rFonts w:hint="eastAsia" w:ascii="仿宋_GB2312" w:hAnsi="宋体" w:eastAsia="仿宋_GB2312"/>
          <w:sz w:val="28"/>
          <w:szCs w:val="28"/>
        </w:rPr>
        <w:t>公顷、双河村</w:t>
      </w:r>
      <w:r>
        <w:rPr>
          <w:rFonts w:ascii="仿宋_GB2312" w:hAnsi="宋体" w:eastAsia="仿宋_GB2312"/>
          <w:sz w:val="28"/>
          <w:szCs w:val="28"/>
        </w:rPr>
        <w:t>0.75</w:t>
      </w:r>
      <w:r>
        <w:rPr>
          <w:rFonts w:hint="eastAsia" w:ascii="仿宋_GB2312" w:hAnsi="宋体" w:eastAsia="仿宋_GB2312"/>
          <w:sz w:val="28"/>
          <w:szCs w:val="28"/>
        </w:rPr>
        <w:t>公顷、仙女井村</w:t>
      </w:r>
      <w:r>
        <w:rPr>
          <w:rFonts w:ascii="仿宋_GB2312" w:hAnsi="宋体" w:eastAsia="仿宋_GB2312"/>
          <w:sz w:val="28"/>
          <w:szCs w:val="28"/>
        </w:rPr>
        <w:t>1.01</w:t>
      </w:r>
      <w:r>
        <w:rPr>
          <w:rFonts w:hint="eastAsia" w:ascii="仿宋_GB2312" w:hAnsi="宋体" w:eastAsia="仿宋_GB2312"/>
          <w:sz w:val="28"/>
          <w:szCs w:val="28"/>
        </w:rPr>
        <w:t>公顷、神佛村</w:t>
      </w:r>
      <w:r>
        <w:rPr>
          <w:rFonts w:ascii="仿宋_GB2312" w:hAnsi="宋体" w:eastAsia="仿宋_GB2312"/>
          <w:sz w:val="28"/>
          <w:szCs w:val="28"/>
        </w:rPr>
        <w:t>11.85</w:t>
      </w:r>
      <w:r>
        <w:rPr>
          <w:rFonts w:hint="eastAsia" w:ascii="仿宋_GB2312" w:hAnsi="宋体" w:eastAsia="仿宋_GB2312"/>
          <w:sz w:val="28"/>
          <w:szCs w:val="28"/>
        </w:rPr>
        <w:t>公顷。</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（3）其他建设用地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其他建设用地面积为0.00公顷，占0.00%。</w:t>
      </w:r>
    </w:p>
    <w:p>
      <w:pPr>
        <w:pStyle w:val="4"/>
        <w:ind w:firstLine="562"/>
      </w:pPr>
      <w:r>
        <w:rPr>
          <w:rFonts w:hint="eastAsia"/>
        </w:rPr>
        <w:t>3．其他土地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其他土地中，水域面积为504.46公顷，占其他土地面积的97.99%；自然保留地面积10.34公顷，占2.01%。</w:t>
      </w:r>
    </w:p>
    <w:p>
      <w:pPr>
        <w:pStyle w:val="3"/>
      </w:pPr>
      <w:bookmarkStart w:id="4" w:name="_Toc486428841"/>
      <w:r>
        <w:rPr>
          <w:rFonts w:hint="eastAsia"/>
        </w:rPr>
        <w:t>（二）土地利用的特点</w:t>
      </w:r>
      <w:bookmarkEnd w:id="4"/>
    </w:p>
    <w:p>
      <w:pPr>
        <w:ind w:firstLine="560" w:firstLineChars="200"/>
        <w:rPr>
          <w:rFonts w:ascii="仿宋_GB2312" w:hAnsi="宋体" w:eastAsia="仿宋_GB2312"/>
          <w:sz w:val="28"/>
          <w:szCs w:val="28"/>
        </w:rPr>
      </w:pPr>
      <w:r>
        <w:rPr>
          <w:rFonts w:hint="eastAsia" w:ascii="仿宋_GB2312" w:hAnsi="宋体" w:eastAsia="仿宋_GB2312"/>
          <w:sz w:val="28"/>
          <w:szCs w:val="28"/>
        </w:rPr>
        <w:t>1 土地开发利用程度较高，后备土地资源有限</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w:t>
      </w:r>
      <w:r>
        <w:rPr>
          <w:rFonts w:ascii="仿宋_GB2312" w:hAnsi="宋体" w:eastAsia="仿宋_GB2312"/>
          <w:sz w:val="28"/>
          <w:szCs w:val="28"/>
        </w:rPr>
        <w:t>5607.56</w:t>
      </w:r>
      <w:r>
        <w:rPr>
          <w:rFonts w:hint="eastAsia" w:ascii="仿宋_GB2312" w:hAnsi="宋体" w:eastAsia="仿宋_GB2312"/>
          <w:sz w:val="28"/>
          <w:szCs w:val="28"/>
        </w:rPr>
        <w:t>公顷土地面积中，其他土地面积为</w:t>
      </w:r>
      <w:r>
        <w:rPr>
          <w:rFonts w:ascii="仿宋_GB2312" w:hAnsi="宋体" w:eastAsia="仿宋_GB2312"/>
          <w:sz w:val="28"/>
          <w:szCs w:val="28"/>
        </w:rPr>
        <w:t>514.8</w:t>
      </w:r>
      <w:r>
        <w:rPr>
          <w:rFonts w:hint="eastAsia" w:ascii="仿宋_GB2312" w:hAnsi="宋体" w:eastAsia="仿宋_GB2312"/>
          <w:sz w:val="28"/>
          <w:szCs w:val="28"/>
        </w:rPr>
        <w:t>公顷，仅占土地总面积的</w:t>
      </w:r>
      <w:r>
        <w:rPr>
          <w:rFonts w:ascii="仿宋_GB2312" w:hAnsi="宋体" w:eastAsia="仿宋_GB2312"/>
          <w:sz w:val="28"/>
          <w:szCs w:val="28"/>
        </w:rPr>
        <w:t>9.18%</w:t>
      </w:r>
      <w:r>
        <w:rPr>
          <w:rFonts w:hint="eastAsia" w:ascii="仿宋_GB2312" w:hAnsi="宋体" w:eastAsia="仿宋_GB2312"/>
          <w:sz w:val="28"/>
          <w:szCs w:val="28"/>
        </w:rPr>
        <w:t>，土地利用率达到9</w:t>
      </w:r>
      <w:r>
        <w:rPr>
          <w:rFonts w:ascii="仿宋_GB2312" w:hAnsi="宋体" w:eastAsia="仿宋_GB2312"/>
          <w:sz w:val="28"/>
          <w:szCs w:val="28"/>
        </w:rPr>
        <w:t>0</w:t>
      </w:r>
      <w:r>
        <w:rPr>
          <w:rFonts w:hint="eastAsia" w:ascii="仿宋_GB2312" w:hAnsi="宋体" w:eastAsia="仿宋_GB2312"/>
          <w:sz w:val="28"/>
          <w:szCs w:val="28"/>
        </w:rPr>
        <w:t>.</w:t>
      </w:r>
      <w:r>
        <w:rPr>
          <w:rFonts w:ascii="仿宋_GB2312" w:hAnsi="宋体" w:eastAsia="仿宋_GB2312"/>
          <w:sz w:val="28"/>
          <w:szCs w:val="28"/>
        </w:rPr>
        <w:t>82</w:t>
      </w:r>
      <w:r>
        <w:rPr>
          <w:rFonts w:hint="eastAsia" w:ascii="仿宋_GB2312" w:hAnsi="宋体" w:eastAsia="仿宋_GB2312"/>
          <w:sz w:val="28"/>
          <w:szCs w:val="28"/>
        </w:rPr>
        <w:t>%。在其他土地中，不能被开发利用的河流水面面积为</w:t>
      </w:r>
      <w:r>
        <w:rPr>
          <w:rFonts w:ascii="仿宋_GB2312" w:hAnsi="宋体" w:eastAsia="仿宋_GB2312"/>
          <w:sz w:val="28"/>
          <w:szCs w:val="28"/>
        </w:rPr>
        <w:t>374.04</w:t>
      </w:r>
      <w:r>
        <w:rPr>
          <w:rFonts w:hint="eastAsia" w:ascii="仿宋_GB2312" w:hAnsi="宋体" w:eastAsia="仿宋_GB2312"/>
          <w:sz w:val="28"/>
          <w:szCs w:val="28"/>
        </w:rPr>
        <w:t>公顷，占其他土地面积的比重为</w:t>
      </w:r>
      <w:r>
        <w:rPr>
          <w:rFonts w:ascii="仿宋_GB2312" w:hAnsi="宋体" w:eastAsia="仿宋_GB2312"/>
          <w:sz w:val="28"/>
          <w:szCs w:val="28"/>
        </w:rPr>
        <w:t>72.66%</w:t>
      </w:r>
      <w:r>
        <w:rPr>
          <w:rFonts w:hint="eastAsia" w:ascii="仿宋_GB2312" w:hAnsi="宋体" w:eastAsia="仿宋_GB2312"/>
          <w:sz w:val="28"/>
          <w:szCs w:val="28"/>
        </w:rPr>
        <w:t>；有条件作为后备土地资源的滩涂和自然保留地面积为</w:t>
      </w:r>
      <w:r>
        <w:rPr>
          <w:rFonts w:ascii="仿宋_GB2312" w:hAnsi="宋体" w:eastAsia="仿宋_GB2312"/>
          <w:sz w:val="28"/>
          <w:szCs w:val="28"/>
        </w:rPr>
        <w:t>140.76</w:t>
      </w:r>
      <w:r>
        <w:rPr>
          <w:rFonts w:hint="eastAsia" w:ascii="仿宋_GB2312" w:hAnsi="宋体" w:eastAsia="仿宋_GB2312"/>
          <w:sz w:val="28"/>
          <w:szCs w:val="28"/>
        </w:rPr>
        <w:t>公顷，占其他土地面积的比重仅为</w:t>
      </w:r>
      <w:r>
        <w:rPr>
          <w:rFonts w:ascii="仿宋_GB2312" w:hAnsi="宋体" w:eastAsia="仿宋_GB2312"/>
          <w:sz w:val="28"/>
          <w:szCs w:val="28"/>
        </w:rPr>
        <w:t>27.34</w:t>
      </w:r>
      <w:r>
        <w:rPr>
          <w:rFonts w:hint="eastAsia" w:ascii="仿宋_GB2312" w:hAnsi="宋体" w:eastAsia="仿宋_GB2312"/>
          <w:sz w:val="28"/>
          <w:szCs w:val="28"/>
        </w:rPr>
        <w:t>%，占全镇土地总面积的比重</w:t>
      </w:r>
      <w:r>
        <w:rPr>
          <w:rFonts w:ascii="仿宋_GB2312" w:hAnsi="宋体" w:eastAsia="仿宋_GB2312"/>
          <w:sz w:val="28"/>
          <w:szCs w:val="28"/>
        </w:rPr>
        <w:t>2.51</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2 土地以农用地为主，人均耕地面积与全镇平均水平持平</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2014年土地利用现状变更调查数据显示全镇农用地面积</w:t>
      </w:r>
      <w:r>
        <w:rPr>
          <w:rFonts w:ascii="仿宋_GB2312" w:hAnsi="宋体" w:eastAsia="仿宋_GB2312"/>
          <w:sz w:val="28"/>
          <w:szCs w:val="28"/>
        </w:rPr>
        <w:t>4105.73</w:t>
      </w:r>
      <w:r>
        <w:rPr>
          <w:rFonts w:hint="eastAsia" w:ascii="仿宋_GB2312" w:hAnsi="宋体" w:eastAsia="仿宋_GB2312"/>
          <w:sz w:val="28"/>
          <w:szCs w:val="28"/>
        </w:rPr>
        <w:t>公顷，占土地总面积的</w:t>
      </w:r>
      <w:r>
        <w:rPr>
          <w:rFonts w:ascii="仿宋_GB2312" w:hAnsi="宋体" w:eastAsia="仿宋_GB2312"/>
          <w:sz w:val="28"/>
          <w:szCs w:val="28"/>
        </w:rPr>
        <w:t>73.22%</w:t>
      </w:r>
      <w:r>
        <w:rPr>
          <w:rFonts w:hint="eastAsia" w:ascii="仿宋_GB2312" w:hAnsi="宋体" w:eastAsia="仿宋_GB2312"/>
          <w:sz w:val="28"/>
          <w:szCs w:val="28"/>
        </w:rPr>
        <w:t>，土地以农用地为主。农用地中耕地面积为</w:t>
      </w:r>
      <w:r>
        <w:rPr>
          <w:rFonts w:ascii="仿宋_GB2312" w:hAnsi="宋体" w:eastAsia="仿宋_GB2312"/>
          <w:sz w:val="28"/>
          <w:szCs w:val="28"/>
        </w:rPr>
        <w:t>2515.45</w:t>
      </w:r>
      <w:r>
        <w:rPr>
          <w:rFonts w:hint="eastAsia" w:ascii="仿宋_GB2312" w:hAnsi="宋体" w:eastAsia="仿宋_GB2312"/>
          <w:sz w:val="28"/>
          <w:szCs w:val="28"/>
        </w:rPr>
        <w:t>公顷，仅占农用地面积</w:t>
      </w:r>
      <w:r>
        <w:rPr>
          <w:rFonts w:ascii="仿宋_GB2312" w:hAnsi="宋体" w:eastAsia="仿宋_GB2312"/>
          <w:sz w:val="28"/>
          <w:szCs w:val="28"/>
        </w:rPr>
        <w:t>61.27%</w:t>
      </w:r>
      <w:r>
        <w:rPr>
          <w:rFonts w:hint="eastAsia" w:ascii="仿宋_GB2312" w:hAnsi="宋体" w:eastAsia="仿宋_GB2312"/>
          <w:sz w:val="28"/>
          <w:szCs w:val="28"/>
        </w:rPr>
        <w:t>，按照2014年全镇农业人口</w:t>
      </w:r>
      <w:r>
        <w:rPr>
          <w:rFonts w:ascii="仿宋_GB2312" w:hAnsi="宋体" w:eastAsia="仿宋_GB2312"/>
          <w:sz w:val="28"/>
          <w:szCs w:val="28"/>
        </w:rPr>
        <w:t>27717</w:t>
      </w:r>
      <w:r>
        <w:rPr>
          <w:rFonts w:hint="eastAsia" w:ascii="仿宋_GB2312" w:hAnsi="宋体" w:eastAsia="仿宋_GB2312"/>
          <w:sz w:val="28"/>
          <w:szCs w:val="28"/>
        </w:rPr>
        <w:t>人来计算，人均耕地面积仅为1.3</w:t>
      </w:r>
      <w:r>
        <w:rPr>
          <w:rFonts w:ascii="仿宋_GB2312" w:hAnsi="宋体" w:eastAsia="仿宋_GB2312"/>
          <w:sz w:val="28"/>
          <w:szCs w:val="28"/>
        </w:rPr>
        <w:t>6</w:t>
      </w:r>
      <w:r>
        <w:rPr>
          <w:rFonts w:hint="eastAsia" w:ascii="仿宋_GB2312" w:hAnsi="宋体" w:eastAsia="仿宋_GB2312"/>
          <w:sz w:val="28"/>
          <w:szCs w:val="28"/>
        </w:rPr>
        <w:t>亩，与全区人均耕地面积1</w:t>
      </w:r>
      <w:r>
        <w:rPr>
          <w:rFonts w:ascii="仿宋_GB2312" w:hAnsi="宋体" w:eastAsia="仿宋_GB2312"/>
          <w:sz w:val="28"/>
          <w:szCs w:val="28"/>
        </w:rPr>
        <w:t>.33</w:t>
      </w:r>
      <w:r>
        <w:rPr>
          <w:rFonts w:hint="eastAsia" w:ascii="仿宋_GB2312" w:hAnsi="宋体" w:eastAsia="仿宋_GB2312"/>
          <w:sz w:val="28"/>
          <w:szCs w:val="28"/>
        </w:rPr>
        <w:t>亩基本持平，远低于全市人均耕地面积1.74亩的平均水平。</w:t>
      </w:r>
    </w:p>
    <w:p>
      <w:pPr>
        <w:ind w:firstLine="560" w:firstLineChars="200"/>
        <w:rPr>
          <w:rFonts w:ascii="仿宋_GB2312" w:hAnsi="宋体" w:eastAsia="仿宋_GB2312"/>
          <w:sz w:val="28"/>
          <w:szCs w:val="28"/>
        </w:rPr>
      </w:pPr>
      <w:r>
        <w:rPr>
          <w:rFonts w:hint="eastAsia" w:ascii="仿宋_GB2312" w:hAnsi="宋体" w:eastAsia="仿宋_GB2312"/>
          <w:sz w:val="28"/>
          <w:szCs w:val="28"/>
        </w:rPr>
        <w:t>3 建设用地结构与人口结构不相适宜，农村居民点比重较高</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2014年土地利用现状变更调查数据显示全镇建设用地总面积为</w:t>
      </w:r>
      <w:r>
        <w:rPr>
          <w:rFonts w:ascii="仿宋_GB2312" w:hAnsi="宋体" w:eastAsia="仿宋_GB2312"/>
          <w:sz w:val="28"/>
          <w:szCs w:val="28"/>
        </w:rPr>
        <w:t>987.03</w:t>
      </w:r>
      <w:r>
        <w:rPr>
          <w:rFonts w:hint="eastAsia" w:ascii="仿宋_GB2312" w:hAnsi="宋体" w:eastAsia="仿宋_GB2312"/>
          <w:sz w:val="28"/>
          <w:szCs w:val="28"/>
        </w:rPr>
        <w:t>公顷，其中城镇用地的面积为</w:t>
      </w:r>
      <w:r>
        <w:rPr>
          <w:rFonts w:ascii="仿宋_GB2312" w:hAnsi="宋体" w:eastAsia="仿宋_GB2312"/>
          <w:sz w:val="28"/>
          <w:szCs w:val="28"/>
        </w:rPr>
        <w:t>212.62</w:t>
      </w:r>
      <w:r>
        <w:rPr>
          <w:rFonts w:hint="eastAsia" w:ascii="仿宋_GB2312" w:hAnsi="宋体" w:eastAsia="仿宋_GB2312"/>
          <w:sz w:val="28"/>
          <w:szCs w:val="28"/>
        </w:rPr>
        <w:t>公顷，占建设用地总面积的</w:t>
      </w:r>
      <w:r>
        <w:rPr>
          <w:rFonts w:ascii="仿宋_GB2312" w:hAnsi="宋体" w:eastAsia="仿宋_GB2312"/>
          <w:sz w:val="28"/>
          <w:szCs w:val="28"/>
        </w:rPr>
        <w:t>21.54</w:t>
      </w:r>
      <w:r>
        <w:rPr>
          <w:rFonts w:hint="eastAsia" w:ascii="仿宋_GB2312" w:hAnsi="宋体" w:eastAsia="仿宋_GB2312"/>
          <w:sz w:val="28"/>
          <w:szCs w:val="28"/>
        </w:rPr>
        <w:t>%，农村居民点用地的面积为</w:t>
      </w:r>
      <w:r>
        <w:rPr>
          <w:rFonts w:ascii="仿宋_GB2312" w:hAnsi="宋体" w:eastAsia="仿宋_GB2312"/>
          <w:sz w:val="28"/>
          <w:szCs w:val="28"/>
        </w:rPr>
        <w:t>480.36</w:t>
      </w:r>
      <w:r>
        <w:rPr>
          <w:rFonts w:hint="eastAsia" w:ascii="仿宋_GB2312" w:hAnsi="宋体" w:eastAsia="仿宋_GB2312"/>
          <w:sz w:val="28"/>
          <w:szCs w:val="28"/>
        </w:rPr>
        <w:t>公顷，占建设用地总面积的比重为</w:t>
      </w:r>
      <w:r>
        <w:rPr>
          <w:rFonts w:ascii="仿宋_GB2312" w:hAnsi="宋体" w:eastAsia="仿宋_GB2312"/>
          <w:sz w:val="28"/>
          <w:szCs w:val="28"/>
        </w:rPr>
        <w:t>48.67%</w:t>
      </w:r>
      <w:r>
        <w:rPr>
          <w:rFonts w:hint="eastAsia" w:ascii="仿宋_GB2312" w:hAnsi="宋体" w:eastAsia="仿宋_GB2312"/>
          <w:sz w:val="28"/>
          <w:szCs w:val="28"/>
        </w:rPr>
        <w:t>，农村居民点用地的面积为城镇用地面积的</w:t>
      </w:r>
      <w:r>
        <w:rPr>
          <w:rFonts w:ascii="仿宋_GB2312" w:hAnsi="宋体" w:eastAsia="仿宋_GB2312"/>
          <w:sz w:val="28"/>
          <w:szCs w:val="28"/>
        </w:rPr>
        <w:t>2</w:t>
      </w:r>
      <w:r>
        <w:rPr>
          <w:rFonts w:hint="eastAsia" w:ascii="仿宋_GB2312" w:hAnsi="宋体" w:eastAsia="仿宋_GB2312"/>
          <w:sz w:val="28"/>
          <w:szCs w:val="28"/>
        </w:rPr>
        <w:t>.</w:t>
      </w:r>
      <w:r>
        <w:rPr>
          <w:rFonts w:ascii="仿宋_GB2312" w:hAnsi="宋体" w:eastAsia="仿宋_GB2312"/>
          <w:sz w:val="28"/>
          <w:szCs w:val="28"/>
        </w:rPr>
        <w:t>2</w:t>
      </w:r>
      <w:r>
        <w:rPr>
          <w:rFonts w:hint="eastAsia" w:ascii="仿宋_GB2312" w:hAnsi="宋体" w:eastAsia="仿宋_GB2312"/>
          <w:sz w:val="28"/>
          <w:szCs w:val="28"/>
        </w:rPr>
        <w:t>6倍；而从2014年全镇人口统计数据来看，全镇非农业人口为</w:t>
      </w:r>
      <w:bookmarkStart w:id="5" w:name="_Hlk486326614"/>
      <w:r>
        <w:rPr>
          <w:rFonts w:ascii="仿宋_GB2312" w:hAnsi="宋体" w:eastAsia="仿宋_GB2312"/>
          <w:sz w:val="28"/>
          <w:szCs w:val="28"/>
        </w:rPr>
        <w:t>11904</w:t>
      </w:r>
      <w:bookmarkEnd w:id="5"/>
      <w:r>
        <w:rPr>
          <w:rFonts w:hint="eastAsia" w:ascii="仿宋_GB2312" w:hAnsi="宋体" w:eastAsia="仿宋_GB2312"/>
          <w:sz w:val="28"/>
          <w:szCs w:val="28"/>
        </w:rPr>
        <w:t>人，占全镇总人口的比例为</w:t>
      </w:r>
      <w:r>
        <w:rPr>
          <w:rFonts w:ascii="仿宋_GB2312" w:hAnsi="宋体" w:eastAsia="仿宋_GB2312"/>
          <w:sz w:val="28"/>
          <w:szCs w:val="28"/>
        </w:rPr>
        <w:t>30</w:t>
      </w:r>
      <w:r>
        <w:rPr>
          <w:rFonts w:hint="eastAsia" w:ascii="仿宋_GB2312" w:hAnsi="宋体" w:eastAsia="仿宋_GB2312"/>
          <w:sz w:val="28"/>
          <w:szCs w:val="28"/>
        </w:rPr>
        <w:t>.</w:t>
      </w:r>
      <w:r>
        <w:rPr>
          <w:rFonts w:ascii="仿宋_GB2312" w:hAnsi="宋体" w:eastAsia="仿宋_GB2312"/>
          <w:sz w:val="28"/>
          <w:szCs w:val="28"/>
        </w:rPr>
        <w:t>0</w:t>
      </w:r>
      <w:r>
        <w:rPr>
          <w:rFonts w:hint="eastAsia" w:ascii="仿宋_GB2312" w:hAnsi="宋体" w:eastAsia="仿宋_GB2312"/>
          <w:sz w:val="28"/>
          <w:szCs w:val="28"/>
        </w:rPr>
        <w:t>4%；农业人口为</w:t>
      </w:r>
      <w:r>
        <w:rPr>
          <w:rFonts w:ascii="仿宋_GB2312" w:hAnsi="宋体" w:eastAsia="仿宋_GB2312"/>
          <w:sz w:val="28"/>
          <w:szCs w:val="28"/>
        </w:rPr>
        <w:t>27717</w:t>
      </w:r>
      <w:r>
        <w:rPr>
          <w:rFonts w:hint="eastAsia" w:ascii="仿宋_GB2312" w:hAnsi="宋体" w:eastAsia="仿宋_GB2312"/>
          <w:sz w:val="28"/>
          <w:szCs w:val="28"/>
        </w:rPr>
        <w:t>人占全镇总人口的比例为</w:t>
      </w:r>
      <w:r>
        <w:rPr>
          <w:rFonts w:ascii="仿宋_GB2312" w:hAnsi="宋体" w:eastAsia="仿宋_GB2312"/>
          <w:sz w:val="28"/>
          <w:szCs w:val="28"/>
        </w:rPr>
        <w:t>69</w:t>
      </w:r>
      <w:r>
        <w:rPr>
          <w:rFonts w:hint="eastAsia" w:ascii="仿宋_GB2312" w:hAnsi="宋体" w:eastAsia="仿宋_GB2312"/>
          <w:sz w:val="28"/>
          <w:szCs w:val="28"/>
        </w:rPr>
        <w:t>.</w:t>
      </w:r>
      <w:r>
        <w:rPr>
          <w:rFonts w:ascii="仿宋_GB2312" w:hAnsi="宋体" w:eastAsia="仿宋_GB2312"/>
          <w:sz w:val="28"/>
          <w:szCs w:val="28"/>
        </w:rPr>
        <w:t>95</w:t>
      </w:r>
      <w:r>
        <w:rPr>
          <w:rFonts w:hint="eastAsia" w:ascii="仿宋_GB2312" w:hAnsi="宋体" w:eastAsia="仿宋_GB2312"/>
          <w:sz w:val="28"/>
          <w:szCs w:val="28"/>
        </w:rPr>
        <w:t>%，农业人口的规模为城镇人口规模的</w:t>
      </w:r>
      <w:r>
        <w:rPr>
          <w:rFonts w:ascii="仿宋_GB2312" w:hAnsi="宋体" w:eastAsia="仿宋_GB2312"/>
          <w:sz w:val="28"/>
          <w:szCs w:val="28"/>
        </w:rPr>
        <w:t>2.33</w:t>
      </w:r>
      <w:r>
        <w:rPr>
          <w:rFonts w:hint="eastAsia" w:ascii="仿宋_GB2312" w:hAnsi="宋体" w:eastAsia="仿宋_GB2312"/>
          <w:sz w:val="28"/>
          <w:szCs w:val="28"/>
        </w:rPr>
        <w:t>倍。由此可以看出，在新型城镇化建设过程中，冠英镇农村建设用地并没有随着农村人口向城镇转移而逐渐减少，建设用地结构与人口结构不相适宜。</w:t>
      </w:r>
    </w:p>
    <w:p>
      <w:pPr>
        <w:pStyle w:val="3"/>
      </w:pPr>
      <w:bookmarkStart w:id="6" w:name="_Toc486428842"/>
      <w:r>
        <w:rPr>
          <w:rFonts w:hint="eastAsia"/>
        </w:rPr>
        <w:t>（三）土地利用中存在的问题</w:t>
      </w:r>
      <w:bookmarkEnd w:id="6"/>
    </w:p>
    <w:p>
      <w:pPr>
        <w:ind w:firstLine="560" w:firstLineChars="200"/>
        <w:rPr>
          <w:rFonts w:ascii="仿宋_GB2312" w:hAnsi="宋体" w:eastAsia="仿宋_GB2312"/>
          <w:sz w:val="28"/>
          <w:szCs w:val="28"/>
        </w:rPr>
      </w:pPr>
      <w:r>
        <w:rPr>
          <w:rFonts w:hint="eastAsia" w:ascii="仿宋_GB2312" w:hAnsi="宋体" w:eastAsia="仿宋_GB2312"/>
          <w:sz w:val="28"/>
          <w:szCs w:val="28"/>
        </w:rPr>
        <w:t>1 建设用地节约集约利用程度较低，农村建设用地表现尤为突出</w:t>
      </w:r>
    </w:p>
    <w:p>
      <w:pPr>
        <w:ind w:firstLine="560" w:firstLineChars="200"/>
        <w:rPr>
          <w:rFonts w:ascii="仿宋_GB2312" w:hAnsi="宋体" w:eastAsia="仿宋_GB2312"/>
          <w:sz w:val="28"/>
          <w:szCs w:val="28"/>
        </w:rPr>
      </w:pPr>
      <w:r>
        <w:rPr>
          <w:rFonts w:hint="eastAsia" w:ascii="仿宋_GB2312" w:hAnsi="宋体" w:eastAsia="仿宋_GB2312"/>
          <w:sz w:val="28"/>
          <w:szCs w:val="28"/>
        </w:rPr>
        <w:t>近些年来随着冠英镇社会经济的快速发展和城镇化水平的快速提高，特别是冠英新区的建设，全镇建设用地总量也出现了较为明显的增加。从现阶段冠英建设用地总体利用情况来看，较为突出的问题主要表现在节约集约利用程度较低，利用较为粗放。从城镇建设用地的利用情况来看，全镇2014年城镇工矿规模为</w:t>
      </w:r>
      <w:r>
        <w:rPr>
          <w:rFonts w:ascii="仿宋_GB2312" w:hAnsi="宋体" w:eastAsia="仿宋_GB2312"/>
          <w:sz w:val="28"/>
          <w:szCs w:val="28"/>
        </w:rPr>
        <w:t>238.29</w:t>
      </w:r>
      <w:r>
        <w:rPr>
          <w:rFonts w:hint="eastAsia" w:ascii="仿宋_GB2312" w:hAnsi="宋体" w:eastAsia="仿宋_GB2312"/>
          <w:sz w:val="28"/>
          <w:szCs w:val="28"/>
        </w:rPr>
        <w:t>公顷，同期非农业人口规模为</w:t>
      </w:r>
      <w:r>
        <w:rPr>
          <w:rFonts w:ascii="仿宋_GB2312" w:hAnsi="宋体" w:eastAsia="仿宋_GB2312"/>
          <w:sz w:val="28"/>
          <w:szCs w:val="28"/>
        </w:rPr>
        <w:t>11904</w:t>
      </w:r>
      <w:r>
        <w:rPr>
          <w:rFonts w:hint="eastAsia" w:ascii="仿宋_GB2312" w:hAnsi="宋体" w:eastAsia="仿宋_GB2312"/>
          <w:sz w:val="28"/>
          <w:szCs w:val="28"/>
        </w:rPr>
        <w:t>人，人均城镇用地规模为</w:t>
      </w:r>
      <w:r>
        <w:rPr>
          <w:rFonts w:ascii="仿宋_GB2312" w:hAnsi="宋体" w:eastAsia="仿宋_GB2312"/>
          <w:sz w:val="28"/>
          <w:szCs w:val="28"/>
        </w:rPr>
        <w:t>200.17</w:t>
      </w:r>
      <w:r>
        <w:rPr>
          <w:rFonts w:hint="eastAsia" w:ascii="仿宋_GB2312" w:hAnsi="宋体" w:eastAsia="仿宋_GB2312"/>
          <w:sz w:val="28"/>
          <w:szCs w:val="28"/>
        </w:rPr>
        <w:t>m2,远高于全区人均城镇工矿</w:t>
      </w:r>
      <w:r>
        <w:rPr>
          <w:rFonts w:ascii="仿宋_GB2312" w:hAnsi="宋体" w:eastAsia="仿宋_GB2312"/>
          <w:sz w:val="28"/>
          <w:szCs w:val="28"/>
        </w:rPr>
        <w:t>152.78m2</w:t>
      </w:r>
      <w:r>
        <w:rPr>
          <w:rFonts w:hint="eastAsia" w:ascii="仿宋_GB2312" w:hAnsi="宋体" w:eastAsia="仿宋_GB2312"/>
          <w:sz w:val="28"/>
          <w:szCs w:val="28"/>
        </w:rPr>
        <w:t>的平均指标；从农村建设用地利用情况来看，全镇2014年农村居民点用地规模为</w:t>
      </w:r>
      <w:r>
        <w:rPr>
          <w:rFonts w:ascii="仿宋_GB2312" w:hAnsi="宋体" w:eastAsia="仿宋_GB2312"/>
          <w:sz w:val="28"/>
          <w:szCs w:val="28"/>
        </w:rPr>
        <w:t>480.36</w:t>
      </w:r>
      <w:r>
        <w:rPr>
          <w:rFonts w:hint="eastAsia" w:ascii="仿宋_GB2312" w:hAnsi="宋体" w:eastAsia="仿宋_GB2312"/>
          <w:sz w:val="28"/>
          <w:szCs w:val="28"/>
        </w:rPr>
        <w:t>公顷，同期农业人口规模为</w:t>
      </w:r>
      <w:r>
        <w:rPr>
          <w:rFonts w:ascii="仿宋_GB2312" w:hAnsi="宋体" w:eastAsia="仿宋_GB2312"/>
          <w:sz w:val="28"/>
          <w:szCs w:val="28"/>
        </w:rPr>
        <w:t>27717</w:t>
      </w:r>
      <w:r>
        <w:rPr>
          <w:rFonts w:hint="eastAsia" w:ascii="仿宋_GB2312" w:hAnsi="宋体" w:eastAsia="仿宋_GB2312"/>
          <w:sz w:val="28"/>
          <w:szCs w:val="28"/>
        </w:rPr>
        <w:t>人，人均农村建设用地规模为17</w:t>
      </w:r>
      <w:r>
        <w:rPr>
          <w:rFonts w:ascii="仿宋_GB2312" w:hAnsi="宋体" w:eastAsia="仿宋_GB2312"/>
          <w:sz w:val="28"/>
          <w:szCs w:val="28"/>
        </w:rPr>
        <w:t>3.31</w:t>
      </w:r>
      <w:r>
        <w:rPr>
          <w:rFonts w:hint="eastAsia" w:ascii="仿宋_GB2312" w:hAnsi="宋体" w:eastAsia="仿宋_GB2312"/>
          <w:sz w:val="28"/>
          <w:szCs w:val="28"/>
        </w:rPr>
        <w:t>m2，远高于国家规定的人均宅基地规模，农村建设用地粗放利用的现象更为凸出。</w:t>
      </w:r>
    </w:p>
    <w:p>
      <w:pPr>
        <w:ind w:firstLine="560" w:firstLineChars="200"/>
        <w:rPr>
          <w:rFonts w:ascii="仿宋_GB2312" w:hAnsi="宋体" w:eastAsia="仿宋_GB2312"/>
          <w:sz w:val="28"/>
          <w:szCs w:val="28"/>
        </w:rPr>
      </w:pPr>
      <w:r>
        <w:rPr>
          <w:rFonts w:hint="eastAsia" w:ascii="仿宋_GB2312" w:hAnsi="宋体" w:eastAsia="仿宋_GB2312"/>
          <w:sz w:val="28"/>
          <w:szCs w:val="28"/>
        </w:rPr>
        <w:t>3 耕地保护压力较大，农业结构有待调整</w:t>
      </w:r>
    </w:p>
    <w:p>
      <w:pPr>
        <w:ind w:firstLine="560" w:firstLineChars="200"/>
        <w:rPr>
          <w:rFonts w:ascii="仿宋_GB2312" w:hAnsi="宋体" w:eastAsia="仿宋_GB2312"/>
          <w:sz w:val="28"/>
          <w:szCs w:val="28"/>
        </w:rPr>
      </w:pPr>
      <w:r>
        <w:rPr>
          <w:rFonts w:hint="eastAsia" w:ascii="仿宋_GB2312" w:hAnsi="宋体" w:eastAsia="仿宋_GB2312"/>
          <w:sz w:val="28"/>
          <w:szCs w:val="28"/>
        </w:rPr>
        <w:t>从2014年土地利用现状变更调查数据来看，全镇现有耕地面积为</w:t>
      </w:r>
      <w:r>
        <w:rPr>
          <w:rFonts w:ascii="仿宋_GB2312" w:hAnsi="宋体" w:eastAsia="仿宋_GB2312"/>
          <w:sz w:val="28"/>
          <w:szCs w:val="28"/>
        </w:rPr>
        <w:t>2515.45</w:t>
      </w:r>
      <w:r>
        <w:rPr>
          <w:rFonts w:hint="eastAsia" w:ascii="仿宋_GB2312" w:hAnsi="宋体" w:eastAsia="仿宋_GB2312"/>
          <w:sz w:val="28"/>
          <w:szCs w:val="28"/>
        </w:rPr>
        <w:t>公顷，占全镇农用地总面积的</w:t>
      </w:r>
      <w:r>
        <w:rPr>
          <w:rFonts w:ascii="仿宋_GB2312" w:hAnsi="宋体" w:eastAsia="仿宋_GB2312"/>
          <w:sz w:val="28"/>
          <w:szCs w:val="28"/>
        </w:rPr>
        <w:t>61.27</w:t>
      </w:r>
      <w:r>
        <w:rPr>
          <w:rFonts w:hint="eastAsia" w:ascii="仿宋_GB2312" w:hAnsi="宋体" w:eastAsia="仿宋_GB2312"/>
          <w:sz w:val="28"/>
          <w:szCs w:val="28"/>
        </w:rPr>
        <w:t>%，占全镇土地总面积的比重仅为</w:t>
      </w:r>
      <w:r>
        <w:rPr>
          <w:rFonts w:ascii="仿宋_GB2312" w:hAnsi="宋体" w:eastAsia="仿宋_GB2312"/>
          <w:sz w:val="28"/>
          <w:szCs w:val="28"/>
        </w:rPr>
        <w:t>44</w:t>
      </w:r>
      <w:r>
        <w:rPr>
          <w:rFonts w:hint="eastAsia" w:ascii="仿宋_GB2312" w:hAnsi="宋体" w:eastAsia="仿宋_GB2312"/>
          <w:sz w:val="28"/>
          <w:szCs w:val="28"/>
        </w:rPr>
        <w:t>.</w:t>
      </w:r>
      <w:r>
        <w:rPr>
          <w:rFonts w:ascii="仿宋_GB2312" w:hAnsi="宋体" w:eastAsia="仿宋_GB2312"/>
          <w:sz w:val="28"/>
          <w:szCs w:val="28"/>
        </w:rPr>
        <w:t>85</w:t>
      </w:r>
      <w:r>
        <w:rPr>
          <w:rFonts w:hint="eastAsia" w:ascii="仿宋_GB2312" w:hAnsi="宋体" w:eastAsia="仿宋_GB2312"/>
          <w:sz w:val="28"/>
          <w:szCs w:val="28"/>
        </w:rPr>
        <w:t>%。此次调整完善上级规划下达到冠英镇规划目标年的耕地保有任务量为</w:t>
      </w:r>
      <w:r>
        <w:rPr>
          <w:rFonts w:ascii="仿宋_GB2312" w:hAnsi="宋体" w:eastAsia="仿宋_GB2312"/>
          <w:sz w:val="28"/>
          <w:szCs w:val="28"/>
        </w:rPr>
        <w:t>2446.77</w:t>
      </w:r>
      <w:r>
        <w:rPr>
          <w:rFonts w:hint="eastAsia" w:ascii="仿宋_GB2312" w:hAnsi="宋体" w:eastAsia="仿宋_GB2312"/>
          <w:sz w:val="28"/>
          <w:szCs w:val="28"/>
        </w:rPr>
        <w:t>公顷，规划实施过程中各类基础设施和城镇建设预计需要占用耕地</w:t>
      </w:r>
      <w:r>
        <w:rPr>
          <w:rFonts w:ascii="仿宋_GB2312" w:hAnsi="宋体" w:eastAsia="仿宋_GB2312"/>
          <w:sz w:val="28"/>
          <w:szCs w:val="28"/>
        </w:rPr>
        <w:t>183.68</w:t>
      </w:r>
      <w:r>
        <w:rPr>
          <w:rFonts w:hint="eastAsia" w:ascii="仿宋_GB2312" w:hAnsi="宋体" w:eastAsia="仿宋_GB2312"/>
          <w:sz w:val="28"/>
          <w:szCs w:val="28"/>
        </w:rPr>
        <w:t>公顷，这样一来到规划期末全镇需要补充将近</w:t>
      </w:r>
      <w:r>
        <w:rPr>
          <w:rFonts w:ascii="仿宋_GB2312" w:hAnsi="宋体" w:eastAsia="仿宋_GB2312"/>
          <w:sz w:val="28"/>
          <w:szCs w:val="28"/>
        </w:rPr>
        <w:t>115</w:t>
      </w:r>
      <w:r>
        <w:rPr>
          <w:rFonts w:hint="eastAsia" w:ascii="仿宋_GB2312" w:hAnsi="宋体" w:eastAsia="仿宋_GB2312"/>
          <w:sz w:val="28"/>
          <w:szCs w:val="28"/>
        </w:rPr>
        <w:t>公顷的耕地。而全镇可供开发为耕地的后备土地资源基本可以忽略不计，要完成耕地保有任务量只有通过农业结构调整，通过农用地综合整治项目将其他农用地和园地中的可调整部分整理为耕地。总体来说，规划期间耕地保护压力较大，需要加快推进全镇农业结构优化调整。</w:t>
      </w:r>
    </w:p>
    <w:p>
      <w:pPr>
        <w:widowControl/>
        <w:jc w:val="left"/>
        <w:rPr>
          <w:rFonts w:ascii="仿宋_GB2312" w:hAnsi="宋体" w:eastAsia="仿宋_GB2312" w:cs="仿宋_GB2312"/>
          <w:sz w:val="28"/>
          <w:szCs w:val="28"/>
        </w:rPr>
      </w:pPr>
    </w:p>
    <w:p>
      <w:pPr>
        <w:widowControl/>
        <w:jc w:val="left"/>
        <w:rPr>
          <w:rFonts w:ascii="仿宋_GB2312" w:hAnsi="宋体" w:eastAsia="仿宋_GB2312" w:cs="仿宋_GB2312"/>
          <w:sz w:val="28"/>
          <w:szCs w:val="28"/>
        </w:rPr>
        <w:sectPr>
          <w:type w:val="oddPage"/>
          <w:pgSz w:w="11906" w:h="16838"/>
          <w:pgMar w:top="1440" w:right="1800" w:bottom="1440" w:left="1800" w:header="851" w:footer="992" w:gutter="0"/>
          <w:pgNumType w:start="1"/>
          <w:cols w:space="425" w:num="1"/>
          <w:docGrid w:type="lines" w:linePitch="312" w:charSpace="0"/>
        </w:sectPr>
      </w:pPr>
    </w:p>
    <w:p>
      <w:pPr>
        <w:pStyle w:val="2"/>
      </w:pPr>
      <w:bookmarkStart w:id="7" w:name="_Toc486428843"/>
      <w:r>
        <w:rPr>
          <w:rFonts w:hint="eastAsia"/>
        </w:rPr>
        <w:t>二、规划目标调整情况</w:t>
      </w:r>
      <w:bookmarkEnd w:id="7"/>
    </w:p>
    <w:p>
      <w:pPr>
        <w:ind w:firstLine="560" w:firstLineChars="200"/>
        <w:rPr>
          <w:rFonts w:ascii="仿宋_GB2312" w:hAnsi="宋体" w:eastAsia="仿宋_GB2312"/>
          <w:sz w:val="28"/>
          <w:szCs w:val="28"/>
        </w:rPr>
      </w:pPr>
      <w:r>
        <w:rPr>
          <w:rFonts w:hint="eastAsia" w:ascii="仿宋_GB2312" w:hAnsi="宋体" w:eastAsia="仿宋_GB2312"/>
          <w:sz w:val="28"/>
          <w:szCs w:val="28"/>
        </w:rPr>
        <w:t>按照五通桥区土地利用总体规划调整完善方案的相关要求，对冠英镇2020年土地利用主要指标作如下调整：</w:t>
      </w:r>
    </w:p>
    <w:p>
      <w:pPr>
        <w:pStyle w:val="3"/>
      </w:pPr>
      <w:bookmarkStart w:id="8" w:name="_Toc486428844"/>
      <w:bookmarkStart w:id="9" w:name="_Toc477699465"/>
      <w:r>
        <w:rPr>
          <w:rFonts w:hint="eastAsia"/>
        </w:rPr>
        <w:t>（一）耕地保有量调整</w:t>
      </w:r>
      <w:bookmarkEnd w:id="8"/>
      <w:bookmarkEnd w:id="9"/>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调整完善前冠英镇2020年耕地保有量指标为2247.70公顷，2014年现状耕地面积为2515.45公顷，占2020年规划目标比例为111.91％。超额完成了耕地保有量目标任务。</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根据此次五通桥区土地利用总体规划调整完善方案下达到冠英镇的耕地保有量指标，冠英镇的耕地保有量调整为</w:t>
      </w:r>
      <w:r>
        <w:rPr>
          <w:rFonts w:ascii="仿宋_GB2312" w:hAnsi="宋体" w:eastAsia="仿宋_GB2312"/>
          <w:sz w:val="28"/>
          <w:szCs w:val="28"/>
        </w:rPr>
        <w:t>2447.14</w:t>
      </w:r>
      <w:r>
        <w:rPr>
          <w:rFonts w:hint="eastAsia" w:ascii="仿宋_GB2312" w:hAnsi="宋体" w:eastAsia="仿宋_GB2312"/>
          <w:sz w:val="28"/>
          <w:szCs w:val="28"/>
        </w:rPr>
        <w:t>公顷，调整后冠英镇耕地保有量比原规划目标增加了</w:t>
      </w:r>
      <w:r>
        <w:rPr>
          <w:rFonts w:ascii="仿宋_GB2312" w:hAnsi="宋体" w:eastAsia="仿宋_GB2312"/>
          <w:sz w:val="28"/>
          <w:szCs w:val="28"/>
        </w:rPr>
        <w:t>199.44</w:t>
      </w:r>
      <w:r>
        <w:rPr>
          <w:rFonts w:hint="eastAsia" w:ascii="仿宋_GB2312" w:hAnsi="宋体" w:eastAsia="仿宋_GB2312"/>
          <w:sz w:val="28"/>
          <w:szCs w:val="28"/>
        </w:rPr>
        <w:t>公顷。</w:t>
      </w:r>
    </w:p>
    <w:p>
      <w:pPr>
        <w:pStyle w:val="3"/>
      </w:pPr>
      <w:bookmarkStart w:id="10" w:name="_Toc486428845"/>
      <w:bookmarkStart w:id="11" w:name="_Toc477699466"/>
      <w:r>
        <w:rPr>
          <w:rFonts w:hint="eastAsia"/>
        </w:rPr>
        <w:t>（二）基本农田保护面积调整</w:t>
      </w:r>
      <w:bookmarkEnd w:id="10"/>
      <w:bookmarkEnd w:id="11"/>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调整完善前冠英镇2020年基本农田保护面积为1126.47公顷，2014年冠英镇基本农田划定面积为1130.24公顷，占2020年规划指标的100.33%，完成了基本农田保护面积目标任务。</w:t>
      </w:r>
      <w:bookmarkStart w:id="12" w:name="_Toc477699467"/>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根据此次五通桥区土地利用总体规划调整完善方案下达到冠英镇的基本农田保护面积目标，冠英镇的基本农田保护面积调整为</w:t>
      </w:r>
      <w:r>
        <w:rPr>
          <w:rFonts w:ascii="仿宋_GB2312" w:hAnsi="宋体" w:eastAsia="仿宋_GB2312"/>
          <w:sz w:val="28"/>
          <w:szCs w:val="28"/>
        </w:rPr>
        <w:t>1305</w:t>
      </w:r>
      <w:r>
        <w:rPr>
          <w:rFonts w:hint="eastAsia" w:ascii="仿宋_GB2312" w:hAnsi="宋体" w:eastAsia="仿宋_GB2312"/>
          <w:sz w:val="28"/>
          <w:szCs w:val="28"/>
        </w:rPr>
        <w:t>公顷，调整后冠英镇基本农田保护面积比原规划目标增加了</w:t>
      </w:r>
      <w:r>
        <w:rPr>
          <w:rFonts w:ascii="仿宋_GB2312" w:hAnsi="宋体" w:eastAsia="仿宋_GB2312"/>
          <w:sz w:val="28"/>
          <w:szCs w:val="28"/>
        </w:rPr>
        <w:t>174.76</w:t>
      </w:r>
      <w:r>
        <w:rPr>
          <w:rFonts w:hint="eastAsia" w:ascii="仿宋_GB2312" w:hAnsi="宋体" w:eastAsia="仿宋_GB2312"/>
          <w:sz w:val="28"/>
          <w:szCs w:val="28"/>
        </w:rPr>
        <w:t>公顷。</w:t>
      </w:r>
    </w:p>
    <w:p>
      <w:pPr>
        <w:pStyle w:val="3"/>
      </w:pPr>
      <w:bookmarkStart w:id="13" w:name="_Toc486428846"/>
      <w:r>
        <w:rPr>
          <w:rFonts w:hint="eastAsia"/>
        </w:rPr>
        <w:t>（三）建设用地规模调整</w:t>
      </w:r>
      <w:bookmarkEnd w:id="12"/>
      <w:bookmarkEnd w:id="13"/>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调整完善前冠英镇2020年建设用地总规模指标为957.07公顷，2014年现状建设用地为987.03公顷，超过2020年规划目标值的3.13%，突破了建设用地总规模指标的限制。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根据此次五通桥区土地利用总体规划调整完善方案下达到冠英镇的建设用地总规模指标，冠英镇的建设用地总规模调整为</w:t>
      </w:r>
      <w:r>
        <w:rPr>
          <w:rFonts w:ascii="仿宋_GB2312" w:hAnsi="宋体" w:eastAsia="仿宋_GB2312"/>
          <w:sz w:val="28"/>
          <w:szCs w:val="28"/>
        </w:rPr>
        <w:t>1210.73</w:t>
      </w:r>
      <w:r>
        <w:rPr>
          <w:rFonts w:hint="eastAsia" w:ascii="仿宋_GB2312" w:hAnsi="宋体" w:eastAsia="仿宋_GB2312"/>
          <w:sz w:val="28"/>
          <w:szCs w:val="28"/>
        </w:rPr>
        <w:t>公顷，调整后冠英镇建设用地总规模比原规划目标增加了</w:t>
      </w:r>
      <w:r>
        <w:rPr>
          <w:rFonts w:ascii="仿宋_GB2312" w:hAnsi="宋体" w:eastAsia="仿宋_GB2312"/>
          <w:sz w:val="28"/>
          <w:szCs w:val="28"/>
        </w:rPr>
        <w:t>253.66</w:t>
      </w:r>
      <w:r>
        <w:rPr>
          <w:rFonts w:hint="eastAsia" w:ascii="仿宋_GB2312" w:hAnsi="宋体" w:eastAsia="仿宋_GB2312"/>
          <w:sz w:val="28"/>
          <w:szCs w:val="28"/>
        </w:rPr>
        <w:t>公顷。</w:t>
      </w:r>
    </w:p>
    <w:p>
      <w:pPr>
        <w:pStyle w:val="3"/>
      </w:pPr>
      <w:bookmarkStart w:id="14" w:name="_Toc486428847"/>
      <w:bookmarkStart w:id="15" w:name="_Toc477699468"/>
      <w:r>
        <w:rPr>
          <w:rFonts w:hint="eastAsia"/>
        </w:rPr>
        <w:t>（四）城乡建设用地规模调整</w:t>
      </w:r>
      <w:bookmarkEnd w:id="14"/>
      <w:bookmarkEnd w:id="15"/>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调整完善前冠英镇2020年城乡建设用地总规模指标为882.59公顷。2014年现状城乡建设用地为718.65公顷，达到2020年规划目标的81.43%。完成了城乡建设用地规模指标的控制。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根据此次五通桥区土地利用总体规划调整完善方案下达到冠英镇的城乡建设用地总规模指标，冠英镇的城乡建设用地总规模调整为</w:t>
      </w:r>
      <w:r>
        <w:rPr>
          <w:rFonts w:ascii="仿宋_GB2312" w:hAnsi="宋体" w:eastAsia="仿宋_GB2312"/>
          <w:sz w:val="28"/>
          <w:szCs w:val="28"/>
        </w:rPr>
        <w:t>936</w:t>
      </w:r>
      <w:r>
        <w:rPr>
          <w:rFonts w:hint="eastAsia" w:ascii="仿宋_GB2312" w:hAnsi="宋体" w:eastAsia="仿宋_GB2312"/>
          <w:sz w:val="28"/>
          <w:szCs w:val="28"/>
        </w:rPr>
        <w:t>公顷，调整后冠英镇城乡建设用地规模比原规划增加了</w:t>
      </w:r>
      <w:r>
        <w:rPr>
          <w:rFonts w:ascii="仿宋_GB2312" w:hAnsi="宋体" w:eastAsia="仿宋_GB2312"/>
          <w:sz w:val="28"/>
          <w:szCs w:val="28"/>
        </w:rPr>
        <w:t>53.41</w:t>
      </w:r>
      <w:r>
        <w:rPr>
          <w:rFonts w:hint="eastAsia" w:ascii="仿宋_GB2312" w:hAnsi="宋体" w:eastAsia="仿宋_GB2312"/>
          <w:sz w:val="28"/>
          <w:szCs w:val="28"/>
        </w:rPr>
        <w:t>公顷。</w:t>
      </w:r>
    </w:p>
    <w:p>
      <w:pPr>
        <w:pStyle w:val="3"/>
      </w:pPr>
      <w:bookmarkStart w:id="16" w:name="_Toc486428848"/>
      <w:bookmarkStart w:id="17" w:name="_Toc477699469"/>
      <w:r>
        <w:rPr>
          <w:rFonts w:hint="eastAsia"/>
        </w:rPr>
        <w:t>（五）城镇工矿用地规模调整</w:t>
      </w:r>
      <w:bookmarkEnd w:id="16"/>
      <w:bookmarkEnd w:id="17"/>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规划调整完善前冠英镇2020年城镇工矿建设用地规模指标为595.27公顷，2014年现状城镇工矿建设用地为238.29公顷，达到2020年规划目标的40.03%。完成了城镇工矿用地规模指标的控制。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根据此次五通桥区土地利用总体规划调整完善方案下达到冠英镇的城镇工矿用地规模指标，冠英镇的城镇工矿用地规模调整为</w:t>
      </w:r>
      <w:r>
        <w:rPr>
          <w:rFonts w:ascii="仿宋_GB2312" w:hAnsi="宋体" w:eastAsia="仿宋_GB2312"/>
          <w:sz w:val="28"/>
          <w:szCs w:val="28"/>
        </w:rPr>
        <w:t>431.74</w:t>
      </w:r>
      <w:r>
        <w:rPr>
          <w:rFonts w:hint="eastAsia" w:ascii="仿宋_GB2312" w:hAnsi="宋体" w:eastAsia="仿宋_GB2312"/>
          <w:sz w:val="28"/>
          <w:szCs w:val="28"/>
        </w:rPr>
        <w:t>公顷，调整后冠英镇城镇工矿用地规模比原规划指标减少了</w:t>
      </w:r>
      <w:r>
        <w:rPr>
          <w:rFonts w:ascii="仿宋_GB2312" w:hAnsi="宋体" w:eastAsia="仿宋_GB2312"/>
          <w:sz w:val="28"/>
          <w:szCs w:val="28"/>
        </w:rPr>
        <w:t>163.57</w:t>
      </w:r>
      <w:r>
        <w:rPr>
          <w:rFonts w:hint="eastAsia" w:ascii="仿宋_GB2312" w:hAnsi="宋体" w:eastAsia="仿宋_GB2312"/>
          <w:sz w:val="28"/>
          <w:szCs w:val="28"/>
        </w:rPr>
        <w:t>公顷。</w:t>
      </w:r>
    </w:p>
    <w:p>
      <w:pPr>
        <w:pStyle w:val="3"/>
      </w:pPr>
      <w:bookmarkStart w:id="18" w:name="_Toc477699470"/>
      <w:bookmarkStart w:id="19" w:name="_Toc486428849"/>
      <w:r>
        <w:rPr>
          <w:rFonts w:hint="eastAsia"/>
        </w:rPr>
        <w:t>（六）新增建设用地总量</w:t>
      </w:r>
      <w:bookmarkEnd w:id="18"/>
      <w:bookmarkEnd w:id="19"/>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根据此次五通桥区土地利用总体规划调整完善方案下达到冠英镇的新增建设用地指标，冠英镇的新增建设用地调整为</w:t>
      </w:r>
      <w:r>
        <w:rPr>
          <w:rFonts w:ascii="仿宋_GB2312" w:hAnsi="宋体" w:eastAsia="仿宋_GB2312"/>
          <w:sz w:val="28"/>
          <w:szCs w:val="28"/>
        </w:rPr>
        <w:t>223.7</w:t>
      </w:r>
      <w:r>
        <w:rPr>
          <w:rFonts w:hint="eastAsia" w:ascii="仿宋_GB2312" w:hAnsi="宋体" w:eastAsia="仿宋_GB2312"/>
          <w:sz w:val="28"/>
          <w:szCs w:val="28"/>
        </w:rPr>
        <w:t>公顷。</w:t>
      </w:r>
    </w:p>
    <w:p>
      <w:pPr>
        <w:pStyle w:val="3"/>
      </w:pPr>
      <w:bookmarkStart w:id="20" w:name="_Toc477699471"/>
      <w:bookmarkStart w:id="21" w:name="_Toc486428850"/>
      <w:r>
        <w:rPr>
          <w:rFonts w:hint="eastAsia"/>
        </w:rPr>
        <w:t>（七）新增建设用地占用耕地指标</w:t>
      </w:r>
      <w:bookmarkEnd w:id="20"/>
      <w:bookmarkEnd w:id="21"/>
    </w:p>
    <w:p>
      <w:pPr>
        <w:ind w:firstLine="560" w:firstLineChars="200"/>
        <w:rPr>
          <w:rFonts w:ascii="仿宋_GB2312" w:hAnsi="宋体" w:eastAsia="仿宋_GB2312"/>
          <w:sz w:val="28"/>
          <w:szCs w:val="28"/>
        </w:rPr>
      </w:pPr>
      <w:bookmarkStart w:id="22" w:name="_Toc477699472"/>
      <w:r>
        <w:rPr>
          <w:rFonts w:hint="eastAsia" w:ascii="仿宋_GB2312" w:hAnsi="宋体" w:eastAsia="仿宋_GB2312"/>
          <w:sz w:val="28"/>
          <w:szCs w:val="28"/>
        </w:rPr>
        <w:t>根据此次五通桥区土地利用总体规划调整完善方案下达到冠英镇的新增建设用地占用耕地指标，冠英镇的新增建设用地占用耕地调整为</w:t>
      </w:r>
      <w:r>
        <w:rPr>
          <w:rFonts w:ascii="仿宋_GB2312" w:hAnsi="宋体" w:eastAsia="仿宋_GB2312"/>
          <w:sz w:val="28"/>
          <w:szCs w:val="28"/>
        </w:rPr>
        <w:t>183.31</w:t>
      </w:r>
      <w:r>
        <w:rPr>
          <w:rFonts w:hint="eastAsia" w:ascii="仿宋_GB2312" w:hAnsi="宋体" w:eastAsia="仿宋_GB2312"/>
          <w:sz w:val="28"/>
          <w:szCs w:val="28"/>
        </w:rPr>
        <w:t>公顷。</w:t>
      </w:r>
    </w:p>
    <w:p>
      <w:pPr>
        <w:pStyle w:val="3"/>
      </w:pPr>
      <w:bookmarkStart w:id="23" w:name="_Toc486428851"/>
      <w:r>
        <w:rPr>
          <w:rFonts w:hint="eastAsia"/>
        </w:rPr>
        <w:t>（八）新增建设用地占用农用地指标</w:t>
      </w:r>
      <w:bookmarkEnd w:id="22"/>
      <w:bookmarkEnd w:id="23"/>
    </w:p>
    <w:p>
      <w:pPr>
        <w:ind w:firstLine="560" w:firstLineChars="200"/>
        <w:rPr>
          <w:rFonts w:ascii="仿宋_GB2312" w:hAnsi="宋体" w:eastAsia="仿宋_GB2312"/>
          <w:sz w:val="28"/>
          <w:szCs w:val="28"/>
        </w:rPr>
      </w:pPr>
      <w:bookmarkStart w:id="24" w:name="_Toc477699473"/>
      <w:r>
        <w:rPr>
          <w:rFonts w:hint="eastAsia" w:ascii="仿宋_GB2312" w:hAnsi="宋体" w:eastAsia="仿宋_GB2312"/>
          <w:sz w:val="28"/>
          <w:szCs w:val="28"/>
        </w:rPr>
        <w:t>根据此次五通桥区土地利用总体规划调整完善方案下达到冠英镇的新增建设用地占用农用地指标，冠英镇的新增建设用地占用农用地调整为</w:t>
      </w:r>
      <w:r>
        <w:rPr>
          <w:rFonts w:ascii="仿宋_GB2312" w:hAnsi="宋体" w:eastAsia="仿宋_GB2312"/>
          <w:sz w:val="28"/>
          <w:szCs w:val="28"/>
        </w:rPr>
        <w:t>219.9</w:t>
      </w:r>
      <w:r>
        <w:rPr>
          <w:rFonts w:hint="eastAsia" w:ascii="仿宋_GB2312" w:hAnsi="宋体" w:eastAsia="仿宋_GB2312"/>
          <w:sz w:val="28"/>
          <w:szCs w:val="28"/>
        </w:rPr>
        <w:t>公顷。</w:t>
      </w:r>
    </w:p>
    <w:p>
      <w:pPr>
        <w:pStyle w:val="3"/>
      </w:pPr>
      <w:bookmarkStart w:id="25" w:name="_Toc486428852"/>
      <w:r>
        <w:rPr>
          <w:rFonts w:hint="eastAsia"/>
        </w:rPr>
        <w:t>（九）土地整治补充耕地规模</w:t>
      </w:r>
      <w:bookmarkEnd w:id="24"/>
      <w:bookmarkEnd w:id="25"/>
    </w:p>
    <w:p>
      <w:pPr>
        <w:ind w:firstLine="560" w:firstLineChars="200"/>
        <w:rPr>
          <w:rFonts w:ascii="仿宋_GB2312" w:hAnsi="宋体" w:eastAsia="仿宋_GB2312"/>
          <w:sz w:val="28"/>
          <w:szCs w:val="28"/>
        </w:rPr>
      </w:pPr>
      <w:r>
        <w:rPr>
          <w:rFonts w:hint="eastAsia" w:ascii="仿宋_GB2312" w:hAnsi="宋体" w:eastAsia="仿宋_GB2312"/>
          <w:sz w:val="28"/>
          <w:szCs w:val="28"/>
        </w:rPr>
        <w:t>此次五通桥区土地利用总体规划调整完善方案下达到冠英镇的补充耕地义务量指标为</w:t>
      </w:r>
      <w:r>
        <w:rPr>
          <w:rFonts w:ascii="仿宋_GB2312" w:hAnsi="宋体" w:eastAsia="仿宋_GB2312"/>
          <w:sz w:val="28"/>
          <w:szCs w:val="28"/>
        </w:rPr>
        <w:t>0.00</w:t>
      </w:r>
      <w:r>
        <w:rPr>
          <w:rFonts w:hint="eastAsia" w:ascii="仿宋_GB2312" w:hAnsi="宋体" w:eastAsia="仿宋_GB2312"/>
          <w:sz w:val="28"/>
          <w:szCs w:val="28"/>
        </w:rPr>
        <w:t>公顷。考虑到全区耕地保有量任务，规划期间冠英镇耕地补充义务量增加了</w:t>
      </w:r>
      <w:r>
        <w:rPr>
          <w:rFonts w:ascii="仿宋_GB2312" w:hAnsi="宋体" w:eastAsia="仿宋_GB2312"/>
          <w:sz w:val="28"/>
          <w:szCs w:val="28"/>
        </w:rPr>
        <w:t>115</w:t>
      </w:r>
      <w:r>
        <w:rPr>
          <w:rFonts w:hint="eastAsia" w:ascii="仿宋_GB2312" w:hAnsi="宋体" w:eastAsia="仿宋_GB2312"/>
          <w:sz w:val="28"/>
          <w:szCs w:val="28"/>
        </w:rPr>
        <w:t>公顷，全镇实际安排耕地补充义务量</w:t>
      </w:r>
      <w:r>
        <w:rPr>
          <w:rFonts w:ascii="仿宋_GB2312" w:hAnsi="宋体" w:eastAsia="仿宋_GB2312"/>
          <w:sz w:val="28"/>
          <w:szCs w:val="28"/>
        </w:rPr>
        <w:t>115</w:t>
      </w:r>
      <w:r>
        <w:rPr>
          <w:rFonts w:hint="eastAsia" w:ascii="仿宋_GB2312" w:hAnsi="宋体" w:eastAsia="仿宋_GB2312"/>
          <w:sz w:val="28"/>
          <w:szCs w:val="28"/>
        </w:rPr>
        <w:t>公顷。</w:t>
      </w:r>
    </w:p>
    <w:p>
      <w:pPr>
        <w:pStyle w:val="3"/>
      </w:pPr>
      <w:bookmarkStart w:id="26" w:name="_Toc485386618"/>
      <w:bookmarkStart w:id="27" w:name="_Toc486428853"/>
      <w:r>
        <w:rPr>
          <w:rFonts w:hint="eastAsia"/>
        </w:rPr>
        <w:t>（十）人均城镇工矿用地规模</w:t>
      </w:r>
      <w:bookmarkEnd w:id="26"/>
      <w:bookmarkEnd w:id="27"/>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按照2020年城镇工矿用地面积除以2020年城镇人口计算，结合此次规划调整完善上级下达到冠英镇的人均城镇工矿用地规模，到2020年，全镇人均城镇工矿用地面积为120平方米。</w:t>
      </w:r>
    </w:p>
    <w:p>
      <w:pPr>
        <w:pStyle w:val="3"/>
      </w:pPr>
      <w:bookmarkStart w:id="28" w:name="_Toc485386619"/>
      <w:bookmarkStart w:id="29" w:name="_Toc486428854"/>
      <w:r>
        <w:rPr>
          <w:rFonts w:hint="eastAsia"/>
        </w:rPr>
        <w:t>（十一）园地面积调整</w:t>
      </w:r>
      <w:bookmarkEnd w:id="28"/>
      <w:bookmarkEnd w:id="29"/>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根据此次五通桥区土地利用总体规划调整完善方案下达到冠英镇的园地保有量指标，冠英镇的园地保有量调整为</w:t>
      </w:r>
      <w:r>
        <w:rPr>
          <w:rFonts w:ascii="仿宋_GB2312" w:eastAsia="仿宋_GB2312" w:hAnsiTheme="minorEastAsia"/>
          <w:sz w:val="28"/>
          <w:szCs w:val="28"/>
        </w:rPr>
        <w:t>395.46</w:t>
      </w:r>
      <w:r>
        <w:rPr>
          <w:rFonts w:hint="eastAsia" w:ascii="仿宋_GB2312" w:eastAsia="仿宋_GB2312" w:hAnsiTheme="minorEastAsia"/>
          <w:sz w:val="28"/>
          <w:szCs w:val="28"/>
        </w:rPr>
        <w:t>公顷。</w:t>
      </w:r>
    </w:p>
    <w:p>
      <w:pPr>
        <w:pStyle w:val="3"/>
      </w:pPr>
      <w:bookmarkStart w:id="30" w:name="_Toc485386620"/>
      <w:bookmarkStart w:id="31" w:name="_Toc486428855"/>
      <w:r>
        <w:rPr>
          <w:rFonts w:hint="eastAsia"/>
        </w:rPr>
        <w:t>（十二）林地面积调整</w:t>
      </w:r>
      <w:bookmarkEnd w:id="30"/>
      <w:bookmarkEnd w:id="31"/>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根据此次五通桥区土地利用总体规划调整完善方案下达到冠英镇的林地保有量指标，冠英镇的林地保有量调整为</w:t>
      </w:r>
      <w:r>
        <w:rPr>
          <w:rFonts w:ascii="仿宋_GB2312" w:eastAsia="仿宋_GB2312" w:hAnsiTheme="minorEastAsia"/>
          <w:sz w:val="28"/>
          <w:szCs w:val="28"/>
        </w:rPr>
        <w:t>727.01</w:t>
      </w:r>
      <w:r>
        <w:rPr>
          <w:rFonts w:hint="eastAsia" w:ascii="仿宋_GB2312" w:eastAsia="仿宋_GB2312" w:hAnsiTheme="minorEastAsia"/>
          <w:sz w:val="28"/>
          <w:szCs w:val="28"/>
        </w:rPr>
        <w:t>公顷。</w:t>
      </w:r>
    </w:p>
    <w:p>
      <w:pPr>
        <w:widowControl/>
        <w:jc w:val="left"/>
        <w:rPr>
          <w:rFonts w:ascii="仿宋_GB2312" w:eastAsia="仿宋_GB2312" w:hAnsiTheme="minorEastAsia"/>
          <w:sz w:val="28"/>
          <w:szCs w:val="28"/>
        </w:rPr>
      </w:pPr>
      <w:r>
        <w:rPr>
          <w:rFonts w:ascii="仿宋_GB2312" w:eastAsia="仿宋_GB2312" w:hAnsiTheme="minorEastAsia"/>
          <w:sz w:val="28"/>
          <w:szCs w:val="28"/>
        </w:rPr>
        <w:br w:type="page"/>
      </w:r>
    </w:p>
    <w:p>
      <w:pPr>
        <w:ind w:firstLine="560" w:firstLineChars="200"/>
        <w:rPr>
          <w:rFonts w:ascii="仿宋_GB2312" w:hAnsi="宋体" w:eastAsia="仿宋_GB2312"/>
          <w:sz w:val="28"/>
          <w:szCs w:val="28"/>
        </w:rPr>
      </w:pPr>
    </w:p>
    <w:p>
      <w:pPr>
        <w:pStyle w:val="2"/>
      </w:pPr>
      <w:bookmarkStart w:id="32" w:name="_Toc486428856"/>
      <w:r>
        <w:rPr>
          <w:rFonts w:hint="eastAsia"/>
        </w:rPr>
        <w:t>三、土地利用结构和布局调整</w:t>
      </w:r>
      <w:bookmarkEnd w:id="32"/>
    </w:p>
    <w:p>
      <w:pPr>
        <w:ind w:firstLine="560" w:firstLineChars="200"/>
        <w:rPr>
          <w:rFonts w:ascii="仿宋_GB2312" w:hAnsi="宋体" w:eastAsia="仿宋_GB2312"/>
          <w:sz w:val="28"/>
          <w:szCs w:val="28"/>
        </w:rPr>
      </w:pPr>
      <w:r>
        <w:rPr>
          <w:rFonts w:hint="eastAsia" w:ascii="仿宋_GB2312" w:hAnsi="宋体" w:eastAsia="仿宋_GB2312"/>
          <w:sz w:val="28"/>
          <w:szCs w:val="28"/>
        </w:rPr>
        <w:t>按照五通桥区土地利用总体规划调整完善方案，为实现规划期土地利用各项目标，结合冠英镇社会经济发展实际，对农用地、建设用地（城乡建设用地、交通水利用地）、其他土地的结构进行优化调整。其结构调整情况如下：</w:t>
      </w:r>
    </w:p>
    <w:p>
      <w:pPr>
        <w:pStyle w:val="3"/>
      </w:pPr>
      <w:bookmarkStart w:id="33" w:name="_Toc486428857"/>
      <w:r>
        <w:rPr>
          <w:rFonts w:hint="eastAsia"/>
        </w:rPr>
        <w:t>（一）农用地结构和布局调整</w:t>
      </w:r>
      <w:bookmarkEnd w:id="33"/>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规划调整完善后冠英镇2</w:t>
      </w:r>
      <w:r>
        <w:rPr>
          <w:rFonts w:ascii="仿宋_GB2312" w:hAnsi="宋体" w:eastAsia="仿宋_GB2312"/>
          <w:sz w:val="28"/>
          <w:szCs w:val="28"/>
        </w:rPr>
        <w:t>020</w:t>
      </w:r>
      <w:r>
        <w:rPr>
          <w:rFonts w:hint="eastAsia" w:ascii="仿宋_GB2312" w:hAnsi="宋体" w:eastAsia="仿宋_GB2312"/>
          <w:sz w:val="28"/>
          <w:szCs w:val="28"/>
        </w:rPr>
        <w:t>年农用地总规模为</w:t>
      </w:r>
      <w:r>
        <w:rPr>
          <w:rFonts w:ascii="仿宋_GB2312" w:hAnsi="宋体" w:eastAsia="仿宋_GB2312"/>
          <w:sz w:val="28"/>
          <w:szCs w:val="28"/>
        </w:rPr>
        <w:t>3885.83</w:t>
      </w:r>
      <w:r>
        <w:rPr>
          <w:rFonts w:hint="eastAsia" w:ascii="仿宋_GB2312" w:hAnsi="宋体" w:eastAsia="仿宋_GB2312"/>
          <w:sz w:val="28"/>
          <w:szCs w:val="28"/>
        </w:rPr>
        <w:t>公顷，占全镇土地总面积的比例为</w:t>
      </w:r>
      <w:r>
        <w:rPr>
          <w:rFonts w:ascii="仿宋_GB2312" w:hAnsi="宋体" w:eastAsia="仿宋_GB2312"/>
          <w:sz w:val="28"/>
          <w:szCs w:val="28"/>
        </w:rPr>
        <w:t>69.3%</w:t>
      </w:r>
      <w:r>
        <w:rPr>
          <w:rFonts w:hint="eastAsia" w:ascii="仿宋_GB2312" w:hAnsi="宋体" w:eastAsia="仿宋_GB2312"/>
          <w:sz w:val="28"/>
          <w:szCs w:val="28"/>
        </w:rPr>
        <w:t>，其中耕地</w:t>
      </w:r>
      <w:r>
        <w:rPr>
          <w:rFonts w:ascii="仿宋_GB2312" w:hAnsi="宋体" w:eastAsia="仿宋_GB2312"/>
          <w:sz w:val="28"/>
          <w:szCs w:val="28"/>
        </w:rPr>
        <w:t>2447.14</w:t>
      </w:r>
      <w:r>
        <w:rPr>
          <w:rFonts w:hint="eastAsia" w:ascii="仿宋_GB2312" w:hAnsi="宋体" w:eastAsia="仿宋_GB2312"/>
          <w:sz w:val="28"/>
          <w:szCs w:val="28"/>
        </w:rPr>
        <w:t>公顷，占农用地总面积的比例为</w:t>
      </w:r>
      <w:r>
        <w:rPr>
          <w:rFonts w:ascii="仿宋_GB2312" w:hAnsi="宋体" w:eastAsia="仿宋_GB2312"/>
          <w:sz w:val="28"/>
          <w:szCs w:val="28"/>
        </w:rPr>
        <w:t>62.98%</w:t>
      </w:r>
      <w:r>
        <w:rPr>
          <w:rFonts w:hint="eastAsia" w:ascii="仿宋_GB2312" w:hAnsi="宋体" w:eastAsia="仿宋_GB2312"/>
          <w:sz w:val="28"/>
          <w:szCs w:val="28"/>
        </w:rPr>
        <w:t>；园地</w:t>
      </w:r>
      <w:r>
        <w:rPr>
          <w:rFonts w:ascii="仿宋_GB2312" w:hAnsi="宋体" w:eastAsia="仿宋_GB2312"/>
          <w:sz w:val="28"/>
          <w:szCs w:val="28"/>
        </w:rPr>
        <w:t>395.46</w:t>
      </w:r>
      <w:r>
        <w:rPr>
          <w:rFonts w:hint="eastAsia" w:ascii="仿宋_GB2312" w:hAnsi="宋体" w:eastAsia="仿宋_GB2312"/>
          <w:sz w:val="28"/>
          <w:szCs w:val="28"/>
        </w:rPr>
        <w:t>公顷，占农用地总面积的比例为</w:t>
      </w:r>
      <w:r>
        <w:rPr>
          <w:rFonts w:ascii="仿宋_GB2312" w:hAnsi="宋体" w:eastAsia="仿宋_GB2312"/>
          <w:sz w:val="28"/>
          <w:szCs w:val="28"/>
        </w:rPr>
        <w:t>10.18%</w:t>
      </w:r>
      <w:r>
        <w:rPr>
          <w:rFonts w:hint="eastAsia" w:ascii="仿宋_GB2312" w:hAnsi="宋体" w:eastAsia="仿宋_GB2312"/>
          <w:sz w:val="28"/>
          <w:szCs w:val="28"/>
        </w:rPr>
        <w:t>；林地规模为</w:t>
      </w:r>
      <w:r>
        <w:rPr>
          <w:rFonts w:ascii="仿宋_GB2312" w:hAnsi="宋体" w:eastAsia="仿宋_GB2312"/>
          <w:sz w:val="28"/>
          <w:szCs w:val="28"/>
        </w:rPr>
        <w:t>727.01</w:t>
      </w:r>
      <w:r>
        <w:rPr>
          <w:rFonts w:hint="eastAsia" w:ascii="仿宋_GB2312" w:hAnsi="宋体" w:eastAsia="仿宋_GB2312"/>
          <w:sz w:val="28"/>
          <w:szCs w:val="28"/>
        </w:rPr>
        <w:t>公顷，占农用地总面积的比例为</w:t>
      </w:r>
      <w:r>
        <w:rPr>
          <w:rFonts w:ascii="仿宋_GB2312" w:hAnsi="宋体" w:eastAsia="仿宋_GB2312"/>
          <w:sz w:val="28"/>
          <w:szCs w:val="28"/>
        </w:rPr>
        <w:t>18.71%</w:t>
      </w:r>
      <w:r>
        <w:rPr>
          <w:rFonts w:hint="eastAsia" w:ascii="仿宋_GB2312" w:hAnsi="宋体" w:eastAsia="仿宋_GB2312"/>
          <w:sz w:val="28"/>
          <w:szCs w:val="28"/>
        </w:rPr>
        <w:t>；其他农用地规模为</w:t>
      </w:r>
      <w:r>
        <w:rPr>
          <w:rFonts w:ascii="仿宋_GB2312" w:hAnsi="宋体" w:eastAsia="仿宋_GB2312"/>
          <w:sz w:val="28"/>
          <w:szCs w:val="28"/>
        </w:rPr>
        <w:t>316.22</w:t>
      </w:r>
      <w:r>
        <w:rPr>
          <w:rFonts w:hint="eastAsia" w:ascii="仿宋_GB2312" w:hAnsi="宋体" w:eastAsia="仿宋_GB2312"/>
          <w:sz w:val="28"/>
          <w:szCs w:val="28"/>
        </w:rPr>
        <w:t>公顷，占农用地总面积的比例为</w:t>
      </w:r>
      <w:r>
        <w:rPr>
          <w:rFonts w:ascii="仿宋_GB2312" w:hAnsi="宋体" w:eastAsia="仿宋_GB2312"/>
          <w:sz w:val="28"/>
          <w:szCs w:val="28"/>
        </w:rPr>
        <w:t>8.14%</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调整后全镇耕地主要分布情况为冠英镇社区</w:t>
      </w:r>
      <w:r>
        <w:rPr>
          <w:rFonts w:ascii="仿宋_GB2312" w:hAnsi="宋体" w:eastAsia="仿宋_GB2312"/>
          <w:sz w:val="28"/>
          <w:szCs w:val="28"/>
        </w:rPr>
        <w:t>0.50</w:t>
      </w:r>
      <w:r>
        <w:rPr>
          <w:rFonts w:hint="eastAsia" w:ascii="仿宋_GB2312" w:hAnsi="宋体" w:eastAsia="仿宋_GB2312"/>
          <w:sz w:val="28"/>
          <w:szCs w:val="28"/>
        </w:rPr>
        <w:t>公顷、青乐村</w:t>
      </w:r>
      <w:r>
        <w:rPr>
          <w:rFonts w:ascii="仿宋_GB2312" w:hAnsi="宋体" w:eastAsia="仿宋_GB2312"/>
          <w:sz w:val="28"/>
          <w:szCs w:val="28"/>
        </w:rPr>
        <w:t>85.28</w:t>
      </w:r>
      <w:r>
        <w:rPr>
          <w:rFonts w:hint="eastAsia" w:ascii="仿宋_GB2312" w:hAnsi="宋体" w:eastAsia="仿宋_GB2312"/>
          <w:sz w:val="28"/>
          <w:szCs w:val="28"/>
        </w:rPr>
        <w:t>公顷、天池村</w:t>
      </w:r>
      <w:r>
        <w:rPr>
          <w:rFonts w:ascii="仿宋_GB2312" w:hAnsi="宋体" w:eastAsia="仿宋_GB2312"/>
          <w:sz w:val="28"/>
          <w:szCs w:val="28"/>
        </w:rPr>
        <w:t>92.40</w:t>
      </w:r>
      <w:r>
        <w:rPr>
          <w:rFonts w:hint="eastAsia" w:ascii="仿宋_GB2312" w:hAnsi="宋体" w:eastAsia="仿宋_GB2312"/>
          <w:sz w:val="28"/>
          <w:szCs w:val="28"/>
        </w:rPr>
        <w:t>公顷、马桑村</w:t>
      </w:r>
      <w:r>
        <w:rPr>
          <w:rFonts w:ascii="仿宋_GB2312" w:hAnsi="宋体" w:eastAsia="仿宋_GB2312"/>
          <w:sz w:val="28"/>
          <w:szCs w:val="28"/>
        </w:rPr>
        <w:t>74.03</w:t>
      </w:r>
      <w:r>
        <w:rPr>
          <w:rFonts w:hint="eastAsia" w:ascii="仿宋_GB2312" w:hAnsi="宋体" w:eastAsia="仿宋_GB2312"/>
          <w:sz w:val="28"/>
          <w:szCs w:val="28"/>
        </w:rPr>
        <w:t>公顷、荣丰村</w:t>
      </w:r>
      <w:r>
        <w:rPr>
          <w:rFonts w:ascii="仿宋_GB2312" w:hAnsi="宋体" w:eastAsia="仿宋_GB2312"/>
          <w:sz w:val="28"/>
          <w:szCs w:val="28"/>
        </w:rPr>
        <w:t>55.19</w:t>
      </w:r>
      <w:r>
        <w:rPr>
          <w:rFonts w:hint="eastAsia" w:ascii="仿宋_GB2312" w:hAnsi="宋体" w:eastAsia="仿宋_GB2312"/>
          <w:sz w:val="28"/>
          <w:szCs w:val="28"/>
        </w:rPr>
        <w:t>公顷、麦子坳村</w:t>
      </w:r>
      <w:r>
        <w:rPr>
          <w:rFonts w:ascii="仿宋_GB2312" w:hAnsi="宋体" w:eastAsia="仿宋_GB2312"/>
          <w:sz w:val="28"/>
          <w:szCs w:val="28"/>
        </w:rPr>
        <w:t>121.28</w:t>
      </w:r>
      <w:r>
        <w:rPr>
          <w:rFonts w:hint="eastAsia" w:ascii="仿宋_GB2312" w:hAnsi="宋体" w:eastAsia="仿宋_GB2312"/>
          <w:sz w:val="28"/>
          <w:szCs w:val="28"/>
        </w:rPr>
        <w:t>公顷、鸭口山村</w:t>
      </w:r>
      <w:r>
        <w:rPr>
          <w:rFonts w:ascii="仿宋_GB2312" w:hAnsi="宋体" w:eastAsia="仿宋_GB2312"/>
          <w:sz w:val="28"/>
          <w:szCs w:val="28"/>
        </w:rPr>
        <w:t>128.19</w:t>
      </w:r>
      <w:r>
        <w:rPr>
          <w:rFonts w:hint="eastAsia" w:ascii="仿宋_GB2312" w:hAnsi="宋体" w:eastAsia="仿宋_GB2312"/>
          <w:sz w:val="28"/>
          <w:szCs w:val="28"/>
        </w:rPr>
        <w:t>公顷、黄益塘村</w:t>
      </w:r>
      <w:r>
        <w:rPr>
          <w:rFonts w:ascii="仿宋_GB2312" w:hAnsi="宋体" w:eastAsia="仿宋_GB2312"/>
          <w:sz w:val="28"/>
          <w:szCs w:val="28"/>
        </w:rPr>
        <w:t>157.22</w:t>
      </w:r>
      <w:r>
        <w:rPr>
          <w:rFonts w:hint="eastAsia" w:ascii="仿宋_GB2312" w:hAnsi="宋体" w:eastAsia="仿宋_GB2312"/>
          <w:sz w:val="28"/>
          <w:szCs w:val="28"/>
        </w:rPr>
        <w:t>公顷、兴福村</w:t>
      </w:r>
      <w:r>
        <w:rPr>
          <w:rFonts w:ascii="仿宋_GB2312" w:hAnsi="宋体" w:eastAsia="仿宋_GB2312"/>
          <w:sz w:val="28"/>
          <w:szCs w:val="28"/>
        </w:rPr>
        <w:t>20.51</w:t>
      </w:r>
      <w:r>
        <w:rPr>
          <w:rFonts w:hint="eastAsia" w:ascii="仿宋_GB2312" w:hAnsi="宋体" w:eastAsia="仿宋_GB2312"/>
          <w:sz w:val="28"/>
          <w:szCs w:val="28"/>
        </w:rPr>
        <w:t>公顷、石子埂村</w:t>
      </w:r>
      <w:r>
        <w:rPr>
          <w:rFonts w:ascii="仿宋_GB2312" w:hAnsi="宋体" w:eastAsia="仿宋_GB2312"/>
          <w:sz w:val="28"/>
          <w:szCs w:val="28"/>
        </w:rPr>
        <w:t>49.48</w:t>
      </w:r>
      <w:r>
        <w:rPr>
          <w:rFonts w:hint="eastAsia" w:ascii="仿宋_GB2312" w:hAnsi="宋体" w:eastAsia="仿宋_GB2312"/>
          <w:sz w:val="28"/>
          <w:szCs w:val="28"/>
        </w:rPr>
        <w:t>公顷、新街口村</w:t>
      </w:r>
      <w:r>
        <w:rPr>
          <w:rFonts w:ascii="仿宋_GB2312" w:hAnsi="宋体" w:eastAsia="仿宋_GB2312"/>
          <w:sz w:val="28"/>
          <w:szCs w:val="28"/>
        </w:rPr>
        <w:t>31.52</w:t>
      </w:r>
      <w:r>
        <w:rPr>
          <w:rFonts w:hint="eastAsia" w:ascii="仿宋_GB2312" w:hAnsi="宋体" w:eastAsia="仿宋_GB2312"/>
          <w:sz w:val="28"/>
          <w:szCs w:val="28"/>
        </w:rPr>
        <w:t>公顷、大兴庙村</w:t>
      </w:r>
      <w:r>
        <w:rPr>
          <w:rFonts w:ascii="仿宋_GB2312" w:hAnsi="宋体" w:eastAsia="仿宋_GB2312"/>
          <w:sz w:val="28"/>
          <w:szCs w:val="28"/>
        </w:rPr>
        <w:t>93.56</w:t>
      </w:r>
      <w:r>
        <w:rPr>
          <w:rFonts w:hint="eastAsia" w:ascii="仿宋_GB2312" w:hAnsi="宋体" w:eastAsia="仿宋_GB2312"/>
          <w:sz w:val="28"/>
          <w:szCs w:val="28"/>
        </w:rPr>
        <w:t>公顷、徐坝村120.09公顷、河桥村127.82公顷、挖断山村</w:t>
      </w:r>
      <w:r>
        <w:rPr>
          <w:rFonts w:ascii="仿宋_GB2312" w:hAnsi="宋体" w:eastAsia="仿宋_GB2312"/>
          <w:sz w:val="28"/>
          <w:szCs w:val="28"/>
        </w:rPr>
        <w:t>126.14</w:t>
      </w:r>
      <w:r>
        <w:rPr>
          <w:rFonts w:hint="eastAsia" w:ascii="仿宋_GB2312" w:hAnsi="宋体" w:eastAsia="仿宋_GB2312"/>
          <w:sz w:val="28"/>
          <w:szCs w:val="28"/>
        </w:rPr>
        <w:t>公顷、许村81.69公顷、尚村</w:t>
      </w:r>
      <w:r>
        <w:rPr>
          <w:rFonts w:ascii="仿宋_GB2312" w:hAnsi="宋体" w:eastAsia="仿宋_GB2312"/>
          <w:sz w:val="28"/>
          <w:szCs w:val="28"/>
        </w:rPr>
        <w:t>119.94</w:t>
      </w:r>
      <w:r>
        <w:rPr>
          <w:rFonts w:hint="eastAsia" w:ascii="仿宋_GB2312" w:hAnsi="宋体" w:eastAsia="仿宋_GB2312"/>
          <w:sz w:val="28"/>
          <w:szCs w:val="28"/>
        </w:rPr>
        <w:t>公顷、章庙村</w:t>
      </w:r>
      <w:r>
        <w:rPr>
          <w:rFonts w:ascii="仿宋_GB2312" w:hAnsi="宋体" w:eastAsia="仿宋_GB2312"/>
          <w:sz w:val="28"/>
          <w:szCs w:val="28"/>
        </w:rPr>
        <w:t>57.57</w:t>
      </w:r>
      <w:r>
        <w:rPr>
          <w:rFonts w:hint="eastAsia" w:ascii="仿宋_GB2312" w:hAnsi="宋体" w:eastAsia="仿宋_GB2312"/>
          <w:sz w:val="28"/>
          <w:szCs w:val="28"/>
        </w:rPr>
        <w:t>公顷、双龙庵村</w:t>
      </w:r>
      <w:r>
        <w:rPr>
          <w:rFonts w:ascii="仿宋_GB2312" w:hAnsi="宋体" w:eastAsia="仿宋_GB2312"/>
          <w:sz w:val="28"/>
          <w:szCs w:val="28"/>
        </w:rPr>
        <w:t>135.98</w:t>
      </w:r>
      <w:r>
        <w:rPr>
          <w:rFonts w:hint="eastAsia" w:ascii="仿宋_GB2312" w:hAnsi="宋体" w:eastAsia="仿宋_GB2312"/>
          <w:sz w:val="28"/>
          <w:szCs w:val="28"/>
        </w:rPr>
        <w:t>公顷、诸益村</w:t>
      </w:r>
      <w:r>
        <w:rPr>
          <w:rFonts w:ascii="仿宋_GB2312" w:hAnsi="宋体" w:eastAsia="仿宋_GB2312"/>
          <w:sz w:val="28"/>
          <w:szCs w:val="28"/>
        </w:rPr>
        <w:t>161.94</w:t>
      </w:r>
      <w:r>
        <w:rPr>
          <w:rFonts w:hint="eastAsia" w:ascii="仿宋_GB2312" w:hAnsi="宋体" w:eastAsia="仿宋_GB2312"/>
          <w:sz w:val="28"/>
          <w:szCs w:val="28"/>
        </w:rPr>
        <w:t>公顷、龙埂村</w:t>
      </w:r>
      <w:r>
        <w:rPr>
          <w:rFonts w:ascii="仿宋_GB2312" w:hAnsi="宋体" w:eastAsia="仿宋_GB2312"/>
          <w:sz w:val="28"/>
          <w:szCs w:val="28"/>
        </w:rPr>
        <w:t>100.89</w:t>
      </w:r>
      <w:r>
        <w:rPr>
          <w:rFonts w:hint="eastAsia" w:ascii="仿宋_GB2312" w:hAnsi="宋体" w:eastAsia="仿宋_GB2312"/>
          <w:sz w:val="28"/>
          <w:szCs w:val="28"/>
        </w:rPr>
        <w:t>公顷、双河村</w:t>
      </w:r>
      <w:r>
        <w:rPr>
          <w:rFonts w:ascii="仿宋_GB2312" w:hAnsi="宋体" w:eastAsia="仿宋_GB2312"/>
          <w:sz w:val="28"/>
          <w:szCs w:val="28"/>
        </w:rPr>
        <w:t>142.45</w:t>
      </w:r>
      <w:r>
        <w:rPr>
          <w:rFonts w:hint="eastAsia" w:ascii="仿宋_GB2312" w:hAnsi="宋体" w:eastAsia="仿宋_GB2312"/>
          <w:sz w:val="28"/>
          <w:szCs w:val="28"/>
        </w:rPr>
        <w:t>公顷、仙女井村</w:t>
      </w:r>
      <w:r>
        <w:rPr>
          <w:rFonts w:ascii="仿宋_GB2312" w:hAnsi="宋体" w:eastAsia="仿宋_GB2312"/>
          <w:sz w:val="28"/>
          <w:szCs w:val="28"/>
        </w:rPr>
        <w:t>214.64</w:t>
      </w:r>
      <w:r>
        <w:rPr>
          <w:rFonts w:hint="eastAsia" w:ascii="仿宋_GB2312" w:hAnsi="宋体" w:eastAsia="仿宋_GB2312"/>
          <w:sz w:val="28"/>
          <w:szCs w:val="28"/>
        </w:rPr>
        <w:t>公顷、神佛村</w:t>
      </w:r>
      <w:r>
        <w:rPr>
          <w:rFonts w:ascii="仿宋_GB2312" w:hAnsi="宋体" w:eastAsia="仿宋_GB2312"/>
          <w:sz w:val="28"/>
          <w:szCs w:val="28"/>
        </w:rPr>
        <w:t>148.83</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调整后全镇园地主要分布情况为冠英镇社区0.06公顷、青乐村</w:t>
      </w:r>
      <w:r>
        <w:rPr>
          <w:rFonts w:ascii="仿宋_GB2312" w:hAnsi="宋体" w:eastAsia="仿宋_GB2312"/>
          <w:sz w:val="28"/>
          <w:szCs w:val="28"/>
        </w:rPr>
        <w:t>6.80</w:t>
      </w:r>
      <w:r>
        <w:rPr>
          <w:rFonts w:hint="eastAsia" w:ascii="仿宋_GB2312" w:hAnsi="宋体" w:eastAsia="仿宋_GB2312"/>
          <w:sz w:val="28"/>
          <w:szCs w:val="28"/>
        </w:rPr>
        <w:t>公顷、天池村</w:t>
      </w:r>
      <w:r>
        <w:rPr>
          <w:rFonts w:ascii="仿宋_GB2312" w:hAnsi="宋体" w:eastAsia="仿宋_GB2312"/>
          <w:sz w:val="28"/>
          <w:szCs w:val="28"/>
        </w:rPr>
        <w:t>10.76</w:t>
      </w:r>
      <w:r>
        <w:rPr>
          <w:rFonts w:hint="eastAsia" w:ascii="仿宋_GB2312" w:hAnsi="宋体" w:eastAsia="仿宋_GB2312"/>
          <w:sz w:val="28"/>
          <w:szCs w:val="28"/>
        </w:rPr>
        <w:t>公顷、马桑村</w:t>
      </w:r>
      <w:r>
        <w:rPr>
          <w:rFonts w:ascii="仿宋_GB2312" w:hAnsi="宋体" w:eastAsia="仿宋_GB2312"/>
          <w:sz w:val="28"/>
          <w:szCs w:val="28"/>
        </w:rPr>
        <w:t>12.00</w:t>
      </w:r>
      <w:r>
        <w:rPr>
          <w:rFonts w:hint="eastAsia" w:ascii="仿宋_GB2312" w:hAnsi="宋体" w:eastAsia="仿宋_GB2312"/>
          <w:sz w:val="28"/>
          <w:szCs w:val="28"/>
        </w:rPr>
        <w:t>公顷、荣丰村</w:t>
      </w:r>
      <w:r>
        <w:rPr>
          <w:rFonts w:ascii="仿宋_GB2312" w:hAnsi="宋体" w:eastAsia="仿宋_GB2312"/>
          <w:sz w:val="28"/>
          <w:szCs w:val="28"/>
        </w:rPr>
        <w:t>45.96</w:t>
      </w:r>
      <w:r>
        <w:rPr>
          <w:rFonts w:hint="eastAsia" w:ascii="仿宋_GB2312" w:hAnsi="宋体" w:eastAsia="仿宋_GB2312"/>
          <w:sz w:val="28"/>
          <w:szCs w:val="28"/>
        </w:rPr>
        <w:t>公顷、麦子坳村</w:t>
      </w:r>
      <w:r>
        <w:rPr>
          <w:rFonts w:ascii="仿宋_GB2312" w:hAnsi="宋体" w:eastAsia="仿宋_GB2312"/>
          <w:sz w:val="28"/>
          <w:szCs w:val="28"/>
        </w:rPr>
        <w:t>36.77</w:t>
      </w:r>
      <w:r>
        <w:rPr>
          <w:rFonts w:hint="eastAsia" w:ascii="仿宋_GB2312" w:hAnsi="宋体" w:eastAsia="仿宋_GB2312"/>
          <w:sz w:val="28"/>
          <w:szCs w:val="28"/>
        </w:rPr>
        <w:t>公顷、鸭口山村</w:t>
      </w:r>
      <w:r>
        <w:rPr>
          <w:rFonts w:ascii="仿宋_GB2312" w:hAnsi="宋体" w:eastAsia="仿宋_GB2312"/>
          <w:sz w:val="28"/>
          <w:szCs w:val="28"/>
        </w:rPr>
        <w:t>16.88</w:t>
      </w:r>
      <w:r>
        <w:rPr>
          <w:rFonts w:hint="eastAsia" w:ascii="仿宋_GB2312" w:hAnsi="宋体" w:eastAsia="仿宋_GB2312"/>
          <w:sz w:val="28"/>
          <w:szCs w:val="28"/>
        </w:rPr>
        <w:t>公顷、黄益塘村</w:t>
      </w:r>
      <w:r>
        <w:rPr>
          <w:rFonts w:ascii="仿宋_GB2312" w:hAnsi="宋体" w:eastAsia="仿宋_GB2312"/>
          <w:sz w:val="28"/>
          <w:szCs w:val="28"/>
        </w:rPr>
        <w:t>20.09</w:t>
      </w:r>
      <w:r>
        <w:rPr>
          <w:rFonts w:hint="eastAsia" w:ascii="仿宋_GB2312" w:hAnsi="宋体" w:eastAsia="仿宋_GB2312"/>
          <w:sz w:val="28"/>
          <w:szCs w:val="28"/>
        </w:rPr>
        <w:t>公顷、兴福村</w:t>
      </w:r>
      <w:r>
        <w:rPr>
          <w:rFonts w:ascii="仿宋_GB2312" w:hAnsi="宋体" w:eastAsia="仿宋_GB2312"/>
          <w:sz w:val="28"/>
          <w:szCs w:val="28"/>
        </w:rPr>
        <w:t>1.90</w:t>
      </w:r>
      <w:r>
        <w:rPr>
          <w:rFonts w:hint="eastAsia" w:ascii="仿宋_GB2312" w:hAnsi="宋体" w:eastAsia="仿宋_GB2312"/>
          <w:sz w:val="28"/>
          <w:szCs w:val="28"/>
        </w:rPr>
        <w:t>公顷、石子埂村</w:t>
      </w:r>
      <w:r>
        <w:rPr>
          <w:rFonts w:ascii="仿宋_GB2312" w:hAnsi="宋体" w:eastAsia="仿宋_GB2312"/>
          <w:sz w:val="28"/>
          <w:szCs w:val="28"/>
        </w:rPr>
        <w:t>1.12</w:t>
      </w:r>
      <w:r>
        <w:rPr>
          <w:rFonts w:hint="eastAsia" w:ascii="仿宋_GB2312" w:hAnsi="宋体" w:eastAsia="仿宋_GB2312"/>
          <w:sz w:val="28"/>
          <w:szCs w:val="28"/>
        </w:rPr>
        <w:t>公顷、新街口村1.06公顷、大兴庙村23.79公顷、徐坝村2.18公顷、河桥村41.88公顷、挖断山村6.02公顷、许村0.87公顷、尚村</w:t>
      </w:r>
      <w:r>
        <w:rPr>
          <w:rFonts w:ascii="仿宋_GB2312" w:hAnsi="宋体" w:eastAsia="仿宋_GB2312"/>
          <w:sz w:val="28"/>
          <w:szCs w:val="28"/>
        </w:rPr>
        <w:t>2.65</w:t>
      </w:r>
      <w:r>
        <w:rPr>
          <w:rFonts w:hint="eastAsia" w:ascii="仿宋_GB2312" w:hAnsi="宋体" w:eastAsia="仿宋_GB2312"/>
          <w:sz w:val="28"/>
          <w:szCs w:val="28"/>
        </w:rPr>
        <w:t>公顷、章庙村76.89公顷、双龙庵村18.60公顷、诸益村8.97公顷、龙埂村5.94公顷、双河村5.41公顷、仙女井村15.29公顷、神佛村33.57公顷。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调整后全镇林地主要分布情况为青乐村</w:t>
      </w:r>
      <w:r>
        <w:rPr>
          <w:rFonts w:ascii="仿宋_GB2312" w:hAnsi="宋体" w:eastAsia="仿宋_GB2312"/>
          <w:sz w:val="28"/>
          <w:szCs w:val="28"/>
        </w:rPr>
        <w:t>13.44</w:t>
      </w:r>
      <w:r>
        <w:rPr>
          <w:rFonts w:hint="eastAsia" w:ascii="仿宋_GB2312" w:hAnsi="宋体" w:eastAsia="仿宋_GB2312"/>
          <w:sz w:val="28"/>
          <w:szCs w:val="28"/>
        </w:rPr>
        <w:t>公顷、天池村5.26公顷、马桑村3.86公顷、荣丰村</w:t>
      </w:r>
      <w:r>
        <w:rPr>
          <w:rFonts w:ascii="仿宋_GB2312" w:hAnsi="宋体" w:eastAsia="仿宋_GB2312"/>
          <w:sz w:val="28"/>
          <w:szCs w:val="28"/>
        </w:rPr>
        <w:t>38.72</w:t>
      </w:r>
      <w:r>
        <w:rPr>
          <w:rFonts w:hint="eastAsia" w:ascii="仿宋_GB2312" w:hAnsi="宋体" w:eastAsia="仿宋_GB2312"/>
          <w:sz w:val="28"/>
          <w:szCs w:val="28"/>
        </w:rPr>
        <w:t>公顷、麦子坳村87.45公顷、鸭口山村93.41公顷、黄益塘村62.25公顷、兴福村6.55公顷、石子埂村</w:t>
      </w:r>
      <w:r>
        <w:rPr>
          <w:rFonts w:ascii="仿宋_GB2312" w:hAnsi="宋体" w:eastAsia="仿宋_GB2312"/>
          <w:sz w:val="28"/>
          <w:szCs w:val="28"/>
        </w:rPr>
        <w:t>2.04</w:t>
      </w:r>
      <w:r>
        <w:rPr>
          <w:rFonts w:hint="eastAsia" w:ascii="仿宋_GB2312" w:hAnsi="宋体" w:eastAsia="仿宋_GB2312"/>
          <w:sz w:val="28"/>
          <w:szCs w:val="28"/>
        </w:rPr>
        <w:t>公顷、新街口村3.33公顷、大兴庙村6.73公顷、徐坝村1.38公顷、河桥村20.62公顷、挖断山村28.77公顷、许村22.56公顷、尚村10.63公顷、章庙村42.91公顷、双龙庵村31.43公顷、诸益村25.19公顷、龙埂村19.86公顷、双河村61.17公顷、仙女井村79.96公顷、神佛村59.49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调整后全镇其他农用地主要分布情况为冠英镇社区0.17公顷、青乐村8.92公顷、天池村10.11公顷、马桑村12.66公顷、荣丰村</w:t>
      </w:r>
      <w:r>
        <w:rPr>
          <w:rFonts w:ascii="仿宋_GB2312" w:hAnsi="宋体" w:eastAsia="仿宋_GB2312"/>
          <w:sz w:val="28"/>
          <w:szCs w:val="28"/>
        </w:rPr>
        <w:t>24.38</w:t>
      </w:r>
      <w:r>
        <w:rPr>
          <w:rFonts w:hint="eastAsia" w:ascii="仿宋_GB2312" w:hAnsi="宋体" w:eastAsia="仿宋_GB2312"/>
          <w:sz w:val="28"/>
          <w:szCs w:val="28"/>
        </w:rPr>
        <w:t>公顷、麦子坳村</w:t>
      </w:r>
      <w:r>
        <w:rPr>
          <w:rFonts w:ascii="仿宋_GB2312" w:hAnsi="宋体" w:eastAsia="仿宋_GB2312"/>
          <w:sz w:val="28"/>
          <w:szCs w:val="28"/>
        </w:rPr>
        <w:t>14.52</w:t>
      </w:r>
      <w:r>
        <w:rPr>
          <w:rFonts w:hint="eastAsia" w:ascii="仿宋_GB2312" w:hAnsi="宋体" w:eastAsia="仿宋_GB2312"/>
          <w:sz w:val="28"/>
          <w:szCs w:val="28"/>
        </w:rPr>
        <w:t>公顷、鸭口山村</w:t>
      </w:r>
      <w:r>
        <w:rPr>
          <w:rFonts w:ascii="仿宋_GB2312" w:hAnsi="宋体" w:eastAsia="仿宋_GB2312"/>
          <w:sz w:val="28"/>
          <w:szCs w:val="28"/>
        </w:rPr>
        <w:t>15.33</w:t>
      </w:r>
      <w:r>
        <w:rPr>
          <w:rFonts w:hint="eastAsia" w:ascii="仿宋_GB2312" w:hAnsi="宋体" w:eastAsia="仿宋_GB2312"/>
          <w:sz w:val="28"/>
          <w:szCs w:val="28"/>
        </w:rPr>
        <w:t>公顷、黄益塘村</w:t>
      </w:r>
      <w:r>
        <w:rPr>
          <w:rFonts w:ascii="仿宋_GB2312" w:hAnsi="宋体" w:eastAsia="仿宋_GB2312"/>
          <w:sz w:val="28"/>
          <w:szCs w:val="28"/>
        </w:rPr>
        <w:t>14.72</w:t>
      </w:r>
      <w:r>
        <w:rPr>
          <w:rFonts w:hint="eastAsia" w:ascii="仿宋_GB2312" w:hAnsi="宋体" w:eastAsia="仿宋_GB2312"/>
          <w:sz w:val="28"/>
          <w:szCs w:val="28"/>
        </w:rPr>
        <w:t>公顷、兴福村2.29公顷、石子埂村7.64公顷、新街口村2.38公顷、大兴庙村18.28公顷、徐坝村8.74公顷、河桥村19.25公顷、挖断山村</w:t>
      </w:r>
      <w:r>
        <w:rPr>
          <w:rFonts w:ascii="仿宋_GB2312" w:hAnsi="宋体" w:eastAsia="仿宋_GB2312"/>
          <w:sz w:val="28"/>
          <w:szCs w:val="28"/>
        </w:rPr>
        <w:t>12.61</w:t>
      </w:r>
      <w:r>
        <w:rPr>
          <w:rFonts w:hint="eastAsia" w:ascii="仿宋_GB2312" w:hAnsi="宋体" w:eastAsia="仿宋_GB2312"/>
          <w:sz w:val="28"/>
          <w:szCs w:val="28"/>
        </w:rPr>
        <w:t>公顷、许村6.29公顷、尚村</w:t>
      </w:r>
      <w:r>
        <w:rPr>
          <w:rFonts w:ascii="仿宋_GB2312" w:hAnsi="宋体" w:eastAsia="仿宋_GB2312"/>
          <w:sz w:val="28"/>
          <w:szCs w:val="28"/>
        </w:rPr>
        <w:t>10.19</w:t>
      </w:r>
      <w:r>
        <w:rPr>
          <w:rFonts w:hint="eastAsia" w:ascii="仿宋_GB2312" w:hAnsi="宋体" w:eastAsia="仿宋_GB2312"/>
          <w:sz w:val="28"/>
          <w:szCs w:val="28"/>
        </w:rPr>
        <w:t>公顷、章庙村</w:t>
      </w:r>
      <w:r>
        <w:rPr>
          <w:rFonts w:ascii="仿宋_GB2312" w:hAnsi="宋体" w:eastAsia="仿宋_GB2312"/>
          <w:sz w:val="28"/>
          <w:szCs w:val="28"/>
        </w:rPr>
        <w:t>10.75</w:t>
      </w:r>
      <w:r>
        <w:rPr>
          <w:rFonts w:hint="eastAsia" w:ascii="仿宋_GB2312" w:hAnsi="宋体" w:eastAsia="仿宋_GB2312"/>
          <w:sz w:val="28"/>
          <w:szCs w:val="28"/>
        </w:rPr>
        <w:t>公顷、双龙庵村</w:t>
      </w:r>
      <w:r>
        <w:rPr>
          <w:rFonts w:ascii="仿宋_GB2312" w:hAnsi="宋体" w:eastAsia="仿宋_GB2312"/>
          <w:sz w:val="28"/>
          <w:szCs w:val="28"/>
        </w:rPr>
        <w:t>13.00</w:t>
      </w:r>
      <w:r>
        <w:rPr>
          <w:rFonts w:hint="eastAsia" w:ascii="仿宋_GB2312" w:hAnsi="宋体" w:eastAsia="仿宋_GB2312"/>
          <w:sz w:val="28"/>
          <w:szCs w:val="28"/>
        </w:rPr>
        <w:t>公顷、诸益村</w:t>
      </w:r>
      <w:r>
        <w:rPr>
          <w:rFonts w:ascii="仿宋_GB2312" w:hAnsi="宋体" w:eastAsia="仿宋_GB2312"/>
          <w:sz w:val="28"/>
          <w:szCs w:val="28"/>
        </w:rPr>
        <w:t>15.25</w:t>
      </w:r>
      <w:r>
        <w:rPr>
          <w:rFonts w:hint="eastAsia" w:ascii="仿宋_GB2312" w:hAnsi="宋体" w:eastAsia="仿宋_GB2312"/>
          <w:sz w:val="28"/>
          <w:szCs w:val="28"/>
        </w:rPr>
        <w:t>公顷、龙埂村</w:t>
      </w:r>
      <w:r>
        <w:rPr>
          <w:rFonts w:ascii="仿宋_GB2312" w:hAnsi="宋体" w:eastAsia="仿宋_GB2312"/>
          <w:sz w:val="28"/>
          <w:szCs w:val="28"/>
        </w:rPr>
        <w:t>9.01</w:t>
      </w:r>
      <w:r>
        <w:rPr>
          <w:rFonts w:hint="eastAsia" w:ascii="仿宋_GB2312" w:hAnsi="宋体" w:eastAsia="仿宋_GB2312"/>
          <w:sz w:val="28"/>
          <w:szCs w:val="28"/>
        </w:rPr>
        <w:t>公顷、双河村</w:t>
      </w:r>
      <w:r>
        <w:rPr>
          <w:rFonts w:ascii="仿宋_GB2312" w:hAnsi="宋体" w:eastAsia="仿宋_GB2312"/>
          <w:sz w:val="28"/>
          <w:szCs w:val="28"/>
        </w:rPr>
        <w:t>16.50</w:t>
      </w:r>
      <w:r>
        <w:rPr>
          <w:rFonts w:hint="eastAsia" w:ascii="仿宋_GB2312" w:hAnsi="宋体" w:eastAsia="仿宋_GB2312"/>
          <w:sz w:val="28"/>
          <w:szCs w:val="28"/>
        </w:rPr>
        <w:t>公顷、仙女井村</w:t>
      </w:r>
      <w:r>
        <w:rPr>
          <w:rFonts w:ascii="仿宋_GB2312" w:hAnsi="宋体" w:eastAsia="仿宋_GB2312"/>
          <w:sz w:val="28"/>
          <w:szCs w:val="28"/>
        </w:rPr>
        <w:t>28.94</w:t>
      </w:r>
      <w:r>
        <w:rPr>
          <w:rFonts w:hint="eastAsia" w:ascii="仿宋_GB2312" w:hAnsi="宋体" w:eastAsia="仿宋_GB2312"/>
          <w:sz w:val="28"/>
          <w:szCs w:val="28"/>
        </w:rPr>
        <w:t>公顷、神佛村34.29公顷。</w:t>
      </w:r>
    </w:p>
    <w:p>
      <w:pPr>
        <w:pStyle w:val="3"/>
      </w:pPr>
      <w:bookmarkStart w:id="34" w:name="_Toc486428858"/>
      <w:r>
        <w:rPr>
          <w:rFonts w:hint="eastAsia"/>
        </w:rPr>
        <w:t>（二）建设用地结构和布局调整</w:t>
      </w:r>
      <w:bookmarkEnd w:id="34"/>
    </w:p>
    <w:p>
      <w:pPr>
        <w:ind w:firstLine="560" w:firstLineChars="200"/>
        <w:rPr>
          <w:rFonts w:ascii="仿宋_GB2312" w:hAnsi="宋体" w:eastAsia="仿宋_GB2312"/>
          <w:sz w:val="28"/>
          <w:szCs w:val="28"/>
        </w:rPr>
      </w:pPr>
      <w:bookmarkStart w:id="35" w:name="_Hlk486338737"/>
      <w:r>
        <w:rPr>
          <w:rFonts w:hint="eastAsia" w:ascii="仿宋_GB2312" w:hAnsi="宋体" w:eastAsia="仿宋_GB2312"/>
          <w:sz w:val="28"/>
          <w:szCs w:val="28"/>
        </w:rPr>
        <w:t>规划</w:t>
      </w:r>
      <w:bookmarkEnd w:id="35"/>
      <w:r>
        <w:rPr>
          <w:rFonts w:hint="eastAsia" w:ascii="仿宋_GB2312" w:hAnsi="宋体" w:eastAsia="仿宋_GB2312"/>
          <w:sz w:val="28"/>
          <w:szCs w:val="28"/>
        </w:rPr>
        <w:t>调整完善后冠英镇2</w:t>
      </w:r>
      <w:r>
        <w:rPr>
          <w:rFonts w:ascii="仿宋_GB2312" w:hAnsi="宋体" w:eastAsia="仿宋_GB2312"/>
          <w:sz w:val="28"/>
          <w:szCs w:val="28"/>
        </w:rPr>
        <w:t>020</w:t>
      </w:r>
      <w:r>
        <w:rPr>
          <w:rFonts w:hint="eastAsia" w:ascii="仿宋_GB2312" w:hAnsi="宋体" w:eastAsia="仿宋_GB2312"/>
          <w:sz w:val="28"/>
          <w:szCs w:val="28"/>
        </w:rPr>
        <w:t>年建设用地总规模为</w:t>
      </w:r>
      <w:r>
        <w:rPr>
          <w:rFonts w:ascii="仿宋_GB2312" w:hAnsi="宋体" w:eastAsia="仿宋_GB2312"/>
          <w:sz w:val="28"/>
          <w:szCs w:val="28"/>
        </w:rPr>
        <w:t>1210.73</w:t>
      </w:r>
      <w:r>
        <w:rPr>
          <w:rFonts w:hint="eastAsia" w:ascii="仿宋_GB2312" w:hAnsi="宋体" w:eastAsia="仿宋_GB2312"/>
          <w:sz w:val="28"/>
          <w:szCs w:val="28"/>
        </w:rPr>
        <w:t>公顷，占全镇土地总面积的比例为</w:t>
      </w:r>
      <w:r>
        <w:rPr>
          <w:rFonts w:ascii="仿宋_GB2312" w:hAnsi="宋体" w:eastAsia="仿宋_GB2312"/>
          <w:sz w:val="28"/>
          <w:szCs w:val="28"/>
        </w:rPr>
        <w:t>21.59%</w:t>
      </w:r>
      <w:r>
        <w:rPr>
          <w:rFonts w:hint="eastAsia" w:ascii="仿宋_GB2312" w:hAnsi="宋体" w:eastAsia="仿宋_GB2312"/>
          <w:sz w:val="28"/>
          <w:szCs w:val="28"/>
        </w:rPr>
        <w:t>。其中城镇建设用地</w:t>
      </w:r>
      <w:r>
        <w:rPr>
          <w:rFonts w:ascii="仿宋_GB2312" w:hAnsi="宋体" w:eastAsia="仿宋_GB2312"/>
          <w:sz w:val="28"/>
          <w:szCs w:val="28"/>
        </w:rPr>
        <w:t>406.07</w:t>
      </w:r>
      <w:r>
        <w:rPr>
          <w:rFonts w:hint="eastAsia" w:ascii="仿宋_GB2312" w:hAnsi="宋体" w:eastAsia="仿宋_GB2312"/>
          <w:sz w:val="28"/>
          <w:szCs w:val="28"/>
        </w:rPr>
        <w:t>公顷，占建设用地总面积的比例为</w:t>
      </w:r>
      <w:r>
        <w:rPr>
          <w:rFonts w:ascii="仿宋_GB2312" w:hAnsi="宋体" w:eastAsia="仿宋_GB2312"/>
          <w:sz w:val="28"/>
          <w:szCs w:val="28"/>
        </w:rPr>
        <w:t>33.54%</w:t>
      </w:r>
      <w:r>
        <w:rPr>
          <w:rFonts w:hint="eastAsia" w:ascii="仿宋_GB2312" w:hAnsi="宋体" w:eastAsia="仿宋_GB2312"/>
          <w:sz w:val="28"/>
          <w:szCs w:val="28"/>
        </w:rPr>
        <w:t>；农村居民点</w:t>
      </w:r>
      <w:r>
        <w:rPr>
          <w:rFonts w:ascii="仿宋_GB2312" w:hAnsi="宋体" w:eastAsia="仿宋_GB2312"/>
          <w:sz w:val="28"/>
          <w:szCs w:val="28"/>
        </w:rPr>
        <w:t>504.26</w:t>
      </w:r>
      <w:r>
        <w:rPr>
          <w:rFonts w:hint="eastAsia" w:ascii="仿宋_GB2312" w:hAnsi="宋体" w:eastAsia="仿宋_GB2312"/>
          <w:sz w:val="28"/>
          <w:szCs w:val="28"/>
        </w:rPr>
        <w:t>公顷，占建设用地总规模的比例为</w:t>
      </w:r>
      <w:r>
        <w:rPr>
          <w:rFonts w:ascii="仿宋_GB2312" w:hAnsi="宋体" w:eastAsia="仿宋_GB2312"/>
          <w:sz w:val="28"/>
          <w:szCs w:val="28"/>
        </w:rPr>
        <w:t>41.65%</w:t>
      </w:r>
      <w:r>
        <w:rPr>
          <w:rFonts w:hint="eastAsia" w:ascii="仿宋_GB2312" w:hAnsi="宋体" w:eastAsia="仿宋_GB2312"/>
          <w:sz w:val="28"/>
          <w:szCs w:val="28"/>
        </w:rPr>
        <w:t>；采矿用地为</w:t>
      </w:r>
      <w:r>
        <w:rPr>
          <w:rFonts w:ascii="仿宋_GB2312" w:hAnsi="宋体" w:eastAsia="仿宋_GB2312"/>
          <w:sz w:val="28"/>
          <w:szCs w:val="28"/>
        </w:rPr>
        <w:t>25.67</w:t>
      </w:r>
      <w:r>
        <w:rPr>
          <w:rFonts w:hint="eastAsia" w:ascii="仿宋_GB2312" w:hAnsi="宋体" w:eastAsia="仿宋_GB2312"/>
          <w:sz w:val="28"/>
          <w:szCs w:val="28"/>
        </w:rPr>
        <w:t>公顷，占建设用地总规模的比例为2.12%；交通水利用地为</w:t>
      </w:r>
      <w:r>
        <w:rPr>
          <w:rFonts w:ascii="仿宋_GB2312" w:hAnsi="宋体" w:eastAsia="仿宋_GB2312"/>
          <w:sz w:val="28"/>
          <w:szCs w:val="28"/>
        </w:rPr>
        <w:t>274.73</w:t>
      </w:r>
      <w:r>
        <w:rPr>
          <w:rFonts w:hint="eastAsia" w:ascii="仿宋_GB2312" w:hAnsi="宋体" w:eastAsia="仿宋_GB2312"/>
          <w:sz w:val="28"/>
          <w:szCs w:val="28"/>
        </w:rPr>
        <w:t>公顷，占建设用地总规模的比例为</w:t>
      </w:r>
      <w:r>
        <w:rPr>
          <w:rFonts w:ascii="仿宋_GB2312" w:hAnsi="宋体" w:eastAsia="仿宋_GB2312"/>
          <w:sz w:val="28"/>
          <w:szCs w:val="28"/>
        </w:rPr>
        <w:t>22.69%</w:t>
      </w:r>
      <w:r>
        <w:rPr>
          <w:rFonts w:hint="eastAsia" w:ascii="仿宋_GB2312" w:hAnsi="宋体" w:eastAsia="仿宋_GB2312"/>
          <w:sz w:val="28"/>
          <w:szCs w:val="28"/>
        </w:rPr>
        <w:t>；其他建设用地为0.00公顷，占建设用地总规模的比例为0.00%。</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规划调整完善后全镇城镇建设用地主要分布在冠英镇社区45.29公顷、天池村</w:t>
      </w:r>
      <w:r>
        <w:rPr>
          <w:rFonts w:ascii="仿宋_GB2312" w:hAnsi="宋体" w:eastAsia="仿宋_GB2312"/>
          <w:sz w:val="28"/>
          <w:szCs w:val="28"/>
        </w:rPr>
        <w:t>13.09</w:t>
      </w:r>
      <w:r>
        <w:rPr>
          <w:rFonts w:hint="eastAsia" w:ascii="仿宋_GB2312" w:hAnsi="宋体" w:eastAsia="仿宋_GB2312"/>
          <w:sz w:val="28"/>
          <w:szCs w:val="28"/>
        </w:rPr>
        <w:t>公顷、马桑村1.18公顷、荣丰村</w:t>
      </w:r>
      <w:r>
        <w:rPr>
          <w:rFonts w:ascii="仿宋_GB2312" w:hAnsi="宋体" w:eastAsia="仿宋_GB2312"/>
          <w:sz w:val="28"/>
          <w:szCs w:val="28"/>
        </w:rPr>
        <w:t>141.93</w:t>
      </w:r>
      <w:r>
        <w:rPr>
          <w:rFonts w:hint="eastAsia" w:ascii="仿宋_GB2312" w:hAnsi="宋体" w:eastAsia="仿宋_GB2312"/>
          <w:sz w:val="28"/>
          <w:szCs w:val="28"/>
        </w:rPr>
        <w:t>公顷、黄益塘村0.78公顷、兴福村</w:t>
      </w:r>
      <w:r>
        <w:rPr>
          <w:rFonts w:ascii="仿宋_GB2312" w:hAnsi="宋体" w:eastAsia="仿宋_GB2312"/>
          <w:sz w:val="28"/>
          <w:szCs w:val="28"/>
        </w:rPr>
        <w:t>53.41</w:t>
      </w:r>
      <w:r>
        <w:rPr>
          <w:rFonts w:hint="eastAsia" w:ascii="仿宋_GB2312" w:hAnsi="宋体" w:eastAsia="仿宋_GB2312"/>
          <w:sz w:val="28"/>
          <w:szCs w:val="28"/>
        </w:rPr>
        <w:t>公顷、石子埂村</w:t>
      </w:r>
      <w:r>
        <w:rPr>
          <w:rFonts w:ascii="仿宋_GB2312" w:hAnsi="宋体" w:eastAsia="仿宋_GB2312"/>
          <w:sz w:val="28"/>
          <w:szCs w:val="28"/>
        </w:rPr>
        <w:t>102.34</w:t>
      </w:r>
      <w:r>
        <w:rPr>
          <w:rFonts w:hint="eastAsia" w:ascii="仿宋_GB2312" w:hAnsi="宋体" w:eastAsia="仿宋_GB2312"/>
          <w:sz w:val="28"/>
          <w:szCs w:val="28"/>
        </w:rPr>
        <w:t>公顷、新街口村7.85公顷、挖断山村0.04公顷、许村2.02公顷、尚村</w:t>
      </w:r>
      <w:r>
        <w:rPr>
          <w:rFonts w:ascii="仿宋_GB2312" w:hAnsi="宋体" w:eastAsia="仿宋_GB2312"/>
          <w:sz w:val="28"/>
          <w:szCs w:val="28"/>
        </w:rPr>
        <w:t>38.14</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规划调整完善后全镇农村居民点用地主要分布在冠英镇社区0.05公顷、青乐村15.45公顷、天池村27.53公顷、马桑村27.13公顷、荣丰村</w:t>
      </w:r>
      <w:r>
        <w:rPr>
          <w:rFonts w:ascii="仿宋_GB2312" w:hAnsi="宋体" w:eastAsia="仿宋_GB2312"/>
          <w:sz w:val="28"/>
          <w:szCs w:val="28"/>
        </w:rPr>
        <w:t>76.26</w:t>
      </w:r>
      <w:r>
        <w:rPr>
          <w:rFonts w:hint="eastAsia" w:ascii="仿宋_GB2312" w:hAnsi="宋体" w:eastAsia="仿宋_GB2312"/>
          <w:sz w:val="28"/>
          <w:szCs w:val="28"/>
        </w:rPr>
        <w:t>公顷、麦子坳村11.01公顷、鸭口山村11.78公顷、黄益塘村17.94公顷、兴福村15.10公顷、石子埂村32.80公顷、新街口村9.08公顷、大兴庙村20.55公顷、徐坝村22.05公顷、河桥村20.38公顷、挖断山村22.61公顷、许村23.01公顷、尚村36.94公顷、章庙村9.53公顷、双龙庵村17.43公顷、诸益村23.16公顷、龙埂村15.54公顷、双河村14.04公顷、仙女井村19.68公顷、神佛村15.21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规划调整完善后全镇采矿用地主要分布情况为青乐村2.97公顷、天池村2.39 公顷、马桑村0.73公顷、荣丰村8.33公顷、麦子坳村0.06公顷、兴福村1.83公顷、新街口村3.12公顷、大兴庙村2.39公顷、河桥村1.74公顷、挖断山村1.14公顷、许村0.97公顷。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规划调整完善后全镇交通水利用地主要分布情况为天池村1.57公顷、马桑村44.29公顷、荣丰村29.95公顷、麦子坳村8.50公顷、鸭口山村16.19公顷、黄益塘村</w:t>
      </w:r>
      <w:r>
        <w:rPr>
          <w:rFonts w:ascii="仿宋_GB2312" w:hAnsi="宋体" w:eastAsia="仿宋_GB2312"/>
          <w:sz w:val="28"/>
          <w:szCs w:val="28"/>
        </w:rPr>
        <w:t>19.17</w:t>
      </w:r>
      <w:r>
        <w:rPr>
          <w:rFonts w:hint="eastAsia" w:ascii="仿宋_GB2312" w:hAnsi="宋体" w:eastAsia="仿宋_GB2312"/>
          <w:sz w:val="28"/>
          <w:szCs w:val="28"/>
        </w:rPr>
        <w:t>公顷、兴福村</w:t>
      </w:r>
      <w:r>
        <w:rPr>
          <w:rFonts w:ascii="仿宋_GB2312" w:hAnsi="宋体" w:eastAsia="仿宋_GB2312"/>
          <w:sz w:val="28"/>
          <w:szCs w:val="28"/>
        </w:rPr>
        <w:t>4.89</w:t>
      </w:r>
      <w:r>
        <w:rPr>
          <w:rFonts w:hint="eastAsia" w:ascii="仿宋_GB2312" w:hAnsi="宋体" w:eastAsia="仿宋_GB2312"/>
          <w:sz w:val="28"/>
          <w:szCs w:val="28"/>
        </w:rPr>
        <w:t>公顷、石子埂村</w:t>
      </w:r>
      <w:r>
        <w:rPr>
          <w:rFonts w:ascii="仿宋_GB2312" w:hAnsi="宋体" w:eastAsia="仿宋_GB2312"/>
          <w:sz w:val="28"/>
          <w:szCs w:val="28"/>
        </w:rPr>
        <w:t>37.81</w:t>
      </w:r>
      <w:r>
        <w:rPr>
          <w:rFonts w:hint="eastAsia" w:ascii="仿宋_GB2312" w:hAnsi="宋体" w:eastAsia="仿宋_GB2312"/>
          <w:sz w:val="28"/>
          <w:szCs w:val="28"/>
        </w:rPr>
        <w:t>公顷、新街口村7.03公顷、大兴庙村17.81公顷、徐坝村12.81公顷、河桥村23.47公顷、挖断山村10.57公顷、许村1.33公顷、尚村11.05公顷、章庙村</w:t>
      </w:r>
      <w:r>
        <w:rPr>
          <w:rFonts w:ascii="仿宋_GB2312" w:hAnsi="宋体" w:eastAsia="仿宋_GB2312"/>
          <w:sz w:val="28"/>
          <w:szCs w:val="28"/>
        </w:rPr>
        <w:t>1.55</w:t>
      </w:r>
      <w:r>
        <w:rPr>
          <w:rFonts w:hint="eastAsia" w:ascii="仿宋_GB2312" w:hAnsi="宋体" w:eastAsia="仿宋_GB2312"/>
          <w:sz w:val="28"/>
          <w:szCs w:val="28"/>
        </w:rPr>
        <w:t>公顷、诸益村9.46公顷、龙埂村3.67公顷、双河村0.75公顷、仙女井村1.01公顷、神佛村11.85公顷。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其他建设用地与调整完善前规划期末规模及布局保持一致。</w:t>
      </w:r>
    </w:p>
    <w:p>
      <w:pPr>
        <w:pStyle w:val="3"/>
      </w:pPr>
      <w:bookmarkStart w:id="36" w:name="_Toc486428859"/>
      <w:r>
        <w:rPr>
          <w:rFonts w:hint="eastAsia"/>
        </w:rPr>
        <w:t>（三）其他用地结构和布局调整</w:t>
      </w:r>
      <w:bookmarkEnd w:id="36"/>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规划调整完善后冠英镇2</w:t>
      </w:r>
      <w:r>
        <w:rPr>
          <w:rFonts w:ascii="仿宋_GB2312" w:hAnsi="宋体" w:eastAsia="仿宋_GB2312"/>
          <w:sz w:val="28"/>
          <w:szCs w:val="28"/>
        </w:rPr>
        <w:t>020</w:t>
      </w:r>
      <w:r>
        <w:rPr>
          <w:rFonts w:hint="eastAsia" w:ascii="仿宋_GB2312" w:hAnsi="宋体" w:eastAsia="仿宋_GB2312"/>
          <w:sz w:val="28"/>
          <w:szCs w:val="28"/>
        </w:rPr>
        <w:t>年其他用地面积为</w:t>
      </w:r>
      <w:r>
        <w:rPr>
          <w:rFonts w:ascii="仿宋_GB2312" w:hAnsi="宋体" w:eastAsia="仿宋_GB2312"/>
          <w:sz w:val="28"/>
          <w:szCs w:val="28"/>
        </w:rPr>
        <w:t>511</w:t>
      </w:r>
      <w:r>
        <w:rPr>
          <w:rFonts w:hint="eastAsia" w:ascii="仿宋_GB2312" w:hAnsi="宋体" w:eastAsia="仿宋_GB2312"/>
          <w:sz w:val="28"/>
          <w:szCs w:val="28"/>
        </w:rPr>
        <w:t>公顷，占全镇土地总面积的比例为</w:t>
      </w:r>
      <w:r>
        <w:rPr>
          <w:rFonts w:ascii="仿宋_GB2312" w:hAnsi="宋体" w:eastAsia="仿宋_GB2312"/>
          <w:sz w:val="28"/>
          <w:szCs w:val="28"/>
        </w:rPr>
        <w:t>9.11%</w:t>
      </w:r>
      <w:r>
        <w:rPr>
          <w:rFonts w:hint="eastAsia" w:ascii="仿宋_GB2312" w:hAnsi="宋体" w:eastAsia="仿宋_GB2312"/>
          <w:sz w:val="28"/>
          <w:szCs w:val="28"/>
        </w:rPr>
        <w:t>。</w:t>
      </w: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37" w:name="_Toc486428860"/>
      <w:r>
        <w:rPr>
          <w:rFonts w:hint="eastAsia"/>
        </w:rPr>
        <w:t>四、耕地和基本农田保护规划</w:t>
      </w:r>
      <w:bookmarkEnd w:id="37"/>
    </w:p>
    <w:p>
      <w:pPr>
        <w:pStyle w:val="3"/>
      </w:pPr>
      <w:bookmarkStart w:id="38" w:name="_Toc486428861"/>
      <w:bookmarkStart w:id="39" w:name="_Toc357580156"/>
      <w:bookmarkStart w:id="40" w:name="_Toc288825065"/>
      <w:r>
        <w:rPr>
          <w:rFonts w:hint="eastAsia"/>
        </w:rPr>
        <w:t>（一）耕地和基本农田保护目标</w:t>
      </w:r>
      <w:bookmarkEnd w:id="38"/>
      <w:bookmarkEnd w:id="39"/>
      <w:bookmarkEnd w:id="40"/>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规划调整完善前冠英镇2020年耕地保有量目标任务为</w:t>
      </w:r>
      <w:r>
        <w:rPr>
          <w:rFonts w:ascii="仿宋_GB2312" w:hAnsi="宋体" w:eastAsia="仿宋_GB2312"/>
          <w:sz w:val="28"/>
          <w:szCs w:val="28"/>
        </w:rPr>
        <w:t>2247.70</w:t>
      </w:r>
      <w:r>
        <w:rPr>
          <w:rFonts w:hint="eastAsia" w:ascii="仿宋_GB2312" w:hAnsi="宋体" w:eastAsia="仿宋_GB2312"/>
          <w:sz w:val="28"/>
          <w:szCs w:val="28"/>
        </w:rPr>
        <w:t>公顷基本农田保护面积目标任务为</w:t>
      </w:r>
      <w:r>
        <w:rPr>
          <w:rFonts w:ascii="仿宋_GB2312" w:hAnsi="宋体" w:eastAsia="仿宋_GB2312"/>
          <w:sz w:val="28"/>
          <w:szCs w:val="28"/>
        </w:rPr>
        <w:t>1126.47</w:t>
      </w:r>
      <w:r>
        <w:rPr>
          <w:rFonts w:hint="eastAsia" w:ascii="仿宋_GB2312" w:hAnsi="宋体" w:eastAsia="仿宋_GB2312"/>
          <w:sz w:val="28"/>
          <w:szCs w:val="28"/>
        </w:rPr>
        <w:t>公顷。调整完善后，全镇安排耕地保有量目标任务为</w:t>
      </w:r>
      <w:r>
        <w:rPr>
          <w:rFonts w:ascii="仿宋_GB2312" w:hAnsi="宋体" w:eastAsia="仿宋_GB2312"/>
          <w:sz w:val="28"/>
          <w:szCs w:val="28"/>
        </w:rPr>
        <w:t>2446.77</w:t>
      </w:r>
      <w:r>
        <w:rPr>
          <w:rFonts w:hint="eastAsia" w:ascii="仿宋_GB2312" w:hAnsi="宋体" w:eastAsia="仿宋_GB2312"/>
          <w:sz w:val="28"/>
          <w:szCs w:val="28"/>
        </w:rPr>
        <w:t>公顷，划定永久基本农田</w:t>
      </w:r>
      <w:r>
        <w:rPr>
          <w:rFonts w:ascii="仿宋_GB2312" w:hAnsi="宋体" w:eastAsia="仿宋_GB2312"/>
          <w:sz w:val="28"/>
          <w:szCs w:val="28"/>
        </w:rPr>
        <w:t>1305</w:t>
      </w:r>
      <w:r>
        <w:rPr>
          <w:rFonts w:hint="eastAsia" w:ascii="仿宋_GB2312" w:hAnsi="宋体" w:eastAsia="仿宋_GB2312"/>
          <w:sz w:val="28"/>
          <w:szCs w:val="28"/>
        </w:rPr>
        <w:t>公顷，耕地保有量和基本农田保护面积分别比调整完善前规划期末规模增加了</w:t>
      </w:r>
      <w:r>
        <w:rPr>
          <w:rFonts w:ascii="仿宋_GB2312" w:hAnsi="宋体" w:eastAsia="仿宋_GB2312"/>
          <w:sz w:val="28"/>
          <w:szCs w:val="28"/>
        </w:rPr>
        <w:t>190.07</w:t>
      </w:r>
      <w:r>
        <w:rPr>
          <w:rFonts w:hint="eastAsia" w:ascii="仿宋_GB2312" w:hAnsi="宋体" w:eastAsia="仿宋_GB2312"/>
          <w:sz w:val="28"/>
          <w:szCs w:val="28"/>
        </w:rPr>
        <w:t>公顷和</w:t>
      </w:r>
      <w:r>
        <w:rPr>
          <w:rFonts w:ascii="仿宋_GB2312" w:hAnsi="宋体" w:eastAsia="仿宋_GB2312"/>
          <w:sz w:val="28"/>
          <w:szCs w:val="28"/>
        </w:rPr>
        <w:t>174.76</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后的耕地保有量和基本农田保护面积在充分考虑各行政村新增建设用地占用耕地、土地后备资源禀赋及实施土地综合整治工程的可行性的基础上分解落实至各村。各村耕地保有量和基本农田保护面积见下表：</w:t>
      </w:r>
    </w:p>
    <w:tbl>
      <w:tblPr>
        <w:tblStyle w:val="13"/>
        <w:tblW w:w="5000" w:type="pct"/>
        <w:jc w:val="center"/>
        <w:tblLayout w:type="autofit"/>
        <w:tblCellMar>
          <w:top w:w="15" w:type="dxa"/>
          <w:left w:w="108" w:type="dxa"/>
          <w:bottom w:w="15" w:type="dxa"/>
          <w:right w:w="108" w:type="dxa"/>
        </w:tblCellMar>
      </w:tblPr>
      <w:tblGrid>
        <w:gridCol w:w="698"/>
        <w:gridCol w:w="1835"/>
        <w:gridCol w:w="3110"/>
        <w:gridCol w:w="2879"/>
      </w:tblGrid>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序号</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行政村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耕地保有量</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基本农田保护面积</w:t>
            </w:r>
          </w:p>
        </w:tc>
      </w:tr>
      <w:tr>
        <w:tblPrEx>
          <w:tblCellMar>
            <w:top w:w="15" w:type="dxa"/>
            <w:left w:w="108" w:type="dxa"/>
            <w:bottom w:w="15" w:type="dxa"/>
            <w:right w:w="108" w:type="dxa"/>
          </w:tblCellMar>
        </w:tblPrEx>
        <w:trPr>
          <w:trHeight w:val="420"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冠英镇社区</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0.5</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青乐村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85.28</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天池村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92.4</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4</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马桑村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74.03</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5</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荣丰村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54.8</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3.15</w:t>
            </w: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6</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麦子坳村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121.28</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93.9</w:t>
            </w: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鸭口山村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128.19</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112.78</w:t>
            </w: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黄益塘村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157.22</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96.93</w:t>
            </w: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兴福村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20.51</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0.3</w:t>
            </w: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10</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石子埂村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49.5</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新街口村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31.52</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大兴庙村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93.56</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13</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徐坝村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120.09</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河桥村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127.82</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15</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挖断山村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126.14</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77.47</w:t>
            </w: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16</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许村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81.69</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2.58</w:t>
            </w: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17</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尚村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119.94</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2.54</w:t>
            </w: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18</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章庙村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57.57</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120.11</w:t>
            </w: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19</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双龙庵村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135.98</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140.15</w:t>
            </w: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20</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诸益村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161.94</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129.99</w:t>
            </w: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21</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龙埂村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100.89</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94.1</w:t>
            </w: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22</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双河村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142.45</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125.35</w:t>
            </w: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23</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仙女井村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214.64</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206.27</w:t>
            </w:r>
          </w:p>
        </w:tc>
      </w:tr>
      <w:tr>
        <w:tblPrEx>
          <w:tblCellMar>
            <w:top w:w="15" w:type="dxa"/>
            <w:left w:w="108" w:type="dxa"/>
            <w:bottom w:w="15" w:type="dxa"/>
            <w:right w:w="108" w:type="dxa"/>
          </w:tblCellMar>
        </w:tblPrEx>
        <w:trPr>
          <w:trHeight w:val="375" w:hRule="atLeast"/>
          <w:jc w:val="center"/>
        </w:trPr>
        <w:tc>
          <w:tcPr>
            <w:tcW w:w="39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24</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神佛村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148.83</w:t>
            </w:r>
          </w:p>
        </w:tc>
        <w:tc>
          <w:tcPr>
            <w:tcW w:w="169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99.38</w:t>
            </w:r>
          </w:p>
        </w:tc>
      </w:tr>
      <w:tr>
        <w:tblPrEx>
          <w:tblCellMar>
            <w:top w:w="15" w:type="dxa"/>
            <w:left w:w="108" w:type="dxa"/>
            <w:bottom w:w="15" w:type="dxa"/>
            <w:right w:w="108" w:type="dxa"/>
          </w:tblCellMar>
        </w:tblPrEx>
        <w:trPr>
          <w:trHeight w:val="285" w:hRule="atLeast"/>
          <w:jc w:val="center"/>
        </w:trPr>
        <w:tc>
          <w:tcPr>
            <w:tcW w:w="1478"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合计</w:t>
            </w:r>
          </w:p>
        </w:tc>
        <w:tc>
          <w:tcPr>
            <w:tcW w:w="182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2446.77</w:t>
            </w:r>
          </w:p>
        </w:tc>
        <w:tc>
          <w:tcPr>
            <w:tcW w:w="169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1305</w:t>
            </w:r>
          </w:p>
        </w:tc>
      </w:tr>
    </w:tbl>
    <w:p>
      <w:pPr>
        <w:pStyle w:val="3"/>
      </w:pPr>
      <w:bookmarkStart w:id="41" w:name="_Toc486428862"/>
      <w:r>
        <w:rPr>
          <w:rFonts w:hint="eastAsia"/>
        </w:rPr>
        <w:t>（二）土地综合整治</w:t>
      </w:r>
      <w:bookmarkEnd w:id="41"/>
    </w:p>
    <w:p>
      <w:pPr>
        <w:pStyle w:val="4"/>
        <w:ind w:firstLine="562"/>
      </w:pPr>
      <w:r>
        <w:t>1</w:t>
      </w:r>
      <w:r>
        <w:rPr>
          <w:rFonts w:hint="eastAsia"/>
        </w:rPr>
        <w:t>．土地整治安排的要求</w:t>
      </w:r>
    </w:p>
    <w:p>
      <w:pPr>
        <w:ind w:firstLine="560" w:firstLineChars="200"/>
        <w:rPr>
          <w:rFonts w:ascii="仿宋_GB2312" w:hAnsi="宋体" w:eastAsia="仿宋_GB2312"/>
          <w:sz w:val="28"/>
          <w:szCs w:val="28"/>
        </w:rPr>
      </w:pPr>
      <w:r>
        <w:rPr>
          <w:rFonts w:hint="eastAsia" w:ascii="仿宋_GB2312" w:hAnsi="宋体" w:eastAsia="仿宋_GB2312"/>
          <w:sz w:val="28"/>
          <w:szCs w:val="28"/>
        </w:rPr>
        <w:t>（1）冠英镇土地整治安排要做到与经济社会发展规划、城乡建设规划、产业发展规划、基础设施建设规划、生态建设和环境保护规划、基本农田保护规划等相协调，以提高规划的针对性和可操作性。</w:t>
      </w:r>
    </w:p>
    <w:p>
      <w:pPr>
        <w:ind w:firstLine="560" w:firstLineChars="200"/>
        <w:rPr>
          <w:rFonts w:ascii="仿宋_GB2312" w:hAnsi="宋体" w:eastAsia="仿宋_GB2312"/>
          <w:sz w:val="28"/>
          <w:szCs w:val="28"/>
        </w:rPr>
      </w:pPr>
      <w:r>
        <w:rPr>
          <w:rFonts w:hint="eastAsia" w:ascii="仿宋_GB2312" w:hAnsi="宋体" w:eastAsia="仿宋_GB2312"/>
          <w:sz w:val="28"/>
          <w:szCs w:val="28"/>
        </w:rPr>
        <w:t>（2）土地整治安排，是在深入调查分析各类土地整治潜力的基础上，综合考虑经济社会发展状况、改善生产生活的愿望和能力以及资金保障水平，来明确土地整治的类型、规模和布局，并确定土地整治重点区域和重点项目。</w:t>
      </w:r>
    </w:p>
    <w:p>
      <w:pPr>
        <w:ind w:firstLine="560" w:firstLineChars="200"/>
        <w:rPr>
          <w:rFonts w:ascii="仿宋_GB2312" w:hAnsi="宋体" w:eastAsia="仿宋_GB2312"/>
          <w:sz w:val="28"/>
          <w:szCs w:val="28"/>
        </w:rPr>
      </w:pPr>
      <w:r>
        <w:rPr>
          <w:rFonts w:hint="eastAsia" w:ascii="仿宋_GB2312" w:hAnsi="宋体" w:eastAsia="仿宋_GB2312"/>
          <w:sz w:val="28"/>
          <w:szCs w:val="28"/>
        </w:rPr>
        <w:t>（3）农村土地整治安排，要注重保持农村风貌和当地特色，保留传统农耕文化和民俗文化中的积极元素，保护农村人文景观和生态环境。</w:t>
      </w:r>
    </w:p>
    <w:p>
      <w:pPr>
        <w:ind w:firstLine="560" w:firstLineChars="200"/>
        <w:rPr>
          <w:rFonts w:ascii="仿宋_GB2312" w:hAnsi="宋体" w:eastAsia="仿宋_GB2312"/>
          <w:sz w:val="28"/>
          <w:szCs w:val="28"/>
        </w:rPr>
      </w:pPr>
      <w:r>
        <w:rPr>
          <w:rFonts w:hint="eastAsia" w:ascii="仿宋_GB2312" w:hAnsi="宋体" w:eastAsia="仿宋_GB2312"/>
          <w:sz w:val="28"/>
          <w:szCs w:val="28"/>
        </w:rPr>
        <w:t>（4）农村土地整治安排，要充分尊重农民意愿，切实维护农民权益。在整治方式、旧房拆迁、新居建设等方面要为农民提供多种选择。</w:t>
      </w:r>
    </w:p>
    <w:p>
      <w:pPr>
        <w:pStyle w:val="4"/>
        <w:ind w:firstLine="562"/>
      </w:pPr>
      <w:r>
        <w:t>3</w:t>
      </w:r>
      <w:r>
        <w:rPr>
          <w:rFonts w:hint="eastAsia"/>
        </w:rPr>
        <w:t>．土地整治规划方案与布局</w:t>
      </w:r>
    </w:p>
    <w:p>
      <w:pPr>
        <w:ind w:firstLine="560" w:firstLineChars="200"/>
        <w:rPr>
          <w:rFonts w:ascii="仿宋_GB2312" w:hAnsi="宋体" w:eastAsia="仿宋_GB2312"/>
          <w:sz w:val="28"/>
          <w:szCs w:val="28"/>
        </w:rPr>
      </w:pPr>
      <w:r>
        <w:rPr>
          <w:rFonts w:hint="eastAsia" w:ascii="仿宋_GB2312" w:hAnsi="宋体" w:eastAsia="仿宋_GB2312"/>
          <w:sz w:val="28"/>
          <w:szCs w:val="28"/>
        </w:rPr>
        <w:t>（1）农用地整理规划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农用地整理范围区安排在基本农田保护区内，未与非农建设用地规划区重合。本着“先易后难”、“集中成片”的原则，选择地理条件、社会经济相对较好的村社优先开展农用地整理。规划期内，全镇农用地整理规模为</w:t>
      </w:r>
      <w:r>
        <w:rPr>
          <w:rFonts w:ascii="仿宋_GB2312" w:hAnsi="宋体" w:eastAsia="仿宋_GB2312"/>
          <w:sz w:val="28"/>
          <w:szCs w:val="28"/>
        </w:rPr>
        <w:t>1115</w:t>
      </w:r>
      <w:r>
        <w:rPr>
          <w:rFonts w:hint="eastAsia" w:ascii="仿宋_GB2312" w:hAnsi="宋体" w:eastAsia="仿宋_GB2312"/>
          <w:sz w:val="28"/>
          <w:szCs w:val="28"/>
        </w:rPr>
        <w:t>公顷，新增耕地面积</w:t>
      </w:r>
      <w:r>
        <w:rPr>
          <w:rFonts w:ascii="仿宋_GB2312" w:hAnsi="宋体" w:eastAsia="仿宋_GB2312"/>
          <w:sz w:val="28"/>
          <w:szCs w:val="28"/>
        </w:rPr>
        <w:t>115</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（2）农村建设用地整理规划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农村建设用地整理优先在基本农田区内开展，利于基本农田成片保护，且有利于促进当地产业发展。集中居住区的规划与城乡建设规划和新农村建设规划相结合，靠近城镇的整理区安排在城镇规划用地区内，远离城镇的整理区就近安排。通过村庄建设统一规划和空心村改造、迁村并点、宅基地调整、村内道路和供排水等基础设施的统一规划和建设，挖掘土地利用潜力，提高土地集约化利用程度，改善农村居民生活条件，美化居住环境。</w:t>
      </w:r>
    </w:p>
    <w:p>
      <w:pPr>
        <w:pStyle w:val="3"/>
      </w:pPr>
      <w:bookmarkStart w:id="42" w:name="_Toc256352745"/>
      <w:bookmarkStart w:id="43" w:name="_Toc248830949"/>
      <w:bookmarkStart w:id="44" w:name="_Toc259716783"/>
      <w:bookmarkStart w:id="45" w:name="_Toc357580158"/>
      <w:bookmarkStart w:id="46" w:name="_Toc486428863"/>
      <w:bookmarkStart w:id="47" w:name="_Toc248831121"/>
      <w:bookmarkStart w:id="48" w:name="_Toc288825067"/>
      <w:bookmarkStart w:id="49" w:name="_Toc271189974"/>
      <w:bookmarkStart w:id="50" w:name="_Toc272826225"/>
      <w:r>
        <w:rPr>
          <w:rFonts w:hint="eastAsia"/>
        </w:rPr>
        <w:t>（三）基本农田数量保护、质量建设和管护的措施</w:t>
      </w:r>
      <w:bookmarkEnd w:id="42"/>
      <w:bookmarkEnd w:id="43"/>
      <w:bookmarkEnd w:id="44"/>
      <w:bookmarkEnd w:id="45"/>
      <w:bookmarkEnd w:id="46"/>
      <w:bookmarkEnd w:id="47"/>
      <w:bookmarkEnd w:id="48"/>
      <w:bookmarkEnd w:id="49"/>
      <w:bookmarkEnd w:id="50"/>
    </w:p>
    <w:p>
      <w:pPr>
        <w:pStyle w:val="4"/>
        <w:ind w:firstLine="562"/>
      </w:pPr>
      <w:r>
        <w:rPr>
          <w:rFonts w:hint="eastAsia"/>
        </w:rPr>
        <w:t>1．合理划定基本农田</w:t>
      </w:r>
    </w:p>
    <w:p>
      <w:pPr>
        <w:ind w:firstLine="560" w:firstLineChars="200"/>
        <w:rPr>
          <w:rFonts w:ascii="仿宋_GB2312" w:hAnsi="宋体" w:eastAsia="仿宋_GB2312"/>
          <w:sz w:val="28"/>
          <w:szCs w:val="28"/>
        </w:rPr>
      </w:pPr>
      <w:r>
        <w:rPr>
          <w:rFonts w:hint="eastAsia" w:ascii="仿宋_GB2312" w:hAnsi="宋体" w:eastAsia="仿宋_GB2312"/>
          <w:sz w:val="28"/>
          <w:szCs w:val="28"/>
        </w:rPr>
        <w:t>按照“面积不减少，质量有提高，布局总体稳定”的原则，合理划定基本农田，并落实到地块。参照农用地分等定级成果，将大面积、集中连片、高质量等级、农业基础条件较好的耕园地划入基本农田保护范围，土地开发整理复垦新增加优质耕地优先划入基本农田。新调整划定的基本农田平均质量等级应高于原有的平均质量等级。上级下达全镇基本农田保护面积目标任务为</w:t>
      </w:r>
      <w:r>
        <w:rPr>
          <w:rFonts w:ascii="仿宋_GB2312" w:hAnsi="宋体" w:eastAsia="仿宋_GB2312"/>
          <w:sz w:val="28"/>
          <w:szCs w:val="28"/>
        </w:rPr>
        <w:t>1305</w:t>
      </w:r>
      <w:r>
        <w:rPr>
          <w:rFonts w:hint="eastAsia" w:ascii="仿宋_GB2312" w:hAnsi="宋体" w:eastAsia="仿宋_GB2312"/>
          <w:sz w:val="28"/>
          <w:szCs w:val="28"/>
        </w:rPr>
        <w:t>公顷，考虑到线型基础设施项目选址的不确定性，永久基本农田划定过程中在完成上级下达的基本农田保护目标任务的基础上，预留了4</w:t>
      </w:r>
      <w:r>
        <w:rPr>
          <w:rFonts w:ascii="仿宋_GB2312" w:hAnsi="宋体" w:eastAsia="仿宋_GB2312"/>
          <w:sz w:val="28"/>
          <w:szCs w:val="28"/>
        </w:rPr>
        <w:t>.59</w:t>
      </w:r>
      <w:r>
        <w:rPr>
          <w:rFonts w:hint="eastAsia" w:ascii="仿宋_GB2312" w:hAnsi="宋体" w:eastAsia="仿宋_GB2312"/>
          <w:sz w:val="28"/>
          <w:szCs w:val="28"/>
        </w:rPr>
        <w:t>公顷大型基础实施项目占用基本农田的补划空间，全镇实际划定1309.59公顷。·</w:t>
      </w:r>
    </w:p>
    <w:p>
      <w:pPr>
        <w:pStyle w:val="4"/>
        <w:ind w:firstLine="562"/>
      </w:pPr>
      <w:r>
        <w:rPr>
          <w:rFonts w:hint="eastAsia"/>
        </w:rPr>
        <w:t>2．合理布局基本农田</w:t>
      </w:r>
    </w:p>
    <w:p>
      <w:pPr>
        <w:ind w:firstLine="560" w:firstLineChars="200"/>
        <w:rPr>
          <w:rFonts w:ascii="仿宋_GB2312" w:hAnsi="宋体" w:eastAsia="仿宋_GB2312"/>
          <w:sz w:val="28"/>
          <w:szCs w:val="28"/>
        </w:rPr>
      </w:pPr>
      <w:r>
        <w:rPr>
          <w:rFonts w:hint="eastAsia" w:ascii="仿宋_GB2312" w:hAnsi="宋体" w:eastAsia="仿宋_GB2312"/>
          <w:sz w:val="28"/>
          <w:szCs w:val="28"/>
        </w:rPr>
        <w:t>适当调整基本农田布局，保证基本农田的稳定性。根据城镇空间拓展和产业用地布局，调出规划城镇发展区域内以及城镇周边未来建设发展范围内的现有基本农田，为城镇发展预留空间；调出低等别、质量较差易损毁、不宜农作的基本农田；调出零星破碎、区位偏僻、不易管理的基本农田以及产业发展区域内基本农田。将生产条件较好、集中连片的现有优质耕园地及土地整理复垦开发新增的优质耕地划为基本农田，保证基本农田保护面积不低于县级下达目标任务。</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基本农田在县级规划基本农田保护区的基础上因规划基数、产业发展及农民集中居住区等原因对基本农田面积进行调整；将农业水利基础条件较好在2010年土地利用变更调查已变更为耕园地及土地整理复垦开发新增的优质耕地调整为基本农田。</w:t>
      </w:r>
    </w:p>
    <w:p>
      <w:pPr>
        <w:pStyle w:val="4"/>
        <w:ind w:firstLine="562"/>
      </w:pPr>
      <w:r>
        <w:rPr>
          <w:rFonts w:hint="eastAsia"/>
        </w:rPr>
        <w:t>3．加大基本农田建设力度稳步提升基本农田质量</w:t>
      </w:r>
    </w:p>
    <w:p>
      <w:pPr>
        <w:ind w:firstLine="560" w:firstLineChars="200"/>
        <w:rPr>
          <w:rFonts w:ascii="仿宋_GB2312" w:hAnsi="宋体" w:eastAsia="仿宋_GB2312"/>
          <w:sz w:val="28"/>
          <w:szCs w:val="28"/>
        </w:rPr>
      </w:pPr>
      <w:r>
        <w:rPr>
          <w:rFonts w:hint="eastAsia" w:ascii="仿宋_GB2312" w:hAnsi="宋体" w:eastAsia="仿宋_GB2312"/>
          <w:sz w:val="28"/>
          <w:szCs w:val="28"/>
        </w:rPr>
        <w:t>积极开展农田水利建设，加强坡改梯等水土保持工程建设，推广节水抗旱技术，按耕地等级实施差别化管理，重点保护优质耕地和水田，建设优质耕地和水田集中区，以提高农田利用率和产出率为目标。加强基本农田保护和高标准基本农田建设，对田水路林村等实行综合整治，不断提高基本农田质量。</w:t>
      </w:r>
    </w:p>
    <w:p>
      <w:pPr>
        <w:pStyle w:val="4"/>
        <w:ind w:firstLine="562"/>
      </w:pPr>
      <w:r>
        <w:rPr>
          <w:rFonts w:hint="eastAsia"/>
        </w:rPr>
        <w:t>4．严格落实基本农田保护制度</w:t>
      </w:r>
    </w:p>
    <w:p>
      <w:pPr>
        <w:ind w:firstLine="560" w:firstLineChars="200"/>
        <w:rPr>
          <w:rFonts w:ascii="仿宋_GB2312" w:hAnsi="宋体" w:eastAsia="仿宋_GB2312"/>
          <w:sz w:val="28"/>
          <w:szCs w:val="28"/>
        </w:rPr>
      </w:pPr>
      <w:r>
        <w:rPr>
          <w:rFonts w:hint="eastAsia" w:ascii="仿宋_GB2312" w:hAnsi="宋体" w:eastAsia="仿宋_GB2312"/>
          <w:sz w:val="28"/>
          <w:szCs w:val="28"/>
        </w:rPr>
        <w:t>除单独选址的能源、交通、水利等基础设施项目，因选址特殊无法避让基本农田的以外，其他建设项目用地一律不得占用基本农田。经依法批准占用基本农田的，必须及时补划，同时征地补偿按法定的最高标准执行，耕地开垦费按全镇最高标准缴纳。禁止违法占用基本农田进行绿色通道、绿化隔离带和防护林建设，禁止占用基本农田发展林果业和挖塘养鱼。</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51" w:name="_Toc486428864"/>
      <w:r>
        <w:rPr>
          <w:rFonts w:hint="eastAsia"/>
        </w:rPr>
        <w:t>五、建设用地规划</w:t>
      </w:r>
      <w:bookmarkEnd w:id="51"/>
    </w:p>
    <w:p>
      <w:pPr>
        <w:pStyle w:val="3"/>
      </w:pPr>
      <w:bookmarkStart w:id="52" w:name="_Toc486428865"/>
      <w:r>
        <w:rPr>
          <w:rFonts w:hint="eastAsia"/>
        </w:rPr>
        <w:t>（一）</w:t>
      </w:r>
      <w:bookmarkStart w:id="53" w:name="_Toc357580159"/>
      <w:r>
        <w:rPr>
          <w:rFonts w:hint="eastAsia"/>
        </w:rPr>
        <w:t>城镇和农村居民点用地控制</w:t>
      </w:r>
      <w:bookmarkEnd w:id="52"/>
      <w:bookmarkEnd w:id="53"/>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规划调整完善后冠英镇2020年建设用地总规模、城镇工矿规模、农村居民点用地规模，分别控制在</w:t>
      </w:r>
      <w:r>
        <w:rPr>
          <w:rFonts w:ascii="仿宋_GB2312" w:hAnsi="宋体" w:eastAsia="仿宋_GB2312"/>
          <w:sz w:val="28"/>
          <w:szCs w:val="28"/>
        </w:rPr>
        <w:t>1210.73</w:t>
      </w:r>
      <w:r>
        <w:rPr>
          <w:rFonts w:hint="eastAsia" w:ascii="仿宋_GB2312" w:hAnsi="宋体" w:eastAsia="仿宋_GB2312"/>
          <w:sz w:val="28"/>
          <w:szCs w:val="28"/>
        </w:rPr>
        <w:t>公顷、</w:t>
      </w:r>
      <w:r>
        <w:rPr>
          <w:rFonts w:ascii="仿宋_GB2312" w:hAnsi="宋体" w:eastAsia="仿宋_GB2312"/>
          <w:sz w:val="28"/>
          <w:szCs w:val="28"/>
        </w:rPr>
        <w:t>431.74</w:t>
      </w:r>
      <w:r>
        <w:rPr>
          <w:rFonts w:hint="eastAsia" w:ascii="仿宋_GB2312" w:hAnsi="宋体" w:eastAsia="仿宋_GB2312"/>
          <w:sz w:val="28"/>
          <w:szCs w:val="28"/>
        </w:rPr>
        <w:t>公顷、</w:t>
      </w:r>
      <w:r>
        <w:rPr>
          <w:rFonts w:ascii="仿宋_GB2312" w:hAnsi="宋体" w:eastAsia="仿宋_GB2312"/>
          <w:sz w:val="28"/>
          <w:szCs w:val="28"/>
        </w:rPr>
        <w:t>504.26</w:t>
      </w:r>
      <w:r>
        <w:rPr>
          <w:rFonts w:hint="eastAsia" w:ascii="仿宋_GB2312" w:hAnsi="宋体" w:eastAsia="仿宋_GB2312"/>
          <w:sz w:val="28"/>
          <w:szCs w:val="28"/>
        </w:rPr>
        <w:t>公顷以内。</w:t>
      </w:r>
    </w:p>
    <w:p>
      <w:pPr>
        <w:pStyle w:val="4"/>
        <w:ind w:firstLine="562"/>
      </w:pPr>
      <w:r>
        <w:rPr>
          <w:rFonts w:hint="eastAsia"/>
        </w:rPr>
        <w:t>1．城镇建设用地调控</w:t>
      </w:r>
    </w:p>
    <w:p>
      <w:pPr>
        <w:ind w:firstLine="560" w:firstLineChars="200"/>
        <w:rPr>
          <w:rFonts w:ascii="仿宋_GB2312" w:hAnsi="宋体" w:eastAsia="仿宋_GB2312"/>
          <w:sz w:val="28"/>
          <w:szCs w:val="28"/>
        </w:rPr>
      </w:pPr>
      <w:r>
        <w:rPr>
          <w:rFonts w:hint="eastAsia" w:ascii="仿宋_GB2312" w:hAnsi="宋体" w:eastAsia="仿宋_GB2312"/>
          <w:sz w:val="28"/>
          <w:szCs w:val="28"/>
        </w:rPr>
        <w:t>城镇发展主要依托于城镇建设。城镇建设要以内涵发展为主，在充分利用存量建设用地、优化城镇建设用地结构和布局的前提下，控制城镇建设用地规模。规划调整完善后2020年全镇城镇用地规模控制在</w:t>
      </w:r>
      <w:r>
        <w:rPr>
          <w:rFonts w:ascii="仿宋_GB2312" w:hAnsi="宋体" w:eastAsia="仿宋_GB2312"/>
          <w:sz w:val="28"/>
          <w:szCs w:val="28"/>
        </w:rPr>
        <w:t>406.07</w:t>
      </w:r>
      <w:r>
        <w:rPr>
          <w:rFonts w:hint="eastAsia" w:ascii="仿宋_GB2312" w:hAnsi="宋体" w:eastAsia="仿宋_GB2312"/>
          <w:sz w:val="28"/>
          <w:szCs w:val="28"/>
        </w:rPr>
        <w:t>公顷，其中现状建设用地规模为</w:t>
      </w:r>
      <w:r>
        <w:rPr>
          <w:rFonts w:ascii="仿宋_GB2312" w:hAnsi="宋体" w:eastAsia="仿宋_GB2312"/>
          <w:sz w:val="28"/>
          <w:szCs w:val="28"/>
        </w:rPr>
        <w:t>212.62</w:t>
      </w:r>
      <w:r>
        <w:rPr>
          <w:rFonts w:hint="eastAsia" w:ascii="仿宋_GB2312" w:hAnsi="宋体" w:eastAsia="仿宋_GB2312"/>
          <w:sz w:val="28"/>
          <w:szCs w:val="28"/>
        </w:rPr>
        <w:t>公顷，新增建设用地规模为</w:t>
      </w:r>
      <w:r>
        <w:rPr>
          <w:rFonts w:ascii="仿宋_GB2312" w:hAnsi="宋体" w:eastAsia="仿宋_GB2312"/>
          <w:sz w:val="28"/>
          <w:szCs w:val="28"/>
        </w:rPr>
        <w:t>193.45</w:t>
      </w:r>
      <w:r>
        <w:rPr>
          <w:rFonts w:hint="eastAsia" w:ascii="仿宋_GB2312" w:hAnsi="宋体" w:eastAsia="仿宋_GB2312"/>
          <w:sz w:val="28"/>
          <w:szCs w:val="28"/>
        </w:rPr>
        <w:t>公顷。</w:t>
      </w:r>
    </w:p>
    <w:p>
      <w:pPr>
        <w:pStyle w:val="4"/>
        <w:ind w:firstLine="562"/>
      </w:pPr>
      <w:bookmarkStart w:id="54" w:name="_Toc272826232"/>
      <w:bookmarkStart w:id="55" w:name="_Toc271901693"/>
      <w:bookmarkStart w:id="56" w:name="_Toc272496878"/>
      <w:r>
        <w:rPr>
          <w:rFonts w:hint="eastAsia"/>
        </w:rPr>
        <w:t>2．农村居民点用地调控</w:t>
      </w:r>
      <w:bookmarkEnd w:id="54"/>
      <w:bookmarkEnd w:id="55"/>
      <w:bookmarkEnd w:id="56"/>
    </w:p>
    <w:p>
      <w:pPr>
        <w:ind w:firstLine="560" w:firstLineChars="200"/>
        <w:rPr>
          <w:rFonts w:ascii="仿宋_GB2312" w:hAnsi="宋体" w:eastAsia="仿宋_GB2312"/>
          <w:sz w:val="28"/>
          <w:szCs w:val="28"/>
        </w:rPr>
      </w:pPr>
      <w:r>
        <w:rPr>
          <w:rFonts w:hint="eastAsia" w:ascii="仿宋_GB2312" w:hAnsi="宋体" w:eastAsia="仿宋_GB2312"/>
          <w:sz w:val="28"/>
          <w:szCs w:val="28"/>
        </w:rPr>
        <w:t>按照统筹城乡发展的要求，促进城乡协调发展，增强城镇带动农村的能力，有效实施农业现代化。按照“撤并自然村、整治空心村。建设中心村”的总体思路，以“金土地工程”为载体，深入推进农村田、水、路、林、村综合整治，依托土地综合整治，推进农民集中居住，大力改善农村居民居住条件。全面推进农村新型社区建设和现代农业发展，着力打造居住与生产生活、公共服务、社会管理综合配套的新农村综合体，建设农村居民幸福美好家园。加强农村产权制度改革成果应用，创新农村农业经营方式，积极推行土地股权合作、农民专业合作等多种合作形式，繁荣发展农村经济，促进农村居民转移就业，努力在农村形成土地规模化、生产企业化、居住城镇化、收入多元化新格局。大力开展“新家园、新生活、新风尚”活动，转变农村居民生产生活方式，促进现代农村与现代城市和谐相融。</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规划调整完善后2020年全镇农村居民点用地规模控制在</w:t>
      </w:r>
      <w:r>
        <w:rPr>
          <w:rFonts w:ascii="仿宋_GB2312" w:hAnsi="宋体" w:eastAsia="仿宋_GB2312"/>
          <w:sz w:val="28"/>
          <w:szCs w:val="28"/>
        </w:rPr>
        <w:t>504.26</w:t>
      </w:r>
      <w:r>
        <w:rPr>
          <w:rFonts w:hint="eastAsia" w:ascii="仿宋_GB2312" w:hAnsi="宋体" w:eastAsia="仿宋_GB2312"/>
          <w:sz w:val="28"/>
          <w:szCs w:val="28"/>
        </w:rPr>
        <w:t>公顷，其中现状建设用地规模为</w:t>
      </w:r>
      <w:r>
        <w:rPr>
          <w:rFonts w:ascii="仿宋_GB2312" w:hAnsi="宋体" w:eastAsia="仿宋_GB2312"/>
          <w:sz w:val="28"/>
          <w:szCs w:val="28"/>
        </w:rPr>
        <w:t>480.36</w:t>
      </w:r>
      <w:r>
        <w:rPr>
          <w:rFonts w:hint="eastAsia" w:ascii="仿宋_GB2312" w:hAnsi="宋体" w:eastAsia="仿宋_GB2312"/>
          <w:sz w:val="28"/>
          <w:szCs w:val="28"/>
        </w:rPr>
        <w:t>公顷，新增建设用地规模为</w:t>
      </w:r>
      <w:r>
        <w:rPr>
          <w:rFonts w:ascii="仿宋_GB2312" w:hAnsi="宋体" w:eastAsia="仿宋_GB2312"/>
          <w:sz w:val="28"/>
          <w:szCs w:val="28"/>
        </w:rPr>
        <w:t>23.90</w:t>
      </w:r>
      <w:r>
        <w:rPr>
          <w:rFonts w:hint="eastAsia" w:ascii="仿宋_GB2312" w:hAnsi="宋体" w:eastAsia="仿宋_GB2312"/>
          <w:sz w:val="28"/>
          <w:szCs w:val="28"/>
        </w:rPr>
        <w:t>公顷。农村居民点用地增量中包括易地扶贫搬迁、地质灾害搬迁等零散农村集体建设用地。</w:t>
      </w:r>
    </w:p>
    <w:p>
      <w:pPr>
        <w:pStyle w:val="3"/>
      </w:pPr>
      <w:bookmarkStart w:id="57" w:name="_Toc357580160"/>
      <w:bookmarkStart w:id="58" w:name="_Toc486428866"/>
      <w:r>
        <w:rPr>
          <w:rFonts w:hint="eastAsia"/>
        </w:rPr>
        <w:t>（二）</w:t>
      </w:r>
      <w:bookmarkEnd w:id="57"/>
      <w:r>
        <w:rPr>
          <w:rFonts w:hint="eastAsia"/>
        </w:rPr>
        <w:t>重点建设项目用地安排</w:t>
      </w:r>
      <w:bookmarkEnd w:id="58"/>
    </w:p>
    <w:p>
      <w:pPr>
        <w:ind w:firstLine="560" w:firstLineChars="200"/>
        <w:rPr>
          <w:rFonts w:ascii="仿宋_GB2312" w:hAnsi="宋体" w:eastAsia="仿宋_GB2312"/>
          <w:sz w:val="28"/>
          <w:szCs w:val="28"/>
        </w:rPr>
      </w:pPr>
      <w:r>
        <w:rPr>
          <w:rFonts w:hint="eastAsia" w:ascii="仿宋_GB2312" w:hAnsi="宋体" w:eastAsia="仿宋_GB2312"/>
          <w:sz w:val="28"/>
          <w:szCs w:val="28"/>
        </w:rPr>
        <w:t>根据省、市、县的重点建设项目安排以及“十三五”期间冠英镇社会经济发展需要，“十三五”期间全镇范围内预计将要实施的重点建设项目共计3</w:t>
      </w:r>
      <w:r>
        <w:rPr>
          <w:rFonts w:ascii="仿宋_GB2312" w:hAnsi="宋体" w:eastAsia="仿宋_GB2312"/>
          <w:sz w:val="28"/>
          <w:szCs w:val="28"/>
        </w:rPr>
        <w:t>7</w:t>
      </w:r>
      <w:r>
        <w:rPr>
          <w:rFonts w:hint="eastAsia" w:ascii="仿宋_GB2312" w:hAnsi="宋体" w:eastAsia="仿宋_GB2312"/>
          <w:sz w:val="28"/>
          <w:szCs w:val="28"/>
        </w:rPr>
        <w:t>项目，规划调整完善后，预留用于保障重点建设项目的本级新增建设用地指标</w:t>
      </w:r>
      <w:r>
        <w:rPr>
          <w:rFonts w:ascii="仿宋_GB2312" w:hAnsi="宋体" w:eastAsia="仿宋_GB2312"/>
          <w:sz w:val="28"/>
          <w:szCs w:val="28"/>
        </w:rPr>
        <w:t>6.35</w:t>
      </w:r>
      <w:r>
        <w:rPr>
          <w:rFonts w:hint="eastAsia" w:ascii="仿宋_GB2312" w:hAnsi="宋体" w:eastAsia="仿宋_GB2312"/>
          <w:sz w:val="28"/>
          <w:szCs w:val="28"/>
        </w:rPr>
        <w:t>公顷，具体项目安排如下：</w:t>
      </w:r>
    </w:p>
    <w:p>
      <w:pPr>
        <w:ind w:firstLine="560" w:firstLineChars="200"/>
        <w:rPr>
          <w:rFonts w:ascii="仿宋_GB2312" w:hAnsi="宋体" w:eastAsia="仿宋_GB2312"/>
          <w:sz w:val="28"/>
          <w:szCs w:val="28"/>
        </w:rPr>
      </w:pPr>
      <w:r>
        <w:rPr>
          <w:rFonts w:hint="eastAsia" w:ascii="仿宋_GB2312" w:hAnsi="宋体" w:eastAsia="仿宋_GB2312"/>
          <w:sz w:val="28"/>
          <w:szCs w:val="28"/>
        </w:rPr>
        <w:t>1.能源项目：老木孔枢纽（岷江航电综合开发）、青龙电业共计</w:t>
      </w:r>
      <w:r>
        <w:rPr>
          <w:rFonts w:ascii="仿宋_GB2312" w:hAnsi="宋体" w:eastAsia="仿宋_GB2312"/>
          <w:sz w:val="28"/>
          <w:szCs w:val="28"/>
        </w:rPr>
        <w:t>2</w:t>
      </w:r>
      <w:r>
        <w:rPr>
          <w:rFonts w:hint="eastAsia" w:ascii="仿宋_GB2312" w:hAnsi="宋体" w:eastAsia="仿宋_GB2312"/>
          <w:sz w:val="28"/>
          <w:szCs w:val="28"/>
        </w:rPr>
        <w:t>项；</w:t>
      </w:r>
    </w:p>
    <w:p>
      <w:pPr>
        <w:ind w:firstLine="560" w:firstLineChars="200"/>
        <w:rPr>
          <w:rFonts w:ascii="仿宋_GB2312" w:hAnsi="宋体" w:eastAsia="仿宋_GB2312"/>
          <w:sz w:val="28"/>
          <w:szCs w:val="28"/>
        </w:rPr>
      </w:pPr>
      <w:r>
        <w:rPr>
          <w:rFonts w:ascii="仿宋_GB2312" w:hAnsi="宋体" w:eastAsia="仿宋_GB2312"/>
          <w:sz w:val="28"/>
          <w:szCs w:val="28"/>
        </w:rPr>
        <w:t>2.</w:t>
      </w:r>
      <w:r>
        <w:rPr>
          <w:rFonts w:hint="eastAsia" w:ascii="仿宋_GB2312" w:hAnsi="宋体" w:eastAsia="仿宋_GB2312"/>
          <w:sz w:val="28"/>
          <w:szCs w:val="28"/>
        </w:rPr>
        <w:t>交通项目：乐山机场、五通港区建设（岷江航电综合开发）、乐山港（老江坝作业区）、成昆新建双线、成贵铁路（乐山至贵阳段）、进港铁路、乐宜高速、乐山港进港大件公路等共计1</w:t>
      </w:r>
      <w:r>
        <w:rPr>
          <w:rFonts w:ascii="仿宋_GB2312" w:hAnsi="宋体" w:eastAsia="仿宋_GB2312"/>
          <w:sz w:val="28"/>
          <w:szCs w:val="28"/>
        </w:rPr>
        <w:t>6</w:t>
      </w:r>
      <w:r>
        <w:rPr>
          <w:rFonts w:hint="eastAsia" w:ascii="仿宋_GB2312" w:hAnsi="宋体" w:eastAsia="仿宋_GB2312"/>
          <w:sz w:val="28"/>
          <w:szCs w:val="28"/>
        </w:rPr>
        <w:t>项；</w:t>
      </w:r>
    </w:p>
    <w:p>
      <w:pPr>
        <w:ind w:firstLine="560" w:firstLineChars="200"/>
        <w:rPr>
          <w:rFonts w:ascii="仿宋_GB2312" w:hAnsi="宋体" w:eastAsia="仿宋_GB2312"/>
          <w:sz w:val="28"/>
          <w:szCs w:val="28"/>
        </w:rPr>
      </w:pPr>
      <w:r>
        <w:rPr>
          <w:rFonts w:hint="eastAsia" w:ascii="仿宋_GB2312" w:hAnsi="宋体" w:eastAsia="仿宋_GB2312"/>
          <w:sz w:val="28"/>
          <w:szCs w:val="28"/>
        </w:rPr>
        <w:t>3</w:t>
      </w:r>
      <w:r>
        <w:rPr>
          <w:rFonts w:ascii="仿宋_GB2312" w:hAnsi="宋体" w:eastAsia="仿宋_GB2312"/>
          <w:sz w:val="28"/>
          <w:szCs w:val="28"/>
        </w:rPr>
        <w:t>.</w:t>
      </w:r>
      <w:r>
        <w:rPr>
          <w:rFonts w:hint="eastAsia" w:ascii="仿宋_GB2312" w:hAnsi="宋体" w:eastAsia="仿宋_GB2312"/>
          <w:sz w:val="28"/>
          <w:szCs w:val="28"/>
        </w:rPr>
        <w:t>水利项目：泊滩堰罐区河湖水系连通工程（三江临港段）、岷江干流乐山段防洪工程、中小河流治理工程、小型水库工程、中小型已成灌区续建配套与节水改造工程、病险水库除险加固工程、农村饮水安全工程等共计7项；</w:t>
      </w:r>
    </w:p>
    <w:p>
      <w:pPr>
        <w:ind w:firstLine="560" w:firstLineChars="200"/>
        <w:rPr>
          <w:rFonts w:ascii="仿宋_GB2312" w:hAnsi="宋体" w:eastAsia="仿宋_GB2312"/>
          <w:sz w:val="28"/>
          <w:szCs w:val="28"/>
        </w:rPr>
      </w:pPr>
      <w:r>
        <w:rPr>
          <w:rFonts w:hint="eastAsia" w:ascii="仿宋_GB2312" w:hAnsi="宋体" w:eastAsia="仿宋_GB2312"/>
          <w:sz w:val="28"/>
          <w:szCs w:val="28"/>
        </w:rPr>
        <w:t>4</w:t>
      </w:r>
      <w:r>
        <w:rPr>
          <w:rFonts w:ascii="仿宋_GB2312" w:hAnsi="宋体" w:eastAsia="仿宋_GB2312"/>
          <w:sz w:val="28"/>
          <w:szCs w:val="28"/>
        </w:rPr>
        <w:t>.</w:t>
      </w:r>
      <w:r>
        <w:rPr>
          <w:rFonts w:hint="eastAsia" w:ascii="仿宋_GB2312" w:hAnsi="宋体" w:eastAsia="仿宋_GB2312"/>
          <w:sz w:val="28"/>
          <w:szCs w:val="28"/>
        </w:rPr>
        <w:t>电力项目：220kv输变电工程、110kv输变电工程、35kv变电扩建工程共计3项；</w:t>
      </w:r>
    </w:p>
    <w:p>
      <w:pPr>
        <w:ind w:firstLine="560" w:firstLineChars="200"/>
        <w:rPr>
          <w:rFonts w:ascii="仿宋_GB2312" w:hAnsi="宋体" w:eastAsia="仿宋_GB2312"/>
          <w:sz w:val="28"/>
          <w:szCs w:val="28"/>
        </w:rPr>
      </w:pPr>
      <w:r>
        <w:rPr>
          <w:rFonts w:hint="eastAsia" w:ascii="仿宋_GB2312" w:hAnsi="宋体" w:eastAsia="仿宋_GB2312"/>
          <w:sz w:val="28"/>
          <w:szCs w:val="28"/>
        </w:rPr>
        <w:t>5</w:t>
      </w:r>
      <w:r>
        <w:rPr>
          <w:rFonts w:ascii="仿宋_GB2312" w:hAnsi="宋体" w:eastAsia="仿宋_GB2312"/>
          <w:sz w:val="28"/>
          <w:szCs w:val="28"/>
        </w:rPr>
        <w:t>.</w:t>
      </w:r>
      <w:r>
        <w:rPr>
          <w:rFonts w:hint="eastAsia" w:ascii="仿宋_GB2312" w:hAnsi="宋体" w:eastAsia="仿宋_GB2312"/>
          <w:sz w:val="28"/>
          <w:szCs w:val="28"/>
        </w:rPr>
        <w:t>旅游项目：冠英湿地公园建设</w:t>
      </w:r>
    </w:p>
    <w:p>
      <w:pPr>
        <w:ind w:firstLine="560" w:firstLineChars="200"/>
        <w:rPr>
          <w:rFonts w:ascii="仿宋_GB2312" w:hAnsi="宋体" w:eastAsia="仿宋_GB2312"/>
          <w:sz w:val="28"/>
          <w:szCs w:val="28"/>
        </w:rPr>
      </w:pPr>
      <w:r>
        <w:rPr>
          <w:rFonts w:hint="eastAsia" w:ascii="仿宋_GB2312" w:hAnsi="宋体" w:eastAsia="仿宋_GB2312"/>
          <w:sz w:val="28"/>
          <w:szCs w:val="28"/>
        </w:rPr>
        <w:t>6</w:t>
      </w:r>
      <w:r>
        <w:rPr>
          <w:rFonts w:ascii="仿宋_GB2312" w:hAnsi="宋体" w:eastAsia="仿宋_GB2312"/>
          <w:sz w:val="28"/>
          <w:szCs w:val="28"/>
        </w:rPr>
        <w:t>.</w:t>
      </w:r>
      <w:r>
        <w:rPr>
          <w:rFonts w:hint="eastAsia" w:ascii="仿宋_GB2312" w:hAnsi="宋体" w:eastAsia="仿宋_GB2312"/>
          <w:sz w:val="28"/>
          <w:szCs w:val="28"/>
        </w:rPr>
        <w:t>其他项目：加气站及输气管道、加油站及输油管道、自来水厂及供水管网工程、污水处理厂（站）及管网设施、垃圾处理厂（站）、通讯电缆工程、殡葬项目、宗教用地等共计8项</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规划期内，须优先保障上述省、市、县级规划的交通、水利、电力等重点基础设施建设项目用地。同时，按照冠英镇新农村建设规划，科学合理规划乡镇公路和村社道路，全面提升乡村道等级。</w:t>
      </w:r>
    </w:p>
    <w:p>
      <w:pPr>
        <w:pStyle w:val="3"/>
      </w:pPr>
      <w:bookmarkStart w:id="59" w:name="_Toc486428867"/>
      <w:r>
        <w:rPr>
          <w:rFonts w:hint="eastAsia"/>
        </w:rPr>
        <w:t>（三）建设用地空间管制</w:t>
      </w:r>
      <w:bookmarkEnd w:id="59"/>
    </w:p>
    <w:p>
      <w:pPr>
        <w:ind w:firstLine="560" w:firstLineChars="200"/>
        <w:rPr>
          <w:rFonts w:ascii="仿宋_GB2312" w:hAnsi="宋体" w:eastAsia="仿宋_GB2312"/>
          <w:sz w:val="28"/>
          <w:szCs w:val="28"/>
        </w:rPr>
      </w:pPr>
      <w:r>
        <w:rPr>
          <w:rFonts w:hint="eastAsia" w:ascii="仿宋_GB2312" w:hAnsi="宋体" w:eastAsia="仿宋_GB2312"/>
          <w:sz w:val="28"/>
          <w:szCs w:val="28"/>
        </w:rPr>
        <w:t>根据上级下达给冠英镇的建设用地指标，在统筹存量与增量建设用地利用，结合冠英镇社会经济发展的实际，在建设用地布局适宜性评价基础上，与相关规划相协调，合理安排建设用地布局，按照建设用地空间管制规则将全镇土地划分为四个区域进行不同的管制。</w:t>
      </w:r>
    </w:p>
    <w:p>
      <w:pPr>
        <w:pStyle w:val="4"/>
        <w:ind w:firstLine="562"/>
      </w:pPr>
      <w:r>
        <w:rPr>
          <w:rFonts w:hint="eastAsia"/>
        </w:rPr>
        <w:t>1．允许建设区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冠英镇城乡建设用地规模边界以内的区域，是规划期内新增城镇、工矿、村庄建设用地规划选址的区域，也是规划确定的城乡建设用地指标落实到空间上的预期用地区。全镇各乡村均有不同量的分布，主要集中分布在荣丰村、兴福村、石子埂村和尚村。该区域面积为</w:t>
      </w:r>
      <w:r>
        <w:rPr>
          <w:rFonts w:ascii="仿宋_GB2312" w:hAnsi="宋体" w:eastAsia="仿宋_GB2312"/>
          <w:sz w:val="28"/>
          <w:szCs w:val="28"/>
        </w:rPr>
        <w:t>944.17</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是土地资源利用程度已经较高、资源环境承载能力开始减弱的区域。要改变依靠大量占用土地、大量消耗资源和大量排放污染实现经济较快增长的模式，严格各类建设用地的审批，以内涵挖潜为主，集约节约利用土地资源，把提高增长质量和效益放在首位，提升企业竞争力，继续成为带动冠英镇经济社会发展的龙头。</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主导用途为城镇建设发展空间，具体土地利用安排应与依法批准的相关规划相协调；区内新增城乡建设用地受规划指标和年度计划指标约束，应统筹增量与存量用地，促进土地节约集约利用；允许建设区边界（规模边界）的调整，须报规划审批机关同级国土资源管理部门审查批准。</w:t>
      </w:r>
    </w:p>
    <w:p>
      <w:pPr>
        <w:pStyle w:val="4"/>
        <w:ind w:firstLine="562"/>
      </w:pPr>
      <w:r>
        <w:rPr>
          <w:rFonts w:hint="eastAsia"/>
        </w:rPr>
        <w:t>2．有条件建设区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为适应城乡建设发展的不确定性，在城乡建设用地规模边界之外，扩展边界以内的范围。为适应城乡建设发展的不确定性，在城乡建设用地规模边界（允许建设区）之外，划定城、镇、村、工矿建设规划期内可选择布局的区域。</w:t>
      </w:r>
    </w:p>
    <w:p>
      <w:pPr>
        <w:ind w:firstLine="560" w:firstLineChars="200"/>
        <w:rPr>
          <w:rFonts w:ascii="仿宋_GB2312" w:hAnsi="宋体" w:eastAsia="仿宋_GB2312"/>
          <w:sz w:val="28"/>
          <w:szCs w:val="28"/>
        </w:rPr>
      </w:pPr>
      <w:r>
        <w:rPr>
          <w:rFonts w:hint="eastAsia" w:ascii="仿宋_GB2312" w:hAnsi="宋体" w:eastAsia="仿宋_GB2312"/>
          <w:sz w:val="28"/>
          <w:szCs w:val="28"/>
        </w:rPr>
        <w:t>有条件建设区的设立主要为适应城乡建设发展的不确定性，根据《国土资源部办公厅关于印发市县乡级土地利用总体规划编制指导意见的通知》[2009]51号文等相关文件的精神，“有条件建设区的确定，应充分考虑城市发展趋势、空间拓展模式和主要发展方向。”以此为标准划定冠英镇有条件建设区规模为</w:t>
      </w:r>
      <w:r>
        <w:rPr>
          <w:rFonts w:ascii="仿宋_GB2312" w:hAnsi="宋体" w:eastAsia="仿宋_GB2312"/>
          <w:sz w:val="28"/>
          <w:szCs w:val="28"/>
        </w:rPr>
        <w:t>1656.53</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资源环境承载能力较强、经济和人口集聚条件较好的区域，因此鼓励该区域充实基础设施，改善投资创业环境，促进产业集群发展，壮大经济规模，加快工业化和城镇化，承接允许建设区内可能发生的产业转移，承接限制开发区域和禁止开发区域的人口转移，逐步成为支撑经济发展和人口集聚的重要载体。</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符合规定的，可依程序办理建设用地审批手续，同时相应核减允许建设区用地规模；规划实施过程中，在允许建设区面积不改变的前提下，其空间布局形态可依程序进行调整，但不得突破建设用地扩展边界；区内村庄应限制新增规模，鼓励更新改造，逐步与城市功能相协调；规划期内建设用地扩展边界原则上不得调整。如需调整按规划修改处理，严格论证，报规划审批机关批准。</w:t>
      </w:r>
    </w:p>
    <w:p>
      <w:pPr>
        <w:pStyle w:val="4"/>
        <w:ind w:firstLine="562"/>
      </w:pPr>
      <w:r>
        <w:rPr>
          <w:rFonts w:hint="eastAsia"/>
        </w:rPr>
        <w:t>3．限制建设区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该区域主要是冠英镇境内农村腹地区域，这些地区区位优势不明显，土地资源利用主要以农业为主。该区范围面积为</w:t>
      </w:r>
      <w:r>
        <w:rPr>
          <w:rFonts w:ascii="仿宋_GB2312" w:hAnsi="宋体" w:eastAsia="仿宋_GB2312"/>
          <w:sz w:val="28"/>
          <w:szCs w:val="28"/>
        </w:rPr>
        <w:t>3000.43</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必须严格贯彻生态环境保护的方针，除必要的公共建设项目和少量与资源条件紧密相关的无污染轻型工业外，严格控制建设用地的审批。尤其在生态环境脆弱、经济欠发达的地区，要根据生态环境保护的需要，因地制宜，合理安排退耕还林和土地开发整理。</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管制规则：区内土地主导用途为农业生产空间，是发展农业生产，开展土地整治和基本农田建设的主要区域；区内禁止城、镇、村建设，控制线型基础设施和独立建设项目用地。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四 禁止建设区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冠英镇范围内未划定禁止建设区。</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60" w:name="_Toc486428868"/>
      <w:r>
        <w:rPr>
          <w:rFonts w:hint="eastAsia"/>
        </w:rPr>
        <w:t>六、用途分区</w:t>
      </w:r>
      <w:bookmarkEnd w:id="60"/>
    </w:p>
    <w:p>
      <w:pPr>
        <w:ind w:firstLine="560" w:firstLineChars="200"/>
        <w:rPr>
          <w:rFonts w:ascii="仿宋_GB2312" w:hAnsi="宋体" w:eastAsia="仿宋_GB2312"/>
          <w:sz w:val="28"/>
          <w:szCs w:val="28"/>
        </w:rPr>
      </w:pPr>
      <w:r>
        <w:rPr>
          <w:rFonts w:hint="eastAsia" w:ascii="仿宋_GB2312" w:hAnsi="宋体" w:eastAsia="仿宋_GB2312"/>
          <w:sz w:val="28"/>
          <w:szCs w:val="28"/>
        </w:rPr>
        <w:t>此次规划调整完善，按照全镇国民经济发展需要和土地利用的主要用途，将冠英镇土地划分为：基本农田保护区、一般农地区、城镇村建设用地区、独立工矿用地区、林业用地区、其他用地区等六种土地用途区。</w:t>
      </w:r>
    </w:p>
    <w:p>
      <w:pPr>
        <w:pStyle w:val="3"/>
      </w:pPr>
      <w:bookmarkStart w:id="61" w:name="_Toc259716770"/>
      <w:bookmarkStart w:id="62" w:name="_Toc357580169"/>
      <w:bookmarkStart w:id="63" w:name="_Toc272826212"/>
      <w:bookmarkStart w:id="64" w:name="_Toc288825079"/>
      <w:bookmarkStart w:id="65" w:name="_Toc271189964"/>
      <w:bookmarkStart w:id="66" w:name="_Toc486428869"/>
      <w:r>
        <w:rPr>
          <w:rFonts w:hint="eastAsia"/>
        </w:rPr>
        <w:t>（一）基本农田保护区</w:t>
      </w:r>
      <w:bookmarkEnd w:id="61"/>
      <w:bookmarkEnd w:id="62"/>
      <w:bookmarkEnd w:id="63"/>
      <w:bookmarkEnd w:id="64"/>
      <w:bookmarkEnd w:id="65"/>
      <w:bookmarkEnd w:id="66"/>
    </w:p>
    <w:p>
      <w:pPr>
        <w:ind w:firstLine="560" w:firstLineChars="200"/>
        <w:rPr>
          <w:rFonts w:ascii="仿宋_GB2312" w:hAnsi="宋体" w:eastAsia="仿宋_GB2312"/>
          <w:sz w:val="28"/>
          <w:szCs w:val="28"/>
        </w:rPr>
      </w:pPr>
      <w:r>
        <w:rPr>
          <w:rFonts w:hint="eastAsia" w:ascii="仿宋_GB2312" w:hAnsi="宋体" w:eastAsia="仿宋_GB2312"/>
          <w:sz w:val="28"/>
          <w:szCs w:val="28"/>
        </w:rPr>
        <w:t>基本农田保护区是指为对耕地及其他优质农用地进行特殊保护和管理划定的土地用途区。本区包括全镇区域内划定的基本农田以及为基本农田和生态建设服务的农村道路、农田水利、农田防护林和其他农业设施，还包括农田之间的零星土地。本区划定面积为1545.91公顷，占全镇土地总面积的27.57%。</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本区土地利用管制规则如下：</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（1）区内土地主要用作基本农田和直接为基本农田服务的农村道路、水利、农田防护林及其他农业设施；区内的一般耕地，应按照基本农田管制政策进行管护；</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（2）区内现有非农建设用地和其他零星农用地应当整理、复垦或调整为基本农田，规划期间确实不能复垦或调整的，可保留现状用途，但不得扩大面积；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（3）禁止占用区内土地进行非农建设，禁止在基本农田保护区内建房、建窑、建坟、挖砂、采矿、取土、堆放固体废弃物或者进行其他破坏基本农田的活动；禁止占用基本农田发展林果业和挖塘养鱼。</w:t>
      </w:r>
    </w:p>
    <w:p>
      <w:pPr>
        <w:pStyle w:val="3"/>
      </w:pPr>
      <w:bookmarkStart w:id="67" w:name="_Toc272826213"/>
      <w:bookmarkStart w:id="68" w:name="_Toc259716771"/>
      <w:bookmarkStart w:id="69" w:name="_Toc248830941"/>
      <w:bookmarkStart w:id="70" w:name="_Toc256352736"/>
      <w:bookmarkStart w:id="71" w:name="_Toc271189965"/>
      <w:bookmarkStart w:id="72" w:name="_Toc248831113"/>
      <w:bookmarkStart w:id="73" w:name="_Toc288825080"/>
      <w:bookmarkStart w:id="74" w:name="_Toc357580170"/>
      <w:bookmarkStart w:id="75" w:name="_Toc486428870"/>
      <w:r>
        <w:rPr>
          <w:rFonts w:hint="eastAsia"/>
        </w:rPr>
        <w:t>（二）一般农地区</w:t>
      </w:r>
      <w:bookmarkEnd w:id="67"/>
      <w:bookmarkEnd w:id="68"/>
      <w:bookmarkEnd w:id="69"/>
      <w:bookmarkEnd w:id="70"/>
      <w:bookmarkEnd w:id="71"/>
      <w:bookmarkEnd w:id="72"/>
      <w:bookmarkEnd w:id="73"/>
      <w:bookmarkEnd w:id="74"/>
      <w:bookmarkEnd w:id="75"/>
    </w:p>
    <w:p>
      <w:pPr>
        <w:ind w:firstLine="560" w:firstLineChars="200"/>
        <w:rPr>
          <w:rFonts w:ascii="仿宋_GB2312" w:hAnsi="宋体" w:eastAsia="仿宋_GB2312"/>
          <w:sz w:val="28"/>
          <w:szCs w:val="28"/>
        </w:rPr>
      </w:pPr>
      <w:r>
        <w:rPr>
          <w:rFonts w:hint="eastAsia" w:ascii="仿宋_GB2312" w:hAnsi="宋体" w:eastAsia="仿宋_GB2312"/>
          <w:sz w:val="28"/>
          <w:szCs w:val="28"/>
        </w:rPr>
        <w:t>一般农地区是指基本农田保护区以外，为农业生产发展需要划定的土地用途区。本区包括现有成片的果园、桑园、茶园等种植园用地，畜禽和水产养殖用地，城镇绿化隔离带用地。本区划定面积为</w:t>
      </w:r>
      <w:r>
        <w:rPr>
          <w:rFonts w:ascii="仿宋_GB2312" w:hAnsi="宋体" w:eastAsia="仿宋_GB2312"/>
          <w:sz w:val="28"/>
          <w:szCs w:val="28"/>
        </w:rPr>
        <w:t>1615.26</w:t>
      </w:r>
      <w:r>
        <w:rPr>
          <w:rFonts w:hint="eastAsia" w:ascii="仿宋_GB2312" w:hAnsi="宋体" w:eastAsia="仿宋_GB2312"/>
          <w:sz w:val="28"/>
          <w:szCs w:val="28"/>
        </w:rPr>
        <w:t>公顷，占全镇土地总面积的</w:t>
      </w:r>
      <w:r>
        <w:rPr>
          <w:rFonts w:ascii="仿宋_GB2312" w:hAnsi="宋体" w:eastAsia="仿宋_GB2312"/>
          <w:sz w:val="28"/>
          <w:szCs w:val="28"/>
        </w:rPr>
        <w:t>28.81%</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（1）区内土地主要为耕地、园地、畜禽水产养殖地和直接为农业生产服务的农村道路、农田水利、农田防护林及其他农业设施用地；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（2）区内现有非农建设用地和其他零星农用地应当优先整理、复垦或调整为耕地、园地，规划期间确实不能整理、复垦或调整的，可保留现状用途，但不得扩大面积；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（3）不得闲置、破坏、污染和荒芜区内土地。</w:t>
      </w:r>
    </w:p>
    <w:p>
      <w:pPr>
        <w:pStyle w:val="3"/>
      </w:pPr>
      <w:bookmarkStart w:id="76" w:name="_Toc302919479"/>
      <w:bookmarkStart w:id="77" w:name="_Toc302922705"/>
      <w:bookmarkStart w:id="78" w:name="_Toc357580171"/>
      <w:bookmarkStart w:id="79" w:name="_Toc486428871"/>
      <w:r>
        <w:rPr>
          <w:rFonts w:hint="eastAsia"/>
        </w:rPr>
        <w:t>（三）城镇建设用地区</w:t>
      </w:r>
      <w:bookmarkEnd w:id="76"/>
      <w:bookmarkEnd w:id="77"/>
      <w:bookmarkEnd w:id="78"/>
      <w:bookmarkEnd w:id="79"/>
    </w:p>
    <w:p>
      <w:pPr>
        <w:ind w:firstLine="560" w:firstLineChars="200"/>
        <w:rPr>
          <w:rFonts w:ascii="仿宋_GB2312" w:hAnsi="宋体" w:eastAsia="仿宋_GB2312"/>
          <w:sz w:val="28"/>
          <w:szCs w:val="28"/>
        </w:rPr>
      </w:pPr>
      <w:r>
        <w:rPr>
          <w:rFonts w:hint="eastAsia" w:ascii="仿宋_GB2312" w:hAnsi="宋体" w:eastAsia="仿宋_GB2312"/>
          <w:sz w:val="28"/>
          <w:szCs w:val="28"/>
        </w:rPr>
        <w:t>城镇建设用地区是指为建制镇（含各类开发区和园区）建设需要划定的土地用途区。本区主要包括现有城镇建设用地，规划期间新增的城镇建设发展用地，附属于城镇和村镇的开发区、工业小区等现状及规划建设用地。本区划定面积为</w:t>
      </w:r>
      <w:r>
        <w:rPr>
          <w:rFonts w:ascii="仿宋_GB2312" w:hAnsi="宋体" w:eastAsia="仿宋_GB2312"/>
          <w:sz w:val="28"/>
          <w:szCs w:val="28"/>
        </w:rPr>
        <w:t>407.75</w:t>
      </w:r>
      <w:r>
        <w:rPr>
          <w:rFonts w:hint="eastAsia" w:ascii="仿宋_GB2312" w:hAnsi="宋体" w:eastAsia="仿宋_GB2312"/>
          <w:sz w:val="28"/>
          <w:szCs w:val="28"/>
        </w:rPr>
        <w:t>公顷，占全镇土地总面积的</w:t>
      </w:r>
      <w:r>
        <w:rPr>
          <w:rFonts w:ascii="仿宋_GB2312" w:hAnsi="宋体" w:eastAsia="仿宋_GB2312"/>
          <w:sz w:val="28"/>
          <w:szCs w:val="28"/>
        </w:rPr>
        <w:t>7.27%</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（1）区内土地主要用于城镇建设，须符合经批准的城镇建设规划；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（2）区内城镇建设应优先利用现有低效建设用地、闲置地和废弃地；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（3）区内农用地在批准改变用途之前，应当按原用途使用，不得荒芜。</w:t>
      </w:r>
    </w:p>
    <w:p>
      <w:pPr>
        <w:pStyle w:val="3"/>
      </w:pPr>
      <w:bookmarkStart w:id="80" w:name="_Toc248830943"/>
      <w:bookmarkStart w:id="81" w:name="_Toc248831115"/>
      <w:bookmarkStart w:id="82" w:name="_Toc256352738"/>
      <w:bookmarkStart w:id="83" w:name="_Toc259716773"/>
      <w:bookmarkStart w:id="84" w:name="_Toc271189966"/>
      <w:bookmarkStart w:id="85" w:name="_Toc272826214"/>
      <w:bookmarkStart w:id="86" w:name="_Toc288825081"/>
      <w:bookmarkStart w:id="87" w:name="_Toc357580172"/>
      <w:bookmarkStart w:id="88" w:name="_Toc486428872"/>
      <w:r>
        <w:rPr>
          <w:rFonts w:hint="eastAsia"/>
        </w:rPr>
        <w:t>（四）村镇建设用地区</w:t>
      </w:r>
      <w:bookmarkEnd w:id="80"/>
      <w:bookmarkEnd w:id="81"/>
      <w:bookmarkEnd w:id="82"/>
      <w:bookmarkEnd w:id="83"/>
      <w:bookmarkEnd w:id="84"/>
      <w:bookmarkEnd w:id="85"/>
      <w:bookmarkEnd w:id="86"/>
      <w:bookmarkEnd w:id="87"/>
      <w:bookmarkEnd w:id="88"/>
    </w:p>
    <w:p>
      <w:pPr>
        <w:ind w:firstLine="560" w:firstLineChars="200"/>
        <w:rPr>
          <w:rFonts w:ascii="仿宋_GB2312" w:hAnsi="宋体" w:eastAsia="仿宋_GB2312"/>
          <w:sz w:val="28"/>
          <w:szCs w:val="28"/>
        </w:rPr>
      </w:pPr>
      <w:r>
        <w:rPr>
          <w:rFonts w:hint="eastAsia" w:ascii="仿宋_GB2312" w:hAnsi="宋体" w:eastAsia="仿宋_GB2312"/>
          <w:sz w:val="28"/>
          <w:szCs w:val="28"/>
        </w:rPr>
        <w:t>村镇建设用地区是指为农村居民点（村庄和集镇）建设需要划定的土地用途区。本区主要包括现有集镇和农民集中居住区建设用地，规划期间新增的农民集中居住区建设发展用地。本区划定面积为</w:t>
      </w:r>
      <w:r>
        <w:rPr>
          <w:rFonts w:ascii="仿宋_GB2312" w:hAnsi="宋体" w:eastAsia="仿宋_GB2312"/>
          <w:sz w:val="28"/>
          <w:szCs w:val="28"/>
        </w:rPr>
        <w:t>510.39</w:t>
      </w:r>
      <w:r>
        <w:rPr>
          <w:rFonts w:hint="eastAsia" w:ascii="仿宋_GB2312" w:hAnsi="宋体" w:eastAsia="仿宋_GB2312"/>
          <w:sz w:val="28"/>
          <w:szCs w:val="28"/>
        </w:rPr>
        <w:t>公顷，占全镇土地总面积的</w:t>
      </w:r>
      <w:r>
        <w:rPr>
          <w:rFonts w:ascii="仿宋_GB2312" w:hAnsi="宋体" w:eastAsia="仿宋_GB2312"/>
          <w:sz w:val="28"/>
          <w:szCs w:val="28"/>
        </w:rPr>
        <w:t>9.1%</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（1）区内土地主要用于城镇、农村居民点建设，须符合经批准的城镇、村庄建设规划；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（2）区内城镇建设应优先利用现有低效建设用地、闲置地和废弃地；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（3）区内农用地在批准改变用途之前，应当按原用途使用，不得荒芜。</w:t>
      </w:r>
    </w:p>
    <w:p>
      <w:pPr>
        <w:pStyle w:val="3"/>
      </w:pPr>
      <w:bookmarkStart w:id="89" w:name="_Toc248830944"/>
      <w:bookmarkStart w:id="90" w:name="_Toc248831116"/>
      <w:bookmarkStart w:id="91" w:name="_Toc256352739"/>
      <w:bookmarkStart w:id="92" w:name="_Toc259716774"/>
      <w:bookmarkStart w:id="93" w:name="_Toc271189967"/>
      <w:bookmarkStart w:id="94" w:name="_Toc272872578"/>
      <w:bookmarkStart w:id="95" w:name="_Toc287626070"/>
      <w:bookmarkStart w:id="96" w:name="_Toc288825082"/>
      <w:bookmarkStart w:id="97" w:name="_Toc357580173"/>
      <w:bookmarkStart w:id="98" w:name="_Toc486428873"/>
      <w:r>
        <w:rPr>
          <w:rFonts w:hint="eastAsia"/>
        </w:rPr>
        <w:t>（五）独立工矿用地区</w:t>
      </w:r>
      <w:bookmarkEnd w:id="89"/>
      <w:bookmarkEnd w:id="90"/>
      <w:bookmarkEnd w:id="91"/>
      <w:bookmarkEnd w:id="92"/>
      <w:bookmarkEnd w:id="93"/>
      <w:bookmarkEnd w:id="94"/>
      <w:bookmarkEnd w:id="95"/>
      <w:bookmarkEnd w:id="96"/>
      <w:bookmarkEnd w:id="97"/>
      <w:bookmarkEnd w:id="98"/>
    </w:p>
    <w:p>
      <w:pPr>
        <w:ind w:firstLine="560" w:firstLineChars="200"/>
        <w:rPr>
          <w:rFonts w:ascii="仿宋_GB2312" w:hAnsi="宋体" w:eastAsia="仿宋_GB2312"/>
          <w:sz w:val="28"/>
          <w:szCs w:val="28"/>
        </w:rPr>
      </w:pPr>
      <w:r>
        <w:rPr>
          <w:rFonts w:hint="eastAsia" w:ascii="仿宋_GB2312" w:hAnsi="宋体" w:eastAsia="仿宋_GB2312"/>
          <w:sz w:val="28"/>
          <w:szCs w:val="28"/>
        </w:rPr>
        <w:t>独立工矿用地区是指为独立于城镇村之外的采矿用地以及其他独立建设用地发展需要划定的土地用途区。本区包括独立于城镇村建设用地区以外、规划期间不改变用途的采矿用地及其它独立建设用地，其中已划入其它土地用途区的除外，以及独立于城镇村建设用地区以外，规划期间已列入计划的采矿业发展用地、不宜在居民点内配置的其它独立建设用地。本区划定面积为</w:t>
      </w:r>
      <w:r>
        <w:rPr>
          <w:rFonts w:ascii="仿宋_GB2312" w:hAnsi="宋体" w:eastAsia="仿宋_GB2312"/>
          <w:sz w:val="28"/>
          <w:szCs w:val="28"/>
        </w:rPr>
        <w:t>26.03</w:t>
      </w:r>
      <w:r>
        <w:rPr>
          <w:rFonts w:hint="eastAsia" w:ascii="仿宋_GB2312" w:hAnsi="宋体" w:eastAsia="仿宋_GB2312"/>
          <w:sz w:val="28"/>
          <w:szCs w:val="28"/>
        </w:rPr>
        <w:t>公顷，占全镇土地总面积的0.46%。</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本区的土地用途管制规则为：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（1）区内土地主要用于采矿业以及不宜在居民点内配置的工业用地；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（2）区内土地使用应符合经批准的工矿建设规划；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（3）区内因生产建设挖损、塌陷、压占的土地应及时复垦；</w:t>
      </w:r>
    </w:p>
    <w:p>
      <w:pPr>
        <w:ind w:firstLine="560" w:firstLineChars="200"/>
        <w:rPr>
          <w:rFonts w:ascii="仿宋_GB2312" w:hAnsi="宋体" w:eastAsia="仿宋_GB2312"/>
          <w:sz w:val="28"/>
          <w:szCs w:val="28"/>
        </w:rPr>
      </w:pPr>
      <w:r>
        <w:rPr>
          <w:rFonts w:hint="eastAsia" w:ascii="仿宋_GB2312" w:hAnsi="宋体" w:eastAsia="仿宋_GB2312"/>
          <w:sz w:val="28"/>
          <w:szCs w:val="28"/>
        </w:rPr>
        <w:t>（4）区内建设应优先利用现有低效建设用地、闲置地和废弃地；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（5）区内农用地在批准改变用途之前，应当按原用途使用，不得荒芜。</w:t>
      </w:r>
    </w:p>
    <w:p>
      <w:pPr>
        <w:pStyle w:val="3"/>
      </w:pPr>
      <w:bookmarkStart w:id="99" w:name="_Toc288825083"/>
      <w:bookmarkStart w:id="100" w:name="_Toc357580174"/>
      <w:bookmarkStart w:id="101" w:name="_Toc486428874"/>
      <w:r>
        <w:rPr>
          <w:rFonts w:hint="eastAsia"/>
        </w:rPr>
        <w:t>（六）林业用地区</w:t>
      </w:r>
      <w:bookmarkEnd w:id="99"/>
      <w:bookmarkEnd w:id="100"/>
      <w:bookmarkEnd w:id="101"/>
    </w:p>
    <w:p>
      <w:pPr>
        <w:ind w:firstLine="560" w:firstLineChars="200"/>
        <w:rPr>
          <w:rFonts w:ascii="仿宋_GB2312" w:hAnsi="宋体" w:eastAsia="仿宋_GB2312"/>
          <w:sz w:val="28"/>
          <w:szCs w:val="28"/>
        </w:rPr>
      </w:pPr>
      <w:r>
        <w:rPr>
          <w:rFonts w:hint="eastAsia" w:ascii="仿宋_GB2312" w:hAnsi="宋体" w:eastAsia="仿宋_GB2312"/>
          <w:sz w:val="28"/>
          <w:szCs w:val="28"/>
        </w:rPr>
        <w:t>林业用地区是指为林业发展需要划定的土地用途区。本区包括现有的已划入其它土地用途区除外的各类林地，已列入生态保护和建设实施项目的造林地，规划期间通过土地整理复垦开发等活动增加的集中连片林地，以及为林业生产和生态建设服务的运输、营林看护、水源保护、水土保持等设施用地以及其它零星土地。本区划定面积为</w:t>
      </w:r>
      <w:r>
        <w:rPr>
          <w:rFonts w:ascii="仿宋_GB2312" w:hAnsi="宋体" w:eastAsia="仿宋_GB2312"/>
          <w:sz w:val="28"/>
          <w:szCs w:val="28"/>
        </w:rPr>
        <w:t>743.1</w:t>
      </w:r>
      <w:r>
        <w:rPr>
          <w:rFonts w:hint="eastAsia" w:ascii="仿宋_GB2312" w:hAnsi="宋体" w:eastAsia="仿宋_GB2312"/>
          <w:sz w:val="28"/>
          <w:szCs w:val="28"/>
        </w:rPr>
        <w:t>公顷，占全镇土地总面积的</w:t>
      </w:r>
      <w:r>
        <w:rPr>
          <w:rFonts w:ascii="仿宋_GB2312" w:hAnsi="宋体" w:eastAsia="仿宋_GB2312"/>
          <w:sz w:val="28"/>
          <w:szCs w:val="28"/>
        </w:rPr>
        <w:t>13.25%</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（1）区内土地主要用于林业生产</w:t>
      </w:r>
      <w:bookmarkStart w:id="147" w:name="_GoBack"/>
      <w:bookmarkEnd w:id="147"/>
      <w:r>
        <w:rPr>
          <w:rFonts w:hint="eastAsia" w:ascii="仿宋_GB2312" w:hAnsi="宋体" w:eastAsia="仿宋_GB2312"/>
          <w:sz w:val="28"/>
          <w:szCs w:val="28"/>
        </w:rPr>
        <w:t>以及直接为林业生产和生态建设服务的营林设施；</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（2）区内现有非农建设用地应当按其适宜性调整为林地或其他类型的营林设施用地，规划期间确实不能调整的，可保留现状用途，但不得扩大面积；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（3）区内零星耕地因生态建设和环境保护需要可转为林地；</w:t>
      </w:r>
    </w:p>
    <w:p>
      <w:pPr>
        <w:ind w:firstLine="560" w:firstLineChars="200"/>
        <w:rPr>
          <w:rFonts w:ascii="仿宋_GB2312" w:hAnsi="宋体" w:eastAsia="仿宋_GB2312"/>
          <w:sz w:val="28"/>
          <w:szCs w:val="28"/>
        </w:rPr>
      </w:pPr>
      <w:r>
        <w:rPr>
          <w:rFonts w:hint="eastAsia" w:ascii="仿宋_GB2312" w:hAnsi="宋体" w:eastAsia="仿宋_GB2312"/>
          <w:sz w:val="28"/>
          <w:szCs w:val="28"/>
        </w:rPr>
        <w:t>（4）不得占用区内土地进行毁林开垦、采石、挖沙、取土等活动。</w:t>
      </w:r>
    </w:p>
    <w:p>
      <w:pPr>
        <w:pStyle w:val="3"/>
      </w:pPr>
      <w:bookmarkStart w:id="102" w:name="_Toc313979681"/>
      <w:bookmarkStart w:id="103" w:name="_Toc313979935"/>
      <w:bookmarkStart w:id="104" w:name="_Toc357580175"/>
      <w:bookmarkStart w:id="105" w:name="_Toc486428875"/>
      <w:r>
        <w:rPr>
          <w:rFonts w:hint="eastAsia"/>
        </w:rPr>
        <w:t>（七）其他用地区</w:t>
      </w:r>
      <w:bookmarkEnd w:id="102"/>
      <w:bookmarkEnd w:id="103"/>
      <w:bookmarkEnd w:id="104"/>
      <w:bookmarkEnd w:id="105"/>
    </w:p>
    <w:p>
      <w:pPr>
        <w:ind w:firstLine="560" w:firstLineChars="200"/>
        <w:rPr>
          <w:rFonts w:ascii="仿宋_GB2312" w:hAnsi="宋体" w:eastAsia="仿宋_GB2312"/>
          <w:sz w:val="28"/>
          <w:szCs w:val="28"/>
        </w:rPr>
      </w:pPr>
      <w:r>
        <w:rPr>
          <w:rFonts w:hint="eastAsia" w:ascii="仿宋_GB2312" w:hAnsi="宋体" w:eastAsia="仿宋_GB2312"/>
          <w:sz w:val="28"/>
          <w:szCs w:val="28"/>
        </w:rPr>
        <w:t>主要包括以上各区外的土地，重点是全镇居民点以外的铁路、公路、管道运输用地，水利设施中的沟渠和水工建筑物用地，以及全镇的未利用地等。该区面积</w:t>
      </w:r>
      <w:r>
        <w:rPr>
          <w:rFonts w:ascii="仿宋_GB2312" w:hAnsi="宋体" w:eastAsia="仿宋_GB2312"/>
          <w:sz w:val="28"/>
          <w:szCs w:val="28"/>
        </w:rPr>
        <w:t>759.12</w:t>
      </w:r>
      <w:r>
        <w:rPr>
          <w:rFonts w:hint="eastAsia" w:ascii="仿宋_GB2312" w:hAnsi="宋体" w:eastAsia="仿宋_GB2312"/>
          <w:sz w:val="28"/>
          <w:szCs w:val="28"/>
        </w:rPr>
        <w:t>公顷，占全镇土地总面积的13.</w:t>
      </w:r>
      <w:r>
        <w:rPr>
          <w:rFonts w:ascii="仿宋_GB2312" w:hAnsi="宋体" w:eastAsia="仿宋_GB2312"/>
          <w:sz w:val="28"/>
          <w:szCs w:val="28"/>
        </w:rPr>
        <w:t>54</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（1）区内土地使用应符合经批准的相关规划；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（3）区内农用地在批准改变用途前，应当按原用途使用，不得荒芜。</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106" w:name="_Toc486428876"/>
      <w:r>
        <w:rPr>
          <w:rFonts w:hint="eastAsia"/>
        </w:rPr>
        <w:t>七、生态保护用地规划</w:t>
      </w:r>
      <w:bookmarkEnd w:id="106"/>
    </w:p>
    <w:p>
      <w:pPr>
        <w:pStyle w:val="3"/>
      </w:pPr>
      <w:bookmarkStart w:id="107" w:name="_Toc357580162"/>
      <w:bookmarkStart w:id="108" w:name="_Toc486428877"/>
      <w:bookmarkStart w:id="109" w:name="_Toc248830955"/>
      <w:bookmarkStart w:id="110" w:name="_Toc248831127"/>
      <w:bookmarkStart w:id="111" w:name="_Toc256352753"/>
      <w:bookmarkStart w:id="112" w:name="_Toc259716798"/>
      <w:bookmarkStart w:id="113" w:name="_Toc271189983"/>
      <w:bookmarkStart w:id="114" w:name="_Toc272826242"/>
      <w:bookmarkStart w:id="115" w:name="_Toc288825072"/>
      <w:r>
        <w:rPr>
          <w:rFonts w:hint="eastAsia"/>
        </w:rPr>
        <w:t>（一）构建良好的农业生态环境基础</w:t>
      </w:r>
      <w:bookmarkEnd w:id="107"/>
      <w:bookmarkEnd w:id="108"/>
    </w:p>
    <w:bookmarkEnd w:id="109"/>
    <w:bookmarkEnd w:id="110"/>
    <w:bookmarkEnd w:id="111"/>
    <w:bookmarkEnd w:id="112"/>
    <w:bookmarkEnd w:id="113"/>
    <w:bookmarkEnd w:id="114"/>
    <w:bookmarkEnd w:id="115"/>
    <w:p>
      <w:pPr>
        <w:pStyle w:val="4"/>
        <w:ind w:firstLine="562"/>
      </w:pPr>
      <w:bookmarkStart w:id="116" w:name="_Toc248830956"/>
      <w:bookmarkStart w:id="117" w:name="_Toc248831128"/>
      <w:bookmarkStart w:id="118" w:name="_Toc256352754"/>
      <w:bookmarkStart w:id="119" w:name="_Toc259716802"/>
      <w:bookmarkStart w:id="120" w:name="_Toc271189984"/>
      <w:bookmarkStart w:id="121" w:name="_Toc272826246"/>
      <w:bookmarkStart w:id="122" w:name="_Toc288825073"/>
      <w:r>
        <w:rPr>
          <w:rFonts w:hint="eastAsia"/>
        </w:rPr>
        <w:t>1．构建生态良好的土地利用格局</w:t>
      </w:r>
    </w:p>
    <w:p>
      <w:pPr>
        <w:ind w:firstLine="560" w:firstLineChars="200"/>
        <w:rPr>
          <w:rFonts w:ascii="仿宋_GB2312" w:hAnsi="宋体" w:eastAsia="仿宋_GB2312"/>
          <w:sz w:val="28"/>
          <w:szCs w:val="28"/>
        </w:rPr>
      </w:pPr>
      <w:r>
        <w:rPr>
          <w:rFonts w:hint="eastAsia" w:ascii="仿宋_GB2312" w:hAnsi="宋体" w:eastAsia="仿宋_GB2312"/>
          <w:sz w:val="28"/>
          <w:szCs w:val="28"/>
        </w:rPr>
        <w:t>因地制宜调整各类用地布局，逐渐形成结构合理、功能互补的空间格局。支持天然林保护、基本农田建设等重大工程，加快建设以大面积、集中连片的森林和基本农田等为主体的生态安全屏障。在城乡用地布局中，将大面积连片基本农田、优质耕地作为绿心、绿带的重要组成部分，构建景观优美、人与自然和谐的宜居环境。</w:t>
      </w:r>
    </w:p>
    <w:bookmarkEnd w:id="116"/>
    <w:bookmarkEnd w:id="117"/>
    <w:bookmarkEnd w:id="118"/>
    <w:bookmarkEnd w:id="119"/>
    <w:bookmarkEnd w:id="120"/>
    <w:bookmarkEnd w:id="121"/>
    <w:bookmarkEnd w:id="122"/>
    <w:p>
      <w:pPr>
        <w:pStyle w:val="4"/>
        <w:ind w:firstLine="562"/>
      </w:pPr>
      <w:r>
        <w:rPr>
          <w:rFonts w:hint="eastAsia"/>
        </w:rPr>
        <w:t>2．生态建设和环境保护用地安排</w:t>
      </w:r>
    </w:p>
    <w:p>
      <w:pPr>
        <w:ind w:firstLine="560" w:firstLineChars="200"/>
        <w:rPr>
          <w:rFonts w:ascii="仿宋_GB2312" w:hAnsi="宋体" w:eastAsia="仿宋_GB2312"/>
          <w:sz w:val="28"/>
          <w:szCs w:val="28"/>
        </w:rPr>
      </w:pPr>
      <w:r>
        <w:rPr>
          <w:rFonts w:hint="eastAsia" w:ascii="仿宋_GB2312" w:hAnsi="宋体" w:eastAsia="仿宋_GB2312"/>
          <w:sz w:val="28"/>
          <w:szCs w:val="28"/>
        </w:rPr>
        <w:t>加强土地生态环境建设，补偿开发建设对生态环境产生的不利影响，逐步改善和提高全镇生态环境质量。</w:t>
      </w:r>
    </w:p>
    <w:p>
      <w:pPr>
        <w:ind w:firstLine="562" w:firstLineChars="200"/>
        <w:rPr>
          <w:rFonts w:ascii="仿宋_GB2312" w:hAnsi="宋体" w:eastAsia="仿宋_GB2312"/>
          <w:b/>
          <w:sz w:val="28"/>
          <w:szCs w:val="28"/>
        </w:rPr>
      </w:pPr>
      <w:bookmarkStart w:id="123" w:name="_Toc272826247"/>
      <w:r>
        <w:rPr>
          <w:rFonts w:hint="eastAsia" w:ascii="仿宋_GB2312" w:hAnsi="宋体" w:eastAsia="仿宋_GB2312"/>
          <w:b/>
          <w:sz w:val="28"/>
          <w:szCs w:val="28"/>
        </w:rPr>
        <w:t>（1）加强基础性生态用地保护</w:t>
      </w:r>
      <w:bookmarkEnd w:id="123"/>
    </w:p>
    <w:p>
      <w:pPr>
        <w:ind w:firstLine="560" w:firstLineChars="200"/>
        <w:rPr>
          <w:rFonts w:ascii="仿宋_GB2312" w:hAnsi="宋体" w:eastAsia="仿宋_GB2312"/>
          <w:sz w:val="28"/>
          <w:szCs w:val="28"/>
        </w:rPr>
      </w:pPr>
      <w:r>
        <w:rPr>
          <w:rFonts w:hint="eastAsia" w:ascii="仿宋_GB2312" w:hAnsi="宋体" w:eastAsia="仿宋_GB2312"/>
          <w:sz w:val="28"/>
          <w:szCs w:val="28"/>
        </w:rPr>
        <w:t>严格保护基础性生态用地。严格控制对有林地、疏林地、未成林造林地和苗圃等基础性生态用地的开发利用，对其他土地的开发，必须在保护和改善生态功能的前提下，严格依据规划统筹安排。构建生态良好的土地利用格局。</w:t>
      </w:r>
    </w:p>
    <w:p>
      <w:pPr>
        <w:ind w:firstLine="562" w:firstLineChars="200"/>
        <w:rPr>
          <w:rFonts w:ascii="仿宋_GB2312" w:hAnsi="宋体" w:eastAsia="仿宋_GB2312"/>
          <w:b/>
          <w:sz w:val="28"/>
          <w:szCs w:val="28"/>
        </w:rPr>
      </w:pPr>
      <w:bookmarkStart w:id="124" w:name="_Toc272826249"/>
      <w:r>
        <w:rPr>
          <w:rFonts w:hint="eastAsia" w:ascii="仿宋_GB2312" w:hAnsi="宋体" w:eastAsia="仿宋_GB2312"/>
          <w:b/>
          <w:sz w:val="28"/>
          <w:szCs w:val="28"/>
        </w:rPr>
        <w:t>（2）因地制宜改善土地生态环境</w:t>
      </w:r>
      <w:bookmarkEnd w:id="124"/>
    </w:p>
    <w:p>
      <w:pPr>
        <w:ind w:firstLine="560" w:firstLineChars="200"/>
        <w:rPr>
          <w:rFonts w:ascii="仿宋_GB2312" w:hAnsi="宋体" w:eastAsia="仿宋_GB2312"/>
          <w:sz w:val="28"/>
          <w:szCs w:val="28"/>
        </w:rPr>
      </w:pPr>
      <w:r>
        <w:rPr>
          <w:rFonts w:hint="eastAsia" w:ascii="仿宋_GB2312" w:hAnsi="宋体" w:eastAsia="仿宋_GB2312"/>
          <w:sz w:val="28"/>
          <w:szCs w:val="28"/>
        </w:rPr>
        <w:t>严格保护农用地特别是耕地，合理调整农用地结构。促进产业结构升级，严格限制高耗能、高污染企业用地。要把严格保护耕地特别是基本农田放在土地利用的优先地位，加强基本农田建设，大力发展生态农业。在保护生态环境前提下，重点优化交通、水利等基础设施用地结构，严格控制工业对土地的污染，防治农田面源污染。</w:t>
      </w:r>
    </w:p>
    <w:p>
      <w:pPr>
        <w:pStyle w:val="3"/>
      </w:pPr>
      <w:bookmarkStart w:id="125" w:name="_Toc357580163"/>
      <w:bookmarkStart w:id="126" w:name="_Toc486428878"/>
      <w:r>
        <w:rPr>
          <w:rFonts w:hint="eastAsia"/>
        </w:rPr>
        <w:t>（二）加强城镇生态环境建设</w:t>
      </w:r>
      <w:bookmarkEnd w:id="125"/>
      <w:bookmarkEnd w:id="126"/>
    </w:p>
    <w:p>
      <w:pPr>
        <w:ind w:firstLine="560" w:firstLineChars="200"/>
        <w:rPr>
          <w:rFonts w:ascii="仿宋_GB2312" w:hAnsi="宋体" w:eastAsia="仿宋_GB2312"/>
          <w:sz w:val="28"/>
          <w:szCs w:val="28"/>
        </w:rPr>
      </w:pPr>
      <w:r>
        <w:rPr>
          <w:rFonts w:hint="eastAsia" w:ascii="仿宋_GB2312" w:hAnsi="宋体" w:eastAsia="仿宋_GB2312"/>
          <w:sz w:val="28"/>
          <w:szCs w:val="28"/>
        </w:rPr>
        <w:t>鼓励城镇组团式发展，实行组团间农田与绿色隔离带有机结合，发挥耕地的生产、生态功能。加强城镇的环境治理与控制，节约用水，降低污水排放量，严格限制高耗水、高污染项目进入。</w:t>
      </w:r>
    </w:p>
    <w:p>
      <w:pPr>
        <w:pStyle w:val="3"/>
      </w:pPr>
      <w:bookmarkStart w:id="127" w:name="_Toc357580164"/>
      <w:bookmarkStart w:id="128" w:name="_Toc486428879"/>
      <w:r>
        <w:rPr>
          <w:rFonts w:hint="eastAsia"/>
        </w:rPr>
        <w:t>（三）加强农村地区生态环境建设</w:t>
      </w:r>
      <w:bookmarkEnd w:id="127"/>
      <w:bookmarkEnd w:id="128"/>
    </w:p>
    <w:p>
      <w:pPr>
        <w:ind w:firstLine="560" w:firstLineChars="200"/>
        <w:rPr>
          <w:rFonts w:ascii="仿宋_GB2312" w:hAnsi="宋体" w:eastAsia="仿宋_GB2312"/>
          <w:sz w:val="28"/>
          <w:szCs w:val="28"/>
        </w:rPr>
      </w:pPr>
      <w:r>
        <w:rPr>
          <w:rFonts w:hint="eastAsia" w:ascii="仿宋_GB2312" w:hAnsi="宋体" w:eastAsia="仿宋_GB2312"/>
          <w:sz w:val="28"/>
          <w:szCs w:val="28"/>
        </w:rPr>
        <w:t>充分结合新农村建设工程，加强村容村貌整治，加强农村地区生态环境建设。</w:t>
      </w:r>
    </w:p>
    <w:p>
      <w:pPr>
        <w:pStyle w:val="4"/>
        <w:ind w:firstLine="562"/>
      </w:pPr>
      <w:r>
        <w:rPr>
          <w:rFonts w:hint="eastAsia"/>
        </w:rPr>
        <w:t>1．大力发展循环经济</w:t>
      </w:r>
    </w:p>
    <w:p>
      <w:pPr>
        <w:ind w:firstLine="560" w:firstLineChars="200"/>
        <w:rPr>
          <w:rFonts w:ascii="仿宋_GB2312" w:hAnsi="宋体" w:eastAsia="仿宋_GB2312"/>
          <w:sz w:val="28"/>
          <w:szCs w:val="28"/>
        </w:rPr>
      </w:pPr>
      <w:r>
        <w:rPr>
          <w:rFonts w:hint="eastAsia" w:ascii="仿宋_GB2312" w:hAnsi="宋体" w:eastAsia="仿宋_GB2312"/>
          <w:sz w:val="28"/>
          <w:szCs w:val="28"/>
        </w:rPr>
        <w:t>积极引进、展示、推广资源综合利用和再生利用等循环经济新技术、新工艺。加大节能照明、太阳能、新型建材的推广力度，建设和利用好农村沼气这一清洁能源。引导社会资金投向资源循环利用产业。加快培育以低碳排放为特征的工业、建筑和交通体系，提高资源利用效率，实现经济增长和社会进步的全面协调发展。</w:t>
      </w:r>
    </w:p>
    <w:p>
      <w:pPr>
        <w:pStyle w:val="4"/>
        <w:ind w:firstLine="562"/>
      </w:pPr>
      <w:r>
        <w:rPr>
          <w:rFonts w:hint="eastAsia"/>
        </w:rPr>
        <w:t>2．加强林业生态体系建设</w:t>
      </w:r>
    </w:p>
    <w:p>
      <w:pPr>
        <w:ind w:firstLine="560" w:firstLineChars="200"/>
        <w:rPr>
          <w:rFonts w:ascii="仿宋_GB2312" w:hAnsi="宋体" w:eastAsia="仿宋_GB2312"/>
          <w:sz w:val="28"/>
          <w:szCs w:val="28"/>
        </w:rPr>
      </w:pPr>
      <w:r>
        <w:rPr>
          <w:rFonts w:hint="eastAsia" w:ascii="仿宋_GB2312" w:hAnsi="宋体" w:eastAsia="仿宋_GB2312"/>
          <w:sz w:val="28"/>
          <w:szCs w:val="28"/>
        </w:rPr>
        <w:t>突出以生态建设为首要任务，在确保造林数量、质量的同时，全面提升林业生态建设质量。规划期加强全镇主要公路两旁绿色通道建设；进一步对退耕还林的监管,巩固退耕还林成果,严格林地保护加强林地征占管理,严格控制各项建设工程征占用公益林、天然林。建设以森林群落为主体，构筑与全镇环境治理、江河治理和景点建设相适应的林业生态体系，改善全镇生态环境，促进全镇经济社会可持续发展。</w:t>
      </w:r>
    </w:p>
    <w:p>
      <w:pPr>
        <w:pStyle w:val="4"/>
        <w:ind w:firstLine="562"/>
      </w:pPr>
      <w:r>
        <w:rPr>
          <w:rFonts w:hint="eastAsia"/>
        </w:rPr>
        <w:t>3．加强村容村貌整治</w:t>
      </w:r>
    </w:p>
    <w:p>
      <w:pPr>
        <w:ind w:firstLine="560" w:firstLineChars="200"/>
        <w:rPr>
          <w:rFonts w:ascii="仿宋_GB2312" w:hAnsi="宋体" w:eastAsia="仿宋_GB2312"/>
          <w:sz w:val="28"/>
          <w:szCs w:val="28"/>
        </w:rPr>
      </w:pPr>
      <w:r>
        <w:rPr>
          <w:rFonts w:hint="eastAsia" w:ascii="仿宋_GB2312" w:hAnsi="宋体" w:eastAsia="仿宋_GB2312"/>
          <w:sz w:val="28"/>
          <w:szCs w:val="28"/>
        </w:rPr>
        <w:t>结合新农村建设工程，大力加强村容村貌整治，集中归并建农房、办乡企大力开展测土配方施肥以减少对化肥的过量施用，大力发展生态绿色农业以降低对农药的使用，大力提高畜禽粪便综合利用率，加强场镇和农村地区生活污水和垃圾的收集与无害化处理，科学布局环境治理和保护性用地，大大降低农村面源污染，从各方面加强农村生态环境建设。</w:t>
      </w:r>
    </w:p>
    <w:p>
      <w:pPr>
        <w:ind w:firstLine="560" w:firstLineChars="200"/>
        <w:rPr>
          <w:rFonts w:ascii="仿宋_GB2312" w:hAnsi="宋体" w:eastAsia="仿宋_GB2312"/>
          <w:sz w:val="28"/>
          <w:szCs w:val="28"/>
        </w:rPr>
      </w:pPr>
    </w:p>
    <w:p>
      <w:pPr>
        <w:ind w:firstLine="560" w:firstLineChars="200"/>
        <w:rPr>
          <w:rFonts w:ascii="仿宋_GB2312" w:hAnsi="宋体" w:eastAsia="仿宋_GB2312"/>
          <w:sz w:val="28"/>
          <w:szCs w:val="28"/>
        </w:rPr>
      </w:pPr>
    </w:p>
    <w:p>
      <w:pPr>
        <w:ind w:firstLine="560" w:firstLineChars="200"/>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29" w:name="_Toc407294589"/>
      <w:bookmarkStart w:id="130" w:name="_Toc475303983"/>
      <w:bookmarkStart w:id="131" w:name="_Toc485386651"/>
      <w:bookmarkStart w:id="132" w:name="_Toc486428880"/>
      <w:r>
        <w:rPr>
          <w:rFonts w:hint="eastAsia" w:ascii="仿宋_GB2312" w:hAnsi="宋体"/>
          <w:bCs w:val="0"/>
          <w:color w:val="000000"/>
          <w:sz w:val="28"/>
          <w:szCs w:val="28"/>
        </w:rPr>
        <w:t>附表一  冠英镇土地利用主要调控指标表</w:t>
      </w:r>
      <w:bookmarkEnd w:id="129"/>
      <w:bookmarkEnd w:id="130"/>
      <w:bookmarkEnd w:id="131"/>
      <w:bookmarkEnd w:id="132"/>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8939" w:type="dxa"/>
        <w:jc w:val="center"/>
        <w:tblLayout w:type="autofit"/>
        <w:tblCellMar>
          <w:top w:w="0" w:type="dxa"/>
          <w:left w:w="108" w:type="dxa"/>
          <w:bottom w:w="0" w:type="dxa"/>
          <w:right w:w="108" w:type="dxa"/>
        </w:tblCellMar>
      </w:tblPr>
      <w:tblGrid>
        <w:gridCol w:w="2869"/>
        <w:gridCol w:w="1559"/>
        <w:gridCol w:w="1552"/>
        <w:gridCol w:w="1679"/>
        <w:gridCol w:w="1280"/>
      </w:tblGrid>
      <w:tr>
        <w:tblPrEx>
          <w:tblCellMar>
            <w:top w:w="0" w:type="dxa"/>
            <w:left w:w="108" w:type="dxa"/>
            <w:bottom w:w="0" w:type="dxa"/>
            <w:right w:w="108" w:type="dxa"/>
          </w:tblCellMar>
        </w:tblPrEx>
        <w:trPr>
          <w:trHeight w:val="405" w:hRule="atLeast"/>
          <w:jc w:val="center"/>
        </w:trPr>
        <w:tc>
          <w:tcPr>
            <w:tcW w:w="28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规划基期年</w:t>
            </w:r>
          </w:p>
        </w:tc>
        <w:tc>
          <w:tcPr>
            <w:tcW w:w="1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原规划目标</w:t>
            </w:r>
          </w:p>
        </w:tc>
        <w:tc>
          <w:tcPr>
            <w:tcW w:w="167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调整后目标年</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指标属性</w:t>
            </w:r>
          </w:p>
        </w:tc>
      </w:tr>
      <w:tr>
        <w:tblPrEx>
          <w:tblCellMar>
            <w:top w:w="0" w:type="dxa"/>
            <w:left w:w="108" w:type="dxa"/>
            <w:bottom w:w="0" w:type="dxa"/>
            <w:right w:w="108" w:type="dxa"/>
          </w:tblCellMar>
        </w:tblPrEx>
        <w:trPr>
          <w:trHeight w:val="405" w:hRule="atLeast"/>
          <w:jc w:val="center"/>
        </w:trPr>
        <w:tc>
          <w:tcPr>
            <w:tcW w:w="89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总量指标（单位为公顷）</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耕地保有量</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2515.45</w:t>
            </w:r>
          </w:p>
        </w:tc>
        <w:tc>
          <w:tcPr>
            <w:tcW w:w="155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2247.70</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2447.14</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基本农田保护面积</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1126.47</w:t>
            </w:r>
          </w:p>
        </w:tc>
        <w:tc>
          <w:tcPr>
            <w:tcW w:w="155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1126.47</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1305</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园地面积</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420.4</w:t>
            </w:r>
          </w:p>
        </w:tc>
        <w:tc>
          <w:tcPr>
            <w:tcW w:w="155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395.46</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林地面积</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734.66</w:t>
            </w:r>
          </w:p>
        </w:tc>
        <w:tc>
          <w:tcPr>
            <w:tcW w:w="155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727.01</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建设用地总规模</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987.03</w:t>
            </w:r>
          </w:p>
        </w:tc>
        <w:tc>
          <w:tcPr>
            <w:tcW w:w="155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957.07</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1210.73</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城乡建设用地规模</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718.65</w:t>
            </w:r>
          </w:p>
        </w:tc>
        <w:tc>
          <w:tcPr>
            <w:tcW w:w="155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882.59</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936</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城镇工矿用地规模</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238.29</w:t>
            </w:r>
          </w:p>
        </w:tc>
        <w:tc>
          <w:tcPr>
            <w:tcW w:w="155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595.27</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431.74</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89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增量指标（单位为公顷）</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新增建设用地规模</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419.93</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223.7</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新增建设占用农用地规模</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396.6</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219.9</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新增建设占用耕地规模</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180.82</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183.31</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土地整治补充耕地义务量</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125.50</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89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效率指标（单位为平方米）</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人均城镇工矿用地</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120</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120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约束性</w:t>
            </w:r>
          </w:p>
        </w:tc>
      </w:tr>
    </w:tbl>
    <w:p>
      <w:pPr>
        <w:ind w:firstLine="560" w:firstLineChars="200"/>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33" w:name="_Toc475303984"/>
      <w:bookmarkStart w:id="134" w:name="_Toc407294590"/>
      <w:bookmarkStart w:id="135" w:name="_Toc486428881"/>
      <w:bookmarkStart w:id="136" w:name="_Toc485386652"/>
      <w:r>
        <w:rPr>
          <w:rFonts w:hint="eastAsia" w:ascii="仿宋_GB2312" w:hAnsi="宋体"/>
          <w:bCs w:val="0"/>
          <w:color w:val="000000"/>
          <w:sz w:val="28"/>
          <w:szCs w:val="28"/>
        </w:rPr>
        <w:t>附表二  冠英镇土地利用结构调整表</w:t>
      </w:r>
      <w:bookmarkEnd w:id="133"/>
      <w:bookmarkEnd w:id="134"/>
      <w:bookmarkEnd w:id="135"/>
      <w:bookmarkEnd w:id="136"/>
    </w:p>
    <w:p>
      <w:pPr>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9762" w:type="dxa"/>
        <w:jc w:val="center"/>
        <w:tblLayout w:type="autofit"/>
        <w:tblCellMar>
          <w:top w:w="15" w:type="dxa"/>
          <w:left w:w="108" w:type="dxa"/>
          <w:bottom w:w="15" w:type="dxa"/>
          <w:right w:w="108" w:type="dxa"/>
        </w:tblCellMar>
      </w:tblPr>
      <w:tblGrid>
        <w:gridCol w:w="444"/>
        <w:gridCol w:w="710"/>
        <w:gridCol w:w="2409"/>
        <w:gridCol w:w="1663"/>
        <w:gridCol w:w="992"/>
        <w:gridCol w:w="1559"/>
        <w:gridCol w:w="963"/>
        <w:gridCol w:w="1134"/>
      </w:tblGrid>
      <w:tr>
        <w:tblPrEx>
          <w:tblCellMar>
            <w:top w:w="15" w:type="dxa"/>
            <w:left w:w="108" w:type="dxa"/>
            <w:bottom w:w="15" w:type="dxa"/>
            <w:right w:w="108" w:type="dxa"/>
          </w:tblCellMar>
        </w:tblPrEx>
        <w:trPr>
          <w:trHeight w:val="285" w:hRule="atLeast"/>
          <w:jc w:val="center"/>
        </w:trPr>
        <w:tc>
          <w:tcPr>
            <w:tcW w:w="3563" w:type="dxa"/>
            <w:gridSpan w:val="3"/>
            <w:tcBorders>
              <w:top w:val="single" w:color="auto" w:sz="4" w:space="0"/>
              <w:left w:val="single" w:color="auto" w:sz="4" w:space="0"/>
              <w:bottom w:val="single" w:color="auto" w:sz="4" w:space="0"/>
              <w:right w:val="single" w:color="auto" w:sz="4" w:space="0"/>
            </w:tcBorders>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规划地类</w:t>
            </w:r>
          </w:p>
        </w:tc>
        <w:tc>
          <w:tcPr>
            <w:tcW w:w="166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基期地类</w:t>
            </w:r>
          </w:p>
        </w:tc>
        <w:tc>
          <w:tcPr>
            <w:tcW w:w="99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比重</w:t>
            </w:r>
          </w:p>
        </w:tc>
        <w:tc>
          <w:tcPr>
            <w:tcW w:w="15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规划期末地类</w:t>
            </w:r>
          </w:p>
        </w:tc>
        <w:tc>
          <w:tcPr>
            <w:tcW w:w="85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bCs/>
                <w:color w:val="000000"/>
                <w:kern w:val="0"/>
                <w:sz w:val="22"/>
              </w:rPr>
            </w:pPr>
            <w:r>
              <w:rPr>
                <w:rFonts w:hint="eastAsia" w:ascii="等线" w:hAnsi="等线" w:eastAsia="等线" w:cs="宋体"/>
                <w:b/>
                <w:bCs/>
                <w:color w:val="000000"/>
                <w:kern w:val="0"/>
                <w:sz w:val="22"/>
              </w:rPr>
              <w:t>比重</w:t>
            </w:r>
          </w:p>
        </w:tc>
        <w:tc>
          <w:tcPr>
            <w:tcW w:w="113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bCs/>
                <w:color w:val="000000"/>
                <w:kern w:val="0"/>
                <w:sz w:val="22"/>
              </w:rPr>
            </w:pPr>
            <w:r>
              <w:rPr>
                <w:rFonts w:hint="eastAsia" w:ascii="等线" w:hAnsi="等线" w:eastAsia="等线" w:cs="宋体"/>
                <w:b/>
                <w:bCs/>
                <w:color w:val="000000"/>
                <w:kern w:val="0"/>
                <w:sz w:val="22"/>
              </w:rPr>
              <w:t>增减量</w:t>
            </w:r>
          </w:p>
        </w:tc>
      </w:tr>
      <w:tr>
        <w:tblPrEx>
          <w:tblCellMar>
            <w:top w:w="15" w:type="dxa"/>
            <w:left w:w="108" w:type="dxa"/>
            <w:bottom w:w="15" w:type="dxa"/>
            <w:right w:w="108" w:type="dxa"/>
          </w:tblCellMar>
        </w:tblPrEx>
        <w:trPr>
          <w:trHeight w:val="285" w:hRule="atLeast"/>
          <w:jc w:val="center"/>
        </w:trPr>
        <w:tc>
          <w:tcPr>
            <w:tcW w:w="3563" w:type="dxa"/>
            <w:gridSpan w:val="3"/>
            <w:tcBorders>
              <w:top w:val="single" w:color="auto" w:sz="4" w:space="0"/>
              <w:left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土地总面积</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5607.56</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100%</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5607.56</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100%</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0.00</w:t>
            </w:r>
          </w:p>
        </w:tc>
      </w:tr>
      <w:tr>
        <w:tblPrEx>
          <w:tblCellMar>
            <w:top w:w="15" w:type="dxa"/>
            <w:left w:w="108" w:type="dxa"/>
            <w:bottom w:w="15" w:type="dxa"/>
            <w:right w:w="108" w:type="dxa"/>
          </w:tblCellMar>
        </w:tblPrEx>
        <w:trPr>
          <w:trHeight w:val="285" w:hRule="atLeast"/>
          <w:jc w:val="center"/>
        </w:trPr>
        <w:tc>
          <w:tcPr>
            <w:tcW w:w="1154" w:type="dxa"/>
            <w:gridSpan w:val="2"/>
            <w:vMerge w:val="restart"/>
            <w:tcBorders>
              <w:top w:val="single" w:color="auto" w:sz="4" w:space="0"/>
              <w:left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农用地</w:t>
            </w: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耕地</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2515.45</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61.27%</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2447.14</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62.98%</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 xml:space="preserve">-68.31 </w:t>
            </w:r>
          </w:p>
        </w:tc>
      </w:tr>
      <w:tr>
        <w:tblPrEx>
          <w:tblCellMar>
            <w:top w:w="15" w:type="dxa"/>
            <w:left w:w="108" w:type="dxa"/>
            <w:bottom w:w="15" w:type="dxa"/>
            <w:right w:w="108" w:type="dxa"/>
          </w:tblCellMar>
        </w:tblPrEx>
        <w:trPr>
          <w:trHeight w:val="285" w:hRule="atLeast"/>
          <w:jc w:val="center"/>
        </w:trPr>
        <w:tc>
          <w:tcPr>
            <w:tcW w:w="1154"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园地</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420.4</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10.24%</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395.46</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10.18%</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 xml:space="preserve">-24.94 </w:t>
            </w:r>
          </w:p>
        </w:tc>
      </w:tr>
      <w:tr>
        <w:tblPrEx>
          <w:tblCellMar>
            <w:top w:w="15" w:type="dxa"/>
            <w:left w:w="108" w:type="dxa"/>
            <w:bottom w:w="15" w:type="dxa"/>
            <w:right w:w="108" w:type="dxa"/>
          </w:tblCellMar>
        </w:tblPrEx>
        <w:trPr>
          <w:trHeight w:val="285" w:hRule="atLeast"/>
          <w:jc w:val="center"/>
        </w:trPr>
        <w:tc>
          <w:tcPr>
            <w:tcW w:w="1154"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林地</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734.66</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17.89%</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727.01</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18.71%</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 xml:space="preserve">-7.65 </w:t>
            </w:r>
          </w:p>
        </w:tc>
      </w:tr>
      <w:tr>
        <w:tblPrEx>
          <w:tblCellMar>
            <w:top w:w="15" w:type="dxa"/>
            <w:left w:w="108" w:type="dxa"/>
            <w:bottom w:w="15" w:type="dxa"/>
            <w:right w:w="108" w:type="dxa"/>
          </w:tblCellMar>
        </w:tblPrEx>
        <w:trPr>
          <w:trHeight w:val="285" w:hRule="atLeast"/>
          <w:jc w:val="center"/>
        </w:trPr>
        <w:tc>
          <w:tcPr>
            <w:tcW w:w="1154"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牧草地</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0</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0%</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0</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0%</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 xml:space="preserve">0.00 </w:t>
            </w:r>
          </w:p>
        </w:tc>
      </w:tr>
      <w:tr>
        <w:tblPrEx>
          <w:tblCellMar>
            <w:top w:w="15" w:type="dxa"/>
            <w:left w:w="108" w:type="dxa"/>
            <w:bottom w:w="15" w:type="dxa"/>
            <w:right w:w="108" w:type="dxa"/>
          </w:tblCellMar>
        </w:tblPrEx>
        <w:trPr>
          <w:trHeight w:val="285" w:hRule="atLeast"/>
          <w:jc w:val="center"/>
        </w:trPr>
        <w:tc>
          <w:tcPr>
            <w:tcW w:w="1154"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其他农用地</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435.22</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10.6%</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316.22</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8.14%</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 xml:space="preserve">-119.00 </w:t>
            </w:r>
          </w:p>
        </w:tc>
      </w:tr>
      <w:tr>
        <w:tblPrEx>
          <w:tblCellMar>
            <w:top w:w="15" w:type="dxa"/>
            <w:left w:w="108" w:type="dxa"/>
            <w:bottom w:w="15" w:type="dxa"/>
            <w:right w:w="108" w:type="dxa"/>
          </w:tblCellMar>
        </w:tblPrEx>
        <w:trPr>
          <w:trHeight w:val="285" w:hRule="atLeast"/>
          <w:jc w:val="center"/>
        </w:trPr>
        <w:tc>
          <w:tcPr>
            <w:tcW w:w="1154" w:type="dxa"/>
            <w:gridSpan w:val="2"/>
            <w:vMerge w:val="continue"/>
            <w:tcBorders>
              <w:left w:val="single" w:color="auto" w:sz="4" w:space="0"/>
              <w:bottom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农用地合计</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4105.73</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73.22%</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3885.83</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69.3%</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 xml:space="preserve">-219.90 </w:t>
            </w:r>
          </w:p>
        </w:tc>
      </w:tr>
      <w:tr>
        <w:tblPrEx>
          <w:tblCellMar>
            <w:top w:w="15" w:type="dxa"/>
            <w:left w:w="108" w:type="dxa"/>
            <w:bottom w:w="15" w:type="dxa"/>
            <w:right w:w="108" w:type="dxa"/>
          </w:tblCellMar>
        </w:tblPrEx>
        <w:trPr>
          <w:trHeight w:val="285" w:hRule="atLeast"/>
          <w:jc w:val="center"/>
        </w:trPr>
        <w:tc>
          <w:tcPr>
            <w:tcW w:w="444"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b/>
                <w:color w:val="000000"/>
                <w:kern w:val="0"/>
                <w:sz w:val="22"/>
              </w:rPr>
            </w:pPr>
            <w:r>
              <w:rPr>
                <w:rFonts w:hint="eastAsia" w:ascii="等线" w:hAnsi="等线" w:eastAsia="等线" w:cs="宋体"/>
                <w:b/>
                <w:color w:val="000000"/>
                <w:kern w:val="0"/>
                <w:sz w:val="22"/>
              </w:rPr>
              <w:t>建设用地</w:t>
            </w:r>
          </w:p>
        </w:tc>
        <w:tc>
          <w:tcPr>
            <w:tcW w:w="710" w:type="dxa"/>
            <w:vMerge w:val="restart"/>
            <w:tcBorders>
              <w:top w:val="single" w:color="auto" w:sz="4" w:space="0"/>
              <w:left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城乡建设用地</w:t>
            </w: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城镇建设用地</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212.62</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21.54%</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406.07</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33.54%</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 xml:space="preserve">193.45 </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10" w:type="dxa"/>
            <w:vMerge w:val="continue"/>
            <w:tcBorders>
              <w:left w:val="single" w:color="auto" w:sz="4" w:space="0"/>
              <w:right w:val="single" w:color="auto" w:sz="4" w:space="0"/>
            </w:tcBorders>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农村居民点用地</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480.36</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48.67%</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504.26</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41.65%</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 xml:space="preserve">23.90 </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10" w:type="dxa"/>
            <w:vMerge w:val="continue"/>
            <w:tcBorders>
              <w:left w:val="single" w:color="auto" w:sz="4" w:space="0"/>
              <w:right w:val="single" w:color="auto" w:sz="4" w:space="0"/>
            </w:tcBorders>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采矿用地</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25.67</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2.6%</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25.67</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2.12%</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 xml:space="preserve">0.00 </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10" w:type="dxa"/>
            <w:vMerge w:val="continue"/>
            <w:tcBorders>
              <w:left w:val="single" w:color="auto" w:sz="4" w:space="0"/>
              <w:right w:val="single" w:color="auto" w:sz="4" w:space="0"/>
            </w:tcBorders>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其他独立建设用地</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0</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0%</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0</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0%</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 xml:space="preserve">0.00 </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10" w:type="dxa"/>
            <w:vMerge w:val="continue"/>
            <w:tcBorders>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小计</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718.65</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72.81%</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936</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77.31%</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217.35</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3119" w:type="dxa"/>
            <w:gridSpan w:val="2"/>
            <w:tcBorders>
              <w:top w:val="single" w:color="auto" w:sz="4" w:space="0"/>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交通水利用地</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268.38</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27.19%</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274.73</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22.69%</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 xml:space="preserve">6.35 </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10" w:type="dxa"/>
            <w:vMerge w:val="restart"/>
            <w:tcBorders>
              <w:top w:val="single" w:color="auto" w:sz="4" w:space="0"/>
              <w:left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其他建设用地</w:t>
            </w: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风景名胜设施用地</w:t>
            </w:r>
          </w:p>
        </w:tc>
        <w:tc>
          <w:tcPr>
            <w:tcW w:w="166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99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15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85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113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0.00</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10" w:type="dxa"/>
            <w:vMerge w:val="continue"/>
            <w:tcBorders>
              <w:left w:val="single" w:color="auto" w:sz="4" w:space="0"/>
              <w:right w:val="single" w:color="auto" w:sz="4" w:space="0"/>
            </w:tcBorders>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特殊用地</w:t>
            </w:r>
          </w:p>
        </w:tc>
        <w:tc>
          <w:tcPr>
            <w:tcW w:w="166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99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15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85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113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0.00</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710" w:type="dxa"/>
            <w:vMerge w:val="continue"/>
            <w:tcBorders>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小计</w:t>
            </w:r>
          </w:p>
        </w:tc>
        <w:tc>
          <w:tcPr>
            <w:tcW w:w="166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99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15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85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w:t>
            </w:r>
          </w:p>
        </w:tc>
        <w:tc>
          <w:tcPr>
            <w:tcW w:w="113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0.00</w:t>
            </w:r>
          </w:p>
        </w:tc>
      </w:tr>
      <w:tr>
        <w:tblPrEx>
          <w:tblCellMar>
            <w:top w:w="15" w:type="dxa"/>
            <w:left w:w="108" w:type="dxa"/>
            <w:bottom w:w="15" w:type="dxa"/>
            <w:right w:w="108" w:type="dxa"/>
          </w:tblCellMar>
        </w:tblPrEx>
        <w:trPr>
          <w:trHeight w:val="285" w:hRule="atLeast"/>
          <w:jc w:val="center"/>
        </w:trPr>
        <w:tc>
          <w:tcPr>
            <w:tcW w:w="44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b/>
                <w:color w:val="000000"/>
                <w:kern w:val="0"/>
                <w:sz w:val="22"/>
              </w:rPr>
            </w:pPr>
          </w:p>
        </w:tc>
        <w:tc>
          <w:tcPr>
            <w:tcW w:w="3119" w:type="dxa"/>
            <w:gridSpan w:val="2"/>
            <w:tcBorders>
              <w:top w:val="single" w:color="auto" w:sz="4" w:space="0"/>
              <w:left w:val="single" w:color="auto" w:sz="4" w:space="0"/>
              <w:bottom w:val="single" w:color="auto" w:sz="4" w:space="0"/>
              <w:right w:val="single" w:color="auto" w:sz="4" w:space="0"/>
            </w:tcBorders>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建设用地合计</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987.03</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17.6%</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1210.73</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21.59%</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 xml:space="preserve">223.70 </w:t>
            </w:r>
          </w:p>
        </w:tc>
      </w:tr>
      <w:tr>
        <w:tblPrEx>
          <w:tblCellMar>
            <w:top w:w="15" w:type="dxa"/>
            <w:left w:w="108" w:type="dxa"/>
            <w:bottom w:w="15" w:type="dxa"/>
            <w:right w:w="108" w:type="dxa"/>
          </w:tblCellMar>
        </w:tblPrEx>
        <w:trPr>
          <w:trHeight w:val="285" w:hRule="atLeast"/>
          <w:jc w:val="center"/>
        </w:trPr>
        <w:tc>
          <w:tcPr>
            <w:tcW w:w="1154" w:type="dxa"/>
            <w:gridSpan w:val="2"/>
            <w:vMerge w:val="restart"/>
            <w:tcBorders>
              <w:top w:val="single" w:color="auto" w:sz="4" w:space="0"/>
              <w:left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其他土地</w:t>
            </w: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河流水面</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374.04</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72.66%</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370.24</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72.45%</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 xml:space="preserve">-3.80 </w:t>
            </w:r>
          </w:p>
        </w:tc>
      </w:tr>
      <w:tr>
        <w:tblPrEx>
          <w:tblCellMar>
            <w:top w:w="15" w:type="dxa"/>
            <w:left w:w="108" w:type="dxa"/>
            <w:bottom w:w="15" w:type="dxa"/>
            <w:right w:w="108" w:type="dxa"/>
          </w:tblCellMar>
        </w:tblPrEx>
        <w:trPr>
          <w:trHeight w:val="285" w:hRule="atLeast"/>
          <w:jc w:val="center"/>
        </w:trPr>
        <w:tc>
          <w:tcPr>
            <w:tcW w:w="1154"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滩涂</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130.42</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25.33%</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130.42</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25.52%</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 xml:space="preserve">0.00 </w:t>
            </w:r>
          </w:p>
        </w:tc>
      </w:tr>
      <w:tr>
        <w:tblPrEx>
          <w:tblCellMar>
            <w:top w:w="15" w:type="dxa"/>
            <w:left w:w="108" w:type="dxa"/>
            <w:bottom w:w="15" w:type="dxa"/>
            <w:right w:w="108" w:type="dxa"/>
          </w:tblCellMar>
        </w:tblPrEx>
        <w:trPr>
          <w:trHeight w:val="285" w:hRule="atLeast"/>
          <w:jc w:val="center"/>
        </w:trPr>
        <w:tc>
          <w:tcPr>
            <w:tcW w:w="1154" w:type="dxa"/>
            <w:gridSpan w:val="2"/>
            <w:vMerge w:val="continue"/>
            <w:tcBorders>
              <w:left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自然保留地</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10.34</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2.01%</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10.34</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2.02%</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 xml:space="preserve">0.00 </w:t>
            </w:r>
          </w:p>
        </w:tc>
      </w:tr>
      <w:tr>
        <w:tblPrEx>
          <w:tblCellMar>
            <w:top w:w="15" w:type="dxa"/>
            <w:left w:w="108" w:type="dxa"/>
            <w:bottom w:w="15" w:type="dxa"/>
            <w:right w:w="108" w:type="dxa"/>
          </w:tblCellMar>
        </w:tblPrEx>
        <w:trPr>
          <w:trHeight w:val="285" w:hRule="atLeast"/>
          <w:jc w:val="center"/>
        </w:trPr>
        <w:tc>
          <w:tcPr>
            <w:tcW w:w="1154" w:type="dxa"/>
            <w:gridSpan w:val="2"/>
            <w:vMerge w:val="continue"/>
            <w:tcBorders>
              <w:left w:val="single" w:color="auto" w:sz="4" w:space="0"/>
              <w:bottom w:val="single" w:color="auto" w:sz="4" w:space="0"/>
              <w:right w:val="single" w:color="auto" w:sz="4" w:space="0"/>
            </w:tcBorders>
            <w:vAlign w:val="center"/>
          </w:tcPr>
          <w:p>
            <w:pPr>
              <w:widowControl/>
              <w:rPr>
                <w:rFonts w:ascii="等线" w:hAnsi="等线" w:eastAsia="等线" w:cs="宋体"/>
                <w:b/>
                <w:color w:val="000000"/>
                <w:kern w:val="0"/>
                <w:sz w:val="22"/>
              </w:rPr>
            </w:pPr>
          </w:p>
        </w:tc>
        <w:tc>
          <w:tcPr>
            <w:tcW w:w="2409" w:type="dxa"/>
            <w:tcBorders>
              <w:top w:val="single" w:color="auto" w:sz="4" w:space="0"/>
              <w:left w:val="single" w:color="auto" w:sz="4" w:space="0"/>
              <w:bottom w:val="single" w:color="auto" w:sz="4" w:space="0"/>
              <w:right w:val="single" w:color="auto" w:sz="4" w:space="0"/>
            </w:tcBorders>
            <w:noWrap/>
            <w:vAlign w:val="center"/>
          </w:tcPr>
          <w:p>
            <w:pPr>
              <w:widowControl/>
              <w:rPr>
                <w:rFonts w:ascii="等线" w:hAnsi="等线" w:eastAsia="等线" w:cs="宋体"/>
                <w:b/>
                <w:color w:val="000000"/>
                <w:kern w:val="0"/>
                <w:sz w:val="22"/>
              </w:rPr>
            </w:pPr>
            <w:r>
              <w:rPr>
                <w:rFonts w:hint="eastAsia" w:ascii="等线" w:hAnsi="等线" w:eastAsia="等线" w:cs="宋体"/>
                <w:b/>
                <w:color w:val="000000"/>
                <w:kern w:val="0"/>
                <w:sz w:val="22"/>
              </w:rPr>
              <w:t>其他土地合计</w:t>
            </w:r>
          </w:p>
        </w:tc>
        <w:tc>
          <w:tcPr>
            <w:tcW w:w="1663"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514.8</w:t>
            </w:r>
          </w:p>
        </w:tc>
        <w:tc>
          <w:tcPr>
            <w:tcW w:w="992"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9.18%</w:t>
            </w:r>
          </w:p>
        </w:tc>
        <w:tc>
          <w:tcPr>
            <w:tcW w:w="1559"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511</w:t>
            </w:r>
          </w:p>
        </w:tc>
        <w:tc>
          <w:tcPr>
            <w:tcW w:w="851"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9.11%</w:t>
            </w:r>
          </w:p>
        </w:tc>
        <w:tc>
          <w:tcPr>
            <w:tcW w:w="1134" w:type="dxa"/>
            <w:tcBorders>
              <w:top w:val="single" w:color="auto" w:sz="4" w:space="0"/>
              <w:left w:val="single" w:color="auto" w:sz="4" w:space="0"/>
              <w:bottom w:val="single" w:color="auto" w:sz="4" w:space="0"/>
              <w:right w:val="single" w:color="auto" w:sz="4" w:space="0"/>
            </w:tcBorders>
            <w:noWrap/>
          </w:tcPr>
          <w:p>
            <w:pPr>
              <w:widowControl/>
              <w:jc w:val="center"/>
              <w:rPr>
                <w:rFonts w:ascii="等线" w:hAnsi="等线" w:eastAsia="等线" w:cs="宋体"/>
                <w:color w:val="000000"/>
                <w:kern w:val="0"/>
                <w:sz w:val="22"/>
              </w:rPr>
            </w:pPr>
            <w:r>
              <w:rPr>
                <w:rFonts w:ascii="等线" w:hAnsi="等线" w:eastAsia="等线" w:cs="宋体"/>
                <w:color w:val="000000"/>
                <w:kern w:val="0"/>
                <w:sz w:val="22"/>
              </w:rPr>
              <w:t xml:space="preserve">-3.80 </w:t>
            </w:r>
          </w:p>
        </w:tc>
      </w:tr>
    </w:tbl>
    <w:p>
      <w:pPr>
        <w:rPr>
          <w:rFonts w:ascii="仿宋_GB2312" w:hAnsi="宋体" w:eastAsia="仿宋_GB2312"/>
          <w:sz w:val="28"/>
          <w:szCs w:val="28"/>
        </w:rPr>
      </w:pPr>
    </w:p>
    <w:p>
      <w:pPr>
        <w:rPr>
          <w:rFonts w:ascii="仿宋_GB2312" w:hAnsi="宋体" w:eastAsia="仿宋_GB2312"/>
          <w:sz w:val="28"/>
          <w:szCs w:val="28"/>
        </w:rPr>
      </w:pPr>
    </w:p>
    <w:p>
      <w:pPr>
        <w:widowControl/>
        <w:jc w:val="left"/>
        <w:rPr>
          <w:rFonts w:ascii="仿宋_GB2312" w:hAnsi="宋体" w:eastAsia="仿宋_GB2312"/>
          <w:sz w:val="28"/>
          <w:szCs w:val="28"/>
        </w:rPr>
        <w:sectPr>
          <w:pgSz w:w="11906" w:h="16838"/>
          <w:pgMar w:top="1440" w:right="1800" w:bottom="1440" w:left="1800" w:header="851" w:footer="992" w:gutter="0"/>
          <w:cols w:space="425" w:num="1"/>
          <w:docGrid w:type="lines" w:linePitch="312" w:charSpace="0"/>
        </w:sectPr>
      </w:pPr>
      <w:r>
        <w:rPr>
          <w:rFonts w:ascii="仿宋_GB2312" w:hAnsi="宋体" w:eastAsia="仿宋_GB2312"/>
          <w:sz w:val="28"/>
          <w:szCs w:val="28"/>
        </w:rPr>
        <w:br w:type="page"/>
      </w:r>
    </w:p>
    <w:p>
      <w:pPr>
        <w:pStyle w:val="3"/>
        <w:spacing w:line="240" w:lineRule="auto"/>
        <w:jc w:val="left"/>
        <w:rPr>
          <w:rFonts w:ascii="仿宋_GB2312" w:hAnsi="宋体"/>
          <w:bCs w:val="0"/>
          <w:color w:val="000000"/>
          <w:sz w:val="28"/>
          <w:szCs w:val="28"/>
        </w:rPr>
      </w:pPr>
      <w:bookmarkStart w:id="137" w:name="_Toc407294591"/>
      <w:bookmarkStart w:id="138" w:name="_Toc475303985"/>
      <w:bookmarkStart w:id="139" w:name="_Toc485386653"/>
      <w:bookmarkStart w:id="140" w:name="_Toc486428882"/>
      <w:r>
        <w:rPr>
          <w:rFonts w:hint="eastAsia" w:ascii="仿宋_GB2312" w:hAnsi="宋体"/>
          <w:bCs w:val="0"/>
          <w:color w:val="000000"/>
          <w:sz w:val="28"/>
          <w:szCs w:val="28"/>
        </w:rPr>
        <w:t>附表三  冠英镇各乡村土地用途分区面积表</w:t>
      </w:r>
      <w:bookmarkEnd w:id="137"/>
      <w:bookmarkEnd w:id="138"/>
      <w:bookmarkEnd w:id="139"/>
      <w:bookmarkEnd w:id="140"/>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5000" w:type="pct"/>
        <w:jc w:val="center"/>
        <w:tblLayout w:type="autofit"/>
        <w:tblCellMar>
          <w:top w:w="15" w:type="dxa"/>
          <w:left w:w="108" w:type="dxa"/>
          <w:bottom w:w="15" w:type="dxa"/>
          <w:right w:w="108" w:type="dxa"/>
        </w:tblCellMar>
      </w:tblPr>
      <w:tblGrid>
        <w:gridCol w:w="1116"/>
        <w:gridCol w:w="908"/>
        <w:gridCol w:w="908"/>
        <w:gridCol w:w="853"/>
        <w:gridCol w:w="908"/>
        <w:gridCol w:w="861"/>
        <w:gridCol w:w="861"/>
        <w:gridCol w:w="861"/>
        <w:gridCol w:w="861"/>
        <w:gridCol w:w="861"/>
        <w:gridCol w:w="862"/>
        <w:gridCol w:w="865"/>
        <w:gridCol w:w="865"/>
        <w:gridCol w:w="862"/>
        <w:gridCol w:w="865"/>
        <w:gridCol w:w="857"/>
      </w:tblGrid>
      <w:tr>
        <w:tblPrEx>
          <w:tblCellMar>
            <w:top w:w="15" w:type="dxa"/>
            <w:left w:w="108" w:type="dxa"/>
            <w:bottom w:w="15" w:type="dxa"/>
            <w:right w:w="108" w:type="dxa"/>
          </w:tblCellMar>
        </w:tblPrEx>
        <w:trPr>
          <w:trHeight w:val="285" w:hRule="atLeast"/>
          <w:jc w:val="center"/>
        </w:trPr>
        <w:tc>
          <w:tcPr>
            <w:tcW w:w="394"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单位</w:t>
            </w:r>
          </w:p>
        </w:tc>
        <w:tc>
          <w:tcPr>
            <w:tcW w:w="307"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辖区面积</w:t>
            </w:r>
          </w:p>
        </w:tc>
        <w:tc>
          <w:tcPr>
            <w:tcW w:w="4298" w:type="pct"/>
            <w:gridSpan w:val="1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土地用途区</w:t>
            </w:r>
          </w:p>
        </w:tc>
      </w:tr>
      <w:tr>
        <w:tblPrEx>
          <w:tblCellMar>
            <w:top w:w="15" w:type="dxa"/>
            <w:left w:w="108" w:type="dxa"/>
            <w:bottom w:w="15" w:type="dxa"/>
            <w:right w:w="108" w:type="dxa"/>
          </w:tblCellMar>
        </w:tblPrEx>
        <w:trPr>
          <w:trHeight w:val="624" w:hRule="atLeast"/>
          <w:jc w:val="center"/>
        </w:trPr>
        <w:tc>
          <w:tcPr>
            <w:tcW w:w="39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p>
        </w:tc>
        <w:tc>
          <w:tcPr>
            <w:tcW w:w="61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基本农田保护区</w:t>
            </w:r>
          </w:p>
        </w:tc>
        <w:tc>
          <w:tcPr>
            <w:tcW w:w="61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一般农地区</w:t>
            </w:r>
          </w:p>
        </w:tc>
        <w:tc>
          <w:tcPr>
            <w:tcW w:w="61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城镇建设用地区</w:t>
            </w:r>
          </w:p>
        </w:tc>
        <w:tc>
          <w:tcPr>
            <w:tcW w:w="61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村镇建设用地区</w:t>
            </w:r>
          </w:p>
        </w:tc>
        <w:tc>
          <w:tcPr>
            <w:tcW w:w="615"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独立工矿用地区</w:t>
            </w:r>
          </w:p>
        </w:tc>
        <w:tc>
          <w:tcPr>
            <w:tcW w:w="615"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林业用地区</w:t>
            </w:r>
          </w:p>
        </w:tc>
        <w:tc>
          <w:tcPr>
            <w:tcW w:w="613"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其他用地</w:t>
            </w:r>
          </w:p>
        </w:tc>
      </w:tr>
      <w:tr>
        <w:tblPrEx>
          <w:tblCellMar>
            <w:top w:w="15" w:type="dxa"/>
            <w:left w:w="108" w:type="dxa"/>
            <w:bottom w:w="15" w:type="dxa"/>
            <w:right w:w="108" w:type="dxa"/>
          </w:tblCellMar>
        </w:tblPrEx>
        <w:trPr>
          <w:trHeight w:val="312" w:hRule="atLeast"/>
          <w:jc w:val="center"/>
        </w:trPr>
        <w:tc>
          <w:tcPr>
            <w:tcW w:w="39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39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55" w:hRule="atLeast"/>
          <w:jc w:val="center"/>
        </w:trPr>
        <w:tc>
          <w:tcPr>
            <w:tcW w:w="39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大兴庙村</w:t>
            </w:r>
          </w:p>
        </w:tc>
        <w:tc>
          <w:tcPr>
            <w:tcW w:w="307" w:type="pct"/>
            <w:tcBorders>
              <w:top w:val="single" w:color="auto" w:sz="4" w:space="0"/>
              <w:left w:val="single" w:color="auto" w:sz="4" w:space="0"/>
              <w:bottom w:val="single" w:color="auto" w:sz="4" w:space="0"/>
              <w:right w:val="single" w:color="auto" w:sz="4" w:space="0"/>
            </w:tcBorders>
          </w:tcPr>
          <w:p>
            <w:r>
              <w:t>274.08</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135.24</w:t>
            </w:r>
          </w:p>
        </w:tc>
        <w:tc>
          <w:tcPr>
            <w:tcW w:w="307" w:type="pct"/>
            <w:tcBorders>
              <w:top w:val="single" w:color="auto" w:sz="4" w:space="0"/>
              <w:left w:val="single" w:color="auto" w:sz="4" w:space="0"/>
              <w:bottom w:val="single" w:color="auto" w:sz="4" w:space="0"/>
              <w:right w:val="single" w:color="auto" w:sz="4" w:space="0"/>
            </w:tcBorders>
          </w:tcPr>
          <w:p>
            <w:r>
              <w:t>49.34%</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21.01</w:t>
            </w:r>
          </w:p>
        </w:tc>
        <w:tc>
          <w:tcPr>
            <w:tcW w:w="307" w:type="pct"/>
            <w:tcBorders>
              <w:top w:val="single" w:color="auto" w:sz="4" w:space="0"/>
              <w:left w:val="single" w:color="auto" w:sz="4" w:space="0"/>
              <w:bottom w:val="single" w:color="auto" w:sz="4" w:space="0"/>
              <w:right w:val="single" w:color="auto" w:sz="4" w:space="0"/>
            </w:tcBorders>
          </w:tcPr>
          <w:p>
            <w:r>
              <w:t>7.67%</w:t>
            </w:r>
          </w:p>
        </w:tc>
        <w:tc>
          <w:tcPr>
            <w:tcW w:w="307" w:type="pct"/>
            <w:tcBorders>
              <w:top w:val="single" w:color="auto" w:sz="4" w:space="0"/>
              <w:left w:val="single" w:color="auto" w:sz="4" w:space="0"/>
              <w:bottom w:val="single" w:color="auto" w:sz="4" w:space="0"/>
              <w:right w:val="single" w:color="auto" w:sz="4" w:space="0"/>
            </w:tcBorders>
            <w:noWrap/>
          </w:tcPr>
          <w:p>
            <w:r>
              <w:t>2.46</w:t>
            </w:r>
          </w:p>
        </w:tc>
        <w:tc>
          <w:tcPr>
            <w:tcW w:w="308" w:type="pct"/>
            <w:tcBorders>
              <w:top w:val="single" w:color="auto" w:sz="4" w:space="0"/>
              <w:left w:val="single" w:color="auto" w:sz="4" w:space="0"/>
              <w:bottom w:val="single" w:color="auto" w:sz="4" w:space="0"/>
              <w:right w:val="single" w:color="auto" w:sz="4" w:space="0"/>
            </w:tcBorders>
          </w:tcPr>
          <w:p>
            <w:r>
              <w:t>0.9%</w:t>
            </w:r>
          </w:p>
        </w:tc>
        <w:tc>
          <w:tcPr>
            <w:tcW w:w="308" w:type="pct"/>
            <w:tcBorders>
              <w:top w:val="single" w:color="auto" w:sz="4" w:space="0"/>
              <w:left w:val="single" w:color="auto" w:sz="4" w:space="0"/>
              <w:bottom w:val="single" w:color="auto" w:sz="4" w:space="0"/>
              <w:right w:val="single" w:color="auto" w:sz="4" w:space="0"/>
            </w:tcBorders>
          </w:tcPr>
          <w:p>
            <w:r>
              <w:t>6.99</w:t>
            </w:r>
          </w:p>
        </w:tc>
        <w:tc>
          <w:tcPr>
            <w:tcW w:w="307" w:type="pct"/>
            <w:tcBorders>
              <w:top w:val="single" w:color="auto" w:sz="4" w:space="0"/>
              <w:left w:val="single" w:color="auto" w:sz="4" w:space="0"/>
              <w:bottom w:val="single" w:color="auto" w:sz="4" w:space="0"/>
              <w:right w:val="single" w:color="auto" w:sz="4" w:space="0"/>
            </w:tcBorders>
          </w:tcPr>
          <w:p>
            <w:r>
              <w:t>2.55%</w:t>
            </w:r>
          </w:p>
        </w:tc>
        <w:tc>
          <w:tcPr>
            <w:tcW w:w="308" w:type="pct"/>
            <w:tcBorders>
              <w:top w:val="single" w:color="auto" w:sz="4" w:space="0"/>
              <w:left w:val="single" w:color="auto" w:sz="4" w:space="0"/>
              <w:bottom w:val="single" w:color="auto" w:sz="4" w:space="0"/>
              <w:right w:val="single" w:color="auto" w:sz="4" w:space="0"/>
            </w:tcBorders>
          </w:tcPr>
          <w:p>
            <w:r>
              <w:t>108.38</w:t>
            </w:r>
          </w:p>
        </w:tc>
        <w:tc>
          <w:tcPr>
            <w:tcW w:w="305" w:type="pct"/>
            <w:tcBorders>
              <w:top w:val="single" w:color="auto" w:sz="4" w:space="0"/>
              <w:left w:val="single" w:color="auto" w:sz="4" w:space="0"/>
              <w:bottom w:val="single" w:color="auto" w:sz="4" w:space="0"/>
              <w:right w:val="single" w:color="auto" w:sz="4" w:space="0"/>
            </w:tcBorders>
          </w:tcPr>
          <w:p>
            <w:r>
              <w:t>39.54%</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河桥村</w:t>
            </w:r>
          </w:p>
        </w:tc>
        <w:tc>
          <w:tcPr>
            <w:tcW w:w="307" w:type="pct"/>
            <w:tcBorders>
              <w:top w:val="single" w:color="auto" w:sz="4" w:space="0"/>
              <w:left w:val="single" w:color="auto" w:sz="4" w:space="0"/>
              <w:bottom w:val="single" w:color="auto" w:sz="4" w:space="0"/>
              <w:right w:val="single" w:color="auto" w:sz="4" w:space="0"/>
            </w:tcBorders>
          </w:tcPr>
          <w:p>
            <w:r>
              <w:t>316.15</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189.53</w:t>
            </w:r>
          </w:p>
        </w:tc>
        <w:tc>
          <w:tcPr>
            <w:tcW w:w="307" w:type="pct"/>
            <w:tcBorders>
              <w:top w:val="single" w:color="auto" w:sz="4" w:space="0"/>
              <w:left w:val="single" w:color="auto" w:sz="4" w:space="0"/>
              <w:bottom w:val="single" w:color="auto" w:sz="4" w:space="0"/>
              <w:right w:val="single" w:color="auto" w:sz="4" w:space="0"/>
            </w:tcBorders>
          </w:tcPr>
          <w:p>
            <w:r>
              <w:t>59.95%</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20.93</w:t>
            </w:r>
          </w:p>
        </w:tc>
        <w:tc>
          <w:tcPr>
            <w:tcW w:w="307" w:type="pct"/>
            <w:tcBorders>
              <w:top w:val="single" w:color="auto" w:sz="4" w:space="0"/>
              <w:left w:val="single" w:color="auto" w:sz="4" w:space="0"/>
              <w:bottom w:val="single" w:color="auto" w:sz="4" w:space="0"/>
              <w:right w:val="single" w:color="auto" w:sz="4" w:space="0"/>
            </w:tcBorders>
          </w:tcPr>
          <w:p>
            <w:r>
              <w:t>6.62%</w:t>
            </w:r>
          </w:p>
        </w:tc>
        <w:tc>
          <w:tcPr>
            <w:tcW w:w="307" w:type="pct"/>
            <w:tcBorders>
              <w:top w:val="single" w:color="auto" w:sz="4" w:space="0"/>
              <w:left w:val="single" w:color="auto" w:sz="4" w:space="0"/>
              <w:bottom w:val="single" w:color="auto" w:sz="4" w:space="0"/>
              <w:right w:val="single" w:color="auto" w:sz="4" w:space="0"/>
            </w:tcBorders>
            <w:noWrap/>
          </w:tcPr>
          <w:p>
            <w:r>
              <w:t>1.84</w:t>
            </w:r>
          </w:p>
        </w:tc>
        <w:tc>
          <w:tcPr>
            <w:tcW w:w="308" w:type="pct"/>
            <w:tcBorders>
              <w:top w:val="single" w:color="auto" w:sz="4" w:space="0"/>
              <w:left w:val="single" w:color="auto" w:sz="4" w:space="0"/>
              <w:bottom w:val="single" w:color="auto" w:sz="4" w:space="0"/>
              <w:right w:val="single" w:color="auto" w:sz="4" w:space="0"/>
            </w:tcBorders>
          </w:tcPr>
          <w:p>
            <w:r>
              <w:t>0.58%</w:t>
            </w:r>
          </w:p>
        </w:tc>
        <w:tc>
          <w:tcPr>
            <w:tcW w:w="308" w:type="pct"/>
            <w:tcBorders>
              <w:top w:val="single" w:color="auto" w:sz="4" w:space="0"/>
              <w:left w:val="single" w:color="auto" w:sz="4" w:space="0"/>
              <w:bottom w:val="single" w:color="auto" w:sz="4" w:space="0"/>
              <w:right w:val="single" w:color="auto" w:sz="4" w:space="0"/>
            </w:tcBorders>
          </w:tcPr>
          <w:p>
            <w:r>
              <w:t>20.79</w:t>
            </w:r>
          </w:p>
        </w:tc>
        <w:tc>
          <w:tcPr>
            <w:tcW w:w="307" w:type="pct"/>
            <w:tcBorders>
              <w:top w:val="single" w:color="auto" w:sz="4" w:space="0"/>
              <w:left w:val="single" w:color="auto" w:sz="4" w:space="0"/>
              <w:bottom w:val="single" w:color="auto" w:sz="4" w:space="0"/>
              <w:right w:val="single" w:color="auto" w:sz="4" w:space="0"/>
            </w:tcBorders>
          </w:tcPr>
          <w:p>
            <w:r>
              <w:t>6.58%</w:t>
            </w:r>
          </w:p>
        </w:tc>
        <w:tc>
          <w:tcPr>
            <w:tcW w:w="308" w:type="pct"/>
            <w:tcBorders>
              <w:top w:val="single" w:color="auto" w:sz="4" w:space="0"/>
              <w:left w:val="single" w:color="auto" w:sz="4" w:space="0"/>
              <w:bottom w:val="single" w:color="auto" w:sz="4" w:space="0"/>
              <w:right w:val="single" w:color="auto" w:sz="4" w:space="0"/>
            </w:tcBorders>
          </w:tcPr>
          <w:p>
            <w:r>
              <w:t>83.06</w:t>
            </w:r>
          </w:p>
        </w:tc>
        <w:tc>
          <w:tcPr>
            <w:tcW w:w="305" w:type="pct"/>
            <w:tcBorders>
              <w:top w:val="single" w:color="auto" w:sz="4" w:space="0"/>
              <w:left w:val="single" w:color="auto" w:sz="4" w:space="0"/>
              <w:bottom w:val="single" w:color="auto" w:sz="4" w:space="0"/>
              <w:right w:val="single" w:color="auto" w:sz="4" w:space="0"/>
            </w:tcBorders>
          </w:tcPr>
          <w:p>
            <w:r>
              <w:t>26.27%</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黄益塘村</w:t>
            </w:r>
          </w:p>
        </w:tc>
        <w:tc>
          <w:tcPr>
            <w:tcW w:w="307" w:type="pct"/>
            <w:tcBorders>
              <w:top w:val="single" w:color="auto" w:sz="4" w:space="0"/>
              <w:left w:val="single" w:color="auto" w:sz="4" w:space="0"/>
              <w:bottom w:val="single" w:color="auto" w:sz="4" w:space="0"/>
              <w:right w:val="single" w:color="auto" w:sz="4" w:space="0"/>
            </w:tcBorders>
          </w:tcPr>
          <w:p>
            <w:r>
              <w:t>300.32</w:t>
            </w:r>
          </w:p>
        </w:tc>
        <w:tc>
          <w:tcPr>
            <w:tcW w:w="307" w:type="pct"/>
            <w:tcBorders>
              <w:top w:val="single" w:color="auto" w:sz="4" w:space="0"/>
              <w:left w:val="single" w:color="auto" w:sz="4" w:space="0"/>
              <w:bottom w:val="single" w:color="auto" w:sz="4" w:space="0"/>
              <w:right w:val="single" w:color="auto" w:sz="4" w:space="0"/>
            </w:tcBorders>
          </w:tcPr>
          <w:p>
            <w:r>
              <w:t>115.24</w:t>
            </w:r>
          </w:p>
        </w:tc>
        <w:tc>
          <w:tcPr>
            <w:tcW w:w="307" w:type="pct"/>
            <w:tcBorders>
              <w:top w:val="single" w:color="auto" w:sz="4" w:space="0"/>
              <w:left w:val="single" w:color="auto" w:sz="4" w:space="0"/>
              <w:bottom w:val="single" w:color="auto" w:sz="4" w:space="0"/>
              <w:right w:val="single" w:color="auto" w:sz="4" w:space="0"/>
            </w:tcBorders>
          </w:tcPr>
          <w:p>
            <w:r>
              <w:t>38.37%</w:t>
            </w:r>
          </w:p>
        </w:tc>
        <w:tc>
          <w:tcPr>
            <w:tcW w:w="307" w:type="pct"/>
            <w:tcBorders>
              <w:top w:val="single" w:color="auto" w:sz="4" w:space="0"/>
              <w:left w:val="single" w:color="auto" w:sz="4" w:space="0"/>
              <w:bottom w:val="single" w:color="auto" w:sz="4" w:space="0"/>
              <w:right w:val="single" w:color="auto" w:sz="4" w:space="0"/>
            </w:tcBorders>
          </w:tcPr>
          <w:p>
            <w:r>
              <w:t>78.32</w:t>
            </w:r>
          </w:p>
        </w:tc>
        <w:tc>
          <w:tcPr>
            <w:tcW w:w="307" w:type="pct"/>
            <w:tcBorders>
              <w:top w:val="single" w:color="auto" w:sz="4" w:space="0"/>
              <w:left w:val="single" w:color="auto" w:sz="4" w:space="0"/>
              <w:bottom w:val="single" w:color="auto" w:sz="4" w:space="0"/>
              <w:right w:val="single" w:color="auto" w:sz="4" w:space="0"/>
            </w:tcBorders>
          </w:tcPr>
          <w:p>
            <w:r>
              <w:t>26.08%</w:t>
            </w:r>
          </w:p>
        </w:tc>
        <w:tc>
          <w:tcPr>
            <w:tcW w:w="307" w:type="pct"/>
            <w:tcBorders>
              <w:top w:val="single" w:color="auto" w:sz="4" w:space="0"/>
              <w:left w:val="single" w:color="auto" w:sz="4" w:space="0"/>
              <w:bottom w:val="single" w:color="auto" w:sz="4" w:space="0"/>
              <w:right w:val="single" w:color="auto" w:sz="4" w:space="0"/>
            </w:tcBorders>
          </w:tcPr>
          <w:p>
            <w:r>
              <w:t>0.78</w:t>
            </w:r>
          </w:p>
        </w:tc>
        <w:tc>
          <w:tcPr>
            <w:tcW w:w="307" w:type="pct"/>
            <w:tcBorders>
              <w:top w:val="single" w:color="auto" w:sz="4" w:space="0"/>
              <w:left w:val="single" w:color="auto" w:sz="4" w:space="0"/>
              <w:bottom w:val="single" w:color="auto" w:sz="4" w:space="0"/>
              <w:right w:val="single" w:color="auto" w:sz="4" w:space="0"/>
            </w:tcBorders>
          </w:tcPr>
          <w:p>
            <w:r>
              <w:t>0.26%</w:t>
            </w:r>
          </w:p>
        </w:tc>
        <w:tc>
          <w:tcPr>
            <w:tcW w:w="307" w:type="pct"/>
            <w:tcBorders>
              <w:top w:val="single" w:color="auto" w:sz="4" w:space="0"/>
              <w:left w:val="single" w:color="auto" w:sz="4" w:space="0"/>
              <w:bottom w:val="single" w:color="auto" w:sz="4" w:space="0"/>
              <w:right w:val="single" w:color="auto" w:sz="4" w:space="0"/>
            </w:tcBorders>
          </w:tcPr>
          <w:p>
            <w:r>
              <w:t>18.65</w:t>
            </w:r>
          </w:p>
        </w:tc>
        <w:tc>
          <w:tcPr>
            <w:tcW w:w="307" w:type="pct"/>
            <w:tcBorders>
              <w:top w:val="single" w:color="auto" w:sz="4" w:space="0"/>
              <w:left w:val="single" w:color="auto" w:sz="4" w:space="0"/>
              <w:bottom w:val="single" w:color="auto" w:sz="4" w:space="0"/>
              <w:right w:val="single" w:color="auto" w:sz="4" w:space="0"/>
            </w:tcBorders>
          </w:tcPr>
          <w:p>
            <w:r>
              <w:t>6.21%</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64.33</w:t>
            </w:r>
          </w:p>
        </w:tc>
        <w:tc>
          <w:tcPr>
            <w:tcW w:w="307" w:type="pct"/>
            <w:tcBorders>
              <w:top w:val="single" w:color="auto" w:sz="4" w:space="0"/>
              <w:left w:val="single" w:color="auto" w:sz="4" w:space="0"/>
              <w:bottom w:val="single" w:color="auto" w:sz="4" w:space="0"/>
              <w:right w:val="single" w:color="auto" w:sz="4" w:space="0"/>
            </w:tcBorders>
          </w:tcPr>
          <w:p>
            <w:r>
              <w:t>21.42%</w:t>
            </w:r>
          </w:p>
        </w:tc>
        <w:tc>
          <w:tcPr>
            <w:tcW w:w="308" w:type="pct"/>
            <w:tcBorders>
              <w:top w:val="single" w:color="auto" w:sz="4" w:space="0"/>
              <w:left w:val="single" w:color="auto" w:sz="4" w:space="0"/>
              <w:bottom w:val="single" w:color="auto" w:sz="4" w:space="0"/>
              <w:right w:val="single" w:color="auto" w:sz="4" w:space="0"/>
            </w:tcBorders>
          </w:tcPr>
          <w:p>
            <w:r>
              <w:t>23</w:t>
            </w:r>
          </w:p>
        </w:tc>
        <w:tc>
          <w:tcPr>
            <w:tcW w:w="305" w:type="pct"/>
            <w:tcBorders>
              <w:top w:val="single" w:color="auto" w:sz="4" w:space="0"/>
              <w:left w:val="single" w:color="auto" w:sz="4" w:space="0"/>
              <w:bottom w:val="single" w:color="auto" w:sz="4" w:space="0"/>
              <w:right w:val="single" w:color="auto" w:sz="4" w:space="0"/>
            </w:tcBorders>
          </w:tcPr>
          <w:p>
            <w:r>
              <w:t>7.66%</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龙埂村</w:t>
            </w:r>
          </w:p>
        </w:tc>
        <w:tc>
          <w:tcPr>
            <w:tcW w:w="307" w:type="pct"/>
            <w:tcBorders>
              <w:top w:val="single" w:color="auto" w:sz="4" w:space="0"/>
              <w:left w:val="single" w:color="auto" w:sz="4" w:space="0"/>
              <w:bottom w:val="single" w:color="auto" w:sz="4" w:space="0"/>
              <w:right w:val="single" w:color="auto" w:sz="4" w:space="0"/>
            </w:tcBorders>
          </w:tcPr>
          <w:p>
            <w:r>
              <w:t>157.81</w:t>
            </w:r>
          </w:p>
        </w:tc>
        <w:tc>
          <w:tcPr>
            <w:tcW w:w="307" w:type="pct"/>
            <w:tcBorders>
              <w:top w:val="single" w:color="auto" w:sz="4" w:space="0"/>
              <w:left w:val="single" w:color="auto" w:sz="4" w:space="0"/>
              <w:bottom w:val="single" w:color="auto" w:sz="4" w:space="0"/>
              <w:right w:val="single" w:color="auto" w:sz="4" w:space="0"/>
            </w:tcBorders>
          </w:tcPr>
          <w:p>
            <w:r>
              <w:t>110.98</w:t>
            </w:r>
          </w:p>
        </w:tc>
        <w:tc>
          <w:tcPr>
            <w:tcW w:w="307" w:type="pct"/>
            <w:tcBorders>
              <w:top w:val="single" w:color="auto" w:sz="4" w:space="0"/>
              <w:left w:val="single" w:color="auto" w:sz="4" w:space="0"/>
              <w:bottom w:val="single" w:color="auto" w:sz="4" w:space="0"/>
              <w:right w:val="single" w:color="auto" w:sz="4" w:space="0"/>
            </w:tcBorders>
          </w:tcPr>
          <w:p>
            <w:r>
              <w:t>70.33%</w:t>
            </w:r>
          </w:p>
        </w:tc>
        <w:tc>
          <w:tcPr>
            <w:tcW w:w="307" w:type="pct"/>
            <w:tcBorders>
              <w:top w:val="single" w:color="auto" w:sz="4" w:space="0"/>
              <w:left w:val="single" w:color="auto" w:sz="4" w:space="0"/>
              <w:bottom w:val="single" w:color="auto" w:sz="4" w:space="0"/>
              <w:right w:val="single" w:color="auto" w:sz="4" w:space="0"/>
            </w:tcBorders>
          </w:tcPr>
          <w:p>
            <w:r>
              <w:t>5.15</w:t>
            </w:r>
          </w:p>
        </w:tc>
        <w:tc>
          <w:tcPr>
            <w:tcW w:w="307" w:type="pct"/>
            <w:tcBorders>
              <w:top w:val="single" w:color="auto" w:sz="4" w:space="0"/>
              <w:left w:val="single" w:color="auto" w:sz="4" w:space="0"/>
              <w:bottom w:val="single" w:color="auto" w:sz="4" w:space="0"/>
              <w:right w:val="single" w:color="auto" w:sz="4" w:space="0"/>
            </w:tcBorders>
          </w:tcPr>
          <w:p>
            <w:r>
              <w:t>3.26%</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15.75</w:t>
            </w:r>
          </w:p>
        </w:tc>
        <w:tc>
          <w:tcPr>
            <w:tcW w:w="307" w:type="pct"/>
            <w:tcBorders>
              <w:top w:val="single" w:color="auto" w:sz="4" w:space="0"/>
              <w:left w:val="single" w:color="auto" w:sz="4" w:space="0"/>
              <w:bottom w:val="single" w:color="auto" w:sz="4" w:space="0"/>
              <w:right w:val="single" w:color="auto" w:sz="4" w:space="0"/>
            </w:tcBorders>
          </w:tcPr>
          <w:p>
            <w:r>
              <w:t>9.98%</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20.36</w:t>
            </w:r>
          </w:p>
        </w:tc>
        <w:tc>
          <w:tcPr>
            <w:tcW w:w="307" w:type="pct"/>
            <w:tcBorders>
              <w:top w:val="single" w:color="auto" w:sz="4" w:space="0"/>
              <w:left w:val="single" w:color="auto" w:sz="4" w:space="0"/>
              <w:bottom w:val="single" w:color="auto" w:sz="4" w:space="0"/>
              <w:right w:val="single" w:color="auto" w:sz="4" w:space="0"/>
            </w:tcBorders>
          </w:tcPr>
          <w:p>
            <w:r>
              <w:t>12.9%</w:t>
            </w:r>
          </w:p>
        </w:tc>
        <w:tc>
          <w:tcPr>
            <w:tcW w:w="308" w:type="pct"/>
            <w:tcBorders>
              <w:top w:val="single" w:color="auto" w:sz="4" w:space="0"/>
              <w:left w:val="single" w:color="auto" w:sz="4" w:space="0"/>
              <w:bottom w:val="single" w:color="auto" w:sz="4" w:space="0"/>
              <w:right w:val="single" w:color="auto" w:sz="4" w:space="0"/>
            </w:tcBorders>
          </w:tcPr>
          <w:p>
            <w:r>
              <w:t>5.57</w:t>
            </w:r>
          </w:p>
        </w:tc>
        <w:tc>
          <w:tcPr>
            <w:tcW w:w="305" w:type="pct"/>
            <w:tcBorders>
              <w:top w:val="single" w:color="auto" w:sz="4" w:space="0"/>
              <w:left w:val="single" w:color="auto" w:sz="4" w:space="0"/>
              <w:bottom w:val="single" w:color="auto" w:sz="4" w:space="0"/>
              <w:right w:val="single" w:color="auto" w:sz="4" w:space="0"/>
            </w:tcBorders>
          </w:tcPr>
          <w:p>
            <w:r>
              <w:t>3.53%</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马桑村</w:t>
            </w:r>
          </w:p>
        </w:tc>
        <w:tc>
          <w:tcPr>
            <w:tcW w:w="307" w:type="pct"/>
            <w:tcBorders>
              <w:top w:val="single" w:color="auto" w:sz="4" w:space="0"/>
              <w:left w:val="single" w:color="auto" w:sz="4" w:space="0"/>
              <w:bottom w:val="single" w:color="auto" w:sz="4" w:space="0"/>
              <w:right w:val="single" w:color="auto" w:sz="4" w:space="0"/>
            </w:tcBorders>
          </w:tcPr>
          <w:p>
            <w:r>
              <w:t>187.14</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98.26</w:t>
            </w:r>
          </w:p>
        </w:tc>
        <w:tc>
          <w:tcPr>
            <w:tcW w:w="307" w:type="pct"/>
            <w:tcBorders>
              <w:top w:val="single" w:color="auto" w:sz="4" w:space="0"/>
              <w:left w:val="single" w:color="auto" w:sz="4" w:space="0"/>
              <w:bottom w:val="single" w:color="auto" w:sz="4" w:space="0"/>
              <w:right w:val="single" w:color="auto" w:sz="4" w:space="0"/>
            </w:tcBorders>
          </w:tcPr>
          <w:p>
            <w:r>
              <w:t>52.51%</w:t>
            </w:r>
          </w:p>
        </w:tc>
        <w:tc>
          <w:tcPr>
            <w:tcW w:w="307" w:type="pct"/>
            <w:tcBorders>
              <w:top w:val="single" w:color="auto" w:sz="4" w:space="0"/>
              <w:left w:val="single" w:color="auto" w:sz="4" w:space="0"/>
              <w:bottom w:val="single" w:color="auto" w:sz="4" w:space="0"/>
              <w:right w:val="single" w:color="auto" w:sz="4" w:space="0"/>
            </w:tcBorders>
          </w:tcPr>
          <w:p>
            <w:r>
              <w:t>1.18</w:t>
            </w:r>
          </w:p>
        </w:tc>
        <w:tc>
          <w:tcPr>
            <w:tcW w:w="307" w:type="pct"/>
            <w:tcBorders>
              <w:top w:val="single" w:color="auto" w:sz="4" w:space="0"/>
              <w:left w:val="single" w:color="auto" w:sz="4" w:space="0"/>
              <w:bottom w:val="single" w:color="auto" w:sz="4" w:space="0"/>
              <w:right w:val="single" w:color="auto" w:sz="4" w:space="0"/>
            </w:tcBorders>
          </w:tcPr>
          <w:p>
            <w:r>
              <w:t>0.63%</w:t>
            </w:r>
          </w:p>
        </w:tc>
        <w:tc>
          <w:tcPr>
            <w:tcW w:w="307" w:type="pct"/>
            <w:tcBorders>
              <w:top w:val="single" w:color="auto" w:sz="4" w:space="0"/>
              <w:left w:val="single" w:color="auto" w:sz="4" w:space="0"/>
              <w:bottom w:val="single" w:color="auto" w:sz="4" w:space="0"/>
              <w:right w:val="single" w:color="auto" w:sz="4" w:space="0"/>
            </w:tcBorders>
          </w:tcPr>
          <w:p>
            <w:r>
              <w:t>27.7</w:t>
            </w:r>
          </w:p>
        </w:tc>
        <w:tc>
          <w:tcPr>
            <w:tcW w:w="307" w:type="pct"/>
            <w:tcBorders>
              <w:top w:val="single" w:color="auto" w:sz="4" w:space="0"/>
              <w:left w:val="single" w:color="auto" w:sz="4" w:space="0"/>
              <w:bottom w:val="single" w:color="auto" w:sz="4" w:space="0"/>
              <w:right w:val="single" w:color="auto" w:sz="4" w:space="0"/>
            </w:tcBorders>
          </w:tcPr>
          <w:p>
            <w:r>
              <w:t>14.8%</w:t>
            </w:r>
          </w:p>
        </w:tc>
        <w:tc>
          <w:tcPr>
            <w:tcW w:w="307" w:type="pct"/>
            <w:tcBorders>
              <w:top w:val="single" w:color="auto" w:sz="4" w:space="0"/>
              <w:left w:val="single" w:color="auto" w:sz="4" w:space="0"/>
              <w:bottom w:val="single" w:color="auto" w:sz="4" w:space="0"/>
              <w:right w:val="single" w:color="auto" w:sz="4" w:space="0"/>
            </w:tcBorders>
            <w:noWrap/>
          </w:tcPr>
          <w:p>
            <w:r>
              <w:t>0.74</w:t>
            </w:r>
          </w:p>
        </w:tc>
        <w:tc>
          <w:tcPr>
            <w:tcW w:w="308" w:type="pct"/>
            <w:tcBorders>
              <w:top w:val="single" w:color="auto" w:sz="4" w:space="0"/>
              <w:left w:val="single" w:color="auto" w:sz="4" w:space="0"/>
              <w:bottom w:val="single" w:color="auto" w:sz="4" w:space="0"/>
              <w:right w:val="single" w:color="auto" w:sz="4" w:space="0"/>
            </w:tcBorders>
          </w:tcPr>
          <w:p>
            <w:r>
              <w:t>0.4%</w:t>
            </w:r>
          </w:p>
        </w:tc>
        <w:tc>
          <w:tcPr>
            <w:tcW w:w="308" w:type="pct"/>
            <w:tcBorders>
              <w:top w:val="single" w:color="auto" w:sz="4" w:space="0"/>
              <w:left w:val="single" w:color="auto" w:sz="4" w:space="0"/>
              <w:bottom w:val="single" w:color="auto" w:sz="4" w:space="0"/>
              <w:right w:val="single" w:color="auto" w:sz="4" w:space="0"/>
            </w:tcBorders>
          </w:tcPr>
          <w:p>
            <w:r>
              <w:t>3.95</w:t>
            </w:r>
          </w:p>
        </w:tc>
        <w:tc>
          <w:tcPr>
            <w:tcW w:w="307" w:type="pct"/>
            <w:tcBorders>
              <w:top w:val="single" w:color="auto" w:sz="4" w:space="0"/>
              <w:left w:val="single" w:color="auto" w:sz="4" w:space="0"/>
              <w:bottom w:val="single" w:color="auto" w:sz="4" w:space="0"/>
              <w:right w:val="single" w:color="auto" w:sz="4" w:space="0"/>
            </w:tcBorders>
          </w:tcPr>
          <w:p>
            <w:r>
              <w:t>2.11%</w:t>
            </w:r>
          </w:p>
        </w:tc>
        <w:tc>
          <w:tcPr>
            <w:tcW w:w="308" w:type="pct"/>
            <w:tcBorders>
              <w:top w:val="single" w:color="auto" w:sz="4" w:space="0"/>
              <w:left w:val="single" w:color="auto" w:sz="4" w:space="0"/>
              <w:bottom w:val="single" w:color="auto" w:sz="4" w:space="0"/>
              <w:right w:val="single" w:color="auto" w:sz="4" w:space="0"/>
            </w:tcBorders>
          </w:tcPr>
          <w:p>
            <w:r>
              <w:t>55.31</w:t>
            </w:r>
          </w:p>
        </w:tc>
        <w:tc>
          <w:tcPr>
            <w:tcW w:w="305" w:type="pct"/>
            <w:tcBorders>
              <w:top w:val="single" w:color="auto" w:sz="4" w:space="0"/>
              <w:left w:val="single" w:color="auto" w:sz="4" w:space="0"/>
              <w:bottom w:val="single" w:color="auto" w:sz="4" w:space="0"/>
              <w:right w:val="single" w:color="auto" w:sz="4" w:space="0"/>
            </w:tcBorders>
          </w:tcPr>
          <w:p>
            <w:r>
              <w:t>29.56%</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麦子坳村</w:t>
            </w:r>
          </w:p>
        </w:tc>
        <w:tc>
          <w:tcPr>
            <w:tcW w:w="307" w:type="pct"/>
            <w:tcBorders>
              <w:top w:val="single" w:color="auto" w:sz="4" w:space="0"/>
              <w:left w:val="single" w:color="auto" w:sz="4" w:space="0"/>
              <w:bottom w:val="single" w:color="auto" w:sz="4" w:space="0"/>
              <w:right w:val="single" w:color="auto" w:sz="4" w:space="0"/>
            </w:tcBorders>
          </w:tcPr>
          <w:p>
            <w:r>
              <w:t>281.61</w:t>
            </w:r>
          </w:p>
        </w:tc>
        <w:tc>
          <w:tcPr>
            <w:tcW w:w="307" w:type="pct"/>
            <w:tcBorders>
              <w:top w:val="single" w:color="auto" w:sz="4" w:space="0"/>
              <w:left w:val="single" w:color="auto" w:sz="4" w:space="0"/>
              <w:bottom w:val="single" w:color="auto" w:sz="4" w:space="0"/>
              <w:right w:val="single" w:color="auto" w:sz="4" w:space="0"/>
            </w:tcBorders>
          </w:tcPr>
          <w:p>
            <w:r>
              <w:t>108.45</w:t>
            </w:r>
          </w:p>
        </w:tc>
        <w:tc>
          <w:tcPr>
            <w:tcW w:w="307" w:type="pct"/>
            <w:tcBorders>
              <w:top w:val="single" w:color="auto" w:sz="4" w:space="0"/>
              <w:left w:val="single" w:color="auto" w:sz="4" w:space="0"/>
              <w:bottom w:val="single" w:color="auto" w:sz="4" w:space="0"/>
              <w:right w:val="single" w:color="auto" w:sz="4" w:space="0"/>
            </w:tcBorders>
          </w:tcPr>
          <w:p>
            <w:r>
              <w:t>38.51%</w:t>
            </w:r>
          </w:p>
        </w:tc>
        <w:tc>
          <w:tcPr>
            <w:tcW w:w="307" w:type="pct"/>
            <w:tcBorders>
              <w:top w:val="single" w:color="auto" w:sz="4" w:space="0"/>
              <w:left w:val="single" w:color="auto" w:sz="4" w:space="0"/>
              <w:bottom w:val="single" w:color="auto" w:sz="4" w:space="0"/>
              <w:right w:val="single" w:color="auto" w:sz="4" w:space="0"/>
            </w:tcBorders>
          </w:tcPr>
          <w:p>
            <w:r>
              <w:t>64.35</w:t>
            </w:r>
          </w:p>
        </w:tc>
        <w:tc>
          <w:tcPr>
            <w:tcW w:w="307" w:type="pct"/>
            <w:tcBorders>
              <w:top w:val="single" w:color="auto" w:sz="4" w:space="0"/>
              <w:left w:val="single" w:color="auto" w:sz="4" w:space="0"/>
              <w:bottom w:val="single" w:color="auto" w:sz="4" w:space="0"/>
              <w:right w:val="single" w:color="auto" w:sz="4" w:space="0"/>
            </w:tcBorders>
          </w:tcPr>
          <w:p>
            <w:r>
              <w:t>22.85%</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11.37</w:t>
            </w:r>
          </w:p>
        </w:tc>
        <w:tc>
          <w:tcPr>
            <w:tcW w:w="307" w:type="pct"/>
            <w:tcBorders>
              <w:top w:val="single" w:color="auto" w:sz="4" w:space="0"/>
              <w:left w:val="single" w:color="auto" w:sz="4" w:space="0"/>
              <w:bottom w:val="single" w:color="auto" w:sz="4" w:space="0"/>
              <w:right w:val="single" w:color="auto" w:sz="4" w:space="0"/>
            </w:tcBorders>
          </w:tcPr>
          <w:p>
            <w:r>
              <w:t>4.04%</w:t>
            </w:r>
          </w:p>
        </w:tc>
        <w:tc>
          <w:tcPr>
            <w:tcW w:w="307" w:type="pct"/>
            <w:tcBorders>
              <w:top w:val="single" w:color="auto" w:sz="4" w:space="0"/>
              <w:left w:val="single" w:color="auto" w:sz="4" w:space="0"/>
              <w:bottom w:val="single" w:color="auto" w:sz="4" w:space="0"/>
              <w:right w:val="single" w:color="auto" w:sz="4" w:space="0"/>
            </w:tcBorders>
            <w:noWrap/>
          </w:tcPr>
          <w:p>
            <w:r>
              <w:t>0.06</w:t>
            </w:r>
          </w:p>
        </w:tc>
        <w:tc>
          <w:tcPr>
            <w:tcW w:w="308" w:type="pct"/>
            <w:tcBorders>
              <w:top w:val="single" w:color="auto" w:sz="4" w:space="0"/>
              <w:left w:val="single" w:color="auto" w:sz="4" w:space="0"/>
              <w:bottom w:val="single" w:color="auto" w:sz="4" w:space="0"/>
              <w:right w:val="single" w:color="auto" w:sz="4" w:space="0"/>
            </w:tcBorders>
          </w:tcPr>
          <w:p>
            <w:r>
              <w:t>0.02%</w:t>
            </w:r>
          </w:p>
        </w:tc>
        <w:tc>
          <w:tcPr>
            <w:tcW w:w="308" w:type="pct"/>
            <w:tcBorders>
              <w:top w:val="single" w:color="auto" w:sz="4" w:space="0"/>
              <w:left w:val="single" w:color="auto" w:sz="4" w:space="0"/>
              <w:bottom w:val="single" w:color="auto" w:sz="4" w:space="0"/>
              <w:right w:val="single" w:color="auto" w:sz="4" w:space="0"/>
            </w:tcBorders>
          </w:tcPr>
          <w:p>
            <w:r>
              <w:t>87.78</w:t>
            </w:r>
          </w:p>
        </w:tc>
        <w:tc>
          <w:tcPr>
            <w:tcW w:w="307" w:type="pct"/>
            <w:tcBorders>
              <w:top w:val="single" w:color="auto" w:sz="4" w:space="0"/>
              <w:left w:val="single" w:color="auto" w:sz="4" w:space="0"/>
              <w:bottom w:val="single" w:color="auto" w:sz="4" w:space="0"/>
              <w:right w:val="single" w:color="auto" w:sz="4" w:space="0"/>
            </w:tcBorders>
          </w:tcPr>
          <w:p>
            <w:r>
              <w:t>31.17%</w:t>
            </w:r>
          </w:p>
        </w:tc>
        <w:tc>
          <w:tcPr>
            <w:tcW w:w="308" w:type="pct"/>
            <w:tcBorders>
              <w:top w:val="single" w:color="auto" w:sz="4" w:space="0"/>
              <w:left w:val="single" w:color="auto" w:sz="4" w:space="0"/>
              <w:bottom w:val="single" w:color="auto" w:sz="4" w:space="0"/>
              <w:right w:val="single" w:color="auto" w:sz="4" w:space="0"/>
            </w:tcBorders>
          </w:tcPr>
          <w:p>
            <w:r>
              <w:t>9.6</w:t>
            </w:r>
          </w:p>
        </w:tc>
        <w:tc>
          <w:tcPr>
            <w:tcW w:w="305" w:type="pct"/>
            <w:tcBorders>
              <w:top w:val="single" w:color="auto" w:sz="4" w:space="0"/>
              <w:left w:val="single" w:color="auto" w:sz="4" w:space="0"/>
              <w:bottom w:val="single" w:color="auto" w:sz="4" w:space="0"/>
              <w:right w:val="single" w:color="auto" w:sz="4" w:space="0"/>
            </w:tcBorders>
          </w:tcPr>
          <w:p>
            <w:r>
              <w:t>3.41%</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青乐村</w:t>
            </w:r>
          </w:p>
        </w:tc>
        <w:tc>
          <w:tcPr>
            <w:tcW w:w="307" w:type="pct"/>
            <w:tcBorders>
              <w:top w:val="single" w:color="auto" w:sz="4" w:space="0"/>
              <w:left w:val="single" w:color="auto" w:sz="4" w:space="0"/>
              <w:bottom w:val="single" w:color="auto" w:sz="4" w:space="0"/>
              <w:right w:val="single" w:color="auto" w:sz="4" w:space="0"/>
            </w:tcBorders>
          </w:tcPr>
          <w:p>
            <w:r>
              <w:t>210.52</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100.57</w:t>
            </w:r>
          </w:p>
        </w:tc>
        <w:tc>
          <w:tcPr>
            <w:tcW w:w="307" w:type="pct"/>
            <w:tcBorders>
              <w:top w:val="single" w:color="auto" w:sz="4" w:space="0"/>
              <w:left w:val="single" w:color="auto" w:sz="4" w:space="0"/>
              <w:bottom w:val="single" w:color="auto" w:sz="4" w:space="0"/>
              <w:right w:val="single" w:color="auto" w:sz="4" w:space="0"/>
            </w:tcBorders>
          </w:tcPr>
          <w:p>
            <w:r>
              <w:t>47.77%</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15.96</w:t>
            </w:r>
          </w:p>
        </w:tc>
        <w:tc>
          <w:tcPr>
            <w:tcW w:w="307" w:type="pct"/>
            <w:tcBorders>
              <w:top w:val="single" w:color="auto" w:sz="4" w:space="0"/>
              <w:left w:val="single" w:color="auto" w:sz="4" w:space="0"/>
              <w:bottom w:val="single" w:color="auto" w:sz="4" w:space="0"/>
              <w:right w:val="single" w:color="auto" w:sz="4" w:space="0"/>
            </w:tcBorders>
          </w:tcPr>
          <w:p>
            <w:r>
              <w:t>7.58%</w:t>
            </w:r>
          </w:p>
        </w:tc>
        <w:tc>
          <w:tcPr>
            <w:tcW w:w="307" w:type="pct"/>
            <w:tcBorders>
              <w:top w:val="single" w:color="auto" w:sz="4" w:space="0"/>
              <w:left w:val="single" w:color="auto" w:sz="4" w:space="0"/>
              <w:bottom w:val="single" w:color="auto" w:sz="4" w:space="0"/>
              <w:right w:val="single" w:color="auto" w:sz="4" w:space="0"/>
            </w:tcBorders>
            <w:noWrap/>
          </w:tcPr>
          <w:p>
            <w:r>
              <w:t>2.97</w:t>
            </w:r>
          </w:p>
        </w:tc>
        <w:tc>
          <w:tcPr>
            <w:tcW w:w="308" w:type="pct"/>
            <w:tcBorders>
              <w:top w:val="single" w:color="auto" w:sz="4" w:space="0"/>
              <w:left w:val="single" w:color="auto" w:sz="4" w:space="0"/>
              <w:bottom w:val="single" w:color="auto" w:sz="4" w:space="0"/>
              <w:right w:val="single" w:color="auto" w:sz="4" w:space="0"/>
            </w:tcBorders>
          </w:tcPr>
          <w:p>
            <w:r>
              <w:t>1.41%</w:t>
            </w:r>
          </w:p>
        </w:tc>
        <w:tc>
          <w:tcPr>
            <w:tcW w:w="308" w:type="pct"/>
            <w:tcBorders>
              <w:top w:val="single" w:color="auto" w:sz="4" w:space="0"/>
              <w:left w:val="single" w:color="auto" w:sz="4" w:space="0"/>
              <w:bottom w:val="single" w:color="auto" w:sz="4" w:space="0"/>
              <w:right w:val="single" w:color="auto" w:sz="4" w:space="0"/>
            </w:tcBorders>
          </w:tcPr>
          <w:p>
            <w:r>
              <w:t>13.77</w:t>
            </w:r>
          </w:p>
        </w:tc>
        <w:tc>
          <w:tcPr>
            <w:tcW w:w="307" w:type="pct"/>
            <w:tcBorders>
              <w:top w:val="single" w:color="auto" w:sz="4" w:space="0"/>
              <w:left w:val="single" w:color="auto" w:sz="4" w:space="0"/>
              <w:bottom w:val="single" w:color="auto" w:sz="4" w:space="0"/>
              <w:right w:val="single" w:color="auto" w:sz="4" w:space="0"/>
            </w:tcBorders>
          </w:tcPr>
          <w:p>
            <w:r>
              <w:t>6.54%</w:t>
            </w:r>
          </w:p>
        </w:tc>
        <w:tc>
          <w:tcPr>
            <w:tcW w:w="308" w:type="pct"/>
            <w:tcBorders>
              <w:top w:val="single" w:color="auto" w:sz="4" w:space="0"/>
              <w:left w:val="single" w:color="auto" w:sz="4" w:space="0"/>
              <w:bottom w:val="single" w:color="auto" w:sz="4" w:space="0"/>
              <w:right w:val="single" w:color="auto" w:sz="4" w:space="0"/>
            </w:tcBorders>
          </w:tcPr>
          <w:p>
            <w:r>
              <w:t>77.25</w:t>
            </w:r>
          </w:p>
        </w:tc>
        <w:tc>
          <w:tcPr>
            <w:tcW w:w="305" w:type="pct"/>
            <w:tcBorders>
              <w:top w:val="single" w:color="auto" w:sz="4" w:space="0"/>
              <w:left w:val="single" w:color="auto" w:sz="4" w:space="0"/>
              <w:bottom w:val="single" w:color="auto" w:sz="4" w:space="0"/>
              <w:right w:val="single" w:color="auto" w:sz="4" w:space="0"/>
            </w:tcBorders>
          </w:tcPr>
          <w:p>
            <w:r>
              <w:t>36.69%</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荣丰村</w:t>
            </w:r>
          </w:p>
        </w:tc>
        <w:tc>
          <w:tcPr>
            <w:tcW w:w="307" w:type="pct"/>
            <w:tcBorders>
              <w:top w:val="single" w:color="auto" w:sz="4" w:space="0"/>
              <w:left w:val="single" w:color="auto" w:sz="4" w:space="0"/>
              <w:bottom w:val="single" w:color="auto" w:sz="4" w:space="0"/>
              <w:right w:val="single" w:color="auto" w:sz="4" w:space="0"/>
            </w:tcBorders>
          </w:tcPr>
          <w:p>
            <w:r>
              <w:t>431.87</w:t>
            </w:r>
          </w:p>
        </w:tc>
        <w:tc>
          <w:tcPr>
            <w:tcW w:w="307" w:type="pct"/>
            <w:tcBorders>
              <w:top w:val="single" w:color="auto" w:sz="4" w:space="0"/>
              <w:left w:val="single" w:color="auto" w:sz="4" w:space="0"/>
              <w:bottom w:val="single" w:color="auto" w:sz="4" w:space="0"/>
              <w:right w:val="single" w:color="auto" w:sz="4" w:space="0"/>
            </w:tcBorders>
          </w:tcPr>
          <w:p>
            <w:r>
              <w:t>3.51</w:t>
            </w:r>
          </w:p>
        </w:tc>
        <w:tc>
          <w:tcPr>
            <w:tcW w:w="307" w:type="pct"/>
            <w:tcBorders>
              <w:top w:val="single" w:color="auto" w:sz="4" w:space="0"/>
              <w:left w:val="single" w:color="auto" w:sz="4" w:space="0"/>
              <w:bottom w:val="single" w:color="auto" w:sz="4" w:space="0"/>
              <w:right w:val="single" w:color="auto" w:sz="4" w:space="0"/>
            </w:tcBorders>
          </w:tcPr>
          <w:p>
            <w:r>
              <w:t>0.81%</w:t>
            </w:r>
          </w:p>
        </w:tc>
        <w:tc>
          <w:tcPr>
            <w:tcW w:w="307" w:type="pct"/>
            <w:tcBorders>
              <w:top w:val="single" w:color="auto" w:sz="4" w:space="0"/>
              <w:left w:val="single" w:color="auto" w:sz="4" w:space="0"/>
              <w:bottom w:val="single" w:color="auto" w:sz="4" w:space="0"/>
              <w:right w:val="single" w:color="auto" w:sz="4" w:space="0"/>
            </w:tcBorders>
          </w:tcPr>
          <w:p>
            <w:r>
              <w:t>120.85</w:t>
            </w:r>
          </w:p>
        </w:tc>
        <w:tc>
          <w:tcPr>
            <w:tcW w:w="307" w:type="pct"/>
            <w:tcBorders>
              <w:top w:val="single" w:color="auto" w:sz="4" w:space="0"/>
              <w:left w:val="single" w:color="auto" w:sz="4" w:space="0"/>
              <w:bottom w:val="single" w:color="auto" w:sz="4" w:space="0"/>
              <w:right w:val="single" w:color="auto" w:sz="4" w:space="0"/>
            </w:tcBorders>
          </w:tcPr>
          <w:p>
            <w:r>
              <w:t>27.98%</w:t>
            </w:r>
          </w:p>
        </w:tc>
        <w:tc>
          <w:tcPr>
            <w:tcW w:w="307" w:type="pct"/>
            <w:tcBorders>
              <w:top w:val="single" w:color="auto" w:sz="4" w:space="0"/>
              <w:left w:val="single" w:color="auto" w:sz="4" w:space="0"/>
              <w:bottom w:val="single" w:color="auto" w:sz="4" w:space="0"/>
              <w:right w:val="single" w:color="auto" w:sz="4" w:space="0"/>
            </w:tcBorders>
          </w:tcPr>
          <w:p>
            <w:r>
              <w:t>142.24</w:t>
            </w:r>
          </w:p>
        </w:tc>
        <w:tc>
          <w:tcPr>
            <w:tcW w:w="307" w:type="pct"/>
            <w:tcBorders>
              <w:top w:val="single" w:color="auto" w:sz="4" w:space="0"/>
              <w:left w:val="single" w:color="auto" w:sz="4" w:space="0"/>
              <w:bottom w:val="single" w:color="auto" w:sz="4" w:space="0"/>
              <w:right w:val="single" w:color="auto" w:sz="4" w:space="0"/>
            </w:tcBorders>
          </w:tcPr>
          <w:p>
            <w:r>
              <w:t>32.94%</w:t>
            </w:r>
          </w:p>
        </w:tc>
        <w:tc>
          <w:tcPr>
            <w:tcW w:w="307" w:type="pct"/>
            <w:tcBorders>
              <w:top w:val="single" w:color="auto" w:sz="4" w:space="0"/>
              <w:left w:val="single" w:color="auto" w:sz="4" w:space="0"/>
              <w:bottom w:val="single" w:color="auto" w:sz="4" w:space="0"/>
              <w:right w:val="single" w:color="auto" w:sz="4" w:space="0"/>
            </w:tcBorders>
          </w:tcPr>
          <w:p>
            <w:r>
              <w:t>77</w:t>
            </w:r>
          </w:p>
        </w:tc>
        <w:tc>
          <w:tcPr>
            <w:tcW w:w="307" w:type="pct"/>
            <w:tcBorders>
              <w:top w:val="single" w:color="auto" w:sz="4" w:space="0"/>
              <w:left w:val="single" w:color="auto" w:sz="4" w:space="0"/>
              <w:bottom w:val="single" w:color="auto" w:sz="4" w:space="0"/>
              <w:right w:val="single" w:color="auto" w:sz="4" w:space="0"/>
            </w:tcBorders>
          </w:tcPr>
          <w:p>
            <w:r>
              <w:t>17.83%</w:t>
            </w:r>
          </w:p>
        </w:tc>
        <w:tc>
          <w:tcPr>
            <w:tcW w:w="307" w:type="pct"/>
            <w:tcBorders>
              <w:top w:val="single" w:color="auto" w:sz="4" w:space="0"/>
              <w:left w:val="single" w:color="auto" w:sz="4" w:space="0"/>
              <w:bottom w:val="single" w:color="auto" w:sz="4" w:space="0"/>
              <w:right w:val="single" w:color="auto" w:sz="4" w:space="0"/>
            </w:tcBorders>
            <w:noWrap/>
          </w:tcPr>
          <w:p>
            <w:r>
              <w:t>8.37</w:t>
            </w:r>
          </w:p>
        </w:tc>
        <w:tc>
          <w:tcPr>
            <w:tcW w:w="308" w:type="pct"/>
            <w:tcBorders>
              <w:top w:val="single" w:color="auto" w:sz="4" w:space="0"/>
              <w:left w:val="single" w:color="auto" w:sz="4" w:space="0"/>
              <w:bottom w:val="single" w:color="auto" w:sz="4" w:space="0"/>
              <w:right w:val="single" w:color="auto" w:sz="4" w:space="0"/>
            </w:tcBorders>
          </w:tcPr>
          <w:p>
            <w:r>
              <w:t>1.94%</w:t>
            </w:r>
          </w:p>
        </w:tc>
        <w:tc>
          <w:tcPr>
            <w:tcW w:w="308" w:type="pct"/>
            <w:tcBorders>
              <w:top w:val="single" w:color="auto" w:sz="4" w:space="0"/>
              <w:left w:val="single" w:color="auto" w:sz="4" w:space="0"/>
              <w:bottom w:val="single" w:color="auto" w:sz="4" w:space="0"/>
              <w:right w:val="single" w:color="auto" w:sz="4" w:space="0"/>
            </w:tcBorders>
          </w:tcPr>
          <w:p>
            <w:r>
              <w:t>39.1</w:t>
            </w:r>
          </w:p>
        </w:tc>
        <w:tc>
          <w:tcPr>
            <w:tcW w:w="307" w:type="pct"/>
            <w:tcBorders>
              <w:top w:val="single" w:color="auto" w:sz="4" w:space="0"/>
              <w:left w:val="single" w:color="auto" w:sz="4" w:space="0"/>
              <w:bottom w:val="single" w:color="auto" w:sz="4" w:space="0"/>
              <w:right w:val="single" w:color="auto" w:sz="4" w:space="0"/>
            </w:tcBorders>
          </w:tcPr>
          <w:p>
            <w:r>
              <w:t>9.05%</w:t>
            </w:r>
          </w:p>
        </w:tc>
        <w:tc>
          <w:tcPr>
            <w:tcW w:w="308" w:type="pct"/>
            <w:tcBorders>
              <w:top w:val="single" w:color="auto" w:sz="4" w:space="0"/>
              <w:left w:val="single" w:color="auto" w:sz="4" w:space="0"/>
              <w:bottom w:val="single" w:color="auto" w:sz="4" w:space="0"/>
              <w:right w:val="single" w:color="auto" w:sz="4" w:space="0"/>
            </w:tcBorders>
          </w:tcPr>
          <w:p>
            <w:r>
              <w:t>40.8</w:t>
            </w:r>
          </w:p>
        </w:tc>
        <w:tc>
          <w:tcPr>
            <w:tcW w:w="305" w:type="pct"/>
            <w:tcBorders>
              <w:top w:val="single" w:color="auto" w:sz="4" w:space="0"/>
              <w:left w:val="single" w:color="auto" w:sz="4" w:space="0"/>
              <w:bottom w:val="single" w:color="auto" w:sz="4" w:space="0"/>
              <w:right w:val="single" w:color="auto" w:sz="4" w:space="0"/>
            </w:tcBorders>
          </w:tcPr>
          <w:p>
            <w:r>
              <w:t>9.45%</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尚村</w:t>
            </w:r>
          </w:p>
        </w:tc>
        <w:tc>
          <w:tcPr>
            <w:tcW w:w="307" w:type="pct"/>
            <w:tcBorders>
              <w:top w:val="single" w:color="auto" w:sz="4" w:space="0"/>
              <w:left w:val="single" w:color="auto" w:sz="4" w:space="0"/>
              <w:bottom w:val="single" w:color="auto" w:sz="4" w:space="0"/>
              <w:right w:val="single" w:color="auto" w:sz="4" w:space="0"/>
            </w:tcBorders>
          </w:tcPr>
          <w:p>
            <w:r>
              <w:t>235.18</w:t>
            </w:r>
          </w:p>
        </w:tc>
        <w:tc>
          <w:tcPr>
            <w:tcW w:w="307" w:type="pct"/>
            <w:tcBorders>
              <w:top w:val="single" w:color="auto" w:sz="4" w:space="0"/>
              <w:left w:val="single" w:color="auto" w:sz="4" w:space="0"/>
              <w:bottom w:val="single" w:color="auto" w:sz="4" w:space="0"/>
              <w:right w:val="single" w:color="auto" w:sz="4" w:space="0"/>
            </w:tcBorders>
          </w:tcPr>
          <w:p>
            <w:r>
              <w:t>2.96</w:t>
            </w:r>
          </w:p>
        </w:tc>
        <w:tc>
          <w:tcPr>
            <w:tcW w:w="307" w:type="pct"/>
            <w:tcBorders>
              <w:top w:val="single" w:color="auto" w:sz="4" w:space="0"/>
              <w:left w:val="single" w:color="auto" w:sz="4" w:space="0"/>
              <w:bottom w:val="single" w:color="auto" w:sz="4" w:space="0"/>
              <w:right w:val="single" w:color="auto" w:sz="4" w:space="0"/>
            </w:tcBorders>
          </w:tcPr>
          <w:p>
            <w:r>
              <w:t>1.26%</w:t>
            </w:r>
          </w:p>
        </w:tc>
        <w:tc>
          <w:tcPr>
            <w:tcW w:w="307" w:type="pct"/>
            <w:tcBorders>
              <w:top w:val="single" w:color="auto" w:sz="4" w:space="0"/>
              <w:left w:val="single" w:color="auto" w:sz="4" w:space="0"/>
              <w:bottom w:val="single" w:color="auto" w:sz="4" w:space="0"/>
              <w:right w:val="single" w:color="auto" w:sz="4" w:space="0"/>
            </w:tcBorders>
          </w:tcPr>
          <w:p>
            <w:r>
              <w:t>128.99</w:t>
            </w:r>
          </w:p>
        </w:tc>
        <w:tc>
          <w:tcPr>
            <w:tcW w:w="307" w:type="pct"/>
            <w:tcBorders>
              <w:top w:val="single" w:color="auto" w:sz="4" w:space="0"/>
              <w:left w:val="single" w:color="auto" w:sz="4" w:space="0"/>
              <w:bottom w:val="single" w:color="auto" w:sz="4" w:space="0"/>
              <w:right w:val="single" w:color="auto" w:sz="4" w:space="0"/>
            </w:tcBorders>
          </w:tcPr>
          <w:p>
            <w:r>
              <w:t>54.85%</w:t>
            </w:r>
          </w:p>
        </w:tc>
        <w:tc>
          <w:tcPr>
            <w:tcW w:w="307" w:type="pct"/>
            <w:tcBorders>
              <w:top w:val="single" w:color="auto" w:sz="4" w:space="0"/>
              <w:left w:val="single" w:color="auto" w:sz="4" w:space="0"/>
              <w:bottom w:val="single" w:color="auto" w:sz="4" w:space="0"/>
              <w:right w:val="single" w:color="auto" w:sz="4" w:space="0"/>
            </w:tcBorders>
          </w:tcPr>
          <w:p>
            <w:r>
              <w:t>38.16</w:t>
            </w:r>
          </w:p>
        </w:tc>
        <w:tc>
          <w:tcPr>
            <w:tcW w:w="307" w:type="pct"/>
            <w:tcBorders>
              <w:top w:val="single" w:color="auto" w:sz="4" w:space="0"/>
              <w:left w:val="single" w:color="auto" w:sz="4" w:space="0"/>
              <w:bottom w:val="single" w:color="auto" w:sz="4" w:space="0"/>
              <w:right w:val="single" w:color="auto" w:sz="4" w:space="0"/>
            </w:tcBorders>
          </w:tcPr>
          <w:p>
            <w:r>
              <w:t>16.23%</w:t>
            </w:r>
          </w:p>
        </w:tc>
        <w:tc>
          <w:tcPr>
            <w:tcW w:w="307" w:type="pct"/>
            <w:tcBorders>
              <w:top w:val="single" w:color="auto" w:sz="4" w:space="0"/>
              <w:left w:val="single" w:color="auto" w:sz="4" w:space="0"/>
              <w:bottom w:val="single" w:color="auto" w:sz="4" w:space="0"/>
              <w:right w:val="single" w:color="auto" w:sz="4" w:space="0"/>
            </w:tcBorders>
          </w:tcPr>
          <w:p>
            <w:r>
              <w:t>38.23</w:t>
            </w:r>
          </w:p>
        </w:tc>
        <w:tc>
          <w:tcPr>
            <w:tcW w:w="307" w:type="pct"/>
            <w:tcBorders>
              <w:top w:val="single" w:color="auto" w:sz="4" w:space="0"/>
              <w:left w:val="single" w:color="auto" w:sz="4" w:space="0"/>
              <w:bottom w:val="single" w:color="auto" w:sz="4" w:space="0"/>
              <w:right w:val="single" w:color="auto" w:sz="4" w:space="0"/>
            </w:tcBorders>
          </w:tcPr>
          <w:p>
            <w:r>
              <w:t>16.26%</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10.97</w:t>
            </w:r>
          </w:p>
        </w:tc>
        <w:tc>
          <w:tcPr>
            <w:tcW w:w="307" w:type="pct"/>
            <w:tcBorders>
              <w:top w:val="single" w:color="auto" w:sz="4" w:space="0"/>
              <w:left w:val="single" w:color="auto" w:sz="4" w:space="0"/>
              <w:bottom w:val="single" w:color="auto" w:sz="4" w:space="0"/>
              <w:right w:val="single" w:color="auto" w:sz="4" w:space="0"/>
            </w:tcBorders>
          </w:tcPr>
          <w:p>
            <w:r>
              <w:t>4.66%</w:t>
            </w:r>
          </w:p>
        </w:tc>
        <w:tc>
          <w:tcPr>
            <w:tcW w:w="308" w:type="pct"/>
            <w:tcBorders>
              <w:top w:val="single" w:color="auto" w:sz="4" w:space="0"/>
              <w:left w:val="single" w:color="auto" w:sz="4" w:space="0"/>
              <w:bottom w:val="single" w:color="auto" w:sz="4" w:space="0"/>
              <w:right w:val="single" w:color="auto" w:sz="4" w:space="0"/>
            </w:tcBorders>
          </w:tcPr>
          <w:p>
            <w:r>
              <w:t>15.87</w:t>
            </w:r>
          </w:p>
        </w:tc>
        <w:tc>
          <w:tcPr>
            <w:tcW w:w="305" w:type="pct"/>
            <w:tcBorders>
              <w:top w:val="single" w:color="auto" w:sz="4" w:space="0"/>
              <w:left w:val="single" w:color="auto" w:sz="4" w:space="0"/>
              <w:bottom w:val="single" w:color="auto" w:sz="4" w:space="0"/>
              <w:right w:val="single" w:color="auto" w:sz="4" w:space="0"/>
            </w:tcBorders>
          </w:tcPr>
          <w:p>
            <w:r>
              <w:t>6.75%</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冠英镇社区</w:t>
            </w:r>
          </w:p>
        </w:tc>
        <w:tc>
          <w:tcPr>
            <w:tcW w:w="307" w:type="pct"/>
            <w:tcBorders>
              <w:top w:val="single" w:color="auto" w:sz="4" w:space="0"/>
              <w:left w:val="single" w:color="auto" w:sz="4" w:space="0"/>
              <w:bottom w:val="single" w:color="auto" w:sz="4" w:space="0"/>
              <w:right w:val="single" w:color="auto" w:sz="4" w:space="0"/>
            </w:tcBorders>
          </w:tcPr>
          <w:p>
            <w:r>
              <w:t>46.41</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0.56</w:t>
            </w:r>
          </w:p>
        </w:tc>
        <w:tc>
          <w:tcPr>
            <w:tcW w:w="307" w:type="pct"/>
            <w:tcBorders>
              <w:top w:val="single" w:color="auto" w:sz="4" w:space="0"/>
              <w:left w:val="single" w:color="auto" w:sz="4" w:space="0"/>
              <w:bottom w:val="single" w:color="auto" w:sz="4" w:space="0"/>
              <w:right w:val="single" w:color="auto" w:sz="4" w:space="0"/>
            </w:tcBorders>
          </w:tcPr>
          <w:p>
            <w:r>
              <w:t>1.21%</w:t>
            </w:r>
          </w:p>
        </w:tc>
        <w:tc>
          <w:tcPr>
            <w:tcW w:w="307" w:type="pct"/>
            <w:tcBorders>
              <w:top w:val="single" w:color="auto" w:sz="4" w:space="0"/>
              <w:left w:val="single" w:color="auto" w:sz="4" w:space="0"/>
              <w:bottom w:val="single" w:color="auto" w:sz="4" w:space="0"/>
              <w:right w:val="single" w:color="auto" w:sz="4" w:space="0"/>
            </w:tcBorders>
          </w:tcPr>
          <w:p>
            <w:r>
              <w:t>45.52</w:t>
            </w:r>
          </w:p>
        </w:tc>
        <w:tc>
          <w:tcPr>
            <w:tcW w:w="307" w:type="pct"/>
            <w:tcBorders>
              <w:top w:val="single" w:color="auto" w:sz="4" w:space="0"/>
              <w:left w:val="single" w:color="auto" w:sz="4" w:space="0"/>
              <w:bottom w:val="single" w:color="auto" w:sz="4" w:space="0"/>
              <w:right w:val="single" w:color="auto" w:sz="4" w:space="0"/>
            </w:tcBorders>
          </w:tcPr>
          <w:p>
            <w:r>
              <w:t>98.08%</w:t>
            </w:r>
          </w:p>
        </w:tc>
        <w:tc>
          <w:tcPr>
            <w:tcW w:w="307" w:type="pct"/>
            <w:tcBorders>
              <w:top w:val="single" w:color="auto" w:sz="4" w:space="0"/>
              <w:left w:val="single" w:color="auto" w:sz="4" w:space="0"/>
              <w:bottom w:val="single" w:color="auto" w:sz="4" w:space="0"/>
              <w:right w:val="single" w:color="auto" w:sz="4" w:space="0"/>
            </w:tcBorders>
          </w:tcPr>
          <w:p>
            <w:r>
              <w:t>0.05</w:t>
            </w:r>
          </w:p>
        </w:tc>
        <w:tc>
          <w:tcPr>
            <w:tcW w:w="307" w:type="pct"/>
            <w:tcBorders>
              <w:top w:val="single" w:color="auto" w:sz="4" w:space="0"/>
              <w:left w:val="single" w:color="auto" w:sz="4" w:space="0"/>
              <w:bottom w:val="single" w:color="auto" w:sz="4" w:space="0"/>
              <w:right w:val="single" w:color="auto" w:sz="4" w:space="0"/>
            </w:tcBorders>
          </w:tcPr>
          <w:p>
            <w:r>
              <w:t>0.11%</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0.28</w:t>
            </w:r>
          </w:p>
        </w:tc>
        <w:tc>
          <w:tcPr>
            <w:tcW w:w="305" w:type="pct"/>
            <w:tcBorders>
              <w:top w:val="single" w:color="auto" w:sz="4" w:space="0"/>
              <w:left w:val="single" w:color="auto" w:sz="4" w:space="0"/>
              <w:bottom w:val="single" w:color="auto" w:sz="4" w:space="0"/>
              <w:right w:val="single" w:color="auto" w:sz="4" w:space="0"/>
            </w:tcBorders>
          </w:tcPr>
          <w:p>
            <w:r>
              <w:t>0.6%</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神佛村</w:t>
            </w:r>
          </w:p>
        </w:tc>
        <w:tc>
          <w:tcPr>
            <w:tcW w:w="307" w:type="pct"/>
            <w:tcBorders>
              <w:top w:val="single" w:color="auto" w:sz="4" w:space="0"/>
              <w:left w:val="single" w:color="auto" w:sz="4" w:space="0"/>
              <w:bottom w:val="single" w:color="auto" w:sz="4" w:space="0"/>
              <w:right w:val="single" w:color="auto" w:sz="4" w:space="0"/>
            </w:tcBorders>
          </w:tcPr>
          <w:p>
            <w:r>
              <w:t>305.56</w:t>
            </w:r>
          </w:p>
        </w:tc>
        <w:tc>
          <w:tcPr>
            <w:tcW w:w="307" w:type="pct"/>
            <w:tcBorders>
              <w:top w:val="single" w:color="auto" w:sz="4" w:space="0"/>
              <w:left w:val="single" w:color="auto" w:sz="4" w:space="0"/>
              <w:bottom w:val="single" w:color="auto" w:sz="4" w:space="0"/>
              <w:right w:val="single" w:color="auto" w:sz="4" w:space="0"/>
            </w:tcBorders>
          </w:tcPr>
          <w:p>
            <w:r>
              <w:t>117.72</w:t>
            </w:r>
          </w:p>
        </w:tc>
        <w:tc>
          <w:tcPr>
            <w:tcW w:w="307" w:type="pct"/>
            <w:tcBorders>
              <w:top w:val="single" w:color="auto" w:sz="4" w:space="0"/>
              <w:left w:val="single" w:color="auto" w:sz="4" w:space="0"/>
              <w:bottom w:val="single" w:color="auto" w:sz="4" w:space="0"/>
              <w:right w:val="single" w:color="auto" w:sz="4" w:space="0"/>
            </w:tcBorders>
          </w:tcPr>
          <w:p>
            <w:r>
              <w:t>38.53%</w:t>
            </w:r>
          </w:p>
        </w:tc>
        <w:tc>
          <w:tcPr>
            <w:tcW w:w="307" w:type="pct"/>
            <w:tcBorders>
              <w:top w:val="single" w:color="auto" w:sz="4" w:space="0"/>
              <w:left w:val="single" w:color="auto" w:sz="4" w:space="0"/>
              <w:bottom w:val="single" w:color="auto" w:sz="4" w:space="0"/>
              <w:right w:val="single" w:color="auto" w:sz="4" w:space="0"/>
            </w:tcBorders>
          </w:tcPr>
          <w:p>
            <w:r>
              <w:t>99.71</w:t>
            </w:r>
          </w:p>
        </w:tc>
        <w:tc>
          <w:tcPr>
            <w:tcW w:w="307" w:type="pct"/>
            <w:tcBorders>
              <w:top w:val="single" w:color="auto" w:sz="4" w:space="0"/>
              <w:left w:val="single" w:color="auto" w:sz="4" w:space="0"/>
              <w:bottom w:val="single" w:color="auto" w:sz="4" w:space="0"/>
              <w:right w:val="single" w:color="auto" w:sz="4" w:space="0"/>
            </w:tcBorders>
          </w:tcPr>
          <w:p>
            <w:r>
              <w:t>32.63%</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15.39</w:t>
            </w:r>
          </w:p>
        </w:tc>
        <w:tc>
          <w:tcPr>
            <w:tcW w:w="307" w:type="pct"/>
            <w:tcBorders>
              <w:top w:val="single" w:color="auto" w:sz="4" w:space="0"/>
              <w:left w:val="single" w:color="auto" w:sz="4" w:space="0"/>
              <w:bottom w:val="single" w:color="auto" w:sz="4" w:space="0"/>
              <w:right w:val="single" w:color="auto" w:sz="4" w:space="0"/>
            </w:tcBorders>
          </w:tcPr>
          <w:p>
            <w:r>
              <w:t>5.04%</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60.64</w:t>
            </w:r>
          </w:p>
        </w:tc>
        <w:tc>
          <w:tcPr>
            <w:tcW w:w="307" w:type="pct"/>
            <w:tcBorders>
              <w:top w:val="single" w:color="auto" w:sz="4" w:space="0"/>
              <w:left w:val="single" w:color="auto" w:sz="4" w:space="0"/>
              <w:bottom w:val="single" w:color="auto" w:sz="4" w:space="0"/>
              <w:right w:val="single" w:color="auto" w:sz="4" w:space="0"/>
            </w:tcBorders>
          </w:tcPr>
          <w:p>
            <w:r>
              <w:t>19.85%</w:t>
            </w:r>
          </w:p>
        </w:tc>
        <w:tc>
          <w:tcPr>
            <w:tcW w:w="308" w:type="pct"/>
            <w:tcBorders>
              <w:top w:val="single" w:color="auto" w:sz="4" w:space="0"/>
              <w:left w:val="single" w:color="auto" w:sz="4" w:space="0"/>
              <w:bottom w:val="single" w:color="auto" w:sz="4" w:space="0"/>
              <w:right w:val="single" w:color="auto" w:sz="4" w:space="0"/>
            </w:tcBorders>
          </w:tcPr>
          <w:p>
            <w:r>
              <w:t>12.1</w:t>
            </w:r>
          </w:p>
        </w:tc>
        <w:tc>
          <w:tcPr>
            <w:tcW w:w="305" w:type="pct"/>
            <w:tcBorders>
              <w:top w:val="single" w:color="auto" w:sz="4" w:space="0"/>
              <w:left w:val="single" w:color="auto" w:sz="4" w:space="0"/>
              <w:bottom w:val="single" w:color="auto" w:sz="4" w:space="0"/>
              <w:right w:val="single" w:color="auto" w:sz="4" w:space="0"/>
            </w:tcBorders>
          </w:tcPr>
          <w:p>
            <w:r>
              <w:t>3.96%</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石子埂村</w:t>
            </w:r>
          </w:p>
        </w:tc>
        <w:tc>
          <w:tcPr>
            <w:tcW w:w="307" w:type="pct"/>
            <w:tcBorders>
              <w:top w:val="single" w:color="auto" w:sz="4" w:space="0"/>
              <w:left w:val="single" w:color="auto" w:sz="4" w:space="0"/>
              <w:bottom w:val="single" w:color="auto" w:sz="4" w:space="0"/>
              <w:right w:val="single" w:color="auto" w:sz="4" w:space="0"/>
            </w:tcBorders>
          </w:tcPr>
          <w:p>
            <w:r>
              <w:t>240.4</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58.66</w:t>
            </w:r>
          </w:p>
        </w:tc>
        <w:tc>
          <w:tcPr>
            <w:tcW w:w="307" w:type="pct"/>
            <w:tcBorders>
              <w:top w:val="single" w:color="auto" w:sz="4" w:space="0"/>
              <w:left w:val="single" w:color="auto" w:sz="4" w:space="0"/>
              <w:bottom w:val="single" w:color="auto" w:sz="4" w:space="0"/>
              <w:right w:val="single" w:color="auto" w:sz="4" w:space="0"/>
            </w:tcBorders>
          </w:tcPr>
          <w:p>
            <w:r>
              <w:t>24.4%</w:t>
            </w:r>
          </w:p>
        </w:tc>
        <w:tc>
          <w:tcPr>
            <w:tcW w:w="307" w:type="pct"/>
            <w:tcBorders>
              <w:top w:val="single" w:color="auto" w:sz="4" w:space="0"/>
              <w:left w:val="single" w:color="auto" w:sz="4" w:space="0"/>
              <w:bottom w:val="single" w:color="auto" w:sz="4" w:space="0"/>
              <w:right w:val="single" w:color="auto" w:sz="4" w:space="0"/>
            </w:tcBorders>
          </w:tcPr>
          <w:p>
            <w:r>
              <w:t>103.13</w:t>
            </w:r>
          </w:p>
        </w:tc>
        <w:tc>
          <w:tcPr>
            <w:tcW w:w="307" w:type="pct"/>
            <w:tcBorders>
              <w:top w:val="single" w:color="auto" w:sz="4" w:space="0"/>
              <w:left w:val="single" w:color="auto" w:sz="4" w:space="0"/>
              <w:bottom w:val="single" w:color="auto" w:sz="4" w:space="0"/>
              <w:right w:val="single" w:color="auto" w:sz="4" w:space="0"/>
            </w:tcBorders>
          </w:tcPr>
          <w:p>
            <w:r>
              <w:t>42.9%</w:t>
            </w:r>
          </w:p>
        </w:tc>
        <w:tc>
          <w:tcPr>
            <w:tcW w:w="307" w:type="pct"/>
            <w:tcBorders>
              <w:top w:val="single" w:color="auto" w:sz="4" w:space="0"/>
              <w:left w:val="single" w:color="auto" w:sz="4" w:space="0"/>
              <w:bottom w:val="single" w:color="auto" w:sz="4" w:space="0"/>
              <w:right w:val="single" w:color="auto" w:sz="4" w:space="0"/>
            </w:tcBorders>
          </w:tcPr>
          <w:p>
            <w:r>
              <w:t>33.15</w:t>
            </w:r>
          </w:p>
        </w:tc>
        <w:tc>
          <w:tcPr>
            <w:tcW w:w="307" w:type="pct"/>
            <w:tcBorders>
              <w:top w:val="single" w:color="auto" w:sz="4" w:space="0"/>
              <w:left w:val="single" w:color="auto" w:sz="4" w:space="0"/>
              <w:bottom w:val="single" w:color="auto" w:sz="4" w:space="0"/>
              <w:right w:val="single" w:color="auto" w:sz="4" w:space="0"/>
            </w:tcBorders>
          </w:tcPr>
          <w:p>
            <w:r>
              <w:t>13.79%</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2.24</w:t>
            </w:r>
          </w:p>
        </w:tc>
        <w:tc>
          <w:tcPr>
            <w:tcW w:w="307" w:type="pct"/>
            <w:tcBorders>
              <w:top w:val="single" w:color="auto" w:sz="4" w:space="0"/>
              <w:left w:val="single" w:color="auto" w:sz="4" w:space="0"/>
              <w:bottom w:val="single" w:color="auto" w:sz="4" w:space="0"/>
              <w:right w:val="single" w:color="auto" w:sz="4" w:space="0"/>
            </w:tcBorders>
          </w:tcPr>
          <w:p>
            <w:r>
              <w:t>0.93%</w:t>
            </w:r>
          </w:p>
        </w:tc>
        <w:tc>
          <w:tcPr>
            <w:tcW w:w="308" w:type="pct"/>
            <w:tcBorders>
              <w:top w:val="single" w:color="auto" w:sz="4" w:space="0"/>
              <w:left w:val="single" w:color="auto" w:sz="4" w:space="0"/>
              <w:bottom w:val="single" w:color="auto" w:sz="4" w:space="0"/>
              <w:right w:val="single" w:color="auto" w:sz="4" w:space="0"/>
            </w:tcBorders>
          </w:tcPr>
          <w:p>
            <w:r>
              <w:t>43.22</w:t>
            </w:r>
          </w:p>
        </w:tc>
        <w:tc>
          <w:tcPr>
            <w:tcW w:w="305" w:type="pct"/>
            <w:tcBorders>
              <w:top w:val="single" w:color="auto" w:sz="4" w:space="0"/>
              <w:left w:val="single" w:color="auto" w:sz="4" w:space="0"/>
              <w:bottom w:val="single" w:color="auto" w:sz="4" w:space="0"/>
              <w:right w:val="single" w:color="auto" w:sz="4" w:space="0"/>
            </w:tcBorders>
          </w:tcPr>
          <w:p>
            <w:r>
              <w:t>17.98%</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双河村</w:t>
            </w:r>
          </w:p>
        </w:tc>
        <w:tc>
          <w:tcPr>
            <w:tcW w:w="307" w:type="pct"/>
            <w:tcBorders>
              <w:top w:val="single" w:color="auto" w:sz="4" w:space="0"/>
              <w:left w:val="single" w:color="auto" w:sz="4" w:space="0"/>
              <w:bottom w:val="single" w:color="auto" w:sz="4" w:space="0"/>
              <w:right w:val="single" w:color="auto" w:sz="4" w:space="0"/>
            </w:tcBorders>
          </w:tcPr>
          <w:p>
            <w:r>
              <w:t>249.97</w:t>
            </w:r>
          </w:p>
        </w:tc>
        <w:tc>
          <w:tcPr>
            <w:tcW w:w="307" w:type="pct"/>
            <w:tcBorders>
              <w:top w:val="single" w:color="auto" w:sz="4" w:space="0"/>
              <w:left w:val="single" w:color="auto" w:sz="4" w:space="0"/>
              <w:bottom w:val="single" w:color="auto" w:sz="4" w:space="0"/>
              <w:right w:val="single" w:color="auto" w:sz="4" w:space="0"/>
            </w:tcBorders>
          </w:tcPr>
          <w:p>
            <w:r>
              <w:t>156.03</w:t>
            </w:r>
          </w:p>
        </w:tc>
        <w:tc>
          <w:tcPr>
            <w:tcW w:w="307" w:type="pct"/>
            <w:tcBorders>
              <w:top w:val="single" w:color="auto" w:sz="4" w:space="0"/>
              <w:left w:val="single" w:color="auto" w:sz="4" w:space="0"/>
              <w:bottom w:val="single" w:color="auto" w:sz="4" w:space="0"/>
              <w:right w:val="single" w:color="auto" w:sz="4" w:space="0"/>
            </w:tcBorders>
          </w:tcPr>
          <w:p>
            <w:r>
              <w:t>62.42%</w:t>
            </w:r>
          </w:p>
        </w:tc>
        <w:tc>
          <w:tcPr>
            <w:tcW w:w="307" w:type="pct"/>
            <w:tcBorders>
              <w:top w:val="single" w:color="auto" w:sz="4" w:space="0"/>
              <w:left w:val="single" w:color="auto" w:sz="4" w:space="0"/>
              <w:bottom w:val="single" w:color="auto" w:sz="4" w:space="0"/>
              <w:right w:val="single" w:color="auto" w:sz="4" w:space="0"/>
            </w:tcBorders>
          </w:tcPr>
          <w:p>
            <w:r>
              <w:t>7.63</w:t>
            </w:r>
          </w:p>
        </w:tc>
        <w:tc>
          <w:tcPr>
            <w:tcW w:w="307" w:type="pct"/>
            <w:tcBorders>
              <w:top w:val="single" w:color="auto" w:sz="4" w:space="0"/>
              <w:left w:val="single" w:color="auto" w:sz="4" w:space="0"/>
              <w:bottom w:val="single" w:color="auto" w:sz="4" w:space="0"/>
              <w:right w:val="single" w:color="auto" w:sz="4" w:space="0"/>
            </w:tcBorders>
          </w:tcPr>
          <w:p>
            <w:r>
              <w:t>3.05%</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12.95</w:t>
            </w:r>
          </w:p>
        </w:tc>
        <w:tc>
          <w:tcPr>
            <w:tcW w:w="307" w:type="pct"/>
            <w:tcBorders>
              <w:top w:val="single" w:color="auto" w:sz="4" w:space="0"/>
              <w:left w:val="single" w:color="auto" w:sz="4" w:space="0"/>
              <w:bottom w:val="single" w:color="auto" w:sz="4" w:space="0"/>
              <w:right w:val="single" w:color="auto" w:sz="4" w:space="0"/>
            </w:tcBorders>
          </w:tcPr>
          <w:p>
            <w:r>
              <w:t>5.18%</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62.67</w:t>
            </w:r>
          </w:p>
        </w:tc>
        <w:tc>
          <w:tcPr>
            <w:tcW w:w="307" w:type="pct"/>
            <w:tcBorders>
              <w:top w:val="single" w:color="auto" w:sz="4" w:space="0"/>
              <w:left w:val="single" w:color="auto" w:sz="4" w:space="0"/>
              <w:bottom w:val="single" w:color="auto" w:sz="4" w:space="0"/>
              <w:right w:val="single" w:color="auto" w:sz="4" w:space="0"/>
            </w:tcBorders>
          </w:tcPr>
          <w:p>
            <w:r>
              <w:t>25.07%</w:t>
            </w:r>
          </w:p>
        </w:tc>
        <w:tc>
          <w:tcPr>
            <w:tcW w:w="308" w:type="pct"/>
            <w:tcBorders>
              <w:top w:val="single" w:color="auto" w:sz="4" w:space="0"/>
              <w:left w:val="single" w:color="auto" w:sz="4" w:space="0"/>
              <w:bottom w:val="single" w:color="auto" w:sz="4" w:space="0"/>
              <w:right w:val="single" w:color="auto" w:sz="4" w:space="0"/>
            </w:tcBorders>
          </w:tcPr>
          <w:p>
            <w:r>
              <w:t>10.69</w:t>
            </w:r>
          </w:p>
        </w:tc>
        <w:tc>
          <w:tcPr>
            <w:tcW w:w="305" w:type="pct"/>
            <w:tcBorders>
              <w:top w:val="single" w:color="auto" w:sz="4" w:space="0"/>
              <w:left w:val="single" w:color="auto" w:sz="4" w:space="0"/>
              <w:bottom w:val="single" w:color="auto" w:sz="4" w:space="0"/>
              <w:right w:val="single" w:color="auto" w:sz="4" w:space="0"/>
            </w:tcBorders>
          </w:tcPr>
          <w:p>
            <w:r>
              <w:t>4.28%</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双龙庵村</w:t>
            </w:r>
          </w:p>
        </w:tc>
        <w:tc>
          <w:tcPr>
            <w:tcW w:w="307" w:type="pct"/>
            <w:tcBorders>
              <w:top w:val="single" w:color="auto" w:sz="4" w:space="0"/>
              <w:left w:val="single" w:color="auto" w:sz="4" w:space="0"/>
              <w:bottom w:val="single" w:color="auto" w:sz="4" w:space="0"/>
              <w:right w:val="single" w:color="auto" w:sz="4" w:space="0"/>
            </w:tcBorders>
          </w:tcPr>
          <w:p>
            <w:r>
              <w:t>224.81</w:t>
            </w:r>
          </w:p>
        </w:tc>
        <w:tc>
          <w:tcPr>
            <w:tcW w:w="307" w:type="pct"/>
            <w:tcBorders>
              <w:top w:val="single" w:color="auto" w:sz="4" w:space="0"/>
              <w:left w:val="single" w:color="auto" w:sz="4" w:space="0"/>
              <w:bottom w:val="single" w:color="auto" w:sz="4" w:space="0"/>
              <w:right w:val="single" w:color="auto" w:sz="4" w:space="0"/>
            </w:tcBorders>
          </w:tcPr>
          <w:p>
            <w:r>
              <w:t>164.12</w:t>
            </w:r>
          </w:p>
        </w:tc>
        <w:tc>
          <w:tcPr>
            <w:tcW w:w="307" w:type="pct"/>
            <w:tcBorders>
              <w:top w:val="single" w:color="auto" w:sz="4" w:space="0"/>
              <w:left w:val="single" w:color="auto" w:sz="4" w:space="0"/>
              <w:bottom w:val="single" w:color="auto" w:sz="4" w:space="0"/>
              <w:right w:val="single" w:color="auto" w:sz="4" w:space="0"/>
            </w:tcBorders>
          </w:tcPr>
          <w:p>
            <w:r>
              <w:t>73%</w:t>
            </w:r>
          </w:p>
        </w:tc>
        <w:tc>
          <w:tcPr>
            <w:tcW w:w="307" w:type="pct"/>
            <w:tcBorders>
              <w:top w:val="single" w:color="auto" w:sz="4" w:space="0"/>
              <w:left w:val="single" w:color="auto" w:sz="4" w:space="0"/>
              <w:bottom w:val="single" w:color="auto" w:sz="4" w:space="0"/>
              <w:right w:val="single" w:color="auto" w:sz="4" w:space="0"/>
            </w:tcBorders>
          </w:tcPr>
          <w:p>
            <w:r>
              <w:t>4.29</w:t>
            </w:r>
          </w:p>
        </w:tc>
        <w:tc>
          <w:tcPr>
            <w:tcW w:w="307" w:type="pct"/>
            <w:tcBorders>
              <w:top w:val="single" w:color="auto" w:sz="4" w:space="0"/>
              <w:left w:val="single" w:color="auto" w:sz="4" w:space="0"/>
              <w:bottom w:val="single" w:color="auto" w:sz="4" w:space="0"/>
              <w:right w:val="single" w:color="auto" w:sz="4" w:space="0"/>
            </w:tcBorders>
          </w:tcPr>
          <w:p>
            <w:r>
              <w:t>1.91%</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17.7</w:t>
            </w:r>
          </w:p>
        </w:tc>
        <w:tc>
          <w:tcPr>
            <w:tcW w:w="307" w:type="pct"/>
            <w:tcBorders>
              <w:top w:val="single" w:color="auto" w:sz="4" w:space="0"/>
              <w:left w:val="single" w:color="auto" w:sz="4" w:space="0"/>
              <w:bottom w:val="single" w:color="auto" w:sz="4" w:space="0"/>
              <w:right w:val="single" w:color="auto" w:sz="4" w:space="0"/>
            </w:tcBorders>
          </w:tcPr>
          <w:p>
            <w:r>
              <w:t>7.87%</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32.35</w:t>
            </w:r>
          </w:p>
        </w:tc>
        <w:tc>
          <w:tcPr>
            <w:tcW w:w="307" w:type="pct"/>
            <w:tcBorders>
              <w:top w:val="single" w:color="auto" w:sz="4" w:space="0"/>
              <w:left w:val="single" w:color="auto" w:sz="4" w:space="0"/>
              <w:bottom w:val="single" w:color="auto" w:sz="4" w:space="0"/>
              <w:right w:val="single" w:color="auto" w:sz="4" w:space="0"/>
            </w:tcBorders>
          </w:tcPr>
          <w:p>
            <w:r>
              <w:t>14.39%</w:t>
            </w:r>
          </w:p>
        </w:tc>
        <w:tc>
          <w:tcPr>
            <w:tcW w:w="308" w:type="pct"/>
            <w:tcBorders>
              <w:top w:val="single" w:color="auto" w:sz="4" w:space="0"/>
              <w:left w:val="single" w:color="auto" w:sz="4" w:space="0"/>
              <w:bottom w:val="single" w:color="auto" w:sz="4" w:space="0"/>
              <w:right w:val="single" w:color="auto" w:sz="4" w:space="0"/>
            </w:tcBorders>
          </w:tcPr>
          <w:p>
            <w:r>
              <w:t>6.35</w:t>
            </w:r>
          </w:p>
        </w:tc>
        <w:tc>
          <w:tcPr>
            <w:tcW w:w="305" w:type="pct"/>
            <w:tcBorders>
              <w:top w:val="single" w:color="auto" w:sz="4" w:space="0"/>
              <w:left w:val="single" w:color="auto" w:sz="4" w:space="0"/>
              <w:bottom w:val="single" w:color="auto" w:sz="4" w:space="0"/>
              <w:right w:val="single" w:color="auto" w:sz="4" w:space="0"/>
            </w:tcBorders>
          </w:tcPr>
          <w:p>
            <w:r>
              <w:t>2.82%</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天池村</w:t>
            </w:r>
          </w:p>
        </w:tc>
        <w:tc>
          <w:tcPr>
            <w:tcW w:w="307" w:type="pct"/>
            <w:tcBorders>
              <w:top w:val="single" w:color="auto" w:sz="4" w:space="0"/>
              <w:left w:val="single" w:color="auto" w:sz="4" w:space="0"/>
              <w:bottom w:val="single" w:color="auto" w:sz="4" w:space="0"/>
              <w:right w:val="single" w:color="auto" w:sz="4" w:space="0"/>
            </w:tcBorders>
          </w:tcPr>
          <w:p>
            <w:r>
              <w:t>305.55</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112.81</w:t>
            </w:r>
          </w:p>
        </w:tc>
        <w:tc>
          <w:tcPr>
            <w:tcW w:w="307" w:type="pct"/>
            <w:tcBorders>
              <w:top w:val="single" w:color="auto" w:sz="4" w:space="0"/>
              <w:left w:val="single" w:color="auto" w:sz="4" w:space="0"/>
              <w:bottom w:val="single" w:color="auto" w:sz="4" w:space="0"/>
              <w:right w:val="single" w:color="auto" w:sz="4" w:space="0"/>
            </w:tcBorders>
          </w:tcPr>
          <w:p>
            <w:r>
              <w:t>36.92%</w:t>
            </w:r>
          </w:p>
        </w:tc>
        <w:tc>
          <w:tcPr>
            <w:tcW w:w="307" w:type="pct"/>
            <w:tcBorders>
              <w:top w:val="single" w:color="auto" w:sz="4" w:space="0"/>
              <w:left w:val="single" w:color="auto" w:sz="4" w:space="0"/>
              <w:bottom w:val="single" w:color="auto" w:sz="4" w:space="0"/>
              <w:right w:val="single" w:color="auto" w:sz="4" w:space="0"/>
            </w:tcBorders>
          </w:tcPr>
          <w:p>
            <w:r>
              <w:t>13.12</w:t>
            </w:r>
          </w:p>
        </w:tc>
        <w:tc>
          <w:tcPr>
            <w:tcW w:w="307" w:type="pct"/>
            <w:tcBorders>
              <w:top w:val="single" w:color="auto" w:sz="4" w:space="0"/>
              <w:left w:val="single" w:color="auto" w:sz="4" w:space="0"/>
              <w:bottom w:val="single" w:color="auto" w:sz="4" w:space="0"/>
              <w:right w:val="single" w:color="auto" w:sz="4" w:space="0"/>
            </w:tcBorders>
          </w:tcPr>
          <w:p>
            <w:r>
              <w:t>4.29%</w:t>
            </w:r>
          </w:p>
        </w:tc>
        <w:tc>
          <w:tcPr>
            <w:tcW w:w="307" w:type="pct"/>
            <w:tcBorders>
              <w:top w:val="single" w:color="auto" w:sz="4" w:space="0"/>
              <w:left w:val="single" w:color="auto" w:sz="4" w:space="0"/>
              <w:bottom w:val="single" w:color="auto" w:sz="4" w:space="0"/>
              <w:right w:val="single" w:color="auto" w:sz="4" w:space="0"/>
            </w:tcBorders>
          </w:tcPr>
          <w:p>
            <w:r>
              <w:t>28.33</w:t>
            </w:r>
          </w:p>
        </w:tc>
        <w:tc>
          <w:tcPr>
            <w:tcW w:w="307" w:type="pct"/>
            <w:tcBorders>
              <w:top w:val="single" w:color="auto" w:sz="4" w:space="0"/>
              <w:left w:val="single" w:color="auto" w:sz="4" w:space="0"/>
              <w:bottom w:val="single" w:color="auto" w:sz="4" w:space="0"/>
              <w:right w:val="single" w:color="auto" w:sz="4" w:space="0"/>
            </w:tcBorders>
          </w:tcPr>
          <w:p>
            <w:r>
              <w:t>9.27%</w:t>
            </w:r>
          </w:p>
        </w:tc>
        <w:tc>
          <w:tcPr>
            <w:tcW w:w="307" w:type="pct"/>
            <w:tcBorders>
              <w:top w:val="single" w:color="auto" w:sz="4" w:space="0"/>
              <w:left w:val="single" w:color="auto" w:sz="4" w:space="0"/>
              <w:bottom w:val="single" w:color="auto" w:sz="4" w:space="0"/>
              <w:right w:val="single" w:color="auto" w:sz="4" w:space="0"/>
            </w:tcBorders>
            <w:noWrap/>
          </w:tcPr>
          <w:p>
            <w:r>
              <w:t>2.4</w:t>
            </w:r>
          </w:p>
        </w:tc>
        <w:tc>
          <w:tcPr>
            <w:tcW w:w="308" w:type="pct"/>
            <w:tcBorders>
              <w:top w:val="single" w:color="auto" w:sz="4" w:space="0"/>
              <w:left w:val="single" w:color="auto" w:sz="4" w:space="0"/>
              <w:bottom w:val="single" w:color="auto" w:sz="4" w:space="0"/>
              <w:right w:val="single" w:color="auto" w:sz="4" w:space="0"/>
            </w:tcBorders>
          </w:tcPr>
          <w:p>
            <w:r>
              <w:t>0.79%</w:t>
            </w:r>
          </w:p>
        </w:tc>
        <w:tc>
          <w:tcPr>
            <w:tcW w:w="308" w:type="pct"/>
            <w:tcBorders>
              <w:top w:val="single" w:color="auto" w:sz="4" w:space="0"/>
              <w:left w:val="single" w:color="auto" w:sz="4" w:space="0"/>
              <w:bottom w:val="single" w:color="auto" w:sz="4" w:space="0"/>
              <w:right w:val="single" w:color="auto" w:sz="4" w:space="0"/>
            </w:tcBorders>
          </w:tcPr>
          <w:p>
            <w:r>
              <w:t>5.36</w:t>
            </w:r>
          </w:p>
        </w:tc>
        <w:tc>
          <w:tcPr>
            <w:tcW w:w="307" w:type="pct"/>
            <w:tcBorders>
              <w:top w:val="single" w:color="auto" w:sz="4" w:space="0"/>
              <w:left w:val="single" w:color="auto" w:sz="4" w:space="0"/>
              <w:bottom w:val="single" w:color="auto" w:sz="4" w:space="0"/>
              <w:right w:val="single" w:color="auto" w:sz="4" w:space="0"/>
            </w:tcBorders>
          </w:tcPr>
          <w:p>
            <w:r>
              <w:t>1.75%</w:t>
            </w:r>
          </w:p>
        </w:tc>
        <w:tc>
          <w:tcPr>
            <w:tcW w:w="308" w:type="pct"/>
            <w:tcBorders>
              <w:top w:val="single" w:color="auto" w:sz="4" w:space="0"/>
              <w:left w:val="single" w:color="auto" w:sz="4" w:space="0"/>
              <w:bottom w:val="single" w:color="auto" w:sz="4" w:space="0"/>
              <w:right w:val="single" w:color="auto" w:sz="4" w:space="0"/>
            </w:tcBorders>
          </w:tcPr>
          <w:p>
            <w:r>
              <w:t>143.53</w:t>
            </w:r>
          </w:p>
        </w:tc>
        <w:tc>
          <w:tcPr>
            <w:tcW w:w="305" w:type="pct"/>
            <w:tcBorders>
              <w:top w:val="single" w:color="auto" w:sz="4" w:space="0"/>
              <w:left w:val="single" w:color="auto" w:sz="4" w:space="0"/>
              <w:bottom w:val="single" w:color="auto" w:sz="4" w:space="0"/>
              <w:right w:val="single" w:color="auto" w:sz="4" w:space="0"/>
            </w:tcBorders>
          </w:tcPr>
          <w:p>
            <w:r>
              <w:t>46.97%</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挖断山村</w:t>
            </w:r>
          </w:p>
        </w:tc>
        <w:tc>
          <w:tcPr>
            <w:tcW w:w="307" w:type="pct"/>
            <w:tcBorders>
              <w:top w:val="single" w:color="auto" w:sz="4" w:space="0"/>
              <w:left w:val="single" w:color="auto" w:sz="4" w:space="0"/>
              <w:bottom w:val="single" w:color="auto" w:sz="4" w:space="0"/>
              <w:right w:val="single" w:color="auto" w:sz="4" w:space="0"/>
            </w:tcBorders>
          </w:tcPr>
          <w:p>
            <w:r>
              <w:t>211.1</w:t>
            </w:r>
          </w:p>
        </w:tc>
        <w:tc>
          <w:tcPr>
            <w:tcW w:w="307" w:type="pct"/>
            <w:tcBorders>
              <w:top w:val="single" w:color="auto" w:sz="4" w:space="0"/>
              <w:left w:val="single" w:color="auto" w:sz="4" w:space="0"/>
              <w:bottom w:val="single" w:color="auto" w:sz="4" w:space="0"/>
              <w:right w:val="single" w:color="auto" w:sz="4" w:space="0"/>
            </w:tcBorders>
          </w:tcPr>
          <w:p>
            <w:r>
              <w:t>92.43</w:t>
            </w:r>
          </w:p>
        </w:tc>
        <w:tc>
          <w:tcPr>
            <w:tcW w:w="307" w:type="pct"/>
            <w:tcBorders>
              <w:top w:val="single" w:color="auto" w:sz="4" w:space="0"/>
              <w:left w:val="single" w:color="auto" w:sz="4" w:space="0"/>
              <w:bottom w:val="single" w:color="auto" w:sz="4" w:space="0"/>
              <w:right w:val="single" w:color="auto" w:sz="4" w:space="0"/>
            </w:tcBorders>
          </w:tcPr>
          <w:p>
            <w:r>
              <w:t>43.78%</w:t>
            </w:r>
          </w:p>
        </w:tc>
        <w:tc>
          <w:tcPr>
            <w:tcW w:w="307" w:type="pct"/>
            <w:tcBorders>
              <w:top w:val="single" w:color="auto" w:sz="4" w:space="0"/>
              <w:left w:val="single" w:color="auto" w:sz="4" w:space="0"/>
              <w:bottom w:val="single" w:color="auto" w:sz="4" w:space="0"/>
              <w:right w:val="single" w:color="auto" w:sz="4" w:space="0"/>
            </w:tcBorders>
          </w:tcPr>
          <w:p>
            <w:r>
              <w:t>53.05</w:t>
            </w:r>
          </w:p>
        </w:tc>
        <w:tc>
          <w:tcPr>
            <w:tcW w:w="307" w:type="pct"/>
            <w:tcBorders>
              <w:top w:val="single" w:color="auto" w:sz="4" w:space="0"/>
              <w:left w:val="single" w:color="auto" w:sz="4" w:space="0"/>
              <w:bottom w:val="single" w:color="auto" w:sz="4" w:space="0"/>
              <w:right w:val="single" w:color="auto" w:sz="4" w:space="0"/>
            </w:tcBorders>
          </w:tcPr>
          <w:p>
            <w:r>
              <w:t>25.13%</w:t>
            </w:r>
          </w:p>
        </w:tc>
        <w:tc>
          <w:tcPr>
            <w:tcW w:w="307" w:type="pct"/>
            <w:tcBorders>
              <w:top w:val="single" w:color="auto" w:sz="4" w:space="0"/>
              <w:left w:val="single" w:color="auto" w:sz="4" w:space="0"/>
              <w:bottom w:val="single" w:color="auto" w:sz="4" w:space="0"/>
              <w:right w:val="single" w:color="auto" w:sz="4" w:space="0"/>
            </w:tcBorders>
          </w:tcPr>
          <w:p>
            <w:r>
              <w:t>0.04</w:t>
            </w:r>
          </w:p>
        </w:tc>
        <w:tc>
          <w:tcPr>
            <w:tcW w:w="307" w:type="pct"/>
            <w:tcBorders>
              <w:top w:val="single" w:color="auto" w:sz="4" w:space="0"/>
              <w:left w:val="single" w:color="auto" w:sz="4" w:space="0"/>
              <w:bottom w:val="single" w:color="auto" w:sz="4" w:space="0"/>
              <w:right w:val="single" w:color="auto" w:sz="4" w:space="0"/>
            </w:tcBorders>
          </w:tcPr>
          <w:p>
            <w:r>
              <w:t>0.02%</w:t>
            </w:r>
          </w:p>
        </w:tc>
        <w:tc>
          <w:tcPr>
            <w:tcW w:w="307" w:type="pct"/>
            <w:tcBorders>
              <w:top w:val="single" w:color="auto" w:sz="4" w:space="0"/>
              <w:left w:val="single" w:color="auto" w:sz="4" w:space="0"/>
              <w:bottom w:val="single" w:color="auto" w:sz="4" w:space="0"/>
              <w:right w:val="single" w:color="auto" w:sz="4" w:space="0"/>
            </w:tcBorders>
          </w:tcPr>
          <w:p>
            <w:r>
              <w:t>23.2</w:t>
            </w:r>
          </w:p>
        </w:tc>
        <w:tc>
          <w:tcPr>
            <w:tcW w:w="307" w:type="pct"/>
            <w:tcBorders>
              <w:top w:val="single" w:color="auto" w:sz="4" w:space="0"/>
              <w:left w:val="single" w:color="auto" w:sz="4" w:space="0"/>
              <w:bottom w:val="single" w:color="auto" w:sz="4" w:space="0"/>
              <w:right w:val="single" w:color="auto" w:sz="4" w:space="0"/>
            </w:tcBorders>
          </w:tcPr>
          <w:p>
            <w:r>
              <w:t>10.99%</w:t>
            </w:r>
          </w:p>
        </w:tc>
        <w:tc>
          <w:tcPr>
            <w:tcW w:w="307" w:type="pct"/>
            <w:tcBorders>
              <w:top w:val="single" w:color="auto" w:sz="4" w:space="0"/>
              <w:left w:val="single" w:color="auto" w:sz="4" w:space="0"/>
              <w:bottom w:val="single" w:color="auto" w:sz="4" w:space="0"/>
              <w:right w:val="single" w:color="auto" w:sz="4" w:space="0"/>
            </w:tcBorders>
            <w:noWrap/>
          </w:tcPr>
          <w:p>
            <w:r>
              <w:t>1.16</w:t>
            </w:r>
          </w:p>
        </w:tc>
        <w:tc>
          <w:tcPr>
            <w:tcW w:w="308" w:type="pct"/>
            <w:tcBorders>
              <w:top w:val="single" w:color="auto" w:sz="4" w:space="0"/>
              <w:left w:val="single" w:color="auto" w:sz="4" w:space="0"/>
              <w:bottom w:val="single" w:color="auto" w:sz="4" w:space="0"/>
              <w:right w:val="single" w:color="auto" w:sz="4" w:space="0"/>
            </w:tcBorders>
          </w:tcPr>
          <w:p>
            <w:r>
              <w:t>0.55%</w:t>
            </w:r>
          </w:p>
        </w:tc>
        <w:tc>
          <w:tcPr>
            <w:tcW w:w="308" w:type="pct"/>
            <w:tcBorders>
              <w:top w:val="single" w:color="auto" w:sz="4" w:space="0"/>
              <w:left w:val="single" w:color="auto" w:sz="4" w:space="0"/>
              <w:bottom w:val="single" w:color="auto" w:sz="4" w:space="0"/>
              <w:right w:val="single" w:color="auto" w:sz="4" w:space="0"/>
            </w:tcBorders>
          </w:tcPr>
          <w:p>
            <w:r>
              <w:t>29.68</w:t>
            </w:r>
          </w:p>
        </w:tc>
        <w:tc>
          <w:tcPr>
            <w:tcW w:w="307" w:type="pct"/>
            <w:tcBorders>
              <w:top w:val="single" w:color="auto" w:sz="4" w:space="0"/>
              <w:left w:val="single" w:color="auto" w:sz="4" w:space="0"/>
              <w:bottom w:val="single" w:color="auto" w:sz="4" w:space="0"/>
              <w:right w:val="single" w:color="auto" w:sz="4" w:space="0"/>
            </w:tcBorders>
          </w:tcPr>
          <w:p>
            <w:r>
              <w:t>14.06%</w:t>
            </w:r>
          </w:p>
        </w:tc>
        <w:tc>
          <w:tcPr>
            <w:tcW w:w="308" w:type="pct"/>
            <w:tcBorders>
              <w:top w:val="single" w:color="auto" w:sz="4" w:space="0"/>
              <w:left w:val="single" w:color="auto" w:sz="4" w:space="0"/>
              <w:bottom w:val="single" w:color="auto" w:sz="4" w:space="0"/>
              <w:right w:val="single" w:color="auto" w:sz="4" w:space="0"/>
            </w:tcBorders>
          </w:tcPr>
          <w:p>
            <w:r>
              <w:t>11.54</w:t>
            </w:r>
          </w:p>
        </w:tc>
        <w:tc>
          <w:tcPr>
            <w:tcW w:w="305" w:type="pct"/>
            <w:tcBorders>
              <w:top w:val="single" w:color="auto" w:sz="4" w:space="0"/>
              <w:left w:val="single" w:color="auto" w:sz="4" w:space="0"/>
              <w:bottom w:val="single" w:color="auto" w:sz="4" w:space="0"/>
              <w:right w:val="single" w:color="auto" w:sz="4" w:space="0"/>
            </w:tcBorders>
          </w:tcPr>
          <w:p>
            <w:r>
              <w:t>5.47%</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仙女井村</w:t>
            </w:r>
          </w:p>
        </w:tc>
        <w:tc>
          <w:tcPr>
            <w:tcW w:w="307" w:type="pct"/>
            <w:tcBorders>
              <w:top w:val="single" w:color="auto" w:sz="4" w:space="0"/>
              <w:left w:val="single" w:color="auto" w:sz="4" w:space="0"/>
              <w:bottom w:val="single" w:color="auto" w:sz="4" w:space="0"/>
              <w:right w:val="single" w:color="auto" w:sz="4" w:space="0"/>
            </w:tcBorders>
          </w:tcPr>
          <w:p>
            <w:r>
              <w:t>374.13</w:t>
            </w:r>
          </w:p>
        </w:tc>
        <w:tc>
          <w:tcPr>
            <w:tcW w:w="307" w:type="pct"/>
            <w:tcBorders>
              <w:top w:val="single" w:color="auto" w:sz="4" w:space="0"/>
              <w:left w:val="single" w:color="auto" w:sz="4" w:space="0"/>
              <w:bottom w:val="single" w:color="auto" w:sz="4" w:space="0"/>
              <w:right w:val="single" w:color="auto" w:sz="4" w:space="0"/>
            </w:tcBorders>
          </w:tcPr>
          <w:p>
            <w:r>
              <w:t>246.84</w:t>
            </w:r>
          </w:p>
        </w:tc>
        <w:tc>
          <w:tcPr>
            <w:tcW w:w="307" w:type="pct"/>
            <w:tcBorders>
              <w:top w:val="single" w:color="auto" w:sz="4" w:space="0"/>
              <w:left w:val="single" w:color="auto" w:sz="4" w:space="0"/>
              <w:bottom w:val="single" w:color="auto" w:sz="4" w:space="0"/>
              <w:right w:val="single" w:color="auto" w:sz="4" w:space="0"/>
            </w:tcBorders>
          </w:tcPr>
          <w:p>
            <w:r>
              <w:t>65.98%</w:t>
            </w:r>
          </w:p>
        </w:tc>
        <w:tc>
          <w:tcPr>
            <w:tcW w:w="307" w:type="pct"/>
            <w:tcBorders>
              <w:top w:val="single" w:color="auto" w:sz="4" w:space="0"/>
              <w:left w:val="single" w:color="auto" w:sz="4" w:space="0"/>
              <w:bottom w:val="single" w:color="auto" w:sz="4" w:space="0"/>
              <w:right w:val="single" w:color="auto" w:sz="4" w:space="0"/>
            </w:tcBorders>
          </w:tcPr>
          <w:p>
            <w:r>
              <w:t>11.15</w:t>
            </w:r>
          </w:p>
        </w:tc>
        <w:tc>
          <w:tcPr>
            <w:tcW w:w="307" w:type="pct"/>
            <w:tcBorders>
              <w:top w:val="single" w:color="auto" w:sz="4" w:space="0"/>
              <w:left w:val="single" w:color="auto" w:sz="4" w:space="0"/>
              <w:bottom w:val="single" w:color="auto" w:sz="4" w:space="0"/>
              <w:right w:val="single" w:color="auto" w:sz="4" w:space="0"/>
            </w:tcBorders>
          </w:tcPr>
          <w:p>
            <w:r>
              <w:t>2.98%</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17.32</w:t>
            </w:r>
          </w:p>
        </w:tc>
        <w:tc>
          <w:tcPr>
            <w:tcW w:w="307" w:type="pct"/>
            <w:tcBorders>
              <w:top w:val="single" w:color="auto" w:sz="4" w:space="0"/>
              <w:left w:val="single" w:color="auto" w:sz="4" w:space="0"/>
              <w:bottom w:val="single" w:color="auto" w:sz="4" w:space="0"/>
              <w:right w:val="single" w:color="auto" w:sz="4" w:space="0"/>
            </w:tcBorders>
          </w:tcPr>
          <w:p>
            <w:r>
              <w:t>4.63%</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81.64</w:t>
            </w:r>
          </w:p>
        </w:tc>
        <w:tc>
          <w:tcPr>
            <w:tcW w:w="307" w:type="pct"/>
            <w:tcBorders>
              <w:top w:val="single" w:color="auto" w:sz="4" w:space="0"/>
              <w:left w:val="single" w:color="auto" w:sz="4" w:space="0"/>
              <w:bottom w:val="single" w:color="auto" w:sz="4" w:space="0"/>
              <w:right w:val="single" w:color="auto" w:sz="4" w:space="0"/>
            </w:tcBorders>
          </w:tcPr>
          <w:p>
            <w:r>
              <w:t>21.82%</w:t>
            </w:r>
          </w:p>
        </w:tc>
        <w:tc>
          <w:tcPr>
            <w:tcW w:w="308" w:type="pct"/>
            <w:tcBorders>
              <w:top w:val="single" w:color="auto" w:sz="4" w:space="0"/>
              <w:left w:val="single" w:color="auto" w:sz="4" w:space="0"/>
              <w:bottom w:val="single" w:color="auto" w:sz="4" w:space="0"/>
              <w:right w:val="single" w:color="auto" w:sz="4" w:space="0"/>
            </w:tcBorders>
          </w:tcPr>
          <w:p>
            <w:r>
              <w:t>17.18</w:t>
            </w:r>
          </w:p>
        </w:tc>
        <w:tc>
          <w:tcPr>
            <w:tcW w:w="305" w:type="pct"/>
            <w:tcBorders>
              <w:top w:val="single" w:color="auto" w:sz="4" w:space="0"/>
              <w:left w:val="single" w:color="auto" w:sz="4" w:space="0"/>
              <w:bottom w:val="single" w:color="auto" w:sz="4" w:space="0"/>
              <w:right w:val="single" w:color="auto" w:sz="4" w:space="0"/>
            </w:tcBorders>
          </w:tcPr>
          <w:p>
            <w:r>
              <w:t>4.59%</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新街口村</w:t>
            </w:r>
          </w:p>
        </w:tc>
        <w:tc>
          <w:tcPr>
            <w:tcW w:w="307" w:type="pct"/>
            <w:tcBorders>
              <w:top w:val="single" w:color="auto" w:sz="4" w:space="0"/>
              <w:left w:val="single" w:color="auto" w:sz="4" w:space="0"/>
              <w:bottom w:val="single" w:color="auto" w:sz="4" w:space="0"/>
              <w:right w:val="single" w:color="auto" w:sz="4" w:space="0"/>
            </w:tcBorders>
          </w:tcPr>
          <w:p>
            <w:r>
              <w:t>71.4</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34.78</w:t>
            </w:r>
          </w:p>
        </w:tc>
        <w:tc>
          <w:tcPr>
            <w:tcW w:w="307" w:type="pct"/>
            <w:tcBorders>
              <w:top w:val="single" w:color="auto" w:sz="4" w:space="0"/>
              <w:left w:val="single" w:color="auto" w:sz="4" w:space="0"/>
              <w:bottom w:val="single" w:color="auto" w:sz="4" w:space="0"/>
              <w:right w:val="single" w:color="auto" w:sz="4" w:space="0"/>
            </w:tcBorders>
          </w:tcPr>
          <w:p>
            <w:r>
              <w:t>48.71%</w:t>
            </w:r>
          </w:p>
        </w:tc>
        <w:tc>
          <w:tcPr>
            <w:tcW w:w="307" w:type="pct"/>
            <w:tcBorders>
              <w:top w:val="single" w:color="auto" w:sz="4" w:space="0"/>
              <w:left w:val="single" w:color="auto" w:sz="4" w:space="0"/>
              <w:bottom w:val="single" w:color="auto" w:sz="4" w:space="0"/>
              <w:right w:val="single" w:color="auto" w:sz="4" w:space="0"/>
            </w:tcBorders>
          </w:tcPr>
          <w:p>
            <w:r>
              <w:t>7.93</w:t>
            </w:r>
          </w:p>
        </w:tc>
        <w:tc>
          <w:tcPr>
            <w:tcW w:w="307" w:type="pct"/>
            <w:tcBorders>
              <w:top w:val="single" w:color="auto" w:sz="4" w:space="0"/>
              <w:left w:val="single" w:color="auto" w:sz="4" w:space="0"/>
              <w:bottom w:val="single" w:color="auto" w:sz="4" w:space="0"/>
              <w:right w:val="single" w:color="auto" w:sz="4" w:space="0"/>
            </w:tcBorders>
          </w:tcPr>
          <w:p>
            <w:r>
              <w:t>11.11%</w:t>
            </w:r>
          </w:p>
        </w:tc>
        <w:tc>
          <w:tcPr>
            <w:tcW w:w="307" w:type="pct"/>
            <w:tcBorders>
              <w:top w:val="single" w:color="auto" w:sz="4" w:space="0"/>
              <w:left w:val="single" w:color="auto" w:sz="4" w:space="0"/>
              <w:bottom w:val="single" w:color="auto" w:sz="4" w:space="0"/>
              <w:right w:val="single" w:color="auto" w:sz="4" w:space="0"/>
            </w:tcBorders>
          </w:tcPr>
          <w:p>
            <w:r>
              <w:t>9.36</w:t>
            </w:r>
          </w:p>
        </w:tc>
        <w:tc>
          <w:tcPr>
            <w:tcW w:w="307" w:type="pct"/>
            <w:tcBorders>
              <w:top w:val="single" w:color="auto" w:sz="4" w:space="0"/>
              <w:left w:val="single" w:color="auto" w:sz="4" w:space="0"/>
              <w:bottom w:val="single" w:color="auto" w:sz="4" w:space="0"/>
              <w:right w:val="single" w:color="auto" w:sz="4" w:space="0"/>
            </w:tcBorders>
          </w:tcPr>
          <w:p>
            <w:r>
              <w:t>13.11%</w:t>
            </w:r>
          </w:p>
        </w:tc>
        <w:tc>
          <w:tcPr>
            <w:tcW w:w="307" w:type="pct"/>
            <w:tcBorders>
              <w:top w:val="single" w:color="auto" w:sz="4" w:space="0"/>
              <w:left w:val="single" w:color="auto" w:sz="4" w:space="0"/>
              <w:bottom w:val="single" w:color="auto" w:sz="4" w:space="0"/>
              <w:right w:val="single" w:color="auto" w:sz="4" w:space="0"/>
            </w:tcBorders>
            <w:noWrap/>
          </w:tcPr>
          <w:p>
            <w:r>
              <w:t>3.19</w:t>
            </w:r>
          </w:p>
        </w:tc>
        <w:tc>
          <w:tcPr>
            <w:tcW w:w="308" w:type="pct"/>
            <w:tcBorders>
              <w:top w:val="single" w:color="auto" w:sz="4" w:space="0"/>
              <w:left w:val="single" w:color="auto" w:sz="4" w:space="0"/>
              <w:bottom w:val="single" w:color="auto" w:sz="4" w:space="0"/>
              <w:right w:val="single" w:color="auto" w:sz="4" w:space="0"/>
            </w:tcBorders>
          </w:tcPr>
          <w:p>
            <w:r>
              <w:t>4.47%</w:t>
            </w:r>
          </w:p>
        </w:tc>
        <w:tc>
          <w:tcPr>
            <w:tcW w:w="308" w:type="pct"/>
            <w:tcBorders>
              <w:top w:val="single" w:color="auto" w:sz="4" w:space="0"/>
              <w:left w:val="single" w:color="auto" w:sz="4" w:space="0"/>
              <w:bottom w:val="single" w:color="auto" w:sz="4" w:space="0"/>
              <w:right w:val="single" w:color="auto" w:sz="4" w:space="0"/>
            </w:tcBorders>
          </w:tcPr>
          <w:p>
            <w:r>
              <w:t>3.56</w:t>
            </w:r>
          </w:p>
        </w:tc>
        <w:tc>
          <w:tcPr>
            <w:tcW w:w="307" w:type="pct"/>
            <w:tcBorders>
              <w:top w:val="single" w:color="auto" w:sz="4" w:space="0"/>
              <w:left w:val="single" w:color="auto" w:sz="4" w:space="0"/>
              <w:bottom w:val="single" w:color="auto" w:sz="4" w:space="0"/>
              <w:right w:val="single" w:color="auto" w:sz="4" w:space="0"/>
            </w:tcBorders>
          </w:tcPr>
          <w:p>
            <w:r>
              <w:t>4.99%</w:t>
            </w:r>
          </w:p>
        </w:tc>
        <w:tc>
          <w:tcPr>
            <w:tcW w:w="308" w:type="pct"/>
            <w:tcBorders>
              <w:top w:val="single" w:color="auto" w:sz="4" w:space="0"/>
              <w:left w:val="single" w:color="auto" w:sz="4" w:space="0"/>
              <w:bottom w:val="single" w:color="auto" w:sz="4" w:space="0"/>
              <w:right w:val="single" w:color="auto" w:sz="4" w:space="0"/>
            </w:tcBorders>
          </w:tcPr>
          <w:p>
            <w:r>
              <w:t>12.58</w:t>
            </w:r>
          </w:p>
        </w:tc>
        <w:tc>
          <w:tcPr>
            <w:tcW w:w="305" w:type="pct"/>
            <w:tcBorders>
              <w:top w:val="single" w:color="auto" w:sz="4" w:space="0"/>
              <w:left w:val="single" w:color="auto" w:sz="4" w:space="0"/>
              <w:bottom w:val="single" w:color="auto" w:sz="4" w:space="0"/>
              <w:right w:val="single" w:color="auto" w:sz="4" w:space="0"/>
            </w:tcBorders>
          </w:tcPr>
          <w:p>
            <w:r>
              <w:t>17.62%</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兴福村</w:t>
            </w:r>
          </w:p>
        </w:tc>
        <w:tc>
          <w:tcPr>
            <w:tcW w:w="307" w:type="pct"/>
            <w:tcBorders>
              <w:top w:val="single" w:color="auto" w:sz="4" w:space="0"/>
              <w:left w:val="single" w:color="auto" w:sz="4" w:space="0"/>
              <w:bottom w:val="single" w:color="auto" w:sz="4" w:space="0"/>
              <w:right w:val="single" w:color="auto" w:sz="4" w:space="0"/>
            </w:tcBorders>
          </w:tcPr>
          <w:p>
            <w:r>
              <w:t>108.53</w:t>
            </w:r>
          </w:p>
        </w:tc>
        <w:tc>
          <w:tcPr>
            <w:tcW w:w="307" w:type="pct"/>
            <w:tcBorders>
              <w:top w:val="single" w:color="auto" w:sz="4" w:space="0"/>
              <w:left w:val="single" w:color="auto" w:sz="4" w:space="0"/>
              <w:bottom w:val="single" w:color="auto" w:sz="4" w:space="0"/>
              <w:right w:val="single" w:color="auto" w:sz="4" w:space="0"/>
            </w:tcBorders>
          </w:tcPr>
          <w:p>
            <w:r>
              <w:t>0.35</w:t>
            </w:r>
          </w:p>
        </w:tc>
        <w:tc>
          <w:tcPr>
            <w:tcW w:w="307" w:type="pct"/>
            <w:tcBorders>
              <w:top w:val="single" w:color="auto" w:sz="4" w:space="0"/>
              <w:left w:val="single" w:color="auto" w:sz="4" w:space="0"/>
              <w:bottom w:val="single" w:color="auto" w:sz="4" w:space="0"/>
              <w:right w:val="single" w:color="auto" w:sz="4" w:space="0"/>
            </w:tcBorders>
          </w:tcPr>
          <w:p>
            <w:r>
              <w:t>0.32%</w:t>
            </w:r>
          </w:p>
        </w:tc>
        <w:tc>
          <w:tcPr>
            <w:tcW w:w="307" w:type="pct"/>
            <w:tcBorders>
              <w:top w:val="single" w:color="auto" w:sz="4" w:space="0"/>
              <w:left w:val="single" w:color="auto" w:sz="4" w:space="0"/>
              <w:bottom w:val="single" w:color="auto" w:sz="4" w:space="0"/>
              <w:right w:val="single" w:color="auto" w:sz="4" w:space="0"/>
            </w:tcBorders>
          </w:tcPr>
          <w:p>
            <w:r>
              <w:t>25.34</w:t>
            </w:r>
          </w:p>
        </w:tc>
        <w:tc>
          <w:tcPr>
            <w:tcW w:w="307" w:type="pct"/>
            <w:tcBorders>
              <w:top w:val="single" w:color="auto" w:sz="4" w:space="0"/>
              <w:left w:val="single" w:color="auto" w:sz="4" w:space="0"/>
              <w:bottom w:val="single" w:color="auto" w:sz="4" w:space="0"/>
              <w:right w:val="single" w:color="auto" w:sz="4" w:space="0"/>
            </w:tcBorders>
          </w:tcPr>
          <w:p>
            <w:r>
              <w:t>23.35%</w:t>
            </w:r>
          </w:p>
        </w:tc>
        <w:tc>
          <w:tcPr>
            <w:tcW w:w="307" w:type="pct"/>
            <w:tcBorders>
              <w:top w:val="single" w:color="auto" w:sz="4" w:space="0"/>
              <w:left w:val="single" w:color="auto" w:sz="4" w:space="0"/>
              <w:bottom w:val="single" w:color="auto" w:sz="4" w:space="0"/>
              <w:right w:val="single" w:color="auto" w:sz="4" w:space="0"/>
            </w:tcBorders>
          </w:tcPr>
          <w:p>
            <w:r>
              <w:t>53.61</w:t>
            </w:r>
          </w:p>
        </w:tc>
        <w:tc>
          <w:tcPr>
            <w:tcW w:w="307" w:type="pct"/>
            <w:tcBorders>
              <w:top w:val="single" w:color="auto" w:sz="4" w:space="0"/>
              <w:left w:val="single" w:color="auto" w:sz="4" w:space="0"/>
              <w:bottom w:val="single" w:color="auto" w:sz="4" w:space="0"/>
              <w:right w:val="single" w:color="auto" w:sz="4" w:space="0"/>
            </w:tcBorders>
          </w:tcPr>
          <w:p>
            <w:r>
              <w:t>49.4%</w:t>
            </w:r>
          </w:p>
        </w:tc>
        <w:tc>
          <w:tcPr>
            <w:tcW w:w="307" w:type="pct"/>
            <w:tcBorders>
              <w:top w:val="single" w:color="auto" w:sz="4" w:space="0"/>
              <w:left w:val="single" w:color="auto" w:sz="4" w:space="0"/>
              <w:bottom w:val="single" w:color="auto" w:sz="4" w:space="0"/>
              <w:right w:val="single" w:color="auto" w:sz="4" w:space="0"/>
            </w:tcBorders>
          </w:tcPr>
          <w:p>
            <w:r>
              <w:t>15.47</w:t>
            </w:r>
          </w:p>
        </w:tc>
        <w:tc>
          <w:tcPr>
            <w:tcW w:w="307" w:type="pct"/>
            <w:tcBorders>
              <w:top w:val="single" w:color="auto" w:sz="4" w:space="0"/>
              <w:left w:val="single" w:color="auto" w:sz="4" w:space="0"/>
              <w:bottom w:val="single" w:color="auto" w:sz="4" w:space="0"/>
              <w:right w:val="single" w:color="auto" w:sz="4" w:space="0"/>
            </w:tcBorders>
          </w:tcPr>
          <w:p>
            <w:r>
              <w:t>14.25%</w:t>
            </w:r>
          </w:p>
        </w:tc>
        <w:tc>
          <w:tcPr>
            <w:tcW w:w="307" w:type="pct"/>
            <w:tcBorders>
              <w:top w:val="single" w:color="auto" w:sz="4" w:space="0"/>
              <w:left w:val="single" w:color="auto" w:sz="4" w:space="0"/>
              <w:bottom w:val="single" w:color="auto" w:sz="4" w:space="0"/>
              <w:right w:val="single" w:color="auto" w:sz="4" w:space="0"/>
            </w:tcBorders>
            <w:noWrap/>
          </w:tcPr>
          <w:p>
            <w:r>
              <w:t>1.84</w:t>
            </w:r>
          </w:p>
        </w:tc>
        <w:tc>
          <w:tcPr>
            <w:tcW w:w="308" w:type="pct"/>
            <w:tcBorders>
              <w:top w:val="single" w:color="auto" w:sz="4" w:space="0"/>
              <w:left w:val="single" w:color="auto" w:sz="4" w:space="0"/>
              <w:bottom w:val="single" w:color="auto" w:sz="4" w:space="0"/>
              <w:right w:val="single" w:color="auto" w:sz="4" w:space="0"/>
            </w:tcBorders>
          </w:tcPr>
          <w:p>
            <w:r>
              <w:t>1.7%</w:t>
            </w:r>
          </w:p>
        </w:tc>
        <w:tc>
          <w:tcPr>
            <w:tcW w:w="308" w:type="pct"/>
            <w:tcBorders>
              <w:top w:val="single" w:color="auto" w:sz="4" w:space="0"/>
              <w:left w:val="single" w:color="auto" w:sz="4" w:space="0"/>
              <w:bottom w:val="single" w:color="auto" w:sz="4" w:space="0"/>
              <w:right w:val="single" w:color="auto" w:sz="4" w:space="0"/>
            </w:tcBorders>
          </w:tcPr>
          <w:p>
            <w:r>
              <w:t>6.57</w:t>
            </w:r>
          </w:p>
        </w:tc>
        <w:tc>
          <w:tcPr>
            <w:tcW w:w="307" w:type="pct"/>
            <w:tcBorders>
              <w:top w:val="single" w:color="auto" w:sz="4" w:space="0"/>
              <w:left w:val="single" w:color="auto" w:sz="4" w:space="0"/>
              <w:bottom w:val="single" w:color="auto" w:sz="4" w:space="0"/>
              <w:right w:val="single" w:color="auto" w:sz="4" w:space="0"/>
            </w:tcBorders>
          </w:tcPr>
          <w:p>
            <w:r>
              <w:t>6.05%</w:t>
            </w:r>
          </w:p>
        </w:tc>
        <w:tc>
          <w:tcPr>
            <w:tcW w:w="308" w:type="pct"/>
            <w:tcBorders>
              <w:top w:val="single" w:color="auto" w:sz="4" w:space="0"/>
              <w:left w:val="single" w:color="auto" w:sz="4" w:space="0"/>
              <w:bottom w:val="single" w:color="auto" w:sz="4" w:space="0"/>
              <w:right w:val="single" w:color="auto" w:sz="4" w:space="0"/>
            </w:tcBorders>
          </w:tcPr>
          <w:p>
            <w:r>
              <w:t>5.35</w:t>
            </w:r>
          </w:p>
        </w:tc>
        <w:tc>
          <w:tcPr>
            <w:tcW w:w="305" w:type="pct"/>
            <w:tcBorders>
              <w:top w:val="single" w:color="auto" w:sz="4" w:space="0"/>
              <w:left w:val="single" w:color="auto" w:sz="4" w:space="0"/>
              <w:bottom w:val="single" w:color="auto" w:sz="4" w:space="0"/>
              <w:right w:val="single" w:color="auto" w:sz="4" w:space="0"/>
            </w:tcBorders>
          </w:tcPr>
          <w:p>
            <w:r>
              <w:t>4.93%</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徐坝村</w:t>
            </w:r>
          </w:p>
        </w:tc>
        <w:tc>
          <w:tcPr>
            <w:tcW w:w="307" w:type="pct"/>
            <w:tcBorders>
              <w:top w:val="single" w:color="auto" w:sz="4" w:space="0"/>
              <w:left w:val="single" w:color="auto" w:sz="4" w:space="0"/>
              <w:bottom w:val="single" w:color="auto" w:sz="4" w:space="0"/>
              <w:right w:val="single" w:color="auto" w:sz="4" w:space="0"/>
            </w:tcBorders>
          </w:tcPr>
          <w:p>
            <w:r>
              <w:t>193.22</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131.73</w:t>
            </w:r>
          </w:p>
        </w:tc>
        <w:tc>
          <w:tcPr>
            <w:tcW w:w="307" w:type="pct"/>
            <w:tcBorders>
              <w:top w:val="single" w:color="auto" w:sz="4" w:space="0"/>
              <w:left w:val="single" w:color="auto" w:sz="4" w:space="0"/>
              <w:bottom w:val="single" w:color="auto" w:sz="4" w:space="0"/>
              <w:right w:val="single" w:color="auto" w:sz="4" w:space="0"/>
            </w:tcBorders>
          </w:tcPr>
          <w:p>
            <w:r>
              <w:t>68.18%</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22.47</w:t>
            </w:r>
          </w:p>
        </w:tc>
        <w:tc>
          <w:tcPr>
            <w:tcW w:w="307" w:type="pct"/>
            <w:tcBorders>
              <w:top w:val="single" w:color="auto" w:sz="4" w:space="0"/>
              <w:left w:val="single" w:color="auto" w:sz="4" w:space="0"/>
              <w:bottom w:val="single" w:color="auto" w:sz="4" w:space="0"/>
              <w:right w:val="single" w:color="auto" w:sz="4" w:space="0"/>
            </w:tcBorders>
          </w:tcPr>
          <w:p>
            <w:r>
              <w:t>11.63%</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1.42</w:t>
            </w:r>
          </w:p>
        </w:tc>
        <w:tc>
          <w:tcPr>
            <w:tcW w:w="307" w:type="pct"/>
            <w:tcBorders>
              <w:top w:val="single" w:color="auto" w:sz="4" w:space="0"/>
              <w:left w:val="single" w:color="auto" w:sz="4" w:space="0"/>
              <w:bottom w:val="single" w:color="auto" w:sz="4" w:space="0"/>
              <w:right w:val="single" w:color="auto" w:sz="4" w:space="0"/>
            </w:tcBorders>
          </w:tcPr>
          <w:p>
            <w:r>
              <w:t>0.73%</w:t>
            </w:r>
          </w:p>
        </w:tc>
        <w:tc>
          <w:tcPr>
            <w:tcW w:w="308" w:type="pct"/>
            <w:tcBorders>
              <w:top w:val="single" w:color="auto" w:sz="4" w:space="0"/>
              <w:left w:val="single" w:color="auto" w:sz="4" w:space="0"/>
              <w:bottom w:val="single" w:color="auto" w:sz="4" w:space="0"/>
              <w:right w:val="single" w:color="auto" w:sz="4" w:space="0"/>
            </w:tcBorders>
          </w:tcPr>
          <w:p>
            <w:r>
              <w:t>37.6</w:t>
            </w:r>
          </w:p>
        </w:tc>
        <w:tc>
          <w:tcPr>
            <w:tcW w:w="305" w:type="pct"/>
            <w:tcBorders>
              <w:top w:val="single" w:color="auto" w:sz="4" w:space="0"/>
              <w:left w:val="single" w:color="auto" w:sz="4" w:space="0"/>
              <w:bottom w:val="single" w:color="auto" w:sz="4" w:space="0"/>
              <w:right w:val="single" w:color="auto" w:sz="4" w:space="0"/>
            </w:tcBorders>
          </w:tcPr>
          <w:p>
            <w:r>
              <w:t>19.46%</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许村</w:t>
            </w:r>
          </w:p>
        </w:tc>
        <w:tc>
          <w:tcPr>
            <w:tcW w:w="307" w:type="pct"/>
            <w:tcBorders>
              <w:top w:val="single" w:color="auto" w:sz="4" w:space="0"/>
              <w:left w:val="single" w:color="auto" w:sz="4" w:space="0"/>
              <w:bottom w:val="single" w:color="auto" w:sz="4" w:space="0"/>
              <w:right w:val="single" w:color="auto" w:sz="4" w:space="0"/>
            </w:tcBorders>
          </w:tcPr>
          <w:p>
            <w:r>
              <w:t>144.8</w:t>
            </w:r>
          </w:p>
        </w:tc>
        <w:tc>
          <w:tcPr>
            <w:tcW w:w="307" w:type="pct"/>
            <w:tcBorders>
              <w:top w:val="single" w:color="auto" w:sz="4" w:space="0"/>
              <w:left w:val="single" w:color="auto" w:sz="4" w:space="0"/>
              <w:bottom w:val="single" w:color="auto" w:sz="4" w:space="0"/>
              <w:right w:val="single" w:color="auto" w:sz="4" w:space="0"/>
            </w:tcBorders>
          </w:tcPr>
          <w:p>
            <w:r>
              <w:t>2.82</w:t>
            </w:r>
          </w:p>
        </w:tc>
        <w:tc>
          <w:tcPr>
            <w:tcW w:w="307" w:type="pct"/>
            <w:tcBorders>
              <w:top w:val="single" w:color="auto" w:sz="4" w:space="0"/>
              <w:left w:val="single" w:color="auto" w:sz="4" w:space="0"/>
              <w:bottom w:val="single" w:color="auto" w:sz="4" w:space="0"/>
              <w:right w:val="single" w:color="auto" w:sz="4" w:space="0"/>
            </w:tcBorders>
          </w:tcPr>
          <w:p>
            <w:r>
              <w:t>1.95%</w:t>
            </w:r>
          </w:p>
        </w:tc>
        <w:tc>
          <w:tcPr>
            <w:tcW w:w="307" w:type="pct"/>
            <w:tcBorders>
              <w:top w:val="single" w:color="auto" w:sz="4" w:space="0"/>
              <w:left w:val="single" w:color="auto" w:sz="4" w:space="0"/>
              <w:bottom w:val="single" w:color="auto" w:sz="4" w:space="0"/>
              <w:right w:val="single" w:color="auto" w:sz="4" w:space="0"/>
            </w:tcBorders>
          </w:tcPr>
          <w:p>
            <w:r>
              <w:t>84.73</w:t>
            </w:r>
          </w:p>
        </w:tc>
        <w:tc>
          <w:tcPr>
            <w:tcW w:w="307" w:type="pct"/>
            <w:tcBorders>
              <w:top w:val="single" w:color="auto" w:sz="4" w:space="0"/>
              <w:left w:val="single" w:color="auto" w:sz="4" w:space="0"/>
              <w:bottom w:val="single" w:color="auto" w:sz="4" w:space="0"/>
              <w:right w:val="single" w:color="auto" w:sz="4" w:space="0"/>
            </w:tcBorders>
          </w:tcPr>
          <w:p>
            <w:r>
              <w:t>58.52%</w:t>
            </w:r>
          </w:p>
        </w:tc>
        <w:tc>
          <w:tcPr>
            <w:tcW w:w="307" w:type="pct"/>
            <w:tcBorders>
              <w:top w:val="single" w:color="auto" w:sz="4" w:space="0"/>
              <w:left w:val="single" w:color="auto" w:sz="4" w:space="0"/>
              <w:bottom w:val="single" w:color="auto" w:sz="4" w:space="0"/>
              <w:right w:val="single" w:color="auto" w:sz="4" w:space="0"/>
            </w:tcBorders>
          </w:tcPr>
          <w:p>
            <w:r>
              <w:t>2.04</w:t>
            </w:r>
          </w:p>
        </w:tc>
        <w:tc>
          <w:tcPr>
            <w:tcW w:w="307" w:type="pct"/>
            <w:tcBorders>
              <w:top w:val="single" w:color="auto" w:sz="4" w:space="0"/>
              <w:left w:val="single" w:color="auto" w:sz="4" w:space="0"/>
              <w:bottom w:val="single" w:color="auto" w:sz="4" w:space="0"/>
              <w:right w:val="single" w:color="auto" w:sz="4" w:space="0"/>
            </w:tcBorders>
          </w:tcPr>
          <w:p>
            <w:r>
              <w:t>1.41%</w:t>
            </w:r>
          </w:p>
        </w:tc>
        <w:tc>
          <w:tcPr>
            <w:tcW w:w="307" w:type="pct"/>
            <w:tcBorders>
              <w:top w:val="single" w:color="auto" w:sz="4" w:space="0"/>
              <w:left w:val="single" w:color="auto" w:sz="4" w:space="0"/>
              <w:bottom w:val="single" w:color="auto" w:sz="4" w:space="0"/>
              <w:right w:val="single" w:color="auto" w:sz="4" w:space="0"/>
            </w:tcBorders>
          </w:tcPr>
          <w:p>
            <w:r>
              <w:t>23.57</w:t>
            </w:r>
          </w:p>
        </w:tc>
        <w:tc>
          <w:tcPr>
            <w:tcW w:w="307" w:type="pct"/>
            <w:tcBorders>
              <w:top w:val="single" w:color="auto" w:sz="4" w:space="0"/>
              <w:left w:val="single" w:color="auto" w:sz="4" w:space="0"/>
              <w:bottom w:val="single" w:color="auto" w:sz="4" w:space="0"/>
              <w:right w:val="single" w:color="auto" w:sz="4" w:space="0"/>
            </w:tcBorders>
          </w:tcPr>
          <w:p>
            <w:r>
              <w:t>16.28%</w:t>
            </w:r>
          </w:p>
        </w:tc>
        <w:tc>
          <w:tcPr>
            <w:tcW w:w="307" w:type="pct"/>
            <w:tcBorders>
              <w:top w:val="single" w:color="auto" w:sz="4" w:space="0"/>
              <w:left w:val="single" w:color="auto" w:sz="4" w:space="0"/>
              <w:bottom w:val="single" w:color="auto" w:sz="4" w:space="0"/>
              <w:right w:val="single" w:color="auto" w:sz="4" w:space="0"/>
            </w:tcBorders>
            <w:noWrap/>
          </w:tcPr>
          <w:p>
            <w:r>
              <w:t>1</w:t>
            </w:r>
          </w:p>
        </w:tc>
        <w:tc>
          <w:tcPr>
            <w:tcW w:w="308" w:type="pct"/>
            <w:tcBorders>
              <w:top w:val="single" w:color="auto" w:sz="4" w:space="0"/>
              <w:left w:val="single" w:color="auto" w:sz="4" w:space="0"/>
              <w:bottom w:val="single" w:color="auto" w:sz="4" w:space="0"/>
              <w:right w:val="single" w:color="auto" w:sz="4" w:space="0"/>
            </w:tcBorders>
          </w:tcPr>
          <w:p>
            <w:r>
              <w:t>0.69%</w:t>
            </w:r>
          </w:p>
        </w:tc>
        <w:tc>
          <w:tcPr>
            <w:tcW w:w="308" w:type="pct"/>
            <w:tcBorders>
              <w:top w:val="single" w:color="auto" w:sz="4" w:space="0"/>
              <w:left w:val="single" w:color="auto" w:sz="4" w:space="0"/>
              <w:bottom w:val="single" w:color="auto" w:sz="4" w:space="0"/>
              <w:right w:val="single" w:color="auto" w:sz="4" w:space="0"/>
            </w:tcBorders>
          </w:tcPr>
          <w:p>
            <w:r>
              <w:t>23.64</w:t>
            </w:r>
          </w:p>
        </w:tc>
        <w:tc>
          <w:tcPr>
            <w:tcW w:w="307" w:type="pct"/>
            <w:tcBorders>
              <w:top w:val="single" w:color="auto" w:sz="4" w:space="0"/>
              <w:left w:val="single" w:color="auto" w:sz="4" w:space="0"/>
              <w:bottom w:val="single" w:color="auto" w:sz="4" w:space="0"/>
              <w:right w:val="single" w:color="auto" w:sz="4" w:space="0"/>
            </w:tcBorders>
          </w:tcPr>
          <w:p>
            <w:r>
              <w:t>16.33%</w:t>
            </w:r>
          </w:p>
        </w:tc>
        <w:tc>
          <w:tcPr>
            <w:tcW w:w="308" w:type="pct"/>
            <w:tcBorders>
              <w:top w:val="single" w:color="auto" w:sz="4" w:space="0"/>
              <w:left w:val="single" w:color="auto" w:sz="4" w:space="0"/>
              <w:bottom w:val="single" w:color="auto" w:sz="4" w:space="0"/>
              <w:right w:val="single" w:color="auto" w:sz="4" w:space="0"/>
            </w:tcBorders>
          </w:tcPr>
          <w:p>
            <w:r>
              <w:t>7</w:t>
            </w:r>
          </w:p>
        </w:tc>
        <w:tc>
          <w:tcPr>
            <w:tcW w:w="305" w:type="pct"/>
            <w:tcBorders>
              <w:top w:val="single" w:color="auto" w:sz="4" w:space="0"/>
              <w:left w:val="single" w:color="auto" w:sz="4" w:space="0"/>
              <w:bottom w:val="single" w:color="auto" w:sz="4" w:space="0"/>
              <w:right w:val="single" w:color="auto" w:sz="4" w:space="0"/>
            </w:tcBorders>
          </w:tcPr>
          <w:p>
            <w:r>
              <w:t>4.83%</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鸭口山村</w:t>
            </w:r>
          </w:p>
        </w:tc>
        <w:tc>
          <w:tcPr>
            <w:tcW w:w="307" w:type="pct"/>
            <w:tcBorders>
              <w:top w:val="single" w:color="auto" w:sz="4" w:space="0"/>
              <w:left w:val="single" w:color="auto" w:sz="4" w:space="0"/>
              <w:bottom w:val="single" w:color="auto" w:sz="4" w:space="0"/>
              <w:right w:val="single" w:color="auto" w:sz="4" w:space="0"/>
            </w:tcBorders>
          </w:tcPr>
          <w:p>
            <w:r>
              <w:t>282.61</w:t>
            </w:r>
          </w:p>
        </w:tc>
        <w:tc>
          <w:tcPr>
            <w:tcW w:w="307" w:type="pct"/>
            <w:tcBorders>
              <w:top w:val="single" w:color="auto" w:sz="4" w:space="0"/>
              <w:left w:val="single" w:color="auto" w:sz="4" w:space="0"/>
              <w:bottom w:val="single" w:color="auto" w:sz="4" w:space="0"/>
              <w:right w:val="single" w:color="auto" w:sz="4" w:space="0"/>
            </w:tcBorders>
          </w:tcPr>
          <w:p>
            <w:r>
              <w:t>136.26</w:t>
            </w:r>
          </w:p>
        </w:tc>
        <w:tc>
          <w:tcPr>
            <w:tcW w:w="307" w:type="pct"/>
            <w:tcBorders>
              <w:top w:val="single" w:color="auto" w:sz="4" w:space="0"/>
              <w:left w:val="single" w:color="auto" w:sz="4" w:space="0"/>
              <w:bottom w:val="single" w:color="auto" w:sz="4" w:space="0"/>
              <w:right w:val="single" w:color="auto" w:sz="4" w:space="0"/>
            </w:tcBorders>
          </w:tcPr>
          <w:p>
            <w:r>
              <w:t>48.21%</w:t>
            </w:r>
          </w:p>
        </w:tc>
        <w:tc>
          <w:tcPr>
            <w:tcW w:w="307" w:type="pct"/>
            <w:tcBorders>
              <w:top w:val="single" w:color="auto" w:sz="4" w:space="0"/>
              <w:left w:val="single" w:color="auto" w:sz="4" w:space="0"/>
              <w:bottom w:val="single" w:color="auto" w:sz="4" w:space="0"/>
              <w:right w:val="single" w:color="auto" w:sz="4" w:space="0"/>
            </w:tcBorders>
          </w:tcPr>
          <w:p>
            <w:r>
              <w:t>22.61</w:t>
            </w:r>
          </w:p>
        </w:tc>
        <w:tc>
          <w:tcPr>
            <w:tcW w:w="307" w:type="pct"/>
            <w:tcBorders>
              <w:top w:val="single" w:color="auto" w:sz="4" w:space="0"/>
              <w:left w:val="single" w:color="auto" w:sz="4" w:space="0"/>
              <w:bottom w:val="single" w:color="auto" w:sz="4" w:space="0"/>
              <w:right w:val="single" w:color="auto" w:sz="4" w:space="0"/>
            </w:tcBorders>
          </w:tcPr>
          <w:p>
            <w:r>
              <w:t>8%</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12.18</w:t>
            </w:r>
          </w:p>
        </w:tc>
        <w:tc>
          <w:tcPr>
            <w:tcW w:w="307" w:type="pct"/>
            <w:tcBorders>
              <w:top w:val="single" w:color="auto" w:sz="4" w:space="0"/>
              <w:left w:val="single" w:color="auto" w:sz="4" w:space="0"/>
              <w:bottom w:val="single" w:color="auto" w:sz="4" w:space="0"/>
              <w:right w:val="single" w:color="auto" w:sz="4" w:space="0"/>
            </w:tcBorders>
          </w:tcPr>
          <w:p>
            <w:r>
              <w:t>4.31%</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94.93</w:t>
            </w:r>
          </w:p>
        </w:tc>
        <w:tc>
          <w:tcPr>
            <w:tcW w:w="307" w:type="pct"/>
            <w:tcBorders>
              <w:top w:val="single" w:color="auto" w:sz="4" w:space="0"/>
              <w:left w:val="single" w:color="auto" w:sz="4" w:space="0"/>
              <w:bottom w:val="single" w:color="auto" w:sz="4" w:space="0"/>
              <w:right w:val="single" w:color="auto" w:sz="4" w:space="0"/>
            </w:tcBorders>
          </w:tcPr>
          <w:p>
            <w:r>
              <w:t>33.59%</w:t>
            </w:r>
          </w:p>
        </w:tc>
        <w:tc>
          <w:tcPr>
            <w:tcW w:w="308" w:type="pct"/>
            <w:tcBorders>
              <w:top w:val="single" w:color="auto" w:sz="4" w:space="0"/>
              <w:left w:val="single" w:color="auto" w:sz="4" w:space="0"/>
              <w:bottom w:val="single" w:color="auto" w:sz="4" w:space="0"/>
              <w:right w:val="single" w:color="auto" w:sz="4" w:space="0"/>
            </w:tcBorders>
          </w:tcPr>
          <w:p>
            <w:r>
              <w:t>16.63</w:t>
            </w:r>
          </w:p>
        </w:tc>
        <w:tc>
          <w:tcPr>
            <w:tcW w:w="305" w:type="pct"/>
            <w:tcBorders>
              <w:top w:val="single" w:color="auto" w:sz="4" w:space="0"/>
              <w:left w:val="single" w:color="auto" w:sz="4" w:space="0"/>
              <w:bottom w:val="single" w:color="auto" w:sz="4" w:space="0"/>
              <w:right w:val="single" w:color="auto" w:sz="4" w:space="0"/>
            </w:tcBorders>
          </w:tcPr>
          <w:p>
            <w:r>
              <w:t>5.88%</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章庙村</w:t>
            </w:r>
          </w:p>
        </w:tc>
        <w:tc>
          <w:tcPr>
            <w:tcW w:w="307" w:type="pct"/>
            <w:tcBorders>
              <w:top w:val="single" w:color="auto" w:sz="4" w:space="0"/>
              <w:left w:val="single" w:color="auto" w:sz="4" w:space="0"/>
              <w:bottom w:val="single" w:color="auto" w:sz="4" w:space="0"/>
              <w:right w:val="single" w:color="auto" w:sz="4" w:space="0"/>
            </w:tcBorders>
          </w:tcPr>
          <w:p>
            <w:r>
              <w:t>203.32</w:t>
            </w:r>
          </w:p>
        </w:tc>
        <w:tc>
          <w:tcPr>
            <w:tcW w:w="307" w:type="pct"/>
            <w:tcBorders>
              <w:top w:val="single" w:color="auto" w:sz="4" w:space="0"/>
              <w:left w:val="single" w:color="auto" w:sz="4" w:space="0"/>
              <w:bottom w:val="single" w:color="auto" w:sz="4" w:space="0"/>
              <w:right w:val="single" w:color="auto" w:sz="4" w:space="0"/>
            </w:tcBorders>
          </w:tcPr>
          <w:p>
            <w:r>
              <w:t>133.99</w:t>
            </w:r>
          </w:p>
        </w:tc>
        <w:tc>
          <w:tcPr>
            <w:tcW w:w="307" w:type="pct"/>
            <w:tcBorders>
              <w:top w:val="single" w:color="auto" w:sz="4" w:space="0"/>
              <w:left w:val="single" w:color="auto" w:sz="4" w:space="0"/>
              <w:bottom w:val="single" w:color="auto" w:sz="4" w:space="0"/>
              <w:right w:val="single" w:color="auto" w:sz="4" w:space="0"/>
            </w:tcBorders>
          </w:tcPr>
          <w:p>
            <w:r>
              <w:t>65.9%</w:t>
            </w:r>
          </w:p>
        </w:tc>
        <w:tc>
          <w:tcPr>
            <w:tcW w:w="307" w:type="pct"/>
            <w:tcBorders>
              <w:top w:val="single" w:color="auto" w:sz="4" w:space="0"/>
              <w:left w:val="single" w:color="auto" w:sz="4" w:space="0"/>
              <w:bottom w:val="single" w:color="auto" w:sz="4" w:space="0"/>
              <w:right w:val="single" w:color="auto" w:sz="4" w:space="0"/>
            </w:tcBorders>
          </w:tcPr>
          <w:p>
            <w:r>
              <w:t>14.09</w:t>
            </w:r>
          </w:p>
        </w:tc>
        <w:tc>
          <w:tcPr>
            <w:tcW w:w="307" w:type="pct"/>
            <w:tcBorders>
              <w:top w:val="single" w:color="auto" w:sz="4" w:space="0"/>
              <w:left w:val="single" w:color="auto" w:sz="4" w:space="0"/>
              <w:bottom w:val="single" w:color="auto" w:sz="4" w:space="0"/>
              <w:right w:val="single" w:color="auto" w:sz="4" w:space="0"/>
            </w:tcBorders>
          </w:tcPr>
          <w:p>
            <w:r>
              <w:t>6.93%</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8.87</w:t>
            </w:r>
          </w:p>
        </w:tc>
        <w:tc>
          <w:tcPr>
            <w:tcW w:w="307" w:type="pct"/>
            <w:tcBorders>
              <w:top w:val="single" w:color="auto" w:sz="4" w:space="0"/>
              <w:left w:val="single" w:color="auto" w:sz="4" w:space="0"/>
              <w:bottom w:val="single" w:color="auto" w:sz="4" w:space="0"/>
              <w:right w:val="single" w:color="auto" w:sz="4" w:space="0"/>
            </w:tcBorders>
          </w:tcPr>
          <w:p>
            <w:r>
              <w:t>4.36%</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44.37</w:t>
            </w:r>
          </w:p>
        </w:tc>
        <w:tc>
          <w:tcPr>
            <w:tcW w:w="307" w:type="pct"/>
            <w:tcBorders>
              <w:top w:val="single" w:color="auto" w:sz="4" w:space="0"/>
              <w:left w:val="single" w:color="auto" w:sz="4" w:space="0"/>
              <w:bottom w:val="single" w:color="auto" w:sz="4" w:space="0"/>
              <w:right w:val="single" w:color="auto" w:sz="4" w:space="0"/>
            </w:tcBorders>
          </w:tcPr>
          <w:p>
            <w:r>
              <w:t>21.82%</w:t>
            </w:r>
          </w:p>
        </w:tc>
        <w:tc>
          <w:tcPr>
            <w:tcW w:w="308" w:type="pct"/>
            <w:tcBorders>
              <w:top w:val="single" w:color="auto" w:sz="4" w:space="0"/>
              <w:left w:val="single" w:color="auto" w:sz="4" w:space="0"/>
              <w:bottom w:val="single" w:color="auto" w:sz="4" w:space="0"/>
              <w:right w:val="single" w:color="auto" w:sz="4" w:space="0"/>
            </w:tcBorders>
          </w:tcPr>
          <w:p>
            <w:r>
              <w:t>2</w:t>
            </w:r>
          </w:p>
        </w:tc>
        <w:tc>
          <w:tcPr>
            <w:tcW w:w="305" w:type="pct"/>
            <w:tcBorders>
              <w:top w:val="single" w:color="auto" w:sz="4" w:space="0"/>
              <w:left w:val="single" w:color="auto" w:sz="4" w:space="0"/>
              <w:bottom w:val="single" w:color="auto" w:sz="4" w:space="0"/>
              <w:right w:val="single" w:color="auto" w:sz="4" w:space="0"/>
            </w:tcBorders>
          </w:tcPr>
          <w:p>
            <w:r>
              <w:t>0.98%</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诸益村</w:t>
            </w:r>
          </w:p>
        </w:tc>
        <w:tc>
          <w:tcPr>
            <w:tcW w:w="307" w:type="pct"/>
            <w:tcBorders>
              <w:top w:val="single" w:color="auto" w:sz="4" w:space="0"/>
              <w:left w:val="single" w:color="auto" w:sz="4" w:space="0"/>
              <w:bottom w:val="single" w:color="auto" w:sz="4" w:space="0"/>
              <w:right w:val="single" w:color="auto" w:sz="4" w:space="0"/>
            </w:tcBorders>
          </w:tcPr>
          <w:p>
            <w:r>
              <w:t>251.07</w:t>
            </w:r>
          </w:p>
        </w:tc>
        <w:tc>
          <w:tcPr>
            <w:tcW w:w="307" w:type="pct"/>
            <w:tcBorders>
              <w:top w:val="single" w:color="auto" w:sz="4" w:space="0"/>
              <w:left w:val="single" w:color="auto" w:sz="4" w:space="0"/>
              <w:bottom w:val="single" w:color="auto" w:sz="4" w:space="0"/>
              <w:right w:val="single" w:color="auto" w:sz="4" w:space="0"/>
            </w:tcBorders>
          </w:tcPr>
          <w:p>
            <w:r>
              <w:t>154.21</w:t>
            </w:r>
          </w:p>
        </w:tc>
        <w:tc>
          <w:tcPr>
            <w:tcW w:w="307" w:type="pct"/>
            <w:tcBorders>
              <w:top w:val="single" w:color="auto" w:sz="4" w:space="0"/>
              <w:left w:val="single" w:color="auto" w:sz="4" w:space="0"/>
              <w:bottom w:val="single" w:color="auto" w:sz="4" w:space="0"/>
              <w:right w:val="single" w:color="auto" w:sz="4" w:space="0"/>
            </w:tcBorders>
          </w:tcPr>
          <w:p>
            <w:r>
              <w:t>61.42%</w:t>
            </w:r>
          </w:p>
        </w:tc>
        <w:tc>
          <w:tcPr>
            <w:tcW w:w="307" w:type="pct"/>
            <w:tcBorders>
              <w:top w:val="single" w:color="auto" w:sz="4" w:space="0"/>
              <w:left w:val="single" w:color="auto" w:sz="4" w:space="0"/>
              <w:bottom w:val="single" w:color="auto" w:sz="4" w:space="0"/>
              <w:right w:val="single" w:color="auto" w:sz="4" w:space="0"/>
            </w:tcBorders>
          </w:tcPr>
          <w:p>
            <w:r>
              <w:t>32.86</w:t>
            </w:r>
          </w:p>
        </w:tc>
        <w:tc>
          <w:tcPr>
            <w:tcW w:w="307" w:type="pct"/>
            <w:tcBorders>
              <w:top w:val="single" w:color="auto" w:sz="4" w:space="0"/>
              <w:left w:val="single" w:color="auto" w:sz="4" w:space="0"/>
              <w:bottom w:val="single" w:color="auto" w:sz="4" w:space="0"/>
              <w:right w:val="single" w:color="auto" w:sz="4" w:space="0"/>
            </w:tcBorders>
          </w:tcPr>
          <w:p>
            <w:r>
              <w:t>13.09%</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23.78</w:t>
            </w:r>
          </w:p>
        </w:tc>
        <w:tc>
          <w:tcPr>
            <w:tcW w:w="307" w:type="pct"/>
            <w:tcBorders>
              <w:top w:val="single" w:color="auto" w:sz="4" w:space="0"/>
              <w:left w:val="single" w:color="auto" w:sz="4" w:space="0"/>
              <w:bottom w:val="single" w:color="auto" w:sz="4" w:space="0"/>
              <w:right w:val="single" w:color="auto" w:sz="4" w:space="0"/>
            </w:tcBorders>
          </w:tcPr>
          <w:p>
            <w:r>
              <w:t>9.47%</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25.99</w:t>
            </w:r>
          </w:p>
        </w:tc>
        <w:tc>
          <w:tcPr>
            <w:tcW w:w="307" w:type="pct"/>
            <w:tcBorders>
              <w:top w:val="single" w:color="auto" w:sz="4" w:space="0"/>
              <w:left w:val="single" w:color="auto" w:sz="4" w:space="0"/>
              <w:bottom w:val="single" w:color="auto" w:sz="4" w:space="0"/>
              <w:right w:val="single" w:color="auto" w:sz="4" w:space="0"/>
            </w:tcBorders>
          </w:tcPr>
          <w:p>
            <w:r>
              <w:t>10.35%</w:t>
            </w:r>
          </w:p>
        </w:tc>
        <w:tc>
          <w:tcPr>
            <w:tcW w:w="308" w:type="pct"/>
            <w:tcBorders>
              <w:top w:val="single" w:color="auto" w:sz="4" w:space="0"/>
              <w:left w:val="single" w:color="auto" w:sz="4" w:space="0"/>
              <w:bottom w:val="single" w:color="auto" w:sz="4" w:space="0"/>
              <w:right w:val="single" w:color="auto" w:sz="4" w:space="0"/>
            </w:tcBorders>
          </w:tcPr>
          <w:p>
            <w:r>
              <w:t>14.23</w:t>
            </w:r>
          </w:p>
        </w:tc>
        <w:tc>
          <w:tcPr>
            <w:tcW w:w="305" w:type="pct"/>
            <w:tcBorders>
              <w:top w:val="single" w:color="auto" w:sz="4" w:space="0"/>
              <w:left w:val="single" w:color="auto" w:sz="4" w:space="0"/>
              <w:bottom w:val="single" w:color="auto" w:sz="4" w:space="0"/>
              <w:right w:val="single" w:color="auto" w:sz="4" w:space="0"/>
            </w:tcBorders>
          </w:tcPr>
          <w:p>
            <w:r>
              <w:t>5.67%</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合计</w:t>
            </w:r>
          </w:p>
        </w:tc>
        <w:tc>
          <w:tcPr>
            <w:tcW w:w="307" w:type="pct"/>
            <w:tcBorders>
              <w:top w:val="single" w:color="auto" w:sz="4" w:space="0"/>
              <w:left w:val="single" w:color="auto" w:sz="4" w:space="0"/>
              <w:bottom w:val="single" w:color="auto" w:sz="4" w:space="0"/>
              <w:right w:val="single" w:color="auto" w:sz="4" w:space="0"/>
            </w:tcBorders>
            <w:noWrap/>
          </w:tcPr>
          <w:p>
            <w:r>
              <w:t>5607.56</w:t>
            </w:r>
          </w:p>
        </w:tc>
        <w:tc>
          <w:tcPr>
            <w:tcW w:w="307" w:type="pct"/>
            <w:tcBorders>
              <w:top w:val="single" w:color="auto" w:sz="4" w:space="0"/>
              <w:left w:val="single" w:color="auto" w:sz="4" w:space="0"/>
              <w:bottom w:val="single" w:color="auto" w:sz="4" w:space="0"/>
              <w:right w:val="single" w:color="auto" w:sz="4" w:space="0"/>
            </w:tcBorders>
            <w:noWrap/>
          </w:tcPr>
          <w:p>
            <w:r>
              <w:t>1545.91</w:t>
            </w:r>
          </w:p>
        </w:tc>
        <w:tc>
          <w:tcPr>
            <w:tcW w:w="307" w:type="pct"/>
            <w:tcBorders>
              <w:top w:val="single" w:color="auto" w:sz="4" w:space="0"/>
              <w:left w:val="single" w:color="auto" w:sz="4" w:space="0"/>
              <w:bottom w:val="single" w:color="auto" w:sz="4" w:space="0"/>
              <w:right w:val="single" w:color="auto" w:sz="4" w:space="0"/>
            </w:tcBorders>
          </w:tcPr>
          <w:p>
            <w:r>
              <w:t>27.57%</w:t>
            </w:r>
          </w:p>
        </w:tc>
        <w:tc>
          <w:tcPr>
            <w:tcW w:w="307" w:type="pct"/>
            <w:tcBorders>
              <w:top w:val="single" w:color="auto" w:sz="4" w:space="0"/>
              <w:left w:val="single" w:color="auto" w:sz="4" w:space="0"/>
              <w:bottom w:val="single" w:color="auto" w:sz="4" w:space="0"/>
              <w:right w:val="single" w:color="auto" w:sz="4" w:space="0"/>
            </w:tcBorders>
            <w:noWrap/>
          </w:tcPr>
          <w:p>
            <w:r>
              <w:t>1615.26</w:t>
            </w:r>
          </w:p>
        </w:tc>
        <w:tc>
          <w:tcPr>
            <w:tcW w:w="307" w:type="pct"/>
            <w:tcBorders>
              <w:top w:val="single" w:color="auto" w:sz="4" w:space="0"/>
              <w:left w:val="single" w:color="auto" w:sz="4" w:space="0"/>
              <w:bottom w:val="single" w:color="auto" w:sz="4" w:space="0"/>
              <w:right w:val="single" w:color="auto" w:sz="4" w:space="0"/>
            </w:tcBorders>
          </w:tcPr>
          <w:p>
            <w:r>
              <w:t>28.81%</w:t>
            </w:r>
          </w:p>
        </w:tc>
        <w:tc>
          <w:tcPr>
            <w:tcW w:w="307" w:type="pct"/>
            <w:tcBorders>
              <w:top w:val="single" w:color="auto" w:sz="4" w:space="0"/>
              <w:left w:val="single" w:color="auto" w:sz="4" w:space="0"/>
              <w:bottom w:val="single" w:color="auto" w:sz="4" w:space="0"/>
              <w:right w:val="single" w:color="auto" w:sz="4" w:space="0"/>
            </w:tcBorders>
            <w:noWrap/>
          </w:tcPr>
          <w:p>
            <w:r>
              <w:t>407.75</w:t>
            </w:r>
          </w:p>
        </w:tc>
        <w:tc>
          <w:tcPr>
            <w:tcW w:w="307" w:type="pct"/>
            <w:tcBorders>
              <w:top w:val="single" w:color="auto" w:sz="4" w:space="0"/>
              <w:left w:val="single" w:color="auto" w:sz="4" w:space="0"/>
              <w:bottom w:val="single" w:color="auto" w:sz="4" w:space="0"/>
              <w:right w:val="single" w:color="auto" w:sz="4" w:space="0"/>
            </w:tcBorders>
          </w:tcPr>
          <w:p>
            <w:r>
              <w:t>7.27%</w:t>
            </w:r>
          </w:p>
        </w:tc>
        <w:tc>
          <w:tcPr>
            <w:tcW w:w="307" w:type="pct"/>
            <w:tcBorders>
              <w:top w:val="single" w:color="auto" w:sz="4" w:space="0"/>
              <w:left w:val="single" w:color="auto" w:sz="4" w:space="0"/>
              <w:bottom w:val="single" w:color="auto" w:sz="4" w:space="0"/>
              <w:right w:val="single" w:color="auto" w:sz="4" w:space="0"/>
            </w:tcBorders>
            <w:noWrap/>
          </w:tcPr>
          <w:p>
            <w:r>
              <w:t>510.39</w:t>
            </w:r>
          </w:p>
        </w:tc>
        <w:tc>
          <w:tcPr>
            <w:tcW w:w="307" w:type="pct"/>
            <w:tcBorders>
              <w:top w:val="single" w:color="auto" w:sz="4" w:space="0"/>
              <w:left w:val="single" w:color="auto" w:sz="4" w:space="0"/>
              <w:bottom w:val="single" w:color="auto" w:sz="4" w:space="0"/>
              <w:right w:val="single" w:color="auto" w:sz="4" w:space="0"/>
            </w:tcBorders>
          </w:tcPr>
          <w:p>
            <w:r>
              <w:t>9.1%</w:t>
            </w:r>
          </w:p>
        </w:tc>
        <w:tc>
          <w:tcPr>
            <w:tcW w:w="307" w:type="pct"/>
            <w:tcBorders>
              <w:top w:val="single" w:color="auto" w:sz="4" w:space="0"/>
              <w:left w:val="single" w:color="auto" w:sz="4" w:space="0"/>
              <w:bottom w:val="single" w:color="auto" w:sz="4" w:space="0"/>
              <w:right w:val="single" w:color="auto" w:sz="4" w:space="0"/>
            </w:tcBorders>
            <w:noWrap/>
          </w:tcPr>
          <w:p>
            <w:r>
              <w:t>26.03</w:t>
            </w:r>
          </w:p>
        </w:tc>
        <w:tc>
          <w:tcPr>
            <w:tcW w:w="308" w:type="pct"/>
            <w:tcBorders>
              <w:top w:val="single" w:color="auto" w:sz="4" w:space="0"/>
              <w:left w:val="single" w:color="auto" w:sz="4" w:space="0"/>
              <w:bottom w:val="single" w:color="auto" w:sz="4" w:space="0"/>
              <w:right w:val="single" w:color="auto" w:sz="4" w:space="0"/>
            </w:tcBorders>
          </w:tcPr>
          <w:p>
            <w:r>
              <w:t>0.46%</w:t>
            </w:r>
          </w:p>
        </w:tc>
        <w:tc>
          <w:tcPr>
            <w:tcW w:w="308" w:type="pct"/>
            <w:tcBorders>
              <w:top w:val="single" w:color="auto" w:sz="4" w:space="0"/>
              <w:left w:val="single" w:color="auto" w:sz="4" w:space="0"/>
              <w:bottom w:val="single" w:color="auto" w:sz="4" w:space="0"/>
              <w:right w:val="single" w:color="auto" w:sz="4" w:space="0"/>
            </w:tcBorders>
            <w:noWrap/>
          </w:tcPr>
          <w:p>
            <w:r>
              <w:t>743.1</w:t>
            </w:r>
          </w:p>
        </w:tc>
        <w:tc>
          <w:tcPr>
            <w:tcW w:w="307" w:type="pct"/>
            <w:tcBorders>
              <w:top w:val="single" w:color="auto" w:sz="4" w:space="0"/>
              <w:left w:val="single" w:color="auto" w:sz="4" w:space="0"/>
              <w:bottom w:val="single" w:color="auto" w:sz="4" w:space="0"/>
              <w:right w:val="single" w:color="auto" w:sz="4" w:space="0"/>
            </w:tcBorders>
          </w:tcPr>
          <w:p>
            <w:r>
              <w:t>13.25%</w:t>
            </w:r>
          </w:p>
        </w:tc>
        <w:tc>
          <w:tcPr>
            <w:tcW w:w="308" w:type="pct"/>
            <w:tcBorders>
              <w:top w:val="single" w:color="auto" w:sz="4" w:space="0"/>
              <w:left w:val="single" w:color="auto" w:sz="4" w:space="0"/>
              <w:bottom w:val="single" w:color="auto" w:sz="4" w:space="0"/>
              <w:right w:val="single" w:color="auto" w:sz="4" w:space="0"/>
            </w:tcBorders>
            <w:noWrap/>
          </w:tcPr>
          <w:p>
            <w:r>
              <w:t>759.12</w:t>
            </w:r>
          </w:p>
        </w:tc>
        <w:tc>
          <w:tcPr>
            <w:tcW w:w="305" w:type="pct"/>
            <w:tcBorders>
              <w:top w:val="single" w:color="auto" w:sz="4" w:space="0"/>
              <w:left w:val="single" w:color="auto" w:sz="4" w:space="0"/>
              <w:bottom w:val="single" w:color="auto" w:sz="4" w:space="0"/>
              <w:right w:val="single" w:color="auto" w:sz="4" w:space="0"/>
            </w:tcBorders>
          </w:tcPr>
          <w:p>
            <w:r>
              <w:t>13.54%</w:t>
            </w:r>
          </w:p>
        </w:tc>
      </w:tr>
    </w:tbl>
    <w:p>
      <w:pPr>
        <w:widowControl/>
        <w:jc w:val="left"/>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41" w:name="_Toc486428883"/>
      <w:r>
        <w:rPr>
          <w:rFonts w:hint="eastAsia" w:ascii="仿宋_GB2312" w:hAnsi="宋体"/>
          <w:bCs w:val="0"/>
          <w:color w:val="000000"/>
          <w:sz w:val="28"/>
          <w:szCs w:val="28"/>
        </w:rPr>
        <w:t>附表四   冠英镇耕地保有量、基本农田情况表</w:t>
      </w:r>
      <w:bookmarkEnd w:id="141"/>
    </w:p>
    <w:p>
      <w:pPr>
        <w:jc w:val="right"/>
        <w:rPr>
          <w:rFonts w:ascii="仿宋_GB2312" w:eastAsia="仿宋_GB2312"/>
        </w:rPr>
      </w:pPr>
      <w:r>
        <w:rPr>
          <w:rFonts w:hint="eastAsia" w:ascii="仿宋_GB2312" w:eastAsia="仿宋_GB2312"/>
        </w:rPr>
        <w:t>单位：公顷</w:t>
      </w:r>
    </w:p>
    <w:tbl>
      <w:tblPr>
        <w:tblStyle w:val="13"/>
        <w:tblW w:w="15120" w:type="dxa"/>
        <w:jc w:val="center"/>
        <w:tblLayout w:type="autofit"/>
        <w:tblCellMar>
          <w:top w:w="15" w:type="dxa"/>
          <w:left w:w="108" w:type="dxa"/>
          <w:bottom w:w="15" w:type="dxa"/>
          <w:right w:w="108" w:type="dxa"/>
        </w:tblCellMar>
      </w:tblPr>
      <w:tblGrid>
        <w:gridCol w:w="1080"/>
        <w:gridCol w:w="1080"/>
        <w:gridCol w:w="1080"/>
        <w:gridCol w:w="1080"/>
        <w:gridCol w:w="1080"/>
        <w:gridCol w:w="1080"/>
        <w:gridCol w:w="1080"/>
        <w:gridCol w:w="1080"/>
        <w:gridCol w:w="1080"/>
        <w:gridCol w:w="1080"/>
        <w:gridCol w:w="1080"/>
        <w:gridCol w:w="1080"/>
        <w:gridCol w:w="1080"/>
        <w:gridCol w:w="1080"/>
      </w:tblGrid>
      <w:tr>
        <w:tblPrEx>
          <w:tblCellMar>
            <w:top w:w="15" w:type="dxa"/>
            <w:left w:w="108" w:type="dxa"/>
            <w:bottom w:w="15" w:type="dxa"/>
            <w:right w:w="108" w:type="dxa"/>
          </w:tblCellMar>
        </w:tblPrEx>
        <w:trPr>
          <w:trHeight w:val="450"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基期耕地面积</w:t>
            </w:r>
          </w:p>
        </w:tc>
        <w:tc>
          <w:tcPr>
            <w:tcW w:w="5400" w:type="dxa"/>
            <w:gridSpan w:val="5"/>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规划期间补充耕地面积</w:t>
            </w:r>
          </w:p>
        </w:tc>
        <w:tc>
          <w:tcPr>
            <w:tcW w:w="4320" w:type="dxa"/>
            <w:gridSpan w:val="4"/>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规划期间减少耕地面积</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规划期间净增（+）减（-）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期末耕地保有量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基本农田保护面积</w:t>
            </w: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400"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43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增加合计</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土地整理</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土地复垦</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土地开发</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其他</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减少合计</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建设占用</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灾毁</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其他</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435"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2515.45</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115</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115</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183.31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183.31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-68.31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2447.14</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1305</w:t>
            </w:r>
          </w:p>
        </w:tc>
      </w:tr>
      <w:tr>
        <w:tblPrEx>
          <w:tblCellMar>
            <w:top w:w="15" w:type="dxa"/>
            <w:left w:w="108" w:type="dxa"/>
            <w:bottom w:w="15" w:type="dxa"/>
            <w:right w:w="108" w:type="dxa"/>
          </w:tblCellMar>
        </w:tblPrEx>
        <w:trPr>
          <w:trHeight w:val="312"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年均增减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23</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23</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36.662</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36.662</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w:t>
            </w: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bl>
    <w:p>
      <w:pPr>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Cs w:val="30"/>
        </w:rPr>
      </w:pPr>
      <w:bookmarkStart w:id="142" w:name="_Toc407294593"/>
      <w:bookmarkStart w:id="143" w:name="_Toc475303987"/>
      <w:bookmarkStart w:id="144" w:name="_Toc485386655"/>
      <w:bookmarkStart w:id="145" w:name="_Toc486428884"/>
      <w:r>
        <w:rPr>
          <w:rFonts w:hint="eastAsia" w:ascii="仿宋_GB2312" w:hAnsi="宋体"/>
          <w:bCs w:val="0"/>
          <w:color w:val="000000"/>
          <w:sz w:val="28"/>
          <w:szCs w:val="28"/>
        </w:rPr>
        <w:t>附表五  冠英镇省、市、县重点建设项目规划表</w:t>
      </w:r>
      <w:bookmarkEnd w:id="142"/>
      <w:bookmarkEnd w:id="143"/>
      <w:bookmarkEnd w:id="144"/>
      <w:bookmarkEnd w:id="145"/>
    </w:p>
    <w:tbl>
      <w:tblPr>
        <w:tblStyle w:val="13"/>
        <w:tblW w:w="5000" w:type="pct"/>
        <w:tblInd w:w="0" w:type="dxa"/>
        <w:tblLayout w:type="autofit"/>
        <w:tblCellMar>
          <w:top w:w="15" w:type="dxa"/>
          <w:left w:w="108" w:type="dxa"/>
          <w:bottom w:w="15" w:type="dxa"/>
          <w:right w:w="108" w:type="dxa"/>
        </w:tblCellMar>
      </w:tblPr>
      <w:tblGrid>
        <w:gridCol w:w="1182"/>
        <w:gridCol w:w="2764"/>
        <w:gridCol w:w="1185"/>
        <w:gridCol w:w="1182"/>
        <w:gridCol w:w="1205"/>
        <w:gridCol w:w="865"/>
        <w:gridCol w:w="4537"/>
        <w:gridCol w:w="1254"/>
      </w:tblGrid>
      <w:tr>
        <w:tblPrEx>
          <w:tblCellMar>
            <w:top w:w="15" w:type="dxa"/>
            <w:left w:w="108" w:type="dxa"/>
            <w:bottom w:w="15" w:type="dxa"/>
            <w:right w:w="108" w:type="dxa"/>
          </w:tblCellMar>
        </w:tblPrEx>
        <w:trPr>
          <w:trHeight w:val="285" w:hRule="atLeast"/>
        </w:trPr>
        <w:tc>
          <w:tcPr>
            <w:tcW w:w="436"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项目类型</w:t>
            </w:r>
          </w:p>
        </w:tc>
        <w:tc>
          <w:tcPr>
            <w:tcW w:w="994"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项目名称</w:t>
            </w:r>
          </w:p>
        </w:tc>
        <w:tc>
          <w:tcPr>
            <w:tcW w:w="436"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建设性质</w:t>
            </w:r>
          </w:p>
        </w:tc>
        <w:tc>
          <w:tcPr>
            <w:tcW w:w="436"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建设年限</w:t>
            </w:r>
          </w:p>
        </w:tc>
        <w:tc>
          <w:tcPr>
            <w:tcW w:w="768"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项目用地规模</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涉及村</w:t>
            </w:r>
          </w:p>
        </w:tc>
        <w:tc>
          <w:tcPr>
            <w:tcW w:w="461"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备注</w:t>
            </w:r>
          </w:p>
        </w:tc>
      </w:tr>
      <w:tr>
        <w:tblPrEx>
          <w:tblCellMar>
            <w:top w:w="15" w:type="dxa"/>
            <w:left w:w="108" w:type="dxa"/>
            <w:bottom w:w="15" w:type="dxa"/>
            <w:right w:w="108" w:type="dxa"/>
          </w:tblCellMar>
        </w:tblPrEx>
        <w:trPr>
          <w:trHeight w:val="312"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9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44"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其中新增建设用地</w:t>
            </w:r>
          </w:p>
        </w:tc>
        <w:tc>
          <w:tcPr>
            <w:tcW w:w="324"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其中占耕地</w:t>
            </w: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15" w:type="dxa"/>
            <w:left w:w="108" w:type="dxa"/>
            <w:bottom w:w="15" w:type="dxa"/>
            <w:right w:w="108" w:type="dxa"/>
          </w:tblCellMar>
        </w:tblPrEx>
        <w:trPr>
          <w:trHeight w:val="312"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9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4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2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15" w:type="dxa"/>
            <w:left w:w="108" w:type="dxa"/>
            <w:bottom w:w="15" w:type="dxa"/>
            <w:right w:w="108" w:type="dxa"/>
          </w:tblCellMar>
        </w:tblPrEx>
        <w:trPr>
          <w:trHeight w:val="450" w:hRule="atLeast"/>
        </w:trPr>
        <w:tc>
          <w:tcPr>
            <w:tcW w:w="436" w:type="pct"/>
            <w:vMerge w:val="restart"/>
            <w:tcBorders>
              <w:top w:val="single" w:color="auto" w:sz="4" w:space="0"/>
              <w:left w:val="single" w:color="auto" w:sz="4" w:space="0"/>
              <w:bottom w:val="nil"/>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1、能源</w:t>
            </w: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老木孔枢纽（岷江航电综合开发）</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restart"/>
            <w:tcBorders>
              <w:top w:val="single" w:color="auto" w:sz="4" w:space="0"/>
              <w:left w:val="single" w:color="auto" w:sz="4" w:space="0"/>
              <w:bottom w:val="nil"/>
              <w:right w:val="single" w:color="auto" w:sz="4" w:space="0"/>
            </w:tcBorders>
            <w:vAlign w:val="center"/>
          </w:tcPr>
          <w:p>
            <w:pPr>
              <w:widowControl/>
              <w:jc w:val="center"/>
              <w:rPr>
                <w:rFonts w:ascii="Times New Roman" w:hAnsi="Times New Roman" w:eastAsia="等线"/>
                <w:color w:val="000000"/>
                <w:kern w:val="0"/>
                <w:sz w:val="18"/>
                <w:szCs w:val="18"/>
              </w:rPr>
            </w:pPr>
          </w:p>
        </w:tc>
        <w:tc>
          <w:tcPr>
            <w:tcW w:w="324" w:type="pct"/>
            <w:vMerge w:val="restart"/>
            <w:tcBorders>
              <w:top w:val="single" w:color="auto" w:sz="4" w:space="0"/>
              <w:left w:val="single" w:color="auto" w:sz="4" w:space="0"/>
              <w:bottom w:val="nil"/>
              <w:right w:val="single" w:color="auto" w:sz="4" w:space="0"/>
            </w:tcBorders>
            <w:noWrap/>
            <w:vAlign w:val="center"/>
          </w:tcPr>
          <w:p>
            <w:pPr>
              <w:widowControl/>
              <w:jc w:val="center"/>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大兴庙村、天池村、青乐村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省级重点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青龙电业</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青乐村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436"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2、交通</w:t>
            </w: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乐山机场</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龙埂村、双河村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国家级重点</w:t>
            </w:r>
          </w:p>
        </w:tc>
      </w:tr>
      <w:tr>
        <w:tblPrEx>
          <w:tblCellMar>
            <w:top w:w="15" w:type="dxa"/>
            <w:left w:w="108" w:type="dxa"/>
            <w:bottom w:w="15" w:type="dxa"/>
            <w:right w:w="108" w:type="dxa"/>
          </w:tblCellMar>
        </w:tblPrEx>
        <w:trPr>
          <w:trHeight w:val="450"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五通港区建设（岷江航电综合开发）</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大兴庙村、天池村、青乐村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省级重点</w:t>
            </w:r>
          </w:p>
        </w:tc>
      </w:tr>
      <w:tr>
        <w:tblPrEx>
          <w:tblCellMar>
            <w:top w:w="15" w:type="dxa"/>
            <w:left w:w="108" w:type="dxa"/>
            <w:bottom w:w="15" w:type="dxa"/>
            <w:right w:w="108" w:type="dxa"/>
          </w:tblCellMar>
        </w:tblPrEx>
        <w:trPr>
          <w:trHeight w:val="43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乐山港（老江坝作业区）</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大兴庙村、天池村、青乐村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省级重点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县道拓宽</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改建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　</w:t>
            </w:r>
          </w:p>
        </w:tc>
      </w:tr>
      <w:tr>
        <w:tblPrEx>
          <w:tblCellMar>
            <w:top w:w="15" w:type="dxa"/>
            <w:left w:w="108" w:type="dxa"/>
            <w:bottom w:w="15" w:type="dxa"/>
            <w:right w:w="108" w:type="dxa"/>
          </w:tblCellMar>
        </w:tblPrEx>
        <w:trPr>
          <w:trHeight w:val="67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成昆新建双线</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河桥村、黄益塘村、龙埂村、麦子坳村徐坝村、鸭口山村、诸益村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省级重点</w:t>
            </w:r>
          </w:p>
        </w:tc>
      </w:tr>
      <w:tr>
        <w:tblPrEx>
          <w:tblCellMar>
            <w:top w:w="15" w:type="dxa"/>
            <w:left w:w="108" w:type="dxa"/>
            <w:bottom w:w="15" w:type="dxa"/>
            <w:right w:w="108" w:type="dxa"/>
          </w:tblCellMar>
        </w:tblPrEx>
        <w:trPr>
          <w:trHeight w:val="67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成贵铁路（乐山至贵阳段）</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河桥村、黄益塘村、龙埂村、麦子坳村、神佛村、挖断山村、徐坝村、鸭口山村、诸益村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灾后重建</w:t>
            </w:r>
          </w:p>
        </w:tc>
      </w:tr>
      <w:tr>
        <w:tblPrEx>
          <w:tblCellMar>
            <w:top w:w="15" w:type="dxa"/>
            <w:left w:w="108" w:type="dxa"/>
            <w:bottom w:w="15" w:type="dxa"/>
            <w:right w:w="108" w:type="dxa"/>
          </w:tblCellMar>
        </w:tblPrEx>
        <w:trPr>
          <w:trHeight w:val="67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进港铁路</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荣丰村、兴福村、石子埂村、新街口村、尚村、冠英社区、许村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67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乐宜高速</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黄益塘村、龙埂村、麦子坳村、神佛村、挖断山村、徐坝村、鸭口山村、诸益村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省级重点</w:t>
            </w:r>
          </w:p>
        </w:tc>
      </w:tr>
      <w:tr>
        <w:tblPrEx>
          <w:tblCellMar>
            <w:top w:w="15" w:type="dxa"/>
            <w:left w:w="108" w:type="dxa"/>
            <w:bottom w:w="15" w:type="dxa"/>
            <w:right w:w="108" w:type="dxa"/>
          </w:tblCellMar>
        </w:tblPrEx>
        <w:trPr>
          <w:trHeight w:val="67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工业园区进港连接线</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荣丰村、兴福村、石子埂村、新街口村、尚村、冠英社区、许村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450"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乐山港进港大件公路</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黄益塘村、石子埂村、兴福村、章庙村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450"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乐宜高速五通连接线</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黄益塘村、龙埂村、麦子坳村、神佛村、挖断山村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450"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沙（湾）五（通）公路工程</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双龙庵村、诸益村、龙埂村、许村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农村公路项目</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改扩建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城市道路改扩建</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改建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新街口村、尚村、冠英社区</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新建地方铁路连界至乐山线</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在建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麦子坳村、荣丰村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省重点</w:t>
            </w:r>
          </w:p>
        </w:tc>
      </w:tr>
      <w:tr>
        <w:tblPrEx>
          <w:tblCellMar>
            <w:top w:w="15" w:type="dxa"/>
            <w:left w:w="108" w:type="dxa"/>
            <w:bottom w:w="15" w:type="dxa"/>
            <w:right w:w="108" w:type="dxa"/>
          </w:tblCellMar>
        </w:tblPrEx>
        <w:trPr>
          <w:trHeight w:val="450"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省道215线大件过境公路</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黄益塘村、石子埂村、兴福村、章庙村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450" w:hRule="atLeast"/>
        </w:trPr>
        <w:tc>
          <w:tcPr>
            <w:tcW w:w="436"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3、水利</w:t>
            </w: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泊滩堰罐区河湖水系连通工程（三江临港段）</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岷江干流乐山段防洪工程</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马桑村、天池村、青乐村、大兴庙村、河桥村、徐坝村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中小河流治理工程</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小型水库工程</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450"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中小型已成灌区续建配套与节水改造工程</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病险水库除险加固工程</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农村饮水安全工程</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w:t>
            </w:r>
          </w:p>
        </w:tc>
      </w:tr>
      <w:tr>
        <w:tblPrEx>
          <w:tblCellMar>
            <w:top w:w="15" w:type="dxa"/>
            <w:left w:w="108" w:type="dxa"/>
            <w:bottom w:w="15" w:type="dxa"/>
            <w:right w:w="108" w:type="dxa"/>
          </w:tblCellMar>
        </w:tblPrEx>
        <w:trPr>
          <w:trHeight w:val="285" w:hRule="atLeast"/>
        </w:trPr>
        <w:tc>
          <w:tcPr>
            <w:tcW w:w="436"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4、电力</w:t>
            </w: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220kv</w:t>
            </w:r>
            <w:r>
              <w:rPr>
                <w:rFonts w:ascii="宋体" w:hAnsi="宋体"/>
                <w:color w:val="000000"/>
                <w:kern w:val="0"/>
                <w:sz w:val="18"/>
                <w:szCs w:val="18"/>
              </w:rPr>
              <w:t>输变电工程</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荣丰村、兴福村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110kv</w:t>
            </w:r>
            <w:r>
              <w:rPr>
                <w:rFonts w:ascii="宋体" w:hAnsi="宋体"/>
                <w:color w:val="000000"/>
                <w:kern w:val="0"/>
                <w:sz w:val="18"/>
                <w:szCs w:val="18"/>
              </w:rPr>
              <w:t>输变电工程</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荣丰村、兴福村、新街口村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450"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35kv</w:t>
            </w:r>
            <w:r>
              <w:rPr>
                <w:rFonts w:ascii="宋体" w:hAnsi="宋体"/>
                <w:color w:val="000000"/>
                <w:kern w:val="0"/>
                <w:sz w:val="18"/>
                <w:szCs w:val="18"/>
              </w:rPr>
              <w:t>变电扩建工程</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荣丰村、兴福村、石子埂村、新街口村、尚村、冠英社区</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区级重点　</w:t>
            </w:r>
          </w:p>
        </w:tc>
      </w:tr>
      <w:tr>
        <w:tblPrEx>
          <w:tblCellMar>
            <w:top w:w="15" w:type="dxa"/>
            <w:left w:w="108" w:type="dxa"/>
            <w:bottom w:w="15" w:type="dxa"/>
            <w:right w:w="108" w:type="dxa"/>
          </w:tblCellMar>
        </w:tblPrEx>
        <w:trPr>
          <w:trHeight w:val="285" w:hRule="atLeast"/>
        </w:trPr>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5、旅游</w:t>
            </w: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冠英湿地公园建设</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青乐村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436"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6、其他</w:t>
            </w: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加气站及输气管道</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加油站及输油管道</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自来水厂及供水管网工程</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污水处理厂（站）及管网设施</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垃圾处理厂（站）</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通讯电缆工程</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殡葬项目</w:t>
            </w:r>
          </w:p>
        </w:tc>
        <w:tc>
          <w:tcPr>
            <w:tcW w:w="43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color w:val="000000"/>
                <w:kern w:val="0"/>
                <w:sz w:val="18"/>
                <w:szCs w:val="18"/>
              </w:rPr>
            </w:pPr>
            <w:r>
              <w:rPr>
                <w:rFonts w:ascii="Times New Roman" w:hAnsi="Times New Roman" w:eastAsia="等线"/>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市级重点</w:t>
            </w:r>
          </w:p>
        </w:tc>
      </w:tr>
      <w:tr>
        <w:tblPrEx>
          <w:tblCellMar>
            <w:top w:w="15" w:type="dxa"/>
            <w:left w:w="108" w:type="dxa"/>
            <w:bottom w:w="15" w:type="dxa"/>
            <w:right w:w="108" w:type="dxa"/>
          </w:tblCellMar>
        </w:tblPrEx>
        <w:trPr>
          <w:trHeight w:val="28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9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宗教用地</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新建</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2017-2020</w:t>
            </w:r>
          </w:p>
        </w:tc>
        <w:tc>
          <w:tcPr>
            <w:tcW w:w="44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等线"/>
                <w:color w:val="000000"/>
                <w:kern w:val="0"/>
                <w:sz w:val="18"/>
                <w:szCs w:val="18"/>
              </w:rPr>
            </w:pPr>
          </w:p>
        </w:tc>
        <w:tc>
          <w:tcPr>
            <w:tcW w:w="324" w:type="pct"/>
            <w:vMerge w:val="continue"/>
            <w:tcBorders>
              <w:top w:val="single" w:color="auto" w:sz="4" w:space="0"/>
              <w:left w:val="single" w:color="auto" w:sz="4" w:space="0"/>
              <w:bottom w:val="nil"/>
              <w:right w:val="single" w:color="auto" w:sz="4" w:space="0"/>
            </w:tcBorders>
            <w:vAlign w:val="center"/>
          </w:tcPr>
          <w:p>
            <w:pPr>
              <w:widowControl/>
              <w:jc w:val="left"/>
              <w:rPr>
                <w:rFonts w:ascii="Times New Roman" w:hAnsi="Times New Roman" w:eastAsia="Times New Roman"/>
                <w:kern w:val="0"/>
                <w:sz w:val="20"/>
                <w:szCs w:val="20"/>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各村</w:t>
            </w: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区级重点　</w:t>
            </w:r>
          </w:p>
        </w:tc>
      </w:tr>
      <w:tr>
        <w:tblPrEx>
          <w:tblCellMar>
            <w:top w:w="15" w:type="dxa"/>
            <w:left w:w="108" w:type="dxa"/>
            <w:bottom w:w="15" w:type="dxa"/>
            <w:right w:w="108" w:type="dxa"/>
          </w:tblCellMar>
        </w:tblPrEx>
        <w:trPr>
          <w:trHeight w:val="315" w:hRule="atLeast"/>
        </w:trPr>
        <w:tc>
          <w:tcPr>
            <w:tcW w:w="1867" w:type="pct"/>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color w:val="000000"/>
                <w:kern w:val="0"/>
                <w:sz w:val="24"/>
                <w:szCs w:val="24"/>
              </w:rPr>
            </w:pPr>
            <w:r>
              <w:rPr>
                <w:rFonts w:hint="eastAsia" w:ascii="宋体" w:hAnsi="宋体" w:cs="宋体"/>
                <w:b/>
                <w:bCs/>
                <w:color w:val="000000"/>
                <w:kern w:val="0"/>
                <w:sz w:val="24"/>
                <w:szCs w:val="24"/>
              </w:rPr>
              <w:t>合计</w:t>
            </w:r>
          </w:p>
        </w:tc>
        <w:tc>
          <w:tcPr>
            <w:tcW w:w="43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4"/>
                <w:szCs w:val="24"/>
              </w:rPr>
            </w:pPr>
          </w:p>
        </w:tc>
        <w:tc>
          <w:tcPr>
            <w:tcW w:w="44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b/>
                <w:bCs/>
                <w:color w:val="000000"/>
                <w:kern w:val="0"/>
                <w:sz w:val="24"/>
                <w:szCs w:val="24"/>
              </w:rPr>
            </w:pPr>
            <w:r>
              <w:rPr>
                <w:rFonts w:ascii="Times New Roman" w:hAnsi="Times New Roman" w:eastAsia="等线"/>
                <w:b/>
                <w:bCs/>
                <w:color w:val="000000"/>
                <w:kern w:val="0"/>
                <w:sz w:val="24"/>
                <w:szCs w:val="24"/>
              </w:rPr>
              <w:t>6.35</w:t>
            </w:r>
          </w:p>
        </w:tc>
        <w:tc>
          <w:tcPr>
            <w:tcW w:w="32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等线"/>
                <w:b/>
                <w:bCs/>
                <w:color w:val="000000"/>
                <w:kern w:val="0"/>
                <w:sz w:val="24"/>
                <w:szCs w:val="24"/>
              </w:rPr>
            </w:pPr>
            <w:r>
              <w:rPr>
                <w:rFonts w:ascii="Times New Roman" w:hAnsi="Times New Roman" w:eastAsia="等线"/>
                <w:b/>
                <w:bCs/>
                <w:color w:val="000000"/>
                <w:kern w:val="0"/>
                <w:sz w:val="24"/>
                <w:szCs w:val="24"/>
              </w:rPr>
              <w:t>4</w:t>
            </w:r>
          </w:p>
        </w:tc>
        <w:tc>
          <w:tcPr>
            <w:tcW w:w="146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eastAsia="等线"/>
                <w:b/>
                <w:bCs/>
                <w:color w:val="000000"/>
                <w:kern w:val="0"/>
                <w:sz w:val="24"/>
                <w:szCs w:val="24"/>
              </w:rPr>
            </w:pPr>
          </w:p>
        </w:tc>
        <w:tc>
          <w:tcPr>
            <w:tcW w:w="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Times New Roman"/>
                <w:kern w:val="0"/>
                <w:sz w:val="20"/>
                <w:szCs w:val="20"/>
              </w:rPr>
            </w:pPr>
          </w:p>
        </w:tc>
      </w:tr>
    </w:tbl>
    <w:p>
      <w:pPr>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Cs w:val="30"/>
        </w:rPr>
      </w:pPr>
      <w:bookmarkStart w:id="146" w:name="_Toc486428885"/>
      <w:r>
        <w:rPr>
          <w:rFonts w:hint="eastAsia" w:ascii="仿宋_GB2312" w:hAnsi="宋体"/>
          <w:bCs w:val="0"/>
          <w:color w:val="000000"/>
          <w:sz w:val="28"/>
          <w:szCs w:val="28"/>
        </w:rPr>
        <w:t>附表六  冠英镇各村规划控制指标表</w:t>
      </w:r>
      <w:bookmarkEnd w:id="146"/>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5000" w:type="pct"/>
        <w:tblInd w:w="0" w:type="dxa"/>
        <w:tblLayout w:type="autofit"/>
        <w:tblCellMar>
          <w:top w:w="15" w:type="dxa"/>
          <w:left w:w="108" w:type="dxa"/>
          <w:bottom w:w="15" w:type="dxa"/>
          <w:right w:w="108" w:type="dxa"/>
        </w:tblCellMar>
      </w:tblPr>
      <w:tblGrid>
        <w:gridCol w:w="1316"/>
        <w:gridCol w:w="844"/>
        <w:gridCol w:w="844"/>
        <w:gridCol w:w="728"/>
        <w:gridCol w:w="728"/>
        <w:gridCol w:w="426"/>
        <w:gridCol w:w="845"/>
        <w:gridCol w:w="845"/>
        <w:gridCol w:w="845"/>
        <w:gridCol w:w="845"/>
        <w:gridCol w:w="1267"/>
        <w:gridCol w:w="1151"/>
        <w:gridCol w:w="1151"/>
        <w:gridCol w:w="1497"/>
        <w:gridCol w:w="842"/>
      </w:tblGrid>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乡(镇)名称</w:t>
            </w:r>
          </w:p>
        </w:tc>
        <w:tc>
          <w:tcPr>
            <w:tcW w:w="2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耕地保有量</w:t>
            </w:r>
          </w:p>
        </w:tc>
        <w:tc>
          <w:tcPr>
            <w:tcW w:w="2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基本农田保护面积</w:t>
            </w:r>
          </w:p>
        </w:tc>
        <w:tc>
          <w:tcPr>
            <w:tcW w:w="25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园地</w:t>
            </w:r>
          </w:p>
        </w:tc>
        <w:tc>
          <w:tcPr>
            <w:tcW w:w="25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林地</w:t>
            </w:r>
          </w:p>
        </w:tc>
        <w:tc>
          <w:tcPr>
            <w:tcW w:w="1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牧草地</w:t>
            </w:r>
          </w:p>
        </w:tc>
        <w:tc>
          <w:tcPr>
            <w:tcW w:w="2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建设用地总规模</w:t>
            </w:r>
          </w:p>
        </w:tc>
        <w:tc>
          <w:tcPr>
            <w:tcW w:w="2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城乡建设用地规模</w:t>
            </w:r>
          </w:p>
        </w:tc>
        <w:tc>
          <w:tcPr>
            <w:tcW w:w="2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城镇工矿规模</w:t>
            </w:r>
          </w:p>
        </w:tc>
        <w:tc>
          <w:tcPr>
            <w:tcW w:w="2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新增建设用地</w:t>
            </w:r>
          </w:p>
        </w:tc>
        <w:tc>
          <w:tcPr>
            <w:tcW w:w="44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新增建设占用农用地规模</w:t>
            </w:r>
          </w:p>
        </w:tc>
        <w:tc>
          <w:tcPr>
            <w:tcW w:w="4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新增建设占用耕地规模</w:t>
            </w:r>
          </w:p>
        </w:tc>
        <w:tc>
          <w:tcPr>
            <w:tcW w:w="40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土地整治补充耕地规模</w:t>
            </w:r>
          </w:p>
        </w:tc>
        <w:tc>
          <w:tcPr>
            <w:tcW w:w="52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人均城镇工矿用地（m2/人）</w:t>
            </w:r>
          </w:p>
        </w:tc>
        <w:tc>
          <w:tcPr>
            <w:tcW w:w="2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建设用地净增量</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冠英镇社区</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0.5</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0.06</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45.34</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45.34</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45.29</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青乐村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85.28</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6.8</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13.44</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18.42</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18.42</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2.97</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天池村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92.4</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10.76</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5.26</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44.58</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43.01</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15.48</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马桑村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74.03</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12</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3.86</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73.33</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29.04</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1.91</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荣丰村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55.19</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3.15</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45.96</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38.72</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256.47</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226.52</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150.26</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123.51</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121.29</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93.56</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123.51</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麦子坳村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121.28</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93.9</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36.77</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87.45</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19.57</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11.07</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0.06</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11.03</w:t>
            </w: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鸭口山村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128.19</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112.78</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16.88</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93.41</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27.97</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11.78</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12.56</w:t>
            </w: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黄益塘村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157.22</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96.93</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20.09</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62.25</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37.89</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18.72</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0.78</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2.28</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2.28</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2.28</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14.5</w:t>
            </w: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2.28</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兴福村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20.51</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0.3</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1.9</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6.55</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75.23</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70.34</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55.24</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22.69</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22.01</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19.62</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22.69</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石子埂村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49.48</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1.12</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2.04</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172.95</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135.14</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102.34</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57.36</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56.52</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51.5</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57.36</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新街口村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31.52</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1.06</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3.33</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27.08</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20.05</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10.97</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5.39</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5.39</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4.45</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5.39</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大兴庙村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93.56</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23.79</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6.73</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40.75</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22.94</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2.39</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徐坝村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120.09</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2.18</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1.38</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34.86</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22.05</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河桥村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127.82</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41.88</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20.62</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45.59</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22.12</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1.74</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挖断山村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126.14</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77.47</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6.02</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28.77</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34.36</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23.79</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1.18</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0.04</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0.04</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0.04</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5.82</w:t>
            </w: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0.04</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许村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81.69</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2.58</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0.87</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22.56</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27.33</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26</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2.99</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1</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1</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尚村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119.94</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2.54</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2.65</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10.63</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86.13</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75.08</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38.14</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9.88</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9.82</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9.31</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r>
              <w:t>120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9.88</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章庙村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57.57</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120.11</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76.89</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42.91</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11.08</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9.53</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1.55</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1.55</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1.55</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4.28</w:t>
            </w: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1.55</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双龙庵村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135.98</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140.15</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18.6</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31.43</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17.43</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17.43</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11.45</w:t>
            </w: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诸益村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161.94</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129.99</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8.97</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25.19</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32.62</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23.16</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17.45</w:t>
            </w: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龙埂村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100.89</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94.1</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5.94</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19.86</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19.21</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15.54</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9.08</w:t>
            </w: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双河村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142.45</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125.35</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5.41</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61.17</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14.79</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14.04</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12.95</w:t>
            </w: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仙女井村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214.64</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206.27</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15.29</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79.96</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20.69</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19.68</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15.88</w:t>
            </w: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r>
      <w:tr>
        <w:tblPrEx>
          <w:tblCellMar>
            <w:top w:w="15" w:type="dxa"/>
            <w:left w:w="108" w:type="dxa"/>
            <w:bottom w:w="15" w:type="dxa"/>
            <w:right w:w="108" w:type="dxa"/>
          </w:tblCellMar>
        </w:tblPrEx>
        <w:trPr>
          <w:trHeight w:val="285" w:hRule="atLeast"/>
        </w:trPr>
        <w:tc>
          <w:tcPr>
            <w:tcW w:w="464" w:type="pct"/>
            <w:tcBorders>
              <w:top w:val="single" w:color="auto" w:sz="4" w:space="0"/>
              <w:left w:val="single" w:color="auto" w:sz="4" w:space="0"/>
              <w:bottom w:val="single" w:color="auto" w:sz="4" w:space="0"/>
              <w:right w:val="single" w:color="auto" w:sz="4" w:space="0"/>
            </w:tcBorders>
            <w:noWrap/>
            <w:vAlign w:val="bottom"/>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神佛村</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148.83</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99.38</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33.57</w:t>
            </w:r>
          </w:p>
        </w:tc>
        <w:tc>
          <w:tcPr>
            <w:tcW w:w="257" w:type="pct"/>
            <w:tcBorders>
              <w:top w:val="single" w:color="auto" w:sz="4" w:space="0"/>
              <w:left w:val="single" w:color="auto" w:sz="4" w:space="0"/>
              <w:bottom w:val="single" w:color="auto" w:sz="4" w:space="0"/>
              <w:right w:val="single" w:color="auto" w:sz="4" w:space="0"/>
            </w:tcBorders>
            <w:noWrap/>
            <w:vAlign w:val="center"/>
          </w:tcPr>
          <w:p>
            <w:pPr>
              <w:jc w:val="center"/>
            </w:pPr>
            <w:r>
              <w:t>59.49</w:t>
            </w:r>
          </w:p>
        </w:tc>
        <w:tc>
          <w:tcPr>
            <w:tcW w:w="150"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27.06</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15.21</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47"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c>
          <w:tcPr>
            <w:tcW w:w="406"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528" w:type="pct"/>
            <w:tcBorders>
              <w:top w:val="single" w:color="auto" w:sz="4" w:space="0"/>
              <w:left w:val="single" w:color="auto" w:sz="4" w:space="0"/>
              <w:bottom w:val="single" w:color="auto" w:sz="4" w:space="0"/>
              <w:right w:val="single" w:color="auto" w:sz="4" w:space="0"/>
            </w:tcBorders>
            <w:noWrap/>
            <w:vAlign w:val="center"/>
          </w:tcPr>
          <w:p>
            <w:pPr>
              <w:jc w:val="center"/>
            </w:pPr>
          </w:p>
        </w:tc>
        <w:tc>
          <w:tcPr>
            <w:tcW w:w="298" w:type="pct"/>
            <w:tcBorders>
              <w:top w:val="single" w:color="auto" w:sz="4" w:space="0"/>
              <w:left w:val="single" w:color="auto" w:sz="4" w:space="0"/>
              <w:bottom w:val="single" w:color="auto" w:sz="4" w:space="0"/>
              <w:right w:val="single" w:color="auto" w:sz="4" w:space="0"/>
            </w:tcBorders>
            <w:noWrap/>
            <w:vAlign w:val="center"/>
          </w:tcPr>
          <w:p>
            <w:pPr>
              <w:jc w:val="center"/>
            </w:pPr>
            <w:r>
              <w:t>0</w:t>
            </w:r>
          </w:p>
        </w:tc>
      </w:tr>
    </w:tbl>
    <w:p>
      <w:pPr>
        <w:rPr>
          <w:rFonts w:ascii="仿宋_GB2312" w:hAnsi="宋体" w:eastAsia="仿宋_GB2312"/>
          <w:sz w:val="28"/>
          <w:szCs w:val="28"/>
        </w:rPr>
      </w:pPr>
    </w:p>
    <w:sectPr>
      <w:type w:val="oddPage"/>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9293112"/>
      <w:docPartObj>
        <w:docPartGallery w:val="AutoText"/>
      </w:docPartObj>
    </w:sdtPr>
    <w:sdtContent>
      <w:p>
        <w:pPr>
          <w:pStyle w:val="9"/>
          <w:jc w:val="center"/>
        </w:pP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2370515"/>
      <w:docPartObj>
        <w:docPartGallery w:val="AutoText"/>
      </w:docPartObj>
    </w:sdtPr>
    <w:sdtContent>
      <w:p>
        <w:pPr>
          <w:pStyle w:val="9"/>
          <w:jc w:val="center"/>
        </w:pPr>
        <w:r>
          <w:fldChar w:fldCharType="begin"/>
        </w:r>
        <w:r>
          <w:instrText xml:space="preserve">PAGE   \* MERGEFORMAT</w:instrText>
        </w:r>
        <w:r>
          <w:fldChar w:fldCharType="separate"/>
        </w:r>
        <w:r>
          <w:rPr>
            <w:lang w:val="zh-CN"/>
          </w:rPr>
          <w:t>40</w:t>
        </w:r>
        <w:r>
          <w:fldChar w:fldCharType="end"/>
        </w: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8650B"/>
    <w:rsid w:val="000003CD"/>
    <w:rsid w:val="00001B11"/>
    <w:rsid w:val="000045A3"/>
    <w:rsid w:val="000132C7"/>
    <w:rsid w:val="000145EE"/>
    <w:rsid w:val="000159C7"/>
    <w:rsid w:val="000337AA"/>
    <w:rsid w:val="000464EC"/>
    <w:rsid w:val="000475DF"/>
    <w:rsid w:val="00062A3D"/>
    <w:rsid w:val="000641AB"/>
    <w:rsid w:val="00066D07"/>
    <w:rsid w:val="00067864"/>
    <w:rsid w:val="00067A95"/>
    <w:rsid w:val="00067B25"/>
    <w:rsid w:val="00071697"/>
    <w:rsid w:val="0008241B"/>
    <w:rsid w:val="000952B1"/>
    <w:rsid w:val="00095C05"/>
    <w:rsid w:val="00097192"/>
    <w:rsid w:val="000A716C"/>
    <w:rsid w:val="000B0AD7"/>
    <w:rsid w:val="000C0D26"/>
    <w:rsid w:val="000E0FC4"/>
    <w:rsid w:val="000F524E"/>
    <w:rsid w:val="000F6449"/>
    <w:rsid w:val="00100AB8"/>
    <w:rsid w:val="00103CB9"/>
    <w:rsid w:val="00106FB6"/>
    <w:rsid w:val="00112B25"/>
    <w:rsid w:val="00120121"/>
    <w:rsid w:val="00125B02"/>
    <w:rsid w:val="001262F0"/>
    <w:rsid w:val="00130A63"/>
    <w:rsid w:val="00160807"/>
    <w:rsid w:val="00164A25"/>
    <w:rsid w:val="001713FE"/>
    <w:rsid w:val="00193405"/>
    <w:rsid w:val="00194568"/>
    <w:rsid w:val="001963DA"/>
    <w:rsid w:val="001967E8"/>
    <w:rsid w:val="001B3C8A"/>
    <w:rsid w:val="001B3E3F"/>
    <w:rsid w:val="001B4200"/>
    <w:rsid w:val="001C30C9"/>
    <w:rsid w:val="001C438F"/>
    <w:rsid w:val="001D173B"/>
    <w:rsid w:val="001D488B"/>
    <w:rsid w:val="001F334C"/>
    <w:rsid w:val="001F33CF"/>
    <w:rsid w:val="002032AD"/>
    <w:rsid w:val="00204784"/>
    <w:rsid w:val="00211CBF"/>
    <w:rsid w:val="002133D2"/>
    <w:rsid w:val="0022524D"/>
    <w:rsid w:val="00236C45"/>
    <w:rsid w:val="00236FC5"/>
    <w:rsid w:val="00245001"/>
    <w:rsid w:val="0025730D"/>
    <w:rsid w:val="002770BE"/>
    <w:rsid w:val="00283D62"/>
    <w:rsid w:val="002847F9"/>
    <w:rsid w:val="00284997"/>
    <w:rsid w:val="00285CDD"/>
    <w:rsid w:val="002918EE"/>
    <w:rsid w:val="00293E13"/>
    <w:rsid w:val="00296A8C"/>
    <w:rsid w:val="002A0528"/>
    <w:rsid w:val="002A729E"/>
    <w:rsid w:val="002B0E4D"/>
    <w:rsid w:val="002B338B"/>
    <w:rsid w:val="002C17F4"/>
    <w:rsid w:val="002D05A2"/>
    <w:rsid w:val="002D6998"/>
    <w:rsid w:val="002E59CD"/>
    <w:rsid w:val="002E5E96"/>
    <w:rsid w:val="00307149"/>
    <w:rsid w:val="00315A99"/>
    <w:rsid w:val="0034660F"/>
    <w:rsid w:val="00354588"/>
    <w:rsid w:val="0035471D"/>
    <w:rsid w:val="0036199B"/>
    <w:rsid w:val="00367843"/>
    <w:rsid w:val="00375402"/>
    <w:rsid w:val="00381B74"/>
    <w:rsid w:val="003936DC"/>
    <w:rsid w:val="00395917"/>
    <w:rsid w:val="003B419F"/>
    <w:rsid w:val="003B451F"/>
    <w:rsid w:val="003B59A0"/>
    <w:rsid w:val="003B6EEF"/>
    <w:rsid w:val="003B711D"/>
    <w:rsid w:val="003C2833"/>
    <w:rsid w:val="003C68F7"/>
    <w:rsid w:val="003D628F"/>
    <w:rsid w:val="004269DD"/>
    <w:rsid w:val="004311E0"/>
    <w:rsid w:val="0043284E"/>
    <w:rsid w:val="00441F47"/>
    <w:rsid w:val="00463BA5"/>
    <w:rsid w:val="00472031"/>
    <w:rsid w:val="00473C3E"/>
    <w:rsid w:val="00486207"/>
    <w:rsid w:val="0049274B"/>
    <w:rsid w:val="0049528C"/>
    <w:rsid w:val="004A1386"/>
    <w:rsid w:val="004A1E62"/>
    <w:rsid w:val="004A1EE3"/>
    <w:rsid w:val="004C46CE"/>
    <w:rsid w:val="004E0EB4"/>
    <w:rsid w:val="00512CB8"/>
    <w:rsid w:val="005131F0"/>
    <w:rsid w:val="00525562"/>
    <w:rsid w:val="0052623F"/>
    <w:rsid w:val="00534106"/>
    <w:rsid w:val="0053603D"/>
    <w:rsid w:val="00550032"/>
    <w:rsid w:val="00566A9F"/>
    <w:rsid w:val="00573E7D"/>
    <w:rsid w:val="0058060C"/>
    <w:rsid w:val="00590AFB"/>
    <w:rsid w:val="00591076"/>
    <w:rsid w:val="005977CB"/>
    <w:rsid w:val="005A5127"/>
    <w:rsid w:val="005A7809"/>
    <w:rsid w:val="005B00CF"/>
    <w:rsid w:val="005B5824"/>
    <w:rsid w:val="005B626A"/>
    <w:rsid w:val="005C689E"/>
    <w:rsid w:val="005D55DD"/>
    <w:rsid w:val="005D6F27"/>
    <w:rsid w:val="005E5D02"/>
    <w:rsid w:val="005E7DF3"/>
    <w:rsid w:val="005E7FA4"/>
    <w:rsid w:val="005F0949"/>
    <w:rsid w:val="005F24A5"/>
    <w:rsid w:val="005F33A6"/>
    <w:rsid w:val="005F6211"/>
    <w:rsid w:val="00605035"/>
    <w:rsid w:val="00613BE2"/>
    <w:rsid w:val="00614610"/>
    <w:rsid w:val="006173B3"/>
    <w:rsid w:val="006217FF"/>
    <w:rsid w:val="00624058"/>
    <w:rsid w:val="006358A6"/>
    <w:rsid w:val="006466D7"/>
    <w:rsid w:val="006702D2"/>
    <w:rsid w:val="00675A84"/>
    <w:rsid w:val="00675DDB"/>
    <w:rsid w:val="006817B5"/>
    <w:rsid w:val="00682E80"/>
    <w:rsid w:val="0068529A"/>
    <w:rsid w:val="006B21A2"/>
    <w:rsid w:val="006C1DFB"/>
    <w:rsid w:val="006C369C"/>
    <w:rsid w:val="006C44B8"/>
    <w:rsid w:val="006D4F2F"/>
    <w:rsid w:val="006D6530"/>
    <w:rsid w:val="006E4DDE"/>
    <w:rsid w:val="006E6371"/>
    <w:rsid w:val="006F5E8A"/>
    <w:rsid w:val="006F67BE"/>
    <w:rsid w:val="006F74B5"/>
    <w:rsid w:val="007044B3"/>
    <w:rsid w:val="0070567C"/>
    <w:rsid w:val="0071110B"/>
    <w:rsid w:val="00717214"/>
    <w:rsid w:val="007334C3"/>
    <w:rsid w:val="00734D5F"/>
    <w:rsid w:val="00737BC0"/>
    <w:rsid w:val="0074007E"/>
    <w:rsid w:val="00743988"/>
    <w:rsid w:val="00745D41"/>
    <w:rsid w:val="007505BD"/>
    <w:rsid w:val="00757A35"/>
    <w:rsid w:val="00763F09"/>
    <w:rsid w:val="0076750F"/>
    <w:rsid w:val="007677CA"/>
    <w:rsid w:val="00772819"/>
    <w:rsid w:val="00780010"/>
    <w:rsid w:val="00792556"/>
    <w:rsid w:val="00793262"/>
    <w:rsid w:val="0079435E"/>
    <w:rsid w:val="007951D8"/>
    <w:rsid w:val="007A2212"/>
    <w:rsid w:val="007A50F0"/>
    <w:rsid w:val="007B5CF9"/>
    <w:rsid w:val="007C08D0"/>
    <w:rsid w:val="007C24D2"/>
    <w:rsid w:val="007C6254"/>
    <w:rsid w:val="007D2807"/>
    <w:rsid w:val="007D2894"/>
    <w:rsid w:val="007D36C0"/>
    <w:rsid w:val="007F542E"/>
    <w:rsid w:val="007F72D9"/>
    <w:rsid w:val="008031F5"/>
    <w:rsid w:val="0080619F"/>
    <w:rsid w:val="008170DA"/>
    <w:rsid w:val="008316C1"/>
    <w:rsid w:val="00833865"/>
    <w:rsid w:val="0087196F"/>
    <w:rsid w:val="00880BBA"/>
    <w:rsid w:val="0088650B"/>
    <w:rsid w:val="00897487"/>
    <w:rsid w:val="008A3239"/>
    <w:rsid w:val="008A504D"/>
    <w:rsid w:val="008D6046"/>
    <w:rsid w:val="008F348D"/>
    <w:rsid w:val="008F4638"/>
    <w:rsid w:val="008F5242"/>
    <w:rsid w:val="008F68D7"/>
    <w:rsid w:val="009012F5"/>
    <w:rsid w:val="009029D8"/>
    <w:rsid w:val="0090374B"/>
    <w:rsid w:val="009175DA"/>
    <w:rsid w:val="009560FB"/>
    <w:rsid w:val="00973488"/>
    <w:rsid w:val="00974C7B"/>
    <w:rsid w:val="00974E2B"/>
    <w:rsid w:val="009754F9"/>
    <w:rsid w:val="00981187"/>
    <w:rsid w:val="009811C4"/>
    <w:rsid w:val="0098500A"/>
    <w:rsid w:val="009871E6"/>
    <w:rsid w:val="00991402"/>
    <w:rsid w:val="009A7F8C"/>
    <w:rsid w:val="009B54AA"/>
    <w:rsid w:val="009B7849"/>
    <w:rsid w:val="009C0B96"/>
    <w:rsid w:val="009C2BFC"/>
    <w:rsid w:val="009C77E8"/>
    <w:rsid w:val="009D4619"/>
    <w:rsid w:val="009E19DB"/>
    <w:rsid w:val="009E49D3"/>
    <w:rsid w:val="009E4FC5"/>
    <w:rsid w:val="00A01039"/>
    <w:rsid w:val="00A054CC"/>
    <w:rsid w:val="00A06352"/>
    <w:rsid w:val="00A118AA"/>
    <w:rsid w:val="00A118B3"/>
    <w:rsid w:val="00A34C4A"/>
    <w:rsid w:val="00A41C59"/>
    <w:rsid w:val="00A534A1"/>
    <w:rsid w:val="00A56493"/>
    <w:rsid w:val="00A71245"/>
    <w:rsid w:val="00A871EB"/>
    <w:rsid w:val="00A9093C"/>
    <w:rsid w:val="00A961FE"/>
    <w:rsid w:val="00AA1EE1"/>
    <w:rsid w:val="00AA4C61"/>
    <w:rsid w:val="00AB01F4"/>
    <w:rsid w:val="00AB49D6"/>
    <w:rsid w:val="00AD2570"/>
    <w:rsid w:val="00AD317F"/>
    <w:rsid w:val="00B0280D"/>
    <w:rsid w:val="00B10842"/>
    <w:rsid w:val="00B15868"/>
    <w:rsid w:val="00B31571"/>
    <w:rsid w:val="00B344BC"/>
    <w:rsid w:val="00B37139"/>
    <w:rsid w:val="00B372DC"/>
    <w:rsid w:val="00B4223C"/>
    <w:rsid w:val="00B4479B"/>
    <w:rsid w:val="00B570BB"/>
    <w:rsid w:val="00B5718A"/>
    <w:rsid w:val="00B63C70"/>
    <w:rsid w:val="00B65473"/>
    <w:rsid w:val="00B7003D"/>
    <w:rsid w:val="00B70060"/>
    <w:rsid w:val="00B74A5B"/>
    <w:rsid w:val="00B76E43"/>
    <w:rsid w:val="00B772E5"/>
    <w:rsid w:val="00B913A0"/>
    <w:rsid w:val="00B955D3"/>
    <w:rsid w:val="00B96224"/>
    <w:rsid w:val="00BA5DA9"/>
    <w:rsid w:val="00BC0612"/>
    <w:rsid w:val="00BE33CC"/>
    <w:rsid w:val="00BF134F"/>
    <w:rsid w:val="00BF6C37"/>
    <w:rsid w:val="00C02B18"/>
    <w:rsid w:val="00C1579E"/>
    <w:rsid w:val="00C1723E"/>
    <w:rsid w:val="00C27DDC"/>
    <w:rsid w:val="00C37982"/>
    <w:rsid w:val="00C41B7B"/>
    <w:rsid w:val="00C44431"/>
    <w:rsid w:val="00C46CBF"/>
    <w:rsid w:val="00C526A0"/>
    <w:rsid w:val="00C63477"/>
    <w:rsid w:val="00C73B0F"/>
    <w:rsid w:val="00C939DC"/>
    <w:rsid w:val="00CA09E1"/>
    <w:rsid w:val="00CA5480"/>
    <w:rsid w:val="00CB0AB3"/>
    <w:rsid w:val="00CB3A15"/>
    <w:rsid w:val="00CC5E10"/>
    <w:rsid w:val="00CF2602"/>
    <w:rsid w:val="00D0128F"/>
    <w:rsid w:val="00D1476B"/>
    <w:rsid w:val="00D30213"/>
    <w:rsid w:val="00D34E54"/>
    <w:rsid w:val="00D43B52"/>
    <w:rsid w:val="00D4424A"/>
    <w:rsid w:val="00D46144"/>
    <w:rsid w:val="00D512BE"/>
    <w:rsid w:val="00D6066B"/>
    <w:rsid w:val="00D6066D"/>
    <w:rsid w:val="00D646AE"/>
    <w:rsid w:val="00D75D37"/>
    <w:rsid w:val="00D83BB4"/>
    <w:rsid w:val="00D841AC"/>
    <w:rsid w:val="00D8584F"/>
    <w:rsid w:val="00D86D98"/>
    <w:rsid w:val="00DA21AE"/>
    <w:rsid w:val="00DA287B"/>
    <w:rsid w:val="00DB5CD3"/>
    <w:rsid w:val="00DC0917"/>
    <w:rsid w:val="00DC5534"/>
    <w:rsid w:val="00DC5C10"/>
    <w:rsid w:val="00DC61B0"/>
    <w:rsid w:val="00DD26CF"/>
    <w:rsid w:val="00DD64A9"/>
    <w:rsid w:val="00DE33FA"/>
    <w:rsid w:val="00DF3311"/>
    <w:rsid w:val="00DF6099"/>
    <w:rsid w:val="00E16DD5"/>
    <w:rsid w:val="00E314CE"/>
    <w:rsid w:val="00E32FB2"/>
    <w:rsid w:val="00E50BB3"/>
    <w:rsid w:val="00E51995"/>
    <w:rsid w:val="00E61464"/>
    <w:rsid w:val="00E65951"/>
    <w:rsid w:val="00E67299"/>
    <w:rsid w:val="00E75BD8"/>
    <w:rsid w:val="00E75FDF"/>
    <w:rsid w:val="00E7636C"/>
    <w:rsid w:val="00E77E7E"/>
    <w:rsid w:val="00E846D3"/>
    <w:rsid w:val="00E85B98"/>
    <w:rsid w:val="00E911BE"/>
    <w:rsid w:val="00EA26C9"/>
    <w:rsid w:val="00EA5D56"/>
    <w:rsid w:val="00EB7AC2"/>
    <w:rsid w:val="00ED535D"/>
    <w:rsid w:val="00ED69EA"/>
    <w:rsid w:val="00EE497D"/>
    <w:rsid w:val="00EF2B86"/>
    <w:rsid w:val="00F05868"/>
    <w:rsid w:val="00F1376D"/>
    <w:rsid w:val="00F22945"/>
    <w:rsid w:val="00F5053E"/>
    <w:rsid w:val="00F51553"/>
    <w:rsid w:val="00F54AE9"/>
    <w:rsid w:val="00F55C5F"/>
    <w:rsid w:val="00F60C7A"/>
    <w:rsid w:val="00F749AB"/>
    <w:rsid w:val="00F81E66"/>
    <w:rsid w:val="00F971AA"/>
    <w:rsid w:val="00FB2B25"/>
    <w:rsid w:val="00FB4B60"/>
    <w:rsid w:val="00FB5D26"/>
    <w:rsid w:val="00FC5897"/>
    <w:rsid w:val="541B5F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
    <w:pPr>
      <w:keepNext/>
      <w:keepLines/>
      <w:spacing w:before="100" w:beforeAutospacing="1" w:after="100" w:afterAutospacing="1" w:line="578" w:lineRule="auto"/>
      <w:outlineLvl w:val="0"/>
    </w:pPr>
    <w:rPr>
      <w:rFonts w:eastAsia="仿宋_GB2312"/>
      <w:b/>
      <w:bCs/>
      <w:kern w:val="44"/>
      <w:sz w:val="32"/>
      <w:szCs w:val="44"/>
    </w:rPr>
  </w:style>
  <w:style w:type="paragraph" w:styleId="3">
    <w:name w:val="heading 2"/>
    <w:basedOn w:val="1"/>
    <w:next w:val="1"/>
    <w:link w:val="20"/>
    <w:unhideWhenUsed/>
    <w:qFormat/>
    <w:uiPriority w:val="9"/>
    <w:pPr>
      <w:keepNext/>
      <w:keepLines/>
      <w:spacing w:before="100" w:beforeAutospacing="1" w:after="100" w:afterAutospacing="1" w:line="415" w:lineRule="auto"/>
      <w:outlineLvl w:val="1"/>
    </w:pPr>
    <w:rPr>
      <w:rFonts w:eastAsia="仿宋_GB2312" w:asciiTheme="majorHAnsi" w:hAnsiTheme="majorHAnsi" w:cstheme="majorBidi"/>
      <w:b/>
      <w:bCs/>
      <w:sz w:val="30"/>
      <w:szCs w:val="32"/>
    </w:rPr>
  </w:style>
  <w:style w:type="paragraph" w:styleId="4">
    <w:name w:val="heading 3"/>
    <w:basedOn w:val="1"/>
    <w:next w:val="1"/>
    <w:link w:val="29"/>
    <w:unhideWhenUsed/>
    <w:qFormat/>
    <w:uiPriority w:val="9"/>
    <w:pPr>
      <w:keepNext/>
      <w:keepLines/>
      <w:spacing w:before="100" w:beforeAutospacing="1" w:after="100" w:afterAutospacing="1" w:line="415" w:lineRule="auto"/>
      <w:ind w:firstLine="200" w:firstLineChars="200"/>
      <w:outlineLvl w:val="2"/>
    </w:pPr>
    <w:rPr>
      <w:rFonts w:eastAsia="仿宋_GB2312"/>
      <w:b/>
      <w:bCs/>
      <w:sz w:val="28"/>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Normal Indent"/>
    <w:basedOn w:val="1"/>
    <w:uiPriority w:val="0"/>
    <w:pPr>
      <w:ind w:firstLine="420"/>
    </w:pPr>
    <w:rPr>
      <w:rFonts w:ascii="Times New Roman" w:hAnsi="Times New Roman"/>
      <w:szCs w:val="20"/>
    </w:rPr>
  </w:style>
  <w:style w:type="paragraph" w:styleId="6">
    <w:name w:val="Document Map"/>
    <w:basedOn w:val="1"/>
    <w:link w:val="22"/>
    <w:semiHidden/>
    <w:unhideWhenUsed/>
    <w:uiPriority w:val="99"/>
    <w:rPr>
      <w:rFonts w:ascii="宋体"/>
      <w:sz w:val="18"/>
      <w:szCs w:val="18"/>
    </w:rPr>
  </w:style>
  <w:style w:type="paragraph" w:styleId="7">
    <w:name w:val="Date"/>
    <w:basedOn w:val="1"/>
    <w:next w:val="1"/>
    <w:link w:val="28"/>
    <w:semiHidden/>
    <w:unhideWhenUsed/>
    <w:uiPriority w:val="99"/>
    <w:pPr>
      <w:ind w:left="100" w:leftChars="2500"/>
    </w:pPr>
  </w:style>
  <w:style w:type="paragraph" w:styleId="8">
    <w:name w:val="Balloon Text"/>
    <w:basedOn w:val="1"/>
    <w:link w:val="27"/>
    <w:semiHidden/>
    <w:unhideWhenUsed/>
    <w:uiPriority w:val="99"/>
    <w:rPr>
      <w:sz w:val="18"/>
      <w:szCs w:val="18"/>
    </w:rPr>
  </w:style>
  <w:style w:type="paragraph" w:styleId="9">
    <w:name w:val="footer"/>
    <w:basedOn w:val="1"/>
    <w:link w:val="1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unhideWhenUsed/>
    <w:uiPriority w:val="39"/>
    <w:pPr>
      <w:tabs>
        <w:tab w:val="right" w:leader="dot" w:pos="8296"/>
      </w:tabs>
      <w:jc w:val="center"/>
    </w:pPr>
    <w:rPr>
      <w:rFonts w:ascii="宋体" w:hAnsi="宋体"/>
      <w:b/>
      <w:sz w:val="44"/>
      <w:szCs w:val="44"/>
    </w:rPr>
  </w:style>
  <w:style w:type="paragraph" w:styleId="12">
    <w:name w:val="toc 2"/>
    <w:basedOn w:val="1"/>
    <w:next w:val="1"/>
    <w:unhideWhenUsed/>
    <w:uiPriority w:val="39"/>
    <w:pPr>
      <w:ind w:left="420" w:leftChars="200"/>
    </w:pPr>
  </w:style>
  <w:style w:type="table" w:styleId="14">
    <w:name w:val="Table Grid"/>
    <w:basedOn w:val="1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uiPriority w:val="99"/>
    <w:rPr>
      <w:color w:val="0563C1" w:themeColor="hyperlink"/>
      <w:u w:val="single"/>
    </w:rPr>
  </w:style>
  <w:style w:type="character" w:customStyle="1" w:styleId="17">
    <w:name w:val="页眉 字符"/>
    <w:basedOn w:val="15"/>
    <w:link w:val="10"/>
    <w:uiPriority w:val="99"/>
    <w:rPr>
      <w:sz w:val="18"/>
      <w:szCs w:val="18"/>
    </w:rPr>
  </w:style>
  <w:style w:type="character" w:customStyle="1" w:styleId="18">
    <w:name w:val="页脚 字符"/>
    <w:basedOn w:val="15"/>
    <w:link w:val="9"/>
    <w:uiPriority w:val="99"/>
    <w:rPr>
      <w:sz w:val="18"/>
      <w:szCs w:val="18"/>
    </w:rPr>
  </w:style>
  <w:style w:type="character" w:customStyle="1" w:styleId="19">
    <w:name w:val="标题 1 字符"/>
    <w:basedOn w:val="15"/>
    <w:link w:val="2"/>
    <w:uiPriority w:val="9"/>
    <w:rPr>
      <w:rFonts w:ascii="Calibri" w:hAnsi="Calibri" w:eastAsia="仿宋_GB2312" w:cs="Times New Roman"/>
      <w:b/>
      <w:bCs/>
      <w:kern w:val="44"/>
      <w:sz w:val="32"/>
      <w:szCs w:val="44"/>
    </w:rPr>
  </w:style>
  <w:style w:type="character" w:customStyle="1" w:styleId="20">
    <w:name w:val="标题 2 字符"/>
    <w:basedOn w:val="15"/>
    <w:link w:val="3"/>
    <w:uiPriority w:val="9"/>
    <w:rPr>
      <w:rFonts w:eastAsia="仿宋_GB2312" w:asciiTheme="majorHAnsi" w:hAnsiTheme="majorHAnsi" w:cstheme="majorBidi"/>
      <w:b/>
      <w:bCs/>
      <w:sz w:val="30"/>
      <w:szCs w:val="32"/>
    </w:rPr>
  </w:style>
  <w:style w:type="paragraph" w:customStyle="1" w:styleId="21">
    <w:name w:val="Char Char Char"/>
    <w:basedOn w:val="1"/>
    <w:uiPriority w:val="0"/>
    <w:rPr>
      <w:rFonts w:ascii="Times New Roman" w:hAnsi="Times New Roman"/>
      <w:szCs w:val="24"/>
    </w:rPr>
  </w:style>
  <w:style w:type="character" w:customStyle="1" w:styleId="22">
    <w:name w:val="文档结构图 字符"/>
    <w:basedOn w:val="15"/>
    <w:link w:val="6"/>
    <w:semiHidden/>
    <w:uiPriority w:val="99"/>
    <w:rPr>
      <w:rFonts w:ascii="宋体" w:hAnsi="Calibri" w:eastAsia="宋体" w:cs="Times New Roman"/>
      <w:sz w:val="18"/>
      <w:szCs w:val="18"/>
    </w:rPr>
  </w:style>
  <w:style w:type="paragraph" w:styleId="23">
    <w:name w:val="No Spacing"/>
    <w:qFormat/>
    <w:uiPriority w:val="1"/>
    <w:pPr>
      <w:widowControl w:val="0"/>
      <w:jc w:val="both"/>
    </w:pPr>
    <w:rPr>
      <w:rFonts w:ascii="Calibri" w:hAnsi="Calibri" w:eastAsia="宋体" w:cs="Times New Roman"/>
      <w:kern w:val="2"/>
      <w:sz w:val="21"/>
      <w:szCs w:val="22"/>
      <w:lang w:val="en-US" w:eastAsia="zh-CN" w:bidi="ar-SA"/>
    </w:rPr>
  </w:style>
  <w:style w:type="paragraph" w:styleId="24">
    <w:name w:val="List Paragraph"/>
    <w:basedOn w:val="1"/>
    <w:qFormat/>
    <w:uiPriority w:val="34"/>
    <w:pPr>
      <w:ind w:firstLine="420" w:firstLineChars="200"/>
    </w:pPr>
  </w:style>
  <w:style w:type="paragraph" w:customStyle="1" w:styleId="25">
    <w:name w:val="Char Char Char1"/>
    <w:basedOn w:val="1"/>
    <w:uiPriority w:val="0"/>
    <w:rPr>
      <w:rFonts w:ascii="Times New Roman" w:hAnsi="Times New Roman"/>
      <w:szCs w:val="24"/>
    </w:rPr>
  </w:style>
  <w:style w:type="paragraph" w:customStyle="1" w:styleId="26">
    <w:name w:val="Char Char Char2"/>
    <w:basedOn w:val="1"/>
    <w:uiPriority w:val="0"/>
    <w:rPr>
      <w:rFonts w:ascii="Times New Roman" w:hAnsi="Times New Roman"/>
      <w:szCs w:val="24"/>
    </w:rPr>
  </w:style>
  <w:style w:type="character" w:customStyle="1" w:styleId="27">
    <w:name w:val="批注框文本 字符"/>
    <w:basedOn w:val="15"/>
    <w:link w:val="8"/>
    <w:semiHidden/>
    <w:uiPriority w:val="99"/>
    <w:rPr>
      <w:rFonts w:ascii="Calibri" w:hAnsi="Calibri" w:eastAsia="宋体" w:cs="Times New Roman"/>
      <w:sz w:val="18"/>
      <w:szCs w:val="18"/>
    </w:rPr>
  </w:style>
  <w:style w:type="character" w:customStyle="1" w:styleId="28">
    <w:name w:val="日期 字符"/>
    <w:basedOn w:val="15"/>
    <w:link w:val="7"/>
    <w:semiHidden/>
    <w:uiPriority w:val="99"/>
    <w:rPr>
      <w:rFonts w:ascii="Calibri" w:hAnsi="Calibri" w:eastAsia="宋体" w:cs="Times New Roman"/>
    </w:rPr>
  </w:style>
  <w:style w:type="character" w:customStyle="1" w:styleId="29">
    <w:name w:val="标题 3 字符"/>
    <w:basedOn w:val="15"/>
    <w:link w:val="4"/>
    <w:uiPriority w:val="9"/>
    <w:rPr>
      <w:rFonts w:ascii="Calibri" w:hAnsi="Calibri" w:eastAsia="仿宋_GB2312" w:cs="Times New Roman"/>
      <w:b/>
      <w:bCs/>
      <w:sz w:val="28"/>
      <w:szCs w:val="32"/>
    </w:rPr>
  </w:style>
  <w:style w:type="character" w:customStyle="1" w:styleId="30">
    <w:name w:val="font171"/>
    <w:basedOn w:val="15"/>
    <w:uiPriority w:val="0"/>
    <w:rPr>
      <w:rFonts w:hint="eastAsia" w:ascii="宋体" w:hAnsi="宋体" w:eastAsia="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8F642-BF79-443A-BFA6-F74454247AA1}">
  <ds:schemaRefs/>
</ds:datastoreItem>
</file>

<file path=docProps/app.xml><?xml version="1.0" encoding="utf-8"?>
<Properties xmlns="http://schemas.openxmlformats.org/officeDocument/2006/extended-properties" xmlns:vt="http://schemas.openxmlformats.org/officeDocument/2006/docPropsVTypes">
  <Template>Normal</Template>
  <Pages>51</Pages>
  <Words>4159</Words>
  <Characters>23708</Characters>
  <Lines>197</Lines>
  <Paragraphs>55</Paragraphs>
  <TotalTime>2775</TotalTime>
  <ScaleCrop>false</ScaleCrop>
  <LinksUpToDate>false</LinksUpToDate>
  <CharactersWithSpaces>27812</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2017-04-17T11:30:00Z</dcterms:created>
  <dc:creator>HP</dc:creator>
  <cp:lastModifiedBy>张学琴</cp:lastModifiedBy>
  <dcterms:modified xsi:type="dcterms:W3CDTF">2025-01-20T06:29:56Z</dcterms:modified>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587D20B62883444DB04B8C6522C77A27_12</vt:lpwstr>
  </property>
</Properties>
</file>