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仿宋_GB2312" w:hAnsi="宋体" w:eastAsia="仿宋_GB2312"/>
          <w:sz w:val="44"/>
          <w:szCs w:val="44"/>
        </w:rPr>
      </w:pPr>
    </w:p>
    <w:p>
      <w:pPr>
        <w:spacing w:line="360" w:lineRule="auto"/>
        <w:jc w:val="center"/>
        <w:rPr>
          <w:rFonts w:ascii="仿宋_GB2312" w:hAnsi="宋体" w:eastAsia="仿宋_GB2312"/>
          <w:sz w:val="44"/>
          <w:szCs w:val="44"/>
        </w:rPr>
      </w:pPr>
    </w:p>
    <w:p>
      <w:pPr>
        <w:spacing w:line="360" w:lineRule="auto"/>
        <w:jc w:val="center"/>
        <w:rPr>
          <w:rFonts w:ascii="黑体" w:hAnsi="黑体" w:eastAsia="黑体"/>
          <w:sz w:val="44"/>
          <w:szCs w:val="44"/>
        </w:rPr>
      </w:pPr>
      <w:r>
        <w:rPr>
          <w:rFonts w:hint="eastAsia" w:ascii="黑体" w:hAnsi="黑体" w:eastAsia="黑体"/>
          <w:sz w:val="44"/>
          <w:szCs w:val="44"/>
        </w:rPr>
        <w:t>乐山市五通桥区</w:t>
      </w:r>
    </w:p>
    <w:p>
      <w:pPr>
        <w:spacing w:line="360" w:lineRule="auto"/>
        <w:jc w:val="center"/>
        <w:rPr>
          <w:rFonts w:ascii="黑体" w:hAnsi="黑体" w:eastAsia="黑体"/>
          <w:sz w:val="44"/>
          <w:szCs w:val="44"/>
        </w:rPr>
      </w:pPr>
      <w:r>
        <w:rPr>
          <w:rFonts w:hint="eastAsia" w:ascii="黑体" w:hAnsi="黑体" w:eastAsia="黑体"/>
          <w:sz w:val="44"/>
          <w:szCs w:val="44"/>
        </w:rPr>
        <w:t>石麟镇土地利用总体规划（2006-2020年）</w:t>
      </w:r>
    </w:p>
    <w:p>
      <w:pPr>
        <w:spacing w:line="360" w:lineRule="auto"/>
        <w:jc w:val="center"/>
        <w:rPr>
          <w:rFonts w:ascii="黑体" w:hAnsi="黑体" w:eastAsia="黑体"/>
          <w:sz w:val="44"/>
          <w:szCs w:val="44"/>
        </w:rPr>
      </w:pPr>
      <w:r>
        <w:rPr>
          <w:rFonts w:hint="eastAsia" w:ascii="黑体" w:hAnsi="黑体" w:eastAsia="黑体"/>
          <w:sz w:val="44"/>
          <w:szCs w:val="44"/>
        </w:rPr>
        <w:t>调整完善方案</w:t>
      </w: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宋体" w:hAnsi="宋体"/>
          <w:b/>
          <w:sz w:val="44"/>
          <w:szCs w:val="44"/>
        </w:rPr>
      </w:pPr>
      <w:r>
        <w:rPr>
          <w:rFonts w:hint="eastAsia" w:ascii="宋体" w:hAnsi="宋体"/>
          <w:b/>
          <w:sz w:val="44"/>
          <w:szCs w:val="44"/>
        </w:rPr>
        <w:t>五通桥区石麟镇人民政府</w:t>
      </w:r>
    </w:p>
    <w:p>
      <w:pPr>
        <w:spacing w:line="360" w:lineRule="auto"/>
        <w:jc w:val="center"/>
        <w:rPr>
          <w:rFonts w:ascii="宋体" w:hAnsi="宋体"/>
          <w:b/>
          <w:sz w:val="44"/>
          <w:szCs w:val="44"/>
        </w:rPr>
      </w:pPr>
      <w:r>
        <w:rPr>
          <w:rFonts w:hint="eastAsia" w:ascii="宋体" w:hAnsi="宋体"/>
          <w:b/>
          <w:sz w:val="44"/>
          <w:szCs w:val="44"/>
        </w:rPr>
        <w:t>二</w:t>
      </w:r>
      <w:r>
        <w:rPr>
          <w:rFonts w:hint="eastAsia" w:ascii="宋体" w:hAnsi="宋体" w:cs="微软雅黑"/>
          <w:b/>
          <w:sz w:val="44"/>
          <w:szCs w:val="44"/>
        </w:rPr>
        <w:t>〇</w:t>
      </w:r>
      <w:r>
        <w:rPr>
          <w:rFonts w:hint="eastAsia" w:ascii="宋体" w:hAnsi="宋体" w:cs="仿宋_GB2312"/>
          <w:b/>
          <w:sz w:val="44"/>
          <w:szCs w:val="44"/>
        </w:rPr>
        <w:t>一</w:t>
      </w:r>
      <w:r>
        <w:rPr>
          <w:rFonts w:hint="eastAsia" w:ascii="宋体" w:hAnsi="宋体"/>
          <w:b/>
          <w:sz w:val="44"/>
          <w:szCs w:val="44"/>
        </w:rPr>
        <w:t>七年七月</w:t>
      </w:r>
    </w:p>
    <w:p>
      <w:pPr>
        <w:spacing w:line="360" w:lineRule="auto"/>
        <w:jc w:val="center"/>
        <w:rPr>
          <w:rFonts w:ascii="仿宋_GB2312" w:hAnsi="黑体" w:eastAsia="仿宋_GB2312"/>
          <w:sz w:val="44"/>
          <w:szCs w:val="44"/>
        </w:rPr>
      </w:pPr>
    </w:p>
    <w:p>
      <w:pPr>
        <w:spacing w:line="500" w:lineRule="exact"/>
        <w:jc w:val="center"/>
        <w:rPr>
          <w:rFonts w:ascii="仿宋_GB2312" w:hAnsi="黑体" w:eastAsia="仿宋_GB2312"/>
          <w:sz w:val="44"/>
          <w:szCs w:val="44"/>
        </w:rPr>
        <w:sectPr>
          <w:footerReference r:id="rId3" w:type="default"/>
          <w:pgSz w:w="11906" w:h="16838"/>
          <w:pgMar w:top="1440" w:right="1800" w:bottom="1440" w:left="1800" w:header="851" w:footer="992" w:gutter="0"/>
          <w:cols w:space="425" w:num="1"/>
          <w:docGrid w:type="lines" w:linePitch="312" w:charSpace="0"/>
        </w:sectPr>
      </w:pPr>
    </w:p>
    <w:p>
      <w:pPr>
        <w:pStyle w:val="11"/>
        <w:rPr>
          <w:rFonts w:ascii="仿宋_GB2312" w:eastAsia="仿宋_GB2312"/>
        </w:rPr>
      </w:pPr>
    </w:p>
    <w:p>
      <w:pPr>
        <w:pStyle w:val="11"/>
        <w:rPr>
          <w:rFonts w:ascii="仿宋_GB2312" w:eastAsia="仿宋_GB2312"/>
        </w:rPr>
      </w:pPr>
      <w:r>
        <w:rPr>
          <w:rFonts w:hint="eastAsia" w:ascii="仿宋_GB2312" w:eastAsia="仿宋_GB2312"/>
        </w:rPr>
        <w:t>目  录</w:t>
      </w:r>
    </w:p>
    <w:p>
      <w:pPr>
        <w:pStyle w:val="11"/>
        <w:rPr>
          <w:rFonts w:ascii="仿宋_GB2312" w:eastAsia="仿宋_GB2312" w:hAnsiTheme="minorHAnsi" w:cstheme="minorBidi"/>
          <w:b w:val="0"/>
          <w:sz w:val="28"/>
          <w:szCs w:val="28"/>
        </w:rPr>
      </w:pPr>
      <w:r>
        <w:rPr>
          <w:rFonts w:hint="eastAsia" w:ascii="仿宋_GB2312" w:eastAsia="仿宋_GB2312"/>
          <w:sz w:val="28"/>
          <w:szCs w:val="28"/>
        </w:rPr>
        <w:fldChar w:fldCharType="begin"/>
      </w:r>
      <w:r>
        <w:rPr>
          <w:rFonts w:hint="eastAsia" w:ascii="仿宋_GB2312" w:eastAsia="仿宋_GB2312"/>
          <w:sz w:val="28"/>
          <w:szCs w:val="28"/>
        </w:rPr>
        <w:instrText xml:space="preserve"> TOC \o "1-2" \h \z \u </w:instrText>
      </w:r>
      <w:r>
        <w:rPr>
          <w:rFonts w:hint="eastAsia" w:ascii="仿宋_GB2312" w:eastAsia="仿宋_GB2312"/>
          <w:sz w:val="28"/>
          <w:szCs w:val="28"/>
        </w:rPr>
        <w:fldChar w:fldCharType="separate"/>
      </w:r>
      <w:r>
        <w:fldChar w:fldCharType="begin"/>
      </w:r>
      <w:r>
        <w:instrText xml:space="preserve"> HYPERLINK \l "_Toc486428839" </w:instrText>
      </w:r>
      <w:r>
        <w:fldChar w:fldCharType="separate"/>
      </w:r>
      <w:r>
        <w:rPr>
          <w:rStyle w:val="16"/>
          <w:rFonts w:hint="eastAsia" w:ascii="仿宋_GB2312" w:eastAsia="仿宋_GB2312"/>
          <w:sz w:val="28"/>
          <w:szCs w:val="28"/>
        </w:rPr>
        <w:t>一、2014年土地利用现状</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_Toc486428839 \h </w:instrText>
      </w:r>
      <w:r>
        <w:rPr>
          <w:rFonts w:hint="eastAsia" w:ascii="仿宋_GB2312" w:eastAsia="仿宋_GB2312"/>
          <w:sz w:val="28"/>
          <w:szCs w:val="28"/>
        </w:rPr>
        <w:fldChar w:fldCharType="separate"/>
      </w:r>
      <w:r>
        <w:rPr>
          <w:rFonts w:hint="eastAsia" w:ascii="仿宋_GB2312" w:eastAsia="仿宋_GB2312"/>
          <w:sz w:val="28"/>
          <w:szCs w:val="28"/>
        </w:rPr>
        <w:t>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"_Toc486428840" </w:instrText>
      </w:r>
      <w:r>
        <w:fldChar w:fldCharType="separate"/>
      </w:r>
      <w:r>
        <w:rPr>
          <w:rStyle w:val="16"/>
          <w:rFonts w:hint="eastAsia" w:ascii="仿宋_GB2312" w:eastAsia="仿宋_GB2312"/>
          <w:sz w:val="28"/>
          <w:szCs w:val="28"/>
        </w:rPr>
        <w:t>（一）土地利用现状及分布</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_Toc486428840 \h </w:instrText>
      </w:r>
      <w:r>
        <w:rPr>
          <w:rFonts w:hint="eastAsia" w:ascii="仿宋_GB2312" w:eastAsia="仿宋_GB2312"/>
          <w:sz w:val="28"/>
          <w:szCs w:val="28"/>
        </w:rPr>
        <w:fldChar w:fldCharType="separate"/>
      </w:r>
      <w:r>
        <w:rPr>
          <w:rFonts w:hint="eastAsia" w:ascii="仿宋_GB2312" w:eastAsia="仿宋_GB2312"/>
          <w:sz w:val="28"/>
          <w:szCs w:val="28"/>
        </w:rPr>
        <w:t>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"_Toc486428841" </w:instrText>
      </w:r>
      <w:r>
        <w:fldChar w:fldCharType="separate"/>
      </w:r>
      <w:r>
        <w:rPr>
          <w:rStyle w:val="16"/>
          <w:rFonts w:hint="eastAsia" w:ascii="仿宋_GB2312" w:eastAsia="仿宋_GB2312"/>
          <w:sz w:val="28"/>
          <w:szCs w:val="28"/>
        </w:rPr>
        <w:t>（二）土地利用的特点</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_Toc486428841 \h </w:instrText>
      </w:r>
      <w:r>
        <w:rPr>
          <w:rFonts w:hint="eastAsia" w:ascii="仿宋_GB2312" w:eastAsia="仿宋_GB2312"/>
          <w:sz w:val="28"/>
          <w:szCs w:val="28"/>
        </w:rPr>
        <w:fldChar w:fldCharType="separate"/>
      </w:r>
      <w:r>
        <w:rPr>
          <w:rFonts w:hint="eastAsia" w:ascii="仿宋_GB2312" w:eastAsia="仿宋_GB2312"/>
          <w:sz w:val="28"/>
          <w:szCs w:val="28"/>
        </w:rPr>
        <w:t>5</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"_Toc486428842" </w:instrText>
      </w:r>
      <w:r>
        <w:fldChar w:fldCharType="separate"/>
      </w:r>
      <w:r>
        <w:rPr>
          <w:rStyle w:val="16"/>
          <w:rFonts w:hint="eastAsia" w:ascii="仿宋_GB2312" w:eastAsia="仿宋_GB2312"/>
          <w:sz w:val="28"/>
          <w:szCs w:val="28"/>
        </w:rPr>
        <w:t>（三）土地利用中存在的问题</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_Toc486428842 \h </w:instrText>
      </w:r>
      <w:r>
        <w:rPr>
          <w:rFonts w:hint="eastAsia" w:ascii="仿宋_GB2312" w:eastAsia="仿宋_GB2312"/>
          <w:sz w:val="28"/>
          <w:szCs w:val="28"/>
        </w:rPr>
        <w:fldChar w:fldCharType="separate"/>
      </w:r>
      <w:r>
        <w:rPr>
          <w:rFonts w:hint="eastAsia" w:ascii="仿宋_GB2312" w:eastAsia="仿宋_GB2312"/>
          <w:sz w:val="28"/>
          <w:szCs w:val="28"/>
        </w:rPr>
        <w:t>6</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1"/>
        <w:rPr>
          <w:rFonts w:ascii="仿宋_GB2312" w:eastAsia="仿宋_GB2312" w:hAnsiTheme="minorHAnsi" w:cstheme="minorBidi"/>
          <w:b w:val="0"/>
          <w:sz w:val="28"/>
          <w:szCs w:val="28"/>
        </w:rPr>
      </w:pPr>
      <w:r>
        <w:fldChar w:fldCharType="begin"/>
      </w:r>
      <w:r>
        <w:instrText xml:space="preserve"> HYPERLINK \l "_Toc486428843" </w:instrText>
      </w:r>
      <w:r>
        <w:fldChar w:fldCharType="separate"/>
      </w:r>
      <w:r>
        <w:rPr>
          <w:rStyle w:val="16"/>
          <w:rFonts w:hint="eastAsia" w:ascii="仿宋_GB2312" w:eastAsia="仿宋_GB2312"/>
          <w:sz w:val="28"/>
          <w:szCs w:val="28"/>
        </w:rPr>
        <w:t>二、规划目标调整情况</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_Toc486428843 \h </w:instrText>
      </w:r>
      <w:r>
        <w:rPr>
          <w:rFonts w:hint="eastAsia" w:ascii="仿宋_GB2312" w:eastAsia="仿宋_GB2312"/>
          <w:sz w:val="28"/>
          <w:szCs w:val="28"/>
        </w:rPr>
        <w:fldChar w:fldCharType="separate"/>
      </w:r>
      <w:r>
        <w:rPr>
          <w:rFonts w:hint="eastAsia" w:ascii="仿宋_GB2312" w:eastAsia="仿宋_GB2312"/>
          <w:sz w:val="28"/>
          <w:szCs w:val="28"/>
        </w:rPr>
        <w:t>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"_Toc486428844" </w:instrText>
      </w:r>
      <w:r>
        <w:fldChar w:fldCharType="separate"/>
      </w:r>
      <w:r>
        <w:rPr>
          <w:rStyle w:val="16"/>
          <w:rFonts w:hint="eastAsia" w:ascii="仿宋_GB2312" w:eastAsia="仿宋_GB2312"/>
          <w:sz w:val="28"/>
          <w:szCs w:val="28"/>
        </w:rPr>
        <w:t>（一）耕地保有量调整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_Toc486428844 \h </w:instrText>
      </w:r>
      <w:r>
        <w:rPr>
          <w:rFonts w:hint="eastAsia" w:ascii="仿宋_GB2312" w:eastAsia="仿宋_GB2312"/>
          <w:sz w:val="28"/>
          <w:szCs w:val="28"/>
        </w:rPr>
        <w:fldChar w:fldCharType="separate"/>
      </w:r>
      <w:r>
        <w:rPr>
          <w:rFonts w:hint="eastAsia" w:ascii="仿宋_GB2312" w:eastAsia="仿宋_GB2312"/>
          <w:sz w:val="28"/>
          <w:szCs w:val="28"/>
        </w:rPr>
        <w:t>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"_Toc486428845" </w:instrText>
      </w:r>
      <w:r>
        <w:fldChar w:fldCharType="separate"/>
      </w:r>
      <w:r>
        <w:rPr>
          <w:rStyle w:val="16"/>
          <w:rFonts w:hint="eastAsia" w:ascii="仿宋_GB2312" w:eastAsia="仿宋_GB2312"/>
          <w:sz w:val="28"/>
          <w:szCs w:val="28"/>
        </w:rPr>
        <w:t>（二）基本农田保护面积调整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_Toc486428845 \h </w:instrText>
      </w:r>
      <w:r>
        <w:rPr>
          <w:rFonts w:hint="eastAsia" w:ascii="仿宋_GB2312" w:eastAsia="仿宋_GB2312"/>
          <w:sz w:val="28"/>
          <w:szCs w:val="28"/>
        </w:rPr>
        <w:fldChar w:fldCharType="separate"/>
      </w:r>
      <w:r>
        <w:rPr>
          <w:rFonts w:hint="eastAsia" w:ascii="仿宋_GB2312" w:eastAsia="仿宋_GB2312"/>
          <w:sz w:val="28"/>
          <w:szCs w:val="28"/>
        </w:rPr>
        <w:t>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"_Toc486428846" </w:instrText>
      </w:r>
      <w:r>
        <w:fldChar w:fldCharType="separate"/>
      </w:r>
      <w:r>
        <w:rPr>
          <w:rStyle w:val="16"/>
          <w:rFonts w:hint="eastAsia" w:ascii="仿宋_GB2312" w:eastAsia="仿宋_GB2312"/>
          <w:sz w:val="28"/>
          <w:szCs w:val="28"/>
        </w:rPr>
        <w:t>（三）建设用地规模调整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_Toc486428846 \h </w:instrText>
      </w:r>
      <w:r>
        <w:rPr>
          <w:rFonts w:hint="eastAsia" w:ascii="仿宋_GB2312" w:eastAsia="仿宋_GB2312"/>
          <w:sz w:val="28"/>
          <w:szCs w:val="28"/>
        </w:rPr>
        <w:fldChar w:fldCharType="separate"/>
      </w:r>
      <w:r>
        <w:rPr>
          <w:rFonts w:hint="eastAsia" w:ascii="仿宋_GB2312" w:eastAsia="仿宋_GB2312"/>
          <w:sz w:val="28"/>
          <w:szCs w:val="28"/>
        </w:rPr>
        <w:t>9</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"_Toc486428847" </w:instrText>
      </w:r>
      <w:r>
        <w:fldChar w:fldCharType="separate"/>
      </w:r>
      <w:r>
        <w:rPr>
          <w:rStyle w:val="16"/>
          <w:rFonts w:hint="eastAsia" w:ascii="仿宋_GB2312" w:eastAsia="仿宋_GB2312"/>
          <w:sz w:val="28"/>
          <w:szCs w:val="28"/>
        </w:rPr>
        <w:t>（四）城乡建设用地规模调整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_Toc486428847 \h </w:instrText>
      </w:r>
      <w:r>
        <w:rPr>
          <w:rFonts w:hint="eastAsia" w:ascii="仿宋_GB2312" w:eastAsia="仿宋_GB2312"/>
          <w:sz w:val="28"/>
          <w:szCs w:val="28"/>
        </w:rPr>
        <w:fldChar w:fldCharType="separate"/>
      </w:r>
      <w:r>
        <w:rPr>
          <w:rFonts w:hint="eastAsia" w:ascii="仿宋_GB2312" w:eastAsia="仿宋_GB2312"/>
          <w:sz w:val="28"/>
          <w:szCs w:val="28"/>
        </w:rPr>
        <w:t>9</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"_Toc486428848" </w:instrText>
      </w:r>
      <w:r>
        <w:fldChar w:fldCharType="separate"/>
      </w:r>
      <w:r>
        <w:rPr>
          <w:rStyle w:val="16"/>
          <w:rFonts w:hint="eastAsia" w:ascii="仿宋_GB2312" w:eastAsia="仿宋_GB2312"/>
          <w:sz w:val="28"/>
          <w:szCs w:val="28"/>
        </w:rPr>
        <w:t>（五）城镇工矿用地规模调整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_Toc486428848 \h </w:instrText>
      </w:r>
      <w:r>
        <w:rPr>
          <w:rFonts w:hint="eastAsia" w:ascii="仿宋_GB2312" w:eastAsia="仿宋_GB2312"/>
          <w:sz w:val="28"/>
          <w:szCs w:val="28"/>
        </w:rPr>
        <w:fldChar w:fldCharType="separate"/>
      </w:r>
      <w:r>
        <w:rPr>
          <w:rFonts w:hint="eastAsia" w:ascii="仿宋_GB2312" w:eastAsia="仿宋_GB2312"/>
          <w:sz w:val="28"/>
          <w:szCs w:val="28"/>
        </w:rPr>
        <w:t>9</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"_Toc486428849" </w:instrText>
      </w:r>
      <w:r>
        <w:fldChar w:fldCharType="separate"/>
      </w:r>
      <w:r>
        <w:rPr>
          <w:rStyle w:val="16"/>
          <w:rFonts w:hint="eastAsia" w:ascii="仿宋_GB2312" w:eastAsia="仿宋_GB2312"/>
          <w:sz w:val="28"/>
          <w:szCs w:val="28"/>
        </w:rPr>
        <w:t>（六）新增建设用地总量</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_Toc486428849 \h </w:instrText>
      </w:r>
      <w:r>
        <w:rPr>
          <w:rFonts w:hint="eastAsia" w:ascii="仿宋_GB2312" w:eastAsia="仿宋_GB2312"/>
          <w:sz w:val="28"/>
          <w:szCs w:val="28"/>
        </w:rPr>
        <w:fldChar w:fldCharType="separate"/>
      </w:r>
      <w:r>
        <w:rPr>
          <w:rFonts w:hint="eastAsia" w:ascii="仿宋_GB2312" w:eastAsia="仿宋_GB2312"/>
          <w:sz w:val="28"/>
          <w:szCs w:val="28"/>
        </w:rPr>
        <w:t>10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"_Toc486428850" </w:instrText>
      </w:r>
      <w:r>
        <w:fldChar w:fldCharType="separate"/>
      </w:r>
      <w:r>
        <w:rPr>
          <w:rStyle w:val="16"/>
          <w:rFonts w:hint="eastAsia" w:ascii="仿宋_GB2312" w:eastAsia="仿宋_GB2312"/>
          <w:sz w:val="28"/>
          <w:szCs w:val="28"/>
        </w:rPr>
        <w:t>（七）新增建设用地占用耕地指标</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_Toc486428850 \h </w:instrText>
      </w:r>
      <w:r>
        <w:rPr>
          <w:rFonts w:hint="eastAsia" w:ascii="仿宋_GB2312" w:eastAsia="仿宋_GB2312"/>
          <w:sz w:val="28"/>
          <w:szCs w:val="28"/>
        </w:rPr>
        <w:fldChar w:fldCharType="separate"/>
      </w:r>
      <w:r>
        <w:rPr>
          <w:rFonts w:hint="eastAsia" w:ascii="仿宋_GB2312" w:eastAsia="仿宋_GB2312"/>
          <w:sz w:val="28"/>
          <w:szCs w:val="28"/>
        </w:rPr>
        <w:t>10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"_Toc486428851" </w:instrText>
      </w:r>
      <w:r>
        <w:fldChar w:fldCharType="separate"/>
      </w:r>
      <w:r>
        <w:rPr>
          <w:rStyle w:val="16"/>
          <w:rFonts w:hint="eastAsia" w:ascii="仿宋_GB2312" w:eastAsia="仿宋_GB2312"/>
          <w:sz w:val="28"/>
          <w:szCs w:val="28"/>
        </w:rPr>
        <w:t>（八）新增建设用地占用农用地指标</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_Toc486428851 \h </w:instrText>
      </w:r>
      <w:r>
        <w:rPr>
          <w:rFonts w:hint="eastAsia" w:ascii="仿宋_GB2312" w:eastAsia="仿宋_GB2312"/>
          <w:sz w:val="28"/>
          <w:szCs w:val="28"/>
        </w:rPr>
        <w:fldChar w:fldCharType="separate"/>
      </w:r>
      <w:r>
        <w:rPr>
          <w:rFonts w:hint="eastAsia" w:ascii="仿宋_GB2312" w:eastAsia="仿宋_GB2312"/>
          <w:sz w:val="28"/>
          <w:szCs w:val="28"/>
        </w:rPr>
        <w:t>10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"_Toc486428852" </w:instrText>
      </w:r>
      <w:r>
        <w:fldChar w:fldCharType="separate"/>
      </w:r>
      <w:r>
        <w:rPr>
          <w:rStyle w:val="16"/>
          <w:rFonts w:hint="eastAsia" w:ascii="仿宋_GB2312" w:eastAsia="仿宋_GB2312"/>
          <w:sz w:val="28"/>
          <w:szCs w:val="28"/>
        </w:rPr>
        <w:t>（九）土地整治补充耕地规模</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_Toc486428852 \h </w:instrText>
      </w:r>
      <w:r>
        <w:rPr>
          <w:rFonts w:hint="eastAsia" w:ascii="仿宋_GB2312" w:eastAsia="仿宋_GB2312"/>
          <w:sz w:val="28"/>
          <w:szCs w:val="28"/>
        </w:rPr>
        <w:fldChar w:fldCharType="separate"/>
      </w:r>
      <w:r>
        <w:rPr>
          <w:rFonts w:hint="eastAsia" w:ascii="仿宋_GB2312" w:eastAsia="仿宋_GB2312"/>
          <w:sz w:val="28"/>
          <w:szCs w:val="28"/>
        </w:rPr>
        <w:t>10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"_Toc486428853" </w:instrText>
      </w:r>
      <w:r>
        <w:fldChar w:fldCharType="separate"/>
      </w:r>
      <w:r>
        <w:rPr>
          <w:rStyle w:val="16"/>
          <w:rFonts w:hint="eastAsia" w:ascii="仿宋_GB2312" w:eastAsia="仿宋_GB2312"/>
          <w:sz w:val="28"/>
          <w:szCs w:val="28"/>
        </w:rPr>
        <w:t>（十）人均城镇工矿用地规模</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_Toc486428853 \h </w:instrText>
      </w:r>
      <w:r>
        <w:rPr>
          <w:rFonts w:hint="eastAsia" w:ascii="仿宋_GB2312" w:eastAsia="仿宋_GB2312"/>
          <w:sz w:val="28"/>
          <w:szCs w:val="28"/>
        </w:rPr>
        <w:fldChar w:fldCharType="separate"/>
      </w:r>
      <w:r>
        <w:rPr>
          <w:rFonts w:hint="eastAsia" w:ascii="仿宋_GB2312" w:eastAsia="仿宋_GB2312"/>
          <w:sz w:val="28"/>
          <w:szCs w:val="28"/>
        </w:rPr>
        <w:t>11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"_Toc486428854" </w:instrText>
      </w:r>
      <w:r>
        <w:fldChar w:fldCharType="separate"/>
      </w:r>
      <w:r>
        <w:rPr>
          <w:rStyle w:val="16"/>
          <w:rFonts w:hint="eastAsia" w:ascii="仿宋_GB2312" w:eastAsia="仿宋_GB2312"/>
          <w:sz w:val="28"/>
          <w:szCs w:val="28"/>
        </w:rPr>
        <w:t>（十一）园地面积调整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_Toc486428854 \h </w:instrText>
      </w:r>
      <w:r>
        <w:rPr>
          <w:rFonts w:hint="eastAsia" w:ascii="仿宋_GB2312" w:eastAsia="仿宋_GB2312"/>
          <w:sz w:val="28"/>
          <w:szCs w:val="28"/>
        </w:rPr>
        <w:fldChar w:fldCharType="separate"/>
      </w:r>
      <w:r>
        <w:rPr>
          <w:rFonts w:hint="eastAsia" w:ascii="仿宋_GB2312" w:eastAsia="仿宋_GB2312"/>
          <w:sz w:val="28"/>
          <w:szCs w:val="28"/>
        </w:rPr>
        <w:t>11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"_Toc486428855" </w:instrText>
      </w:r>
      <w:r>
        <w:fldChar w:fldCharType="separate"/>
      </w:r>
      <w:r>
        <w:rPr>
          <w:rStyle w:val="16"/>
          <w:rFonts w:hint="eastAsia" w:ascii="仿宋_GB2312" w:eastAsia="仿宋_GB2312"/>
          <w:sz w:val="28"/>
          <w:szCs w:val="28"/>
        </w:rPr>
        <w:t>（十二）林地面积调整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_Toc486428855 \h </w:instrText>
      </w:r>
      <w:r>
        <w:rPr>
          <w:rFonts w:hint="eastAsia" w:ascii="仿宋_GB2312" w:eastAsia="仿宋_GB2312"/>
          <w:sz w:val="28"/>
          <w:szCs w:val="28"/>
        </w:rPr>
        <w:fldChar w:fldCharType="separate"/>
      </w:r>
      <w:r>
        <w:rPr>
          <w:rFonts w:hint="eastAsia" w:ascii="仿宋_GB2312" w:eastAsia="仿宋_GB2312"/>
          <w:sz w:val="28"/>
          <w:szCs w:val="28"/>
        </w:rPr>
        <w:t>11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1"/>
        <w:rPr>
          <w:rFonts w:ascii="仿宋_GB2312" w:eastAsia="仿宋_GB2312" w:hAnsiTheme="minorHAnsi" w:cstheme="minorBidi"/>
          <w:b w:val="0"/>
          <w:sz w:val="28"/>
          <w:szCs w:val="28"/>
        </w:rPr>
      </w:pPr>
      <w:r>
        <w:fldChar w:fldCharType="begin"/>
      </w:r>
      <w:r>
        <w:instrText xml:space="preserve"> HYPERLINK \l "_Toc486428856" </w:instrText>
      </w:r>
      <w:r>
        <w:fldChar w:fldCharType="separate"/>
      </w:r>
      <w:r>
        <w:rPr>
          <w:rStyle w:val="16"/>
          <w:rFonts w:hint="eastAsia" w:ascii="仿宋_GB2312" w:eastAsia="仿宋_GB2312"/>
          <w:sz w:val="28"/>
          <w:szCs w:val="28"/>
        </w:rPr>
        <w:t>三、土地利用结构和布局调整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_Toc486428856 \h </w:instrText>
      </w:r>
      <w:r>
        <w:rPr>
          <w:rFonts w:hint="eastAsia" w:ascii="仿宋_GB2312" w:eastAsia="仿宋_GB2312"/>
          <w:sz w:val="28"/>
          <w:szCs w:val="28"/>
        </w:rPr>
        <w:fldChar w:fldCharType="separate"/>
      </w:r>
      <w:r>
        <w:rPr>
          <w:rFonts w:hint="eastAsia" w:ascii="仿宋_GB2312" w:eastAsia="仿宋_GB2312"/>
          <w:sz w:val="28"/>
          <w:szCs w:val="28"/>
        </w:rPr>
        <w:t>12</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"_Toc486428857" </w:instrText>
      </w:r>
      <w:r>
        <w:fldChar w:fldCharType="separate"/>
      </w:r>
      <w:r>
        <w:rPr>
          <w:rStyle w:val="16"/>
          <w:rFonts w:hint="eastAsia" w:ascii="仿宋_GB2312" w:eastAsia="仿宋_GB2312"/>
          <w:sz w:val="28"/>
          <w:szCs w:val="28"/>
        </w:rPr>
        <w:t>（一）农用地结构和布局调整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_Toc486428857 \h </w:instrText>
      </w:r>
      <w:r>
        <w:rPr>
          <w:rFonts w:hint="eastAsia" w:ascii="仿宋_GB2312" w:eastAsia="仿宋_GB2312"/>
          <w:sz w:val="28"/>
          <w:szCs w:val="28"/>
        </w:rPr>
        <w:fldChar w:fldCharType="separate"/>
      </w:r>
      <w:r>
        <w:rPr>
          <w:rFonts w:hint="eastAsia" w:ascii="仿宋_GB2312" w:eastAsia="仿宋_GB2312"/>
          <w:sz w:val="28"/>
          <w:szCs w:val="28"/>
        </w:rPr>
        <w:t>12</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"_Toc486428858" </w:instrText>
      </w:r>
      <w:r>
        <w:fldChar w:fldCharType="separate"/>
      </w:r>
      <w:r>
        <w:rPr>
          <w:rStyle w:val="16"/>
          <w:rFonts w:hint="eastAsia" w:ascii="仿宋_GB2312" w:eastAsia="仿宋_GB2312"/>
          <w:sz w:val="28"/>
          <w:szCs w:val="28"/>
        </w:rPr>
        <w:t>（二）建设用地结构和布局调整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_Toc486428858 \h </w:instrText>
      </w:r>
      <w:r>
        <w:rPr>
          <w:rFonts w:hint="eastAsia" w:ascii="仿宋_GB2312" w:eastAsia="仿宋_GB2312"/>
          <w:sz w:val="28"/>
          <w:szCs w:val="28"/>
        </w:rPr>
        <w:fldChar w:fldCharType="separate"/>
      </w:r>
      <w:r>
        <w:rPr>
          <w:rFonts w:hint="eastAsia" w:ascii="仿宋_GB2312" w:eastAsia="仿宋_GB2312"/>
          <w:sz w:val="28"/>
          <w:szCs w:val="28"/>
        </w:rPr>
        <w:t>14</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"_Toc486428859" </w:instrText>
      </w:r>
      <w:r>
        <w:fldChar w:fldCharType="separate"/>
      </w:r>
      <w:r>
        <w:rPr>
          <w:rStyle w:val="16"/>
          <w:rFonts w:hint="eastAsia" w:ascii="仿宋_GB2312" w:eastAsia="仿宋_GB2312"/>
          <w:sz w:val="28"/>
          <w:szCs w:val="28"/>
        </w:rPr>
        <w:t>（三）其他用地结构和布局调整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_Toc486428859 \h </w:instrText>
      </w:r>
      <w:r>
        <w:rPr>
          <w:rFonts w:hint="eastAsia" w:ascii="仿宋_GB2312" w:eastAsia="仿宋_GB2312"/>
          <w:sz w:val="28"/>
          <w:szCs w:val="28"/>
        </w:rPr>
        <w:fldChar w:fldCharType="separate"/>
      </w:r>
      <w:r>
        <w:rPr>
          <w:rFonts w:hint="eastAsia" w:ascii="仿宋_GB2312" w:eastAsia="仿宋_GB2312"/>
          <w:sz w:val="28"/>
          <w:szCs w:val="28"/>
        </w:rPr>
        <w:t>15</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1"/>
        <w:rPr>
          <w:rFonts w:ascii="仿宋_GB2312" w:eastAsia="仿宋_GB2312" w:hAnsiTheme="minorHAnsi" w:cstheme="minorBidi"/>
          <w:b w:val="0"/>
          <w:sz w:val="28"/>
          <w:szCs w:val="28"/>
        </w:rPr>
      </w:pPr>
      <w:r>
        <w:fldChar w:fldCharType="begin"/>
      </w:r>
      <w:r>
        <w:instrText xml:space="preserve"> HYPERLINK \l "_Toc486428860" </w:instrText>
      </w:r>
      <w:r>
        <w:fldChar w:fldCharType="separate"/>
      </w:r>
      <w:r>
        <w:rPr>
          <w:rStyle w:val="16"/>
          <w:rFonts w:hint="eastAsia" w:ascii="仿宋_GB2312" w:eastAsia="仿宋_GB2312"/>
          <w:sz w:val="28"/>
          <w:szCs w:val="28"/>
        </w:rPr>
        <w:t>四、耕地和基本农田保护规划</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_Toc486428860 \h </w:instrText>
      </w:r>
      <w:r>
        <w:rPr>
          <w:rFonts w:hint="eastAsia" w:ascii="仿宋_GB2312" w:eastAsia="仿宋_GB2312"/>
          <w:sz w:val="28"/>
          <w:szCs w:val="28"/>
        </w:rPr>
        <w:fldChar w:fldCharType="separate"/>
      </w:r>
      <w:r>
        <w:rPr>
          <w:rFonts w:hint="eastAsia" w:ascii="仿宋_GB2312" w:eastAsia="仿宋_GB2312"/>
          <w:sz w:val="28"/>
          <w:szCs w:val="28"/>
        </w:rPr>
        <w:t>16</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"_Toc486428861" </w:instrText>
      </w:r>
      <w:r>
        <w:fldChar w:fldCharType="separate"/>
      </w:r>
      <w:r>
        <w:rPr>
          <w:rStyle w:val="16"/>
          <w:rFonts w:hint="eastAsia" w:ascii="仿宋_GB2312" w:eastAsia="仿宋_GB2312"/>
          <w:sz w:val="28"/>
          <w:szCs w:val="28"/>
        </w:rPr>
        <w:t>（一）耕地和基本农田保护目标</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_Toc486428861 \h </w:instrText>
      </w:r>
      <w:r>
        <w:rPr>
          <w:rFonts w:hint="eastAsia" w:ascii="仿宋_GB2312" w:eastAsia="仿宋_GB2312"/>
          <w:sz w:val="28"/>
          <w:szCs w:val="28"/>
        </w:rPr>
        <w:fldChar w:fldCharType="separate"/>
      </w:r>
      <w:r>
        <w:rPr>
          <w:rFonts w:hint="eastAsia" w:ascii="仿宋_GB2312" w:eastAsia="仿宋_GB2312"/>
          <w:sz w:val="28"/>
          <w:szCs w:val="28"/>
        </w:rPr>
        <w:t>16</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"_Toc486428862" </w:instrText>
      </w:r>
      <w:r>
        <w:fldChar w:fldCharType="separate"/>
      </w:r>
      <w:r>
        <w:rPr>
          <w:rStyle w:val="16"/>
          <w:rFonts w:hint="eastAsia" w:ascii="仿宋_GB2312" w:eastAsia="仿宋_GB2312"/>
          <w:sz w:val="28"/>
          <w:szCs w:val="28"/>
        </w:rPr>
        <w:t>（二）土地综合整治</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_Toc486428862 \h </w:instrText>
      </w:r>
      <w:r>
        <w:rPr>
          <w:rFonts w:hint="eastAsia" w:ascii="仿宋_GB2312" w:eastAsia="仿宋_GB2312"/>
          <w:sz w:val="28"/>
          <w:szCs w:val="28"/>
        </w:rPr>
        <w:fldChar w:fldCharType="separate"/>
      </w:r>
      <w:r>
        <w:rPr>
          <w:rFonts w:hint="eastAsia" w:ascii="仿宋_GB2312" w:eastAsia="仿宋_GB2312"/>
          <w:sz w:val="28"/>
          <w:szCs w:val="28"/>
        </w:rPr>
        <w:t>17</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"_Toc486428863" </w:instrText>
      </w:r>
      <w:r>
        <w:fldChar w:fldCharType="separate"/>
      </w:r>
      <w:r>
        <w:rPr>
          <w:rStyle w:val="16"/>
          <w:rFonts w:hint="eastAsia" w:ascii="仿宋_GB2312" w:eastAsia="仿宋_GB2312"/>
          <w:sz w:val="28"/>
          <w:szCs w:val="28"/>
        </w:rPr>
        <w:t>（三）基本农田数量保护、质量建设和管护的措施</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_Toc486428863 \h </w:instrText>
      </w:r>
      <w:r>
        <w:rPr>
          <w:rFonts w:hint="eastAsia" w:ascii="仿宋_GB2312" w:eastAsia="仿宋_GB2312"/>
          <w:sz w:val="28"/>
          <w:szCs w:val="28"/>
        </w:rPr>
        <w:fldChar w:fldCharType="separate"/>
      </w:r>
      <w:r>
        <w:rPr>
          <w:rFonts w:hint="eastAsia" w:ascii="仿宋_GB2312" w:eastAsia="仿宋_GB2312"/>
          <w:sz w:val="28"/>
          <w:szCs w:val="28"/>
        </w:rPr>
        <w:t>18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1"/>
        <w:rPr>
          <w:rFonts w:ascii="仿宋_GB2312" w:eastAsia="仿宋_GB2312" w:hAnsiTheme="minorHAnsi" w:cstheme="minorBidi"/>
          <w:b w:val="0"/>
          <w:sz w:val="28"/>
          <w:szCs w:val="28"/>
        </w:rPr>
      </w:pPr>
      <w:r>
        <w:fldChar w:fldCharType="begin"/>
      </w:r>
      <w:r>
        <w:instrText xml:space="preserve"> HYPERLINK \l "_Toc486428864" </w:instrText>
      </w:r>
      <w:r>
        <w:fldChar w:fldCharType="separate"/>
      </w:r>
      <w:r>
        <w:rPr>
          <w:rStyle w:val="16"/>
          <w:rFonts w:hint="eastAsia" w:ascii="仿宋_GB2312" w:eastAsia="仿宋_GB2312"/>
          <w:sz w:val="28"/>
          <w:szCs w:val="28"/>
        </w:rPr>
        <w:t>五、建设用地规划</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_Toc486428864 \h </w:instrText>
      </w:r>
      <w:r>
        <w:rPr>
          <w:rFonts w:hint="eastAsia" w:ascii="仿宋_GB2312" w:eastAsia="仿宋_GB2312"/>
          <w:sz w:val="28"/>
          <w:szCs w:val="28"/>
        </w:rPr>
        <w:fldChar w:fldCharType="separate"/>
      </w:r>
      <w:r>
        <w:rPr>
          <w:rFonts w:hint="eastAsia" w:ascii="仿宋_GB2312" w:eastAsia="仿宋_GB2312"/>
          <w:sz w:val="28"/>
          <w:szCs w:val="28"/>
        </w:rPr>
        <w:t>21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"_Toc486428865" </w:instrText>
      </w:r>
      <w:r>
        <w:fldChar w:fldCharType="separate"/>
      </w:r>
      <w:r>
        <w:rPr>
          <w:rStyle w:val="16"/>
          <w:rFonts w:hint="eastAsia" w:ascii="仿宋_GB2312" w:eastAsia="仿宋_GB2312"/>
          <w:sz w:val="28"/>
          <w:szCs w:val="28"/>
        </w:rPr>
        <w:t>（一）城镇和农村居民点用地控制</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_Toc486428865 \h </w:instrText>
      </w:r>
      <w:r>
        <w:rPr>
          <w:rFonts w:hint="eastAsia" w:ascii="仿宋_GB2312" w:eastAsia="仿宋_GB2312"/>
          <w:sz w:val="28"/>
          <w:szCs w:val="28"/>
        </w:rPr>
        <w:fldChar w:fldCharType="separate"/>
      </w:r>
      <w:r>
        <w:rPr>
          <w:rFonts w:hint="eastAsia" w:ascii="仿宋_GB2312" w:eastAsia="仿宋_GB2312"/>
          <w:sz w:val="28"/>
          <w:szCs w:val="28"/>
        </w:rPr>
        <w:t>21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"_Toc486428866" </w:instrText>
      </w:r>
      <w:r>
        <w:fldChar w:fldCharType="separate"/>
      </w:r>
      <w:r>
        <w:rPr>
          <w:rStyle w:val="16"/>
          <w:rFonts w:hint="eastAsia" w:ascii="仿宋_GB2312" w:eastAsia="仿宋_GB2312"/>
          <w:sz w:val="28"/>
          <w:szCs w:val="28"/>
        </w:rPr>
        <w:t>（二）重点建设项目用地安排</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_Toc486428866 \h </w:instrText>
      </w:r>
      <w:r>
        <w:rPr>
          <w:rFonts w:hint="eastAsia" w:ascii="仿宋_GB2312" w:eastAsia="仿宋_GB2312"/>
          <w:sz w:val="28"/>
          <w:szCs w:val="28"/>
        </w:rPr>
        <w:fldChar w:fldCharType="separate"/>
      </w:r>
      <w:r>
        <w:rPr>
          <w:rFonts w:hint="eastAsia" w:ascii="仿宋_GB2312" w:eastAsia="仿宋_GB2312"/>
          <w:sz w:val="28"/>
          <w:szCs w:val="28"/>
        </w:rPr>
        <w:t>22</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"_Toc486428867" </w:instrText>
      </w:r>
      <w:r>
        <w:fldChar w:fldCharType="separate"/>
      </w:r>
      <w:r>
        <w:rPr>
          <w:rStyle w:val="16"/>
          <w:rFonts w:hint="eastAsia" w:ascii="仿宋_GB2312" w:eastAsia="仿宋_GB2312"/>
          <w:sz w:val="28"/>
          <w:szCs w:val="28"/>
        </w:rPr>
        <w:t>（三）建设用地空间管制</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_Toc486428867 \h </w:instrText>
      </w:r>
      <w:r>
        <w:rPr>
          <w:rFonts w:hint="eastAsia" w:ascii="仿宋_GB2312" w:eastAsia="仿宋_GB2312"/>
          <w:sz w:val="28"/>
          <w:szCs w:val="28"/>
        </w:rPr>
        <w:fldChar w:fldCharType="separate"/>
      </w:r>
      <w:r>
        <w:rPr>
          <w:rFonts w:hint="eastAsia" w:ascii="仿宋_GB2312" w:eastAsia="仿宋_GB2312"/>
          <w:sz w:val="28"/>
          <w:szCs w:val="28"/>
        </w:rPr>
        <w:t>23</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1"/>
        <w:rPr>
          <w:rFonts w:ascii="仿宋_GB2312" w:eastAsia="仿宋_GB2312" w:hAnsiTheme="minorHAnsi" w:cstheme="minorBidi"/>
          <w:b w:val="0"/>
          <w:sz w:val="28"/>
          <w:szCs w:val="28"/>
        </w:rPr>
      </w:pPr>
      <w:r>
        <w:fldChar w:fldCharType="begin"/>
      </w:r>
      <w:r>
        <w:instrText xml:space="preserve"> HYPERLINK \l "_Toc486428868" </w:instrText>
      </w:r>
      <w:r>
        <w:fldChar w:fldCharType="separate"/>
      </w:r>
      <w:r>
        <w:rPr>
          <w:rStyle w:val="16"/>
          <w:rFonts w:hint="eastAsia" w:ascii="仿宋_GB2312" w:eastAsia="仿宋_GB2312"/>
          <w:sz w:val="28"/>
          <w:szCs w:val="28"/>
        </w:rPr>
        <w:t>六、用途分区</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_Toc486428868 \h </w:instrText>
      </w:r>
      <w:r>
        <w:rPr>
          <w:rFonts w:hint="eastAsia" w:ascii="仿宋_GB2312" w:eastAsia="仿宋_GB2312"/>
          <w:sz w:val="28"/>
          <w:szCs w:val="28"/>
        </w:rPr>
        <w:fldChar w:fldCharType="separate"/>
      </w:r>
      <w:r>
        <w:rPr>
          <w:rFonts w:hint="eastAsia" w:ascii="仿宋_GB2312" w:eastAsia="仿宋_GB2312"/>
          <w:sz w:val="28"/>
          <w:szCs w:val="28"/>
        </w:rPr>
        <w:t>27</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"_Toc486428869" </w:instrText>
      </w:r>
      <w:r>
        <w:fldChar w:fldCharType="separate"/>
      </w:r>
      <w:r>
        <w:rPr>
          <w:rStyle w:val="16"/>
          <w:rFonts w:hint="eastAsia" w:ascii="仿宋_GB2312" w:eastAsia="仿宋_GB2312"/>
          <w:sz w:val="28"/>
          <w:szCs w:val="28"/>
        </w:rPr>
        <w:t>（一）基本农田保护区</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_Toc486428869 \h </w:instrText>
      </w:r>
      <w:r>
        <w:rPr>
          <w:rFonts w:hint="eastAsia" w:ascii="仿宋_GB2312" w:eastAsia="仿宋_GB2312"/>
          <w:sz w:val="28"/>
          <w:szCs w:val="28"/>
        </w:rPr>
        <w:fldChar w:fldCharType="separate"/>
      </w:r>
      <w:r>
        <w:rPr>
          <w:rFonts w:hint="eastAsia" w:ascii="仿宋_GB2312" w:eastAsia="仿宋_GB2312"/>
          <w:sz w:val="28"/>
          <w:szCs w:val="28"/>
        </w:rPr>
        <w:t>27</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"_Toc486428870" </w:instrText>
      </w:r>
      <w:r>
        <w:fldChar w:fldCharType="separate"/>
      </w:r>
      <w:r>
        <w:rPr>
          <w:rStyle w:val="16"/>
          <w:rFonts w:hint="eastAsia" w:ascii="仿宋_GB2312" w:eastAsia="仿宋_GB2312"/>
          <w:sz w:val="28"/>
          <w:szCs w:val="28"/>
        </w:rPr>
        <w:t>（二）一般农地区</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_Toc486428870 \h </w:instrText>
      </w:r>
      <w:r>
        <w:rPr>
          <w:rFonts w:hint="eastAsia" w:ascii="仿宋_GB2312" w:eastAsia="仿宋_GB2312"/>
          <w:sz w:val="28"/>
          <w:szCs w:val="28"/>
        </w:rPr>
        <w:fldChar w:fldCharType="separate"/>
      </w:r>
      <w:r>
        <w:rPr>
          <w:rFonts w:hint="eastAsia" w:ascii="仿宋_GB2312" w:eastAsia="仿宋_GB2312"/>
          <w:sz w:val="28"/>
          <w:szCs w:val="28"/>
        </w:rPr>
        <w:t>28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"_Toc486428871" </w:instrText>
      </w:r>
      <w:r>
        <w:fldChar w:fldCharType="separate"/>
      </w:r>
      <w:r>
        <w:rPr>
          <w:rStyle w:val="16"/>
          <w:rFonts w:hint="eastAsia" w:ascii="仿宋_GB2312" w:eastAsia="仿宋_GB2312"/>
          <w:sz w:val="28"/>
          <w:szCs w:val="28"/>
        </w:rPr>
        <w:t>（三）城镇建设用地区</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_Toc486428871 \h </w:instrText>
      </w:r>
      <w:r>
        <w:rPr>
          <w:rFonts w:hint="eastAsia" w:ascii="仿宋_GB2312" w:eastAsia="仿宋_GB2312"/>
          <w:sz w:val="28"/>
          <w:szCs w:val="28"/>
        </w:rPr>
        <w:fldChar w:fldCharType="separate"/>
      </w:r>
      <w:r>
        <w:rPr>
          <w:rFonts w:hint="eastAsia" w:ascii="仿宋_GB2312" w:eastAsia="仿宋_GB2312"/>
          <w:sz w:val="28"/>
          <w:szCs w:val="28"/>
        </w:rPr>
        <w:t>28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"_Toc486428872" </w:instrText>
      </w:r>
      <w:r>
        <w:fldChar w:fldCharType="separate"/>
      </w:r>
      <w:r>
        <w:rPr>
          <w:rStyle w:val="16"/>
          <w:rFonts w:hint="eastAsia" w:ascii="仿宋_GB2312" w:eastAsia="仿宋_GB2312"/>
          <w:sz w:val="28"/>
          <w:szCs w:val="28"/>
        </w:rPr>
        <w:t>（四）村镇建设用地区</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_Toc486428872 \h </w:instrText>
      </w:r>
      <w:r>
        <w:rPr>
          <w:rFonts w:hint="eastAsia" w:ascii="仿宋_GB2312" w:eastAsia="仿宋_GB2312"/>
          <w:sz w:val="28"/>
          <w:szCs w:val="28"/>
        </w:rPr>
        <w:fldChar w:fldCharType="separate"/>
      </w:r>
      <w:r>
        <w:rPr>
          <w:rFonts w:hint="eastAsia" w:ascii="仿宋_GB2312" w:eastAsia="仿宋_GB2312"/>
          <w:sz w:val="28"/>
          <w:szCs w:val="28"/>
        </w:rPr>
        <w:t>29</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"_Toc486428873" </w:instrText>
      </w:r>
      <w:r>
        <w:fldChar w:fldCharType="separate"/>
      </w:r>
      <w:r>
        <w:rPr>
          <w:rStyle w:val="16"/>
          <w:rFonts w:hint="eastAsia" w:ascii="仿宋_GB2312" w:eastAsia="仿宋_GB2312"/>
          <w:sz w:val="28"/>
          <w:szCs w:val="28"/>
        </w:rPr>
        <w:t>（五）独立工矿用地区</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_Toc486428873 \h </w:instrText>
      </w:r>
      <w:r>
        <w:rPr>
          <w:rFonts w:hint="eastAsia" w:ascii="仿宋_GB2312" w:eastAsia="仿宋_GB2312"/>
          <w:sz w:val="28"/>
          <w:szCs w:val="28"/>
        </w:rPr>
        <w:fldChar w:fldCharType="separate"/>
      </w:r>
      <w:r>
        <w:rPr>
          <w:rFonts w:hint="eastAsia" w:ascii="仿宋_GB2312" w:eastAsia="仿宋_GB2312"/>
          <w:sz w:val="28"/>
          <w:szCs w:val="28"/>
        </w:rPr>
        <w:t>30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"_Toc486428874" </w:instrText>
      </w:r>
      <w:r>
        <w:fldChar w:fldCharType="separate"/>
      </w:r>
      <w:r>
        <w:rPr>
          <w:rStyle w:val="16"/>
          <w:rFonts w:hint="eastAsia" w:ascii="仿宋_GB2312" w:eastAsia="仿宋_GB2312"/>
          <w:sz w:val="28"/>
          <w:szCs w:val="28"/>
        </w:rPr>
        <w:t>（六）林业用地区</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_Toc486428874 \h </w:instrText>
      </w:r>
      <w:r>
        <w:rPr>
          <w:rFonts w:hint="eastAsia" w:ascii="仿宋_GB2312" w:eastAsia="仿宋_GB2312"/>
          <w:sz w:val="28"/>
          <w:szCs w:val="28"/>
        </w:rPr>
        <w:fldChar w:fldCharType="separate"/>
      </w:r>
      <w:r>
        <w:rPr>
          <w:rFonts w:hint="eastAsia" w:ascii="仿宋_GB2312" w:eastAsia="仿宋_GB2312"/>
          <w:sz w:val="28"/>
          <w:szCs w:val="28"/>
        </w:rPr>
        <w:t>30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"_Toc486428875" </w:instrText>
      </w:r>
      <w:r>
        <w:fldChar w:fldCharType="separate"/>
      </w:r>
      <w:r>
        <w:rPr>
          <w:rStyle w:val="16"/>
          <w:rFonts w:hint="eastAsia" w:ascii="仿宋_GB2312" w:eastAsia="仿宋_GB2312"/>
          <w:sz w:val="28"/>
          <w:szCs w:val="28"/>
        </w:rPr>
        <w:t>（七）其他用地区</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_Toc486428875 \h </w:instrText>
      </w:r>
      <w:r>
        <w:rPr>
          <w:rFonts w:hint="eastAsia" w:ascii="仿宋_GB2312" w:eastAsia="仿宋_GB2312"/>
          <w:sz w:val="28"/>
          <w:szCs w:val="28"/>
        </w:rPr>
        <w:fldChar w:fldCharType="separate"/>
      </w:r>
      <w:r>
        <w:rPr>
          <w:rFonts w:hint="eastAsia" w:ascii="仿宋_GB2312" w:eastAsia="仿宋_GB2312"/>
          <w:sz w:val="28"/>
          <w:szCs w:val="28"/>
        </w:rPr>
        <w:t>31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1"/>
        <w:rPr>
          <w:rFonts w:ascii="仿宋_GB2312" w:eastAsia="仿宋_GB2312" w:hAnsiTheme="minorHAnsi" w:cstheme="minorBidi"/>
          <w:b w:val="0"/>
          <w:sz w:val="28"/>
          <w:szCs w:val="28"/>
        </w:rPr>
      </w:pPr>
      <w:r>
        <w:fldChar w:fldCharType="begin"/>
      </w:r>
      <w:r>
        <w:instrText xml:space="preserve"> HYPERLINK \l "_Toc486428876" </w:instrText>
      </w:r>
      <w:r>
        <w:fldChar w:fldCharType="separate"/>
      </w:r>
      <w:r>
        <w:rPr>
          <w:rStyle w:val="16"/>
          <w:rFonts w:hint="eastAsia" w:ascii="仿宋_GB2312" w:eastAsia="仿宋_GB2312"/>
          <w:sz w:val="28"/>
          <w:szCs w:val="28"/>
        </w:rPr>
        <w:t>七、生态保护用地规划</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_Toc486428876 \h </w:instrText>
      </w:r>
      <w:r>
        <w:rPr>
          <w:rFonts w:hint="eastAsia" w:ascii="仿宋_GB2312" w:eastAsia="仿宋_GB2312"/>
          <w:sz w:val="28"/>
          <w:szCs w:val="28"/>
        </w:rPr>
        <w:fldChar w:fldCharType="separate"/>
      </w:r>
      <w:r>
        <w:rPr>
          <w:rFonts w:hint="eastAsia" w:ascii="仿宋_GB2312" w:eastAsia="仿宋_GB2312"/>
          <w:sz w:val="28"/>
          <w:szCs w:val="28"/>
        </w:rPr>
        <w:t>32</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"_Toc486428877" </w:instrText>
      </w:r>
      <w:r>
        <w:fldChar w:fldCharType="separate"/>
      </w:r>
      <w:r>
        <w:rPr>
          <w:rStyle w:val="16"/>
          <w:rFonts w:hint="eastAsia" w:ascii="仿宋_GB2312" w:eastAsia="仿宋_GB2312"/>
          <w:sz w:val="28"/>
          <w:szCs w:val="28"/>
        </w:rPr>
        <w:t>（一）构建良好的农业生态环境基础</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_Toc486428877 \h </w:instrText>
      </w:r>
      <w:r>
        <w:rPr>
          <w:rFonts w:hint="eastAsia" w:ascii="仿宋_GB2312" w:eastAsia="仿宋_GB2312"/>
          <w:sz w:val="28"/>
          <w:szCs w:val="28"/>
        </w:rPr>
        <w:fldChar w:fldCharType="separate"/>
      </w:r>
      <w:r>
        <w:rPr>
          <w:rFonts w:hint="eastAsia" w:ascii="仿宋_GB2312" w:eastAsia="仿宋_GB2312"/>
          <w:sz w:val="28"/>
          <w:szCs w:val="28"/>
        </w:rPr>
        <w:t>32</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"_Toc486428878" </w:instrText>
      </w:r>
      <w:r>
        <w:fldChar w:fldCharType="separate"/>
      </w:r>
      <w:r>
        <w:rPr>
          <w:rStyle w:val="16"/>
          <w:rFonts w:hint="eastAsia" w:ascii="仿宋_GB2312" w:eastAsia="仿宋_GB2312"/>
          <w:sz w:val="28"/>
          <w:szCs w:val="28"/>
        </w:rPr>
        <w:t>（二）加强城镇生态环境建设</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_Toc486428878 \h </w:instrText>
      </w:r>
      <w:r>
        <w:rPr>
          <w:rFonts w:hint="eastAsia" w:ascii="仿宋_GB2312" w:eastAsia="仿宋_GB2312"/>
          <w:sz w:val="28"/>
          <w:szCs w:val="28"/>
        </w:rPr>
        <w:fldChar w:fldCharType="separate"/>
      </w:r>
      <w:r>
        <w:rPr>
          <w:rFonts w:hint="eastAsia" w:ascii="仿宋_GB2312" w:eastAsia="仿宋_GB2312"/>
          <w:sz w:val="28"/>
          <w:szCs w:val="28"/>
        </w:rPr>
        <w:t>33</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"_Toc486428879" </w:instrText>
      </w:r>
      <w:r>
        <w:fldChar w:fldCharType="separate"/>
      </w:r>
      <w:r>
        <w:rPr>
          <w:rStyle w:val="16"/>
          <w:rFonts w:hint="eastAsia" w:ascii="仿宋_GB2312" w:eastAsia="仿宋_GB2312"/>
          <w:sz w:val="28"/>
          <w:szCs w:val="28"/>
        </w:rPr>
        <w:t>（三）加强农村地区生态环境建设</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_Toc486428879 \h </w:instrText>
      </w:r>
      <w:r>
        <w:rPr>
          <w:rFonts w:hint="eastAsia" w:ascii="仿宋_GB2312" w:eastAsia="仿宋_GB2312"/>
          <w:sz w:val="28"/>
          <w:szCs w:val="28"/>
        </w:rPr>
        <w:fldChar w:fldCharType="separate"/>
      </w:r>
      <w:r>
        <w:rPr>
          <w:rFonts w:hint="eastAsia" w:ascii="仿宋_GB2312" w:eastAsia="仿宋_GB2312"/>
          <w:sz w:val="28"/>
          <w:szCs w:val="28"/>
        </w:rPr>
        <w:t>33</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ind w:left="0" w:leftChars="0"/>
        <w:rPr>
          <w:rFonts w:ascii="仿宋_GB2312" w:eastAsia="仿宋_GB2312" w:hAnsiTheme="minorHAnsi" w:cstheme="minorBidi"/>
          <w:sz w:val="28"/>
          <w:szCs w:val="28"/>
        </w:rPr>
      </w:pPr>
      <w:r>
        <w:fldChar w:fldCharType="begin"/>
      </w:r>
      <w:r>
        <w:instrText xml:space="preserve"> HYPERLINK \l "_Toc486428880" </w:instrText>
      </w:r>
      <w:r>
        <w:fldChar w:fldCharType="separate"/>
      </w:r>
      <w:r>
        <w:rPr>
          <w:rStyle w:val="16"/>
          <w:rFonts w:hint="eastAsia" w:ascii="仿宋_GB2312" w:hAnsi="宋体" w:eastAsia="仿宋_GB2312"/>
          <w:sz w:val="28"/>
          <w:szCs w:val="28"/>
        </w:rPr>
        <w:t>附表一  石麟镇土地利用主要调控指标表</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_Toc486428880 \h </w:instrText>
      </w:r>
      <w:r>
        <w:rPr>
          <w:rFonts w:hint="eastAsia" w:ascii="仿宋_GB2312" w:eastAsia="仿宋_GB2312"/>
          <w:sz w:val="28"/>
          <w:szCs w:val="28"/>
        </w:rPr>
        <w:fldChar w:fldCharType="separate"/>
      </w:r>
      <w:r>
        <w:rPr>
          <w:rFonts w:hint="eastAsia" w:ascii="仿宋_GB2312" w:eastAsia="仿宋_GB2312"/>
          <w:sz w:val="28"/>
          <w:szCs w:val="28"/>
        </w:rPr>
        <w:t>35</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ind w:left="0" w:leftChars="0"/>
        <w:rPr>
          <w:rFonts w:ascii="仿宋_GB2312" w:eastAsia="仿宋_GB2312" w:hAnsiTheme="minorHAnsi" w:cstheme="minorBidi"/>
          <w:sz w:val="28"/>
          <w:szCs w:val="28"/>
        </w:rPr>
      </w:pPr>
      <w:r>
        <w:fldChar w:fldCharType="begin"/>
      </w:r>
      <w:r>
        <w:instrText xml:space="preserve"> HYPERLINK \l "_Toc486428881" </w:instrText>
      </w:r>
      <w:r>
        <w:fldChar w:fldCharType="separate"/>
      </w:r>
      <w:r>
        <w:rPr>
          <w:rStyle w:val="16"/>
          <w:rFonts w:hint="eastAsia" w:ascii="仿宋_GB2312" w:hAnsi="宋体" w:eastAsia="仿宋_GB2312"/>
          <w:sz w:val="28"/>
          <w:szCs w:val="28"/>
        </w:rPr>
        <w:t>附表二  石麟镇土地利用结构调整表</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_Toc486428881 \h </w:instrText>
      </w:r>
      <w:r>
        <w:rPr>
          <w:rFonts w:hint="eastAsia" w:ascii="仿宋_GB2312" w:eastAsia="仿宋_GB2312"/>
          <w:sz w:val="28"/>
          <w:szCs w:val="28"/>
        </w:rPr>
        <w:fldChar w:fldCharType="separate"/>
      </w:r>
      <w:r>
        <w:rPr>
          <w:rFonts w:hint="eastAsia" w:ascii="仿宋_GB2312" w:eastAsia="仿宋_GB2312"/>
          <w:sz w:val="28"/>
          <w:szCs w:val="28"/>
        </w:rPr>
        <w:t>36</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ind w:left="0" w:leftChars="0"/>
        <w:rPr>
          <w:rFonts w:ascii="仿宋_GB2312" w:eastAsia="仿宋_GB2312" w:hAnsiTheme="minorHAnsi" w:cstheme="minorBidi"/>
          <w:sz w:val="28"/>
          <w:szCs w:val="28"/>
        </w:rPr>
      </w:pPr>
      <w:r>
        <w:fldChar w:fldCharType="begin"/>
      </w:r>
      <w:r>
        <w:instrText xml:space="preserve"> HYPERLINK \l "_Toc486428882" </w:instrText>
      </w:r>
      <w:r>
        <w:fldChar w:fldCharType="separate"/>
      </w:r>
      <w:r>
        <w:rPr>
          <w:rStyle w:val="16"/>
          <w:rFonts w:hint="eastAsia" w:ascii="仿宋_GB2312" w:hAnsi="宋体" w:eastAsia="仿宋_GB2312"/>
          <w:sz w:val="28"/>
          <w:szCs w:val="28"/>
        </w:rPr>
        <w:t>附表三  石麟镇各乡村土地用途分区面积表</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_Toc486428882 \h </w:instrText>
      </w:r>
      <w:r>
        <w:rPr>
          <w:rFonts w:hint="eastAsia" w:ascii="仿宋_GB2312" w:eastAsia="仿宋_GB2312"/>
          <w:sz w:val="28"/>
          <w:szCs w:val="28"/>
        </w:rPr>
        <w:fldChar w:fldCharType="separate"/>
      </w:r>
      <w:r>
        <w:rPr>
          <w:rFonts w:hint="eastAsia" w:ascii="仿宋_GB2312" w:eastAsia="仿宋_GB2312"/>
          <w:sz w:val="28"/>
          <w:szCs w:val="28"/>
        </w:rPr>
        <w:t>37</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ind w:left="0" w:leftChars="0"/>
        <w:rPr>
          <w:rFonts w:ascii="仿宋_GB2312" w:eastAsia="仿宋_GB2312" w:hAnsiTheme="minorHAnsi" w:cstheme="minorBidi"/>
          <w:sz w:val="28"/>
          <w:szCs w:val="28"/>
        </w:rPr>
      </w:pPr>
      <w:r>
        <w:fldChar w:fldCharType="begin"/>
      </w:r>
      <w:r>
        <w:instrText xml:space="preserve"> HYPERLINK \l "_Toc486428883" </w:instrText>
      </w:r>
      <w:r>
        <w:fldChar w:fldCharType="separate"/>
      </w:r>
      <w:r>
        <w:rPr>
          <w:rStyle w:val="16"/>
          <w:rFonts w:hint="eastAsia" w:ascii="仿宋_GB2312" w:hAnsi="宋体" w:eastAsia="仿宋_GB2312"/>
          <w:sz w:val="28"/>
          <w:szCs w:val="28"/>
        </w:rPr>
        <w:t>附表四   石麟镇耕地保有量、基本农田情况表</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_Toc486428883 \h </w:instrText>
      </w:r>
      <w:r>
        <w:rPr>
          <w:rFonts w:hint="eastAsia" w:ascii="仿宋_GB2312" w:eastAsia="仿宋_GB2312"/>
          <w:sz w:val="28"/>
          <w:szCs w:val="28"/>
        </w:rPr>
        <w:fldChar w:fldCharType="separate"/>
      </w:r>
      <w:r>
        <w:rPr>
          <w:rFonts w:hint="eastAsia" w:ascii="仿宋_GB2312" w:eastAsia="仿宋_GB2312"/>
          <w:sz w:val="28"/>
          <w:szCs w:val="28"/>
        </w:rPr>
        <w:t>39</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ind w:left="0" w:leftChars="0"/>
        <w:rPr>
          <w:rFonts w:ascii="仿宋_GB2312" w:eastAsia="仿宋_GB2312" w:hAnsiTheme="minorHAnsi" w:cstheme="minorBidi"/>
          <w:sz w:val="28"/>
          <w:szCs w:val="28"/>
        </w:rPr>
      </w:pPr>
      <w:r>
        <w:fldChar w:fldCharType="begin"/>
      </w:r>
      <w:r>
        <w:instrText xml:space="preserve"> HYPERLINK \l "_Toc486428884" </w:instrText>
      </w:r>
      <w:r>
        <w:fldChar w:fldCharType="separate"/>
      </w:r>
      <w:r>
        <w:rPr>
          <w:rStyle w:val="16"/>
          <w:rFonts w:hint="eastAsia" w:ascii="仿宋_GB2312" w:hAnsi="宋体" w:eastAsia="仿宋_GB2312"/>
          <w:sz w:val="28"/>
          <w:szCs w:val="28"/>
        </w:rPr>
        <w:t>附表五  石麟镇省、市、县重点建设项目规划表</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_Toc486428884 \h </w:instrText>
      </w:r>
      <w:r>
        <w:rPr>
          <w:rFonts w:hint="eastAsia" w:ascii="仿宋_GB2312" w:eastAsia="仿宋_GB2312"/>
          <w:sz w:val="28"/>
          <w:szCs w:val="28"/>
        </w:rPr>
        <w:fldChar w:fldCharType="separate"/>
      </w:r>
      <w:r>
        <w:rPr>
          <w:rFonts w:hint="eastAsia" w:ascii="仿宋_GB2312" w:eastAsia="仿宋_GB2312"/>
          <w:sz w:val="28"/>
          <w:szCs w:val="28"/>
        </w:rPr>
        <w:t>40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ind w:left="0" w:leftChars="0"/>
        <w:rPr>
          <w:rFonts w:ascii="仿宋_GB2312" w:eastAsia="仿宋_GB2312" w:hAnsiTheme="minorHAnsi" w:cstheme="minorBidi"/>
          <w:sz w:val="28"/>
          <w:szCs w:val="28"/>
        </w:rPr>
      </w:pPr>
      <w:r>
        <w:fldChar w:fldCharType="begin"/>
      </w:r>
      <w:r>
        <w:instrText xml:space="preserve"> HYPERLINK \l "_Toc486428885" </w:instrText>
      </w:r>
      <w:r>
        <w:fldChar w:fldCharType="separate"/>
      </w:r>
      <w:r>
        <w:rPr>
          <w:rStyle w:val="16"/>
          <w:rFonts w:hint="eastAsia" w:ascii="仿宋_GB2312" w:hAnsi="宋体" w:eastAsia="仿宋_GB2312"/>
          <w:sz w:val="28"/>
          <w:szCs w:val="28"/>
        </w:rPr>
        <w:t>附表六  石麟镇各乡村规划控制指标表</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_Toc486428885 \h </w:instrText>
      </w:r>
      <w:r>
        <w:rPr>
          <w:rFonts w:hint="eastAsia" w:ascii="仿宋_GB2312" w:eastAsia="仿宋_GB2312"/>
          <w:sz w:val="28"/>
          <w:szCs w:val="28"/>
        </w:rPr>
        <w:fldChar w:fldCharType="separate"/>
      </w:r>
      <w:r>
        <w:rPr>
          <w:rFonts w:hint="eastAsia" w:ascii="仿宋_GB2312" w:eastAsia="仿宋_GB2312"/>
          <w:sz w:val="28"/>
          <w:szCs w:val="28"/>
        </w:rPr>
        <w:t>43</w:t>
      </w:r>
      <w:r>
        <w:rPr>
          <w:rFonts w:hint="eastAsia" w:ascii="仿宋_GB2312" w:eastAsia="仿宋_GB2312"/>
          <w:sz w:val="28"/>
          <w:szCs w:val="28"/>
        </w:rPr>
        <w:fldChar w:fldCharType="end"/>
      </w:r>
      <w:r>
        <w:rPr>
          <w:rFonts w:hint="eastAsia" w:ascii="仿宋_GB2312" w:eastAsia="仿宋_GB2312"/>
          <w:sz w:val="28"/>
          <w:szCs w:val="28"/>
        </w:rPr>
        <w:fldChar w:fldCharType="end"/>
      </w:r>
    </w:p>
    <w:p>
      <w:pPr>
        <w:spacing w:line="500" w:lineRule="exact"/>
        <w:jc w:val="center"/>
        <w:rPr>
          <w:rFonts w:ascii="仿宋_GB2312" w:hAnsi="黑体" w:eastAsia="仿宋_GB2312"/>
          <w:sz w:val="28"/>
          <w:szCs w:val="28"/>
        </w:rPr>
      </w:pPr>
      <w:r>
        <w:rPr>
          <w:rFonts w:hint="eastAsia" w:ascii="仿宋_GB2312" w:hAnsi="宋体" w:eastAsia="仿宋_GB2312"/>
          <w:sz w:val="28"/>
          <w:szCs w:val="28"/>
        </w:rPr>
        <w:fldChar w:fldCharType="end"/>
      </w:r>
    </w:p>
    <w:p>
      <w:pPr>
        <w:spacing w:line="500" w:lineRule="exact"/>
        <w:jc w:val="center"/>
        <w:rPr>
          <w:rFonts w:ascii="仿宋_GB2312" w:hAnsi="黑体" w:eastAsia="仿宋_GB2312"/>
          <w:sz w:val="28"/>
          <w:szCs w:val="28"/>
        </w:rPr>
      </w:pPr>
    </w:p>
    <w:p>
      <w:pPr>
        <w:widowControl/>
        <w:jc w:val="left"/>
        <w:rPr>
          <w:rFonts w:ascii="仿宋_GB2312" w:hAnsi="宋体" w:eastAsia="仿宋_GB2312"/>
          <w:sz w:val="28"/>
          <w:szCs w:val="28"/>
        </w:rPr>
        <w:sectPr>
          <w:footerReference r:id="rId4" w:type="default"/>
          <w:type w:val="oddPage"/>
          <w:pgSz w:w="11906" w:h="16838"/>
          <w:pgMar w:top="1440" w:right="1800" w:bottom="1440" w:left="1800" w:header="851" w:footer="992" w:gutter="0"/>
          <w:pgNumType w:fmt="upperRoman" w:start="1"/>
          <w:cols w:space="425" w:num="1"/>
          <w:docGrid w:type="lines" w:linePitch="312" w:charSpace="0"/>
        </w:sectPr>
      </w:pPr>
    </w:p>
    <w:p>
      <w:pPr>
        <w:spacing w:line="500" w:lineRule="exact"/>
        <w:rPr>
          <w:rFonts w:ascii="仿宋_GB2312" w:hAnsi="宋体" w:eastAsia="仿宋_GB2312"/>
          <w:sz w:val="28"/>
          <w:szCs w:val="28"/>
        </w:rPr>
      </w:pPr>
    </w:p>
    <w:p>
      <w:pPr>
        <w:pStyle w:val="2"/>
      </w:pPr>
      <w:bookmarkStart w:id="0" w:name="_Toc486428839"/>
      <w:r>
        <w:rPr>
          <w:rFonts w:hint="eastAsia"/>
        </w:rPr>
        <w:t>一、2014年土地利用现状</w:t>
      </w:r>
      <w:bookmarkEnd w:id="0"/>
    </w:p>
    <w:p>
      <w:pPr>
        <w:pStyle w:val="3"/>
      </w:pPr>
      <w:bookmarkStart w:id="1" w:name="_Toc486428840"/>
      <w:r>
        <w:rPr>
          <w:rFonts w:hint="eastAsia"/>
        </w:rPr>
        <w:t>（一）土地利用现状及分布</w:t>
      </w:r>
      <w:bookmarkEnd w:id="1"/>
    </w:p>
    <w:p>
      <w:pPr>
        <w:ind w:firstLine="560" w:firstLineChars="200"/>
        <w:rPr>
          <w:rFonts w:ascii="仿宋_GB2312" w:hAnsi="等线" w:eastAsia="仿宋_GB2312" w:cs="宋体"/>
          <w:color w:val="000000"/>
          <w:kern w:val="0"/>
          <w:sz w:val="22"/>
        </w:rPr>
      </w:pPr>
      <w:r>
        <w:rPr>
          <w:rFonts w:hint="eastAsia" w:ascii="仿宋_GB2312" w:hAnsi="宋体" w:eastAsia="仿宋_GB2312"/>
          <w:sz w:val="28"/>
          <w:szCs w:val="28"/>
        </w:rPr>
        <w:t>根据五通桥2014年土地利用现状变更调查结果，2014年石麟镇土地总面积</w:t>
      </w:r>
      <w:r>
        <w:rPr>
          <w:rFonts w:ascii="仿宋_GB2312" w:hAnsi="宋体" w:eastAsia="仿宋_GB2312"/>
          <w:sz w:val="28"/>
          <w:szCs w:val="28"/>
        </w:rPr>
        <w:t>7734.55</w:t>
      </w:r>
      <w:r>
        <w:rPr>
          <w:rFonts w:hint="eastAsia" w:ascii="仿宋_GB2312" w:hAnsi="宋体" w:eastAsia="仿宋_GB2312"/>
          <w:sz w:val="28"/>
          <w:szCs w:val="28"/>
        </w:rPr>
        <w:t>公顷。其中农用地面积</w:t>
      </w:r>
      <w:r>
        <w:rPr>
          <w:rFonts w:ascii="仿宋_GB2312" w:hAnsi="宋体" w:eastAsia="仿宋_GB2312"/>
          <w:sz w:val="28"/>
          <w:szCs w:val="28"/>
        </w:rPr>
        <w:t>7134.91</w:t>
      </w:r>
      <w:r>
        <w:rPr>
          <w:rFonts w:hint="eastAsia" w:ascii="仿宋_GB2312" w:hAnsi="宋体" w:eastAsia="仿宋_GB2312"/>
          <w:sz w:val="28"/>
          <w:szCs w:val="28"/>
        </w:rPr>
        <w:t>公顷，占土地总面积的</w:t>
      </w:r>
      <w:r>
        <w:rPr>
          <w:rFonts w:ascii="仿宋_GB2312" w:hAnsi="宋体" w:eastAsia="仿宋_GB2312"/>
          <w:sz w:val="28"/>
          <w:szCs w:val="28"/>
        </w:rPr>
        <w:t>92.25%</w:t>
      </w:r>
      <w:r>
        <w:rPr>
          <w:rFonts w:hint="eastAsia" w:ascii="仿宋_GB2312" w:hAnsi="宋体" w:eastAsia="仿宋_GB2312"/>
          <w:sz w:val="28"/>
          <w:szCs w:val="28"/>
        </w:rPr>
        <w:t>；建设用地面积</w:t>
      </w:r>
      <w:r>
        <w:rPr>
          <w:rFonts w:ascii="仿宋_GB2312" w:hAnsi="宋体" w:eastAsia="仿宋_GB2312"/>
          <w:sz w:val="28"/>
          <w:szCs w:val="28"/>
        </w:rPr>
        <w:t>467.43</w:t>
      </w:r>
      <w:r>
        <w:rPr>
          <w:rFonts w:hint="eastAsia" w:ascii="仿宋_GB2312" w:hAnsi="宋体" w:eastAsia="仿宋_GB2312"/>
          <w:sz w:val="28"/>
          <w:szCs w:val="28"/>
        </w:rPr>
        <w:t>公顷，占土地总面积的</w:t>
      </w:r>
      <w:r>
        <w:rPr>
          <w:rFonts w:ascii="仿宋_GB2312" w:hAnsi="宋体" w:eastAsia="仿宋_GB2312"/>
          <w:sz w:val="28"/>
          <w:szCs w:val="28"/>
        </w:rPr>
        <w:tab/>
      </w:r>
      <w:r>
        <w:rPr>
          <w:rFonts w:ascii="仿宋_GB2312" w:hAnsi="宋体" w:eastAsia="仿宋_GB2312"/>
          <w:sz w:val="28"/>
          <w:szCs w:val="28"/>
        </w:rPr>
        <w:t>6.04%</w:t>
      </w:r>
      <w:r>
        <w:rPr>
          <w:rFonts w:hint="eastAsia" w:ascii="仿宋_GB2312" w:hAnsi="宋体" w:eastAsia="仿宋_GB2312"/>
          <w:sz w:val="28"/>
          <w:szCs w:val="28"/>
        </w:rPr>
        <w:t>；其他土地面积</w:t>
      </w:r>
      <w:r>
        <w:rPr>
          <w:rFonts w:ascii="仿宋_GB2312" w:hAnsi="宋体" w:eastAsia="仿宋_GB2312"/>
          <w:sz w:val="28"/>
          <w:szCs w:val="28"/>
        </w:rPr>
        <w:t>132.21</w:t>
      </w:r>
      <w:r>
        <w:rPr>
          <w:rFonts w:hint="eastAsia" w:ascii="仿宋_GB2312" w:hAnsi="宋体" w:eastAsia="仿宋_GB2312"/>
          <w:sz w:val="28"/>
          <w:szCs w:val="28"/>
        </w:rPr>
        <w:t>公顷，占土地总面积的</w:t>
      </w:r>
      <w:r>
        <w:rPr>
          <w:rFonts w:ascii="仿宋_GB2312" w:hAnsi="宋体" w:eastAsia="仿宋_GB2312"/>
          <w:sz w:val="28"/>
          <w:szCs w:val="28"/>
        </w:rPr>
        <w:t>1.71%</w:t>
      </w:r>
      <w:r>
        <w:rPr>
          <w:rFonts w:hint="eastAsia" w:ascii="仿宋_GB2312" w:hAnsi="宋体" w:eastAsia="仿宋_GB2312"/>
          <w:sz w:val="28"/>
          <w:szCs w:val="28"/>
        </w:rPr>
        <w:t>。</w:t>
      </w:r>
    </w:p>
    <w:p>
      <w:pPr>
        <w:pStyle w:val="4"/>
        <w:ind w:firstLine="562"/>
      </w:pPr>
      <w:r>
        <w:rPr>
          <w:rFonts w:hint="eastAsia"/>
        </w:rPr>
        <w:t>1．农用地</w:t>
      </w:r>
    </w:p>
    <w:p>
      <w:pPr>
        <w:spacing w:line="500"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（1）耕地</w:t>
      </w:r>
    </w:p>
    <w:p>
      <w:pPr>
        <w:ind w:left="2" w:firstLine="560" w:firstLineChars="200"/>
        <w:rPr>
          <w:rFonts w:ascii="仿宋_GB2312" w:hAnsi="宋体" w:eastAsia="仿宋_GB2312"/>
          <w:sz w:val="28"/>
          <w:szCs w:val="28"/>
        </w:rPr>
      </w:pPr>
      <w:r>
        <w:rPr>
          <w:rFonts w:hint="eastAsia" w:ascii="仿宋_GB2312" w:hAnsi="宋体" w:eastAsia="仿宋_GB2312"/>
          <w:sz w:val="28"/>
          <w:szCs w:val="28"/>
        </w:rPr>
        <w:t>全镇耕地面积为</w:t>
      </w:r>
      <w:r>
        <w:rPr>
          <w:rFonts w:ascii="仿宋_GB2312" w:hAnsi="宋体" w:eastAsia="仿宋_GB2312"/>
          <w:sz w:val="28"/>
          <w:szCs w:val="28"/>
        </w:rPr>
        <w:t>2336.42</w:t>
      </w:r>
      <w:r>
        <w:rPr>
          <w:rFonts w:hint="eastAsia" w:ascii="仿宋_GB2312" w:hAnsi="宋体" w:eastAsia="仿宋_GB2312"/>
          <w:sz w:val="28"/>
          <w:szCs w:val="28"/>
        </w:rPr>
        <w:t>公顷，占农用地面积的</w:t>
      </w:r>
      <w:r>
        <w:rPr>
          <w:rFonts w:ascii="仿宋_GB2312" w:hAnsi="宋体" w:eastAsia="仿宋_GB2312"/>
          <w:sz w:val="28"/>
          <w:szCs w:val="28"/>
        </w:rPr>
        <w:t>32.75%</w:t>
      </w:r>
      <w:r>
        <w:rPr>
          <w:rFonts w:hint="eastAsia" w:ascii="仿宋_GB2312" w:hAnsi="宋体" w:eastAsia="仿宋_GB2312"/>
          <w:sz w:val="28"/>
          <w:szCs w:val="28"/>
        </w:rPr>
        <w:t>；</w:t>
      </w:r>
      <w:bookmarkStart w:id="2" w:name="_Hlk486281055"/>
      <w:bookmarkStart w:id="3" w:name="_Hlk486263791"/>
      <w:r>
        <w:rPr>
          <w:rFonts w:hint="eastAsia" w:ascii="仿宋_GB2312" w:hAnsi="宋体" w:eastAsia="仿宋_GB2312"/>
          <w:sz w:val="28"/>
          <w:szCs w:val="28"/>
        </w:rPr>
        <w:t>主要分布情况为方嘴村</w:t>
      </w:r>
      <w:r>
        <w:rPr>
          <w:rFonts w:ascii="仿宋_GB2312" w:hAnsi="宋体" w:eastAsia="仿宋_GB2312"/>
          <w:sz w:val="28"/>
          <w:szCs w:val="28"/>
        </w:rPr>
        <w:t>135.24公顷</w:t>
      </w:r>
      <w:r>
        <w:rPr>
          <w:rFonts w:hint="eastAsia" w:ascii="仿宋_GB2312" w:hAnsi="宋体" w:eastAsia="仿宋_GB2312"/>
          <w:sz w:val="28"/>
          <w:szCs w:val="28"/>
        </w:rPr>
        <w:t>、兴无村</w:t>
      </w:r>
      <w:r>
        <w:rPr>
          <w:rFonts w:ascii="仿宋_GB2312" w:hAnsi="宋体" w:eastAsia="仿宋_GB2312"/>
          <w:sz w:val="28"/>
          <w:szCs w:val="28"/>
        </w:rPr>
        <w:t>161.38公顷</w:t>
      </w:r>
      <w:r>
        <w:rPr>
          <w:rFonts w:hint="eastAsia" w:ascii="仿宋_GB2312" w:hAnsi="宋体" w:eastAsia="仿宋_GB2312"/>
          <w:sz w:val="28"/>
          <w:szCs w:val="28"/>
        </w:rPr>
        <w:t>、杨林坳村</w:t>
      </w:r>
      <w:r>
        <w:rPr>
          <w:rFonts w:ascii="仿宋_GB2312" w:hAnsi="宋体" w:eastAsia="仿宋_GB2312"/>
          <w:sz w:val="28"/>
          <w:szCs w:val="28"/>
        </w:rPr>
        <w:t>157.92公顷</w:t>
      </w:r>
      <w:r>
        <w:rPr>
          <w:rFonts w:hint="eastAsia" w:ascii="仿宋_GB2312" w:hAnsi="宋体" w:eastAsia="仿宋_GB2312"/>
          <w:sz w:val="28"/>
          <w:szCs w:val="28"/>
        </w:rPr>
        <w:t>、阳光村</w:t>
      </w:r>
      <w:r>
        <w:rPr>
          <w:rFonts w:ascii="仿宋_GB2312" w:hAnsi="宋体" w:eastAsia="仿宋_GB2312"/>
          <w:sz w:val="28"/>
          <w:szCs w:val="28"/>
        </w:rPr>
        <w:t>181.56公顷</w:t>
      </w:r>
      <w:r>
        <w:rPr>
          <w:rFonts w:hint="eastAsia" w:ascii="仿宋_GB2312" w:hAnsi="宋体" w:eastAsia="仿宋_GB2312"/>
          <w:sz w:val="28"/>
          <w:szCs w:val="28"/>
        </w:rPr>
        <w:t>、共同村</w:t>
      </w:r>
      <w:r>
        <w:rPr>
          <w:rFonts w:ascii="仿宋_GB2312" w:hAnsi="宋体" w:eastAsia="仿宋_GB2312"/>
          <w:sz w:val="28"/>
          <w:szCs w:val="28"/>
        </w:rPr>
        <w:t>186.98公顷</w:t>
      </w:r>
      <w:r>
        <w:rPr>
          <w:rFonts w:hint="eastAsia" w:ascii="仿宋_GB2312" w:hAnsi="宋体" w:eastAsia="仿宋_GB2312"/>
          <w:sz w:val="28"/>
          <w:szCs w:val="28"/>
        </w:rPr>
        <w:t>、水保源村</w:t>
      </w:r>
      <w:r>
        <w:rPr>
          <w:rFonts w:ascii="仿宋_GB2312" w:hAnsi="宋体" w:eastAsia="仿宋_GB2312"/>
          <w:sz w:val="28"/>
          <w:szCs w:val="28"/>
        </w:rPr>
        <w:t>135.61公顷</w:t>
      </w:r>
      <w:r>
        <w:rPr>
          <w:rFonts w:hint="eastAsia" w:ascii="仿宋_GB2312" w:hAnsi="宋体" w:eastAsia="仿宋_GB2312"/>
          <w:sz w:val="28"/>
          <w:szCs w:val="28"/>
        </w:rPr>
        <w:t>、许店儿村</w:t>
      </w:r>
      <w:r>
        <w:rPr>
          <w:rFonts w:ascii="仿宋_GB2312" w:hAnsi="宋体" w:eastAsia="仿宋_GB2312"/>
          <w:sz w:val="28"/>
          <w:szCs w:val="28"/>
        </w:rPr>
        <w:t>152.81公顷</w:t>
      </w:r>
      <w:r>
        <w:rPr>
          <w:rFonts w:hint="eastAsia" w:ascii="仿宋_GB2312" w:hAnsi="宋体" w:eastAsia="仿宋_GB2312"/>
          <w:sz w:val="28"/>
          <w:szCs w:val="28"/>
        </w:rPr>
        <w:t>、碗厂村</w:t>
      </w:r>
      <w:r>
        <w:rPr>
          <w:rFonts w:ascii="仿宋_GB2312" w:hAnsi="宋体" w:eastAsia="仿宋_GB2312"/>
          <w:sz w:val="28"/>
          <w:szCs w:val="28"/>
        </w:rPr>
        <w:t>121.21公顷</w:t>
      </w:r>
      <w:r>
        <w:rPr>
          <w:rFonts w:hint="eastAsia" w:ascii="仿宋_GB2312" w:hAnsi="宋体" w:eastAsia="仿宋_GB2312"/>
          <w:sz w:val="28"/>
          <w:szCs w:val="28"/>
        </w:rPr>
        <w:t>、程河沟村</w:t>
      </w:r>
      <w:r>
        <w:rPr>
          <w:rFonts w:ascii="仿宋_GB2312" w:hAnsi="宋体" w:eastAsia="仿宋_GB2312"/>
          <w:sz w:val="28"/>
          <w:szCs w:val="28"/>
        </w:rPr>
        <w:t>101.40公顷</w:t>
      </w:r>
      <w:r>
        <w:rPr>
          <w:rFonts w:hint="eastAsia" w:ascii="仿宋_GB2312" w:hAnsi="宋体" w:eastAsia="仿宋_GB2312"/>
          <w:sz w:val="28"/>
          <w:szCs w:val="28"/>
        </w:rPr>
        <w:t>、飞来村</w:t>
      </w:r>
      <w:r>
        <w:rPr>
          <w:rFonts w:ascii="仿宋_GB2312" w:hAnsi="宋体" w:eastAsia="仿宋_GB2312"/>
          <w:sz w:val="28"/>
          <w:szCs w:val="28"/>
        </w:rPr>
        <w:t>80.76</w:t>
      </w:r>
      <w:r>
        <w:rPr>
          <w:rFonts w:hint="eastAsia" w:ascii="仿宋_GB2312" w:hAnsi="宋体" w:eastAsia="仿宋_GB2312"/>
          <w:sz w:val="28"/>
          <w:szCs w:val="28"/>
        </w:rPr>
        <w:tab/>
      </w:r>
      <w:r>
        <w:rPr>
          <w:rFonts w:ascii="仿宋_GB2312" w:hAnsi="宋体" w:eastAsia="仿宋_GB2312"/>
          <w:sz w:val="28"/>
          <w:szCs w:val="28"/>
        </w:rPr>
        <w:t>公顷</w:t>
      </w:r>
      <w:r>
        <w:rPr>
          <w:rFonts w:hint="eastAsia" w:ascii="仿宋_GB2312" w:hAnsi="宋体" w:eastAsia="仿宋_GB2312"/>
          <w:sz w:val="28"/>
          <w:szCs w:val="28"/>
        </w:rPr>
        <w:t>、南山村</w:t>
      </w:r>
      <w:r>
        <w:rPr>
          <w:rFonts w:ascii="仿宋_GB2312" w:hAnsi="宋体" w:eastAsia="仿宋_GB2312"/>
          <w:sz w:val="28"/>
          <w:szCs w:val="28"/>
        </w:rPr>
        <w:t>75.69</w:t>
      </w:r>
      <w:r>
        <w:rPr>
          <w:rFonts w:hint="eastAsia" w:ascii="仿宋_GB2312" w:hAnsi="宋体" w:eastAsia="仿宋_GB2312"/>
          <w:sz w:val="28"/>
          <w:szCs w:val="28"/>
        </w:rPr>
        <w:tab/>
      </w:r>
      <w:r>
        <w:rPr>
          <w:rFonts w:ascii="仿宋_GB2312" w:hAnsi="宋体" w:eastAsia="仿宋_GB2312"/>
          <w:sz w:val="28"/>
          <w:szCs w:val="28"/>
        </w:rPr>
        <w:t>公顷</w:t>
      </w:r>
      <w:r>
        <w:rPr>
          <w:rFonts w:hint="eastAsia" w:ascii="仿宋_GB2312" w:hAnsi="宋体" w:eastAsia="仿宋_GB2312"/>
          <w:sz w:val="28"/>
          <w:szCs w:val="28"/>
        </w:rPr>
        <w:t>、白房子村</w:t>
      </w:r>
      <w:r>
        <w:rPr>
          <w:rFonts w:ascii="仿宋_GB2312" w:hAnsi="宋体" w:eastAsia="仿宋_GB2312"/>
          <w:sz w:val="28"/>
          <w:szCs w:val="28"/>
        </w:rPr>
        <w:t>43.94公顷</w:t>
      </w:r>
      <w:r>
        <w:rPr>
          <w:rFonts w:hint="eastAsia" w:ascii="仿宋_GB2312" w:hAnsi="宋体" w:eastAsia="仿宋_GB2312"/>
          <w:sz w:val="28"/>
          <w:szCs w:val="28"/>
        </w:rPr>
        <w:t>、莲池村</w:t>
      </w:r>
      <w:r>
        <w:rPr>
          <w:rFonts w:ascii="仿宋_GB2312" w:hAnsi="宋体" w:eastAsia="仿宋_GB2312"/>
          <w:sz w:val="28"/>
          <w:szCs w:val="28"/>
        </w:rPr>
        <w:t>57.65</w:t>
      </w:r>
      <w:r>
        <w:rPr>
          <w:rFonts w:hint="eastAsia" w:ascii="仿宋_GB2312" w:hAnsi="宋体" w:eastAsia="仿宋_GB2312"/>
          <w:sz w:val="28"/>
          <w:szCs w:val="28"/>
        </w:rPr>
        <w:tab/>
      </w:r>
      <w:r>
        <w:rPr>
          <w:rFonts w:ascii="仿宋_GB2312" w:hAnsi="宋体" w:eastAsia="仿宋_GB2312"/>
          <w:sz w:val="28"/>
          <w:szCs w:val="28"/>
        </w:rPr>
        <w:t>公顷</w:t>
      </w:r>
      <w:r>
        <w:rPr>
          <w:rFonts w:hint="eastAsia" w:ascii="仿宋_GB2312" w:hAnsi="宋体" w:eastAsia="仿宋_GB2312"/>
          <w:sz w:val="28"/>
          <w:szCs w:val="28"/>
        </w:rPr>
        <w:t>、楼房山村</w:t>
      </w:r>
      <w:r>
        <w:rPr>
          <w:rFonts w:ascii="仿宋_GB2312" w:hAnsi="宋体" w:eastAsia="仿宋_GB2312"/>
          <w:sz w:val="28"/>
          <w:szCs w:val="28"/>
        </w:rPr>
        <w:t>125.62</w:t>
      </w:r>
      <w:r>
        <w:rPr>
          <w:rFonts w:hint="eastAsia" w:ascii="仿宋_GB2312" w:hAnsi="宋体" w:eastAsia="仿宋_GB2312"/>
          <w:sz w:val="28"/>
          <w:szCs w:val="28"/>
        </w:rPr>
        <w:tab/>
      </w:r>
      <w:r>
        <w:rPr>
          <w:rFonts w:ascii="仿宋_GB2312" w:hAnsi="宋体" w:eastAsia="仿宋_GB2312"/>
          <w:sz w:val="28"/>
          <w:szCs w:val="28"/>
        </w:rPr>
        <w:t>公顷</w:t>
      </w:r>
      <w:r>
        <w:rPr>
          <w:rFonts w:hint="eastAsia" w:ascii="仿宋_GB2312" w:hAnsi="宋体" w:eastAsia="仿宋_GB2312"/>
          <w:sz w:val="28"/>
          <w:szCs w:val="28"/>
        </w:rPr>
        <w:t>、沙坝河村</w:t>
      </w:r>
      <w:r>
        <w:rPr>
          <w:rFonts w:ascii="仿宋_GB2312" w:hAnsi="宋体" w:eastAsia="仿宋_GB2312"/>
          <w:sz w:val="28"/>
          <w:szCs w:val="28"/>
        </w:rPr>
        <w:t>147.99</w:t>
      </w:r>
      <w:r>
        <w:rPr>
          <w:rFonts w:hint="eastAsia" w:ascii="仿宋_GB2312" w:hAnsi="宋体" w:eastAsia="仿宋_GB2312"/>
          <w:sz w:val="28"/>
          <w:szCs w:val="28"/>
        </w:rPr>
        <w:tab/>
      </w:r>
      <w:r>
        <w:rPr>
          <w:rFonts w:ascii="仿宋_GB2312" w:hAnsi="宋体" w:eastAsia="仿宋_GB2312"/>
          <w:sz w:val="28"/>
          <w:szCs w:val="28"/>
        </w:rPr>
        <w:t>公顷</w:t>
      </w:r>
      <w:r>
        <w:rPr>
          <w:rFonts w:hint="eastAsia" w:ascii="仿宋_GB2312" w:hAnsi="宋体" w:eastAsia="仿宋_GB2312"/>
          <w:sz w:val="28"/>
          <w:szCs w:val="28"/>
        </w:rPr>
        <w:t>、美丽村</w:t>
      </w:r>
      <w:r>
        <w:rPr>
          <w:rFonts w:ascii="仿宋_GB2312" w:hAnsi="宋体" w:eastAsia="仿宋_GB2312"/>
          <w:sz w:val="28"/>
          <w:szCs w:val="28"/>
        </w:rPr>
        <w:t>77.56</w:t>
      </w:r>
      <w:r>
        <w:rPr>
          <w:rFonts w:hint="eastAsia" w:ascii="仿宋_GB2312" w:hAnsi="宋体" w:eastAsia="仿宋_GB2312"/>
          <w:sz w:val="28"/>
          <w:szCs w:val="28"/>
        </w:rPr>
        <w:tab/>
      </w:r>
      <w:r>
        <w:rPr>
          <w:rFonts w:ascii="仿宋_GB2312" w:hAnsi="宋体" w:eastAsia="仿宋_GB2312"/>
          <w:sz w:val="28"/>
          <w:szCs w:val="28"/>
        </w:rPr>
        <w:t>公顷</w:t>
      </w:r>
      <w:r>
        <w:rPr>
          <w:rFonts w:hint="eastAsia" w:ascii="仿宋_GB2312" w:hAnsi="宋体" w:eastAsia="仿宋_GB2312"/>
          <w:sz w:val="28"/>
          <w:szCs w:val="28"/>
        </w:rPr>
        <w:t>、马儿石村</w:t>
      </w:r>
      <w:r>
        <w:rPr>
          <w:rFonts w:ascii="仿宋_GB2312" w:hAnsi="宋体" w:eastAsia="仿宋_GB2312"/>
          <w:sz w:val="28"/>
          <w:szCs w:val="28"/>
        </w:rPr>
        <w:t>80.72公顷</w:t>
      </w:r>
      <w:r>
        <w:rPr>
          <w:rFonts w:hint="eastAsia" w:ascii="仿宋_GB2312" w:hAnsi="宋体" w:eastAsia="仿宋_GB2312"/>
          <w:sz w:val="28"/>
          <w:szCs w:val="28"/>
        </w:rPr>
        <w:t>、张坳口村</w:t>
      </w:r>
      <w:r>
        <w:rPr>
          <w:rFonts w:ascii="仿宋_GB2312" w:hAnsi="宋体" w:eastAsia="仿宋_GB2312"/>
          <w:sz w:val="28"/>
          <w:szCs w:val="28"/>
        </w:rPr>
        <w:t>145.89公顷</w:t>
      </w:r>
      <w:r>
        <w:rPr>
          <w:rFonts w:hint="eastAsia" w:ascii="仿宋_GB2312" w:hAnsi="宋体" w:eastAsia="仿宋_GB2312"/>
          <w:sz w:val="28"/>
          <w:szCs w:val="28"/>
        </w:rPr>
        <w:t>、大桥村</w:t>
      </w:r>
      <w:bookmarkEnd w:id="2"/>
      <w:r>
        <w:rPr>
          <w:rFonts w:ascii="仿宋_GB2312" w:hAnsi="宋体" w:eastAsia="仿宋_GB2312"/>
          <w:sz w:val="28"/>
          <w:szCs w:val="28"/>
        </w:rPr>
        <w:t>166.49公顷</w:t>
      </w:r>
      <w:r>
        <w:rPr>
          <w:rFonts w:hint="eastAsia" w:ascii="仿宋_GB2312" w:hAnsi="宋体" w:eastAsia="仿宋_GB2312"/>
          <w:sz w:val="28"/>
          <w:szCs w:val="28"/>
        </w:rPr>
        <w:t>。</w:t>
      </w:r>
    </w:p>
    <w:bookmarkEnd w:id="3"/>
    <w:p>
      <w:pPr>
        <w:ind w:firstLine="562" w:firstLineChars="200"/>
        <w:rPr>
          <w:rFonts w:ascii="仿宋_GB2312" w:hAnsi="宋体" w:eastAsia="仿宋_GB2312"/>
          <w:b/>
          <w:sz w:val="28"/>
          <w:szCs w:val="28"/>
        </w:rPr>
      </w:pPr>
      <w:r>
        <w:rPr>
          <w:rFonts w:hint="eastAsia" w:ascii="仿宋_GB2312" w:hAnsi="宋体" w:eastAsia="仿宋_GB2312"/>
          <w:b/>
          <w:sz w:val="28"/>
          <w:szCs w:val="28"/>
        </w:rPr>
        <w:t>（2）园地</w:t>
      </w:r>
    </w:p>
    <w:p>
      <w:pPr>
        <w:ind w:firstLine="560" w:firstLineChars="200"/>
        <w:rPr>
          <w:rFonts w:ascii="仿宋_GB2312" w:hAnsi="宋体" w:eastAsia="仿宋_GB2312"/>
          <w:sz w:val="28"/>
          <w:szCs w:val="28"/>
        </w:rPr>
      </w:pPr>
      <w:r>
        <w:rPr>
          <w:rFonts w:hint="eastAsia" w:ascii="仿宋_GB2312" w:hAnsi="宋体" w:eastAsia="仿宋_GB2312"/>
          <w:sz w:val="28"/>
          <w:szCs w:val="28"/>
        </w:rPr>
        <w:t>全镇园地面积为</w:t>
      </w:r>
      <w:r>
        <w:rPr>
          <w:rFonts w:ascii="仿宋_GB2312" w:hAnsi="宋体" w:eastAsia="仿宋_GB2312"/>
          <w:sz w:val="28"/>
          <w:szCs w:val="28"/>
        </w:rPr>
        <w:t>219.75</w:t>
      </w:r>
      <w:r>
        <w:rPr>
          <w:rFonts w:hint="eastAsia" w:ascii="仿宋_GB2312" w:hAnsi="宋体" w:eastAsia="仿宋_GB2312"/>
          <w:sz w:val="28"/>
          <w:szCs w:val="28"/>
        </w:rPr>
        <w:t>公顷，占农用地面积的</w:t>
      </w:r>
      <w:r>
        <w:rPr>
          <w:rFonts w:ascii="仿宋_GB2312" w:hAnsi="宋体" w:eastAsia="仿宋_GB2312"/>
          <w:sz w:val="28"/>
          <w:szCs w:val="28"/>
        </w:rPr>
        <w:t>3.08%</w:t>
      </w:r>
      <w:r>
        <w:rPr>
          <w:rFonts w:hint="eastAsia" w:ascii="仿宋_GB2312" w:hAnsi="宋体" w:eastAsia="仿宋_GB2312"/>
          <w:sz w:val="28"/>
          <w:szCs w:val="28"/>
        </w:rPr>
        <w:t>；主要分布情况为方嘴村</w:t>
      </w:r>
      <w:r>
        <w:rPr>
          <w:rFonts w:ascii="仿宋_GB2312" w:hAnsi="宋体" w:eastAsia="仿宋_GB2312"/>
          <w:sz w:val="28"/>
          <w:szCs w:val="28"/>
        </w:rPr>
        <w:t>26.68公顷</w:t>
      </w:r>
      <w:r>
        <w:rPr>
          <w:rFonts w:hint="eastAsia" w:ascii="仿宋_GB2312" w:hAnsi="宋体" w:eastAsia="仿宋_GB2312"/>
          <w:sz w:val="28"/>
          <w:szCs w:val="28"/>
        </w:rPr>
        <w:t>、兴无村</w:t>
      </w:r>
      <w:r>
        <w:rPr>
          <w:rFonts w:ascii="仿宋_GB2312" w:hAnsi="宋体" w:eastAsia="仿宋_GB2312"/>
          <w:sz w:val="28"/>
          <w:szCs w:val="28"/>
        </w:rPr>
        <w:t>10.12公顷</w:t>
      </w:r>
      <w:r>
        <w:rPr>
          <w:rFonts w:hint="eastAsia" w:ascii="仿宋_GB2312" w:hAnsi="宋体" w:eastAsia="仿宋_GB2312"/>
          <w:sz w:val="28"/>
          <w:szCs w:val="28"/>
        </w:rPr>
        <w:t>、杨林坳村</w:t>
      </w:r>
      <w:r>
        <w:rPr>
          <w:rFonts w:ascii="仿宋_GB2312" w:hAnsi="宋体" w:eastAsia="仿宋_GB2312"/>
          <w:sz w:val="28"/>
          <w:szCs w:val="28"/>
        </w:rPr>
        <w:t>30.99公顷</w:t>
      </w:r>
      <w:r>
        <w:rPr>
          <w:rFonts w:hint="eastAsia" w:ascii="仿宋_GB2312" w:hAnsi="宋体" w:eastAsia="仿宋_GB2312"/>
          <w:sz w:val="28"/>
          <w:szCs w:val="28"/>
        </w:rPr>
        <w:t>、阳光村</w:t>
      </w:r>
      <w:r>
        <w:rPr>
          <w:rFonts w:ascii="仿宋_GB2312" w:hAnsi="宋体" w:eastAsia="仿宋_GB2312"/>
          <w:sz w:val="28"/>
          <w:szCs w:val="28"/>
        </w:rPr>
        <w:t>13.06公顷</w:t>
      </w:r>
      <w:r>
        <w:rPr>
          <w:rFonts w:hint="eastAsia" w:ascii="仿宋_GB2312" w:hAnsi="宋体" w:eastAsia="仿宋_GB2312"/>
          <w:sz w:val="28"/>
          <w:szCs w:val="28"/>
        </w:rPr>
        <w:t>、共同村</w:t>
      </w:r>
      <w:r>
        <w:rPr>
          <w:rFonts w:ascii="仿宋_GB2312" w:hAnsi="宋体" w:eastAsia="仿宋_GB2312"/>
          <w:sz w:val="28"/>
          <w:szCs w:val="28"/>
        </w:rPr>
        <w:t>7.12公顷</w:t>
      </w:r>
      <w:r>
        <w:rPr>
          <w:rFonts w:hint="eastAsia" w:ascii="仿宋_GB2312" w:hAnsi="宋体" w:eastAsia="仿宋_GB2312"/>
          <w:sz w:val="28"/>
          <w:szCs w:val="28"/>
        </w:rPr>
        <w:t>、水保源村</w:t>
      </w:r>
      <w:r>
        <w:rPr>
          <w:rFonts w:ascii="仿宋_GB2312" w:hAnsi="宋体" w:eastAsia="仿宋_GB2312"/>
          <w:sz w:val="28"/>
          <w:szCs w:val="28"/>
        </w:rPr>
        <w:t>2.37公顷</w:t>
      </w:r>
      <w:r>
        <w:rPr>
          <w:rFonts w:hint="eastAsia" w:ascii="仿宋_GB2312" w:hAnsi="宋体" w:eastAsia="仿宋_GB2312"/>
          <w:sz w:val="28"/>
          <w:szCs w:val="28"/>
        </w:rPr>
        <w:t>、许店儿村</w:t>
      </w:r>
      <w:r>
        <w:rPr>
          <w:rFonts w:ascii="仿宋_GB2312" w:hAnsi="宋体" w:eastAsia="仿宋_GB2312"/>
          <w:sz w:val="28"/>
          <w:szCs w:val="28"/>
        </w:rPr>
        <w:t>9.48公顷</w:t>
      </w:r>
      <w:r>
        <w:rPr>
          <w:rFonts w:hint="eastAsia" w:ascii="仿宋_GB2312" w:hAnsi="宋体" w:eastAsia="仿宋_GB2312"/>
          <w:sz w:val="28"/>
          <w:szCs w:val="28"/>
        </w:rPr>
        <w:t>、碗厂村</w:t>
      </w:r>
      <w:r>
        <w:rPr>
          <w:rFonts w:ascii="仿宋_GB2312" w:hAnsi="宋体" w:eastAsia="仿宋_GB2312"/>
          <w:sz w:val="28"/>
          <w:szCs w:val="28"/>
        </w:rPr>
        <w:t>39.16公顷</w:t>
      </w:r>
      <w:r>
        <w:rPr>
          <w:rFonts w:hint="eastAsia" w:ascii="仿宋_GB2312" w:hAnsi="宋体" w:eastAsia="仿宋_GB2312"/>
          <w:sz w:val="28"/>
          <w:szCs w:val="28"/>
        </w:rPr>
        <w:t>、程河沟村</w:t>
      </w:r>
      <w:r>
        <w:rPr>
          <w:rFonts w:ascii="仿宋_GB2312" w:hAnsi="宋体" w:eastAsia="仿宋_GB2312"/>
          <w:sz w:val="28"/>
          <w:szCs w:val="28"/>
        </w:rPr>
        <w:t>3.92公顷</w:t>
      </w:r>
      <w:r>
        <w:rPr>
          <w:rFonts w:hint="eastAsia" w:ascii="仿宋_GB2312" w:hAnsi="宋体" w:eastAsia="仿宋_GB2312"/>
          <w:sz w:val="28"/>
          <w:szCs w:val="28"/>
        </w:rPr>
        <w:t>、飞来村</w:t>
      </w:r>
      <w:r>
        <w:rPr>
          <w:rFonts w:ascii="仿宋_GB2312" w:hAnsi="宋体" w:eastAsia="仿宋_GB2312"/>
          <w:sz w:val="28"/>
          <w:szCs w:val="28"/>
        </w:rPr>
        <w:t>3.63公顷</w:t>
      </w:r>
      <w:r>
        <w:rPr>
          <w:rFonts w:hint="eastAsia" w:ascii="仿宋_GB2312" w:hAnsi="宋体" w:eastAsia="仿宋_GB2312"/>
          <w:sz w:val="28"/>
          <w:szCs w:val="28"/>
        </w:rPr>
        <w:t>、南山村</w:t>
      </w:r>
      <w:r>
        <w:rPr>
          <w:rFonts w:ascii="仿宋_GB2312" w:hAnsi="宋体" w:eastAsia="仿宋_GB2312"/>
          <w:sz w:val="28"/>
          <w:szCs w:val="28"/>
        </w:rPr>
        <w:t>4.09公顷</w:t>
      </w:r>
      <w:r>
        <w:rPr>
          <w:rFonts w:hint="eastAsia" w:ascii="仿宋_GB2312" w:hAnsi="宋体" w:eastAsia="仿宋_GB2312"/>
          <w:sz w:val="28"/>
          <w:szCs w:val="28"/>
        </w:rPr>
        <w:t>、白房子村</w:t>
      </w:r>
      <w:r>
        <w:rPr>
          <w:rFonts w:ascii="仿宋_GB2312" w:hAnsi="宋体" w:eastAsia="仿宋_GB2312"/>
          <w:sz w:val="28"/>
          <w:szCs w:val="28"/>
        </w:rPr>
        <w:t>8.87公顷</w:t>
      </w:r>
      <w:r>
        <w:rPr>
          <w:rFonts w:hint="eastAsia" w:ascii="仿宋_GB2312" w:hAnsi="宋体" w:eastAsia="仿宋_GB2312"/>
          <w:sz w:val="28"/>
          <w:szCs w:val="28"/>
        </w:rPr>
        <w:t>、莲池村</w:t>
      </w:r>
      <w:r>
        <w:rPr>
          <w:rFonts w:ascii="仿宋_GB2312" w:hAnsi="宋体" w:eastAsia="仿宋_GB2312"/>
          <w:sz w:val="28"/>
          <w:szCs w:val="28"/>
        </w:rPr>
        <w:t>1.16公顷</w:t>
      </w:r>
      <w:r>
        <w:rPr>
          <w:rFonts w:hint="eastAsia" w:ascii="仿宋_GB2312" w:hAnsi="宋体" w:eastAsia="仿宋_GB2312"/>
          <w:sz w:val="28"/>
          <w:szCs w:val="28"/>
        </w:rPr>
        <w:t>、楼房山村</w:t>
      </w:r>
      <w:r>
        <w:rPr>
          <w:rFonts w:ascii="仿宋_GB2312" w:hAnsi="宋体" w:eastAsia="仿宋_GB2312"/>
          <w:sz w:val="28"/>
          <w:szCs w:val="28"/>
        </w:rPr>
        <w:t>11.62公顷</w:t>
      </w:r>
      <w:r>
        <w:rPr>
          <w:rFonts w:hint="eastAsia" w:ascii="仿宋_GB2312" w:hAnsi="宋体" w:eastAsia="仿宋_GB2312"/>
          <w:sz w:val="28"/>
          <w:szCs w:val="28"/>
        </w:rPr>
        <w:t>、沙坝河村</w:t>
      </w:r>
      <w:r>
        <w:rPr>
          <w:rFonts w:ascii="仿宋_GB2312" w:hAnsi="宋体" w:eastAsia="仿宋_GB2312"/>
          <w:sz w:val="28"/>
          <w:szCs w:val="28"/>
        </w:rPr>
        <w:t>1.33公顷</w:t>
      </w:r>
      <w:r>
        <w:rPr>
          <w:rFonts w:hint="eastAsia" w:ascii="仿宋_GB2312" w:hAnsi="宋体" w:eastAsia="仿宋_GB2312"/>
          <w:sz w:val="28"/>
          <w:szCs w:val="28"/>
        </w:rPr>
        <w:t>、美丽村</w:t>
      </w:r>
      <w:r>
        <w:rPr>
          <w:rFonts w:ascii="仿宋_GB2312" w:hAnsi="宋体" w:eastAsia="仿宋_GB2312"/>
          <w:sz w:val="28"/>
          <w:szCs w:val="28"/>
        </w:rPr>
        <w:t>1.17</w:t>
      </w:r>
      <w:r>
        <w:rPr>
          <w:rFonts w:hint="eastAsia" w:ascii="仿宋_GB2312" w:hAnsi="宋体" w:eastAsia="仿宋_GB2312"/>
          <w:sz w:val="28"/>
          <w:szCs w:val="28"/>
        </w:rPr>
        <w:tab/>
      </w:r>
      <w:r>
        <w:rPr>
          <w:rFonts w:ascii="仿宋_GB2312" w:hAnsi="宋体" w:eastAsia="仿宋_GB2312"/>
          <w:sz w:val="28"/>
          <w:szCs w:val="28"/>
        </w:rPr>
        <w:t>公顷</w:t>
      </w:r>
      <w:r>
        <w:rPr>
          <w:rFonts w:hint="eastAsia" w:ascii="仿宋_GB2312" w:hAnsi="宋体" w:eastAsia="仿宋_GB2312"/>
          <w:sz w:val="28"/>
          <w:szCs w:val="28"/>
        </w:rPr>
        <w:t>、马儿石村</w:t>
      </w:r>
      <w:r>
        <w:rPr>
          <w:rFonts w:ascii="仿宋_GB2312" w:hAnsi="宋体" w:eastAsia="仿宋_GB2312"/>
          <w:sz w:val="28"/>
          <w:szCs w:val="28"/>
        </w:rPr>
        <w:t>2.81公顷</w:t>
      </w:r>
      <w:r>
        <w:rPr>
          <w:rFonts w:hint="eastAsia" w:ascii="仿宋_GB2312" w:hAnsi="宋体" w:eastAsia="仿宋_GB2312"/>
          <w:sz w:val="28"/>
          <w:szCs w:val="28"/>
        </w:rPr>
        <w:t>、张坳口村</w:t>
      </w:r>
      <w:r>
        <w:rPr>
          <w:rFonts w:ascii="仿宋_GB2312" w:hAnsi="宋体" w:eastAsia="仿宋_GB2312"/>
          <w:sz w:val="28"/>
          <w:szCs w:val="28"/>
        </w:rPr>
        <w:t>3.43公顷</w:t>
      </w:r>
      <w:r>
        <w:rPr>
          <w:rFonts w:hint="eastAsia" w:ascii="仿宋_GB2312" w:hAnsi="宋体" w:eastAsia="仿宋_GB2312"/>
          <w:sz w:val="28"/>
          <w:szCs w:val="28"/>
        </w:rPr>
        <w:t>、大桥村</w:t>
      </w:r>
      <w:r>
        <w:rPr>
          <w:rFonts w:ascii="仿宋_GB2312" w:hAnsi="宋体" w:eastAsia="仿宋_GB2312"/>
          <w:sz w:val="28"/>
          <w:szCs w:val="28"/>
        </w:rPr>
        <w:t>38.74公顷</w:t>
      </w:r>
      <w:r>
        <w:rPr>
          <w:rFonts w:hint="eastAsia" w:ascii="仿宋_GB2312" w:hAnsi="宋体" w:eastAsia="仿宋_GB2312"/>
          <w:sz w:val="28"/>
          <w:szCs w:val="28"/>
        </w:rPr>
        <w:t>。</w:t>
      </w:r>
    </w:p>
    <w:p>
      <w:pPr>
        <w:ind w:firstLine="562" w:firstLineChars="200"/>
        <w:rPr>
          <w:rFonts w:ascii="仿宋_GB2312" w:hAnsi="宋体" w:eastAsia="仿宋_GB2312"/>
          <w:b/>
          <w:sz w:val="28"/>
          <w:szCs w:val="28"/>
        </w:rPr>
      </w:pPr>
      <w:r>
        <w:rPr>
          <w:rFonts w:hint="eastAsia" w:ascii="仿宋_GB2312" w:hAnsi="宋体" w:eastAsia="仿宋_GB2312"/>
          <w:b/>
          <w:sz w:val="28"/>
          <w:szCs w:val="28"/>
        </w:rPr>
        <w:t>（3）林地</w:t>
      </w:r>
    </w:p>
    <w:p>
      <w:pPr>
        <w:ind w:firstLine="560" w:firstLineChars="200"/>
        <w:rPr>
          <w:rFonts w:ascii="仿宋_GB2312" w:hAnsi="宋体" w:eastAsia="仿宋_GB2312"/>
          <w:sz w:val="28"/>
          <w:szCs w:val="28"/>
        </w:rPr>
      </w:pPr>
      <w:r>
        <w:rPr>
          <w:rFonts w:hint="eastAsia" w:ascii="仿宋_GB2312" w:hAnsi="宋体" w:eastAsia="仿宋_GB2312"/>
          <w:sz w:val="28"/>
          <w:szCs w:val="28"/>
        </w:rPr>
        <w:t>全镇林地面积为</w:t>
      </w:r>
      <w:r>
        <w:rPr>
          <w:rFonts w:ascii="仿宋_GB2312" w:hAnsi="宋体" w:eastAsia="仿宋_GB2312"/>
          <w:sz w:val="28"/>
          <w:szCs w:val="28"/>
        </w:rPr>
        <w:t>3955.21</w:t>
      </w:r>
      <w:r>
        <w:rPr>
          <w:rFonts w:hint="eastAsia" w:ascii="仿宋_GB2312" w:hAnsi="宋体" w:eastAsia="仿宋_GB2312"/>
          <w:sz w:val="28"/>
          <w:szCs w:val="28"/>
        </w:rPr>
        <w:t>公顷，占农用地面积的</w:t>
      </w:r>
      <w:r>
        <w:rPr>
          <w:rFonts w:ascii="仿宋_GB2312" w:hAnsi="宋体" w:eastAsia="仿宋_GB2312"/>
          <w:sz w:val="28"/>
          <w:szCs w:val="28"/>
        </w:rPr>
        <w:t>55.43%</w:t>
      </w:r>
      <w:r>
        <w:rPr>
          <w:rFonts w:hint="eastAsia" w:ascii="仿宋_GB2312" w:hAnsi="宋体" w:eastAsia="仿宋_GB2312"/>
          <w:sz w:val="28"/>
          <w:szCs w:val="28"/>
        </w:rPr>
        <w:t>；主要分布情况为方嘴村</w:t>
      </w:r>
      <w:r>
        <w:rPr>
          <w:rFonts w:ascii="仿宋_GB2312" w:hAnsi="宋体" w:eastAsia="仿宋_GB2312"/>
          <w:sz w:val="28"/>
          <w:szCs w:val="28"/>
        </w:rPr>
        <w:t>363.17公顷</w:t>
      </w:r>
      <w:r>
        <w:rPr>
          <w:rFonts w:hint="eastAsia" w:ascii="仿宋_GB2312" w:hAnsi="宋体" w:eastAsia="仿宋_GB2312"/>
          <w:sz w:val="28"/>
          <w:szCs w:val="28"/>
        </w:rPr>
        <w:t>、兴无村</w:t>
      </w:r>
      <w:r>
        <w:rPr>
          <w:rFonts w:ascii="仿宋_GB2312" w:hAnsi="宋体" w:eastAsia="仿宋_GB2312"/>
          <w:sz w:val="28"/>
          <w:szCs w:val="28"/>
        </w:rPr>
        <w:t>69.29公顷</w:t>
      </w:r>
      <w:r>
        <w:rPr>
          <w:rFonts w:hint="eastAsia" w:ascii="仿宋_GB2312" w:hAnsi="宋体" w:eastAsia="仿宋_GB2312"/>
          <w:sz w:val="28"/>
          <w:szCs w:val="28"/>
        </w:rPr>
        <w:t>、杨林坳村</w:t>
      </w:r>
      <w:r>
        <w:rPr>
          <w:rFonts w:ascii="仿宋_GB2312" w:hAnsi="宋体" w:eastAsia="仿宋_GB2312"/>
          <w:sz w:val="28"/>
          <w:szCs w:val="28"/>
        </w:rPr>
        <w:t>89.78公顷</w:t>
      </w:r>
      <w:r>
        <w:rPr>
          <w:rFonts w:hint="eastAsia" w:ascii="仿宋_GB2312" w:hAnsi="宋体" w:eastAsia="仿宋_GB2312"/>
          <w:sz w:val="28"/>
          <w:szCs w:val="28"/>
        </w:rPr>
        <w:t>、阳光村</w:t>
      </w:r>
      <w:r>
        <w:rPr>
          <w:rFonts w:ascii="仿宋_GB2312" w:hAnsi="宋体" w:eastAsia="仿宋_GB2312"/>
          <w:sz w:val="28"/>
          <w:szCs w:val="28"/>
        </w:rPr>
        <w:t>175.99公顷</w:t>
      </w:r>
      <w:r>
        <w:rPr>
          <w:rFonts w:hint="eastAsia" w:ascii="仿宋_GB2312" w:hAnsi="宋体" w:eastAsia="仿宋_GB2312"/>
          <w:sz w:val="28"/>
          <w:szCs w:val="28"/>
        </w:rPr>
        <w:t>、共同村</w:t>
      </w:r>
      <w:r>
        <w:rPr>
          <w:rFonts w:ascii="仿宋_GB2312" w:hAnsi="宋体" w:eastAsia="仿宋_GB2312"/>
          <w:sz w:val="28"/>
          <w:szCs w:val="28"/>
        </w:rPr>
        <w:t>132.48公顷</w:t>
      </w:r>
      <w:r>
        <w:rPr>
          <w:rFonts w:hint="eastAsia" w:ascii="仿宋_GB2312" w:hAnsi="宋体" w:eastAsia="仿宋_GB2312"/>
          <w:sz w:val="28"/>
          <w:szCs w:val="28"/>
        </w:rPr>
        <w:t>、水保源村</w:t>
      </w:r>
      <w:r>
        <w:rPr>
          <w:rFonts w:ascii="仿宋_GB2312" w:hAnsi="宋体" w:eastAsia="仿宋_GB2312"/>
          <w:sz w:val="28"/>
          <w:szCs w:val="28"/>
        </w:rPr>
        <w:t>135.56公顷</w:t>
      </w:r>
      <w:r>
        <w:rPr>
          <w:rFonts w:hint="eastAsia" w:ascii="仿宋_GB2312" w:hAnsi="宋体" w:eastAsia="仿宋_GB2312"/>
          <w:sz w:val="28"/>
          <w:szCs w:val="28"/>
        </w:rPr>
        <w:t>、许店儿村</w:t>
      </w:r>
      <w:r>
        <w:rPr>
          <w:rFonts w:ascii="仿宋_GB2312" w:hAnsi="宋体" w:eastAsia="仿宋_GB2312"/>
          <w:sz w:val="28"/>
          <w:szCs w:val="28"/>
        </w:rPr>
        <w:t>68.84公顷</w:t>
      </w:r>
      <w:r>
        <w:rPr>
          <w:rFonts w:hint="eastAsia" w:ascii="仿宋_GB2312" w:hAnsi="宋体" w:eastAsia="仿宋_GB2312"/>
          <w:sz w:val="28"/>
          <w:szCs w:val="28"/>
        </w:rPr>
        <w:t>、碗厂村</w:t>
      </w:r>
      <w:r>
        <w:rPr>
          <w:rFonts w:ascii="仿宋_GB2312" w:hAnsi="宋体" w:eastAsia="仿宋_GB2312"/>
          <w:sz w:val="28"/>
          <w:szCs w:val="28"/>
        </w:rPr>
        <w:t>321.18公顷</w:t>
      </w:r>
      <w:r>
        <w:rPr>
          <w:rFonts w:hint="eastAsia" w:ascii="仿宋_GB2312" w:hAnsi="宋体" w:eastAsia="仿宋_GB2312"/>
          <w:sz w:val="28"/>
          <w:szCs w:val="28"/>
        </w:rPr>
        <w:t>、程河沟村</w:t>
      </w:r>
      <w:r>
        <w:rPr>
          <w:rFonts w:ascii="仿宋_GB2312" w:hAnsi="宋体" w:eastAsia="仿宋_GB2312"/>
          <w:sz w:val="28"/>
          <w:szCs w:val="28"/>
        </w:rPr>
        <w:t>74.65公顷</w:t>
      </w:r>
      <w:r>
        <w:rPr>
          <w:rFonts w:hint="eastAsia" w:ascii="仿宋_GB2312" w:hAnsi="宋体" w:eastAsia="仿宋_GB2312"/>
          <w:sz w:val="28"/>
          <w:szCs w:val="28"/>
        </w:rPr>
        <w:t>、飞来村</w:t>
      </w:r>
      <w:r>
        <w:rPr>
          <w:rFonts w:ascii="仿宋_GB2312" w:hAnsi="宋体" w:eastAsia="仿宋_GB2312"/>
          <w:sz w:val="28"/>
          <w:szCs w:val="28"/>
        </w:rPr>
        <w:t>90.04公顷</w:t>
      </w:r>
      <w:r>
        <w:rPr>
          <w:rFonts w:hint="eastAsia" w:ascii="仿宋_GB2312" w:hAnsi="宋体" w:eastAsia="仿宋_GB2312"/>
          <w:sz w:val="28"/>
          <w:szCs w:val="28"/>
        </w:rPr>
        <w:t>、南山村</w:t>
      </w:r>
      <w:r>
        <w:rPr>
          <w:rFonts w:ascii="仿宋_GB2312" w:hAnsi="宋体" w:eastAsia="仿宋_GB2312"/>
          <w:sz w:val="28"/>
          <w:szCs w:val="28"/>
        </w:rPr>
        <w:t>78.34公顷</w:t>
      </w:r>
      <w:r>
        <w:rPr>
          <w:rFonts w:hint="eastAsia" w:ascii="仿宋_GB2312" w:hAnsi="宋体" w:eastAsia="仿宋_GB2312"/>
          <w:sz w:val="28"/>
          <w:szCs w:val="28"/>
        </w:rPr>
        <w:t>、白房子村</w:t>
      </w:r>
      <w:r>
        <w:rPr>
          <w:rFonts w:ascii="仿宋_GB2312" w:hAnsi="宋体" w:eastAsia="仿宋_GB2312"/>
          <w:sz w:val="28"/>
          <w:szCs w:val="28"/>
        </w:rPr>
        <w:t>120.14公顷</w:t>
      </w:r>
      <w:r>
        <w:rPr>
          <w:rFonts w:hint="eastAsia" w:ascii="仿宋_GB2312" w:hAnsi="宋体" w:eastAsia="仿宋_GB2312"/>
          <w:sz w:val="28"/>
          <w:szCs w:val="28"/>
        </w:rPr>
        <w:t>、莲池村</w:t>
      </w:r>
      <w:r>
        <w:rPr>
          <w:rFonts w:ascii="仿宋_GB2312" w:hAnsi="宋体" w:eastAsia="仿宋_GB2312"/>
          <w:sz w:val="28"/>
          <w:szCs w:val="28"/>
        </w:rPr>
        <w:t>49.93公顷</w:t>
      </w:r>
      <w:r>
        <w:rPr>
          <w:rFonts w:hint="eastAsia" w:ascii="仿宋_GB2312" w:hAnsi="宋体" w:eastAsia="仿宋_GB2312"/>
          <w:sz w:val="28"/>
          <w:szCs w:val="28"/>
        </w:rPr>
        <w:t>、楼房山村</w:t>
      </w:r>
      <w:r>
        <w:rPr>
          <w:rFonts w:ascii="仿宋_GB2312" w:hAnsi="宋体" w:eastAsia="仿宋_GB2312"/>
          <w:sz w:val="28"/>
          <w:szCs w:val="28"/>
        </w:rPr>
        <w:t>273.39公顷</w:t>
      </w:r>
      <w:r>
        <w:rPr>
          <w:rFonts w:hint="eastAsia" w:ascii="仿宋_GB2312" w:hAnsi="宋体" w:eastAsia="仿宋_GB2312"/>
          <w:sz w:val="28"/>
          <w:szCs w:val="28"/>
        </w:rPr>
        <w:t>、沙坝河村</w:t>
      </w:r>
      <w:r>
        <w:rPr>
          <w:rFonts w:ascii="仿宋_GB2312" w:hAnsi="宋体" w:eastAsia="仿宋_GB2312"/>
          <w:sz w:val="28"/>
          <w:szCs w:val="28"/>
        </w:rPr>
        <w:t>446.89公顷</w:t>
      </w:r>
      <w:r>
        <w:rPr>
          <w:rFonts w:hint="eastAsia" w:ascii="仿宋_GB2312" w:hAnsi="宋体" w:eastAsia="仿宋_GB2312"/>
          <w:sz w:val="28"/>
          <w:szCs w:val="28"/>
        </w:rPr>
        <w:t>、美丽村</w:t>
      </w:r>
      <w:r>
        <w:rPr>
          <w:rFonts w:ascii="仿宋_GB2312" w:hAnsi="宋体" w:eastAsia="仿宋_GB2312"/>
          <w:sz w:val="28"/>
          <w:szCs w:val="28"/>
        </w:rPr>
        <w:t>401.77公顷</w:t>
      </w:r>
      <w:r>
        <w:rPr>
          <w:rFonts w:hint="eastAsia" w:ascii="仿宋_GB2312" w:hAnsi="宋体" w:eastAsia="仿宋_GB2312"/>
          <w:sz w:val="28"/>
          <w:szCs w:val="28"/>
        </w:rPr>
        <w:t>、马儿石村</w:t>
      </w:r>
      <w:r>
        <w:rPr>
          <w:rFonts w:ascii="仿宋_GB2312" w:hAnsi="宋体" w:eastAsia="仿宋_GB2312"/>
          <w:sz w:val="28"/>
          <w:szCs w:val="28"/>
        </w:rPr>
        <w:t>293.37公顷</w:t>
      </w:r>
      <w:r>
        <w:rPr>
          <w:rFonts w:hint="eastAsia" w:ascii="仿宋_GB2312" w:hAnsi="宋体" w:eastAsia="仿宋_GB2312"/>
          <w:sz w:val="28"/>
          <w:szCs w:val="28"/>
        </w:rPr>
        <w:t>、张坳口村</w:t>
      </w:r>
      <w:r>
        <w:rPr>
          <w:rFonts w:ascii="仿宋_GB2312" w:hAnsi="宋体" w:eastAsia="仿宋_GB2312"/>
          <w:sz w:val="28"/>
          <w:szCs w:val="28"/>
        </w:rPr>
        <w:t>181.25公顷</w:t>
      </w:r>
      <w:r>
        <w:rPr>
          <w:rFonts w:hint="eastAsia" w:ascii="仿宋_GB2312" w:hAnsi="宋体" w:eastAsia="仿宋_GB2312"/>
          <w:sz w:val="28"/>
          <w:szCs w:val="28"/>
        </w:rPr>
        <w:t>、大桥村</w:t>
      </w:r>
      <w:r>
        <w:rPr>
          <w:rFonts w:ascii="仿宋_GB2312" w:hAnsi="宋体" w:eastAsia="仿宋_GB2312"/>
          <w:sz w:val="28"/>
          <w:szCs w:val="28"/>
        </w:rPr>
        <w:t>589.15公顷</w:t>
      </w:r>
      <w:r>
        <w:rPr>
          <w:rFonts w:hint="eastAsia" w:ascii="仿宋_GB2312" w:hAnsi="宋体" w:eastAsia="仿宋_GB2312"/>
          <w:sz w:val="28"/>
          <w:szCs w:val="28"/>
        </w:rPr>
        <w:t>。</w:t>
      </w:r>
    </w:p>
    <w:p>
      <w:pPr>
        <w:ind w:firstLine="562" w:firstLineChars="200"/>
        <w:rPr>
          <w:rFonts w:ascii="仿宋_GB2312" w:hAnsi="宋体" w:eastAsia="仿宋_GB2312"/>
          <w:b/>
          <w:sz w:val="28"/>
          <w:szCs w:val="28"/>
        </w:rPr>
      </w:pPr>
      <w:r>
        <w:rPr>
          <w:rFonts w:hint="eastAsia" w:ascii="仿宋_GB2312" w:hAnsi="宋体" w:eastAsia="仿宋_GB2312"/>
          <w:b/>
          <w:sz w:val="28"/>
          <w:szCs w:val="28"/>
        </w:rPr>
        <w:t>（4）其他农用地</w:t>
      </w:r>
    </w:p>
    <w:p>
      <w:pPr>
        <w:ind w:firstLine="560" w:firstLineChars="200"/>
        <w:rPr>
          <w:rFonts w:ascii="仿宋_GB2312" w:hAnsi="宋体" w:eastAsia="仿宋_GB2312"/>
          <w:sz w:val="28"/>
          <w:szCs w:val="28"/>
        </w:rPr>
      </w:pPr>
      <w:r>
        <w:rPr>
          <w:rFonts w:hint="eastAsia" w:ascii="仿宋_GB2312" w:hAnsi="宋体" w:eastAsia="仿宋_GB2312"/>
          <w:sz w:val="28"/>
          <w:szCs w:val="28"/>
        </w:rPr>
        <w:t>全镇其他农用地面积为</w:t>
      </w:r>
      <w:r>
        <w:rPr>
          <w:rFonts w:ascii="仿宋_GB2312" w:hAnsi="宋体" w:eastAsia="仿宋_GB2312"/>
          <w:sz w:val="28"/>
          <w:szCs w:val="28"/>
        </w:rPr>
        <w:t>623.53</w:t>
      </w:r>
      <w:r>
        <w:rPr>
          <w:rFonts w:hint="eastAsia" w:ascii="仿宋_GB2312" w:hAnsi="宋体" w:eastAsia="仿宋_GB2312"/>
          <w:sz w:val="28"/>
          <w:szCs w:val="28"/>
        </w:rPr>
        <w:t>公顷，占农用地面积的</w:t>
      </w:r>
      <w:r>
        <w:rPr>
          <w:rFonts w:ascii="仿宋_GB2312" w:hAnsi="宋体" w:eastAsia="仿宋_GB2312"/>
          <w:sz w:val="28"/>
          <w:szCs w:val="28"/>
        </w:rPr>
        <w:t>8.74%</w:t>
      </w:r>
      <w:r>
        <w:rPr>
          <w:rFonts w:hint="eastAsia" w:ascii="仿宋_GB2312" w:hAnsi="宋体" w:eastAsia="仿宋_GB2312"/>
          <w:sz w:val="28"/>
          <w:szCs w:val="28"/>
        </w:rPr>
        <w:t>；主要分布情况为方嘴村</w:t>
      </w:r>
      <w:r>
        <w:rPr>
          <w:rFonts w:ascii="仿宋_GB2312" w:hAnsi="宋体" w:eastAsia="仿宋_GB2312"/>
          <w:sz w:val="28"/>
          <w:szCs w:val="28"/>
        </w:rPr>
        <w:t>40.38公顷</w:t>
      </w:r>
      <w:r>
        <w:rPr>
          <w:rFonts w:hint="eastAsia" w:ascii="仿宋_GB2312" w:hAnsi="宋体" w:eastAsia="仿宋_GB2312"/>
          <w:sz w:val="28"/>
          <w:szCs w:val="28"/>
        </w:rPr>
        <w:t>、兴无村</w:t>
      </w:r>
      <w:r>
        <w:rPr>
          <w:rFonts w:ascii="仿宋_GB2312" w:hAnsi="宋体" w:eastAsia="仿宋_GB2312"/>
          <w:sz w:val="28"/>
          <w:szCs w:val="28"/>
        </w:rPr>
        <w:t>32.95公顷</w:t>
      </w:r>
      <w:r>
        <w:rPr>
          <w:rFonts w:hint="eastAsia" w:ascii="仿宋_GB2312" w:hAnsi="宋体" w:eastAsia="仿宋_GB2312"/>
          <w:sz w:val="28"/>
          <w:szCs w:val="28"/>
        </w:rPr>
        <w:t>、杨林坳村</w:t>
      </w:r>
      <w:r>
        <w:rPr>
          <w:rFonts w:ascii="仿宋_GB2312" w:hAnsi="宋体" w:eastAsia="仿宋_GB2312"/>
          <w:sz w:val="28"/>
          <w:szCs w:val="28"/>
        </w:rPr>
        <w:t>39.79公顷</w:t>
      </w:r>
      <w:r>
        <w:rPr>
          <w:rFonts w:hint="eastAsia" w:ascii="仿宋_GB2312" w:hAnsi="宋体" w:eastAsia="仿宋_GB2312"/>
          <w:sz w:val="28"/>
          <w:szCs w:val="28"/>
        </w:rPr>
        <w:t>、阳光村</w:t>
      </w:r>
      <w:r>
        <w:rPr>
          <w:rFonts w:ascii="仿宋_GB2312" w:hAnsi="宋体" w:eastAsia="仿宋_GB2312"/>
          <w:sz w:val="28"/>
          <w:szCs w:val="28"/>
        </w:rPr>
        <w:t>42.67公顷</w:t>
      </w:r>
      <w:r>
        <w:rPr>
          <w:rFonts w:hint="eastAsia" w:ascii="仿宋_GB2312" w:hAnsi="宋体" w:eastAsia="仿宋_GB2312"/>
          <w:sz w:val="28"/>
          <w:szCs w:val="28"/>
        </w:rPr>
        <w:t>、共同村</w:t>
      </w:r>
      <w:r>
        <w:rPr>
          <w:rFonts w:ascii="仿宋_GB2312" w:hAnsi="宋体" w:eastAsia="仿宋_GB2312"/>
          <w:sz w:val="28"/>
          <w:szCs w:val="28"/>
        </w:rPr>
        <w:t>50.58公顷</w:t>
      </w:r>
      <w:r>
        <w:rPr>
          <w:rFonts w:hint="eastAsia" w:ascii="仿宋_GB2312" w:hAnsi="宋体" w:eastAsia="仿宋_GB2312"/>
          <w:sz w:val="28"/>
          <w:szCs w:val="28"/>
        </w:rPr>
        <w:t>、水保源村</w:t>
      </w:r>
      <w:r>
        <w:rPr>
          <w:rFonts w:ascii="仿宋_GB2312" w:hAnsi="宋体" w:eastAsia="仿宋_GB2312"/>
          <w:sz w:val="28"/>
          <w:szCs w:val="28"/>
        </w:rPr>
        <w:t>31.61公顷</w:t>
      </w:r>
      <w:r>
        <w:rPr>
          <w:rFonts w:hint="eastAsia" w:ascii="仿宋_GB2312" w:hAnsi="宋体" w:eastAsia="仿宋_GB2312"/>
          <w:sz w:val="28"/>
          <w:szCs w:val="28"/>
        </w:rPr>
        <w:t>、许店儿村</w:t>
      </w:r>
      <w:r>
        <w:rPr>
          <w:rFonts w:ascii="仿宋_GB2312" w:hAnsi="宋体" w:eastAsia="仿宋_GB2312"/>
          <w:sz w:val="28"/>
          <w:szCs w:val="28"/>
        </w:rPr>
        <w:t>36.41公顷</w:t>
      </w:r>
      <w:r>
        <w:rPr>
          <w:rFonts w:hint="eastAsia" w:ascii="仿宋_GB2312" w:hAnsi="宋体" w:eastAsia="仿宋_GB2312"/>
          <w:sz w:val="28"/>
          <w:szCs w:val="28"/>
        </w:rPr>
        <w:t>、碗厂村</w:t>
      </w:r>
      <w:r>
        <w:rPr>
          <w:rFonts w:ascii="仿宋_GB2312" w:hAnsi="宋体" w:eastAsia="仿宋_GB2312"/>
          <w:sz w:val="28"/>
          <w:szCs w:val="28"/>
        </w:rPr>
        <w:t>35.66公顷</w:t>
      </w:r>
      <w:r>
        <w:rPr>
          <w:rFonts w:hint="eastAsia" w:ascii="仿宋_GB2312" w:hAnsi="宋体" w:eastAsia="仿宋_GB2312"/>
          <w:sz w:val="28"/>
          <w:szCs w:val="28"/>
        </w:rPr>
        <w:t>、程河沟村</w:t>
      </w:r>
      <w:r>
        <w:rPr>
          <w:rFonts w:ascii="仿宋_GB2312" w:hAnsi="宋体" w:eastAsia="仿宋_GB2312"/>
          <w:sz w:val="28"/>
          <w:szCs w:val="28"/>
        </w:rPr>
        <w:t>25.08公顷</w:t>
      </w:r>
      <w:r>
        <w:rPr>
          <w:rFonts w:hint="eastAsia" w:ascii="仿宋_GB2312" w:hAnsi="宋体" w:eastAsia="仿宋_GB2312"/>
          <w:sz w:val="28"/>
          <w:szCs w:val="28"/>
        </w:rPr>
        <w:t>、飞来村</w:t>
      </w:r>
      <w:r>
        <w:rPr>
          <w:rFonts w:ascii="仿宋_GB2312" w:hAnsi="宋体" w:eastAsia="仿宋_GB2312"/>
          <w:sz w:val="28"/>
          <w:szCs w:val="28"/>
        </w:rPr>
        <w:t>17.66公顷</w:t>
      </w:r>
      <w:r>
        <w:rPr>
          <w:rFonts w:hint="eastAsia" w:ascii="仿宋_GB2312" w:hAnsi="宋体" w:eastAsia="仿宋_GB2312"/>
          <w:sz w:val="28"/>
          <w:szCs w:val="28"/>
        </w:rPr>
        <w:t>、南山村</w:t>
      </w:r>
      <w:r>
        <w:rPr>
          <w:rFonts w:ascii="仿宋_GB2312" w:hAnsi="宋体" w:eastAsia="仿宋_GB2312"/>
          <w:sz w:val="28"/>
          <w:szCs w:val="28"/>
        </w:rPr>
        <w:t>17.46公顷</w:t>
      </w:r>
      <w:r>
        <w:rPr>
          <w:rFonts w:hint="eastAsia" w:ascii="仿宋_GB2312" w:hAnsi="宋体" w:eastAsia="仿宋_GB2312"/>
          <w:sz w:val="28"/>
          <w:szCs w:val="28"/>
        </w:rPr>
        <w:t>、白房子村</w:t>
      </w:r>
      <w:r>
        <w:rPr>
          <w:rFonts w:ascii="仿宋_GB2312" w:hAnsi="宋体" w:eastAsia="仿宋_GB2312"/>
          <w:sz w:val="28"/>
          <w:szCs w:val="28"/>
        </w:rPr>
        <w:t>14.61公顷</w:t>
      </w:r>
      <w:r>
        <w:rPr>
          <w:rFonts w:hint="eastAsia" w:ascii="仿宋_GB2312" w:hAnsi="宋体" w:eastAsia="仿宋_GB2312"/>
          <w:sz w:val="28"/>
          <w:szCs w:val="28"/>
        </w:rPr>
        <w:t>、莲池村</w:t>
      </w:r>
      <w:r>
        <w:rPr>
          <w:rFonts w:ascii="仿宋_GB2312" w:hAnsi="宋体" w:eastAsia="仿宋_GB2312"/>
          <w:sz w:val="28"/>
          <w:szCs w:val="28"/>
        </w:rPr>
        <w:t>13.33公顷</w:t>
      </w:r>
      <w:r>
        <w:rPr>
          <w:rFonts w:hint="eastAsia" w:ascii="仿宋_GB2312" w:hAnsi="宋体" w:eastAsia="仿宋_GB2312"/>
          <w:sz w:val="28"/>
          <w:szCs w:val="28"/>
        </w:rPr>
        <w:t>、楼房山村</w:t>
      </w:r>
      <w:r>
        <w:rPr>
          <w:rFonts w:ascii="仿宋_GB2312" w:hAnsi="宋体" w:eastAsia="仿宋_GB2312"/>
          <w:sz w:val="28"/>
          <w:szCs w:val="28"/>
        </w:rPr>
        <w:t>36.47公顷</w:t>
      </w:r>
      <w:r>
        <w:rPr>
          <w:rFonts w:hint="eastAsia" w:ascii="仿宋_GB2312" w:hAnsi="宋体" w:eastAsia="仿宋_GB2312"/>
          <w:sz w:val="28"/>
          <w:szCs w:val="28"/>
        </w:rPr>
        <w:t>、沙坝河村</w:t>
      </w:r>
      <w:r>
        <w:rPr>
          <w:rFonts w:ascii="仿宋_GB2312" w:hAnsi="宋体" w:eastAsia="仿宋_GB2312"/>
          <w:sz w:val="28"/>
          <w:szCs w:val="28"/>
        </w:rPr>
        <w:t>45.88公顷</w:t>
      </w:r>
      <w:r>
        <w:rPr>
          <w:rFonts w:hint="eastAsia" w:ascii="仿宋_GB2312" w:hAnsi="宋体" w:eastAsia="仿宋_GB2312"/>
          <w:sz w:val="28"/>
          <w:szCs w:val="28"/>
        </w:rPr>
        <w:t>、美丽村</w:t>
      </w:r>
      <w:r>
        <w:rPr>
          <w:rFonts w:ascii="仿宋_GB2312" w:hAnsi="宋体" w:eastAsia="仿宋_GB2312"/>
          <w:sz w:val="28"/>
          <w:szCs w:val="28"/>
        </w:rPr>
        <w:t>23.05公顷</w:t>
      </w:r>
      <w:r>
        <w:rPr>
          <w:rFonts w:hint="eastAsia" w:ascii="仿宋_GB2312" w:hAnsi="宋体" w:eastAsia="仿宋_GB2312"/>
          <w:sz w:val="28"/>
          <w:szCs w:val="28"/>
        </w:rPr>
        <w:t>、马儿石村</w:t>
      </w:r>
      <w:r>
        <w:rPr>
          <w:rFonts w:ascii="仿宋_GB2312" w:hAnsi="宋体" w:eastAsia="仿宋_GB2312"/>
          <w:sz w:val="28"/>
          <w:szCs w:val="28"/>
        </w:rPr>
        <w:t>24.96公顷</w:t>
      </w:r>
      <w:r>
        <w:rPr>
          <w:rFonts w:hint="eastAsia" w:ascii="仿宋_GB2312" w:hAnsi="宋体" w:eastAsia="仿宋_GB2312"/>
          <w:sz w:val="28"/>
          <w:szCs w:val="28"/>
        </w:rPr>
        <w:t>、张坳口村</w:t>
      </w:r>
      <w:r>
        <w:rPr>
          <w:rFonts w:ascii="仿宋_GB2312" w:hAnsi="宋体" w:eastAsia="仿宋_GB2312"/>
          <w:sz w:val="28"/>
          <w:szCs w:val="28"/>
        </w:rPr>
        <w:t>45.66公顷</w:t>
      </w:r>
      <w:r>
        <w:rPr>
          <w:rFonts w:hint="eastAsia" w:ascii="仿宋_GB2312" w:hAnsi="宋体" w:eastAsia="仿宋_GB2312"/>
          <w:sz w:val="28"/>
          <w:szCs w:val="28"/>
        </w:rPr>
        <w:t>、大桥村</w:t>
      </w:r>
      <w:r>
        <w:rPr>
          <w:rFonts w:ascii="仿宋_GB2312" w:hAnsi="宋体" w:eastAsia="仿宋_GB2312"/>
          <w:sz w:val="28"/>
          <w:szCs w:val="28"/>
        </w:rPr>
        <w:t>49.32公顷</w:t>
      </w:r>
      <w:r>
        <w:rPr>
          <w:rFonts w:hint="eastAsia" w:ascii="仿宋_GB2312" w:hAnsi="宋体" w:eastAsia="仿宋_GB2312"/>
          <w:sz w:val="28"/>
          <w:szCs w:val="28"/>
        </w:rPr>
        <w:t>。</w:t>
      </w:r>
    </w:p>
    <w:p>
      <w:pPr>
        <w:pStyle w:val="4"/>
        <w:ind w:firstLine="562"/>
      </w:pPr>
      <w:r>
        <w:rPr>
          <w:rFonts w:hint="eastAsia"/>
        </w:rPr>
        <w:t>2．建设用地</w:t>
      </w:r>
    </w:p>
    <w:p>
      <w:pPr>
        <w:ind w:firstLine="562" w:firstLineChars="200"/>
        <w:rPr>
          <w:rFonts w:ascii="仿宋_GB2312" w:hAnsi="宋体" w:eastAsia="仿宋_GB2312"/>
          <w:b/>
          <w:sz w:val="28"/>
          <w:szCs w:val="28"/>
        </w:rPr>
      </w:pPr>
      <w:r>
        <w:rPr>
          <w:rFonts w:hint="eastAsia" w:ascii="仿宋_GB2312" w:hAnsi="宋体" w:eastAsia="仿宋_GB2312"/>
          <w:b/>
          <w:sz w:val="28"/>
          <w:szCs w:val="28"/>
        </w:rPr>
        <w:t>（1）城乡建设用地</w:t>
      </w:r>
    </w:p>
    <w:p>
      <w:pPr>
        <w:ind w:firstLine="560" w:firstLineChars="200"/>
        <w:rPr>
          <w:rFonts w:ascii="仿宋_GB2312" w:hAnsi="宋体" w:eastAsia="仿宋_GB2312"/>
          <w:sz w:val="28"/>
          <w:szCs w:val="28"/>
        </w:rPr>
      </w:pPr>
      <w:r>
        <w:rPr>
          <w:rFonts w:hint="eastAsia" w:ascii="仿宋_GB2312" w:hAnsi="宋体" w:eastAsia="仿宋_GB2312"/>
          <w:sz w:val="28"/>
          <w:szCs w:val="28"/>
        </w:rPr>
        <w:t>全镇城乡建设用地面积为</w:t>
      </w:r>
      <w:r>
        <w:rPr>
          <w:rFonts w:ascii="仿宋_GB2312" w:hAnsi="宋体" w:eastAsia="仿宋_GB2312"/>
          <w:sz w:val="28"/>
          <w:szCs w:val="28"/>
        </w:rPr>
        <w:t>450.96</w:t>
      </w:r>
      <w:r>
        <w:rPr>
          <w:rFonts w:hint="eastAsia" w:ascii="仿宋_GB2312" w:hAnsi="宋体" w:eastAsia="仿宋_GB2312"/>
          <w:sz w:val="28"/>
          <w:szCs w:val="28"/>
        </w:rPr>
        <w:t>公顷，占建设用地的</w:t>
      </w:r>
      <w:r>
        <w:rPr>
          <w:rFonts w:ascii="仿宋_GB2312" w:hAnsi="宋体" w:eastAsia="仿宋_GB2312"/>
          <w:sz w:val="28"/>
          <w:szCs w:val="28"/>
        </w:rPr>
        <w:t>96.47%</w:t>
      </w:r>
      <w:r>
        <w:rPr>
          <w:rFonts w:hint="eastAsia" w:ascii="仿宋_GB2312" w:hAnsi="宋体" w:eastAsia="仿宋_GB2312"/>
          <w:sz w:val="28"/>
          <w:szCs w:val="28"/>
        </w:rPr>
        <w:t>；其中，城镇用地面积为</w:t>
      </w:r>
      <w:r>
        <w:rPr>
          <w:rFonts w:ascii="仿宋_GB2312" w:hAnsi="宋体" w:eastAsia="仿宋_GB2312"/>
          <w:sz w:val="28"/>
          <w:szCs w:val="28"/>
        </w:rPr>
        <w:t>24.75</w:t>
      </w:r>
      <w:r>
        <w:rPr>
          <w:rFonts w:hint="eastAsia" w:ascii="仿宋_GB2312" w:hAnsi="宋体" w:eastAsia="仿宋_GB2312"/>
          <w:sz w:val="28"/>
          <w:szCs w:val="28"/>
        </w:rPr>
        <w:t>公顷，占城乡建设用地的</w:t>
      </w:r>
      <w:r>
        <w:rPr>
          <w:rFonts w:ascii="仿宋_GB2312" w:hAnsi="宋体" w:eastAsia="仿宋_GB2312"/>
          <w:sz w:val="28"/>
          <w:szCs w:val="28"/>
        </w:rPr>
        <w:t>5.29%</w:t>
      </w:r>
      <w:r>
        <w:rPr>
          <w:rFonts w:hint="eastAsia" w:ascii="仿宋_GB2312" w:hAnsi="宋体" w:eastAsia="仿宋_GB2312"/>
          <w:sz w:val="28"/>
          <w:szCs w:val="28"/>
        </w:rPr>
        <w:t>；农村居民点用地面积为</w:t>
      </w:r>
      <w:r>
        <w:rPr>
          <w:rFonts w:ascii="仿宋_GB2312" w:hAnsi="宋体" w:eastAsia="仿宋_GB2312"/>
          <w:sz w:val="28"/>
          <w:szCs w:val="28"/>
        </w:rPr>
        <w:t>382.49</w:t>
      </w:r>
      <w:r>
        <w:rPr>
          <w:rFonts w:hint="eastAsia" w:ascii="仿宋_GB2312" w:hAnsi="宋体" w:eastAsia="仿宋_GB2312"/>
          <w:sz w:val="28"/>
          <w:szCs w:val="28"/>
        </w:rPr>
        <w:t>公顷，占城乡建设用地的</w:t>
      </w:r>
      <w:r>
        <w:rPr>
          <w:rFonts w:ascii="仿宋_GB2312" w:hAnsi="宋体" w:eastAsia="仿宋_GB2312"/>
          <w:sz w:val="28"/>
          <w:szCs w:val="28"/>
        </w:rPr>
        <w:t>81.83%</w:t>
      </w:r>
      <w:r>
        <w:rPr>
          <w:rFonts w:hint="eastAsia" w:ascii="仿宋_GB2312" w:hAnsi="宋体" w:eastAsia="仿宋_GB2312"/>
          <w:sz w:val="28"/>
          <w:szCs w:val="28"/>
        </w:rPr>
        <w:t>；采矿用地的面积为</w:t>
      </w:r>
      <w:r>
        <w:rPr>
          <w:rFonts w:ascii="仿宋_GB2312" w:hAnsi="宋体" w:eastAsia="仿宋_GB2312"/>
          <w:sz w:val="28"/>
          <w:szCs w:val="28"/>
        </w:rPr>
        <w:t>43.72</w:t>
      </w:r>
      <w:r>
        <w:rPr>
          <w:rFonts w:hint="eastAsia" w:ascii="仿宋_GB2312" w:hAnsi="宋体" w:eastAsia="仿宋_GB2312"/>
          <w:sz w:val="28"/>
          <w:szCs w:val="28"/>
        </w:rPr>
        <w:t>公顷，占城乡建设用地的</w:t>
      </w:r>
      <w:r>
        <w:rPr>
          <w:rFonts w:ascii="仿宋_GB2312" w:hAnsi="宋体" w:eastAsia="仿宋_GB2312"/>
          <w:sz w:val="28"/>
          <w:szCs w:val="28"/>
        </w:rPr>
        <w:t>9.35%</w:t>
      </w:r>
      <w:r>
        <w:rPr>
          <w:rFonts w:hint="eastAsia" w:ascii="仿宋_GB2312" w:hAnsi="宋体" w:eastAsia="仿宋_GB2312"/>
          <w:sz w:val="28"/>
          <w:szCs w:val="28"/>
        </w:rPr>
        <w:t>；其他独立建设用地面积为0</w:t>
      </w:r>
      <w:r>
        <w:rPr>
          <w:rFonts w:ascii="仿宋_GB2312" w:hAnsi="宋体" w:eastAsia="仿宋_GB2312"/>
          <w:sz w:val="28"/>
          <w:szCs w:val="28"/>
        </w:rPr>
        <w:t>.00</w:t>
      </w:r>
      <w:r>
        <w:rPr>
          <w:rFonts w:hint="eastAsia" w:ascii="仿宋_GB2312" w:hAnsi="宋体" w:eastAsia="仿宋_GB2312"/>
          <w:sz w:val="28"/>
          <w:szCs w:val="28"/>
        </w:rPr>
        <w:t>公顷，占城乡建设用地的</w:t>
      </w:r>
      <w:r>
        <w:rPr>
          <w:rFonts w:ascii="仿宋_GB2312" w:hAnsi="宋体" w:eastAsia="仿宋_GB2312"/>
          <w:sz w:val="28"/>
          <w:szCs w:val="28"/>
        </w:rPr>
        <w:t>0.00</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城镇用地分布情况为方嘴村</w:t>
      </w:r>
      <w:r>
        <w:rPr>
          <w:rFonts w:ascii="仿宋_GB2312" w:hAnsi="宋体" w:eastAsia="仿宋_GB2312"/>
          <w:sz w:val="28"/>
          <w:szCs w:val="28"/>
        </w:rPr>
        <w:t>22.04公顷</w:t>
      </w:r>
      <w:r>
        <w:rPr>
          <w:rFonts w:hint="eastAsia" w:ascii="仿宋_GB2312" w:hAnsi="宋体" w:eastAsia="仿宋_GB2312"/>
          <w:sz w:val="28"/>
          <w:szCs w:val="28"/>
        </w:rPr>
        <w:t>、莲池村</w:t>
      </w:r>
      <w:r>
        <w:rPr>
          <w:rFonts w:ascii="仿宋_GB2312" w:hAnsi="宋体" w:eastAsia="仿宋_GB2312"/>
          <w:sz w:val="28"/>
          <w:szCs w:val="28"/>
        </w:rPr>
        <w:t>2.71公顷</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农村居民点用地分布情况为方嘴村</w:t>
      </w:r>
      <w:r>
        <w:rPr>
          <w:rFonts w:ascii="仿宋_GB2312" w:hAnsi="宋体" w:eastAsia="仿宋_GB2312"/>
          <w:sz w:val="28"/>
          <w:szCs w:val="28"/>
        </w:rPr>
        <w:t>30.70公顷</w:t>
      </w:r>
      <w:r>
        <w:rPr>
          <w:rFonts w:hint="eastAsia" w:ascii="仿宋_GB2312" w:hAnsi="宋体" w:eastAsia="仿宋_GB2312"/>
          <w:sz w:val="28"/>
          <w:szCs w:val="28"/>
        </w:rPr>
        <w:t>、兴无村</w:t>
      </w:r>
      <w:r>
        <w:rPr>
          <w:rFonts w:ascii="仿宋_GB2312" w:hAnsi="宋体" w:eastAsia="仿宋_GB2312"/>
          <w:sz w:val="28"/>
          <w:szCs w:val="28"/>
        </w:rPr>
        <w:t>24.05公顷</w:t>
      </w:r>
      <w:r>
        <w:rPr>
          <w:rFonts w:hint="eastAsia" w:ascii="仿宋_GB2312" w:hAnsi="宋体" w:eastAsia="仿宋_GB2312"/>
          <w:sz w:val="28"/>
          <w:szCs w:val="28"/>
        </w:rPr>
        <w:t>、杨林坳村</w:t>
      </w:r>
      <w:r>
        <w:rPr>
          <w:rFonts w:ascii="仿宋_GB2312" w:hAnsi="宋体" w:eastAsia="仿宋_GB2312"/>
          <w:sz w:val="28"/>
          <w:szCs w:val="28"/>
        </w:rPr>
        <w:t>25.50公顷</w:t>
      </w:r>
      <w:r>
        <w:rPr>
          <w:rFonts w:hint="eastAsia" w:ascii="仿宋_GB2312" w:hAnsi="宋体" w:eastAsia="仿宋_GB2312"/>
          <w:sz w:val="28"/>
          <w:szCs w:val="28"/>
        </w:rPr>
        <w:t>、阳光村</w:t>
      </w:r>
      <w:r>
        <w:rPr>
          <w:rFonts w:ascii="仿宋_GB2312" w:hAnsi="宋体" w:eastAsia="仿宋_GB2312"/>
          <w:sz w:val="28"/>
          <w:szCs w:val="28"/>
        </w:rPr>
        <w:t>26.74公顷</w:t>
      </w:r>
      <w:r>
        <w:rPr>
          <w:rFonts w:hint="eastAsia" w:ascii="仿宋_GB2312" w:hAnsi="宋体" w:eastAsia="仿宋_GB2312"/>
          <w:sz w:val="28"/>
          <w:szCs w:val="28"/>
        </w:rPr>
        <w:t>、共同村</w:t>
      </w:r>
      <w:r>
        <w:rPr>
          <w:rFonts w:ascii="仿宋_GB2312" w:hAnsi="宋体" w:eastAsia="仿宋_GB2312"/>
          <w:sz w:val="28"/>
          <w:szCs w:val="28"/>
        </w:rPr>
        <w:t>26.02公顷</w:t>
      </w:r>
      <w:r>
        <w:rPr>
          <w:rFonts w:hint="eastAsia" w:ascii="仿宋_GB2312" w:hAnsi="宋体" w:eastAsia="仿宋_GB2312"/>
          <w:sz w:val="28"/>
          <w:szCs w:val="28"/>
        </w:rPr>
        <w:t>、水保源村</w:t>
      </w:r>
      <w:r>
        <w:rPr>
          <w:rFonts w:ascii="仿宋_GB2312" w:hAnsi="宋体" w:eastAsia="仿宋_GB2312"/>
          <w:sz w:val="28"/>
          <w:szCs w:val="28"/>
        </w:rPr>
        <w:t>17.64公顷</w:t>
      </w:r>
      <w:r>
        <w:rPr>
          <w:rFonts w:hint="eastAsia" w:ascii="仿宋_GB2312" w:hAnsi="宋体" w:eastAsia="仿宋_GB2312"/>
          <w:sz w:val="28"/>
          <w:szCs w:val="28"/>
        </w:rPr>
        <w:t>、许店儿村</w:t>
      </w:r>
      <w:r>
        <w:rPr>
          <w:rFonts w:ascii="仿宋_GB2312" w:hAnsi="宋体" w:eastAsia="仿宋_GB2312"/>
          <w:sz w:val="28"/>
          <w:szCs w:val="28"/>
        </w:rPr>
        <w:t>20.21公顷</w:t>
      </w:r>
      <w:r>
        <w:rPr>
          <w:rFonts w:hint="eastAsia" w:ascii="仿宋_GB2312" w:hAnsi="宋体" w:eastAsia="仿宋_GB2312"/>
          <w:sz w:val="28"/>
          <w:szCs w:val="28"/>
        </w:rPr>
        <w:t>、碗厂村</w:t>
      </w:r>
      <w:r>
        <w:rPr>
          <w:rFonts w:ascii="仿宋_GB2312" w:hAnsi="宋体" w:eastAsia="仿宋_GB2312"/>
          <w:sz w:val="28"/>
          <w:szCs w:val="28"/>
        </w:rPr>
        <w:t>21.98公顷</w:t>
      </w:r>
      <w:r>
        <w:rPr>
          <w:rFonts w:hint="eastAsia" w:ascii="仿宋_GB2312" w:hAnsi="宋体" w:eastAsia="仿宋_GB2312"/>
          <w:sz w:val="28"/>
          <w:szCs w:val="28"/>
        </w:rPr>
        <w:t>、程河沟村</w:t>
      </w:r>
      <w:r>
        <w:rPr>
          <w:rFonts w:ascii="仿宋_GB2312" w:hAnsi="宋体" w:eastAsia="仿宋_GB2312"/>
          <w:sz w:val="28"/>
          <w:szCs w:val="28"/>
        </w:rPr>
        <w:t>12.62公顷</w:t>
      </w:r>
      <w:r>
        <w:rPr>
          <w:rFonts w:hint="eastAsia" w:ascii="仿宋_GB2312" w:hAnsi="宋体" w:eastAsia="仿宋_GB2312"/>
          <w:sz w:val="28"/>
          <w:szCs w:val="28"/>
        </w:rPr>
        <w:t>、飞来村</w:t>
      </w:r>
      <w:r>
        <w:rPr>
          <w:rFonts w:ascii="仿宋_GB2312" w:hAnsi="宋体" w:eastAsia="仿宋_GB2312"/>
          <w:sz w:val="28"/>
          <w:szCs w:val="28"/>
        </w:rPr>
        <w:t>11.46公顷</w:t>
      </w:r>
      <w:r>
        <w:rPr>
          <w:rFonts w:hint="eastAsia" w:ascii="仿宋_GB2312" w:hAnsi="宋体" w:eastAsia="仿宋_GB2312"/>
          <w:sz w:val="28"/>
          <w:szCs w:val="28"/>
        </w:rPr>
        <w:t>、南山村</w:t>
      </w:r>
      <w:r>
        <w:rPr>
          <w:rFonts w:ascii="仿宋_GB2312" w:hAnsi="宋体" w:eastAsia="仿宋_GB2312"/>
          <w:sz w:val="28"/>
          <w:szCs w:val="28"/>
        </w:rPr>
        <w:t>14.54公顷</w:t>
      </w:r>
      <w:r>
        <w:rPr>
          <w:rFonts w:hint="eastAsia" w:ascii="仿宋_GB2312" w:hAnsi="宋体" w:eastAsia="仿宋_GB2312"/>
          <w:sz w:val="28"/>
          <w:szCs w:val="28"/>
        </w:rPr>
        <w:t>、白房子村</w:t>
      </w:r>
      <w:r>
        <w:rPr>
          <w:rFonts w:ascii="仿宋_GB2312" w:hAnsi="宋体" w:eastAsia="仿宋_GB2312"/>
          <w:sz w:val="28"/>
          <w:szCs w:val="28"/>
        </w:rPr>
        <w:t>8.82公顷</w:t>
      </w:r>
      <w:r>
        <w:rPr>
          <w:rFonts w:hint="eastAsia" w:ascii="仿宋_GB2312" w:hAnsi="宋体" w:eastAsia="仿宋_GB2312"/>
          <w:sz w:val="28"/>
          <w:szCs w:val="28"/>
        </w:rPr>
        <w:t>、莲池村</w:t>
      </w:r>
      <w:r>
        <w:rPr>
          <w:rFonts w:ascii="仿宋_GB2312" w:hAnsi="宋体" w:eastAsia="仿宋_GB2312"/>
          <w:sz w:val="28"/>
          <w:szCs w:val="28"/>
        </w:rPr>
        <w:t>20.37公顷</w:t>
      </w:r>
      <w:r>
        <w:rPr>
          <w:rFonts w:hint="eastAsia" w:ascii="仿宋_GB2312" w:hAnsi="宋体" w:eastAsia="仿宋_GB2312"/>
          <w:sz w:val="28"/>
          <w:szCs w:val="28"/>
        </w:rPr>
        <w:t>、楼房山村</w:t>
      </w:r>
      <w:r>
        <w:rPr>
          <w:rFonts w:ascii="仿宋_GB2312" w:hAnsi="宋体" w:eastAsia="仿宋_GB2312"/>
          <w:sz w:val="28"/>
          <w:szCs w:val="28"/>
        </w:rPr>
        <w:t>25.34公顷</w:t>
      </w:r>
      <w:r>
        <w:rPr>
          <w:rFonts w:hint="eastAsia" w:ascii="仿宋_GB2312" w:hAnsi="宋体" w:eastAsia="仿宋_GB2312"/>
          <w:sz w:val="28"/>
          <w:szCs w:val="28"/>
        </w:rPr>
        <w:t>、沙坝河村</w:t>
      </w:r>
      <w:r>
        <w:rPr>
          <w:rFonts w:ascii="仿宋_GB2312" w:hAnsi="宋体" w:eastAsia="仿宋_GB2312"/>
          <w:sz w:val="28"/>
          <w:szCs w:val="28"/>
        </w:rPr>
        <w:t>20.51公顷</w:t>
      </w:r>
      <w:r>
        <w:rPr>
          <w:rFonts w:hint="eastAsia" w:ascii="仿宋_GB2312" w:hAnsi="宋体" w:eastAsia="仿宋_GB2312"/>
          <w:sz w:val="28"/>
          <w:szCs w:val="28"/>
        </w:rPr>
        <w:t>、美丽村</w:t>
      </w:r>
      <w:r>
        <w:rPr>
          <w:rFonts w:ascii="仿宋_GB2312" w:hAnsi="宋体" w:eastAsia="仿宋_GB2312"/>
          <w:sz w:val="28"/>
          <w:szCs w:val="28"/>
        </w:rPr>
        <w:t>8.86公顷</w:t>
      </w:r>
      <w:r>
        <w:rPr>
          <w:rFonts w:hint="eastAsia" w:ascii="仿宋_GB2312" w:hAnsi="宋体" w:eastAsia="仿宋_GB2312"/>
          <w:sz w:val="28"/>
          <w:szCs w:val="28"/>
        </w:rPr>
        <w:t>、马儿石村</w:t>
      </w:r>
      <w:r>
        <w:rPr>
          <w:rFonts w:ascii="仿宋_GB2312" w:hAnsi="宋体" w:eastAsia="仿宋_GB2312"/>
          <w:sz w:val="28"/>
          <w:szCs w:val="28"/>
        </w:rPr>
        <w:t>17.19公顷</w:t>
      </w:r>
      <w:r>
        <w:rPr>
          <w:rFonts w:hint="eastAsia" w:ascii="仿宋_GB2312" w:hAnsi="宋体" w:eastAsia="仿宋_GB2312"/>
          <w:sz w:val="28"/>
          <w:szCs w:val="28"/>
        </w:rPr>
        <w:t>、张坳口村</w:t>
      </w:r>
      <w:r>
        <w:rPr>
          <w:rFonts w:ascii="仿宋_GB2312" w:hAnsi="宋体" w:eastAsia="仿宋_GB2312"/>
          <w:sz w:val="28"/>
          <w:szCs w:val="28"/>
        </w:rPr>
        <w:t>22.32公顷</w:t>
      </w:r>
      <w:r>
        <w:rPr>
          <w:rFonts w:hint="eastAsia" w:ascii="仿宋_GB2312" w:hAnsi="宋体" w:eastAsia="仿宋_GB2312"/>
          <w:sz w:val="28"/>
          <w:szCs w:val="28"/>
        </w:rPr>
        <w:t>、大桥村</w:t>
      </w:r>
      <w:r>
        <w:rPr>
          <w:rFonts w:ascii="仿宋_GB2312" w:hAnsi="宋体" w:eastAsia="仿宋_GB2312"/>
          <w:sz w:val="28"/>
          <w:szCs w:val="28"/>
        </w:rPr>
        <w:t>27.62公顷</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采矿用地分布情况为方嘴村</w:t>
      </w:r>
      <w:r>
        <w:rPr>
          <w:rFonts w:ascii="仿宋_GB2312" w:hAnsi="宋体" w:eastAsia="仿宋_GB2312"/>
          <w:sz w:val="28"/>
          <w:szCs w:val="28"/>
        </w:rPr>
        <w:t>14.43公顷</w:t>
      </w:r>
      <w:r>
        <w:rPr>
          <w:rFonts w:hint="eastAsia" w:ascii="仿宋_GB2312" w:hAnsi="宋体" w:eastAsia="仿宋_GB2312"/>
          <w:sz w:val="28"/>
          <w:szCs w:val="28"/>
        </w:rPr>
        <w:t>、兴无村</w:t>
      </w:r>
      <w:r>
        <w:rPr>
          <w:rFonts w:ascii="仿宋_GB2312" w:hAnsi="宋体" w:eastAsia="仿宋_GB2312"/>
          <w:sz w:val="28"/>
          <w:szCs w:val="28"/>
        </w:rPr>
        <w:t>4.42公顷</w:t>
      </w:r>
      <w:r>
        <w:rPr>
          <w:rFonts w:hint="eastAsia" w:ascii="仿宋_GB2312" w:hAnsi="宋体" w:eastAsia="仿宋_GB2312"/>
          <w:sz w:val="28"/>
          <w:szCs w:val="28"/>
        </w:rPr>
        <w:t>、碗厂村</w:t>
      </w:r>
      <w:r>
        <w:rPr>
          <w:rFonts w:ascii="仿宋_GB2312" w:hAnsi="宋体" w:eastAsia="仿宋_GB2312"/>
          <w:sz w:val="28"/>
          <w:szCs w:val="28"/>
        </w:rPr>
        <w:t>0.74公顷</w:t>
      </w:r>
      <w:r>
        <w:rPr>
          <w:rFonts w:hint="eastAsia" w:ascii="仿宋_GB2312" w:hAnsi="宋体" w:eastAsia="仿宋_GB2312"/>
          <w:sz w:val="28"/>
          <w:szCs w:val="28"/>
        </w:rPr>
        <w:t>、南山村</w:t>
      </w:r>
      <w:r>
        <w:rPr>
          <w:rFonts w:ascii="仿宋_GB2312" w:hAnsi="宋体" w:eastAsia="仿宋_GB2312"/>
          <w:sz w:val="28"/>
          <w:szCs w:val="28"/>
        </w:rPr>
        <w:t>1.92公顷</w:t>
      </w:r>
      <w:r>
        <w:rPr>
          <w:rFonts w:hint="eastAsia" w:ascii="仿宋_GB2312" w:hAnsi="宋体" w:eastAsia="仿宋_GB2312"/>
          <w:sz w:val="28"/>
          <w:szCs w:val="28"/>
        </w:rPr>
        <w:t>、白房子村</w:t>
      </w:r>
      <w:r>
        <w:rPr>
          <w:rFonts w:ascii="仿宋_GB2312" w:hAnsi="宋体" w:eastAsia="仿宋_GB2312"/>
          <w:sz w:val="28"/>
          <w:szCs w:val="28"/>
        </w:rPr>
        <w:t>2.55公顷</w:t>
      </w:r>
      <w:r>
        <w:rPr>
          <w:rFonts w:hint="eastAsia" w:ascii="仿宋_GB2312" w:hAnsi="宋体" w:eastAsia="仿宋_GB2312"/>
          <w:sz w:val="28"/>
          <w:szCs w:val="28"/>
        </w:rPr>
        <w:t>、莲池村</w:t>
      </w:r>
      <w:r>
        <w:rPr>
          <w:rFonts w:ascii="仿宋_GB2312" w:hAnsi="宋体" w:eastAsia="仿宋_GB2312"/>
          <w:sz w:val="28"/>
          <w:szCs w:val="28"/>
        </w:rPr>
        <w:t>1.92公顷</w:t>
      </w:r>
      <w:r>
        <w:rPr>
          <w:rFonts w:hint="eastAsia" w:ascii="仿宋_GB2312" w:hAnsi="宋体" w:eastAsia="仿宋_GB2312"/>
          <w:sz w:val="28"/>
          <w:szCs w:val="28"/>
        </w:rPr>
        <w:t>、楼房山村</w:t>
      </w:r>
      <w:r>
        <w:rPr>
          <w:rFonts w:ascii="仿宋_GB2312" w:hAnsi="宋体" w:eastAsia="仿宋_GB2312"/>
          <w:sz w:val="28"/>
          <w:szCs w:val="28"/>
        </w:rPr>
        <w:t>2.54公顷</w:t>
      </w:r>
      <w:r>
        <w:rPr>
          <w:rFonts w:hint="eastAsia" w:ascii="仿宋_GB2312" w:hAnsi="宋体" w:eastAsia="仿宋_GB2312"/>
          <w:sz w:val="28"/>
          <w:szCs w:val="28"/>
        </w:rPr>
        <w:t>、沙坝河村</w:t>
      </w:r>
      <w:r>
        <w:rPr>
          <w:rFonts w:ascii="仿宋_GB2312" w:hAnsi="宋体" w:eastAsia="仿宋_GB2312"/>
          <w:sz w:val="28"/>
          <w:szCs w:val="28"/>
        </w:rPr>
        <w:t>3.82公顷</w:t>
      </w:r>
      <w:r>
        <w:rPr>
          <w:rFonts w:hint="eastAsia" w:ascii="仿宋_GB2312" w:hAnsi="宋体" w:eastAsia="仿宋_GB2312"/>
          <w:sz w:val="28"/>
          <w:szCs w:val="28"/>
        </w:rPr>
        <w:t>、马儿石村</w:t>
      </w:r>
      <w:r>
        <w:rPr>
          <w:rFonts w:ascii="仿宋_GB2312" w:hAnsi="宋体" w:eastAsia="仿宋_GB2312"/>
          <w:sz w:val="28"/>
          <w:szCs w:val="28"/>
        </w:rPr>
        <w:t>9.36公顷</w:t>
      </w:r>
      <w:r>
        <w:rPr>
          <w:rFonts w:hint="eastAsia" w:ascii="仿宋_GB2312" w:hAnsi="宋体" w:eastAsia="仿宋_GB2312"/>
          <w:sz w:val="28"/>
          <w:szCs w:val="28"/>
        </w:rPr>
        <w:t>、张坳口村</w:t>
      </w:r>
      <w:r>
        <w:rPr>
          <w:rFonts w:ascii="仿宋_GB2312" w:hAnsi="宋体" w:eastAsia="仿宋_GB2312"/>
          <w:sz w:val="28"/>
          <w:szCs w:val="28"/>
        </w:rPr>
        <w:t>0.35公顷</w:t>
      </w:r>
      <w:r>
        <w:rPr>
          <w:rFonts w:hint="eastAsia" w:ascii="仿宋_GB2312" w:hAnsi="宋体" w:eastAsia="仿宋_GB2312"/>
          <w:sz w:val="28"/>
          <w:szCs w:val="28"/>
        </w:rPr>
        <w:t>、大桥村</w:t>
      </w:r>
      <w:r>
        <w:rPr>
          <w:rFonts w:ascii="仿宋_GB2312" w:hAnsi="宋体" w:eastAsia="仿宋_GB2312"/>
          <w:sz w:val="28"/>
          <w:szCs w:val="28"/>
        </w:rPr>
        <w:t>1.67公顷</w:t>
      </w:r>
      <w:r>
        <w:rPr>
          <w:rFonts w:hint="eastAsia" w:ascii="仿宋_GB2312" w:hAnsi="宋体" w:eastAsia="仿宋_GB2312"/>
          <w:sz w:val="28"/>
          <w:szCs w:val="28"/>
        </w:rPr>
        <w:t>。</w:t>
      </w:r>
    </w:p>
    <w:p>
      <w:pPr>
        <w:ind w:firstLine="562" w:firstLineChars="200"/>
        <w:rPr>
          <w:rFonts w:ascii="仿宋_GB2312" w:hAnsi="宋体" w:eastAsia="仿宋_GB2312"/>
          <w:b/>
          <w:sz w:val="28"/>
          <w:szCs w:val="28"/>
        </w:rPr>
      </w:pPr>
      <w:r>
        <w:rPr>
          <w:rFonts w:hint="eastAsia" w:ascii="仿宋_GB2312" w:hAnsi="宋体" w:eastAsia="仿宋_GB2312"/>
          <w:b/>
          <w:sz w:val="28"/>
          <w:szCs w:val="28"/>
        </w:rPr>
        <w:t>（2）交通水利用地</w:t>
      </w:r>
    </w:p>
    <w:p>
      <w:pPr>
        <w:ind w:firstLine="560" w:firstLineChars="200"/>
        <w:rPr>
          <w:rFonts w:ascii="仿宋_GB2312" w:hAnsi="宋体" w:eastAsia="仿宋_GB2312"/>
          <w:sz w:val="28"/>
          <w:szCs w:val="28"/>
        </w:rPr>
      </w:pPr>
      <w:r>
        <w:rPr>
          <w:rFonts w:hint="eastAsia" w:ascii="仿宋_GB2312" w:hAnsi="宋体" w:eastAsia="仿宋_GB2312"/>
          <w:sz w:val="28"/>
          <w:szCs w:val="28"/>
        </w:rPr>
        <w:t>全镇交通水利用地面积为</w:t>
      </w:r>
      <w:r>
        <w:rPr>
          <w:rFonts w:ascii="仿宋_GB2312" w:hAnsi="宋体" w:eastAsia="仿宋_GB2312"/>
          <w:sz w:val="28"/>
          <w:szCs w:val="28"/>
        </w:rPr>
        <w:t>16.47</w:t>
      </w:r>
      <w:r>
        <w:rPr>
          <w:rFonts w:hint="eastAsia" w:ascii="仿宋_GB2312" w:hAnsi="宋体" w:eastAsia="仿宋_GB2312"/>
          <w:sz w:val="28"/>
          <w:szCs w:val="28"/>
        </w:rPr>
        <w:t>公顷，占建设用地的</w:t>
      </w:r>
      <w:r>
        <w:rPr>
          <w:rFonts w:ascii="仿宋_GB2312" w:hAnsi="宋体" w:eastAsia="仿宋_GB2312"/>
          <w:sz w:val="28"/>
          <w:szCs w:val="28"/>
        </w:rPr>
        <w:t>3.52%</w:t>
      </w:r>
      <w:r>
        <w:rPr>
          <w:rFonts w:hint="eastAsia" w:ascii="仿宋_GB2312" w:hAnsi="宋体" w:eastAsia="仿宋_GB2312"/>
          <w:sz w:val="28"/>
          <w:szCs w:val="28"/>
        </w:rPr>
        <w:t>；主要分布情况为方嘴村</w:t>
      </w:r>
      <w:r>
        <w:rPr>
          <w:rFonts w:ascii="仿宋_GB2312" w:hAnsi="宋体" w:eastAsia="仿宋_GB2312"/>
          <w:sz w:val="28"/>
          <w:szCs w:val="28"/>
        </w:rPr>
        <w:t>2.94公顷</w:t>
      </w:r>
      <w:r>
        <w:rPr>
          <w:rFonts w:hint="eastAsia" w:ascii="仿宋_GB2312" w:hAnsi="宋体" w:eastAsia="仿宋_GB2312"/>
          <w:sz w:val="28"/>
          <w:szCs w:val="28"/>
        </w:rPr>
        <w:t>、兴无村</w:t>
      </w:r>
      <w:r>
        <w:rPr>
          <w:rFonts w:ascii="仿宋_GB2312" w:hAnsi="宋体" w:eastAsia="仿宋_GB2312"/>
          <w:sz w:val="28"/>
          <w:szCs w:val="28"/>
        </w:rPr>
        <w:t>1.61公顷</w:t>
      </w:r>
      <w:r>
        <w:rPr>
          <w:rFonts w:hint="eastAsia" w:ascii="仿宋_GB2312" w:hAnsi="宋体" w:eastAsia="仿宋_GB2312"/>
          <w:sz w:val="28"/>
          <w:szCs w:val="28"/>
        </w:rPr>
        <w:t>、共同村</w:t>
      </w:r>
      <w:r>
        <w:rPr>
          <w:rFonts w:ascii="仿宋_GB2312" w:hAnsi="宋体" w:eastAsia="仿宋_GB2312"/>
          <w:sz w:val="28"/>
          <w:szCs w:val="28"/>
        </w:rPr>
        <w:t>0.03公顷</w:t>
      </w:r>
      <w:r>
        <w:rPr>
          <w:rFonts w:hint="eastAsia" w:ascii="仿宋_GB2312" w:hAnsi="宋体" w:eastAsia="仿宋_GB2312"/>
          <w:sz w:val="28"/>
          <w:szCs w:val="28"/>
        </w:rPr>
        <w:t>、水保源村</w:t>
      </w:r>
      <w:r>
        <w:rPr>
          <w:rFonts w:ascii="仿宋_GB2312" w:hAnsi="宋体" w:eastAsia="仿宋_GB2312"/>
          <w:sz w:val="28"/>
          <w:szCs w:val="28"/>
        </w:rPr>
        <w:t>0.91公顷</w:t>
      </w:r>
      <w:r>
        <w:rPr>
          <w:rFonts w:hint="eastAsia" w:ascii="仿宋_GB2312" w:hAnsi="宋体" w:eastAsia="仿宋_GB2312"/>
          <w:sz w:val="28"/>
          <w:szCs w:val="28"/>
        </w:rPr>
        <w:t>、南山村</w:t>
      </w:r>
      <w:r>
        <w:rPr>
          <w:rFonts w:ascii="仿宋_GB2312" w:hAnsi="宋体" w:eastAsia="仿宋_GB2312"/>
          <w:sz w:val="28"/>
          <w:szCs w:val="28"/>
        </w:rPr>
        <w:t>0.48公顷</w:t>
      </w:r>
      <w:r>
        <w:rPr>
          <w:rFonts w:hint="eastAsia" w:ascii="仿宋_GB2312" w:hAnsi="宋体" w:eastAsia="仿宋_GB2312"/>
          <w:sz w:val="28"/>
          <w:szCs w:val="28"/>
        </w:rPr>
        <w:t>、莲池村</w:t>
      </w:r>
      <w:r>
        <w:rPr>
          <w:rFonts w:ascii="仿宋_GB2312" w:hAnsi="宋体" w:eastAsia="仿宋_GB2312"/>
          <w:sz w:val="28"/>
          <w:szCs w:val="28"/>
        </w:rPr>
        <w:t>1.38公顷</w:t>
      </w:r>
      <w:r>
        <w:rPr>
          <w:rFonts w:hint="eastAsia" w:ascii="仿宋_GB2312" w:hAnsi="宋体" w:eastAsia="仿宋_GB2312"/>
          <w:sz w:val="28"/>
          <w:szCs w:val="28"/>
        </w:rPr>
        <w:t>、楼房山村</w:t>
      </w:r>
      <w:r>
        <w:rPr>
          <w:rFonts w:ascii="仿宋_GB2312" w:hAnsi="宋体" w:eastAsia="仿宋_GB2312"/>
          <w:sz w:val="28"/>
          <w:szCs w:val="28"/>
        </w:rPr>
        <w:t>1.71公顷</w:t>
      </w:r>
      <w:r>
        <w:rPr>
          <w:rFonts w:hint="eastAsia" w:ascii="仿宋_GB2312" w:hAnsi="宋体" w:eastAsia="仿宋_GB2312"/>
          <w:sz w:val="28"/>
          <w:szCs w:val="28"/>
        </w:rPr>
        <w:t>、美丽村</w:t>
      </w:r>
      <w:r>
        <w:rPr>
          <w:rFonts w:ascii="仿宋_GB2312" w:hAnsi="宋体" w:eastAsia="仿宋_GB2312"/>
          <w:sz w:val="28"/>
          <w:szCs w:val="28"/>
        </w:rPr>
        <w:t>1.38公顷</w:t>
      </w:r>
      <w:r>
        <w:rPr>
          <w:rFonts w:hint="eastAsia" w:ascii="仿宋_GB2312" w:hAnsi="宋体" w:eastAsia="仿宋_GB2312"/>
          <w:sz w:val="28"/>
          <w:szCs w:val="28"/>
        </w:rPr>
        <w:t>、马儿石村</w:t>
      </w:r>
      <w:r>
        <w:rPr>
          <w:rFonts w:ascii="仿宋_GB2312" w:hAnsi="宋体" w:eastAsia="仿宋_GB2312"/>
          <w:sz w:val="28"/>
          <w:szCs w:val="28"/>
        </w:rPr>
        <w:t>2.37公顷</w:t>
      </w:r>
      <w:r>
        <w:rPr>
          <w:rFonts w:hint="eastAsia" w:ascii="仿宋_GB2312" w:hAnsi="宋体" w:eastAsia="仿宋_GB2312"/>
          <w:sz w:val="28"/>
          <w:szCs w:val="28"/>
        </w:rPr>
        <w:t>、大桥村</w:t>
      </w:r>
      <w:r>
        <w:rPr>
          <w:rFonts w:ascii="仿宋_GB2312" w:hAnsi="宋体" w:eastAsia="仿宋_GB2312"/>
          <w:sz w:val="28"/>
          <w:szCs w:val="28"/>
        </w:rPr>
        <w:t>3.66公顷</w:t>
      </w:r>
      <w:r>
        <w:rPr>
          <w:rFonts w:hint="eastAsia" w:ascii="仿宋_GB2312" w:hAnsi="宋体" w:eastAsia="仿宋_GB2312"/>
          <w:sz w:val="28"/>
          <w:szCs w:val="28"/>
        </w:rPr>
        <w:t>。</w:t>
      </w:r>
    </w:p>
    <w:p>
      <w:pPr>
        <w:ind w:firstLine="562" w:firstLineChars="200"/>
        <w:rPr>
          <w:rFonts w:ascii="仿宋_GB2312" w:hAnsi="宋体" w:eastAsia="仿宋_GB2312"/>
          <w:b/>
          <w:sz w:val="28"/>
          <w:szCs w:val="28"/>
        </w:rPr>
      </w:pPr>
      <w:r>
        <w:rPr>
          <w:rFonts w:hint="eastAsia" w:ascii="仿宋_GB2312" w:hAnsi="宋体" w:eastAsia="仿宋_GB2312"/>
          <w:b/>
          <w:sz w:val="28"/>
          <w:szCs w:val="28"/>
        </w:rPr>
        <w:t>（3）其他建设用地</w:t>
      </w:r>
    </w:p>
    <w:p>
      <w:pPr>
        <w:ind w:firstLine="560" w:firstLineChars="200"/>
        <w:rPr>
          <w:rFonts w:ascii="仿宋_GB2312" w:hAnsi="宋体" w:eastAsia="仿宋_GB2312"/>
          <w:sz w:val="28"/>
          <w:szCs w:val="28"/>
        </w:rPr>
      </w:pPr>
      <w:r>
        <w:rPr>
          <w:rFonts w:hint="eastAsia" w:ascii="仿宋_GB2312" w:hAnsi="宋体" w:eastAsia="仿宋_GB2312"/>
          <w:sz w:val="28"/>
          <w:szCs w:val="28"/>
        </w:rPr>
        <w:t>其他建设用地面积为0.00公顷，占0.00%。</w:t>
      </w:r>
    </w:p>
    <w:p>
      <w:pPr>
        <w:pStyle w:val="4"/>
        <w:ind w:firstLine="562"/>
      </w:pPr>
      <w:r>
        <w:rPr>
          <w:rFonts w:hint="eastAsia"/>
        </w:rPr>
        <w:t>3．其他土地</w:t>
      </w:r>
    </w:p>
    <w:p>
      <w:pPr>
        <w:ind w:firstLine="560" w:firstLineChars="200"/>
        <w:rPr>
          <w:rFonts w:ascii="仿宋_GB2312" w:hAnsi="宋体" w:eastAsia="仿宋_GB2312"/>
          <w:sz w:val="28"/>
          <w:szCs w:val="28"/>
        </w:rPr>
      </w:pPr>
      <w:r>
        <w:rPr>
          <w:rFonts w:hint="eastAsia" w:ascii="仿宋_GB2312" w:hAnsi="宋体" w:eastAsia="仿宋_GB2312"/>
          <w:sz w:val="28"/>
          <w:szCs w:val="28"/>
        </w:rPr>
        <w:t>其他土地中，水域面积为</w:t>
      </w:r>
      <w:r>
        <w:rPr>
          <w:rFonts w:ascii="仿宋_GB2312" w:hAnsi="宋体" w:eastAsia="仿宋_GB2312"/>
          <w:sz w:val="28"/>
          <w:szCs w:val="28"/>
        </w:rPr>
        <w:t>127</w:t>
      </w:r>
      <w:r>
        <w:rPr>
          <w:rFonts w:ascii="仿宋_GB2312" w:hAnsi="宋体" w:eastAsia="仿宋_GB2312"/>
          <w:sz w:val="28"/>
          <w:szCs w:val="28"/>
        </w:rPr>
        <w:tab/>
      </w:r>
      <w:r>
        <w:rPr>
          <w:rFonts w:hint="eastAsia" w:ascii="仿宋_GB2312" w:hAnsi="宋体" w:eastAsia="仿宋_GB2312"/>
          <w:sz w:val="28"/>
          <w:szCs w:val="28"/>
        </w:rPr>
        <w:t>公顷，占其他土地面积的</w:t>
      </w:r>
      <w:r>
        <w:rPr>
          <w:rFonts w:ascii="仿宋_GB2312" w:hAnsi="宋体" w:eastAsia="仿宋_GB2312"/>
          <w:sz w:val="28"/>
          <w:szCs w:val="28"/>
        </w:rPr>
        <w:t>96.06%</w:t>
      </w:r>
      <w:r>
        <w:rPr>
          <w:rFonts w:hint="eastAsia" w:ascii="仿宋_GB2312" w:hAnsi="宋体" w:eastAsia="仿宋_GB2312"/>
          <w:sz w:val="28"/>
          <w:szCs w:val="28"/>
        </w:rPr>
        <w:t>；自然保留地面积</w:t>
      </w:r>
      <w:r>
        <w:rPr>
          <w:rFonts w:ascii="仿宋_GB2312" w:hAnsi="宋体" w:eastAsia="仿宋_GB2312"/>
          <w:sz w:val="28"/>
          <w:szCs w:val="28"/>
        </w:rPr>
        <w:t>5.21</w:t>
      </w:r>
      <w:r>
        <w:rPr>
          <w:rFonts w:hint="eastAsia" w:ascii="仿宋_GB2312" w:hAnsi="宋体" w:eastAsia="仿宋_GB2312"/>
          <w:sz w:val="28"/>
          <w:szCs w:val="28"/>
        </w:rPr>
        <w:t>公顷，占</w:t>
      </w:r>
      <w:r>
        <w:rPr>
          <w:rFonts w:ascii="仿宋_GB2312" w:hAnsi="宋体" w:eastAsia="仿宋_GB2312"/>
          <w:sz w:val="28"/>
          <w:szCs w:val="28"/>
        </w:rPr>
        <w:t>3.94%</w:t>
      </w:r>
      <w:r>
        <w:rPr>
          <w:rFonts w:hint="eastAsia" w:ascii="仿宋_GB2312" w:hAnsi="宋体" w:eastAsia="仿宋_GB2312"/>
          <w:sz w:val="28"/>
          <w:szCs w:val="28"/>
        </w:rPr>
        <w:t>。</w:t>
      </w:r>
    </w:p>
    <w:p>
      <w:pPr>
        <w:pStyle w:val="3"/>
      </w:pPr>
      <w:bookmarkStart w:id="4" w:name="_Toc486428841"/>
      <w:r>
        <w:rPr>
          <w:rFonts w:hint="eastAsia"/>
        </w:rPr>
        <w:t>（二）土地利用的特点</w:t>
      </w:r>
      <w:bookmarkEnd w:id="4"/>
    </w:p>
    <w:p>
      <w:pPr>
        <w:ind w:firstLine="560" w:firstLineChars="200"/>
        <w:rPr>
          <w:rFonts w:ascii="仿宋_GB2312" w:hAnsi="宋体" w:eastAsia="仿宋_GB2312"/>
          <w:sz w:val="28"/>
          <w:szCs w:val="28"/>
        </w:rPr>
      </w:pPr>
      <w:r>
        <w:rPr>
          <w:rFonts w:hint="eastAsia" w:ascii="仿宋_GB2312" w:hAnsi="宋体" w:eastAsia="仿宋_GB2312"/>
          <w:sz w:val="28"/>
          <w:szCs w:val="28"/>
        </w:rPr>
        <w:t>1 土地开发利用程度较高，后备土地资源有限</w:t>
      </w:r>
    </w:p>
    <w:p>
      <w:pPr>
        <w:ind w:firstLine="560" w:firstLineChars="200"/>
        <w:rPr>
          <w:rFonts w:ascii="仿宋_GB2312" w:hAnsi="宋体" w:eastAsia="仿宋_GB2312"/>
          <w:sz w:val="28"/>
          <w:szCs w:val="28"/>
        </w:rPr>
      </w:pPr>
      <w:r>
        <w:rPr>
          <w:rFonts w:hint="eastAsia" w:ascii="仿宋_GB2312" w:hAnsi="宋体" w:eastAsia="仿宋_GB2312"/>
          <w:sz w:val="28"/>
          <w:szCs w:val="28"/>
        </w:rPr>
        <w:t>2014年土地利用现状变更调查数据显示全镇</w:t>
      </w:r>
      <w:r>
        <w:rPr>
          <w:rFonts w:ascii="仿宋_GB2312" w:hAnsi="宋体" w:eastAsia="仿宋_GB2312"/>
          <w:sz w:val="28"/>
          <w:szCs w:val="28"/>
        </w:rPr>
        <w:t>7734.55</w:t>
      </w:r>
      <w:r>
        <w:rPr>
          <w:rFonts w:hint="eastAsia" w:ascii="仿宋_GB2312" w:hAnsi="宋体" w:eastAsia="仿宋_GB2312"/>
          <w:sz w:val="28"/>
          <w:szCs w:val="28"/>
        </w:rPr>
        <w:t>公顷土地面积中，其他土地面积为</w:t>
      </w:r>
      <w:r>
        <w:rPr>
          <w:rFonts w:ascii="仿宋_GB2312" w:hAnsi="宋体" w:eastAsia="仿宋_GB2312"/>
          <w:sz w:val="28"/>
          <w:szCs w:val="28"/>
        </w:rPr>
        <w:t>132.21</w:t>
      </w:r>
      <w:r>
        <w:rPr>
          <w:rFonts w:hint="eastAsia" w:ascii="仿宋_GB2312" w:hAnsi="宋体" w:eastAsia="仿宋_GB2312"/>
          <w:sz w:val="28"/>
          <w:szCs w:val="28"/>
        </w:rPr>
        <w:t>公顷，仅占土地总面积的</w:t>
      </w:r>
      <w:r>
        <w:rPr>
          <w:rFonts w:ascii="仿宋_GB2312" w:hAnsi="宋体" w:eastAsia="仿宋_GB2312"/>
          <w:sz w:val="28"/>
          <w:szCs w:val="28"/>
        </w:rPr>
        <w:t>1.71%</w:t>
      </w:r>
      <w:r>
        <w:rPr>
          <w:rFonts w:hint="eastAsia" w:ascii="仿宋_GB2312" w:hAnsi="宋体" w:eastAsia="仿宋_GB2312"/>
          <w:sz w:val="28"/>
          <w:szCs w:val="28"/>
        </w:rPr>
        <w:t>，土地利用率达到9</w:t>
      </w:r>
      <w:r>
        <w:rPr>
          <w:rFonts w:ascii="仿宋_GB2312" w:hAnsi="宋体" w:eastAsia="仿宋_GB2312"/>
          <w:sz w:val="28"/>
          <w:szCs w:val="28"/>
        </w:rPr>
        <w:t>8.29</w:t>
      </w:r>
      <w:r>
        <w:rPr>
          <w:rFonts w:hint="eastAsia" w:ascii="仿宋_GB2312" w:hAnsi="宋体" w:eastAsia="仿宋_GB2312"/>
          <w:sz w:val="28"/>
          <w:szCs w:val="28"/>
        </w:rPr>
        <w:t>%。在其他土地中，不能被开发利用的河流水面面积为</w:t>
      </w:r>
      <w:r>
        <w:rPr>
          <w:rFonts w:ascii="仿宋_GB2312" w:hAnsi="宋体" w:eastAsia="仿宋_GB2312"/>
          <w:sz w:val="28"/>
          <w:szCs w:val="28"/>
        </w:rPr>
        <w:t>127</w:t>
      </w:r>
      <w:r>
        <w:rPr>
          <w:rFonts w:hint="eastAsia" w:ascii="仿宋_GB2312" w:hAnsi="宋体" w:eastAsia="仿宋_GB2312"/>
          <w:sz w:val="28"/>
          <w:szCs w:val="28"/>
        </w:rPr>
        <w:t>公顷，占其他土地面积的比重为</w:t>
      </w:r>
      <w:r>
        <w:rPr>
          <w:rFonts w:ascii="仿宋_GB2312" w:hAnsi="宋体" w:eastAsia="仿宋_GB2312"/>
          <w:sz w:val="28"/>
          <w:szCs w:val="28"/>
        </w:rPr>
        <w:t>96.06%</w:t>
      </w:r>
      <w:r>
        <w:rPr>
          <w:rFonts w:hint="eastAsia" w:ascii="仿宋_GB2312" w:hAnsi="宋体" w:eastAsia="仿宋_GB2312"/>
          <w:sz w:val="28"/>
          <w:szCs w:val="28"/>
        </w:rPr>
        <w:t>；有条件作为后备土地资源的滩涂和自然保留地面积为</w:t>
      </w:r>
      <w:r>
        <w:rPr>
          <w:rFonts w:ascii="仿宋_GB2312" w:hAnsi="宋体" w:eastAsia="仿宋_GB2312"/>
          <w:sz w:val="28"/>
          <w:szCs w:val="28"/>
        </w:rPr>
        <w:t>5.21</w:t>
      </w:r>
      <w:r>
        <w:rPr>
          <w:rFonts w:hint="eastAsia" w:ascii="仿宋_GB2312" w:hAnsi="宋体" w:eastAsia="仿宋_GB2312"/>
          <w:sz w:val="28"/>
          <w:szCs w:val="28"/>
        </w:rPr>
        <w:t>公顷，占其他土地面积的比重仅为</w:t>
      </w:r>
      <w:r>
        <w:rPr>
          <w:rFonts w:ascii="仿宋_GB2312" w:hAnsi="宋体" w:eastAsia="仿宋_GB2312"/>
          <w:sz w:val="28"/>
          <w:szCs w:val="28"/>
        </w:rPr>
        <w:t>3.94%</w:t>
      </w:r>
      <w:r>
        <w:rPr>
          <w:rFonts w:hint="eastAsia" w:ascii="仿宋_GB2312" w:hAnsi="宋体" w:eastAsia="仿宋_GB2312"/>
          <w:sz w:val="28"/>
          <w:szCs w:val="28"/>
        </w:rPr>
        <w:t>，占全镇土地总面积的比重0.0</w:t>
      </w:r>
      <w:r>
        <w:rPr>
          <w:rFonts w:ascii="仿宋_GB2312" w:hAnsi="宋体" w:eastAsia="仿宋_GB2312"/>
          <w:sz w:val="28"/>
          <w:szCs w:val="28"/>
        </w:rPr>
        <w:t>6</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2 土地以农用地为主，人均耕地面积高于全区平均水平</w:t>
      </w:r>
    </w:p>
    <w:p>
      <w:pPr>
        <w:widowControl/>
        <w:rPr>
          <w:rFonts w:ascii="宋体" w:hAnsi="宋体" w:cs="宋体"/>
          <w:kern w:val="0"/>
          <w:sz w:val="19"/>
          <w:szCs w:val="19"/>
        </w:rPr>
      </w:pPr>
      <w:r>
        <w:rPr>
          <w:rFonts w:hint="eastAsia" w:ascii="仿宋_GB2312" w:hAnsi="宋体" w:eastAsia="仿宋_GB2312"/>
          <w:sz w:val="28"/>
          <w:szCs w:val="28"/>
        </w:rPr>
        <w:t>2014年土地利用现状变更调查数据显示全镇农用地面积</w:t>
      </w:r>
      <w:r>
        <w:rPr>
          <w:rFonts w:ascii="仿宋_GB2312" w:hAnsi="宋体" w:eastAsia="仿宋_GB2312"/>
          <w:sz w:val="28"/>
          <w:szCs w:val="28"/>
        </w:rPr>
        <w:t>7134.91</w:t>
      </w:r>
      <w:r>
        <w:rPr>
          <w:rFonts w:hint="eastAsia" w:ascii="仿宋_GB2312" w:hAnsi="宋体" w:eastAsia="仿宋_GB2312"/>
          <w:sz w:val="28"/>
          <w:szCs w:val="28"/>
        </w:rPr>
        <w:t>公顷，占土地总面积的</w:t>
      </w:r>
      <w:r>
        <w:rPr>
          <w:rFonts w:ascii="仿宋_GB2312" w:hAnsi="宋体" w:eastAsia="仿宋_GB2312"/>
          <w:sz w:val="28"/>
          <w:szCs w:val="28"/>
        </w:rPr>
        <w:t>92.25%</w:t>
      </w:r>
      <w:r>
        <w:rPr>
          <w:rFonts w:hint="eastAsia" w:ascii="仿宋_GB2312" w:hAnsi="宋体" w:eastAsia="仿宋_GB2312"/>
          <w:sz w:val="28"/>
          <w:szCs w:val="28"/>
        </w:rPr>
        <w:t>，土地以农用地为主。农用地中耕地面积为</w:t>
      </w:r>
      <w:r>
        <w:rPr>
          <w:rFonts w:ascii="仿宋_GB2312" w:hAnsi="宋体" w:eastAsia="仿宋_GB2312"/>
          <w:sz w:val="28"/>
          <w:szCs w:val="28"/>
        </w:rPr>
        <w:t>2336.42</w:t>
      </w:r>
      <w:r>
        <w:rPr>
          <w:rFonts w:hint="eastAsia" w:ascii="仿宋_GB2312" w:hAnsi="宋体" w:eastAsia="仿宋_GB2312"/>
          <w:sz w:val="28"/>
          <w:szCs w:val="28"/>
        </w:rPr>
        <w:t>公顷，仅占农用地面积</w:t>
      </w:r>
      <w:r>
        <w:rPr>
          <w:rFonts w:ascii="仿宋_GB2312" w:hAnsi="宋体" w:eastAsia="仿宋_GB2312"/>
          <w:sz w:val="28"/>
          <w:szCs w:val="28"/>
        </w:rPr>
        <w:t>32.75%</w:t>
      </w:r>
      <w:r>
        <w:rPr>
          <w:rFonts w:hint="eastAsia" w:ascii="仿宋_GB2312" w:hAnsi="宋体" w:eastAsia="仿宋_GB2312"/>
          <w:sz w:val="28"/>
          <w:szCs w:val="28"/>
        </w:rPr>
        <w:t>，按照2014年全镇农业人口</w:t>
      </w:r>
      <w:r>
        <w:rPr>
          <w:rFonts w:ascii="仿宋_GB2312" w:hAnsi="宋体" w:eastAsia="仿宋_GB2312"/>
          <w:sz w:val="28"/>
          <w:szCs w:val="28"/>
        </w:rPr>
        <w:t>20872</w:t>
      </w:r>
      <w:r>
        <w:rPr>
          <w:rFonts w:hint="eastAsia" w:ascii="仿宋_GB2312" w:hAnsi="宋体" w:eastAsia="仿宋_GB2312"/>
          <w:sz w:val="28"/>
          <w:szCs w:val="28"/>
        </w:rPr>
        <w:t>人来计算，人均耕地面积仅为1.67亩，高于全区人均耕地面积1</w:t>
      </w:r>
      <w:r>
        <w:rPr>
          <w:rFonts w:ascii="仿宋_GB2312" w:hAnsi="宋体" w:eastAsia="仿宋_GB2312"/>
          <w:sz w:val="28"/>
          <w:szCs w:val="28"/>
        </w:rPr>
        <w:t>.33</w:t>
      </w:r>
      <w:r>
        <w:rPr>
          <w:rFonts w:hint="eastAsia" w:ascii="仿宋_GB2312" w:hAnsi="宋体" w:eastAsia="仿宋_GB2312"/>
          <w:sz w:val="28"/>
          <w:szCs w:val="28"/>
        </w:rPr>
        <w:t>亩，低于全市人均耕地面积1.74亩的平均水平。</w:t>
      </w:r>
    </w:p>
    <w:p>
      <w:pPr>
        <w:ind w:firstLine="560" w:firstLineChars="200"/>
        <w:rPr>
          <w:rFonts w:ascii="仿宋_GB2312" w:hAnsi="宋体" w:eastAsia="仿宋_GB2312"/>
          <w:sz w:val="28"/>
          <w:szCs w:val="28"/>
        </w:rPr>
      </w:pPr>
      <w:r>
        <w:rPr>
          <w:rFonts w:hint="eastAsia" w:ascii="仿宋_GB2312" w:hAnsi="宋体" w:eastAsia="仿宋_GB2312"/>
          <w:sz w:val="28"/>
          <w:szCs w:val="28"/>
        </w:rPr>
        <w:t>3 建设用地结构与人口结构不相适宜，农村居民点比重较高</w:t>
      </w:r>
    </w:p>
    <w:p>
      <w:pPr>
        <w:ind w:firstLine="560" w:firstLineChars="200"/>
        <w:rPr>
          <w:rFonts w:ascii="仿宋_GB2312" w:hAnsi="宋体" w:eastAsia="仿宋_GB2312"/>
          <w:sz w:val="28"/>
          <w:szCs w:val="28"/>
        </w:rPr>
      </w:pPr>
      <w:r>
        <w:rPr>
          <w:rFonts w:hint="eastAsia" w:ascii="仿宋_GB2312" w:hAnsi="宋体" w:eastAsia="仿宋_GB2312"/>
          <w:sz w:val="28"/>
          <w:szCs w:val="28"/>
        </w:rPr>
        <w:t>2014年土地利用现状变更调查数据显示全镇建设用地总面积为</w:t>
      </w:r>
      <w:r>
        <w:rPr>
          <w:rFonts w:ascii="仿宋_GB2312" w:hAnsi="宋体" w:eastAsia="仿宋_GB2312"/>
          <w:sz w:val="28"/>
          <w:szCs w:val="28"/>
        </w:rPr>
        <w:t>467.43</w:t>
      </w:r>
      <w:r>
        <w:rPr>
          <w:rFonts w:hint="eastAsia" w:ascii="仿宋_GB2312" w:hAnsi="宋体" w:eastAsia="仿宋_GB2312"/>
          <w:sz w:val="28"/>
          <w:szCs w:val="28"/>
        </w:rPr>
        <w:t>公顷，其中城镇用地的面积为</w:t>
      </w:r>
      <w:r>
        <w:rPr>
          <w:rFonts w:ascii="仿宋_GB2312" w:hAnsi="宋体" w:eastAsia="仿宋_GB2312"/>
          <w:sz w:val="28"/>
          <w:szCs w:val="28"/>
        </w:rPr>
        <w:t>24.75</w:t>
      </w:r>
      <w:r>
        <w:rPr>
          <w:rFonts w:hint="eastAsia" w:ascii="仿宋_GB2312" w:hAnsi="宋体" w:eastAsia="仿宋_GB2312"/>
          <w:sz w:val="28"/>
          <w:szCs w:val="28"/>
        </w:rPr>
        <w:t>公顷，占建设用地总面积的</w:t>
      </w:r>
      <w:r>
        <w:rPr>
          <w:rFonts w:ascii="仿宋_GB2312" w:hAnsi="宋体" w:eastAsia="仿宋_GB2312"/>
          <w:sz w:val="28"/>
          <w:szCs w:val="28"/>
        </w:rPr>
        <w:t>5.29%</w:t>
      </w:r>
      <w:r>
        <w:rPr>
          <w:rFonts w:hint="eastAsia" w:ascii="仿宋_GB2312" w:hAnsi="宋体" w:eastAsia="仿宋_GB2312"/>
          <w:sz w:val="28"/>
          <w:szCs w:val="28"/>
        </w:rPr>
        <w:t>，农村居民点用地的面积为</w:t>
      </w:r>
      <w:r>
        <w:rPr>
          <w:rFonts w:ascii="仿宋_GB2312" w:hAnsi="宋体" w:eastAsia="仿宋_GB2312"/>
          <w:sz w:val="28"/>
          <w:szCs w:val="28"/>
        </w:rPr>
        <w:t>382.49</w:t>
      </w:r>
      <w:r>
        <w:rPr>
          <w:rFonts w:hint="eastAsia" w:ascii="仿宋_GB2312" w:hAnsi="宋体" w:eastAsia="仿宋_GB2312"/>
          <w:sz w:val="28"/>
          <w:szCs w:val="28"/>
        </w:rPr>
        <w:t>公顷，占建设用地总面积的比重为</w:t>
      </w:r>
      <w:r>
        <w:rPr>
          <w:rFonts w:ascii="仿宋_GB2312" w:hAnsi="宋体" w:eastAsia="仿宋_GB2312"/>
          <w:sz w:val="28"/>
          <w:szCs w:val="28"/>
        </w:rPr>
        <w:t>81.83%</w:t>
      </w:r>
      <w:r>
        <w:rPr>
          <w:rFonts w:hint="eastAsia" w:ascii="仿宋_GB2312" w:hAnsi="宋体" w:eastAsia="仿宋_GB2312"/>
          <w:sz w:val="28"/>
          <w:szCs w:val="28"/>
        </w:rPr>
        <w:t>，农村居民点用地的面积为城镇用地面积的</w:t>
      </w:r>
      <w:r>
        <w:rPr>
          <w:rFonts w:ascii="仿宋_GB2312" w:hAnsi="宋体" w:eastAsia="仿宋_GB2312"/>
          <w:sz w:val="28"/>
          <w:szCs w:val="28"/>
        </w:rPr>
        <w:t>15.45</w:t>
      </w:r>
      <w:r>
        <w:rPr>
          <w:rFonts w:hint="eastAsia" w:ascii="仿宋_GB2312" w:hAnsi="宋体" w:eastAsia="仿宋_GB2312"/>
          <w:sz w:val="28"/>
          <w:szCs w:val="28"/>
        </w:rPr>
        <w:t>倍；而从2014年全镇人口统计数据来看，全镇非农业人口为</w:t>
      </w:r>
      <w:r>
        <w:rPr>
          <w:rFonts w:ascii="仿宋_GB2312" w:hAnsi="宋体" w:eastAsia="仿宋_GB2312"/>
          <w:sz w:val="28"/>
          <w:szCs w:val="28"/>
        </w:rPr>
        <w:t>3270</w:t>
      </w:r>
      <w:r>
        <w:rPr>
          <w:rFonts w:hint="eastAsia" w:ascii="仿宋_GB2312" w:hAnsi="宋体" w:eastAsia="仿宋_GB2312"/>
          <w:sz w:val="28"/>
          <w:szCs w:val="28"/>
        </w:rPr>
        <w:t>人，占全镇总人口的比例为</w:t>
      </w:r>
      <w:r>
        <w:rPr>
          <w:rFonts w:ascii="仿宋_GB2312" w:hAnsi="宋体" w:eastAsia="仿宋_GB2312"/>
          <w:sz w:val="28"/>
          <w:szCs w:val="28"/>
        </w:rPr>
        <w:t>13.54</w:t>
      </w:r>
      <w:r>
        <w:rPr>
          <w:rFonts w:hint="eastAsia" w:ascii="仿宋_GB2312" w:hAnsi="宋体" w:eastAsia="仿宋_GB2312"/>
          <w:sz w:val="28"/>
          <w:szCs w:val="28"/>
        </w:rPr>
        <w:t>%；农业人口为</w:t>
      </w:r>
      <w:r>
        <w:rPr>
          <w:rFonts w:ascii="仿宋_GB2312" w:hAnsi="宋体" w:eastAsia="仿宋_GB2312"/>
          <w:sz w:val="28"/>
          <w:szCs w:val="28"/>
        </w:rPr>
        <w:t>20872</w:t>
      </w:r>
      <w:r>
        <w:rPr>
          <w:rFonts w:hint="eastAsia" w:ascii="仿宋_GB2312" w:hAnsi="宋体" w:eastAsia="仿宋_GB2312"/>
          <w:sz w:val="28"/>
          <w:szCs w:val="28"/>
        </w:rPr>
        <w:t>人，占全镇总人口的比例为</w:t>
      </w:r>
      <w:r>
        <w:rPr>
          <w:rFonts w:ascii="仿宋_GB2312" w:hAnsi="宋体" w:eastAsia="仿宋_GB2312"/>
          <w:sz w:val="28"/>
          <w:szCs w:val="28"/>
        </w:rPr>
        <w:t>86.46</w:t>
      </w:r>
      <w:r>
        <w:rPr>
          <w:rFonts w:hint="eastAsia" w:ascii="仿宋_GB2312" w:hAnsi="宋体" w:eastAsia="仿宋_GB2312"/>
          <w:sz w:val="28"/>
          <w:szCs w:val="28"/>
        </w:rPr>
        <w:t>%，农业人口的规模为城镇人口规模的</w:t>
      </w:r>
      <w:r>
        <w:rPr>
          <w:rFonts w:ascii="仿宋_GB2312" w:hAnsi="宋体" w:eastAsia="仿宋_GB2312"/>
          <w:sz w:val="28"/>
          <w:szCs w:val="28"/>
        </w:rPr>
        <w:t>6.38</w:t>
      </w:r>
      <w:r>
        <w:rPr>
          <w:rFonts w:hint="eastAsia" w:ascii="仿宋_GB2312" w:hAnsi="宋体" w:eastAsia="仿宋_GB2312"/>
          <w:sz w:val="28"/>
          <w:szCs w:val="28"/>
        </w:rPr>
        <w:t>倍。由此可以看出，在新型城镇化建设过程中，石麟镇农村建设用地并没有随着农村人口向城镇转移而逐渐减少，建设用地结构与人口结构不相适宜。</w:t>
      </w:r>
    </w:p>
    <w:p>
      <w:pPr>
        <w:pStyle w:val="3"/>
      </w:pPr>
      <w:bookmarkStart w:id="5" w:name="_Toc486428842"/>
      <w:r>
        <w:rPr>
          <w:rFonts w:hint="eastAsia"/>
        </w:rPr>
        <w:t>（三）土地利用中存在的问题</w:t>
      </w:r>
      <w:bookmarkEnd w:id="5"/>
    </w:p>
    <w:p>
      <w:pPr>
        <w:ind w:firstLine="560" w:firstLineChars="200"/>
        <w:rPr>
          <w:rFonts w:ascii="仿宋_GB2312" w:hAnsi="宋体" w:eastAsia="仿宋_GB2312"/>
          <w:sz w:val="28"/>
          <w:szCs w:val="28"/>
        </w:rPr>
      </w:pPr>
      <w:r>
        <w:rPr>
          <w:rFonts w:hint="eastAsia" w:ascii="仿宋_GB2312" w:hAnsi="宋体" w:eastAsia="仿宋_GB2312"/>
          <w:sz w:val="28"/>
          <w:szCs w:val="28"/>
        </w:rPr>
        <w:t>近些年来随着石麟镇社会经济的快速发展和城镇化水平的快速提高，全镇建设用地总量也出现了较为明显的增加。从现阶段石麟建设用地总体利用情况来看，较为突出的问题主要表现在节约集约利用程度较低，利用较为粗放。从城镇建设用地的利用情况来看，全镇2014年城镇工矿规模为</w:t>
      </w:r>
      <w:r>
        <w:rPr>
          <w:rFonts w:ascii="仿宋_GB2312" w:hAnsi="宋体" w:eastAsia="仿宋_GB2312"/>
          <w:sz w:val="28"/>
          <w:szCs w:val="28"/>
        </w:rPr>
        <w:t>68.47</w:t>
      </w:r>
      <w:r>
        <w:rPr>
          <w:rFonts w:hint="eastAsia" w:ascii="仿宋_GB2312" w:hAnsi="宋体" w:eastAsia="仿宋_GB2312"/>
          <w:sz w:val="28"/>
          <w:szCs w:val="28"/>
        </w:rPr>
        <w:t>公顷，同期非农业人口规模为</w:t>
      </w:r>
      <w:r>
        <w:rPr>
          <w:rFonts w:ascii="仿宋_GB2312" w:hAnsi="宋体" w:eastAsia="仿宋_GB2312"/>
          <w:sz w:val="28"/>
          <w:szCs w:val="28"/>
        </w:rPr>
        <w:t>3270</w:t>
      </w:r>
      <w:r>
        <w:rPr>
          <w:rFonts w:hint="eastAsia" w:ascii="仿宋_GB2312" w:hAnsi="宋体" w:eastAsia="仿宋_GB2312"/>
          <w:sz w:val="28"/>
          <w:szCs w:val="28"/>
        </w:rPr>
        <w:t>人，人均城镇用地规模为</w:t>
      </w:r>
      <w:r>
        <w:rPr>
          <w:rFonts w:ascii="仿宋_GB2312" w:hAnsi="宋体" w:eastAsia="仿宋_GB2312"/>
          <w:sz w:val="28"/>
          <w:szCs w:val="28"/>
        </w:rPr>
        <w:t>209.39</w:t>
      </w:r>
      <w:r>
        <w:rPr>
          <w:rFonts w:hint="eastAsia" w:ascii="仿宋_GB2312" w:hAnsi="宋体" w:eastAsia="仿宋_GB2312"/>
          <w:sz w:val="28"/>
          <w:szCs w:val="28"/>
        </w:rPr>
        <w:t>m2,远高于全区人均城镇工矿</w:t>
      </w:r>
      <w:r>
        <w:rPr>
          <w:rFonts w:ascii="仿宋_GB2312" w:hAnsi="宋体" w:eastAsia="仿宋_GB2312"/>
          <w:sz w:val="28"/>
          <w:szCs w:val="28"/>
        </w:rPr>
        <w:t>152.78m2</w:t>
      </w:r>
      <w:r>
        <w:rPr>
          <w:rFonts w:hint="eastAsia" w:ascii="仿宋_GB2312" w:hAnsi="宋体" w:eastAsia="仿宋_GB2312"/>
          <w:sz w:val="28"/>
          <w:szCs w:val="28"/>
        </w:rPr>
        <w:t>的平均指标；从农村建设用地利用情况来看，全镇2014年农村居民点用地规模为</w:t>
      </w:r>
      <w:r>
        <w:rPr>
          <w:rFonts w:ascii="仿宋_GB2312" w:hAnsi="宋体" w:eastAsia="仿宋_GB2312"/>
          <w:sz w:val="28"/>
          <w:szCs w:val="28"/>
        </w:rPr>
        <w:t>382.49</w:t>
      </w:r>
      <w:r>
        <w:rPr>
          <w:rFonts w:hint="eastAsia" w:ascii="仿宋_GB2312" w:hAnsi="宋体" w:eastAsia="仿宋_GB2312"/>
          <w:sz w:val="28"/>
          <w:szCs w:val="28"/>
        </w:rPr>
        <w:t>公顷，同期农业人口规模为</w:t>
      </w:r>
      <w:r>
        <w:rPr>
          <w:rFonts w:ascii="仿宋_GB2312" w:hAnsi="宋体" w:eastAsia="仿宋_GB2312"/>
          <w:sz w:val="28"/>
          <w:szCs w:val="28"/>
        </w:rPr>
        <w:t>20872</w:t>
      </w:r>
      <w:r>
        <w:rPr>
          <w:rFonts w:hint="eastAsia" w:ascii="仿宋_GB2312" w:hAnsi="宋体" w:eastAsia="仿宋_GB2312"/>
          <w:sz w:val="28"/>
          <w:szCs w:val="28"/>
        </w:rPr>
        <w:t>人，人均农村建设用地规模为</w:t>
      </w:r>
      <w:r>
        <w:rPr>
          <w:rFonts w:ascii="仿宋_GB2312" w:hAnsi="宋体" w:eastAsia="仿宋_GB2312"/>
          <w:sz w:val="28"/>
          <w:szCs w:val="28"/>
        </w:rPr>
        <w:t>183.26</w:t>
      </w:r>
      <w:r>
        <w:rPr>
          <w:rFonts w:hint="eastAsia" w:ascii="仿宋_GB2312" w:hAnsi="宋体" w:eastAsia="仿宋_GB2312"/>
          <w:sz w:val="28"/>
          <w:szCs w:val="28"/>
        </w:rPr>
        <w:t>m2，远高于国家规定的人均宅基地规模，农村建设用地粗放利用的现象更为凸出。</w:t>
      </w:r>
    </w:p>
    <w:p>
      <w:pPr>
        <w:ind w:firstLine="440" w:firstLineChars="200"/>
        <w:rPr>
          <w:rFonts w:ascii="等线" w:hAnsi="等线" w:eastAsia="等线" w:cs="宋体"/>
          <w:color w:val="000000"/>
          <w:kern w:val="0"/>
          <w:sz w:val="22"/>
        </w:rPr>
      </w:pPr>
    </w:p>
    <w:p>
      <w:pPr>
        <w:widowControl/>
        <w:jc w:val="left"/>
        <w:rPr>
          <w:rFonts w:ascii="仿宋_GB2312" w:hAnsi="宋体" w:eastAsia="仿宋_GB2312" w:cs="仿宋_GB2312"/>
          <w:sz w:val="28"/>
          <w:szCs w:val="28"/>
        </w:rPr>
      </w:pPr>
    </w:p>
    <w:p>
      <w:pPr>
        <w:widowControl/>
        <w:jc w:val="left"/>
        <w:rPr>
          <w:rFonts w:ascii="仿宋_GB2312" w:hAnsi="宋体" w:eastAsia="仿宋_GB2312" w:cs="仿宋_GB2312"/>
          <w:sz w:val="28"/>
          <w:szCs w:val="28"/>
        </w:rPr>
        <w:sectPr>
          <w:type w:val="oddPage"/>
          <w:pgSz w:w="11906" w:h="16838"/>
          <w:pgMar w:top="1440" w:right="1800" w:bottom="1440" w:left="1800" w:header="851" w:footer="992" w:gutter="0"/>
          <w:pgNumType w:start="1"/>
          <w:cols w:space="425" w:num="1"/>
          <w:docGrid w:type="lines" w:linePitch="312" w:charSpace="0"/>
        </w:sectPr>
      </w:pPr>
    </w:p>
    <w:p>
      <w:pPr>
        <w:pStyle w:val="2"/>
      </w:pPr>
      <w:bookmarkStart w:id="6" w:name="_Toc486428843"/>
      <w:r>
        <w:rPr>
          <w:rFonts w:hint="eastAsia"/>
        </w:rPr>
        <w:t>二、规划目标调整情况</w:t>
      </w:r>
      <w:bookmarkEnd w:id="6"/>
    </w:p>
    <w:p>
      <w:pPr>
        <w:ind w:firstLine="560" w:firstLineChars="200"/>
        <w:rPr>
          <w:rFonts w:ascii="仿宋_GB2312" w:hAnsi="宋体" w:eastAsia="仿宋_GB2312"/>
          <w:sz w:val="28"/>
          <w:szCs w:val="28"/>
        </w:rPr>
      </w:pPr>
      <w:r>
        <w:rPr>
          <w:rFonts w:hint="eastAsia" w:ascii="仿宋_GB2312" w:hAnsi="宋体" w:eastAsia="仿宋_GB2312"/>
          <w:sz w:val="28"/>
          <w:szCs w:val="28"/>
        </w:rPr>
        <w:t>按照五通桥区土地利用总体规划调整完善方案的相关要求，对石麟镇2020年土地利用主要指标作如下调整：</w:t>
      </w:r>
    </w:p>
    <w:p>
      <w:pPr>
        <w:pStyle w:val="3"/>
      </w:pPr>
      <w:bookmarkStart w:id="7" w:name="_Toc486428844"/>
      <w:bookmarkStart w:id="8" w:name="_Toc477699465"/>
      <w:r>
        <w:rPr>
          <w:rFonts w:hint="eastAsia"/>
        </w:rPr>
        <w:t>（一）耕地保有量调整</w:t>
      </w:r>
      <w:bookmarkEnd w:id="7"/>
      <w:bookmarkEnd w:id="8"/>
    </w:p>
    <w:p>
      <w:pPr>
        <w:ind w:firstLine="560" w:firstLineChars="200"/>
        <w:rPr>
          <w:rFonts w:ascii="仿宋_GB2312" w:hAnsi="宋体" w:eastAsia="仿宋_GB2312"/>
          <w:sz w:val="28"/>
          <w:szCs w:val="28"/>
        </w:rPr>
      </w:pPr>
      <w:r>
        <w:rPr>
          <w:rFonts w:hint="eastAsia" w:ascii="仿宋_GB2312" w:hAnsi="宋体" w:eastAsia="仿宋_GB2312"/>
          <w:sz w:val="28"/>
          <w:szCs w:val="28"/>
        </w:rPr>
        <w:t>调整完善前石麟镇2020年耕地保有量指标为</w:t>
      </w:r>
      <w:r>
        <w:rPr>
          <w:rFonts w:ascii="仿宋_GB2312" w:hAnsi="宋体" w:eastAsia="仿宋_GB2312"/>
          <w:sz w:val="28"/>
          <w:szCs w:val="28"/>
        </w:rPr>
        <w:t>2298.06</w:t>
      </w:r>
      <w:r>
        <w:rPr>
          <w:rFonts w:hint="eastAsia" w:ascii="仿宋_GB2312" w:hAnsi="宋体" w:eastAsia="仿宋_GB2312"/>
          <w:sz w:val="28"/>
          <w:szCs w:val="28"/>
        </w:rPr>
        <w:t>公顷，2014年现状耕地面积为</w:t>
      </w:r>
      <w:r>
        <w:rPr>
          <w:rFonts w:ascii="仿宋_GB2312" w:hAnsi="宋体" w:eastAsia="仿宋_GB2312"/>
          <w:sz w:val="28"/>
          <w:szCs w:val="28"/>
        </w:rPr>
        <w:t>2336.42</w:t>
      </w:r>
      <w:r>
        <w:rPr>
          <w:rFonts w:hint="eastAsia" w:ascii="仿宋_GB2312" w:hAnsi="宋体" w:eastAsia="仿宋_GB2312"/>
          <w:sz w:val="28"/>
          <w:szCs w:val="28"/>
        </w:rPr>
        <w:t>公顷，占2020年规划目标比例为101.67％。超额完成了耕地保有量目标任务。</w:t>
      </w:r>
    </w:p>
    <w:p>
      <w:pPr>
        <w:ind w:firstLine="560" w:firstLineChars="200"/>
        <w:rPr>
          <w:rFonts w:ascii="仿宋_GB2312" w:hAnsi="宋体" w:eastAsia="仿宋_GB2312"/>
          <w:sz w:val="28"/>
          <w:szCs w:val="28"/>
        </w:rPr>
      </w:pPr>
      <w:r>
        <w:rPr>
          <w:rFonts w:hint="eastAsia" w:ascii="仿宋_GB2312" w:hAnsi="宋体" w:eastAsia="仿宋_GB2312"/>
          <w:sz w:val="28"/>
          <w:szCs w:val="28"/>
        </w:rPr>
        <w:t>根据此次五通桥区土地利用总体规划调整完善方案下达到石麟镇的耕地保有量指标，石麟镇的耕地保有量调整为</w:t>
      </w:r>
      <w:r>
        <w:rPr>
          <w:rFonts w:ascii="仿宋_GB2312" w:hAnsi="宋体" w:eastAsia="仿宋_GB2312"/>
          <w:sz w:val="28"/>
          <w:szCs w:val="28"/>
        </w:rPr>
        <w:t>2581.83</w:t>
      </w:r>
      <w:r>
        <w:rPr>
          <w:rFonts w:hint="eastAsia" w:ascii="仿宋_GB2312" w:hAnsi="宋体" w:eastAsia="仿宋_GB2312"/>
          <w:sz w:val="28"/>
          <w:szCs w:val="28"/>
        </w:rPr>
        <w:t>公顷，调整后石麟镇耕地保有量比原规划目标增加了</w:t>
      </w:r>
      <w:r>
        <w:rPr>
          <w:rFonts w:ascii="仿宋_GB2312" w:hAnsi="宋体" w:eastAsia="仿宋_GB2312"/>
          <w:sz w:val="28"/>
          <w:szCs w:val="28"/>
        </w:rPr>
        <w:t>283.77</w:t>
      </w:r>
      <w:r>
        <w:rPr>
          <w:rFonts w:hint="eastAsia" w:ascii="仿宋_GB2312" w:hAnsi="宋体" w:eastAsia="仿宋_GB2312"/>
          <w:sz w:val="28"/>
          <w:szCs w:val="28"/>
        </w:rPr>
        <w:t>公顷。</w:t>
      </w:r>
    </w:p>
    <w:p>
      <w:pPr>
        <w:pStyle w:val="3"/>
      </w:pPr>
      <w:bookmarkStart w:id="9" w:name="_Toc486428845"/>
      <w:bookmarkStart w:id="10" w:name="_Toc477699466"/>
      <w:r>
        <w:rPr>
          <w:rFonts w:hint="eastAsia"/>
        </w:rPr>
        <w:t>（二）基本农田保护面积调整</w:t>
      </w:r>
      <w:bookmarkEnd w:id="9"/>
      <w:bookmarkEnd w:id="10"/>
    </w:p>
    <w:p>
      <w:pPr>
        <w:ind w:firstLine="560" w:firstLineChars="200"/>
        <w:rPr>
          <w:rFonts w:ascii="仿宋_GB2312" w:hAnsi="宋体" w:eastAsia="仿宋_GB2312"/>
          <w:sz w:val="28"/>
          <w:szCs w:val="28"/>
        </w:rPr>
      </w:pPr>
      <w:r>
        <w:rPr>
          <w:rFonts w:hint="eastAsia" w:ascii="仿宋_GB2312" w:hAnsi="宋体" w:eastAsia="仿宋_GB2312"/>
          <w:sz w:val="28"/>
          <w:szCs w:val="28"/>
        </w:rPr>
        <w:t>调整完善前石麟镇2020年基本农田保护面积为</w:t>
      </w:r>
      <w:r>
        <w:rPr>
          <w:rFonts w:ascii="仿宋_GB2312" w:hAnsi="宋体" w:eastAsia="仿宋_GB2312"/>
          <w:sz w:val="28"/>
          <w:szCs w:val="28"/>
        </w:rPr>
        <w:t>2221.43</w:t>
      </w:r>
      <w:r>
        <w:rPr>
          <w:rFonts w:hint="eastAsia" w:ascii="仿宋_GB2312" w:hAnsi="宋体" w:eastAsia="仿宋_GB2312"/>
          <w:sz w:val="28"/>
          <w:szCs w:val="28"/>
        </w:rPr>
        <w:t>公顷，2014年石麟镇基本农田划定面积为</w:t>
      </w:r>
      <w:r>
        <w:rPr>
          <w:rFonts w:ascii="仿宋_GB2312" w:hAnsi="宋体" w:eastAsia="仿宋_GB2312"/>
          <w:sz w:val="28"/>
          <w:szCs w:val="28"/>
        </w:rPr>
        <w:t>2221.43</w:t>
      </w:r>
      <w:r>
        <w:rPr>
          <w:rFonts w:hint="eastAsia" w:ascii="仿宋_GB2312" w:hAnsi="宋体" w:eastAsia="仿宋_GB2312"/>
          <w:sz w:val="28"/>
          <w:szCs w:val="28"/>
        </w:rPr>
        <w:t>公顷，占2020年规划指标的100 %，完成了基本农田保护面积目标任务。</w:t>
      </w:r>
      <w:bookmarkStart w:id="11" w:name="_Toc477699467"/>
    </w:p>
    <w:p>
      <w:pPr>
        <w:ind w:firstLine="560" w:firstLineChars="200"/>
        <w:rPr>
          <w:rFonts w:ascii="仿宋_GB2312" w:hAnsi="宋体" w:eastAsia="仿宋_GB2312"/>
          <w:sz w:val="28"/>
          <w:szCs w:val="28"/>
        </w:rPr>
      </w:pPr>
      <w:r>
        <w:rPr>
          <w:rFonts w:hint="eastAsia" w:ascii="仿宋_GB2312" w:hAnsi="宋体" w:eastAsia="仿宋_GB2312"/>
          <w:sz w:val="28"/>
          <w:szCs w:val="28"/>
        </w:rPr>
        <w:t>根据此次五通桥区土地利用总体规划调整完善方案下达到石麟镇的基本农田保护面积目标，石麟镇的基本农田保护面积调整为</w:t>
      </w:r>
      <w:r>
        <w:rPr>
          <w:rFonts w:ascii="仿宋_GB2312" w:hAnsi="宋体" w:eastAsia="仿宋_GB2312"/>
          <w:sz w:val="28"/>
          <w:szCs w:val="28"/>
        </w:rPr>
        <w:t>2036</w:t>
      </w:r>
      <w:r>
        <w:rPr>
          <w:rFonts w:hint="eastAsia" w:ascii="仿宋_GB2312" w:hAnsi="宋体" w:eastAsia="仿宋_GB2312"/>
          <w:sz w:val="28"/>
          <w:szCs w:val="28"/>
        </w:rPr>
        <w:t>公顷，调整后石麟镇基本农田保护面积比原规划目标减少了</w:t>
      </w:r>
      <w:r>
        <w:rPr>
          <w:rFonts w:ascii="仿宋_GB2312" w:hAnsi="宋体" w:eastAsia="仿宋_GB2312"/>
          <w:sz w:val="28"/>
          <w:szCs w:val="28"/>
        </w:rPr>
        <w:t>185.43</w:t>
      </w:r>
      <w:r>
        <w:rPr>
          <w:rFonts w:hint="eastAsia" w:ascii="仿宋_GB2312" w:hAnsi="宋体" w:eastAsia="仿宋_GB2312"/>
          <w:sz w:val="28"/>
          <w:szCs w:val="28"/>
        </w:rPr>
        <w:t>公顷。</w:t>
      </w:r>
    </w:p>
    <w:p>
      <w:pPr>
        <w:pStyle w:val="3"/>
      </w:pPr>
      <w:bookmarkStart w:id="12" w:name="_Toc486428846"/>
      <w:r>
        <w:rPr>
          <w:rFonts w:hint="eastAsia"/>
        </w:rPr>
        <w:t>（三）建设用地规模调整</w:t>
      </w:r>
      <w:bookmarkEnd w:id="11"/>
      <w:bookmarkEnd w:id="12"/>
    </w:p>
    <w:p>
      <w:pPr>
        <w:ind w:firstLine="560" w:firstLineChars="200"/>
        <w:rPr>
          <w:rFonts w:ascii="仿宋_GB2312" w:hAnsi="宋体" w:eastAsia="仿宋_GB2312"/>
          <w:sz w:val="28"/>
          <w:szCs w:val="28"/>
        </w:rPr>
      </w:pPr>
      <w:r>
        <w:rPr>
          <w:rFonts w:hint="eastAsia" w:ascii="仿宋_GB2312" w:hAnsi="宋体" w:eastAsia="仿宋_GB2312"/>
          <w:sz w:val="28"/>
          <w:szCs w:val="28"/>
        </w:rPr>
        <w:t>调整完善前石麟镇2020年建设用地总规模指标为</w:t>
      </w:r>
      <w:r>
        <w:rPr>
          <w:rFonts w:ascii="仿宋_GB2312" w:hAnsi="宋体" w:eastAsia="仿宋_GB2312"/>
          <w:sz w:val="28"/>
          <w:szCs w:val="28"/>
        </w:rPr>
        <w:t>198.09</w:t>
      </w:r>
      <w:r>
        <w:rPr>
          <w:rFonts w:hint="eastAsia" w:ascii="仿宋_GB2312" w:hAnsi="宋体" w:eastAsia="仿宋_GB2312"/>
          <w:sz w:val="28"/>
          <w:szCs w:val="28"/>
        </w:rPr>
        <w:t>公顷，2014年现状建设用地为</w:t>
      </w:r>
      <w:r>
        <w:rPr>
          <w:rFonts w:ascii="仿宋_GB2312" w:hAnsi="宋体" w:eastAsia="仿宋_GB2312"/>
          <w:sz w:val="28"/>
          <w:szCs w:val="28"/>
        </w:rPr>
        <w:t>467.43</w:t>
      </w:r>
      <w:r>
        <w:rPr>
          <w:rFonts w:hint="eastAsia" w:ascii="仿宋_GB2312" w:hAnsi="宋体" w:eastAsia="仿宋_GB2312"/>
          <w:sz w:val="28"/>
          <w:szCs w:val="28"/>
        </w:rPr>
        <w:t>公顷，超过2020年规划目标值的135.97%，突破了建设用地总规模指标的限制。</w:t>
      </w:r>
    </w:p>
    <w:p>
      <w:pPr>
        <w:ind w:firstLine="560" w:firstLineChars="200"/>
        <w:rPr>
          <w:rFonts w:ascii="仿宋_GB2312" w:hAnsi="宋体" w:eastAsia="仿宋_GB2312"/>
          <w:sz w:val="28"/>
          <w:szCs w:val="28"/>
        </w:rPr>
      </w:pPr>
      <w:r>
        <w:rPr>
          <w:rFonts w:hint="eastAsia" w:ascii="仿宋_GB2312" w:hAnsi="宋体" w:eastAsia="仿宋_GB2312"/>
          <w:sz w:val="28"/>
          <w:szCs w:val="28"/>
        </w:rPr>
        <w:t>根据此次五通桥区土地利用总体规划调整完善方案下达到石麟镇的建设用地总规模指标，石麟镇的建设用地总规模调整为</w:t>
      </w:r>
      <w:r>
        <w:rPr>
          <w:rFonts w:ascii="仿宋_GB2312" w:hAnsi="宋体" w:eastAsia="仿宋_GB2312"/>
          <w:sz w:val="28"/>
          <w:szCs w:val="28"/>
        </w:rPr>
        <w:t>488.49</w:t>
      </w:r>
      <w:r>
        <w:rPr>
          <w:rFonts w:hint="eastAsia" w:ascii="仿宋_GB2312" w:hAnsi="宋体" w:eastAsia="仿宋_GB2312"/>
          <w:sz w:val="28"/>
          <w:szCs w:val="28"/>
        </w:rPr>
        <w:t>公顷，调整后石麟镇建设用地总规模比原规划目标增加了</w:t>
      </w:r>
      <w:r>
        <w:rPr>
          <w:rFonts w:ascii="仿宋_GB2312" w:hAnsi="宋体" w:eastAsia="仿宋_GB2312"/>
          <w:sz w:val="28"/>
          <w:szCs w:val="28"/>
        </w:rPr>
        <w:t>290.4</w:t>
      </w:r>
      <w:r>
        <w:rPr>
          <w:rFonts w:hint="eastAsia" w:ascii="仿宋_GB2312" w:hAnsi="宋体" w:eastAsia="仿宋_GB2312"/>
          <w:sz w:val="28"/>
          <w:szCs w:val="28"/>
        </w:rPr>
        <w:t>公顷。</w:t>
      </w:r>
    </w:p>
    <w:p>
      <w:pPr>
        <w:pStyle w:val="3"/>
      </w:pPr>
      <w:bookmarkStart w:id="13" w:name="_Toc486428847"/>
      <w:bookmarkStart w:id="14" w:name="_Toc477699468"/>
      <w:r>
        <w:rPr>
          <w:rFonts w:hint="eastAsia"/>
        </w:rPr>
        <w:t>（四）城乡建设用地规模调整</w:t>
      </w:r>
      <w:bookmarkEnd w:id="13"/>
      <w:bookmarkEnd w:id="14"/>
    </w:p>
    <w:p>
      <w:pPr>
        <w:ind w:firstLine="560" w:firstLineChars="200"/>
        <w:rPr>
          <w:rFonts w:ascii="仿宋_GB2312" w:hAnsi="宋体" w:eastAsia="仿宋_GB2312"/>
          <w:sz w:val="28"/>
          <w:szCs w:val="28"/>
        </w:rPr>
      </w:pPr>
      <w:r>
        <w:rPr>
          <w:rFonts w:hint="eastAsia" w:ascii="仿宋_GB2312" w:hAnsi="宋体" w:eastAsia="仿宋_GB2312"/>
          <w:sz w:val="28"/>
          <w:szCs w:val="28"/>
        </w:rPr>
        <w:t>调整完善前石麟镇2020年城乡建设用地总规模指标为</w:t>
      </w:r>
      <w:r>
        <w:rPr>
          <w:rFonts w:ascii="仿宋_GB2312" w:hAnsi="宋体" w:eastAsia="仿宋_GB2312"/>
          <w:sz w:val="28"/>
          <w:szCs w:val="28"/>
        </w:rPr>
        <w:t>181.39</w:t>
      </w:r>
      <w:r>
        <w:rPr>
          <w:rFonts w:hint="eastAsia" w:ascii="仿宋_GB2312" w:hAnsi="宋体" w:eastAsia="仿宋_GB2312"/>
          <w:sz w:val="28"/>
          <w:szCs w:val="28"/>
        </w:rPr>
        <w:t>公顷。2014年现状城乡建设用地为</w:t>
      </w:r>
      <w:r>
        <w:rPr>
          <w:rFonts w:ascii="仿宋_GB2312" w:hAnsi="宋体" w:eastAsia="仿宋_GB2312"/>
          <w:sz w:val="28"/>
          <w:szCs w:val="28"/>
        </w:rPr>
        <w:t>450.96</w:t>
      </w:r>
      <w:r>
        <w:rPr>
          <w:rFonts w:hint="eastAsia" w:ascii="仿宋_GB2312" w:hAnsi="宋体" w:eastAsia="仿宋_GB2312"/>
          <w:sz w:val="28"/>
          <w:szCs w:val="28"/>
        </w:rPr>
        <w:t>公顷，达到2020年规划目标的</w:t>
      </w:r>
      <w:r>
        <w:rPr>
          <w:rFonts w:ascii="仿宋_GB2312" w:hAnsi="宋体" w:eastAsia="仿宋_GB2312"/>
          <w:sz w:val="28"/>
          <w:szCs w:val="28"/>
        </w:rPr>
        <w:t>248.61</w:t>
      </w:r>
      <w:r>
        <w:rPr>
          <w:rFonts w:hint="eastAsia" w:ascii="仿宋_GB2312" w:hAnsi="宋体" w:eastAsia="仿宋_GB2312"/>
          <w:sz w:val="28"/>
          <w:szCs w:val="28"/>
        </w:rPr>
        <w:t>%。完成了城乡建设用地规模指标的控制。</w:t>
      </w:r>
    </w:p>
    <w:p>
      <w:pPr>
        <w:ind w:firstLine="560" w:firstLineChars="200"/>
        <w:rPr>
          <w:rFonts w:ascii="仿宋_GB2312" w:hAnsi="宋体" w:eastAsia="仿宋_GB2312"/>
          <w:sz w:val="28"/>
          <w:szCs w:val="28"/>
        </w:rPr>
      </w:pPr>
      <w:r>
        <w:rPr>
          <w:rFonts w:hint="eastAsia" w:ascii="仿宋_GB2312" w:hAnsi="宋体" w:eastAsia="仿宋_GB2312"/>
          <w:sz w:val="28"/>
          <w:szCs w:val="28"/>
        </w:rPr>
        <w:t>根据此次五通桥区土地利用总体规划调整完善方案下达到石麟镇的城乡建设用地总规模指标，石麟镇的城乡建设用地总规模调整为</w:t>
      </w:r>
      <w:r>
        <w:rPr>
          <w:rFonts w:ascii="仿宋_GB2312" w:hAnsi="宋体" w:eastAsia="仿宋_GB2312"/>
          <w:sz w:val="28"/>
          <w:szCs w:val="28"/>
        </w:rPr>
        <w:t>465.22</w:t>
      </w:r>
      <w:r>
        <w:rPr>
          <w:rFonts w:hint="eastAsia" w:ascii="仿宋_GB2312" w:hAnsi="宋体" w:eastAsia="仿宋_GB2312"/>
          <w:sz w:val="28"/>
          <w:szCs w:val="28"/>
        </w:rPr>
        <w:t>公顷，调整后石麟镇城乡建设用地规模比原规划增加了</w:t>
      </w:r>
      <w:r>
        <w:rPr>
          <w:rFonts w:ascii="仿宋_GB2312" w:hAnsi="宋体" w:eastAsia="仿宋_GB2312"/>
          <w:sz w:val="28"/>
          <w:szCs w:val="28"/>
        </w:rPr>
        <w:t>283.83</w:t>
      </w:r>
      <w:r>
        <w:rPr>
          <w:rFonts w:hint="eastAsia" w:ascii="仿宋_GB2312" w:hAnsi="宋体" w:eastAsia="仿宋_GB2312"/>
          <w:sz w:val="28"/>
          <w:szCs w:val="28"/>
        </w:rPr>
        <w:t>公顷。</w:t>
      </w:r>
    </w:p>
    <w:p>
      <w:pPr>
        <w:pStyle w:val="3"/>
      </w:pPr>
      <w:bookmarkStart w:id="15" w:name="_Toc486428848"/>
      <w:bookmarkStart w:id="16" w:name="_Toc477699469"/>
      <w:r>
        <w:rPr>
          <w:rFonts w:hint="eastAsia"/>
        </w:rPr>
        <w:t>（五）城镇工矿用地规模调整</w:t>
      </w:r>
      <w:bookmarkEnd w:id="15"/>
      <w:bookmarkEnd w:id="16"/>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规划调整完善前石麟镇2020年城镇工矿建设用地规模指标为</w:t>
      </w:r>
      <w:r>
        <w:rPr>
          <w:rFonts w:ascii="仿宋_GB2312" w:hAnsi="宋体" w:eastAsia="仿宋_GB2312"/>
          <w:sz w:val="28"/>
          <w:szCs w:val="28"/>
        </w:rPr>
        <w:t>98.84</w:t>
      </w:r>
      <w:r>
        <w:rPr>
          <w:rFonts w:hint="eastAsia" w:ascii="仿宋_GB2312" w:hAnsi="宋体" w:eastAsia="仿宋_GB2312"/>
          <w:sz w:val="28"/>
          <w:szCs w:val="28"/>
        </w:rPr>
        <w:t>公顷，2014年现状城镇工矿建设用地为</w:t>
      </w:r>
      <w:r>
        <w:rPr>
          <w:rFonts w:ascii="仿宋_GB2312" w:hAnsi="宋体" w:eastAsia="仿宋_GB2312"/>
          <w:sz w:val="28"/>
          <w:szCs w:val="28"/>
        </w:rPr>
        <w:t>68.47</w:t>
      </w:r>
      <w:r>
        <w:rPr>
          <w:rFonts w:hint="eastAsia" w:ascii="仿宋_GB2312" w:hAnsi="宋体" w:eastAsia="仿宋_GB2312"/>
          <w:sz w:val="28"/>
          <w:szCs w:val="28"/>
        </w:rPr>
        <w:t>公顷，达到2020年规划目标的69.27%。完成了城镇工矿用地规模指标的控制。</w:t>
      </w:r>
    </w:p>
    <w:p>
      <w:pPr>
        <w:ind w:firstLine="560" w:firstLineChars="200"/>
        <w:rPr>
          <w:rFonts w:ascii="仿宋_GB2312" w:hAnsi="宋体" w:eastAsia="仿宋_GB2312"/>
          <w:sz w:val="28"/>
          <w:szCs w:val="28"/>
        </w:rPr>
      </w:pPr>
      <w:r>
        <w:rPr>
          <w:rFonts w:hint="eastAsia" w:ascii="仿宋_GB2312" w:hAnsi="宋体" w:eastAsia="仿宋_GB2312"/>
          <w:sz w:val="28"/>
          <w:szCs w:val="28"/>
        </w:rPr>
        <w:t>根据此次五通桥区土地利用总体规划调整完善方案下达到石麟镇的城镇工矿用地规模指标，石麟镇的城镇工矿用地规模调整为</w:t>
      </w:r>
      <w:r>
        <w:rPr>
          <w:rFonts w:ascii="仿宋_GB2312" w:hAnsi="宋体" w:eastAsia="仿宋_GB2312"/>
          <w:sz w:val="28"/>
          <w:szCs w:val="28"/>
        </w:rPr>
        <w:t>82.73</w:t>
      </w:r>
      <w:r>
        <w:rPr>
          <w:rFonts w:hint="eastAsia" w:ascii="仿宋_GB2312" w:hAnsi="宋体" w:eastAsia="仿宋_GB2312"/>
          <w:sz w:val="28"/>
          <w:szCs w:val="28"/>
        </w:rPr>
        <w:t>公顷，调整后石麟镇城镇工矿用地规模比原规划指标减少了</w:t>
      </w:r>
      <w:r>
        <w:rPr>
          <w:rFonts w:ascii="仿宋_GB2312" w:hAnsi="宋体" w:eastAsia="仿宋_GB2312"/>
          <w:sz w:val="28"/>
          <w:szCs w:val="28"/>
        </w:rPr>
        <w:t>16.11</w:t>
      </w:r>
      <w:r>
        <w:rPr>
          <w:rFonts w:hint="eastAsia" w:ascii="仿宋_GB2312" w:hAnsi="宋体" w:eastAsia="仿宋_GB2312"/>
          <w:sz w:val="28"/>
          <w:szCs w:val="28"/>
        </w:rPr>
        <w:t>公顷。</w:t>
      </w:r>
    </w:p>
    <w:p>
      <w:pPr>
        <w:pStyle w:val="3"/>
      </w:pPr>
      <w:bookmarkStart w:id="17" w:name="_Toc486428849"/>
      <w:bookmarkStart w:id="18" w:name="_Toc477699470"/>
      <w:r>
        <w:rPr>
          <w:rFonts w:hint="eastAsia"/>
        </w:rPr>
        <w:t>（六）新增建设用地总量</w:t>
      </w:r>
      <w:bookmarkEnd w:id="17"/>
      <w:bookmarkEnd w:id="18"/>
    </w:p>
    <w:p>
      <w:pPr>
        <w:ind w:firstLine="560" w:firstLineChars="200"/>
        <w:rPr>
          <w:rFonts w:ascii="仿宋_GB2312" w:hAnsi="宋体" w:eastAsia="仿宋_GB2312"/>
          <w:sz w:val="28"/>
          <w:szCs w:val="28"/>
        </w:rPr>
      </w:pPr>
      <w:r>
        <w:rPr>
          <w:rFonts w:hint="eastAsia" w:ascii="仿宋_GB2312" w:hAnsi="宋体" w:eastAsia="仿宋_GB2312"/>
          <w:sz w:val="28"/>
          <w:szCs w:val="28"/>
        </w:rPr>
        <w:t>根据此次五通桥区土地利用总体规划调整完善方案下达到石麟镇的新增建设用地指标，石麟镇的新增建设用地调整为</w:t>
      </w:r>
      <w:r>
        <w:rPr>
          <w:rFonts w:ascii="仿宋_GB2312" w:hAnsi="宋体" w:eastAsia="仿宋_GB2312"/>
          <w:sz w:val="28"/>
          <w:szCs w:val="28"/>
        </w:rPr>
        <w:t>21.06</w:t>
      </w:r>
      <w:r>
        <w:rPr>
          <w:rFonts w:hint="eastAsia" w:ascii="仿宋_GB2312" w:hAnsi="宋体" w:eastAsia="仿宋_GB2312"/>
          <w:sz w:val="28"/>
          <w:szCs w:val="28"/>
        </w:rPr>
        <w:t>公顷。</w:t>
      </w:r>
    </w:p>
    <w:p>
      <w:pPr>
        <w:pStyle w:val="3"/>
      </w:pPr>
      <w:bookmarkStart w:id="19" w:name="_Toc486428850"/>
      <w:bookmarkStart w:id="20" w:name="_Toc477699471"/>
      <w:r>
        <w:rPr>
          <w:rFonts w:hint="eastAsia"/>
        </w:rPr>
        <w:t>（七）新增建设用地占用耕地指标</w:t>
      </w:r>
      <w:bookmarkEnd w:id="19"/>
      <w:bookmarkEnd w:id="20"/>
    </w:p>
    <w:p>
      <w:pPr>
        <w:ind w:firstLine="560" w:firstLineChars="200"/>
        <w:rPr>
          <w:rFonts w:ascii="仿宋_GB2312" w:hAnsi="宋体" w:eastAsia="仿宋_GB2312"/>
          <w:sz w:val="28"/>
          <w:szCs w:val="28"/>
        </w:rPr>
      </w:pPr>
      <w:bookmarkStart w:id="21" w:name="_Toc477699472"/>
      <w:r>
        <w:rPr>
          <w:rFonts w:hint="eastAsia" w:ascii="仿宋_GB2312" w:hAnsi="宋体" w:eastAsia="仿宋_GB2312"/>
          <w:sz w:val="28"/>
          <w:szCs w:val="28"/>
        </w:rPr>
        <w:t>根据此次五通桥区土地利用总体规划调整完善方案下达到石麟镇的新增建设用地占用耕地指标，石麟镇的新增建设用地占用耕地调整为</w:t>
      </w:r>
      <w:r>
        <w:rPr>
          <w:rFonts w:ascii="仿宋_GB2312" w:hAnsi="宋体" w:eastAsia="仿宋_GB2312"/>
          <w:sz w:val="28"/>
          <w:szCs w:val="28"/>
        </w:rPr>
        <w:t>14.59</w:t>
      </w:r>
      <w:r>
        <w:rPr>
          <w:rFonts w:hint="eastAsia" w:ascii="仿宋_GB2312" w:hAnsi="宋体" w:eastAsia="仿宋_GB2312"/>
          <w:sz w:val="28"/>
          <w:szCs w:val="28"/>
        </w:rPr>
        <w:t>公顷。</w:t>
      </w:r>
    </w:p>
    <w:p>
      <w:pPr>
        <w:pStyle w:val="3"/>
      </w:pPr>
      <w:bookmarkStart w:id="22" w:name="_Toc486428851"/>
      <w:r>
        <w:rPr>
          <w:rFonts w:hint="eastAsia"/>
        </w:rPr>
        <w:t>（八）新增建设用地占用农用地指标</w:t>
      </w:r>
      <w:bookmarkEnd w:id="21"/>
      <w:bookmarkEnd w:id="22"/>
    </w:p>
    <w:p>
      <w:pPr>
        <w:ind w:firstLine="560" w:firstLineChars="200"/>
        <w:rPr>
          <w:rFonts w:ascii="仿宋_GB2312" w:hAnsi="宋体" w:eastAsia="仿宋_GB2312"/>
          <w:sz w:val="28"/>
          <w:szCs w:val="28"/>
        </w:rPr>
      </w:pPr>
      <w:bookmarkStart w:id="23" w:name="_Toc477699473"/>
      <w:r>
        <w:rPr>
          <w:rFonts w:hint="eastAsia" w:ascii="仿宋_GB2312" w:hAnsi="宋体" w:eastAsia="仿宋_GB2312"/>
          <w:sz w:val="28"/>
          <w:szCs w:val="28"/>
        </w:rPr>
        <w:t>根据此次五通桥区土地利用总体规划调整完善方案下达到石麟镇的新增建设用地占用农用地指标，石麟镇的新增建设用地占用农用地调整为</w:t>
      </w:r>
      <w:r>
        <w:rPr>
          <w:rFonts w:ascii="仿宋_GB2312" w:hAnsi="宋体" w:eastAsia="仿宋_GB2312"/>
          <w:sz w:val="28"/>
          <w:szCs w:val="28"/>
        </w:rPr>
        <w:t>21.06</w:t>
      </w:r>
      <w:r>
        <w:rPr>
          <w:rFonts w:hint="eastAsia" w:ascii="仿宋_GB2312" w:hAnsi="宋体" w:eastAsia="仿宋_GB2312"/>
          <w:sz w:val="28"/>
          <w:szCs w:val="28"/>
        </w:rPr>
        <w:t>公顷。</w:t>
      </w:r>
    </w:p>
    <w:p>
      <w:pPr>
        <w:pStyle w:val="3"/>
      </w:pPr>
      <w:bookmarkStart w:id="24" w:name="_Toc486428852"/>
      <w:r>
        <w:rPr>
          <w:rFonts w:hint="eastAsia"/>
        </w:rPr>
        <w:t>（九）土地整治补充耕地规模</w:t>
      </w:r>
      <w:bookmarkEnd w:id="23"/>
      <w:bookmarkEnd w:id="24"/>
    </w:p>
    <w:p>
      <w:pPr>
        <w:ind w:firstLine="560" w:firstLineChars="200"/>
        <w:rPr>
          <w:rFonts w:ascii="仿宋_GB2312" w:hAnsi="宋体" w:eastAsia="仿宋_GB2312"/>
          <w:sz w:val="28"/>
          <w:szCs w:val="28"/>
        </w:rPr>
      </w:pPr>
      <w:r>
        <w:rPr>
          <w:rFonts w:hint="eastAsia" w:ascii="仿宋_GB2312" w:hAnsi="宋体" w:eastAsia="仿宋_GB2312"/>
          <w:sz w:val="28"/>
          <w:szCs w:val="28"/>
        </w:rPr>
        <w:t>此次五通桥区土地利用总体规划调整完善方案下达到石麟镇的补充耕地义务量为20公顷。考虑到全区耕地保有量任务，规划期间冠英镇耕地补充义务量增加了</w:t>
      </w:r>
      <w:r>
        <w:rPr>
          <w:rFonts w:ascii="仿宋_GB2312" w:hAnsi="宋体" w:eastAsia="仿宋_GB2312"/>
          <w:sz w:val="28"/>
          <w:szCs w:val="28"/>
        </w:rPr>
        <w:t>240</w:t>
      </w:r>
      <w:r>
        <w:rPr>
          <w:rFonts w:hint="eastAsia" w:ascii="仿宋_GB2312" w:hAnsi="宋体" w:eastAsia="仿宋_GB2312"/>
          <w:sz w:val="28"/>
          <w:szCs w:val="28"/>
        </w:rPr>
        <w:t>公顷，全镇实际安排耕地补充义务量</w:t>
      </w:r>
      <w:r>
        <w:rPr>
          <w:rFonts w:ascii="仿宋_GB2312" w:hAnsi="宋体" w:eastAsia="仿宋_GB2312"/>
          <w:sz w:val="28"/>
          <w:szCs w:val="28"/>
        </w:rPr>
        <w:t>260</w:t>
      </w:r>
      <w:r>
        <w:rPr>
          <w:rFonts w:hint="eastAsia" w:ascii="仿宋_GB2312" w:hAnsi="宋体" w:eastAsia="仿宋_GB2312"/>
          <w:sz w:val="28"/>
          <w:szCs w:val="28"/>
        </w:rPr>
        <w:t>公顷。</w:t>
      </w:r>
    </w:p>
    <w:p>
      <w:pPr>
        <w:pStyle w:val="3"/>
      </w:pPr>
      <w:bookmarkStart w:id="25" w:name="_Toc485386618"/>
      <w:bookmarkStart w:id="26" w:name="_Toc486428853"/>
      <w:r>
        <w:rPr>
          <w:rFonts w:hint="eastAsia"/>
        </w:rPr>
        <w:t>（十）人均城镇工矿用地规模</w:t>
      </w:r>
      <w:bookmarkEnd w:id="25"/>
      <w:bookmarkEnd w:id="26"/>
    </w:p>
    <w:p>
      <w:pPr>
        <w:ind w:firstLine="560" w:firstLineChars="200"/>
        <w:rPr>
          <w:rFonts w:ascii="仿宋_GB2312" w:eastAsia="仿宋_GB2312" w:hAnsiTheme="minorEastAsia"/>
          <w:sz w:val="28"/>
          <w:szCs w:val="28"/>
        </w:rPr>
      </w:pPr>
      <w:r>
        <w:rPr>
          <w:rFonts w:hint="eastAsia" w:ascii="仿宋_GB2312" w:eastAsia="仿宋_GB2312" w:hAnsiTheme="minorEastAsia"/>
          <w:sz w:val="28"/>
          <w:szCs w:val="28"/>
        </w:rPr>
        <w:t>按照2020年城镇工矿用地面积除以2020年城镇人口计算，结合此次规划调整完善上级下达到石麟镇的人均城镇工矿用地规模，到2020年，全镇人均城镇工矿用地面积为120平方米。</w:t>
      </w:r>
    </w:p>
    <w:p>
      <w:pPr>
        <w:pStyle w:val="3"/>
      </w:pPr>
      <w:bookmarkStart w:id="27" w:name="_Toc485386619"/>
      <w:bookmarkStart w:id="28" w:name="_Toc486428854"/>
      <w:r>
        <w:rPr>
          <w:rFonts w:hint="eastAsia"/>
        </w:rPr>
        <w:t>（十一）园地面积调整</w:t>
      </w:r>
      <w:bookmarkEnd w:id="27"/>
      <w:bookmarkEnd w:id="28"/>
    </w:p>
    <w:p>
      <w:pPr>
        <w:ind w:firstLine="560" w:firstLineChars="200"/>
        <w:rPr>
          <w:rFonts w:ascii="仿宋_GB2312" w:eastAsia="仿宋_GB2312" w:hAnsiTheme="minorEastAsia"/>
          <w:sz w:val="28"/>
          <w:szCs w:val="28"/>
        </w:rPr>
      </w:pPr>
      <w:r>
        <w:rPr>
          <w:rFonts w:hint="eastAsia" w:ascii="仿宋_GB2312" w:eastAsia="仿宋_GB2312" w:hAnsiTheme="minorEastAsia"/>
          <w:sz w:val="28"/>
          <w:szCs w:val="28"/>
        </w:rPr>
        <w:t>根据此次五通桥区土地利用总体规划调整完善方案下达到石麟镇的园地保有量指标，石麟镇的园地保有量调整为</w:t>
      </w:r>
      <w:r>
        <w:rPr>
          <w:rFonts w:ascii="仿宋_GB2312" w:eastAsia="仿宋_GB2312" w:hAnsiTheme="minorEastAsia"/>
          <w:sz w:val="28"/>
          <w:szCs w:val="28"/>
        </w:rPr>
        <w:t>219.21</w:t>
      </w:r>
      <w:r>
        <w:rPr>
          <w:rFonts w:hint="eastAsia" w:ascii="仿宋_GB2312" w:eastAsia="仿宋_GB2312" w:hAnsiTheme="minorEastAsia"/>
          <w:sz w:val="28"/>
          <w:szCs w:val="28"/>
        </w:rPr>
        <w:t>公顷。</w:t>
      </w:r>
    </w:p>
    <w:p>
      <w:pPr>
        <w:pStyle w:val="3"/>
      </w:pPr>
      <w:bookmarkStart w:id="29" w:name="_Toc485386620"/>
      <w:bookmarkStart w:id="30" w:name="_Toc486428855"/>
      <w:r>
        <w:rPr>
          <w:rFonts w:hint="eastAsia"/>
        </w:rPr>
        <w:t>（十二）林地面积调整</w:t>
      </w:r>
      <w:bookmarkEnd w:id="29"/>
      <w:bookmarkEnd w:id="30"/>
    </w:p>
    <w:p>
      <w:pPr>
        <w:ind w:firstLine="560" w:firstLineChars="200"/>
        <w:rPr>
          <w:rFonts w:ascii="仿宋_GB2312" w:eastAsia="仿宋_GB2312" w:hAnsiTheme="minorEastAsia"/>
          <w:sz w:val="28"/>
          <w:szCs w:val="28"/>
        </w:rPr>
      </w:pPr>
      <w:r>
        <w:rPr>
          <w:rFonts w:hint="eastAsia" w:ascii="仿宋_GB2312" w:eastAsia="仿宋_GB2312" w:hAnsiTheme="minorEastAsia"/>
          <w:sz w:val="28"/>
          <w:szCs w:val="28"/>
        </w:rPr>
        <w:t>根据此次五通桥区土地利用总体规划调整完善方案下达到石麟镇的林地保有量指标，石麟镇的林地保有量调整为</w:t>
      </w:r>
      <w:r>
        <w:rPr>
          <w:rFonts w:ascii="仿宋_GB2312" w:eastAsia="仿宋_GB2312" w:hAnsiTheme="minorEastAsia"/>
          <w:sz w:val="28"/>
          <w:szCs w:val="28"/>
        </w:rPr>
        <w:t>3950.54</w:t>
      </w:r>
      <w:r>
        <w:rPr>
          <w:rFonts w:hint="eastAsia" w:ascii="仿宋_GB2312" w:eastAsia="仿宋_GB2312" w:hAnsiTheme="minorEastAsia"/>
          <w:sz w:val="28"/>
          <w:szCs w:val="28"/>
        </w:rPr>
        <w:t>公顷。</w:t>
      </w:r>
    </w:p>
    <w:p>
      <w:pPr>
        <w:widowControl/>
        <w:jc w:val="left"/>
        <w:rPr>
          <w:rFonts w:ascii="仿宋_GB2312" w:eastAsia="仿宋_GB2312" w:hAnsiTheme="minorEastAsia"/>
          <w:sz w:val="28"/>
          <w:szCs w:val="28"/>
        </w:rPr>
      </w:pPr>
      <w:r>
        <w:rPr>
          <w:rFonts w:ascii="仿宋_GB2312" w:eastAsia="仿宋_GB2312" w:hAnsiTheme="minorEastAsia"/>
          <w:sz w:val="28"/>
          <w:szCs w:val="28"/>
        </w:rPr>
        <w:br w:type="page"/>
      </w:r>
    </w:p>
    <w:p>
      <w:pPr>
        <w:ind w:firstLine="560" w:firstLineChars="200"/>
        <w:rPr>
          <w:rFonts w:ascii="仿宋_GB2312" w:hAnsi="宋体" w:eastAsia="仿宋_GB2312"/>
          <w:sz w:val="28"/>
          <w:szCs w:val="28"/>
        </w:rPr>
      </w:pPr>
    </w:p>
    <w:p>
      <w:pPr>
        <w:pStyle w:val="2"/>
      </w:pPr>
      <w:bookmarkStart w:id="31" w:name="_Toc486428856"/>
      <w:r>
        <w:rPr>
          <w:rFonts w:hint="eastAsia"/>
        </w:rPr>
        <w:t>三、土地利用结构和布局调整</w:t>
      </w:r>
      <w:bookmarkEnd w:id="31"/>
    </w:p>
    <w:p>
      <w:pPr>
        <w:ind w:firstLine="560" w:firstLineChars="200"/>
        <w:rPr>
          <w:rFonts w:ascii="仿宋_GB2312" w:hAnsi="宋体" w:eastAsia="仿宋_GB2312"/>
          <w:sz w:val="28"/>
          <w:szCs w:val="28"/>
        </w:rPr>
      </w:pPr>
      <w:r>
        <w:rPr>
          <w:rFonts w:hint="eastAsia" w:ascii="仿宋_GB2312" w:hAnsi="宋体" w:eastAsia="仿宋_GB2312"/>
          <w:sz w:val="28"/>
          <w:szCs w:val="28"/>
        </w:rPr>
        <w:t>按照五通桥区土地利用总体规划调整完善方案，为实现规划期土地利用各项目标，结合石麟镇社会经济发展实际，对农用地、建设用地（城乡建设用地、交通水利用地）、其他土地的结构进行优化调整。其结构调整情况如下：</w:t>
      </w:r>
    </w:p>
    <w:p>
      <w:pPr>
        <w:pStyle w:val="3"/>
      </w:pPr>
      <w:bookmarkStart w:id="32" w:name="_Toc486428857"/>
      <w:r>
        <w:rPr>
          <w:rFonts w:hint="eastAsia"/>
        </w:rPr>
        <w:t>（一）农用地结构和布局调整</w:t>
      </w:r>
      <w:bookmarkEnd w:id="32"/>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规划调整完善后石麟镇2</w:t>
      </w:r>
      <w:r>
        <w:rPr>
          <w:rFonts w:ascii="仿宋_GB2312" w:hAnsi="宋体" w:eastAsia="仿宋_GB2312"/>
          <w:sz w:val="28"/>
          <w:szCs w:val="28"/>
        </w:rPr>
        <w:t>020</w:t>
      </w:r>
      <w:r>
        <w:rPr>
          <w:rFonts w:hint="eastAsia" w:ascii="仿宋_GB2312" w:hAnsi="宋体" w:eastAsia="仿宋_GB2312"/>
          <w:sz w:val="28"/>
          <w:szCs w:val="28"/>
        </w:rPr>
        <w:t>年农用地总规模为</w:t>
      </w:r>
      <w:r>
        <w:rPr>
          <w:rFonts w:ascii="仿宋_GB2312" w:hAnsi="宋体" w:eastAsia="仿宋_GB2312"/>
          <w:sz w:val="28"/>
          <w:szCs w:val="28"/>
        </w:rPr>
        <w:t>7113.85</w:t>
      </w:r>
      <w:r>
        <w:rPr>
          <w:rFonts w:hint="eastAsia" w:ascii="仿宋_GB2312" w:hAnsi="宋体" w:eastAsia="仿宋_GB2312"/>
          <w:sz w:val="28"/>
          <w:szCs w:val="28"/>
        </w:rPr>
        <w:t>公顷，占全镇土地总面积的比例为</w:t>
      </w:r>
      <w:r>
        <w:rPr>
          <w:rFonts w:ascii="仿宋_GB2312" w:hAnsi="宋体" w:eastAsia="仿宋_GB2312"/>
          <w:sz w:val="28"/>
          <w:szCs w:val="28"/>
        </w:rPr>
        <w:t>91.97%</w:t>
      </w:r>
      <w:r>
        <w:rPr>
          <w:rFonts w:hint="eastAsia" w:ascii="仿宋_GB2312" w:hAnsi="宋体" w:eastAsia="仿宋_GB2312"/>
          <w:sz w:val="28"/>
          <w:szCs w:val="28"/>
        </w:rPr>
        <w:t>，其中耕地</w:t>
      </w:r>
      <w:r>
        <w:rPr>
          <w:rFonts w:ascii="仿宋_GB2312" w:hAnsi="宋体" w:eastAsia="仿宋_GB2312"/>
          <w:sz w:val="28"/>
          <w:szCs w:val="28"/>
        </w:rPr>
        <w:t>2581.83公</w:t>
      </w:r>
      <w:r>
        <w:rPr>
          <w:rFonts w:hint="eastAsia" w:ascii="仿宋_GB2312" w:hAnsi="宋体" w:eastAsia="仿宋_GB2312"/>
          <w:sz w:val="28"/>
          <w:szCs w:val="28"/>
        </w:rPr>
        <w:t>顷，占农用地总面积的比例为</w:t>
      </w:r>
      <w:r>
        <w:rPr>
          <w:rFonts w:ascii="仿宋_GB2312" w:hAnsi="宋体" w:eastAsia="仿宋_GB2312"/>
          <w:sz w:val="28"/>
          <w:szCs w:val="28"/>
        </w:rPr>
        <w:t>36.29%</w:t>
      </w:r>
      <w:r>
        <w:rPr>
          <w:rFonts w:hint="eastAsia" w:ascii="仿宋_GB2312" w:hAnsi="宋体" w:eastAsia="仿宋_GB2312"/>
          <w:sz w:val="28"/>
          <w:szCs w:val="28"/>
        </w:rPr>
        <w:t>；园地</w:t>
      </w:r>
      <w:r>
        <w:rPr>
          <w:rFonts w:ascii="仿宋_GB2312" w:hAnsi="宋体" w:eastAsia="仿宋_GB2312"/>
          <w:sz w:val="28"/>
          <w:szCs w:val="28"/>
        </w:rPr>
        <w:t>219.21</w:t>
      </w:r>
      <w:r>
        <w:rPr>
          <w:rFonts w:hint="eastAsia" w:ascii="仿宋_GB2312" w:hAnsi="宋体" w:eastAsia="仿宋_GB2312"/>
          <w:sz w:val="28"/>
          <w:szCs w:val="28"/>
        </w:rPr>
        <w:t>公顷，占农用地总面积的比例为</w:t>
      </w:r>
      <w:r>
        <w:rPr>
          <w:rFonts w:ascii="仿宋_GB2312" w:hAnsi="宋体" w:eastAsia="仿宋_GB2312"/>
          <w:sz w:val="28"/>
          <w:szCs w:val="28"/>
        </w:rPr>
        <w:t>3.08%</w:t>
      </w:r>
      <w:r>
        <w:rPr>
          <w:rFonts w:hint="eastAsia" w:ascii="仿宋_GB2312" w:hAnsi="宋体" w:eastAsia="仿宋_GB2312"/>
          <w:sz w:val="28"/>
          <w:szCs w:val="28"/>
        </w:rPr>
        <w:t>；林地规模为</w:t>
      </w:r>
      <w:r>
        <w:rPr>
          <w:rFonts w:ascii="仿宋_GB2312" w:hAnsi="宋体" w:eastAsia="仿宋_GB2312"/>
          <w:sz w:val="28"/>
          <w:szCs w:val="28"/>
        </w:rPr>
        <w:t>3950.54</w:t>
      </w:r>
      <w:r>
        <w:rPr>
          <w:rFonts w:hint="eastAsia" w:ascii="仿宋_GB2312" w:hAnsi="宋体" w:eastAsia="仿宋_GB2312"/>
          <w:sz w:val="28"/>
          <w:szCs w:val="28"/>
        </w:rPr>
        <w:t>公顷，占农用地总面积的比例为</w:t>
      </w:r>
      <w:r>
        <w:rPr>
          <w:rFonts w:ascii="仿宋_GB2312" w:hAnsi="宋体" w:eastAsia="仿宋_GB2312"/>
          <w:sz w:val="28"/>
          <w:szCs w:val="28"/>
        </w:rPr>
        <w:t>55.53%</w:t>
      </w:r>
      <w:r>
        <w:rPr>
          <w:rFonts w:hint="eastAsia" w:ascii="仿宋_GB2312" w:hAnsi="宋体" w:eastAsia="仿宋_GB2312"/>
          <w:sz w:val="28"/>
          <w:szCs w:val="28"/>
        </w:rPr>
        <w:t>；其他农用地规模为</w:t>
      </w:r>
      <w:r>
        <w:rPr>
          <w:rFonts w:ascii="仿宋_GB2312" w:hAnsi="宋体" w:eastAsia="仿宋_GB2312"/>
          <w:sz w:val="28"/>
          <w:szCs w:val="28"/>
        </w:rPr>
        <w:t>362.27</w:t>
      </w:r>
      <w:r>
        <w:rPr>
          <w:rFonts w:hint="eastAsia" w:ascii="仿宋_GB2312" w:hAnsi="宋体" w:eastAsia="仿宋_GB2312"/>
          <w:sz w:val="28"/>
          <w:szCs w:val="28"/>
        </w:rPr>
        <w:t>公顷，占农用地总面积的比例为</w:t>
      </w:r>
      <w:r>
        <w:rPr>
          <w:rFonts w:ascii="仿宋_GB2312" w:hAnsi="宋体" w:eastAsia="仿宋_GB2312"/>
          <w:sz w:val="28"/>
          <w:szCs w:val="28"/>
        </w:rPr>
        <w:t>5.09%</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调整后全镇耕地主要分布情况为方嘴村</w:t>
      </w:r>
      <w:r>
        <w:rPr>
          <w:rFonts w:ascii="仿宋_GB2312" w:hAnsi="宋体" w:eastAsia="仿宋_GB2312"/>
          <w:sz w:val="28"/>
          <w:szCs w:val="28"/>
        </w:rPr>
        <w:t>142.67公顷</w:t>
      </w:r>
      <w:r>
        <w:rPr>
          <w:rFonts w:hint="eastAsia" w:ascii="仿宋_GB2312" w:hAnsi="宋体" w:eastAsia="仿宋_GB2312"/>
          <w:sz w:val="28"/>
          <w:szCs w:val="28"/>
        </w:rPr>
        <w:t>、兴无村</w:t>
      </w:r>
      <w:r>
        <w:rPr>
          <w:rFonts w:ascii="仿宋_GB2312" w:hAnsi="宋体" w:eastAsia="仿宋_GB2312"/>
          <w:sz w:val="28"/>
          <w:szCs w:val="28"/>
        </w:rPr>
        <w:t>175.03公顷</w:t>
      </w:r>
      <w:r>
        <w:rPr>
          <w:rFonts w:hint="eastAsia" w:ascii="仿宋_GB2312" w:hAnsi="宋体" w:eastAsia="仿宋_GB2312"/>
          <w:sz w:val="28"/>
          <w:szCs w:val="28"/>
        </w:rPr>
        <w:t>、杨林坳村</w:t>
      </w:r>
      <w:r>
        <w:rPr>
          <w:rFonts w:ascii="仿宋_GB2312" w:hAnsi="宋体" w:eastAsia="仿宋_GB2312"/>
          <w:sz w:val="28"/>
          <w:szCs w:val="28"/>
        </w:rPr>
        <w:t>174.22公顷</w:t>
      </w:r>
      <w:r>
        <w:rPr>
          <w:rFonts w:hint="eastAsia" w:ascii="仿宋_GB2312" w:hAnsi="宋体" w:eastAsia="仿宋_GB2312"/>
          <w:sz w:val="28"/>
          <w:szCs w:val="28"/>
        </w:rPr>
        <w:t>、阳光村</w:t>
      </w:r>
      <w:r>
        <w:rPr>
          <w:rFonts w:ascii="仿宋_GB2312" w:hAnsi="宋体" w:eastAsia="仿宋_GB2312"/>
          <w:sz w:val="28"/>
          <w:szCs w:val="28"/>
        </w:rPr>
        <w:t>197.68公顷</w:t>
      </w:r>
      <w:r>
        <w:rPr>
          <w:rFonts w:hint="eastAsia" w:ascii="仿宋_GB2312" w:hAnsi="宋体" w:eastAsia="仿宋_GB2312"/>
          <w:sz w:val="28"/>
          <w:szCs w:val="28"/>
        </w:rPr>
        <w:t>、共同村</w:t>
      </w:r>
      <w:r>
        <w:rPr>
          <w:rFonts w:ascii="仿宋_GB2312" w:hAnsi="宋体" w:eastAsia="仿宋_GB2312"/>
          <w:sz w:val="28"/>
          <w:szCs w:val="28"/>
        </w:rPr>
        <w:t>206.73公顷</w:t>
      </w:r>
      <w:r>
        <w:rPr>
          <w:rFonts w:hint="eastAsia" w:ascii="仿宋_GB2312" w:hAnsi="宋体" w:eastAsia="仿宋_GB2312"/>
          <w:sz w:val="28"/>
          <w:szCs w:val="28"/>
        </w:rPr>
        <w:t>、水保源村</w:t>
      </w:r>
      <w:r>
        <w:rPr>
          <w:rFonts w:ascii="仿宋_GB2312" w:hAnsi="宋体" w:eastAsia="仿宋_GB2312"/>
          <w:sz w:val="28"/>
          <w:szCs w:val="28"/>
        </w:rPr>
        <w:t>147.59公顷</w:t>
      </w:r>
      <w:r>
        <w:rPr>
          <w:rFonts w:hint="eastAsia" w:ascii="仿宋_GB2312" w:hAnsi="宋体" w:eastAsia="仿宋_GB2312"/>
          <w:sz w:val="28"/>
          <w:szCs w:val="28"/>
        </w:rPr>
        <w:t>、许店儿村</w:t>
      </w:r>
      <w:r>
        <w:rPr>
          <w:rFonts w:ascii="仿宋_GB2312" w:hAnsi="宋体" w:eastAsia="仿宋_GB2312"/>
          <w:sz w:val="28"/>
          <w:szCs w:val="28"/>
        </w:rPr>
        <w:t>168.31公顷</w:t>
      </w:r>
      <w:r>
        <w:rPr>
          <w:rFonts w:hint="eastAsia" w:ascii="仿宋_GB2312" w:hAnsi="宋体" w:eastAsia="仿宋_GB2312"/>
          <w:sz w:val="28"/>
          <w:szCs w:val="28"/>
        </w:rPr>
        <w:t>、碗厂村</w:t>
      </w:r>
      <w:r>
        <w:rPr>
          <w:rFonts w:ascii="仿宋_GB2312" w:hAnsi="宋体" w:eastAsia="仿宋_GB2312"/>
          <w:sz w:val="28"/>
          <w:szCs w:val="28"/>
        </w:rPr>
        <w:t>136.43公顷</w:t>
      </w:r>
      <w:r>
        <w:rPr>
          <w:rFonts w:hint="eastAsia" w:ascii="仿宋_GB2312" w:hAnsi="宋体" w:eastAsia="仿宋_GB2312"/>
          <w:sz w:val="28"/>
          <w:szCs w:val="28"/>
        </w:rPr>
        <w:t>、程河沟村</w:t>
      </w:r>
      <w:r>
        <w:rPr>
          <w:rFonts w:ascii="仿宋_GB2312" w:hAnsi="宋体" w:eastAsia="仿宋_GB2312"/>
          <w:sz w:val="28"/>
          <w:szCs w:val="28"/>
        </w:rPr>
        <w:t>111.84公顷</w:t>
      </w:r>
      <w:r>
        <w:rPr>
          <w:rFonts w:hint="eastAsia" w:ascii="仿宋_GB2312" w:hAnsi="宋体" w:eastAsia="仿宋_GB2312"/>
          <w:sz w:val="28"/>
          <w:szCs w:val="28"/>
        </w:rPr>
        <w:t>、飞来村</w:t>
      </w:r>
      <w:r>
        <w:rPr>
          <w:rFonts w:ascii="仿宋_GB2312" w:hAnsi="宋体" w:eastAsia="仿宋_GB2312"/>
          <w:sz w:val="28"/>
          <w:szCs w:val="28"/>
        </w:rPr>
        <w:t>87.38公顷</w:t>
      </w:r>
      <w:r>
        <w:rPr>
          <w:rFonts w:hint="eastAsia" w:ascii="仿宋_GB2312" w:hAnsi="宋体" w:eastAsia="仿宋_GB2312"/>
          <w:sz w:val="28"/>
          <w:szCs w:val="28"/>
        </w:rPr>
        <w:t>、南山村</w:t>
      </w:r>
      <w:r>
        <w:rPr>
          <w:rFonts w:ascii="仿宋_GB2312" w:hAnsi="宋体" w:eastAsia="仿宋_GB2312"/>
          <w:sz w:val="28"/>
          <w:szCs w:val="28"/>
        </w:rPr>
        <w:t>82.74公顷</w:t>
      </w:r>
      <w:r>
        <w:rPr>
          <w:rFonts w:hint="eastAsia" w:ascii="仿宋_GB2312" w:hAnsi="宋体" w:eastAsia="仿宋_GB2312"/>
          <w:sz w:val="28"/>
          <w:szCs w:val="28"/>
        </w:rPr>
        <w:t>、白房子村</w:t>
      </w:r>
      <w:r>
        <w:rPr>
          <w:rFonts w:ascii="仿宋_GB2312" w:hAnsi="宋体" w:eastAsia="仿宋_GB2312"/>
          <w:sz w:val="28"/>
          <w:szCs w:val="28"/>
        </w:rPr>
        <w:t>51.36公顷</w:t>
      </w:r>
      <w:r>
        <w:rPr>
          <w:rFonts w:hint="eastAsia" w:ascii="仿宋_GB2312" w:hAnsi="宋体" w:eastAsia="仿宋_GB2312"/>
          <w:sz w:val="28"/>
          <w:szCs w:val="28"/>
        </w:rPr>
        <w:t>、莲池村</w:t>
      </w:r>
      <w:r>
        <w:rPr>
          <w:rFonts w:ascii="仿宋_GB2312" w:hAnsi="宋体" w:eastAsia="仿宋_GB2312"/>
          <w:sz w:val="28"/>
          <w:szCs w:val="28"/>
        </w:rPr>
        <w:t>62.00公顷</w:t>
      </w:r>
      <w:r>
        <w:rPr>
          <w:rFonts w:hint="eastAsia" w:ascii="仿宋_GB2312" w:hAnsi="宋体" w:eastAsia="仿宋_GB2312"/>
          <w:sz w:val="28"/>
          <w:szCs w:val="28"/>
        </w:rPr>
        <w:t>、楼房山村</w:t>
      </w:r>
      <w:r>
        <w:rPr>
          <w:rFonts w:ascii="仿宋_GB2312" w:hAnsi="宋体" w:eastAsia="仿宋_GB2312"/>
          <w:sz w:val="28"/>
          <w:szCs w:val="28"/>
        </w:rPr>
        <w:t>141.14公顷</w:t>
      </w:r>
      <w:r>
        <w:rPr>
          <w:rFonts w:hint="eastAsia" w:ascii="仿宋_GB2312" w:hAnsi="宋体" w:eastAsia="仿宋_GB2312"/>
          <w:sz w:val="28"/>
          <w:szCs w:val="28"/>
        </w:rPr>
        <w:t>、沙坝河村</w:t>
      </w:r>
      <w:r>
        <w:rPr>
          <w:rFonts w:ascii="仿宋_GB2312" w:hAnsi="宋体" w:eastAsia="仿宋_GB2312"/>
          <w:sz w:val="28"/>
          <w:szCs w:val="28"/>
        </w:rPr>
        <w:t>167.00公顷</w:t>
      </w:r>
      <w:r>
        <w:rPr>
          <w:rFonts w:hint="eastAsia" w:ascii="仿宋_GB2312" w:hAnsi="宋体" w:eastAsia="仿宋_GB2312"/>
          <w:sz w:val="28"/>
          <w:szCs w:val="28"/>
        </w:rPr>
        <w:t>、美丽村</w:t>
      </w:r>
      <w:r>
        <w:rPr>
          <w:rFonts w:ascii="仿宋_GB2312" w:hAnsi="宋体" w:eastAsia="仿宋_GB2312"/>
          <w:sz w:val="28"/>
          <w:szCs w:val="28"/>
        </w:rPr>
        <w:t>88.11公顷</w:t>
      </w:r>
      <w:r>
        <w:rPr>
          <w:rFonts w:hint="eastAsia" w:ascii="仿宋_GB2312" w:hAnsi="宋体" w:eastAsia="仿宋_GB2312"/>
          <w:sz w:val="28"/>
          <w:szCs w:val="28"/>
        </w:rPr>
        <w:t>、马儿石村</w:t>
      </w:r>
      <w:r>
        <w:rPr>
          <w:rFonts w:ascii="仿宋_GB2312" w:hAnsi="宋体" w:eastAsia="仿宋_GB2312"/>
          <w:sz w:val="28"/>
          <w:szCs w:val="28"/>
        </w:rPr>
        <w:t>91.97公顷</w:t>
      </w:r>
      <w:r>
        <w:rPr>
          <w:rFonts w:hint="eastAsia" w:ascii="仿宋_GB2312" w:hAnsi="宋体" w:eastAsia="仿宋_GB2312"/>
          <w:sz w:val="28"/>
          <w:szCs w:val="28"/>
        </w:rPr>
        <w:t>、张坳口村</w:t>
      </w:r>
      <w:r>
        <w:rPr>
          <w:rFonts w:ascii="仿宋_GB2312" w:hAnsi="宋体" w:eastAsia="仿宋_GB2312"/>
          <w:sz w:val="28"/>
          <w:szCs w:val="28"/>
        </w:rPr>
        <w:t>164.62公顷</w:t>
      </w:r>
      <w:r>
        <w:rPr>
          <w:rFonts w:hint="eastAsia" w:ascii="仿宋_GB2312" w:hAnsi="宋体" w:eastAsia="仿宋_GB2312"/>
          <w:sz w:val="28"/>
          <w:szCs w:val="28"/>
        </w:rPr>
        <w:t>、大桥村</w:t>
      </w:r>
      <w:r>
        <w:rPr>
          <w:rFonts w:ascii="仿宋_GB2312" w:hAnsi="宋体" w:eastAsia="仿宋_GB2312"/>
          <w:sz w:val="28"/>
          <w:szCs w:val="28"/>
        </w:rPr>
        <w:t>185.01公顷</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调整后全镇园地主要分布情况为方嘴村</w:t>
      </w:r>
      <w:r>
        <w:rPr>
          <w:rFonts w:ascii="仿宋_GB2312" w:hAnsi="宋体" w:eastAsia="仿宋_GB2312"/>
          <w:sz w:val="28"/>
          <w:szCs w:val="28"/>
        </w:rPr>
        <w:t>26.60公顷</w:t>
      </w:r>
      <w:r>
        <w:rPr>
          <w:rFonts w:hint="eastAsia" w:ascii="仿宋_GB2312" w:hAnsi="宋体" w:eastAsia="仿宋_GB2312"/>
          <w:sz w:val="28"/>
          <w:szCs w:val="28"/>
        </w:rPr>
        <w:t>、兴无村</w:t>
      </w:r>
      <w:r>
        <w:rPr>
          <w:rFonts w:ascii="仿宋_GB2312" w:hAnsi="宋体" w:eastAsia="仿宋_GB2312"/>
          <w:sz w:val="28"/>
          <w:szCs w:val="28"/>
        </w:rPr>
        <w:t>10.12公顷</w:t>
      </w:r>
      <w:r>
        <w:rPr>
          <w:rFonts w:hint="eastAsia" w:ascii="仿宋_GB2312" w:hAnsi="宋体" w:eastAsia="仿宋_GB2312"/>
          <w:sz w:val="28"/>
          <w:szCs w:val="28"/>
        </w:rPr>
        <w:t>、杨林坳村</w:t>
      </w:r>
      <w:r>
        <w:rPr>
          <w:rFonts w:ascii="仿宋_GB2312" w:hAnsi="宋体" w:eastAsia="仿宋_GB2312"/>
          <w:sz w:val="28"/>
          <w:szCs w:val="28"/>
        </w:rPr>
        <w:t>30.99公顷</w:t>
      </w:r>
      <w:r>
        <w:rPr>
          <w:rFonts w:hint="eastAsia" w:ascii="仿宋_GB2312" w:hAnsi="宋体" w:eastAsia="仿宋_GB2312"/>
          <w:sz w:val="28"/>
          <w:szCs w:val="28"/>
        </w:rPr>
        <w:t>、阳光村</w:t>
      </w:r>
      <w:r>
        <w:rPr>
          <w:rFonts w:ascii="仿宋_GB2312" w:hAnsi="宋体" w:eastAsia="仿宋_GB2312"/>
          <w:sz w:val="28"/>
          <w:szCs w:val="28"/>
        </w:rPr>
        <w:t>13.06公顷</w:t>
      </w:r>
      <w:r>
        <w:rPr>
          <w:rFonts w:hint="eastAsia" w:ascii="仿宋_GB2312" w:hAnsi="宋体" w:eastAsia="仿宋_GB2312"/>
          <w:sz w:val="28"/>
          <w:szCs w:val="28"/>
        </w:rPr>
        <w:t>、共同村</w:t>
      </w:r>
      <w:r>
        <w:rPr>
          <w:rFonts w:ascii="仿宋_GB2312" w:hAnsi="宋体" w:eastAsia="仿宋_GB2312"/>
          <w:sz w:val="28"/>
          <w:szCs w:val="28"/>
        </w:rPr>
        <w:t>7.12公顷</w:t>
      </w:r>
      <w:r>
        <w:rPr>
          <w:rFonts w:hint="eastAsia" w:ascii="仿宋_GB2312" w:hAnsi="宋体" w:eastAsia="仿宋_GB2312"/>
          <w:sz w:val="28"/>
          <w:szCs w:val="28"/>
        </w:rPr>
        <w:t>、水保源村</w:t>
      </w:r>
      <w:r>
        <w:rPr>
          <w:rFonts w:ascii="仿宋_GB2312" w:hAnsi="宋体" w:eastAsia="仿宋_GB2312"/>
          <w:sz w:val="28"/>
          <w:szCs w:val="28"/>
        </w:rPr>
        <w:t>2.37公顷</w:t>
      </w:r>
      <w:r>
        <w:rPr>
          <w:rFonts w:hint="eastAsia" w:ascii="仿宋_GB2312" w:hAnsi="宋体" w:eastAsia="仿宋_GB2312"/>
          <w:sz w:val="28"/>
          <w:szCs w:val="28"/>
        </w:rPr>
        <w:t>、许店儿村</w:t>
      </w:r>
      <w:r>
        <w:rPr>
          <w:rFonts w:ascii="仿宋_GB2312" w:hAnsi="宋体" w:eastAsia="仿宋_GB2312"/>
          <w:sz w:val="28"/>
          <w:szCs w:val="28"/>
        </w:rPr>
        <w:t>9.48公顷</w:t>
      </w:r>
      <w:r>
        <w:rPr>
          <w:rFonts w:hint="eastAsia" w:ascii="仿宋_GB2312" w:hAnsi="宋体" w:eastAsia="仿宋_GB2312"/>
          <w:sz w:val="28"/>
          <w:szCs w:val="28"/>
        </w:rPr>
        <w:t>、碗厂村</w:t>
      </w:r>
      <w:r>
        <w:rPr>
          <w:rFonts w:ascii="仿宋_GB2312" w:hAnsi="宋体" w:eastAsia="仿宋_GB2312"/>
          <w:sz w:val="28"/>
          <w:szCs w:val="28"/>
        </w:rPr>
        <w:t>39.16公顷</w:t>
      </w:r>
      <w:r>
        <w:rPr>
          <w:rFonts w:hint="eastAsia" w:ascii="仿宋_GB2312" w:hAnsi="宋体" w:eastAsia="仿宋_GB2312"/>
          <w:sz w:val="28"/>
          <w:szCs w:val="28"/>
        </w:rPr>
        <w:t>、程河沟村</w:t>
      </w:r>
      <w:r>
        <w:rPr>
          <w:rFonts w:ascii="仿宋_GB2312" w:hAnsi="宋体" w:eastAsia="仿宋_GB2312"/>
          <w:sz w:val="28"/>
          <w:szCs w:val="28"/>
        </w:rPr>
        <w:t>3.92公顷</w:t>
      </w:r>
      <w:r>
        <w:rPr>
          <w:rFonts w:hint="eastAsia" w:ascii="仿宋_GB2312" w:hAnsi="宋体" w:eastAsia="仿宋_GB2312"/>
          <w:sz w:val="28"/>
          <w:szCs w:val="28"/>
        </w:rPr>
        <w:t>、飞来村</w:t>
      </w:r>
      <w:r>
        <w:rPr>
          <w:rFonts w:ascii="仿宋_GB2312" w:hAnsi="宋体" w:eastAsia="仿宋_GB2312"/>
          <w:sz w:val="28"/>
          <w:szCs w:val="28"/>
        </w:rPr>
        <w:t>3.63公顷</w:t>
      </w:r>
      <w:r>
        <w:rPr>
          <w:rFonts w:hint="eastAsia" w:ascii="仿宋_GB2312" w:hAnsi="宋体" w:eastAsia="仿宋_GB2312"/>
          <w:sz w:val="28"/>
          <w:szCs w:val="28"/>
        </w:rPr>
        <w:t>、南山村</w:t>
      </w:r>
      <w:r>
        <w:rPr>
          <w:rFonts w:ascii="仿宋_GB2312" w:hAnsi="宋体" w:eastAsia="仿宋_GB2312"/>
          <w:sz w:val="28"/>
          <w:szCs w:val="28"/>
        </w:rPr>
        <w:t>4.09公顷</w:t>
      </w:r>
      <w:r>
        <w:rPr>
          <w:rFonts w:hint="eastAsia" w:ascii="仿宋_GB2312" w:hAnsi="宋体" w:eastAsia="仿宋_GB2312"/>
          <w:sz w:val="28"/>
          <w:szCs w:val="28"/>
        </w:rPr>
        <w:t>、白房子村</w:t>
      </w:r>
      <w:r>
        <w:rPr>
          <w:rFonts w:ascii="仿宋_GB2312" w:hAnsi="宋体" w:eastAsia="仿宋_GB2312"/>
          <w:sz w:val="28"/>
          <w:szCs w:val="28"/>
        </w:rPr>
        <w:t>8.87公顷</w:t>
      </w:r>
      <w:r>
        <w:rPr>
          <w:rFonts w:hint="eastAsia" w:ascii="仿宋_GB2312" w:hAnsi="宋体" w:eastAsia="仿宋_GB2312"/>
          <w:sz w:val="28"/>
          <w:szCs w:val="28"/>
        </w:rPr>
        <w:t>、莲池村</w:t>
      </w:r>
      <w:r>
        <w:rPr>
          <w:rFonts w:ascii="仿宋_GB2312" w:hAnsi="宋体" w:eastAsia="仿宋_GB2312"/>
          <w:sz w:val="28"/>
          <w:szCs w:val="28"/>
        </w:rPr>
        <w:t>1.16公顷</w:t>
      </w:r>
      <w:r>
        <w:rPr>
          <w:rFonts w:hint="eastAsia" w:ascii="仿宋_GB2312" w:hAnsi="宋体" w:eastAsia="仿宋_GB2312"/>
          <w:sz w:val="28"/>
          <w:szCs w:val="28"/>
        </w:rPr>
        <w:t>、楼房山村</w:t>
      </w:r>
      <w:r>
        <w:rPr>
          <w:rFonts w:ascii="仿宋_GB2312" w:hAnsi="宋体" w:eastAsia="仿宋_GB2312"/>
          <w:sz w:val="28"/>
          <w:szCs w:val="28"/>
        </w:rPr>
        <w:t>11.62公顷</w:t>
      </w:r>
      <w:r>
        <w:rPr>
          <w:rFonts w:hint="eastAsia" w:ascii="仿宋_GB2312" w:hAnsi="宋体" w:eastAsia="仿宋_GB2312"/>
          <w:sz w:val="28"/>
          <w:szCs w:val="28"/>
        </w:rPr>
        <w:t>、沙坝河村</w:t>
      </w:r>
      <w:r>
        <w:rPr>
          <w:rFonts w:ascii="仿宋_GB2312" w:hAnsi="宋体" w:eastAsia="仿宋_GB2312"/>
          <w:sz w:val="28"/>
          <w:szCs w:val="28"/>
        </w:rPr>
        <w:t>1.33公顷</w:t>
      </w:r>
      <w:r>
        <w:rPr>
          <w:rFonts w:hint="eastAsia" w:ascii="仿宋_GB2312" w:hAnsi="宋体" w:eastAsia="仿宋_GB2312"/>
          <w:sz w:val="28"/>
          <w:szCs w:val="28"/>
        </w:rPr>
        <w:t>、美丽村1.17</w:t>
      </w:r>
      <w:r>
        <w:rPr>
          <w:rFonts w:ascii="仿宋_GB2312" w:hAnsi="宋体" w:eastAsia="仿宋_GB2312"/>
          <w:sz w:val="28"/>
          <w:szCs w:val="28"/>
        </w:rPr>
        <w:t>公顷</w:t>
      </w:r>
      <w:r>
        <w:rPr>
          <w:rFonts w:hint="eastAsia" w:ascii="仿宋_GB2312" w:hAnsi="宋体" w:eastAsia="仿宋_GB2312"/>
          <w:sz w:val="28"/>
          <w:szCs w:val="28"/>
        </w:rPr>
        <w:t>、马儿石村</w:t>
      </w:r>
      <w:r>
        <w:rPr>
          <w:rFonts w:ascii="仿宋_GB2312" w:hAnsi="宋体" w:eastAsia="仿宋_GB2312"/>
          <w:sz w:val="28"/>
          <w:szCs w:val="28"/>
        </w:rPr>
        <w:t>2.81公顷</w:t>
      </w:r>
      <w:r>
        <w:rPr>
          <w:rFonts w:hint="eastAsia" w:ascii="仿宋_GB2312" w:hAnsi="宋体" w:eastAsia="仿宋_GB2312"/>
          <w:sz w:val="28"/>
          <w:szCs w:val="28"/>
        </w:rPr>
        <w:t>、张坳口村</w:t>
      </w:r>
      <w:r>
        <w:rPr>
          <w:rFonts w:ascii="仿宋_GB2312" w:hAnsi="宋体" w:eastAsia="仿宋_GB2312"/>
          <w:sz w:val="28"/>
          <w:szCs w:val="28"/>
        </w:rPr>
        <w:t>3.43公顷</w:t>
      </w:r>
      <w:r>
        <w:rPr>
          <w:rFonts w:hint="eastAsia" w:ascii="仿宋_GB2312" w:hAnsi="宋体" w:eastAsia="仿宋_GB2312"/>
          <w:sz w:val="28"/>
          <w:szCs w:val="28"/>
        </w:rPr>
        <w:t>、大桥村</w:t>
      </w:r>
      <w:r>
        <w:rPr>
          <w:rFonts w:ascii="仿宋_GB2312" w:hAnsi="宋体" w:eastAsia="仿宋_GB2312"/>
          <w:sz w:val="28"/>
          <w:szCs w:val="28"/>
        </w:rPr>
        <w:t>38.28公顷</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调整后全镇林地主要分布情况为方嘴村</w:t>
      </w:r>
      <w:r>
        <w:rPr>
          <w:rFonts w:ascii="仿宋_GB2312" w:hAnsi="宋体" w:eastAsia="仿宋_GB2312"/>
          <w:sz w:val="28"/>
          <w:szCs w:val="28"/>
        </w:rPr>
        <w:t>358.75公顷</w:t>
      </w:r>
      <w:r>
        <w:rPr>
          <w:rFonts w:hint="eastAsia" w:ascii="仿宋_GB2312" w:hAnsi="宋体" w:eastAsia="仿宋_GB2312"/>
          <w:sz w:val="28"/>
          <w:szCs w:val="28"/>
        </w:rPr>
        <w:t>、兴无村</w:t>
      </w:r>
      <w:r>
        <w:rPr>
          <w:rFonts w:ascii="仿宋_GB2312" w:hAnsi="宋体" w:eastAsia="仿宋_GB2312"/>
          <w:sz w:val="28"/>
          <w:szCs w:val="28"/>
        </w:rPr>
        <w:t>69.29公顷</w:t>
      </w:r>
      <w:r>
        <w:rPr>
          <w:rFonts w:hint="eastAsia" w:ascii="仿宋_GB2312" w:hAnsi="宋体" w:eastAsia="仿宋_GB2312"/>
          <w:sz w:val="28"/>
          <w:szCs w:val="28"/>
        </w:rPr>
        <w:t>、杨林坳村</w:t>
      </w:r>
      <w:r>
        <w:rPr>
          <w:rFonts w:ascii="仿宋_GB2312" w:hAnsi="宋体" w:eastAsia="仿宋_GB2312"/>
          <w:sz w:val="28"/>
          <w:szCs w:val="28"/>
        </w:rPr>
        <w:t>89.78公顷</w:t>
      </w:r>
      <w:r>
        <w:rPr>
          <w:rFonts w:hint="eastAsia" w:ascii="仿宋_GB2312" w:hAnsi="宋体" w:eastAsia="仿宋_GB2312"/>
          <w:sz w:val="28"/>
          <w:szCs w:val="28"/>
        </w:rPr>
        <w:t>、阳光村</w:t>
      </w:r>
      <w:r>
        <w:rPr>
          <w:rFonts w:ascii="仿宋_GB2312" w:hAnsi="宋体" w:eastAsia="仿宋_GB2312"/>
          <w:sz w:val="28"/>
          <w:szCs w:val="28"/>
        </w:rPr>
        <w:t>175.99公顷</w:t>
      </w:r>
      <w:r>
        <w:rPr>
          <w:rFonts w:hint="eastAsia" w:ascii="仿宋_GB2312" w:hAnsi="宋体" w:eastAsia="仿宋_GB2312"/>
          <w:sz w:val="28"/>
          <w:szCs w:val="28"/>
        </w:rPr>
        <w:t>、共同村</w:t>
      </w:r>
      <w:r>
        <w:rPr>
          <w:rFonts w:ascii="仿宋_GB2312" w:hAnsi="宋体" w:eastAsia="仿宋_GB2312"/>
          <w:sz w:val="28"/>
          <w:szCs w:val="28"/>
        </w:rPr>
        <w:t>132.48公顷</w:t>
      </w:r>
      <w:r>
        <w:rPr>
          <w:rFonts w:hint="eastAsia" w:ascii="仿宋_GB2312" w:hAnsi="宋体" w:eastAsia="仿宋_GB2312"/>
          <w:sz w:val="28"/>
          <w:szCs w:val="28"/>
        </w:rPr>
        <w:t>、水保源村</w:t>
      </w:r>
      <w:r>
        <w:rPr>
          <w:rFonts w:ascii="仿宋_GB2312" w:hAnsi="宋体" w:eastAsia="仿宋_GB2312"/>
          <w:sz w:val="28"/>
          <w:szCs w:val="28"/>
        </w:rPr>
        <w:t>135.56公顷</w:t>
      </w:r>
      <w:r>
        <w:rPr>
          <w:rFonts w:hint="eastAsia" w:ascii="仿宋_GB2312" w:hAnsi="宋体" w:eastAsia="仿宋_GB2312"/>
          <w:sz w:val="28"/>
          <w:szCs w:val="28"/>
        </w:rPr>
        <w:t>、许店儿村</w:t>
      </w:r>
      <w:r>
        <w:rPr>
          <w:rFonts w:ascii="仿宋_GB2312" w:hAnsi="宋体" w:eastAsia="仿宋_GB2312"/>
          <w:sz w:val="28"/>
          <w:szCs w:val="28"/>
        </w:rPr>
        <w:t>68.84公顷</w:t>
      </w:r>
      <w:r>
        <w:rPr>
          <w:rFonts w:hint="eastAsia" w:ascii="仿宋_GB2312" w:hAnsi="宋体" w:eastAsia="仿宋_GB2312"/>
          <w:sz w:val="28"/>
          <w:szCs w:val="28"/>
        </w:rPr>
        <w:t>、碗厂村</w:t>
      </w:r>
      <w:r>
        <w:rPr>
          <w:rFonts w:ascii="仿宋_GB2312" w:hAnsi="宋体" w:eastAsia="仿宋_GB2312"/>
          <w:sz w:val="28"/>
          <w:szCs w:val="28"/>
        </w:rPr>
        <w:t>321.18公顷</w:t>
      </w:r>
      <w:r>
        <w:rPr>
          <w:rFonts w:hint="eastAsia" w:ascii="仿宋_GB2312" w:hAnsi="宋体" w:eastAsia="仿宋_GB2312"/>
          <w:sz w:val="28"/>
          <w:szCs w:val="28"/>
        </w:rPr>
        <w:t>、程河沟村</w:t>
      </w:r>
      <w:r>
        <w:rPr>
          <w:rFonts w:ascii="仿宋_GB2312" w:hAnsi="宋体" w:eastAsia="仿宋_GB2312"/>
          <w:sz w:val="28"/>
          <w:szCs w:val="28"/>
        </w:rPr>
        <w:t>74.65公顷</w:t>
      </w:r>
      <w:r>
        <w:rPr>
          <w:rFonts w:hint="eastAsia" w:ascii="仿宋_GB2312" w:hAnsi="宋体" w:eastAsia="仿宋_GB2312"/>
          <w:sz w:val="28"/>
          <w:szCs w:val="28"/>
        </w:rPr>
        <w:t>、飞来村</w:t>
      </w:r>
      <w:r>
        <w:rPr>
          <w:rFonts w:ascii="仿宋_GB2312" w:hAnsi="宋体" w:eastAsia="仿宋_GB2312"/>
          <w:sz w:val="28"/>
          <w:szCs w:val="28"/>
        </w:rPr>
        <w:t>90.04公顷</w:t>
      </w:r>
      <w:r>
        <w:rPr>
          <w:rFonts w:hint="eastAsia" w:ascii="仿宋_GB2312" w:hAnsi="宋体" w:eastAsia="仿宋_GB2312"/>
          <w:sz w:val="28"/>
          <w:szCs w:val="28"/>
        </w:rPr>
        <w:t>、南山村</w:t>
      </w:r>
      <w:r>
        <w:rPr>
          <w:rFonts w:ascii="仿宋_GB2312" w:hAnsi="宋体" w:eastAsia="仿宋_GB2312"/>
          <w:sz w:val="28"/>
          <w:szCs w:val="28"/>
        </w:rPr>
        <w:t>78.34公顷</w:t>
      </w:r>
      <w:r>
        <w:rPr>
          <w:rFonts w:hint="eastAsia" w:ascii="仿宋_GB2312" w:hAnsi="宋体" w:eastAsia="仿宋_GB2312"/>
          <w:sz w:val="28"/>
          <w:szCs w:val="28"/>
        </w:rPr>
        <w:t>、白房子村</w:t>
      </w:r>
      <w:r>
        <w:rPr>
          <w:rFonts w:ascii="仿宋_GB2312" w:hAnsi="宋体" w:eastAsia="仿宋_GB2312"/>
          <w:sz w:val="28"/>
          <w:szCs w:val="28"/>
        </w:rPr>
        <w:t>120.14公顷</w:t>
      </w:r>
      <w:r>
        <w:rPr>
          <w:rFonts w:hint="eastAsia" w:ascii="仿宋_GB2312" w:hAnsi="宋体" w:eastAsia="仿宋_GB2312"/>
          <w:sz w:val="28"/>
          <w:szCs w:val="28"/>
        </w:rPr>
        <w:t>、莲池村</w:t>
      </w:r>
      <w:r>
        <w:rPr>
          <w:rFonts w:ascii="仿宋_GB2312" w:hAnsi="宋体" w:eastAsia="仿宋_GB2312"/>
          <w:sz w:val="28"/>
          <w:szCs w:val="28"/>
        </w:rPr>
        <w:t>49.93公顷</w:t>
      </w:r>
      <w:r>
        <w:rPr>
          <w:rFonts w:hint="eastAsia" w:ascii="仿宋_GB2312" w:hAnsi="宋体" w:eastAsia="仿宋_GB2312"/>
          <w:sz w:val="28"/>
          <w:szCs w:val="28"/>
        </w:rPr>
        <w:t>、楼房山村</w:t>
      </w:r>
      <w:r>
        <w:rPr>
          <w:rFonts w:ascii="仿宋_GB2312" w:hAnsi="宋体" w:eastAsia="仿宋_GB2312"/>
          <w:sz w:val="28"/>
          <w:szCs w:val="28"/>
        </w:rPr>
        <w:t>273.39公顷</w:t>
      </w:r>
      <w:r>
        <w:rPr>
          <w:rFonts w:hint="eastAsia" w:ascii="仿宋_GB2312" w:hAnsi="宋体" w:eastAsia="仿宋_GB2312"/>
          <w:sz w:val="28"/>
          <w:szCs w:val="28"/>
        </w:rPr>
        <w:t>、沙坝河村</w:t>
      </w:r>
      <w:r>
        <w:rPr>
          <w:rFonts w:ascii="仿宋_GB2312" w:hAnsi="宋体" w:eastAsia="仿宋_GB2312"/>
          <w:sz w:val="28"/>
          <w:szCs w:val="28"/>
        </w:rPr>
        <w:t>446.89公顷</w:t>
      </w:r>
      <w:r>
        <w:rPr>
          <w:rFonts w:hint="eastAsia" w:ascii="仿宋_GB2312" w:hAnsi="宋体" w:eastAsia="仿宋_GB2312"/>
          <w:sz w:val="28"/>
          <w:szCs w:val="28"/>
        </w:rPr>
        <w:t>、美丽村</w:t>
      </w:r>
      <w:r>
        <w:rPr>
          <w:rFonts w:ascii="仿宋_GB2312" w:hAnsi="宋体" w:eastAsia="仿宋_GB2312"/>
          <w:sz w:val="28"/>
          <w:szCs w:val="28"/>
        </w:rPr>
        <w:t>401.77公顷</w:t>
      </w:r>
      <w:r>
        <w:rPr>
          <w:rFonts w:hint="eastAsia" w:ascii="仿宋_GB2312" w:hAnsi="宋体" w:eastAsia="仿宋_GB2312"/>
          <w:sz w:val="28"/>
          <w:szCs w:val="28"/>
        </w:rPr>
        <w:t>、马儿石村</w:t>
      </w:r>
      <w:r>
        <w:rPr>
          <w:rFonts w:ascii="仿宋_GB2312" w:hAnsi="宋体" w:eastAsia="仿宋_GB2312"/>
          <w:sz w:val="28"/>
          <w:szCs w:val="28"/>
        </w:rPr>
        <w:t>293.37公顷</w:t>
      </w:r>
      <w:r>
        <w:rPr>
          <w:rFonts w:hint="eastAsia" w:ascii="仿宋_GB2312" w:hAnsi="宋体" w:eastAsia="仿宋_GB2312"/>
          <w:sz w:val="28"/>
          <w:szCs w:val="28"/>
        </w:rPr>
        <w:t>、张坳口村</w:t>
      </w:r>
      <w:r>
        <w:rPr>
          <w:rFonts w:ascii="仿宋_GB2312" w:hAnsi="宋体" w:eastAsia="仿宋_GB2312"/>
          <w:sz w:val="28"/>
          <w:szCs w:val="28"/>
        </w:rPr>
        <w:t>181.25公顷</w:t>
      </w:r>
      <w:r>
        <w:rPr>
          <w:rFonts w:hint="eastAsia" w:ascii="仿宋_GB2312" w:hAnsi="宋体" w:eastAsia="仿宋_GB2312"/>
          <w:sz w:val="28"/>
          <w:szCs w:val="28"/>
        </w:rPr>
        <w:t>、大桥村</w:t>
      </w:r>
      <w:r>
        <w:rPr>
          <w:rFonts w:ascii="仿宋_GB2312" w:hAnsi="宋体" w:eastAsia="仿宋_GB2312"/>
          <w:sz w:val="28"/>
          <w:szCs w:val="28"/>
        </w:rPr>
        <w:t>588.90公顷</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调整后全镇其他农用地主要分布情况为方嘴村</w:t>
      </w:r>
      <w:r>
        <w:rPr>
          <w:rFonts w:ascii="仿宋_GB2312" w:hAnsi="宋体" w:eastAsia="仿宋_GB2312"/>
          <w:sz w:val="28"/>
          <w:szCs w:val="28"/>
        </w:rPr>
        <w:t>26.38公顷</w:t>
      </w:r>
      <w:r>
        <w:rPr>
          <w:rFonts w:hint="eastAsia" w:ascii="仿宋_GB2312" w:hAnsi="宋体" w:eastAsia="仿宋_GB2312"/>
          <w:sz w:val="28"/>
          <w:szCs w:val="28"/>
        </w:rPr>
        <w:t>、兴无村</w:t>
      </w:r>
      <w:r>
        <w:rPr>
          <w:rFonts w:ascii="仿宋_GB2312" w:hAnsi="宋体" w:eastAsia="仿宋_GB2312"/>
          <w:sz w:val="28"/>
          <w:szCs w:val="28"/>
        </w:rPr>
        <w:t>18.71公顷</w:t>
      </w:r>
      <w:r>
        <w:rPr>
          <w:rFonts w:hint="eastAsia" w:ascii="仿宋_GB2312" w:hAnsi="宋体" w:eastAsia="仿宋_GB2312"/>
          <w:sz w:val="28"/>
          <w:szCs w:val="28"/>
        </w:rPr>
        <w:t>、杨林坳村</w:t>
      </w:r>
      <w:r>
        <w:rPr>
          <w:rFonts w:ascii="仿宋_GB2312" w:hAnsi="宋体" w:eastAsia="仿宋_GB2312"/>
          <w:sz w:val="28"/>
          <w:szCs w:val="28"/>
        </w:rPr>
        <w:t>23.04公顷</w:t>
      </w:r>
      <w:r>
        <w:rPr>
          <w:rFonts w:hint="eastAsia" w:ascii="仿宋_GB2312" w:hAnsi="宋体" w:eastAsia="仿宋_GB2312"/>
          <w:sz w:val="28"/>
          <w:szCs w:val="28"/>
        </w:rPr>
        <w:t>、阳光村</w:t>
      </w:r>
      <w:r>
        <w:rPr>
          <w:rFonts w:ascii="仿宋_GB2312" w:hAnsi="宋体" w:eastAsia="仿宋_GB2312"/>
          <w:sz w:val="28"/>
          <w:szCs w:val="28"/>
        </w:rPr>
        <w:t>24.85公顷</w:t>
      </w:r>
      <w:r>
        <w:rPr>
          <w:rFonts w:hint="eastAsia" w:ascii="仿宋_GB2312" w:hAnsi="宋体" w:eastAsia="仿宋_GB2312"/>
          <w:sz w:val="28"/>
          <w:szCs w:val="28"/>
        </w:rPr>
        <w:t>、共同村</w:t>
      </w:r>
      <w:r>
        <w:rPr>
          <w:rFonts w:ascii="仿宋_GB2312" w:hAnsi="宋体" w:eastAsia="仿宋_GB2312"/>
          <w:sz w:val="28"/>
          <w:szCs w:val="28"/>
        </w:rPr>
        <w:t>30.83公顷</w:t>
      </w:r>
      <w:r>
        <w:rPr>
          <w:rFonts w:hint="eastAsia" w:ascii="仿宋_GB2312" w:hAnsi="宋体" w:eastAsia="仿宋_GB2312"/>
          <w:sz w:val="28"/>
          <w:szCs w:val="28"/>
        </w:rPr>
        <w:t>、水保源村</w:t>
      </w:r>
      <w:r>
        <w:rPr>
          <w:rFonts w:ascii="仿宋_GB2312" w:hAnsi="宋体" w:eastAsia="仿宋_GB2312"/>
          <w:sz w:val="28"/>
          <w:szCs w:val="28"/>
        </w:rPr>
        <w:t>17.89公顷</w:t>
      </w:r>
      <w:r>
        <w:rPr>
          <w:rFonts w:hint="eastAsia" w:ascii="仿宋_GB2312" w:hAnsi="宋体" w:eastAsia="仿宋_GB2312"/>
          <w:sz w:val="28"/>
          <w:szCs w:val="28"/>
        </w:rPr>
        <w:t>、许店儿村</w:t>
      </w:r>
      <w:r>
        <w:rPr>
          <w:rFonts w:ascii="仿宋_GB2312" w:hAnsi="宋体" w:eastAsia="仿宋_GB2312"/>
          <w:sz w:val="28"/>
          <w:szCs w:val="28"/>
        </w:rPr>
        <w:t>20.91公顷</w:t>
      </w:r>
      <w:r>
        <w:rPr>
          <w:rFonts w:hint="eastAsia" w:ascii="仿宋_GB2312" w:hAnsi="宋体" w:eastAsia="仿宋_GB2312"/>
          <w:sz w:val="28"/>
          <w:szCs w:val="28"/>
        </w:rPr>
        <w:t>、碗厂村</w:t>
      </w:r>
      <w:r>
        <w:rPr>
          <w:rFonts w:ascii="仿宋_GB2312" w:hAnsi="宋体" w:eastAsia="仿宋_GB2312"/>
          <w:sz w:val="28"/>
          <w:szCs w:val="28"/>
        </w:rPr>
        <w:t>20.44公顷</w:t>
      </w:r>
      <w:r>
        <w:rPr>
          <w:rFonts w:hint="eastAsia" w:ascii="仿宋_GB2312" w:hAnsi="宋体" w:eastAsia="仿宋_GB2312"/>
          <w:sz w:val="28"/>
          <w:szCs w:val="28"/>
        </w:rPr>
        <w:t>、程河沟村</w:t>
      </w:r>
      <w:r>
        <w:rPr>
          <w:rFonts w:ascii="仿宋_GB2312" w:hAnsi="宋体" w:eastAsia="仿宋_GB2312"/>
          <w:sz w:val="28"/>
          <w:szCs w:val="28"/>
        </w:rPr>
        <w:t>13.78公顷</w:t>
      </w:r>
      <w:r>
        <w:rPr>
          <w:rFonts w:hint="eastAsia" w:ascii="仿宋_GB2312" w:hAnsi="宋体" w:eastAsia="仿宋_GB2312"/>
          <w:sz w:val="28"/>
          <w:szCs w:val="28"/>
        </w:rPr>
        <w:t>、飞来村</w:t>
      </w:r>
      <w:r>
        <w:rPr>
          <w:rFonts w:ascii="仿宋_GB2312" w:hAnsi="宋体" w:eastAsia="仿宋_GB2312"/>
          <w:sz w:val="28"/>
          <w:szCs w:val="28"/>
        </w:rPr>
        <w:t>10.11公顷</w:t>
      </w:r>
      <w:r>
        <w:rPr>
          <w:rFonts w:hint="eastAsia" w:ascii="仿宋_GB2312" w:hAnsi="宋体" w:eastAsia="仿宋_GB2312"/>
          <w:sz w:val="28"/>
          <w:szCs w:val="28"/>
        </w:rPr>
        <w:t>、南山村</w:t>
      </w:r>
      <w:r>
        <w:rPr>
          <w:rFonts w:ascii="仿宋_GB2312" w:hAnsi="宋体" w:eastAsia="仿宋_GB2312"/>
          <w:sz w:val="28"/>
          <w:szCs w:val="28"/>
        </w:rPr>
        <w:t>9.99公顷</w:t>
      </w:r>
      <w:r>
        <w:rPr>
          <w:rFonts w:hint="eastAsia" w:ascii="仿宋_GB2312" w:hAnsi="宋体" w:eastAsia="仿宋_GB2312"/>
          <w:sz w:val="28"/>
          <w:szCs w:val="28"/>
        </w:rPr>
        <w:t>、白房子村</w:t>
      </w:r>
      <w:r>
        <w:rPr>
          <w:rFonts w:ascii="仿宋_GB2312" w:hAnsi="宋体" w:eastAsia="仿宋_GB2312"/>
          <w:sz w:val="28"/>
          <w:szCs w:val="28"/>
        </w:rPr>
        <w:t>7.19公顷</w:t>
      </w:r>
      <w:r>
        <w:rPr>
          <w:rFonts w:hint="eastAsia" w:ascii="仿宋_GB2312" w:hAnsi="宋体" w:eastAsia="仿宋_GB2312"/>
          <w:sz w:val="28"/>
          <w:szCs w:val="28"/>
        </w:rPr>
        <w:t>、莲池村</w:t>
      </w:r>
      <w:r>
        <w:rPr>
          <w:rFonts w:ascii="仿宋_GB2312" w:hAnsi="宋体" w:eastAsia="仿宋_GB2312"/>
          <w:sz w:val="28"/>
          <w:szCs w:val="28"/>
        </w:rPr>
        <w:t>7.27公顷</w:t>
      </w:r>
      <w:r>
        <w:rPr>
          <w:rFonts w:hint="eastAsia" w:ascii="仿宋_GB2312" w:hAnsi="宋体" w:eastAsia="仿宋_GB2312"/>
          <w:sz w:val="28"/>
          <w:szCs w:val="28"/>
        </w:rPr>
        <w:t>、楼房山村</w:t>
      </w:r>
      <w:r>
        <w:rPr>
          <w:rFonts w:ascii="仿宋_GB2312" w:hAnsi="宋体" w:eastAsia="仿宋_GB2312"/>
          <w:sz w:val="28"/>
          <w:szCs w:val="28"/>
        </w:rPr>
        <w:t>20.95公顷</w:t>
      </w:r>
      <w:r>
        <w:rPr>
          <w:rFonts w:hint="eastAsia" w:ascii="仿宋_GB2312" w:hAnsi="宋体" w:eastAsia="仿宋_GB2312"/>
          <w:sz w:val="28"/>
          <w:szCs w:val="28"/>
        </w:rPr>
        <w:t>、沙坝河村</w:t>
      </w:r>
      <w:r>
        <w:rPr>
          <w:rFonts w:ascii="仿宋_GB2312" w:hAnsi="宋体" w:eastAsia="仿宋_GB2312"/>
          <w:sz w:val="28"/>
          <w:szCs w:val="28"/>
        </w:rPr>
        <w:t>26.87公顷</w:t>
      </w:r>
      <w:r>
        <w:rPr>
          <w:rFonts w:hint="eastAsia" w:ascii="仿宋_GB2312" w:hAnsi="宋体" w:eastAsia="仿宋_GB2312"/>
          <w:sz w:val="28"/>
          <w:szCs w:val="28"/>
        </w:rPr>
        <w:t>、美丽村</w:t>
      </w:r>
      <w:r>
        <w:rPr>
          <w:rFonts w:ascii="仿宋_GB2312" w:hAnsi="宋体" w:eastAsia="仿宋_GB2312"/>
          <w:sz w:val="28"/>
          <w:szCs w:val="28"/>
        </w:rPr>
        <w:t>12.50公顷</w:t>
      </w:r>
      <w:r>
        <w:rPr>
          <w:rFonts w:hint="eastAsia" w:ascii="仿宋_GB2312" w:hAnsi="宋体" w:eastAsia="仿宋_GB2312"/>
          <w:sz w:val="28"/>
          <w:szCs w:val="28"/>
        </w:rPr>
        <w:t>、马儿石村</w:t>
      </w:r>
      <w:r>
        <w:rPr>
          <w:rFonts w:ascii="仿宋_GB2312" w:hAnsi="宋体" w:eastAsia="仿宋_GB2312"/>
          <w:sz w:val="28"/>
          <w:szCs w:val="28"/>
        </w:rPr>
        <w:t>13.71公顷</w:t>
      </w:r>
      <w:r>
        <w:rPr>
          <w:rFonts w:hint="eastAsia" w:ascii="仿宋_GB2312" w:hAnsi="宋体" w:eastAsia="仿宋_GB2312"/>
          <w:sz w:val="28"/>
          <w:szCs w:val="28"/>
        </w:rPr>
        <w:t>、张坳口村</w:t>
      </w:r>
      <w:r>
        <w:rPr>
          <w:rFonts w:ascii="仿宋_GB2312" w:hAnsi="宋体" w:eastAsia="仿宋_GB2312"/>
          <w:sz w:val="28"/>
          <w:szCs w:val="28"/>
        </w:rPr>
        <w:t>26.93公顷</w:t>
      </w:r>
      <w:r>
        <w:rPr>
          <w:rFonts w:hint="eastAsia" w:ascii="仿宋_GB2312" w:hAnsi="宋体" w:eastAsia="仿宋_GB2312"/>
          <w:sz w:val="28"/>
          <w:szCs w:val="28"/>
        </w:rPr>
        <w:t>、大桥村</w:t>
      </w:r>
      <w:r>
        <w:rPr>
          <w:rFonts w:ascii="仿宋_GB2312" w:hAnsi="宋体" w:eastAsia="仿宋_GB2312"/>
          <w:sz w:val="28"/>
          <w:szCs w:val="28"/>
        </w:rPr>
        <w:t>29.92公顷</w:t>
      </w:r>
      <w:r>
        <w:rPr>
          <w:rFonts w:hint="eastAsia" w:ascii="仿宋_GB2312" w:hAnsi="宋体" w:eastAsia="仿宋_GB2312"/>
          <w:sz w:val="28"/>
          <w:szCs w:val="28"/>
        </w:rPr>
        <w:t>。</w:t>
      </w:r>
    </w:p>
    <w:p>
      <w:pPr>
        <w:pStyle w:val="3"/>
      </w:pPr>
      <w:bookmarkStart w:id="33" w:name="_Toc486428858"/>
      <w:r>
        <w:rPr>
          <w:rFonts w:hint="eastAsia"/>
        </w:rPr>
        <w:t>（二）建设用地结构和布局调整</w:t>
      </w:r>
      <w:bookmarkEnd w:id="33"/>
    </w:p>
    <w:p>
      <w:pPr>
        <w:ind w:firstLine="560" w:firstLineChars="200"/>
        <w:rPr>
          <w:rFonts w:ascii="仿宋_GB2312" w:hAnsi="宋体" w:eastAsia="仿宋_GB2312"/>
          <w:sz w:val="28"/>
          <w:szCs w:val="28"/>
        </w:rPr>
      </w:pPr>
      <w:bookmarkStart w:id="34" w:name="_Hlk486338737"/>
      <w:r>
        <w:rPr>
          <w:rFonts w:hint="eastAsia" w:ascii="仿宋_GB2312" w:hAnsi="宋体" w:eastAsia="仿宋_GB2312"/>
          <w:sz w:val="28"/>
          <w:szCs w:val="28"/>
        </w:rPr>
        <w:t>规划</w:t>
      </w:r>
      <w:bookmarkEnd w:id="34"/>
      <w:r>
        <w:rPr>
          <w:rFonts w:hint="eastAsia" w:ascii="仿宋_GB2312" w:hAnsi="宋体" w:eastAsia="仿宋_GB2312"/>
          <w:sz w:val="28"/>
          <w:szCs w:val="28"/>
        </w:rPr>
        <w:t>调整完善后石麟镇2</w:t>
      </w:r>
      <w:r>
        <w:rPr>
          <w:rFonts w:ascii="仿宋_GB2312" w:hAnsi="宋体" w:eastAsia="仿宋_GB2312"/>
          <w:sz w:val="28"/>
          <w:szCs w:val="28"/>
        </w:rPr>
        <w:t>020</w:t>
      </w:r>
      <w:r>
        <w:rPr>
          <w:rFonts w:hint="eastAsia" w:ascii="仿宋_GB2312" w:hAnsi="宋体" w:eastAsia="仿宋_GB2312"/>
          <w:sz w:val="28"/>
          <w:szCs w:val="28"/>
        </w:rPr>
        <w:t>年建设用地总规模为</w:t>
      </w:r>
      <w:r>
        <w:rPr>
          <w:rFonts w:ascii="仿宋_GB2312" w:hAnsi="宋体" w:eastAsia="仿宋_GB2312"/>
          <w:sz w:val="28"/>
          <w:szCs w:val="28"/>
        </w:rPr>
        <w:t>488.49</w:t>
      </w:r>
      <w:r>
        <w:rPr>
          <w:rFonts w:ascii="仿宋_GB2312" w:hAnsi="宋体" w:eastAsia="仿宋_GB2312"/>
          <w:sz w:val="28"/>
          <w:szCs w:val="28"/>
        </w:rPr>
        <w:tab/>
      </w:r>
      <w:r>
        <w:rPr>
          <w:rFonts w:hint="eastAsia" w:ascii="仿宋_GB2312" w:hAnsi="宋体" w:eastAsia="仿宋_GB2312"/>
          <w:sz w:val="28"/>
          <w:szCs w:val="28"/>
        </w:rPr>
        <w:t>公顷，占全镇土地总面积的比例为</w:t>
      </w:r>
      <w:r>
        <w:rPr>
          <w:rFonts w:ascii="仿宋_GB2312" w:hAnsi="宋体" w:eastAsia="仿宋_GB2312"/>
          <w:sz w:val="28"/>
          <w:szCs w:val="28"/>
        </w:rPr>
        <w:t>6.32%</w:t>
      </w:r>
      <w:r>
        <w:rPr>
          <w:rFonts w:hint="eastAsia" w:ascii="仿宋_GB2312" w:hAnsi="宋体" w:eastAsia="仿宋_GB2312"/>
          <w:sz w:val="28"/>
          <w:szCs w:val="28"/>
        </w:rPr>
        <w:t>。其中城镇建设用地</w:t>
      </w:r>
      <w:r>
        <w:rPr>
          <w:rFonts w:ascii="仿宋_GB2312" w:hAnsi="宋体" w:eastAsia="仿宋_GB2312"/>
          <w:sz w:val="28"/>
          <w:szCs w:val="28"/>
        </w:rPr>
        <w:t>39.01</w:t>
      </w:r>
      <w:r>
        <w:rPr>
          <w:rFonts w:hint="eastAsia" w:ascii="仿宋_GB2312" w:hAnsi="宋体" w:eastAsia="仿宋_GB2312"/>
          <w:sz w:val="28"/>
          <w:szCs w:val="28"/>
        </w:rPr>
        <w:t>公顷，占建设用地总面积的比例为</w:t>
      </w:r>
      <w:r>
        <w:rPr>
          <w:rFonts w:ascii="仿宋_GB2312" w:hAnsi="宋体" w:eastAsia="仿宋_GB2312"/>
          <w:sz w:val="28"/>
          <w:szCs w:val="28"/>
        </w:rPr>
        <w:t>7.99%</w:t>
      </w:r>
      <w:r>
        <w:rPr>
          <w:rFonts w:hint="eastAsia" w:ascii="仿宋_GB2312" w:hAnsi="宋体" w:eastAsia="仿宋_GB2312"/>
          <w:sz w:val="28"/>
          <w:szCs w:val="28"/>
        </w:rPr>
        <w:t>；农村居民点</w:t>
      </w:r>
      <w:r>
        <w:rPr>
          <w:rFonts w:ascii="仿宋_GB2312" w:hAnsi="宋体" w:eastAsia="仿宋_GB2312"/>
          <w:sz w:val="28"/>
          <w:szCs w:val="28"/>
        </w:rPr>
        <w:t>382.49</w:t>
      </w:r>
      <w:r>
        <w:rPr>
          <w:rFonts w:hint="eastAsia" w:ascii="仿宋_GB2312" w:hAnsi="宋体" w:eastAsia="仿宋_GB2312"/>
          <w:sz w:val="28"/>
          <w:szCs w:val="28"/>
        </w:rPr>
        <w:t>公顷，占建设用地总规模的比例为</w:t>
      </w:r>
      <w:r>
        <w:rPr>
          <w:rFonts w:ascii="仿宋_GB2312" w:hAnsi="宋体" w:eastAsia="仿宋_GB2312"/>
          <w:sz w:val="28"/>
          <w:szCs w:val="28"/>
        </w:rPr>
        <w:t>78.3%</w:t>
      </w:r>
      <w:r>
        <w:rPr>
          <w:rFonts w:hint="eastAsia" w:ascii="仿宋_GB2312" w:hAnsi="宋体" w:eastAsia="仿宋_GB2312"/>
          <w:sz w:val="28"/>
          <w:szCs w:val="28"/>
        </w:rPr>
        <w:t>；采矿用地为</w:t>
      </w:r>
      <w:r>
        <w:rPr>
          <w:rFonts w:ascii="仿宋_GB2312" w:hAnsi="宋体" w:eastAsia="仿宋_GB2312"/>
          <w:sz w:val="28"/>
          <w:szCs w:val="28"/>
        </w:rPr>
        <w:t>43.72</w:t>
      </w:r>
      <w:r>
        <w:rPr>
          <w:rFonts w:hint="eastAsia" w:ascii="仿宋_GB2312" w:hAnsi="宋体" w:eastAsia="仿宋_GB2312"/>
          <w:sz w:val="28"/>
          <w:szCs w:val="28"/>
        </w:rPr>
        <w:t>公顷，占建设用地总规模的比例为</w:t>
      </w:r>
      <w:r>
        <w:rPr>
          <w:rFonts w:ascii="仿宋_GB2312" w:hAnsi="宋体" w:eastAsia="仿宋_GB2312"/>
          <w:sz w:val="28"/>
          <w:szCs w:val="28"/>
        </w:rPr>
        <w:t>8.95%</w:t>
      </w:r>
      <w:r>
        <w:rPr>
          <w:rFonts w:hint="eastAsia" w:ascii="仿宋_GB2312" w:hAnsi="宋体" w:eastAsia="仿宋_GB2312"/>
          <w:sz w:val="28"/>
          <w:szCs w:val="28"/>
        </w:rPr>
        <w:t>；交通水利用地为</w:t>
      </w:r>
      <w:r>
        <w:rPr>
          <w:rFonts w:ascii="仿宋_GB2312" w:hAnsi="宋体" w:eastAsia="仿宋_GB2312"/>
          <w:sz w:val="28"/>
          <w:szCs w:val="28"/>
        </w:rPr>
        <w:t>23.27</w:t>
      </w:r>
      <w:r>
        <w:rPr>
          <w:rFonts w:hint="eastAsia" w:ascii="仿宋_GB2312" w:hAnsi="宋体" w:eastAsia="仿宋_GB2312"/>
          <w:sz w:val="28"/>
          <w:szCs w:val="28"/>
        </w:rPr>
        <w:t>公顷，占建设用地总规模的比例为</w:t>
      </w:r>
      <w:r>
        <w:rPr>
          <w:rFonts w:ascii="仿宋_GB2312" w:hAnsi="宋体" w:eastAsia="仿宋_GB2312"/>
          <w:sz w:val="28"/>
          <w:szCs w:val="28"/>
        </w:rPr>
        <w:t>4.76%</w:t>
      </w:r>
      <w:r>
        <w:rPr>
          <w:rFonts w:hint="eastAsia" w:ascii="仿宋_GB2312" w:hAnsi="宋体" w:eastAsia="仿宋_GB2312"/>
          <w:sz w:val="28"/>
          <w:szCs w:val="28"/>
        </w:rPr>
        <w:t>；其他建设用地为0.00公顷，占建设用地总规模的比例为0.00%。</w:t>
      </w:r>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规划调整完善后全镇城镇建设用地主要分布在方嘴村</w:t>
      </w:r>
      <w:r>
        <w:rPr>
          <w:rFonts w:ascii="仿宋_GB2312" w:hAnsi="宋体" w:eastAsia="仿宋_GB2312"/>
          <w:sz w:val="28"/>
          <w:szCs w:val="28"/>
        </w:rPr>
        <w:t>33.11公顷</w:t>
      </w:r>
      <w:r>
        <w:rPr>
          <w:rFonts w:hint="eastAsia" w:ascii="仿宋_GB2312" w:hAnsi="宋体" w:eastAsia="仿宋_GB2312"/>
          <w:sz w:val="28"/>
          <w:szCs w:val="28"/>
        </w:rPr>
        <w:t>、南山村</w:t>
      </w:r>
      <w:r>
        <w:rPr>
          <w:rFonts w:ascii="仿宋_GB2312" w:hAnsi="宋体" w:eastAsia="仿宋_GB2312"/>
          <w:sz w:val="28"/>
          <w:szCs w:val="28"/>
        </w:rPr>
        <w:t>0.42公顷</w:t>
      </w:r>
      <w:r>
        <w:rPr>
          <w:rFonts w:hint="eastAsia" w:ascii="仿宋_GB2312" w:hAnsi="宋体" w:eastAsia="仿宋_GB2312"/>
          <w:sz w:val="28"/>
          <w:szCs w:val="28"/>
        </w:rPr>
        <w:t>、莲池村</w:t>
      </w:r>
      <w:r>
        <w:rPr>
          <w:rFonts w:ascii="仿宋_GB2312" w:hAnsi="宋体" w:eastAsia="仿宋_GB2312"/>
          <w:sz w:val="28"/>
          <w:szCs w:val="28"/>
        </w:rPr>
        <w:t>3.89公顷</w:t>
      </w:r>
      <w:r>
        <w:rPr>
          <w:rFonts w:hint="eastAsia" w:ascii="仿宋_GB2312" w:hAnsi="宋体" w:eastAsia="仿宋_GB2312"/>
          <w:sz w:val="28"/>
          <w:szCs w:val="28"/>
        </w:rPr>
        <w:t>、大桥村</w:t>
      </w:r>
      <w:r>
        <w:rPr>
          <w:rFonts w:ascii="仿宋_GB2312" w:hAnsi="宋体" w:eastAsia="仿宋_GB2312"/>
          <w:sz w:val="28"/>
          <w:szCs w:val="28"/>
        </w:rPr>
        <w:t>1.59公顷</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规划调整完善后全镇农村居民点用地主要分布在方嘴村</w:t>
      </w:r>
      <w:r>
        <w:rPr>
          <w:rFonts w:ascii="仿宋_GB2312" w:hAnsi="宋体" w:eastAsia="仿宋_GB2312"/>
          <w:sz w:val="28"/>
          <w:szCs w:val="28"/>
        </w:rPr>
        <w:t>30.70公顷</w:t>
      </w:r>
      <w:r>
        <w:rPr>
          <w:rFonts w:hint="eastAsia" w:ascii="仿宋_GB2312" w:hAnsi="宋体" w:eastAsia="仿宋_GB2312"/>
          <w:sz w:val="28"/>
          <w:szCs w:val="28"/>
        </w:rPr>
        <w:t>、兴无村</w:t>
      </w:r>
      <w:r>
        <w:rPr>
          <w:rFonts w:ascii="仿宋_GB2312" w:hAnsi="宋体" w:eastAsia="仿宋_GB2312"/>
          <w:sz w:val="28"/>
          <w:szCs w:val="28"/>
        </w:rPr>
        <w:t>24.05公顷</w:t>
      </w:r>
      <w:r>
        <w:rPr>
          <w:rFonts w:hint="eastAsia" w:ascii="仿宋_GB2312" w:hAnsi="宋体" w:eastAsia="仿宋_GB2312"/>
          <w:sz w:val="28"/>
          <w:szCs w:val="28"/>
        </w:rPr>
        <w:t>、杨林坳村</w:t>
      </w:r>
      <w:r>
        <w:rPr>
          <w:rFonts w:ascii="仿宋_GB2312" w:hAnsi="宋体" w:eastAsia="仿宋_GB2312"/>
          <w:sz w:val="28"/>
          <w:szCs w:val="28"/>
        </w:rPr>
        <w:t>25.50公顷</w:t>
      </w:r>
      <w:r>
        <w:rPr>
          <w:rFonts w:hint="eastAsia" w:ascii="仿宋_GB2312" w:hAnsi="宋体" w:eastAsia="仿宋_GB2312"/>
          <w:sz w:val="28"/>
          <w:szCs w:val="28"/>
        </w:rPr>
        <w:t>、阳光村</w:t>
      </w:r>
      <w:r>
        <w:rPr>
          <w:rFonts w:ascii="仿宋_GB2312" w:hAnsi="宋体" w:eastAsia="仿宋_GB2312"/>
          <w:sz w:val="28"/>
          <w:szCs w:val="28"/>
        </w:rPr>
        <w:t>26.74公顷</w:t>
      </w:r>
      <w:r>
        <w:rPr>
          <w:rFonts w:hint="eastAsia" w:ascii="仿宋_GB2312" w:hAnsi="宋体" w:eastAsia="仿宋_GB2312"/>
          <w:sz w:val="28"/>
          <w:szCs w:val="28"/>
        </w:rPr>
        <w:t>、共同村</w:t>
      </w:r>
      <w:r>
        <w:rPr>
          <w:rFonts w:ascii="仿宋_GB2312" w:hAnsi="宋体" w:eastAsia="仿宋_GB2312"/>
          <w:sz w:val="28"/>
          <w:szCs w:val="28"/>
        </w:rPr>
        <w:t>26.02公顷</w:t>
      </w:r>
      <w:r>
        <w:rPr>
          <w:rFonts w:hint="eastAsia" w:ascii="仿宋_GB2312" w:hAnsi="宋体" w:eastAsia="仿宋_GB2312"/>
          <w:sz w:val="28"/>
          <w:szCs w:val="28"/>
        </w:rPr>
        <w:t>、水保源村</w:t>
      </w:r>
      <w:r>
        <w:rPr>
          <w:rFonts w:ascii="仿宋_GB2312" w:hAnsi="宋体" w:eastAsia="仿宋_GB2312"/>
          <w:sz w:val="28"/>
          <w:szCs w:val="28"/>
        </w:rPr>
        <w:t>17.64公顷</w:t>
      </w:r>
      <w:r>
        <w:rPr>
          <w:rFonts w:hint="eastAsia" w:ascii="仿宋_GB2312" w:hAnsi="宋体" w:eastAsia="仿宋_GB2312"/>
          <w:sz w:val="28"/>
          <w:szCs w:val="28"/>
        </w:rPr>
        <w:t>、许店儿村</w:t>
      </w:r>
      <w:r>
        <w:rPr>
          <w:rFonts w:ascii="仿宋_GB2312" w:hAnsi="宋体" w:eastAsia="仿宋_GB2312"/>
          <w:sz w:val="28"/>
          <w:szCs w:val="28"/>
        </w:rPr>
        <w:t>20.21公顷</w:t>
      </w:r>
      <w:r>
        <w:rPr>
          <w:rFonts w:hint="eastAsia" w:ascii="仿宋_GB2312" w:hAnsi="宋体" w:eastAsia="仿宋_GB2312"/>
          <w:sz w:val="28"/>
          <w:szCs w:val="28"/>
        </w:rPr>
        <w:t>、碗厂村</w:t>
      </w:r>
      <w:r>
        <w:rPr>
          <w:rFonts w:ascii="仿宋_GB2312" w:hAnsi="宋体" w:eastAsia="仿宋_GB2312"/>
          <w:sz w:val="28"/>
          <w:szCs w:val="28"/>
        </w:rPr>
        <w:t>21.98公顷</w:t>
      </w:r>
      <w:r>
        <w:rPr>
          <w:rFonts w:hint="eastAsia" w:ascii="仿宋_GB2312" w:hAnsi="宋体" w:eastAsia="仿宋_GB2312"/>
          <w:sz w:val="28"/>
          <w:szCs w:val="28"/>
        </w:rPr>
        <w:t>、程河沟村</w:t>
      </w:r>
      <w:r>
        <w:rPr>
          <w:rFonts w:ascii="仿宋_GB2312" w:hAnsi="宋体" w:eastAsia="仿宋_GB2312"/>
          <w:sz w:val="28"/>
          <w:szCs w:val="28"/>
        </w:rPr>
        <w:t>12.62公顷</w:t>
      </w:r>
      <w:r>
        <w:rPr>
          <w:rFonts w:hint="eastAsia" w:ascii="仿宋_GB2312" w:hAnsi="宋体" w:eastAsia="仿宋_GB2312"/>
          <w:sz w:val="28"/>
          <w:szCs w:val="28"/>
        </w:rPr>
        <w:t>、飞来村</w:t>
      </w:r>
      <w:r>
        <w:rPr>
          <w:rFonts w:ascii="仿宋_GB2312" w:hAnsi="宋体" w:eastAsia="仿宋_GB2312"/>
          <w:sz w:val="28"/>
          <w:szCs w:val="28"/>
        </w:rPr>
        <w:t>11.46公顷</w:t>
      </w:r>
      <w:r>
        <w:rPr>
          <w:rFonts w:hint="eastAsia" w:ascii="仿宋_GB2312" w:hAnsi="宋体" w:eastAsia="仿宋_GB2312"/>
          <w:sz w:val="28"/>
          <w:szCs w:val="28"/>
        </w:rPr>
        <w:t>、南山村</w:t>
      </w:r>
      <w:r>
        <w:rPr>
          <w:rFonts w:ascii="仿宋_GB2312" w:hAnsi="宋体" w:eastAsia="仿宋_GB2312"/>
          <w:sz w:val="28"/>
          <w:szCs w:val="28"/>
        </w:rPr>
        <w:t>14.54公顷</w:t>
      </w:r>
      <w:r>
        <w:rPr>
          <w:rFonts w:hint="eastAsia" w:ascii="仿宋_GB2312" w:hAnsi="宋体" w:eastAsia="仿宋_GB2312"/>
          <w:sz w:val="28"/>
          <w:szCs w:val="28"/>
        </w:rPr>
        <w:t>、白房子村</w:t>
      </w:r>
      <w:r>
        <w:rPr>
          <w:rFonts w:ascii="仿宋_GB2312" w:hAnsi="宋体" w:eastAsia="仿宋_GB2312"/>
          <w:sz w:val="28"/>
          <w:szCs w:val="28"/>
        </w:rPr>
        <w:t>8.82公顷</w:t>
      </w:r>
      <w:r>
        <w:rPr>
          <w:rFonts w:hint="eastAsia" w:ascii="仿宋_GB2312" w:hAnsi="宋体" w:eastAsia="仿宋_GB2312"/>
          <w:sz w:val="28"/>
          <w:szCs w:val="28"/>
        </w:rPr>
        <w:t>、莲池村</w:t>
      </w:r>
      <w:r>
        <w:rPr>
          <w:rFonts w:ascii="仿宋_GB2312" w:hAnsi="宋体" w:eastAsia="仿宋_GB2312"/>
          <w:sz w:val="28"/>
          <w:szCs w:val="28"/>
        </w:rPr>
        <w:t>20.37公顷</w:t>
      </w:r>
      <w:r>
        <w:rPr>
          <w:rFonts w:hint="eastAsia" w:ascii="仿宋_GB2312" w:hAnsi="宋体" w:eastAsia="仿宋_GB2312"/>
          <w:sz w:val="28"/>
          <w:szCs w:val="28"/>
        </w:rPr>
        <w:t>、楼房山村</w:t>
      </w:r>
      <w:r>
        <w:rPr>
          <w:rFonts w:ascii="仿宋_GB2312" w:hAnsi="宋体" w:eastAsia="仿宋_GB2312"/>
          <w:sz w:val="28"/>
          <w:szCs w:val="28"/>
        </w:rPr>
        <w:t>25.34公顷</w:t>
      </w:r>
      <w:r>
        <w:rPr>
          <w:rFonts w:hint="eastAsia" w:ascii="仿宋_GB2312" w:hAnsi="宋体" w:eastAsia="仿宋_GB2312"/>
          <w:sz w:val="28"/>
          <w:szCs w:val="28"/>
        </w:rPr>
        <w:t>、沙坝河村</w:t>
      </w:r>
      <w:r>
        <w:rPr>
          <w:rFonts w:ascii="仿宋_GB2312" w:hAnsi="宋体" w:eastAsia="仿宋_GB2312"/>
          <w:sz w:val="28"/>
          <w:szCs w:val="28"/>
        </w:rPr>
        <w:t>20.51公顷</w:t>
      </w:r>
      <w:r>
        <w:rPr>
          <w:rFonts w:hint="eastAsia" w:ascii="仿宋_GB2312" w:hAnsi="宋体" w:eastAsia="仿宋_GB2312"/>
          <w:sz w:val="28"/>
          <w:szCs w:val="28"/>
        </w:rPr>
        <w:t>、美丽村</w:t>
      </w:r>
      <w:r>
        <w:rPr>
          <w:rFonts w:ascii="仿宋_GB2312" w:hAnsi="宋体" w:eastAsia="仿宋_GB2312"/>
          <w:sz w:val="28"/>
          <w:szCs w:val="28"/>
        </w:rPr>
        <w:t>8.86公顷</w:t>
      </w:r>
      <w:r>
        <w:rPr>
          <w:rFonts w:hint="eastAsia" w:ascii="仿宋_GB2312" w:hAnsi="宋体" w:eastAsia="仿宋_GB2312"/>
          <w:sz w:val="28"/>
          <w:szCs w:val="28"/>
        </w:rPr>
        <w:t>、马儿石村</w:t>
      </w:r>
      <w:r>
        <w:rPr>
          <w:rFonts w:ascii="仿宋_GB2312" w:hAnsi="宋体" w:eastAsia="仿宋_GB2312"/>
          <w:sz w:val="28"/>
          <w:szCs w:val="28"/>
        </w:rPr>
        <w:t>17.19公顷</w:t>
      </w:r>
      <w:r>
        <w:rPr>
          <w:rFonts w:hint="eastAsia" w:ascii="仿宋_GB2312" w:hAnsi="宋体" w:eastAsia="仿宋_GB2312"/>
          <w:sz w:val="28"/>
          <w:szCs w:val="28"/>
        </w:rPr>
        <w:t>、张坳口村</w:t>
      </w:r>
      <w:r>
        <w:rPr>
          <w:rFonts w:ascii="仿宋_GB2312" w:hAnsi="宋体" w:eastAsia="仿宋_GB2312"/>
          <w:sz w:val="28"/>
          <w:szCs w:val="28"/>
        </w:rPr>
        <w:t>22.32公顷</w:t>
      </w:r>
      <w:r>
        <w:rPr>
          <w:rFonts w:hint="eastAsia" w:ascii="仿宋_GB2312" w:hAnsi="宋体" w:eastAsia="仿宋_GB2312"/>
          <w:sz w:val="28"/>
          <w:szCs w:val="28"/>
        </w:rPr>
        <w:t>、大桥村</w:t>
      </w:r>
      <w:r>
        <w:rPr>
          <w:rFonts w:ascii="仿宋_GB2312" w:hAnsi="宋体" w:eastAsia="仿宋_GB2312"/>
          <w:sz w:val="28"/>
          <w:szCs w:val="28"/>
        </w:rPr>
        <w:t>27.62公顷</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规划调整完善后全镇采矿用地主要分布情况为方嘴村</w:t>
      </w:r>
      <w:r>
        <w:rPr>
          <w:rFonts w:ascii="仿宋_GB2312" w:hAnsi="宋体" w:eastAsia="仿宋_GB2312"/>
          <w:sz w:val="28"/>
          <w:szCs w:val="28"/>
        </w:rPr>
        <w:t>14.43公顷</w:t>
      </w:r>
      <w:r>
        <w:rPr>
          <w:rFonts w:hint="eastAsia" w:ascii="仿宋_GB2312" w:hAnsi="宋体" w:eastAsia="仿宋_GB2312"/>
          <w:sz w:val="28"/>
          <w:szCs w:val="28"/>
        </w:rPr>
        <w:t>、兴无村</w:t>
      </w:r>
      <w:r>
        <w:rPr>
          <w:rFonts w:ascii="仿宋_GB2312" w:hAnsi="宋体" w:eastAsia="仿宋_GB2312"/>
          <w:sz w:val="28"/>
          <w:szCs w:val="28"/>
        </w:rPr>
        <w:t>4.42公顷</w:t>
      </w:r>
      <w:r>
        <w:rPr>
          <w:rFonts w:hint="eastAsia" w:ascii="仿宋_GB2312" w:hAnsi="宋体" w:eastAsia="仿宋_GB2312"/>
          <w:sz w:val="28"/>
          <w:szCs w:val="28"/>
        </w:rPr>
        <w:t>、碗厂村0.74</w:t>
      </w:r>
      <w:r>
        <w:rPr>
          <w:rFonts w:ascii="仿宋_GB2312" w:hAnsi="宋体" w:eastAsia="仿宋_GB2312"/>
          <w:sz w:val="28"/>
          <w:szCs w:val="28"/>
        </w:rPr>
        <w:t>公顷</w:t>
      </w:r>
      <w:r>
        <w:rPr>
          <w:rFonts w:hint="eastAsia" w:ascii="仿宋_GB2312" w:hAnsi="宋体" w:eastAsia="仿宋_GB2312"/>
          <w:sz w:val="28"/>
          <w:szCs w:val="28"/>
        </w:rPr>
        <w:t>、南山村</w:t>
      </w:r>
      <w:r>
        <w:rPr>
          <w:rFonts w:ascii="仿宋_GB2312" w:hAnsi="宋体" w:eastAsia="仿宋_GB2312"/>
          <w:sz w:val="28"/>
          <w:szCs w:val="28"/>
        </w:rPr>
        <w:t>1.92公顷</w:t>
      </w:r>
      <w:r>
        <w:rPr>
          <w:rFonts w:hint="eastAsia" w:ascii="仿宋_GB2312" w:hAnsi="宋体" w:eastAsia="仿宋_GB2312"/>
          <w:sz w:val="28"/>
          <w:szCs w:val="28"/>
        </w:rPr>
        <w:t>、白房子村</w:t>
      </w:r>
      <w:r>
        <w:rPr>
          <w:rFonts w:ascii="仿宋_GB2312" w:hAnsi="宋体" w:eastAsia="仿宋_GB2312"/>
          <w:sz w:val="28"/>
          <w:szCs w:val="28"/>
        </w:rPr>
        <w:t>2.55公顷</w:t>
      </w:r>
      <w:r>
        <w:rPr>
          <w:rFonts w:hint="eastAsia" w:ascii="仿宋_GB2312" w:hAnsi="宋体" w:eastAsia="仿宋_GB2312"/>
          <w:sz w:val="28"/>
          <w:szCs w:val="28"/>
        </w:rPr>
        <w:t>、莲池村</w:t>
      </w:r>
      <w:r>
        <w:rPr>
          <w:rFonts w:ascii="仿宋_GB2312" w:hAnsi="宋体" w:eastAsia="仿宋_GB2312"/>
          <w:sz w:val="28"/>
          <w:szCs w:val="28"/>
        </w:rPr>
        <w:t>1.92公顷</w:t>
      </w:r>
      <w:r>
        <w:rPr>
          <w:rFonts w:hint="eastAsia" w:ascii="仿宋_GB2312" w:hAnsi="宋体" w:eastAsia="仿宋_GB2312"/>
          <w:sz w:val="28"/>
          <w:szCs w:val="28"/>
        </w:rPr>
        <w:t>、楼房山村</w:t>
      </w:r>
      <w:r>
        <w:rPr>
          <w:rFonts w:ascii="仿宋_GB2312" w:hAnsi="宋体" w:eastAsia="仿宋_GB2312"/>
          <w:sz w:val="28"/>
          <w:szCs w:val="28"/>
        </w:rPr>
        <w:t>2.54公顷</w:t>
      </w:r>
      <w:r>
        <w:rPr>
          <w:rFonts w:hint="eastAsia" w:ascii="仿宋_GB2312" w:hAnsi="宋体" w:eastAsia="仿宋_GB2312"/>
          <w:sz w:val="28"/>
          <w:szCs w:val="28"/>
        </w:rPr>
        <w:t>、沙坝河村</w:t>
      </w:r>
      <w:r>
        <w:rPr>
          <w:rFonts w:ascii="仿宋_GB2312" w:hAnsi="宋体" w:eastAsia="仿宋_GB2312"/>
          <w:sz w:val="28"/>
          <w:szCs w:val="28"/>
        </w:rPr>
        <w:t>3.82公顷</w:t>
      </w:r>
      <w:r>
        <w:rPr>
          <w:rFonts w:hint="eastAsia" w:ascii="仿宋_GB2312" w:hAnsi="宋体" w:eastAsia="仿宋_GB2312"/>
          <w:sz w:val="28"/>
          <w:szCs w:val="28"/>
        </w:rPr>
        <w:t>、马儿石村</w:t>
      </w:r>
      <w:r>
        <w:rPr>
          <w:rFonts w:ascii="仿宋_GB2312" w:hAnsi="宋体" w:eastAsia="仿宋_GB2312"/>
          <w:sz w:val="28"/>
          <w:szCs w:val="28"/>
        </w:rPr>
        <w:t>9.36公顷</w:t>
      </w:r>
      <w:r>
        <w:rPr>
          <w:rFonts w:hint="eastAsia" w:ascii="仿宋_GB2312" w:hAnsi="宋体" w:eastAsia="仿宋_GB2312"/>
          <w:sz w:val="28"/>
          <w:szCs w:val="28"/>
        </w:rPr>
        <w:t>、张坳口村</w:t>
      </w:r>
      <w:r>
        <w:rPr>
          <w:rFonts w:ascii="仿宋_GB2312" w:hAnsi="宋体" w:eastAsia="仿宋_GB2312"/>
          <w:sz w:val="28"/>
          <w:szCs w:val="28"/>
        </w:rPr>
        <w:tab/>
      </w:r>
      <w:r>
        <w:rPr>
          <w:rFonts w:ascii="仿宋_GB2312" w:hAnsi="宋体" w:eastAsia="仿宋_GB2312"/>
          <w:sz w:val="28"/>
          <w:szCs w:val="28"/>
        </w:rPr>
        <w:t>0.35公顷</w:t>
      </w:r>
      <w:r>
        <w:rPr>
          <w:rFonts w:hint="eastAsia" w:ascii="仿宋_GB2312" w:hAnsi="宋体" w:eastAsia="仿宋_GB2312"/>
          <w:sz w:val="28"/>
          <w:szCs w:val="28"/>
        </w:rPr>
        <w:t>、大桥村</w:t>
      </w:r>
      <w:r>
        <w:rPr>
          <w:rFonts w:ascii="仿宋_GB2312" w:hAnsi="宋体" w:eastAsia="仿宋_GB2312"/>
          <w:sz w:val="28"/>
          <w:szCs w:val="28"/>
        </w:rPr>
        <w:t>1.67公顷</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规划调整完善后全镇交通水利用地主要分布情况为方嘴村</w:t>
      </w:r>
      <w:r>
        <w:rPr>
          <w:rFonts w:ascii="仿宋_GB2312" w:hAnsi="宋体" w:eastAsia="仿宋_GB2312"/>
          <w:sz w:val="28"/>
          <w:szCs w:val="28"/>
        </w:rPr>
        <w:t>2.94公顷</w:t>
      </w:r>
      <w:r>
        <w:rPr>
          <w:rFonts w:hint="eastAsia" w:ascii="仿宋_GB2312" w:hAnsi="宋体" w:eastAsia="仿宋_GB2312"/>
          <w:sz w:val="28"/>
          <w:szCs w:val="28"/>
        </w:rPr>
        <w:t>、兴无村</w:t>
      </w:r>
      <w:r>
        <w:rPr>
          <w:rFonts w:ascii="仿宋_GB2312" w:hAnsi="宋体" w:eastAsia="仿宋_GB2312"/>
          <w:sz w:val="28"/>
          <w:szCs w:val="28"/>
        </w:rPr>
        <w:t>2.20公顷</w:t>
      </w:r>
      <w:r>
        <w:rPr>
          <w:rFonts w:hint="eastAsia" w:ascii="仿宋_GB2312" w:hAnsi="宋体" w:eastAsia="仿宋_GB2312"/>
          <w:sz w:val="28"/>
          <w:szCs w:val="28"/>
        </w:rPr>
        <w:t>、杨林坳村</w:t>
      </w:r>
      <w:r>
        <w:rPr>
          <w:rFonts w:ascii="仿宋_GB2312" w:hAnsi="宋体" w:eastAsia="仿宋_GB2312"/>
          <w:sz w:val="28"/>
          <w:szCs w:val="28"/>
        </w:rPr>
        <w:t>0.45公顷</w:t>
      </w:r>
      <w:r>
        <w:rPr>
          <w:rFonts w:hint="eastAsia" w:ascii="仿宋_GB2312" w:hAnsi="宋体" w:eastAsia="仿宋_GB2312"/>
          <w:sz w:val="28"/>
          <w:szCs w:val="28"/>
        </w:rPr>
        <w:t>、阳光村</w:t>
      </w:r>
      <w:r>
        <w:rPr>
          <w:rFonts w:ascii="仿宋_GB2312" w:hAnsi="宋体" w:eastAsia="仿宋_GB2312"/>
          <w:sz w:val="28"/>
          <w:szCs w:val="28"/>
        </w:rPr>
        <w:t>1.70公顷</w:t>
      </w:r>
      <w:r>
        <w:rPr>
          <w:rFonts w:hint="eastAsia" w:ascii="仿宋_GB2312" w:hAnsi="宋体" w:eastAsia="仿宋_GB2312"/>
          <w:sz w:val="28"/>
          <w:szCs w:val="28"/>
        </w:rPr>
        <w:t>、共同村</w:t>
      </w:r>
      <w:r>
        <w:rPr>
          <w:rFonts w:ascii="仿宋_GB2312" w:hAnsi="宋体" w:eastAsia="仿宋_GB2312"/>
          <w:sz w:val="28"/>
          <w:szCs w:val="28"/>
        </w:rPr>
        <w:t>0.03公顷</w:t>
      </w:r>
      <w:r>
        <w:rPr>
          <w:rFonts w:hint="eastAsia" w:ascii="仿宋_GB2312" w:hAnsi="宋体" w:eastAsia="仿宋_GB2312"/>
          <w:sz w:val="28"/>
          <w:szCs w:val="28"/>
        </w:rPr>
        <w:t>、水保源村</w:t>
      </w:r>
      <w:r>
        <w:rPr>
          <w:rFonts w:ascii="仿宋_GB2312" w:hAnsi="宋体" w:eastAsia="仿宋_GB2312"/>
          <w:sz w:val="28"/>
          <w:szCs w:val="28"/>
        </w:rPr>
        <w:t>2.65公顷</w:t>
      </w:r>
      <w:r>
        <w:rPr>
          <w:rFonts w:hint="eastAsia" w:ascii="仿宋_GB2312" w:hAnsi="宋体" w:eastAsia="仿宋_GB2312"/>
          <w:sz w:val="28"/>
          <w:szCs w:val="28"/>
        </w:rPr>
        <w:t>、程河沟村</w:t>
      </w:r>
      <w:r>
        <w:rPr>
          <w:rFonts w:ascii="仿宋_GB2312" w:hAnsi="宋体" w:eastAsia="仿宋_GB2312"/>
          <w:sz w:val="28"/>
          <w:szCs w:val="28"/>
        </w:rPr>
        <w:t>0.86公顷</w:t>
      </w:r>
      <w:r>
        <w:rPr>
          <w:rFonts w:hint="eastAsia" w:ascii="仿宋_GB2312" w:hAnsi="宋体" w:eastAsia="仿宋_GB2312"/>
          <w:sz w:val="28"/>
          <w:szCs w:val="28"/>
        </w:rPr>
        <w:t>、飞来村</w:t>
      </w:r>
      <w:r>
        <w:rPr>
          <w:rFonts w:ascii="仿宋_GB2312" w:hAnsi="宋体" w:eastAsia="仿宋_GB2312"/>
          <w:sz w:val="28"/>
          <w:szCs w:val="28"/>
        </w:rPr>
        <w:t>0.93公顷</w:t>
      </w:r>
      <w:r>
        <w:rPr>
          <w:rFonts w:hint="eastAsia" w:ascii="仿宋_GB2312" w:hAnsi="宋体" w:eastAsia="仿宋_GB2312"/>
          <w:sz w:val="28"/>
          <w:szCs w:val="28"/>
        </w:rPr>
        <w:t>、南山村</w:t>
      </w:r>
      <w:r>
        <w:rPr>
          <w:rFonts w:ascii="仿宋_GB2312" w:hAnsi="宋体" w:eastAsia="仿宋_GB2312"/>
          <w:sz w:val="28"/>
          <w:szCs w:val="28"/>
        </w:rPr>
        <w:t>0.48公顷</w:t>
      </w:r>
      <w:r>
        <w:rPr>
          <w:rFonts w:hint="eastAsia" w:ascii="仿宋_GB2312" w:hAnsi="宋体" w:eastAsia="仿宋_GB2312"/>
          <w:sz w:val="28"/>
          <w:szCs w:val="28"/>
        </w:rPr>
        <w:t>、莲池村</w:t>
      </w:r>
      <w:r>
        <w:rPr>
          <w:rFonts w:ascii="仿宋_GB2312" w:hAnsi="宋体" w:eastAsia="仿宋_GB2312"/>
          <w:sz w:val="28"/>
          <w:szCs w:val="28"/>
        </w:rPr>
        <w:t>1.91公顷</w:t>
      </w:r>
      <w:r>
        <w:rPr>
          <w:rFonts w:hint="eastAsia" w:ascii="仿宋_GB2312" w:hAnsi="宋体" w:eastAsia="仿宋_GB2312"/>
          <w:sz w:val="28"/>
          <w:szCs w:val="28"/>
        </w:rPr>
        <w:t>、楼房山村</w:t>
      </w:r>
      <w:r>
        <w:rPr>
          <w:rFonts w:ascii="仿宋_GB2312" w:hAnsi="宋体" w:eastAsia="仿宋_GB2312"/>
          <w:sz w:val="28"/>
          <w:szCs w:val="28"/>
        </w:rPr>
        <w:t>1.71公顷</w:t>
      </w:r>
      <w:r>
        <w:rPr>
          <w:rFonts w:hint="eastAsia" w:ascii="仿宋_GB2312" w:hAnsi="宋体" w:eastAsia="仿宋_GB2312"/>
          <w:sz w:val="28"/>
          <w:szCs w:val="28"/>
        </w:rPr>
        <w:t>、美丽村</w:t>
      </w:r>
      <w:r>
        <w:rPr>
          <w:rFonts w:ascii="仿宋_GB2312" w:hAnsi="宋体" w:eastAsia="仿宋_GB2312"/>
          <w:sz w:val="28"/>
          <w:szCs w:val="28"/>
        </w:rPr>
        <w:t>1.38公顷</w:t>
      </w:r>
      <w:r>
        <w:rPr>
          <w:rFonts w:hint="eastAsia" w:ascii="仿宋_GB2312" w:hAnsi="宋体" w:eastAsia="仿宋_GB2312"/>
          <w:sz w:val="28"/>
          <w:szCs w:val="28"/>
        </w:rPr>
        <w:t>、马儿石村</w:t>
      </w:r>
      <w:r>
        <w:rPr>
          <w:rFonts w:ascii="仿宋_GB2312" w:hAnsi="宋体" w:eastAsia="仿宋_GB2312"/>
          <w:sz w:val="28"/>
          <w:szCs w:val="28"/>
        </w:rPr>
        <w:t>2.37公顷</w:t>
      </w:r>
      <w:r>
        <w:rPr>
          <w:rFonts w:hint="eastAsia" w:ascii="仿宋_GB2312" w:hAnsi="宋体" w:eastAsia="仿宋_GB2312"/>
          <w:sz w:val="28"/>
          <w:szCs w:val="28"/>
        </w:rPr>
        <w:t>、大桥村</w:t>
      </w:r>
      <w:r>
        <w:rPr>
          <w:rFonts w:ascii="仿宋_GB2312" w:hAnsi="宋体" w:eastAsia="仿宋_GB2312"/>
          <w:sz w:val="28"/>
          <w:szCs w:val="28"/>
        </w:rPr>
        <w:t>3.66公顷</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其他建设用地与调整完善前规划期末规模及布局保持一致。</w:t>
      </w:r>
    </w:p>
    <w:p>
      <w:pPr>
        <w:pStyle w:val="3"/>
      </w:pPr>
      <w:bookmarkStart w:id="35" w:name="_Toc486428859"/>
      <w:r>
        <w:rPr>
          <w:rFonts w:hint="eastAsia"/>
        </w:rPr>
        <w:t>（三）其他用地结构和布局调整</w:t>
      </w:r>
      <w:bookmarkEnd w:id="35"/>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规划调整完善后石麟镇2</w:t>
      </w:r>
      <w:r>
        <w:rPr>
          <w:rFonts w:ascii="仿宋_GB2312" w:hAnsi="宋体" w:eastAsia="仿宋_GB2312"/>
          <w:sz w:val="28"/>
          <w:szCs w:val="28"/>
        </w:rPr>
        <w:t>020</w:t>
      </w:r>
      <w:r>
        <w:rPr>
          <w:rFonts w:hint="eastAsia" w:ascii="仿宋_GB2312" w:hAnsi="宋体" w:eastAsia="仿宋_GB2312"/>
          <w:sz w:val="28"/>
          <w:szCs w:val="28"/>
        </w:rPr>
        <w:t>年其他用地面积为</w:t>
      </w:r>
      <w:r>
        <w:rPr>
          <w:rFonts w:ascii="仿宋_GB2312" w:hAnsi="宋体" w:eastAsia="仿宋_GB2312"/>
          <w:sz w:val="28"/>
          <w:szCs w:val="28"/>
        </w:rPr>
        <w:t>132.21</w:t>
      </w:r>
      <w:r>
        <w:rPr>
          <w:rFonts w:hint="eastAsia" w:ascii="仿宋_GB2312" w:hAnsi="宋体" w:eastAsia="仿宋_GB2312"/>
          <w:sz w:val="28"/>
          <w:szCs w:val="28"/>
        </w:rPr>
        <w:t>公顷，占全镇土地总面积的比例为</w:t>
      </w:r>
      <w:r>
        <w:rPr>
          <w:rFonts w:ascii="仿宋_GB2312" w:hAnsi="宋体" w:eastAsia="仿宋_GB2312"/>
          <w:sz w:val="28"/>
          <w:szCs w:val="28"/>
        </w:rPr>
        <w:t>1.71%%</w:t>
      </w:r>
      <w:r>
        <w:rPr>
          <w:rFonts w:hint="eastAsia" w:ascii="仿宋_GB2312" w:hAnsi="宋体" w:eastAsia="仿宋_GB2312"/>
          <w:sz w:val="28"/>
          <w:szCs w:val="28"/>
        </w:rPr>
        <w:t>。</w:t>
      </w:r>
      <w:r>
        <w:rPr>
          <w:rFonts w:ascii="仿宋_GB2312" w:hAnsi="宋体" w:eastAsia="仿宋_GB2312"/>
          <w:sz w:val="28"/>
          <w:szCs w:val="28"/>
        </w:rPr>
        <w:br w:type="page"/>
      </w:r>
    </w:p>
    <w:p>
      <w:pPr>
        <w:ind w:firstLine="560" w:firstLineChars="200"/>
        <w:rPr>
          <w:rFonts w:ascii="仿宋_GB2312" w:hAnsi="宋体" w:eastAsia="仿宋_GB2312"/>
          <w:sz w:val="28"/>
          <w:szCs w:val="28"/>
        </w:rPr>
      </w:pPr>
    </w:p>
    <w:p>
      <w:pPr>
        <w:pStyle w:val="2"/>
      </w:pPr>
      <w:bookmarkStart w:id="36" w:name="_Toc486428860"/>
      <w:r>
        <w:rPr>
          <w:rFonts w:hint="eastAsia"/>
        </w:rPr>
        <w:t>四、耕地和基本农田保护规划</w:t>
      </w:r>
      <w:bookmarkEnd w:id="36"/>
    </w:p>
    <w:p>
      <w:pPr>
        <w:pStyle w:val="3"/>
      </w:pPr>
      <w:bookmarkStart w:id="37" w:name="_Toc288825065"/>
      <w:bookmarkStart w:id="38" w:name="_Toc357580156"/>
      <w:bookmarkStart w:id="39" w:name="_Toc486428861"/>
      <w:r>
        <w:rPr>
          <w:rFonts w:hint="eastAsia"/>
        </w:rPr>
        <w:t>（一）耕地和基本农田保护目标</w:t>
      </w:r>
      <w:bookmarkEnd w:id="37"/>
      <w:bookmarkEnd w:id="38"/>
      <w:bookmarkEnd w:id="39"/>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规划调整完善前石麟镇2020年耕地保有量目标任务为</w:t>
      </w:r>
      <w:r>
        <w:rPr>
          <w:rFonts w:ascii="仿宋_GB2312" w:hAnsi="宋体" w:eastAsia="仿宋_GB2312"/>
          <w:sz w:val="28"/>
          <w:szCs w:val="28"/>
        </w:rPr>
        <w:t>2298.06</w:t>
      </w:r>
      <w:r>
        <w:rPr>
          <w:rFonts w:hint="eastAsia" w:ascii="仿宋_GB2312" w:hAnsi="宋体" w:eastAsia="仿宋_GB2312"/>
          <w:sz w:val="28"/>
          <w:szCs w:val="28"/>
        </w:rPr>
        <w:t>公顷，基本农田保护面积目标任务为</w:t>
      </w:r>
      <w:r>
        <w:rPr>
          <w:rFonts w:ascii="仿宋_GB2312" w:hAnsi="宋体" w:eastAsia="仿宋_GB2312"/>
          <w:sz w:val="28"/>
          <w:szCs w:val="28"/>
        </w:rPr>
        <w:t>2221.43</w:t>
      </w:r>
      <w:r>
        <w:rPr>
          <w:rFonts w:hint="eastAsia" w:ascii="仿宋_GB2312" w:hAnsi="宋体" w:eastAsia="仿宋_GB2312"/>
          <w:sz w:val="28"/>
          <w:szCs w:val="28"/>
        </w:rPr>
        <w:t>公顷。调整完善后，全镇安排耕地保有量目标任务为</w:t>
      </w:r>
      <w:r>
        <w:rPr>
          <w:rFonts w:ascii="仿宋_GB2312" w:hAnsi="宋体" w:eastAsia="仿宋_GB2312"/>
          <w:sz w:val="28"/>
          <w:szCs w:val="28"/>
        </w:rPr>
        <w:t>2581.83</w:t>
      </w:r>
      <w:r>
        <w:rPr>
          <w:rFonts w:hint="eastAsia" w:ascii="仿宋_GB2312" w:hAnsi="宋体" w:eastAsia="仿宋_GB2312"/>
          <w:sz w:val="28"/>
          <w:szCs w:val="28"/>
        </w:rPr>
        <w:t>公顷，划定永久基本农田</w:t>
      </w:r>
      <w:r>
        <w:rPr>
          <w:rFonts w:ascii="仿宋_GB2312" w:hAnsi="宋体" w:eastAsia="仿宋_GB2312"/>
          <w:sz w:val="28"/>
          <w:szCs w:val="28"/>
        </w:rPr>
        <w:t>2036</w:t>
      </w:r>
      <w:r>
        <w:rPr>
          <w:rFonts w:hint="eastAsia" w:ascii="仿宋_GB2312" w:hAnsi="宋体" w:eastAsia="仿宋_GB2312"/>
          <w:sz w:val="28"/>
          <w:szCs w:val="28"/>
        </w:rPr>
        <w:t>公顷，耕地保有量和基本农田保护面积分别比调整完善前规划期末规模增加了</w:t>
      </w:r>
      <w:r>
        <w:rPr>
          <w:rFonts w:ascii="仿宋_GB2312" w:hAnsi="宋体" w:eastAsia="仿宋_GB2312"/>
          <w:sz w:val="28"/>
          <w:szCs w:val="28"/>
        </w:rPr>
        <w:t>283.77</w:t>
      </w:r>
      <w:r>
        <w:rPr>
          <w:rFonts w:hint="eastAsia" w:ascii="仿宋_GB2312" w:hAnsi="宋体" w:eastAsia="仿宋_GB2312"/>
          <w:sz w:val="28"/>
          <w:szCs w:val="28"/>
        </w:rPr>
        <w:t>公顷，减少了</w:t>
      </w:r>
      <w:r>
        <w:rPr>
          <w:rFonts w:ascii="仿宋_GB2312" w:hAnsi="宋体" w:eastAsia="仿宋_GB2312"/>
          <w:sz w:val="28"/>
          <w:szCs w:val="28"/>
        </w:rPr>
        <w:t>185.43</w:t>
      </w:r>
      <w:r>
        <w:rPr>
          <w:rFonts w:hint="eastAsia" w:ascii="仿宋_GB2312" w:hAnsi="宋体" w:eastAsia="仿宋_GB2312"/>
          <w:sz w:val="28"/>
          <w:szCs w:val="28"/>
        </w:rPr>
        <w:t>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调整完善后的耕地保有量和基本农田保护面积在充分考虑各行政村新增建设用地占用耕地、土地后备资源禀赋及实施土地综合整治工程的可行性的基础上分解落实至各村。各村耕地保有量和基本农田保护面积见下表：</w:t>
      </w:r>
    </w:p>
    <w:tbl>
      <w:tblPr>
        <w:tblStyle w:val="13"/>
        <w:tblW w:w="5000" w:type="pct"/>
        <w:jc w:val="center"/>
        <w:tblLayout w:type="autofit"/>
        <w:tblCellMar>
          <w:top w:w="15" w:type="dxa"/>
          <w:left w:w="108" w:type="dxa"/>
          <w:bottom w:w="15" w:type="dxa"/>
          <w:right w:w="108" w:type="dxa"/>
        </w:tblCellMar>
      </w:tblPr>
      <w:tblGrid>
        <w:gridCol w:w="701"/>
        <w:gridCol w:w="1842"/>
        <w:gridCol w:w="3117"/>
        <w:gridCol w:w="2862"/>
      </w:tblGrid>
      <w:tr>
        <w:tblPrEx>
          <w:tblCellMar>
            <w:top w:w="15" w:type="dxa"/>
            <w:left w:w="108" w:type="dxa"/>
            <w:bottom w:w="15" w:type="dxa"/>
            <w:right w:w="108" w:type="dxa"/>
          </w:tblCellMar>
        </w:tblPrEx>
        <w:trPr>
          <w:trHeight w:val="375" w:hRule="atLeast"/>
          <w:jc w:val="center"/>
        </w:trPr>
        <w:tc>
          <w:tcPr>
            <w:tcW w:w="4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b/>
                <w:color w:val="000000"/>
                <w:kern w:val="0"/>
                <w:sz w:val="24"/>
                <w:szCs w:val="24"/>
              </w:rPr>
            </w:pPr>
            <w:r>
              <w:rPr>
                <w:rFonts w:hint="eastAsia" w:ascii="仿宋_GB2312" w:hAnsi="等线" w:eastAsia="仿宋_GB2312" w:cs="宋体"/>
                <w:b/>
                <w:color w:val="000000"/>
                <w:kern w:val="0"/>
                <w:sz w:val="24"/>
                <w:szCs w:val="24"/>
              </w:rPr>
              <w:t>序号</w:t>
            </w:r>
          </w:p>
        </w:tc>
        <w:tc>
          <w:tcPr>
            <w:tcW w:w="108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 w:val="24"/>
                <w:szCs w:val="24"/>
              </w:rPr>
            </w:pPr>
            <w:r>
              <w:rPr>
                <w:rFonts w:hint="eastAsia" w:ascii="仿宋_GB2312" w:hAnsi="等线" w:eastAsia="仿宋_GB2312" w:cs="宋体"/>
                <w:b/>
                <w:color w:val="000000"/>
                <w:kern w:val="0"/>
                <w:sz w:val="24"/>
                <w:szCs w:val="24"/>
              </w:rPr>
              <w:t>行政村</w:t>
            </w:r>
          </w:p>
        </w:tc>
        <w:tc>
          <w:tcPr>
            <w:tcW w:w="182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 w:val="24"/>
                <w:szCs w:val="24"/>
              </w:rPr>
            </w:pPr>
            <w:r>
              <w:rPr>
                <w:rFonts w:hint="eastAsia" w:ascii="仿宋_GB2312" w:hAnsi="等线" w:eastAsia="仿宋_GB2312" w:cs="宋体"/>
                <w:b/>
                <w:color w:val="000000"/>
                <w:kern w:val="0"/>
                <w:sz w:val="24"/>
                <w:szCs w:val="24"/>
              </w:rPr>
              <w:t>耕地保有量</w:t>
            </w:r>
          </w:p>
        </w:tc>
        <w:tc>
          <w:tcPr>
            <w:tcW w:w="167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 w:val="24"/>
                <w:szCs w:val="24"/>
              </w:rPr>
            </w:pPr>
            <w:r>
              <w:rPr>
                <w:rFonts w:hint="eastAsia" w:ascii="仿宋_GB2312" w:hAnsi="等线" w:eastAsia="仿宋_GB2312" w:cs="宋体"/>
                <w:b/>
                <w:color w:val="000000"/>
                <w:kern w:val="0"/>
                <w:sz w:val="24"/>
                <w:szCs w:val="24"/>
              </w:rPr>
              <w:t>基本农田保护面积</w:t>
            </w:r>
          </w:p>
        </w:tc>
      </w:tr>
      <w:tr>
        <w:tblPrEx>
          <w:tblCellMar>
            <w:top w:w="15" w:type="dxa"/>
            <w:left w:w="108" w:type="dxa"/>
            <w:bottom w:w="15" w:type="dxa"/>
            <w:right w:w="108" w:type="dxa"/>
          </w:tblCellMar>
        </w:tblPrEx>
        <w:trPr>
          <w:trHeight w:val="314" w:hRule="atLeast"/>
          <w:jc w:val="center"/>
        </w:trPr>
        <w:tc>
          <w:tcPr>
            <w:tcW w:w="4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w:t>
            </w:r>
          </w:p>
        </w:tc>
        <w:tc>
          <w:tcPr>
            <w:tcW w:w="1081" w:type="pct"/>
            <w:tcBorders>
              <w:top w:val="single" w:color="auto" w:sz="4" w:space="0"/>
              <w:left w:val="single" w:color="auto" w:sz="4" w:space="0"/>
              <w:bottom w:val="single" w:color="auto" w:sz="4" w:space="0"/>
              <w:right w:val="single" w:color="auto" w:sz="4" w:space="0"/>
            </w:tcBorders>
            <w:vAlign w:val="bottom"/>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方嘴村</w:t>
            </w:r>
          </w:p>
        </w:tc>
        <w:tc>
          <w:tcPr>
            <w:tcW w:w="1829" w:type="pct"/>
            <w:tcBorders>
              <w:top w:val="single" w:color="auto" w:sz="4" w:space="0"/>
              <w:left w:val="single" w:color="auto" w:sz="4" w:space="0"/>
              <w:bottom w:val="single" w:color="auto" w:sz="4" w:space="0"/>
              <w:right w:val="single" w:color="auto" w:sz="4" w:space="0"/>
            </w:tcBorders>
          </w:tcPr>
          <w:p>
            <w:pPr>
              <w:jc w:val="center"/>
              <w:rPr>
                <w:rFonts w:ascii="仿宋_GB2312" w:hAnsi="等线" w:eastAsia="仿宋_GB2312" w:cs="宋体"/>
                <w:color w:val="000000"/>
                <w:kern w:val="0"/>
                <w:sz w:val="24"/>
                <w:szCs w:val="24"/>
              </w:rPr>
            </w:pPr>
            <w:r>
              <w:rPr>
                <w:rFonts w:ascii="仿宋_GB2312" w:hAnsi="等线" w:eastAsia="仿宋_GB2312" w:cs="宋体"/>
                <w:color w:val="000000"/>
                <w:kern w:val="0"/>
                <w:sz w:val="24"/>
                <w:szCs w:val="24"/>
              </w:rPr>
              <w:t>142.67</w:t>
            </w:r>
          </w:p>
        </w:tc>
        <w:tc>
          <w:tcPr>
            <w:tcW w:w="1679"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76.32</w:t>
            </w:r>
          </w:p>
        </w:tc>
      </w:tr>
      <w:tr>
        <w:tblPrEx>
          <w:tblCellMar>
            <w:top w:w="15" w:type="dxa"/>
            <w:left w:w="108" w:type="dxa"/>
            <w:bottom w:w="15" w:type="dxa"/>
            <w:right w:w="108" w:type="dxa"/>
          </w:tblCellMar>
        </w:tblPrEx>
        <w:trPr>
          <w:trHeight w:val="375" w:hRule="atLeast"/>
          <w:jc w:val="center"/>
        </w:trPr>
        <w:tc>
          <w:tcPr>
            <w:tcW w:w="4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2</w:t>
            </w:r>
          </w:p>
        </w:tc>
        <w:tc>
          <w:tcPr>
            <w:tcW w:w="1081" w:type="pct"/>
            <w:tcBorders>
              <w:top w:val="single" w:color="auto" w:sz="4" w:space="0"/>
              <w:left w:val="single" w:color="auto" w:sz="4" w:space="0"/>
              <w:bottom w:val="single" w:color="auto" w:sz="4" w:space="0"/>
              <w:right w:val="single" w:color="auto" w:sz="4" w:space="0"/>
            </w:tcBorders>
            <w:vAlign w:val="bottom"/>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兴无村</w:t>
            </w:r>
          </w:p>
        </w:tc>
        <w:tc>
          <w:tcPr>
            <w:tcW w:w="1829" w:type="pct"/>
            <w:tcBorders>
              <w:top w:val="single" w:color="auto" w:sz="4" w:space="0"/>
              <w:left w:val="single" w:color="auto" w:sz="4" w:space="0"/>
              <w:bottom w:val="single" w:color="auto" w:sz="4" w:space="0"/>
              <w:right w:val="single" w:color="auto" w:sz="4" w:space="0"/>
            </w:tcBorders>
          </w:tcPr>
          <w:p>
            <w:pPr>
              <w:jc w:val="center"/>
              <w:rPr>
                <w:rFonts w:ascii="仿宋_GB2312" w:hAnsi="等线" w:eastAsia="仿宋_GB2312" w:cs="宋体"/>
                <w:color w:val="000000"/>
                <w:kern w:val="0"/>
                <w:sz w:val="24"/>
                <w:szCs w:val="24"/>
              </w:rPr>
            </w:pPr>
            <w:r>
              <w:rPr>
                <w:rFonts w:ascii="仿宋_GB2312" w:hAnsi="等线" w:eastAsia="仿宋_GB2312" w:cs="宋体"/>
                <w:color w:val="000000"/>
                <w:kern w:val="0"/>
                <w:sz w:val="24"/>
                <w:szCs w:val="24"/>
              </w:rPr>
              <w:t>175.03</w:t>
            </w:r>
          </w:p>
        </w:tc>
        <w:tc>
          <w:tcPr>
            <w:tcW w:w="1679" w:type="pct"/>
            <w:tcBorders>
              <w:top w:val="single" w:color="auto" w:sz="4" w:space="0"/>
              <w:left w:val="single" w:color="auto" w:sz="4" w:space="0"/>
              <w:bottom w:val="single" w:color="auto" w:sz="4" w:space="0"/>
              <w:right w:val="single" w:color="auto" w:sz="4" w:space="0"/>
            </w:tcBorders>
            <w:vAlign w:val="bottom"/>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82.69</w:t>
            </w:r>
          </w:p>
        </w:tc>
      </w:tr>
      <w:tr>
        <w:tblPrEx>
          <w:tblCellMar>
            <w:top w:w="15" w:type="dxa"/>
            <w:left w:w="108" w:type="dxa"/>
            <w:bottom w:w="15" w:type="dxa"/>
            <w:right w:w="108" w:type="dxa"/>
          </w:tblCellMar>
        </w:tblPrEx>
        <w:trPr>
          <w:trHeight w:val="375" w:hRule="atLeast"/>
          <w:jc w:val="center"/>
        </w:trPr>
        <w:tc>
          <w:tcPr>
            <w:tcW w:w="4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3</w:t>
            </w:r>
          </w:p>
        </w:tc>
        <w:tc>
          <w:tcPr>
            <w:tcW w:w="1081" w:type="pct"/>
            <w:tcBorders>
              <w:top w:val="single" w:color="auto" w:sz="4" w:space="0"/>
              <w:left w:val="single" w:color="auto" w:sz="4" w:space="0"/>
              <w:bottom w:val="single" w:color="auto" w:sz="4" w:space="0"/>
              <w:right w:val="single" w:color="auto" w:sz="4" w:space="0"/>
            </w:tcBorders>
            <w:vAlign w:val="bottom"/>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杨林坳村</w:t>
            </w:r>
          </w:p>
        </w:tc>
        <w:tc>
          <w:tcPr>
            <w:tcW w:w="1829" w:type="pct"/>
            <w:tcBorders>
              <w:top w:val="single" w:color="auto" w:sz="4" w:space="0"/>
              <w:left w:val="single" w:color="auto" w:sz="4" w:space="0"/>
              <w:bottom w:val="single" w:color="auto" w:sz="4" w:space="0"/>
              <w:right w:val="single" w:color="auto" w:sz="4" w:space="0"/>
            </w:tcBorders>
          </w:tcPr>
          <w:p>
            <w:pPr>
              <w:jc w:val="center"/>
              <w:rPr>
                <w:rFonts w:ascii="仿宋_GB2312" w:hAnsi="等线" w:eastAsia="仿宋_GB2312" w:cs="宋体"/>
                <w:color w:val="000000"/>
                <w:kern w:val="0"/>
                <w:sz w:val="24"/>
                <w:szCs w:val="24"/>
              </w:rPr>
            </w:pPr>
            <w:r>
              <w:rPr>
                <w:rFonts w:ascii="仿宋_GB2312" w:hAnsi="等线" w:eastAsia="仿宋_GB2312" w:cs="宋体"/>
                <w:color w:val="000000"/>
                <w:kern w:val="0"/>
                <w:sz w:val="24"/>
                <w:szCs w:val="24"/>
              </w:rPr>
              <w:t>174.22</w:t>
            </w:r>
          </w:p>
        </w:tc>
        <w:tc>
          <w:tcPr>
            <w:tcW w:w="1679" w:type="pct"/>
            <w:tcBorders>
              <w:top w:val="single" w:color="auto" w:sz="4" w:space="0"/>
              <w:left w:val="single" w:color="auto" w:sz="4" w:space="0"/>
              <w:bottom w:val="single" w:color="auto" w:sz="4" w:space="0"/>
              <w:right w:val="single" w:color="auto" w:sz="4" w:space="0"/>
            </w:tcBorders>
            <w:vAlign w:val="bottom"/>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169.68</w:t>
            </w:r>
          </w:p>
        </w:tc>
      </w:tr>
      <w:tr>
        <w:tblPrEx>
          <w:tblCellMar>
            <w:top w:w="15" w:type="dxa"/>
            <w:left w:w="108" w:type="dxa"/>
            <w:bottom w:w="15" w:type="dxa"/>
            <w:right w:w="108" w:type="dxa"/>
          </w:tblCellMar>
        </w:tblPrEx>
        <w:trPr>
          <w:trHeight w:val="375" w:hRule="atLeast"/>
          <w:jc w:val="center"/>
        </w:trPr>
        <w:tc>
          <w:tcPr>
            <w:tcW w:w="4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4</w:t>
            </w:r>
          </w:p>
        </w:tc>
        <w:tc>
          <w:tcPr>
            <w:tcW w:w="1081" w:type="pct"/>
            <w:tcBorders>
              <w:top w:val="single" w:color="auto" w:sz="4" w:space="0"/>
              <w:left w:val="single" w:color="auto" w:sz="4" w:space="0"/>
              <w:bottom w:val="single" w:color="auto" w:sz="4" w:space="0"/>
              <w:right w:val="single" w:color="auto" w:sz="4" w:space="0"/>
            </w:tcBorders>
            <w:vAlign w:val="bottom"/>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阳光村</w:t>
            </w:r>
          </w:p>
        </w:tc>
        <w:tc>
          <w:tcPr>
            <w:tcW w:w="1829" w:type="pct"/>
            <w:tcBorders>
              <w:top w:val="single" w:color="auto" w:sz="4" w:space="0"/>
              <w:left w:val="single" w:color="auto" w:sz="4" w:space="0"/>
              <w:bottom w:val="single" w:color="auto" w:sz="4" w:space="0"/>
              <w:right w:val="single" w:color="auto" w:sz="4" w:space="0"/>
            </w:tcBorders>
          </w:tcPr>
          <w:p>
            <w:pPr>
              <w:jc w:val="center"/>
              <w:rPr>
                <w:rFonts w:ascii="仿宋_GB2312" w:hAnsi="等线" w:eastAsia="仿宋_GB2312" w:cs="宋体"/>
                <w:color w:val="000000"/>
                <w:kern w:val="0"/>
                <w:sz w:val="24"/>
                <w:szCs w:val="24"/>
              </w:rPr>
            </w:pPr>
            <w:r>
              <w:rPr>
                <w:rFonts w:ascii="仿宋_GB2312" w:hAnsi="等线" w:eastAsia="仿宋_GB2312" w:cs="宋体"/>
                <w:color w:val="000000"/>
                <w:kern w:val="0"/>
                <w:sz w:val="24"/>
                <w:szCs w:val="24"/>
              </w:rPr>
              <w:t>197.68</w:t>
            </w:r>
          </w:p>
        </w:tc>
        <w:tc>
          <w:tcPr>
            <w:tcW w:w="1679" w:type="pct"/>
            <w:tcBorders>
              <w:top w:val="single" w:color="auto" w:sz="4" w:space="0"/>
              <w:left w:val="single" w:color="auto" w:sz="4" w:space="0"/>
              <w:bottom w:val="single" w:color="auto" w:sz="4" w:space="0"/>
              <w:right w:val="single" w:color="auto" w:sz="4" w:space="0"/>
            </w:tcBorders>
            <w:vAlign w:val="bottom"/>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175.82</w:t>
            </w:r>
          </w:p>
        </w:tc>
      </w:tr>
      <w:tr>
        <w:tblPrEx>
          <w:tblCellMar>
            <w:top w:w="15" w:type="dxa"/>
            <w:left w:w="108" w:type="dxa"/>
            <w:bottom w:w="15" w:type="dxa"/>
            <w:right w:w="108" w:type="dxa"/>
          </w:tblCellMar>
        </w:tblPrEx>
        <w:trPr>
          <w:trHeight w:val="375" w:hRule="atLeast"/>
          <w:jc w:val="center"/>
        </w:trPr>
        <w:tc>
          <w:tcPr>
            <w:tcW w:w="4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5</w:t>
            </w:r>
          </w:p>
        </w:tc>
        <w:tc>
          <w:tcPr>
            <w:tcW w:w="1081" w:type="pct"/>
            <w:tcBorders>
              <w:top w:val="single" w:color="auto" w:sz="4" w:space="0"/>
              <w:left w:val="single" w:color="auto" w:sz="4" w:space="0"/>
              <w:bottom w:val="single" w:color="auto" w:sz="4" w:space="0"/>
              <w:right w:val="single" w:color="auto" w:sz="4" w:space="0"/>
            </w:tcBorders>
            <w:vAlign w:val="bottom"/>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共同村</w:t>
            </w:r>
          </w:p>
        </w:tc>
        <w:tc>
          <w:tcPr>
            <w:tcW w:w="1829" w:type="pct"/>
            <w:tcBorders>
              <w:top w:val="single" w:color="auto" w:sz="4" w:space="0"/>
              <w:left w:val="single" w:color="auto" w:sz="4" w:space="0"/>
              <w:bottom w:val="single" w:color="auto" w:sz="4" w:space="0"/>
              <w:right w:val="single" w:color="auto" w:sz="4" w:space="0"/>
            </w:tcBorders>
          </w:tcPr>
          <w:p>
            <w:pPr>
              <w:jc w:val="center"/>
              <w:rPr>
                <w:rFonts w:ascii="仿宋_GB2312" w:hAnsi="等线" w:eastAsia="仿宋_GB2312" w:cs="宋体"/>
                <w:color w:val="000000"/>
                <w:kern w:val="0"/>
                <w:sz w:val="24"/>
                <w:szCs w:val="24"/>
              </w:rPr>
            </w:pPr>
            <w:r>
              <w:rPr>
                <w:rFonts w:ascii="仿宋_GB2312" w:hAnsi="等线" w:eastAsia="仿宋_GB2312" w:cs="宋体"/>
                <w:color w:val="000000"/>
                <w:kern w:val="0"/>
                <w:sz w:val="24"/>
                <w:szCs w:val="24"/>
              </w:rPr>
              <w:t>206.73</w:t>
            </w:r>
          </w:p>
        </w:tc>
        <w:tc>
          <w:tcPr>
            <w:tcW w:w="167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181.1</w:t>
            </w:r>
          </w:p>
        </w:tc>
      </w:tr>
      <w:tr>
        <w:tblPrEx>
          <w:tblCellMar>
            <w:top w:w="15" w:type="dxa"/>
            <w:left w:w="108" w:type="dxa"/>
            <w:bottom w:w="15" w:type="dxa"/>
            <w:right w:w="108" w:type="dxa"/>
          </w:tblCellMar>
        </w:tblPrEx>
        <w:trPr>
          <w:trHeight w:val="375" w:hRule="atLeast"/>
          <w:jc w:val="center"/>
        </w:trPr>
        <w:tc>
          <w:tcPr>
            <w:tcW w:w="4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6</w:t>
            </w:r>
          </w:p>
        </w:tc>
        <w:tc>
          <w:tcPr>
            <w:tcW w:w="1081" w:type="pct"/>
            <w:tcBorders>
              <w:top w:val="single" w:color="auto" w:sz="4" w:space="0"/>
              <w:left w:val="single" w:color="auto" w:sz="4" w:space="0"/>
              <w:bottom w:val="single" w:color="auto" w:sz="4" w:space="0"/>
              <w:right w:val="single" w:color="auto" w:sz="4" w:space="0"/>
            </w:tcBorders>
            <w:vAlign w:val="bottom"/>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水保源村</w:t>
            </w:r>
          </w:p>
        </w:tc>
        <w:tc>
          <w:tcPr>
            <w:tcW w:w="1829" w:type="pct"/>
            <w:tcBorders>
              <w:top w:val="single" w:color="auto" w:sz="4" w:space="0"/>
              <w:left w:val="single" w:color="auto" w:sz="4" w:space="0"/>
              <w:bottom w:val="single" w:color="auto" w:sz="4" w:space="0"/>
              <w:right w:val="single" w:color="auto" w:sz="4" w:space="0"/>
            </w:tcBorders>
          </w:tcPr>
          <w:p>
            <w:pPr>
              <w:jc w:val="center"/>
              <w:rPr>
                <w:rFonts w:ascii="仿宋_GB2312" w:hAnsi="等线" w:eastAsia="仿宋_GB2312" w:cs="宋体"/>
                <w:color w:val="000000"/>
                <w:kern w:val="0"/>
                <w:sz w:val="24"/>
                <w:szCs w:val="24"/>
              </w:rPr>
            </w:pPr>
            <w:r>
              <w:rPr>
                <w:rFonts w:ascii="仿宋_GB2312" w:hAnsi="等线" w:eastAsia="仿宋_GB2312" w:cs="宋体"/>
                <w:color w:val="000000"/>
                <w:kern w:val="0"/>
                <w:sz w:val="24"/>
                <w:szCs w:val="24"/>
              </w:rPr>
              <w:t>147.59</w:t>
            </w:r>
          </w:p>
        </w:tc>
        <w:tc>
          <w:tcPr>
            <w:tcW w:w="1679" w:type="pct"/>
            <w:tcBorders>
              <w:top w:val="single" w:color="auto" w:sz="4" w:space="0"/>
              <w:left w:val="single" w:color="auto" w:sz="4" w:space="0"/>
              <w:bottom w:val="single" w:color="auto" w:sz="4" w:space="0"/>
              <w:right w:val="single" w:color="auto" w:sz="4" w:space="0"/>
            </w:tcBorders>
            <w:vAlign w:val="bottom"/>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123.97</w:t>
            </w:r>
          </w:p>
        </w:tc>
      </w:tr>
      <w:tr>
        <w:tblPrEx>
          <w:tblCellMar>
            <w:top w:w="15" w:type="dxa"/>
            <w:left w:w="108" w:type="dxa"/>
            <w:bottom w:w="15" w:type="dxa"/>
            <w:right w:w="108" w:type="dxa"/>
          </w:tblCellMar>
        </w:tblPrEx>
        <w:trPr>
          <w:trHeight w:val="375" w:hRule="atLeast"/>
          <w:jc w:val="center"/>
        </w:trPr>
        <w:tc>
          <w:tcPr>
            <w:tcW w:w="4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7</w:t>
            </w:r>
          </w:p>
        </w:tc>
        <w:tc>
          <w:tcPr>
            <w:tcW w:w="1081" w:type="pct"/>
            <w:tcBorders>
              <w:top w:val="single" w:color="auto" w:sz="4" w:space="0"/>
              <w:left w:val="single" w:color="auto" w:sz="4" w:space="0"/>
              <w:bottom w:val="single" w:color="auto" w:sz="4" w:space="0"/>
              <w:right w:val="single" w:color="auto" w:sz="4" w:space="0"/>
            </w:tcBorders>
            <w:vAlign w:val="bottom"/>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许店儿村</w:t>
            </w:r>
          </w:p>
        </w:tc>
        <w:tc>
          <w:tcPr>
            <w:tcW w:w="1829" w:type="pct"/>
            <w:tcBorders>
              <w:top w:val="single" w:color="auto" w:sz="4" w:space="0"/>
              <w:left w:val="single" w:color="auto" w:sz="4" w:space="0"/>
              <w:bottom w:val="single" w:color="auto" w:sz="4" w:space="0"/>
              <w:right w:val="single" w:color="auto" w:sz="4" w:space="0"/>
            </w:tcBorders>
          </w:tcPr>
          <w:p>
            <w:pPr>
              <w:jc w:val="center"/>
              <w:rPr>
                <w:rFonts w:ascii="仿宋_GB2312" w:hAnsi="等线" w:eastAsia="仿宋_GB2312" w:cs="宋体"/>
                <w:color w:val="000000"/>
                <w:kern w:val="0"/>
                <w:sz w:val="24"/>
                <w:szCs w:val="24"/>
              </w:rPr>
            </w:pPr>
            <w:r>
              <w:rPr>
                <w:rFonts w:ascii="仿宋_GB2312" w:hAnsi="等线" w:eastAsia="仿宋_GB2312" w:cs="宋体"/>
                <w:color w:val="000000"/>
                <w:kern w:val="0"/>
                <w:sz w:val="24"/>
                <w:szCs w:val="24"/>
              </w:rPr>
              <w:t>168.31</w:t>
            </w:r>
          </w:p>
        </w:tc>
        <w:tc>
          <w:tcPr>
            <w:tcW w:w="167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155.45</w:t>
            </w:r>
          </w:p>
        </w:tc>
      </w:tr>
      <w:tr>
        <w:tblPrEx>
          <w:tblCellMar>
            <w:top w:w="15" w:type="dxa"/>
            <w:left w:w="108" w:type="dxa"/>
            <w:bottom w:w="15" w:type="dxa"/>
            <w:right w:w="108" w:type="dxa"/>
          </w:tblCellMar>
        </w:tblPrEx>
        <w:trPr>
          <w:trHeight w:val="375" w:hRule="atLeast"/>
          <w:jc w:val="center"/>
        </w:trPr>
        <w:tc>
          <w:tcPr>
            <w:tcW w:w="4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8</w:t>
            </w:r>
          </w:p>
        </w:tc>
        <w:tc>
          <w:tcPr>
            <w:tcW w:w="1081" w:type="pct"/>
            <w:tcBorders>
              <w:top w:val="single" w:color="auto" w:sz="4" w:space="0"/>
              <w:left w:val="single" w:color="auto" w:sz="4" w:space="0"/>
              <w:bottom w:val="single" w:color="auto" w:sz="4" w:space="0"/>
              <w:right w:val="single" w:color="auto" w:sz="4" w:space="0"/>
            </w:tcBorders>
            <w:vAlign w:val="bottom"/>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碗厂村</w:t>
            </w:r>
          </w:p>
        </w:tc>
        <w:tc>
          <w:tcPr>
            <w:tcW w:w="1829" w:type="pct"/>
            <w:tcBorders>
              <w:top w:val="single" w:color="auto" w:sz="4" w:space="0"/>
              <w:left w:val="single" w:color="auto" w:sz="4" w:space="0"/>
              <w:bottom w:val="single" w:color="auto" w:sz="4" w:space="0"/>
              <w:right w:val="single" w:color="auto" w:sz="4" w:space="0"/>
            </w:tcBorders>
          </w:tcPr>
          <w:p>
            <w:pPr>
              <w:jc w:val="center"/>
              <w:rPr>
                <w:rFonts w:ascii="仿宋_GB2312" w:hAnsi="等线" w:eastAsia="仿宋_GB2312" w:cs="宋体"/>
                <w:color w:val="000000"/>
                <w:kern w:val="0"/>
                <w:sz w:val="24"/>
                <w:szCs w:val="24"/>
              </w:rPr>
            </w:pPr>
            <w:r>
              <w:rPr>
                <w:rFonts w:ascii="仿宋_GB2312" w:hAnsi="等线" w:eastAsia="仿宋_GB2312" w:cs="宋体"/>
                <w:color w:val="000000"/>
                <w:kern w:val="0"/>
                <w:sz w:val="24"/>
                <w:szCs w:val="24"/>
              </w:rPr>
              <w:t>136.43</w:t>
            </w:r>
          </w:p>
        </w:tc>
        <w:tc>
          <w:tcPr>
            <w:tcW w:w="1679" w:type="pct"/>
            <w:tcBorders>
              <w:top w:val="single" w:color="auto" w:sz="4" w:space="0"/>
              <w:left w:val="single" w:color="auto" w:sz="4" w:space="0"/>
              <w:bottom w:val="single" w:color="auto" w:sz="4" w:space="0"/>
              <w:right w:val="single" w:color="auto" w:sz="4" w:space="0"/>
            </w:tcBorders>
            <w:vAlign w:val="bottom"/>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121.44</w:t>
            </w:r>
          </w:p>
        </w:tc>
      </w:tr>
      <w:tr>
        <w:tblPrEx>
          <w:tblCellMar>
            <w:top w:w="15" w:type="dxa"/>
            <w:left w:w="108" w:type="dxa"/>
            <w:bottom w:w="15" w:type="dxa"/>
            <w:right w:w="108" w:type="dxa"/>
          </w:tblCellMar>
        </w:tblPrEx>
        <w:trPr>
          <w:trHeight w:val="375" w:hRule="atLeast"/>
          <w:jc w:val="center"/>
        </w:trPr>
        <w:tc>
          <w:tcPr>
            <w:tcW w:w="4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9</w:t>
            </w:r>
          </w:p>
        </w:tc>
        <w:tc>
          <w:tcPr>
            <w:tcW w:w="1081" w:type="pct"/>
            <w:tcBorders>
              <w:top w:val="single" w:color="auto" w:sz="4" w:space="0"/>
              <w:left w:val="single" w:color="auto" w:sz="4" w:space="0"/>
              <w:bottom w:val="single" w:color="auto" w:sz="4" w:space="0"/>
              <w:right w:val="single" w:color="auto" w:sz="4" w:space="0"/>
            </w:tcBorders>
            <w:vAlign w:val="bottom"/>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程河沟村</w:t>
            </w:r>
          </w:p>
        </w:tc>
        <w:tc>
          <w:tcPr>
            <w:tcW w:w="1829" w:type="pct"/>
            <w:tcBorders>
              <w:top w:val="single" w:color="auto" w:sz="4" w:space="0"/>
              <w:left w:val="single" w:color="auto" w:sz="4" w:space="0"/>
              <w:bottom w:val="single" w:color="auto" w:sz="4" w:space="0"/>
              <w:right w:val="single" w:color="auto" w:sz="4" w:space="0"/>
            </w:tcBorders>
          </w:tcPr>
          <w:p>
            <w:pPr>
              <w:jc w:val="center"/>
              <w:rPr>
                <w:rFonts w:ascii="仿宋_GB2312" w:hAnsi="等线" w:eastAsia="仿宋_GB2312" w:cs="宋体"/>
                <w:color w:val="000000"/>
                <w:kern w:val="0"/>
                <w:sz w:val="24"/>
                <w:szCs w:val="24"/>
              </w:rPr>
            </w:pPr>
            <w:r>
              <w:rPr>
                <w:rFonts w:ascii="仿宋_GB2312" w:hAnsi="等线" w:eastAsia="仿宋_GB2312" w:cs="宋体"/>
                <w:color w:val="000000"/>
                <w:kern w:val="0"/>
                <w:sz w:val="24"/>
                <w:szCs w:val="24"/>
              </w:rPr>
              <w:t>111.84</w:t>
            </w:r>
          </w:p>
        </w:tc>
        <w:tc>
          <w:tcPr>
            <w:tcW w:w="167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98.85</w:t>
            </w:r>
          </w:p>
        </w:tc>
      </w:tr>
      <w:tr>
        <w:tblPrEx>
          <w:tblCellMar>
            <w:top w:w="15" w:type="dxa"/>
            <w:left w:w="108" w:type="dxa"/>
            <w:bottom w:w="15" w:type="dxa"/>
            <w:right w:w="108" w:type="dxa"/>
          </w:tblCellMar>
        </w:tblPrEx>
        <w:trPr>
          <w:trHeight w:val="375" w:hRule="atLeast"/>
          <w:jc w:val="center"/>
        </w:trPr>
        <w:tc>
          <w:tcPr>
            <w:tcW w:w="4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10</w:t>
            </w:r>
          </w:p>
        </w:tc>
        <w:tc>
          <w:tcPr>
            <w:tcW w:w="1081" w:type="pct"/>
            <w:tcBorders>
              <w:top w:val="single" w:color="auto" w:sz="4" w:space="0"/>
              <w:left w:val="single" w:color="auto" w:sz="4" w:space="0"/>
              <w:bottom w:val="single" w:color="auto" w:sz="4" w:space="0"/>
              <w:right w:val="single" w:color="auto" w:sz="4" w:space="0"/>
            </w:tcBorders>
            <w:vAlign w:val="bottom"/>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飞来村</w:t>
            </w:r>
          </w:p>
        </w:tc>
        <w:tc>
          <w:tcPr>
            <w:tcW w:w="1829" w:type="pct"/>
            <w:tcBorders>
              <w:top w:val="single" w:color="auto" w:sz="4" w:space="0"/>
              <w:left w:val="single" w:color="auto" w:sz="4" w:space="0"/>
              <w:bottom w:val="single" w:color="auto" w:sz="4" w:space="0"/>
              <w:right w:val="single" w:color="auto" w:sz="4" w:space="0"/>
            </w:tcBorders>
          </w:tcPr>
          <w:p>
            <w:pPr>
              <w:jc w:val="center"/>
              <w:rPr>
                <w:rFonts w:ascii="仿宋_GB2312" w:hAnsi="等线" w:eastAsia="仿宋_GB2312" w:cs="宋体"/>
                <w:color w:val="000000"/>
                <w:kern w:val="0"/>
                <w:sz w:val="24"/>
                <w:szCs w:val="24"/>
              </w:rPr>
            </w:pPr>
            <w:r>
              <w:rPr>
                <w:rFonts w:ascii="仿宋_GB2312" w:hAnsi="等线" w:eastAsia="仿宋_GB2312" w:cs="宋体"/>
                <w:color w:val="000000"/>
                <w:kern w:val="0"/>
                <w:sz w:val="24"/>
                <w:szCs w:val="24"/>
              </w:rPr>
              <w:t>87.38</w:t>
            </w:r>
          </w:p>
        </w:tc>
        <w:tc>
          <w:tcPr>
            <w:tcW w:w="167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46.76</w:t>
            </w:r>
          </w:p>
        </w:tc>
      </w:tr>
      <w:tr>
        <w:tblPrEx>
          <w:tblCellMar>
            <w:top w:w="15" w:type="dxa"/>
            <w:left w:w="108" w:type="dxa"/>
            <w:bottom w:w="15" w:type="dxa"/>
            <w:right w:w="108" w:type="dxa"/>
          </w:tblCellMar>
        </w:tblPrEx>
        <w:trPr>
          <w:trHeight w:val="375" w:hRule="atLeast"/>
          <w:jc w:val="center"/>
        </w:trPr>
        <w:tc>
          <w:tcPr>
            <w:tcW w:w="4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11</w:t>
            </w:r>
          </w:p>
        </w:tc>
        <w:tc>
          <w:tcPr>
            <w:tcW w:w="1081" w:type="pct"/>
            <w:tcBorders>
              <w:top w:val="single" w:color="auto" w:sz="4" w:space="0"/>
              <w:left w:val="single" w:color="auto" w:sz="4" w:space="0"/>
              <w:bottom w:val="single" w:color="auto" w:sz="4" w:space="0"/>
              <w:right w:val="single" w:color="auto" w:sz="4" w:space="0"/>
            </w:tcBorders>
            <w:vAlign w:val="bottom"/>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南山村</w:t>
            </w:r>
          </w:p>
        </w:tc>
        <w:tc>
          <w:tcPr>
            <w:tcW w:w="1829" w:type="pct"/>
            <w:tcBorders>
              <w:top w:val="single" w:color="auto" w:sz="4" w:space="0"/>
              <w:left w:val="single" w:color="auto" w:sz="4" w:space="0"/>
              <w:bottom w:val="single" w:color="auto" w:sz="4" w:space="0"/>
              <w:right w:val="single" w:color="auto" w:sz="4" w:space="0"/>
            </w:tcBorders>
          </w:tcPr>
          <w:p>
            <w:pPr>
              <w:jc w:val="center"/>
              <w:rPr>
                <w:rFonts w:ascii="仿宋_GB2312" w:hAnsi="等线" w:eastAsia="仿宋_GB2312" w:cs="宋体"/>
                <w:color w:val="000000"/>
                <w:kern w:val="0"/>
                <w:sz w:val="24"/>
                <w:szCs w:val="24"/>
              </w:rPr>
            </w:pPr>
            <w:r>
              <w:rPr>
                <w:rFonts w:ascii="仿宋_GB2312" w:hAnsi="等线" w:eastAsia="仿宋_GB2312" w:cs="宋体"/>
                <w:color w:val="000000"/>
                <w:kern w:val="0"/>
                <w:sz w:val="24"/>
                <w:szCs w:val="24"/>
              </w:rPr>
              <w:t>82.74</w:t>
            </w:r>
          </w:p>
        </w:tc>
        <w:tc>
          <w:tcPr>
            <w:tcW w:w="167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58.38</w:t>
            </w:r>
          </w:p>
        </w:tc>
      </w:tr>
      <w:tr>
        <w:tblPrEx>
          <w:tblCellMar>
            <w:top w:w="15" w:type="dxa"/>
            <w:left w:w="108" w:type="dxa"/>
            <w:bottom w:w="15" w:type="dxa"/>
            <w:right w:w="108" w:type="dxa"/>
          </w:tblCellMar>
        </w:tblPrEx>
        <w:trPr>
          <w:trHeight w:val="375" w:hRule="atLeast"/>
          <w:jc w:val="center"/>
        </w:trPr>
        <w:tc>
          <w:tcPr>
            <w:tcW w:w="4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12</w:t>
            </w:r>
          </w:p>
        </w:tc>
        <w:tc>
          <w:tcPr>
            <w:tcW w:w="1081" w:type="pct"/>
            <w:tcBorders>
              <w:top w:val="single" w:color="auto" w:sz="4" w:space="0"/>
              <w:left w:val="single" w:color="auto" w:sz="4" w:space="0"/>
              <w:bottom w:val="single" w:color="auto" w:sz="4" w:space="0"/>
              <w:right w:val="single" w:color="auto" w:sz="4" w:space="0"/>
            </w:tcBorders>
            <w:vAlign w:val="bottom"/>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白房子村</w:t>
            </w:r>
          </w:p>
        </w:tc>
        <w:tc>
          <w:tcPr>
            <w:tcW w:w="1829" w:type="pct"/>
            <w:tcBorders>
              <w:top w:val="single" w:color="auto" w:sz="4" w:space="0"/>
              <w:left w:val="single" w:color="auto" w:sz="4" w:space="0"/>
              <w:bottom w:val="single" w:color="auto" w:sz="4" w:space="0"/>
              <w:right w:val="single" w:color="auto" w:sz="4" w:space="0"/>
            </w:tcBorders>
          </w:tcPr>
          <w:p>
            <w:pPr>
              <w:jc w:val="center"/>
              <w:rPr>
                <w:rFonts w:ascii="仿宋_GB2312" w:hAnsi="等线" w:eastAsia="仿宋_GB2312" w:cs="宋体"/>
                <w:color w:val="000000"/>
                <w:kern w:val="0"/>
                <w:sz w:val="24"/>
                <w:szCs w:val="24"/>
              </w:rPr>
            </w:pPr>
            <w:r>
              <w:rPr>
                <w:rFonts w:ascii="仿宋_GB2312" w:hAnsi="等线" w:eastAsia="仿宋_GB2312" w:cs="宋体"/>
                <w:color w:val="000000"/>
                <w:kern w:val="0"/>
                <w:sz w:val="24"/>
                <w:szCs w:val="24"/>
              </w:rPr>
              <w:t>51.36</w:t>
            </w:r>
          </w:p>
        </w:tc>
        <w:tc>
          <w:tcPr>
            <w:tcW w:w="167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46.69</w:t>
            </w:r>
          </w:p>
        </w:tc>
      </w:tr>
      <w:tr>
        <w:tblPrEx>
          <w:tblCellMar>
            <w:top w:w="15" w:type="dxa"/>
            <w:left w:w="108" w:type="dxa"/>
            <w:bottom w:w="15" w:type="dxa"/>
            <w:right w:w="108" w:type="dxa"/>
          </w:tblCellMar>
        </w:tblPrEx>
        <w:trPr>
          <w:trHeight w:val="375" w:hRule="atLeast"/>
          <w:jc w:val="center"/>
        </w:trPr>
        <w:tc>
          <w:tcPr>
            <w:tcW w:w="4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13</w:t>
            </w:r>
          </w:p>
        </w:tc>
        <w:tc>
          <w:tcPr>
            <w:tcW w:w="1081" w:type="pct"/>
            <w:tcBorders>
              <w:top w:val="single" w:color="auto" w:sz="4" w:space="0"/>
              <w:left w:val="single" w:color="auto" w:sz="4" w:space="0"/>
              <w:bottom w:val="single" w:color="auto" w:sz="4" w:space="0"/>
              <w:right w:val="single" w:color="auto" w:sz="4" w:space="0"/>
            </w:tcBorders>
            <w:vAlign w:val="bottom"/>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莲池村</w:t>
            </w:r>
          </w:p>
        </w:tc>
        <w:tc>
          <w:tcPr>
            <w:tcW w:w="1829" w:type="pct"/>
            <w:tcBorders>
              <w:top w:val="single" w:color="auto" w:sz="4" w:space="0"/>
              <w:left w:val="single" w:color="auto" w:sz="4" w:space="0"/>
              <w:bottom w:val="single" w:color="auto" w:sz="4" w:space="0"/>
              <w:right w:val="single" w:color="auto" w:sz="4" w:space="0"/>
            </w:tcBorders>
          </w:tcPr>
          <w:p>
            <w:pPr>
              <w:jc w:val="center"/>
              <w:rPr>
                <w:rFonts w:ascii="仿宋_GB2312" w:hAnsi="等线" w:eastAsia="仿宋_GB2312" w:cs="宋体"/>
                <w:color w:val="000000"/>
                <w:kern w:val="0"/>
                <w:sz w:val="24"/>
                <w:szCs w:val="24"/>
              </w:rPr>
            </w:pPr>
            <w:r>
              <w:rPr>
                <w:rFonts w:ascii="仿宋_GB2312" w:hAnsi="等线" w:eastAsia="仿宋_GB2312" w:cs="宋体"/>
                <w:color w:val="000000"/>
                <w:kern w:val="0"/>
                <w:sz w:val="24"/>
                <w:szCs w:val="24"/>
              </w:rPr>
              <w:t>62</w:t>
            </w:r>
          </w:p>
        </w:tc>
        <w:tc>
          <w:tcPr>
            <w:tcW w:w="167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24.22</w:t>
            </w:r>
          </w:p>
        </w:tc>
      </w:tr>
      <w:tr>
        <w:tblPrEx>
          <w:tblCellMar>
            <w:top w:w="15" w:type="dxa"/>
            <w:left w:w="108" w:type="dxa"/>
            <w:bottom w:w="15" w:type="dxa"/>
            <w:right w:w="108" w:type="dxa"/>
          </w:tblCellMar>
        </w:tblPrEx>
        <w:trPr>
          <w:trHeight w:val="375" w:hRule="atLeast"/>
          <w:jc w:val="center"/>
        </w:trPr>
        <w:tc>
          <w:tcPr>
            <w:tcW w:w="4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14</w:t>
            </w:r>
          </w:p>
        </w:tc>
        <w:tc>
          <w:tcPr>
            <w:tcW w:w="1081" w:type="pct"/>
            <w:tcBorders>
              <w:top w:val="single" w:color="auto" w:sz="4" w:space="0"/>
              <w:left w:val="single" w:color="auto" w:sz="4" w:space="0"/>
              <w:bottom w:val="single" w:color="auto" w:sz="4" w:space="0"/>
              <w:right w:val="single" w:color="auto" w:sz="4" w:space="0"/>
            </w:tcBorders>
            <w:vAlign w:val="bottom"/>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楼房山村</w:t>
            </w:r>
          </w:p>
        </w:tc>
        <w:tc>
          <w:tcPr>
            <w:tcW w:w="1829" w:type="pct"/>
            <w:tcBorders>
              <w:top w:val="single" w:color="auto" w:sz="4" w:space="0"/>
              <w:left w:val="single" w:color="auto" w:sz="4" w:space="0"/>
              <w:bottom w:val="single" w:color="auto" w:sz="4" w:space="0"/>
              <w:right w:val="single" w:color="auto" w:sz="4" w:space="0"/>
            </w:tcBorders>
          </w:tcPr>
          <w:p>
            <w:pPr>
              <w:jc w:val="center"/>
              <w:rPr>
                <w:rFonts w:ascii="仿宋_GB2312" w:hAnsi="等线" w:eastAsia="仿宋_GB2312" w:cs="宋体"/>
                <w:color w:val="000000"/>
                <w:kern w:val="0"/>
                <w:sz w:val="24"/>
                <w:szCs w:val="24"/>
              </w:rPr>
            </w:pPr>
            <w:r>
              <w:rPr>
                <w:rFonts w:ascii="仿宋_GB2312" w:hAnsi="等线" w:eastAsia="仿宋_GB2312" w:cs="宋体"/>
                <w:color w:val="000000"/>
                <w:kern w:val="0"/>
                <w:sz w:val="24"/>
                <w:szCs w:val="24"/>
              </w:rPr>
              <w:t>141.14</w:t>
            </w:r>
          </w:p>
        </w:tc>
        <w:tc>
          <w:tcPr>
            <w:tcW w:w="167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111.55</w:t>
            </w:r>
          </w:p>
        </w:tc>
      </w:tr>
      <w:tr>
        <w:tblPrEx>
          <w:tblCellMar>
            <w:top w:w="15" w:type="dxa"/>
            <w:left w:w="108" w:type="dxa"/>
            <w:bottom w:w="15" w:type="dxa"/>
            <w:right w:w="108" w:type="dxa"/>
          </w:tblCellMar>
        </w:tblPrEx>
        <w:trPr>
          <w:trHeight w:val="375" w:hRule="atLeast"/>
          <w:jc w:val="center"/>
        </w:trPr>
        <w:tc>
          <w:tcPr>
            <w:tcW w:w="4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15</w:t>
            </w:r>
          </w:p>
        </w:tc>
        <w:tc>
          <w:tcPr>
            <w:tcW w:w="1081" w:type="pct"/>
            <w:tcBorders>
              <w:top w:val="single" w:color="auto" w:sz="4" w:space="0"/>
              <w:left w:val="single" w:color="auto" w:sz="4" w:space="0"/>
              <w:bottom w:val="single" w:color="auto" w:sz="4" w:space="0"/>
              <w:right w:val="single" w:color="auto" w:sz="4" w:space="0"/>
            </w:tcBorders>
            <w:vAlign w:val="bottom"/>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沙坝河村</w:t>
            </w:r>
          </w:p>
        </w:tc>
        <w:tc>
          <w:tcPr>
            <w:tcW w:w="1829" w:type="pct"/>
            <w:tcBorders>
              <w:top w:val="single" w:color="auto" w:sz="4" w:space="0"/>
              <w:left w:val="single" w:color="auto" w:sz="4" w:space="0"/>
              <w:bottom w:val="single" w:color="auto" w:sz="4" w:space="0"/>
              <w:right w:val="single" w:color="auto" w:sz="4" w:space="0"/>
            </w:tcBorders>
          </w:tcPr>
          <w:p>
            <w:pPr>
              <w:jc w:val="center"/>
              <w:rPr>
                <w:rFonts w:ascii="仿宋_GB2312" w:hAnsi="等线" w:eastAsia="仿宋_GB2312" w:cs="宋体"/>
                <w:color w:val="000000"/>
                <w:kern w:val="0"/>
                <w:sz w:val="24"/>
                <w:szCs w:val="24"/>
              </w:rPr>
            </w:pPr>
            <w:r>
              <w:rPr>
                <w:rFonts w:ascii="仿宋_GB2312" w:hAnsi="等线" w:eastAsia="仿宋_GB2312" w:cs="宋体"/>
                <w:color w:val="000000"/>
                <w:kern w:val="0"/>
                <w:sz w:val="24"/>
                <w:szCs w:val="24"/>
              </w:rPr>
              <w:t>167</w:t>
            </w:r>
          </w:p>
        </w:tc>
        <w:tc>
          <w:tcPr>
            <w:tcW w:w="1679" w:type="pct"/>
            <w:tcBorders>
              <w:top w:val="single" w:color="auto" w:sz="4" w:space="0"/>
              <w:left w:val="single" w:color="auto" w:sz="4" w:space="0"/>
              <w:bottom w:val="single" w:color="auto" w:sz="4" w:space="0"/>
              <w:right w:val="single" w:color="auto" w:sz="4" w:space="0"/>
            </w:tcBorders>
            <w:vAlign w:val="bottom"/>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141.94</w:t>
            </w:r>
          </w:p>
        </w:tc>
      </w:tr>
      <w:tr>
        <w:tblPrEx>
          <w:tblCellMar>
            <w:top w:w="15" w:type="dxa"/>
            <w:left w:w="108" w:type="dxa"/>
            <w:bottom w:w="15" w:type="dxa"/>
            <w:right w:w="108" w:type="dxa"/>
          </w:tblCellMar>
        </w:tblPrEx>
        <w:trPr>
          <w:trHeight w:val="375" w:hRule="atLeast"/>
          <w:jc w:val="center"/>
        </w:trPr>
        <w:tc>
          <w:tcPr>
            <w:tcW w:w="4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16</w:t>
            </w:r>
          </w:p>
        </w:tc>
        <w:tc>
          <w:tcPr>
            <w:tcW w:w="1081" w:type="pct"/>
            <w:tcBorders>
              <w:top w:val="single" w:color="auto" w:sz="4" w:space="0"/>
              <w:left w:val="single" w:color="auto" w:sz="4" w:space="0"/>
              <w:bottom w:val="single" w:color="auto" w:sz="4" w:space="0"/>
              <w:right w:val="single" w:color="auto" w:sz="4" w:space="0"/>
            </w:tcBorders>
            <w:vAlign w:val="bottom"/>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美丽村</w:t>
            </w:r>
          </w:p>
        </w:tc>
        <w:tc>
          <w:tcPr>
            <w:tcW w:w="1829" w:type="pct"/>
            <w:tcBorders>
              <w:top w:val="single" w:color="auto" w:sz="4" w:space="0"/>
              <w:left w:val="single" w:color="auto" w:sz="4" w:space="0"/>
              <w:bottom w:val="single" w:color="auto" w:sz="4" w:space="0"/>
              <w:right w:val="single" w:color="auto" w:sz="4" w:space="0"/>
            </w:tcBorders>
          </w:tcPr>
          <w:p>
            <w:pPr>
              <w:jc w:val="center"/>
              <w:rPr>
                <w:rFonts w:ascii="仿宋_GB2312" w:hAnsi="等线" w:eastAsia="仿宋_GB2312" w:cs="宋体"/>
                <w:color w:val="000000"/>
                <w:kern w:val="0"/>
                <w:sz w:val="24"/>
                <w:szCs w:val="24"/>
              </w:rPr>
            </w:pPr>
            <w:r>
              <w:rPr>
                <w:rFonts w:ascii="仿宋_GB2312" w:hAnsi="等线" w:eastAsia="仿宋_GB2312" w:cs="宋体"/>
                <w:color w:val="000000"/>
                <w:kern w:val="0"/>
                <w:sz w:val="24"/>
                <w:szCs w:val="24"/>
              </w:rPr>
              <w:t>88.11</w:t>
            </w:r>
          </w:p>
        </w:tc>
        <w:tc>
          <w:tcPr>
            <w:tcW w:w="167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71.17</w:t>
            </w:r>
          </w:p>
        </w:tc>
      </w:tr>
      <w:tr>
        <w:tblPrEx>
          <w:tblCellMar>
            <w:top w:w="15" w:type="dxa"/>
            <w:left w:w="108" w:type="dxa"/>
            <w:bottom w:w="15" w:type="dxa"/>
            <w:right w:w="108" w:type="dxa"/>
          </w:tblCellMar>
        </w:tblPrEx>
        <w:trPr>
          <w:trHeight w:val="375" w:hRule="atLeast"/>
          <w:jc w:val="center"/>
        </w:trPr>
        <w:tc>
          <w:tcPr>
            <w:tcW w:w="4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17</w:t>
            </w:r>
          </w:p>
        </w:tc>
        <w:tc>
          <w:tcPr>
            <w:tcW w:w="1081" w:type="pct"/>
            <w:tcBorders>
              <w:top w:val="single" w:color="auto" w:sz="4" w:space="0"/>
              <w:left w:val="single" w:color="auto" w:sz="4" w:space="0"/>
              <w:bottom w:val="single" w:color="auto" w:sz="4" w:space="0"/>
              <w:right w:val="single" w:color="auto" w:sz="4" w:space="0"/>
            </w:tcBorders>
            <w:vAlign w:val="bottom"/>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马儿石村</w:t>
            </w:r>
          </w:p>
        </w:tc>
        <w:tc>
          <w:tcPr>
            <w:tcW w:w="1829" w:type="pct"/>
            <w:tcBorders>
              <w:top w:val="single" w:color="auto" w:sz="4" w:space="0"/>
              <w:left w:val="single" w:color="auto" w:sz="4" w:space="0"/>
              <w:bottom w:val="single" w:color="auto" w:sz="4" w:space="0"/>
              <w:right w:val="single" w:color="auto" w:sz="4" w:space="0"/>
            </w:tcBorders>
          </w:tcPr>
          <w:p>
            <w:pPr>
              <w:jc w:val="center"/>
              <w:rPr>
                <w:rFonts w:ascii="仿宋_GB2312" w:hAnsi="等线" w:eastAsia="仿宋_GB2312" w:cs="宋体"/>
                <w:color w:val="000000"/>
                <w:kern w:val="0"/>
                <w:sz w:val="24"/>
                <w:szCs w:val="24"/>
              </w:rPr>
            </w:pPr>
            <w:r>
              <w:rPr>
                <w:rFonts w:ascii="仿宋_GB2312" w:hAnsi="等线" w:eastAsia="仿宋_GB2312" w:cs="宋体"/>
                <w:color w:val="000000"/>
                <w:kern w:val="0"/>
                <w:sz w:val="24"/>
                <w:szCs w:val="24"/>
              </w:rPr>
              <w:t>91.97</w:t>
            </w:r>
          </w:p>
        </w:tc>
        <w:tc>
          <w:tcPr>
            <w:tcW w:w="167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59</w:t>
            </w:r>
          </w:p>
        </w:tc>
      </w:tr>
      <w:tr>
        <w:tblPrEx>
          <w:tblCellMar>
            <w:top w:w="15" w:type="dxa"/>
            <w:left w:w="108" w:type="dxa"/>
            <w:bottom w:w="15" w:type="dxa"/>
            <w:right w:w="108" w:type="dxa"/>
          </w:tblCellMar>
        </w:tblPrEx>
        <w:trPr>
          <w:trHeight w:val="375" w:hRule="atLeast"/>
          <w:jc w:val="center"/>
        </w:trPr>
        <w:tc>
          <w:tcPr>
            <w:tcW w:w="4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18</w:t>
            </w:r>
          </w:p>
        </w:tc>
        <w:tc>
          <w:tcPr>
            <w:tcW w:w="1081" w:type="pct"/>
            <w:tcBorders>
              <w:top w:val="single" w:color="auto" w:sz="4" w:space="0"/>
              <w:left w:val="single" w:color="auto" w:sz="4" w:space="0"/>
              <w:bottom w:val="single" w:color="auto" w:sz="4" w:space="0"/>
              <w:right w:val="single" w:color="auto" w:sz="4" w:space="0"/>
            </w:tcBorders>
            <w:vAlign w:val="bottom"/>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张坳口村</w:t>
            </w:r>
          </w:p>
        </w:tc>
        <w:tc>
          <w:tcPr>
            <w:tcW w:w="1829" w:type="pct"/>
            <w:tcBorders>
              <w:top w:val="single" w:color="auto" w:sz="4" w:space="0"/>
              <w:left w:val="single" w:color="auto" w:sz="4" w:space="0"/>
              <w:bottom w:val="single" w:color="auto" w:sz="4" w:space="0"/>
              <w:right w:val="single" w:color="auto" w:sz="4" w:space="0"/>
            </w:tcBorders>
          </w:tcPr>
          <w:p>
            <w:pPr>
              <w:jc w:val="center"/>
              <w:rPr>
                <w:rFonts w:ascii="仿宋_GB2312" w:hAnsi="等线" w:eastAsia="仿宋_GB2312" w:cs="宋体"/>
                <w:color w:val="000000"/>
                <w:kern w:val="0"/>
                <w:sz w:val="24"/>
                <w:szCs w:val="24"/>
              </w:rPr>
            </w:pPr>
            <w:r>
              <w:rPr>
                <w:rFonts w:ascii="仿宋_GB2312" w:hAnsi="等线" w:eastAsia="仿宋_GB2312" w:cs="宋体"/>
                <w:color w:val="000000"/>
                <w:kern w:val="0"/>
                <w:sz w:val="24"/>
                <w:szCs w:val="24"/>
              </w:rPr>
              <w:t>164.62</w:t>
            </w:r>
          </w:p>
        </w:tc>
        <w:tc>
          <w:tcPr>
            <w:tcW w:w="1679" w:type="pct"/>
            <w:tcBorders>
              <w:top w:val="single" w:color="auto" w:sz="4" w:space="0"/>
              <w:left w:val="single" w:color="auto" w:sz="4" w:space="0"/>
              <w:bottom w:val="single" w:color="auto" w:sz="4" w:space="0"/>
              <w:right w:val="single" w:color="auto" w:sz="4" w:space="0"/>
            </w:tcBorders>
            <w:vAlign w:val="bottom"/>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130.85</w:t>
            </w:r>
          </w:p>
        </w:tc>
      </w:tr>
      <w:tr>
        <w:tblPrEx>
          <w:tblCellMar>
            <w:top w:w="15" w:type="dxa"/>
            <w:left w:w="108" w:type="dxa"/>
            <w:bottom w:w="15" w:type="dxa"/>
            <w:right w:w="108" w:type="dxa"/>
          </w:tblCellMar>
        </w:tblPrEx>
        <w:trPr>
          <w:trHeight w:val="375" w:hRule="atLeast"/>
          <w:jc w:val="center"/>
        </w:trPr>
        <w:tc>
          <w:tcPr>
            <w:tcW w:w="4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19</w:t>
            </w:r>
          </w:p>
        </w:tc>
        <w:tc>
          <w:tcPr>
            <w:tcW w:w="1081" w:type="pct"/>
            <w:tcBorders>
              <w:top w:val="single" w:color="auto" w:sz="4" w:space="0"/>
              <w:left w:val="single" w:color="auto" w:sz="4" w:space="0"/>
              <w:bottom w:val="single" w:color="auto" w:sz="4" w:space="0"/>
              <w:right w:val="single" w:color="auto" w:sz="4" w:space="0"/>
            </w:tcBorders>
            <w:vAlign w:val="bottom"/>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大桥村</w:t>
            </w:r>
          </w:p>
        </w:tc>
        <w:tc>
          <w:tcPr>
            <w:tcW w:w="1829" w:type="pct"/>
            <w:tcBorders>
              <w:top w:val="single" w:color="auto" w:sz="4" w:space="0"/>
              <w:left w:val="single" w:color="auto" w:sz="4" w:space="0"/>
              <w:bottom w:val="single" w:color="auto" w:sz="4" w:space="0"/>
              <w:right w:val="single" w:color="auto" w:sz="4" w:space="0"/>
            </w:tcBorders>
          </w:tcPr>
          <w:p>
            <w:pPr>
              <w:jc w:val="center"/>
              <w:rPr>
                <w:rFonts w:ascii="仿宋_GB2312" w:hAnsi="等线" w:eastAsia="仿宋_GB2312" w:cs="宋体"/>
                <w:color w:val="000000"/>
                <w:kern w:val="0"/>
                <w:sz w:val="24"/>
                <w:szCs w:val="24"/>
              </w:rPr>
            </w:pPr>
            <w:r>
              <w:rPr>
                <w:rFonts w:ascii="仿宋_GB2312" w:hAnsi="等线" w:eastAsia="仿宋_GB2312" w:cs="宋体"/>
                <w:color w:val="000000"/>
                <w:kern w:val="0"/>
                <w:sz w:val="24"/>
                <w:szCs w:val="24"/>
              </w:rPr>
              <w:t>185.01</w:t>
            </w:r>
          </w:p>
        </w:tc>
        <w:tc>
          <w:tcPr>
            <w:tcW w:w="1679"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160.12</w:t>
            </w:r>
          </w:p>
        </w:tc>
      </w:tr>
      <w:tr>
        <w:tblPrEx>
          <w:tblCellMar>
            <w:top w:w="15" w:type="dxa"/>
            <w:left w:w="108" w:type="dxa"/>
            <w:bottom w:w="15" w:type="dxa"/>
            <w:right w:w="108" w:type="dxa"/>
          </w:tblCellMar>
        </w:tblPrEx>
        <w:trPr>
          <w:trHeight w:val="285" w:hRule="atLeast"/>
          <w:jc w:val="center"/>
        </w:trPr>
        <w:tc>
          <w:tcPr>
            <w:tcW w:w="1492" w:type="pct"/>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合计</w:t>
            </w:r>
          </w:p>
        </w:tc>
        <w:tc>
          <w:tcPr>
            <w:tcW w:w="1829" w:type="pct"/>
            <w:tcBorders>
              <w:top w:val="single" w:color="auto" w:sz="4" w:space="0"/>
              <w:left w:val="single" w:color="auto" w:sz="4" w:space="0"/>
              <w:bottom w:val="single" w:color="auto" w:sz="4" w:space="0"/>
              <w:right w:val="single" w:color="auto" w:sz="4" w:space="0"/>
            </w:tcBorders>
            <w:noWrap/>
          </w:tcPr>
          <w:p>
            <w:pPr>
              <w:jc w:val="center"/>
              <w:rPr>
                <w:rFonts w:ascii="仿宋_GB2312" w:hAnsi="等线" w:eastAsia="仿宋_GB2312" w:cs="宋体"/>
                <w:color w:val="000000"/>
                <w:kern w:val="0"/>
                <w:sz w:val="24"/>
                <w:szCs w:val="24"/>
              </w:rPr>
            </w:pPr>
            <w:r>
              <w:rPr>
                <w:rFonts w:ascii="仿宋_GB2312" w:hAnsi="等线" w:eastAsia="仿宋_GB2312" w:cs="宋体"/>
                <w:color w:val="000000"/>
                <w:kern w:val="0"/>
                <w:sz w:val="24"/>
                <w:szCs w:val="24"/>
              </w:rPr>
              <w:t>2581</w:t>
            </w:r>
            <w:r>
              <w:rPr>
                <w:rFonts w:hint="eastAsia" w:ascii="仿宋_GB2312" w:hAnsi="等线" w:eastAsia="仿宋_GB2312" w:cs="宋体"/>
                <w:color w:val="000000"/>
                <w:kern w:val="0"/>
                <w:sz w:val="24"/>
                <w:szCs w:val="24"/>
              </w:rPr>
              <w:t>．83</w:t>
            </w:r>
          </w:p>
        </w:tc>
        <w:tc>
          <w:tcPr>
            <w:tcW w:w="1679" w:type="pct"/>
            <w:tcBorders>
              <w:top w:val="single" w:color="auto" w:sz="4" w:space="0"/>
              <w:left w:val="single" w:color="auto" w:sz="4" w:space="0"/>
              <w:bottom w:val="single" w:color="auto" w:sz="4" w:space="0"/>
              <w:right w:val="single" w:color="auto" w:sz="4" w:space="0"/>
            </w:tcBorders>
            <w:noWrap/>
          </w:tcPr>
          <w:p>
            <w:pPr>
              <w:jc w:val="center"/>
              <w:rPr>
                <w:rFonts w:ascii="仿宋_GB2312" w:hAnsi="等线" w:eastAsia="仿宋_GB2312" w:cs="宋体"/>
                <w:color w:val="000000"/>
                <w:kern w:val="0"/>
                <w:sz w:val="24"/>
                <w:szCs w:val="24"/>
              </w:rPr>
            </w:pPr>
            <w:r>
              <w:rPr>
                <w:rFonts w:ascii="仿宋_GB2312" w:hAnsi="等线" w:eastAsia="仿宋_GB2312" w:cs="宋体"/>
                <w:color w:val="000000"/>
                <w:kern w:val="0"/>
                <w:sz w:val="24"/>
                <w:szCs w:val="24"/>
              </w:rPr>
              <w:t>2036</w:t>
            </w:r>
          </w:p>
        </w:tc>
      </w:tr>
    </w:tbl>
    <w:p>
      <w:pPr>
        <w:pStyle w:val="3"/>
      </w:pPr>
      <w:bookmarkStart w:id="40" w:name="_Toc486428862"/>
      <w:r>
        <w:rPr>
          <w:rFonts w:hint="eastAsia"/>
        </w:rPr>
        <w:t>（二）土地综合整治</w:t>
      </w:r>
      <w:bookmarkEnd w:id="40"/>
    </w:p>
    <w:p>
      <w:pPr>
        <w:pStyle w:val="4"/>
        <w:ind w:firstLine="562"/>
      </w:pPr>
      <w:r>
        <w:t>1</w:t>
      </w:r>
      <w:r>
        <w:rPr>
          <w:rFonts w:hint="eastAsia"/>
        </w:rPr>
        <w:t>．土地整治安排的要求</w:t>
      </w:r>
    </w:p>
    <w:p>
      <w:pPr>
        <w:ind w:firstLine="560" w:firstLineChars="200"/>
        <w:rPr>
          <w:rFonts w:ascii="仿宋_GB2312" w:hAnsi="宋体" w:eastAsia="仿宋_GB2312"/>
          <w:sz w:val="28"/>
          <w:szCs w:val="28"/>
        </w:rPr>
      </w:pPr>
      <w:r>
        <w:rPr>
          <w:rFonts w:hint="eastAsia" w:ascii="仿宋_GB2312" w:hAnsi="宋体" w:eastAsia="仿宋_GB2312"/>
          <w:sz w:val="28"/>
          <w:szCs w:val="28"/>
        </w:rPr>
        <w:t>（1）石麟镇土地整治安排要做到与经济社会发展规划、城乡建设规划、产业发展规划、基础设施建设规划、生态建设和环境保护规划、基本农田保护规划等相协调，以提高规划的针对性和可操作性。</w:t>
      </w:r>
    </w:p>
    <w:p>
      <w:pPr>
        <w:ind w:firstLine="560" w:firstLineChars="200"/>
        <w:rPr>
          <w:rFonts w:ascii="仿宋_GB2312" w:hAnsi="宋体" w:eastAsia="仿宋_GB2312"/>
          <w:sz w:val="28"/>
          <w:szCs w:val="28"/>
        </w:rPr>
      </w:pPr>
      <w:r>
        <w:rPr>
          <w:rFonts w:hint="eastAsia" w:ascii="仿宋_GB2312" w:hAnsi="宋体" w:eastAsia="仿宋_GB2312"/>
          <w:sz w:val="28"/>
          <w:szCs w:val="28"/>
        </w:rPr>
        <w:t>（2）土地整治安排，是在深入调查分析各类土地整治潜力的基础上，综合考虑经济社会发展状况、改善生产生活的愿望和能力以及资金保障水平，来明确土地整治的类型、规模和布局，并确定土地整治重点区域和重点项目。</w:t>
      </w:r>
    </w:p>
    <w:p>
      <w:pPr>
        <w:ind w:firstLine="560" w:firstLineChars="200"/>
        <w:rPr>
          <w:rFonts w:ascii="仿宋_GB2312" w:hAnsi="宋体" w:eastAsia="仿宋_GB2312"/>
          <w:sz w:val="28"/>
          <w:szCs w:val="28"/>
        </w:rPr>
      </w:pPr>
      <w:r>
        <w:rPr>
          <w:rFonts w:hint="eastAsia" w:ascii="仿宋_GB2312" w:hAnsi="宋体" w:eastAsia="仿宋_GB2312"/>
          <w:sz w:val="28"/>
          <w:szCs w:val="28"/>
        </w:rPr>
        <w:t>（3）农村土地整治安排，要注重保持农村风貌和当地特色，保留传统农耕文化和民俗文化中的积极元素，保护农村人文景观和生态环境。</w:t>
      </w:r>
    </w:p>
    <w:p>
      <w:pPr>
        <w:ind w:firstLine="560" w:firstLineChars="200"/>
        <w:rPr>
          <w:rFonts w:ascii="仿宋_GB2312" w:hAnsi="宋体" w:eastAsia="仿宋_GB2312"/>
          <w:sz w:val="28"/>
          <w:szCs w:val="28"/>
        </w:rPr>
      </w:pPr>
      <w:r>
        <w:rPr>
          <w:rFonts w:hint="eastAsia" w:ascii="仿宋_GB2312" w:hAnsi="宋体" w:eastAsia="仿宋_GB2312"/>
          <w:sz w:val="28"/>
          <w:szCs w:val="28"/>
        </w:rPr>
        <w:t>（4）农村土地整治安排，要充分尊重农民意愿，切实维护农民权益。在整治方式、旧房拆迁、新居建设等方面要为农民提供多种选择。</w:t>
      </w:r>
    </w:p>
    <w:p>
      <w:pPr>
        <w:pStyle w:val="4"/>
        <w:ind w:firstLine="562"/>
      </w:pPr>
      <w:r>
        <w:t>3</w:t>
      </w:r>
      <w:r>
        <w:rPr>
          <w:rFonts w:hint="eastAsia"/>
        </w:rPr>
        <w:t>．土地整治规划方案与布局</w:t>
      </w:r>
    </w:p>
    <w:p>
      <w:pPr>
        <w:ind w:firstLine="560" w:firstLineChars="200"/>
        <w:rPr>
          <w:rFonts w:ascii="仿宋_GB2312" w:hAnsi="宋体" w:eastAsia="仿宋_GB2312"/>
          <w:sz w:val="28"/>
          <w:szCs w:val="28"/>
        </w:rPr>
      </w:pPr>
      <w:r>
        <w:rPr>
          <w:rFonts w:hint="eastAsia" w:ascii="仿宋_GB2312" w:hAnsi="宋体" w:eastAsia="仿宋_GB2312"/>
          <w:sz w:val="28"/>
          <w:szCs w:val="28"/>
        </w:rPr>
        <w:t>（1）农用地整理规划</w:t>
      </w:r>
    </w:p>
    <w:p>
      <w:pPr>
        <w:ind w:firstLine="560" w:firstLineChars="200"/>
        <w:rPr>
          <w:rFonts w:ascii="仿宋_GB2312" w:hAnsi="宋体" w:eastAsia="仿宋_GB2312"/>
          <w:sz w:val="28"/>
          <w:szCs w:val="28"/>
        </w:rPr>
      </w:pPr>
      <w:r>
        <w:rPr>
          <w:rFonts w:hint="eastAsia" w:ascii="仿宋_GB2312" w:hAnsi="宋体" w:eastAsia="仿宋_GB2312"/>
          <w:sz w:val="28"/>
          <w:szCs w:val="28"/>
        </w:rPr>
        <w:t>农用地整理范围区安排在基本农田保护区内，未与非农建设用地规划区重合。本着“先易后难”、“集中成片”的原则，选择地理条件、社会经济相对较好的村社优先开展农用地整理。规划期内，全镇农用地整理规模为</w:t>
      </w:r>
      <w:r>
        <w:rPr>
          <w:rFonts w:ascii="仿宋_GB2312" w:hAnsi="宋体" w:eastAsia="仿宋_GB2312"/>
          <w:sz w:val="28"/>
          <w:szCs w:val="28"/>
        </w:rPr>
        <w:t>2300</w:t>
      </w:r>
      <w:r>
        <w:rPr>
          <w:rFonts w:hint="eastAsia" w:ascii="仿宋_GB2312" w:hAnsi="宋体" w:eastAsia="仿宋_GB2312"/>
          <w:sz w:val="28"/>
          <w:szCs w:val="28"/>
        </w:rPr>
        <w:t>公顷，新增耕地面积</w:t>
      </w:r>
      <w:r>
        <w:rPr>
          <w:rFonts w:ascii="仿宋_GB2312" w:hAnsi="宋体" w:eastAsia="仿宋_GB2312"/>
          <w:sz w:val="28"/>
          <w:szCs w:val="28"/>
        </w:rPr>
        <w:t>260</w:t>
      </w:r>
      <w:r>
        <w:rPr>
          <w:rFonts w:hint="eastAsia" w:ascii="仿宋_GB2312" w:hAnsi="宋体" w:eastAsia="仿宋_GB2312"/>
          <w:sz w:val="28"/>
          <w:szCs w:val="28"/>
        </w:rPr>
        <w:t>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（2）农村建设用地整理规划</w:t>
      </w:r>
    </w:p>
    <w:p>
      <w:pPr>
        <w:ind w:firstLine="560" w:firstLineChars="200"/>
        <w:rPr>
          <w:rFonts w:ascii="仿宋_GB2312" w:hAnsi="宋体" w:eastAsia="仿宋_GB2312"/>
          <w:sz w:val="28"/>
          <w:szCs w:val="28"/>
        </w:rPr>
      </w:pPr>
      <w:r>
        <w:rPr>
          <w:rFonts w:hint="eastAsia" w:ascii="仿宋_GB2312" w:hAnsi="宋体" w:eastAsia="仿宋_GB2312"/>
          <w:sz w:val="28"/>
          <w:szCs w:val="28"/>
        </w:rPr>
        <w:t>农村建设用地整理优先在基本农田区内开展，利于基本农田成片保护，且有利于促进当地产业发展。集中居住区的规划与城乡建设规划和新农村建设规划相结合，靠近城镇的整理区安排在城镇规划用地区内，远离城镇的整理区就近安排。通过村庄建设统一规划和空心村改造、迁村并点、宅基地调整、村内道路和供排水等基础设施的统一规划和建设，挖掘土地利用潜力，提高土地集约化利用程度，改善农村居民生活条件，美化居住环境。</w:t>
      </w:r>
    </w:p>
    <w:p>
      <w:pPr>
        <w:pStyle w:val="3"/>
      </w:pPr>
      <w:bookmarkStart w:id="41" w:name="_Toc248830949"/>
      <w:bookmarkStart w:id="42" w:name="_Toc248831121"/>
      <w:bookmarkStart w:id="43" w:name="_Toc256352745"/>
      <w:bookmarkStart w:id="44" w:name="_Toc259716783"/>
      <w:bookmarkStart w:id="45" w:name="_Toc271189974"/>
      <w:bookmarkStart w:id="46" w:name="_Toc272826225"/>
      <w:bookmarkStart w:id="47" w:name="_Toc288825067"/>
      <w:bookmarkStart w:id="48" w:name="_Toc357580158"/>
      <w:bookmarkStart w:id="49" w:name="_Toc486428863"/>
      <w:r>
        <w:rPr>
          <w:rFonts w:hint="eastAsia"/>
        </w:rPr>
        <w:t>（三）基本农田数量保护、质量建设和管护的措施</w:t>
      </w:r>
      <w:bookmarkEnd w:id="41"/>
      <w:bookmarkEnd w:id="42"/>
      <w:bookmarkEnd w:id="43"/>
      <w:bookmarkEnd w:id="44"/>
      <w:bookmarkEnd w:id="45"/>
      <w:bookmarkEnd w:id="46"/>
      <w:bookmarkEnd w:id="47"/>
      <w:bookmarkEnd w:id="48"/>
      <w:bookmarkEnd w:id="49"/>
    </w:p>
    <w:p>
      <w:pPr>
        <w:pStyle w:val="4"/>
        <w:ind w:firstLine="562"/>
      </w:pPr>
      <w:r>
        <w:rPr>
          <w:rFonts w:hint="eastAsia"/>
        </w:rPr>
        <w:t>1．合理划定基本农田</w:t>
      </w:r>
    </w:p>
    <w:p>
      <w:pPr>
        <w:ind w:firstLine="560" w:firstLineChars="200"/>
        <w:rPr>
          <w:rFonts w:ascii="仿宋_GB2312" w:hAnsi="宋体" w:eastAsia="仿宋_GB2312"/>
          <w:sz w:val="28"/>
          <w:szCs w:val="28"/>
        </w:rPr>
      </w:pPr>
      <w:r>
        <w:rPr>
          <w:rFonts w:hint="eastAsia" w:ascii="仿宋_GB2312" w:hAnsi="宋体" w:eastAsia="仿宋_GB2312"/>
          <w:sz w:val="28"/>
          <w:szCs w:val="28"/>
        </w:rPr>
        <w:t>按照“面积不减少，质量有提高，布局总体稳定”的原则，合理划定基本农田，并落实到地块。参照农用地分等定级成果，将大面积、集中连片、高质量等级、农业基础条件较好的耕园地划入基本农田保护范围，土地开发整理复垦新增加优质耕地优先划入基本农田。新调整划定的基本农田平均质量等级应高于原有的平均质量等级。上级下达全镇基本农田保护面积目标任务为</w:t>
      </w:r>
      <w:r>
        <w:rPr>
          <w:rFonts w:ascii="仿宋_GB2312" w:hAnsi="宋体" w:eastAsia="仿宋_GB2312"/>
          <w:sz w:val="28"/>
          <w:szCs w:val="28"/>
        </w:rPr>
        <w:t>2036</w:t>
      </w:r>
      <w:r>
        <w:rPr>
          <w:rFonts w:hint="eastAsia" w:ascii="仿宋_GB2312" w:hAnsi="宋体" w:eastAsia="仿宋_GB2312"/>
          <w:sz w:val="28"/>
          <w:szCs w:val="28"/>
        </w:rPr>
        <w:t>公顷。</w:t>
      </w:r>
    </w:p>
    <w:p>
      <w:pPr>
        <w:pStyle w:val="4"/>
        <w:ind w:firstLine="562"/>
      </w:pPr>
      <w:r>
        <w:rPr>
          <w:rFonts w:hint="eastAsia"/>
        </w:rPr>
        <w:t>2．合理布局基本农田</w:t>
      </w:r>
    </w:p>
    <w:p>
      <w:pPr>
        <w:ind w:firstLine="560" w:firstLineChars="200"/>
        <w:rPr>
          <w:rFonts w:ascii="仿宋_GB2312" w:hAnsi="宋体" w:eastAsia="仿宋_GB2312"/>
          <w:sz w:val="28"/>
          <w:szCs w:val="28"/>
        </w:rPr>
      </w:pPr>
      <w:r>
        <w:rPr>
          <w:rFonts w:hint="eastAsia" w:ascii="仿宋_GB2312" w:hAnsi="宋体" w:eastAsia="仿宋_GB2312"/>
          <w:sz w:val="28"/>
          <w:szCs w:val="28"/>
        </w:rPr>
        <w:t>适当调整基本农田布局，保证基本农田的稳定性。根据城镇空间拓展和产业用地布局，调出规划城镇发展区域内以及城镇周边未来建设发展范围内的现有基本农田，为城镇发展预留空间；调出低等别、质量较差易损毁、不宜农作的基本农田；调出零星破碎、区位偏僻、不易管理的基本农田以及产业发展区域内基本农田。将生产条件较好、集中连片的现有优质耕园地及土地整理复垦开发新增的优质耕地划为基本农田，保证基本农田保护面积不低于县级下达目标任务。</w:t>
      </w:r>
    </w:p>
    <w:p>
      <w:pPr>
        <w:ind w:firstLine="560" w:firstLineChars="200"/>
        <w:rPr>
          <w:rFonts w:ascii="仿宋_GB2312" w:hAnsi="宋体" w:eastAsia="仿宋_GB2312"/>
          <w:sz w:val="28"/>
          <w:szCs w:val="28"/>
        </w:rPr>
      </w:pPr>
      <w:r>
        <w:rPr>
          <w:rFonts w:hint="eastAsia" w:ascii="仿宋_GB2312" w:hAnsi="宋体" w:eastAsia="仿宋_GB2312"/>
          <w:sz w:val="28"/>
          <w:szCs w:val="28"/>
        </w:rPr>
        <w:t>全镇基本农田在县级规划基本农田保护区的基础上因规划基数、产业发展及农民集中居住区等原因对基本农田面积进行调整；将农业水利基础条件较好在2010年土地利用变更调查已变更为耕园地及土地整理复垦开发新增的优质耕地调整为基本农田。</w:t>
      </w:r>
    </w:p>
    <w:p>
      <w:pPr>
        <w:pStyle w:val="4"/>
        <w:ind w:firstLine="562"/>
      </w:pPr>
      <w:r>
        <w:rPr>
          <w:rFonts w:hint="eastAsia"/>
        </w:rPr>
        <w:t>3．加大基本农田建设力度稳步提升基本农田质量</w:t>
      </w:r>
    </w:p>
    <w:p>
      <w:pPr>
        <w:ind w:firstLine="560" w:firstLineChars="200"/>
        <w:rPr>
          <w:rFonts w:ascii="仿宋_GB2312" w:hAnsi="宋体" w:eastAsia="仿宋_GB2312"/>
          <w:sz w:val="28"/>
          <w:szCs w:val="28"/>
        </w:rPr>
      </w:pPr>
      <w:r>
        <w:rPr>
          <w:rFonts w:hint="eastAsia" w:ascii="仿宋_GB2312" w:hAnsi="宋体" w:eastAsia="仿宋_GB2312"/>
          <w:sz w:val="28"/>
          <w:szCs w:val="28"/>
        </w:rPr>
        <w:t>积极开展农田水利建设，加强坡改梯等水土保持工程建设，推广节水抗旱技术，按耕地等级实施差别化管理，重点保护优质耕地和水田，建设优质耕地和水田集中区，以提高农田利用率和产出率为目标。加强基本农田保护和高标准基本农田建设，对田水路林村等实行综合整治，不断提高基本农田质量。</w:t>
      </w:r>
    </w:p>
    <w:p>
      <w:pPr>
        <w:pStyle w:val="4"/>
        <w:ind w:firstLine="562"/>
      </w:pPr>
      <w:r>
        <w:rPr>
          <w:rFonts w:hint="eastAsia"/>
        </w:rPr>
        <w:t>4．严格落实基本农田保护制度</w:t>
      </w:r>
    </w:p>
    <w:p>
      <w:pPr>
        <w:ind w:firstLine="560" w:firstLineChars="200"/>
        <w:rPr>
          <w:rFonts w:ascii="仿宋_GB2312" w:hAnsi="宋体" w:eastAsia="仿宋_GB2312"/>
          <w:sz w:val="28"/>
          <w:szCs w:val="28"/>
        </w:rPr>
      </w:pPr>
      <w:r>
        <w:rPr>
          <w:rFonts w:hint="eastAsia" w:ascii="仿宋_GB2312" w:hAnsi="宋体" w:eastAsia="仿宋_GB2312"/>
          <w:sz w:val="28"/>
          <w:szCs w:val="28"/>
        </w:rPr>
        <w:t>除单独选址的能源、交通、水利等基础设施项目，因选址特殊无法避让基本农田的以外，其他建设项目用地一律不得占用基本农田。经依法批准占用基本农田的，必须及时补划，同时征地补偿按法定的最高标准执行，耕地开垦费按全镇最高标准缴纳。禁止违法占用基本农田进行绿色通道、绿化隔离带和防护林建设，禁止占用基本农田发展林果业和挖塘养鱼。</w:t>
      </w:r>
    </w:p>
    <w:p>
      <w:pPr>
        <w:widowControl/>
        <w:jc w:val="left"/>
        <w:rPr>
          <w:rFonts w:ascii="仿宋_GB2312" w:hAnsi="宋体" w:eastAsia="仿宋_GB2312"/>
          <w:sz w:val="28"/>
          <w:szCs w:val="28"/>
        </w:rPr>
      </w:pPr>
      <w:r>
        <w:rPr>
          <w:rFonts w:ascii="仿宋_GB2312" w:hAnsi="宋体" w:eastAsia="仿宋_GB2312"/>
          <w:sz w:val="28"/>
          <w:szCs w:val="28"/>
        </w:rPr>
        <w:br w:type="page"/>
      </w:r>
    </w:p>
    <w:p>
      <w:pPr>
        <w:ind w:firstLine="560" w:firstLineChars="200"/>
        <w:rPr>
          <w:rFonts w:ascii="仿宋_GB2312" w:hAnsi="宋体" w:eastAsia="仿宋_GB2312"/>
          <w:sz w:val="28"/>
          <w:szCs w:val="28"/>
        </w:rPr>
      </w:pPr>
    </w:p>
    <w:p>
      <w:pPr>
        <w:pStyle w:val="2"/>
      </w:pPr>
      <w:bookmarkStart w:id="50" w:name="_Toc486428864"/>
      <w:r>
        <w:rPr>
          <w:rFonts w:hint="eastAsia"/>
        </w:rPr>
        <w:t>五、建设用地规划</w:t>
      </w:r>
      <w:bookmarkEnd w:id="50"/>
    </w:p>
    <w:p>
      <w:pPr>
        <w:pStyle w:val="3"/>
      </w:pPr>
      <w:bookmarkStart w:id="51" w:name="_Toc486428865"/>
      <w:r>
        <w:rPr>
          <w:rFonts w:hint="eastAsia"/>
        </w:rPr>
        <w:t>（一）</w:t>
      </w:r>
      <w:bookmarkStart w:id="52" w:name="_Toc357580159"/>
      <w:r>
        <w:rPr>
          <w:rFonts w:hint="eastAsia"/>
        </w:rPr>
        <w:t>城镇和农村居民点用地控制</w:t>
      </w:r>
      <w:bookmarkEnd w:id="51"/>
      <w:bookmarkEnd w:id="52"/>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规划调整完善后石麟镇2020年建设用地总规模、城镇工矿规模、农村居民点用地规模，分别控制在</w:t>
      </w:r>
      <w:r>
        <w:rPr>
          <w:rFonts w:ascii="仿宋_GB2312" w:hAnsi="宋体" w:eastAsia="仿宋_GB2312"/>
          <w:sz w:val="28"/>
          <w:szCs w:val="28"/>
        </w:rPr>
        <w:t>488.49</w:t>
      </w:r>
      <w:r>
        <w:rPr>
          <w:rFonts w:hint="eastAsia" w:ascii="仿宋_GB2312" w:hAnsi="宋体" w:eastAsia="仿宋_GB2312"/>
          <w:sz w:val="28"/>
          <w:szCs w:val="28"/>
        </w:rPr>
        <w:t>公顷、</w:t>
      </w:r>
      <w:r>
        <w:rPr>
          <w:rFonts w:ascii="仿宋_GB2312" w:hAnsi="宋体" w:eastAsia="仿宋_GB2312"/>
          <w:sz w:val="28"/>
          <w:szCs w:val="28"/>
        </w:rPr>
        <w:t>82.73</w:t>
      </w:r>
      <w:r>
        <w:rPr>
          <w:rFonts w:hint="eastAsia" w:ascii="仿宋_GB2312" w:hAnsi="宋体" w:eastAsia="仿宋_GB2312"/>
          <w:sz w:val="28"/>
          <w:szCs w:val="28"/>
        </w:rPr>
        <w:t>公顷、</w:t>
      </w:r>
      <w:r>
        <w:rPr>
          <w:rFonts w:ascii="仿宋_GB2312" w:hAnsi="宋体" w:eastAsia="仿宋_GB2312"/>
          <w:sz w:val="28"/>
          <w:szCs w:val="28"/>
        </w:rPr>
        <w:t>382.49</w:t>
      </w:r>
      <w:r>
        <w:rPr>
          <w:rFonts w:hint="eastAsia" w:ascii="仿宋_GB2312" w:hAnsi="宋体" w:eastAsia="仿宋_GB2312"/>
          <w:sz w:val="28"/>
          <w:szCs w:val="28"/>
        </w:rPr>
        <w:t>公顷以内。</w:t>
      </w:r>
    </w:p>
    <w:p>
      <w:pPr>
        <w:pStyle w:val="4"/>
        <w:ind w:firstLine="562"/>
      </w:pPr>
      <w:r>
        <w:rPr>
          <w:rFonts w:hint="eastAsia"/>
        </w:rPr>
        <w:t>1．城镇建设用地调控</w:t>
      </w:r>
    </w:p>
    <w:p>
      <w:pPr>
        <w:ind w:firstLine="560" w:firstLineChars="200"/>
        <w:rPr>
          <w:rFonts w:ascii="仿宋_GB2312" w:hAnsi="宋体" w:eastAsia="仿宋_GB2312"/>
          <w:sz w:val="28"/>
          <w:szCs w:val="28"/>
        </w:rPr>
      </w:pPr>
      <w:r>
        <w:rPr>
          <w:rFonts w:hint="eastAsia" w:ascii="仿宋_GB2312" w:hAnsi="宋体" w:eastAsia="仿宋_GB2312"/>
          <w:sz w:val="28"/>
          <w:szCs w:val="28"/>
        </w:rPr>
        <w:t>城镇发展主要依托于城镇建设。城镇建设要以内涵发展为主，在充分利用存量建设用地、优化城镇建设用地结构和布局的前提下，控制城镇建设用地规模。规划调整完善后2020年全镇城镇用地规模控制在</w:t>
      </w:r>
      <w:r>
        <w:rPr>
          <w:rFonts w:ascii="仿宋_GB2312" w:hAnsi="宋体" w:eastAsia="仿宋_GB2312"/>
          <w:sz w:val="28"/>
          <w:szCs w:val="28"/>
        </w:rPr>
        <w:t>488.49</w:t>
      </w:r>
      <w:r>
        <w:rPr>
          <w:rFonts w:hint="eastAsia" w:ascii="仿宋_GB2312" w:hAnsi="宋体" w:eastAsia="仿宋_GB2312"/>
          <w:sz w:val="28"/>
          <w:szCs w:val="28"/>
        </w:rPr>
        <w:t>公顷，其中现状建设用地规模为</w:t>
      </w:r>
      <w:r>
        <w:rPr>
          <w:rFonts w:ascii="仿宋_GB2312" w:hAnsi="宋体" w:eastAsia="仿宋_GB2312"/>
          <w:sz w:val="28"/>
          <w:szCs w:val="28"/>
        </w:rPr>
        <w:t>467.43</w:t>
      </w:r>
      <w:r>
        <w:rPr>
          <w:rFonts w:hint="eastAsia" w:ascii="仿宋_GB2312" w:hAnsi="宋体" w:eastAsia="仿宋_GB2312"/>
          <w:sz w:val="28"/>
          <w:szCs w:val="28"/>
        </w:rPr>
        <w:t>公顷，新增建设用地规模为</w:t>
      </w:r>
      <w:r>
        <w:rPr>
          <w:rFonts w:ascii="仿宋_GB2312" w:hAnsi="宋体" w:eastAsia="仿宋_GB2312"/>
          <w:sz w:val="28"/>
          <w:szCs w:val="28"/>
        </w:rPr>
        <w:t>21.06</w:t>
      </w:r>
      <w:r>
        <w:rPr>
          <w:rFonts w:hint="eastAsia" w:ascii="仿宋_GB2312" w:hAnsi="宋体" w:eastAsia="仿宋_GB2312"/>
          <w:sz w:val="28"/>
          <w:szCs w:val="28"/>
        </w:rPr>
        <w:t>公顷。</w:t>
      </w:r>
    </w:p>
    <w:p>
      <w:pPr>
        <w:pStyle w:val="4"/>
        <w:ind w:firstLine="562"/>
      </w:pPr>
      <w:bookmarkStart w:id="53" w:name="_Toc271901693"/>
      <w:bookmarkStart w:id="54" w:name="_Toc272496878"/>
      <w:bookmarkStart w:id="55" w:name="_Toc272826232"/>
      <w:r>
        <w:rPr>
          <w:rFonts w:hint="eastAsia"/>
        </w:rPr>
        <w:t>2．农村居民点用地调控</w:t>
      </w:r>
      <w:bookmarkEnd w:id="53"/>
      <w:bookmarkEnd w:id="54"/>
      <w:bookmarkEnd w:id="55"/>
    </w:p>
    <w:p>
      <w:pPr>
        <w:ind w:firstLine="560" w:firstLineChars="200"/>
        <w:rPr>
          <w:rFonts w:ascii="仿宋_GB2312" w:hAnsi="宋体" w:eastAsia="仿宋_GB2312"/>
          <w:sz w:val="28"/>
          <w:szCs w:val="28"/>
        </w:rPr>
      </w:pPr>
      <w:r>
        <w:rPr>
          <w:rFonts w:hint="eastAsia" w:ascii="仿宋_GB2312" w:hAnsi="宋体" w:eastAsia="仿宋_GB2312"/>
          <w:sz w:val="28"/>
          <w:szCs w:val="28"/>
        </w:rPr>
        <w:t>按照统筹城乡发展的要求，促进城乡协调发展，增强城镇带动农村的能力，有效实施农业现代化。按照“撤并自然村、整治空心村。建设中心村”的总体思路，以“金土地工程”为载体，深入推进农村田、水、路、林、村综合整治，依托土地综合整治，推进农民集中居住，大力改善农村居民居住条件。全面推进农村新型社区建设和现代农业发展，着力打造居住与生产生活、公共服务、社会管理综合配套的新农村综合体，建设农村居民幸福美好家园。加强农村产权制度改革成果应用，创新农村农业经营方式，积极推行土地股权合作、农民专业合作等多种合作形式，繁荣发展农村经济，促进农村居民转移就业，努力在农村形成土地规模化、生产企业化、居住城镇化、收入多元化新格局。大力开展“新家园、新生活、新风尚”活动，转变农村居民生产生活方式，促进现代农村与现代城市和谐相融。</w:t>
      </w:r>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规划调整完善后2020年全镇农村居民点用地规模控制在</w:t>
      </w:r>
      <w:r>
        <w:rPr>
          <w:rFonts w:ascii="仿宋_GB2312" w:hAnsi="宋体" w:eastAsia="仿宋_GB2312"/>
          <w:sz w:val="28"/>
          <w:szCs w:val="28"/>
        </w:rPr>
        <w:t>382.49</w:t>
      </w:r>
      <w:r>
        <w:rPr>
          <w:rFonts w:hint="eastAsia" w:ascii="仿宋_GB2312" w:hAnsi="宋体" w:eastAsia="仿宋_GB2312"/>
          <w:sz w:val="28"/>
          <w:szCs w:val="28"/>
        </w:rPr>
        <w:t>公顷，其中现状建设用地规模为</w:t>
      </w:r>
      <w:r>
        <w:rPr>
          <w:rFonts w:ascii="仿宋_GB2312" w:hAnsi="宋体" w:eastAsia="仿宋_GB2312"/>
          <w:sz w:val="28"/>
          <w:szCs w:val="28"/>
        </w:rPr>
        <w:t>382.49</w:t>
      </w:r>
      <w:r>
        <w:rPr>
          <w:rFonts w:hint="eastAsia" w:ascii="仿宋_GB2312" w:hAnsi="宋体" w:eastAsia="仿宋_GB2312"/>
          <w:sz w:val="28"/>
          <w:szCs w:val="28"/>
        </w:rPr>
        <w:t>公顷，新增建设用地规模为</w:t>
      </w:r>
      <w:r>
        <w:rPr>
          <w:rFonts w:ascii="仿宋_GB2312" w:hAnsi="宋体" w:eastAsia="仿宋_GB2312"/>
          <w:sz w:val="28"/>
          <w:szCs w:val="28"/>
        </w:rPr>
        <w:t>0.00</w:t>
      </w:r>
      <w:r>
        <w:rPr>
          <w:rFonts w:hint="eastAsia" w:ascii="仿宋_GB2312" w:hAnsi="宋体" w:eastAsia="仿宋_GB2312"/>
          <w:sz w:val="28"/>
          <w:szCs w:val="28"/>
        </w:rPr>
        <w:t>公顷。农村居民点用地增量中包括易地扶贫搬迁、地质灾害搬迁等零散农村集体建设用地。</w:t>
      </w:r>
    </w:p>
    <w:p>
      <w:pPr>
        <w:pStyle w:val="3"/>
      </w:pPr>
      <w:bookmarkStart w:id="56" w:name="_Toc357580160"/>
      <w:bookmarkStart w:id="57" w:name="_Toc486428866"/>
      <w:r>
        <w:rPr>
          <w:rFonts w:hint="eastAsia"/>
        </w:rPr>
        <w:t>（二）</w:t>
      </w:r>
      <w:bookmarkEnd w:id="56"/>
      <w:r>
        <w:rPr>
          <w:rFonts w:hint="eastAsia"/>
        </w:rPr>
        <w:t>重点建设项目用地安排</w:t>
      </w:r>
      <w:bookmarkEnd w:id="57"/>
    </w:p>
    <w:p>
      <w:pPr>
        <w:ind w:firstLine="560" w:firstLineChars="200"/>
        <w:rPr>
          <w:rFonts w:ascii="仿宋_GB2312" w:hAnsi="宋体" w:eastAsia="仿宋_GB2312"/>
          <w:sz w:val="28"/>
          <w:szCs w:val="28"/>
        </w:rPr>
      </w:pPr>
      <w:r>
        <w:rPr>
          <w:rFonts w:hint="eastAsia" w:ascii="仿宋_GB2312" w:hAnsi="宋体" w:eastAsia="仿宋_GB2312"/>
          <w:sz w:val="28"/>
          <w:szCs w:val="28"/>
        </w:rPr>
        <w:t>根据省、市、县的重点建设项目安排以及“十三五”期间石麟镇社会经济发展需要，“十三五”期间全镇范围内预计将要实施的重点建设项目共计22项目，规划调整完善后，预留用于保障重点建设项目的本级新增建设用地指标</w:t>
      </w:r>
      <w:r>
        <w:rPr>
          <w:rFonts w:ascii="仿宋_GB2312" w:hAnsi="宋体" w:eastAsia="仿宋_GB2312"/>
          <w:sz w:val="28"/>
          <w:szCs w:val="28"/>
        </w:rPr>
        <w:t>6.8</w:t>
      </w:r>
      <w:r>
        <w:rPr>
          <w:rFonts w:hint="eastAsia" w:ascii="仿宋_GB2312" w:hAnsi="宋体" w:eastAsia="仿宋_GB2312"/>
          <w:sz w:val="28"/>
          <w:szCs w:val="28"/>
        </w:rPr>
        <w:t>公顷，具体项目安排如下：</w:t>
      </w:r>
    </w:p>
    <w:p>
      <w:pPr>
        <w:ind w:firstLine="560" w:firstLineChars="200"/>
        <w:rPr>
          <w:rFonts w:ascii="仿宋_GB2312" w:hAnsi="宋体" w:eastAsia="仿宋_GB2312"/>
          <w:sz w:val="28"/>
          <w:szCs w:val="28"/>
        </w:rPr>
      </w:pPr>
      <w:r>
        <w:rPr>
          <w:rFonts w:ascii="仿宋_GB2312" w:hAnsi="宋体" w:eastAsia="仿宋_GB2312"/>
          <w:sz w:val="28"/>
          <w:szCs w:val="28"/>
        </w:rPr>
        <w:t>1.</w:t>
      </w:r>
      <w:r>
        <w:rPr>
          <w:rFonts w:hint="eastAsia" w:ascii="仿宋_GB2312" w:hAnsi="宋体" w:eastAsia="仿宋_GB2312"/>
          <w:sz w:val="28"/>
          <w:szCs w:val="28"/>
        </w:rPr>
        <w:t>交通项目：县道拓宽、成昆新建双线、乐山市第二快速环线、西坝-沙湾出区公路通道、沙（湾）五（通）公路工程等共计5项；</w:t>
      </w:r>
    </w:p>
    <w:p>
      <w:pPr>
        <w:ind w:firstLine="560" w:firstLineChars="200"/>
        <w:rPr>
          <w:rFonts w:ascii="仿宋_GB2312" w:hAnsi="宋体" w:eastAsia="仿宋_GB2312"/>
          <w:sz w:val="28"/>
          <w:szCs w:val="28"/>
        </w:rPr>
      </w:pPr>
      <w:r>
        <w:rPr>
          <w:rFonts w:ascii="仿宋_GB2312" w:hAnsi="宋体" w:eastAsia="仿宋_GB2312"/>
          <w:sz w:val="28"/>
          <w:szCs w:val="28"/>
        </w:rPr>
        <w:t>2.</w:t>
      </w:r>
      <w:r>
        <w:rPr>
          <w:rFonts w:hint="eastAsia" w:ascii="仿宋_GB2312" w:hAnsi="宋体" w:eastAsia="仿宋_GB2312"/>
          <w:sz w:val="28"/>
          <w:szCs w:val="28"/>
        </w:rPr>
        <w:t>水利项目：泊滩堰罐区河湖水系连通工程（三江临港段）、岷江干流乐山段防洪工程、中小河流治理工程、小型水库工程、中小型已成灌区续建配套与节水改造工程、病险水库除险加固工程、农村饮水安全工程等共计7项；</w:t>
      </w:r>
    </w:p>
    <w:p>
      <w:pPr>
        <w:ind w:firstLine="560" w:firstLineChars="200"/>
        <w:rPr>
          <w:rFonts w:ascii="仿宋_GB2312" w:hAnsi="宋体" w:eastAsia="仿宋_GB2312"/>
          <w:sz w:val="28"/>
          <w:szCs w:val="28"/>
        </w:rPr>
      </w:pPr>
      <w:r>
        <w:rPr>
          <w:rFonts w:ascii="仿宋_GB2312" w:hAnsi="宋体" w:eastAsia="仿宋_GB2312"/>
          <w:sz w:val="28"/>
          <w:szCs w:val="28"/>
        </w:rPr>
        <w:t>3.</w:t>
      </w:r>
      <w:r>
        <w:rPr>
          <w:rFonts w:hint="eastAsia" w:ascii="仿宋_GB2312" w:hAnsi="宋体" w:eastAsia="仿宋_GB2312"/>
          <w:sz w:val="28"/>
          <w:szCs w:val="28"/>
        </w:rPr>
        <w:t>电力项目：500kv输变电工程、110kv输变电工程、35kv变电扩建工程共计3项；</w:t>
      </w:r>
    </w:p>
    <w:p>
      <w:pPr>
        <w:ind w:firstLine="560" w:firstLineChars="200"/>
        <w:rPr>
          <w:rFonts w:ascii="仿宋_GB2312" w:hAnsi="宋体" w:eastAsia="仿宋_GB2312"/>
          <w:sz w:val="28"/>
          <w:szCs w:val="28"/>
        </w:rPr>
      </w:pPr>
      <w:r>
        <w:rPr>
          <w:rFonts w:ascii="仿宋_GB2312" w:hAnsi="宋体" w:eastAsia="仿宋_GB2312"/>
          <w:sz w:val="28"/>
          <w:szCs w:val="28"/>
        </w:rPr>
        <w:t>4.</w:t>
      </w:r>
      <w:r>
        <w:rPr>
          <w:rFonts w:hint="eastAsia" w:ascii="仿宋_GB2312" w:hAnsi="宋体" w:eastAsia="仿宋_GB2312"/>
          <w:sz w:val="28"/>
          <w:szCs w:val="28"/>
        </w:rPr>
        <w:t>其他项目：加气站及输气管道、加油站及输油管道、自来水厂及供水管网工程、污水处理厂（站）及管网设施、垃圾处理厂（站）、通讯电缆工程、殡葬项目等共计7项。</w:t>
      </w:r>
    </w:p>
    <w:p>
      <w:pPr>
        <w:ind w:firstLine="560" w:firstLineChars="200"/>
        <w:rPr>
          <w:rFonts w:ascii="仿宋_GB2312" w:hAnsi="宋体" w:eastAsia="仿宋_GB2312"/>
          <w:sz w:val="28"/>
          <w:szCs w:val="28"/>
        </w:rPr>
      </w:pPr>
      <w:r>
        <w:rPr>
          <w:rFonts w:hint="eastAsia" w:ascii="仿宋_GB2312" w:hAnsi="宋体" w:eastAsia="仿宋_GB2312"/>
          <w:sz w:val="28"/>
          <w:szCs w:val="28"/>
        </w:rPr>
        <w:t>规划期内，须优先保障上述省、市、县级规划的交通、水利、电力等重点基础设施建设项目用地。同时，按照石麟镇新农村建设规划，科学合理规划乡镇公路和村社道路，全面提升乡村道等级。</w:t>
      </w:r>
    </w:p>
    <w:p>
      <w:pPr>
        <w:pStyle w:val="3"/>
      </w:pPr>
      <w:bookmarkStart w:id="58" w:name="_Toc486428867"/>
      <w:r>
        <w:rPr>
          <w:rFonts w:hint="eastAsia"/>
        </w:rPr>
        <w:t>（三）建设用地空间管制</w:t>
      </w:r>
      <w:bookmarkEnd w:id="58"/>
    </w:p>
    <w:p>
      <w:pPr>
        <w:ind w:firstLine="560" w:firstLineChars="200"/>
        <w:rPr>
          <w:rFonts w:ascii="仿宋_GB2312" w:hAnsi="宋体" w:eastAsia="仿宋_GB2312"/>
          <w:sz w:val="28"/>
          <w:szCs w:val="28"/>
        </w:rPr>
      </w:pPr>
      <w:r>
        <w:rPr>
          <w:rFonts w:hint="eastAsia" w:ascii="仿宋_GB2312" w:hAnsi="宋体" w:eastAsia="仿宋_GB2312"/>
          <w:sz w:val="28"/>
          <w:szCs w:val="28"/>
        </w:rPr>
        <w:t>根据上级下达给石麟镇的建设用地指标，在统筹存量与增量建设用地利用，结合石麟镇社会经济发展的实际，在建设用地布局适宜性评价基础上，与相关规划相协调，合理安排建设用地布局，按照建设用地空间管制规则将全镇土地划分为四个区域进行不同的管制。</w:t>
      </w:r>
    </w:p>
    <w:p>
      <w:pPr>
        <w:pStyle w:val="4"/>
        <w:ind w:firstLine="562"/>
      </w:pPr>
      <w:r>
        <w:rPr>
          <w:rFonts w:hint="eastAsia"/>
        </w:rPr>
        <w:t>1．允许建设区</w:t>
      </w:r>
    </w:p>
    <w:p>
      <w:pPr>
        <w:ind w:firstLine="560" w:firstLineChars="200"/>
        <w:rPr>
          <w:rFonts w:ascii="仿宋_GB2312" w:hAnsi="宋体" w:eastAsia="仿宋_GB2312"/>
          <w:sz w:val="28"/>
          <w:szCs w:val="28"/>
        </w:rPr>
      </w:pPr>
      <w:r>
        <w:rPr>
          <w:rFonts w:hint="eastAsia" w:ascii="仿宋_GB2312" w:hAnsi="宋体" w:eastAsia="仿宋_GB2312"/>
          <w:sz w:val="28"/>
          <w:szCs w:val="28"/>
        </w:rPr>
        <w:t>石麟镇城乡建设用地规模边界以内的区域，是规划期内新增城镇、工矿、村庄建设用地规划选址的区域，也是规划确定的城乡建设用地指标落实到空间上的预期用地区。全镇各乡村均有不同量的分布，主要集中分布在方嘴村、兴无村、杨林坳村、阳光村、共同村、水保源村、莲池村、大桥村等。该区域面积为</w:t>
      </w:r>
      <w:r>
        <w:rPr>
          <w:rFonts w:ascii="仿宋_GB2312" w:hAnsi="宋体" w:eastAsia="仿宋_GB2312"/>
          <w:sz w:val="28"/>
          <w:szCs w:val="28"/>
        </w:rPr>
        <w:t>469.31</w:t>
      </w:r>
      <w:r>
        <w:rPr>
          <w:rFonts w:hint="eastAsia" w:ascii="仿宋_GB2312" w:hAnsi="宋体" w:eastAsia="仿宋_GB2312"/>
          <w:sz w:val="28"/>
          <w:szCs w:val="28"/>
        </w:rPr>
        <w:t>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该区域是土地资源利用程度已经较高、资源环境承载能力开始减弱的区域。要改变依靠大量占用土地、大量消耗资源和大量排放污染实现经济较快增长的模式，严格各类建设用地的审批，以内涵挖潜为主，集约节约利用土地资源，把提高增长质量和效益放在首位，提升企业竞争力，继续成为带动石麟镇经济社会发展的龙头。</w:t>
      </w:r>
    </w:p>
    <w:p>
      <w:pPr>
        <w:ind w:firstLine="560" w:firstLineChars="200"/>
        <w:rPr>
          <w:rFonts w:ascii="仿宋_GB2312" w:hAnsi="宋体" w:eastAsia="仿宋_GB2312"/>
          <w:sz w:val="28"/>
          <w:szCs w:val="28"/>
        </w:rPr>
      </w:pPr>
      <w:r>
        <w:rPr>
          <w:rFonts w:hint="eastAsia" w:ascii="仿宋_GB2312" w:hAnsi="宋体" w:eastAsia="仿宋_GB2312"/>
          <w:sz w:val="28"/>
          <w:szCs w:val="28"/>
        </w:rPr>
        <w:t>管制规则：区内土地主导用途为城镇建设发展空间，具体土地利用安排应与依法批准的相关规划相协调；区内新增城乡建设用地受规划指标和年度计划指标约束，应统筹增量与存量用地，促进土地节约集约利用；允许建设区边界（规模边界）的调整，须报规划审批机关同级国土资源管理部门审查批准。</w:t>
      </w:r>
    </w:p>
    <w:p>
      <w:pPr>
        <w:pStyle w:val="4"/>
        <w:ind w:firstLine="562"/>
      </w:pPr>
      <w:r>
        <w:rPr>
          <w:rFonts w:hint="eastAsia"/>
        </w:rPr>
        <w:t>2．有条件建设区</w:t>
      </w:r>
    </w:p>
    <w:p>
      <w:pPr>
        <w:ind w:firstLine="560" w:firstLineChars="200"/>
        <w:rPr>
          <w:rFonts w:ascii="仿宋_GB2312" w:hAnsi="宋体" w:eastAsia="仿宋_GB2312"/>
          <w:sz w:val="28"/>
          <w:szCs w:val="28"/>
        </w:rPr>
      </w:pPr>
      <w:r>
        <w:rPr>
          <w:rFonts w:hint="eastAsia" w:ascii="仿宋_GB2312" w:hAnsi="宋体" w:eastAsia="仿宋_GB2312"/>
          <w:sz w:val="28"/>
          <w:szCs w:val="28"/>
        </w:rPr>
        <w:t>为适应城乡建设发展的不确定性，在城乡建设用地规模边界之外，扩展边界以内的范围。为适应城乡建设发展的不确定性，在城乡建设用地规模边界（允许建设区）之外，划定城、镇、村、工矿建设规划期内可选择布局的区域。</w:t>
      </w:r>
    </w:p>
    <w:p>
      <w:pPr>
        <w:ind w:firstLine="560" w:firstLineChars="200"/>
        <w:rPr>
          <w:rFonts w:ascii="仿宋_GB2312" w:hAnsi="宋体" w:eastAsia="仿宋_GB2312"/>
          <w:sz w:val="28"/>
          <w:szCs w:val="28"/>
        </w:rPr>
      </w:pPr>
      <w:r>
        <w:rPr>
          <w:rFonts w:hint="eastAsia" w:ascii="仿宋_GB2312" w:hAnsi="宋体" w:eastAsia="仿宋_GB2312"/>
          <w:sz w:val="28"/>
          <w:szCs w:val="28"/>
        </w:rPr>
        <w:t>有条件建设区的设立主要为适应城乡建设发展的不确定性，根据《国土资源部办公厅关于印发市县乡级土地利用总体规划编制指导意见的通知》[2009]51号文等相关文件的精神，“有条件建设区的确定，应充分考虑城市发展趋势、空间拓展模式和主要发展方向。”以此为标准划定</w:t>
      </w:r>
      <w:r>
        <w:rPr>
          <w:rFonts w:hint="eastAsia" w:ascii="仿宋_GB2312" w:hAnsi="宋体" w:eastAsia="仿宋_GB2312"/>
          <w:sz w:val="28"/>
          <w:szCs w:val="28"/>
          <w:highlight w:val="yellow"/>
        </w:rPr>
        <w:t>石麟镇有条件建设区规模为</w:t>
      </w:r>
      <w:r>
        <w:rPr>
          <w:rFonts w:ascii="仿宋_GB2312" w:hAnsi="宋体" w:eastAsia="仿宋_GB2312"/>
          <w:sz w:val="28"/>
          <w:szCs w:val="28"/>
        </w:rPr>
        <w:t>132.31</w:t>
      </w:r>
      <w:r>
        <w:rPr>
          <w:rFonts w:hint="eastAsia" w:ascii="仿宋_GB2312" w:hAnsi="宋体" w:eastAsia="仿宋_GB2312"/>
          <w:sz w:val="28"/>
          <w:szCs w:val="28"/>
          <w:highlight w:val="yellow"/>
        </w:rPr>
        <w:t>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该区域资源环境承载能力较强、经济和人口集聚条件较好的区域，因此鼓励该区域充实基础设施，改善投资创业环境，促进产业集群发展，壮大经济规模，加快工业化和城镇化，承接允许建设区内可能发生的产业转移，承接限制开发区域和禁止开发区域的人口转移，逐步成为支撑经济发展和人口集聚的重要载体。</w:t>
      </w:r>
    </w:p>
    <w:p>
      <w:pPr>
        <w:ind w:firstLine="560" w:firstLineChars="200"/>
        <w:rPr>
          <w:rFonts w:ascii="仿宋_GB2312" w:hAnsi="宋体" w:eastAsia="仿宋_GB2312"/>
          <w:sz w:val="28"/>
          <w:szCs w:val="28"/>
        </w:rPr>
      </w:pPr>
      <w:r>
        <w:rPr>
          <w:rFonts w:hint="eastAsia" w:ascii="仿宋_GB2312" w:hAnsi="宋体" w:eastAsia="仿宋_GB2312"/>
          <w:sz w:val="28"/>
          <w:szCs w:val="28"/>
        </w:rPr>
        <w:t>管制规则：区内土地符合规定的，可依程序办理建设用地审批手续，同时相应核减允许建设区用地规模；规划实施过程中，在允许建设区面积不改变的前提下，其空间布局形态可依程序进行调整，但不得突破建设用地扩展边界；区内村庄应限制新增规模，鼓励更新改造，逐步与城市功能相协调；规划期内建设用地扩展边界原则上不得调整。如需调整按规划修改处理，严格论证，报规划审批机关批准。</w:t>
      </w:r>
    </w:p>
    <w:p>
      <w:pPr>
        <w:pStyle w:val="4"/>
        <w:ind w:firstLine="562"/>
      </w:pPr>
      <w:r>
        <w:rPr>
          <w:rFonts w:hint="eastAsia"/>
        </w:rPr>
        <w:t>3．限制建设区</w:t>
      </w:r>
    </w:p>
    <w:p>
      <w:pPr>
        <w:ind w:firstLine="560" w:firstLineChars="200"/>
        <w:rPr>
          <w:rFonts w:ascii="仿宋_GB2312" w:hAnsi="宋体" w:eastAsia="仿宋_GB2312"/>
          <w:sz w:val="28"/>
          <w:szCs w:val="28"/>
        </w:rPr>
      </w:pPr>
      <w:r>
        <w:rPr>
          <w:rFonts w:hint="eastAsia" w:ascii="仿宋_GB2312" w:hAnsi="宋体" w:eastAsia="仿宋_GB2312"/>
          <w:sz w:val="28"/>
          <w:szCs w:val="28"/>
        </w:rPr>
        <w:t>该区域主要是石麟镇境内农村腹地区域，这些地区区位优势不明显，土地资源利用主要以农业为主。</w:t>
      </w:r>
      <w:r>
        <w:rPr>
          <w:rFonts w:hint="eastAsia" w:ascii="仿宋_GB2312" w:hAnsi="宋体" w:eastAsia="仿宋_GB2312"/>
          <w:sz w:val="28"/>
          <w:szCs w:val="28"/>
          <w:highlight w:val="yellow"/>
        </w:rPr>
        <w:t>该区范围面积为</w:t>
      </w:r>
      <w:r>
        <w:rPr>
          <w:rFonts w:ascii="仿宋_GB2312" w:hAnsi="宋体" w:eastAsia="仿宋_GB2312"/>
          <w:sz w:val="28"/>
          <w:szCs w:val="28"/>
        </w:rPr>
        <w:t>6779.87</w:t>
      </w:r>
      <w:r>
        <w:rPr>
          <w:rFonts w:hint="eastAsia" w:ascii="仿宋_GB2312" w:hAnsi="宋体" w:eastAsia="仿宋_GB2312"/>
          <w:sz w:val="28"/>
          <w:szCs w:val="28"/>
          <w:highlight w:val="yellow"/>
        </w:rPr>
        <w:t>公顷</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该区域必须严格贯彻生态环境保护的方针，除必要的公共建设项目和少量与资源条件紧密相关的无污染轻型工业外，严格控制建设用地的审批。尤其在生态环境脆弱、经济欠发达的地区，要根据生态环境保护的需要，因地制宜，合理安排退耕还林和土地开发整理。</w:t>
      </w:r>
    </w:p>
    <w:p>
      <w:pPr>
        <w:ind w:firstLine="560" w:firstLineChars="200"/>
        <w:rPr>
          <w:rFonts w:ascii="仿宋_GB2312" w:hAnsi="宋体" w:eastAsia="仿宋_GB2312"/>
          <w:sz w:val="28"/>
          <w:szCs w:val="28"/>
        </w:rPr>
      </w:pPr>
      <w:r>
        <w:rPr>
          <w:rFonts w:hint="eastAsia" w:ascii="仿宋_GB2312" w:hAnsi="宋体" w:eastAsia="仿宋_GB2312"/>
          <w:sz w:val="28"/>
          <w:szCs w:val="28"/>
        </w:rPr>
        <w:t>管制规则：区内土地主导用途为农业生产空间，是发展农业生产，开展土地整治和基本农田建设的主要区域；区内禁止城、镇、村建设，控制线型基础设施和独立建设项目用地。</w:t>
      </w:r>
    </w:p>
    <w:p>
      <w:pPr>
        <w:pStyle w:val="4"/>
        <w:ind w:firstLine="562"/>
      </w:pPr>
      <w:r>
        <w:rPr>
          <w:rFonts w:hint="eastAsia"/>
        </w:rPr>
        <w:t>4</w:t>
      </w:r>
      <w:r>
        <w:t>.</w:t>
      </w:r>
      <w:r>
        <w:rPr>
          <w:rFonts w:hint="eastAsia"/>
        </w:rPr>
        <w:t xml:space="preserve"> 禁止建设区</w:t>
      </w:r>
    </w:p>
    <w:p>
      <w:pPr>
        <w:ind w:firstLine="560" w:firstLineChars="200"/>
        <w:rPr>
          <w:rFonts w:ascii="仿宋_GB2312" w:hAnsi="宋体" w:eastAsia="仿宋_GB2312"/>
          <w:sz w:val="28"/>
          <w:szCs w:val="28"/>
        </w:rPr>
      </w:pPr>
      <w:r>
        <w:rPr>
          <w:rFonts w:hint="eastAsia" w:ascii="仿宋_GB2312" w:hAnsi="宋体" w:eastAsia="仿宋_GB2312"/>
          <w:sz w:val="28"/>
          <w:szCs w:val="28"/>
        </w:rPr>
        <w:t xml:space="preserve">该区主要指禁止建设用地边界所包含的空间范围，是具有重要资源、生态、环境和历史文化价值，必须禁止各类建设开发的区域。主要包含水源保护的核心区、国有林场、强水土流失区等区域。综上禁止建设区合计面积347.73公顷。该区域的管制措施主要依据法律法规规定和相关规划实行强制性保护，控制人为因素对自然生态的干扰，严禁不符合主体功能定位的开发活动。 </w:t>
      </w:r>
    </w:p>
    <w:p>
      <w:pPr>
        <w:ind w:firstLine="560" w:firstLineChars="200"/>
        <w:rPr>
          <w:rFonts w:ascii="仿宋_GB2312" w:hAnsi="宋体" w:eastAsia="仿宋_GB2312"/>
          <w:sz w:val="28"/>
          <w:szCs w:val="28"/>
        </w:rPr>
      </w:pPr>
      <w:r>
        <w:rPr>
          <w:rFonts w:hint="eastAsia" w:ascii="仿宋_GB2312" w:hAnsi="宋体" w:eastAsia="仿宋_GB2312"/>
          <w:sz w:val="28"/>
          <w:szCs w:val="28"/>
        </w:rPr>
        <w:t>管制规则：区内土地的主导用途为生态与环境保护空间，严格禁止与主导功能不相符的各项建设；除法律法规另有规定外，规划期内禁止建设用地边界不得调整。。</w:t>
      </w:r>
    </w:p>
    <w:p>
      <w:pPr>
        <w:widowControl/>
        <w:jc w:val="left"/>
        <w:rPr>
          <w:rFonts w:ascii="仿宋_GB2312" w:hAnsi="宋体" w:eastAsia="仿宋_GB2312"/>
          <w:sz w:val="28"/>
          <w:szCs w:val="28"/>
        </w:rPr>
      </w:pPr>
      <w:r>
        <w:rPr>
          <w:rFonts w:ascii="仿宋_GB2312" w:hAnsi="宋体" w:eastAsia="仿宋_GB2312"/>
          <w:sz w:val="28"/>
          <w:szCs w:val="28"/>
        </w:rPr>
        <w:br w:type="page"/>
      </w:r>
    </w:p>
    <w:p>
      <w:pPr>
        <w:ind w:firstLine="560" w:firstLineChars="200"/>
        <w:rPr>
          <w:rFonts w:ascii="仿宋_GB2312" w:hAnsi="宋体" w:eastAsia="仿宋_GB2312"/>
          <w:sz w:val="28"/>
          <w:szCs w:val="28"/>
        </w:rPr>
      </w:pPr>
    </w:p>
    <w:p>
      <w:pPr>
        <w:pStyle w:val="2"/>
      </w:pPr>
      <w:bookmarkStart w:id="59" w:name="_Toc486428868"/>
      <w:r>
        <w:rPr>
          <w:rFonts w:hint="eastAsia"/>
        </w:rPr>
        <w:t>六、用途分区</w:t>
      </w:r>
      <w:bookmarkEnd w:id="59"/>
    </w:p>
    <w:p>
      <w:pPr>
        <w:ind w:firstLine="560" w:firstLineChars="200"/>
        <w:rPr>
          <w:rFonts w:ascii="仿宋_GB2312" w:hAnsi="宋体" w:eastAsia="仿宋_GB2312"/>
          <w:sz w:val="28"/>
          <w:szCs w:val="28"/>
        </w:rPr>
      </w:pPr>
      <w:r>
        <w:rPr>
          <w:rFonts w:hint="eastAsia" w:ascii="仿宋_GB2312" w:hAnsi="宋体" w:eastAsia="仿宋_GB2312"/>
          <w:sz w:val="28"/>
          <w:szCs w:val="28"/>
        </w:rPr>
        <w:t>此次规划调整完善，按照全镇国民经济发展需要和土地利用的主要用途，将石麟镇土地划分为：基本农田保护区、一般农地区、城镇村建设用地区、独立工矿用地区、林业用地区、其他用地区等六种土地用途区。</w:t>
      </w:r>
    </w:p>
    <w:p>
      <w:pPr>
        <w:pStyle w:val="3"/>
      </w:pPr>
      <w:bookmarkStart w:id="60" w:name="_Toc259716770"/>
      <w:bookmarkStart w:id="61" w:name="_Toc271189964"/>
      <w:bookmarkStart w:id="62" w:name="_Toc272826212"/>
      <w:bookmarkStart w:id="63" w:name="_Toc288825079"/>
      <w:bookmarkStart w:id="64" w:name="_Toc357580169"/>
      <w:bookmarkStart w:id="65" w:name="_Toc486428869"/>
      <w:r>
        <w:rPr>
          <w:rFonts w:hint="eastAsia"/>
        </w:rPr>
        <w:t>（一）基本农田保护区</w:t>
      </w:r>
      <w:bookmarkEnd w:id="60"/>
      <w:bookmarkEnd w:id="61"/>
      <w:bookmarkEnd w:id="62"/>
      <w:bookmarkEnd w:id="63"/>
      <w:bookmarkEnd w:id="64"/>
      <w:bookmarkEnd w:id="65"/>
    </w:p>
    <w:p>
      <w:pPr>
        <w:ind w:firstLine="560" w:firstLineChars="200"/>
        <w:rPr>
          <w:rFonts w:ascii="仿宋_GB2312" w:hAnsi="宋体" w:eastAsia="仿宋_GB2312"/>
          <w:sz w:val="28"/>
          <w:szCs w:val="28"/>
        </w:rPr>
      </w:pPr>
      <w:r>
        <w:rPr>
          <w:rFonts w:hint="eastAsia" w:ascii="仿宋_GB2312" w:hAnsi="宋体" w:eastAsia="仿宋_GB2312"/>
          <w:sz w:val="28"/>
          <w:szCs w:val="28"/>
        </w:rPr>
        <w:t>基本农田保护区是指为对耕地及其他优质农用地进行特殊保护和管理划定的土地用途区。本区包括全镇区域内划定的基本农田以及为基本农田和生态建设服务的农村道路、农田水利、农田防护林和其他农业设施，还包括农田之间的零星土地。本区划定面积为</w:t>
      </w:r>
      <w:r>
        <w:rPr>
          <w:rFonts w:ascii="仿宋_GB2312" w:hAnsi="宋体" w:eastAsia="仿宋_GB2312"/>
          <w:sz w:val="28"/>
          <w:szCs w:val="28"/>
        </w:rPr>
        <w:t>2493.14</w:t>
      </w:r>
      <w:r>
        <w:rPr>
          <w:rFonts w:hint="eastAsia" w:ascii="仿宋_GB2312" w:hAnsi="宋体" w:eastAsia="仿宋_GB2312"/>
          <w:sz w:val="28"/>
          <w:szCs w:val="28"/>
        </w:rPr>
        <w:t>公顷，占全镇土地总面积的</w:t>
      </w:r>
      <w:r>
        <w:rPr>
          <w:rFonts w:ascii="仿宋_GB2312" w:hAnsi="宋体" w:eastAsia="仿宋_GB2312"/>
          <w:sz w:val="28"/>
          <w:szCs w:val="28"/>
        </w:rPr>
        <w:t>32.23%</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本区土地利用管制规则如下：</w:t>
      </w:r>
    </w:p>
    <w:p>
      <w:pPr>
        <w:ind w:firstLine="560" w:firstLineChars="200"/>
        <w:rPr>
          <w:rFonts w:ascii="仿宋_GB2312" w:hAnsi="宋体" w:eastAsia="仿宋_GB2312"/>
          <w:sz w:val="28"/>
          <w:szCs w:val="28"/>
        </w:rPr>
      </w:pPr>
      <w:r>
        <w:rPr>
          <w:rFonts w:hint="eastAsia" w:ascii="仿宋_GB2312" w:hAnsi="宋体" w:eastAsia="仿宋_GB2312"/>
          <w:sz w:val="28"/>
          <w:szCs w:val="28"/>
        </w:rPr>
        <w:t>（1）区内土地主要用作基本农田和直接为基本农田服务的农村道路、水利、农田防护林及其他农业设施；区内的一般耕地，应按照基本农田管制政策进行管护；</w:t>
      </w:r>
    </w:p>
    <w:p>
      <w:pPr>
        <w:ind w:firstLine="560" w:firstLineChars="200"/>
        <w:rPr>
          <w:rFonts w:ascii="仿宋_GB2312" w:hAnsi="宋体" w:eastAsia="仿宋_GB2312"/>
          <w:sz w:val="28"/>
          <w:szCs w:val="28"/>
        </w:rPr>
      </w:pPr>
      <w:r>
        <w:rPr>
          <w:rFonts w:hint="eastAsia" w:ascii="仿宋_GB2312" w:hAnsi="宋体" w:eastAsia="仿宋_GB2312"/>
          <w:sz w:val="28"/>
          <w:szCs w:val="28"/>
        </w:rPr>
        <w:t>（2）区内现有非农建设用地和其他零星农用地应当整理、复垦或调整为基本农田，规划期间确实不能复垦或调整的，可保留现状用途，但不得扩大面积；</w:t>
      </w:r>
    </w:p>
    <w:p>
      <w:pPr>
        <w:ind w:firstLine="560" w:firstLineChars="200"/>
        <w:rPr>
          <w:rFonts w:ascii="仿宋_GB2312" w:hAnsi="宋体" w:eastAsia="仿宋_GB2312"/>
          <w:sz w:val="28"/>
          <w:szCs w:val="28"/>
        </w:rPr>
      </w:pPr>
      <w:r>
        <w:rPr>
          <w:rFonts w:hint="eastAsia" w:ascii="仿宋_GB2312" w:hAnsi="宋体" w:eastAsia="仿宋_GB2312"/>
          <w:sz w:val="28"/>
          <w:szCs w:val="28"/>
        </w:rPr>
        <w:t>（3）禁止占用区内土地进行非农建设，禁止在基本农田保护区内建房、建窑、建坟、挖砂、采矿、取土、堆放固体废弃物或者进行其他破坏基本农田的活动；禁止占用基本农田发展林果业和挖塘养鱼。</w:t>
      </w:r>
    </w:p>
    <w:p>
      <w:pPr>
        <w:pStyle w:val="3"/>
      </w:pPr>
      <w:bookmarkStart w:id="66" w:name="_Toc248830941"/>
      <w:bookmarkStart w:id="67" w:name="_Toc248831113"/>
      <w:bookmarkStart w:id="68" w:name="_Toc256352736"/>
      <w:bookmarkStart w:id="69" w:name="_Toc259716771"/>
      <w:bookmarkStart w:id="70" w:name="_Toc271189965"/>
      <w:bookmarkStart w:id="71" w:name="_Toc272826213"/>
      <w:bookmarkStart w:id="72" w:name="_Toc288825080"/>
      <w:bookmarkStart w:id="73" w:name="_Toc357580170"/>
      <w:bookmarkStart w:id="74" w:name="_Toc486428870"/>
      <w:r>
        <w:rPr>
          <w:rFonts w:hint="eastAsia"/>
        </w:rPr>
        <w:t>（二）一般农地区</w:t>
      </w:r>
      <w:bookmarkEnd w:id="66"/>
      <w:bookmarkEnd w:id="67"/>
      <w:bookmarkEnd w:id="68"/>
      <w:bookmarkEnd w:id="69"/>
      <w:bookmarkEnd w:id="70"/>
      <w:bookmarkEnd w:id="71"/>
      <w:bookmarkEnd w:id="72"/>
      <w:bookmarkEnd w:id="73"/>
      <w:bookmarkEnd w:id="74"/>
    </w:p>
    <w:p>
      <w:pPr>
        <w:ind w:firstLine="560" w:firstLineChars="200"/>
        <w:rPr>
          <w:rFonts w:ascii="仿宋_GB2312" w:hAnsi="宋体" w:eastAsia="仿宋_GB2312"/>
          <w:sz w:val="28"/>
          <w:szCs w:val="28"/>
        </w:rPr>
      </w:pPr>
      <w:r>
        <w:rPr>
          <w:rFonts w:hint="eastAsia" w:ascii="仿宋_GB2312" w:hAnsi="宋体" w:eastAsia="仿宋_GB2312"/>
          <w:sz w:val="28"/>
          <w:szCs w:val="28"/>
        </w:rPr>
        <w:t>一般农地区是指基本农田保护区以外，为农业生产发展需要划定的土地用途区。本区包括现有成片的果园、桑园、茶园等种植园用地，畜禽和水产养殖用地，城镇绿化隔离带用地。本区划定面积为</w:t>
      </w:r>
      <w:r>
        <w:rPr>
          <w:rFonts w:ascii="仿宋_GB2312" w:hAnsi="宋体" w:eastAsia="仿宋_GB2312"/>
          <w:sz w:val="28"/>
          <w:szCs w:val="28"/>
        </w:rPr>
        <w:t>623.55</w:t>
      </w:r>
      <w:r>
        <w:rPr>
          <w:rFonts w:hint="eastAsia" w:ascii="仿宋_GB2312" w:hAnsi="宋体" w:eastAsia="仿宋_GB2312"/>
          <w:sz w:val="28"/>
          <w:szCs w:val="28"/>
        </w:rPr>
        <w:t>公顷，占全镇土地总面积的</w:t>
      </w:r>
      <w:r>
        <w:rPr>
          <w:rFonts w:ascii="仿宋_GB2312" w:hAnsi="宋体" w:eastAsia="仿宋_GB2312"/>
          <w:sz w:val="28"/>
          <w:szCs w:val="28"/>
        </w:rPr>
        <w:t>8.06%</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本区土地用途管制规则为：</w:t>
      </w:r>
    </w:p>
    <w:p>
      <w:pPr>
        <w:ind w:firstLine="560" w:firstLineChars="200"/>
        <w:rPr>
          <w:rFonts w:ascii="仿宋_GB2312" w:hAnsi="宋体" w:eastAsia="仿宋_GB2312"/>
          <w:sz w:val="28"/>
          <w:szCs w:val="28"/>
        </w:rPr>
      </w:pPr>
      <w:r>
        <w:rPr>
          <w:rFonts w:hint="eastAsia" w:ascii="仿宋_GB2312" w:hAnsi="宋体" w:eastAsia="仿宋_GB2312"/>
          <w:sz w:val="28"/>
          <w:szCs w:val="28"/>
        </w:rPr>
        <w:t>（1）区内土地主要为耕地、园地、畜禽水产养殖地和直接为农业生产服务的农村道路、农田水利、农田防护林及其他农业设施用地；</w:t>
      </w:r>
    </w:p>
    <w:p>
      <w:pPr>
        <w:ind w:firstLine="560" w:firstLineChars="200"/>
        <w:rPr>
          <w:rFonts w:ascii="仿宋_GB2312" w:hAnsi="宋体" w:eastAsia="仿宋_GB2312"/>
          <w:sz w:val="28"/>
          <w:szCs w:val="28"/>
        </w:rPr>
      </w:pPr>
      <w:r>
        <w:rPr>
          <w:rFonts w:hint="eastAsia" w:ascii="仿宋_GB2312" w:hAnsi="宋体" w:eastAsia="仿宋_GB2312"/>
          <w:sz w:val="28"/>
          <w:szCs w:val="28"/>
        </w:rPr>
        <w:t>（2）区内现有非农建设用地和其他零星农用地应当优先整理、复垦或调整为耕地、园地，规划期间确实不能整理、复垦或调整的，可保留现状用途，但不得扩大面积；</w:t>
      </w:r>
    </w:p>
    <w:p>
      <w:pPr>
        <w:ind w:firstLine="560" w:firstLineChars="200"/>
        <w:rPr>
          <w:rFonts w:ascii="仿宋_GB2312" w:hAnsi="宋体" w:eastAsia="仿宋_GB2312"/>
          <w:sz w:val="28"/>
          <w:szCs w:val="28"/>
        </w:rPr>
      </w:pPr>
      <w:r>
        <w:rPr>
          <w:rFonts w:hint="eastAsia" w:ascii="仿宋_GB2312" w:hAnsi="宋体" w:eastAsia="仿宋_GB2312"/>
          <w:sz w:val="28"/>
          <w:szCs w:val="28"/>
        </w:rPr>
        <w:t>（3）不得闲置、破坏、污染和荒芜区内土地。</w:t>
      </w:r>
    </w:p>
    <w:p>
      <w:pPr>
        <w:pStyle w:val="3"/>
      </w:pPr>
      <w:bookmarkStart w:id="75" w:name="_Toc302919479"/>
      <w:bookmarkStart w:id="76" w:name="_Toc302922705"/>
      <w:bookmarkStart w:id="77" w:name="_Toc357580171"/>
      <w:bookmarkStart w:id="78" w:name="_Toc486428871"/>
      <w:r>
        <w:rPr>
          <w:rFonts w:hint="eastAsia"/>
        </w:rPr>
        <w:t>（三）城镇建设用地区</w:t>
      </w:r>
      <w:bookmarkEnd w:id="75"/>
      <w:bookmarkEnd w:id="76"/>
      <w:bookmarkEnd w:id="77"/>
      <w:bookmarkEnd w:id="78"/>
    </w:p>
    <w:p>
      <w:pPr>
        <w:ind w:firstLine="560" w:firstLineChars="200"/>
        <w:rPr>
          <w:rFonts w:ascii="仿宋_GB2312" w:hAnsi="宋体" w:eastAsia="仿宋_GB2312"/>
          <w:sz w:val="28"/>
          <w:szCs w:val="28"/>
        </w:rPr>
      </w:pPr>
      <w:r>
        <w:rPr>
          <w:rFonts w:hint="eastAsia" w:ascii="仿宋_GB2312" w:hAnsi="宋体" w:eastAsia="仿宋_GB2312"/>
          <w:sz w:val="28"/>
          <w:szCs w:val="28"/>
        </w:rPr>
        <w:t>城镇建设用地区是指为建制镇（含各类开发区和园区）建设需要划定的土地用途区。本区主要包括现有城镇建设用地，规划期间新增的城镇建设发展用地，附属于城镇和村镇的开发区、工业小区等现状及规划建设用地。本区划定面积为</w:t>
      </w:r>
      <w:r>
        <w:rPr>
          <w:rFonts w:ascii="仿宋_GB2312" w:hAnsi="宋体" w:eastAsia="仿宋_GB2312"/>
          <w:sz w:val="28"/>
          <w:szCs w:val="28"/>
        </w:rPr>
        <w:t>39.06</w:t>
      </w:r>
      <w:r>
        <w:rPr>
          <w:rFonts w:hint="eastAsia" w:ascii="仿宋_GB2312" w:hAnsi="宋体" w:eastAsia="仿宋_GB2312"/>
          <w:sz w:val="28"/>
          <w:szCs w:val="28"/>
        </w:rPr>
        <w:t>公顷，占全镇土地总面积的</w:t>
      </w:r>
      <w:r>
        <w:rPr>
          <w:rFonts w:ascii="仿宋_GB2312" w:hAnsi="宋体" w:eastAsia="仿宋_GB2312"/>
          <w:sz w:val="28"/>
          <w:szCs w:val="28"/>
        </w:rPr>
        <w:t>0.51%</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本区土地用途管制规则为：</w:t>
      </w:r>
    </w:p>
    <w:p>
      <w:pPr>
        <w:ind w:firstLine="560" w:firstLineChars="200"/>
        <w:rPr>
          <w:rFonts w:ascii="仿宋_GB2312" w:hAnsi="宋体" w:eastAsia="仿宋_GB2312"/>
          <w:sz w:val="28"/>
          <w:szCs w:val="28"/>
        </w:rPr>
      </w:pPr>
      <w:r>
        <w:rPr>
          <w:rFonts w:hint="eastAsia" w:ascii="仿宋_GB2312" w:hAnsi="宋体" w:eastAsia="仿宋_GB2312"/>
          <w:sz w:val="28"/>
          <w:szCs w:val="28"/>
        </w:rPr>
        <w:t>（1）区内土地主要用于城镇建设，须符合经批准的城镇建设规划；</w:t>
      </w:r>
    </w:p>
    <w:p>
      <w:pPr>
        <w:ind w:firstLine="560" w:firstLineChars="200"/>
        <w:rPr>
          <w:rFonts w:ascii="仿宋_GB2312" w:hAnsi="宋体" w:eastAsia="仿宋_GB2312"/>
          <w:sz w:val="28"/>
          <w:szCs w:val="28"/>
        </w:rPr>
      </w:pPr>
      <w:r>
        <w:rPr>
          <w:rFonts w:hint="eastAsia" w:ascii="仿宋_GB2312" w:hAnsi="宋体" w:eastAsia="仿宋_GB2312"/>
          <w:sz w:val="28"/>
          <w:szCs w:val="28"/>
        </w:rPr>
        <w:t>（2）区内城镇建设应优先利用现有低效建设用地、闲置地和废弃地；</w:t>
      </w:r>
    </w:p>
    <w:p>
      <w:pPr>
        <w:ind w:firstLine="560" w:firstLineChars="200"/>
        <w:rPr>
          <w:rFonts w:ascii="仿宋_GB2312" w:hAnsi="宋体" w:eastAsia="仿宋_GB2312"/>
          <w:sz w:val="28"/>
          <w:szCs w:val="28"/>
        </w:rPr>
      </w:pPr>
      <w:r>
        <w:rPr>
          <w:rFonts w:hint="eastAsia" w:ascii="仿宋_GB2312" w:hAnsi="宋体" w:eastAsia="仿宋_GB2312"/>
          <w:sz w:val="28"/>
          <w:szCs w:val="28"/>
        </w:rPr>
        <w:t>（3）区内农用地在批准改变用途之前，应当按原用途使用，不得荒芜。</w:t>
      </w:r>
    </w:p>
    <w:p>
      <w:pPr>
        <w:pStyle w:val="3"/>
      </w:pPr>
      <w:bookmarkStart w:id="79" w:name="_Toc248830943"/>
      <w:bookmarkStart w:id="80" w:name="_Toc248831115"/>
      <w:bookmarkStart w:id="81" w:name="_Toc256352738"/>
      <w:bookmarkStart w:id="82" w:name="_Toc259716773"/>
      <w:bookmarkStart w:id="83" w:name="_Toc271189966"/>
      <w:bookmarkStart w:id="84" w:name="_Toc272826214"/>
      <w:bookmarkStart w:id="85" w:name="_Toc288825081"/>
      <w:bookmarkStart w:id="86" w:name="_Toc357580172"/>
      <w:bookmarkStart w:id="87" w:name="_Toc486428872"/>
      <w:r>
        <w:rPr>
          <w:rFonts w:hint="eastAsia"/>
        </w:rPr>
        <w:t>（四）村镇建设用地区</w:t>
      </w:r>
      <w:bookmarkEnd w:id="79"/>
      <w:bookmarkEnd w:id="80"/>
      <w:bookmarkEnd w:id="81"/>
      <w:bookmarkEnd w:id="82"/>
      <w:bookmarkEnd w:id="83"/>
      <w:bookmarkEnd w:id="84"/>
      <w:bookmarkEnd w:id="85"/>
      <w:bookmarkEnd w:id="86"/>
      <w:bookmarkEnd w:id="87"/>
    </w:p>
    <w:p>
      <w:pPr>
        <w:ind w:firstLine="560" w:firstLineChars="200"/>
        <w:rPr>
          <w:rFonts w:ascii="仿宋_GB2312" w:hAnsi="宋体" w:eastAsia="仿宋_GB2312"/>
          <w:sz w:val="28"/>
          <w:szCs w:val="28"/>
        </w:rPr>
      </w:pPr>
      <w:r>
        <w:rPr>
          <w:rFonts w:hint="eastAsia" w:ascii="仿宋_GB2312" w:hAnsi="宋体" w:eastAsia="仿宋_GB2312"/>
          <w:sz w:val="28"/>
          <w:szCs w:val="28"/>
        </w:rPr>
        <w:t>村镇建设用地区是指为农村居民点（村庄和集镇）建设需要划定的土地用途区。本区主要包括现有集镇和农民集中居住区建设用地，规划期间新增的农民集中居住区建设发展用地。本区划定面积为</w:t>
      </w:r>
      <w:r>
        <w:rPr>
          <w:rFonts w:ascii="仿宋_GB2312" w:hAnsi="宋体" w:eastAsia="仿宋_GB2312"/>
          <w:sz w:val="28"/>
          <w:szCs w:val="28"/>
        </w:rPr>
        <w:t>386.07</w:t>
      </w:r>
      <w:r>
        <w:rPr>
          <w:rFonts w:hint="eastAsia" w:ascii="仿宋_GB2312" w:hAnsi="宋体" w:eastAsia="仿宋_GB2312"/>
          <w:sz w:val="28"/>
          <w:szCs w:val="28"/>
        </w:rPr>
        <w:t>公顷，占全镇土地总面积的</w:t>
      </w:r>
      <w:r>
        <w:rPr>
          <w:rFonts w:ascii="仿宋_GB2312" w:hAnsi="宋体" w:eastAsia="仿宋_GB2312"/>
          <w:sz w:val="28"/>
          <w:szCs w:val="28"/>
        </w:rPr>
        <w:t>4.99%</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本区土地用途管制规则为：</w:t>
      </w:r>
    </w:p>
    <w:p>
      <w:pPr>
        <w:ind w:firstLine="560" w:firstLineChars="200"/>
        <w:rPr>
          <w:rFonts w:ascii="仿宋_GB2312" w:hAnsi="宋体" w:eastAsia="仿宋_GB2312"/>
          <w:sz w:val="28"/>
          <w:szCs w:val="28"/>
        </w:rPr>
      </w:pPr>
      <w:r>
        <w:rPr>
          <w:rFonts w:hint="eastAsia" w:ascii="仿宋_GB2312" w:hAnsi="宋体" w:eastAsia="仿宋_GB2312"/>
          <w:sz w:val="28"/>
          <w:szCs w:val="28"/>
        </w:rPr>
        <w:t>（1）区内土地主要用于城镇、农村居民点建设，须符合经批准的城镇、村庄建设规划；</w:t>
      </w:r>
    </w:p>
    <w:p>
      <w:pPr>
        <w:ind w:firstLine="560" w:firstLineChars="200"/>
        <w:rPr>
          <w:rFonts w:ascii="仿宋_GB2312" w:hAnsi="宋体" w:eastAsia="仿宋_GB2312"/>
          <w:sz w:val="28"/>
          <w:szCs w:val="28"/>
        </w:rPr>
      </w:pPr>
      <w:r>
        <w:rPr>
          <w:rFonts w:hint="eastAsia" w:ascii="仿宋_GB2312" w:hAnsi="宋体" w:eastAsia="仿宋_GB2312"/>
          <w:sz w:val="28"/>
          <w:szCs w:val="28"/>
        </w:rPr>
        <w:t>（2）区内城镇建设应优先利用现有低效建设用地、闲置地和废弃地；</w:t>
      </w:r>
    </w:p>
    <w:p>
      <w:pPr>
        <w:ind w:firstLine="560" w:firstLineChars="200"/>
        <w:rPr>
          <w:rFonts w:ascii="仿宋_GB2312" w:hAnsi="宋体" w:eastAsia="仿宋_GB2312"/>
          <w:sz w:val="28"/>
          <w:szCs w:val="28"/>
        </w:rPr>
      </w:pPr>
      <w:r>
        <w:rPr>
          <w:rFonts w:hint="eastAsia" w:ascii="仿宋_GB2312" w:hAnsi="宋体" w:eastAsia="仿宋_GB2312"/>
          <w:sz w:val="28"/>
          <w:szCs w:val="28"/>
        </w:rPr>
        <w:t>（3）区内农用地在批准改变用途之前，应当按原用途使用，不得荒芜。</w:t>
      </w:r>
    </w:p>
    <w:p>
      <w:pPr>
        <w:pStyle w:val="3"/>
      </w:pPr>
      <w:bookmarkStart w:id="88" w:name="_Toc248830944"/>
      <w:bookmarkStart w:id="89" w:name="_Toc248831116"/>
      <w:bookmarkStart w:id="90" w:name="_Toc256352739"/>
      <w:bookmarkStart w:id="91" w:name="_Toc259716774"/>
      <w:bookmarkStart w:id="92" w:name="_Toc271189967"/>
      <w:bookmarkStart w:id="93" w:name="_Toc272872578"/>
      <w:bookmarkStart w:id="94" w:name="_Toc287626070"/>
      <w:bookmarkStart w:id="95" w:name="_Toc288825082"/>
      <w:bookmarkStart w:id="96" w:name="_Toc357580173"/>
      <w:bookmarkStart w:id="97" w:name="_Toc486428873"/>
      <w:r>
        <w:rPr>
          <w:rFonts w:hint="eastAsia"/>
        </w:rPr>
        <w:t>（五）独立工矿用地区</w:t>
      </w:r>
      <w:bookmarkEnd w:id="88"/>
      <w:bookmarkEnd w:id="89"/>
      <w:bookmarkEnd w:id="90"/>
      <w:bookmarkEnd w:id="91"/>
      <w:bookmarkEnd w:id="92"/>
      <w:bookmarkEnd w:id="93"/>
      <w:bookmarkEnd w:id="94"/>
      <w:bookmarkEnd w:id="95"/>
      <w:bookmarkEnd w:id="96"/>
      <w:bookmarkEnd w:id="97"/>
    </w:p>
    <w:p>
      <w:pPr>
        <w:ind w:firstLine="560" w:firstLineChars="200"/>
        <w:rPr>
          <w:rFonts w:ascii="仿宋_GB2312" w:hAnsi="宋体" w:eastAsia="仿宋_GB2312"/>
          <w:sz w:val="28"/>
          <w:szCs w:val="28"/>
        </w:rPr>
      </w:pPr>
      <w:r>
        <w:rPr>
          <w:rFonts w:hint="eastAsia" w:ascii="仿宋_GB2312" w:hAnsi="宋体" w:eastAsia="仿宋_GB2312"/>
          <w:sz w:val="28"/>
          <w:szCs w:val="28"/>
        </w:rPr>
        <w:t>独立工矿用地区是指为独立于城镇村之外的采矿用地以及其他独立建设用地发展需要划定的土地用途区。本区包括独立于城镇村建设用地区以外、规划期间不改变用途的采矿用地及其它独立建设用地，其中已划入其它土地用途区的除外，以及独立于城镇村建设用地区以外，规划期间已列入计划的采矿业发展用地、不宜在居民点内配置的其它独立建设用地。本区划定面积为</w:t>
      </w:r>
      <w:r>
        <w:rPr>
          <w:rFonts w:ascii="仿宋_GB2312" w:hAnsi="宋体" w:eastAsia="仿宋_GB2312"/>
          <w:sz w:val="28"/>
          <w:szCs w:val="28"/>
        </w:rPr>
        <w:t>44.18</w:t>
      </w:r>
      <w:r>
        <w:rPr>
          <w:rFonts w:hint="eastAsia" w:ascii="仿宋_GB2312" w:hAnsi="宋体" w:eastAsia="仿宋_GB2312"/>
          <w:sz w:val="28"/>
          <w:szCs w:val="28"/>
        </w:rPr>
        <w:t>公顷，占全镇土地总面积的</w:t>
      </w:r>
      <w:r>
        <w:rPr>
          <w:rFonts w:ascii="仿宋_GB2312" w:hAnsi="宋体" w:eastAsia="仿宋_GB2312"/>
          <w:sz w:val="28"/>
          <w:szCs w:val="28"/>
        </w:rPr>
        <w:t>0.57%</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本区的土地用途管制规则为：</w:t>
      </w:r>
    </w:p>
    <w:p>
      <w:pPr>
        <w:ind w:firstLine="560" w:firstLineChars="200"/>
        <w:rPr>
          <w:rFonts w:ascii="仿宋_GB2312" w:hAnsi="宋体" w:eastAsia="仿宋_GB2312"/>
          <w:sz w:val="28"/>
          <w:szCs w:val="28"/>
        </w:rPr>
      </w:pPr>
      <w:r>
        <w:rPr>
          <w:rFonts w:hint="eastAsia" w:ascii="仿宋_GB2312" w:hAnsi="宋体" w:eastAsia="仿宋_GB2312"/>
          <w:sz w:val="28"/>
          <w:szCs w:val="28"/>
        </w:rPr>
        <w:t>（1）区内土地主要用于采矿业以及不宜在居民点内配置的工业用地；</w:t>
      </w:r>
    </w:p>
    <w:p>
      <w:pPr>
        <w:ind w:firstLine="560" w:firstLineChars="200"/>
        <w:rPr>
          <w:rFonts w:ascii="仿宋_GB2312" w:hAnsi="宋体" w:eastAsia="仿宋_GB2312"/>
          <w:sz w:val="28"/>
          <w:szCs w:val="28"/>
        </w:rPr>
      </w:pPr>
      <w:r>
        <w:rPr>
          <w:rFonts w:hint="eastAsia" w:ascii="仿宋_GB2312" w:hAnsi="宋体" w:eastAsia="仿宋_GB2312"/>
          <w:sz w:val="28"/>
          <w:szCs w:val="28"/>
        </w:rPr>
        <w:t>（2）区内土地使用应符合经批准的工矿建设规划；</w:t>
      </w:r>
    </w:p>
    <w:p>
      <w:pPr>
        <w:ind w:firstLine="560" w:firstLineChars="200"/>
        <w:rPr>
          <w:rFonts w:ascii="仿宋_GB2312" w:hAnsi="宋体" w:eastAsia="仿宋_GB2312"/>
          <w:sz w:val="28"/>
          <w:szCs w:val="28"/>
        </w:rPr>
      </w:pPr>
      <w:r>
        <w:rPr>
          <w:rFonts w:hint="eastAsia" w:ascii="仿宋_GB2312" w:hAnsi="宋体" w:eastAsia="仿宋_GB2312"/>
          <w:sz w:val="28"/>
          <w:szCs w:val="28"/>
        </w:rPr>
        <w:t>（3）区内因生产建设挖损、塌陷、压占的土地应及时复垦；</w:t>
      </w:r>
    </w:p>
    <w:p>
      <w:pPr>
        <w:ind w:firstLine="560" w:firstLineChars="200"/>
        <w:rPr>
          <w:rFonts w:ascii="仿宋_GB2312" w:hAnsi="宋体" w:eastAsia="仿宋_GB2312"/>
          <w:sz w:val="28"/>
          <w:szCs w:val="28"/>
        </w:rPr>
      </w:pPr>
      <w:r>
        <w:rPr>
          <w:rFonts w:hint="eastAsia" w:ascii="仿宋_GB2312" w:hAnsi="宋体" w:eastAsia="仿宋_GB2312"/>
          <w:sz w:val="28"/>
          <w:szCs w:val="28"/>
        </w:rPr>
        <w:t>（4）区内建设应优先利用现有低效建设用地、闲置地和废弃地；</w:t>
      </w:r>
    </w:p>
    <w:p>
      <w:pPr>
        <w:ind w:firstLine="560" w:firstLineChars="200"/>
        <w:rPr>
          <w:rFonts w:ascii="仿宋_GB2312" w:hAnsi="宋体" w:eastAsia="仿宋_GB2312"/>
          <w:sz w:val="28"/>
          <w:szCs w:val="28"/>
        </w:rPr>
      </w:pPr>
      <w:r>
        <w:rPr>
          <w:rFonts w:hint="eastAsia" w:ascii="仿宋_GB2312" w:hAnsi="宋体" w:eastAsia="仿宋_GB2312"/>
          <w:sz w:val="28"/>
          <w:szCs w:val="28"/>
        </w:rPr>
        <w:t>（5）区内农用地在批准改变用途之前，应当按原用途使用，不得荒芜。</w:t>
      </w:r>
    </w:p>
    <w:p>
      <w:pPr>
        <w:pStyle w:val="3"/>
      </w:pPr>
      <w:bookmarkStart w:id="98" w:name="_Toc288825083"/>
      <w:bookmarkStart w:id="99" w:name="_Toc357580174"/>
      <w:bookmarkStart w:id="100" w:name="_Toc486428874"/>
      <w:r>
        <w:rPr>
          <w:rFonts w:hint="eastAsia"/>
        </w:rPr>
        <w:t>（六）林业用地区</w:t>
      </w:r>
      <w:bookmarkEnd w:id="98"/>
      <w:bookmarkEnd w:id="99"/>
      <w:bookmarkEnd w:id="100"/>
    </w:p>
    <w:p>
      <w:pPr>
        <w:ind w:firstLine="560" w:firstLineChars="200"/>
        <w:rPr>
          <w:rFonts w:ascii="仿宋_GB2312" w:hAnsi="宋体" w:eastAsia="仿宋_GB2312"/>
          <w:sz w:val="28"/>
          <w:szCs w:val="28"/>
        </w:rPr>
      </w:pPr>
      <w:r>
        <w:rPr>
          <w:rFonts w:hint="eastAsia" w:ascii="仿宋_GB2312" w:hAnsi="宋体" w:eastAsia="仿宋_GB2312"/>
          <w:sz w:val="28"/>
          <w:szCs w:val="28"/>
        </w:rPr>
        <w:t>林业用地区是指为林业发展需要划定的土地用途区。本区包括现有的已划入其它土地用途区除外的各类林地，已列入生态保护和建设实施项目的造林地，规划期间通过土地整理复垦开发等活动增加的集中连片林地，以及为林业生产和生态建设服务的运输、营林看护、水源保护、水土保持等设施用地以及其它零星土地。本区划定面积为</w:t>
      </w:r>
      <w:r>
        <w:rPr>
          <w:rFonts w:ascii="仿宋_GB2312" w:hAnsi="宋体" w:eastAsia="仿宋_GB2312"/>
          <w:sz w:val="28"/>
          <w:szCs w:val="28"/>
        </w:rPr>
        <w:t>3671.34</w:t>
      </w:r>
      <w:r>
        <w:rPr>
          <w:rFonts w:hint="eastAsia" w:ascii="仿宋_GB2312" w:hAnsi="宋体" w:eastAsia="仿宋_GB2312"/>
          <w:sz w:val="28"/>
          <w:szCs w:val="28"/>
        </w:rPr>
        <w:t>公顷，占全镇土地总面积的</w:t>
      </w:r>
      <w:r>
        <w:rPr>
          <w:rFonts w:ascii="仿宋_GB2312" w:hAnsi="宋体" w:eastAsia="仿宋_GB2312"/>
          <w:sz w:val="28"/>
          <w:szCs w:val="28"/>
        </w:rPr>
        <w:t>47.47%</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本区土地用途管制规则为：</w:t>
      </w:r>
    </w:p>
    <w:p>
      <w:pPr>
        <w:ind w:firstLine="560" w:firstLineChars="200"/>
        <w:rPr>
          <w:rFonts w:ascii="仿宋_GB2312" w:hAnsi="宋体" w:eastAsia="仿宋_GB2312"/>
          <w:sz w:val="28"/>
          <w:szCs w:val="28"/>
        </w:rPr>
      </w:pPr>
      <w:r>
        <w:rPr>
          <w:rFonts w:hint="eastAsia" w:ascii="仿宋_GB2312" w:hAnsi="宋体" w:eastAsia="仿宋_GB2312"/>
          <w:sz w:val="28"/>
          <w:szCs w:val="28"/>
        </w:rPr>
        <w:t>（1）区内土地主要用于林业生产</w:t>
      </w:r>
      <w:bookmarkStart w:id="146" w:name="_GoBack"/>
      <w:bookmarkEnd w:id="146"/>
      <w:r>
        <w:rPr>
          <w:rFonts w:hint="eastAsia" w:ascii="仿宋_GB2312" w:hAnsi="宋体" w:eastAsia="仿宋_GB2312"/>
          <w:sz w:val="28"/>
          <w:szCs w:val="28"/>
        </w:rPr>
        <w:t>以及直接为林业生产和生态建设服务的营林设施；</w:t>
      </w:r>
    </w:p>
    <w:p>
      <w:pPr>
        <w:ind w:firstLine="560" w:firstLineChars="200"/>
        <w:rPr>
          <w:rFonts w:ascii="仿宋_GB2312" w:hAnsi="宋体" w:eastAsia="仿宋_GB2312"/>
          <w:sz w:val="28"/>
          <w:szCs w:val="28"/>
        </w:rPr>
      </w:pPr>
      <w:r>
        <w:rPr>
          <w:rFonts w:hint="eastAsia" w:ascii="仿宋_GB2312" w:hAnsi="宋体" w:eastAsia="仿宋_GB2312"/>
          <w:sz w:val="28"/>
          <w:szCs w:val="28"/>
        </w:rPr>
        <w:t>（2）区内现有非农建设用地应当按其适宜性调整为林地或其他类型的营林设施用地，规划期间确实不能调整的，可保留现状用途，但不得扩大面积；</w:t>
      </w:r>
    </w:p>
    <w:p>
      <w:pPr>
        <w:ind w:firstLine="560" w:firstLineChars="200"/>
        <w:rPr>
          <w:rFonts w:ascii="仿宋_GB2312" w:hAnsi="宋体" w:eastAsia="仿宋_GB2312"/>
          <w:sz w:val="28"/>
          <w:szCs w:val="28"/>
        </w:rPr>
      </w:pPr>
      <w:r>
        <w:rPr>
          <w:rFonts w:hint="eastAsia" w:ascii="仿宋_GB2312" w:hAnsi="宋体" w:eastAsia="仿宋_GB2312"/>
          <w:sz w:val="28"/>
          <w:szCs w:val="28"/>
        </w:rPr>
        <w:t>（3）区内零星耕地因生态建设和环境保护需要可转为林地；</w:t>
      </w:r>
    </w:p>
    <w:p>
      <w:pPr>
        <w:ind w:firstLine="560" w:firstLineChars="200"/>
        <w:rPr>
          <w:rFonts w:ascii="仿宋_GB2312" w:hAnsi="宋体" w:eastAsia="仿宋_GB2312"/>
          <w:sz w:val="28"/>
          <w:szCs w:val="28"/>
        </w:rPr>
      </w:pPr>
      <w:r>
        <w:rPr>
          <w:rFonts w:hint="eastAsia" w:ascii="仿宋_GB2312" w:hAnsi="宋体" w:eastAsia="仿宋_GB2312"/>
          <w:sz w:val="28"/>
          <w:szCs w:val="28"/>
        </w:rPr>
        <w:t>（4）不得占用区内土地进行毁林开垦、采石、挖沙、取土等活动。</w:t>
      </w:r>
    </w:p>
    <w:p>
      <w:pPr>
        <w:pStyle w:val="3"/>
      </w:pPr>
      <w:bookmarkStart w:id="101" w:name="_Toc313979681"/>
      <w:bookmarkStart w:id="102" w:name="_Toc313979935"/>
      <w:bookmarkStart w:id="103" w:name="_Toc357580175"/>
      <w:bookmarkStart w:id="104" w:name="_Toc486428875"/>
      <w:r>
        <w:rPr>
          <w:rFonts w:hint="eastAsia"/>
        </w:rPr>
        <w:t>（七）其他用地区</w:t>
      </w:r>
      <w:bookmarkEnd w:id="101"/>
      <w:bookmarkEnd w:id="102"/>
      <w:bookmarkEnd w:id="103"/>
      <w:bookmarkEnd w:id="104"/>
    </w:p>
    <w:p>
      <w:pPr>
        <w:ind w:firstLine="560" w:firstLineChars="200"/>
        <w:rPr>
          <w:rFonts w:ascii="仿宋_GB2312" w:hAnsi="宋体" w:eastAsia="仿宋_GB2312"/>
          <w:sz w:val="28"/>
          <w:szCs w:val="28"/>
        </w:rPr>
      </w:pPr>
      <w:r>
        <w:rPr>
          <w:rFonts w:hint="eastAsia" w:ascii="仿宋_GB2312" w:hAnsi="宋体" w:eastAsia="仿宋_GB2312"/>
          <w:sz w:val="28"/>
          <w:szCs w:val="28"/>
        </w:rPr>
        <w:t>主要包括以上各区外的土地，重点是全镇居民点以外的铁路、公路、管道运输用地，水利设施中的沟渠和水工建筑物用地，以及全镇的未利用地等。该区面积</w:t>
      </w:r>
      <w:r>
        <w:rPr>
          <w:rFonts w:ascii="仿宋_GB2312" w:hAnsi="宋体" w:eastAsia="仿宋_GB2312"/>
          <w:sz w:val="28"/>
          <w:szCs w:val="28"/>
        </w:rPr>
        <w:t>475.55</w:t>
      </w:r>
      <w:r>
        <w:rPr>
          <w:rFonts w:hint="eastAsia" w:ascii="仿宋_GB2312" w:hAnsi="宋体" w:eastAsia="仿宋_GB2312"/>
          <w:sz w:val="28"/>
          <w:szCs w:val="28"/>
        </w:rPr>
        <w:t>公顷，占全镇土地总面积的</w:t>
      </w:r>
      <w:r>
        <w:rPr>
          <w:rFonts w:ascii="仿宋_GB2312" w:hAnsi="宋体" w:eastAsia="仿宋_GB2312"/>
          <w:sz w:val="28"/>
          <w:szCs w:val="28"/>
        </w:rPr>
        <w:t>6.15%</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管制规则：</w:t>
      </w:r>
    </w:p>
    <w:p>
      <w:pPr>
        <w:ind w:firstLine="560" w:firstLineChars="200"/>
        <w:rPr>
          <w:rFonts w:ascii="仿宋_GB2312" w:hAnsi="宋体" w:eastAsia="仿宋_GB2312"/>
          <w:sz w:val="28"/>
          <w:szCs w:val="28"/>
        </w:rPr>
      </w:pPr>
      <w:r>
        <w:rPr>
          <w:rFonts w:hint="eastAsia" w:ascii="仿宋_GB2312" w:hAnsi="宋体" w:eastAsia="仿宋_GB2312"/>
          <w:sz w:val="28"/>
          <w:szCs w:val="28"/>
        </w:rPr>
        <w:t>（1）区内土地使用应符合经批准的相关规划；</w:t>
      </w:r>
    </w:p>
    <w:p>
      <w:pPr>
        <w:ind w:firstLine="560" w:firstLineChars="200"/>
        <w:rPr>
          <w:rFonts w:ascii="仿宋_GB2312" w:hAnsi="宋体" w:eastAsia="仿宋_GB2312"/>
          <w:sz w:val="28"/>
          <w:szCs w:val="28"/>
        </w:rPr>
      </w:pPr>
      <w:r>
        <w:rPr>
          <w:rFonts w:hint="eastAsia" w:ascii="仿宋_GB2312" w:hAnsi="宋体" w:eastAsia="仿宋_GB2312"/>
          <w:sz w:val="28"/>
          <w:szCs w:val="28"/>
        </w:rPr>
        <w:t>（2）区内建设应优先利用现有低效建设用地、闲置地和废弃地；</w:t>
      </w:r>
    </w:p>
    <w:p>
      <w:pPr>
        <w:ind w:firstLine="560" w:firstLineChars="200"/>
        <w:rPr>
          <w:rFonts w:ascii="仿宋_GB2312" w:hAnsi="宋体" w:eastAsia="仿宋_GB2312"/>
          <w:sz w:val="28"/>
          <w:szCs w:val="28"/>
        </w:rPr>
      </w:pPr>
      <w:r>
        <w:rPr>
          <w:rFonts w:hint="eastAsia" w:ascii="仿宋_GB2312" w:hAnsi="宋体" w:eastAsia="仿宋_GB2312"/>
          <w:sz w:val="28"/>
          <w:szCs w:val="28"/>
        </w:rPr>
        <w:t>（3）区内农用地在批准改变用途前，应当按原用途使用，不得荒芜。</w:t>
      </w:r>
    </w:p>
    <w:p>
      <w:pPr>
        <w:widowControl/>
        <w:jc w:val="left"/>
        <w:rPr>
          <w:rFonts w:ascii="仿宋_GB2312" w:hAnsi="宋体" w:eastAsia="仿宋_GB2312"/>
          <w:sz w:val="28"/>
          <w:szCs w:val="28"/>
        </w:rPr>
      </w:pPr>
      <w:r>
        <w:rPr>
          <w:rFonts w:ascii="仿宋_GB2312" w:hAnsi="宋体" w:eastAsia="仿宋_GB2312"/>
          <w:sz w:val="28"/>
          <w:szCs w:val="28"/>
        </w:rPr>
        <w:br w:type="page"/>
      </w:r>
    </w:p>
    <w:p>
      <w:pPr>
        <w:ind w:firstLine="560" w:firstLineChars="200"/>
        <w:rPr>
          <w:rFonts w:ascii="仿宋_GB2312" w:hAnsi="宋体" w:eastAsia="仿宋_GB2312"/>
          <w:sz w:val="28"/>
          <w:szCs w:val="28"/>
        </w:rPr>
      </w:pPr>
    </w:p>
    <w:p>
      <w:pPr>
        <w:pStyle w:val="2"/>
      </w:pPr>
      <w:bookmarkStart w:id="105" w:name="_Toc486428876"/>
      <w:r>
        <w:rPr>
          <w:rFonts w:hint="eastAsia"/>
        </w:rPr>
        <w:t>七、生态保护用地规划</w:t>
      </w:r>
      <w:bookmarkEnd w:id="105"/>
    </w:p>
    <w:p>
      <w:pPr>
        <w:pStyle w:val="3"/>
      </w:pPr>
      <w:bookmarkStart w:id="106" w:name="_Toc357580162"/>
      <w:bookmarkStart w:id="107" w:name="_Toc486428877"/>
      <w:bookmarkStart w:id="108" w:name="_Toc248830955"/>
      <w:bookmarkStart w:id="109" w:name="_Toc248831127"/>
      <w:bookmarkStart w:id="110" w:name="_Toc256352753"/>
      <w:bookmarkStart w:id="111" w:name="_Toc259716798"/>
      <w:bookmarkStart w:id="112" w:name="_Toc271189983"/>
      <w:bookmarkStart w:id="113" w:name="_Toc272826242"/>
      <w:bookmarkStart w:id="114" w:name="_Toc288825072"/>
      <w:r>
        <w:rPr>
          <w:rFonts w:hint="eastAsia"/>
        </w:rPr>
        <w:t>（一）构建良好的农业生态环境基础</w:t>
      </w:r>
      <w:bookmarkEnd w:id="106"/>
      <w:bookmarkEnd w:id="107"/>
    </w:p>
    <w:bookmarkEnd w:id="108"/>
    <w:bookmarkEnd w:id="109"/>
    <w:bookmarkEnd w:id="110"/>
    <w:bookmarkEnd w:id="111"/>
    <w:bookmarkEnd w:id="112"/>
    <w:bookmarkEnd w:id="113"/>
    <w:bookmarkEnd w:id="114"/>
    <w:p>
      <w:pPr>
        <w:pStyle w:val="4"/>
        <w:ind w:firstLine="562"/>
      </w:pPr>
      <w:bookmarkStart w:id="115" w:name="_Toc248830956"/>
      <w:bookmarkStart w:id="116" w:name="_Toc248831128"/>
      <w:bookmarkStart w:id="117" w:name="_Toc256352754"/>
      <w:bookmarkStart w:id="118" w:name="_Toc259716802"/>
      <w:bookmarkStart w:id="119" w:name="_Toc271189984"/>
      <w:bookmarkStart w:id="120" w:name="_Toc272826246"/>
      <w:bookmarkStart w:id="121" w:name="_Toc288825073"/>
      <w:r>
        <w:rPr>
          <w:rFonts w:hint="eastAsia"/>
        </w:rPr>
        <w:t>1．构建生态良好的土地利用格局</w:t>
      </w:r>
    </w:p>
    <w:p>
      <w:pPr>
        <w:ind w:firstLine="560" w:firstLineChars="200"/>
        <w:rPr>
          <w:rFonts w:ascii="仿宋_GB2312" w:hAnsi="宋体" w:eastAsia="仿宋_GB2312"/>
          <w:sz w:val="28"/>
          <w:szCs w:val="28"/>
        </w:rPr>
      </w:pPr>
      <w:r>
        <w:rPr>
          <w:rFonts w:hint="eastAsia" w:ascii="仿宋_GB2312" w:hAnsi="宋体" w:eastAsia="仿宋_GB2312"/>
          <w:sz w:val="28"/>
          <w:szCs w:val="28"/>
        </w:rPr>
        <w:t>因地制宜调整各类用地布局，逐渐形成结构合理、功能互补的空间格局。支持天然林保护、基本农田建设等重大工程，加快建设以大面积、集中连片的森林和基本农田等为主体的生态安全屏障。在城乡用地布局中，将大面积连片基本农田、优质耕地作为绿心、绿带的重要组成部分，构建景观优美、人与自然和谐的宜居环境。</w:t>
      </w:r>
    </w:p>
    <w:bookmarkEnd w:id="115"/>
    <w:bookmarkEnd w:id="116"/>
    <w:bookmarkEnd w:id="117"/>
    <w:bookmarkEnd w:id="118"/>
    <w:bookmarkEnd w:id="119"/>
    <w:bookmarkEnd w:id="120"/>
    <w:bookmarkEnd w:id="121"/>
    <w:p>
      <w:pPr>
        <w:pStyle w:val="4"/>
        <w:ind w:firstLine="562"/>
      </w:pPr>
      <w:r>
        <w:rPr>
          <w:rFonts w:hint="eastAsia"/>
        </w:rPr>
        <w:t>2．生态建设和环境保护用地安排</w:t>
      </w:r>
    </w:p>
    <w:p>
      <w:pPr>
        <w:ind w:firstLine="560" w:firstLineChars="200"/>
        <w:rPr>
          <w:rFonts w:ascii="仿宋_GB2312" w:hAnsi="宋体" w:eastAsia="仿宋_GB2312"/>
          <w:sz w:val="28"/>
          <w:szCs w:val="28"/>
        </w:rPr>
      </w:pPr>
      <w:r>
        <w:rPr>
          <w:rFonts w:hint="eastAsia" w:ascii="仿宋_GB2312" w:hAnsi="宋体" w:eastAsia="仿宋_GB2312"/>
          <w:sz w:val="28"/>
          <w:szCs w:val="28"/>
        </w:rPr>
        <w:t>加强土地生态环境建设，补偿开发建设对生态环境产生的不利影响，逐步改善和提高全镇生态环境质量。</w:t>
      </w:r>
    </w:p>
    <w:p>
      <w:pPr>
        <w:ind w:firstLine="562" w:firstLineChars="200"/>
        <w:rPr>
          <w:rFonts w:ascii="仿宋_GB2312" w:hAnsi="宋体" w:eastAsia="仿宋_GB2312"/>
          <w:b/>
          <w:sz w:val="28"/>
          <w:szCs w:val="28"/>
        </w:rPr>
      </w:pPr>
      <w:bookmarkStart w:id="122" w:name="_Toc272826247"/>
      <w:r>
        <w:rPr>
          <w:rFonts w:hint="eastAsia" w:ascii="仿宋_GB2312" w:hAnsi="宋体" w:eastAsia="仿宋_GB2312"/>
          <w:b/>
          <w:sz w:val="28"/>
          <w:szCs w:val="28"/>
        </w:rPr>
        <w:t>（1）加强基础性生态用地保护</w:t>
      </w:r>
      <w:bookmarkEnd w:id="122"/>
    </w:p>
    <w:p>
      <w:pPr>
        <w:ind w:firstLine="560" w:firstLineChars="200"/>
        <w:rPr>
          <w:rFonts w:ascii="仿宋_GB2312" w:hAnsi="宋体" w:eastAsia="仿宋_GB2312"/>
          <w:sz w:val="28"/>
          <w:szCs w:val="28"/>
        </w:rPr>
      </w:pPr>
      <w:r>
        <w:rPr>
          <w:rFonts w:hint="eastAsia" w:ascii="仿宋_GB2312" w:hAnsi="宋体" w:eastAsia="仿宋_GB2312"/>
          <w:sz w:val="28"/>
          <w:szCs w:val="28"/>
        </w:rPr>
        <w:t>严格保护基础性生态用地。严格控制对有林地、疏林地、未成林造林地和苗圃等基础性生态用地的开发利用，对其他土地的开发，必须在保护和改善生态功能的前提下，严格依据规划统筹安排。构建生态良好的土地利用格局。</w:t>
      </w:r>
    </w:p>
    <w:p>
      <w:pPr>
        <w:ind w:firstLine="562" w:firstLineChars="200"/>
        <w:rPr>
          <w:rFonts w:ascii="仿宋_GB2312" w:hAnsi="宋体" w:eastAsia="仿宋_GB2312"/>
          <w:b/>
          <w:sz w:val="28"/>
          <w:szCs w:val="28"/>
        </w:rPr>
      </w:pPr>
      <w:bookmarkStart w:id="123" w:name="_Toc272826249"/>
      <w:r>
        <w:rPr>
          <w:rFonts w:hint="eastAsia" w:ascii="仿宋_GB2312" w:hAnsi="宋体" w:eastAsia="仿宋_GB2312"/>
          <w:b/>
          <w:sz w:val="28"/>
          <w:szCs w:val="28"/>
        </w:rPr>
        <w:t>（2）因地制宜改善土地生态环境</w:t>
      </w:r>
      <w:bookmarkEnd w:id="123"/>
    </w:p>
    <w:p>
      <w:pPr>
        <w:ind w:firstLine="560" w:firstLineChars="200"/>
        <w:rPr>
          <w:rFonts w:ascii="仿宋_GB2312" w:hAnsi="宋体" w:eastAsia="仿宋_GB2312"/>
          <w:sz w:val="28"/>
          <w:szCs w:val="28"/>
        </w:rPr>
      </w:pPr>
      <w:r>
        <w:rPr>
          <w:rFonts w:hint="eastAsia" w:ascii="仿宋_GB2312" w:hAnsi="宋体" w:eastAsia="仿宋_GB2312"/>
          <w:sz w:val="28"/>
          <w:szCs w:val="28"/>
        </w:rPr>
        <w:t>严格保护农用地特别是耕地，合理调整农用地结构。促进产业结构升级，严格限制高耗能、高污染企业用地。要把严格保护耕地特别是基本农田放在土地利用的优先地位，加强基本农田建设，大力发展生态农业。在保护生态环境前提下，重点优化交通、水利等基础设施用地结构，严格控制工业对土地的污染，防治农田面源污染。</w:t>
      </w:r>
    </w:p>
    <w:p>
      <w:pPr>
        <w:pStyle w:val="3"/>
      </w:pPr>
      <w:bookmarkStart w:id="124" w:name="_Toc357580163"/>
      <w:bookmarkStart w:id="125" w:name="_Toc486428878"/>
      <w:r>
        <w:rPr>
          <w:rFonts w:hint="eastAsia"/>
        </w:rPr>
        <w:t>（二）加强城镇生态环境建设</w:t>
      </w:r>
      <w:bookmarkEnd w:id="124"/>
      <w:bookmarkEnd w:id="125"/>
    </w:p>
    <w:p>
      <w:pPr>
        <w:ind w:firstLine="560" w:firstLineChars="200"/>
        <w:rPr>
          <w:rFonts w:ascii="仿宋_GB2312" w:hAnsi="宋体" w:eastAsia="仿宋_GB2312"/>
          <w:sz w:val="28"/>
          <w:szCs w:val="28"/>
        </w:rPr>
      </w:pPr>
      <w:r>
        <w:rPr>
          <w:rFonts w:hint="eastAsia" w:ascii="仿宋_GB2312" w:hAnsi="宋体" w:eastAsia="仿宋_GB2312"/>
          <w:sz w:val="28"/>
          <w:szCs w:val="28"/>
        </w:rPr>
        <w:t>鼓励城镇组团式发展，实行组团间农田与绿色隔离带有机结合，发挥耕地的生产、生态功能。加强城镇的环境治理与控制，节约用水，降低污水排放量，严格限制高耗水、高污染项目进入。</w:t>
      </w:r>
    </w:p>
    <w:p>
      <w:pPr>
        <w:pStyle w:val="3"/>
      </w:pPr>
      <w:bookmarkStart w:id="126" w:name="_Toc357580164"/>
      <w:bookmarkStart w:id="127" w:name="_Toc486428879"/>
      <w:r>
        <w:rPr>
          <w:rFonts w:hint="eastAsia"/>
        </w:rPr>
        <w:t>（三）加强农村地区生态环境建设</w:t>
      </w:r>
      <w:bookmarkEnd w:id="126"/>
      <w:bookmarkEnd w:id="127"/>
    </w:p>
    <w:p>
      <w:pPr>
        <w:ind w:firstLine="560" w:firstLineChars="200"/>
        <w:rPr>
          <w:rFonts w:ascii="仿宋_GB2312" w:hAnsi="宋体" w:eastAsia="仿宋_GB2312"/>
          <w:sz w:val="28"/>
          <w:szCs w:val="28"/>
        </w:rPr>
      </w:pPr>
      <w:r>
        <w:rPr>
          <w:rFonts w:hint="eastAsia" w:ascii="仿宋_GB2312" w:hAnsi="宋体" w:eastAsia="仿宋_GB2312"/>
          <w:sz w:val="28"/>
          <w:szCs w:val="28"/>
        </w:rPr>
        <w:t>充分结合新农村建设工程，加强村容村貌整治，加强农村地区生态环境建设。</w:t>
      </w:r>
    </w:p>
    <w:p>
      <w:pPr>
        <w:pStyle w:val="4"/>
        <w:ind w:firstLine="562"/>
      </w:pPr>
      <w:r>
        <w:rPr>
          <w:rFonts w:hint="eastAsia"/>
        </w:rPr>
        <w:t>1．大力发展循环经济</w:t>
      </w:r>
    </w:p>
    <w:p>
      <w:pPr>
        <w:ind w:firstLine="560" w:firstLineChars="200"/>
        <w:rPr>
          <w:rFonts w:ascii="仿宋_GB2312" w:hAnsi="宋体" w:eastAsia="仿宋_GB2312"/>
          <w:sz w:val="28"/>
          <w:szCs w:val="28"/>
        </w:rPr>
      </w:pPr>
      <w:r>
        <w:rPr>
          <w:rFonts w:hint="eastAsia" w:ascii="仿宋_GB2312" w:hAnsi="宋体" w:eastAsia="仿宋_GB2312"/>
          <w:sz w:val="28"/>
          <w:szCs w:val="28"/>
        </w:rPr>
        <w:t>积极引进、展示、推广资源综合利用和再生利用等循环经济新技术、新工艺。加大节能照明、太阳能、新型建材的推广力度，建设和利用好农村沼气这一清洁能源。引导社会资金投向资源循环利用产业。加快培育以低碳排放为特征的工业、建筑和交通体系，提高资源利用效率，实现经济增长和社会进步的全面协调发展。</w:t>
      </w:r>
    </w:p>
    <w:p>
      <w:pPr>
        <w:pStyle w:val="4"/>
        <w:ind w:firstLine="562"/>
      </w:pPr>
      <w:r>
        <w:rPr>
          <w:rFonts w:hint="eastAsia"/>
        </w:rPr>
        <w:t>2．加强林业生态体系建设</w:t>
      </w:r>
    </w:p>
    <w:p>
      <w:pPr>
        <w:ind w:firstLine="560" w:firstLineChars="200"/>
        <w:rPr>
          <w:rFonts w:ascii="仿宋_GB2312" w:hAnsi="宋体" w:eastAsia="仿宋_GB2312"/>
          <w:sz w:val="28"/>
          <w:szCs w:val="28"/>
        </w:rPr>
      </w:pPr>
      <w:r>
        <w:rPr>
          <w:rFonts w:hint="eastAsia" w:ascii="仿宋_GB2312" w:hAnsi="宋体" w:eastAsia="仿宋_GB2312"/>
          <w:sz w:val="28"/>
          <w:szCs w:val="28"/>
        </w:rPr>
        <w:t>突出以生态建设为首要任务，在确保造林数量、质量的同时，全面提升林业生态建设质量。规划期加强全镇主要公路两旁绿色通道建设；进一步对退耕还林的监管,巩固退耕还林成果,严格林地保护加强林地征占管理,严格控制各项建设工程征占用公益林、天然林。建设以森林群落为主体，构筑与全镇环境治理、江河治理和景点建设相适应的林业生态体系，改善全镇生态环境，促进全镇经济社会可持续发展。</w:t>
      </w:r>
    </w:p>
    <w:p>
      <w:pPr>
        <w:pStyle w:val="4"/>
        <w:ind w:firstLine="562"/>
      </w:pPr>
      <w:r>
        <w:rPr>
          <w:rFonts w:hint="eastAsia"/>
        </w:rPr>
        <w:t>3．加强村容村貌整治</w:t>
      </w:r>
    </w:p>
    <w:p>
      <w:pPr>
        <w:ind w:firstLine="560" w:firstLineChars="200"/>
        <w:rPr>
          <w:rFonts w:ascii="仿宋_GB2312" w:hAnsi="宋体" w:eastAsia="仿宋_GB2312"/>
          <w:sz w:val="28"/>
          <w:szCs w:val="28"/>
        </w:rPr>
      </w:pPr>
      <w:r>
        <w:rPr>
          <w:rFonts w:hint="eastAsia" w:ascii="仿宋_GB2312" w:hAnsi="宋体" w:eastAsia="仿宋_GB2312"/>
          <w:sz w:val="28"/>
          <w:szCs w:val="28"/>
        </w:rPr>
        <w:t>结合新农村建设工程，大力加强村容村貌整治，集中归并建农房、办乡企大力开展测土配方施肥以减少对化肥的过量施用，大力发展生态绿色农业以降低对农药的使用，大力提高畜禽粪便综合利用率，加强场镇和农村地区生活污水和垃圾的收集与无害化处理，科学布局环境治理和保护性用地，大大降低农村面源污染，从各方面加强农村生态环境建设。</w:t>
      </w:r>
    </w:p>
    <w:p>
      <w:pPr>
        <w:ind w:firstLine="560" w:firstLineChars="200"/>
        <w:rPr>
          <w:rFonts w:ascii="仿宋_GB2312" w:hAnsi="宋体" w:eastAsia="仿宋_GB2312"/>
          <w:sz w:val="28"/>
          <w:szCs w:val="28"/>
        </w:rPr>
      </w:pPr>
    </w:p>
    <w:p>
      <w:pPr>
        <w:ind w:firstLine="560" w:firstLineChars="200"/>
        <w:rPr>
          <w:rFonts w:ascii="仿宋_GB2312" w:hAnsi="宋体" w:eastAsia="仿宋_GB2312"/>
          <w:sz w:val="28"/>
          <w:szCs w:val="28"/>
        </w:rPr>
      </w:pPr>
    </w:p>
    <w:p>
      <w:pPr>
        <w:ind w:firstLine="560" w:firstLineChars="200"/>
        <w:rPr>
          <w:rFonts w:ascii="仿宋_GB2312" w:hAnsi="宋体" w:eastAsia="仿宋_GB2312"/>
          <w:sz w:val="28"/>
          <w:szCs w:val="28"/>
        </w:rPr>
      </w:pPr>
    </w:p>
    <w:p>
      <w:pPr>
        <w:widowControl/>
        <w:jc w:val="left"/>
        <w:rPr>
          <w:rFonts w:ascii="仿宋_GB2312" w:hAnsi="宋体" w:eastAsia="仿宋_GB2312"/>
          <w:sz w:val="28"/>
          <w:szCs w:val="28"/>
        </w:rPr>
      </w:pPr>
      <w:r>
        <w:rPr>
          <w:rFonts w:ascii="仿宋_GB2312" w:hAnsi="宋体" w:eastAsia="仿宋_GB2312"/>
          <w:sz w:val="28"/>
          <w:szCs w:val="28"/>
        </w:rPr>
        <w:br w:type="page"/>
      </w:r>
    </w:p>
    <w:p>
      <w:pPr>
        <w:pStyle w:val="3"/>
        <w:spacing w:before="0" w:after="0" w:line="240" w:lineRule="auto"/>
        <w:jc w:val="left"/>
        <w:rPr>
          <w:rFonts w:ascii="仿宋_GB2312" w:hAnsi="宋体"/>
          <w:bCs w:val="0"/>
          <w:color w:val="000000"/>
          <w:sz w:val="28"/>
          <w:szCs w:val="28"/>
        </w:rPr>
      </w:pPr>
      <w:bookmarkStart w:id="128" w:name="_Toc407294589"/>
      <w:bookmarkStart w:id="129" w:name="_Toc475303983"/>
      <w:bookmarkStart w:id="130" w:name="_Toc485386651"/>
      <w:bookmarkStart w:id="131" w:name="_Toc486428880"/>
      <w:r>
        <w:rPr>
          <w:rFonts w:hint="eastAsia" w:ascii="仿宋_GB2312" w:hAnsi="宋体"/>
          <w:bCs w:val="0"/>
          <w:color w:val="000000"/>
          <w:sz w:val="28"/>
          <w:szCs w:val="28"/>
        </w:rPr>
        <w:t>附表一  石麟镇土地利用主要调控指标表</w:t>
      </w:r>
      <w:bookmarkEnd w:id="128"/>
      <w:bookmarkEnd w:id="129"/>
      <w:bookmarkEnd w:id="130"/>
      <w:bookmarkEnd w:id="131"/>
    </w:p>
    <w:p>
      <w:pPr>
        <w:spacing w:line="240" w:lineRule="exact"/>
        <w:ind w:firstLine="425"/>
        <w:jc w:val="right"/>
        <w:rPr>
          <w:rFonts w:ascii="仿宋_GB2312" w:eastAsia="仿宋_GB2312"/>
          <w:color w:val="000000"/>
          <w:sz w:val="24"/>
          <w:szCs w:val="24"/>
        </w:rPr>
      </w:pPr>
      <w:r>
        <w:rPr>
          <w:rFonts w:hint="eastAsia" w:ascii="仿宋_GB2312" w:eastAsia="仿宋_GB2312"/>
          <w:color w:val="000000"/>
          <w:sz w:val="24"/>
          <w:szCs w:val="24"/>
        </w:rPr>
        <w:t>单位：公顷</w:t>
      </w:r>
    </w:p>
    <w:tbl>
      <w:tblPr>
        <w:tblStyle w:val="13"/>
        <w:tblW w:w="8939" w:type="dxa"/>
        <w:jc w:val="center"/>
        <w:tblLayout w:type="autofit"/>
        <w:tblCellMar>
          <w:top w:w="0" w:type="dxa"/>
          <w:left w:w="108" w:type="dxa"/>
          <w:bottom w:w="0" w:type="dxa"/>
          <w:right w:w="108" w:type="dxa"/>
        </w:tblCellMar>
      </w:tblPr>
      <w:tblGrid>
        <w:gridCol w:w="2869"/>
        <w:gridCol w:w="1559"/>
        <w:gridCol w:w="1552"/>
        <w:gridCol w:w="1679"/>
        <w:gridCol w:w="1280"/>
      </w:tblGrid>
      <w:tr>
        <w:tblPrEx>
          <w:tblCellMar>
            <w:top w:w="0" w:type="dxa"/>
            <w:left w:w="108" w:type="dxa"/>
            <w:bottom w:w="0" w:type="dxa"/>
            <w:right w:w="108" w:type="dxa"/>
          </w:tblCellMar>
        </w:tblPrEx>
        <w:trPr>
          <w:trHeight w:val="405" w:hRule="atLeast"/>
          <w:jc w:val="center"/>
        </w:trPr>
        <w:tc>
          <w:tcPr>
            <w:tcW w:w="28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指标</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规划基期年</w:t>
            </w:r>
          </w:p>
        </w:tc>
        <w:tc>
          <w:tcPr>
            <w:tcW w:w="155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原规划目标</w:t>
            </w:r>
          </w:p>
        </w:tc>
        <w:tc>
          <w:tcPr>
            <w:tcW w:w="167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调整后目标年</w:t>
            </w:r>
          </w:p>
        </w:tc>
        <w:tc>
          <w:tcPr>
            <w:tcW w:w="12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指标属性</w:t>
            </w:r>
          </w:p>
        </w:tc>
      </w:tr>
      <w:tr>
        <w:tblPrEx>
          <w:tblCellMar>
            <w:top w:w="0" w:type="dxa"/>
            <w:left w:w="108" w:type="dxa"/>
            <w:bottom w:w="0" w:type="dxa"/>
            <w:right w:w="108" w:type="dxa"/>
          </w:tblCellMar>
        </w:tblPrEx>
        <w:trPr>
          <w:trHeight w:val="405" w:hRule="atLeast"/>
          <w:jc w:val="center"/>
        </w:trPr>
        <w:tc>
          <w:tcPr>
            <w:tcW w:w="8939"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总量指标（单位为公顷）</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耕地保有量</w:t>
            </w:r>
          </w:p>
        </w:tc>
        <w:tc>
          <w:tcPr>
            <w:tcW w:w="155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2336.42</w:t>
            </w:r>
          </w:p>
        </w:tc>
        <w:tc>
          <w:tcPr>
            <w:tcW w:w="1552"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2298.06</w:t>
            </w:r>
          </w:p>
        </w:tc>
        <w:tc>
          <w:tcPr>
            <w:tcW w:w="167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2581.83</w:t>
            </w:r>
          </w:p>
        </w:tc>
        <w:tc>
          <w:tcPr>
            <w:tcW w:w="1280"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约束性</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基本农田保护面积</w:t>
            </w:r>
          </w:p>
        </w:tc>
        <w:tc>
          <w:tcPr>
            <w:tcW w:w="155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2221.43</w:t>
            </w:r>
          </w:p>
        </w:tc>
        <w:tc>
          <w:tcPr>
            <w:tcW w:w="1552"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2221.43</w:t>
            </w:r>
          </w:p>
        </w:tc>
        <w:tc>
          <w:tcPr>
            <w:tcW w:w="167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2036</w:t>
            </w:r>
          </w:p>
        </w:tc>
        <w:tc>
          <w:tcPr>
            <w:tcW w:w="1280"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约束性</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园地面积</w:t>
            </w:r>
          </w:p>
        </w:tc>
        <w:tc>
          <w:tcPr>
            <w:tcW w:w="155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219.75</w:t>
            </w:r>
          </w:p>
        </w:tc>
        <w:tc>
          <w:tcPr>
            <w:tcW w:w="1552"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w:t>
            </w:r>
          </w:p>
        </w:tc>
        <w:tc>
          <w:tcPr>
            <w:tcW w:w="167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219.21</w:t>
            </w:r>
          </w:p>
        </w:tc>
        <w:tc>
          <w:tcPr>
            <w:tcW w:w="1280"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预期性</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林地面积</w:t>
            </w:r>
          </w:p>
        </w:tc>
        <w:tc>
          <w:tcPr>
            <w:tcW w:w="155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3955.21</w:t>
            </w:r>
          </w:p>
        </w:tc>
        <w:tc>
          <w:tcPr>
            <w:tcW w:w="1552"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w:t>
            </w:r>
          </w:p>
        </w:tc>
        <w:tc>
          <w:tcPr>
            <w:tcW w:w="167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3950.54</w:t>
            </w:r>
          </w:p>
        </w:tc>
        <w:tc>
          <w:tcPr>
            <w:tcW w:w="1280"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预期性</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建设用地总规模</w:t>
            </w:r>
          </w:p>
        </w:tc>
        <w:tc>
          <w:tcPr>
            <w:tcW w:w="155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467.43</w:t>
            </w:r>
          </w:p>
        </w:tc>
        <w:tc>
          <w:tcPr>
            <w:tcW w:w="1552"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198.09</w:t>
            </w:r>
          </w:p>
        </w:tc>
        <w:tc>
          <w:tcPr>
            <w:tcW w:w="167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488.49</w:t>
            </w:r>
          </w:p>
        </w:tc>
        <w:tc>
          <w:tcPr>
            <w:tcW w:w="1280"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预期性</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城乡建设用地规模</w:t>
            </w:r>
          </w:p>
        </w:tc>
        <w:tc>
          <w:tcPr>
            <w:tcW w:w="155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450.96</w:t>
            </w:r>
          </w:p>
        </w:tc>
        <w:tc>
          <w:tcPr>
            <w:tcW w:w="1552"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181.39</w:t>
            </w:r>
          </w:p>
        </w:tc>
        <w:tc>
          <w:tcPr>
            <w:tcW w:w="167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465.22</w:t>
            </w:r>
          </w:p>
        </w:tc>
        <w:tc>
          <w:tcPr>
            <w:tcW w:w="1280"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约束性</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城镇工矿用地规模</w:t>
            </w:r>
          </w:p>
        </w:tc>
        <w:tc>
          <w:tcPr>
            <w:tcW w:w="155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68.47</w:t>
            </w:r>
          </w:p>
        </w:tc>
        <w:tc>
          <w:tcPr>
            <w:tcW w:w="1552"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98.84</w:t>
            </w:r>
          </w:p>
        </w:tc>
        <w:tc>
          <w:tcPr>
            <w:tcW w:w="167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82.73</w:t>
            </w:r>
          </w:p>
        </w:tc>
        <w:tc>
          <w:tcPr>
            <w:tcW w:w="1280"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预期性</w:t>
            </w:r>
          </w:p>
        </w:tc>
      </w:tr>
      <w:tr>
        <w:tblPrEx>
          <w:tblCellMar>
            <w:top w:w="0" w:type="dxa"/>
            <w:left w:w="108" w:type="dxa"/>
            <w:bottom w:w="0" w:type="dxa"/>
            <w:right w:w="108" w:type="dxa"/>
          </w:tblCellMar>
        </w:tblPrEx>
        <w:trPr>
          <w:trHeight w:val="405" w:hRule="atLeast"/>
          <w:jc w:val="center"/>
        </w:trPr>
        <w:tc>
          <w:tcPr>
            <w:tcW w:w="8939"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增量指标（单位为公顷）</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新增建设用地规模</w:t>
            </w:r>
          </w:p>
        </w:tc>
        <w:tc>
          <w:tcPr>
            <w:tcW w:w="155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w:t>
            </w:r>
          </w:p>
        </w:tc>
        <w:tc>
          <w:tcPr>
            <w:tcW w:w="1552"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32.63</w:t>
            </w:r>
          </w:p>
        </w:tc>
        <w:tc>
          <w:tcPr>
            <w:tcW w:w="167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21.06</w:t>
            </w:r>
          </w:p>
        </w:tc>
        <w:tc>
          <w:tcPr>
            <w:tcW w:w="1280"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预期性</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新增建设占用农用地规模</w:t>
            </w:r>
          </w:p>
        </w:tc>
        <w:tc>
          <w:tcPr>
            <w:tcW w:w="155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w:t>
            </w:r>
          </w:p>
        </w:tc>
        <w:tc>
          <w:tcPr>
            <w:tcW w:w="1552"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31.42</w:t>
            </w:r>
          </w:p>
        </w:tc>
        <w:tc>
          <w:tcPr>
            <w:tcW w:w="167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21.06</w:t>
            </w:r>
          </w:p>
        </w:tc>
        <w:tc>
          <w:tcPr>
            <w:tcW w:w="1280"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预期性</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新增建设占用耕地规模</w:t>
            </w:r>
          </w:p>
        </w:tc>
        <w:tc>
          <w:tcPr>
            <w:tcW w:w="155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w:t>
            </w:r>
          </w:p>
        </w:tc>
        <w:tc>
          <w:tcPr>
            <w:tcW w:w="1552"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13.35</w:t>
            </w:r>
          </w:p>
        </w:tc>
        <w:tc>
          <w:tcPr>
            <w:tcW w:w="167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14.59</w:t>
            </w:r>
          </w:p>
        </w:tc>
        <w:tc>
          <w:tcPr>
            <w:tcW w:w="1280"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约束性</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土地整治补充耕地义务量</w:t>
            </w:r>
          </w:p>
        </w:tc>
        <w:tc>
          <w:tcPr>
            <w:tcW w:w="155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w:t>
            </w:r>
          </w:p>
        </w:tc>
        <w:tc>
          <w:tcPr>
            <w:tcW w:w="1552"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88.23</w:t>
            </w:r>
          </w:p>
        </w:tc>
        <w:tc>
          <w:tcPr>
            <w:tcW w:w="167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20</w:t>
            </w:r>
          </w:p>
        </w:tc>
        <w:tc>
          <w:tcPr>
            <w:tcW w:w="1280"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约束性</w:t>
            </w:r>
          </w:p>
        </w:tc>
      </w:tr>
      <w:tr>
        <w:tblPrEx>
          <w:tblCellMar>
            <w:top w:w="0" w:type="dxa"/>
            <w:left w:w="108" w:type="dxa"/>
            <w:bottom w:w="0" w:type="dxa"/>
            <w:right w:w="108" w:type="dxa"/>
          </w:tblCellMar>
        </w:tblPrEx>
        <w:trPr>
          <w:trHeight w:val="405" w:hRule="atLeast"/>
          <w:jc w:val="center"/>
        </w:trPr>
        <w:tc>
          <w:tcPr>
            <w:tcW w:w="8939"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效率指标（单位为平方米）</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人均城镇工矿用地</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w:t>
            </w:r>
          </w:p>
        </w:tc>
        <w:tc>
          <w:tcPr>
            <w:tcW w:w="155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120</w:t>
            </w:r>
          </w:p>
        </w:tc>
        <w:tc>
          <w:tcPr>
            <w:tcW w:w="167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120</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约束性</w:t>
            </w:r>
          </w:p>
        </w:tc>
      </w:tr>
    </w:tbl>
    <w:p>
      <w:pPr>
        <w:ind w:firstLine="560" w:firstLineChars="200"/>
        <w:rPr>
          <w:rFonts w:ascii="仿宋_GB2312" w:hAnsi="宋体" w:eastAsia="仿宋_GB2312"/>
          <w:sz w:val="28"/>
          <w:szCs w:val="28"/>
        </w:rPr>
      </w:pPr>
    </w:p>
    <w:p>
      <w:pPr>
        <w:widowControl/>
        <w:jc w:val="left"/>
        <w:rPr>
          <w:rFonts w:ascii="仿宋_GB2312" w:hAnsi="宋体" w:eastAsia="仿宋_GB2312"/>
          <w:sz w:val="28"/>
          <w:szCs w:val="28"/>
        </w:rPr>
      </w:pPr>
      <w:r>
        <w:rPr>
          <w:rFonts w:ascii="仿宋_GB2312" w:hAnsi="宋体" w:eastAsia="仿宋_GB2312"/>
          <w:sz w:val="28"/>
          <w:szCs w:val="28"/>
        </w:rPr>
        <w:br w:type="page"/>
      </w:r>
    </w:p>
    <w:p>
      <w:pPr>
        <w:pStyle w:val="3"/>
        <w:spacing w:before="0" w:after="0" w:line="240" w:lineRule="auto"/>
        <w:jc w:val="left"/>
        <w:rPr>
          <w:rFonts w:ascii="仿宋_GB2312" w:hAnsi="宋体"/>
          <w:bCs w:val="0"/>
          <w:color w:val="000000"/>
          <w:sz w:val="28"/>
          <w:szCs w:val="28"/>
        </w:rPr>
      </w:pPr>
      <w:bookmarkStart w:id="132" w:name="_Toc407294590"/>
      <w:bookmarkStart w:id="133" w:name="_Toc475303984"/>
      <w:bookmarkStart w:id="134" w:name="_Toc485386652"/>
      <w:bookmarkStart w:id="135" w:name="_Toc486428881"/>
      <w:r>
        <w:rPr>
          <w:rFonts w:hint="eastAsia" w:ascii="仿宋_GB2312" w:hAnsi="宋体"/>
          <w:bCs w:val="0"/>
          <w:color w:val="000000"/>
          <w:sz w:val="28"/>
          <w:szCs w:val="28"/>
        </w:rPr>
        <w:t>附表二  石麟镇土地利用结构调整表</w:t>
      </w:r>
      <w:bookmarkEnd w:id="132"/>
      <w:bookmarkEnd w:id="133"/>
      <w:bookmarkEnd w:id="134"/>
      <w:bookmarkEnd w:id="135"/>
    </w:p>
    <w:p>
      <w:pPr>
        <w:tabs>
          <w:tab w:val="left" w:pos="3264"/>
          <w:tab w:val="right" w:pos="8306"/>
        </w:tabs>
        <w:ind w:firstLine="425"/>
        <w:jc w:val="left"/>
        <w:rPr>
          <w:rFonts w:ascii="仿宋_GB2312" w:eastAsia="仿宋_GB2312"/>
          <w:color w:val="000000"/>
          <w:sz w:val="24"/>
          <w:szCs w:val="24"/>
        </w:rPr>
      </w:pPr>
      <w:r>
        <w:rPr>
          <w:rFonts w:ascii="仿宋_GB2312" w:eastAsia="仿宋_GB2312"/>
          <w:color w:val="000000"/>
          <w:sz w:val="24"/>
          <w:szCs w:val="24"/>
        </w:rPr>
        <w:tab/>
      </w:r>
      <w:r>
        <w:rPr>
          <w:rFonts w:ascii="仿宋_GB2312" w:eastAsia="仿宋_GB2312"/>
          <w:color w:val="000000"/>
          <w:sz w:val="24"/>
          <w:szCs w:val="24"/>
        </w:rPr>
        <w:tab/>
      </w:r>
      <w:r>
        <w:rPr>
          <w:rFonts w:hint="eastAsia" w:ascii="仿宋_GB2312" w:eastAsia="仿宋_GB2312"/>
          <w:color w:val="000000"/>
          <w:sz w:val="24"/>
          <w:szCs w:val="24"/>
        </w:rPr>
        <w:t>单位：公顷</w:t>
      </w:r>
    </w:p>
    <w:tbl>
      <w:tblPr>
        <w:tblStyle w:val="13"/>
        <w:tblW w:w="9215" w:type="dxa"/>
        <w:tblInd w:w="-318" w:type="dxa"/>
        <w:tblLayout w:type="autofit"/>
        <w:tblCellMar>
          <w:top w:w="0" w:type="dxa"/>
          <w:left w:w="108" w:type="dxa"/>
          <w:bottom w:w="0" w:type="dxa"/>
          <w:right w:w="108" w:type="dxa"/>
        </w:tblCellMar>
      </w:tblPr>
      <w:tblGrid>
        <w:gridCol w:w="1561"/>
        <w:gridCol w:w="1790"/>
        <w:gridCol w:w="1186"/>
        <w:gridCol w:w="992"/>
        <w:gridCol w:w="1134"/>
        <w:gridCol w:w="1276"/>
        <w:gridCol w:w="1276"/>
      </w:tblGrid>
      <w:tr>
        <w:tblPrEx>
          <w:tblCellMar>
            <w:top w:w="0" w:type="dxa"/>
            <w:left w:w="108" w:type="dxa"/>
            <w:bottom w:w="0" w:type="dxa"/>
            <w:right w:w="108" w:type="dxa"/>
          </w:tblCellMar>
        </w:tblPrEx>
        <w:trPr>
          <w:trHeight w:val="288" w:hRule="atLeast"/>
        </w:trPr>
        <w:tc>
          <w:tcPr>
            <w:tcW w:w="3351"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规划地类</w:t>
            </w:r>
          </w:p>
        </w:tc>
        <w:tc>
          <w:tcPr>
            <w:tcW w:w="118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基期地类</w:t>
            </w:r>
          </w:p>
        </w:tc>
        <w:tc>
          <w:tcPr>
            <w:tcW w:w="992"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比重</w:t>
            </w:r>
          </w:p>
        </w:tc>
        <w:tc>
          <w:tcPr>
            <w:tcW w:w="1134"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规划期末地类</w:t>
            </w:r>
          </w:p>
        </w:tc>
        <w:tc>
          <w:tcPr>
            <w:tcW w:w="127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比重</w:t>
            </w:r>
          </w:p>
        </w:tc>
        <w:tc>
          <w:tcPr>
            <w:tcW w:w="127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增减量</w:t>
            </w:r>
          </w:p>
        </w:tc>
      </w:tr>
      <w:tr>
        <w:tblPrEx>
          <w:tblCellMar>
            <w:top w:w="0" w:type="dxa"/>
            <w:left w:w="108" w:type="dxa"/>
            <w:bottom w:w="0" w:type="dxa"/>
            <w:right w:w="108" w:type="dxa"/>
          </w:tblCellMar>
        </w:tblPrEx>
        <w:trPr>
          <w:trHeight w:val="288" w:hRule="atLeast"/>
        </w:trPr>
        <w:tc>
          <w:tcPr>
            <w:tcW w:w="156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农用地</w:t>
            </w:r>
          </w:p>
        </w:tc>
        <w:tc>
          <w:tcPr>
            <w:tcW w:w="1790" w:type="dxa"/>
            <w:tcBorders>
              <w:top w:val="nil"/>
              <w:left w:val="nil"/>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耕地</w:t>
            </w:r>
          </w:p>
        </w:tc>
        <w:tc>
          <w:tcPr>
            <w:tcW w:w="118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2336.42</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32.75%</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2581.83</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36.29%</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245.41</w:t>
            </w:r>
          </w:p>
        </w:tc>
      </w:tr>
      <w:tr>
        <w:tblPrEx>
          <w:tblCellMar>
            <w:top w:w="0" w:type="dxa"/>
            <w:left w:w="108" w:type="dxa"/>
            <w:bottom w:w="0" w:type="dxa"/>
            <w:right w:w="108" w:type="dxa"/>
          </w:tblCellMar>
        </w:tblPrEx>
        <w:trPr>
          <w:trHeight w:val="288" w:hRule="atLeast"/>
        </w:trPr>
        <w:tc>
          <w:tcPr>
            <w:tcW w:w="1561" w:type="dxa"/>
            <w:vMerge w:val="continue"/>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color w:val="000000"/>
                <w:kern w:val="0"/>
                <w:sz w:val="24"/>
                <w:szCs w:val="24"/>
              </w:rPr>
            </w:pPr>
          </w:p>
        </w:tc>
        <w:tc>
          <w:tcPr>
            <w:tcW w:w="1790" w:type="dxa"/>
            <w:tcBorders>
              <w:top w:val="nil"/>
              <w:left w:val="nil"/>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园地</w:t>
            </w:r>
          </w:p>
        </w:tc>
        <w:tc>
          <w:tcPr>
            <w:tcW w:w="118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219.75</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3.08%</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219.21</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3.08%</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(0.54)</w:t>
            </w:r>
          </w:p>
        </w:tc>
      </w:tr>
      <w:tr>
        <w:tblPrEx>
          <w:tblCellMar>
            <w:top w:w="0" w:type="dxa"/>
            <w:left w:w="108" w:type="dxa"/>
            <w:bottom w:w="0" w:type="dxa"/>
            <w:right w:w="108" w:type="dxa"/>
          </w:tblCellMar>
        </w:tblPrEx>
        <w:trPr>
          <w:trHeight w:val="288" w:hRule="atLeast"/>
        </w:trPr>
        <w:tc>
          <w:tcPr>
            <w:tcW w:w="1561" w:type="dxa"/>
            <w:vMerge w:val="continue"/>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color w:val="000000"/>
                <w:kern w:val="0"/>
                <w:sz w:val="24"/>
                <w:szCs w:val="24"/>
              </w:rPr>
            </w:pPr>
          </w:p>
        </w:tc>
        <w:tc>
          <w:tcPr>
            <w:tcW w:w="1790" w:type="dxa"/>
            <w:tcBorders>
              <w:top w:val="nil"/>
              <w:left w:val="nil"/>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林地</w:t>
            </w:r>
          </w:p>
        </w:tc>
        <w:tc>
          <w:tcPr>
            <w:tcW w:w="118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3955.21</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55.43%</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3950.54</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55.53%</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(4.67)</w:t>
            </w:r>
          </w:p>
        </w:tc>
      </w:tr>
      <w:tr>
        <w:tblPrEx>
          <w:tblCellMar>
            <w:top w:w="0" w:type="dxa"/>
            <w:left w:w="108" w:type="dxa"/>
            <w:bottom w:w="0" w:type="dxa"/>
            <w:right w:w="108" w:type="dxa"/>
          </w:tblCellMar>
        </w:tblPrEx>
        <w:trPr>
          <w:trHeight w:val="288" w:hRule="atLeast"/>
        </w:trPr>
        <w:tc>
          <w:tcPr>
            <w:tcW w:w="1561" w:type="dxa"/>
            <w:vMerge w:val="continue"/>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color w:val="000000"/>
                <w:kern w:val="0"/>
                <w:sz w:val="24"/>
                <w:szCs w:val="24"/>
              </w:rPr>
            </w:pPr>
          </w:p>
        </w:tc>
        <w:tc>
          <w:tcPr>
            <w:tcW w:w="1790" w:type="dxa"/>
            <w:tcBorders>
              <w:top w:val="nil"/>
              <w:left w:val="nil"/>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牧草地</w:t>
            </w:r>
          </w:p>
        </w:tc>
        <w:tc>
          <w:tcPr>
            <w:tcW w:w="118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0.00</w:t>
            </w:r>
          </w:p>
        </w:tc>
      </w:tr>
      <w:tr>
        <w:tblPrEx>
          <w:tblCellMar>
            <w:top w:w="0" w:type="dxa"/>
            <w:left w:w="108" w:type="dxa"/>
            <w:bottom w:w="0" w:type="dxa"/>
            <w:right w:w="108" w:type="dxa"/>
          </w:tblCellMar>
        </w:tblPrEx>
        <w:trPr>
          <w:trHeight w:val="288" w:hRule="atLeast"/>
        </w:trPr>
        <w:tc>
          <w:tcPr>
            <w:tcW w:w="1561" w:type="dxa"/>
            <w:vMerge w:val="continue"/>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color w:val="000000"/>
                <w:kern w:val="0"/>
                <w:sz w:val="24"/>
                <w:szCs w:val="24"/>
              </w:rPr>
            </w:pPr>
          </w:p>
        </w:tc>
        <w:tc>
          <w:tcPr>
            <w:tcW w:w="1790" w:type="dxa"/>
            <w:tcBorders>
              <w:top w:val="nil"/>
              <w:left w:val="nil"/>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其他农用地</w:t>
            </w:r>
          </w:p>
        </w:tc>
        <w:tc>
          <w:tcPr>
            <w:tcW w:w="118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623.53</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8.74%</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362.27</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5.09%</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(261.26)</w:t>
            </w:r>
          </w:p>
        </w:tc>
      </w:tr>
      <w:tr>
        <w:tblPrEx>
          <w:tblCellMar>
            <w:top w:w="0" w:type="dxa"/>
            <w:left w:w="108" w:type="dxa"/>
            <w:bottom w:w="0" w:type="dxa"/>
            <w:right w:w="108" w:type="dxa"/>
          </w:tblCellMar>
        </w:tblPrEx>
        <w:trPr>
          <w:trHeight w:val="288" w:hRule="atLeast"/>
        </w:trPr>
        <w:tc>
          <w:tcPr>
            <w:tcW w:w="1561" w:type="dxa"/>
            <w:vMerge w:val="continue"/>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color w:val="000000"/>
                <w:kern w:val="0"/>
                <w:sz w:val="24"/>
                <w:szCs w:val="24"/>
              </w:rPr>
            </w:pPr>
          </w:p>
        </w:tc>
        <w:tc>
          <w:tcPr>
            <w:tcW w:w="1790" w:type="dxa"/>
            <w:tcBorders>
              <w:top w:val="nil"/>
              <w:left w:val="nil"/>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农用地合计</w:t>
            </w:r>
          </w:p>
        </w:tc>
        <w:tc>
          <w:tcPr>
            <w:tcW w:w="118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7134.91</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92.25%</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7113.85</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91.97%</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(21.06)</w:t>
            </w:r>
          </w:p>
        </w:tc>
      </w:tr>
      <w:tr>
        <w:tblPrEx>
          <w:tblCellMar>
            <w:top w:w="0" w:type="dxa"/>
            <w:left w:w="108" w:type="dxa"/>
            <w:bottom w:w="0" w:type="dxa"/>
            <w:right w:w="108" w:type="dxa"/>
          </w:tblCellMar>
        </w:tblPrEx>
        <w:trPr>
          <w:trHeight w:val="288" w:hRule="atLeast"/>
        </w:trPr>
        <w:tc>
          <w:tcPr>
            <w:tcW w:w="156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建设用地</w:t>
            </w:r>
          </w:p>
        </w:tc>
        <w:tc>
          <w:tcPr>
            <w:tcW w:w="1790" w:type="dxa"/>
            <w:tcBorders>
              <w:top w:val="nil"/>
              <w:left w:val="nil"/>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城镇建设用地</w:t>
            </w:r>
          </w:p>
        </w:tc>
        <w:tc>
          <w:tcPr>
            <w:tcW w:w="118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24.75</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5.29%</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39.01</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7.99%</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14.26</w:t>
            </w:r>
          </w:p>
        </w:tc>
      </w:tr>
      <w:tr>
        <w:tblPrEx>
          <w:tblCellMar>
            <w:top w:w="0" w:type="dxa"/>
            <w:left w:w="108" w:type="dxa"/>
            <w:bottom w:w="0" w:type="dxa"/>
            <w:right w:w="108" w:type="dxa"/>
          </w:tblCellMar>
        </w:tblPrEx>
        <w:trPr>
          <w:trHeight w:val="288" w:hRule="atLeast"/>
        </w:trPr>
        <w:tc>
          <w:tcPr>
            <w:tcW w:w="1561" w:type="dxa"/>
            <w:vMerge w:val="continue"/>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color w:val="000000"/>
                <w:kern w:val="0"/>
                <w:sz w:val="24"/>
                <w:szCs w:val="24"/>
              </w:rPr>
            </w:pPr>
          </w:p>
        </w:tc>
        <w:tc>
          <w:tcPr>
            <w:tcW w:w="1790" w:type="dxa"/>
            <w:tcBorders>
              <w:top w:val="nil"/>
              <w:left w:val="nil"/>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农村居民点用地</w:t>
            </w:r>
          </w:p>
        </w:tc>
        <w:tc>
          <w:tcPr>
            <w:tcW w:w="118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382.49</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81.83%</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382.49</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78.3%</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0.00</w:t>
            </w:r>
          </w:p>
        </w:tc>
      </w:tr>
      <w:tr>
        <w:tblPrEx>
          <w:tblCellMar>
            <w:top w:w="0" w:type="dxa"/>
            <w:left w:w="108" w:type="dxa"/>
            <w:bottom w:w="0" w:type="dxa"/>
            <w:right w:w="108" w:type="dxa"/>
          </w:tblCellMar>
        </w:tblPrEx>
        <w:trPr>
          <w:trHeight w:val="288" w:hRule="atLeast"/>
        </w:trPr>
        <w:tc>
          <w:tcPr>
            <w:tcW w:w="1561" w:type="dxa"/>
            <w:vMerge w:val="continue"/>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color w:val="000000"/>
                <w:kern w:val="0"/>
                <w:sz w:val="24"/>
                <w:szCs w:val="24"/>
              </w:rPr>
            </w:pPr>
          </w:p>
        </w:tc>
        <w:tc>
          <w:tcPr>
            <w:tcW w:w="1790" w:type="dxa"/>
            <w:tcBorders>
              <w:top w:val="nil"/>
              <w:left w:val="nil"/>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采矿用地</w:t>
            </w:r>
          </w:p>
        </w:tc>
        <w:tc>
          <w:tcPr>
            <w:tcW w:w="118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43.72</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9.35%</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43.72</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8.95%</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0.00</w:t>
            </w:r>
          </w:p>
        </w:tc>
      </w:tr>
      <w:tr>
        <w:tblPrEx>
          <w:tblCellMar>
            <w:top w:w="0" w:type="dxa"/>
            <w:left w:w="108" w:type="dxa"/>
            <w:bottom w:w="0" w:type="dxa"/>
            <w:right w:w="108" w:type="dxa"/>
          </w:tblCellMar>
        </w:tblPrEx>
        <w:trPr>
          <w:trHeight w:val="288" w:hRule="atLeast"/>
        </w:trPr>
        <w:tc>
          <w:tcPr>
            <w:tcW w:w="1561" w:type="dxa"/>
            <w:vMerge w:val="continue"/>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color w:val="000000"/>
                <w:kern w:val="0"/>
                <w:sz w:val="24"/>
                <w:szCs w:val="24"/>
              </w:rPr>
            </w:pPr>
          </w:p>
        </w:tc>
        <w:tc>
          <w:tcPr>
            <w:tcW w:w="1790" w:type="dxa"/>
            <w:tcBorders>
              <w:top w:val="nil"/>
              <w:left w:val="nil"/>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其他独立建设用地</w:t>
            </w:r>
          </w:p>
        </w:tc>
        <w:tc>
          <w:tcPr>
            <w:tcW w:w="118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0.00</w:t>
            </w:r>
          </w:p>
        </w:tc>
      </w:tr>
      <w:tr>
        <w:tblPrEx>
          <w:tblCellMar>
            <w:top w:w="0" w:type="dxa"/>
            <w:left w:w="108" w:type="dxa"/>
            <w:bottom w:w="0" w:type="dxa"/>
            <w:right w:w="108" w:type="dxa"/>
          </w:tblCellMar>
        </w:tblPrEx>
        <w:trPr>
          <w:trHeight w:val="288" w:hRule="atLeast"/>
        </w:trPr>
        <w:tc>
          <w:tcPr>
            <w:tcW w:w="1561" w:type="dxa"/>
            <w:vMerge w:val="continue"/>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color w:val="000000"/>
                <w:kern w:val="0"/>
                <w:sz w:val="24"/>
                <w:szCs w:val="24"/>
              </w:rPr>
            </w:pPr>
          </w:p>
        </w:tc>
        <w:tc>
          <w:tcPr>
            <w:tcW w:w="1790" w:type="dxa"/>
            <w:tcBorders>
              <w:top w:val="nil"/>
              <w:left w:val="nil"/>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交通水利用地</w:t>
            </w:r>
          </w:p>
        </w:tc>
        <w:tc>
          <w:tcPr>
            <w:tcW w:w="118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16.47</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3.52%</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23.27</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4.76%</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6.80</w:t>
            </w:r>
          </w:p>
        </w:tc>
      </w:tr>
      <w:tr>
        <w:tblPrEx>
          <w:tblCellMar>
            <w:top w:w="0" w:type="dxa"/>
            <w:left w:w="108" w:type="dxa"/>
            <w:bottom w:w="0" w:type="dxa"/>
            <w:right w:w="108" w:type="dxa"/>
          </w:tblCellMar>
        </w:tblPrEx>
        <w:trPr>
          <w:trHeight w:val="288" w:hRule="atLeast"/>
        </w:trPr>
        <w:tc>
          <w:tcPr>
            <w:tcW w:w="1561" w:type="dxa"/>
            <w:vMerge w:val="continue"/>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color w:val="000000"/>
                <w:kern w:val="0"/>
                <w:sz w:val="24"/>
                <w:szCs w:val="24"/>
              </w:rPr>
            </w:pPr>
          </w:p>
        </w:tc>
        <w:tc>
          <w:tcPr>
            <w:tcW w:w="1790" w:type="dxa"/>
            <w:tcBorders>
              <w:top w:val="nil"/>
              <w:left w:val="nil"/>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风景名胜设施用地</w:t>
            </w:r>
          </w:p>
        </w:tc>
        <w:tc>
          <w:tcPr>
            <w:tcW w:w="118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0.00</w:t>
            </w:r>
          </w:p>
        </w:tc>
      </w:tr>
      <w:tr>
        <w:tblPrEx>
          <w:tblCellMar>
            <w:top w:w="0" w:type="dxa"/>
            <w:left w:w="108" w:type="dxa"/>
            <w:bottom w:w="0" w:type="dxa"/>
            <w:right w:w="108" w:type="dxa"/>
          </w:tblCellMar>
        </w:tblPrEx>
        <w:trPr>
          <w:trHeight w:val="288" w:hRule="atLeast"/>
        </w:trPr>
        <w:tc>
          <w:tcPr>
            <w:tcW w:w="1561" w:type="dxa"/>
            <w:vMerge w:val="continue"/>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color w:val="000000"/>
                <w:kern w:val="0"/>
                <w:sz w:val="24"/>
                <w:szCs w:val="24"/>
              </w:rPr>
            </w:pPr>
          </w:p>
        </w:tc>
        <w:tc>
          <w:tcPr>
            <w:tcW w:w="1790" w:type="dxa"/>
            <w:tcBorders>
              <w:top w:val="nil"/>
              <w:left w:val="nil"/>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特殊用地</w:t>
            </w:r>
          </w:p>
        </w:tc>
        <w:tc>
          <w:tcPr>
            <w:tcW w:w="118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0.00</w:t>
            </w:r>
          </w:p>
        </w:tc>
      </w:tr>
      <w:tr>
        <w:tblPrEx>
          <w:tblCellMar>
            <w:top w:w="0" w:type="dxa"/>
            <w:left w:w="108" w:type="dxa"/>
            <w:bottom w:w="0" w:type="dxa"/>
            <w:right w:w="108" w:type="dxa"/>
          </w:tblCellMar>
        </w:tblPrEx>
        <w:trPr>
          <w:trHeight w:val="288" w:hRule="atLeast"/>
        </w:trPr>
        <w:tc>
          <w:tcPr>
            <w:tcW w:w="1561" w:type="dxa"/>
            <w:vMerge w:val="continue"/>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color w:val="000000"/>
                <w:kern w:val="0"/>
                <w:sz w:val="24"/>
                <w:szCs w:val="24"/>
              </w:rPr>
            </w:pPr>
          </w:p>
        </w:tc>
        <w:tc>
          <w:tcPr>
            <w:tcW w:w="1790" w:type="dxa"/>
            <w:tcBorders>
              <w:top w:val="nil"/>
              <w:left w:val="nil"/>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建设用地合计</w:t>
            </w:r>
          </w:p>
        </w:tc>
        <w:tc>
          <w:tcPr>
            <w:tcW w:w="118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467.43</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6.04%</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488.49</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6.32%</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21.06</w:t>
            </w:r>
          </w:p>
        </w:tc>
      </w:tr>
      <w:tr>
        <w:tblPrEx>
          <w:tblCellMar>
            <w:top w:w="0" w:type="dxa"/>
            <w:left w:w="108" w:type="dxa"/>
            <w:bottom w:w="0" w:type="dxa"/>
            <w:right w:w="108" w:type="dxa"/>
          </w:tblCellMar>
        </w:tblPrEx>
        <w:trPr>
          <w:trHeight w:val="288" w:hRule="atLeast"/>
        </w:trPr>
        <w:tc>
          <w:tcPr>
            <w:tcW w:w="156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其他土地</w:t>
            </w:r>
          </w:p>
        </w:tc>
        <w:tc>
          <w:tcPr>
            <w:tcW w:w="1790" w:type="dxa"/>
            <w:tcBorders>
              <w:top w:val="nil"/>
              <w:left w:val="nil"/>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河流水面</w:t>
            </w:r>
          </w:p>
        </w:tc>
        <w:tc>
          <w:tcPr>
            <w:tcW w:w="118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127</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96.06%</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127</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96.06%</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0.00</w:t>
            </w:r>
          </w:p>
        </w:tc>
      </w:tr>
      <w:tr>
        <w:tblPrEx>
          <w:tblCellMar>
            <w:top w:w="0" w:type="dxa"/>
            <w:left w:w="108" w:type="dxa"/>
            <w:bottom w:w="0" w:type="dxa"/>
            <w:right w:w="108" w:type="dxa"/>
          </w:tblCellMar>
        </w:tblPrEx>
        <w:trPr>
          <w:trHeight w:val="288" w:hRule="atLeast"/>
        </w:trPr>
        <w:tc>
          <w:tcPr>
            <w:tcW w:w="1561" w:type="dxa"/>
            <w:vMerge w:val="continue"/>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color w:val="000000"/>
                <w:kern w:val="0"/>
                <w:sz w:val="24"/>
                <w:szCs w:val="24"/>
              </w:rPr>
            </w:pPr>
          </w:p>
        </w:tc>
        <w:tc>
          <w:tcPr>
            <w:tcW w:w="1790" w:type="dxa"/>
            <w:tcBorders>
              <w:top w:val="nil"/>
              <w:left w:val="nil"/>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滩涂</w:t>
            </w:r>
          </w:p>
        </w:tc>
        <w:tc>
          <w:tcPr>
            <w:tcW w:w="118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0.00</w:t>
            </w:r>
          </w:p>
        </w:tc>
      </w:tr>
      <w:tr>
        <w:tblPrEx>
          <w:tblCellMar>
            <w:top w:w="0" w:type="dxa"/>
            <w:left w:w="108" w:type="dxa"/>
            <w:bottom w:w="0" w:type="dxa"/>
            <w:right w:w="108" w:type="dxa"/>
          </w:tblCellMar>
        </w:tblPrEx>
        <w:trPr>
          <w:trHeight w:val="288" w:hRule="atLeast"/>
        </w:trPr>
        <w:tc>
          <w:tcPr>
            <w:tcW w:w="1561" w:type="dxa"/>
            <w:vMerge w:val="continue"/>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color w:val="000000"/>
                <w:kern w:val="0"/>
                <w:sz w:val="24"/>
                <w:szCs w:val="24"/>
              </w:rPr>
            </w:pPr>
          </w:p>
        </w:tc>
        <w:tc>
          <w:tcPr>
            <w:tcW w:w="1790" w:type="dxa"/>
            <w:tcBorders>
              <w:top w:val="nil"/>
              <w:left w:val="nil"/>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自然保留地</w:t>
            </w:r>
          </w:p>
        </w:tc>
        <w:tc>
          <w:tcPr>
            <w:tcW w:w="118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5.21</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3.94%</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5.21</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3.94%</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0.00</w:t>
            </w:r>
          </w:p>
        </w:tc>
      </w:tr>
      <w:tr>
        <w:tblPrEx>
          <w:tblCellMar>
            <w:top w:w="0" w:type="dxa"/>
            <w:left w:w="108" w:type="dxa"/>
            <w:bottom w:w="0" w:type="dxa"/>
            <w:right w:w="108" w:type="dxa"/>
          </w:tblCellMar>
        </w:tblPrEx>
        <w:trPr>
          <w:trHeight w:val="288" w:hRule="atLeast"/>
        </w:trPr>
        <w:tc>
          <w:tcPr>
            <w:tcW w:w="1561" w:type="dxa"/>
            <w:vMerge w:val="continue"/>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color w:val="000000"/>
                <w:kern w:val="0"/>
                <w:sz w:val="24"/>
                <w:szCs w:val="24"/>
              </w:rPr>
            </w:pPr>
          </w:p>
        </w:tc>
        <w:tc>
          <w:tcPr>
            <w:tcW w:w="1790" w:type="dxa"/>
            <w:tcBorders>
              <w:top w:val="nil"/>
              <w:left w:val="nil"/>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其他土地合计</w:t>
            </w:r>
          </w:p>
        </w:tc>
        <w:tc>
          <w:tcPr>
            <w:tcW w:w="118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132.21</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1.71%</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132.21</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1.71%</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0.00</w:t>
            </w:r>
          </w:p>
        </w:tc>
      </w:tr>
      <w:tr>
        <w:tblPrEx>
          <w:tblCellMar>
            <w:top w:w="0" w:type="dxa"/>
            <w:left w:w="108" w:type="dxa"/>
            <w:bottom w:w="0" w:type="dxa"/>
            <w:right w:w="108" w:type="dxa"/>
          </w:tblCellMar>
        </w:tblPrEx>
        <w:trPr>
          <w:trHeight w:val="288" w:hRule="atLeast"/>
        </w:trPr>
        <w:tc>
          <w:tcPr>
            <w:tcW w:w="1561"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土地总面积</w:t>
            </w:r>
          </w:p>
        </w:tc>
        <w:tc>
          <w:tcPr>
            <w:tcW w:w="1790" w:type="dxa"/>
            <w:tcBorders>
              <w:top w:val="nil"/>
              <w:left w:val="nil"/>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color w:val="000000"/>
                <w:kern w:val="0"/>
                <w:sz w:val="24"/>
                <w:szCs w:val="24"/>
              </w:rPr>
            </w:pPr>
          </w:p>
        </w:tc>
        <w:tc>
          <w:tcPr>
            <w:tcW w:w="1186" w:type="dxa"/>
            <w:tcBorders>
              <w:top w:val="nil"/>
              <w:left w:val="nil"/>
              <w:bottom w:val="single" w:color="auto" w:sz="4" w:space="0"/>
              <w:right w:val="single" w:color="auto" w:sz="4" w:space="0"/>
            </w:tcBorders>
            <w:shd w:val="clear" w:color="auto" w:fill="auto"/>
            <w:noWrap/>
            <w:vAlign w:val="bottom"/>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7734.55</w:t>
            </w:r>
          </w:p>
        </w:tc>
        <w:tc>
          <w:tcPr>
            <w:tcW w:w="992" w:type="dxa"/>
            <w:tcBorders>
              <w:top w:val="nil"/>
              <w:left w:val="nil"/>
              <w:bottom w:val="single" w:color="auto" w:sz="4" w:space="0"/>
              <w:right w:val="single" w:color="auto" w:sz="4" w:space="0"/>
            </w:tcBorders>
            <w:shd w:val="clear" w:color="auto" w:fill="auto"/>
            <w:noWrap/>
            <w:vAlign w:val="bottom"/>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100%</w:t>
            </w:r>
          </w:p>
        </w:tc>
        <w:tc>
          <w:tcPr>
            <w:tcW w:w="1134" w:type="dxa"/>
            <w:tcBorders>
              <w:top w:val="nil"/>
              <w:left w:val="nil"/>
              <w:bottom w:val="single" w:color="auto" w:sz="4" w:space="0"/>
              <w:right w:val="single" w:color="auto" w:sz="4" w:space="0"/>
            </w:tcBorders>
            <w:shd w:val="clear" w:color="auto" w:fill="auto"/>
            <w:noWrap/>
            <w:vAlign w:val="bottom"/>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7734.55</w:t>
            </w:r>
          </w:p>
        </w:tc>
        <w:tc>
          <w:tcPr>
            <w:tcW w:w="1276" w:type="dxa"/>
            <w:tcBorders>
              <w:top w:val="nil"/>
              <w:left w:val="nil"/>
              <w:bottom w:val="single" w:color="auto" w:sz="4" w:space="0"/>
              <w:right w:val="single" w:color="auto" w:sz="4" w:space="0"/>
            </w:tcBorders>
            <w:shd w:val="clear" w:color="auto" w:fill="auto"/>
            <w:noWrap/>
            <w:vAlign w:val="bottom"/>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100%</w:t>
            </w:r>
          </w:p>
        </w:tc>
        <w:tc>
          <w:tcPr>
            <w:tcW w:w="1276" w:type="dxa"/>
            <w:tcBorders>
              <w:top w:val="nil"/>
              <w:left w:val="nil"/>
              <w:bottom w:val="single" w:color="auto" w:sz="4" w:space="0"/>
              <w:right w:val="single" w:color="auto" w:sz="4" w:space="0"/>
            </w:tcBorders>
            <w:shd w:val="clear" w:color="auto" w:fill="auto"/>
            <w:noWrap/>
            <w:vAlign w:val="bottom"/>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0.00</w:t>
            </w:r>
          </w:p>
        </w:tc>
      </w:tr>
    </w:tbl>
    <w:p>
      <w:pPr>
        <w:jc w:val="center"/>
        <w:rPr>
          <w:rFonts w:ascii="仿宋_GB2312" w:hAnsi="宋体" w:eastAsia="仿宋_GB2312"/>
          <w:sz w:val="28"/>
          <w:szCs w:val="28"/>
        </w:rPr>
      </w:pPr>
    </w:p>
    <w:p>
      <w:pPr>
        <w:rPr>
          <w:rFonts w:ascii="仿宋_GB2312" w:hAnsi="宋体" w:eastAsia="仿宋_GB2312"/>
          <w:sz w:val="28"/>
          <w:szCs w:val="28"/>
        </w:rPr>
      </w:pPr>
    </w:p>
    <w:p>
      <w:pPr>
        <w:widowControl/>
        <w:jc w:val="left"/>
        <w:rPr>
          <w:rFonts w:ascii="仿宋_GB2312" w:hAnsi="宋体" w:eastAsia="仿宋_GB2312"/>
          <w:sz w:val="28"/>
          <w:szCs w:val="28"/>
        </w:rPr>
        <w:sectPr>
          <w:pgSz w:w="11906" w:h="16838"/>
          <w:pgMar w:top="1440" w:right="1800" w:bottom="1440" w:left="1800" w:header="851" w:footer="992" w:gutter="0"/>
          <w:cols w:space="425" w:num="1"/>
          <w:docGrid w:type="lines" w:linePitch="312" w:charSpace="0"/>
        </w:sectPr>
      </w:pPr>
      <w:r>
        <w:rPr>
          <w:rFonts w:ascii="仿宋_GB2312" w:hAnsi="宋体" w:eastAsia="仿宋_GB2312"/>
          <w:sz w:val="28"/>
          <w:szCs w:val="28"/>
        </w:rPr>
        <w:br w:type="page"/>
      </w:r>
    </w:p>
    <w:p>
      <w:pPr>
        <w:pStyle w:val="3"/>
        <w:spacing w:line="240" w:lineRule="auto"/>
        <w:jc w:val="left"/>
        <w:rPr>
          <w:rFonts w:ascii="仿宋_GB2312" w:hAnsi="宋体"/>
          <w:bCs w:val="0"/>
          <w:color w:val="000000"/>
          <w:sz w:val="28"/>
          <w:szCs w:val="28"/>
        </w:rPr>
      </w:pPr>
      <w:bookmarkStart w:id="136" w:name="_Toc407294591"/>
      <w:bookmarkStart w:id="137" w:name="_Toc475303985"/>
      <w:bookmarkStart w:id="138" w:name="_Toc485386653"/>
      <w:bookmarkStart w:id="139" w:name="_Toc486428882"/>
      <w:r>
        <w:rPr>
          <w:rFonts w:hint="eastAsia" w:ascii="仿宋_GB2312" w:hAnsi="宋体"/>
          <w:bCs w:val="0"/>
          <w:color w:val="000000"/>
          <w:sz w:val="28"/>
          <w:szCs w:val="28"/>
        </w:rPr>
        <w:t>附表三  石麟镇各乡村土地用途分区面积表</w:t>
      </w:r>
      <w:bookmarkEnd w:id="136"/>
      <w:bookmarkEnd w:id="137"/>
      <w:bookmarkEnd w:id="138"/>
      <w:bookmarkEnd w:id="139"/>
    </w:p>
    <w:p>
      <w:pPr>
        <w:spacing w:line="240" w:lineRule="exact"/>
        <w:ind w:firstLine="425"/>
        <w:jc w:val="right"/>
        <w:rPr>
          <w:rFonts w:ascii="仿宋_GB2312" w:eastAsia="仿宋_GB2312"/>
          <w:color w:val="000000"/>
          <w:sz w:val="24"/>
          <w:szCs w:val="24"/>
        </w:rPr>
      </w:pPr>
      <w:r>
        <w:rPr>
          <w:rFonts w:hint="eastAsia" w:ascii="仿宋_GB2312" w:eastAsia="仿宋_GB2312"/>
          <w:color w:val="000000"/>
          <w:sz w:val="24"/>
          <w:szCs w:val="24"/>
        </w:rPr>
        <w:t>单位：公顷</w:t>
      </w:r>
    </w:p>
    <w:tbl>
      <w:tblPr>
        <w:tblStyle w:val="13"/>
        <w:tblW w:w="5000" w:type="pct"/>
        <w:jc w:val="center"/>
        <w:tblLayout w:type="autofit"/>
        <w:tblCellMar>
          <w:top w:w="15" w:type="dxa"/>
          <w:left w:w="108" w:type="dxa"/>
          <w:bottom w:w="15" w:type="dxa"/>
          <w:right w:w="108" w:type="dxa"/>
        </w:tblCellMar>
      </w:tblPr>
      <w:tblGrid>
        <w:gridCol w:w="1114"/>
        <w:gridCol w:w="867"/>
        <w:gridCol w:w="868"/>
        <w:gridCol w:w="868"/>
        <w:gridCol w:w="868"/>
        <w:gridCol w:w="868"/>
        <w:gridCol w:w="868"/>
        <w:gridCol w:w="868"/>
        <w:gridCol w:w="868"/>
        <w:gridCol w:w="868"/>
        <w:gridCol w:w="868"/>
        <w:gridCol w:w="871"/>
        <w:gridCol w:w="908"/>
        <w:gridCol w:w="868"/>
        <w:gridCol w:w="871"/>
        <w:gridCol w:w="863"/>
      </w:tblGrid>
      <w:tr>
        <w:tblPrEx>
          <w:tblCellMar>
            <w:top w:w="15" w:type="dxa"/>
            <w:left w:w="108" w:type="dxa"/>
            <w:bottom w:w="15" w:type="dxa"/>
            <w:right w:w="108" w:type="dxa"/>
          </w:tblCellMar>
        </w:tblPrEx>
        <w:trPr>
          <w:trHeight w:val="285" w:hRule="atLeast"/>
          <w:jc w:val="center"/>
        </w:trPr>
        <w:tc>
          <w:tcPr>
            <w:tcW w:w="394"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r>
              <w:rPr>
                <w:rFonts w:hint="eastAsia" w:ascii="仿宋_GB2312" w:hAnsi="等线" w:eastAsia="仿宋_GB2312" w:cs="宋体"/>
                <w:b/>
                <w:color w:val="000000"/>
                <w:kern w:val="0"/>
                <w:szCs w:val="21"/>
              </w:rPr>
              <w:t>单位</w:t>
            </w:r>
          </w:p>
        </w:tc>
        <w:tc>
          <w:tcPr>
            <w:tcW w:w="307"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r>
              <w:rPr>
                <w:rFonts w:hint="eastAsia" w:ascii="仿宋_GB2312" w:hAnsi="等线" w:eastAsia="仿宋_GB2312" w:cs="宋体"/>
                <w:b/>
                <w:color w:val="000000"/>
                <w:kern w:val="0"/>
                <w:szCs w:val="21"/>
              </w:rPr>
              <w:t>辖区面积</w:t>
            </w:r>
          </w:p>
        </w:tc>
        <w:tc>
          <w:tcPr>
            <w:tcW w:w="4298" w:type="pct"/>
            <w:gridSpan w:val="1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r>
              <w:rPr>
                <w:rFonts w:hint="eastAsia" w:ascii="仿宋_GB2312" w:hAnsi="等线" w:eastAsia="仿宋_GB2312" w:cs="宋体"/>
                <w:b/>
                <w:color w:val="000000"/>
                <w:kern w:val="0"/>
                <w:szCs w:val="21"/>
              </w:rPr>
              <w:t>土地用途区</w:t>
            </w:r>
          </w:p>
        </w:tc>
      </w:tr>
      <w:tr>
        <w:tblPrEx>
          <w:tblCellMar>
            <w:top w:w="15" w:type="dxa"/>
            <w:left w:w="108" w:type="dxa"/>
            <w:bottom w:w="15" w:type="dxa"/>
            <w:right w:w="108" w:type="dxa"/>
          </w:tblCellMar>
        </w:tblPrEx>
        <w:trPr>
          <w:trHeight w:val="624" w:hRule="atLeast"/>
          <w:jc w:val="center"/>
        </w:trPr>
        <w:tc>
          <w:tcPr>
            <w:tcW w:w="394"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p>
        </w:tc>
        <w:tc>
          <w:tcPr>
            <w:tcW w:w="307"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p>
        </w:tc>
        <w:tc>
          <w:tcPr>
            <w:tcW w:w="614"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r>
              <w:rPr>
                <w:rFonts w:hint="eastAsia" w:ascii="仿宋_GB2312" w:hAnsi="等线" w:eastAsia="仿宋_GB2312" w:cs="宋体"/>
                <w:b/>
                <w:color w:val="000000"/>
                <w:kern w:val="0"/>
                <w:szCs w:val="21"/>
              </w:rPr>
              <w:t>基本农田保护区</w:t>
            </w:r>
          </w:p>
        </w:tc>
        <w:tc>
          <w:tcPr>
            <w:tcW w:w="614"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r>
              <w:rPr>
                <w:rFonts w:hint="eastAsia" w:ascii="仿宋_GB2312" w:hAnsi="等线" w:eastAsia="仿宋_GB2312" w:cs="宋体"/>
                <w:b/>
                <w:color w:val="000000"/>
                <w:kern w:val="0"/>
                <w:szCs w:val="21"/>
              </w:rPr>
              <w:t>一般农地区</w:t>
            </w:r>
          </w:p>
        </w:tc>
        <w:tc>
          <w:tcPr>
            <w:tcW w:w="614"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r>
              <w:rPr>
                <w:rFonts w:hint="eastAsia" w:ascii="仿宋_GB2312" w:hAnsi="等线" w:eastAsia="仿宋_GB2312" w:cs="宋体"/>
                <w:b/>
                <w:color w:val="000000"/>
                <w:kern w:val="0"/>
                <w:szCs w:val="21"/>
              </w:rPr>
              <w:t>城镇建设用地区</w:t>
            </w:r>
          </w:p>
        </w:tc>
        <w:tc>
          <w:tcPr>
            <w:tcW w:w="614"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r>
              <w:rPr>
                <w:rFonts w:hint="eastAsia" w:ascii="仿宋_GB2312" w:hAnsi="等线" w:eastAsia="仿宋_GB2312" w:cs="宋体"/>
                <w:b/>
                <w:color w:val="000000"/>
                <w:kern w:val="0"/>
                <w:szCs w:val="21"/>
              </w:rPr>
              <w:t>村镇建设用地区</w:t>
            </w:r>
          </w:p>
        </w:tc>
        <w:tc>
          <w:tcPr>
            <w:tcW w:w="615"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r>
              <w:rPr>
                <w:rFonts w:hint="eastAsia" w:ascii="仿宋_GB2312" w:hAnsi="等线" w:eastAsia="仿宋_GB2312" w:cs="宋体"/>
                <w:b/>
                <w:color w:val="000000"/>
                <w:kern w:val="0"/>
                <w:szCs w:val="21"/>
              </w:rPr>
              <w:t>独立工矿用地区</w:t>
            </w:r>
          </w:p>
        </w:tc>
        <w:tc>
          <w:tcPr>
            <w:tcW w:w="615"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r>
              <w:rPr>
                <w:rFonts w:hint="eastAsia" w:ascii="仿宋_GB2312" w:hAnsi="等线" w:eastAsia="仿宋_GB2312" w:cs="宋体"/>
                <w:b/>
                <w:color w:val="000000"/>
                <w:kern w:val="0"/>
                <w:szCs w:val="21"/>
              </w:rPr>
              <w:t>林业用地区</w:t>
            </w:r>
          </w:p>
        </w:tc>
        <w:tc>
          <w:tcPr>
            <w:tcW w:w="613"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r>
              <w:rPr>
                <w:rFonts w:hint="eastAsia" w:ascii="仿宋_GB2312" w:hAnsi="等线" w:eastAsia="仿宋_GB2312" w:cs="宋体"/>
                <w:b/>
                <w:color w:val="000000"/>
                <w:kern w:val="0"/>
                <w:szCs w:val="21"/>
              </w:rPr>
              <w:t>其他用地</w:t>
            </w:r>
          </w:p>
        </w:tc>
      </w:tr>
      <w:tr>
        <w:tblPrEx>
          <w:tblCellMar>
            <w:top w:w="15" w:type="dxa"/>
            <w:left w:w="108" w:type="dxa"/>
            <w:bottom w:w="15" w:type="dxa"/>
            <w:right w:w="108" w:type="dxa"/>
          </w:tblCellMar>
        </w:tblPrEx>
        <w:trPr>
          <w:trHeight w:val="312" w:hRule="atLeast"/>
          <w:jc w:val="center"/>
        </w:trPr>
        <w:tc>
          <w:tcPr>
            <w:tcW w:w="394"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307"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14"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14"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14"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14"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15"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15"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13"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r>
      <w:tr>
        <w:tblPrEx>
          <w:tblCellMar>
            <w:top w:w="15" w:type="dxa"/>
            <w:left w:w="108" w:type="dxa"/>
            <w:bottom w:w="15" w:type="dxa"/>
            <w:right w:w="108" w:type="dxa"/>
          </w:tblCellMar>
        </w:tblPrEx>
        <w:trPr>
          <w:trHeight w:val="312" w:hRule="atLeast"/>
          <w:jc w:val="center"/>
        </w:trPr>
        <w:tc>
          <w:tcPr>
            <w:tcW w:w="394"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307"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14"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14"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14"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14"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15"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15"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13"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r>
      <w:tr>
        <w:tblPrEx>
          <w:tblCellMar>
            <w:top w:w="15" w:type="dxa"/>
            <w:left w:w="108" w:type="dxa"/>
            <w:bottom w:w="15" w:type="dxa"/>
            <w:right w:w="108" w:type="dxa"/>
          </w:tblCellMar>
        </w:tblPrEx>
        <w:trPr>
          <w:trHeight w:val="55" w:hRule="atLeast"/>
          <w:jc w:val="center"/>
        </w:trPr>
        <w:tc>
          <w:tcPr>
            <w:tcW w:w="394"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307"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3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面积</w:t>
            </w:r>
          </w:p>
        </w:tc>
        <w:tc>
          <w:tcPr>
            <w:tcW w:w="3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w:t>
            </w:r>
          </w:p>
        </w:tc>
        <w:tc>
          <w:tcPr>
            <w:tcW w:w="3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面积</w:t>
            </w:r>
          </w:p>
        </w:tc>
        <w:tc>
          <w:tcPr>
            <w:tcW w:w="3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w:t>
            </w:r>
          </w:p>
        </w:tc>
        <w:tc>
          <w:tcPr>
            <w:tcW w:w="3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面积</w:t>
            </w:r>
          </w:p>
        </w:tc>
        <w:tc>
          <w:tcPr>
            <w:tcW w:w="3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w:t>
            </w:r>
          </w:p>
        </w:tc>
        <w:tc>
          <w:tcPr>
            <w:tcW w:w="3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面积</w:t>
            </w:r>
          </w:p>
        </w:tc>
        <w:tc>
          <w:tcPr>
            <w:tcW w:w="3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w:t>
            </w:r>
          </w:p>
        </w:tc>
        <w:tc>
          <w:tcPr>
            <w:tcW w:w="3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面积</w:t>
            </w:r>
          </w:p>
        </w:tc>
        <w:tc>
          <w:tcPr>
            <w:tcW w:w="30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w:t>
            </w:r>
          </w:p>
        </w:tc>
        <w:tc>
          <w:tcPr>
            <w:tcW w:w="30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面积</w:t>
            </w:r>
          </w:p>
        </w:tc>
        <w:tc>
          <w:tcPr>
            <w:tcW w:w="3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w:t>
            </w:r>
          </w:p>
        </w:tc>
        <w:tc>
          <w:tcPr>
            <w:tcW w:w="30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面积</w:t>
            </w:r>
          </w:p>
        </w:tc>
        <w:tc>
          <w:tcPr>
            <w:tcW w:w="30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共同村</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405.45</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227.06</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56%</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15.22</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3.75%</w:t>
            </w:r>
          </w:p>
        </w:tc>
        <w:tc>
          <w:tcPr>
            <w:tcW w:w="307" w:type="pct"/>
            <w:tcBorders>
              <w:top w:val="single" w:color="auto" w:sz="4" w:space="0"/>
              <w:left w:val="single" w:color="auto" w:sz="4" w:space="0"/>
              <w:bottom w:val="single" w:color="auto" w:sz="4" w:space="0"/>
              <w:right w:val="single" w:color="auto" w:sz="4" w:space="0"/>
            </w:tcBorders>
          </w:tcPr>
          <w:p/>
        </w:tc>
        <w:tc>
          <w:tcPr>
            <w:tcW w:w="307" w:type="pct"/>
            <w:tcBorders>
              <w:top w:val="single" w:color="auto" w:sz="4" w:space="0"/>
              <w:left w:val="single" w:color="auto" w:sz="4" w:space="0"/>
              <w:bottom w:val="single" w:color="auto" w:sz="4" w:space="0"/>
              <w:right w:val="single" w:color="auto" w:sz="4" w:space="0"/>
            </w:tcBorders>
          </w:tcPr>
          <w:p>
            <w:r>
              <w:t>0%</w:t>
            </w:r>
          </w:p>
        </w:tc>
        <w:tc>
          <w:tcPr>
            <w:tcW w:w="307" w:type="pct"/>
            <w:tcBorders>
              <w:top w:val="single" w:color="auto" w:sz="4" w:space="0"/>
              <w:left w:val="single" w:color="auto" w:sz="4" w:space="0"/>
              <w:bottom w:val="single" w:color="auto" w:sz="4" w:space="0"/>
              <w:right w:val="single" w:color="auto" w:sz="4" w:space="0"/>
            </w:tcBorders>
          </w:tcPr>
          <w:p>
            <w:r>
              <w:t>25.52</w:t>
            </w:r>
          </w:p>
        </w:tc>
        <w:tc>
          <w:tcPr>
            <w:tcW w:w="307" w:type="pct"/>
            <w:tcBorders>
              <w:top w:val="single" w:color="auto" w:sz="4" w:space="0"/>
              <w:left w:val="single" w:color="auto" w:sz="4" w:space="0"/>
              <w:bottom w:val="single" w:color="auto" w:sz="4" w:space="0"/>
              <w:right w:val="single" w:color="auto" w:sz="4" w:space="0"/>
            </w:tcBorders>
          </w:tcPr>
          <w:p>
            <w:r>
              <w:t>6.29%</w:t>
            </w:r>
          </w:p>
        </w:tc>
        <w:tc>
          <w:tcPr>
            <w:tcW w:w="307" w:type="pct"/>
            <w:tcBorders>
              <w:top w:val="single" w:color="auto" w:sz="4" w:space="0"/>
              <w:left w:val="single" w:color="auto" w:sz="4" w:space="0"/>
              <w:bottom w:val="single" w:color="auto" w:sz="4" w:space="0"/>
              <w:right w:val="single" w:color="auto" w:sz="4" w:space="0"/>
            </w:tcBorders>
            <w:noWrap/>
          </w:tcPr>
          <w:p/>
        </w:tc>
        <w:tc>
          <w:tcPr>
            <w:tcW w:w="308" w:type="pct"/>
            <w:tcBorders>
              <w:top w:val="single" w:color="auto" w:sz="4" w:space="0"/>
              <w:left w:val="single" w:color="auto" w:sz="4" w:space="0"/>
              <w:bottom w:val="single" w:color="auto" w:sz="4" w:space="0"/>
              <w:right w:val="single" w:color="auto" w:sz="4" w:space="0"/>
            </w:tcBorders>
          </w:tcPr>
          <w:p>
            <w:r>
              <w:t>0%</w:t>
            </w:r>
          </w:p>
        </w:tc>
        <w:tc>
          <w:tcPr>
            <w:tcW w:w="308" w:type="pct"/>
            <w:tcBorders>
              <w:top w:val="single" w:color="auto" w:sz="4" w:space="0"/>
              <w:left w:val="single" w:color="auto" w:sz="4" w:space="0"/>
              <w:bottom w:val="single" w:color="auto" w:sz="4" w:space="0"/>
              <w:right w:val="single" w:color="auto" w:sz="4" w:space="0"/>
            </w:tcBorders>
          </w:tcPr>
          <w:p>
            <w:r>
              <w:t>135.39</w:t>
            </w:r>
          </w:p>
        </w:tc>
        <w:tc>
          <w:tcPr>
            <w:tcW w:w="307" w:type="pct"/>
            <w:tcBorders>
              <w:top w:val="single" w:color="auto" w:sz="4" w:space="0"/>
              <w:left w:val="single" w:color="auto" w:sz="4" w:space="0"/>
              <w:bottom w:val="single" w:color="auto" w:sz="4" w:space="0"/>
              <w:right w:val="single" w:color="auto" w:sz="4" w:space="0"/>
            </w:tcBorders>
          </w:tcPr>
          <w:p>
            <w:r>
              <w:t>33.39%</w:t>
            </w:r>
          </w:p>
        </w:tc>
        <w:tc>
          <w:tcPr>
            <w:tcW w:w="308" w:type="pct"/>
            <w:tcBorders>
              <w:top w:val="single" w:color="auto" w:sz="4" w:space="0"/>
              <w:left w:val="single" w:color="auto" w:sz="4" w:space="0"/>
              <w:bottom w:val="single" w:color="auto" w:sz="4" w:space="0"/>
              <w:right w:val="single" w:color="auto" w:sz="4" w:space="0"/>
            </w:tcBorders>
          </w:tcPr>
          <w:p/>
        </w:tc>
        <w:tc>
          <w:tcPr>
            <w:tcW w:w="305" w:type="pct"/>
            <w:tcBorders>
              <w:top w:val="single" w:color="auto" w:sz="4" w:space="0"/>
              <w:left w:val="single" w:color="auto" w:sz="4" w:space="0"/>
              <w:bottom w:val="single" w:color="auto" w:sz="4" w:space="0"/>
              <w:right w:val="single" w:color="auto" w:sz="4" w:space="0"/>
            </w:tcBorders>
          </w:tcPr>
          <w:p>
            <w:r>
              <w:t>0%</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许店儿村</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292</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189.95</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65.05%</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8.08</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2.77%</w:t>
            </w:r>
          </w:p>
        </w:tc>
        <w:tc>
          <w:tcPr>
            <w:tcW w:w="307" w:type="pct"/>
            <w:tcBorders>
              <w:top w:val="single" w:color="auto" w:sz="4" w:space="0"/>
              <w:left w:val="single" w:color="auto" w:sz="4" w:space="0"/>
              <w:bottom w:val="single" w:color="auto" w:sz="4" w:space="0"/>
              <w:right w:val="single" w:color="auto" w:sz="4" w:space="0"/>
            </w:tcBorders>
          </w:tcPr>
          <w:p/>
        </w:tc>
        <w:tc>
          <w:tcPr>
            <w:tcW w:w="307" w:type="pct"/>
            <w:tcBorders>
              <w:top w:val="single" w:color="auto" w:sz="4" w:space="0"/>
              <w:left w:val="single" w:color="auto" w:sz="4" w:space="0"/>
              <w:bottom w:val="single" w:color="auto" w:sz="4" w:space="0"/>
              <w:right w:val="single" w:color="auto" w:sz="4" w:space="0"/>
            </w:tcBorders>
          </w:tcPr>
          <w:p>
            <w:r>
              <w:t>0%</w:t>
            </w:r>
          </w:p>
        </w:tc>
        <w:tc>
          <w:tcPr>
            <w:tcW w:w="307" w:type="pct"/>
            <w:tcBorders>
              <w:top w:val="single" w:color="auto" w:sz="4" w:space="0"/>
              <w:left w:val="single" w:color="auto" w:sz="4" w:space="0"/>
              <w:bottom w:val="single" w:color="auto" w:sz="4" w:space="0"/>
              <w:right w:val="single" w:color="auto" w:sz="4" w:space="0"/>
            </w:tcBorders>
          </w:tcPr>
          <w:p>
            <w:r>
              <w:t>19.73</w:t>
            </w:r>
          </w:p>
        </w:tc>
        <w:tc>
          <w:tcPr>
            <w:tcW w:w="307" w:type="pct"/>
            <w:tcBorders>
              <w:top w:val="single" w:color="auto" w:sz="4" w:space="0"/>
              <w:left w:val="single" w:color="auto" w:sz="4" w:space="0"/>
              <w:bottom w:val="single" w:color="auto" w:sz="4" w:space="0"/>
              <w:right w:val="single" w:color="auto" w:sz="4" w:space="0"/>
            </w:tcBorders>
          </w:tcPr>
          <w:p>
            <w:r>
              <w:t>6.76%</w:t>
            </w:r>
          </w:p>
        </w:tc>
        <w:tc>
          <w:tcPr>
            <w:tcW w:w="307" w:type="pct"/>
            <w:tcBorders>
              <w:top w:val="single" w:color="auto" w:sz="4" w:space="0"/>
              <w:left w:val="single" w:color="auto" w:sz="4" w:space="0"/>
              <w:bottom w:val="single" w:color="auto" w:sz="4" w:space="0"/>
              <w:right w:val="single" w:color="auto" w:sz="4" w:space="0"/>
            </w:tcBorders>
            <w:noWrap/>
          </w:tcPr>
          <w:p/>
        </w:tc>
        <w:tc>
          <w:tcPr>
            <w:tcW w:w="308" w:type="pct"/>
            <w:tcBorders>
              <w:top w:val="single" w:color="auto" w:sz="4" w:space="0"/>
              <w:left w:val="single" w:color="auto" w:sz="4" w:space="0"/>
              <w:bottom w:val="single" w:color="auto" w:sz="4" w:space="0"/>
              <w:right w:val="single" w:color="auto" w:sz="4" w:space="0"/>
            </w:tcBorders>
          </w:tcPr>
          <w:p>
            <w:r>
              <w:t>0%</w:t>
            </w:r>
          </w:p>
        </w:tc>
        <w:tc>
          <w:tcPr>
            <w:tcW w:w="308" w:type="pct"/>
            <w:tcBorders>
              <w:top w:val="single" w:color="auto" w:sz="4" w:space="0"/>
              <w:left w:val="single" w:color="auto" w:sz="4" w:space="0"/>
              <w:bottom w:val="single" w:color="auto" w:sz="4" w:space="0"/>
              <w:right w:val="single" w:color="auto" w:sz="4" w:space="0"/>
            </w:tcBorders>
          </w:tcPr>
          <w:p>
            <w:r>
              <w:t>70.49</w:t>
            </w:r>
          </w:p>
        </w:tc>
        <w:tc>
          <w:tcPr>
            <w:tcW w:w="307" w:type="pct"/>
            <w:tcBorders>
              <w:top w:val="single" w:color="auto" w:sz="4" w:space="0"/>
              <w:left w:val="single" w:color="auto" w:sz="4" w:space="0"/>
              <w:bottom w:val="single" w:color="auto" w:sz="4" w:space="0"/>
              <w:right w:val="single" w:color="auto" w:sz="4" w:space="0"/>
            </w:tcBorders>
          </w:tcPr>
          <w:p>
            <w:r>
              <w:t>24.14%</w:t>
            </w:r>
          </w:p>
        </w:tc>
        <w:tc>
          <w:tcPr>
            <w:tcW w:w="308" w:type="pct"/>
            <w:tcBorders>
              <w:top w:val="single" w:color="auto" w:sz="4" w:space="0"/>
              <w:left w:val="single" w:color="auto" w:sz="4" w:space="0"/>
              <w:bottom w:val="single" w:color="auto" w:sz="4" w:space="0"/>
              <w:right w:val="single" w:color="auto" w:sz="4" w:space="0"/>
            </w:tcBorders>
          </w:tcPr>
          <w:p/>
        </w:tc>
        <w:tc>
          <w:tcPr>
            <w:tcW w:w="305" w:type="pct"/>
            <w:tcBorders>
              <w:top w:val="single" w:color="auto" w:sz="4" w:space="0"/>
              <w:left w:val="single" w:color="auto" w:sz="4" w:space="0"/>
              <w:bottom w:val="single" w:color="auto" w:sz="4" w:space="0"/>
              <w:right w:val="single" w:color="auto" w:sz="4" w:space="0"/>
            </w:tcBorders>
          </w:tcPr>
          <w:p>
            <w:r>
              <w:t>0%</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白房子村</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199.82</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57.55</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28.8%</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7.49</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3.75%</w:t>
            </w:r>
          </w:p>
        </w:tc>
        <w:tc>
          <w:tcPr>
            <w:tcW w:w="307" w:type="pct"/>
            <w:tcBorders>
              <w:top w:val="single" w:color="auto" w:sz="4" w:space="0"/>
              <w:left w:val="single" w:color="auto" w:sz="4" w:space="0"/>
              <w:bottom w:val="single" w:color="auto" w:sz="4" w:space="0"/>
              <w:right w:val="single" w:color="auto" w:sz="4" w:space="0"/>
            </w:tcBorders>
          </w:tcPr>
          <w:p/>
        </w:tc>
        <w:tc>
          <w:tcPr>
            <w:tcW w:w="307" w:type="pct"/>
            <w:tcBorders>
              <w:top w:val="single" w:color="auto" w:sz="4" w:space="0"/>
              <w:left w:val="single" w:color="auto" w:sz="4" w:space="0"/>
              <w:bottom w:val="single" w:color="auto" w:sz="4" w:space="0"/>
              <w:right w:val="single" w:color="auto" w:sz="4" w:space="0"/>
            </w:tcBorders>
          </w:tcPr>
          <w:p>
            <w:r>
              <w:t>0%</w:t>
            </w:r>
          </w:p>
        </w:tc>
        <w:tc>
          <w:tcPr>
            <w:tcW w:w="307" w:type="pct"/>
            <w:tcBorders>
              <w:top w:val="single" w:color="auto" w:sz="4" w:space="0"/>
              <w:left w:val="single" w:color="auto" w:sz="4" w:space="0"/>
              <w:bottom w:val="single" w:color="auto" w:sz="4" w:space="0"/>
              <w:right w:val="single" w:color="auto" w:sz="4" w:space="0"/>
            </w:tcBorders>
          </w:tcPr>
          <w:p>
            <w:r>
              <w:t>9.21</w:t>
            </w:r>
          </w:p>
        </w:tc>
        <w:tc>
          <w:tcPr>
            <w:tcW w:w="307" w:type="pct"/>
            <w:tcBorders>
              <w:top w:val="single" w:color="auto" w:sz="4" w:space="0"/>
              <w:left w:val="single" w:color="auto" w:sz="4" w:space="0"/>
              <w:bottom w:val="single" w:color="auto" w:sz="4" w:space="0"/>
              <w:right w:val="single" w:color="auto" w:sz="4" w:space="0"/>
            </w:tcBorders>
          </w:tcPr>
          <w:p>
            <w:r>
              <w:t>4.61%</w:t>
            </w:r>
          </w:p>
        </w:tc>
        <w:tc>
          <w:tcPr>
            <w:tcW w:w="307" w:type="pct"/>
            <w:tcBorders>
              <w:top w:val="single" w:color="auto" w:sz="4" w:space="0"/>
              <w:left w:val="single" w:color="auto" w:sz="4" w:space="0"/>
              <w:bottom w:val="single" w:color="auto" w:sz="4" w:space="0"/>
              <w:right w:val="single" w:color="auto" w:sz="4" w:space="0"/>
            </w:tcBorders>
            <w:noWrap/>
          </w:tcPr>
          <w:p>
            <w:r>
              <w:t>2.72</w:t>
            </w:r>
          </w:p>
        </w:tc>
        <w:tc>
          <w:tcPr>
            <w:tcW w:w="308" w:type="pct"/>
            <w:tcBorders>
              <w:top w:val="single" w:color="auto" w:sz="4" w:space="0"/>
              <w:left w:val="single" w:color="auto" w:sz="4" w:space="0"/>
              <w:bottom w:val="single" w:color="auto" w:sz="4" w:space="0"/>
              <w:right w:val="single" w:color="auto" w:sz="4" w:space="0"/>
            </w:tcBorders>
          </w:tcPr>
          <w:p>
            <w:r>
              <w:t>1.36%</w:t>
            </w:r>
          </w:p>
        </w:tc>
        <w:tc>
          <w:tcPr>
            <w:tcW w:w="308" w:type="pct"/>
            <w:tcBorders>
              <w:top w:val="single" w:color="auto" w:sz="4" w:space="0"/>
              <w:left w:val="single" w:color="auto" w:sz="4" w:space="0"/>
              <w:bottom w:val="single" w:color="auto" w:sz="4" w:space="0"/>
              <w:right w:val="single" w:color="auto" w:sz="4" w:space="0"/>
            </w:tcBorders>
          </w:tcPr>
          <w:p>
            <w:r>
              <w:t>122.85</w:t>
            </w:r>
          </w:p>
        </w:tc>
        <w:tc>
          <w:tcPr>
            <w:tcW w:w="307" w:type="pct"/>
            <w:tcBorders>
              <w:top w:val="single" w:color="auto" w:sz="4" w:space="0"/>
              <w:left w:val="single" w:color="auto" w:sz="4" w:space="0"/>
              <w:bottom w:val="single" w:color="auto" w:sz="4" w:space="0"/>
              <w:right w:val="single" w:color="auto" w:sz="4" w:space="0"/>
            </w:tcBorders>
          </w:tcPr>
          <w:p>
            <w:r>
              <w:t>61.48%</w:t>
            </w:r>
          </w:p>
        </w:tc>
        <w:tc>
          <w:tcPr>
            <w:tcW w:w="308" w:type="pct"/>
            <w:tcBorders>
              <w:top w:val="single" w:color="auto" w:sz="4" w:space="0"/>
              <w:left w:val="single" w:color="auto" w:sz="4" w:space="0"/>
              <w:bottom w:val="single" w:color="auto" w:sz="4" w:space="0"/>
              <w:right w:val="single" w:color="auto" w:sz="4" w:space="0"/>
            </w:tcBorders>
          </w:tcPr>
          <w:p/>
        </w:tc>
        <w:tc>
          <w:tcPr>
            <w:tcW w:w="305" w:type="pct"/>
            <w:tcBorders>
              <w:top w:val="single" w:color="auto" w:sz="4" w:space="0"/>
              <w:left w:val="single" w:color="auto" w:sz="4" w:space="0"/>
              <w:bottom w:val="single" w:color="auto" w:sz="4" w:space="0"/>
              <w:right w:val="single" w:color="auto" w:sz="4" w:space="0"/>
            </w:tcBorders>
          </w:tcPr>
          <w:p>
            <w:r>
              <w:t>0%</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程河沟村</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219.95</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121.35</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55.17%</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7.66</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3.48%</w:t>
            </w:r>
          </w:p>
        </w:tc>
        <w:tc>
          <w:tcPr>
            <w:tcW w:w="307" w:type="pct"/>
            <w:tcBorders>
              <w:top w:val="single" w:color="auto" w:sz="4" w:space="0"/>
              <w:left w:val="single" w:color="auto" w:sz="4" w:space="0"/>
              <w:bottom w:val="single" w:color="auto" w:sz="4" w:space="0"/>
              <w:right w:val="single" w:color="auto" w:sz="4" w:space="0"/>
            </w:tcBorders>
          </w:tcPr>
          <w:p/>
        </w:tc>
        <w:tc>
          <w:tcPr>
            <w:tcW w:w="307" w:type="pct"/>
            <w:tcBorders>
              <w:top w:val="single" w:color="auto" w:sz="4" w:space="0"/>
              <w:left w:val="single" w:color="auto" w:sz="4" w:space="0"/>
              <w:bottom w:val="single" w:color="auto" w:sz="4" w:space="0"/>
              <w:right w:val="single" w:color="auto" w:sz="4" w:space="0"/>
            </w:tcBorders>
          </w:tcPr>
          <w:p>
            <w:r>
              <w:t>0%</w:t>
            </w:r>
          </w:p>
        </w:tc>
        <w:tc>
          <w:tcPr>
            <w:tcW w:w="307" w:type="pct"/>
            <w:tcBorders>
              <w:top w:val="single" w:color="auto" w:sz="4" w:space="0"/>
              <w:left w:val="single" w:color="auto" w:sz="4" w:space="0"/>
              <w:bottom w:val="single" w:color="auto" w:sz="4" w:space="0"/>
              <w:right w:val="single" w:color="auto" w:sz="4" w:space="0"/>
            </w:tcBorders>
          </w:tcPr>
          <w:p>
            <w:r>
              <w:t>12.87</w:t>
            </w:r>
          </w:p>
        </w:tc>
        <w:tc>
          <w:tcPr>
            <w:tcW w:w="307" w:type="pct"/>
            <w:tcBorders>
              <w:top w:val="single" w:color="auto" w:sz="4" w:space="0"/>
              <w:left w:val="single" w:color="auto" w:sz="4" w:space="0"/>
              <w:bottom w:val="single" w:color="auto" w:sz="4" w:space="0"/>
              <w:right w:val="single" w:color="auto" w:sz="4" w:space="0"/>
            </w:tcBorders>
          </w:tcPr>
          <w:p>
            <w:r>
              <w:t>5.85%</w:t>
            </w:r>
          </w:p>
        </w:tc>
        <w:tc>
          <w:tcPr>
            <w:tcW w:w="307" w:type="pct"/>
            <w:tcBorders>
              <w:top w:val="single" w:color="auto" w:sz="4" w:space="0"/>
              <w:left w:val="single" w:color="auto" w:sz="4" w:space="0"/>
              <w:bottom w:val="single" w:color="auto" w:sz="4" w:space="0"/>
              <w:right w:val="single" w:color="auto" w:sz="4" w:space="0"/>
            </w:tcBorders>
            <w:noWrap/>
          </w:tcPr>
          <w:p/>
        </w:tc>
        <w:tc>
          <w:tcPr>
            <w:tcW w:w="308" w:type="pct"/>
            <w:tcBorders>
              <w:top w:val="single" w:color="auto" w:sz="4" w:space="0"/>
              <w:left w:val="single" w:color="auto" w:sz="4" w:space="0"/>
              <w:bottom w:val="single" w:color="auto" w:sz="4" w:space="0"/>
              <w:right w:val="single" w:color="auto" w:sz="4" w:space="0"/>
            </w:tcBorders>
          </w:tcPr>
          <w:p>
            <w:r>
              <w:t>0%</w:t>
            </w:r>
          </w:p>
        </w:tc>
        <w:tc>
          <w:tcPr>
            <w:tcW w:w="308" w:type="pct"/>
            <w:tcBorders>
              <w:top w:val="single" w:color="auto" w:sz="4" w:space="0"/>
              <w:left w:val="single" w:color="auto" w:sz="4" w:space="0"/>
              <w:bottom w:val="single" w:color="auto" w:sz="4" w:space="0"/>
              <w:right w:val="single" w:color="auto" w:sz="4" w:space="0"/>
            </w:tcBorders>
          </w:tcPr>
          <w:p>
            <w:r>
              <w:t>76.56</w:t>
            </w:r>
          </w:p>
        </w:tc>
        <w:tc>
          <w:tcPr>
            <w:tcW w:w="307" w:type="pct"/>
            <w:tcBorders>
              <w:top w:val="single" w:color="auto" w:sz="4" w:space="0"/>
              <w:left w:val="single" w:color="auto" w:sz="4" w:space="0"/>
              <w:bottom w:val="single" w:color="auto" w:sz="4" w:space="0"/>
              <w:right w:val="single" w:color="auto" w:sz="4" w:space="0"/>
            </w:tcBorders>
          </w:tcPr>
          <w:p>
            <w:r>
              <w:t>34.81%</w:t>
            </w:r>
          </w:p>
        </w:tc>
        <w:tc>
          <w:tcPr>
            <w:tcW w:w="308" w:type="pct"/>
            <w:tcBorders>
              <w:top w:val="single" w:color="auto" w:sz="4" w:space="0"/>
              <w:left w:val="single" w:color="auto" w:sz="4" w:space="0"/>
              <w:bottom w:val="single" w:color="auto" w:sz="4" w:space="0"/>
              <w:right w:val="single" w:color="auto" w:sz="4" w:space="0"/>
            </w:tcBorders>
          </w:tcPr>
          <w:p/>
        </w:tc>
        <w:tc>
          <w:tcPr>
            <w:tcW w:w="305" w:type="pct"/>
            <w:tcBorders>
              <w:top w:val="single" w:color="auto" w:sz="4" w:space="0"/>
              <w:left w:val="single" w:color="auto" w:sz="4" w:space="0"/>
              <w:bottom w:val="single" w:color="auto" w:sz="4" w:space="0"/>
              <w:right w:val="single" w:color="auto" w:sz="4" w:space="0"/>
            </w:tcBorders>
          </w:tcPr>
          <w:p>
            <w:r>
              <w:t>0%</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大桥村</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887.45</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193.08</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21.76%</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55.31</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6.23%</w:t>
            </w:r>
          </w:p>
        </w:tc>
        <w:tc>
          <w:tcPr>
            <w:tcW w:w="307" w:type="pct"/>
            <w:tcBorders>
              <w:top w:val="single" w:color="auto" w:sz="4" w:space="0"/>
              <w:left w:val="single" w:color="auto" w:sz="4" w:space="0"/>
              <w:bottom w:val="single" w:color="auto" w:sz="4" w:space="0"/>
              <w:right w:val="single" w:color="auto" w:sz="4" w:space="0"/>
            </w:tcBorders>
          </w:tcPr>
          <w:p>
            <w:r>
              <w:t>1.59</w:t>
            </w:r>
          </w:p>
        </w:tc>
        <w:tc>
          <w:tcPr>
            <w:tcW w:w="307" w:type="pct"/>
            <w:tcBorders>
              <w:top w:val="single" w:color="auto" w:sz="4" w:space="0"/>
              <w:left w:val="single" w:color="auto" w:sz="4" w:space="0"/>
              <w:bottom w:val="single" w:color="auto" w:sz="4" w:space="0"/>
              <w:right w:val="single" w:color="auto" w:sz="4" w:space="0"/>
            </w:tcBorders>
          </w:tcPr>
          <w:p>
            <w:r>
              <w:t>0.18%</w:t>
            </w:r>
          </w:p>
        </w:tc>
        <w:tc>
          <w:tcPr>
            <w:tcW w:w="307" w:type="pct"/>
            <w:tcBorders>
              <w:top w:val="single" w:color="auto" w:sz="4" w:space="0"/>
              <w:left w:val="single" w:color="auto" w:sz="4" w:space="0"/>
              <w:bottom w:val="single" w:color="auto" w:sz="4" w:space="0"/>
              <w:right w:val="single" w:color="auto" w:sz="4" w:space="0"/>
            </w:tcBorders>
          </w:tcPr>
          <w:p>
            <w:r>
              <w:t>27.89</w:t>
            </w:r>
          </w:p>
        </w:tc>
        <w:tc>
          <w:tcPr>
            <w:tcW w:w="307" w:type="pct"/>
            <w:tcBorders>
              <w:top w:val="single" w:color="auto" w:sz="4" w:space="0"/>
              <w:left w:val="single" w:color="auto" w:sz="4" w:space="0"/>
              <w:bottom w:val="single" w:color="auto" w:sz="4" w:space="0"/>
              <w:right w:val="single" w:color="auto" w:sz="4" w:space="0"/>
            </w:tcBorders>
          </w:tcPr>
          <w:p>
            <w:r>
              <w:t>3.14%</w:t>
            </w:r>
          </w:p>
        </w:tc>
        <w:tc>
          <w:tcPr>
            <w:tcW w:w="307" w:type="pct"/>
            <w:tcBorders>
              <w:top w:val="single" w:color="auto" w:sz="4" w:space="0"/>
              <w:left w:val="single" w:color="auto" w:sz="4" w:space="0"/>
              <w:bottom w:val="single" w:color="auto" w:sz="4" w:space="0"/>
              <w:right w:val="single" w:color="auto" w:sz="4" w:space="0"/>
            </w:tcBorders>
            <w:noWrap/>
          </w:tcPr>
          <w:p>
            <w:r>
              <w:t>1.76</w:t>
            </w:r>
          </w:p>
        </w:tc>
        <w:tc>
          <w:tcPr>
            <w:tcW w:w="308" w:type="pct"/>
            <w:tcBorders>
              <w:top w:val="single" w:color="auto" w:sz="4" w:space="0"/>
              <w:left w:val="single" w:color="auto" w:sz="4" w:space="0"/>
              <w:bottom w:val="single" w:color="auto" w:sz="4" w:space="0"/>
              <w:right w:val="single" w:color="auto" w:sz="4" w:space="0"/>
            </w:tcBorders>
          </w:tcPr>
          <w:p>
            <w:r>
              <w:t>0.2%</w:t>
            </w:r>
          </w:p>
        </w:tc>
        <w:tc>
          <w:tcPr>
            <w:tcW w:w="308" w:type="pct"/>
            <w:tcBorders>
              <w:top w:val="single" w:color="auto" w:sz="4" w:space="0"/>
              <w:left w:val="single" w:color="auto" w:sz="4" w:space="0"/>
              <w:bottom w:val="single" w:color="auto" w:sz="4" w:space="0"/>
              <w:right w:val="single" w:color="auto" w:sz="4" w:space="0"/>
            </w:tcBorders>
          </w:tcPr>
          <w:p>
            <w:r>
              <w:t>595.53</w:t>
            </w:r>
          </w:p>
        </w:tc>
        <w:tc>
          <w:tcPr>
            <w:tcW w:w="307" w:type="pct"/>
            <w:tcBorders>
              <w:top w:val="single" w:color="auto" w:sz="4" w:space="0"/>
              <w:left w:val="single" w:color="auto" w:sz="4" w:space="0"/>
              <w:bottom w:val="single" w:color="auto" w:sz="4" w:space="0"/>
              <w:right w:val="single" w:color="auto" w:sz="4" w:space="0"/>
            </w:tcBorders>
          </w:tcPr>
          <w:p>
            <w:r>
              <w:t>67.11%</w:t>
            </w:r>
          </w:p>
        </w:tc>
        <w:tc>
          <w:tcPr>
            <w:tcW w:w="308" w:type="pct"/>
            <w:tcBorders>
              <w:top w:val="single" w:color="auto" w:sz="4" w:space="0"/>
              <w:left w:val="single" w:color="auto" w:sz="4" w:space="0"/>
              <w:bottom w:val="single" w:color="auto" w:sz="4" w:space="0"/>
              <w:right w:val="single" w:color="auto" w:sz="4" w:space="0"/>
            </w:tcBorders>
          </w:tcPr>
          <w:p/>
        </w:tc>
        <w:tc>
          <w:tcPr>
            <w:tcW w:w="305" w:type="pct"/>
            <w:tcBorders>
              <w:top w:val="single" w:color="auto" w:sz="4" w:space="0"/>
              <w:left w:val="single" w:color="auto" w:sz="4" w:space="0"/>
              <w:bottom w:val="single" w:color="auto" w:sz="4" w:space="0"/>
              <w:right w:val="single" w:color="auto" w:sz="4" w:space="0"/>
            </w:tcBorders>
          </w:tcPr>
          <w:p>
            <w:r>
              <w:t>0%</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方嘴村</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658.31</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92.28</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14.02%</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88.94</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13.51%</w:t>
            </w:r>
          </w:p>
        </w:tc>
        <w:tc>
          <w:tcPr>
            <w:tcW w:w="307" w:type="pct"/>
            <w:tcBorders>
              <w:top w:val="single" w:color="auto" w:sz="4" w:space="0"/>
              <w:left w:val="single" w:color="auto" w:sz="4" w:space="0"/>
              <w:bottom w:val="single" w:color="auto" w:sz="4" w:space="0"/>
              <w:right w:val="single" w:color="auto" w:sz="4" w:space="0"/>
            </w:tcBorders>
          </w:tcPr>
          <w:p>
            <w:r>
              <w:t>33.16</w:t>
            </w:r>
          </w:p>
        </w:tc>
        <w:tc>
          <w:tcPr>
            <w:tcW w:w="307" w:type="pct"/>
            <w:tcBorders>
              <w:top w:val="single" w:color="auto" w:sz="4" w:space="0"/>
              <w:left w:val="single" w:color="auto" w:sz="4" w:space="0"/>
              <w:bottom w:val="single" w:color="auto" w:sz="4" w:space="0"/>
              <w:right w:val="single" w:color="auto" w:sz="4" w:space="0"/>
            </w:tcBorders>
          </w:tcPr>
          <w:p>
            <w:r>
              <w:t>5.04%</w:t>
            </w:r>
          </w:p>
        </w:tc>
        <w:tc>
          <w:tcPr>
            <w:tcW w:w="307" w:type="pct"/>
            <w:tcBorders>
              <w:top w:val="single" w:color="auto" w:sz="4" w:space="0"/>
              <w:left w:val="single" w:color="auto" w:sz="4" w:space="0"/>
              <w:bottom w:val="single" w:color="auto" w:sz="4" w:space="0"/>
              <w:right w:val="single" w:color="auto" w:sz="4" w:space="0"/>
            </w:tcBorders>
          </w:tcPr>
          <w:p>
            <w:r>
              <w:t>31.55</w:t>
            </w:r>
          </w:p>
        </w:tc>
        <w:tc>
          <w:tcPr>
            <w:tcW w:w="307" w:type="pct"/>
            <w:tcBorders>
              <w:top w:val="single" w:color="auto" w:sz="4" w:space="0"/>
              <w:left w:val="single" w:color="auto" w:sz="4" w:space="0"/>
              <w:bottom w:val="single" w:color="auto" w:sz="4" w:space="0"/>
              <w:right w:val="single" w:color="auto" w:sz="4" w:space="0"/>
            </w:tcBorders>
          </w:tcPr>
          <w:p>
            <w:r>
              <w:t>4.79%</w:t>
            </w:r>
          </w:p>
        </w:tc>
        <w:tc>
          <w:tcPr>
            <w:tcW w:w="307" w:type="pct"/>
            <w:tcBorders>
              <w:top w:val="single" w:color="auto" w:sz="4" w:space="0"/>
              <w:left w:val="single" w:color="auto" w:sz="4" w:space="0"/>
              <w:bottom w:val="single" w:color="auto" w:sz="4" w:space="0"/>
              <w:right w:val="single" w:color="auto" w:sz="4" w:space="0"/>
            </w:tcBorders>
            <w:noWrap/>
          </w:tcPr>
          <w:p>
            <w:r>
              <w:t>15.06</w:t>
            </w:r>
          </w:p>
        </w:tc>
        <w:tc>
          <w:tcPr>
            <w:tcW w:w="308" w:type="pct"/>
            <w:tcBorders>
              <w:top w:val="single" w:color="auto" w:sz="4" w:space="0"/>
              <w:left w:val="single" w:color="auto" w:sz="4" w:space="0"/>
              <w:bottom w:val="single" w:color="auto" w:sz="4" w:space="0"/>
              <w:right w:val="single" w:color="auto" w:sz="4" w:space="0"/>
            </w:tcBorders>
          </w:tcPr>
          <w:p>
            <w:r>
              <w:t>2.29%</w:t>
            </w:r>
          </w:p>
        </w:tc>
        <w:tc>
          <w:tcPr>
            <w:tcW w:w="308" w:type="pct"/>
            <w:tcBorders>
              <w:top w:val="single" w:color="auto" w:sz="4" w:space="0"/>
              <w:left w:val="single" w:color="auto" w:sz="4" w:space="0"/>
              <w:bottom w:val="single" w:color="auto" w:sz="4" w:space="0"/>
              <w:right w:val="single" w:color="auto" w:sz="4" w:space="0"/>
            </w:tcBorders>
          </w:tcPr>
          <w:p>
            <w:r>
              <w:t>205.86</w:t>
            </w:r>
          </w:p>
        </w:tc>
        <w:tc>
          <w:tcPr>
            <w:tcW w:w="307" w:type="pct"/>
            <w:tcBorders>
              <w:top w:val="single" w:color="auto" w:sz="4" w:space="0"/>
              <w:left w:val="single" w:color="auto" w:sz="4" w:space="0"/>
              <w:bottom w:val="single" w:color="auto" w:sz="4" w:space="0"/>
              <w:right w:val="single" w:color="auto" w:sz="4" w:space="0"/>
            </w:tcBorders>
          </w:tcPr>
          <w:p>
            <w:r>
              <w:t>31.27%</w:t>
            </w:r>
          </w:p>
        </w:tc>
        <w:tc>
          <w:tcPr>
            <w:tcW w:w="308" w:type="pct"/>
            <w:tcBorders>
              <w:top w:val="single" w:color="auto" w:sz="4" w:space="0"/>
              <w:left w:val="single" w:color="auto" w:sz="4" w:space="0"/>
              <w:bottom w:val="single" w:color="auto" w:sz="4" w:space="0"/>
              <w:right w:val="single" w:color="auto" w:sz="4" w:space="0"/>
            </w:tcBorders>
          </w:tcPr>
          <w:p>
            <w:r>
              <w:t>170.68</w:t>
            </w:r>
          </w:p>
        </w:tc>
        <w:tc>
          <w:tcPr>
            <w:tcW w:w="305" w:type="pct"/>
            <w:tcBorders>
              <w:top w:val="single" w:color="auto" w:sz="4" w:space="0"/>
              <w:left w:val="single" w:color="auto" w:sz="4" w:space="0"/>
              <w:bottom w:val="single" w:color="auto" w:sz="4" w:space="0"/>
              <w:right w:val="single" w:color="auto" w:sz="4" w:space="0"/>
            </w:tcBorders>
          </w:tcPr>
          <w:p>
            <w:r>
              <w:t>25.93%</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飞来村</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210.21</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57.36</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27.29%</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43.38</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20.64%</w:t>
            </w:r>
          </w:p>
        </w:tc>
        <w:tc>
          <w:tcPr>
            <w:tcW w:w="307" w:type="pct"/>
            <w:tcBorders>
              <w:top w:val="single" w:color="auto" w:sz="4" w:space="0"/>
              <w:left w:val="single" w:color="auto" w:sz="4" w:space="0"/>
              <w:bottom w:val="single" w:color="auto" w:sz="4" w:space="0"/>
              <w:right w:val="single" w:color="auto" w:sz="4" w:space="0"/>
            </w:tcBorders>
          </w:tcPr>
          <w:p/>
        </w:tc>
        <w:tc>
          <w:tcPr>
            <w:tcW w:w="307" w:type="pct"/>
            <w:tcBorders>
              <w:top w:val="single" w:color="auto" w:sz="4" w:space="0"/>
              <w:left w:val="single" w:color="auto" w:sz="4" w:space="0"/>
              <w:bottom w:val="single" w:color="auto" w:sz="4" w:space="0"/>
              <w:right w:val="single" w:color="auto" w:sz="4" w:space="0"/>
            </w:tcBorders>
          </w:tcPr>
          <w:p>
            <w:r>
              <w:t>0%</w:t>
            </w:r>
          </w:p>
        </w:tc>
        <w:tc>
          <w:tcPr>
            <w:tcW w:w="307" w:type="pct"/>
            <w:tcBorders>
              <w:top w:val="single" w:color="auto" w:sz="4" w:space="0"/>
              <w:left w:val="single" w:color="auto" w:sz="4" w:space="0"/>
              <w:bottom w:val="single" w:color="auto" w:sz="4" w:space="0"/>
              <w:right w:val="single" w:color="auto" w:sz="4" w:space="0"/>
            </w:tcBorders>
          </w:tcPr>
          <w:p>
            <w:r>
              <w:t>11.82</w:t>
            </w:r>
          </w:p>
        </w:tc>
        <w:tc>
          <w:tcPr>
            <w:tcW w:w="307" w:type="pct"/>
            <w:tcBorders>
              <w:top w:val="single" w:color="auto" w:sz="4" w:space="0"/>
              <w:left w:val="single" w:color="auto" w:sz="4" w:space="0"/>
              <w:bottom w:val="single" w:color="auto" w:sz="4" w:space="0"/>
              <w:right w:val="single" w:color="auto" w:sz="4" w:space="0"/>
            </w:tcBorders>
          </w:tcPr>
          <w:p>
            <w:r>
              <w:t>5.62%</w:t>
            </w:r>
          </w:p>
        </w:tc>
        <w:tc>
          <w:tcPr>
            <w:tcW w:w="307" w:type="pct"/>
            <w:tcBorders>
              <w:top w:val="single" w:color="auto" w:sz="4" w:space="0"/>
              <w:left w:val="single" w:color="auto" w:sz="4" w:space="0"/>
              <w:bottom w:val="single" w:color="auto" w:sz="4" w:space="0"/>
              <w:right w:val="single" w:color="auto" w:sz="4" w:space="0"/>
            </w:tcBorders>
            <w:noWrap/>
          </w:tcPr>
          <w:p/>
        </w:tc>
        <w:tc>
          <w:tcPr>
            <w:tcW w:w="308" w:type="pct"/>
            <w:tcBorders>
              <w:top w:val="single" w:color="auto" w:sz="4" w:space="0"/>
              <w:left w:val="single" w:color="auto" w:sz="4" w:space="0"/>
              <w:bottom w:val="single" w:color="auto" w:sz="4" w:space="0"/>
              <w:right w:val="single" w:color="auto" w:sz="4" w:space="0"/>
            </w:tcBorders>
          </w:tcPr>
          <w:p>
            <w:r>
              <w:t>0%</w:t>
            </w:r>
          </w:p>
        </w:tc>
        <w:tc>
          <w:tcPr>
            <w:tcW w:w="308" w:type="pct"/>
            <w:tcBorders>
              <w:top w:val="single" w:color="auto" w:sz="4" w:space="0"/>
              <w:left w:val="single" w:color="auto" w:sz="4" w:space="0"/>
              <w:bottom w:val="single" w:color="auto" w:sz="4" w:space="0"/>
              <w:right w:val="single" w:color="auto" w:sz="4" w:space="0"/>
            </w:tcBorders>
          </w:tcPr>
          <w:p>
            <w:r>
              <w:t>91.45</w:t>
            </w:r>
          </w:p>
        </w:tc>
        <w:tc>
          <w:tcPr>
            <w:tcW w:w="307" w:type="pct"/>
            <w:tcBorders>
              <w:top w:val="single" w:color="auto" w:sz="4" w:space="0"/>
              <w:left w:val="single" w:color="auto" w:sz="4" w:space="0"/>
              <w:bottom w:val="single" w:color="auto" w:sz="4" w:space="0"/>
              <w:right w:val="single" w:color="auto" w:sz="4" w:space="0"/>
            </w:tcBorders>
          </w:tcPr>
          <w:p>
            <w:r>
              <w:t>43.5%</w:t>
            </w:r>
          </w:p>
        </w:tc>
        <w:tc>
          <w:tcPr>
            <w:tcW w:w="308" w:type="pct"/>
            <w:tcBorders>
              <w:top w:val="single" w:color="auto" w:sz="4" w:space="0"/>
              <w:left w:val="single" w:color="auto" w:sz="4" w:space="0"/>
              <w:bottom w:val="single" w:color="auto" w:sz="4" w:space="0"/>
              <w:right w:val="single" w:color="auto" w:sz="4" w:space="0"/>
            </w:tcBorders>
          </w:tcPr>
          <w:p/>
        </w:tc>
        <w:tc>
          <w:tcPr>
            <w:tcW w:w="305" w:type="pct"/>
            <w:tcBorders>
              <w:top w:val="single" w:color="auto" w:sz="4" w:space="0"/>
              <w:left w:val="single" w:color="auto" w:sz="4" w:space="0"/>
              <w:bottom w:val="single" w:color="auto" w:sz="4" w:space="0"/>
              <w:right w:val="single" w:color="auto" w:sz="4" w:space="0"/>
            </w:tcBorders>
          </w:tcPr>
          <w:p>
            <w:r>
              <w:t>0%</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莲池村</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160.64</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29.64</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18.45%</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40.98</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25.51%</w:t>
            </w:r>
          </w:p>
        </w:tc>
        <w:tc>
          <w:tcPr>
            <w:tcW w:w="307" w:type="pct"/>
            <w:tcBorders>
              <w:top w:val="single" w:color="auto" w:sz="4" w:space="0"/>
              <w:left w:val="single" w:color="auto" w:sz="4" w:space="0"/>
              <w:bottom w:val="single" w:color="auto" w:sz="4" w:space="0"/>
              <w:right w:val="single" w:color="auto" w:sz="4" w:space="0"/>
            </w:tcBorders>
          </w:tcPr>
          <w:p>
            <w:r>
              <w:t>3.89</w:t>
            </w:r>
          </w:p>
        </w:tc>
        <w:tc>
          <w:tcPr>
            <w:tcW w:w="307" w:type="pct"/>
            <w:tcBorders>
              <w:top w:val="single" w:color="auto" w:sz="4" w:space="0"/>
              <w:left w:val="single" w:color="auto" w:sz="4" w:space="0"/>
              <w:bottom w:val="single" w:color="auto" w:sz="4" w:space="0"/>
              <w:right w:val="single" w:color="auto" w:sz="4" w:space="0"/>
            </w:tcBorders>
          </w:tcPr>
          <w:p>
            <w:r>
              <w:t>2.42%</w:t>
            </w:r>
          </w:p>
        </w:tc>
        <w:tc>
          <w:tcPr>
            <w:tcW w:w="307" w:type="pct"/>
            <w:tcBorders>
              <w:top w:val="single" w:color="auto" w:sz="4" w:space="0"/>
              <w:left w:val="single" w:color="auto" w:sz="4" w:space="0"/>
              <w:bottom w:val="single" w:color="auto" w:sz="4" w:space="0"/>
              <w:right w:val="single" w:color="auto" w:sz="4" w:space="0"/>
            </w:tcBorders>
          </w:tcPr>
          <w:p>
            <w:r>
              <w:t>20.53</w:t>
            </w:r>
          </w:p>
        </w:tc>
        <w:tc>
          <w:tcPr>
            <w:tcW w:w="307" w:type="pct"/>
            <w:tcBorders>
              <w:top w:val="single" w:color="auto" w:sz="4" w:space="0"/>
              <w:left w:val="single" w:color="auto" w:sz="4" w:space="0"/>
              <w:bottom w:val="single" w:color="auto" w:sz="4" w:space="0"/>
              <w:right w:val="single" w:color="auto" w:sz="4" w:space="0"/>
            </w:tcBorders>
          </w:tcPr>
          <w:p>
            <w:r>
              <w:t>12.78%</w:t>
            </w:r>
          </w:p>
        </w:tc>
        <w:tc>
          <w:tcPr>
            <w:tcW w:w="307" w:type="pct"/>
            <w:tcBorders>
              <w:top w:val="single" w:color="auto" w:sz="4" w:space="0"/>
              <w:left w:val="single" w:color="auto" w:sz="4" w:space="0"/>
              <w:bottom w:val="single" w:color="auto" w:sz="4" w:space="0"/>
              <w:right w:val="single" w:color="auto" w:sz="4" w:space="0"/>
            </w:tcBorders>
            <w:noWrap/>
          </w:tcPr>
          <w:p>
            <w:r>
              <w:t>1.92</w:t>
            </w:r>
          </w:p>
        </w:tc>
        <w:tc>
          <w:tcPr>
            <w:tcW w:w="308" w:type="pct"/>
            <w:tcBorders>
              <w:top w:val="single" w:color="auto" w:sz="4" w:space="0"/>
              <w:left w:val="single" w:color="auto" w:sz="4" w:space="0"/>
              <w:bottom w:val="single" w:color="auto" w:sz="4" w:space="0"/>
              <w:right w:val="single" w:color="auto" w:sz="4" w:space="0"/>
            </w:tcBorders>
          </w:tcPr>
          <w:p>
            <w:r>
              <w:t>1.2%</w:t>
            </w:r>
          </w:p>
        </w:tc>
        <w:tc>
          <w:tcPr>
            <w:tcW w:w="308" w:type="pct"/>
            <w:tcBorders>
              <w:top w:val="single" w:color="auto" w:sz="4" w:space="0"/>
              <w:left w:val="single" w:color="auto" w:sz="4" w:space="0"/>
              <w:bottom w:val="single" w:color="auto" w:sz="4" w:space="0"/>
              <w:right w:val="single" w:color="auto" w:sz="4" w:space="0"/>
            </w:tcBorders>
          </w:tcPr>
          <w:p>
            <w:r>
              <w:t>50.24</w:t>
            </w:r>
          </w:p>
        </w:tc>
        <w:tc>
          <w:tcPr>
            <w:tcW w:w="307" w:type="pct"/>
            <w:tcBorders>
              <w:top w:val="single" w:color="auto" w:sz="4" w:space="0"/>
              <w:left w:val="single" w:color="auto" w:sz="4" w:space="0"/>
              <w:bottom w:val="single" w:color="auto" w:sz="4" w:space="0"/>
              <w:right w:val="single" w:color="auto" w:sz="4" w:space="0"/>
            </w:tcBorders>
          </w:tcPr>
          <w:p>
            <w:r>
              <w:t>31.27%</w:t>
            </w:r>
          </w:p>
        </w:tc>
        <w:tc>
          <w:tcPr>
            <w:tcW w:w="308" w:type="pct"/>
            <w:tcBorders>
              <w:top w:val="single" w:color="auto" w:sz="4" w:space="0"/>
              <w:left w:val="single" w:color="auto" w:sz="4" w:space="0"/>
              <w:bottom w:val="single" w:color="auto" w:sz="4" w:space="0"/>
              <w:right w:val="single" w:color="auto" w:sz="4" w:space="0"/>
            </w:tcBorders>
          </w:tcPr>
          <w:p/>
        </w:tc>
        <w:tc>
          <w:tcPr>
            <w:tcW w:w="305" w:type="pct"/>
            <w:tcBorders>
              <w:top w:val="single" w:color="auto" w:sz="4" w:space="0"/>
              <w:left w:val="single" w:color="auto" w:sz="4" w:space="0"/>
              <w:bottom w:val="single" w:color="auto" w:sz="4" w:space="0"/>
              <w:right w:val="single" w:color="auto" w:sz="4" w:space="0"/>
            </w:tcBorders>
          </w:tcPr>
          <w:p>
            <w:r>
              <w:t>0%</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楼房山村</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491.17</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136.83</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27.86%</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33.52</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6.82%</w:t>
            </w:r>
          </w:p>
        </w:tc>
        <w:tc>
          <w:tcPr>
            <w:tcW w:w="307" w:type="pct"/>
            <w:tcBorders>
              <w:top w:val="single" w:color="auto" w:sz="4" w:space="0"/>
              <w:left w:val="single" w:color="auto" w:sz="4" w:space="0"/>
              <w:bottom w:val="single" w:color="auto" w:sz="4" w:space="0"/>
              <w:right w:val="single" w:color="auto" w:sz="4" w:space="0"/>
            </w:tcBorders>
          </w:tcPr>
          <w:p/>
        </w:tc>
        <w:tc>
          <w:tcPr>
            <w:tcW w:w="307" w:type="pct"/>
            <w:tcBorders>
              <w:top w:val="single" w:color="auto" w:sz="4" w:space="0"/>
              <w:left w:val="single" w:color="auto" w:sz="4" w:space="0"/>
              <w:bottom w:val="single" w:color="auto" w:sz="4" w:space="0"/>
              <w:right w:val="single" w:color="auto" w:sz="4" w:space="0"/>
            </w:tcBorders>
          </w:tcPr>
          <w:p>
            <w:r>
              <w:t>0%</w:t>
            </w:r>
          </w:p>
        </w:tc>
        <w:tc>
          <w:tcPr>
            <w:tcW w:w="307" w:type="pct"/>
            <w:tcBorders>
              <w:top w:val="single" w:color="auto" w:sz="4" w:space="0"/>
              <w:left w:val="single" w:color="auto" w:sz="4" w:space="0"/>
              <w:bottom w:val="single" w:color="auto" w:sz="4" w:space="0"/>
              <w:right w:val="single" w:color="auto" w:sz="4" w:space="0"/>
            </w:tcBorders>
          </w:tcPr>
          <w:p>
            <w:r>
              <w:t>25.83</w:t>
            </w:r>
          </w:p>
        </w:tc>
        <w:tc>
          <w:tcPr>
            <w:tcW w:w="307" w:type="pct"/>
            <w:tcBorders>
              <w:top w:val="single" w:color="auto" w:sz="4" w:space="0"/>
              <w:left w:val="single" w:color="auto" w:sz="4" w:space="0"/>
              <w:bottom w:val="single" w:color="auto" w:sz="4" w:space="0"/>
              <w:right w:val="single" w:color="auto" w:sz="4" w:space="0"/>
            </w:tcBorders>
          </w:tcPr>
          <w:p>
            <w:r>
              <w:t>5.26%</w:t>
            </w:r>
          </w:p>
        </w:tc>
        <w:tc>
          <w:tcPr>
            <w:tcW w:w="307" w:type="pct"/>
            <w:tcBorders>
              <w:top w:val="single" w:color="auto" w:sz="4" w:space="0"/>
              <w:left w:val="single" w:color="auto" w:sz="4" w:space="0"/>
              <w:bottom w:val="single" w:color="auto" w:sz="4" w:space="0"/>
              <w:right w:val="single" w:color="auto" w:sz="4" w:space="0"/>
            </w:tcBorders>
            <w:noWrap/>
          </w:tcPr>
          <w:p>
            <w:r>
              <w:t>2.61</w:t>
            </w:r>
          </w:p>
        </w:tc>
        <w:tc>
          <w:tcPr>
            <w:tcW w:w="308" w:type="pct"/>
            <w:tcBorders>
              <w:top w:val="single" w:color="auto" w:sz="4" w:space="0"/>
              <w:left w:val="single" w:color="auto" w:sz="4" w:space="0"/>
              <w:bottom w:val="single" w:color="auto" w:sz="4" w:space="0"/>
              <w:right w:val="single" w:color="auto" w:sz="4" w:space="0"/>
            </w:tcBorders>
          </w:tcPr>
          <w:p>
            <w:r>
              <w:t>0.53%</w:t>
            </w:r>
          </w:p>
        </w:tc>
        <w:tc>
          <w:tcPr>
            <w:tcW w:w="308" w:type="pct"/>
            <w:tcBorders>
              <w:top w:val="single" w:color="auto" w:sz="4" w:space="0"/>
              <w:left w:val="single" w:color="auto" w:sz="4" w:space="0"/>
              <w:bottom w:val="single" w:color="auto" w:sz="4" w:space="0"/>
              <w:right w:val="single" w:color="auto" w:sz="4" w:space="0"/>
            </w:tcBorders>
          </w:tcPr>
          <w:p>
            <w:r>
              <w:t>276.77</w:t>
            </w:r>
          </w:p>
        </w:tc>
        <w:tc>
          <w:tcPr>
            <w:tcW w:w="307" w:type="pct"/>
            <w:tcBorders>
              <w:top w:val="single" w:color="auto" w:sz="4" w:space="0"/>
              <w:left w:val="single" w:color="auto" w:sz="4" w:space="0"/>
              <w:bottom w:val="single" w:color="auto" w:sz="4" w:space="0"/>
              <w:right w:val="single" w:color="auto" w:sz="4" w:space="0"/>
            </w:tcBorders>
          </w:tcPr>
          <w:p>
            <w:r>
              <w:t>56.35%</w:t>
            </w:r>
          </w:p>
        </w:tc>
        <w:tc>
          <w:tcPr>
            <w:tcW w:w="308" w:type="pct"/>
            <w:tcBorders>
              <w:top w:val="single" w:color="auto" w:sz="4" w:space="0"/>
              <w:left w:val="single" w:color="auto" w:sz="4" w:space="0"/>
              <w:bottom w:val="single" w:color="auto" w:sz="4" w:space="0"/>
              <w:right w:val="single" w:color="auto" w:sz="4" w:space="0"/>
            </w:tcBorders>
          </w:tcPr>
          <w:p>
            <w:r>
              <w:t>0.36</w:t>
            </w:r>
          </w:p>
        </w:tc>
        <w:tc>
          <w:tcPr>
            <w:tcW w:w="305" w:type="pct"/>
            <w:tcBorders>
              <w:top w:val="single" w:color="auto" w:sz="4" w:space="0"/>
              <w:left w:val="single" w:color="auto" w:sz="4" w:space="0"/>
              <w:bottom w:val="single" w:color="auto" w:sz="4" w:space="0"/>
              <w:right w:val="single" w:color="auto" w:sz="4" w:space="0"/>
            </w:tcBorders>
          </w:tcPr>
          <w:p>
            <w:r>
              <w:t>0.07%</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马儿石村</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437.58</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73.87</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16.88%</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33.12</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7.57%</w:t>
            </w:r>
          </w:p>
        </w:tc>
        <w:tc>
          <w:tcPr>
            <w:tcW w:w="307" w:type="pct"/>
            <w:tcBorders>
              <w:top w:val="single" w:color="auto" w:sz="4" w:space="0"/>
              <w:left w:val="single" w:color="auto" w:sz="4" w:space="0"/>
              <w:bottom w:val="single" w:color="auto" w:sz="4" w:space="0"/>
              <w:right w:val="single" w:color="auto" w:sz="4" w:space="0"/>
            </w:tcBorders>
          </w:tcPr>
          <w:p/>
        </w:tc>
        <w:tc>
          <w:tcPr>
            <w:tcW w:w="307" w:type="pct"/>
            <w:tcBorders>
              <w:top w:val="single" w:color="auto" w:sz="4" w:space="0"/>
              <w:left w:val="single" w:color="auto" w:sz="4" w:space="0"/>
              <w:bottom w:val="single" w:color="auto" w:sz="4" w:space="0"/>
              <w:right w:val="single" w:color="auto" w:sz="4" w:space="0"/>
            </w:tcBorders>
          </w:tcPr>
          <w:p>
            <w:r>
              <w:t>0%</w:t>
            </w:r>
          </w:p>
        </w:tc>
        <w:tc>
          <w:tcPr>
            <w:tcW w:w="307" w:type="pct"/>
            <w:tcBorders>
              <w:top w:val="single" w:color="auto" w:sz="4" w:space="0"/>
              <w:left w:val="single" w:color="auto" w:sz="4" w:space="0"/>
              <w:bottom w:val="single" w:color="auto" w:sz="4" w:space="0"/>
              <w:right w:val="single" w:color="auto" w:sz="4" w:space="0"/>
            </w:tcBorders>
          </w:tcPr>
          <w:p>
            <w:r>
              <w:t>17.55</w:t>
            </w:r>
          </w:p>
        </w:tc>
        <w:tc>
          <w:tcPr>
            <w:tcW w:w="307" w:type="pct"/>
            <w:tcBorders>
              <w:top w:val="single" w:color="auto" w:sz="4" w:space="0"/>
              <w:left w:val="single" w:color="auto" w:sz="4" w:space="0"/>
              <w:bottom w:val="single" w:color="auto" w:sz="4" w:space="0"/>
              <w:right w:val="single" w:color="auto" w:sz="4" w:space="0"/>
            </w:tcBorders>
          </w:tcPr>
          <w:p>
            <w:r>
              <w:t>4.01%</w:t>
            </w:r>
          </w:p>
        </w:tc>
        <w:tc>
          <w:tcPr>
            <w:tcW w:w="307" w:type="pct"/>
            <w:tcBorders>
              <w:top w:val="single" w:color="auto" w:sz="4" w:space="0"/>
              <w:left w:val="single" w:color="auto" w:sz="4" w:space="0"/>
              <w:bottom w:val="single" w:color="auto" w:sz="4" w:space="0"/>
              <w:right w:val="single" w:color="auto" w:sz="4" w:space="0"/>
            </w:tcBorders>
            <w:noWrap/>
          </w:tcPr>
          <w:p>
            <w:r>
              <w:t>8.96</w:t>
            </w:r>
          </w:p>
        </w:tc>
        <w:tc>
          <w:tcPr>
            <w:tcW w:w="308" w:type="pct"/>
            <w:tcBorders>
              <w:top w:val="single" w:color="auto" w:sz="4" w:space="0"/>
              <w:left w:val="single" w:color="auto" w:sz="4" w:space="0"/>
              <w:bottom w:val="single" w:color="auto" w:sz="4" w:space="0"/>
              <w:right w:val="single" w:color="auto" w:sz="4" w:space="0"/>
            </w:tcBorders>
          </w:tcPr>
          <w:p>
            <w:r>
              <w:t>2.05%</w:t>
            </w:r>
          </w:p>
        </w:tc>
        <w:tc>
          <w:tcPr>
            <w:tcW w:w="308" w:type="pct"/>
            <w:tcBorders>
              <w:top w:val="single" w:color="auto" w:sz="4" w:space="0"/>
              <w:left w:val="single" w:color="auto" w:sz="4" w:space="0"/>
              <w:bottom w:val="single" w:color="auto" w:sz="4" w:space="0"/>
              <w:right w:val="single" w:color="auto" w:sz="4" w:space="0"/>
            </w:tcBorders>
          </w:tcPr>
          <w:p>
            <w:r>
              <w:t>265.02</w:t>
            </w:r>
          </w:p>
        </w:tc>
        <w:tc>
          <w:tcPr>
            <w:tcW w:w="307" w:type="pct"/>
            <w:tcBorders>
              <w:top w:val="single" w:color="auto" w:sz="4" w:space="0"/>
              <w:left w:val="single" w:color="auto" w:sz="4" w:space="0"/>
              <w:bottom w:val="single" w:color="auto" w:sz="4" w:space="0"/>
              <w:right w:val="single" w:color="auto" w:sz="4" w:space="0"/>
            </w:tcBorders>
          </w:tcPr>
          <w:p>
            <w:r>
              <w:t>60.56%</w:t>
            </w:r>
          </w:p>
        </w:tc>
        <w:tc>
          <w:tcPr>
            <w:tcW w:w="308" w:type="pct"/>
            <w:tcBorders>
              <w:top w:val="single" w:color="auto" w:sz="4" w:space="0"/>
              <w:left w:val="single" w:color="auto" w:sz="4" w:space="0"/>
              <w:bottom w:val="single" w:color="auto" w:sz="4" w:space="0"/>
              <w:right w:val="single" w:color="auto" w:sz="4" w:space="0"/>
            </w:tcBorders>
          </w:tcPr>
          <w:p>
            <w:r>
              <w:t>30.66</w:t>
            </w:r>
          </w:p>
        </w:tc>
        <w:tc>
          <w:tcPr>
            <w:tcW w:w="305" w:type="pct"/>
            <w:tcBorders>
              <w:top w:val="single" w:color="auto" w:sz="4" w:space="0"/>
              <w:left w:val="single" w:color="auto" w:sz="4" w:space="0"/>
              <w:bottom w:val="single" w:color="auto" w:sz="4" w:space="0"/>
              <w:right w:val="single" w:color="auto" w:sz="4" w:space="0"/>
            </w:tcBorders>
          </w:tcPr>
          <w:p>
            <w:r>
              <w:t>7.01%</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美丽村</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517.37</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89.51</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17.3%</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10</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1.93%</w:t>
            </w:r>
          </w:p>
        </w:tc>
        <w:tc>
          <w:tcPr>
            <w:tcW w:w="307" w:type="pct"/>
            <w:tcBorders>
              <w:top w:val="single" w:color="auto" w:sz="4" w:space="0"/>
              <w:left w:val="single" w:color="auto" w:sz="4" w:space="0"/>
              <w:bottom w:val="single" w:color="auto" w:sz="4" w:space="0"/>
              <w:right w:val="single" w:color="auto" w:sz="4" w:space="0"/>
            </w:tcBorders>
          </w:tcPr>
          <w:p/>
        </w:tc>
        <w:tc>
          <w:tcPr>
            <w:tcW w:w="307" w:type="pct"/>
            <w:tcBorders>
              <w:top w:val="single" w:color="auto" w:sz="4" w:space="0"/>
              <w:left w:val="single" w:color="auto" w:sz="4" w:space="0"/>
              <w:bottom w:val="single" w:color="auto" w:sz="4" w:space="0"/>
              <w:right w:val="single" w:color="auto" w:sz="4" w:space="0"/>
            </w:tcBorders>
          </w:tcPr>
          <w:p>
            <w:r>
              <w:t>0%</w:t>
            </w:r>
          </w:p>
        </w:tc>
        <w:tc>
          <w:tcPr>
            <w:tcW w:w="307" w:type="pct"/>
            <w:tcBorders>
              <w:top w:val="single" w:color="auto" w:sz="4" w:space="0"/>
              <w:left w:val="single" w:color="auto" w:sz="4" w:space="0"/>
              <w:bottom w:val="single" w:color="auto" w:sz="4" w:space="0"/>
              <w:right w:val="single" w:color="auto" w:sz="4" w:space="0"/>
            </w:tcBorders>
          </w:tcPr>
          <w:p>
            <w:r>
              <w:t>9.11</w:t>
            </w:r>
          </w:p>
        </w:tc>
        <w:tc>
          <w:tcPr>
            <w:tcW w:w="307" w:type="pct"/>
            <w:tcBorders>
              <w:top w:val="single" w:color="auto" w:sz="4" w:space="0"/>
              <w:left w:val="single" w:color="auto" w:sz="4" w:space="0"/>
              <w:bottom w:val="single" w:color="auto" w:sz="4" w:space="0"/>
              <w:right w:val="single" w:color="auto" w:sz="4" w:space="0"/>
            </w:tcBorders>
          </w:tcPr>
          <w:p>
            <w:r>
              <w:t>1.76%</w:t>
            </w:r>
          </w:p>
        </w:tc>
        <w:tc>
          <w:tcPr>
            <w:tcW w:w="307" w:type="pct"/>
            <w:tcBorders>
              <w:top w:val="single" w:color="auto" w:sz="4" w:space="0"/>
              <w:left w:val="single" w:color="auto" w:sz="4" w:space="0"/>
              <w:bottom w:val="single" w:color="auto" w:sz="4" w:space="0"/>
              <w:right w:val="single" w:color="auto" w:sz="4" w:space="0"/>
            </w:tcBorders>
            <w:noWrap/>
          </w:tcPr>
          <w:p/>
        </w:tc>
        <w:tc>
          <w:tcPr>
            <w:tcW w:w="308" w:type="pct"/>
            <w:tcBorders>
              <w:top w:val="single" w:color="auto" w:sz="4" w:space="0"/>
              <w:left w:val="single" w:color="auto" w:sz="4" w:space="0"/>
              <w:bottom w:val="single" w:color="auto" w:sz="4" w:space="0"/>
              <w:right w:val="single" w:color="auto" w:sz="4" w:space="0"/>
            </w:tcBorders>
          </w:tcPr>
          <w:p>
            <w:r>
              <w:t>0%</w:t>
            </w:r>
          </w:p>
        </w:tc>
        <w:tc>
          <w:tcPr>
            <w:tcW w:w="308" w:type="pct"/>
            <w:tcBorders>
              <w:top w:val="single" w:color="auto" w:sz="4" w:space="0"/>
              <w:left w:val="single" w:color="auto" w:sz="4" w:space="0"/>
              <w:bottom w:val="single" w:color="auto" w:sz="4" w:space="0"/>
              <w:right w:val="single" w:color="auto" w:sz="4" w:space="0"/>
            </w:tcBorders>
          </w:tcPr>
          <w:p>
            <w:r>
              <w:t>391.62</w:t>
            </w:r>
          </w:p>
        </w:tc>
        <w:tc>
          <w:tcPr>
            <w:tcW w:w="307" w:type="pct"/>
            <w:tcBorders>
              <w:top w:val="single" w:color="auto" w:sz="4" w:space="0"/>
              <w:left w:val="single" w:color="auto" w:sz="4" w:space="0"/>
              <w:bottom w:val="single" w:color="auto" w:sz="4" w:space="0"/>
              <w:right w:val="single" w:color="auto" w:sz="4" w:space="0"/>
            </w:tcBorders>
          </w:tcPr>
          <w:p>
            <w:r>
              <w:t>75.69%</w:t>
            </w:r>
          </w:p>
        </w:tc>
        <w:tc>
          <w:tcPr>
            <w:tcW w:w="308" w:type="pct"/>
            <w:tcBorders>
              <w:top w:val="single" w:color="auto" w:sz="4" w:space="0"/>
              <w:left w:val="single" w:color="auto" w:sz="4" w:space="0"/>
              <w:bottom w:val="single" w:color="auto" w:sz="4" w:space="0"/>
              <w:right w:val="single" w:color="auto" w:sz="4" w:space="0"/>
            </w:tcBorders>
          </w:tcPr>
          <w:p>
            <w:r>
              <w:t>14.85</w:t>
            </w:r>
          </w:p>
        </w:tc>
        <w:tc>
          <w:tcPr>
            <w:tcW w:w="305" w:type="pct"/>
            <w:tcBorders>
              <w:top w:val="single" w:color="auto" w:sz="4" w:space="0"/>
              <w:left w:val="single" w:color="auto" w:sz="4" w:space="0"/>
              <w:bottom w:val="single" w:color="auto" w:sz="4" w:space="0"/>
              <w:right w:val="single" w:color="auto" w:sz="4" w:space="0"/>
            </w:tcBorders>
          </w:tcPr>
          <w:p>
            <w:r>
              <w:t>2.87%</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南山村</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195.16</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72.54</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37.17%</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23.07</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11.82%</w:t>
            </w:r>
          </w:p>
        </w:tc>
        <w:tc>
          <w:tcPr>
            <w:tcW w:w="307" w:type="pct"/>
            <w:tcBorders>
              <w:top w:val="single" w:color="auto" w:sz="4" w:space="0"/>
              <w:left w:val="single" w:color="auto" w:sz="4" w:space="0"/>
              <w:bottom w:val="single" w:color="auto" w:sz="4" w:space="0"/>
              <w:right w:val="single" w:color="auto" w:sz="4" w:space="0"/>
            </w:tcBorders>
          </w:tcPr>
          <w:p>
            <w:r>
              <w:t>0.42</w:t>
            </w:r>
          </w:p>
        </w:tc>
        <w:tc>
          <w:tcPr>
            <w:tcW w:w="307" w:type="pct"/>
            <w:tcBorders>
              <w:top w:val="single" w:color="auto" w:sz="4" w:space="0"/>
              <w:left w:val="single" w:color="auto" w:sz="4" w:space="0"/>
              <w:bottom w:val="single" w:color="auto" w:sz="4" w:space="0"/>
              <w:right w:val="single" w:color="auto" w:sz="4" w:space="0"/>
            </w:tcBorders>
          </w:tcPr>
          <w:p>
            <w:r>
              <w:t>0.22%</w:t>
            </w:r>
          </w:p>
        </w:tc>
        <w:tc>
          <w:tcPr>
            <w:tcW w:w="307" w:type="pct"/>
            <w:tcBorders>
              <w:top w:val="single" w:color="auto" w:sz="4" w:space="0"/>
              <w:left w:val="single" w:color="auto" w:sz="4" w:space="0"/>
              <w:bottom w:val="single" w:color="auto" w:sz="4" w:space="0"/>
              <w:right w:val="single" w:color="auto" w:sz="4" w:space="0"/>
            </w:tcBorders>
          </w:tcPr>
          <w:p>
            <w:r>
              <w:t>14.83</w:t>
            </w:r>
          </w:p>
        </w:tc>
        <w:tc>
          <w:tcPr>
            <w:tcW w:w="307" w:type="pct"/>
            <w:tcBorders>
              <w:top w:val="single" w:color="auto" w:sz="4" w:space="0"/>
              <w:left w:val="single" w:color="auto" w:sz="4" w:space="0"/>
              <w:bottom w:val="single" w:color="auto" w:sz="4" w:space="0"/>
              <w:right w:val="single" w:color="auto" w:sz="4" w:space="0"/>
            </w:tcBorders>
          </w:tcPr>
          <w:p>
            <w:r>
              <w:t>7.6%</w:t>
            </w:r>
          </w:p>
        </w:tc>
        <w:tc>
          <w:tcPr>
            <w:tcW w:w="307" w:type="pct"/>
            <w:tcBorders>
              <w:top w:val="single" w:color="auto" w:sz="4" w:space="0"/>
              <w:left w:val="single" w:color="auto" w:sz="4" w:space="0"/>
              <w:bottom w:val="single" w:color="auto" w:sz="4" w:space="0"/>
              <w:right w:val="single" w:color="auto" w:sz="4" w:space="0"/>
            </w:tcBorders>
            <w:noWrap/>
          </w:tcPr>
          <w:p>
            <w:r>
              <w:t>1.98</w:t>
            </w:r>
          </w:p>
        </w:tc>
        <w:tc>
          <w:tcPr>
            <w:tcW w:w="308" w:type="pct"/>
            <w:tcBorders>
              <w:top w:val="single" w:color="auto" w:sz="4" w:space="0"/>
              <w:left w:val="single" w:color="auto" w:sz="4" w:space="0"/>
              <w:bottom w:val="single" w:color="auto" w:sz="4" w:space="0"/>
              <w:right w:val="single" w:color="auto" w:sz="4" w:space="0"/>
            </w:tcBorders>
          </w:tcPr>
          <w:p>
            <w:r>
              <w:t>1.01%</w:t>
            </w:r>
          </w:p>
        </w:tc>
        <w:tc>
          <w:tcPr>
            <w:tcW w:w="308" w:type="pct"/>
            <w:tcBorders>
              <w:top w:val="single" w:color="auto" w:sz="4" w:space="0"/>
              <w:left w:val="single" w:color="auto" w:sz="4" w:space="0"/>
              <w:bottom w:val="single" w:color="auto" w:sz="4" w:space="0"/>
              <w:right w:val="single" w:color="auto" w:sz="4" w:space="0"/>
            </w:tcBorders>
          </w:tcPr>
          <w:p>
            <w:r>
              <w:t>79.6</w:t>
            </w:r>
          </w:p>
        </w:tc>
        <w:tc>
          <w:tcPr>
            <w:tcW w:w="307" w:type="pct"/>
            <w:tcBorders>
              <w:top w:val="single" w:color="auto" w:sz="4" w:space="0"/>
              <w:left w:val="single" w:color="auto" w:sz="4" w:space="0"/>
              <w:bottom w:val="single" w:color="auto" w:sz="4" w:space="0"/>
              <w:right w:val="single" w:color="auto" w:sz="4" w:space="0"/>
            </w:tcBorders>
          </w:tcPr>
          <w:p>
            <w:r>
              <w:t>40.79%</w:t>
            </w:r>
          </w:p>
        </w:tc>
        <w:tc>
          <w:tcPr>
            <w:tcW w:w="308" w:type="pct"/>
            <w:tcBorders>
              <w:top w:val="single" w:color="auto" w:sz="4" w:space="0"/>
              <w:left w:val="single" w:color="auto" w:sz="4" w:space="0"/>
              <w:bottom w:val="single" w:color="auto" w:sz="4" w:space="0"/>
              <w:right w:val="single" w:color="auto" w:sz="4" w:space="0"/>
            </w:tcBorders>
          </w:tcPr>
          <w:p/>
        </w:tc>
        <w:tc>
          <w:tcPr>
            <w:tcW w:w="305" w:type="pct"/>
            <w:tcBorders>
              <w:top w:val="single" w:color="auto" w:sz="4" w:space="0"/>
              <w:left w:val="single" w:color="auto" w:sz="4" w:space="0"/>
              <w:bottom w:val="single" w:color="auto" w:sz="4" w:space="0"/>
              <w:right w:val="single" w:color="auto" w:sz="4" w:space="0"/>
            </w:tcBorders>
          </w:tcPr>
          <w:p>
            <w:r>
              <w:t>0%</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沙坝河村</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670.72</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177.91</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26.53%</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10.73</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1.6%</w:t>
            </w:r>
          </w:p>
        </w:tc>
        <w:tc>
          <w:tcPr>
            <w:tcW w:w="307" w:type="pct"/>
            <w:tcBorders>
              <w:top w:val="single" w:color="auto" w:sz="4" w:space="0"/>
              <w:left w:val="single" w:color="auto" w:sz="4" w:space="0"/>
              <w:bottom w:val="single" w:color="auto" w:sz="4" w:space="0"/>
              <w:right w:val="single" w:color="auto" w:sz="4" w:space="0"/>
            </w:tcBorders>
          </w:tcPr>
          <w:p/>
        </w:tc>
        <w:tc>
          <w:tcPr>
            <w:tcW w:w="307" w:type="pct"/>
            <w:tcBorders>
              <w:top w:val="single" w:color="auto" w:sz="4" w:space="0"/>
              <w:left w:val="single" w:color="auto" w:sz="4" w:space="0"/>
              <w:bottom w:val="single" w:color="auto" w:sz="4" w:space="0"/>
              <w:right w:val="single" w:color="auto" w:sz="4" w:space="0"/>
            </w:tcBorders>
          </w:tcPr>
          <w:p>
            <w:r>
              <w:t>0%</w:t>
            </w:r>
          </w:p>
        </w:tc>
        <w:tc>
          <w:tcPr>
            <w:tcW w:w="307" w:type="pct"/>
            <w:tcBorders>
              <w:top w:val="single" w:color="auto" w:sz="4" w:space="0"/>
              <w:left w:val="single" w:color="auto" w:sz="4" w:space="0"/>
              <w:bottom w:val="single" w:color="auto" w:sz="4" w:space="0"/>
              <w:right w:val="single" w:color="auto" w:sz="4" w:space="0"/>
            </w:tcBorders>
          </w:tcPr>
          <w:p>
            <w:r>
              <w:t>20.32</w:t>
            </w:r>
          </w:p>
        </w:tc>
        <w:tc>
          <w:tcPr>
            <w:tcW w:w="307" w:type="pct"/>
            <w:tcBorders>
              <w:top w:val="single" w:color="auto" w:sz="4" w:space="0"/>
              <w:left w:val="single" w:color="auto" w:sz="4" w:space="0"/>
              <w:bottom w:val="single" w:color="auto" w:sz="4" w:space="0"/>
              <w:right w:val="single" w:color="auto" w:sz="4" w:space="0"/>
            </w:tcBorders>
          </w:tcPr>
          <w:p>
            <w:r>
              <w:t>3.03%</w:t>
            </w:r>
          </w:p>
        </w:tc>
        <w:tc>
          <w:tcPr>
            <w:tcW w:w="307" w:type="pct"/>
            <w:tcBorders>
              <w:top w:val="single" w:color="auto" w:sz="4" w:space="0"/>
              <w:left w:val="single" w:color="auto" w:sz="4" w:space="0"/>
              <w:bottom w:val="single" w:color="auto" w:sz="4" w:space="0"/>
              <w:right w:val="single" w:color="auto" w:sz="4" w:space="0"/>
            </w:tcBorders>
            <w:noWrap/>
          </w:tcPr>
          <w:p>
            <w:r>
              <w:t>3.57</w:t>
            </w:r>
          </w:p>
        </w:tc>
        <w:tc>
          <w:tcPr>
            <w:tcW w:w="308" w:type="pct"/>
            <w:tcBorders>
              <w:top w:val="single" w:color="auto" w:sz="4" w:space="0"/>
              <w:left w:val="single" w:color="auto" w:sz="4" w:space="0"/>
              <w:bottom w:val="single" w:color="auto" w:sz="4" w:space="0"/>
              <w:right w:val="single" w:color="auto" w:sz="4" w:space="0"/>
            </w:tcBorders>
          </w:tcPr>
          <w:p>
            <w:r>
              <w:t>0.53%</w:t>
            </w:r>
          </w:p>
        </w:tc>
        <w:tc>
          <w:tcPr>
            <w:tcW w:w="308" w:type="pct"/>
            <w:tcBorders>
              <w:top w:val="single" w:color="auto" w:sz="4" w:space="0"/>
              <w:left w:val="single" w:color="auto" w:sz="4" w:space="0"/>
              <w:bottom w:val="single" w:color="auto" w:sz="4" w:space="0"/>
              <w:right w:val="single" w:color="auto" w:sz="4" w:space="0"/>
            </w:tcBorders>
          </w:tcPr>
          <w:p>
            <w:r>
              <w:t>323.58</w:t>
            </w:r>
          </w:p>
        </w:tc>
        <w:tc>
          <w:tcPr>
            <w:tcW w:w="307" w:type="pct"/>
            <w:tcBorders>
              <w:top w:val="single" w:color="auto" w:sz="4" w:space="0"/>
              <w:left w:val="single" w:color="auto" w:sz="4" w:space="0"/>
              <w:bottom w:val="single" w:color="auto" w:sz="4" w:space="0"/>
              <w:right w:val="single" w:color="auto" w:sz="4" w:space="0"/>
            </w:tcBorders>
          </w:tcPr>
          <w:p>
            <w:r>
              <w:t>48.24%</w:t>
            </w:r>
          </w:p>
        </w:tc>
        <w:tc>
          <w:tcPr>
            <w:tcW w:w="308" w:type="pct"/>
            <w:tcBorders>
              <w:top w:val="single" w:color="auto" w:sz="4" w:space="0"/>
              <w:left w:val="single" w:color="auto" w:sz="4" w:space="0"/>
              <w:bottom w:val="single" w:color="auto" w:sz="4" w:space="0"/>
              <w:right w:val="single" w:color="auto" w:sz="4" w:space="0"/>
            </w:tcBorders>
          </w:tcPr>
          <w:p>
            <w:r>
              <w:t>131.17</w:t>
            </w:r>
          </w:p>
        </w:tc>
        <w:tc>
          <w:tcPr>
            <w:tcW w:w="305" w:type="pct"/>
            <w:tcBorders>
              <w:top w:val="single" w:color="auto" w:sz="4" w:space="0"/>
              <w:left w:val="single" w:color="auto" w:sz="4" w:space="0"/>
              <w:bottom w:val="single" w:color="auto" w:sz="4" w:space="0"/>
              <w:right w:val="single" w:color="auto" w:sz="4" w:space="0"/>
            </w:tcBorders>
          </w:tcPr>
          <w:p>
            <w:r>
              <w:t>19.56%</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水保源村</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333.38</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150.04</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45.01%</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18.23</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5.47%</w:t>
            </w:r>
          </w:p>
        </w:tc>
        <w:tc>
          <w:tcPr>
            <w:tcW w:w="307" w:type="pct"/>
            <w:tcBorders>
              <w:top w:val="single" w:color="auto" w:sz="4" w:space="0"/>
              <w:left w:val="single" w:color="auto" w:sz="4" w:space="0"/>
              <w:bottom w:val="single" w:color="auto" w:sz="4" w:space="0"/>
              <w:right w:val="single" w:color="auto" w:sz="4" w:space="0"/>
            </w:tcBorders>
          </w:tcPr>
          <w:p/>
        </w:tc>
        <w:tc>
          <w:tcPr>
            <w:tcW w:w="307" w:type="pct"/>
            <w:tcBorders>
              <w:top w:val="single" w:color="auto" w:sz="4" w:space="0"/>
              <w:left w:val="single" w:color="auto" w:sz="4" w:space="0"/>
              <w:bottom w:val="single" w:color="auto" w:sz="4" w:space="0"/>
              <w:right w:val="single" w:color="auto" w:sz="4" w:space="0"/>
            </w:tcBorders>
          </w:tcPr>
          <w:p>
            <w:r>
              <w:t>0%</w:t>
            </w:r>
          </w:p>
        </w:tc>
        <w:tc>
          <w:tcPr>
            <w:tcW w:w="307" w:type="pct"/>
            <w:tcBorders>
              <w:top w:val="single" w:color="auto" w:sz="4" w:space="0"/>
              <w:left w:val="single" w:color="auto" w:sz="4" w:space="0"/>
              <w:bottom w:val="single" w:color="auto" w:sz="4" w:space="0"/>
              <w:right w:val="single" w:color="auto" w:sz="4" w:space="0"/>
            </w:tcBorders>
          </w:tcPr>
          <w:p>
            <w:r>
              <w:t>17.88</w:t>
            </w:r>
          </w:p>
        </w:tc>
        <w:tc>
          <w:tcPr>
            <w:tcW w:w="307" w:type="pct"/>
            <w:tcBorders>
              <w:top w:val="single" w:color="auto" w:sz="4" w:space="0"/>
              <w:left w:val="single" w:color="auto" w:sz="4" w:space="0"/>
              <w:bottom w:val="single" w:color="auto" w:sz="4" w:space="0"/>
              <w:right w:val="single" w:color="auto" w:sz="4" w:space="0"/>
            </w:tcBorders>
          </w:tcPr>
          <w:p>
            <w:r>
              <w:t>5.36%</w:t>
            </w:r>
          </w:p>
        </w:tc>
        <w:tc>
          <w:tcPr>
            <w:tcW w:w="307" w:type="pct"/>
            <w:tcBorders>
              <w:top w:val="single" w:color="auto" w:sz="4" w:space="0"/>
              <w:left w:val="single" w:color="auto" w:sz="4" w:space="0"/>
              <w:bottom w:val="single" w:color="auto" w:sz="4" w:space="0"/>
              <w:right w:val="single" w:color="auto" w:sz="4" w:space="0"/>
            </w:tcBorders>
            <w:noWrap/>
          </w:tcPr>
          <w:p/>
        </w:tc>
        <w:tc>
          <w:tcPr>
            <w:tcW w:w="308" w:type="pct"/>
            <w:tcBorders>
              <w:top w:val="single" w:color="auto" w:sz="4" w:space="0"/>
              <w:left w:val="single" w:color="auto" w:sz="4" w:space="0"/>
              <w:bottom w:val="single" w:color="auto" w:sz="4" w:space="0"/>
              <w:right w:val="single" w:color="auto" w:sz="4" w:space="0"/>
            </w:tcBorders>
          </w:tcPr>
          <w:p>
            <w:r>
              <w:t>0%</w:t>
            </w:r>
          </w:p>
        </w:tc>
        <w:tc>
          <w:tcPr>
            <w:tcW w:w="308" w:type="pct"/>
            <w:tcBorders>
              <w:top w:val="single" w:color="auto" w:sz="4" w:space="0"/>
              <w:left w:val="single" w:color="auto" w:sz="4" w:space="0"/>
              <w:bottom w:val="single" w:color="auto" w:sz="4" w:space="0"/>
              <w:right w:val="single" w:color="auto" w:sz="4" w:space="0"/>
            </w:tcBorders>
          </w:tcPr>
          <w:p>
            <w:r>
              <w:t>137.13</w:t>
            </w:r>
          </w:p>
        </w:tc>
        <w:tc>
          <w:tcPr>
            <w:tcW w:w="307" w:type="pct"/>
            <w:tcBorders>
              <w:top w:val="single" w:color="auto" w:sz="4" w:space="0"/>
              <w:left w:val="single" w:color="auto" w:sz="4" w:space="0"/>
              <w:bottom w:val="single" w:color="auto" w:sz="4" w:space="0"/>
              <w:right w:val="single" w:color="auto" w:sz="4" w:space="0"/>
            </w:tcBorders>
          </w:tcPr>
          <w:p>
            <w:r>
              <w:t>41.13%</w:t>
            </w:r>
          </w:p>
        </w:tc>
        <w:tc>
          <w:tcPr>
            <w:tcW w:w="308" w:type="pct"/>
            <w:tcBorders>
              <w:top w:val="single" w:color="auto" w:sz="4" w:space="0"/>
              <w:left w:val="single" w:color="auto" w:sz="4" w:space="0"/>
              <w:bottom w:val="single" w:color="auto" w:sz="4" w:space="0"/>
              <w:right w:val="single" w:color="auto" w:sz="4" w:space="0"/>
            </w:tcBorders>
          </w:tcPr>
          <w:p/>
        </w:tc>
        <w:tc>
          <w:tcPr>
            <w:tcW w:w="305" w:type="pct"/>
            <w:tcBorders>
              <w:top w:val="single" w:color="auto" w:sz="4" w:space="0"/>
              <w:left w:val="single" w:color="auto" w:sz="4" w:space="0"/>
              <w:bottom w:val="single" w:color="auto" w:sz="4" w:space="0"/>
              <w:right w:val="single" w:color="auto" w:sz="4" w:space="0"/>
            </w:tcBorders>
          </w:tcPr>
          <w:p>
            <w:r>
              <w:t>0%</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碗厂村</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549.57</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145.28</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26.44%</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47.72</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8.68%</w:t>
            </w:r>
          </w:p>
        </w:tc>
        <w:tc>
          <w:tcPr>
            <w:tcW w:w="307" w:type="pct"/>
            <w:tcBorders>
              <w:top w:val="single" w:color="auto" w:sz="4" w:space="0"/>
              <w:left w:val="single" w:color="auto" w:sz="4" w:space="0"/>
              <w:bottom w:val="single" w:color="auto" w:sz="4" w:space="0"/>
              <w:right w:val="single" w:color="auto" w:sz="4" w:space="0"/>
            </w:tcBorders>
          </w:tcPr>
          <w:p/>
        </w:tc>
        <w:tc>
          <w:tcPr>
            <w:tcW w:w="307" w:type="pct"/>
            <w:tcBorders>
              <w:top w:val="single" w:color="auto" w:sz="4" w:space="0"/>
              <w:left w:val="single" w:color="auto" w:sz="4" w:space="0"/>
              <w:bottom w:val="single" w:color="auto" w:sz="4" w:space="0"/>
              <w:right w:val="single" w:color="auto" w:sz="4" w:space="0"/>
            </w:tcBorders>
          </w:tcPr>
          <w:p>
            <w:r>
              <w:t>0%</w:t>
            </w:r>
          </w:p>
        </w:tc>
        <w:tc>
          <w:tcPr>
            <w:tcW w:w="307" w:type="pct"/>
            <w:tcBorders>
              <w:top w:val="single" w:color="auto" w:sz="4" w:space="0"/>
              <w:left w:val="single" w:color="auto" w:sz="4" w:space="0"/>
              <w:bottom w:val="single" w:color="auto" w:sz="4" w:space="0"/>
              <w:right w:val="single" w:color="auto" w:sz="4" w:space="0"/>
            </w:tcBorders>
          </w:tcPr>
          <w:p>
            <w:r>
              <w:t>22.78</w:t>
            </w:r>
          </w:p>
        </w:tc>
        <w:tc>
          <w:tcPr>
            <w:tcW w:w="307" w:type="pct"/>
            <w:tcBorders>
              <w:top w:val="single" w:color="auto" w:sz="4" w:space="0"/>
              <w:left w:val="single" w:color="auto" w:sz="4" w:space="0"/>
              <w:bottom w:val="single" w:color="auto" w:sz="4" w:space="0"/>
              <w:right w:val="single" w:color="auto" w:sz="4" w:space="0"/>
            </w:tcBorders>
          </w:tcPr>
          <w:p>
            <w:r>
              <w:t>4.15%</w:t>
            </w:r>
          </w:p>
        </w:tc>
        <w:tc>
          <w:tcPr>
            <w:tcW w:w="307" w:type="pct"/>
            <w:tcBorders>
              <w:top w:val="single" w:color="auto" w:sz="4" w:space="0"/>
              <w:left w:val="single" w:color="auto" w:sz="4" w:space="0"/>
              <w:bottom w:val="single" w:color="auto" w:sz="4" w:space="0"/>
              <w:right w:val="single" w:color="auto" w:sz="4" w:space="0"/>
            </w:tcBorders>
            <w:noWrap/>
          </w:tcPr>
          <w:p>
            <w:r>
              <w:t>0.81</w:t>
            </w:r>
          </w:p>
        </w:tc>
        <w:tc>
          <w:tcPr>
            <w:tcW w:w="308" w:type="pct"/>
            <w:tcBorders>
              <w:top w:val="single" w:color="auto" w:sz="4" w:space="0"/>
              <w:left w:val="single" w:color="auto" w:sz="4" w:space="0"/>
              <w:bottom w:val="single" w:color="auto" w:sz="4" w:space="0"/>
              <w:right w:val="single" w:color="auto" w:sz="4" w:space="0"/>
            </w:tcBorders>
          </w:tcPr>
          <w:p>
            <w:r>
              <w:t>0.15%</w:t>
            </w:r>
          </w:p>
        </w:tc>
        <w:tc>
          <w:tcPr>
            <w:tcW w:w="308" w:type="pct"/>
            <w:tcBorders>
              <w:top w:val="single" w:color="auto" w:sz="4" w:space="0"/>
              <w:left w:val="single" w:color="auto" w:sz="4" w:space="0"/>
              <w:bottom w:val="single" w:color="auto" w:sz="4" w:space="0"/>
              <w:right w:val="single" w:color="auto" w:sz="4" w:space="0"/>
            </w:tcBorders>
          </w:tcPr>
          <w:p>
            <w:r>
              <w:t>325.15</w:t>
            </w:r>
          </w:p>
        </w:tc>
        <w:tc>
          <w:tcPr>
            <w:tcW w:w="307" w:type="pct"/>
            <w:tcBorders>
              <w:top w:val="single" w:color="auto" w:sz="4" w:space="0"/>
              <w:left w:val="single" w:color="auto" w:sz="4" w:space="0"/>
              <w:bottom w:val="single" w:color="auto" w:sz="4" w:space="0"/>
              <w:right w:val="single" w:color="auto" w:sz="4" w:space="0"/>
            </w:tcBorders>
          </w:tcPr>
          <w:p>
            <w:r>
              <w:t>59.16%</w:t>
            </w:r>
          </w:p>
        </w:tc>
        <w:tc>
          <w:tcPr>
            <w:tcW w:w="308" w:type="pct"/>
            <w:tcBorders>
              <w:top w:val="single" w:color="auto" w:sz="4" w:space="0"/>
              <w:left w:val="single" w:color="auto" w:sz="4" w:space="0"/>
              <w:bottom w:val="single" w:color="auto" w:sz="4" w:space="0"/>
              <w:right w:val="single" w:color="auto" w:sz="4" w:space="0"/>
            </w:tcBorders>
          </w:tcPr>
          <w:p/>
        </w:tc>
        <w:tc>
          <w:tcPr>
            <w:tcW w:w="305" w:type="pct"/>
            <w:tcBorders>
              <w:top w:val="single" w:color="auto" w:sz="4" w:space="0"/>
              <w:left w:val="single" w:color="auto" w:sz="4" w:space="0"/>
              <w:bottom w:val="single" w:color="auto" w:sz="4" w:space="0"/>
              <w:right w:val="single" w:color="auto" w:sz="4" w:space="0"/>
            </w:tcBorders>
          </w:tcPr>
          <w:p>
            <w:r>
              <w:t>0%</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兴无村</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315.25</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96.75</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30.69%</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107.45</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34.08%</w:t>
            </w:r>
          </w:p>
        </w:tc>
        <w:tc>
          <w:tcPr>
            <w:tcW w:w="307" w:type="pct"/>
            <w:tcBorders>
              <w:top w:val="single" w:color="auto" w:sz="4" w:space="0"/>
              <w:left w:val="single" w:color="auto" w:sz="4" w:space="0"/>
              <w:bottom w:val="single" w:color="auto" w:sz="4" w:space="0"/>
              <w:right w:val="single" w:color="auto" w:sz="4" w:space="0"/>
            </w:tcBorders>
          </w:tcPr>
          <w:p/>
        </w:tc>
        <w:tc>
          <w:tcPr>
            <w:tcW w:w="307" w:type="pct"/>
            <w:tcBorders>
              <w:top w:val="single" w:color="auto" w:sz="4" w:space="0"/>
              <w:left w:val="single" w:color="auto" w:sz="4" w:space="0"/>
              <w:bottom w:val="single" w:color="auto" w:sz="4" w:space="0"/>
              <w:right w:val="single" w:color="auto" w:sz="4" w:space="0"/>
            </w:tcBorders>
          </w:tcPr>
          <w:p>
            <w:r>
              <w:t>0%</w:t>
            </w:r>
          </w:p>
        </w:tc>
        <w:tc>
          <w:tcPr>
            <w:tcW w:w="307" w:type="pct"/>
            <w:tcBorders>
              <w:top w:val="single" w:color="auto" w:sz="4" w:space="0"/>
              <w:left w:val="single" w:color="auto" w:sz="4" w:space="0"/>
              <w:bottom w:val="single" w:color="auto" w:sz="4" w:space="0"/>
              <w:right w:val="single" w:color="auto" w:sz="4" w:space="0"/>
            </w:tcBorders>
          </w:tcPr>
          <w:p>
            <w:r>
              <w:t>23.91</w:t>
            </w:r>
          </w:p>
        </w:tc>
        <w:tc>
          <w:tcPr>
            <w:tcW w:w="307" w:type="pct"/>
            <w:tcBorders>
              <w:top w:val="single" w:color="auto" w:sz="4" w:space="0"/>
              <w:left w:val="single" w:color="auto" w:sz="4" w:space="0"/>
              <w:bottom w:val="single" w:color="auto" w:sz="4" w:space="0"/>
              <w:right w:val="single" w:color="auto" w:sz="4" w:space="0"/>
            </w:tcBorders>
          </w:tcPr>
          <w:p>
            <w:r>
              <w:t>7.58%</w:t>
            </w:r>
          </w:p>
        </w:tc>
        <w:tc>
          <w:tcPr>
            <w:tcW w:w="307" w:type="pct"/>
            <w:tcBorders>
              <w:top w:val="single" w:color="auto" w:sz="4" w:space="0"/>
              <w:left w:val="single" w:color="auto" w:sz="4" w:space="0"/>
              <w:bottom w:val="single" w:color="auto" w:sz="4" w:space="0"/>
              <w:right w:val="single" w:color="auto" w:sz="4" w:space="0"/>
            </w:tcBorders>
            <w:noWrap/>
          </w:tcPr>
          <w:p>
            <w:r>
              <w:t>4.43</w:t>
            </w:r>
          </w:p>
        </w:tc>
        <w:tc>
          <w:tcPr>
            <w:tcW w:w="308" w:type="pct"/>
            <w:tcBorders>
              <w:top w:val="single" w:color="auto" w:sz="4" w:space="0"/>
              <w:left w:val="single" w:color="auto" w:sz="4" w:space="0"/>
              <w:bottom w:val="single" w:color="auto" w:sz="4" w:space="0"/>
              <w:right w:val="single" w:color="auto" w:sz="4" w:space="0"/>
            </w:tcBorders>
          </w:tcPr>
          <w:p>
            <w:r>
              <w:t>1.41%</w:t>
            </w:r>
          </w:p>
        </w:tc>
        <w:tc>
          <w:tcPr>
            <w:tcW w:w="308" w:type="pct"/>
            <w:tcBorders>
              <w:top w:val="single" w:color="auto" w:sz="4" w:space="0"/>
              <w:left w:val="single" w:color="auto" w:sz="4" w:space="0"/>
              <w:bottom w:val="single" w:color="auto" w:sz="4" w:space="0"/>
              <w:right w:val="single" w:color="auto" w:sz="4" w:space="0"/>
            </w:tcBorders>
          </w:tcPr>
          <w:p>
            <w:r>
              <w:t>69.98</w:t>
            </w:r>
          </w:p>
        </w:tc>
        <w:tc>
          <w:tcPr>
            <w:tcW w:w="307" w:type="pct"/>
            <w:tcBorders>
              <w:top w:val="single" w:color="auto" w:sz="4" w:space="0"/>
              <w:left w:val="single" w:color="auto" w:sz="4" w:space="0"/>
              <w:bottom w:val="single" w:color="auto" w:sz="4" w:space="0"/>
              <w:right w:val="single" w:color="auto" w:sz="4" w:space="0"/>
            </w:tcBorders>
          </w:tcPr>
          <w:p>
            <w:r>
              <w:t>22.2%</w:t>
            </w:r>
          </w:p>
        </w:tc>
        <w:tc>
          <w:tcPr>
            <w:tcW w:w="308" w:type="pct"/>
            <w:tcBorders>
              <w:top w:val="single" w:color="auto" w:sz="4" w:space="0"/>
              <w:left w:val="single" w:color="auto" w:sz="4" w:space="0"/>
              <w:bottom w:val="single" w:color="auto" w:sz="4" w:space="0"/>
              <w:right w:val="single" w:color="auto" w:sz="4" w:space="0"/>
            </w:tcBorders>
          </w:tcPr>
          <w:p/>
        </w:tc>
        <w:tc>
          <w:tcPr>
            <w:tcW w:w="305" w:type="pct"/>
            <w:tcBorders>
              <w:top w:val="single" w:color="auto" w:sz="4" w:space="0"/>
              <w:left w:val="single" w:color="auto" w:sz="4" w:space="0"/>
              <w:bottom w:val="single" w:color="auto" w:sz="4" w:space="0"/>
              <w:right w:val="single" w:color="auto" w:sz="4" w:space="0"/>
            </w:tcBorders>
          </w:tcPr>
          <w:p>
            <w:r>
              <w:t>0%</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阳光村</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441.68</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211.58</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47.9%</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23.66</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5.36%</w:t>
            </w:r>
          </w:p>
        </w:tc>
        <w:tc>
          <w:tcPr>
            <w:tcW w:w="307" w:type="pct"/>
            <w:tcBorders>
              <w:top w:val="single" w:color="auto" w:sz="4" w:space="0"/>
              <w:left w:val="single" w:color="auto" w:sz="4" w:space="0"/>
              <w:bottom w:val="single" w:color="auto" w:sz="4" w:space="0"/>
              <w:right w:val="single" w:color="auto" w:sz="4" w:space="0"/>
            </w:tcBorders>
          </w:tcPr>
          <w:p/>
        </w:tc>
        <w:tc>
          <w:tcPr>
            <w:tcW w:w="307" w:type="pct"/>
            <w:tcBorders>
              <w:top w:val="single" w:color="auto" w:sz="4" w:space="0"/>
              <w:left w:val="single" w:color="auto" w:sz="4" w:space="0"/>
              <w:bottom w:val="single" w:color="auto" w:sz="4" w:space="0"/>
              <w:right w:val="single" w:color="auto" w:sz="4" w:space="0"/>
            </w:tcBorders>
          </w:tcPr>
          <w:p>
            <w:r>
              <w:t>0%</w:t>
            </w:r>
          </w:p>
        </w:tc>
        <w:tc>
          <w:tcPr>
            <w:tcW w:w="307" w:type="pct"/>
            <w:tcBorders>
              <w:top w:val="single" w:color="auto" w:sz="4" w:space="0"/>
              <w:left w:val="single" w:color="auto" w:sz="4" w:space="0"/>
              <w:bottom w:val="single" w:color="auto" w:sz="4" w:space="0"/>
              <w:right w:val="single" w:color="auto" w:sz="4" w:space="0"/>
            </w:tcBorders>
          </w:tcPr>
          <w:p>
            <w:r>
              <w:t>26.05</w:t>
            </w:r>
          </w:p>
        </w:tc>
        <w:tc>
          <w:tcPr>
            <w:tcW w:w="307" w:type="pct"/>
            <w:tcBorders>
              <w:top w:val="single" w:color="auto" w:sz="4" w:space="0"/>
              <w:left w:val="single" w:color="auto" w:sz="4" w:space="0"/>
              <w:bottom w:val="single" w:color="auto" w:sz="4" w:space="0"/>
              <w:right w:val="single" w:color="auto" w:sz="4" w:space="0"/>
            </w:tcBorders>
          </w:tcPr>
          <w:p>
            <w:r>
              <w:t>5.9%</w:t>
            </w:r>
          </w:p>
        </w:tc>
        <w:tc>
          <w:tcPr>
            <w:tcW w:w="307" w:type="pct"/>
            <w:tcBorders>
              <w:top w:val="single" w:color="auto" w:sz="4" w:space="0"/>
              <w:left w:val="single" w:color="auto" w:sz="4" w:space="0"/>
              <w:bottom w:val="single" w:color="auto" w:sz="4" w:space="0"/>
              <w:right w:val="single" w:color="auto" w:sz="4" w:space="0"/>
            </w:tcBorders>
            <w:noWrap/>
          </w:tcPr>
          <w:p/>
        </w:tc>
        <w:tc>
          <w:tcPr>
            <w:tcW w:w="308" w:type="pct"/>
            <w:tcBorders>
              <w:top w:val="single" w:color="auto" w:sz="4" w:space="0"/>
              <w:left w:val="single" w:color="auto" w:sz="4" w:space="0"/>
              <w:bottom w:val="single" w:color="auto" w:sz="4" w:space="0"/>
              <w:right w:val="single" w:color="auto" w:sz="4" w:space="0"/>
            </w:tcBorders>
          </w:tcPr>
          <w:p>
            <w:r>
              <w:t>0%</w:t>
            </w:r>
          </w:p>
        </w:tc>
        <w:tc>
          <w:tcPr>
            <w:tcW w:w="308" w:type="pct"/>
            <w:tcBorders>
              <w:top w:val="single" w:color="auto" w:sz="4" w:space="0"/>
              <w:left w:val="single" w:color="auto" w:sz="4" w:space="0"/>
              <w:bottom w:val="single" w:color="auto" w:sz="4" w:space="0"/>
              <w:right w:val="single" w:color="auto" w:sz="4" w:space="0"/>
            </w:tcBorders>
          </w:tcPr>
          <w:p>
            <w:r>
              <w:t>178.73</w:t>
            </w:r>
          </w:p>
        </w:tc>
        <w:tc>
          <w:tcPr>
            <w:tcW w:w="307" w:type="pct"/>
            <w:tcBorders>
              <w:top w:val="single" w:color="auto" w:sz="4" w:space="0"/>
              <w:left w:val="single" w:color="auto" w:sz="4" w:space="0"/>
              <w:bottom w:val="single" w:color="auto" w:sz="4" w:space="0"/>
              <w:right w:val="single" w:color="auto" w:sz="4" w:space="0"/>
            </w:tcBorders>
          </w:tcPr>
          <w:p>
            <w:r>
              <w:t>40.47%</w:t>
            </w:r>
          </w:p>
        </w:tc>
        <w:tc>
          <w:tcPr>
            <w:tcW w:w="308" w:type="pct"/>
            <w:tcBorders>
              <w:top w:val="single" w:color="auto" w:sz="4" w:space="0"/>
              <w:left w:val="single" w:color="auto" w:sz="4" w:space="0"/>
              <w:bottom w:val="single" w:color="auto" w:sz="4" w:space="0"/>
              <w:right w:val="single" w:color="auto" w:sz="4" w:space="0"/>
            </w:tcBorders>
          </w:tcPr>
          <w:p/>
        </w:tc>
        <w:tc>
          <w:tcPr>
            <w:tcW w:w="305" w:type="pct"/>
            <w:tcBorders>
              <w:top w:val="single" w:color="auto" w:sz="4" w:space="0"/>
              <w:left w:val="single" w:color="auto" w:sz="4" w:space="0"/>
              <w:bottom w:val="single" w:color="auto" w:sz="4" w:space="0"/>
              <w:right w:val="single" w:color="auto" w:sz="4" w:space="0"/>
            </w:tcBorders>
          </w:tcPr>
          <w:p>
            <w:r>
              <w:t>0%</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杨林坳村</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348.75</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204.18</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58.55%</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22.55</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6.47%</w:t>
            </w:r>
          </w:p>
        </w:tc>
        <w:tc>
          <w:tcPr>
            <w:tcW w:w="307" w:type="pct"/>
            <w:tcBorders>
              <w:top w:val="single" w:color="auto" w:sz="4" w:space="0"/>
              <w:left w:val="single" w:color="auto" w:sz="4" w:space="0"/>
              <w:bottom w:val="single" w:color="auto" w:sz="4" w:space="0"/>
              <w:right w:val="single" w:color="auto" w:sz="4" w:space="0"/>
            </w:tcBorders>
          </w:tcPr>
          <w:p/>
        </w:tc>
        <w:tc>
          <w:tcPr>
            <w:tcW w:w="307" w:type="pct"/>
            <w:tcBorders>
              <w:top w:val="single" w:color="auto" w:sz="4" w:space="0"/>
              <w:left w:val="single" w:color="auto" w:sz="4" w:space="0"/>
              <w:bottom w:val="single" w:color="auto" w:sz="4" w:space="0"/>
              <w:right w:val="single" w:color="auto" w:sz="4" w:space="0"/>
            </w:tcBorders>
          </w:tcPr>
          <w:p>
            <w:r>
              <w:t>0%</w:t>
            </w:r>
          </w:p>
        </w:tc>
        <w:tc>
          <w:tcPr>
            <w:tcW w:w="307" w:type="pct"/>
            <w:tcBorders>
              <w:top w:val="single" w:color="auto" w:sz="4" w:space="0"/>
              <w:left w:val="single" w:color="auto" w:sz="4" w:space="0"/>
              <w:bottom w:val="single" w:color="auto" w:sz="4" w:space="0"/>
              <w:right w:val="single" w:color="auto" w:sz="4" w:space="0"/>
            </w:tcBorders>
          </w:tcPr>
          <w:p>
            <w:r>
              <w:t>25.74</w:t>
            </w:r>
          </w:p>
        </w:tc>
        <w:tc>
          <w:tcPr>
            <w:tcW w:w="307" w:type="pct"/>
            <w:tcBorders>
              <w:top w:val="single" w:color="auto" w:sz="4" w:space="0"/>
              <w:left w:val="single" w:color="auto" w:sz="4" w:space="0"/>
              <w:bottom w:val="single" w:color="auto" w:sz="4" w:space="0"/>
              <w:right w:val="single" w:color="auto" w:sz="4" w:space="0"/>
            </w:tcBorders>
          </w:tcPr>
          <w:p>
            <w:r>
              <w:t>7.38%</w:t>
            </w:r>
          </w:p>
        </w:tc>
        <w:tc>
          <w:tcPr>
            <w:tcW w:w="307" w:type="pct"/>
            <w:tcBorders>
              <w:top w:val="single" w:color="auto" w:sz="4" w:space="0"/>
              <w:left w:val="single" w:color="auto" w:sz="4" w:space="0"/>
              <w:bottom w:val="single" w:color="auto" w:sz="4" w:space="0"/>
              <w:right w:val="single" w:color="auto" w:sz="4" w:space="0"/>
            </w:tcBorders>
            <w:noWrap/>
          </w:tcPr>
          <w:p/>
        </w:tc>
        <w:tc>
          <w:tcPr>
            <w:tcW w:w="308" w:type="pct"/>
            <w:tcBorders>
              <w:top w:val="single" w:color="auto" w:sz="4" w:space="0"/>
              <w:left w:val="single" w:color="auto" w:sz="4" w:space="0"/>
              <w:bottom w:val="single" w:color="auto" w:sz="4" w:space="0"/>
              <w:right w:val="single" w:color="auto" w:sz="4" w:space="0"/>
            </w:tcBorders>
          </w:tcPr>
          <w:p>
            <w:r>
              <w:t>0%</w:t>
            </w:r>
          </w:p>
        </w:tc>
        <w:tc>
          <w:tcPr>
            <w:tcW w:w="308" w:type="pct"/>
            <w:tcBorders>
              <w:top w:val="single" w:color="auto" w:sz="4" w:space="0"/>
              <w:left w:val="single" w:color="auto" w:sz="4" w:space="0"/>
              <w:bottom w:val="single" w:color="auto" w:sz="4" w:space="0"/>
              <w:right w:val="single" w:color="auto" w:sz="4" w:space="0"/>
            </w:tcBorders>
          </w:tcPr>
          <w:p>
            <w:r>
              <w:t>91.86</w:t>
            </w:r>
          </w:p>
        </w:tc>
        <w:tc>
          <w:tcPr>
            <w:tcW w:w="307" w:type="pct"/>
            <w:tcBorders>
              <w:top w:val="single" w:color="auto" w:sz="4" w:space="0"/>
              <w:left w:val="single" w:color="auto" w:sz="4" w:space="0"/>
              <w:bottom w:val="single" w:color="auto" w:sz="4" w:space="0"/>
              <w:right w:val="single" w:color="auto" w:sz="4" w:space="0"/>
            </w:tcBorders>
          </w:tcPr>
          <w:p>
            <w:r>
              <w:t>26.34%</w:t>
            </w:r>
          </w:p>
        </w:tc>
        <w:tc>
          <w:tcPr>
            <w:tcW w:w="308" w:type="pct"/>
            <w:tcBorders>
              <w:top w:val="single" w:color="auto" w:sz="4" w:space="0"/>
              <w:left w:val="single" w:color="auto" w:sz="4" w:space="0"/>
              <w:bottom w:val="single" w:color="auto" w:sz="4" w:space="0"/>
              <w:right w:val="single" w:color="auto" w:sz="4" w:space="0"/>
            </w:tcBorders>
          </w:tcPr>
          <w:p/>
        </w:tc>
        <w:tc>
          <w:tcPr>
            <w:tcW w:w="305" w:type="pct"/>
            <w:tcBorders>
              <w:top w:val="single" w:color="auto" w:sz="4" w:space="0"/>
              <w:left w:val="single" w:color="auto" w:sz="4" w:space="0"/>
              <w:bottom w:val="single" w:color="auto" w:sz="4" w:space="0"/>
              <w:right w:val="single" w:color="auto" w:sz="4" w:space="0"/>
            </w:tcBorders>
          </w:tcPr>
          <w:p>
            <w:r>
              <w:t>0%</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张坳口村</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400.09</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166.38</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41.59%</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26.44</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6.61%</w:t>
            </w:r>
          </w:p>
        </w:tc>
        <w:tc>
          <w:tcPr>
            <w:tcW w:w="307" w:type="pct"/>
            <w:tcBorders>
              <w:top w:val="single" w:color="auto" w:sz="4" w:space="0"/>
              <w:left w:val="single" w:color="auto" w:sz="4" w:space="0"/>
              <w:bottom w:val="single" w:color="auto" w:sz="4" w:space="0"/>
              <w:right w:val="single" w:color="auto" w:sz="4" w:space="0"/>
            </w:tcBorders>
          </w:tcPr>
          <w:p/>
        </w:tc>
        <w:tc>
          <w:tcPr>
            <w:tcW w:w="307" w:type="pct"/>
            <w:tcBorders>
              <w:top w:val="single" w:color="auto" w:sz="4" w:space="0"/>
              <w:left w:val="single" w:color="auto" w:sz="4" w:space="0"/>
              <w:bottom w:val="single" w:color="auto" w:sz="4" w:space="0"/>
              <w:right w:val="single" w:color="auto" w:sz="4" w:space="0"/>
            </w:tcBorders>
          </w:tcPr>
          <w:p>
            <w:r>
              <w:t>0%</w:t>
            </w:r>
          </w:p>
        </w:tc>
        <w:tc>
          <w:tcPr>
            <w:tcW w:w="307" w:type="pct"/>
            <w:tcBorders>
              <w:top w:val="single" w:color="auto" w:sz="4" w:space="0"/>
              <w:left w:val="single" w:color="auto" w:sz="4" w:space="0"/>
              <w:bottom w:val="single" w:color="auto" w:sz="4" w:space="0"/>
              <w:right w:val="single" w:color="auto" w:sz="4" w:space="0"/>
            </w:tcBorders>
          </w:tcPr>
          <w:p>
            <w:r>
              <w:t>22.95</w:t>
            </w:r>
          </w:p>
        </w:tc>
        <w:tc>
          <w:tcPr>
            <w:tcW w:w="307" w:type="pct"/>
            <w:tcBorders>
              <w:top w:val="single" w:color="auto" w:sz="4" w:space="0"/>
              <w:left w:val="single" w:color="auto" w:sz="4" w:space="0"/>
              <w:bottom w:val="single" w:color="auto" w:sz="4" w:space="0"/>
              <w:right w:val="single" w:color="auto" w:sz="4" w:space="0"/>
            </w:tcBorders>
          </w:tcPr>
          <w:p>
            <w:r>
              <w:t>5.74%</w:t>
            </w:r>
          </w:p>
        </w:tc>
        <w:tc>
          <w:tcPr>
            <w:tcW w:w="307" w:type="pct"/>
            <w:tcBorders>
              <w:top w:val="single" w:color="auto" w:sz="4" w:space="0"/>
              <w:left w:val="single" w:color="auto" w:sz="4" w:space="0"/>
              <w:bottom w:val="single" w:color="auto" w:sz="4" w:space="0"/>
              <w:right w:val="single" w:color="auto" w:sz="4" w:space="0"/>
            </w:tcBorders>
            <w:noWrap/>
          </w:tcPr>
          <w:p>
            <w:r>
              <w:t>0.36</w:t>
            </w:r>
          </w:p>
        </w:tc>
        <w:tc>
          <w:tcPr>
            <w:tcW w:w="308" w:type="pct"/>
            <w:tcBorders>
              <w:top w:val="single" w:color="auto" w:sz="4" w:space="0"/>
              <w:left w:val="single" w:color="auto" w:sz="4" w:space="0"/>
              <w:bottom w:val="single" w:color="auto" w:sz="4" w:space="0"/>
              <w:right w:val="single" w:color="auto" w:sz="4" w:space="0"/>
            </w:tcBorders>
          </w:tcPr>
          <w:p>
            <w:r>
              <w:t>0.09%</w:t>
            </w:r>
          </w:p>
        </w:tc>
        <w:tc>
          <w:tcPr>
            <w:tcW w:w="308" w:type="pct"/>
            <w:tcBorders>
              <w:top w:val="single" w:color="auto" w:sz="4" w:space="0"/>
              <w:left w:val="single" w:color="auto" w:sz="4" w:space="0"/>
              <w:bottom w:val="single" w:color="auto" w:sz="4" w:space="0"/>
              <w:right w:val="single" w:color="auto" w:sz="4" w:space="0"/>
            </w:tcBorders>
          </w:tcPr>
          <w:p>
            <w:r>
              <w:t>183.53</w:t>
            </w:r>
          </w:p>
        </w:tc>
        <w:tc>
          <w:tcPr>
            <w:tcW w:w="307" w:type="pct"/>
            <w:tcBorders>
              <w:top w:val="single" w:color="auto" w:sz="4" w:space="0"/>
              <w:left w:val="single" w:color="auto" w:sz="4" w:space="0"/>
              <w:bottom w:val="single" w:color="auto" w:sz="4" w:space="0"/>
              <w:right w:val="single" w:color="auto" w:sz="4" w:space="0"/>
            </w:tcBorders>
          </w:tcPr>
          <w:p>
            <w:r>
              <w:t>45.87%</w:t>
            </w:r>
          </w:p>
        </w:tc>
        <w:tc>
          <w:tcPr>
            <w:tcW w:w="308" w:type="pct"/>
            <w:tcBorders>
              <w:top w:val="single" w:color="auto" w:sz="4" w:space="0"/>
              <w:left w:val="single" w:color="auto" w:sz="4" w:space="0"/>
              <w:bottom w:val="single" w:color="auto" w:sz="4" w:space="0"/>
              <w:right w:val="single" w:color="auto" w:sz="4" w:space="0"/>
            </w:tcBorders>
          </w:tcPr>
          <w:p/>
        </w:tc>
        <w:tc>
          <w:tcPr>
            <w:tcW w:w="305" w:type="pct"/>
            <w:tcBorders>
              <w:top w:val="single" w:color="auto" w:sz="4" w:space="0"/>
              <w:left w:val="single" w:color="auto" w:sz="4" w:space="0"/>
              <w:bottom w:val="single" w:color="auto" w:sz="4" w:space="0"/>
              <w:right w:val="single" w:color="auto" w:sz="4" w:space="0"/>
            </w:tcBorders>
          </w:tcPr>
          <w:p>
            <w:r>
              <w:t>0%</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合计</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7734.55</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2493.14</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32.23%</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623.55</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8.06%</w:t>
            </w:r>
          </w:p>
        </w:tc>
        <w:tc>
          <w:tcPr>
            <w:tcW w:w="307" w:type="pct"/>
            <w:tcBorders>
              <w:top w:val="single" w:color="auto" w:sz="4" w:space="0"/>
              <w:left w:val="single" w:color="auto" w:sz="4" w:space="0"/>
              <w:bottom w:val="single" w:color="auto" w:sz="4" w:space="0"/>
              <w:right w:val="single" w:color="auto" w:sz="4" w:space="0"/>
            </w:tcBorders>
          </w:tcPr>
          <w:p>
            <w:r>
              <w:t>39.06</w:t>
            </w:r>
          </w:p>
        </w:tc>
        <w:tc>
          <w:tcPr>
            <w:tcW w:w="307" w:type="pct"/>
            <w:tcBorders>
              <w:top w:val="single" w:color="auto" w:sz="4" w:space="0"/>
              <w:left w:val="single" w:color="auto" w:sz="4" w:space="0"/>
              <w:bottom w:val="single" w:color="auto" w:sz="4" w:space="0"/>
              <w:right w:val="single" w:color="auto" w:sz="4" w:space="0"/>
            </w:tcBorders>
          </w:tcPr>
          <w:p>
            <w:r>
              <w:t>0.51%</w:t>
            </w:r>
          </w:p>
        </w:tc>
        <w:tc>
          <w:tcPr>
            <w:tcW w:w="307" w:type="pct"/>
            <w:tcBorders>
              <w:top w:val="single" w:color="auto" w:sz="4" w:space="0"/>
              <w:left w:val="single" w:color="auto" w:sz="4" w:space="0"/>
              <w:bottom w:val="single" w:color="auto" w:sz="4" w:space="0"/>
              <w:right w:val="single" w:color="auto" w:sz="4" w:space="0"/>
            </w:tcBorders>
          </w:tcPr>
          <w:p>
            <w:r>
              <w:t>386.07</w:t>
            </w:r>
          </w:p>
        </w:tc>
        <w:tc>
          <w:tcPr>
            <w:tcW w:w="307" w:type="pct"/>
            <w:tcBorders>
              <w:top w:val="single" w:color="auto" w:sz="4" w:space="0"/>
              <w:left w:val="single" w:color="auto" w:sz="4" w:space="0"/>
              <w:bottom w:val="single" w:color="auto" w:sz="4" w:space="0"/>
              <w:right w:val="single" w:color="auto" w:sz="4" w:space="0"/>
            </w:tcBorders>
          </w:tcPr>
          <w:p>
            <w:r>
              <w:t>4.99%</w:t>
            </w:r>
          </w:p>
        </w:tc>
        <w:tc>
          <w:tcPr>
            <w:tcW w:w="307" w:type="pct"/>
            <w:tcBorders>
              <w:top w:val="single" w:color="auto" w:sz="4" w:space="0"/>
              <w:left w:val="single" w:color="auto" w:sz="4" w:space="0"/>
              <w:bottom w:val="single" w:color="auto" w:sz="4" w:space="0"/>
              <w:right w:val="single" w:color="auto" w:sz="4" w:space="0"/>
            </w:tcBorders>
            <w:noWrap/>
          </w:tcPr>
          <w:p>
            <w:r>
              <w:t>44.18</w:t>
            </w:r>
          </w:p>
        </w:tc>
        <w:tc>
          <w:tcPr>
            <w:tcW w:w="308" w:type="pct"/>
            <w:tcBorders>
              <w:top w:val="single" w:color="auto" w:sz="4" w:space="0"/>
              <w:left w:val="single" w:color="auto" w:sz="4" w:space="0"/>
              <w:bottom w:val="single" w:color="auto" w:sz="4" w:space="0"/>
              <w:right w:val="single" w:color="auto" w:sz="4" w:space="0"/>
            </w:tcBorders>
          </w:tcPr>
          <w:p>
            <w:r>
              <w:t>0.57%</w:t>
            </w:r>
          </w:p>
        </w:tc>
        <w:tc>
          <w:tcPr>
            <w:tcW w:w="308" w:type="pct"/>
            <w:tcBorders>
              <w:top w:val="single" w:color="auto" w:sz="4" w:space="0"/>
              <w:left w:val="single" w:color="auto" w:sz="4" w:space="0"/>
              <w:bottom w:val="single" w:color="auto" w:sz="4" w:space="0"/>
              <w:right w:val="single" w:color="auto" w:sz="4" w:space="0"/>
            </w:tcBorders>
          </w:tcPr>
          <w:p>
            <w:r>
              <w:t>3671.34</w:t>
            </w:r>
          </w:p>
        </w:tc>
        <w:tc>
          <w:tcPr>
            <w:tcW w:w="307" w:type="pct"/>
            <w:tcBorders>
              <w:top w:val="single" w:color="auto" w:sz="4" w:space="0"/>
              <w:left w:val="single" w:color="auto" w:sz="4" w:space="0"/>
              <w:bottom w:val="single" w:color="auto" w:sz="4" w:space="0"/>
              <w:right w:val="single" w:color="auto" w:sz="4" w:space="0"/>
            </w:tcBorders>
          </w:tcPr>
          <w:p>
            <w:r>
              <w:t>47.47%</w:t>
            </w:r>
          </w:p>
        </w:tc>
        <w:tc>
          <w:tcPr>
            <w:tcW w:w="308" w:type="pct"/>
            <w:tcBorders>
              <w:top w:val="single" w:color="auto" w:sz="4" w:space="0"/>
              <w:left w:val="single" w:color="auto" w:sz="4" w:space="0"/>
              <w:bottom w:val="single" w:color="auto" w:sz="4" w:space="0"/>
              <w:right w:val="single" w:color="auto" w:sz="4" w:space="0"/>
            </w:tcBorders>
          </w:tcPr>
          <w:p>
            <w:r>
              <w:t>347.72</w:t>
            </w:r>
          </w:p>
        </w:tc>
        <w:tc>
          <w:tcPr>
            <w:tcW w:w="305" w:type="pct"/>
            <w:tcBorders>
              <w:top w:val="single" w:color="auto" w:sz="4" w:space="0"/>
              <w:left w:val="single" w:color="auto" w:sz="4" w:space="0"/>
              <w:bottom w:val="single" w:color="auto" w:sz="4" w:space="0"/>
              <w:right w:val="single" w:color="auto" w:sz="4" w:space="0"/>
            </w:tcBorders>
          </w:tcPr>
          <w:p>
            <w:r>
              <w:t>4.5%</w:t>
            </w:r>
          </w:p>
        </w:tc>
      </w:tr>
    </w:tbl>
    <w:p>
      <w:pPr>
        <w:widowControl/>
        <w:jc w:val="left"/>
        <w:rPr>
          <w:rFonts w:ascii="仿宋_GB2312" w:hAnsi="宋体" w:eastAsia="仿宋_GB2312"/>
          <w:sz w:val="28"/>
          <w:szCs w:val="28"/>
        </w:rPr>
      </w:pPr>
    </w:p>
    <w:p>
      <w:pPr>
        <w:widowControl/>
        <w:jc w:val="left"/>
        <w:rPr>
          <w:rFonts w:ascii="仿宋_GB2312" w:hAnsi="宋体" w:eastAsia="仿宋_GB2312"/>
          <w:sz w:val="28"/>
          <w:szCs w:val="28"/>
        </w:rPr>
      </w:pPr>
      <w:r>
        <w:rPr>
          <w:rFonts w:ascii="仿宋_GB2312" w:hAnsi="宋体" w:eastAsia="仿宋_GB2312"/>
          <w:sz w:val="28"/>
          <w:szCs w:val="28"/>
        </w:rPr>
        <w:br w:type="page"/>
      </w:r>
    </w:p>
    <w:p>
      <w:pPr>
        <w:pStyle w:val="3"/>
        <w:spacing w:before="0" w:after="0" w:line="240" w:lineRule="auto"/>
        <w:jc w:val="left"/>
        <w:rPr>
          <w:rFonts w:ascii="仿宋_GB2312" w:hAnsi="宋体"/>
          <w:bCs w:val="0"/>
          <w:color w:val="000000"/>
          <w:sz w:val="28"/>
          <w:szCs w:val="28"/>
        </w:rPr>
      </w:pPr>
      <w:bookmarkStart w:id="140" w:name="_Toc486428883"/>
      <w:r>
        <w:rPr>
          <w:rFonts w:hint="eastAsia" w:ascii="仿宋_GB2312" w:hAnsi="宋体"/>
          <w:bCs w:val="0"/>
          <w:color w:val="000000"/>
          <w:sz w:val="28"/>
          <w:szCs w:val="28"/>
        </w:rPr>
        <w:t>附表四   石麟镇耕地保有量、基本农田情况表</w:t>
      </w:r>
      <w:bookmarkEnd w:id="140"/>
    </w:p>
    <w:p>
      <w:pPr>
        <w:jc w:val="right"/>
        <w:rPr>
          <w:rFonts w:ascii="仿宋_GB2312" w:eastAsia="仿宋_GB2312"/>
        </w:rPr>
      </w:pPr>
      <w:r>
        <w:rPr>
          <w:rFonts w:hint="eastAsia" w:ascii="仿宋_GB2312" w:eastAsia="仿宋_GB2312"/>
        </w:rPr>
        <w:t>单位：公顷</w:t>
      </w:r>
    </w:p>
    <w:tbl>
      <w:tblPr>
        <w:tblStyle w:val="13"/>
        <w:tblW w:w="15120" w:type="dxa"/>
        <w:jc w:val="center"/>
        <w:tblLayout w:type="autofit"/>
        <w:tblCellMar>
          <w:top w:w="15" w:type="dxa"/>
          <w:left w:w="108" w:type="dxa"/>
          <w:bottom w:w="15" w:type="dxa"/>
          <w:right w:w="108" w:type="dxa"/>
        </w:tblCellMar>
      </w:tblPr>
      <w:tblGrid>
        <w:gridCol w:w="1080"/>
        <w:gridCol w:w="1080"/>
        <w:gridCol w:w="1080"/>
        <w:gridCol w:w="1080"/>
        <w:gridCol w:w="1080"/>
        <w:gridCol w:w="1080"/>
        <w:gridCol w:w="1080"/>
        <w:gridCol w:w="1080"/>
        <w:gridCol w:w="1080"/>
        <w:gridCol w:w="1080"/>
        <w:gridCol w:w="1080"/>
        <w:gridCol w:w="1080"/>
        <w:gridCol w:w="1080"/>
        <w:gridCol w:w="1080"/>
      </w:tblGrid>
      <w:tr>
        <w:tblPrEx>
          <w:tblCellMar>
            <w:top w:w="15" w:type="dxa"/>
            <w:left w:w="108" w:type="dxa"/>
            <w:bottom w:w="15" w:type="dxa"/>
            <w:right w:w="108" w:type="dxa"/>
          </w:tblCellMar>
        </w:tblPrEx>
        <w:trPr>
          <w:trHeight w:val="450" w:hRule="atLeast"/>
          <w:jc w:val="center"/>
        </w:trPr>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Times New Roman" w:cs="宋体"/>
                <w:kern w:val="0"/>
                <w:sz w:val="24"/>
                <w:szCs w:val="24"/>
              </w:rPr>
            </w:pP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基期耕地面积</w:t>
            </w:r>
          </w:p>
        </w:tc>
        <w:tc>
          <w:tcPr>
            <w:tcW w:w="5400" w:type="dxa"/>
            <w:gridSpan w:val="5"/>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规划期间补充耕地面积</w:t>
            </w:r>
          </w:p>
        </w:tc>
        <w:tc>
          <w:tcPr>
            <w:tcW w:w="4320" w:type="dxa"/>
            <w:gridSpan w:val="4"/>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规划期间减少耕地面积</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规划期间净增（+）减（-）</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期末耕地保有量</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基本农田保护面积</w:t>
            </w:r>
          </w:p>
        </w:tc>
      </w:tr>
      <w:tr>
        <w:tblPrEx>
          <w:tblCellMar>
            <w:top w:w="15" w:type="dxa"/>
            <w:left w:w="108" w:type="dxa"/>
            <w:bottom w:w="15" w:type="dxa"/>
            <w:right w:w="108" w:type="dxa"/>
          </w:tblCellMar>
        </w:tblPrEx>
        <w:trPr>
          <w:trHeight w:val="312" w:hRule="atLeas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Times New Roman" w:cs="宋体"/>
                <w:kern w:val="0"/>
                <w:sz w:val="24"/>
                <w:szCs w:val="24"/>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5400"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432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r>
      <w:tr>
        <w:tblPrEx>
          <w:tblCellMar>
            <w:top w:w="15" w:type="dxa"/>
            <w:left w:w="108" w:type="dxa"/>
            <w:bottom w:w="15" w:type="dxa"/>
            <w:right w:w="108" w:type="dxa"/>
          </w:tblCellMar>
        </w:tblPrEx>
        <w:trPr>
          <w:trHeight w:val="312" w:hRule="atLeas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Times New Roman" w:cs="宋体"/>
                <w:kern w:val="0"/>
                <w:sz w:val="24"/>
                <w:szCs w:val="24"/>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增加合计</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土地整理</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土地复垦</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土地开发</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其他</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减少合计</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建设占用</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灾毁</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其他</w:t>
            </w: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r>
      <w:tr>
        <w:tblPrEx>
          <w:tblCellMar>
            <w:top w:w="15" w:type="dxa"/>
            <w:left w:w="108" w:type="dxa"/>
            <w:bottom w:w="15" w:type="dxa"/>
            <w:right w:w="108" w:type="dxa"/>
          </w:tblCellMar>
        </w:tblPrEx>
        <w:trPr>
          <w:trHeight w:val="312" w:hRule="atLeas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Times New Roman" w:cs="宋体"/>
                <w:kern w:val="0"/>
                <w:sz w:val="24"/>
                <w:szCs w:val="24"/>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r>
      <w:tr>
        <w:tblPrEx>
          <w:tblCellMar>
            <w:top w:w="15" w:type="dxa"/>
            <w:left w:w="108" w:type="dxa"/>
            <w:bottom w:w="15" w:type="dxa"/>
            <w:right w:w="108" w:type="dxa"/>
          </w:tblCellMar>
        </w:tblPrEx>
        <w:trPr>
          <w:trHeight w:val="435"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规划期</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2336.42</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260</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260</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14.59</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14.59</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245.41</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2581.83</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2036</w:t>
            </w:r>
          </w:p>
        </w:tc>
      </w:tr>
      <w:tr>
        <w:tblPrEx>
          <w:tblCellMar>
            <w:top w:w="15" w:type="dxa"/>
            <w:left w:w="108" w:type="dxa"/>
            <w:bottom w:w="15" w:type="dxa"/>
            <w:right w:w="108" w:type="dxa"/>
          </w:tblCellMar>
        </w:tblPrEx>
        <w:trPr>
          <w:trHeight w:val="312" w:hRule="atLeast"/>
          <w:jc w:val="center"/>
        </w:trPr>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年均增减</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t>52</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t>52</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t>2.918</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t>2.918</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t>—</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t>—</w:t>
            </w:r>
          </w:p>
        </w:tc>
      </w:tr>
      <w:tr>
        <w:tblPrEx>
          <w:tblCellMar>
            <w:top w:w="15" w:type="dxa"/>
            <w:left w:w="108" w:type="dxa"/>
            <w:bottom w:w="15" w:type="dxa"/>
            <w:right w:w="108" w:type="dxa"/>
          </w:tblCellMar>
        </w:tblPrEx>
        <w:trPr>
          <w:trHeight w:val="312" w:hRule="atLeas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r>
    </w:tbl>
    <w:p>
      <w:pPr>
        <w:rPr>
          <w:rFonts w:ascii="仿宋_GB2312" w:hAnsi="宋体" w:eastAsia="仿宋_GB2312"/>
          <w:sz w:val="28"/>
          <w:szCs w:val="28"/>
        </w:rPr>
      </w:pPr>
    </w:p>
    <w:p>
      <w:pPr>
        <w:widowControl/>
        <w:jc w:val="left"/>
        <w:rPr>
          <w:rFonts w:ascii="仿宋_GB2312" w:hAnsi="宋体" w:eastAsia="仿宋_GB2312"/>
          <w:sz w:val="28"/>
          <w:szCs w:val="28"/>
        </w:rPr>
      </w:pPr>
      <w:r>
        <w:rPr>
          <w:rFonts w:ascii="仿宋_GB2312" w:hAnsi="宋体" w:eastAsia="仿宋_GB2312"/>
          <w:sz w:val="28"/>
          <w:szCs w:val="28"/>
        </w:rPr>
        <w:br w:type="page"/>
      </w:r>
    </w:p>
    <w:p>
      <w:pPr>
        <w:pStyle w:val="3"/>
        <w:spacing w:before="0" w:after="0" w:line="240" w:lineRule="auto"/>
        <w:jc w:val="left"/>
        <w:rPr>
          <w:rFonts w:ascii="仿宋_GB2312" w:hAnsi="宋体"/>
          <w:bCs w:val="0"/>
          <w:color w:val="000000"/>
          <w:szCs w:val="30"/>
        </w:rPr>
      </w:pPr>
      <w:bookmarkStart w:id="141" w:name="_Toc407294593"/>
      <w:bookmarkStart w:id="142" w:name="_Toc475303987"/>
      <w:bookmarkStart w:id="143" w:name="_Toc485386655"/>
      <w:bookmarkStart w:id="144" w:name="_Toc486428884"/>
      <w:r>
        <w:rPr>
          <w:rFonts w:hint="eastAsia" w:ascii="仿宋_GB2312" w:hAnsi="宋体"/>
          <w:bCs w:val="0"/>
          <w:color w:val="000000"/>
          <w:sz w:val="28"/>
          <w:szCs w:val="28"/>
        </w:rPr>
        <w:t>附表五  石麟镇省、市、县重点建设项目规划表</w:t>
      </w:r>
      <w:bookmarkEnd w:id="141"/>
      <w:bookmarkEnd w:id="142"/>
      <w:bookmarkEnd w:id="143"/>
      <w:bookmarkEnd w:id="144"/>
    </w:p>
    <w:tbl>
      <w:tblPr>
        <w:tblStyle w:val="13"/>
        <w:tblW w:w="13958" w:type="dxa"/>
        <w:tblInd w:w="2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72"/>
        <w:gridCol w:w="2729"/>
        <w:gridCol w:w="1094"/>
        <w:gridCol w:w="1193"/>
        <w:gridCol w:w="1075"/>
        <w:gridCol w:w="977"/>
        <w:gridCol w:w="4478"/>
        <w:gridCol w:w="1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13958" w:type="dxa"/>
            <w:gridSpan w:val="8"/>
            <w:shd w:val="clear" w:color="auto" w:fill="auto"/>
            <w:noWrap/>
            <w:vAlign w:val="center"/>
          </w:tcPr>
          <w:p>
            <w:pPr>
              <w:widowControl/>
              <w:jc w:val="center"/>
              <w:rPr>
                <w:rFonts w:ascii="方正小标宋简体" w:hAnsi="等线" w:eastAsia="方正小标宋简体"/>
                <w:color w:val="000000"/>
                <w:sz w:val="36"/>
                <w:szCs w:val="36"/>
              </w:rPr>
            </w:pPr>
            <w:r>
              <w:rPr>
                <w:rFonts w:hint="eastAsia" w:ascii="方正小标宋简体" w:hAnsi="等线" w:eastAsia="方正小标宋简体"/>
                <w:color w:val="000000"/>
                <w:sz w:val="36"/>
                <w:szCs w:val="36"/>
              </w:rPr>
              <w:t>重点建设项目用地规划表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40" w:type="dxa"/>
          <w:trHeight w:val="58" w:hRule="atLeast"/>
        </w:trPr>
        <w:tc>
          <w:tcPr>
            <w:tcW w:w="1172" w:type="dxa"/>
            <w:vMerge w:val="restart"/>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 xml:space="preserve"> 项目类型</w:t>
            </w:r>
          </w:p>
        </w:tc>
        <w:tc>
          <w:tcPr>
            <w:tcW w:w="2729" w:type="dxa"/>
            <w:vMerge w:val="restart"/>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项目名称</w:t>
            </w:r>
          </w:p>
        </w:tc>
        <w:tc>
          <w:tcPr>
            <w:tcW w:w="1094" w:type="dxa"/>
            <w:vMerge w:val="restart"/>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建设性质</w:t>
            </w:r>
          </w:p>
        </w:tc>
        <w:tc>
          <w:tcPr>
            <w:tcW w:w="1193" w:type="dxa"/>
            <w:vMerge w:val="restart"/>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建设年限</w:t>
            </w:r>
          </w:p>
        </w:tc>
        <w:tc>
          <w:tcPr>
            <w:tcW w:w="2052" w:type="dxa"/>
            <w:gridSpan w:val="2"/>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项目用地规模</w:t>
            </w:r>
          </w:p>
        </w:tc>
        <w:tc>
          <w:tcPr>
            <w:tcW w:w="4478" w:type="dxa"/>
            <w:vMerge w:val="restart"/>
            <w:vAlign w:val="center"/>
          </w:tcPr>
          <w:p>
            <w:pPr>
              <w:jc w:val="center"/>
              <w:rPr>
                <w:rFonts w:ascii="宋体" w:hAnsi="宋体" w:cs="宋体"/>
                <w:b/>
                <w:bCs/>
                <w:color w:val="000000"/>
                <w:kern w:val="0"/>
                <w:szCs w:val="21"/>
              </w:rPr>
            </w:pPr>
            <w:r>
              <w:rPr>
                <w:rFonts w:hint="eastAsia" w:ascii="宋体" w:hAnsi="宋体" w:cs="宋体"/>
                <w:b/>
                <w:bCs/>
                <w:color w:val="000000"/>
                <w:kern w:val="0"/>
                <w:szCs w:val="21"/>
              </w:rPr>
              <w:t>涉及村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172" w:type="dxa"/>
            <w:vMerge w:val="continue"/>
            <w:vAlign w:val="center"/>
          </w:tcPr>
          <w:p>
            <w:pPr>
              <w:rPr>
                <w:rFonts w:ascii="宋体" w:hAnsi="宋体" w:cs="宋体"/>
                <w:b/>
                <w:bCs/>
                <w:color w:val="000000"/>
                <w:szCs w:val="21"/>
              </w:rPr>
            </w:pPr>
          </w:p>
        </w:tc>
        <w:tc>
          <w:tcPr>
            <w:tcW w:w="2729" w:type="dxa"/>
            <w:vMerge w:val="continue"/>
            <w:vAlign w:val="center"/>
          </w:tcPr>
          <w:p>
            <w:pPr>
              <w:rPr>
                <w:rFonts w:ascii="宋体" w:hAnsi="宋体" w:cs="宋体"/>
                <w:b/>
                <w:bCs/>
                <w:color w:val="000000"/>
                <w:szCs w:val="21"/>
              </w:rPr>
            </w:pPr>
          </w:p>
        </w:tc>
        <w:tc>
          <w:tcPr>
            <w:tcW w:w="1094" w:type="dxa"/>
            <w:vMerge w:val="continue"/>
            <w:vAlign w:val="center"/>
          </w:tcPr>
          <w:p>
            <w:pPr>
              <w:rPr>
                <w:rFonts w:ascii="宋体" w:hAnsi="宋体" w:cs="宋体"/>
                <w:b/>
                <w:bCs/>
                <w:color w:val="000000"/>
                <w:szCs w:val="21"/>
              </w:rPr>
            </w:pPr>
          </w:p>
        </w:tc>
        <w:tc>
          <w:tcPr>
            <w:tcW w:w="1193" w:type="dxa"/>
            <w:vMerge w:val="continue"/>
            <w:vAlign w:val="center"/>
          </w:tcPr>
          <w:p>
            <w:pPr>
              <w:rPr>
                <w:rFonts w:ascii="宋体" w:hAnsi="宋体" w:cs="宋体"/>
                <w:b/>
                <w:bCs/>
                <w:color w:val="000000"/>
                <w:szCs w:val="21"/>
              </w:rPr>
            </w:pPr>
          </w:p>
        </w:tc>
        <w:tc>
          <w:tcPr>
            <w:tcW w:w="1075" w:type="dxa"/>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其中新增建设用地</w:t>
            </w:r>
          </w:p>
        </w:tc>
        <w:tc>
          <w:tcPr>
            <w:tcW w:w="977" w:type="dxa"/>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其中占耕地</w:t>
            </w:r>
          </w:p>
        </w:tc>
        <w:tc>
          <w:tcPr>
            <w:tcW w:w="4478" w:type="dxa"/>
            <w:vMerge w:val="continue"/>
            <w:vAlign w:val="center"/>
          </w:tcPr>
          <w:p>
            <w:pPr>
              <w:rPr>
                <w:rFonts w:ascii="宋体" w:hAnsi="宋体" w:cs="宋体"/>
                <w:b/>
                <w:bCs/>
                <w:color w:val="000000"/>
                <w:szCs w:val="21"/>
              </w:rPr>
            </w:pPr>
          </w:p>
        </w:tc>
        <w:tc>
          <w:tcPr>
            <w:tcW w:w="1240" w:type="dxa"/>
            <w:vAlign w:val="center"/>
          </w:tcPr>
          <w:p>
            <w:pPr>
              <w:jc w:val="center"/>
              <w:rPr>
                <w:rFonts w:ascii="宋体" w:hAnsi="宋体" w:cs="宋体"/>
                <w:b/>
                <w:bCs/>
                <w:color w:val="000000"/>
                <w:szCs w:val="21"/>
              </w:rPr>
            </w:pPr>
            <w:r>
              <w:rPr>
                <w:rFonts w:hint="eastAsia" w:ascii="宋体" w:hAnsi="宋体" w:cs="宋体"/>
                <w:b/>
                <w:bCs/>
                <w:color w:val="000000"/>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172" w:type="dxa"/>
            <w:vMerge w:val="restart"/>
            <w:shd w:val="clear" w:color="auto" w:fill="auto"/>
            <w:noWrap/>
            <w:vAlign w:val="center"/>
          </w:tcPr>
          <w:p>
            <w:pPr>
              <w:jc w:val="center"/>
              <w:rPr>
                <w:color w:val="000000"/>
                <w:sz w:val="18"/>
                <w:szCs w:val="18"/>
              </w:rPr>
            </w:pPr>
            <w:r>
              <w:rPr>
                <w:rFonts w:hint="eastAsia"/>
                <w:color w:val="000000"/>
                <w:sz w:val="18"/>
                <w:szCs w:val="18"/>
              </w:rPr>
              <w:t>　</w:t>
            </w:r>
          </w:p>
        </w:tc>
        <w:tc>
          <w:tcPr>
            <w:tcW w:w="2729" w:type="dxa"/>
            <w:shd w:val="clear" w:color="auto" w:fill="auto"/>
            <w:vAlign w:val="center"/>
          </w:tcPr>
          <w:p>
            <w:pPr>
              <w:jc w:val="center"/>
              <w:rPr>
                <w:color w:val="000000"/>
                <w:sz w:val="18"/>
                <w:szCs w:val="18"/>
              </w:rPr>
            </w:pPr>
            <w:r>
              <w:rPr>
                <w:rFonts w:hint="eastAsia"/>
                <w:color w:val="000000"/>
                <w:sz w:val="18"/>
                <w:szCs w:val="18"/>
              </w:rPr>
              <w:t>县道拓宽</w:t>
            </w:r>
          </w:p>
        </w:tc>
        <w:tc>
          <w:tcPr>
            <w:tcW w:w="1094" w:type="dxa"/>
            <w:shd w:val="clear" w:color="auto" w:fill="auto"/>
            <w:noWrap/>
            <w:vAlign w:val="center"/>
          </w:tcPr>
          <w:p>
            <w:pPr>
              <w:jc w:val="center"/>
              <w:rPr>
                <w:color w:val="000000"/>
                <w:sz w:val="18"/>
                <w:szCs w:val="18"/>
              </w:rPr>
            </w:pPr>
            <w:r>
              <w:rPr>
                <w:rFonts w:hint="eastAsia"/>
                <w:color w:val="000000"/>
                <w:sz w:val="18"/>
                <w:szCs w:val="18"/>
              </w:rPr>
              <w:t>改建</w:t>
            </w:r>
          </w:p>
        </w:tc>
        <w:tc>
          <w:tcPr>
            <w:tcW w:w="1193" w:type="dxa"/>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075" w:type="dxa"/>
            <w:vMerge w:val="restart"/>
            <w:shd w:val="clear" w:color="auto" w:fill="auto"/>
            <w:vAlign w:val="center"/>
          </w:tcPr>
          <w:p>
            <w:pPr>
              <w:widowControl/>
              <w:jc w:val="left"/>
              <w:rPr>
                <w:rFonts w:ascii="宋体" w:hAnsi="宋体" w:cs="宋体"/>
                <w:b/>
                <w:bCs/>
                <w:color w:val="000000"/>
                <w:kern w:val="0"/>
                <w:szCs w:val="21"/>
              </w:rPr>
            </w:pPr>
          </w:p>
        </w:tc>
        <w:tc>
          <w:tcPr>
            <w:tcW w:w="977" w:type="dxa"/>
            <w:vMerge w:val="restart"/>
            <w:shd w:val="clear" w:color="auto" w:fill="auto"/>
            <w:noWrap/>
            <w:vAlign w:val="center"/>
          </w:tcPr>
          <w:p>
            <w:pPr>
              <w:widowControl/>
              <w:jc w:val="left"/>
              <w:rPr>
                <w:rFonts w:ascii="宋体" w:hAnsi="宋体" w:cs="宋体"/>
                <w:b/>
                <w:bCs/>
                <w:color w:val="000000"/>
                <w:kern w:val="0"/>
                <w:szCs w:val="21"/>
              </w:rPr>
            </w:pPr>
          </w:p>
        </w:tc>
        <w:tc>
          <w:tcPr>
            <w:tcW w:w="4478" w:type="dxa"/>
            <w:shd w:val="clear" w:color="auto" w:fill="auto"/>
            <w:vAlign w:val="center"/>
          </w:tcPr>
          <w:p>
            <w:pPr>
              <w:jc w:val="center"/>
              <w:rPr>
                <w:color w:val="000000"/>
                <w:sz w:val="18"/>
                <w:szCs w:val="18"/>
              </w:rPr>
            </w:pPr>
            <w:r>
              <w:rPr>
                <w:rFonts w:hint="eastAsia"/>
                <w:color w:val="000000"/>
                <w:sz w:val="18"/>
                <w:szCs w:val="18"/>
              </w:rPr>
              <w:t>各村</w:t>
            </w:r>
          </w:p>
        </w:tc>
        <w:tc>
          <w:tcPr>
            <w:tcW w:w="1240" w:type="dxa"/>
            <w:shd w:val="clear" w:color="auto" w:fill="auto"/>
            <w:vAlign w:val="center"/>
          </w:tcPr>
          <w:p>
            <w:pPr>
              <w:jc w:val="center"/>
              <w:rPr>
                <w:color w:val="000000"/>
                <w:sz w:val="18"/>
                <w:szCs w:val="18"/>
              </w:rPr>
            </w:pPr>
            <w:r>
              <w:rPr>
                <w:rFonts w:hint="eastAsia"/>
                <w:color w:val="000000"/>
                <w:sz w:val="18"/>
                <w:szCs w:val="18"/>
              </w:rPr>
              <w:t>区级重点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1172" w:type="dxa"/>
            <w:vMerge w:val="continue"/>
            <w:vAlign w:val="center"/>
          </w:tcPr>
          <w:p>
            <w:pPr>
              <w:rPr>
                <w:rFonts w:ascii="宋体" w:hAnsi="宋体" w:cs="宋体"/>
                <w:color w:val="000000"/>
                <w:sz w:val="18"/>
                <w:szCs w:val="18"/>
              </w:rPr>
            </w:pPr>
          </w:p>
        </w:tc>
        <w:tc>
          <w:tcPr>
            <w:tcW w:w="2729" w:type="dxa"/>
            <w:shd w:val="clear" w:color="auto" w:fill="auto"/>
            <w:noWrap/>
            <w:vAlign w:val="center"/>
          </w:tcPr>
          <w:p>
            <w:pPr>
              <w:jc w:val="center"/>
              <w:rPr>
                <w:color w:val="000000"/>
                <w:sz w:val="18"/>
                <w:szCs w:val="18"/>
              </w:rPr>
            </w:pPr>
            <w:r>
              <w:rPr>
                <w:rFonts w:hint="eastAsia"/>
                <w:color w:val="000000"/>
                <w:sz w:val="18"/>
                <w:szCs w:val="18"/>
              </w:rPr>
              <w:t>成昆新建双线</w:t>
            </w:r>
          </w:p>
        </w:tc>
        <w:tc>
          <w:tcPr>
            <w:tcW w:w="1094" w:type="dxa"/>
            <w:shd w:val="clear" w:color="auto" w:fill="auto"/>
            <w:noWrap/>
            <w:vAlign w:val="center"/>
          </w:tcPr>
          <w:p>
            <w:pPr>
              <w:jc w:val="center"/>
              <w:rPr>
                <w:color w:val="000000"/>
                <w:sz w:val="18"/>
                <w:szCs w:val="18"/>
              </w:rPr>
            </w:pPr>
            <w:r>
              <w:rPr>
                <w:rFonts w:hint="eastAsia"/>
                <w:color w:val="000000"/>
                <w:sz w:val="18"/>
                <w:szCs w:val="18"/>
              </w:rPr>
              <w:t>新建</w:t>
            </w:r>
          </w:p>
        </w:tc>
        <w:tc>
          <w:tcPr>
            <w:tcW w:w="1193" w:type="dxa"/>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075" w:type="dxa"/>
            <w:vMerge w:val="continue"/>
            <w:vAlign w:val="center"/>
          </w:tcPr>
          <w:p>
            <w:pPr>
              <w:rPr>
                <w:rFonts w:ascii="宋体" w:hAnsi="宋体" w:cs="宋体"/>
                <w:color w:val="000000"/>
                <w:sz w:val="18"/>
                <w:szCs w:val="18"/>
              </w:rPr>
            </w:pPr>
          </w:p>
        </w:tc>
        <w:tc>
          <w:tcPr>
            <w:tcW w:w="977" w:type="dxa"/>
            <w:vMerge w:val="continue"/>
            <w:vAlign w:val="center"/>
          </w:tcPr>
          <w:p>
            <w:pPr>
              <w:rPr>
                <w:rFonts w:ascii="宋体" w:hAnsi="宋体" w:cs="宋体"/>
                <w:color w:val="000000"/>
                <w:sz w:val="18"/>
                <w:szCs w:val="18"/>
              </w:rPr>
            </w:pPr>
          </w:p>
        </w:tc>
        <w:tc>
          <w:tcPr>
            <w:tcW w:w="4478" w:type="dxa"/>
            <w:shd w:val="clear" w:color="auto" w:fill="auto"/>
            <w:vAlign w:val="center"/>
          </w:tcPr>
          <w:p>
            <w:pPr>
              <w:jc w:val="center"/>
              <w:rPr>
                <w:rFonts w:ascii="宋体" w:hAnsi="宋体" w:cs="宋体"/>
                <w:color w:val="000000"/>
                <w:sz w:val="18"/>
                <w:szCs w:val="18"/>
              </w:rPr>
            </w:pPr>
            <w:r>
              <w:rPr>
                <w:rFonts w:hint="eastAsia"/>
                <w:color w:val="000000"/>
                <w:sz w:val="18"/>
                <w:szCs w:val="18"/>
              </w:rPr>
              <w:t>共同村、阳光村、方嘴村、美丽村</w:t>
            </w:r>
          </w:p>
        </w:tc>
        <w:tc>
          <w:tcPr>
            <w:tcW w:w="1240" w:type="dxa"/>
            <w:shd w:val="clear" w:color="auto" w:fill="auto"/>
            <w:vAlign w:val="center"/>
          </w:tcPr>
          <w:p>
            <w:pPr>
              <w:jc w:val="center"/>
              <w:rPr>
                <w:color w:val="000000"/>
                <w:sz w:val="18"/>
                <w:szCs w:val="18"/>
              </w:rPr>
            </w:pPr>
            <w:r>
              <w:rPr>
                <w:rFonts w:hint="eastAsia"/>
                <w:color w:val="000000"/>
                <w:sz w:val="18"/>
                <w:szCs w:val="18"/>
              </w:rPr>
              <w:t>省级重点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1172" w:type="dxa"/>
            <w:vMerge w:val="continue"/>
            <w:vAlign w:val="center"/>
          </w:tcPr>
          <w:p>
            <w:pPr>
              <w:rPr>
                <w:rFonts w:ascii="宋体" w:hAnsi="宋体" w:cs="宋体"/>
                <w:color w:val="000000"/>
                <w:sz w:val="18"/>
                <w:szCs w:val="18"/>
              </w:rPr>
            </w:pPr>
          </w:p>
        </w:tc>
        <w:tc>
          <w:tcPr>
            <w:tcW w:w="2729" w:type="dxa"/>
            <w:shd w:val="clear" w:color="auto" w:fill="auto"/>
            <w:vAlign w:val="center"/>
          </w:tcPr>
          <w:p>
            <w:pPr>
              <w:jc w:val="center"/>
              <w:rPr>
                <w:color w:val="000000"/>
                <w:sz w:val="18"/>
                <w:szCs w:val="18"/>
              </w:rPr>
            </w:pPr>
            <w:r>
              <w:rPr>
                <w:rFonts w:hint="eastAsia"/>
                <w:color w:val="000000"/>
                <w:sz w:val="18"/>
                <w:szCs w:val="18"/>
              </w:rPr>
              <w:t>乐山市第二快速环线</w:t>
            </w:r>
          </w:p>
        </w:tc>
        <w:tc>
          <w:tcPr>
            <w:tcW w:w="1094" w:type="dxa"/>
            <w:shd w:val="clear" w:color="auto" w:fill="auto"/>
            <w:noWrap/>
            <w:vAlign w:val="center"/>
          </w:tcPr>
          <w:p>
            <w:pPr>
              <w:jc w:val="center"/>
              <w:rPr>
                <w:color w:val="000000"/>
                <w:sz w:val="18"/>
                <w:szCs w:val="18"/>
              </w:rPr>
            </w:pPr>
            <w:r>
              <w:rPr>
                <w:rFonts w:hint="eastAsia"/>
                <w:color w:val="000000"/>
                <w:sz w:val="18"/>
                <w:szCs w:val="18"/>
              </w:rPr>
              <w:t>新建</w:t>
            </w:r>
          </w:p>
        </w:tc>
        <w:tc>
          <w:tcPr>
            <w:tcW w:w="1193" w:type="dxa"/>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075" w:type="dxa"/>
            <w:vMerge w:val="continue"/>
            <w:vAlign w:val="center"/>
          </w:tcPr>
          <w:p>
            <w:pPr>
              <w:rPr>
                <w:rFonts w:ascii="宋体" w:hAnsi="宋体" w:cs="宋体"/>
                <w:color w:val="000000"/>
                <w:sz w:val="18"/>
                <w:szCs w:val="18"/>
              </w:rPr>
            </w:pPr>
          </w:p>
        </w:tc>
        <w:tc>
          <w:tcPr>
            <w:tcW w:w="977" w:type="dxa"/>
            <w:vMerge w:val="continue"/>
            <w:vAlign w:val="center"/>
          </w:tcPr>
          <w:p>
            <w:pPr>
              <w:rPr>
                <w:rFonts w:ascii="宋体" w:hAnsi="宋体" w:cs="宋体"/>
                <w:color w:val="000000"/>
                <w:sz w:val="18"/>
                <w:szCs w:val="18"/>
              </w:rPr>
            </w:pPr>
          </w:p>
        </w:tc>
        <w:tc>
          <w:tcPr>
            <w:tcW w:w="4478" w:type="dxa"/>
            <w:shd w:val="clear" w:color="auto" w:fill="auto"/>
            <w:vAlign w:val="center"/>
          </w:tcPr>
          <w:p>
            <w:pPr>
              <w:jc w:val="center"/>
              <w:rPr>
                <w:rFonts w:ascii="宋体" w:hAnsi="宋体" w:cs="宋体"/>
                <w:color w:val="000000"/>
                <w:sz w:val="18"/>
                <w:szCs w:val="18"/>
              </w:rPr>
            </w:pPr>
            <w:r>
              <w:rPr>
                <w:rFonts w:hint="eastAsia"/>
                <w:color w:val="000000"/>
                <w:sz w:val="18"/>
                <w:szCs w:val="18"/>
              </w:rPr>
              <w:t>程河沟村、飞来村、莲池村、水保源村、兴无村、阳光村、杨林坳村</w:t>
            </w:r>
          </w:p>
        </w:tc>
        <w:tc>
          <w:tcPr>
            <w:tcW w:w="1240" w:type="dxa"/>
            <w:shd w:val="clear" w:color="auto" w:fill="auto"/>
            <w:vAlign w:val="center"/>
          </w:tcPr>
          <w:p>
            <w:pPr>
              <w:jc w:val="center"/>
              <w:rPr>
                <w:color w:val="000000"/>
                <w:sz w:val="18"/>
                <w:szCs w:val="18"/>
              </w:rPr>
            </w:pPr>
            <w:r>
              <w:rPr>
                <w:rFonts w:hint="eastAsia"/>
                <w:color w:val="000000"/>
                <w:sz w:val="18"/>
                <w:szCs w:val="18"/>
              </w:rPr>
              <w:t>市级重点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1172" w:type="dxa"/>
            <w:vMerge w:val="continue"/>
            <w:vAlign w:val="center"/>
          </w:tcPr>
          <w:p>
            <w:pPr>
              <w:rPr>
                <w:rFonts w:ascii="宋体" w:hAnsi="宋体" w:cs="宋体"/>
                <w:color w:val="000000"/>
                <w:sz w:val="18"/>
                <w:szCs w:val="18"/>
              </w:rPr>
            </w:pPr>
          </w:p>
        </w:tc>
        <w:tc>
          <w:tcPr>
            <w:tcW w:w="2729" w:type="dxa"/>
            <w:shd w:val="clear" w:color="auto" w:fill="auto"/>
            <w:vAlign w:val="center"/>
          </w:tcPr>
          <w:p>
            <w:pPr>
              <w:jc w:val="center"/>
              <w:rPr>
                <w:color w:val="000000"/>
                <w:sz w:val="18"/>
                <w:szCs w:val="18"/>
              </w:rPr>
            </w:pPr>
            <w:r>
              <w:rPr>
                <w:rFonts w:hint="eastAsia"/>
                <w:color w:val="000000"/>
                <w:sz w:val="18"/>
                <w:szCs w:val="18"/>
              </w:rPr>
              <w:t>西坝</w:t>
            </w:r>
            <w:r>
              <w:rPr>
                <w:rFonts w:ascii="Times New Roman" w:hAnsi="Times New Roman"/>
                <w:color w:val="000000"/>
                <w:sz w:val="18"/>
                <w:szCs w:val="18"/>
              </w:rPr>
              <w:t>-</w:t>
            </w:r>
            <w:r>
              <w:rPr>
                <w:rFonts w:hint="eastAsia"/>
                <w:color w:val="000000"/>
                <w:sz w:val="18"/>
                <w:szCs w:val="18"/>
              </w:rPr>
              <w:t>沙湾出区公路通道</w:t>
            </w:r>
          </w:p>
        </w:tc>
        <w:tc>
          <w:tcPr>
            <w:tcW w:w="1094" w:type="dxa"/>
            <w:shd w:val="clear" w:color="auto" w:fill="auto"/>
            <w:noWrap/>
            <w:vAlign w:val="center"/>
          </w:tcPr>
          <w:p>
            <w:pPr>
              <w:jc w:val="center"/>
              <w:rPr>
                <w:color w:val="000000"/>
                <w:sz w:val="18"/>
                <w:szCs w:val="18"/>
              </w:rPr>
            </w:pPr>
            <w:r>
              <w:rPr>
                <w:rFonts w:hint="eastAsia"/>
                <w:color w:val="000000"/>
                <w:sz w:val="18"/>
                <w:szCs w:val="18"/>
              </w:rPr>
              <w:t>新建</w:t>
            </w:r>
          </w:p>
        </w:tc>
        <w:tc>
          <w:tcPr>
            <w:tcW w:w="1193" w:type="dxa"/>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075" w:type="dxa"/>
            <w:vMerge w:val="continue"/>
            <w:vAlign w:val="center"/>
          </w:tcPr>
          <w:p>
            <w:pPr>
              <w:rPr>
                <w:rFonts w:ascii="宋体" w:hAnsi="宋体" w:cs="宋体"/>
                <w:color w:val="000000"/>
                <w:sz w:val="18"/>
                <w:szCs w:val="18"/>
              </w:rPr>
            </w:pPr>
          </w:p>
        </w:tc>
        <w:tc>
          <w:tcPr>
            <w:tcW w:w="977" w:type="dxa"/>
            <w:vMerge w:val="continue"/>
            <w:vAlign w:val="center"/>
          </w:tcPr>
          <w:p>
            <w:pPr>
              <w:rPr>
                <w:rFonts w:ascii="宋体" w:hAnsi="宋体" w:cs="宋体"/>
                <w:color w:val="000000"/>
                <w:sz w:val="18"/>
                <w:szCs w:val="18"/>
              </w:rPr>
            </w:pPr>
          </w:p>
        </w:tc>
        <w:tc>
          <w:tcPr>
            <w:tcW w:w="4478" w:type="dxa"/>
            <w:shd w:val="clear" w:color="auto" w:fill="auto"/>
            <w:vAlign w:val="center"/>
          </w:tcPr>
          <w:p>
            <w:pPr>
              <w:jc w:val="center"/>
              <w:rPr>
                <w:rFonts w:ascii="宋体" w:hAnsi="宋体" w:cs="宋体"/>
                <w:color w:val="000000"/>
                <w:sz w:val="18"/>
                <w:szCs w:val="18"/>
              </w:rPr>
            </w:pPr>
            <w:r>
              <w:rPr>
                <w:rFonts w:hint="eastAsia"/>
                <w:color w:val="000000"/>
                <w:sz w:val="18"/>
                <w:szCs w:val="18"/>
              </w:rPr>
              <w:t>兴无村、方嘴村、楼房山村、白房子村、南山村</w:t>
            </w:r>
          </w:p>
        </w:tc>
        <w:tc>
          <w:tcPr>
            <w:tcW w:w="1240" w:type="dxa"/>
            <w:shd w:val="clear" w:color="auto" w:fill="auto"/>
            <w:vAlign w:val="center"/>
          </w:tcPr>
          <w:p>
            <w:pPr>
              <w:jc w:val="center"/>
              <w:rPr>
                <w:color w:val="000000"/>
                <w:sz w:val="18"/>
                <w:szCs w:val="18"/>
              </w:rPr>
            </w:pPr>
            <w:r>
              <w:rPr>
                <w:rFonts w:hint="eastAsia"/>
                <w:color w:val="000000"/>
                <w:sz w:val="18"/>
                <w:szCs w:val="18"/>
              </w:rPr>
              <w:t>区级重点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1172" w:type="dxa"/>
            <w:vMerge w:val="continue"/>
            <w:vAlign w:val="center"/>
          </w:tcPr>
          <w:p>
            <w:pPr>
              <w:rPr>
                <w:rFonts w:ascii="宋体" w:hAnsi="宋体" w:cs="宋体"/>
                <w:color w:val="000000"/>
                <w:sz w:val="18"/>
                <w:szCs w:val="18"/>
              </w:rPr>
            </w:pPr>
          </w:p>
        </w:tc>
        <w:tc>
          <w:tcPr>
            <w:tcW w:w="2729" w:type="dxa"/>
            <w:shd w:val="clear" w:color="auto" w:fill="auto"/>
            <w:vAlign w:val="center"/>
          </w:tcPr>
          <w:p>
            <w:pPr>
              <w:jc w:val="center"/>
              <w:rPr>
                <w:color w:val="000000"/>
                <w:sz w:val="18"/>
                <w:szCs w:val="18"/>
              </w:rPr>
            </w:pPr>
            <w:r>
              <w:rPr>
                <w:rFonts w:hint="eastAsia"/>
                <w:color w:val="000000"/>
                <w:sz w:val="18"/>
                <w:szCs w:val="18"/>
              </w:rPr>
              <w:t>沙（湾）五（通）公路工程</w:t>
            </w:r>
          </w:p>
        </w:tc>
        <w:tc>
          <w:tcPr>
            <w:tcW w:w="1094" w:type="dxa"/>
            <w:shd w:val="clear" w:color="auto" w:fill="auto"/>
            <w:noWrap/>
            <w:vAlign w:val="center"/>
          </w:tcPr>
          <w:p>
            <w:pPr>
              <w:jc w:val="center"/>
              <w:rPr>
                <w:color w:val="000000"/>
                <w:sz w:val="18"/>
                <w:szCs w:val="18"/>
              </w:rPr>
            </w:pPr>
            <w:r>
              <w:rPr>
                <w:rFonts w:hint="eastAsia"/>
                <w:color w:val="000000"/>
                <w:sz w:val="18"/>
                <w:szCs w:val="18"/>
              </w:rPr>
              <w:t>新建</w:t>
            </w:r>
          </w:p>
        </w:tc>
        <w:tc>
          <w:tcPr>
            <w:tcW w:w="1193" w:type="dxa"/>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075" w:type="dxa"/>
            <w:vMerge w:val="continue"/>
            <w:vAlign w:val="center"/>
          </w:tcPr>
          <w:p>
            <w:pPr>
              <w:rPr>
                <w:rFonts w:ascii="宋体" w:hAnsi="宋体" w:cs="宋体"/>
                <w:color w:val="000000"/>
                <w:sz w:val="18"/>
                <w:szCs w:val="18"/>
              </w:rPr>
            </w:pPr>
          </w:p>
        </w:tc>
        <w:tc>
          <w:tcPr>
            <w:tcW w:w="977" w:type="dxa"/>
            <w:vMerge w:val="continue"/>
            <w:vAlign w:val="center"/>
          </w:tcPr>
          <w:p>
            <w:pPr>
              <w:rPr>
                <w:rFonts w:ascii="宋体" w:hAnsi="宋体" w:cs="宋体"/>
                <w:color w:val="000000"/>
                <w:sz w:val="18"/>
                <w:szCs w:val="18"/>
              </w:rPr>
            </w:pPr>
          </w:p>
        </w:tc>
        <w:tc>
          <w:tcPr>
            <w:tcW w:w="4478" w:type="dxa"/>
            <w:shd w:val="clear" w:color="auto" w:fill="auto"/>
            <w:vAlign w:val="center"/>
          </w:tcPr>
          <w:p>
            <w:pPr>
              <w:jc w:val="center"/>
              <w:rPr>
                <w:rFonts w:ascii="宋体" w:hAnsi="宋体" w:cs="宋体"/>
                <w:color w:val="000000"/>
                <w:sz w:val="18"/>
                <w:szCs w:val="18"/>
              </w:rPr>
            </w:pPr>
            <w:r>
              <w:rPr>
                <w:rFonts w:hint="eastAsia"/>
                <w:color w:val="000000"/>
                <w:sz w:val="18"/>
                <w:szCs w:val="18"/>
              </w:rPr>
              <w:t>莲池村、南山村</w:t>
            </w:r>
          </w:p>
        </w:tc>
        <w:tc>
          <w:tcPr>
            <w:tcW w:w="1240" w:type="dxa"/>
            <w:shd w:val="clear" w:color="auto" w:fill="auto"/>
            <w:vAlign w:val="center"/>
          </w:tcPr>
          <w:p>
            <w:pPr>
              <w:jc w:val="center"/>
              <w:rPr>
                <w:color w:val="000000"/>
                <w:sz w:val="18"/>
                <w:szCs w:val="18"/>
              </w:rPr>
            </w:pPr>
            <w:r>
              <w:rPr>
                <w:rFonts w:hint="eastAsia"/>
                <w:color w:val="000000"/>
                <w:sz w:val="18"/>
                <w:szCs w:val="18"/>
              </w:rPr>
              <w:t>市级重点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trPr>
        <w:tc>
          <w:tcPr>
            <w:tcW w:w="1172" w:type="dxa"/>
            <w:vMerge w:val="restart"/>
            <w:shd w:val="clear" w:color="auto" w:fill="auto"/>
            <w:noWrap/>
            <w:vAlign w:val="center"/>
          </w:tcPr>
          <w:p>
            <w:pPr>
              <w:jc w:val="center"/>
              <w:rPr>
                <w:color w:val="000000"/>
                <w:sz w:val="18"/>
                <w:szCs w:val="18"/>
              </w:rPr>
            </w:pPr>
            <w:r>
              <w:rPr>
                <w:rFonts w:hint="eastAsia"/>
                <w:color w:val="000000"/>
                <w:sz w:val="18"/>
                <w:szCs w:val="18"/>
              </w:rPr>
              <w:t>　</w:t>
            </w:r>
          </w:p>
        </w:tc>
        <w:tc>
          <w:tcPr>
            <w:tcW w:w="2729" w:type="dxa"/>
            <w:shd w:val="clear" w:color="auto" w:fill="auto"/>
            <w:vAlign w:val="center"/>
          </w:tcPr>
          <w:p>
            <w:pPr>
              <w:jc w:val="center"/>
              <w:rPr>
                <w:color w:val="000000"/>
                <w:sz w:val="18"/>
                <w:szCs w:val="18"/>
              </w:rPr>
            </w:pPr>
            <w:r>
              <w:rPr>
                <w:rFonts w:hint="eastAsia"/>
                <w:color w:val="000000"/>
                <w:sz w:val="18"/>
                <w:szCs w:val="18"/>
              </w:rPr>
              <w:t>泊滩堰罐区河湖水系连通工程（三江临港段）</w:t>
            </w:r>
          </w:p>
        </w:tc>
        <w:tc>
          <w:tcPr>
            <w:tcW w:w="1094" w:type="dxa"/>
            <w:shd w:val="clear" w:color="auto" w:fill="auto"/>
            <w:noWrap/>
            <w:vAlign w:val="center"/>
          </w:tcPr>
          <w:p>
            <w:pPr>
              <w:jc w:val="center"/>
              <w:rPr>
                <w:color w:val="000000"/>
                <w:sz w:val="18"/>
                <w:szCs w:val="18"/>
              </w:rPr>
            </w:pPr>
            <w:r>
              <w:rPr>
                <w:rFonts w:hint="eastAsia"/>
                <w:color w:val="000000"/>
                <w:sz w:val="18"/>
                <w:szCs w:val="18"/>
              </w:rPr>
              <w:t>新建</w:t>
            </w:r>
          </w:p>
        </w:tc>
        <w:tc>
          <w:tcPr>
            <w:tcW w:w="1193" w:type="dxa"/>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075" w:type="dxa"/>
            <w:vMerge w:val="continue"/>
            <w:vAlign w:val="center"/>
          </w:tcPr>
          <w:p>
            <w:pPr>
              <w:rPr>
                <w:rFonts w:ascii="宋体" w:hAnsi="宋体" w:cs="宋体"/>
                <w:color w:val="000000"/>
                <w:sz w:val="18"/>
                <w:szCs w:val="18"/>
              </w:rPr>
            </w:pPr>
          </w:p>
        </w:tc>
        <w:tc>
          <w:tcPr>
            <w:tcW w:w="977" w:type="dxa"/>
            <w:vMerge w:val="continue"/>
            <w:vAlign w:val="center"/>
          </w:tcPr>
          <w:p>
            <w:pPr>
              <w:rPr>
                <w:rFonts w:ascii="宋体" w:hAnsi="宋体" w:cs="宋体"/>
                <w:color w:val="000000"/>
                <w:sz w:val="18"/>
                <w:szCs w:val="18"/>
              </w:rPr>
            </w:pPr>
          </w:p>
        </w:tc>
        <w:tc>
          <w:tcPr>
            <w:tcW w:w="4478" w:type="dxa"/>
            <w:shd w:val="clear" w:color="auto" w:fill="auto"/>
            <w:noWrap/>
            <w:vAlign w:val="center"/>
          </w:tcPr>
          <w:p>
            <w:pPr>
              <w:jc w:val="center"/>
              <w:rPr>
                <w:rFonts w:ascii="宋体" w:hAnsi="宋体" w:cs="宋体"/>
                <w:color w:val="000000"/>
                <w:sz w:val="18"/>
                <w:szCs w:val="18"/>
              </w:rPr>
            </w:pPr>
            <w:r>
              <w:rPr>
                <w:rFonts w:hint="eastAsia"/>
                <w:color w:val="000000"/>
                <w:sz w:val="18"/>
                <w:szCs w:val="18"/>
              </w:rPr>
              <w:t>各村</w:t>
            </w:r>
          </w:p>
        </w:tc>
        <w:tc>
          <w:tcPr>
            <w:tcW w:w="1240" w:type="dxa"/>
            <w:shd w:val="clear" w:color="auto" w:fill="auto"/>
            <w:vAlign w:val="center"/>
          </w:tcPr>
          <w:p>
            <w:pPr>
              <w:jc w:val="center"/>
              <w:rPr>
                <w:color w:val="000000"/>
                <w:sz w:val="18"/>
                <w:szCs w:val="18"/>
              </w:rPr>
            </w:pPr>
            <w:r>
              <w:rPr>
                <w:rFonts w:hint="eastAsia"/>
                <w:color w:val="000000"/>
                <w:sz w:val="18"/>
                <w:szCs w:val="18"/>
              </w:rPr>
              <w:t>区级重点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1172" w:type="dxa"/>
            <w:vMerge w:val="continue"/>
            <w:vAlign w:val="center"/>
          </w:tcPr>
          <w:p>
            <w:pPr>
              <w:rPr>
                <w:rFonts w:ascii="宋体" w:hAnsi="宋体" w:cs="宋体"/>
                <w:color w:val="000000"/>
                <w:sz w:val="18"/>
                <w:szCs w:val="18"/>
              </w:rPr>
            </w:pPr>
          </w:p>
        </w:tc>
        <w:tc>
          <w:tcPr>
            <w:tcW w:w="2729" w:type="dxa"/>
            <w:shd w:val="clear" w:color="auto" w:fill="auto"/>
            <w:vAlign w:val="center"/>
          </w:tcPr>
          <w:p>
            <w:pPr>
              <w:jc w:val="center"/>
              <w:rPr>
                <w:color w:val="000000"/>
                <w:sz w:val="18"/>
                <w:szCs w:val="18"/>
              </w:rPr>
            </w:pPr>
            <w:r>
              <w:rPr>
                <w:rFonts w:hint="eastAsia"/>
                <w:color w:val="000000"/>
                <w:sz w:val="18"/>
                <w:szCs w:val="18"/>
              </w:rPr>
              <w:t>岷江干流乐山段防洪工程</w:t>
            </w:r>
          </w:p>
        </w:tc>
        <w:tc>
          <w:tcPr>
            <w:tcW w:w="1094" w:type="dxa"/>
            <w:shd w:val="clear" w:color="auto" w:fill="auto"/>
            <w:noWrap/>
            <w:vAlign w:val="center"/>
          </w:tcPr>
          <w:p>
            <w:pPr>
              <w:jc w:val="center"/>
              <w:rPr>
                <w:color w:val="000000"/>
                <w:sz w:val="18"/>
                <w:szCs w:val="18"/>
              </w:rPr>
            </w:pPr>
            <w:r>
              <w:rPr>
                <w:rFonts w:hint="eastAsia"/>
                <w:color w:val="000000"/>
                <w:sz w:val="18"/>
                <w:szCs w:val="18"/>
              </w:rPr>
              <w:t>续建</w:t>
            </w:r>
          </w:p>
        </w:tc>
        <w:tc>
          <w:tcPr>
            <w:tcW w:w="1193" w:type="dxa"/>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075" w:type="dxa"/>
            <w:vMerge w:val="continue"/>
            <w:vAlign w:val="center"/>
          </w:tcPr>
          <w:p>
            <w:pPr>
              <w:rPr>
                <w:rFonts w:ascii="宋体" w:hAnsi="宋体" w:cs="宋体"/>
                <w:color w:val="000000"/>
                <w:sz w:val="18"/>
                <w:szCs w:val="18"/>
              </w:rPr>
            </w:pPr>
          </w:p>
        </w:tc>
        <w:tc>
          <w:tcPr>
            <w:tcW w:w="977" w:type="dxa"/>
            <w:vMerge w:val="continue"/>
            <w:vAlign w:val="center"/>
          </w:tcPr>
          <w:p>
            <w:pPr>
              <w:rPr>
                <w:rFonts w:ascii="宋体" w:hAnsi="宋体" w:cs="宋体"/>
                <w:color w:val="000000"/>
                <w:sz w:val="18"/>
                <w:szCs w:val="18"/>
              </w:rPr>
            </w:pPr>
          </w:p>
        </w:tc>
        <w:tc>
          <w:tcPr>
            <w:tcW w:w="4478" w:type="dxa"/>
            <w:shd w:val="clear" w:color="auto" w:fill="auto"/>
            <w:noWrap/>
            <w:vAlign w:val="center"/>
          </w:tcPr>
          <w:p>
            <w:pPr>
              <w:jc w:val="center"/>
              <w:rPr>
                <w:rFonts w:ascii="宋体" w:hAnsi="宋体" w:cs="宋体"/>
                <w:color w:val="000000"/>
                <w:sz w:val="18"/>
                <w:szCs w:val="18"/>
              </w:rPr>
            </w:pPr>
            <w:r>
              <w:rPr>
                <w:rFonts w:hint="eastAsia"/>
                <w:color w:val="000000"/>
                <w:sz w:val="18"/>
                <w:szCs w:val="18"/>
              </w:rPr>
              <w:t>各村</w:t>
            </w:r>
          </w:p>
        </w:tc>
        <w:tc>
          <w:tcPr>
            <w:tcW w:w="1240" w:type="dxa"/>
            <w:shd w:val="clear" w:color="auto" w:fill="auto"/>
            <w:vAlign w:val="center"/>
          </w:tcPr>
          <w:p>
            <w:pPr>
              <w:jc w:val="center"/>
              <w:rPr>
                <w:color w:val="000000"/>
                <w:sz w:val="18"/>
                <w:szCs w:val="18"/>
              </w:rPr>
            </w:pPr>
            <w:r>
              <w:rPr>
                <w:rFonts w:hint="eastAsia"/>
                <w:color w:val="000000"/>
                <w:sz w:val="18"/>
                <w:szCs w:val="18"/>
              </w:rPr>
              <w:t>区级重点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1172" w:type="dxa"/>
            <w:vMerge w:val="continue"/>
            <w:vAlign w:val="center"/>
          </w:tcPr>
          <w:p>
            <w:pPr>
              <w:rPr>
                <w:rFonts w:ascii="宋体" w:hAnsi="宋体" w:cs="宋体"/>
                <w:color w:val="000000"/>
                <w:sz w:val="18"/>
                <w:szCs w:val="18"/>
              </w:rPr>
            </w:pPr>
          </w:p>
        </w:tc>
        <w:tc>
          <w:tcPr>
            <w:tcW w:w="2729" w:type="dxa"/>
            <w:shd w:val="clear" w:color="auto" w:fill="auto"/>
            <w:vAlign w:val="center"/>
          </w:tcPr>
          <w:p>
            <w:pPr>
              <w:jc w:val="center"/>
              <w:rPr>
                <w:color w:val="000000"/>
                <w:sz w:val="18"/>
                <w:szCs w:val="18"/>
              </w:rPr>
            </w:pPr>
            <w:r>
              <w:rPr>
                <w:rFonts w:hint="eastAsia"/>
                <w:color w:val="000000"/>
                <w:sz w:val="18"/>
                <w:szCs w:val="18"/>
              </w:rPr>
              <w:t>中小河流治理工程</w:t>
            </w:r>
          </w:p>
        </w:tc>
        <w:tc>
          <w:tcPr>
            <w:tcW w:w="1094" w:type="dxa"/>
            <w:shd w:val="clear" w:color="auto" w:fill="auto"/>
            <w:noWrap/>
            <w:vAlign w:val="center"/>
          </w:tcPr>
          <w:p>
            <w:pPr>
              <w:jc w:val="center"/>
              <w:rPr>
                <w:color w:val="000000"/>
                <w:sz w:val="18"/>
                <w:szCs w:val="18"/>
              </w:rPr>
            </w:pPr>
            <w:r>
              <w:rPr>
                <w:rFonts w:hint="eastAsia"/>
                <w:color w:val="000000"/>
                <w:sz w:val="18"/>
                <w:szCs w:val="18"/>
              </w:rPr>
              <w:t>续建</w:t>
            </w:r>
          </w:p>
        </w:tc>
        <w:tc>
          <w:tcPr>
            <w:tcW w:w="1193" w:type="dxa"/>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075" w:type="dxa"/>
            <w:vMerge w:val="continue"/>
            <w:vAlign w:val="center"/>
          </w:tcPr>
          <w:p>
            <w:pPr>
              <w:rPr>
                <w:rFonts w:ascii="宋体" w:hAnsi="宋体" w:cs="宋体"/>
                <w:color w:val="000000"/>
                <w:sz w:val="18"/>
                <w:szCs w:val="18"/>
              </w:rPr>
            </w:pPr>
          </w:p>
        </w:tc>
        <w:tc>
          <w:tcPr>
            <w:tcW w:w="977" w:type="dxa"/>
            <w:vMerge w:val="continue"/>
            <w:vAlign w:val="center"/>
          </w:tcPr>
          <w:p>
            <w:pPr>
              <w:rPr>
                <w:rFonts w:ascii="宋体" w:hAnsi="宋体" w:cs="宋体"/>
                <w:color w:val="000000"/>
                <w:sz w:val="18"/>
                <w:szCs w:val="18"/>
              </w:rPr>
            </w:pPr>
          </w:p>
        </w:tc>
        <w:tc>
          <w:tcPr>
            <w:tcW w:w="4478" w:type="dxa"/>
            <w:shd w:val="clear" w:color="auto" w:fill="auto"/>
            <w:noWrap/>
            <w:vAlign w:val="center"/>
          </w:tcPr>
          <w:p>
            <w:pPr>
              <w:jc w:val="center"/>
              <w:rPr>
                <w:rFonts w:ascii="宋体" w:hAnsi="宋体" w:cs="宋体"/>
                <w:color w:val="000000"/>
                <w:sz w:val="18"/>
                <w:szCs w:val="18"/>
              </w:rPr>
            </w:pPr>
            <w:r>
              <w:rPr>
                <w:rFonts w:hint="eastAsia"/>
                <w:color w:val="000000"/>
                <w:sz w:val="18"/>
                <w:szCs w:val="18"/>
              </w:rPr>
              <w:t>各村</w:t>
            </w:r>
          </w:p>
        </w:tc>
        <w:tc>
          <w:tcPr>
            <w:tcW w:w="1240" w:type="dxa"/>
            <w:shd w:val="clear" w:color="auto" w:fill="auto"/>
            <w:vAlign w:val="center"/>
          </w:tcPr>
          <w:p>
            <w:pPr>
              <w:jc w:val="center"/>
              <w:rPr>
                <w:color w:val="000000"/>
                <w:sz w:val="18"/>
                <w:szCs w:val="18"/>
              </w:rPr>
            </w:pPr>
            <w:r>
              <w:rPr>
                <w:rFonts w:hint="eastAsia"/>
                <w:color w:val="000000"/>
                <w:sz w:val="18"/>
                <w:szCs w:val="18"/>
              </w:rPr>
              <w:t>区级重点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1172" w:type="dxa"/>
            <w:vMerge w:val="continue"/>
            <w:vAlign w:val="center"/>
          </w:tcPr>
          <w:p>
            <w:pPr>
              <w:rPr>
                <w:rFonts w:ascii="宋体" w:hAnsi="宋体" w:cs="宋体"/>
                <w:color w:val="000000"/>
                <w:sz w:val="18"/>
                <w:szCs w:val="18"/>
              </w:rPr>
            </w:pPr>
          </w:p>
        </w:tc>
        <w:tc>
          <w:tcPr>
            <w:tcW w:w="2729" w:type="dxa"/>
            <w:shd w:val="clear" w:color="auto" w:fill="auto"/>
            <w:vAlign w:val="center"/>
          </w:tcPr>
          <w:p>
            <w:pPr>
              <w:jc w:val="center"/>
              <w:rPr>
                <w:color w:val="000000"/>
                <w:sz w:val="18"/>
                <w:szCs w:val="18"/>
              </w:rPr>
            </w:pPr>
            <w:r>
              <w:rPr>
                <w:rFonts w:hint="eastAsia"/>
                <w:color w:val="000000"/>
                <w:sz w:val="18"/>
                <w:szCs w:val="18"/>
              </w:rPr>
              <w:t>小型水库工程</w:t>
            </w:r>
          </w:p>
        </w:tc>
        <w:tc>
          <w:tcPr>
            <w:tcW w:w="1094" w:type="dxa"/>
            <w:shd w:val="clear" w:color="auto" w:fill="auto"/>
            <w:noWrap/>
            <w:vAlign w:val="center"/>
          </w:tcPr>
          <w:p>
            <w:pPr>
              <w:jc w:val="center"/>
              <w:rPr>
                <w:color w:val="000000"/>
                <w:sz w:val="18"/>
                <w:szCs w:val="18"/>
              </w:rPr>
            </w:pPr>
            <w:r>
              <w:rPr>
                <w:rFonts w:hint="eastAsia"/>
                <w:color w:val="000000"/>
                <w:sz w:val="18"/>
                <w:szCs w:val="18"/>
              </w:rPr>
              <w:t>续建</w:t>
            </w:r>
          </w:p>
        </w:tc>
        <w:tc>
          <w:tcPr>
            <w:tcW w:w="1193" w:type="dxa"/>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075" w:type="dxa"/>
            <w:vMerge w:val="continue"/>
            <w:vAlign w:val="center"/>
          </w:tcPr>
          <w:p>
            <w:pPr>
              <w:rPr>
                <w:rFonts w:ascii="宋体" w:hAnsi="宋体" w:cs="宋体"/>
                <w:color w:val="000000"/>
                <w:sz w:val="18"/>
                <w:szCs w:val="18"/>
              </w:rPr>
            </w:pPr>
          </w:p>
        </w:tc>
        <w:tc>
          <w:tcPr>
            <w:tcW w:w="977" w:type="dxa"/>
            <w:vMerge w:val="continue"/>
            <w:vAlign w:val="center"/>
          </w:tcPr>
          <w:p>
            <w:pPr>
              <w:rPr>
                <w:rFonts w:ascii="宋体" w:hAnsi="宋体" w:cs="宋体"/>
                <w:color w:val="000000"/>
                <w:sz w:val="18"/>
                <w:szCs w:val="18"/>
              </w:rPr>
            </w:pPr>
          </w:p>
        </w:tc>
        <w:tc>
          <w:tcPr>
            <w:tcW w:w="4478" w:type="dxa"/>
            <w:shd w:val="clear" w:color="auto" w:fill="auto"/>
            <w:noWrap/>
            <w:vAlign w:val="center"/>
          </w:tcPr>
          <w:p>
            <w:pPr>
              <w:jc w:val="center"/>
              <w:rPr>
                <w:rFonts w:ascii="宋体" w:hAnsi="宋体" w:cs="宋体"/>
                <w:color w:val="000000"/>
                <w:sz w:val="18"/>
                <w:szCs w:val="18"/>
              </w:rPr>
            </w:pPr>
            <w:r>
              <w:rPr>
                <w:rFonts w:hint="eastAsia"/>
                <w:color w:val="000000"/>
                <w:sz w:val="18"/>
                <w:szCs w:val="18"/>
              </w:rPr>
              <w:t>各村</w:t>
            </w:r>
          </w:p>
        </w:tc>
        <w:tc>
          <w:tcPr>
            <w:tcW w:w="1240" w:type="dxa"/>
            <w:shd w:val="clear" w:color="auto" w:fill="auto"/>
            <w:vAlign w:val="center"/>
          </w:tcPr>
          <w:p>
            <w:pPr>
              <w:jc w:val="center"/>
              <w:rPr>
                <w:color w:val="000000"/>
                <w:sz w:val="18"/>
                <w:szCs w:val="18"/>
              </w:rPr>
            </w:pPr>
            <w:r>
              <w:rPr>
                <w:rFonts w:hint="eastAsia"/>
                <w:color w:val="000000"/>
                <w:sz w:val="18"/>
                <w:szCs w:val="18"/>
              </w:rPr>
              <w:t>区级重点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trPr>
        <w:tc>
          <w:tcPr>
            <w:tcW w:w="1172" w:type="dxa"/>
            <w:vMerge w:val="continue"/>
            <w:vAlign w:val="center"/>
          </w:tcPr>
          <w:p>
            <w:pPr>
              <w:rPr>
                <w:rFonts w:ascii="宋体" w:hAnsi="宋体" w:cs="宋体"/>
                <w:color w:val="000000"/>
                <w:sz w:val="18"/>
                <w:szCs w:val="18"/>
              </w:rPr>
            </w:pPr>
          </w:p>
        </w:tc>
        <w:tc>
          <w:tcPr>
            <w:tcW w:w="2729" w:type="dxa"/>
            <w:shd w:val="clear" w:color="auto" w:fill="auto"/>
            <w:vAlign w:val="center"/>
          </w:tcPr>
          <w:p>
            <w:pPr>
              <w:jc w:val="center"/>
              <w:rPr>
                <w:color w:val="000000"/>
                <w:sz w:val="18"/>
                <w:szCs w:val="18"/>
              </w:rPr>
            </w:pPr>
            <w:r>
              <w:rPr>
                <w:rFonts w:hint="eastAsia"/>
                <w:color w:val="000000"/>
                <w:sz w:val="18"/>
                <w:szCs w:val="18"/>
              </w:rPr>
              <w:t>中小型已成灌区续建配套与节水改造工程</w:t>
            </w:r>
          </w:p>
        </w:tc>
        <w:tc>
          <w:tcPr>
            <w:tcW w:w="1094" w:type="dxa"/>
            <w:shd w:val="clear" w:color="auto" w:fill="auto"/>
            <w:noWrap/>
            <w:vAlign w:val="center"/>
          </w:tcPr>
          <w:p>
            <w:pPr>
              <w:jc w:val="center"/>
              <w:rPr>
                <w:color w:val="000000"/>
                <w:sz w:val="18"/>
                <w:szCs w:val="18"/>
              </w:rPr>
            </w:pPr>
            <w:r>
              <w:rPr>
                <w:rFonts w:hint="eastAsia"/>
                <w:color w:val="000000"/>
                <w:sz w:val="18"/>
                <w:szCs w:val="18"/>
              </w:rPr>
              <w:t>续建</w:t>
            </w:r>
          </w:p>
        </w:tc>
        <w:tc>
          <w:tcPr>
            <w:tcW w:w="1193" w:type="dxa"/>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075" w:type="dxa"/>
            <w:vMerge w:val="continue"/>
            <w:vAlign w:val="center"/>
          </w:tcPr>
          <w:p>
            <w:pPr>
              <w:rPr>
                <w:rFonts w:ascii="宋体" w:hAnsi="宋体" w:cs="宋体"/>
                <w:color w:val="000000"/>
                <w:sz w:val="18"/>
                <w:szCs w:val="18"/>
              </w:rPr>
            </w:pPr>
          </w:p>
        </w:tc>
        <w:tc>
          <w:tcPr>
            <w:tcW w:w="977" w:type="dxa"/>
            <w:vMerge w:val="continue"/>
            <w:vAlign w:val="center"/>
          </w:tcPr>
          <w:p>
            <w:pPr>
              <w:rPr>
                <w:rFonts w:ascii="宋体" w:hAnsi="宋体" w:cs="宋体"/>
                <w:color w:val="000000"/>
                <w:sz w:val="18"/>
                <w:szCs w:val="18"/>
              </w:rPr>
            </w:pPr>
          </w:p>
        </w:tc>
        <w:tc>
          <w:tcPr>
            <w:tcW w:w="4478" w:type="dxa"/>
            <w:shd w:val="clear" w:color="auto" w:fill="auto"/>
            <w:noWrap/>
            <w:vAlign w:val="center"/>
          </w:tcPr>
          <w:p>
            <w:pPr>
              <w:jc w:val="center"/>
              <w:rPr>
                <w:rFonts w:ascii="宋体" w:hAnsi="宋体" w:cs="宋体"/>
                <w:color w:val="000000"/>
                <w:sz w:val="18"/>
                <w:szCs w:val="18"/>
              </w:rPr>
            </w:pPr>
            <w:r>
              <w:rPr>
                <w:rFonts w:hint="eastAsia"/>
                <w:color w:val="000000"/>
                <w:sz w:val="18"/>
                <w:szCs w:val="18"/>
              </w:rPr>
              <w:t>各村</w:t>
            </w:r>
          </w:p>
        </w:tc>
        <w:tc>
          <w:tcPr>
            <w:tcW w:w="1240" w:type="dxa"/>
            <w:shd w:val="clear" w:color="auto" w:fill="auto"/>
            <w:vAlign w:val="center"/>
          </w:tcPr>
          <w:p>
            <w:pPr>
              <w:jc w:val="center"/>
              <w:rPr>
                <w:color w:val="000000"/>
                <w:sz w:val="18"/>
                <w:szCs w:val="18"/>
              </w:rPr>
            </w:pPr>
            <w:r>
              <w:rPr>
                <w:rFonts w:hint="eastAsia"/>
                <w:color w:val="000000"/>
                <w:sz w:val="18"/>
                <w:szCs w:val="18"/>
              </w:rPr>
              <w:t>区级重点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1172" w:type="dxa"/>
            <w:vMerge w:val="continue"/>
            <w:vAlign w:val="center"/>
          </w:tcPr>
          <w:p>
            <w:pPr>
              <w:rPr>
                <w:rFonts w:ascii="宋体" w:hAnsi="宋体" w:cs="宋体"/>
                <w:color w:val="000000"/>
                <w:sz w:val="18"/>
                <w:szCs w:val="18"/>
              </w:rPr>
            </w:pPr>
          </w:p>
        </w:tc>
        <w:tc>
          <w:tcPr>
            <w:tcW w:w="2729" w:type="dxa"/>
            <w:shd w:val="clear" w:color="auto" w:fill="auto"/>
            <w:vAlign w:val="center"/>
          </w:tcPr>
          <w:p>
            <w:pPr>
              <w:jc w:val="center"/>
              <w:rPr>
                <w:color w:val="000000"/>
                <w:sz w:val="18"/>
                <w:szCs w:val="18"/>
              </w:rPr>
            </w:pPr>
            <w:r>
              <w:rPr>
                <w:rFonts w:hint="eastAsia"/>
                <w:color w:val="000000"/>
                <w:sz w:val="18"/>
                <w:szCs w:val="18"/>
              </w:rPr>
              <w:t>病险水库除险加固工程</w:t>
            </w:r>
          </w:p>
        </w:tc>
        <w:tc>
          <w:tcPr>
            <w:tcW w:w="1094" w:type="dxa"/>
            <w:shd w:val="clear" w:color="auto" w:fill="auto"/>
            <w:noWrap/>
            <w:vAlign w:val="center"/>
          </w:tcPr>
          <w:p>
            <w:pPr>
              <w:jc w:val="center"/>
              <w:rPr>
                <w:color w:val="000000"/>
                <w:sz w:val="18"/>
                <w:szCs w:val="18"/>
              </w:rPr>
            </w:pPr>
            <w:r>
              <w:rPr>
                <w:rFonts w:hint="eastAsia"/>
                <w:color w:val="000000"/>
                <w:sz w:val="18"/>
                <w:szCs w:val="18"/>
              </w:rPr>
              <w:t>续建</w:t>
            </w:r>
          </w:p>
        </w:tc>
        <w:tc>
          <w:tcPr>
            <w:tcW w:w="1193" w:type="dxa"/>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075" w:type="dxa"/>
            <w:vMerge w:val="continue"/>
            <w:vAlign w:val="center"/>
          </w:tcPr>
          <w:p>
            <w:pPr>
              <w:rPr>
                <w:rFonts w:ascii="宋体" w:hAnsi="宋体" w:cs="宋体"/>
                <w:color w:val="000000"/>
                <w:sz w:val="18"/>
                <w:szCs w:val="18"/>
              </w:rPr>
            </w:pPr>
          </w:p>
        </w:tc>
        <w:tc>
          <w:tcPr>
            <w:tcW w:w="977" w:type="dxa"/>
            <w:vMerge w:val="continue"/>
            <w:vAlign w:val="center"/>
          </w:tcPr>
          <w:p>
            <w:pPr>
              <w:rPr>
                <w:rFonts w:ascii="宋体" w:hAnsi="宋体" w:cs="宋体"/>
                <w:color w:val="000000"/>
                <w:sz w:val="18"/>
                <w:szCs w:val="18"/>
              </w:rPr>
            </w:pPr>
          </w:p>
        </w:tc>
        <w:tc>
          <w:tcPr>
            <w:tcW w:w="4478" w:type="dxa"/>
            <w:shd w:val="clear" w:color="auto" w:fill="auto"/>
            <w:noWrap/>
            <w:vAlign w:val="center"/>
          </w:tcPr>
          <w:p>
            <w:pPr>
              <w:jc w:val="center"/>
              <w:rPr>
                <w:rFonts w:ascii="宋体" w:hAnsi="宋体" w:cs="宋体"/>
                <w:color w:val="000000"/>
                <w:sz w:val="18"/>
                <w:szCs w:val="18"/>
              </w:rPr>
            </w:pPr>
            <w:r>
              <w:rPr>
                <w:rFonts w:hint="eastAsia"/>
                <w:color w:val="000000"/>
                <w:sz w:val="18"/>
                <w:szCs w:val="18"/>
              </w:rPr>
              <w:t>各村</w:t>
            </w:r>
          </w:p>
        </w:tc>
        <w:tc>
          <w:tcPr>
            <w:tcW w:w="1240" w:type="dxa"/>
            <w:shd w:val="clear" w:color="auto" w:fill="auto"/>
            <w:vAlign w:val="center"/>
          </w:tcPr>
          <w:p>
            <w:pPr>
              <w:jc w:val="center"/>
              <w:rPr>
                <w:color w:val="000000"/>
                <w:sz w:val="18"/>
                <w:szCs w:val="18"/>
              </w:rPr>
            </w:pPr>
            <w:r>
              <w:rPr>
                <w:rFonts w:hint="eastAsia"/>
                <w:color w:val="000000"/>
                <w:sz w:val="18"/>
                <w:szCs w:val="18"/>
              </w:rPr>
              <w:t>区级重点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1172" w:type="dxa"/>
            <w:vMerge w:val="continue"/>
            <w:vAlign w:val="center"/>
          </w:tcPr>
          <w:p>
            <w:pPr>
              <w:rPr>
                <w:rFonts w:ascii="宋体" w:hAnsi="宋体" w:cs="宋体"/>
                <w:color w:val="000000"/>
                <w:sz w:val="18"/>
                <w:szCs w:val="18"/>
              </w:rPr>
            </w:pPr>
          </w:p>
        </w:tc>
        <w:tc>
          <w:tcPr>
            <w:tcW w:w="2729" w:type="dxa"/>
            <w:shd w:val="clear" w:color="auto" w:fill="auto"/>
            <w:vAlign w:val="center"/>
          </w:tcPr>
          <w:p>
            <w:pPr>
              <w:jc w:val="center"/>
              <w:rPr>
                <w:color w:val="000000"/>
                <w:sz w:val="18"/>
                <w:szCs w:val="18"/>
              </w:rPr>
            </w:pPr>
            <w:r>
              <w:rPr>
                <w:rFonts w:hint="eastAsia"/>
                <w:color w:val="000000"/>
                <w:sz w:val="18"/>
                <w:szCs w:val="18"/>
              </w:rPr>
              <w:t>农村饮水安全工程</w:t>
            </w:r>
          </w:p>
        </w:tc>
        <w:tc>
          <w:tcPr>
            <w:tcW w:w="1094" w:type="dxa"/>
            <w:shd w:val="clear" w:color="auto" w:fill="auto"/>
            <w:noWrap/>
            <w:vAlign w:val="center"/>
          </w:tcPr>
          <w:p>
            <w:pPr>
              <w:jc w:val="center"/>
              <w:rPr>
                <w:color w:val="000000"/>
                <w:sz w:val="18"/>
                <w:szCs w:val="18"/>
              </w:rPr>
            </w:pPr>
            <w:r>
              <w:rPr>
                <w:rFonts w:hint="eastAsia"/>
                <w:color w:val="000000"/>
                <w:sz w:val="18"/>
                <w:szCs w:val="18"/>
              </w:rPr>
              <w:t>续建</w:t>
            </w:r>
          </w:p>
        </w:tc>
        <w:tc>
          <w:tcPr>
            <w:tcW w:w="1193" w:type="dxa"/>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075" w:type="dxa"/>
            <w:vMerge w:val="continue"/>
            <w:vAlign w:val="center"/>
          </w:tcPr>
          <w:p>
            <w:pPr>
              <w:rPr>
                <w:rFonts w:ascii="宋体" w:hAnsi="宋体" w:cs="宋体"/>
                <w:color w:val="000000"/>
                <w:sz w:val="18"/>
                <w:szCs w:val="18"/>
              </w:rPr>
            </w:pPr>
          </w:p>
        </w:tc>
        <w:tc>
          <w:tcPr>
            <w:tcW w:w="977" w:type="dxa"/>
            <w:vMerge w:val="continue"/>
            <w:vAlign w:val="center"/>
          </w:tcPr>
          <w:p>
            <w:pPr>
              <w:rPr>
                <w:rFonts w:ascii="宋体" w:hAnsi="宋体" w:cs="宋体"/>
                <w:color w:val="000000"/>
                <w:sz w:val="18"/>
                <w:szCs w:val="18"/>
              </w:rPr>
            </w:pPr>
          </w:p>
        </w:tc>
        <w:tc>
          <w:tcPr>
            <w:tcW w:w="4478" w:type="dxa"/>
            <w:shd w:val="clear" w:color="auto" w:fill="auto"/>
            <w:noWrap/>
            <w:vAlign w:val="center"/>
          </w:tcPr>
          <w:p>
            <w:pPr>
              <w:jc w:val="center"/>
              <w:rPr>
                <w:rFonts w:ascii="宋体" w:hAnsi="宋体" w:cs="宋体"/>
                <w:color w:val="000000"/>
                <w:sz w:val="18"/>
                <w:szCs w:val="18"/>
              </w:rPr>
            </w:pPr>
            <w:r>
              <w:rPr>
                <w:rFonts w:hint="eastAsia"/>
                <w:color w:val="000000"/>
                <w:sz w:val="18"/>
                <w:szCs w:val="18"/>
              </w:rPr>
              <w:t>各村</w:t>
            </w:r>
          </w:p>
        </w:tc>
        <w:tc>
          <w:tcPr>
            <w:tcW w:w="1240" w:type="dxa"/>
            <w:shd w:val="clear" w:color="auto" w:fill="auto"/>
            <w:vAlign w:val="center"/>
          </w:tcPr>
          <w:p>
            <w:pPr>
              <w:jc w:val="center"/>
              <w:rPr>
                <w:color w:val="000000"/>
                <w:sz w:val="18"/>
                <w:szCs w:val="18"/>
              </w:rPr>
            </w:pPr>
            <w:r>
              <w:rPr>
                <w:rFonts w:hint="eastAsia"/>
                <w:color w:val="000000"/>
                <w:sz w:val="18"/>
                <w:szCs w:val="18"/>
              </w:rPr>
              <w:t>区级重点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172" w:type="dxa"/>
            <w:vMerge w:val="restart"/>
            <w:shd w:val="clear" w:color="auto" w:fill="auto"/>
            <w:noWrap/>
            <w:vAlign w:val="center"/>
          </w:tcPr>
          <w:p>
            <w:pPr>
              <w:jc w:val="center"/>
              <w:rPr>
                <w:color w:val="000000"/>
                <w:sz w:val="18"/>
                <w:szCs w:val="18"/>
              </w:rPr>
            </w:pPr>
            <w:r>
              <w:rPr>
                <w:rFonts w:hint="eastAsia"/>
                <w:color w:val="000000"/>
                <w:sz w:val="18"/>
                <w:szCs w:val="18"/>
              </w:rPr>
              <w:t>4．电力</w:t>
            </w:r>
          </w:p>
        </w:tc>
        <w:tc>
          <w:tcPr>
            <w:tcW w:w="2729" w:type="dxa"/>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500kv</w:t>
            </w:r>
            <w:r>
              <w:rPr>
                <w:rFonts w:hint="eastAsia"/>
                <w:color w:val="000000"/>
                <w:sz w:val="18"/>
                <w:szCs w:val="18"/>
              </w:rPr>
              <w:t>输变电工程</w:t>
            </w:r>
          </w:p>
        </w:tc>
        <w:tc>
          <w:tcPr>
            <w:tcW w:w="1094" w:type="dxa"/>
            <w:shd w:val="clear" w:color="auto" w:fill="auto"/>
            <w:noWrap/>
            <w:vAlign w:val="center"/>
          </w:tcPr>
          <w:p>
            <w:pPr>
              <w:jc w:val="center"/>
              <w:rPr>
                <w:rFonts w:ascii="宋体" w:hAnsi="宋体" w:cs="宋体"/>
                <w:color w:val="000000"/>
                <w:sz w:val="18"/>
                <w:szCs w:val="18"/>
              </w:rPr>
            </w:pPr>
            <w:r>
              <w:rPr>
                <w:rFonts w:hint="eastAsia"/>
                <w:color w:val="000000"/>
                <w:sz w:val="18"/>
                <w:szCs w:val="18"/>
              </w:rPr>
              <w:t>新建</w:t>
            </w:r>
          </w:p>
        </w:tc>
        <w:tc>
          <w:tcPr>
            <w:tcW w:w="1193" w:type="dxa"/>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075" w:type="dxa"/>
            <w:vMerge w:val="continue"/>
            <w:vAlign w:val="center"/>
          </w:tcPr>
          <w:p>
            <w:pPr>
              <w:rPr>
                <w:rFonts w:ascii="宋体" w:hAnsi="宋体" w:cs="宋体"/>
                <w:color w:val="000000"/>
                <w:sz w:val="18"/>
                <w:szCs w:val="18"/>
              </w:rPr>
            </w:pPr>
          </w:p>
        </w:tc>
        <w:tc>
          <w:tcPr>
            <w:tcW w:w="977" w:type="dxa"/>
            <w:vMerge w:val="continue"/>
            <w:vAlign w:val="center"/>
          </w:tcPr>
          <w:p>
            <w:pPr>
              <w:rPr>
                <w:rFonts w:ascii="宋体" w:hAnsi="宋体" w:cs="宋体"/>
                <w:color w:val="000000"/>
                <w:sz w:val="18"/>
                <w:szCs w:val="18"/>
              </w:rPr>
            </w:pPr>
          </w:p>
        </w:tc>
        <w:tc>
          <w:tcPr>
            <w:tcW w:w="4478" w:type="dxa"/>
            <w:shd w:val="clear" w:color="auto" w:fill="auto"/>
            <w:vAlign w:val="center"/>
          </w:tcPr>
          <w:p>
            <w:pPr>
              <w:jc w:val="center"/>
              <w:rPr>
                <w:rFonts w:ascii="宋体" w:hAnsi="宋体" w:cs="宋体"/>
                <w:color w:val="000000"/>
                <w:sz w:val="18"/>
                <w:szCs w:val="18"/>
              </w:rPr>
            </w:pPr>
            <w:r>
              <w:rPr>
                <w:rFonts w:hint="eastAsia"/>
                <w:color w:val="000000"/>
                <w:sz w:val="18"/>
                <w:szCs w:val="18"/>
              </w:rPr>
              <w:t>方嘴村</w:t>
            </w:r>
          </w:p>
        </w:tc>
        <w:tc>
          <w:tcPr>
            <w:tcW w:w="1240" w:type="dxa"/>
            <w:shd w:val="clear" w:color="auto" w:fill="auto"/>
            <w:vAlign w:val="center"/>
          </w:tcPr>
          <w:p>
            <w:pPr>
              <w:jc w:val="center"/>
              <w:rPr>
                <w:color w:val="000000"/>
                <w:sz w:val="18"/>
                <w:szCs w:val="18"/>
              </w:rPr>
            </w:pPr>
            <w:r>
              <w:rPr>
                <w:rFonts w:hint="eastAsia"/>
                <w:color w:val="000000"/>
                <w:sz w:val="18"/>
                <w:szCs w:val="18"/>
              </w:rPr>
              <w:t>市级重点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172" w:type="dxa"/>
            <w:vMerge w:val="continue"/>
            <w:vAlign w:val="center"/>
          </w:tcPr>
          <w:p>
            <w:pPr>
              <w:rPr>
                <w:rFonts w:ascii="宋体" w:hAnsi="宋体" w:cs="宋体"/>
                <w:color w:val="000000"/>
                <w:sz w:val="18"/>
                <w:szCs w:val="18"/>
              </w:rPr>
            </w:pPr>
          </w:p>
        </w:tc>
        <w:tc>
          <w:tcPr>
            <w:tcW w:w="2729" w:type="dxa"/>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110kv</w:t>
            </w:r>
            <w:r>
              <w:rPr>
                <w:rFonts w:hint="eastAsia"/>
                <w:color w:val="000000"/>
                <w:sz w:val="18"/>
                <w:szCs w:val="18"/>
              </w:rPr>
              <w:t>输变电工程</w:t>
            </w:r>
          </w:p>
        </w:tc>
        <w:tc>
          <w:tcPr>
            <w:tcW w:w="1094" w:type="dxa"/>
            <w:shd w:val="clear" w:color="auto" w:fill="auto"/>
            <w:noWrap/>
            <w:vAlign w:val="center"/>
          </w:tcPr>
          <w:p>
            <w:pPr>
              <w:jc w:val="center"/>
              <w:rPr>
                <w:rFonts w:ascii="宋体" w:hAnsi="宋体" w:cs="宋体"/>
                <w:color w:val="000000"/>
                <w:sz w:val="18"/>
                <w:szCs w:val="18"/>
              </w:rPr>
            </w:pPr>
            <w:r>
              <w:rPr>
                <w:rFonts w:hint="eastAsia"/>
                <w:color w:val="000000"/>
                <w:sz w:val="18"/>
                <w:szCs w:val="18"/>
              </w:rPr>
              <w:t>新建</w:t>
            </w:r>
          </w:p>
        </w:tc>
        <w:tc>
          <w:tcPr>
            <w:tcW w:w="1193" w:type="dxa"/>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075" w:type="dxa"/>
            <w:vMerge w:val="continue"/>
            <w:vAlign w:val="center"/>
          </w:tcPr>
          <w:p>
            <w:pPr>
              <w:rPr>
                <w:rFonts w:ascii="宋体" w:hAnsi="宋体" w:cs="宋体"/>
                <w:color w:val="000000"/>
                <w:sz w:val="18"/>
                <w:szCs w:val="18"/>
              </w:rPr>
            </w:pPr>
          </w:p>
        </w:tc>
        <w:tc>
          <w:tcPr>
            <w:tcW w:w="977" w:type="dxa"/>
            <w:vMerge w:val="continue"/>
            <w:vAlign w:val="center"/>
          </w:tcPr>
          <w:p>
            <w:pPr>
              <w:rPr>
                <w:rFonts w:ascii="宋体" w:hAnsi="宋体" w:cs="宋体"/>
                <w:color w:val="000000"/>
                <w:sz w:val="18"/>
                <w:szCs w:val="18"/>
              </w:rPr>
            </w:pPr>
          </w:p>
        </w:tc>
        <w:tc>
          <w:tcPr>
            <w:tcW w:w="4478" w:type="dxa"/>
            <w:shd w:val="clear" w:color="auto" w:fill="auto"/>
            <w:vAlign w:val="center"/>
          </w:tcPr>
          <w:p>
            <w:pPr>
              <w:jc w:val="center"/>
              <w:rPr>
                <w:rFonts w:ascii="宋体" w:hAnsi="宋体" w:cs="宋体"/>
                <w:color w:val="000000"/>
                <w:sz w:val="18"/>
                <w:szCs w:val="18"/>
              </w:rPr>
            </w:pPr>
            <w:r>
              <w:rPr>
                <w:rFonts w:hint="eastAsia"/>
                <w:color w:val="000000"/>
                <w:sz w:val="18"/>
                <w:szCs w:val="18"/>
              </w:rPr>
              <w:t>方嘴村、兴无村</w:t>
            </w:r>
          </w:p>
        </w:tc>
        <w:tc>
          <w:tcPr>
            <w:tcW w:w="1240" w:type="dxa"/>
            <w:shd w:val="clear" w:color="auto" w:fill="auto"/>
            <w:vAlign w:val="center"/>
          </w:tcPr>
          <w:p>
            <w:pPr>
              <w:jc w:val="center"/>
              <w:rPr>
                <w:color w:val="000000"/>
                <w:sz w:val="18"/>
                <w:szCs w:val="18"/>
              </w:rPr>
            </w:pPr>
            <w:r>
              <w:rPr>
                <w:rFonts w:hint="eastAsia"/>
                <w:color w:val="000000"/>
                <w:sz w:val="18"/>
                <w:szCs w:val="18"/>
              </w:rPr>
              <w:t>市级重点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172" w:type="dxa"/>
            <w:vMerge w:val="continue"/>
            <w:vAlign w:val="center"/>
          </w:tcPr>
          <w:p>
            <w:pPr>
              <w:rPr>
                <w:rFonts w:ascii="宋体" w:hAnsi="宋体" w:cs="宋体"/>
                <w:color w:val="000000"/>
                <w:sz w:val="18"/>
                <w:szCs w:val="18"/>
              </w:rPr>
            </w:pPr>
          </w:p>
        </w:tc>
        <w:tc>
          <w:tcPr>
            <w:tcW w:w="2729" w:type="dxa"/>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35kv</w:t>
            </w:r>
            <w:r>
              <w:rPr>
                <w:rFonts w:hint="eastAsia"/>
                <w:color w:val="000000"/>
                <w:sz w:val="18"/>
                <w:szCs w:val="18"/>
              </w:rPr>
              <w:t>变电扩建工程</w:t>
            </w:r>
          </w:p>
        </w:tc>
        <w:tc>
          <w:tcPr>
            <w:tcW w:w="1094" w:type="dxa"/>
            <w:shd w:val="clear" w:color="auto" w:fill="auto"/>
            <w:noWrap/>
            <w:vAlign w:val="center"/>
          </w:tcPr>
          <w:p>
            <w:pPr>
              <w:jc w:val="center"/>
              <w:rPr>
                <w:rFonts w:ascii="宋体" w:hAnsi="宋体" w:cs="宋体"/>
                <w:color w:val="000000"/>
                <w:sz w:val="18"/>
                <w:szCs w:val="18"/>
              </w:rPr>
            </w:pPr>
            <w:r>
              <w:rPr>
                <w:rFonts w:hint="eastAsia"/>
                <w:color w:val="000000"/>
                <w:sz w:val="18"/>
                <w:szCs w:val="18"/>
              </w:rPr>
              <w:t>新建</w:t>
            </w:r>
          </w:p>
        </w:tc>
        <w:tc>
          <w:tcPr>
            <w:tcW w:w="1193" w:type="dxa"/>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075" w:type="dxa"/>
            <w:vMerge w:val="continue"/>
            <w:vAlign w:val="center"/>
          </w:tcPr>
          <w:p>
            <w:pPr>
              <w:rPr>
                <w:rFonts w:ascii="宋体" w:hAnsi="宋体" w:cs="宋体"/>
                <w:color w:val="000000"/>
                <w:sz w:val="18"/>
                <w:szCs w:val="18"/>
              </w:rPr>
            </w:pPr>
          </w:p>
        </w:tc>
        <w:tc>
          <w:tcPr>
            <w:tcW w:w="977" w:type="dxa"/>
            <w:vMerge w:val="continue"/>
            <w:vAlign w:val="center"/>
          </w:tcPr>
          <w:p>
            <w:pPr>
              <w:rPr>
                <w:rFonts w:ascii="宋体" w:hAnsi="宋体" w:cs="宋体"/>
                <w:color w:val="000000"/>
                <w:sz w:val="18"/>
                <w:szCs w:val="18"/>
              </w:rPr>
            </w:pPr>
          </w:p>
        </w:tc>
        <w:tc>
          <w:tcPr>
            <w:tcW w:w="4478" w:type="dxa"/>
            <w:shd w:val="clear" w:color="auto" w:fill="auto"/>
            <w:vAlign w:val="center"/>
          </w:tcPr>
          <w:p>
            <w:pPr>
              <w:jc w:val="center"/>
              <w:rPr>
                <w:rFonts w:ascii="宋体" w:hAnsi="宋体" w:cs="宋体"/>
                <w:color w:val="000000"/>
                <w:sz w:val="18"/>
                <w:szCs w:val="18"/>
              </w:rPr>
            </w:pPr>
            <w:r>
              <w:rPr>
                <w:rFonts w:hint="eastAsia"/>
                <w:color w:val="000000"/>
                <w:sz w:val="18"/>
                <w:szCs w:val="18"/>
              </w:rPr>
              <w:t>方嘴村、兴无村</w:t>
            </w:r>
          </w:p>
        </w:tc>
        <w:tc>
          <w:tcPr>
            <w:tcW w:w="1240" w:type="dxa"/>
            <w:shd w:val="clear" w:color="auto" w:fill="auto"/>
            <w:vAlign w:val="center"/>
          </w:tcPr>
          <w:p>
            <w:pPr>
              <w:jc w:val="center"/>
              <w:rPr>
                <w:color w:val="000000"/>
                <w:sz w:val="18"/>
                <w:szCs w:val="18"/>
              </w:rPr>
            </w:pPr>
            <w:r>
              <w:rPr>
                <w:rFonts w:hint="eastAsia"/>
                <w:color w:val="000000"/>
                <w:sz w:val="18"/>
                <w:szCs w:val="18"/>
              </w:rPr>
              <w:t>区级重点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1172" w:type="dxa"/>
            <w:vMerge w:val="restart"/>
            <w:shd w:val="clear" w:color="auto" w:fill="auto"/>
            <w:noWrap/>
            <w:vAlign w:val="center"/>
          </w:tcPr>
          <w:p>
            <w:pPr>
              <w:jc w:val="center"/>
              <w:rPr>
                <w:color w:val="000000"/>
                <w:sz w:val="18"/>
                <w:szCs w:val="18"/>
              </w:rPr>
            </w:pPr>
            <w:r>
              <w:rPr>
                <w:rFonts w:hint="eastAsia"/>
                <w:color w:val="000000"/>
                <w:sz w:val="18"/>
                <w:szCs w:val="18"/>
              </w:rPr>
              <w:t>6、其他</w:t>
            </w:r>
          </w:p>
        </w:tc>
        <w:tc>
          <w:tcPr>
            <w:tcW w:w="2729" w:type="dxa"/>
            <w:shd w:val="clear" w:color="auto" w:fill="auto"/>
            <w:vAlign w:val="center"/>
          </w:tcPr>
          <w:p>
            <w:pPr>
              <w:jc w:val="center"/>
              <w:rPr>
                <w:color w:val="000000"/>
                <w:sz w:val="18"/>
                <w:szCs w:val="18"/>
              </w:rPr>
            </w:pPr>
            <w:r>
              <w:rPr>
                <w:rFonts w:hint="eastAsia"/>
                <w:color w:val="000000"/>
                <w:sz w:val="18"/>
                <w:szCs w:val="18"/>
              </w:rPr>
              <w:t>加气站及输气管道</w:t>
            </w:r>
          </w:p>
        </w:tc>
        <w:tc>
          <w:tcPr>
            <w:tcW w:w="1094" w:type="dxa"/>
            <w:shd w:val="clear" w:color="auto" w:fill="auto"/>
            <w:noWrap/>
            <w:vAlign w:val="center"/>
          </w:tcPr>
          <w:p>
            <w:pPr>
              <w:jc w:val="center"/>
              <w:rPr>
                <w:color w:val="000000"/>
                <w:sz w:val="18"/>
                <w:szCs w:val="18"/>
              </w:rPr>
            </w:pPr>
            <w:r>
              <w:rPr>
                <w:rFonts w:hint="eastAsia"/>
                <w:color w:val="000000"/>
                <w:sz w:val="18"/>
                <w:szCs w:val="18"/>
              </w:rPr>
              <w:t>新建</w:t>
            </w:r>
          </w:p>
        </w:tc>
        <w:tc>
          <w:tcPr>
            <w:tcW w:w="1193" w:type="dxa"/>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075" w:type="dxa"/>
            <w:vMerge w:val="continue"/>
            <w:vAlign w:val="center"/>
          </w:tcPr>
          <w:p>
            <w:pPr>
              <w:rPr>
                <w:rFonts w:ascii="宋体" w:hAnsi="宋体" w:cs="宋体"/>
                <w:color w:val="000000"/>
                <w:sz w:val="18"/>
                <w:szCs w:val="18"/>
              </w:rPr>
            </w:pPr>
          </w:p>
        </w:tc>
        <w:tc>
          <w:tcPr>
            <w:tcW w:w="977" w:type="dxa"/>
            <w:vMerge w:val="continue"/>
            <w:vAlign w:val="center"/>
          </w:tcPr>
          <w:p>
            <w:pPr>
              <w:rPr>
                <w:rFonts w:ascii="宋体" w:hAnsi="宋体" w:cs="宋体"/>
                <w:color w:val="000000"/>
                <w:sz w:val="18"/>
                <w:szCs w:val="18"/>
              </w:rPr>
            </w:pPr>
          </w:p>
        </w:tc>
        <w:tc>
          <w:tcPr>
            <w:tcW w:w="4478" w:type="dxa"/>
            <w:shd w:val="clear" w:color="auto" w:fill="auto"/>
            <w:vAlign w:val="center"/>
          </w:tcPr>
          <w:p>
            <w:pPr>
              <w:jc w:val="center"/>
              <w:rPr>
                <w:rFonts w:ascii="宋体" w:hAnsi="宋体" w:cs="宋体"/>
                <w:color w:val="000000"/>
                <w:sz w:val="18"/>
                <w:szCs w:val="18"/>
              </w:rPr>
            </w:pPr>
            <w:r>
              <w:rPr>
                <w:rFonts w:hint="eastAsia"/>
                <w:color w:val="000000"/>
                <w:sz w:val="18"/>
                <w:szCs w:val="18"/>
              </w:rPr>
              <w:t>各村</w:t>
            </w:r>
          </w:p>
        </w:tc>
        <w:tc>
          <w:tcPr>
            <w:tcW w:w="1240" w:type="dxa"/>
            <w:shd w:val="clear" w:color="auto" w:fill="auto"/>
            <w:vAlign w:val="center"/>
          </w:tcPr>
          <w:p>
            <w:pPr>
              <w:jc w:val="center"/>
              <w:rPr>
                <w:color w:val="000000"/>
                <w:sz w:val="18"/>
                <w:szCs w:val="18"/>
              </w:rPr>
            </w:pPr>
            <w:r>
              <w:rPr>
                <w:rFonts w:hint="eastAsia"/>
                <w:color w:val="000000"/>
                <w:sz w:val="18"/>
                <w:szCs w:val="18"/>
              </w:rPr>
              <w:t>市级重点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1172" w:type="dxa"/>
            <w:vMerge w:val="continue"/>
            <w:vAlign w:val="center"/>
          </w:tcPr>
          <w:p>
            <w:pPr>
              <w:rPr>
                <w:rFonts w:ascii="宋体" w:hAnsi="宋体" w:cs="宋体"/>
                <w:color w:val="000000"/>
                <w:sz w:val="18"/>
                <w:szCs w:val="18"/>
              </w:rPr>
            </w:pPr>
          </w:p>
        </w:tc>
        <w:tc>
          <w:tcPr>
            <w:tcW w:w="2729" w:type="dxa"/>
            <w:shd w:val="clear" w:color="auto" w:fill="auto"/>
            <w:vAlign w:val="center"/>
          </w:tcPr>
          <w:p>
            <w:pPr>
              <w:jc w:val="center"/>
              <w:rPr>
                <w:color w:val="000000"/>
                <w:sz w:val="18"/>
                <w:szCs w:val="18"/>
              </w:rPr>
            </w:pPr>
            <w:r>
              <w:rPr>
                <w:rFonts w:hint="eastAsia"/>
                <w:color w:val="000000"/>
                <w:sz w:val="18"/>
                <w:szCs w:val="18"/>
              </w:rPr>
              <w:t>加油站及输油管道</w:t>
            </w:r>
          </w:p>
        </w:tc>
        <w:tc>
          <w:tcPr>
            <w:tcW w:w="1094" w:type="dxa"/>
            <w:shd w:val="clear" w:color="auto" w:fill="auto"/>
            <w:noWrap/>
            <w:vAlign w:val="center"/>
          </w:tcPr>
          <w:p>
            <w:pPr>
              <w:jc w:val="center"/>
              <w:rPr>
                <w:color w:val="000000"/>
                <w:sz w:val="18"/>
                <w:szCs w:val="18"/>
              </w:rPr>
            </w:pPr>
            <w:r>
              <w:rPr>
                <w:rFonts w:hint="eastAsia"/>
                <w:color w:val="000000"/>
                <w:sz w:val="18"/>
                <w:szCs w:val="18"/>
              </w:rPr>
              <w:t>新建</w:t>
            </w:r>
          </w:p>
        </w:tc>
        <w:tc>
          <w:tcPr>
            <w:tcW w:w="1193" w:type="dxa"/>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075" w:type="dxa"/>
            <w:vMerge w:val="continue"/>
            <w:vAlign w:val="center"/>
          </w:tcPr>
          <w:p>
            <w:pPr>
              <w:rPr>
                <w:rFonts w:ascii="宋体" w:hAnsi="宋体" w:cs="宋体"/>
                <w:color w:val="000000"/>
                <w:sz w:val="18"/>
                <w:szCs w:val="18"/>
              </w:rPr>
            </w:pPr>
          </w:p>
        </w:tc>
        <w:tc>
          <w:tcPr>
            <w:tcW w:w="977" w:type="dxa"/>
            <w:vMerge w:val="continue"/>
            <w:vAlign w:val="center"/>
          </w:tcPr>
          <w:p>
            <w:pPr>
              <w:rPr>
                <w:rFonts w:ascii="宋体" w:hAnsi="宋体" w:cs="宋体"/>
                <w:color w:val="000000"/>
                <w:sz w:val="18"/>
                <w:szCs w:val="18"/>
              </w:rPr>
            </w:pPr>
          </w:p>
        </w:tc>
        <w:tc>
          <w:tcPr>
            <w:tcW w:w="4478" w:type="dxa"/>
            <w:shd w:val="clear" w:color="auto" w:fill="auto"/>
            <w:vAlign w:val="center"/>
          </w:tcPr>
          <w:p>
            <w:pPr>
              <w:jc w:val="center"/>
              <w:rPr>
                <w:rFonts w:ascii="宋体" w:hAnsi="宋体" w:cs="宋体"/>
                <w:color w:val="000000"/>
                <w:sz w:val="18"/>
                <w:szCs w:val="18"/>
              </w:rPr>
            </w:pPr>
            <w:r>
              <w:rPr>
                <w:rFonts w:hint="eastAsia"/>
                <w:color w:val="000000"/>
                <w:sz w:val="18"/>
                <w:szCs w:val="18"/>
              </w:rPr>
              <w:t>各村</w:t>
            </w:r>
          </w:p>
        </w:tc>
        <w:tc>
          <w:tcPr>
            <w:tcW w:w="1240" w:type="dxa"/>
            <w:shd w:val="clear" w:color="auto" w:fill="auto"/>
            <w:vAlign w:val="center"/>
          </w:tcPr>
          <w:p>
            <w:pPr>
              <w:jc w:val="center"/>
              <w:rPr>
                <w:color w:val="000000"/>
                <w:sz w:val="18"/>
                <w:szCs w:val="18"/>
              </w:rPr>
            </w:pPr>
            <w:r>
              <w:rPr>
                <w:rFonts w:hint="eastAsia"/>
                <w:color w:val="000000"/>
                <w:sz w:val="18"/>
                <w:szCs w:val="18"/>
              </w:rPr>
              <w:t>市级重点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1172" w:type="dxa"/>
            <w:vMerge w:val="continue"/>
            <w:vAlign w:val="center"/>
          </w:tcPr>
          <w:p>
            <w:pPr>
              <w:rPr>
                <w:rFonts w:ascii="宋体" w:hAnsi="宋体" w:cs="宋体"/>
                <w:color w:val="000000"/>
                <w:sz w:val="18"/>
                <w:szCs w:val="18"/>
              </w:rPr>
            </w:pPr>
          </w:p>
        </w:tc>
        <w:tc>
          <w:tcPr>
            <w:tcW w:w="2729" w:type="dxa"/>
            <w:shd w:val="clear" w:color="auto" w:fill="auto"/>
            <w:vAlign w:val="center"/>
          </w:tcPr>
          <w:p>
            <w:pPr>
              <w:jc w:val="center"/>
              <w:rPr>
                <w:color w:val="000000"/>
                <w:sz w:val="18"/>
                <w:szCs w:val="18"/>
              </w:rPr>
            </w:pPr>
            <w:r>
              <w:rPr>
                <w:rFonts w:hint="eastAsia"/>
                <w:color w:val="000000"/>
                <w:sz w:val="18"/>
                <w:szCs w:val="18"/>
              </w:rPr>
              <w:t>自来水厂及供水管网工程</w:t>
            </w:r>
          </w:p>
        </w:tc>
        <w:tc>
          <w:tcPr>
            <w:tcW w:w="1094" w:type="dxa"/>
            <w:shd w:val="clear" w:color="auto" w:fill="auto"/>
            <w:noWrap/>
            <w:vAlign w:val="center"/>
          </w:tcPr>
          <w:p>
            <w:pPr>
              <w:jc w:val="center"/>
              <w:rPr>
                <w:color w:val="000000"/>
                <w:sz w:val="18"/>
                <w:szCs w:val="18"/>
              </w:rPr>
            </w:pPr>
            <w:r>
              <w:rPr>
                <w:rFonts w:hint="eastAsia"/>
                <w:color w:val="000000"/>
                <w:sz w:val="18"/>
                <w:szCs w:val="18"/>
              </w:rPr>
              <w:t>新建</w:t>
            </w:r>
          </w:p>
        </w:tc>
        <w:tc>
          <w:tcPr>
            <w:tcW w:w="1193" w:type="dxa"/>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075" w:type="dxa"/>
            <w:vMerge w:val="continue"/>
            <w:vAlign w:val="center"/>
          </w:tcPr>
          <w:p>
            <w:pPr>
              <w:rPr>
                <w:rFonts w:ascii="宋体" w:hAnsi="宋体" w:cs="宋体"/>
                <w:color w:val="000000"/>
                <w:sz w:val="18"/>
                <w:szCs w:val="18"/>
              </w:rPr>
            </w:pPr>
          </w:p>
        </w:tc>
        <w:tc>
          <w:tcPr>
            <w:tcW w:w="977" w:type="dxa"/>
            <w:vMerge w:val="continue"/>
            <w:vAlign w:val="center"/>
          </w:tcPr>
          <w:p>
            <w:pPr>
              <w:rPr>
                <w:rFonts w:ascii="宋体" w:hAnsi="宋体" w:cs="宋体"/>
                <w:color w:val="000000"/>
                <w:sz w:val="18"/>
                <w:szCs w:val="18"/>
              </w:rPr>
            </w:pPr>
          </w:p>
        </w:tc>
        <w:tc>
          <w:tcPr>
            <w:tcW w:w="4478" w:type="dxa"/>
            <w:shd w:val="clear" w:color="auto" w:fill="auto"/>
            <w:vAlign w:val="center"/>
          </w:tcPr>
          <w:p>
            <w:pPr>
              <w:jc w:val="center"/>
              <w:rPr>
                <w:rFonts w:ascii="宋体" w:hAnsi="宋体" w:cs="宋体"/>
                <w:color w:val="000000"/>
                <w:sz w:val="18"/>
                <w:szCs w:val="18"/>
              </w:rPr>
            </w:pPr>
            <w:r>
              <w:rPr>
                <w:rFonts w:hint="eastAsia"/>
                <w:color w:val="000000"/>
                <w:sz w:val="18"/>
                <w:szCs w:val="18"/>
              </w:rPr>
              <w:t>各村</w:t>
            </w:r>
          </w:p>
        </w:tc>
        <w:tc>
          <w:tcPr>
            <w:tcW w:w="1240" w:type="dxa"/>
            <w:shd w:val="clear" w:color="auto" w:fill="auto"/>
            <w:vAlign w:val="center"/>
          </w:tcPr>
          <w:p>
            <w:pPr>
              <w:jc w:val="center"/>
              <w:rPr>
                <w:color w:val="000000"/>
                <w:sz w:val="18"/>
                <w:szCs w:val="18"/>
              </w:rPr>
            </w:pPr>
            <w:r>
              <w:rPr>
                <w:rFonts w:hint="eastAsia"/>
                <w:color w:val="000000"/>
                <w:sz w:val="18"/>
                <w:szCs w:val="18"/>
              </w:rPr>
              <w:t>市级重点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1172" w:type="dxa"/>
            <w:vMerge w:val="continue"/>
            <w:vAlign w:val="center"/>
          </w:tcPr>
          <w:p>
            <w:pPr>
              <w:rPr>
                <w:rFonts w:ascii="宋体" w:hAnsi="宋体" w:cs="宋体"/>
                <w:color w:val="000000"/>
                <w:sz w:val="18"/>
                <w:szCs w:val="18"/>
              </w:rPr>
            </w:pPr>
          </w:p>
        </w:tc>
        <w:tc>
          <w:tcPr>
            <w:tcW w:w="2729" w:type="dxa"/>
            <w:shd w:val="clear" w:color="auto" w:fill="auto"/>
            <w:vAlign w:val="center"/>
          </w:tcPr>
          <w:p>
            <w:pPr>
              <w:jc w:val="center"/>
              <w:rPr>
                <w:color w:val="000000"/>
                <w:sz w:val="18"/>
                <w:szCs w:val="18"/>
              </w:rPr>
            </w:pPr>
            <w:r>
              <w:rPr>
                <w:rFonts w:hint="eastAsia"/>
                <w:color w:val="000000"/>
                <w:sz w:val="18"/>
                <w:szCs w:val="18"/>
              </w:rPr>
              <w:t>污水处理厂（站）及管网设施</w:t>
            </w:r>
          </w:p>
        </w:tc>
        <w:tc>
          <w:tcPr>
            <w:tcW w:w="1094" w:type="dxa"/>
            <w:shd w:val="clear" w:color="auto" w:fill="auto"/>
            <w:noWrap/>
            <w:vAlign w:val="center"/>
          </w:tcPr>
          <w:p>
            <w:pPr>
              <w:jc w:val="center"/>
              <w:rPr>
                <w:color w:val="000000"/>
                <w:sz w:val="18"/>
                <w:szCs w:val="18"/>
              </w:rPr>
            </w:pPr>
            <w:r>
              <w:rPr>
                <w:rFonts w:hint="eastAsia"/>
                <w:color w:val="000000"/>
                <w:sz w:val="18"/>
                <w:szCs w:val="18"/>
              </w:rPr>
              <w:t>新建</w:t>
            </w:r>
          </w:p>
        </w:tc>
        <w:tc>
          <w:tcPr>
            <w:tcW w:w="1193" w:type="dxa"/>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075" w:type="dxa"/>
            <w:vMerge w:val="continue"/>
            <w:vAlign w:val="center"/>
          </w:tcPr>
          <w:p>
            <w:pPr>
              <w:rPr>
                <w:rFonts w:ascii="宋体" w:hAnsi="宋体" w:cs="宋体"/>
                <w:color w:val="000000"/>
                <w:sz w:val="18"/>
                <w:szCs w:val="18"/>
              </w:rPr>
            </w:pPr>
          </w:p>
        </w:tc>
        <w:tc>
          <w:tcPr>
            <w:tcW w:w="977" w:type="dxa"/>
            <w:vMerge w:val="continue"/>
            <w:vAlign w:val="center"/>
          </w:tcPr>
          <w:p>
            <w:pPr>
              <w:rPr>
                <w:rFonts w:ascii="宋体" w:hAnsi="宋体" w:cs="宋体"/>
                <w:color w:val="000000"/>
                <w:sz w:val="18"/>
                <w:szCs w:val="18"/>
              </w:rPr>
            </w:pPr>
          </w:p>
        </w:tc>
        <w:tc>
          <w:tcPr>
            <w:tcW w:w="4478" w:type="dxa"/>
            <w:shd w:val="clear" w:color="auto" w:fill="auto"/>
            <w:vAlign w:val="center"/>
          </w:tcPr>
          <w:p>
            <w:pPr>
              <w:jc w:val="center"/>
              <w:rPr>
                <w:rFonts w:ascii="宋体" w:hAnsi="宋体" w:cs="宋体"/>
                <w:color w:val="000000"/>
                <w:sz w:val="18"/>
                <w:szCs w:val="18"/>
              </w:rPr>
            </w:pPr>
            <w:r>
              <w:rPr>
                <w:rFonts w:hint="eastAsia"/>
                <w:color w:val="000000"/>
                <w:sz w:val="18"/>
                <w:szCs w:val="18"/>
              </w:rPr>
              <w:t>各村</w:t>
            </w:r>
          </w:p>
        </w:tc>
        <w:tc>
          <w:tcPr>
            <w:tcW w:w="1240" w:type="dxa"/>
            <w:shd w:val="clear" w:color="auto" w:fill="auto"/>
            <w:vAlign w:val="center"/>
          </w:tcPr>
          <w:p>
            <w:pPr>
              <w:jc w:val="center"/>
              <w:rPr>
                <w:color w:val="000000"/>
                <w:sz w:val="18"/>
                <w:szCs w:val="18"/>
              </w:rPr>
            </w:pPr>
            <w:r>
              <w:rPr>
                <w:rFonts w:hint="eastAsia"/>
                <w:color w:val="000000"/>
                <w:sz w:val="18"/>
                <w:szCs w:val="18"/>
              </w:rPr>
              <w:t>市级重点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1172" w:type="dxa"/>
            <w:vMerge w:val="continue"/>
            <w:vAlign w:val="center"/>
          </w:tcPr>
          <w:p>
            <w:pPr>
              <w:rPr>
                <w:rFonts w:ascii="宋体" w:hAnsi="宋体" w:cs="宋体"/>
                <w:color w:val="000000"/>
                <w:sz w:val="18"/>
                <w:szCs w:val="18"/>
              </w:rPr>
            </w:pPr>
          </w:p>
        </w:tc>
        <w:tc>
          <w:tcPr>
            <w:tcW w:w="2729" w:type="dxa"/>
            <w:shd w:val="clear" w:color="auto" w:fill="auto"/>
            <w:vAlign w:val="center"/>
          </w:tcPr>
          <w:p>
            <w:pPr>
              <w:jc w:val="center"/>
              <w:rPr>
                <w:color w:val="000000"/>
                <w:sz w:val="18"/>
                <w:szCs w:val="18"/>
              </w:rPr>
            </w:pPr>
            <w:r>
              <w:rPr>
                <w:rFonts w:hint="eastAsia"/>
                <w:color w:val="000000"/>
                <w:sz w:val="18"/>
                <w:szCs w:val="18"/>
              </w:rPr>
              <w:t>垃圾处理厂（站）</w:t>
            </w:r>
          </w:p>
        </w:tc>
        <w:tc>
          <w:tcPr>
            <w:tcW w:w="1094" w:type="dxa"/>
            <w:shd w:val="clear" w:color="auto" w:fill="auto"/>
            <w:noWrap/>
            <w:vAlign w:val="center"/>
          </w:tcPr>
          <w:p>
            <w:pPr>
              <w:jc w:val="center"/>
              <w:rPr>
                <w:color w:val="000000"/>
                <w:sz w:val="18"/>
                <w:szCs w:val="18"/>
              </w:rPr>
            </w:pPr>
            <w:r>
              <w:rPr>
                <w:rFonts w:hint="eastAsia"/>
                <w:color w:val="000000"/>
                <w:sz w:val="18"/>
                <w:szCs w:val="18"/>
              </w:rPr>
              <w:t>新建</w:t>
            </w:r>
          </w:p>
        </w:tc>
        <w:tc>
          <w:tcPr>
            <w:tcW w:w="1193" w:type="dxa"/>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075" w:type="dxa"/>
            <w:vMerge w:val="continue"/>
            <w:vAlign w:val="center"/>
          </w:tcPr>
          <w:p>
            <w:pPr>
              <w:rPr>
                <w:rFonts w:ascii="宋体" w:hAnsi="宋体" w:cs="宋体"/>
                <w:color w:val="000000"/>
                <w:sz w:val="18"/>
                <w:szCs w:val="18"/>
              </w:rPr>
            </w:pPr>
          </w:p>
        </w:tc>
        <w:tc>
          <w:tcPr>
            <w:tcW w:w="977" w:type="dxa"/>
            <w:vMerge w:val="continue"/>
            <w:vAlign w:val="center"/>
          </w:tcPr>
          <w:p>
            <w:pPr>
              <w:rPr>
                <w:rFonts w:ascii="宋体" w:hAnsi="宋体" w:cs="宋体"/>
                <w:color w:val="000000"/>
                <w:sz w:val="18"/>
                <w:szCs w:val="18"/>
              </w:rPr>
            </w:pPr>
          </w:p>
        </w:tc>
        <w:tc>
          <w:tcPr>
            <w:tcW w:w="4478" w:type="dxa"/>
            <w:shd w:val="clear" w:color="auto" w:fill="auto"/>
            <w:vAlign w:val="center"/>
          </w:tcPr>
          <w:p>
            <w:pPr>
              <w:jc w:val="center"/>
              <w:rPr>
                <w:rFonts w:ascii="宋体" w:hAnsi="宋体" w:cs="宋体"/>
                <w:color w:val="000000"/>
                <w:sz w:val="18"/>
                <w:szCs w:val="18"/>
              </w:rPr>
            </w:pPr>
            <w:r>
              <w:rPr>
                <w:rFonts w:hint="eastAsia"/>
                <w:color w:val="000000"/>
                <w:sz w:val="18"/>
                <w:szCs w:val="18"/>
              </w:rPr>
              <w:t>各村</w:t>
            </w:r>
          </w:p>
        </w:tc>
        <w:tc>
          <w:tcPr>
            <w:tcW w:w="1240" w:type="dxa"/>
            <w:shd w:val="clear" w:color="auto" w:fill="auto"/>
            <w:vAlign w:val="center"/>
          </w:tcPr>
          <w:p>
            <w:pPr>
              <w:jc w:val="center"/>
              <w:rPr>
                <w:color w:val="000000"/>
                <w:sz w:val="18"/>
                <w:szCs w:val="18"/>
              </w:rPr>
            </w:pPr>
            <w:r>
              <w:rPr>
                <w:rFonts w:hint="eastAsia"/>
                <w:color w:val="000000"/>
                <w:sz w:val="18"/>
                <w:szCs w:val="18"/>
              </w:rPr>
              <w:t>市级重点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1172" w:type="dxa"/>
            <w:vMerge w:val="continue"/>
            <w:vAlign w:val="center"/>
          </w:tcPr>
          <w:p>
            <w:pPr>
              <w:rPr>
                <w:rFonts w:ascii="宋体" w:hAnsi="宋体" w:cs="宋体"/>
                <w:color w:val="000000"/>
                <w:sz w:val="18"/>
                <w:szCs w:val="18"/>
              </w:rPr>
            </w:pPr>
          </w:p>
        </w:tc>
        <w:tc>
          <w:tcPr>
            <w:tcW w:w="2729" w:type="dxa"/>
            <w:shd w:val="clear" w:color="auto" w:fill="auto"/>
            <w:vAlign w:val="center"/>
          </w:tcPr>
          <w:p>
            <w:pPr>
              <w:jc w:val="center"/>
              <w:rPr>
                <w:color w:val="000000"/>
                <w:sz w:val="18"/>
                <w:szCs w:val="18"/>
              </w:rPr>
            </w:pPr>
            <w:r>
              <w:rPr>
                <w:rFonts w:hint="eastAsia"/>
                <w:color w:val="000000"/>
                <w:sz w:val="18"/>
                <w:szCs w:val="18"/>
              </w:rPr>
              <w:t>通讯电缆工程</w:t>
            </w:r>
          </w:p>
        </w:tc>
        <w:tc>
          <w:tcPr>
            <w:tcW w:w="1094" w:type="dxa"/>
            <w:shd w:val="clear" w:color="auto" w:fill="auto"/>
            <w:noWrap/>
            <w:vAlign w:val="center"/>
          </w:tcPr>
          <w:p>
            <w:pPr>
              <w:jc w:val="center"/>
              <w:rPr>
                <w:color w:val="000000"/>
                <w:sz w:val="18"/>
                <w:szCs w:val="18"/>
              </w:rPr>
            </w:pPr>
            <w:r>
              <w:rPr>
                <w:rFonts w:hint="eastAsia"/>
                <w:color w:val="000000"/>
                <w:sz w:val="18"/>
                <w:szCs w:val="18"/>
              </w:rPr>
              <w:t>新建</w:t>
            </w:r>
          </w:p>
        </w:tc>
        <w:tc>
          <w:tcPr>
            <w:tcW w:w="1193" w:type="dxa"/>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075" w:type="dxa"/>
            <w:vMerge w:val="continue"/>
            <w:vAlign w:val="center"/>
          </w:tcPr>
          <w:p>
            <w:pPr>
              <w:rPr>
                <w:rFonts w:ascii="宋体" w:hAnsi="宋体" w:cs="宋体"/>
                <w:color w:val="000000"/>
                <w:sz w:val="18"/>
                <w:szCs w:val="18"/>
              </w:rPr>
            </w:pPr>
          </w:p>
        </w:tc>
        <w:tc>
          <w:tcPr>
            <w:tcW w:w="977" w:type="dxa"/>
            <w:vMerge w:val="continue"/>
            <w:vAlign w:val="center"/>
          </w:tcPr>
          <w:p>
            <w:pPr>
              <w:rPr>
                <w:rFonts w:ascii="宋体" w:hAnsi="宋体" w:cs="宋体"/>
                <w:color w:val="000000"/>
                <w:sz w:val="18"/>
                <w:szCs w:val="18"/>
              </w:rPr>
            </w:pPr>
          </w:p>
        </w:tc>
        <w:tc>
          <w:tcPr>
            <w:tcW w:w="4478" w:type="dxa"/>
            <w:shd w:val="clear" w:color="auto" w:fill="auto"/>
            <w:vAlign w:val="center"/>
          </w:tcPr>
          <w:p>
            <w:pPr>
              <w:jc w:val="center"/>
              <w:rPr>
                <w:rFonts w:ascii="宋体" w:hAnsi="宋体" w:cs="宋体"/>
                <w:color w:val="000000"/>
                <w:sz w:val="18"/>
                <w:szCs w:val="18"/>
              </w:rPr>
            </w:pPr>
            <w:r>
              <w:rPr>
                <w:rFonts w:hint="eastAsia"/>
                <w:color w:val="000000"/>
                <w:sz w:val="18"/>
                <w:szCs w:val="18"/>
              </w:rPr>
              <w:t>各村</w:t>
            </w:r>
          </w:p>
        </w:tc>
        <w:tc>
          <w:tcPr>
            <w:tcW w:w="1240" w:type="dxa"/>
            <w:shd w:val="clear" w:color="auto" w:fill="auto"/>
            <w:vAlign w:val="center"/>
          </w:tcPr>
          <w:p>
            <w:pPr>
              <w:jc w:val="center"/>
              <w:rPr>
                <w:color w:val="000000"/>
                <w:sz w:val="18"/>
                <w:szCs w:val="18"/>
              </w:rPr>
            </w:pPr>
            <w:r>
              <w:rPr>
                <w:rFonts w:hint="eastAsia"/>
                <w:color w:val="000000"/>
                <w:sz w:val="18"/>
                <w:szCs w:val="18"/>
              </w:rPr>
              <w:t>市级重点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172" w:type="dxa"/>
            <w:vMerge w:val="continue"/>
            <w:vAlign w:val="center"/>
          </w:tcPr>
          <w:p>
            <w:pPr>
              <w:rPr>
                <w:rFonts w:ascii="宋体" w:hAnsi="宋体" w:cs="宋体"/>
                <w:color w:val="000000"/>
                <w:sz w:val="18"/>
                <w:szCs w:val="18"/>
              </w:rPr>
            </w:pPr>
          </w:p>
        </w:tc>
        <w:tc>
          <w:tcPr>
            <w:tcW w:w="2729" w:type="dxa"/>
            <w:shd w:val="clear" w:color="auto" w:fill="auto"/>
            <w:vAlign w:val="center"/>
          </w:tcPr>
          <w:p>
            <w:pPr>
              <w:jc w:val="center"/>
              <w:rPr>
                <w:color w:val="000000"/>
                <w:sz w:val="18"/>
                <w:szCs w:val="18"/>
              </w:rPr>
            </w:pPr>
            <w:r>
              <w:rPr>
                <w:rFonts w:hint="eastAsia"/>
                <w:color w:val="000000"/>
                <w:sz w:val="18"/>
                <w:szCs w:val="18"/>
              </w:rPr>
              <w:t>殡葬项目</w:t>
            </w:r>
          </w:p>
        </w:tc>
        <w:tc>
          <w:tcPr>
            <w:tcW w:w="1094" w:type="dxa"/>
            <w:shd w:val="clear" w:color="auto" w:fill="auto"/>
            <w:noWrap/>
            <w:vAlign w:val="center"/>
          </w:tcPr>
          <w:p>
            <w:pPr>
              <w:jc w:val="center"/>
              <w:rPr>
                <w:color w:val="000000"/>
                <w:sz w:val="18"/>
                <w:szCs w:val="18"/>
              </w:rPr>
            </w:pPr>
            <w:r>
              <w:rPr>
                <w:rFonts w:hint="eastAsia"/>
                <w:color w:val="000000"/>
                <w:sz w:val="18"/>
                <w:szCs w:val="18"/>
              </w:rPr>
              <w:t>新建</w:t>
            </w:r>
          </w:p>
        </w:tc>
        <w:tc>
          <w:tcPr>
            <w:tcW w:w="1193" w:type="dxa"/>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075" w:type="dxa"/>
            <w:vMerge w:val="continue"/>
            <w:vAlign w:val="center"/>
          </w:tcPr>
          <w:p>
            <w:pPr>
              <w:rPr>
                <w:rFonts w:ascii="宋体" w:hAnsi="宋体" w:cs="宋体"/>
                <w:color w:val="000000"/>
                <w:sz w:val="18"/>
                <w:szCs w:val="18"/>
              </w:rPr>
            </w:pPr>
          </w:p>
        </w:tc>
        <w:tc>
          <w:tcPr>
            <w:tcW w:w="977" w:type="dxa"/>
            <w:vMerge w:val="continue"/>
            <w:vAlign w:val="center"/>
          </w:tcPr>
          <w:p>
            <w:pPr>
              <w:rPr>
                <w:rFonts w:ascii="宋体" w:hAnsi="宋体" w:cs="宋体"/>
                <w:color w:val="000000"/>
                <w:sz w:val="18"/>
                <w:szCs w:val="18"/>
              </w:rPr>
            </w:pPr>
          </w:p>
        </w:tc>
        <w:tc>
          <w:tcPr>
            <w:tcW w:w="4478" w:type="dxa"/>
            <w:shd w:val="clear" w:color="auto" w:fill="auto"/>
            <w:vAlign w:val="center"/>
          </w:tcPr>
          <w:p>
            <w:pPr>
              <w:jc w:val="center"/>
              <w:rPr>
                <w:rFonts w:ascii="宋体" w:hAnsi="宋体" w:cs="宋体"/>
                <w:color w:val="000000"/>
                <w:sz w:val="18"/>
                <w:szCs w:val="18"/>
              </w:rPr>
            </w:pPr>
            <w:r>
              <w:rPr>
                <w:rFonts w:hint="eastAsia"/>
                <w:color w:val="000000"/>
                <w:sz w:val="18"/>
                <w:szCs w:val="18"/>
              </w:rPr>
              <w:t>各村</w:t>
            </w:r>
          </w:p>
        </w:tc>
        <w:tc>
          <w:tcPr>
            <w:tcW w:w="1240" w:type="dxa"/>
            <w:shd w:val="clear" w:color="auto" w:fill="auto"/>
            <w:vAlign w:val="center"/>
          </w:tcPr>
          <w:p>
            <w:pPr>
              <w:jc w:val="center"/>
              <w:rPr>
                <w:color w:val="000000"/>
                <w:sz w:val="18"/>
                <w:szCs w:val="18"/>
              </w:rPr>
            </w:pPr>
            <w:r>
              <w:rPr>
                <w:rFonts w:hint="eastAsia"/>
                <w:color w:val="000000"/>
                <w:sz w:val="18"/>
                <w:szCs w:val="18"/>
              </w:rPr>
              <w:t>市级重点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4995" w:type="dxa"/>
            <w:gridSpan w:val="3"/>
            <w:shd w:val="clear" w:color="auto" w:fill="auto"/>
            <w:noWrap/>
            <w:vAlign w:val="center"/>
          </w:tcPr>
          <w:p>
            <w:pPr>
              <w:jc w:val="center"/>
              <w:rPr>
                <w:b/>
                <w:bCs/>
                <w:color w:val="000000"/>
                <w:sz w:val="24"/>
                <w:szCs w:val="24"/>
              </w:rPr>
            </w:pPr>
            <w:r>
              <w:rPr>
                <w:rFonts w:hint="eastAsia"/>
                <w:b/>
                <w:bCs/>
                <w:color w:val="000000"/>
              </w:rPr>
              <w:t>合计</w:t>
            </w:r>
          </w:p>
        </w:tc>
        <w:tc>
          <w:tcPr>
            <w:tcW w:w="1193" w:type="dxa"/>
            <w:shd w:val="clear" w:color="auto" w:fill="auto"/>
            <w:vAlign w:val="center"/>
          </w:tcPr>
          <w:p>
            <w:pPr>
              <w:jc w:val="center"/>
              <w:rPr>
                <w:b/>
                <w:bCs/>
                <w:color w:val="000000"/>
              </w:rPr>
            </w:pPr>
            <w:r>
              <w:rPr>
                <w:rFonts w:hint="eastAsia"/>
                <w:b/>
                <w:bCs/>
                <w:color w:val="000000"/>
              </w:rPr>
              <w:t>　</w:t>
            </w:r>
          </w:p>
        </w:tc>
        <w:tc>
          <w:tcPr>
            <w:tcW w:w="1075" w:type="dxa"/>
            <w:shd w:val="clear" w:color="auto" w:fill="auto"/>
            <w:vAlign w:val="center"/>
          </w:tcPr>
          <w:p>
            <w:pPr>
              <w:jc w:val="center"/>
              <w:rPr>
                <w:rFonts w:ascii="Times New Roman" w:hAnsi="Times New Roman" w:eastAsia="等线"/>
                <w:b/>
                <w:bCs/>
                <w:color w:val="000000"/>
              </w:rPr>
            </w:pPr>
            <w:r>
              <w:rPr>
                <w:rFonts w:ascii="Times New Roman" w:hAnsi="Times New Roman" w:eastAsia="等线"/>
                <w:b/>
                <w:bCs/>
                <w:color w:val="000000"/>
              </w:rPr>
              <w:t>6.8</w:t>
            </w:r>
          </w:p>
        </w:tc>
        <w:tc>
          <w:tcPr>
            <w:tcW w:w="977" w:type="dxa"/>
            <w:shd w:val="clear" w:color="auto" w:fill="auto"/>
            <w:vAlign w:val="center"/>
          </w:tcPr>
          <w:p>
            <w:pPr>
              <w:jc w:val="center"/>
              <w:rPr>
                <w:rFonts w:ascii="Times New Roman" w:hAnsi="Times New Roman" w:eastAsia="等线"/>
                <w:b/>
                <w:bCs/>
                <w:color w:val="000000"/>
              </w:rPr>
            </w:pPr>
            <w:r>
              <w:rPr>
                <w:rFonts w:ascii="Times New Roman" w:hAnsi="Times New Roman" w:eastAsia="等线"/>
                <w:b/>
                <w:bCs/>
                <w:color w:val="000000"/>
              </w:rPr>
              <w:t>5.2</w:t>
            </w:r>
          </w:p>
        </w:tc>
        <w:tc>
          <w:tcPr>
            <w:tcW w:w="4478" w:type="dxa"/>
            <w:shd w:val="clear" w:color="auto" w:fill="auto"/>
            <w:noWrap/>
            <w:vAlign w:val="center"/>
          </w:tcPr>
          <w:p>
            <w:pPr>
              <w:jc w:val="center"/>
              <w:rPr>
                <w:rFonts w:ascii="宋体" w:hAnsi="宋体" w:cs="宋体"/>
                <w:b/>
                <w:bCs/>
                <w:color w:val="000000"/>
                <w:szCs w:val="21"/>
              </w:rPr>
            </w:pPr>
            <w:r>
              <w:rPr>
                <w:rFonts w:hint="eastAsia"/>
                <w:b/>
                <w:bCs/>
                <w:color w:val="000000"/>
                <w:szCs w:val="21"/>
              </w:rPr>
              <w:t>　</w:t>
            </w:r>
          </w:p>
        </w:tc>
        <w:tc>
          <w:tcPr>
            <w:tcW w:w="1240" w:type="dxa"/>
            <w:shd w:val="clear" w:color="auto" w:fill="auto"/>
            <w:vAlign w:val="center"/>
          </w:tcPr>
          <w:p>
            <w:pPr>
              <w:jc w:val="center"/>
              <w:rPr>
                <w:b/>
                <w:bCs/>
                <w:color w:val="000000"/>
                <w:szCs w:val="21"/>
              </w:rPr>
            </w:pPr>
            <w:r>
              <w:rPr>
                <w:rFonts w:hint="eastAsia"/>
                <w:b/>
                <w:bCs/>
                <w:color w:val="000000"/>
                <w:szCs w:val="21"/>
              </w:rPr>
              <w:t>　</w:t>
            </w:r>
          </w:p>
        </w:tc>
      </w:tr>
    </w:tbl>
    <w:p>
      <w:pPr>
        <w:pStyle w:val="3"/>
        <w:spacing w:before="0" w:after="0" w:line="240" w:lineRule="auto"/>
        <w:jc w:val="left"/>
        <w:rPr>
          <w:rFonts w:ascii="仿宋_GB2312" w:hAnsi="宋体"/>
          <w:bCs w:val="0"/>
          <w:color w:val="000000"/>
          <w:szCs w:val="30"/>
        </w:rPr>
      </w:pPr>
      <w:bookmarkStart w:id="145" w:name="_Toc486428885"/>
      <w:r>
        <w:rPr>
          <w:rFonts w:hint="eastAsia" w:ascii="仿宋_GB2312" w:hAnsi="宋体"/>
          <w:bCs w:val="0"/>
          <w:color w:val="000000"/>
          <w:sz w:val="28"/>
          <w:szCs w:val="28"/>
        </w:rPr>
        <w:t>附表六  石麟镇各村规划控制指标表</w:t>
      </w:r>
      <w:bookmarkEnd w:id="145"/>
    </w:p>
    <w:p>
      <w:pPr>
        <w:spacing w:line="240" w:lineRule="exact"/>
        <w:ind w:firstLine="425"/>
        <w:jc w:val="right"/>
        <w:rPr>
          <w:rFonts w:ascii="仿宋_GB2312" w:eastAsia="仿宋_GB2312"/>
          <w:color w:val="000000"/>
          <w:sz w:val="24"/>
          <w:szCs w:val="24"/>
        </w:rPr>
      </w:pPr>
      <w:r>
        <w:rPr>
          <w:rFonts w:hint="eastAsia" w:ascii="仿宋_GB2312" w:eastAsia="仿宋_GB2312"/>
          <w:color w:val="000000"/>
          <w:sz w:val="24"/>
          <w:szCs w:val="24"/>
        </w:rPr>
        <w:t>单位：公顷</w:t>
      </w:r>
    </w:p>
    <w:tbl>
      <w:tblPr>
        <w:tblStyle w:val="13"/>
        <w:tblW w:w="5000" w:type="pct"/>
        <w:tblInd w:w="0" w:type="dxa"/>
        <w:tblLayout w:type="autofit"/>
        <w:tblCellMar>
          <w:top w:w="15" w:type="dxa"/>
          <w:left w:w="108" w:type="dxa"/>
          <w:bottom w:w="15" w:type="dxa"/>
          <w:right w:w="108" w:type="dxa"/>
        </w:tblCellMar>
      </w:tblPr>
      <w:tblGrid>
        <w:gridCol w:w="1292"/>
        <w:gridCol w:w="908"/>
        <w:gridCol w:w="822"/>
        <w:gridCol w:w="802"/>
        <w:gridCol w:w="908"/>
        <w:gridCol w:w="426"/>
        <w:gridCol w:w="823"/>
        <w:gridCol w:w="823"/>
        <w:gridCol w:w="823"/>
        <w:gridCol w:w="823"/>
        <w:gridCol w:w="1245"/>
        <w:gridCol w:w="1129"/>
        <w:gridCol w:w="1129"/>
        <w:gridCol w:w="1475"/>
        <w:gridCol w:w="746"/>
      </w:tblGrid>
      <w:tr>
        <w:tblPrEx>
          <w:tblCellMar>
            <w:top w:w="15" w:type="dxa"/>
            <w:left w:w="108" w:type="dxa"/>
            <w:bottom w:w="15" w:type="dxa"/>
            <w:right w:w="108" w:type="dxa"/>
          </w:tblCellMar>
        </w:tblPrEx>
        <w:trPr>
          <w:trHeight w:val="285" w:hRule="atLeast"/>
        </w:trPr>
        <w:tc>
          <w:tcPr>
            <w:tcW w:w="45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乡(镇)名称</w:t>
            </w:r>
          </w:p>
        </w:tc>
        <w:tc>
          <w:tcPr>
            <w:tcW w:w="32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耕地保有量</w:t>
            </w:r>
          </w:p>
        </w:tc>
        <w:tc>
          <w:tcPr>
            <w:tcW w:w="29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基本农田保护面积</w:t>
            </w:r>
          </w:p>
        </w:tc>
        <w:tc>
          <w:tcPr>
            <w:tcW w:w="28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园地</w:t>
            </w:r>
          </w:p>
        </w:tc>
        <w:tc>
          <w:tcPr>
            <w:tcW w:w="32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林地</w:t>
            </w:r>
          </w:p>
        </w:tc>
        <w:tc>
          <w:tcPr>
            <w:tcW w:w="15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牧草地</w:t>
            </w:r>
          </w:p>
        </w:tc>
        <w:tc>
          <w:tcPr>
            <w:tcW w:w="29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建设用地总规模</w:t>
            </w:r>
          </w:p>
        </w:tc>
        <w:tc>
          <w:tcPr>
            <w:tcW w:w="29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城乡建设用地规模</w:t>
            </w:r>
          </w:p>
        </w:tc>
        <w:tc>
          <w:tcPr>
            <w:tcW w:w="29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城镇工矿规模</w:t>
            </w:r>
          </w:p>
        </w:tc>
        <w:tc>
          <w:tcPr>
            <w:tcW w:w="29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新增建设用地</w:t>
            </w:r>
          </w:p>
        </w:tc>
        <w:tc>
          <w:tcPr>
            <w:tcW w:w="43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新增建设占用农用地规模</w:t>
            </w:r>
          </w:p>
        </w:tc>
        <w:tc>
          <w:tcPr>
            <w:tcW w:w="39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新增建设占用耕地规模</w:t>
            </w:r>
          </w:p>
        </w:tc>
        <w:tc>
          <w:tcPr>
            <w:tcW w:w="39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土地整治补充耕地规模</w:t>
            </w:r>
          </w:p>
        </w:tc>
        <w:tc>
          <w:tcPr>
            <w:tcW w:w="52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人均城镇工矿用地（m2/人）</w:t>
            </w:r>
          </w:p>
        </w:tc>
        <w:tc>
          <w:tcPr>
            <w:tcW w:w="26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建设用地净增量</w:t>
            </w:r>
          </w:p>
        </w:tc>
      </w:tr>
      <w:tr>
        <w:tblPrEx>
          <w:tblCellMar>
            <w:top w:w="15" w:type="dxa"/>
            <w:left w:w="108" w:type="dxa"/>
            <w:bottom w:w="15" w:type="dxa"/>
            <w:right w:w="108" w:type="dxa"/>
          </w:tblCellMar>
        </w:tblPrEx>
        <w:trPr>
          <w:trHeight w:val="285" w:hRule="atLeast"/>
        </w:trPr>
        <w:tc>
          <w:tcPr>
            <w:tcW w:w="456" w:type="pct"/>
            <w:tcBorders>
              <w:top w:val="single" w:color="auto" w:sz="4" w:space="0"/>
              <w:left w:val="single" w:color="auto" w:sz="4" w:space="0"/>
              <w:bottom w:val="single" w:color="auto" w:sz="4" w:space="0"/>
              <w:right w:val="single" w:color="auto" w:sz="4" w:space="0"/>
            </w:tcBorders>
            <w:noWrap/>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方嘴村</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142.67</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76.32</w:t>
            </w:r>
          </w:p>
        </w:tc>
        <w:tc>
          <w:tcPr>
            <w:tcW w:w="283" w:type="pct"/>
            <w:tcBorders>
              <w:top w:val="single" w:color="auto" w:sz="4" w:space="0"/>
              <w:left w:val="single" w:color="auto" w:sz="4" w:space="0"/>
              <w:bottom w:val="single" w:color="auto" w:sz="4" w:space="0"/>
              <w:right w:val="single" w:color="auto" w:sz="4" w:space="0"/>
            </w:tcBorders>
            <w:noWrap/>
          </w:tcPr>
          <w:p>
            <w:r>
              <w:rPr>
                <w:rFonts w:hint="eastAsia"/>
              </w:rPr>
              <w:t>26.6</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358.75</w:t>
            </w:r>
          </w:p>
        </w:tc>
        <w:tc>
          <w:tcPr>
            <w:tcW w:w="150" w:type="pct"/>
            <w:tcBorders>
              <w:top w:val="single" w:color="auto" w:sz="4" w:space="0"/>
              <w:left w:val="single" w:color="auto" w:sz="4" w:space="0"/>
              <w:bottom w:val="single" w:color="auto" w:sz="4" w:space="0"/>
              <w:right w:val="single" w:color="auto" w:sz="4" w:space="0"/>
            </w:tcBorders>
            <w:noWrap/>
          </w:tcP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81.18</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78.24</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47.54</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11.07</w:t>
            </w:r>
          </w:p>
        </w:tc>
        <w:tc>
          <w:tcPr>
            <w:tcW w:w="439" w:type="pct"/>
            <w:tcBorders>
              <w:top w:val="single" w:color="auto" w:sz="4" w:space="0"/>
              <w:left w:val="single" w:color="auto" w:sz="4" w:space="0"/>
              <w:bottom w:val="single" w:color="auto" w:sz="4" w:space="0"/>
              <w:right w:val="single" w:color="auto" w:sz="4" w:space="0"/>
            </w:tcBorders>
            <w:noWrap/>
          </w:tcPr>
          <w:p>
            <w:r>
              <w:rPr>
                <w:rFonts w:hint="eastAsia"/>
              </w:rPr>
              <w:t>11.07</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5.54</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12.97</w:t>
            </w:r>
          </w:p>
        </w:tc>
        <w:tc>
          <w:tcPr>
            <w:tcW w:w="520" w:type="pct"/>
            <w:tcBorders>
              <w:top w:val="single" w:color="auto" w:sz="4" w:space="0"/>
              <w:left w:val="single" w:color="auto" w:sz="4" w:space="0"/>
              <w:bottom w:val="single" w:color="auto" w:sz="4" w:space="0"/>
              <w:right w:val="single" w:color="auto" w:sz="4" w:space="0"/>
            </w:tcBorders>
            <w:noWrap/>
          </w:tcPr>
          <w:p>
            <w:r>
              <w:rPr>
                <w:rFonts w:hint="eastAsia"/>
              </w:rPr>
              <w:t>120</w:t>
            </w:r>
          </w:p>
        </w:tc>
        <w:tc>
          <w:tcPr>
            <w:tcW w:w="263" w:type="pct"/>
            <w:tcBorders>
              <w:top w:val="single" w:color="auto" w:sz="4" w:space="0"/>
              <w:left w:val="single" w:color="auto" w:sz="4" w:space="0"/>
              <w:bottom w:val="single" w:color="auto" w:sz="4" w:space="0"/>
              <w:right w:val="single" w:color="auto" w:sz="4" w:space="0"/>
            </w:tcBorders>
            <w:noWrap/>
          </w:tcPr>
          <w:p>
            <w:r>
              <w:rPr>
                <w:rFonts w:hint="eastAsia"/>
              </w:rPr>
              <w:t>11.07</w:t>
            </w:r>
          </w:p>
        </w:tc>
      </w:tr>
      <w:tr>
        <w:tblPrEx>
          <w:tblCellMar>
            <w:top w:w="15" w:type="dxa"/>
            <w:left w:w="108" w:type="dxa"/>
            <w:bottom w:w="15" w:type="dxa"/>
            <w:right w:w="108" w:type="dxa"/>
          </w:tblCellMar>
        </w:tblPrEx>
        <w:trPr>
          <w:trHeight w:val="285" w:hRule="atLeast"/>
        </w:trPr>
        <w:tc>
          <w:tcPr>
            <w:tcW w:w="456" w:type="pct"/>
            <w:tcBorders>
              <w:top w:val="single" w:color="auto" w:sz="4" w:space="0"/>
              <w:left w:val="single" w:color="auto" w:sz="4" w:space="0"/>
              <w:bottom w:val="single" w:color="auto" w:sz="4" w:space="0"/>
              <w:right w:val="single" w:color="auto" w:sz="4" w:space="0"/>
            </w:tcBorders>
            <w:noWrap/>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兴无村</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175.03</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82.69</w:t>
            </w:r>
          </w:p>
        </w:tc>
        <w:tc>
          <w:tcPr>
            <w:tcW w:w="283" w:type="pct"/>
            <w:tcBorders>
              <w:top w:val="single" w:color="auto" w:sz="4" w:space="0"/>
              <w:left w:val="single" w:color="auto" w:sz="4" w:space="0"/>
              <w:bottom w:val="single" w:color="auto" w:sz="4" w:space="0"/>
              <w:right w:val="single" w:color="auto" w:sz="4" w:space="0"/>
            </w:tcBorders>
            <w:noWrap/>
          </w:tcPr>
          <w:p>
            <w:r>
              <w:rPr>
                <w:rFonts w:hint="eastAsia"/>
              </w:rPr>
              <w:t>10.12</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69.29</w:t>
            </w:r>
          </w:p>
        </w:tc>
        <w:tc>
          <w:tcPr>
            <w:tcW w:w="150" w:type="pct"/>
            <w:tcBorders>
              <w:top w:val="single" w:color="auto" w:sz="4" w:space="0"/>
              <w:left w:val="single" w:color="auto" w:sz="4" w:space="0"/>
              <w:bottom w:val="single" w:color="auto" w:sz="4" w:space="0"/>
              <w:right w:val="single" w:color="auto" w:sz="4" w:space="0"/>
            </w:tcBorders>
            <w:noWrap/>
          </w:tcP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30.67</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28.47</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4.42</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0.59</w:t>
            </w:r>
          </w:p>
        </w:tc>
        <w:tc>
          <w:tcPr>
            <w:tcW w:w="439" w:type="pct"/>
            <w:tcBorders>
              <w:top w:val="single" w:color="auto" w:sz="4" w:space="0"/>
              <w:left w:val="single" w:color="auto" w:sz="4" w:space="0"/>
              <w:bottom w:val="single" w:color="auto" w:sz="4" w:space="0"/>
              <w:right w:val="single" w:color="auto" w:sz="4" w:space="0"/>
            </w:tcBorders>
            <w:noWrap/>
          </w:tcPr>
          <w:p>
            <w:r>
              <w:rPr>
                <w:rFonts w:hint="eastAsia"/>
              </w:rPr>
              <w:t>0.59</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0.59</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14.24</w:t>
            </w:r>
          </w:p>
        </w:tc>
        <w:tc>
          <w:tcPr>
            <w:tcW w:w="520" w:type="pct"/>
            <w:tcBorders>
              <w:top w:val="single" w:color="auto" w:sz="4" w:space="0"/>
              <w:left w:val="single" w:color="auto" w:sz="4" w:space="0"/>
              <w:bottom w:val="single" w:color="auto" w:sz="4" w:space="0"/>
              <w:right w:val="single" w:color="auto" w:sz="4" w:space="0"/>
            </w:tcBorders>
            <w:noWrap/>
          </w:tcPr>
          <w:p>
            <w:r>
              <w:rPr>
                <w:rFonts w:hint="eastAsia"/>
              </w:rPr>
              <w:t>120</w:t>
            </w:r>
          </w:p>
        </w:tc>
        <w:tc>
          <w:tcPr>
            <w:tcW w:w="263" w:type="pct"/>
            <w:tcBorders>
              <w:top w:val="single" w:color="auto" w:sz="4" w:space="0"/>
              <w:left w:val="single" w:color="auto" w:sz="4" w:space="0"/>
              <w:bottom w:val="single" w:color="auto" w:sz="4" w:space="0"/>
              <w:right w:val="single" w:color="auto" w:sz="4" w:space="0"/>
            </w:tcBorders>
            <w:noWrap/>
          </w:tcPr>
          <w:p>
            <w:r>
              <w:rPr>
                <w:rFonts w:hint="eastAsia"/>
              </w:rPr>
              <w:t>0.59</w:t>
            </w:r>
          </w:p>
        </w:tc>
      </w:tr>
      <w:tr>
        <w:tblPrEx>
          <w:tblCellMar>
            <w:top w:w="15" w:type="dxa"/>
            <w:left w:w="108" w:type="dxa"/>
            <w:bottom w:w="15" w:type="dxa"/>
            <w:right w:w="108" w:type="dxa"/>
          </w:tblCellMar>
        </w:tblPrEx>
        <w:trPr>
          <w:trHeight w:val="285" w:hRule="atLeast"/>
        </w:trPr>
        <w:tc>
          <w:tcPr>
            <w:tcW w:w="456" w:type="pct"/>
            <w:tcBorders>
              <w:top w:val="single" w:color="auto" w:sz="4" w:space="0"/>
              <w:left w:val="single" w:color="auto" w:sz="4" w:space="0"/>
              <w:bottom w:val="single" w:color="auto" w:sz="4" w:space="0"/>
              <w:right w:val="single" w:color="auto" w:sz="4" w:space="0"/>
            </w:tcBorders>
            <w:noWrap/>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杨林坳村</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174.22</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169.68</w:t>
            </w:r>
          </w:p>
        </w:tc>
        <w:tc>
          <w:tcPr>
            <w:tcW w:w="283" w:type="pct"/>
            <w:tcBorders>
              <w:top w:val="single" w:color="auto" w:sz="4" w:space="0"/>
              <w:left w:val="single" w:color="auto" w:sz="4" w:space="0"/>
              <w:bottom w:val="single" w:color="auto" w:sz="4" w:space="0"/>
              <w:right w:val="single" w:color="auto" w:sz="4" w:space="0"/>
            </w:tcBorders>
            <w:noWrap/>
          </w:tcPr>
          <w:p>
            <w:r>
              <w:rPr>
                <w:rFonts w:hint="eastAsia"/>
              </w:rPr>
              <w:t>30.99</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89.78</w:t>
            </w:r>
          </w:p>
        </w:tc>
        <w:tc>
          <w:tcPr>
            <w:tcW w:w="150" w:type="pct"/>
            <w:tcBorders>
              <w:top w:val="single" w:color="auto" w:sz="4" w:space="0"/>
              <w:left w:val="single" w:color="auto" w:sz="4" w:space="0"/>
              <w:bottom w:val="single" w:color="auto" w:sz="4" w:space="0"/>
              <w:right w:val="single" w:color="auto" w:sz="4" w:space="0"/>
            </w:tcBorders>
            <w:noWrap/>
          </w:tcP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25.95</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25.5</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0.45</w:t>
            </w:r>
          </w:p>
        </w:tc>
        <w:tc>
          <w:tcPr>
            <w:tcW w:w="439" w:type="pct"/>
            <w:tcBorders>
              <w:top w:val="single" w:color="auto" w:sz="4" w:space="0"/>
              <w:left w:val="single" w:color="auto" w:sz="4" w:space="0"/>
              <w:bottom w:val="single" w:color="auto" w:sz="4" w:space="0"/>
              <w:right w:val="single" w:color="auto" w:sz="4" w:space="0"/>
            </w:tcBorders>
            <w:noWrap/>
          </w:tcPr>
          <w:p>
            <w:r>
              <w:rPr>
                <w:rFonts w:hint="eastAsia"/>
              </w:rPr>
              <w:t>0.45</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0.45</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16.75</w:t>
            </w:r>
          </w:p>
        </w:tc>
        <w:tc>
          <w:tcPr>
            <w:tcW w:w="520" w:type="pct"/>
            <w:tcBorders>
              <w:top w:val="single" w:color="auto" w:sz="4" w:space="0"/>
              <w:left w:val="single" w:color="auto" w:sz="4" w:space="0"/>
              <w:bottom w:val="single" w:color="auto" w:sz="4" w:space="0"/>
              <w:right w:val="single" w:color="auto" w:sz="4" w:space="0"/>
            </w:tcBorders>
            <w:noWrap/>
          </w:tcPr>
          <w:p/>
        </w:tc>
        <w:tc>
          <w:tcPr>
            <w:tcW w:w="263" w:type="pct"/>
            <w:tcBorders>
              <w:top w:val="single" w:color="auto" w:sz="4" w:space="0"/>
              <w:left w:val="single" w:color="auto" w:sz="4" w:space="0"/>
              <w:bottom w:val="single" w:color="auto" w:sz="4" w:space="0"/>
              <w:right w:val="single" w:color="auto" w:sz="4" w:space="0"/>
            </w:tcBorders>
            <w:noWrap/>
          </w:tcPr>
          <w:p>
            <w:r>
              <w:rPr>
                <w:rFonts w:hint="eastAsia"/>
              </w:rPr>
              <w:t>0.45</w:t>
            </w:r>
          </w:p>
        </w:tc>
      </w:tr>
      <w:tr>
        <w:tblPrEx>
          <w:tblCellMar>
            <w:top w:w="15" w:type="dxa"/>
            <w:left w:w="108" w:type="dxa"/>
            <w:bottom w:w="15" w:type="dxa"/>
            <w:right w:w="108" w:type="dxa"/>
          </w:tblCellMar>
        </w:tblPrEx>
        <w:trPr>
          <w:trHeight w:val="285" w:hRule="atLeast"/>
        </w:trPr>
        <w:tc>
          <w:tcPr>
            <w:tcW w:w="456" w:type="pct"/>
            <w:tcBorders>
              <w:top w:val="single" w:color="auto" w:sz="4" w:space="0"/>
              <w:left w:val="single" w:color="auto" w:sz="4" w:space="0"/>
              <w:bottom w:val="single" w:color="auto" w:sz="4" w:space="0"/>
              <w:right w:val="single" w:color="auto" w:sz="4" w:space="0"/>
            </w:tcBorders>
            <w:noWrap/>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阳光村</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197.68</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175.82</w:t>
            </w:r>
          </w:p>
        </w:tc>
        <w:tc>
          <w:tcPr>
            <w:tcW w:w="283" w:type="pct"/>
            <w:tcBorders>
              <w:top w:val="single" w:color="auto" w:sz="4" w:space="0"/>
              <w:left w:val="single" w:color="auto" w:sz="4" w:space="0"/>
              <w:bottom w:val="single" w:color="auto" w:sz="4" w:space="0"/>
              <w:right w:val="single" w:color="auto" w:sz="4" w:space="0"/>
            </w:tcBorders>
            <w:noWrap/>
          </w:tcPr>
          <w:p>
            <w:r>
              <w:rPr>
                <w:rFonts w:hint="eastAsia"/>
              </w:rPr>
              <w:t>13.06</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175.99</w:t>
            </w:r>
          </w:p>
        </w:tc>
        <w:tc>
          <w:tcPr>
            <w:tcW w:w="150" w:type="pct"/>
            <w:tcBorders>
              <w:top w:val="single" w:color="auto" w:sz="4" w:space="0"/>
              <w:left w:val="single" w:color="auto" w:sz="4" w:space="0"/>
              <w:bottom w:val="single" w:color="auto" w:sz="4" w:space="0"/>
              <w:right w:val="single" w:color="auto" w:sz="4" w:space="0"/>
            </w:tcBorders>
            <w:noWrap/>
          </w:tcP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28.44</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26.74</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1.7</w:t>
            </w:r>
          </w:p>
        </w:tc>
        <w:tc>
          <w:tcPr>
            <w:tcW w:w="439" w:type="pct"/>
            <w:tcBorders>
              <w:top w:val="single" w:color="auto" w:sz="4" w:space="0"/>
              <w:left w:val="single" w:color="auto" w:sz="4" w:space="0"/>
              <w:bottom w:val="single" w:color="auto" w:sz="4" w:space="0"/>
              <w:right w:val="single" w:color="auto" w:sz="4" w:space="0"/>
            </w:tcBorders>
            <w:noWrap/>
          </w:tcPr>
          <w:p>
            <w:r>
              <w:rPr>
                <w:rFonts w:hint="eastAsia"/>
              </w:rPr>
              <w:t>1.7</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1.7</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17.82</w:t>
            </w:r>
          </w:p>
        </w:tc>
        <w:tc>
          <w:tcPr>
            <w:tcW w:w="520" w:type="pct"/>
            <w:tcBorders>
              <w:top w:val="single" w:color="auto" w:sz="4" w:space="0"/>
              <w:left w:val="single" w:color="auto" w:sz="4" w:space="0"/>
              <w:bottom w:val="single" w:color="auto" w:sz="4" w:space="0"/>
              <w:right w:val="single" w:color="auto" w:sz="4" w:space="0"/>
            </w:tcBorders>
            <w:noWrap/>
          </w:tcPr>
          <w:p/>
        </w:tc>
        <w:tc>
          <w:tcPr>
            <w:tcW w:w="263" w:type="pct"/>
            <w:tcBorders>
              <w:top w:val="single" w:color="auto" w:sz="4" w:space="0"/>
              <w:left w:val="single" w:color="auto" w:sz="4" w:space="0"/>
              <w:bottom w:val="single" w:color="auto" w:sz="4" w:space="0"/>
              <w:right w:val="single" w:color="auto" w:sz="4" w:space="0"/>
            </w:tcBorders>
            <w:noWrap/>
          </w:tcPr>
          <w:p>
            <w:r>
              <w:rPr>
                <w:rFonts w:hint="eastAsia"/>
              </w:rPr>
              <w:t>1.7</w:t>
            </w:r>
          </w:p>
        </w:tc>
      </w:tr>
      <w:tr>
        <w:tblPrEx>
          <w:tblCellMar>
            <w:top w:w="15" w:type="dxa"/>
            <w:left w:w="108" w:type="dxa"/>
            <w:bottom w:w="15" w:type="dxa"/>
            <w:right w:w="108" w:type="dxa"/>
          </w:tblCellMar>
        </w:tblPrEx>
        <w:trPr>
          <w:trHeight w:val="285" w:hRule="atLeast"/>
        </w:trPr>
        <w:tc>
          <w:tcPr>
            <w:tcW w:w="456" w:type="pct"/>
            <w:tcBorders>
              <w:top w:val="single" w:color="auto" w:sz="4" w:space="0"/>
              <w:left w:val="single" w:color="auto" w:sz="4" w:space="0"/>
              <w:bottom w:val="single" w:color="auto" w:sz="4" w:space="0"/>
              <w:right w:val="single" w:color="auto" w:sz="4" w:space="0"/>
            </w:tcBorders>
            <w:noWrap/>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共同村</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206.73</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181.1</w:t>
            </w:r>
          </w:p>
        </w:tc>
        <w:tc>
          <w:tcPr>
            <w:tcW w:w="283" w:type="pct"/>
            <w:tcBorders>
              <w:top w:val="single" w:color="auto" w:sz="4" w:space="0"/>
              <w:left w:val="single" w:color="auto" w:sz="4" w:space="0"/>
              <w:bottom w:val="single" w:color="auto" w:sz="4" w:space="0"/>
              <w:right w:val="single" w:color="auto" w:sz="4" w:space="0"/>
            </w:tcBorders>
            <w:noWrap/>
          </w:tcPr>
          <w:p>
            <w:r>
              <w:rPr>
                <w:rFonts w:hint="eastAsia"/>
              </w:rPr>
              <w:t>7.12</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132.48</w:t>
            </w:r>
          </w:p>
        </w:tc>
        <w:tc>
          <w:tcPr>
            <w:tcW w:w="150" w:type="pct"/>
            <w:tcBorders>
              <w:top w:val="single" w:color="auto" w:sz="4" w:space="0"/>
              <w:left w:val="single" w:color="auto" w:sz="4" w:space="0"/>
              <w:bottom w:val="single" w:color="auto" w:sz="4" w:space="0"/>
              <w:right w:val="single" w:color="auto" w:sz="4" w:space="0"/>
            </w:tcBorders>
            <w:noWrap/>
          </w:tcP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26.05</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26.02</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439"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19.75</w:t>
            </w:r>
          </w:p>
        </w:tc>
        <w:tc>
          <w:tcPr>
            <w:tcW w:w="520" w:type="pct"/>
            <w:tcBorders>
              <w:top w:val="single" w:color="auto" w:sz="4" w:space="0"/>
              <w:left w:val="single" w:color="auto" w:sz="4" w:space="0"/>
              <w:bottom w:val="single" w:color="auto" w:sz="4" w:space="0"/>
              <w:right w:val="single" w:color="auto" w:sz="4" w:space="0"/>
            </w:tcBorders>
            <w:noWrap/>
          </w:tcPr>
          <w:p/>
        </w:tc>
        <w:tc>
          <w:tcPr>
            <w:tcW w:w="263" w:type="pct"/>
            <w:tcBorders>
              <w:top w:val="single" w:color="auto" w:sz="4" w:space="0"/>
              <w:left w:val="single" w:color="auto" w:sz="4" w:space="0"/>
              <w:bottom w:val="single" w:color="auto" w:sz="4" w:space="0"/>
              <w:right w:val="single" w:color="auto" w:sz="4" w:space="0"/>
            </w:tcBorders>
            <w:noWrap/>
          </w:tcPr>
          <w:p>
            <w:r>
              <w:rPr>
                <w:rFonts w:hint="eastAsia"/>
              </w:rPr>
              <w:t>0</w:t>
            </w:r>
          </w:p>
        </w:tc>
      </w:tr>
      <w:tr>
        <w:tblPrEx>
          <w:tblCellMar>
            <w:top w:w="15" w:type="dxa"/>
            <w:left w:w="108" w:type="dxa"/>
            <w:bottom w:w="15" w:type="dxa"/>
            <w:right w:w="108" w:type="dxa"/>
          </w:tblCellMar>
        </w:tblPrEx>
        <w:trPr>
          <w:trHeight w:val="285" w:hRule="atLeast"/>
        </w:trPr>
        <w:tc>
          <w:tcPr>
            <w:tcW w:w="456" w:type="pct"/>
            <w:tcBorders>
              <w:top w:val="single" w:color="auto" w:sz="4" w:space="0"/>
              <w:left w:val="single" w:color="auto" w:sz="4" w:space="0"/>
              <w:bottom w:val="single" w:color="auto" w:sz="4" w:space="0"/>
              <w:right w:val="single" w:color="auto" w:sz="4" w:space="0"/>
            </w:tcBorders>
            <w:noWrap/>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水保源村</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147.59</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123.97</w:t>
            </w:r>
          </w:p>
        </w:tc>
        <w:tc>
          <w:tcPr>
            <w:tcW w:w="283" w:type="pct"/>
            <w:tcBorders>
              <w:top w:val="single" w:color="auto" w:sz="4" w:space="0"/>
              <w:left w:val="single" w:color="auto" w:sz="4" w:space="0"/>
              <w:bottom w:val="single" w:color="auto" w:sz="4" w:space="0"/>
              <w:right w:val="single" w:color="auto" w:sz="4" w:space="0"/>
            </w:tcBorders>
            <w:noWrap/>
          </w:tcPr>
          <w:p>
            <w:r>
              <w:rPr>
                <w:rFonts w:hint="eastAsia"/>
              </w:rPr>
              <w:t>2.37</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135.56</w:t>
            </w:r>
          </w:p>
        </w:tc>
        <w:tc>
          <w:tcPr>
            <w:tcW w:w="150" w:type="pct"/>
            <w:tcBorders>
              <w:top w:val="single" w:color="auto" w:sz="4" w:space="0"/>
              <w:left w:val="single" w:color="auto" w:sz="4" w:space="0"/>
              <w:bottom w:val="single" w:color="auto" w:sz="4" w:space="0"/>
              <w:right w:val="single" w:color="auto" w:sz="4" w:space="0"/>
            </w:tcBorders>
            <w:noWrap/>
          </w:tcP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20.29</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17.64</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1.74</w:t>
            </w:r>
          </w:p>
        </w:tc>
        <w:tc>
          <w:tcPr>
            <w:tcW w:w="439" w:type="pct"/>
            <w:tcBorders>
              <w:top w:val="single" w:color="auto" w:sz="4" w:space="0"/>
              <w:left w:val="single" w:color="auto" w:sz="4" w:space="0"/>
              <w:bottom w:val="single" w:color="auto" w:sz="4" w:space="0"/>
              <w:right w:val="single" w:color="auto" w:sz="4" w:space="0"/>
            </w:tcBorders>
            <w:noWrap/>
          </w:tcPr>
          <w:p>
            <w:r>
              <w:rPr>
                <w:rFonts w:hint="eastAsia"/>
              </w:rPr>
              <w:t>1.74</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1.74</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13.72</w:t>
            </w:r>
          </w:p>
        </w:tc>
        <w:tc>
          <w:tcPr>
            <w:tcW w:w="520" w:type="pct"/>
            <w:tcBorders>
              <w:top w:val="single" w:color="auto" w:sz="4" w:space="0"/>
              <w:left w:val="single" w:color="auto" w:sz="4" w:space="0"/>
              <w:bottom w:val="single" w:color="auto" w:sz="4" w:space="0"/>
              <w:right w:val="single" w:color="auto" w:sz="4" w:space="0"/>
            </w:tcBorders>
            <w:noWrap/>
          </w:tcPr>
          <w:p/>
        </w:tc>
        <w:tc>
          <w:tcPr>
            <w:tcW w:w="263" w:type="pct"/>
            <w:tcBorders>
              <w:top w:val="single" w:color="auto" w:sz="4" w:space="0"/>
              <w:left w:val="single" w:color="auto" w:sz="4" w:space="0"/>
              <w:bottom w:val="single" w:color="auto" w:sz="4" w:space="0"/>
              <w:right w:val="single" w:color="auto" w:sz="4" w:space="0"/>
            </w:tcBorders>
            <w:noWrap/>
          </w:tcPr>
          <w:p>
            <w:r>
              <w:rPr>
                <w:rFonts w:hint="eastAsia"/>
              </w:rPr>
              <w:t>1.74</w:t>
            </w:r>
          </w:p>
        </w:tc>
      </w:tr>
      <w:tr>
        <w:tblPrEx>
          <w:tblCellMar>
            <w:top w:w="15" w:type="dxa"/>
            <w:left w:w="108" w:type="dxa"/>
            <w:bottom w:w="15" w:type="dxa"/>
            <w:right w:w="108" w:type="dxa"/>
          </w:tblCellMar>
        </w:tblPrEx>
        <w:trPr>
          <w:trHeight w:val="285" w:hRule="atLeast"/>
        </w:trPr>
        <w:tc>
          <w:tcPr>
            <w:tcW w:w="456" w:type="pct"/>
            <w:tcBorders>
              <w:top w:val="single" w:color="auto" w:sz="4" w:space="0"/>
              <w:left w:val="single" w:color="auto" w:sz="4" w:space="0"/>
              <w:bottom w:val="single" w:color="auto" w:sz="4" w:space="0"/>
              <w:right w:val="single" w:color="auto" w:sz="4" w:space="0"/>
            </w:tcBorders>
            <w:noWrap/>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许店儿村</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168.31</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155.45</w:t>
            </w:r>
          </w:p>
        </w:tc>
        <w:tc>
          <w:tcPr>
            <w:tcW w:w="283" w:type="pct"/>
            <w:tcBorders>
              <w:top w:val="single" w:color="auto" w:sz="4" w:space="0"/>
              <w:left w:val="single" w:color="auto" w:sz="4" w:space="0"/>
              <w:bottom w:val="single" w:color="auto" w:sz="4" w:space="0"/>
              <w:right w:val="single" w:color="auto" w:sz="4" w:space="0"/>
            </w:tcBorders>
            <w:noWrap/>
          </w:tcPr>
          <w:p>
            <w:r>
              <w:rPr>
                <w:rFonts w:hint="eastAsia"/>
              </w:rPr>
              <w:t>9.48</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68.84</w:t>
            </w:r>
          </w:p>
        </w:tc>
        <w:tc>
          <w:tcPr>
            <w:tcW w:w="150" w:type="pct"/>
            <w:tcBorders>
              <w:top w:val="single" w:color="auto" w:sz="4" w:space="0"/>
              <w:left w:val="single" w:color="auto" w:sz="4" w:space="0"/>
              <w:bottom w:val="single" w:color="auto" w:sz="4" w:space="0"/>
              <w:right w:val="single" w:color="auto" w:sz="4" w:space="0"/>
            </w:tcBorders>
            <w:noWrap/>
          </w:tcP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20.21</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20.21</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439"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15.5</w:t>
            </w:r>
          </w:p>
        </w:tc>
        <w:tc>
          <w:tcPr>
            <w:tcW w:w="520" w:type="pct"/>
            <w:tcBorders>
              <w:top w:val="single" w:color="auto" w:sz="4" w:space="0"/>
              <w:left w:val="single" w:color="auto" w:sz="4" w:space="0"/>
              <w:bottom w:val="single" w:color="auto" w:sz="4" w:space="0"/>
              <w:right w:val="single" w:color="auto" w:sz="4" w:space="0"/>
            </w:tcBorders>
            <w:noWrap/>
          </w:tcPr>
          <w:p/>
        </w:tc>
        <w:tc>
          <w:tcPr>
            <w:tcW w:w="263" w:type="pct"/>
            <w:tcBorders>
              <w:top w:val="single" w:color="auto" w:sz="4" w:space="0"/>
              <w:left w:val="single" w:color="auto" w:sz="4" w:space="0"/>
              <w:bottom w:val="single" w:color="auto" w:sz="4" w:space="0"/>
              <w:right w:val="single" w:color="auto" w:sz="4" w:space="0"/>
            </w:tcBorders>
            <w:noWrap/>
          </w:tcPr>
          <w:p>
            <w:r>
              <w:rPr>
                <w:rFonts w:hint="eastAsia"/>
              </w:rPr>
              <w:t>0</w:t>
            </w:r>
          </w:p>
        </w:tc>
      </w:tr>
      <w:tr>
        <w:tblPrEx>
          <w:tblCellMar>
            <w:top w:w="15" w:type="dxa"/>
            <w:left w:w="108" w:type="dxa"/>
            <w:bottom w:w="15" w:type="dxa"/>
            <w:right w:w="108" w:type="dxa"/>
          </w:tblCellMar>
        </w:tblPrEx>
        <w:trPr>
          <w:trHeight w:val="285" w:hRule="atLeast"/>
        </w:trPr>
        <w:tc>
          <w:tcPr>
            <w:tcW w:w="456" w:type="pct"/>
            <w:tcBorders>
              <w:top w:val="single" w:color="auto" w:sz="4" w:space="0"/>
              <w:left w:val="single" w:color="auto" w:sz="4" w:space="0"/>
              <w:bottom w:val="single" w:color="auto" w:sz="4" w:space="0"/>
              <w:right w:val="single" w:color="auto" w:sz="4" w:space="0"/>
            </w:tcBorders>
            <w:noWrap/>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碗厂村</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136.43</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121.44</w:t>
            </w:r>
          </w:p>
        </w:tc>
        <w:tc>
          <w:tcPr>
            <w:tcW w:w="283" w:type="pct"/>
            <w:tcBorders>
              <w:top w:val="single" w:color="auto" w:sz="4" w:space="0"/>
              <w:left w:val="single" w:color="auto" w:sz="4" w:space="0"/>
              <w:bottom w:val="single" w:color="auto" w:sz="4" w:space="0"/>
              <w:right w:val="single" w:color="auto" w:sz="4" w:space="0"/>
            </w:tcBorders>
            <w:noWrap/>
          </w:tcPr>
          <w:p>
            <w:r>
              <w:rPr>
                <w:rFonts w:hint="eastAsia"/>
              </w:rPr>
              <w:t>39.16</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321.18</w:t>
            </w:r>
          </w:p>
        </w:tc>
        <w:tc>
          <w:tcPr>
            <w:tcW w:w="150" w:type="pct"/>
            <w:tcBorders>
              <w:top w:val="single" w:color="auto" w:sz="4" w:space="0"/>
              <w:left w:val="single" w:color="auto" w:sz="4" w:space="0"/>
              <w:bottom w:val="single" w:color="auto" w:sz="4" w:space="0"/>
              <w:right w:val="single" w:color="auto" w:sz="4" w:space="0"/>
            </w:tcBorders>
            <w:noWrap/>
          </w:tcP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22.72</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22.72</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0.74</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439"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15.22</w:t>
            </w:r>
          </w:p>
        </w:tc>
        <w:tc>
          <w:tcPr>
            <w:tcW w:w="520" w:type="pct"/>
            <w:tcBorders>
              <w:top w:val="single" w:color="auto" w:sz="4" w:space="0"/>
              <w:left w:val="single" w:color="auto" w:sz="4" w:space="0"/>
              <w:bottom w:val="single" w:color="auto" w:sz="4" w:space="0"/>
              <w:right w:val="single" w:color="auto" w:sz="4" w:space="0"/>
            </w:tcBorders>
            <w:noWrap/>
          </w:tcPr>
          <w:p>
            <w:r>
              <w:rPr>
                <w:rFonts w:hint="eastAsia"/>
              </w:rPr>
              <w:t>120</w:t>
            </w:r>
          </w:p>
        </w:tc>
        <w:tc>
          <w:tcPr>
            <w:tcW w:w="263" w:type="pct"/>
            <w:tcBorders>
              <w:top w:val="single" w:color="auto" w:sz="4" w:space="0"/>
              <w:left w:val="single" w:color="auto" w:sz="4" w:space="0"/>
              <w:bottom w:val="single" w:color="auto" w:sz="4" w:space="0"/>
              <w:right w:val="single" w:color="auto" w:sz="4" w:space="0"/>
            </w:tcBorders>
            <w:noWrap/>
          </w:tcPr>
          <w:p>
            <w:r>
              <w:rPr>
                <w:rFonts w:hint="eastAsia"/>
              </w:rPr>
              <w:t>0</w:t>
            </w:r>
          </w:p>
        </w:tc>
      </w:tr>
      <w:tr>
        <w:tblPrEx>
          <w:tblCellMar>
            <w:top w:w="15" w:type="dxa"/>
            <w:left w:w="108" w:type="dxa"/>
            <w:bottom w:w="15" w:type="dxa"/>
            <w:right w:w="108" w:type="dxa"/>
          </w:tblCellMar>
        </w:tblPrEx>
        <w:trPr>
          <w:trHeight w:val="285" w:hRule="atLeast"/>
        </w:trPr>
        <w:tc>
          <w:tcPr>
            <w:tcW w:w="456" w:type="pct"/>
            <w:tcBorders>
              <w:top w:val="single" w:color="auto" w:sz="4" w:space="0"/>
              <w:left w:val="single" w:color="auto" w:sz="4" w:space="0"/>
              <w:bottom w:val="single" w:color="auto" w:sz="4" w:space="0"/>
              <w:right w:val="single" w:color="auto" w:sz="4" w:space="0"/>
            </w:tcBorders>
            <w:noWrap/>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程河沟村</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111.84</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98.85</w:t>
            </w:r>
          </w:p>
        </w:tc>
        <w:tc>
          <w:tcPr>
            <w:tcW w:w="283" w:type="pct"/>
            <w:tcBorders>
              <w:top w:val="single" w:color="auto" w:sz="4" w:space="0"/>
              <w:left w:val="single" w:color="auto" w:sz="4" w:space="0"/>
              <w:bottom w:val="single" w:color="auto" w:sz="4" w:space="0"/>
              <w:right w:val="single" w:color="auto" w:sz="4" w:space="0"/>
            </w:tcBorders>
            <w:noWrap/>
          </w:tcPr>
          <w:p>
            <w:r>
              <w:rPr>
                <w:rFonts w:hint="eastAsia"/>
              </w:rPr>
              <w:t>3.92</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74.65</w:t>
            </w:r>
          </w:p>
        </w:tc>
        <w:tc>
          <w:tcPr>
            <w:tcW w:w="150" w:type="pct"/>
            <w:tcBorders>
              <w:top w:val="single" w:color="auto" w:sz="4" w:space="0"/>
              <w:left w:val="single" w:color="auto" w:sz="4" w:space="0"/>
              <w:bottom w:val="single" w:color="auto" w:sz="4" w:space="0"/>
              <w:right w:val="single" w:color="auto" w:sz="4" w:space="0"/>
            </w:tcBorders>
            <w:noWrap/>
          </w:tcP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13.48</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12.62</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0.86</w:t>
            </w:r>
          </w:p>
        </w:tc>
        <w:tc>
          <w:tcPr>
            <w:tcW w:w="439" w:type="pct"/>
            <w:tcBorders>
              <w:top w:val="single" w:color="auto" w:sz="4" w:space="0"/>
              <w:left w:val="single" w:color="auto" w:sz="4" w:space="0"/>
              <w:bottom w:val="single" w:color="auto" w:sz="4" w:space="0"/>
              <w:right w:val="single" w:color="auto" w:sz="4" w:space="0"/>
            </w:tcBorders>
            <w:noWrap/>
          </w:tcPr>
          <w:p>
            <w:r>
              <w:rPr>
                <w:rFonts w:hint="eastAsia"/>
              </w:rPr>
              <w:t>0.86</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0.86</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11.3</w:t>
            </w:r>
          </w:p>
        </w:tc>
        <w:tc>
          <w:tcPr>
            <w:tcW w:w="520" w:type="pct"/>
            <w:tcBorders>
              <w:top w:val="single" w:color="auto" w:sz="4" w:space="0"/>
              <w:left w:val="single" w:color="auto" w:sz="4" w:space="0"/>
              <w:bottom w:val="single" w:color="auto" w:sz="4" w:space="0"/>
              <w:right w:val="single" w:color="auto" w:sz="4" w:space="0"/>
            </w:tcBorders>
            <w:noWrap/>
          </w:tcPr>
          <w:p/>
        </w:tc>
        <w:tc>
          <w:tcPr>
            <w:tcW w:w="263" w:type="pct"/>
            <w:tcBorders>
              <w:top w:val="single" w:color="auto" w:sz="4" w:space="0"/>
              <w:left w:val="single" w:color="auto" w:sz="4" w:space="0"/>
              <w:bottom w:val="single" w:color="auto" w:sz="4" w:space="0"/>
              <w:right w:val="single" w:color="auto" w:sz="4" w:space="0"/>
            </w:tcBorders>
            <w:noWrap/>
          </w:tcPr>
          <w:p>
            <w:r>
              <w:rPr>
                <w:rFonts w:hint="eastAsia"/>
              </w:rPr>
              <w:t>0.86</w:t>
            </w:r>
          </w:p>
        </w:tc>
      </w:tr>
      <w:tr>
        <w:tblPrEx>
          <w:tblCellMar>
            <w:top w:w="15" w:type="dxa"/>
            <w:left w:w="108" w:type="dxa"/>
            <w:bottom w:w="15" w:type="dxa"/>
            <w:right w:w="108" w:type="dxa"/>
          </w:tblCellMar>
        </w:tblPrEx>
        <w:trPr>
          <w:trHeight w:val="285" w:hRule="atLeast"/>
        </w:trPr>
        <w:tc>
          <w:tcPr>
            <w:tcW w:w="456" w:type="pct"/>
            <w:tcBorders>
              <w:top w:val="single" w:color="auto" w:sz="4" w:space="0"/>
              <w:left w:val="single" w:color="auto" w:sz="4" w:space="0"/>
              <w:bottom w:val="single" w:color="auto" w:sz="4" w:space="0"/>
              <w:right w:val="single" w:color="auto" w:sz="4" w:space="0"/>
            </w:tcBorders>
            <w:noWrap/>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飞来村</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87.38</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46.76</w:t>
            </w:r>
          </w:p>
        </w:tc>
        <w:tc>
          <w:tcPr>
            <w:tcW w:w="283" w:type="pct"/>
            <w:tcBorders>
              <w:top w:val="single" w:color="auto" w:sz="4" w:space="0"/>
              <w:left w:val="single" w:color="auto" w:sz="4" w:space="0"/>
              <w:bottom w:val="single" w:color="auto" w:sz="4" w:space="0"/>
              <w:right w:val="single" w:color="auto" w:sz="4" w:space="0"/>
            </w:tcBorders>
            <w:noWrap/>
          </w:tcPr>
          <w:p>
            <w:r>
              <w:rPr>
                <w:rFonts w:hint="eastAsia"/>
              </w:rPr>
              <w:t>3.63</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90.04</w:t>
            </w:r>
          </w:p>
        </w:tc>
        <w:tc>
          <w:tcPr>
            <w:tcW w:w="150" w:type="pct"/>
            <w:tcBorders>
              <w:top w:val="single" w:color="auto" w:sz="4" w:space="0"/>
              <w:left w:val="single" w:color="auto" w:sz="4" w:space="0"/>
              <w:bottom w:val="single" w:color="auto" w:sz="4" w:space="0"/>
              <w:right w:val="single" w:color="auto" w:sz="4" w:space="0"/>
            </w:tcBorders>
            <w:noWrap/>
          </w:tcP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12.39</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11.46</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0.93</w:t>
            </w:r>
          </w:p>
        </w:tc>
        <w:tc>
          <w:tcPr>
            <w:tcW w:w="439" w:type="pct"/>
            <w:tcBorders>
              <w:top w:val="single" w:color="auto" w:sz="4" w:space="0"/>
              <w:left w:val="single" w:color="auto" w:sz="4" w:space="0"/>
              <w:bottom w:val="single" w:color="auto" w:sz="4" w:space="0"/>
              <w:right w:val="single" w:color="auto" w:sz="4" w:space="0"/>
            </w:tcBorders>
            <w:noWrap/>
          </w:tcPr>
          <w:p>
            <w:r>
              <w:rPr>
                <w:rFonts w:hint="eastAsia"/>
              </w:rPr>
              <w:t>0.93</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0.93</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7.55</w:t>
            </w:r>
          </w:p>
        </w:tc>
        <w:tc>
          <w:tcPr>
            <w:tcW w:w="520" w:type="pct"/>
            <w:tcBorders>
              <w:top w:val="single" w:color="auto" w:sz="4" w:space="0"/>
              <w:left w:val="single" w:color="auto" w:sz="4" w:space="0"/>
              <w:bottom w:val="single" w:color="auto" w:sz="4" w:space="0"/>
              <w:right w:val="single" w:color="auto" w:sz="4" w:space="0"/>
            </w:tcBorders>
            <w:noWrap/>
          </w:tcPr>
          <w:p/>
        </w:tc>
        <w:tc>
          <w:tcPr>
            <w:tcW w:w="263" w:type="pct"/>
            <w:tcBorders>
              <w:top w:val="single" w:color="auto" w:sz="4" w:space="0"/>
              <w:left w:val="single" w:color="auto" w:sz="4" w:space="0"/>
              <w:bottom w:val="single" w:color="auto" w:sz="4" w:space="0"/>
              <w:right w:val="single" w:color="auto" w:sz="4" w:space="0"/>
            </w:tcBorders>
            <w:noWrap/>
          </w:tcPr>
          <w:p>
            <w:r>
              <w:rPr>
                <w:rFonts w:hint="eastAsia"/>
              </w:rPr>
              <w:t>0.93</w:t>
            </w:r>
          </w:p>
        </w:tc>
      </w:tr>
      <w:tr>
        <w:tblPrEx>
          <w:tblCellMar>
            <w:top w:w="15" w:type="dxa"/>
            <w:left w:w="108" w:type="dxa"/>
            <w:bottom w:w="15" w:type="dxa"/>
            <w:right w:w="108" w:type="dxa"/>
          </w:tblCellMar>
        </w:tblPrEx>
        <w:trPr>
          <w:trHeight w:val="285" w:hRule="atLeast"/>
        </w:trPr>
        <w:tc>
          <w:tcPr>
            <w:tcW w:w="456" w:type="pct"/>
            <w:tcBorders>
              <w:top w:val="single" w:color="auto" w:sz="4" w:space="0"/>
              <w:left w:val="single" w:color="auto" w:sz="4" w:space="0"/>
              <w:bottom w:val="single" w:color="auto" w:sz="4" w:space="0"/>
              <w:right w:val="single" w:color="auto" w:sz="4" w:space="0"/>
            </w:tcBorders>
            <w:noWrap/>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南山村</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82.74</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58.38</w:t>
            </w:r>
          </w:p>
        </w:tc>
        <w:tc>
          <w:tcPr>
            <w:tcW w:w="283" w:type="pct"/>
            <w:tcBorders>
              <w:top w:val="single" w:color="auto" w:sz="4" w:space="0"/>
              <w:left w:val="single" w:color="auto" w:sz="4" w:space="0"/>
              <w:bottom w:val="single" w:color="auto" w:sz="4" w:space="0"/>
              <w:right w:val="single" w:color="auto" w:sz="4" w:space="0"/>
            </w:tcBorders>
            <w:noWrap/>
          </w:tcPr>
          <w:p>
            <w:r>
              <w:rPr>
                <w:rFonts w:hint="eastAsia"/>
              </w:rPr>
              <w:t>4.09</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78.34</w:t>
            </w:r>
          </w:p>
        </w:tc>
        <w:tc>
          <w:tcPr>
            <w:tcW w:w="150" w:type="pct"/>
            <w:tcBorders>
              <w:top w:val="single" w:color="auto" w:sz="4" w:space="0"/>
              <w:left w:val="single" w:color="auto" w:sz="4" w:space="0"/>
              <w:bottom w:val="single" w:color="auto" w:sz="4" w:space="0"/>
              <w:right w:val="single" w:color="auto" w:sz="4" w:space="0"/>
            </w:tcBorders>
            <w:noWrap/>
          </w:tcP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17.36</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16.88</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2.34</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0.42</w:t>
            </w:r>
          </w:p>
        </w:tc>
        <w:tc>
          <w:tcPr>
            <w:tcW w:w="439" w:type="pct"/>
            <w:tcBorders>
              <w:top w:val="single" w:color="auto" w:sz="4" w:space="0"/>
              <w:left w:val="single" w:color="auto" w:sz="4" w:space="0"/>
              <w:bottom w:val="single" w:color="auto" w:sz="4" w:space="0"/>
              <w:right w:val="single" w:color="auto" w:sz="4" w:space="0"/>
            </w:tcBorders>
            <w:noWrap/>
          </w:tcPr>
          <w:p>
            <w:r>
              <w:rPr>
                <w:rFonts w:hint="eastAsia"/>
              </w:rPr>
              <w:t>0.42</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0.42</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7.47</w:t>
            </w:r>
          </w:p>
        </w:tc>
        <w:tc>
          <w:tcPr>
            <w:tcW w:w="520" w:type="pct"/>
            <w:tcBorders>
              <w:top w:val="single" w:color="auto" w:sz="4" w:space="0"/>
              <w:left w:val="single" w:color="auto" w:sz="4" w:space="0"/>
              <w:bottom w:val="single" w:color="auto" w:sz="4" w:space="0"/>
              <w:right w:val="single" w:color="auto" w:sz="4" w:space="0"/>
            </w:tcBorders>
            <w:noWrap/>
          </w:tcPr>
          <w:p>
            <w:r>
              <w:rPr>
                <w:rFonts w:hint="eastAsia"/>
              </w:rPr>
              <w:t>120</w:t>
            </w:r>
          </w:p>
        </w:tc>
        <w:tc>
          <w:tcPr>
            <w:tcW w:w="263" w:type="pct"/>
            <w:tcBorders>
              <w:top w:val="single" w:color="auto" w:sz="4" w:space="0"/>
              <w:left w:val="single" w:color="auto" w:sz="4" w:space="0"/>
              <w:bottom w:val="single" w:color="auto" w:sz="4" w:space="0"/>
              <w:right w:val="single" w:color="auto" w:sz="4" w:space="0"/>
            </w:tcBorders>
            <w:noWrap/>
          </w:tcPr>
          <w:p>
            <w:r>
              <w:rPr>
                <w:rFonts w:hint="eastAsia"/>
              </w:rPr>
              <w:t>0.42</w:t>
            </w:r>
          </w:p>
        </w:tc>
      </w:tr>
      <w:tr>
        <w:tblPrEx>
          <w:tblCellMar>
            <w:top w:w="15" w:type="dxa"/>
            <w:left w:w="108" w:type="dxa"/>
            <w:bottom w:w="15" w:type="dxa"/>
            <w:right w:w="108" w:type="dxa"/>
          </w:tblCellMar>
        </w:tblPrEx>
        <w:trPr>
          <w:trHeight w:val="285" w:hRule="atLeast"/>
        </w:trPr>
        <w:tc>
          <w:tcPr>
            <w:tcW w:w="456" w:type="pct"/>
            <w:tcBorders>
              <w:top w:val="single" w:color="auto" w:sz="4" w:space="0"/>
              <w:left w:val="single" w:color="auto" w:sz="4" w:space="0"/>
              <w:bottom w:val="single" w:color="auto" w:sz="4" w:space="0"/>
              <w:right w:val="single" w:color="auto" w:sz="4" w:space="0"/>
            </w:tcBorders>
            <w:noWrap/>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白房子村</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51.36</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46.69</w:t>
            </w:r>
          </w:p>
        </w:tc>
        <w:tc>
          <w:tcPr>
            <w:tcW w:w="283" w:type="pct"/>
            <w:tcBorders>
              <w:top w:val="single" w:color="auto" w:sz="4" w:space="0"/>
              <w:left w:val="single" w:color="auto" w:sz="4" w:space="0"/>
              <w:bottom w:val="single" w:color="auto" w:sz="4" w:space="0"/>
              <w:right w:val="single" w:color="auto" w:sz="4" w:space="0"/>
            </w:tcBorders>
            <w:noWrap/>
          </w:tcPr>
          <w:p>
            <w:r>
              <w:rPr>
                <w:rFonts w:hint="eastAsia"/>
              </w:rPr>
              <w:t>8.87</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120.14</w:t>
            </w:r>
          </w:p>
        </w:tc>
        <w:tc>
          <w:tcPr>
            <w:tcW w:w="150"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11.37</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11.37</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2.55</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439"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7.42</w:t>
            </w:r>
          </w:p>
        </w:tc>
        <w:tc>
          <w:tcPr>
            <w:tcW w:w="520" w:type="pct"/>
            <w:tcBorders>
              <w:top w:val="single" w:color="auto" w:sz="4" w:space="0"/>
              <w:left w:val="single" w:color="auto" w:sz="4" w:space="0"/>
              <w:bottom w:val="single" w:color="auto" w:sz="4" w:space="0"/>
              <w:right w:val="single" w:color="auto" w:sz="4" w:space="0"/>
            </w:tcBorders>
            <w:noWrap/>
          </w:tcPr>
          <w:p>
            <w:r>
              <w:rPr>
                <w:rFonts w:hint="eastAsia"/>
              </w:rPr>
              <w:t>120</w:t>
            </w:r>
          </w:p>
        </w:tc>
        <w:tc>
          <w:tcPr>
            <w:tcW w:w="263" w:type="pct"/>
            <w:tcBorders>
              <w:top w:val="single" w:color="auto" w:sz="4" w:space="0"/>
              <w:left w:val="single" w:color="auto" w:sz="4" w:space="0"/>
              <w:bottom w:val="single" w:color="auto" w:sz="4" w:space="0"/>
              <w:right w:val="single" w:color="auto" w:sz="4" w:space="0"/>
            </w:tcBorders>
            <w:noWrap/>
          </w:tcPr>
          <w:p>
            <w:r>
              <w:rPr>
                <w:rFonts w:hint="eastAsia"/>
              </w:rPr>
              <w:t>0</w:t>
            </w:r>
          </w:p>
        </w:tc>
      </w:tr>
      <w:tr>
        <w:tblPrEx>
          <w:tblCellMar>
            <w:top w:w="15" w:type="dxa"/>
            <w:left w:w="108" w:type="dxa"/>
            <w:bottom w:w="15" w:type="dxa"/>
            <w:right w:w="108" w:type="dxa"/>
          </w:tblCellMar>
        </w:tblPrEx>
        <w:trPr>
          <w:trHeight w:val="285" w:hRule="atLeast"/>
        </w:trPr>
        <w:tc>
          <w:tcPr>
            <w:tcW w:w="456" w:type="pct"/>
            <w:tcBorders>
              <w:top w:val="single" w:color="auto" w:sz="4" w:space="0"/>
              <w:left w:val="single" w:color="auto" w:sz="4" w:space="0"/>
              <w:bottom w:val="single" w:color="auto" w:sz="4" w:space="0"/>
              <w:right w:val="single" w:color="auto" w:sz="4" w:space="0"/>
            </w:tcBorders>
            <w:noWrap/>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莲池村</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62</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24.22</w:t>
            </w:r>
          </w:p>
        </w:tc>
        <w:tc>
          <w:tcPr>
            <w:tcW w:w="283" w:type="pct"/>
            <w:tcBorders>
              <w:top w:val="single" w:color="auto" w:sz="4" w:space="0"/>
              <w:left w:val="single" w:color="auto" w:sz="4" w:space="0"/>
              <w:bottom w:val="single" w:color="auto" w:sz="4" w:space="0"/>
              <w:right w:val="single" w:color="auto" w:sz="4" w:space="0"/>
            </w:tcBorders>
            <w:noWrap/>
          </w:tcPr>
          <w:p>
            <w:r>
              <w:rPr>
                <w:rFonts w:hint="eastAsia"/>
              </w:rPr>
              <w:t>1.16</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49.93</w:t>
            </w:r>
          </w:p>
        </w:tc>
        <w:tc>
          <w:tcPr>
            <w:tcW w:w="150" w:type="pct"/>
            <w:tcBorders>
              <w:top w:val="single" w:color="auto" w:sz="4" w:space="0"/>
              <w:left w:val="single" w:color="auto" w:sz="4" w:space="0"/>
              <w:bottom w:val="single" w:color="auto" w:sz="4" w:space="0"/>
              <w:right w:val="single" w:color="auto" w:sz="4" w:space="0"/>
            </w:tcBorders>
            <w:noWrap/>
          </w:tcP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28.09</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26.18</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5.81</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1.71</w:t>
            </w:r>
          </w:p>
        </w:tc>
        <w:tc>
          <w:tcPr>
            <w:tcW w:w="439" w:type="pct"/>
            <w:tcBorders>
              <w:top w:val="single" w:color="auto" w:sz="4" w:space="0"/>
              <w:left w:val="single" w:color="auto" w:sz="4" w:space="0"/>
              <w:bottom w:val="single" w:color="auto" w:sz="4" w:space="0"/>
              <w:right w:val="single" w:color="auto" w:sz="4" w:space="0"/>
            </w:tcBorders>
            <w:noWrap/>
          </w:tcPr>
          <w:p>
            <w:r>
              <w:rPr>
                <w:rFonts w:hint="eastAsia"/>
              </w:rPr>
              <w:t>1.71</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1.59</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5.94</w:t>
            </w:r>
          </w:p>
        </w:tc>
        <w:tc>
          <w:tcPr>
            <w:tcW w:w="520" w:type="pct"/>
            <w:tcBorders>
              <w:top w:val="single" w:color="auto" w:sz="4" w:space="0"/>
              <w:left w:val="single" w:color="auto" w:sz="4" w:space="0"/>
              <w:bottom w:val="single" w:color="auto" w:sz="4" w:space="0"/>
              <w:right w:val="single" w:color="auto" w:sz="4" w:space="0"/>
            </w:tcBorders>
            <w:noWrap/>
          </w:tcPr>
          <w:p>
            <w:r>
              <w:rPr>
                <w:rFonts w:hint="eastAsia"/>
              </w:rPr>
              <w:t>120</w:t>
            </w:r>
          </w:p>
        </w:tc>
        <w:tc>
          <w:tcPr>
            <w:tcW w:w="263" w:type="pct"/>
            <w:tcBorders>
              <w:top w:val="single" w:color="auto" w:sz="4" w:space="0"/>
              <w:left w:val="single" w:color="auto" w:sz="4" w:space="0"/>
              <w:bottom w:val="single" w:color="auto" w:sz="4" w:space="0"/>
              <w:right w:val="single" w:color="auto" w:sz="4" w:space="0"/>
            </w:tcBorders>
            <w:noWrap/>
          </w:tcPr>
          <w:p>
            <w:r>
              <w:rPr>
                <w:rFonts w:hint="eastAsia"/>
              </w:rPr>
              <w:t>1.71</w:t>
            </w:r>
          </w:p>
        </w:tc>
      </w:tr>
      <w:tr>
        <w:tblPrEx>
          <w:tblCellMar>
            <w:top w:w="15" w:type="dxa"/>
            <w:left w:w="108" w:type="dxa"/>
            <w:bottom w:w="15" w:type="dxa"/>
            <w:right w:w="108" w:type="dxa"/>
          </w:tblCellMar>
        </w:tblPrEx>
        <w:trPr>
          <w:trHeight w:val="285" w:hRule="atLeast"/>
        </w:trPr>
        <w:tc>
          <w:tcPr>
            <w:tcW w:w="456" w:type="pct"/>
            <w:tcBorders>
              <w:top w:val="single" w:color="auto" w:sz="4" w:space="0"/>
              <w:left w:val="single" w:color="auto" w:sz="4" w:space="0"/>
              <w:bottom w:val="single" w:color="auto" w:sz="4" w:space="0"/>
              <w:right w:val="single" w:color="auto" w:sz="4" w:space="0"/>
            </w:tcBorders>
            <w:noWrap/>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楼房山村</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141.14</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111.55</w:t>
            </w:r>
          </w:p>
        </w:tc>
        <w:tc>
          <w:tcPr>
            <w:tcW w:w="283" w:type="pct"/>
            <w:tcBorders>
              <w:top w:val="single" w:color="auto" w:sz="4" w:space="0"/>
              <w:left w:val="single" w:color="auto" w:sz="4" w:space="0"/>
              <w:bottom w:val="single" w:color="auto" w:sz="4" w:space="0"/>
              <w:right w:val="single" w:color="auto" w:sz="4" w:space="0"/>
            </w:tcBorders>
            <w:noWrap/>
          </w:tcPr>
          <w:p>
            <w:r>
              <w:rPr>
                <w:rFonts w:hint="eastAsia"/>
              </w:rPr>
              <w:t>11.62</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273.39</w:t>
            </w:r>
          </w:p>
        </w:tc>
        <w:tc>
          <w:tcPr>
            <w:tcW w:w="150" w:type="pct"/>
            <w:tcBorders>
              <w:top w:val="single" w:color="auto" w:sz="4" w:space="0"/>
              <w:left w:val="single" w:color="auto" w:sz="4" w:space="0"/>
              <w:bottom w:val="single" w:color="auto" w:sz="4" w:space="0"/>
              <w:right w:val="single" w:color="auto" w:sz="4" w:space="0"/>
            </w:tcBorders>
            <w:noWrap/>
          </w:tcP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29.59</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27.88</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2.54</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439"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15.52</w:t>
            </w:r>
          </w:p>
        </w:tc>
        <w:tc>
          <w:tcPr>
            <w:tcW w:w="520" w:type="pct"/>
            <w:tcBorders>
              <w:top w:val="single" w:color="auto" w:sz="4" w:space="0"/>
              <w:left w:val="single" w:color="auto" w:sz="4" w:space="0"/>
              <w:bottom w:val="single" w:color="auto" w:sz="4" w:space="0"/>
              <w:right w:val="single" w:color="auto" w:sz="4" w:space="0"/>
            </w:tcBorders>
            <w:noWrap/>
          </w:tcPr>
          <w:p>
            <w:r>
              <w:rPr>
                <w:rFonts w:hint="eastAsia"/>
              </w:rPr>
              <w:t>120</w:t>
            </w:r>
          </w:p>
        </w:tc>
        <w:tc>
          <w:tcPr>
            <w:tcW w:w="263" w:type="pct"/>
            <w:tcBorders>
              <w:top w:val="single" w:color="auto" w:sz="4" w:space="0"/>
              <w:left w:val="single" w:color="auto" w:sz="4" w:space="0"/>
              <w:bottom w:val="single" w:color="auto" w:sz="4" w:space="0"/>
              <w:right w:val="single" w:color="auto" w:sz="4" w:space="0"/>
            </w:tcBorders>
            <w:noWrap/>
          </w:tcPr>
          <w:p>
            <w:r>
              <w:rPr>
                <w:rFonts w:hint="eastAsia"/>
              </w:rPr>
              <w:t>0</w:t>
            </w:r>
          </w:p>
        </w:tc>
      </w:tr>
      <w:tr>
        <w:tblPrEx>
          <w:tblCellMar>
            <w:top w:w="15" w:type="dxa"/>
            <w:left w:w="108" w:type="dxa"/>
            <w:bottom w:w="15" w:type="dxa"/>
            <w:right w:w="108" w:type="dxa"/>
          </w:tblCellMar>
        </w:tblPrEx>
        <w:trPr>
          <w:trHeight w:val="285" w:hRule="atLeast"/>
        </w:trPr>
        <w:tc>
          <w:tcPr>
            <w:tcW w:w="456" w:type="pct"/>
            <w:tcBorders>
              <w:top w:val="single" w:color="auto" w:sz="4" w:space="0"/>
              <w:left w:val="single" w:color="auto" w:sz="4" w:space="0"/>
              <w:bottom w:val="single" w:color="auto" w:sz="4" w:space="0"/>
              <w:right w:val="single" w:color="auto" w:sz="4" w:space="0"/>
            </w:tcBorders>
            <w:noWrap/>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沙坝河村</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167</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141.94</w:t>
            </w:r>
          </w:p>
        </w:tc>
        <w:tc>
          <w:tcPr>
            <w:tcW w:w="283" w:type="pct"/>
            <w:tcBorders>
              <w:top w:val="single" w:color="auto" w:sz="4" w:space="0"/>
              <w:left w:val="single" w:color="auto" w:sz="4" w:space="0"/>
              <w:bottom w:val="single" w:color="auto" w:sz="4" w:space="0"/>
              <w:right w:val="single" w:color="auto" w:sz="4" w:space="0"/>
            </w:tcBorders>
            <w:noWrap/>
          </w:tcPr>
          <w:p>
            <w:r>
              <w:rPr>
                <w:rFonts w:hint="eastAsia"/>
              </w:rPr>
              <w:t>1.33</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446.89</w:t>
            </w:r>
          </w:p>
        </w:tc>
        <w:tc>
          <w:tcPr>
            <w:tcW w:w="150" w:type="pct"/>
            <w:tcBorders>
              <w:top w:val="single" w:color="auto" w:sz="4" w:space="0"/>
              <w:left w:val="single" w:color="auto" w:sz="4" w:space="0"/>
              <w:bottom w:val="single" w:color="auto" w:sz="4" w:space="0"/>
              <w:right w:val="single" w:color="auto" w:sz="4" w:space="0"/>
            </w:tcBorders>
            <w:noWrap/>
          </w:tcP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24.33</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24.33</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3.82</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439"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19.01</w:t>
            </w:r>
          </w:p>
        </w:tc>
        <w:tc>
          <w:tcPr>
            <w:tcW w:w="520" w:type="pct"/>
            <w:tcBorders>
              <w:top w:val="single" w:color="auto" w:sz="4" w:space="0"/>
              <w:left w:val="single" w:color="auto" w:sz="4" w:space="0"/>
              <w:bottom w:val="single" w:color="auto" w:sz="4" w:space="0"/>
              <w:right w:val="single" w:color="auto" w:sz="4" w:space="0"/>
            </w:tcBorders>
            <w:noWrap/>
          </w:tcPr>
          <w:p>
            <w:r>
              <w:rPr>
                <w:rFonts w:hint="eastAsia"/>
              </w:rPr>
              <w:t>120</w:t>
            </w:r>
          </w:p>
        </w:tc>
        <w:tc>
          <w:tcPr>
            <w:tcW w:w="263" w:type="pct"/>
            <w:tcBorders>
              <w:top w:val="single" w:color="auto" w:sz="4" w:space="0"/>
              <w:left w:val="single" w:color="auto" w:sz="4" w:space="0"/>
              <w:bottom w:val="single" w:color="auto" w:sz="4" w:space="0"/>
              <w:right w:val="single" w:color="auto" w:sz="4" w:space="0"/>
            </w:tcBorders>
            <w:noWrap/>
          </w:tcPr>
          <w:p>
            <w:r>
              <w:rPr>
                <w:rFonts w:hint="eastAsia"/>
              </w:rPr>
              <w:t>0</w:t>
            </w:r>
          </w:p>
        </w:tc>
      </w:tr>
      <w:tr>
        <w:tblPrEx>
          <w:tblCellMar>
            <w:top w:w="15" w:type="dxa"/>
            <w:left w:w="108" w:type="dxa"/>
            <w:bottom w:w="15" w:type="dxa"/>
            <w:right w:w="108" w:type="dxa"/>
          </w:tblCellMar>
        </w:tblPrEx>
        <w:trPr>
          <w:trHeight w:val="285" w:hRule="atLeast"/>
        </w:trPr>
        <w:tc>
          <w:tcPr>
            <w:tcW w:w="456" w:type="pct"/>
            <w:tcBorders>
              <w:top w:val="single" w:color="auto" w:sz="4" w:space="0"/>
              <w:left w:val="single" w:color="auto" w:sz="4" w:space="0"/>
              <w:bottom w:val="single" w:color="auto" w:sz="4" w:space="0"/>
              <w:right w:val="single" w:color="auto" w:sz="4" w:space="0"/>
            </w:tcBorders>
            <w:noWrap/>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美丽村</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88.11</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71.17</w:t>
            </w:r>
          </w:p>
        </w:tc>
        <w:tc>
          <w:tcPr>
            <w:tcW w:w="283" w:type="pct"/>
            <w:tcBorders>
              <w:top w:val="single" w:color="auto" w:sz="4" w:space="0"/>
              <w:left w:val="single" w:color="auto" w:sz="4" w:space="0"/>
              <w:bottom w:val="single" w:color="auto" w:sz="4" w:space="0"/>
              <w:right w:val="single" w:color="auto" w:sz="4" w:space="0"/>
            </w:tcBorders>
            <w:noWrap/>
          </w:tcPr>
          <w:p>
            <w:r>
              <w:rPr>
                <w:rFonts w:hint="eastAsia"/>
              </w:rPr>
              <w:t>1.17</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401.77</w:t>
            </w:r>
          </w:p>
        </w:tc>
        <w:tc>
          <w:tcPr>
            <w:tcW w:w="150" w:type="pct"/>
            <w:tcBorders>
              <w:top w:val="single" w:color="auto" w:sz="4" w:space="0"/>
              <w:left w:val="single" w:color="auto" w:sz="4" w:space="0"/>
              <w:bottom w:val="single" w:color="auto" w:sz="4" w:space="0"/>
              <w:right w:val="single" w:color="auto" w:sz="4" w:space="0"/>
            </w:tcBorders>
            <w:noWrap/>
          </w:tcP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10.24</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8.86</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439"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10.55</w:t>
            </w:r>
          </w:p>
        </w:tc>
        <w:tc>
          <w:tcPr>
            <w:tcW w:w="520" w:type="pct"/>
            <w:tcBorders>
              <w:top w:val="single" w:color="auto" w:sz="4" w:space="0"/>
              <w:left w:val="single" w:color="auto" w:sz="4" w:space="0"/>
              <w:bottom w:val="single" w:color="auto" w:sz="4" w:space="0"/>
              <w:right w:val="single" w:color="auto" w:sz="4" w:space="0"/>
            </w:tcBorders>
            <w:noWrap/>
          </w:tcPr>
          <w:p/>
        </w:tc>
        <w:tc>
          <w:tcPr>
            <w:tcW w:w="263" w:type="pct"/>
            <w:tcBorders>
              <w:top w:val="single" w:color="auto" w:sz="4" w:space="0"/>
              <w:left w:val="single" w:color="auto" w:sz="4" w:space="0"/>
              <w:bottom w:val="single" w:color="auto" w:sz="4" w:space="0"/>
              <w:right w:val="single" w:color="auto" w:sz="4" w:space="0"/>
            </w:tcBorders>
            <w:noWrap/>
          </w:tcPr>
          <w:p>
            <w:r>
              <w:rPr>
                <w:rFonts w:hint="eastAsia"/>
              </w:rPr>
              <w:t>0</w:t>
            </w:r>
          </w:p>
        </w:tc>
      </w:tr>
      <w:tr>
        <w:tblPrEx>
          <w:tblCellMar>
            <w:top w:w="15" w:type="dxa"/>
            <w:left w:w="108" w:type="dxa"/>
            <w:bottom w:w="15" w:type="dxa"/>
            <w:right w:w="108" w:type="dxa"/>
          </w:tblCellMar>
        </w:tblPrEx>
        <w:trPr>
          <w:trHeight w:val="285" w:hRule="atLeast"/>
        </w:trPr>
        <w:tc>
          <w:tcPr>
            <w:tcW w:w="456" w:type="pct"/>
            <w:tcBorders>
              <w:top w:val="single" w:color="auto" w:sz="4" w:space="0"/>
              <w:left w:val="single" w:color="auto" w:sz="4" w:space="0"/>
              <w:bottom w:val="single" w:color="auto" w:sz="4" w:space="0"/>
              <w:right w:val="single" w:color="auto" w:sz="4" w:space="0"/>
            </w:tcBorders>
            <w:noWrap/>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马儿石村</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91.97</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59</w:t>
            </w:r>
          </w:p>
        </w:tc>
        <w:tc>
          <w:tcPr>
            <w:tcW w:w="283" w:type="pct"/>
            <w:tcBorders>
              <w:top w:val="single" w:color="auto" w:sz="4" w:space="0"/>
              <w:left w:val="single" w:color="auto" w:sz="4" w:space="0"/>
              <w:bottom w:val="single" w:color="auto" w:sz="4" w:space="0"/>
              <w:right w:val="single" w:color="auto" w:sz="4" w:space="0"/>
            </w:tcBorders>
            <w:noWrap/>
          </w:tcPr>
          <w:p>
            <w:r>
              <w:rPr>
                <w:rFonts w:hint="eastAsia"/>
              </w:rPr>
              <w:t>2.81</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293.37</w:t>
            </w:r>
          </w:p>
        </w:tc>
        <w:tc>
          <w:tcPr>
            <w:tcW w:w="150" w:type="pct"/>
            <w:tcBorders>
              <w:top w:val="single" w:color="auto" w:sz="4" w:space="0"/>
              <w:left w:val="single" w:color="auto" w:sz="4" w:space="0"/>
              <w:bottom w:val="single" w:color="auto" w:sz="4" w:space="0"/>
              <w:right w:val="single" w:color="auto" w:sz="4" w:space="0"/>
            </w:tcBorders>
            <w:noWrap/>
          </w:tcP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28.92</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26.55</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9.36</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439"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11.25</w:t>
            </w:r>
          </w:p>
        </w:tc>
        <w:tc>
          <w:tcPr>
            <w:tcW w:w="520" w:type="pct"/>
            <w:tcBorders>
              <w:top w:val="single" w:color="auto" w:sz="4" w:space="0"/>
              <w:left w:val="single" w:color="auto" w:sz="4" w:space="0"/>
              <w:bottom w:val="single" w:color="auto" w:sz="4" w:space="0"/>
              <w:right w:val="single" w:color="auto" w:sz="4" w:space="0"/>
            </w:tcBorders>
            <w:noWrap/>
          </w:tcPr>
          <w:p>
            <w:r>
              <w:rPr>
                <w:rFonts w:hint="eastAsia"/>
              </w:rPr>
              <w:t>120</w:t>
            </w:r>
          </w:p>
        </w:tc>
        <w:tc>
          <w:tcPr>
            <w:tcW w:w="263" w:type="pct"/>
            <w:tcBorders>
              <w:top w:val="single" w:color="auto" w:sz="4" w:space="0"/>
              <w:left w:val="single" w:color="auto" w:sz="4" w:space="0"/>
              <w:bottom w:val="single" w:color="auto" w:sz="4" w:space="0"/>
              <w:right w:val="single" w:color="auto" w:sz="4" w:space="0"/>
            </w:tcBorders>
            <w:noWrap/>
          </w:tcPr>
          <w:p>
            <w:r>
              <w:rPr>
                <w:rFonts w:hint="eastAsia"/>
              </w:rPr>
              <w:t>0</w:t>
            </w:r>
          </w:p>
        </w:tc>
      </w:tr>
      <w:tr>
        <w:tblPrEx>
          <w:tblCellMar>
            <w:top w:w="15" w:type="dxa"/>
            <w:left w:w="108" w:type="dxa"/>
            <w:bottom w:w="15" w:type="dxa"/>
            <w:right w:w="108" w:type="dxa"/>
          </w:tblCellMar>
        </w:tblPrEx>
        <w:trPr>
          <w:trHeight w:val="285" w:hRule="atLeast"/>
        </w:trPr>
        <w:tc>
          <w:tcPr>
            <w:tcW w:w="456" w:type="pct"/>
            <w:tcBorders>
              <w:top w:val="single" w:color="auto" w:sz="4" w:space="0"/>
              <w:left w:val="single" w:color="auto" w:sz="4" w:space="0"/>
              <w:bottom w:val="single" w:color="auto" w:sz="4" w:space="0"/>
              <w:right w:val="single" w:color="auto" w:sz="4" w:space="0"/>
            </w:tcBorders>
            <w:noWrap/>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张坳口村</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164.62</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130.85</w:t>
            </w:r>
          </w:p>
        </w:tc>
        <w:tc>
          <w:tcPr>
            <w:tcW w:w="283" w:type="pct"/>
            <w:tcBorders>
              <w:top w:val="single" w:color="auto" w:sz="4" w:space="0"/>
              <w:left w:val="single" w:color="auto" w:sz="4" w:space="0"/>
              <w:bottom w:val="single" w:color="auto" w:sz="4" w:space="0"/>
              <w:right w:val="single" w:color="auto" w:sz="4" w:space="0"/>
            </w:tcBorders>
            <w:noWrap/>
          </w:tcPr>
          <w:p>
            <w:r>
              <w:rPr>
                <w:rFonts w:hint="eastAsia"/>
              </w:rPr>
              <w:t>3.43</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181.25</w:t>
            </w:r>
          </w:p>
        </w:tc>
        <w:tc>
          <w:tcPr>
            <w:tcW w:w="150" w:type="pct"/>
            <w:tcBorders>
              <w:top w:val="single" w:color="auto" w:sz="4" w:space="0"/>
              <w:left w:val="single" w:color="auto" w:sz="4" w:space="0"/>
              <w:bottom w:val="single" w:color="auto" w:sz="4" w:space="0"/>
              <w:right w:val="single" w:color="auto" w:sz="4" w:space="0"/>
            </w:tcBorders>
            <w:noWrap/>
          </w:tcP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22.67</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22.67</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0.35</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439"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18.73</w:t>
            </w:r>
          </w:p>
        </w:tc>
        <w:tc>
          <w:tcPr>
            <w:tcW w:w="520" w:type="pct"/>
            <w:tcBorders>
              <w:top w:val="single" w:color="auto" w:sz="4" w:space="0"/>
              <w:left w:val="single" w:color="auto" w:sz="4" w:space="0"/>
              <w:bottom w:val="single" w:color="auto" w:sz="4" w:space="0"/>
              <w:right w:val="single" w:color="auto" w:sz="4" w:space="0"/>
            </w:tcBorders>
            <w:noWrap/>
          </w:tcPr>
          <w:p>
            <w:r>
              <w:rPr>
                <w:rFonts w:hint="eastAsia"/>
              </w:rPr>
              <w:t>120</w:t>
            </w:r>
          </w:p>
        </w:tc>
        <w:tc>
          <w:tcPr>
            <w:tcW w:w="263" w:type="pct"/>
            <w:tcBorders>
              <w:top w:val="single" w:color="auto" w:sz="4" w:space="0"/>
              <w:left w:val="single" w:color="auto" w:sz="4" w:space="0"/>
              <w:bottom w:val="single" w:color="auto" w:sz="4" w:space="0"/>
              <w:right w:val="single" w:color="auto" w:sz="4" w:space="0"/>
            </w:tcBorders>
            <w:noWrap/>
          </w:tcPr>
          <w:p>
            <w:r>
              <w:rPr>
                <w:rFonts w:hint="eastAsia"/>
              </w:rPr>
              <w:t>0</w:t>
            </w:r>
          </w:p>
        </w:tc>
      </w:tr>
      <w:tr>
        <w:tblPrEx>
          <w:tblCellMar>
            <w:top w:w="15" w:type="dxa"/>
            <w:left w:w="108" w:type="dxa"/>
            <w:bottom w:w="15" w:type="dxa"/>
            <w:right w:w="108" w:type="dxa"/>
          </w:tblCellMar>
        </w:tblPrEx>
        <w:trPr>
          <w:trHeight w:val="285" w:hRule="atLeast"/>
        </w:trPr>
        <w:tc>
          <w:tcPr>
            <w:tcW w:w="456" w:type="pct"/>
            <w:tcBorders>
              <w:top w:val="single" w:color="auto" w:sz="4" w:space="0"/>
              <w:left w:val="single" w:color="auto" w:sz="4" w:space="0"/>
              <w:bottom w:val="single" w:color="auto" w:sz="4" w:space="0"/>
              <w:right w:val="single" w:color="auto" w:sz="4" w:space="0"/>
            </w:tcBorders>
            <w:noWrap/>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大桥村</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185.01</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160.12</w:t>
            </w:r>
          </w:p>
        </w:tc>
        <w:tc>
          <w:tcPr>
            <w:tcW w:w="283" w:type="pct"/>
            <w:tcBorders>
              <w:top w:val="single" w:color="auto" w:sz="4" w:space="0"/>
              <w:left w:val="single" w:color="auto" w:sz="4" w:space="0"/>
              <w:bottom w:val="single" w:color="auto" w:sz="4" w:space="0"/>
              <w:right w:val="single" w:color="auto" w:sz="4" w:space="0"/>
            </w:tcBorders>
            <w:noWrap/>
          </w:tcPr>
          <w:p>
            <w:r>
              <w:rPr>
                <w:rFonts w:hint="eastAsia"/>
              </w:rPr>
              <w:t>38.28</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588.9</w:t>
            </w:r>
          </w:p>
        </w:tc>
        <w:tc>
          <w:tcPr>
            <w:tcW w:w="150" w:type="pct"/>
            <w:tcBorders>
              <w:top w:val="single" w:color="auto" w:sz="4" w:space="0"/>
              <w:left w:val="single" w:color="auto" w:sz="4" w:space="0"/>
              <w:bottom w:val="single" w:color="auto" w:sz="4" w:space="0"/>
              <w:right w:val="single" w:color="auto" w:sz="4" w:space="0"/>
            </w:tcBorders>
            <w:noWrap/>
          </w:tcP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34.54</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30.88</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3.26</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1.59</w:t>
            </w:r>
          </w:p>
        </w:tc>
        <w:tc>
          <w:tcPr>
            <w:tcW w:w="439" w:type="pct"/>
            <w:tcBorders>
              <w:top w:val="single" w:color="auto" w:sz="4" w:space="0"/>
              <w:left w:val="single" w:color="auto" w:sz="4" w:space="0"/>
              <w:bottom w:val="single" w:color="auto" w:sz="4" w:space="0"/>
              <w:right w:val="single" w:color="auto" w:sz="4" w:space="0"/>
            </w:tcBorders>
            <w:noWrap/>
          </w:tcPr>
          <w:p>
            <w:r>
              <w:rPr>
                <w:rFonts w:hint="eastAsia"/>
              </w:rPr>
              <w:t>1.59</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0.77</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19.29</w:t>
            </w:r>
          </w:p>
        </w:tc>
        <w:tc>
          <w:tcPr>
            <w:tcW w:w="520" w:type="pct"/>
            <w:tcBorders>
              <w:top w:val="single" w:color="auto" w:sz="4" w:space="0"/>
              <w:left w:val="single" w:color="auto" w:sz="4" w:space="0"/>
              <w:bottom w:val="single" w:color="auto" w:sz="4" w:space="0"/>
              <w:right w:val="single" w:color="auto" w:sz="4" w:space="0"/>
            </w:tcBorders>
            <w:noWrap/>
          </w:tcPr>
          <w:p>
            <w:r>
              <w:rPr>
                <w:rFonts w:hint="eastAsia"/>
              </w:rPr>
              <w:t>120</w:t>
            </w:r>
          </w:p>
        </w:tc>
        <w:tc>
          <w:tcPr>
            <w:tcW w:w="263" w:type="pct"/>
            <w:tcBorders>
              <w:top w:val="single" w:color="auto" w:sz="4" w:space="0"/>
              <w:left w:val="single" w:color="auto" w:sz="4" w:space="0"/>
              <w:bottom w:val="single" w:color="auto" w:sz="4" w:space="0"/>
              <w:right w:val="single" w:color="auto" w:sz="4" w:space="0"/>
            </w:tcBorders>
            <w:noWrap/>
          </w:tcPr>
          <w:p>
            <w:r>
              <w:rPr>
                <w:rFonts w:hint="eastAsia"/>
              </w:rPr>
              <w:t>1.59</w:t>
            </w:r>
          </w:p>
        </w:tc>
      </w:tr>
      <w:tr>
        <w:tblPrEx>
          <w:tblCellMar>
            <w:top w:w="15" w:type="dxa"/>
            <w:left w:w="108" w:type="dxa"/>
            <w:bottom w:w="15" w:type="dxa"/>
            <w:right w:w="108" w:type="dxa"/>
          </w:tblCellMar>
        </w:tblPrEx>
        <w:trPr>
          <w:trHeight w:val="285" w:hRule="atLeast"/>
        </w:trPr>
        <w:tc>
          <w:tcPr>
            <w:tcW w:w="456" w:type="pct"/>
            <w:tcBorders>
              <w:top w:val="single" w:color="auto" w:sz="4" w:space="0"/>
              <w:left w:val="single" w:color="auto" w:sz="4" w:space="0"/>
              <w:bottom w:val="single" w:color="auto" w:sz="4" w:space="0"/>
              <w:right w:val="single" w:color="auto" w:sz="4" w:space="0"/>
            </w:tcBorders>
            <w:noWrap/>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合计</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2581.83</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2036</w:t>
            </w:r>
          </w:p>
        </w:tc>
        <w:tc>
          <w:tcPr>
            <w:tcW w:w="283" w:type="pct"/>
            <w:tcBorders>
              <w:top w:val="single" w:color="auto" w:sz="4" w:space="0"/>
              <w:left w:val="single" w:color="auto" w:sz="4" w:space="0"/>
              <w:bottom w:val="single" w:color="auto" w:sz="4" w:space="0"/>
              <w:right w:val="single" w:color="auto" w:sz="4" w:space="0"/>
            </w:tcBorders>
            <w:noWrap/>
          </w:tcPr>
          <w:p>
            <w:r>
              <w:rPr>
                <w:rFonts w:hint="eastAsia"/>
              </w:rPr>
              <w:t>219.21</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3950.54</w:t>
            </w:r>
          </w:p>
        </w:tc>
        <w:tc>
          <w:tcPr>
            <w:tcW w:w="150"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488.49</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465.22</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82.73</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21.06</w:t>
            </w:r>
          </w:p>
        </w:tc>
        <w:tc>
          <w:tcPr>
            <w:tcW w:w="439" w:type="pct"/>
            <w:tcBorders>
              <w:top w:val="single" w:color="auto" w:sz="4" w:space="0"/>
              <w:left w:val="single" w:color="auto" w:sz="4" w:space="0"/>
              <w:bottom w:val="single" w:color="auto" w:sz="4" w:space="0"/>
              <w:right w:val="single" w:color="auto" w:sz="4" w:space="0"/>
            </w:tcBorders>
            <w:noWrap/>
          </w:tcPr>
          <w:p>
            <w:r>
              <w:rPr>
                <w:rFonts w:hint="eastAsia"/>
              </w:rPr>
              <w:t>21.06</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14.59</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260</w:t>
            </w:r>
          </w:p>
        </w:tc>
        <w:tc>
          <w:tcPr>
            <w:tcW w:w="520" w:type="pct"/>
            <w:tcBorders>
              <w:top w:val="single" w:color="auto" w:sz="4" w:space="0"/>
              <w:left w:val="single" w:color="auto" w:sz="4" w:space="0"/>
              <w:bottom w:val="single" w:color="auto" w:sz="4" w:space="0"/>
              <w:right w:val="single" w:color="auto" w:sz="4" w:space="0"/>
            </w:tcBorders>
            <w:noWrap/>
          </w:tcPr>
          <w:p>
            <w:r>
              <w:rPr>
                <w:rFonts w:hint="eastAsia"/>
              </w:rPr>
              <w:t>-</w:t>
            </w:r>
          </w:p>
        </w:tc>
        <w:tc>
          <w:tcPr>
            <w:tcW w:w="263" w:type="pct"/>
            <w:tcBorders>
              <w:top w:val="single" w:color="auto" w:sz="4" w:space="0"/>
              <w:left w:val="single" w:color="auto" w:sz="4" w:space="0"/>
              <w:bottom w:val="single" w:color="auto" w:sz="4" w:space="0"/>
              <w:right w:val="single" w:color="auto" w:sz="4" w:space="0"/>
            </w:tcBorders>
            <w:noWrap/>
          </w:tcPr>
          <w:p>
            <w:r>
              <w:rPr>
                <w:rFonts w:hint="eastAsia"/>
              </w:rPr>
              <w:t>21.06</w:t>
            </w:r>
          </w:p>
        </w:tc>
      </w:tr>
    </w:tbl>
    <w:p>
      <w:pPr>
        <w:rPr>
          <w:rFonts w:ascii="仿宋_GB2312" w:hAnsi="宋体" w:eastAsia="仿宋_GB2312"/>
          <w:sz w:val="28"/>
          <w:szCs w:val="28"/>
        </w:rPr>
      </w:pPr>
    </w:p>
    <w:sectPr>
      <w:type w:val="oddPage"/>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59293112"/>
      <w:docPartObj>
        <w:docPartGallery w:val="AutoText"/>
      </w:docPartObj>
    </w:sdtPr>
    <w:sdtContent>
      <w:p>
        <w:pPr>
          <w:pStyle w:val="9"/>
          <w:jc w:val="center"/>
        </w:pPr>
      </w:p>
    </w:sdtContent>
  </w:sdt>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52370515"/>
      <w:docPartObj>
        <w:docPartGallery w:val="AutoText"/>
      </w:docPartObj>
    </w:sdtPr>
    <w:sdtContent>
      <w:p>
        <w:pPr>
          <w:pStyle w:val="9"/>
          <w:jc w:val="center"/>
        </w:pPr>
        <w:r>
          <w:fldChar w:fldCharType="begin"/>
        </w:r>
        <w:r>
          <w:instrText xml:space="preserve">PAGE   \* MERGEFORMAT</w:instrText>
        </w:r>
        <w:r>
          <w:fldChar w:fldCharType="separate"/>
        </w:r>
        <w:r>
          <w:rPr>
            <w:lang w:val="zh-CN"/>
          </w:rPr>
          <w:t>31</w:t>
        </w:r>
        <w:r>
          <w:fldChar w:fldCharType="end"/>
        </w:r>
      </w:p>
    </w:sdtContent>
  </w:sdt>
  <w:p>
    <w:pPr>
      <w:pStyle w:val="9"/>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8650B"/>
    <w:rsid w:val="000003CD"/>
    <w:rsid w:val="00001B11"/>
    <w:rsid w:val="000045A3"/>
    <w:rsid w:val="000132C7"/>
    <w:rsid w:val="000145EE"/>
    <w:rsid w:val="000159C7"/>
    <w:rsid w:val="00033441"/>
    <w:rsid w:val="000337AA"/>
    <w:rsid w:val="000464EC"/>
    <w:rsid w:val="000475DF"/>
    <w:rsid w:val="00062A3D"/>
    <w:rsid w:val="000641AB"/>
    <w:rsid w:val="00066D07"/>
    <w:rsid w:val="00067864"/>
    <w:rsid w:val="00067A95"/>
    <w:rsid w:val="00067B25"/>
    <w:rsid w:val="00071697"/>
    <w:rsid w:val="0008241B"/>
    <w:rsid w:val="000952B1"/>
    <w:rsid w:val="00095C05"/>
    <w:rsid w:val="00097192"/>
    <w:rsid w:val="000A716C"/>
    <w:rsid w:val="000B0AD7"/>
    <w:rsid w:val="000C0D26"/>
    <w:rsid w:val="000E0FC4"/>
    <w:rsid w:val="000F524E"/>
    <w:rsid w:val="000F6449"/>
    <w:rsid w:val="00100AB8"/>
    <w:rsid w:val="00103CB9"/>
    <w:rsid w:val="00106FB6"/>
    <w:rsid w:val="00112B25"/>
    <w:rsid w:val="00120121"/>
    <w:rsid w:val="00125B02"/>
    <w:rsid w:val="001262F0"/>
    <w:rsid w:val="00130A63"/>
    <w:rsid w:val="00160807"/>
    <w:rsid w:val="00164A25"/>
    <w:rsid w:val="001713FE"/>
    <w:rsid w:val="0017213C"/>
    <w:rsid w:val="001853EC"/>
    <w:rsid w:val="00193405"/>
    <w:rsid w:val="00194568"/>
    <w:rsid w:val="001963DA"/>
    <w:rsid w:val="001967E8"/>
    <w:rsid w:val="001B3C8A"/>
    <w:rsid w:val="001B3E3F"/>
    <w:rsid w:val="001B4200"/>
    <w:rsid w:val="001B65B6"/>
    <w:rsid w:val="001C30C9"/>
    <w:rsid w:val="001C438F"/>
    <w:rsid w:val="001D173B"/>
    <w:rsid w:val="001D488B"/>
    <w:rsid w:val="001F334C"/>
    <w:rsid w:val="001F33CF"/>
    <w:rsid w:val="001F41DC"/>
    <w:rsid w:val="002032AD"/>
    <w:rsid w:val="00204784"/>
    <w:rsid w:val="00211CBF"/>
    <w:rsid w:val="002133D2"/>
    <w:rsid w:val="0022524D"/>
    <w:rsid w:val="00236C45"/>
    <w:rsid w:val="00236FC5"/>
    <w:rsid w:val="00245001"/>
    <w:rsid w:val="0025730D"/>
    <w:rsid w:val="002770BE"/>
    <w:rsid w:val="00283D62"/>
    <w:rsid w:val="002847F9"/>
    <w:rsid w:val="00284997"/>
    <w:rsid w:val="00285CDD"/>
    <w:rsid w:val="002918EE"/>
    <w:rsid w:val="00293E13"/>
    <w:rsid w:val="00296A8C"/>
    <w:rsid w:val="002A0528"/>
    <w:rsid w:val="002A729E"/>
    <w:rsid w:val="002B0E4D"/>
    <w:rsid w:val="002B338B"/>
    <w:rsid w:val="002C17F4"/>
    <w:rsid w:val="002D05A2"/>
    <w:rsid w:val="002D6998"/>
    <w:rsid w:val="002E59CD"/>
    <w:rsid w:val="002E5E96"/>
    <w:rsid w:val="00307149"/>
    <w:rsid w:val="00311720"/>
    <w:rsid w:val="00315A99"/>
    <w:rsid w:val="00317554"/>
    <w:rsid w:val="0034660F"/>
    <w:rsid w:val="00354588"/>
    <w:rsid w:val="0035471D"/>
    <w:rsid w:val="0036199B"/>
    <w:rsid w:val="00367843"/>
    <w:rsid w:val="00375402"/>
    <w:rsid w:val="00381B74"/>
    <w:rsid w:val="003936DC"/>
    <w:rsid w:val="00395917"/>
    <w:rsid w:val="003B419F"/>
    <w:rsid w:val="003B4217"/>
    <w:rsid w:val="003B451F"/>
    <w:rsid w:val="003B59A0"/>
    <w:rsid w:val="003B6EEF"/>
    <w:rsid w:val="003B711D"/>
    <w:rsid w:val="003C2833"/>
    <w:rsid w:val="003C68F7"/>
    <w:rsid w:val="003D628F"/>
    <w:rsid w:val="004269DD"/>
    <w:rsid w:val="004311E0"/>
    <w:rsid w:val="0043284E"/>
    <w:rsid w:val="00441F47"/>
    <w:rsid w:val="0044752F"/>
    <w:rsid w:val="00463BA5"/>
    <w:rsid w:val="00472031"/>
    <w:rsid w:val="00473C3E"/>
    <w:rsid w:val="00486207"/>
    <w:rsid w:val="0049274B"/>
    <w:rsid w:val="004A1386"/>
    <w:rsid w:val="004A1E62"/>
    <w:rsid w:val="004A1EE3"/>
    <w:rsid w:val="004C46CE"/>
    <w:rsid w:val="004E0EB4"/>
    <w:rsid w:val="00503AEF"/>
    <w:rsid w:val="00512CB8"/>
    <w:rsid w:val="005131F0"/>
    <w:rsid w:val="00525562"/>
    <w:rsid w:val="0052623F"/>
    <w:rsid w:val="00534106"/>
    <w:rsid w:val="0053603D"/>
    <w:rsid w:val="00537DA1"/>
    <w:rsid w:val="00550032"/>
    <w:rsid w:val="00565BE4"/>
    <w:rsid w:val="00566A9F"/>
    <w:rsid w:val="00573E7D"/>
    <w:rsid w:val="0058060C"/>
    <w:rsid w:val="00590AFB"/>
    <w:rsid w:val="00591076"/>
    <w:rsid w:val="005977CB"/>
    <w:rsid w:val="005A5127"/>
    <w:rsid w:val="005A7809"/>
    <w:rsid w:val="005B00CF"/>
    <w:rsid w:val="005B5824"/>
    <w:rsid w:val="005C689E"/>
    <w:rsid w:val="005D55DD"/>
    <w:rsid w:val="005D6F27"/>
    <w:rsid w:val="005E5D02"/>
    <w:rsid w:val="005E7DF3"/>
    <w:rsid w:val="005E7FA4"/>
    <w:rsid w:val="005F0949"/>
    <w:rsid w:val="005F24A5"/>
    <w:rsid w:val="005F33A6"/>
    <w:rsid w:val="005F6211"/>
    <w:rsid w:val="00605035"/>
    <w:rsid w:val="00613BE2"/>
    <w:rsid w:val="00614610"/>
    <w:rsid w:val="006173B3"/>
    <w:rsid w:val="006217FF"/>
    <w:rsid w:val="00624058"/>
    <w:rsid w:val="00624BDC"/>
    <w:rsid w:val="006358A6"/>
    <w:rsid w:val="00662D70"/>
    <w:rsid w:val="006702D2"/>
    <w:rsid w:val="00675A84"/>
    <w:rsid w:val="00675DDB"/>
    <w:rsid w:val="006817B5"/>
    <w:rsid w:val="00682E80"/>
    <w:rsid w:val="0068529A"/>
    <w:rsid w:val="00693E0F"/>
    <w:rsid w:val="006B21A2"/>
    <w:rsid w:val="006C1DFB"/>
    <w:rsid w:val="006C369C"/>
    <w:rsid w:val="006C44B8"/>
    <w:rsid w:val="006D4F2F"/>
    <w:rsid w:val="006D6530"/>
    <w:rsid w:val="006E4DDE"/>
    <w:rsid w:val="006E6371"/>
    <w:rsid w:val="006F402A"/>
    <w:rsid w:val="006F5E8A"/>
    <w:rsid w:val="006F67BE"/>
    <w:rsid w:val="006F74B5"/>
    <w:rsid w:val="007044B3"/>
    <w:rsid w:val="0070567C"/>
    <w:rsid w:val="0071110B"/>
    <w:rsid w:val="00717214"/>
    <w:rsid w:val="007334C3"/>
    <w:rsid w:val="00734D5F"/>
    <w:rsid w:val="00737BC0"/>
    <w:rsid w:val="0074007E"/>
    <w:rsid w:val="00743988"/>
    <w:rsid w:val="00743D74"/>
    <w:rsid w:val="00745D41"/>
    <w:rsid w:val="007505BD"/>
    <w:rsid w:val="00757A35"/>
    <w:rsid w:val="00763F09"/>
    <w:rsid w:val="0076750F"/>
    <w:rsid w:val="007677CA"/>
    <w:rsid w:val="00780010"/>
    <w:rsid w:val="00792556"/>
    <w:rsid w:val="00793262"/>
    <w:rsid w:val="007951D8"/>
    <w:rsid w:val="00795AE8"/>
    <w:rsid w:val="007A2212"/>
    <w:rsid w:val="007A50F0"/>
    <w:rsid w:val="007B5CF9"/>
    <w:rsid w:val="007B69F4"/>
    <w:rsid w:val="007C08D0"/>
    <w:rsid w:val="007C24D2"/>
    <w:rsid w:val="007C6254"/>
    <w:rsid w:val="007D2807"/>
    <w:rsid w:val="007D2894"/>
    <w:rsid w:val="007D36C0"/>
    <w:rsid w:val="007E1B3F"/>
    <w:rsid w:val="007F542E"/>
    <w:rsid w:val="007F72D9"/>
    <w:rsid w:val="00801E05"/>
    <w:rsid w:val="008031F5"/>
    <w:rsid w:val="0080619F"/>
    <w:rsid w:val="00813A40"/>
    <w:rsid w:val="008170DA"/>
    <w:rsid w:val="008316C1"/>
    <w:rsid w:val="00833865"/>
    <w:rsid w:val="0087196F"/>
    <w:rsid w:val="00880BBA"/>
    <w:rsid w:val="0088650B"/>
    <w:rsid w:val="00897487"/>
    <w:rsid w:val="008A3239"/>
    <w:rsid w:val="008A504D"/>
    <w:rsid w:val="008D6046"/>
    <w:rsid w:val="008F348D"/>
    <w:rsid w:val="008F4638"/>
    <w:rsid w:val="008F68D7"/>
    <w:rsid w:val="009012F5"/>
    <w:rsid w:val="009029D8"/>
    <w:rsid w:val="0090374B"/>
    <w:rsid w:val="009074DB"/>
    <w:rsid w:val="009175DA"/>
    <w:rsid w:val="00954CEF"/>
    <w:rsid w:val="009560FB"/>
    <w:rsid w:val="00973488"/>
    <w:rsid w:val="00974C7B"/>
    <w:rsid w:val="00974E2B"/>
    <w:rsid w:val="009754F9"/>
    <w:rsid w:val="00981187"/>
    <w:rsid w:val="009811C4"/>
    <w:rsid w:val="0098500A"/>
    <w:rsid w:val="009871E6"/>
    <w:rsid w:val="00991402"/>
    <w:rsid w:val="009A7F8C"/>
    <w:rsid w:val="009B54AA"/>
    <w:rsid w:val="009B7849"/>
    <w:rsid w:val="009C0B96"/>
    <w:rsid w:val="009C2BFC"/>
    <w:rsid w:val="009C77E8"/>
    <w:rsid w:val="009D4619"/>
    <w:rsid w:val="009E19DB"/>
    <w:rsid w:val="009E49D3"/>
    <w:rsid w:val="009E4FC5"/>
    <w:rsid w:val="00A01039"/>
    <w:rsid w:val="00A054CC"/>
    <w:rsid w:val="00A06352"/>
    <w:rsid w:val="00A118AA"/>
    <w:rsid w:val="00A118B3"/>
    <w:rsid w:val="00A26235"/>
    <w:rsid w:val="00A34C4A"/>
    <w:rsid w:val="00A41C59"/>
    <w:rsid w:val="00A503B6"/>
    <w:rsid w:val="00A534A1"/>
    <w:rsid w:val="00A56493"/>
    <w:rsid w:val="00A71245"/>
    <w:rsid w:val="00A77E77"/>
    <w:rsid w:val="00A871EB"/>
    <w:rsid w:val="00A9093C"/>
    <w:rsid w:val="00A961FE"/>
    <w:rsid w:val="00AA1EE1"/>
    <w:rsid w:val="00AA4C61"/>
    <w:rsid w:val="00AB01F4"/>
    <w:rsid w:val="00AB49D6"/>
    <w:rsid w:val="00AC5589"/>
    <w:rsid w:val="00AD2570"/>
    <w:rsid w:val="00AD317F"/>
    <w:rsid w:val="00AE3D40"/>
    <w:rsid w:val="00AE461C"/>
    <w:rsid w:val="00B0280D"/>
    <w:rsid w:val="00B10842"/>
    <w:rsid w:val="00B15868"/>
    <w:rsid w:val="00B261D2"/>
    <w:rsid w:val="00B31571"/>
    <w:rsid w:val="00B344BC"/>
    <w:rsid w:val="00B37139"/>
    <w:rsid w:val="00B372DC"/>
    <w:rsid w:val="00B41193"/>
    <w:rsid w:val="00B4223C"/>
    <w:rsid w:val="00B4479B"/>
    <w:rsid w:val="00B570BB"/>
    <w:rsid w:val="00B5718A"/>
    <w:rsid w:val="00B63C70"/>
    <w:rsid w:val="00B65473"/>
    <w:rsid w:val="00B7003D"/>
    <w:rsid w:val="00B70060"/>
    <w:rsid w:val="00B74513"/>
    <w:rsid w:val="00B74A5B"/>
    <w:rsid w:val="00B76E43"/>
    <w:rsid w:val="00B772E5"/>
    <w:rsid w:val="00B913A0"/>
    <w:rsid w:val="00B955D3"/>
    <w:rsid w:val="00B96224"/>
    <w:rsid w:val="00BA5DA9"/>
    <w:rsid w:val="00BC0612"/>
    <w:rsid w:val="00BE33CC"/>
    <w:rsid w:val="00BF134F"/>
    <w:rsid w:val="00C02B18"/>
    <w:rsid w:val="00C06D61"/>
    <w:rsid w:val="00C1579E"/>
    <w:rsid w:val="00C1723E"/>
    <w:rsid w:val="00C27DDC"/>
    <w:rsid w:val="00C37982"/>
    <w:rsid w:val="00C41B7B"/>
    <w:rsid w:val="00C44431"/>
    <w:rsid w:val="00C46CBF"/>
    <w:rsid w:val="00C526A0"/>
    <w:rsid w:val="00C558F0"/>
    <w:rsid w:val="00C63477"/>
    <w:rsid w:val="00C73B0F"/>
    <w:rsid w:val="00C939DC"/>
    <w:rsid w:val="00CA09E1"/>
    <w:rsid w:val="00CA5480"/>
    <w:rsid w:val="00CB0AB3"/>
    <w:rsid w:val="00CB3649"/>
    <w:rsid w:val="00CB3A15"/>
    <w:rsid w:val="00CC2177"/>
    <w:rsid w:val="00CC5E10"/>
    <w:rsid w:val="00CF2602"/>
    <w:rsid w:val="00D0128F"/>
    <w:rsid w:val="00D1476B"/>
    <w:rsid w:val="00D30213"/>
    <w:rsid w:val="00D34E54"/>
    <w:rsid w:val="00D43B52"/>
    <w:rsid w:val="00D4424A"/>
    <w:rsid w:val="00D46144"/>
    <w:rsid w:val="00D512BE"/>
    <w:rsid w:val="00D6066B"/>
    <w:rsid w:val="00D6066D"/>
    <w:rsid w:val="00D646AE"/>
    <w:rsid w:val="00D75D37"/>
    <w:rsid w:val="00D83BB4"/>
    <w:rsid w:val="00D841AC"/>
    <w:rsid w:val="00D8584F"/>
    <w:rsid w:val="00D86D98"/>
    <w:rsid w:val="00DA21AE"/>
    <w:rsid w:val="00DA287B"/>
    <w:rsid w:val="00DB5CD3"/>
    <w:rsid w:val="00DC0917"/>
    <w:rsid w:val="00DC24D9"/>
    <w:rsid w:val="00DC5534"/>
    <w:rsid w:val="00DC5C10"/>
    <w:rsid w:val="00DC61B0"/>
    <w:rsid w:val="00DD15FE"/>
    <w:rsid w:val="00DD26CF"/>
    <w:rsid w:val="00DD64A9"/>
    <w:rsid w:val="00DE33FA"/>
    <w:rsid w:val="00DF3311"/>
    <w:rsid w:val="00DF6099"/>
    <w:rsid w:val="00E16DD5"/>
    <w:rsid w:val="00E2080A"/>
    <w:rsid w:val="00E314CE"/>
    <w:rsid w:val="00E32FB2"/>
    <w:rsid w:val="00E50BB3"/>
    <w:rsid w:val="00E51995"/>
    <w:rsid w:val="00E61464"/>
    <w:rsid w:val="00E65951"/>
    <w:rsid w:val="00E67299"/>
    <w:rsid w:val="00E75BD8"/>
    <w:rsid w:val="00E75FDF"/>
    <w:rsid w:val="00E7636C"/>
    <w:rsid w:val="00E77E7E"/>
    <w:rsid w:val="00E846D3"/>
    <w:rsid w:val="00E85B98"/>
    <w:rsid w:val="00E911BE"/>
    <w:rsid w:val="00EA26C9"/>
    <w:rsid w:val="00EA5D56"/>
    <w:rsid w:val="00EB7AC2"/>
    <w:rsid w:val="00ED535D"/>
    <w:rsid w:val="00ED69EA"/>
    <w:rsid w:val="00EE497D"/>
    <w:rsid w:val="00EF2B86"/>
    <w:rsid w:val="00F05868"/>
    <w:rsid w:val="00F1376D"/>
    <w:rsid w:val="00F22945"/>
    <w:rsid w:val="00F5053E"/>
    <w:rsid w:val="00F51553"/>
    <w:rsid w:val="00F54AE9"/>
    <w:rsid w:val="00F55C5F"/>
    <w:rsid w:val="00F73629"/>
    <w:rsid w:val="00F749AB"/>
    <w:rsid w:val="00F81E66"/>
    <w:rsid w:val="00F971AA"/>
    <w:rsid w:val="00FB2B25"/>
    <w:rsid w:val="00FB4B60"/>
    <w:rsid w:val="00FB5D26"/>
    <w:rsid w:val="00FC5897"/>
    <w:rsid w:val="60F25AC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9"/>
    <w:qFormat/>
    <w:uiPriority w:val="9"/>
    <w:pPr>
      <w:keepNext/>
      <w:keepLines/>
      <w:spacing w:before="100" w:beforeAutospacing="1" w:after="100" w:afterAutospacing="1" w:line="578" w:lineRule="auto"/>
      <w:outlineLvl w:val="0"/>
    </w:pPr>
    <w:rPr>
      <w:rFonts w:eastAsia="仿宋_GB2312"/>
      <w:b/>
      <w:bCs/>
      <w:kern w:val="44"/>
      <w:sz w:val="32"/>
      <w:szCs w:val="44"/>
    </w:rPr>
  </w:style>
  <w:style w:type="paragraph" w:styleId="3">
    <w:name w:val="heading 2"/>
    <w:basedOn w:val="1"/>
    <w:next w:val="1"/>
    <w:link w:val="20"/>
    <w:unhideWhenUsed/>
    <w:qFormat/>
    <w:uiPriority w:val="9"/>
    <w:pPr>
      <w:keepNext/>
      <w:keepLines/>
      <w:spacing w:before="100" w:beforeAutospacing="1" w:after="100" w:afterAutospacing="1" w:line="415" w:lineRule="auto"/>
      <w:outlineLvl w:val="1"/>
    </w:pPr>
    <w:rPr>
      <w:rFonts w:eastAsia="仿宋_GB2312" w:asciiTheme="majorHAnsi" w:hAnsiTheme="majorHAnsi" w:cstheme="majorBidi"/>
      <w:b/>
      <w:bCs/>
      <w:sz w:val="30"/>
      <w:szCs w:val="32"/>
    </w:rPr>
  </w:style>
  <w:style w:type="paragraph" w:styleId="4">
    <w:name w:val="heading 3"/>
    <w:basedOn w:val="1"/>
    <w:next w:val="1"/>
    <w:link w:val="29"/>
    <w:unhideWhenUsed/>
    <w:qFormat/>
    <w:uiPriority w:val="9"/>
    <w:pPr>
      <w:keepNext/>
      <w:keepLines/>
      <w:spacing w:before="100" w:beforeAutospacing="1" w:after="100" w:afterAutospacing="1" w:line="415" w:lineRule="auto"/>
      <w:ind w:firstLine="200" w:firstLineChars="200"/>
      <w:outlineLvl w:val="2"/>
    </w:pPr>
    <w:rPr>
      <w:rFonts w:eastAsia="仿宋_GB2312"/>
      <w:b/>
      <w:bCs/>
      <w:sz w:val="28"/>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rPr>
      <w:rFonts w:ascii="Times New Roman" w:hAnsi="Times New Roman"/>
      <w:szCs w:val="20"/>
    </w:rPr>
  </w:style>
  <w:style w:type="paragraph" w:styleId="6">
    <w:name w:val="Document Map"/>
    <w:basedOn w:val="1"/>
    <w:link w:val="22"/>
    <w:semiHidden/>
    <w:unhideWhenUsed/>
    <w:qFormat/>
    <w:uiPriority w:val="99"/>
    <w:rPr>
      <w:rFonts w:ascii="宋体"/>
      <w:sz w:val="18"/>
      <w:szCs w:val="18"/>
    </w:rPr>
  </w:style>
  <w:style w:type="paragraph" w:styleId="7">
    <w:name w:val="Date"/>
    <w:basedOn w:val="1"/>
    <w:next w:val="1"/>
    <w:link w:val="28"/>
    <w:semiHidden/>
    <w:unhideWhenUsed/>
    <w:qFormat/>
    <w:uiPriority w:val="99"/>
    <w:pPr>
      <w:ind w:left="100" w:leftChars="2500"/>
    </w:pPr>
  </w:style>
  <w:style w:type="paragraph" w:styleId="8">
    <w:name w:val="Balloon Text"/>
    <w:basedOn w:val="1"/>
    <w:link w:val="27"/>
    <w:semiHidden/>
    <w:unhideWhenUsed/>
    <w:qFormat/>
    <w:uiPriority w:val="99"/>
    <w:rPr>
      <w:sz w:val="18"/>
      <w:szCs w:val="18"/>
    </w:rPr>
  </w:style>
  <w:style w:type="paragraph" w:styleId="9">
    <w:name w:val="footer"/>
    <w:basedOn w:val="1"/>
    <w:link w:val="1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0">
    <w:name w:val="header"/>
    <w:basedOn w:val="1"/>
    <w:link w:val="1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pPr>
      <w:tabs>
        <w:tab w:val="right" w:leader="dot" w:pos="8296"/>
      </w:tabs>
      <w:jc w:val="center"/>
    </w:pPr>
    <w:rPr>
      <w:rFonts w:ascii="宋体" w:hAnsi="宋体"/>
      <w:b/>
      <w:sz w:val="44"/>
      <w:szCs w:val="44"/>
    </w:rPr>
  </w:style>
  <w:style w:type="paragraph" w:styleId="12">
    <w:name w:val="toc 2"/>
    <w:basedOn w:val="1"/>
    <w:next w:val="1"/>
    <w:unhideWhenUsed/>
    <w:qFormat/>
    <w:uiPriority w:val="39"/>
    <w:pPr>
      <w:ind w:left="420" w:leftChars="200"/>
    </w:p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Hyperlink"/>
    <w:basedOn w:val="15"/>
    <w:unhideWhenUsed/>
    <w:qFormat/>
    <w:uiPriority w:val="99"/>
    <w:rPr>
      <w:color w:val="0563C1" w:themeColor="hyperlink"/>
      <w:u w:val="single"/>
    </w:rPr>
  </w:style>
  <w:style w:type="character" w:customStyle="1" w:styleId="17">
    <w:name w:val="页眉 字符"/>
    <w:basedOn w:val="15"/>
    <w:link w:val="10"/>
    <w:qFormat/>
    <w:uiPriority w:val="99"/>
    <w:rPr>
      <w:sz w:val="18"/>
      <w:szCs w:val="18"/>
    </w:rPr>
  </w:style>
  <w:style w:type="character" w:customStyle="1" w:styleId="18">
    <w:name w:val="页脚 字符"/>
    <w:basedOn w:val="15"/>
    <w:link w:val="9"/>
    <w:qFormat/>
    <w:uiPriority w:val="99"/>
    <w:rPr>
      <w:sz w:val="18"/>
      <w:szCs w:val="18"/>
    </w:rPr>
  </w:style>
  <w:style w:type="character" w:customStyle="1" w:styleId="19">
    <w:name w:val="标题 1 字符"/>
    <w:basedOn w:val="15"/>
    <w:link w:val="2"/>
    <w:qFormat/>
    <w:uiPriority w:val="9"/>
    <w:rPr>
      <w:rFonts w:ascii="Calibri" w:hAnsi="Calibri" w:eastAsia="仿宋_GB2312" w:cs="Times New Roman"/>
      <w:b/>
      <w:bCs/>
      <w:kern w:val="44"/>
      <w:sz w:val="32"/>
      <w:szCs w:val="44"/>
    </w:rPr>
  </w:style>
  <w:style w:type="character" w:customStyle="1" w:styleId="20">
    <w:name w:val="标题 2 字符"/>
    <w:basedOn w:val="15"/>
    <w:link w:val="3"/>
    <w:qFormat/>
    <w:uiPriority w:val="9"/>
    <w:rPr>
      <w:rFonts w:eastAsia="仿宋_GB2312" w:asciiTheme="majorHAnsi" w:hAnsiTheme="majorHAnsi" w:cstheme="majorBidi"/>
      <w:b/>
      <w:bCs/>
      <w:sz w:val="30"/>
      <w:szCs w:val="32"/>
    </w:rPr>
  </w:style>
  <w:style w:type="paragraph" w:customStyle="1" w:styleId="21">
    <w:name w:val="Char Char Char"/>
    <w:basedOn w:val="1"/>
    <w:qFormat/>
    <w:uiPriority w:val="0"/>
    <w:rPr>
      <w:rFonts w:ascii="Times New Roman" w:hAnsi="Times New Roman"/>
      <w:szCs w:val="24"/>
    </w:rPr>
  </w:style>
  <w:style w:type="character" w:customStyle="1" w:styleId="22">
    <w:name w:val="文档结构图 字符"/>
    <w:basedOn w:val="15"/>
    <w:link w:val="6"/>
    <w:semiHidden/>
    <w:qFormat/>
    <w:uiPriority w:val="99"/>
    <w:rPr>
      <w:rFonts w:ascii="宋体" w:hAnsi="Calibri" w:eastAsia="宋体" w:cs="Times New Roman"/>
      <w:sz w:val="18"/>
      <w:szCs w:val="18"/>
    </w:rPr>
  </w:style>
  <w:style w:type="paragraph" w:styleId="23">
    <w:name w:val="No Spacing"/>
    <w:qFormat/>
    <w:uiPriority w:val="1"/>
    <w:pPr>
      <w:widowControl w:val="0"/>
      <w:jc w:val="both"/>
    </w:pPr>
    <w:rPr>
      <w:rFonts w:ascii="Calibri" w:hAnsi="Calibri" w:eastAsia="宋体" w:cs="Times New Roman"/>
      <w:kern w:val="2"/>
      <w:sz w:val="21"/>
      <w:szCs w:val="22"/>
      <w:lang w:val="en-US" w:eastAsia="zh-CN" w:bidi="ar-SA"/>
    </w:rPr>
  </w:style>
  <w:style w:type="paragraph" w:styleId="24">
    <w:name w:val="List Paragraph"/>
    <w:basedOn w:val="1"/>
    <w:qFormat/>
    <w:uiPriority w:val="34"/>
    <w:pPr>
      <w:ind w:firstLine="420" w:firstLineChars="200"/>
    </w:pPr>
  </w:style>
  <w:style w:type="paragraph" w:customStyle="1" w:styleId="25">
    <w:name w:val="Char Char Char1"/>
    <w:basedOn w:val="1"/>
    <w:qFormat/>
    <w:uiPriority w:val="0"/>
    <w:rPr>
      <w:rFonts w:ascii="Times New Roman" w:hAnsi="Times New Roman"/>
      <w:szCs w:val="24"/>
    </w:rPr>
  </w:style>
  <w:style w:type="paragraph" w:customStyle="1" w:styleId="26">
    <w:name w:val="Char Char Char2"/>
    <w:basedOn w:val="1"/>
    <w:qFormat/>
    <w:uiPriority w:val="0"/>
    <w:rPr>
      <w:rFonts w:ascii="Times New Roman" w:hAnsi="Times New Roman"/>
      <w:szCs w:val="24"/>
    </w:rPr>
  </w:style>
  <w:style w:type="character" w:customStyle="1" w:styleId="27">
    <w:name w:val="批注框文本 字符"/>
    <w:basedOn w:val="15"/>
    <w:link w:val="8"/>
    <w:semiHidden/>
    <w:qFormat/>
    <w:uiPriority w:val="99"/>
    <w:rPr>
      <w:rFonts w:ascii="Calibri" w:hAnsi="Calibri" w:eastAsia="宋体" w:cs="Times New Roman"/>
      <w:sz w:val="18"/>
      <w:szCs w:val="18"/>
    </w:rPr>
  </w:style>
  <w:style w:type="character" w:customStyle="1" w:styleId="28">
    <w:name w:val="日期 字符"/>
    <w:basedOn w:val="15"/>
    <w:link w:val="7"/>
    <w:semiHidden/>
    <w:qFormat/>
    <w:uiPriority w:val="99"/>
    <w:rPr>
      <w:rFonts w:ascii="Calibri" w:hAnsi="Calibri" w:eastAsia="宋体" w:cs="Times New Roman"/>
    </w:rPr>
  </w:style>
  <w:style w:type="character" w:customStyle="1" w:styleId="29">
    <w:name w:val="标题 3 字符"/>
    <w:basedOn w:val="15"/>
    <w:link w:val="4"/>
    <w:qFormat/>
    <w:uiPriority w:val="9"/>
    <w:rPr>
      <w:rFonts w:ascii="Calibri" w:hAnsi="Calibri" w:eastAsia="仿宋_GB2312" w:cs="Times New Roman"/>
      <w:b/>
      <w:bCs/>
      <w:sz w:val="28"/>
      <w:szCs w:val="32"/>
    </w:rPr>
  </w:style>
  <w:style w:type="character" w:customStyle="1" w:styleId="30">
    <w:name w:val="font171"/>
    <w:basedOn w:val="15"/>
    <w:uiPriority w:val="0"/>
    <w:rPr>
      <w:rFonts w:hint="eastAsia" w:ascii="宋体" w:hAnsi="宋体" w:eastAsia="宋体"/>
      <w:color w:val="000000"/>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87A94C-CA92-4D64-B117-A69BFC10C613}">
  <ds:schemaRefs/>
</ds:datastoreItem>
</file>

<file path=docProps/app.xml><?xml version="1.0" encoding="utf-8"?>
<Properties xmlns="http://schemas.openxmlformats.org/officeDocument/2006/extended-properties" xmlns:vt="http://schemas.openxmlformats.org/officeDocument/2006/docPropsVTypes">
  <Template>Normal</Template>
  <Pages>48</Pages>
  <Words>3762</Words>
  <Characters>21448</Characters>
  <Lines>178</Lines>
  <Paragraphs>50</Paragraphs>
  <TotalTime>459</TotalTime>
  <ScaleCrop>false</ScaleCrop>
  <LinksUpToDate>false</LinksUpToDate>
  <CharactersWithSpaces>25160</CharactersWithSpaces>
  <Application>WPS Office_12.8.2.15292_F1E327BC-269C-435d-A152-05C5408002CA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2017-07-10T01:56:00Z</dcterms:created>
  <dc:creator>HP</dc:creator>
  <cp:lastModifiedBy>张学琴</cp:lastModifiedBy>
  <dcterms:modified xsi:type="dcterms:W3CDTF">2025-01-20T07:48:55Z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2052-12.8.2.15292</vt:lpwstr>
  </property>
  <property fmtid="{D5CDD505-2E9C-101B-9397-08002B2CF9AE}" pid="3" name="ICV">
    <vt:lpwstr>0E69970B5EEF40AF9892A26F01D75C36_12</vt:lpwstr>
  </property>
</Properties>
</file>