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81FE7">
      <w:pPr>
        <w:pStyle w:val="5"/>
        <w:spacing w:beforeAutospacing="0" w:afterAutospacing="0"/>
        <w:jc w:val="center"/>
        <w:rPr>
          <w:rFonts w:hint="eastAsia" w:ascii="黑体" w:hAnsi="黑体" w:eastAsia="黑体" w:cs="黑体"/>
          <w:sz w:val="32"/>
          <w:szCs w:val="32"/>
        </w:rPr>
      </w:pPr>
      <w:r>
        <w:rPr>
          <w:rFonts w:hint="eastAsia" w:ascii="黑体" w:hAnsi="黑体" w:eastAsia="黑体" w:cs="黑体"/>
          <w:sz w:val="32"/>
          <w:szCs w:val="32"/>
        </w:rPr>
        <w:t>乐山市五通桥区</w:t>
      </w:r>
      <w:r>
        <w:rPr>
          <w:rFonts w:hint="eastAsia" w:ascii="黑体" w:hAnsi="黑体" w:eastAsia="黑体" w:cs="黑体"/>
          <w:sz w:val="32"/>
          <w:szCs w:val="32"/>
          <w:lang w:val="en-US" w:eastAsia="zh-CN"/>
        </w:rPr>
        <w:t>氯化铵</w:t>
      </w:r>
      <w:r>
        <w:rPr>
          <w:rFonts w:hint="eastAsia" w:ascii="黑体" w:hAnsi="黑体" w:eastAsia="黑体" w:cs="黑体"/>
          <w:sz w:val="32"/>
          <w:szCs w:val="32"/>
        </w:rPr>
        <w:t>产品质量监督抽查实施细则</w:t>
      </w:r>
    </w:p>
    <w:p w14:paraId="7A519230">
      <w:pPr>
        <w:pStyle w:val="5"/>
        <w:spacing w:beforeAutospacing="0" w:afterAutospacing="0"/>
        <w:jc w:val="center"/>
        <w:rPr>
          <w:rFonts w:hint="eastAsia" w:ascii="黑体" w:hAnsi="黑体" w:eastAsia="黑体" w:cs="黑体"/>
          <w:sz w:val="32"/>
          <w:szCs w:val="32"/>
        </w:rPr>
      </w:pP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62DCFA88">
      <w:pPr>
        <w:keepNext w:val="0"/>
        <w:keepLines w:val="0"/>
        <w:pageBreakBefore w:val="0"/>
        <w:widowControl w:val="0"/>
        <w:kinsoku/>
        <w:wordWrap/>
        <w:overflowPunct/>
        <w:topLinePunct w:val="0"/>
        <w:autoSpaceDE/>
        <w:autoSpaceDN/>
        <w:bidi w:val="0"/>
        <w:adjustRightInd/>
        <w:snapToGrid w:val="0"/>
        <w:spacing w:line="240" w:lineRule="auto"/>
        <w:textAlignment w:val="auto"/>
        <w:rPr>
          <w:rFonts w:eastAsia="黑体"/>
          <w:szCs w:val="21"/>
        </w:rPr>
      </w:pPr>
      <w:r>
        <w:rPr>
          <w:rFonts w:eastAsia="黑体"/>
          <w:szCs w:val="21"/>
        </w:rPr>
        <w:t>1 抽样方法</w:t>
      </w:r>
    </w:p>
    <w:p w14:paraId="235A405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000000"/>
          <w:szCs w:val="21"/>
        </w:rPr>
      </w:pPr>
      <w:bookmarkStart w:id="0" w:name="_Hlk40800877"/>
      <w:r>
        <w:rPr>
          <w:rFonts w:hint="eastAsia" w:ascii="宋体" w:hAnsi="宋体"/>
          <w:color w:val="000000"/>
          <w:szCs w:val="21"/>
        </w:rPr>
        <w:t>以随机抽样的方式在被抽样生产者、销售者的待销产品中抽取。</w:t>
      </w:r>
    </w:p>
    <w:p w14:paraId="10A4685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333180E4">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rPr>
          <w:rFonts w:ascii="宋体" w:hAnsi="宋体"/>
          <w:szCs w:val="21"/>
        </w:rPr>
      </w:pPr>
      <w:bookmarkStart w:id="1" w:name="_Hlk103259270"/>
      <w:r>
        <w:rPr>
          <w:rFonts w:hint="eastAsia" w:ascii="宋体" w:hAnsi="宋体"/>
          <w:color w:val="000000"/>
          <w:szCs w:val="21"/>
        </w:rPr>
        <w:t>将粒状样品缩分至约1kg、粉状样品缩分至约</w:t>
      </w:r>
      <w:r>
        <w:rPr>
          <w:rFonts w:ascii="宋体" w:hAnsi="宋体"/>
          <w:color w:val="000000"/>
          <w:szCs w:val="21"/>
        </w:rPr>
        <w:t>0.5</w:t>
      </w:r>
      <w:r>
        <w:rPr>
          <w:rFonts w:hint="eastAsia" w:ascii="宋体" w:hAnsi="宋体"/>
          <w:color w:val="000000"/>
          <w:szCs w:val="21"/>
        </w:rPr>
        <w:t>kg</w:t>
      </w:r>
      <w:r>
        <w:rPr>
          <w:rFonts w:hint="eastAsia" w:ascii="宋体" w:hAnsi="宋体"/>
          <w:color w:val="000000"/>
          <w:szCs w:val="21"/>
          <w:lang w:val="en-US" w:eastAsia="zh-CN"/>
        </w:rPr>
        <w:t>，</w:t>
      </w:r>
      <w:r>
        <w:rPr>
          <w:rFonts w:hint="eastAsia" w:ascii="宋体" w:hAnsi="宋体"/>
          <w:color w:val="000000"/>
          <w:szCs w:val="21"/>
        </w:rPr>
        <w:t>分装于2个洁净、干燥的塑料瓶中。</w:t>
      </w:r>
      <w:r>
        <w:rPr>
          <w:rFonts w:ascii="宋体" w:hAnsi="宋体"/>
          <w:color w:val="000000"/>
          <w:szCs w:val="21"/>
        </w:rPr>
        <w:t>1</w:t>
      </w:r>
      <w:r>
        <w:rPr>
          <w:rFonts w:hint="eastAsia" w:ascii="宋体" w:hAnsi="宋体"/>
          <w:color w:val="000000"/>
          <w:szCs w:val="21"/>
        </w:rPr>
        <w:t>瓶作为检验样品，另</w:t>
      </w:r>
      <w:r>
        <w:rPr>
          <w:rFonts w:ascii="宋体" w:hAnsi="宋体"/>
          <w:color w:val="000000"/>
          <w:szCs w:val="21"/>
        </w:rPr>
        <w:t>1</w:t>
      </w:r>
      <w:r>
        <w:rPr>
          <w:rFonts w:hint="eastAsia" w:ascii="宋体" w:hAnsi="宋体"/>
          <w:color w:val="000000"/>
          <w:szCs w:val="21"/>
        </w:rPr>
        <w:t>瓶作为备用样品。</w:t>
      </w:r>
      <w:bookmarkEnd w:id="1"/>
    </w:p>
    <w:bookmarkEnd w:id="0"/>
    <w:p w14:paraId="7729BA4A">
      <w:pPr>
        <w:snapToGrid w:val="0"/>
        <w:spacing w:line="440" w:lineRule="exact"/>
        <w:rPr>
          <w:rFonts w:eastAsia="黑体"/>
          <w:bCs/>
          <w:szCs w:val="21"/>
        </w:rPr>
      </w:pPr>
      <w:r>
        <w:rPr>
          <w:rFonts w:eastAsia="黑体"/>
          <w:szCs w:val="21"/>
        </w:rPr>
        <w:t>2 检验依据</w:t>
      </w:r>
    </w:p>
    <w:p w14:paraId="35C5B4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auto"/>
          <w:szCs w:val="21"/>
        </w:rPr>
      </w:pPr>
      <w:r>
        <w:rPr>
          <w:rFonts w:hint="eastAsia" w:ascii="黑体" w:hAnsi="黑体" w:eastAsia="黑体" w:cs="黑体"/>
          <w:bCs/>
          <w:szCs w:val="21"/>
        </w:rPr>
        <w:t>表1</w:t>
      </w:r>
      <w:r>
        <w:rPr>
          <w:rFonts w:hint="eastAsia" w:ascii="黑体" w:hAnsi="黑体" w:eastAsia="黑体" w:cs="黑体"/>
          <w:bCs/>
          <w:color w:val="auto"/>
          <w:szCs w:val="21"/>
        </w:rPr>
        <w:t xml:space="preserve"> 农业用氯化铵</w:t>
      </w:r>
    </w:p>
    <w:tbl>
      <w:tblPr>
        <w:tblStyle w:val="6"/>
        <w:tblW w:w="8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707"/>
        <w:gridCol w:w="3402"/>
      </w:tblGrid>
      <w:tr w14:paraId="40CA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99" w:type="dxa"/>
            <w:tcBorders>
              <w:tl2br w:val="nil"/>
              <w:tr2bl w:val="nil"/>
            </w:tcBorders>
            <w:shd w:val="clear" w:color="auto" w:fill="auto"/>
            <w:vAlign w:val="center"/>
          </w:tcPr>
          <w:p w14:paraId="5C22C09F">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序号</w:t>
            </w:r>
          </w:p>
        </w:tc>
        <w:tc>
          <w:tcPr>
            <w:tcW w:w="4707" w:type="dxa"/>
            <w:tcBorders>
              <w:tl2br w:val="nil"/>
              <w:tr2bl w:val="nil"/>
            </w:tcBorders>
            <w:shd w:val="clear" w:color="auto" w:fill="auto"/>
            <w:vAlign w:val="center"/>
          </w:tcPr>
          <w:p w14:paraId="65C5B69C">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检验项目</w:t>
            </w:r>
          </w:p>
        </w:tc>
        <w:tc>
          <w:tcPr>
            <w:tcW w:w="3402" w:type="dxa"/>
            <w:tcBorders>
              <w:tl2br w:val="nil"/>
              <w:tr2bl w:val="nil"/>
            </w:tcBorders>
            <w:shd w:val="clear" w:color="auto" w:fill="auto"/>
            <w:vAlign w:val="center"/>
          </w:tcPr>
          <w:p w14:paraId="422DB302">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检验方法</w:t>
            </w:r>
          </w:p>
        </w:tc>
      </w:tr>
      <w:tr w14:paraId="6CA7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68B64415">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vAlign w:val="center"/>
          </w:tcPr>
          <w:p w14:paraId="15DAF7F5">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总氮（N）的质量分数（以干基计）</w:t>
            </w:r>
          </w:p>
        </w:tc>
        <w:tc>
          <w:tcPr>
            <w:tcW w:w="3402" w:type="dxa"/>
            <w:tcBorders>
              <w:tl2br w:val="nil"/>
              <w:tr2bl w:val="nil"/>
            </w:tcBorders>
            <w:shd w:val="clear" w:color="auto" w:fill="auto"/>
            <w:vAlign w:val="center"/>
          </w:tcPr>
          <w:p w14:paraId="31EDBC5A">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 xml:space="preserve">GB/T 2946-2018 </w:t>
            </w:r>
          </w:p>
        </w:tc>
      </w:tr>
      <w:tr w14:paraId="5AA5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29D98F1E">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vAlign w:val="center"/>
          </w:tcPr>
          <w:p w14:paraId="63581602">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水的质量分数</w:t>
            </w:r>
          </w:p>
        </w:tc>
        <w:tc>
          <w:tcPr>
            <w:tcW w:w="3402" w:type="dxa"/>
            <w:tcBorders>
              <w:tl2br w:val="nil"/>
              <w:tr2bl w:val="nil"/>
            </w:tcBorders>
            <w:shd w:val="clear" w:color="auto" w:fill="auto"/>
            <w:vAlign w:val="center"/>
          </w:tcPr>
          <w:p w14:paraId="4C6D1C53">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GB/T 8577-2010</w:t>
            </w:r>
          </w:p>
        </w:tc>
      </w:tr>
      <w:tr w14:paraId="1641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33B98E89">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vAlign w:val="center"/>
          </w:tcPr>
          <w:p w14:paraId="1A37FDED">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钠盐的质量分数（以Na计）</w:t>
            </w:r>
          </w:p>
        </w:tc>
        <w:tc>
          <w:tcPr>
            <w:tcW w:w="3402" w:type="dxa"/>
            <w:tcBorders>
              <w:tl2br w:val="nil"/>
              <w:tr2bl w:val="nil"/>
            </w:tcBorders>
            <w:shd w:val="clear" w:color="auto" w:fill="auto"/>
            <w:vAlign w:val="center"/>
          </w:tcPr>
          <w:p w14:paraId="0D6D5325">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 xml:space="preserve">GB/T 2946-2018 </w:t>
            </w:r>
          </w:p>
        </w:tc>
      </w:tr>
      <w:tr w14:paraId="5856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733A22CB">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noWrap/>
            <w:vAlign w:val="center"/>
          </w:tcPr>
          <w:p w14:paraId="57D9E2E2">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总镉（Cd）</w:t>
            </w:r>
          </w:p>
        </w:tc>
        <w:tc>
          <w:tcPr>
            <w:tcW w:w="3402" w:type="dxa"/>
            <w:tcBorders>
              <w:tl2br w:val="nil"/>
              <w:tr2bl w:val="nil"/>
            </w:tcBorders>
            <w:shd w:val="clear" w:color="auto" w:fill="FFFFFF"/>
            <w:vAlign w:val="center"/>
          </w:tcPr>
          <w:p w14:paraId="2929C0FB">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GB/T 23349-2020</w:t>
            </w:r>
          </w:p>
        </w:tc>
      </w:tr>
      <w:tr w14:paraId="0E14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73E5CAAE">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noWrap/>
            <w:vAlign w:val="center"/>
          </w:tcPr>
          <w:p w14:paraId="518E6C9D">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总砷（As）</w:t>
            </w:r>
          </w:p>
        </w:tc>
        <w:tc>
          <w:tcPr>
            <w:tcW w:w="3402" w:type="dxa"/>
            <w:tcBorders>
              <w:tl2br w:val="nil"/>
              <w:tr2bl w:val="nil"/>
            </w:tcBorders>
            <w:shd w:val="clear" w:color="auto" w:fill="FFFFFF"/>
            <w:vAlign w:val="center"/>
          </w:tcPr>
          <w:p w14:paraId="7686F4C1">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GB/T 23349-2020</w:t>
            </w:r>
          </w:p>
        </w:tc>
      </w:tr>
      <w:tr w14:paraId="695D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9" w:type="dxa"/>
            <w:tcBorders>
              <w:tl2br w:val="nil"/>
              <w:tr2bl w:val="nil"/>
            </w:tcBorders>
            <w:shd w:val="clear" w:color="auto" w:fill="auto"/>
            <w:vAlign w:val="center"/>
          </w:tcPr>
          <w:p w14:paraId="6CE981B2">
            <w:pPr>
              <w:pStyle w:val="12"/>
              <w:widowControl/>
              <w:numPr>
                <w:ilvl w:val="0"/>
                <w:numId w:val="1"/>
              </w:numPr>
              <w:ind w:left="210" w:leftChars="0" w:firstLineChars="0"/>
              <w:jc w:val="center"/>
              <w:rPr>
                <w:rFonts w:hint="eastAsia" w:ascii="宋体" w:hAnsi="宋体" w:eastAsia="宋体" w:cs="宋体"/>
                <w:color w:val="auto"/>
                <w:kern w:val="0"/>
                <w:szCs w:val="21"/>
              </w:rPr>
            </w:pPr>
          </w:p>
        </w:tc>
        <w:tc>
          <w:tcPr>
            <w:tcW w:w="4707" w:type="dxa"/>
            <w:tcBorders>
              <w:tl2br w:val="nil"/>
              <w:tr2bl w:val="nil"/>
            </w:tcBorders>
            <w:shd w:val="clear" w:color="auto" w:fill="auto"/>
            <w:noWrap/>
            <w:vAlign w:val="center"/>
          </w:tcPr>
          <w:p w14:paraId="50AA2AE1">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总铅（Pb）</w:t>
            </w:r>
          </w:p>
        </w:tc>
        <w:tc>
          <w:tcPr>
            <w:tcW w:w="3402" w:type="dxa"/>
            <w:tcBorders>
              <w:tl2br w:val="nil"/>
              <w:tr2bl w:val="nil"/>
            </w:tcBorders>
            <w:shd w:val="clear" w:color="auto" w:fill="FFFFFF"/>
            <w:vAlign w:val="center"/>
          </w:tcPr>
          <w:p w14:paraId="025349FE">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lang w:bidi="ar"/>
              </w:rPr>
              <w:t>GB/T 23349-2020</w:t>
            </w:r>
          </w:p>
        </w:tc>
      </w:tr>
    </w:tbl>
    <w:p w14:paraId="12A2F485">
      <w:pPr>
        <w:ind w:left="566" w:leftChars="-21" w:hanging="610" w:hangingChars="339"/>
        <w:jc w:val="left"/>
        <w:rPr>
          <w:rFonts w:ascii="宋体" w:hAnsi="宋体" w:cs="宋体"/>
          <w:sz w:val="18"/>
          <w:szCs w:val="18"/>
        </w:rPr>
      </w:pPr>
      <w:r>
        <w:rPr>
          <w:rFonts w:hint="eastAsia" w:ascii="宋体" w:hAnsi="宋体" w:cs="宋体"/>
          <w:sz w:val="18"/>
          <w:szCs w:val="18"/>
        </w:rPr>
        <w:t>注：1.上表所列检验项目是有关法律法规、标准等规定的，重点涉及健康、安全、节能、环保以及消费者、有关组织反映有质量问题的重要项目。</w:t>
      </w:r>
    </w:p>
    <w:p w14:paraId="1AC3F268">
      <w:pPr>
        <w:ind w:firstLine="360" w:firstLineChars="200"/>
        <w:jc w:val="left"/>
        <w:rPr>
          <w:rFonts w:ascii="宋体" w:hAnsi="宋体" w:cs="宋体"/>
          <w:sz w:val="18"/>
          <w:szCs w:val="18"/>
        </w:rPr>
      </w:pPr>
      <w:r>
        <w:rPr>
          <w:rFonts w:hint="eastAsia" w:ascii="宋体" w:hAnsi="宋体" w:cs="宋体"/>
          <w:sz w:val="18"/>
          <w:szCs w:val="18"/>
        </w:rPr>
        <w:t>2.检验方法包括相关产品标准及试验方法标准。</w:t>
      </w:r>
    </w:p>
    <w:p w14:paraId="5B155E55">
      <w:pPr>
        <w:ind w:left="537" w:leftChars="170" w:hanging="180" w:hangingChars="100"/>
        <w:jc w:val="left"/>
        <w:rPr>
          <w:rFonts w:ascii="宋体" w:hAnsi="宋体" w:cs="宋体"/>
          <w:sz w:val="18"/>
          <w:szCs w:val="18"/>
        </w:rPr>
      </w:pPr>
      <w:r>
        <w:rPr>
          <w:rFonts w:hint="eastAsia" w:ascii="宋体" w:hAnsi="宋体" w:cs="宋体"/>
          <w:sz w:val="18"/>
          <w:szCs w:val="18"/>
        </w:rPr>
        <w:t>3.凡是注日期的文件，其随后所有的修改单（不包括勘误的内容）或修订版不适用于本细则。凡是不注日期的文件，其最新版本适用于本细则。</w:t>
      </w:r>
    </w:p>
    <w:p w14:paraId="6600B607">
      <w:pPr>
        <w:ind w:left="563" w:leftChars="149" w:hanging="250" w:hangingChars="139"/>
        <w:jc w:val="left"/>
        <w:rPr>
          <w:rFonts w:ascii="宋体" w:hAnsi="宋体" w:cs="宋体"/>
          <w:sz w:val="18"/>
          <w:szCs w:val="18"/>
        </w:rPr>
      </w:pPr>
      <w:r>
        <w:rPr>
          <w:rFonts w:hint="eastAsia" w:ascii="宋体" w:hAnsi="宋体" w:cs="宋体"/>
          <w:sz w:val="18"/>
          <w:szCs w:val="18"/>
        </w:rPr>
        <w:t>4.执行企业标准、团体标准、地方标准的产品，检验项目参照上述内容执行。</w:t>
      </w:r>
      <w:bookmarkStart w:id="2" w:name="_Hlk101710946"/>
      <w:bookmarkStart w:id="3" w:name="_Hlk101710548"/>
    </w:p>
    <w:bookmarkEnd w:id="2"/>
    <w:bookmarkEnd w:id="3"/>
    <w:p w14:paraId="607A2D28">
      <w:pPr>
        <w:spacing w:before="312" w:beforeLines="100" w:after="312" w:afterLines="100"/>
        <w:outlineLvl w:val="0"/>
        <w:rPr>
          <w:rFonts w:ascii="黑体" w:hAnsi="黑体" w:eastAsia="黑体" w:cs="黑体"/>
        </w:rPr>
      </w:pPr>
      <w:r>
        <w:rPr>
          <w:rFonts w:ascii="黑体" w:hAnsi="黑体" w:eastAsia="黑体" w:cs="黑体"/>
        </w:rPr>
        <w:t>3 判定规则</w:t>
      </w:r>
    </w:p>
    <w:p w14:paraId="6AFB03CC">
      <w:pPr>
        <w:spacing w:before="312" w:beforeLines="100" w:after="312" w:afterLines="100"/>
        <w:outlineLvl w:val="0"/>
        <w:rPr>
          <w:rFonts w:ascii="黑体" w:hAnsi="黑体" w:eastAsia="黑体" w:cs="黑体"/>
        </w:rPr>
      </w:pPr>
      <w:r>
        <w:rPr>
          <w:rFonts w:ascii="黑体" w:hAnsi="黑体" w:eastAsia="黑体" w:cs="黑体"/>
        </w:rPr>
        <w:t>3.1依据标准</w:t>
      </w:r>
    </w:p>
    <w:p w14:paraId="7BA1B88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auto"/>
          <w:szCs w:val="21"/>
        </w:rPr>
      </w:pPr>
      <w:r>
        <w:rPr>
          <w:rFonts w:hint="eastAsia" w:ascii="宋体" w:hAnsi="宋体"/>
          <w:color w:val="auto"/>
          <w:szCs w:val="21"/>
        </w:rPr>
        <w:t>GB/T 2946-2018 氯化铵</w:t>
      </w:r>
    </w:p>
    <w:p w14:paraId="76B63B93">
      <w:pPr>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p w14:paraId="1DB20DC5">
      <w:pPr>
        <w:spacing w:before="312" w:beforeLines="100" w:after="312" w:afterLines="100"/>
        <w:outlineLvl w:val="0"/>
        <w:rPr>
          <w:rFonts w:ascii="黑体" w:hAnsi="黑体" w:eastAsia="黑体" w:cs="黑体"/>
        </w:rPr>
      </w:pPr>
      <w:r>
        <w:rPr>
          <w:rFonts w:ascii="黑体" w:hAnsi="黑体" w:eastAsia="黑体" w:cs="黑体"/>
        </w:rPr>
        <w:t>3.2判定原则</w:t>
      </w:r>
    </w:p>
    <w:p w14:paraId="2BC9A2BD">
      <w:pPr>
        <w:snapToGrid w:val="0"/>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14:paraId="1F06C143">
      <w:pPr>
        <w:snapToGrid w:val="0"/>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3DE4210B">
      <w:pPr>
        <w:snapToGrid w:val="0"/>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589C867D">
      <w:pPr>
        <w:snapToGrid w:val="0"/>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若被检产品明示的质量要求低于或包含本细则中检验项目依据的推荐性标准要求时，应以被检产品明示的质量要求判定，但应在检验报告备注中进行说明。</w:t>
      </w:r>
    </w:p>
    <w:p w14:paraId="1A8CD69D">
      <w:pPr>
        <w:snapToGrid w:val="0"/>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2B8D34BE">
      <w:pPr>
        <w:snapToGrid w:val="0"/>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14:paraId="4B21EC85">
      <w:bookmarkStart w:id="4" w:name="_GoBack"/>
      <w:bookmarkEnd w:id="4"/>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D414">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8A6E80E">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2ABED">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4ABF7962">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9450E">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3NGNiMGUyYzMxM2ZmNjk4NGQyMGVkNmUyYTI1MjYifQ=="/>
    <w:docVar w:name="KSO_WPS_MARK_KEY" w:val="9b1e19e5-47a6-4b13-8dee-cdabc19b3625"/>
  </w:docVars>
  <w:rsids>
    <w:rsidRoot w:val="00525CC4"/>
    <w:rsid w:val="002F028A"/>
    <w:rsid w:val="00525CC4"/>
    <w:rsid w:val="007563E0"/>
    <w:rsid w:val="00851D49"/>
    <w:rsid w:val="1FA53FB4"/>
    <w:rsid w:val="26A26C94"/>
    <w:rsid w:val="39421AE3"/>
    <w:rsid w:val="437E3D4B"/>
    <w:rsid w:val="4BC845F3"/>
    <w:rsid w:val="58D161E5"/>
    <w:rsid w:val="58ED697E"/>
    <w:rsid w:val="6EFD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
    <w:qFormat/>
    <w:uiPriority w:val="99"/>
    <w:rPr>
      <w:rFonts w:ascii="宋体" w:hAnsi="宋体" w:cs="宋体"/>
      <w:sz w:val="28"/>
      <w:szCs w:val="28"/>
      <w:lang w:val="zh-CN" w:bidi="zh-CN"/>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rPr>
  </w:style>
  <w:style w:type="character" w:styleId="8">
    <w:name w:val="page number"/>
    <w:basedOn w:val="7"/>
    <w:qFormat/>
    <w:uiPriority w:val="0"/>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正文文本 Char"/>
    <w:basedOn w:val="7"/>
    <w:link w:val="2"/>
    <w:qFormat/>
    <w:uiPriority w:val="99"/>
    <w:rPr>
      <w:rFonts w:ascii="宋体" w:hAnsi="宋体" w:eastAsia="宋体" w:cs="宋体"/>
      <w:sz w:val="28"/>
      <w:szCs w:val="28"/>
      <w:lang w:val="zh-CN" w:bidi="zh-CN"/>
    </w:rPr>
  </w:style>
  <w:style w:type="paragraph" w:styleId="12">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808</Words>
  <Characters>912</Characters>
  <Lines>26</Lines>
  <Paragraphs>7</Paragraphs>
  <TotalTime>0</TotalTime>
  <ScaleCrop>false</ScaleCrop>
  <LinksUpToDate>false</LinksUpToDate>
  <CharactersWithSpaces>927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2024-06-17T02:39:00Z</dcterms:created>
  <dc:creator>zjy-1</dc:creator>
  <cp:lastModifiedBy>(^ω^)静</cp:lastModifiedBy>
  <dcterms:modified xsi:type="dcterms:W3CDTF">2026-04-03T07:48:46Z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D210A51C48D54DBEAA89EBD5920720E7_13</vt:lpwstr>
  </property>
  <property fmtid="{D5CDD505-2E9C-101B-9397-08002B2CF9AE}" pid="4" name="KSOTemplateDocerSaveRecord">
    <vt:lpwstr>eyJoZGlkIjoiZGY4ZDQwYTRkMWY4ZjljYWQwNWJjYzE3NTRmZWI1ZTEiLCJ1c2VySWQiOiIzNDkwNzcyMzUifQ==</vt:lpwstr>
  </property>
</Properties>
</file>