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B06D1">
      <w:pPr>
        <w:jc w:val="center"/>
        <w:rPr>
          <w:rFonts w:ascii="黑体" w:hAnsi="黑体" w:eastAsia="黑体" w:cs="黑体"/>
          <w:spacing w:val="-1"/>
          <w:sz w:val="32"/>
          <w:szCs w:val="32"/>
        </w:rPr>
      </w:pPr>
      <w:r>
        <w:rPr>
          <w:rFonts w:hint="eastAsia" w:ascii="黑体" w:hAnsi="黑体" w:eastAsia="黑体" w:cs="黑体"/>
          <w:spacing w:val="-1"/>
          <w:sz w:val="28"/>
          <w:szCs w:val="28"/>
          <w:lang w:eastAsia="zh-CN"/>
        </w:rPr>
        <w:t>乐山市</w:t>
      </w:r>
      <w:r>
        <w:rPr>
          <w:rFonts w:hint="eastAsia" w:ascii="黑体" w:hAnsi="黑体" w:eastAsia="黑体" w:cs="黑体"/>
          <w:spacing w:val="-1"/>
          <w:sz w:val="28"/>
          <w:szCs w:val="28"/>
        </w:rPr>
        <w:t>五通桥区电动自行车用铅酸蓄电池</w:t>
      </w:r>
      <w:r>
        <w:rPr>
          <w:rFonts w:ascii="黑体" w:hAnsi="黑体" w:eastAsia="黑体" w:cs="黑体"/>
          <w:spacing w:val="-1"/>
          <w:sz w:val="28"/>
          <w:szCs w:val="28"/>
        </w:rPr>
        <w:t>产品质量监督抽查实施细则</w:t>
      </w:r>
      <w:r>
        <w:rPr>
          <w:rFonts w:hint="eastAsia" w:ascii="黑体" w:hAnsi="黑体" w:eastAsia="黑体" w:cs="黑体"/>
          <w:spacing w:val="-1"/>
          <w:sz w:val="32"/>
          <w:szCs w:val="32"/>
        </w:rPr>
        <w:t>（2026年版）</w:t>
      </w:r>
    </w:p>
    <w:p w14:paraId="3155EE06">
      <w:pPr>
        <w:spacing w:before="312" w:beforeLines="100" w:after="312" w:afterLines="100"/>
        <w:rPr>
          <w:rFonts w:ascii="黑体" w:hAnsi="宋体" w:eastAsia="黑体" w:cs="黑体"/>
        </w:rPr>
      </w:pPr>
      <w:r>
        <w:rPr>
          <w:rFonts w:ascii="黑体" w:hAnsi="宋体" w:eastAsia="黑体" w:cs="黑体"/>
        </w:rPr>
        <w:t xml:space="preserve">1  </w:t>
      </w:r>
      <w:r>
        <w:rPr>
          <w:rFonts w:hint="eastAsia" w:ascii="黑体" w:hAnsi="宋体" w:eastAsia="黑体" w:cs="黑体"/>
        </w:rPr>
        <w:t>抽样方法</w:t>
      </w:r>
    </w:p>
    <w:p w14:paraId="71B4211E">
      <w:pPr>
        <w:ind w:firstLine="420" w:firstLineChars="200"/>
        <w:rPr>
          <w:rFonts w:ascii="宋体" w:hAnsi="宋体" w:cs="宋体"/>
        </w:rPr>
      </w:pPr>
      <w:r>
        <w:rPr>
          <w:rFonts w:hint="eastAsia" w:ascii="宋体" w:hAnsi="宋体" w:cs="宋体"/>
        </w:rPr>
        <w:t>以随机抽样的方式在被抽样生产者、销售者的待销产品中抽取。</w:t>
      </w:r>
    </w:p>
    <w:p w14:paraId="50C0027F">
      <w:pPr>
        <w:ind w:firstLine="420" w:firstLineChars="200"/>
        <w:rPr>
          <w:rFonts w:hint="eastAsia" w:ascii="宋体" w:hAnsi="宋体" w:cs="宋体"/>
        </w:rPr>
      </w:pPr>
      <w:r>
        <w:rPr>
          <w:rFonts w:hint="eastAsia" w:ascii="宋体" w:hAnsi="宋体" w:cs="宋体"/>
        </w:rPr>
        <w:t>随机数一般可使用随机数表、 骰子或扑克牌等方法产生。</w:t>
      </w:r>
    </w:p>
    <w:p w14:paraId="28887A9C">
      <w:pPr>
        <w:ind w:firstLine="420" w:firstLineChars="200"/>
        <w:rPr>
          <w:rFonts w:ascii="宋体" w:hAnsi="宋体" w:cs="宋体"/>
        </w:rPr>
      </w:pPr>
      <w:r>
        <w:rPr>
          <w:rFonts w:hint="eastAsia" w:ascii="宋体" w:hAnsi="宋体" w:cs="宋体"/>
        </w:rPr>
        <w:t>每批次产品抽取样品8只，其中4只作为检验样品，4只作为备用样品。</w:t>
      </w:r>
    </w:p>
    <w:p w14:paraId="7FBBC61F">
      <w:pPr>
        <w:spacing w:before="312" w:beforeLines="100" w:after="312" w:afterLines="100"/>
        <w:rPr>
          <w:rFonts w:ascii="黑体" w:hAnsi="宋体" w:eastAsia="黑体" w:cs="黑体"/>
        </w:rPr>
      </w:pPr>
      <w:r>
        <w:rPr>
          <w:rFonts w:ascii="黑体" w:hAnsi="宋体" w:eastAsia="黑体" w:cs="黑体"/>
        </w:rPr>
        <w:t xml:space="preserve">2  </w:t>
      </w:r>
      <w:r>
        <w:rPr>
          <w:rFonts w:hint="eastAsia" w:ascii="黑体" w:hAnsi="宋体" w:eastAsia="黑体" w:cs="黑体"/>
        </w:rPr>
        <w:t>检验依据</w:t>
      </w:r>
    </w:p>
    <w:p w14:paraId="30847076">
      <w:pPr>
        <w:spacing w:before="156" w:beforeLines="50" w:after="156" w:afterLines="50"/>
        <w:jc w:val="center"/>
        <w:rPr>
          <w:rFonts w:ascii="黑体" w:hAnsi="黑体" w:eastAsia="黑体" w:cs="方正仿宋简体"/>
        </w:rPr>
      </w:pPr>
      <w:r>
        <w:rPr>
          <w:rFonts w:hint="eastAsia" w:ascii="黑体" w:hAnsi="黑体" w:eastAsia="黑体" w:cs="方正仿宋简体"/>
        </w:rPr>
        <w:t>表</w:t>
      </w:r>
      <w:r>
        <w:rPr>
          <w:rFonts w:ascii="黑体" w:hAnsi="黑体" w:eastAsia="黑体" w:cs="方正仿宋简体"/>
        </w:rPr>
        <w:t xml:space="preserve">1  </w:t>
      </w:r>
      <w:r>
        <w:rPr>
          <w:rFonts w:hint="eastAsia" w:ascii="黑体" w:hAnsi="黑体" w:eastAsia="黑体" w:cs="黑体"/>
          <w:spacing w:val="-2"/>
        </w:rPr>
        <w:t>电动自行车用铅酸蓄电池</w:t>
      </w:r>
      <w:r>
        <w:rPr>
          <w:rFonts w:ascii="黑体" w:hAnsi="黑体" w:eastAsia="黑体" w:cs="黑体"/>
          <w:spacing w:val="-1"/>
        </w:rPr>
        <w:t>检验项目</w:t>
      </w:r>
    </w:p>
    <w:tbl>
      <w:tblPr>
        <w:tblStyle w:val="5"/>
        <w:tblW w:w="46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4078"/>
        <w:gridCol w:w="2641"/>
      </w:tblGrid>
      <w:tr w14:paraId="2110D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blHeader/>
        </w:trPr>
        <w:tc>
          <w:tcPr>
            <w:tcW w:w="795" w:type="pct"/>
            <w:vAlign w:val="center"/>
          </w:tcPr>
          <w:p w14:paraId="7A2966DE">
            <w:pPr>
              <w:jc w:val="center"/>
              <w:rPr>
                <w:rFonts w:ascii="Times New Roman" w:hAnsi="Times New Roman"/>
                <w:color w:val="000000"/>
                <w:szCs w:val="24"/>
              </w:rPr>
            </w:pPr>
            <w:r>
              <w:rPr>
                <w:rFonts w:ascii="Times New Roman" w:hAnsi="Times New Roman"/>
                <w:color w:val="000000"/>
                <w:szCs w:val="24"/>
              </w:rPr>
              <w:t>序号</w:t>
            </w:r>
          </w:p>
        </w:tc>
        <w:tc>
          <w:tcPr>
            <w:tcW w:w="2552" w:type="pct"/>
            <w:vAlign w:val="center"/>
          </w:tcPr>
          <w:p w14:paraId="125A2651">
            <w:pPr>
              <w:jc w:val="center"/>
              <w:rPr>
                <w:rFonts w:ascii="Times New Roman" w:hAnsi="Times New Roman"/>
                <w:color w:val="000000"/>
                <w:szCs w:val="24"/>
              </w:rPr>
            </w:pPr>
            <w:r>
              <w:rPr>
                <w:rFonts w:ascii="Times New Roman" w:hAnsi="Times New Roman"/>
                <w:color w:val="000000"/>
                <w:szCs w:val="24"/>
              </w:rPr>
              <w:t>检验项目</w:t>
            </w:r>
          </w:p>
        </w:tc>
        <w:tc>
          <w:tcPr>
            <w:tcW w:w="1653" w:type="pct"/>
            <w:vAlign w:val="center"/>
          </w:tcPr>
          <w:p w14:paraId="6A2A191A">
            <w:pPr>
              <w:jc w:val="center"/>
              <w:rPr>
                <w:rFonts w:ascii="Times New Roman" w:hAnsi="Times New Roman"/>
                <w:color w:val="000000"/>
                <w:szCs w:val="24"/>
              </w:rPr>
            </w:pPr>
            <w:r>
              <w:rPr>
                <w:rFonts w:ascii="Times New Roman" w:hAnsi="Times New Roman"/>
                <w:color w:val="000000"/>
                <w:szCs w:val="24"/>
              </w:rPr>
              <w:t>检</w:t>
            </w:r>
            <w:r>
              <w:rPr>
                <w:rFonts w:hint="eastAsia" w:ascii="Times New Roman" w:hAnsi="Times New Roman"/>
                <w:color w:val="000000"/>
                <w:szCs w:val="24"/>
              </w:rPr>
              <w:t>验</w:t>
            </w:r>
            <w:r>
              <w:rPr>
                <w:rFonts w:ascii="Times New Roman" w:hAnsi="Times New Roman"/>
                <w:color w:val="000000"/>
                <w:szCs w:val="24"/>
              </w:rPr>
              <w:t>方法</w:t>
            </w:r>
          </w:p>
        </w:tc>
      </w:tr>
      <w:tr w14:paraId="4397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2790EC7E">
            <w:pPr>
              <w:jc w:val="center"/>
              <w:rPr>
                <w:rFonts w:ascii="Times New Roman" w:hAnsi="Times New Roman"/>
                <w:color w:val="000000"/>
                <w:szCs w:val="24"/>
              </w:rPr>
            </w:pPr>
            <w:r>
              <w:rPr>
                <w:rFonts w:ascii="Times New Roman" w:hAnsi="Times New Roman"/>
                <w:color w:val="000000"/>
                <w:szCs w:val="24"/>
              </w:rPr>
              <w:t>1</w:t>
            </w:r>
          </w:p>
        </w:tc>
        <w:tc>
          <w:tcPr>
            <w:tcW w:w="2552" w:type="pct"/>
            <w:vAlign w:val="center"/>
          </w:tcPr>
          <w:p w14:paraId="5BD148D8">
            <w:pPr>
              <w:spacing w:line="320" w:lineRule="exact"/>
              <w:jc w:val="center"/>
              <w:rPr>
                <w:rFonts w:ascii="宋体" w:hAnsi="宋体"/>
                <w:szCs w:val="21"/>
              </w:rPr>
            </w:pPr>
            <w:r>
              <w:rPr>
                <w:rFonts w:hint="eastAsia" w:ascii="宋体" w:hAnsi="宋体"/>
                <w:szCs w:val="21"/>
              </w:rPr>
              <w:t>2hr容量</w:t>
            </w:r>
          </w:p>
        </w:tc>
        <w:tc>
          <w:tcPr>
            <w:tcW w:w="1653" w:type="pct"/>
            <w:vAlign w:val="center"/>
          </w:tcPr>
          <w:p w14:paraId="6E7727D4">
            <w:pPr>
              <w:spacing w:line="320" w:lineRule="exact"/>
              <w:jc w:val="center"/>
              <w:rPr>
                <w:rFonts w:ascii="宋体" w:hAnsi="宋体"/>
                <w:szCs w:val="21"/>
              </w:rPr>
            </w:pPr>
            <w:r>
              <w:rPr>
                <w:rFonts w:ascii="宋体" w:hAnsi="宋体"/>
                <w:szCs w:val="21"/>
              </w:rPr>
              <w:t>GB/T 22199.1-2017</w:t>
            </w:r>
          </w:p>
        </w:tc>
      </w:tr>
      <w:tr w14:paraId="04AB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68669B99">
            <w:pPr>
              <w:jc w:val="center"/>
              <w:rPr>
                <w:rFonts w:ascii="Times New Roman" w:hAnsi="Times New Roman"/>
                <w:color w:val="000000"/>
                <w:szCs w:val="24"/>
              </w:rPr>
            </w:pPr>
            <w:r>
              <w:rPr>
                <w:rFonts w:hint="eastAsia" w:ascii="Times New Roman" w:hAnsi="Times New Roman"/>
                <w:color w:val="000000"/>
                <w:szCs w:val="24"/>
              </w:rPr>
              <w:t>2</w:t>
            </w:r>
          </w:p>
        </w:tc>
        <w:tc>
          <w:tcPr>
            <w:tcW w:w="2552" w:type="pct"/>
            <w:vAlign w:val="center"/>
          </w:tcPr>
          <w:p w14:paraId="4DF2352F">
            <w:pPr>
              <w:spacing w:line="320" w:lineRule="exact"/>
              <w:jc w:val="center"/>
              <w:rPr>
                <w:rFonts w:ascii="宋体" w:hAnsi="宋体"/>
                <w:szCs w:val="21"/>
              </w:rPr>
            </w:pPr>
            <w:r>
              <w:rPr>
                <w:rFonts w:hint="eastAsia" w:ascii="宋体" w:hAnsi="宋体"/>
                <w:szCs w:val="21"/>
              </w:rPr>
              <w:t>能量密度</w:t>
            </w:r>
          </w:p>
        </w:tc>
        <w:tc>
          <w:tcPr>
            <w:tcW w:w="1653" w:type="pct"/>
            <w:vAlign w:val="center"/>
          </w:tcPr>
          <w:p w14:paraId="6FDC8655">
            <w:pPr>
              <w:spacing w:line="320" w:lineRule="exact"/>
              <w:jc w:val="center"/>
              <w:rPr>
                <w:rFonts w:ascii="宋体" w:hAnsi="宋体"/>
                <w:szCs w:val="21"/>
              </w:rPr>
            </w:pPr>
            <w:r>
              <w:rPr>
                <w:rFonts w:ascii="宋体" w:hAnsi="宋体"/>
                <w:szCs w:val="21"/>
              </w:rPr>
              <w:t>GB/T 22199.1-2017</w:t>
            </w:r>
          </w:p>
        </w:tc>
      </w:tr>
      <w:tr w14:paraId="2ACC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5C4A144D">
            <w:pPr>
              <w:jc w:val="center"/>
              <w:rPr>
                <w:rFonts w:ascii="Times New Roman" w:hAnsi="Times New Roman"/>
                <w:color w:val="000000"/>
                <w:szCs w:val="24"/>
              </w:rPr>
            </w:pPr>
            <w:r>
              <w:rPr>
                <w:rFonts w:hint="eastAsia" w:ascii="Times New Roman" w:hAnsi="Times New Roman"/>
                <w:color w:val="000000"/>
                <w:szCs w:val="24"/>
              </w:rPr>
              <w:t>3</w:t>
            </w:r>
          </w:p>
        </w:tc>
        <w:tc>
          <w:tcPr>
            <w:tcW w:w="2552" w:type="pct"/>
            <w:vAlign w:val="center"/>
          </w:tcPr>
          <w:p w14:paraId="7B5113B7">
            <w:pPr>
              <w:spacing w:line="320" w:lineRule="exact"/>
              <w:jc w:val="center"/>
              <w:rPr>
                <w:rFonts w:ascii="宋体" w:hAnsi="宋体"/>
                <w:szCs w:val="21"/>
              </w:rPr>
            </w:pPr>
            <w:r>
              <w:rPr>
                <w:rFonts w:hint="eastAsia" w:ascii="宋体" w:hAnsi="宋体"/>
                <w:szCs w:val="21"/>
              </w:rPr>
              <w:t>低温容量</w:t>
            </w:r>
          </w:p>
        </w:tc>
        <w:tc>
          <w:tcPr>
            <w:tcW w:w="1653" w:type="pct"/>
            <w:vAlign w:val="center"/>
          </w:tcPr>
          <w:p w14:paraId="068E345C">
            <w:pPr>
              <w:spacing w:line="320" w:lineRule="exact"/>
              <w:jc w:val="center"/>
              <w:rPr>
                <w:rFonts w:ascii="宋体" w:hAnsi="宋体"/>
                <w:szCs w:val="21"/>
              </w:rPr>
            </w:pPr>
            <w:r>
              <w:rPr>
                <w:rFonts w:ascii="宋体" w:hAnsi="宋体"/>
                <w:szCs w:val="21"/>
              </w:rPr>
              <w:t>GB/T 22199.1-2017</w:t>
            </w:r>
          </w:p>
        </w:tc>
      </w:tr>
      <w:tr w14:paraId="0ACB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5" w:type="pct"/>
            <w:vAlign w:val="center"/>
          </w:tcPr>
          <w:p w14:paraId="749D9284">
            <w:pPr>
              <w:jc w:val="center"/>
              <w:rPr>
                <w:rFonts w:ascii="Times New Roman" w:hAnsi="Times New Roman"/>
                <w:color w:val="000000"/>
                <w:szCs w:val="24"/>
              </w:rPr>
            </w:pPr>
            <w:r>
              <w:rPr>
                <w:rFonts w:hint="eastAsia" w:ascii="Times New Roman" w:hAnsi="Times New Roman"/>
                <w:color w:val="000000"/>
                <w:szCs w:val="24"/>
              </w:rPr>
              <w:t>4</w:t>
            </w:r>
          </w:p>
        </w:tc>
        <w:tc>
          <w:tcPr>
            <w:tcW w:w="2552" w:type="pct"/>
            <w:vAlign w:val="center"/>
          </w:tcPr>
          <w:p w14:paraId="4252CE3F">
            <w:pPr>
              <w:spacing w:line="320" w:lineRule="exact"/>
              <w:jc w:val="center"/>
              <w:rPr>
                <w:rFonts w:ascii="宋体" w:hAnsi="宋体"/>
                <w:szCs w:val="21"/>
              </w:rPr>
            </w:pPr>
            <w:r>
              <w:rPr>
                <w:rFonts w:hint="eastAsia" w:ascii="宋体" w:hAnsi="宋体"/>
                <w:szCs w:val="21"/>
              </w:rPr>
              <w:t>快速充电能力</w:t>
            </w:r>
          </w:p>
        </w:tc>
        <w:tc>
          <w:tcPr>
            <w:tcW w:w="1653" w:type="pct"/>
            <w:vAlign w:val="center"/>
          </w:tcPr>
          <w:p w14:paraId="3B82A824">
            <w:pPr>
              <w:spacing w:line="320" w:lineRule="exact"/>
              <w:jc w:val="center"/>
              <w:rPr>
                <w:rFonts w:ascii="宋体" w:hAnsi="宋体"/>
                <w:szCs w:val="21"/>
              </w:rPr>
            </w:pPr>
            <w:r>
              <w:rPr>
                <w:rFonts w:ascii="宋体" w:hAnsi="宋体"/>
                <w:szCs w:val="21"/>
              </w:rPr>
              <w:t>GB/T 22199.1-2017</w:t>
            </w:r>
          </w:p>
        </w:tc>
      </w:tr>
    </w:tbl>
    <w:p w14:paraId="7B54A047">
      <w:pPr>
        <w:ind w:left="718" w:leftChars="85" w:hanging="540" w:hangingChars="300"/>
        <w:rPr>
          <w:rFonts w:ascii="宋体" w:hAnsi="宋体" w:cs="宋体"/>
          <w:sz w:val="18"/>
          <w:szCs w:val="18"/>
        </w:rPr>
      </w:pPr>
      <w:r>
        <w:rPr>
          <w:rFonts w:hint="eastAsia" w:ascii="宋体" w:hAnsi="宋体" w:cs="宋体"/>
          <w:sz w:val="18"/>
          <w:szCs w:val="18"/>
        </w:rPr>
        <w:t>注：</w:t>
      </w:r>
      <w:r>
        <w:rPr>
          <w:rFonts w:ascii="宋体" w:hAnsi="宋体" w:cs="宋体"/>
          <w:sz w:val="18"/>
          <w:szCs w:val="18"/>
        </w:rPr>
        <w:t>1.</w:t>
      </w:r>
      <w:r>
        <w:rPr>
          <w:rFonts w:hint="eastAsia" w:ascii="宋体" w:hAnsi="宋体" w:cs="宋体"/>
          <w:sz w:val="18"/>
          <w:szCs w:val="18"/>
        </w:rPr>
        <w:t>上表所列检验项目是有关法律法规、标准等规定的，重点涉及健康、安全、节能、环保以及消费者、有关组织反映有质量问题的重要项目。</w:t>
      </w:r>
    </w:p>
    <w:p w14:paraId="50599139">
      <w:pPr>
        <w:ind w:firstLine="540" w:firstLineChars="300"/>
        <w:rPr>
          <w:rFonts w:ascii="宋体" w:hAnsi="宋体" w:cs="宋体"/>
          <w:sz w:val="18"/>
          <w:szCs w:val="18"/>
        </w:rPr>
      </w:pPr>
      <w:r>
        <w:rPr>
          <w:rFonts w:ascii="宋体" w:hAnsi="宋体" w:cs="宋体"/>
          <w:sz w:val="18"/>
          <w:szCs w:val="18"/>
        </w:rPr>
        <w:t>2.</w:t>
      </w:r>
      <w:r>
        <w:rPr>
          <w:rFonts w:hint="eastAsia" w:ascii="宋体" w:hAnsi="宋体" w:cs="宋体"/>
          <w:sz w:val="18"/>
          <w:szCs w:val="18"/>
        </w:rPr>
        <w:t>检验方法包括相关产品标准及试验方法标准。</w:t>
      </w:r>
    </w:p>
    <w:p w14:paraId="6817AFBF">
      <w:pPr>
        <w:ind w:left="718" w:leftChars="256" w:hanging="180" w:hangingChars="100"/>
        <w:rPr>
          <w:rFonts w:ascii="宋体" w:hAnsi="宋体" w:cs="宋体"/>
          <w:sz w:val="18"/>
          <w:szCs w:val="18"/>
        </w:rPr>
      </w:pPr>
      <w:r>
        <w:rPr>
          <w:rFonts w:ascii="宋体" w:hAnsi="宋体" w:cs="宋体"/>
          <w:sz w:val="18"/>
          <w:szCs w:val="18"/>
        </w:rPr>
        <w:t>3.</w:t>
      </w:r>
      <w:r>
        <w:rPr>
          <w:rFonts w:hint="eastAsia" w:ascii="宋体" w:hAnsi="宋体" w:cs="宋体"/>
          <w:sz w:val="18"/>
          <w:szCs w:val="18"/>
        </w:rPr>
        <w:t>凡是注日期的文件，其随后所有的修改单（不包括勘误的内容）或修订版不适用于本细则。凡是不注日期的文件，其最新版本适用于本细则。</w:t>
      </w:r>
    </w:p>
    <w:p w14:paraId="044FF0B4">
      <w:pPr>
        <w:pStyle w:val="2"/>
        <w:ind w:firstLine="540" w:firstLineChars="300"/>
        <w:rPr>
          <w:sz w:val="18"/>
          <w:szCs w:val="18"/>
        </w:rPr>
      </w:pPr>
      <w:r>
        <w:rPr>
          <w:sz w:val="18"/>
          <w:szCs w:val="18"/>
        </w:rPr>
        <w:t>4.</w:t>
      </w:r>
      <w:r>
        <w:rPr>
          <w:rFonts w:hint="eastAsia"/>
          <w:sz w:val="18"/>
          <w:szCs w:val="18"/>
        </w:rPr>
        <w:t>执行企业标准、团体标准、地方标准的产品，检验项目参照上述内容执行。</w:t>
      </w:r>
    </w:p>
    <w:p w14:paraId="01ACDEDD">
      <w:pPr>
        <w:spacing w:before="312" w:beforeLines="100" w:after="312" w:afterLines="100"/>
        <w:rPr>
          <w:rFonts w:ascii="黑体" w:hAnsi="宋体" w:eastAsia="黑体" w:cs="黑体"/>
        </w:rPr>
      </w:pPr>
      <w:r>
        <w:rPr>
          <w:rFonts w:ascii="黑体" w:hAnsi="宋体" w:eastAsia="黑体" w:cs="黑体"/>
        </w:rPr>
        <w:t xml:space="preserve">3  </w:t>
      </w:r>
      <w:r>
        <w:rPr>
          <w:rFonts w:hint="eastAsia" w:ascii="黑体" w:hAnsi="宋体" w:eastAsia="黑体" w:cs="黑体"/>
        </w:rPr>
        <w:t>判定规则</w:t>
      </w:r>
      <w:bookmarkStart w:id="0" w:name="_GoBack"/>
      <w:bookmarkEnd w:id="0"/>
    </w:p>
    <w:p w14:paraId="1EC05C85">
      <w:pPr>
        <w:spacing w:before="312" w:beforeLines="100" w:after="312" w:afterLines="100"/>
        <w:rPr>
          <w:rFonts w:ascii="黑体" w:hAnsi="宋体" w:eastAsia="黑体" w:cs="黑体"/>
        </w:rPr>
      </w:pPr>
      <w:r>
        <w:rPr>
          <w:rFonts w:ascii="黑体" w:hAnsi="宋体" w:eastAsia="黑体" w:cs="黑体"/>
        </w:rPr>
        <w:t xml:space="preserve">3.1  </w:t>
      </w:r>
      <w:r>
        <w:rPr>
          <w:rFonts w:hint="eastAsia" w:ascii="黑体" w:hAnsi="宋体" w:eastAsia="黑体" w:cs="黑体"/>
        </w:rPr>
        <w:t>依据标准</w:t>
      </w:r>
    </w:p>
    <w:p w14:paraId="1F32A867">
      <w:pPr>
        <w:spacing w:line="274" w:lineRule="auto"/>
        <w:ind w:right="4" w:firstLine="421"/>
        <w:rPr>
          <w:rFonts w:ascii="宋体" w:hAnsi="宋体" w:cs="宋体"/>
        </w:rPr>
      </w:pPr>
      <w:r>
        <w:rPr>
          <w:rFonts w:hint="eastAsia" w:ascii="宋体" w:hAnsi="宋体" w:cs="宋体"/>
        </w:rPr>
        <w:t>GB/T 22199.1-2017电动助力车用阀控式铅酸蓄电池 第1部分：技术条件</w:t>
      </w:r>
    </w:p>
    <w:p w14:paraId="10AE53CF">
      <w:pPr>
        <w:spacing w:line="274" w:lineRule="auto"/>
        <w:ind w:right="4" w:firstLine="421"/>
        <w:rPr>
          <w:rFonts w:ascii="宋体" w:hAnsi="宋体" w:cs="宋体"/>
        </w:rPr>
      </w:pPr>
      <w:r>
        <w:rPr>
          <w:rFonts w:ascii="宋体" w:hAnsi="宋体" w:cs="宋体"/>
        </w:rPr>
        <w:t>现行有效的企业标准、团体标准、地方标准及产品明示质量要求。</w:t>
      </w:r>
    </w:p>
    <w:p w14:paraId="129DEABC">
      <w:pPr>
        <w:spacing w:before="125" w:line="219" w:lineRule="auto"/>
        <w:rPr>
          <w:rFonts w:ascii="黑体" w:hAnsi="黑体" w:eastAsia="黑体" w:cs="黑体"/>
        </w:rPr>
      </w:pPr>
      <w:r>
        <w:rPr>
          <w:rFonts w:ascii="黑体" w:hAnsi="黑体" w:eastAsia="黑体" w:cs="黑体"/>
          <w:spacing w:val="-1"/>
        </w:rPr>
        <w:t>3</w:t>
      </w:r>
      <w:r>
        <w:rPr>
          <w:rFonts w:ascii="黑体" w:hAnsi="黑体" w:eastAsia="黑体" w:cs="黑体"/>
        </w:rPr>
        <w:t>.2判定原则</w:t>
      </w:r>
    </w:p>
    <w:p w14:paraId="7EF31E43">
      <w:pPr>
        <w:spacing w:before="220" w:line="274" w:lineRule="auto"/>
        <w:ind w:right="51" w:firstLine="422"/>
        <w:rPr>
          <w:rFonts w:ascii="宋体" w:hAnsi="宋体" w:cs="宋体"/>
        </w:rPr>
      </w:pPr>
      <w:r>
        <w:rPr>
          <w:rFonts w:ascii="宋体" w:hAnsi="宋体" w:cs="宋体"/>
        </w:rPr>
        <w:t>经检验</w:t>
      </w:r>
      <w:r>
        <w:rPr>
          <w:rFonts w:ascii="宋体" w:hAnsi="宋体" w:cs="宋体"/>
          <w:spacing w:val="-6"/>
        </w:rPr>
        <w:t>，</w:t>
      </w:r>
      <w:r>
        <w:rPr>
          <w:rFonts w:ascii="宋体" w:hAnsi="宋体" w:cs="宋体"/>
        </w:rPr>
        <w:t>检验项目全部合格</w:t>
      </w:r>
      <w:r>
        <w:rPr>
          <w:rFonts w:ascii="宋体" w:hAnsi="宋体" w:cs="宋体"/>
          <w:spacing w:val="-6"/>
        </w:rPr>
        <w:t>，</w:t>
      </w:r>
      <w:r>
        <w:rPr>
          <w:rFonts w:ascii="宋体" w:hAnsi="宋体" w:cs="宋体"/>
        </w:rPr>
        <w:t>判定为被抽查产品合格</w:t>
      </w:r>
      <w:r>
        <w:rPr>
          <w:rFonts w:ascii="宋体" w:hAnsi="宋体" w:cs="宋体"/>
          <w:spacing w:val="-6"/>
        </w:rPr>
        <w:t>；</w:t>
      </w:r>
      <w:r>
        <w:rPr>
          <w:rFonts w:ascii="宋体" w:hAnsi="宋体" w:cs="宋体"/>
        </w:rPr>
        <w:t>检验项目中任一项或一项以上不合格</w:t>
      </w:r>
      <w:r>
        <w:rPr>
          <w:rFonts w:ascii="宋体" w:hAnsi="宋体" w:cs="宋体"/>
          <w:spacing w:val="-6"/>
        </w:rPr>
        <w:t>，</w:t>
      </w:r>
      <w:r>
        <w:rPr>
          <w:rFonts w:ascii="宋体" w:hAnsi="宋体" w:cs="宋体"/>
        </w:rPr>
        <w:t xml:space="preserve"> 判定为被抽查产品不合格</w:t>
      </w:r>
      <w:r>
        <w:rPr>
          <w:rFonts w:ascii="宋体" w:hAnsi="宋体" w:cs="宋体"/>
          <w:spacing w:val="-36"/>
        </w:rPr>
        <w:t>。</w:t>
      </w:r>
    </w:p>
    <w:p w14:paraId="5D9385AD">
      <w:pPr>
        <w:spacing w:line="274" w:lineRule="auto"/>
        <w:ind w:right="4" w:firstLine="421"/>
        <w:rPr>
          <w:rFonts w:ascii="宋体" w:hAnsi="宋体" w:cs="宋体"/>
        </w:rPr>
      </w:pPr>
      <w:r>
        <w:rPr>
          <w:rFonts w:ascii="宋体" w:hAnsi="宋体" w:cs="宋体"/>
        </w:rPr>
        <w:t>若被检产品明示的质量要求高于本细则中检验项目依据的标准要求时</w:t>
      </w:r>
      <w:r>
        <w:rPr>
          <w:rFonts w:ascii="宋体" w:hAnsi="宋体" w:cs="宋体"/>
          <w:spacing w:val="-1"/>
        </w:rPr>
        <w:t>，</w:t>
      </w:r>
      <w:r>
        <w:rPr>
          <w:rFonts w:ascii="宋体" w:hAnsi="宋体" w:cs="宋体"/>
        </w:rPr>
        <w:t>应按被检产品明示的质 量要求判定</w:t>
      </w:r>
      <w:r>
        <w:rPr>
          <w:rFonts w:ascii="宋体" w:hAnsi="宋体" w:cs="宋体"/>
          <w:spacing w:val="-33"/>
        </w:rPr>
        <w:t>。</w:t>
      </w:r>
    </w:p>
    <w:p w14:paraId="504C404E">
      <w:pPr>
        <w:spacing w:before="1" w:line="274" w:lineRule="auto"/>
        <w:ind w:left="1" w:right="4" w:firstLine="419"/>
        <w:rPr>
          <w:rFonts w:ascii="宋体" w:hAnsi="宋体" w:cs="宋体"/>
        </w:rPr>
      </w:pPr>
      <w:r>
        <w:rPr>
          <w:rFonts w:ascii="宋体" w:hAnsi="宋体" w:cs="宋体"/>
          <w:spacing w:val="1"/>
        </w:rPr>
        <w:t>若被检产品明示的质量要求低于本细则中检验项目依</w:t>
      </w:r>
      <w:r>
        <w:rPr>
          <w:rFonts w:ascii="宋体" w:hAnsi="宋体" w:cs="宋体"/>
        </w:rPr>
        <w:t>据的强制性标准要求时</w:t>
      </w:r>
      <w:r>
        <w:rPr>
          <w:rFonts w:ascii="宋体" w:hAnsi="宋体" w:cs="宋体"/>
          <w:spacing w:val="1"/>
        </w:rPr>
        <w:t>，</w:t>
      </w:r>
      <w:r>
        <w:rPr>
          <w:rFonts w:ascii="宋体" w:hAnsi="宋体" w:cs="宋体"/>
        </w:rPr>
        <w:t>应按照强制性标 准要求判定</w:t>
      </w:r>
      <w:r>
        <w:rPr>
          <w:rFonts w:ascii="宋体" w:hAnsi="宋体" w:cs="宋体"/>
          <w:spacing w:val="-34"/>
        </w:rPr>
        <w:t>。</w:t>
      </w:r>
    </w:p>
    <w:p w14:paraId="692DDE4F">
      <w:pPr>
        <w:spacing w:before="1" w:line="274" w:lineRule="auto"/>
        <w:ind w:left="17" w:firstLine="404"/>
        <w:rPr>
          <w:rFonts w:ascii="宋体" w:hAnsi="宋体" w:cs="宋体"/>
        </w:rPr>
      </w:pPr>
      <w:r>
        <w:rPr>
          <w:rFonts w:ascii="宋体" w:hAnsi="宋体" w:cs="宋体"/>
        </w:rPr>
        <w:t>若被检产品明示的质量要求低于或包含细则中检验项目依据的推荐性标准要求时</w:t>
      </w:r>
      <w:r>
        <w:rPr>
          <w:rFonts w:ascii="宋体" w:hAnsi="宋体" w:cs="宋体"/>
          <w:spacing w:val="-1"/>
        </w:rPr>
        <w:t>，</w:t>
      </w:r>
      <w:r>
        <w:rPr>
          <w:rFonts w:ascii="宋体" w:hAnsi="宋体" w:cs="宋体"/>
        </w:rPr>
        <w:t>应以被检产 品明示的质量要求判定</w:t>
      </w:r>
      <w:r>
        <w:rPr>
          <w:rFonts w:ascii="宋体" w:hAnsi="宋体" w:cs="宋体"/>
          <w:spacing w:val="-27"/>
        </w:rPr>
        <w:t>，</w:t>
      </w:r>
      <w:r>
        <w:rPr>
          <w:rFonts w:ascii="宋体" w:hAnsi="宋体" w:cs="宋体"/>
        </w:rPr>
        <w:t>但应在检验报告备注中进行说明</w:t>
      </w:r>
      <w:r>
        <w:rPr>
          <w:rFonts w:ascii="宋体" w:hAnsi="宋体" w:cs="宋体"/>
          <w:spacing w:val="-27"/>
        </w:rPr>
        <w:t>。</w:t>
      </w:r>
    </w:p>
    <w:p w14:paraId="6ECE8B19">
      <w:pPr>
        <w:spacing w:before="1" w:line="274" w:lineRule="auto"/>
        <w:ind w:left="1" w:right="4" w:firstLine="419"/>
        <w:rPr>
          <w:rFonts w:ascii="宋体" w:hAnsi="宋体" w:cs="宋体"/>
        </w:rPr>
      </w:pPr>
      <w:r>
        <w:rPr>
          <w:rFonts w:ascii="宋体" w:hAnsi="宋体" w:cs="宋体"/>
          <w:spacing w:val="1"/>
        </w:rPr>
        <w:t>若被检产品明示的质量要求缺少本细则中检验项目依</w:t>
      </w:r>
      <w:r>
        <w:rPr>
          <w:rFonts w:ascii="宋体" w:hAnsi="宋体" w:cs="宋体"/>
        </w:rPr>
        <w:t>据的强制性标准要求时</w:t>
      </w:r>
      <w:r>
        <w:rPr>
          <w:rFonts w:ascii="宋体" w:hAnsi="宋体" w:cs="宋体"/>
          <w:spacing w:val="1"/>
        </w:rPr>
        <w:t>，</w:t>
      </w:r>
      <w:r>
        <w:rPr>
          <w:rFonts w:ascii="宋体" w:hAnsi="宋体" w:cs="宋体"/>
        </w:rPr>
        <w:t>应按照强制性标 准要求判定</w:t>
      </w:r>
      <w:r>
        <w:rPr>
          <w:rFonts w:ascii="宋体" w:hAnsi="宋体" w:cs="宋体"/>
          <w:spacing w:val="-34"/>
        </w:rPr>
        <w:t>。</w:t>
      </w:r>
    </w:p>
    <w:p w14:paraId="65E41C78">
      <w:pPr>
        <w:spacing w:before="1" w:line="274" w:lineRule="auto"/>
        <w:ind w:left="1" w:right="4" w:firstLine="419"/>
        <w:rPr>
          <w:rFonts w:ascii="宋体" w:hAnsi="宋体" w:cs="宋体"/>
          <w:spacing w:val="1"/>
        </w:rPr>
      </w:pPr>
      <w:r>
        <w:rPr>
          <w:rFonts w:ascii="宋体" w:hAnsi="宋体" w:cs="宋体"/>
          <w:spacing w:val="1"/>
        </w:rPr>
        <w:t>若被检产品明示的质量要求缺少本细则中检验项目依据的推荐性标准要求时，该项目不参与判 定，但应在检验报告备注中进行说明。</w:t>
      </w:r>
    </w:p>
    <w:p w14:paraId="15749BFA">
      <w:pPr>
        <w:rPr>
          <w:lang w:val="zh-CN" w:bidi="zh-CN"/>
        </w:rPr>
      </w:pPr>
    </w:p>
    <w:p w14:paraId="1AC98DB8"/>
    <w:p w14:paraId="4952C0F7">
      <w:pPr>
        <w:pStyle w:val="2"/>
      </w:pPr>
    </w:p>
    <w:p w14:paraId="2E941A20"/>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4E91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DEDAB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2DEDAB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0AD"/>
    <w:rsid w:val="00004597"/>
    <w:rsid w:val="00010B9C"/>
    <w:rsid w:val="0001411D"/>
    <w:rsid w:val="00016BE1"/>
    <w:rsid w:val="000222A3"/>
    <w:rsid w:val="00023B66"/>
    <w:rsid w:val="000250B4"/>
    <w:rsid w:val="000348F2"/>
    <w:rsid w:val="00037DF0"/>
    <w:rsid w:val="00046358"/>
    <w:rsid w:val="00047F33"/>
    <w:rsid w:val="00053A79"/>
    <w:rsid w:val="00055368"/>
    <w:rsid w:val="0006522A"/>
    <w:rsid w:val="000817B2"/>
    <w:rsid w:val="00081864"/>
    <w:rsid w:val="0008749A"/>
    <w:rsid w:val="00094370"/>
    <w:rsid w:val="000A37B9"/>
    <w:rsid w:val="000A667F"/>
    <w:rsid w:val="000A7D95"/>
    <w:rsid w:val="000B7683"/>
    <w:rsid w:val="000C07FA"/>
    <w:rsid w:val="000C5CBC"/>
    <w:rsid w:val="000C743C"/>
    <w:rsid w:val="000D1B7A"/>
    <w:rsid w:val="000D48BD"/>
    <w:rsid w:val="000D5DA1"/>
    <w:rsid w:val="000D72B9"/>
    <w:rsid w:val="000E0B28"/>
    <w:rsid w:val="000E22B7"/>
    <w:rsid w:val="000F0474"/>
    <w:rsid w:val="000F3F39"/>
    <w:rsid w:val="000F4F51"/>
    <w:rsid w:val="0010393C"/>
    <w:rsid w:val="001172A4"/>
    <w:rsid w:val="00117F6C"/>
    <w:rsid w:val="00144BA8"/>
    <w:rsid w:val="00147FE9"/>
    <w:rsid w:val="001649F4"/>
    <w:rsid w:val="0017229B"/>
    <w:rsid w:val="00174C19"/>
    <w:rsid w:val="00176C63"/>
    <w:rsid w:val="00197BC1"/>
    <w:rsid w:val="001B1560"/>
    <w:rsid w:val="001C19F3"/>
    <w:rsid w:val="001C48C6"/>
    <w:rsid w:val="001C4C8E"/>
    <w:rsid w:val="001C63FB"/>
    <w:rsid w:val="001C79BB"/>
    <w:rsid w:val="001D5821"/>
    <w:rsid w:val="001F20E1"/>
    <w:rsid w:val="001F2367"/>
    <w:rsid w:val="00205A62"/>
    <w:rsid w:val="002106A7"/>
    <w:rsid w:val="0021151B"/>
    <w:rsid w:val="0021529F"/>
    <w:rsid w:val="0022138C"/>
    <w:rsid w:val="00221740"/>
    <w:rsid w:val="00230A22"/>
    <w:rsid w:val="00230FFB"/>
    <w:rsid w:val="00233337"/>
    <w:rsid w:val="00235777"/>
    <w:rsid w:val="0023635A"/>
    <w:rsid w:val="00241417"/>
    <w:rsid w:val="00243A3B"/>
    <w:rsid w:val="002510C6"/>
    <w:rsid w:val="00251EEC"/>
    <w:rsid w:val="00253F35"/>
    <w:rsid w:val="00261E9C"/>
    <w:rsid w:val="002625B7"/>
    <w:rsid w:val="00284701"/>
    <w:rsid w:val="00287D6C"/>
    <w:rsid w:val="0029501F"/>
    <w:rsid w:val="002A23A8"/>
    <w:rsid w:val="002A3CD3"/>
    <w:rsid w:val="002C075D"/>
    <w:rsid w:val="002C0E19"/>
    <w:rsid w:val="002D2198"/>
    <w:rsid w:val="002F469A"/>
    <w:rsid w:val="002F61E1"/>
    <w:rsid w:val="003022C6"/>
    <w:rsid w:val="0030412F"/>
    <w:rsid w:val="0030684F"/>
    <w:rsid w:val="003218A8"/>
    <w:rsid w:val="00325058"/>
    <w:rsid w:val="00333299"/>
    <w:rsid w:val="003342EC"/>
    <w:rsid w:val="00334CFA"/>
    <w:rsid w:val="00341791"/>
    <w:rsid w:val="003458A1"/>
    <w:rsid w:val="00363481"/>
    <w:rsid w:val="0036377C"/>
    <w:rsid w:val="003654DC"/>
    <w:rsid w:val="00372A87"/>
    <w:rsid w:val="003767BA"/>
    <w:rsid w:val="00380925"/>
    <w:rsid w:val="003858EF"/>
    <w:rsid w:val="0039469B"/>
    <w:rsid w:val="003B3667"/>
    <w:rsid w:val="003C311A"/>
    <w:rsid w:val="003C50B9"/>
    <w:rsid w:val="003E1CE6"/>
    <w:rsid w:val="003E2693"/>
    <w:rsid w:val="003E57EF"/>
    <w:rsid w:val="003F24C4"/>
    <w:rsid w:val="003F5E62"/>
    <w:rsid w:val="00401A78"/>
    <w:rsid w:val="004113BE"/>
    <w:rsid w:val="00417338"/>
    <w:rsid w:val="004202AA"/>
    <w:rsid w:val="004227D7"/>
    <w:rsid w:val="00423371"/>
    <w:rsid w:val="00424DD8"/>
    <w:rsid w:val="00425008"/>
    <w:rsid w:val="00425A5B"/>
    <w:rsid w:val="00425D57"/>
    <w:rsid w:val="00425F8C"/>
    <w:rsid w:val="00427FA9"/>
    <w:rsid w:val="00437476"/>
    <w:rsid w:val="004409CA"/>
    <w:rsid w:val="00445E81"/>
    <w:rsid w:val="004579AD"/>
    <w:rsid w:val="00461447"/>
    <w:rsid w:val="004720C1"/>
    <w:rsid w:val="0047211C"/>
    <w:rsid w:val="004724F9"/>
    <w:rsid w:val="004A14A8"/>
    <w:rsid w:val="004A4060"/>
    <w:rsid w:val="004B6651"/>
    <w:rsid w:val="004C2914"/>
    <w:rsid w:val="004C7988"/>
    <w:rsid w:val="004D30FA"/>
    <w:rsid w:val="004D34DE"/>
    <w:rsid w:val="004D68B9"/>
    <w:rsid w:val="004E09F4"/>
    <w:rsid w:val="004F11EF"/>
    <w:rsid w:val="004F798F"/>
    <w:rsid w:val="00500200"/>
    <w:rsid w:val="005008FC"/>
    <w:rsid w:val="00502C55"/>
    <w:rsid w:val="00513E21"/>
    <w:rsid w:val="00515577"/>
    <w:rsid w:val="0052323D"/>
    <w:rsid w:val="005455C3"/>
    <w:rsid w:val="0055114E"/>
    <w:rsid w:val="00557DFE"/>
    <w:rsid w:val="005623F8"/>
    <w:rsid w:val="0056383C"/>
    <w:rsid w:val="005669DC"/>
    <w:rsid w:val="00584B48"/>
    <w:rsid w:val="0059322F"/>
    <w:rsid w:val="00597A35"/>
    <w:rsid w:val="005A5D66"/>
    <w:rsid w:val="005A68F8"/>
    <w:rsid w:val="005A7F7E"/>
    <w:rsid w:val="005B2555"/>
    <w:rsid w:val="005B3F42"/>
    <w:rsid w:val="005B4FE0"/>
    <w:rsid w:val="005C0B6B"/>
    <w:rsid w:val="005C401E"/>
    <w:rsid w:val="005D25E5"/>
    <w:rsid w:val="005D77B4"/>
    <w:rsid w:val="0060155E"/>
    <w:rsid w:val="00604B1E"/>
    <w:rsid w:val="006051E8"/>
    <w:rsid w:val="006068FC"/>
    <w:rsid w:val="00611257"/>
    <w:rsid w:val="006163B6"/>
    <w:rsid w:val="00622935"/>
    <w:rsid w:val="0062617A"/>
    <w:rsid w:val="00626503"/>
    <w:rsid w:val="00630FAA"/>
    <w:rsid w:val="00632BE5"/>
    <w:rsid w:val="00637ADE"/>
    <w:rsid w:val="00647A93"/>
    <w:rsid w:val="00650475"/>
    <w:rsid w:val="00652186"/>
    <w:rsid w:val="00652DEF"/>
    <w:rsid w:val="0065398E"/>
    <w:rsid w:val="00657677"/>
    <w:rsid w:val="00657854"/>
    <w:rsid w:val="006604A8"/>
    <w:rsid w:val="00664CE1"/>
    <w:rsid w:val="00671358"/>
    <w:rsid w:val="00677797"/>
    <w:rsid w:val="00684F2F"/>
    <w:rsid w:val="00687F29"/>
    <w:rsid w:val="00690B64"/>
    <w:rsid w:val="00694394"/>
    <w:rsid w:val="00696D5C"/>
    <w:rsid w:val="006A22A1"/>
    <w:rsid w:val="006A3B4A"/>
    <w:rsid w:val="006A5F14"/>
    <w:rsid w:val="006B1FCC"/>
    <w:rsid w:val="006B34C1"/>
    <w:rsid w:val="006C00AD"/>
    <w:rsid w:val="006C60CC"/>
    <w:rsid w:val="006C7FA8"/>
    <w:rsid w:val="006D0F35"/>
    <w:rsid w:val="006D1917"/>
    <w:rsid w:val="006E6AF3"/>
    <w:rsid w:val="006E78E0"/>
    <w:rsid w:val="006F39B6"/>
    <w:rsid w:val="00701968"/>
    <w:rsid w:val="00707402"/>
    <w:rsid w:val="007076E7"/>
    <w:rsid w:val="00715A99"/>
    <w:rsid w:val="00723D62"/>
    <w:rsid w:val="007429C1"/>
    <w:rsid w:val="00746C5B"/>
    <w:rsid w:val="00747478"/>
    <w:rsid w:val="00754DEE"/>
    <w:rsid w:val="00756FE2"/>
    <w:rsid w:val="007613AF"/>
    <w:rsid w:val="00761D52"/>
    <w:rsid w:val="00762E6B"/>
    <w:rsid w:val="0076656D"/>
    <w:rsid w:val="0077736E"/>
    <w:rsid w:val="00777B98"/>
    <w:rsid w:val="0078062F"/>
    <w:rsid w:val="00787012"/>
    <w:rsid w:val="00794DDE"/>
    <w:rsid w:val="007A3E19"/>
    <w:rsid w:val="007A49A8"/>
    <w:rsid w:val="007A4F0F"/>
    <w:rsid w:val="007C392D"/>
    <w:rsid w:val="007D0643"/>
    <w:rsid w:val="007E3A44"/>
    <w:rsid w:val="007E4F5F"/>
    <w:rsid w:val="007E66DF"/>
    <w:rsid w:val="00805379"/>
    <w:rsid w:val="00812E86"/>
    <w:rsid w:val="0082471C"/>
    <w:rsid w:val="008265B7"/>
    <w:rsid w:val="0083099F"/>
    <w:rsid w:val="008356DA"/>
    <w:rsid w:val="00840449"/>
    <w:rsid w:val="00846869"/>
    <w:rsid w:val="0084702B"/>
    <w:rsid w:val="00850BA0"/>
    <w:rsid w:val="00855F49"/>
    <w:rsid w:val="008666B9"/>
    <w:rsid w:val="00866A43"/>
    <w:rsid w:val="00870334"/>
    <w:rsid w:val="008750E9"/>
    <w:rsid w:val="00882BA6"/>
    <w:rsid w:val="00882EDC"/>
    <w:rsid w:val="008B0883"/>
    <w:rsid w:val="008C3645"/>
    <w:rsid w:val="008D1BB2"/>
    <w:rsid w:val="008D594E"/>
    <w:rsid w:val="008D65A4"/>
    <w:rsid w:val="008E0067"/>
    <w:rsid w:val="008E0226"/>
    <w:rsid w:val="008E1F71"/>
    <w:rsid w:val="008E2801"/>
    <w:rsid w:val="008E48D7"/>
    <w:rsid w:val="0090529F"/>
    <w:rsid w:val="0092007C"/>
    <w:rsid w:val="00923D57"/>
    <w:rsid w:val="0092463F"/>
    <w:rsid w:val="00932CF3"/>
    <w:rsid w:val="00936DAF"/>
    <w:rsid w:val="0093728C"/>
    <w:rsid w:val="00942529"/>
    <w:rsid w:val="00943C78"/>
    <w:rsid w:val="009448E5"/>
    <w:rsid w:val="00944AA2"/>
    <w:rsid w:val="009569D1"/>
    <w:rsid w:val="009626AE"/>
    <w:rsid w:val="009633D6"/>
    <w:rsid w:val="009741AC"/>
    <w:rsid w:val="00977456"/>
    <w:rsid w:val="00986C98"/>
    <w:rsid w:val="00986E41"/>
    <w:rsid w:val="009910B6"/>
    <w:rsid w:val="00995EE7"/>
    <w:rsid w:val="009A4AE4"/>
    <w:rsid w:val="009A74AA"/>
    <w:rsid w:val="009B0E06"/>
    <w:rsid w:val="009C0020"/>
    <w:rsid w:val="009C0CF2"/>
    <w:rsid w:val="009C2280"/>
    <w:rsid w:val="009C5CD4"/>
    <w:rsid w:val="009C5DA5"/>
    <w:rsid w:val="009C7627"/>
    <w:rsid w:val="009C7E91"/>
    <w:rsid w:val="009D006B"/>
    <w:rsid w:val="009D11AA"/>
    <w:rsid w:val="009D6CC4"/>
    <w:rsid w:val="009E259A"/>
    <w:rsid w:val="009E5458"/>
    <w:rsid w:val="009E5CD3"/>
    <w:rsid w:val="009F27B5"/>
    <w:rsid w:val="009F7948"/>
    <w:rsid w:val="00A00002"/>
    <w:rsid w:val="00A017D0"/>
    <w:rsid w:val="00A01B95"/>
    <w:rsid w:val="00A15205"/>
    <w:rsid w:val="00A2495C"/>
    <w:rsid w:val="00A25271"/>
    <w:rsid w:val="00A27F46"/>
    <w:rsid w:val="00A34DA7"/>
    <w:rsid w:val="00A45CF1"/>
    <w:rsid w:val="00A46BF8"/>
    <w:rsid w:val="00A47BC5"/>
    <w:rsid w:val="00A60950"/>
    <w:rsid w:val="00A615E1"/>
    <w:rsid w:val="00A67673"/>
    <w:rsid w:val="00A73EE0"/>
    <w:rsid w:val="00A84B93"/>
    <w:rsid w:val="00A90DAE"/>
    <w:rsid w:val="00AA44E1"/>
    <w:rsid w:val="00AB34BD"/>
    <w:rsid w:val="00AB7C5A"/>
    <w:rsid w:val="00AD0015"/>
    <w:rsid w:val="00AD6AE6"/>
    <w:rsid w:val="00AD7D37"/>
    <w:rsid w:val="00AF5B69"/>
    <w:rsid w:val="00B01362"/>
    <w:rsid w:val="00B06A76"/>
    <w:rsid w:val="00B06D0D"/>
    <w:rsid w:val="00B070F6"/>
    <w:rsid w:val="00B075F6"/>
    <w:rsid w:val="00B0792D"/>
    <w:rsid w:val="00B15276"/>
    <w:rsid w:val="00B223A3"/>
    <w:rsid w:val="00B235E4"/>
    <w:rsid w:val="00B24EB5"/>
    <w:rsid w:val="00B340F4"/>
    <w:rsid w:val="00B5145A"/>
    <w:rsid w:val="00B5664F"/>
    <w:rsid w:val="00B7164D"/>
    <w:rsid w:val="00B81F1D"/>
    <w:rsid w:val="00B83059"/>
    <w:rsid w:val="00B9167D"/>
    <w:rsid w:val="00B95125"/>
    <w:rsid w:val="00B96D21"/>
    <w:rsid w:val="00BA0108"/>
    <w:rsid w:val="00BA18CA"/>
    <w:rsid w:val="00BB7DB0"/>
    <w:rsid w:val="00BC0053"/>
    <w:rsid w:val="00BC60E0"/>
    <w:rsid w:val="00BC6EC7"/>
    <w:rsid w:val="00BD5A2D"/>
    <w:rsid w:val="00BD6EF4"/>
    <w:rsid w:val="00BE15E6"/>
    <w:rsid w:val="00C031EC"/>
    <w:rsid w:val="00C05D01"/>
    <w:rsid w:val="00C07D5F"/>
    <w:rsid w:val="00C12A17"/>
    <w:rsid w:val="00C17BF7"/>
    <w:rsid w:val="00C25E22"/>
    <w:rsid w:val="00C315C7"/>
    <w:rsid w:val="00C36736"/>
    <w:rsid w:val="00C4258D"/>
    <w:rsid w:val="00C550E0"/>
    <w:rsid w:val="00C55F9C"/>
    <w:rsid w:val="00C62DB5"/>
    <w:rsid w:val="00C6377A"/>
    <w:rsid w:val="00C82B74"/>
    <w:rsid w:val="00C86451"/>
    <w:rsid w:val="00C871D5"/>
    <w:rsid w:val="00C93167"/>
    <w:rsid w:val="00CA1BD1"/>
    <w:rsid w:val="00CB4A22"/>
    <w:rsid w:val="00CC2B2A"/>
    <w:rsid w:val="00CD0B1C"/>
    <w:rsid w:val="00CE5C58"/>
    <w:rsid w:val="00CF01C3"/>
    <w:rsid w:val="00CF4ADF"/>
    <w:rsid w:val="00D00B1D"/>
    <w:rsid w:val="00D04003"/>
    <w:rsid w:val="00D04743"/>
    <w:rsid w:val="00D111EC"/>
    <w:rsid w:val="00D16723"/>
    <w:rsid w:val="00D16BB1"/>
    <w:rsid w:val="00D17B0F"/>
    <w:rsid w:val="00D212FF"/>
    <w:rsid w:val="00D259EE"/>
    <w:rsid w:val="00D30545"/>
    <w:rsid w:val="00D30B31"/>
    <w:rsid w:val="00D35B56"/>
    <w:rsid w:val="00D45E05"/>
    <w:rsid w:val="00D50A59"/>
    <w:rsid w:val="00D5129A"/>
    <w:rsid w:val="00D5483C"/>
    <w:rsid w:val="00D56DA4"/>
    <w:rsid w:val="00D61C00"/>
    <w:rsid w:val="00D624F1"/>
    <w:rsid w:val="00D636DB"/>
    <w:rsid w:val="00D705E9"/>
    <w:rsid w:val="00D72B51"/>
    <w:rsid w:val="00D778DE"/>
    <w:rsid w:val="00DA186C"/>
    <w:rsid w:val="00DA27DA"/>
    <w:rsid w:val="00DA3172"/>
    <w:rsid w:val="00DA5DBA"/>
    <w:rsid w:val="00DB1894"/>
    <w:rsid w:val="00DB3B33"/>
    <w:rsid w:val="00DC0FC2"/>
    <w:rsid w:val="00DC4953"/>
    <w:rsid w:val="00DC77CE"/>
    <w:rsid w:val="00DD1E4A"/>
    <w:rsid w:val="00DE6A78"/>
    <w:rsid w:val="00DF5226"/>
    <w:rsid w:val="00DF747F"/>
    <w:rsid w:val="00E001B7"/>
    <w:rsid w:val="00E0347B"/>
    <w:rsid w:val="00E04B71"/>
    <w:rsid w:val="00E05D78"/>
    <w:rsid w:val="00E1299D"/>
    <w:rsid w:val="00E22B3E"/>
    <w:rsid w:val="00E238F5"/>
    <w:rsid w:val="00E23F94"/>
    <w:rsid w:val="00E40025"/>
    <w:rsid w:val="00E441BC"/>
    <w:rsid w:val="00E50E02"/>
    <w:rsid w:val="00E6135C"/>
    <w:rsid w:val="00E6394E"/>
    <w:rsid w:val="00E671CD"/>
    <w:rsid w:val="00E82CEC"/>
    <w:rsid w:val="00E84F30"/>
    <w:rsid w:val="00E87B9B"/>
    <w:rsid w:val="00EB01E2"/>
    <w:rsid w:val="00EF0732"/>
    <w:rsid w:val="00EF135B"/>
    <w:rsid w:val="00EF1B90"/>
    <w:rsid w:val="00EF2C4A"/>
    <w:rsid w:val="00F07716"/>
    <w:rsid w:val="00F155C8"/>
    <w:rsid w:val="00F179D3"/>
    <w:rsid w:val="00F22C91"/>
    <w:rsid w:val="00F27468"/>
    <w:rsid w:val="00F2759B"/>
    <w:rsid w:val="00F33B11"/>
    <w:rsid w:val="00F3459B"/>
    <w:rsid w:val="00F354CE"/>
    <w:rsid w:val="00F463DB"/>
    <w:rsid w:val="00F478F7"/>
    <w:rsid w:val="00F76288"/>
    <w:rsid w:val="00F76BF5"/>
    <w:rsid w:val="00F77508"/>
    <w:rsid w:val="00F828B9"/>
    <w:rsid w:val="00F85065"/>
    <w:rsid w:val="00F91386"/>
    <w:rsid w:val="00FA34BA"/>
    <w:rsid w:val="00FA43D4"/>
    <w:rsid w:val="00FB17A1"/>
    <w:rsid w:val="00FB2A9C"/>
    <w:rsid w:val="00FB4F34"/>
    <w:rsid w:val="00FB792A"/>
    <w:rsid w:val="00FB7F6F"/>
    <w:rsid w:val="00FC0A9F"/>
    <w:rsid w:val="00FC25F5"/>
    <w:rsid w:val="00FD1C5B"/>
    <w:rsid w:val="00FD47AD"/>
    <w:rsid w:val="00FD4B25"/>
    <w:rsid w:val="00FD711B"/>
    <w:rsid w:val="00FD7952"/>
    <w:rsid w:val="00FD7D36"/>
    <w:rsid w:val="00FE2239"/>
    <w:rsid w:val="00FE4795"/>
    <w:rsid w:val="00FE7824"/>
    <w:rsid w:val="00FF79FD"/>
    <w:rsid w:val="4E4A04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
    <w:qFormat/>
    <w:uiPriority w:val="99"/>
    <w:rPr>
      <w:rFonts w:ascii="宋体" w:hAnsi="宋体" w:cs="宋体"/>
      <w:sz w:val="28"/>
      <w:szCs w:val="28"/>
      <w:lang w:val="zh-CN" w:bidi="zh-CN"/>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Char"/>
    <w:basedOn w:val="6"/>
    <w:link w:val="2"/>
    <w:qFormat/>
    <w:uiPriority w:val="99"/>
    <w:rPr>
      <w:rFonts w:ascii="宋体" w:hAnsi="宋体" w:eastAsia="宋体" w:cs="宋体"/>
      <w:sz w:val="28"/>
      <w:szCs w:val="28"/>
      <w:lang w:val="zh-CN" w:bidi="zh-CN"/>
    </w:rPr>
  </w:style>
  <w:style w:type="character" w:customStyle="1" w:styleId="8">
    <w:name w:val="页眉 Char"/>
    <w:basedOn w:val="6"/>
    <w:link w:val="4"/>
    <w:uiPriority w:val="99"/>
    <w:rPr>
      <w:rFonts w:ascii="Calibri" w:hAnsi="Calibri" w:eastAsia="宋体" w:cs="Times New Roman"/>
      <w:sz w:val="18"/>
      <w:szCs w:val="18"/>
    </w:rPr>
  </w:style>
  <w:style w:type="character" w:customStyle="1" w:styleId="9">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753</Words>
  <Characters>836</Characters>
  <Lines>6</Lines>
  <Paragraphs>1</Paragraphs>
  <TotalTime>5</TotalTime>
  <ScaleCrop>false</ScaleCrop>
  <LinksUpToDate>false</LinksUpToDate>
  <CharactersWithSpaces>859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2026-03-31T03:23:00Z</dcterms:created>
  <dc:creator>张亚斌</dc:creator>
  <cp:lastModifiedBy>(^ω^)静</cp:lastModifiedBy>
  <dcterms:modified xsi:type="dcterms:W3CDTF">2026-04-03T07:59:23Z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eyJoZGlkIjoiZGY4ZDQwYTRkMWY4ZjljYWQwNWJjYzE3NTRmZWI1ZTEiLCJ1c2VySWQiOiIzNDkwNzcyMzUifQ==</vt:lpwstr>
  </property>
  <property fmtid="{D5CDD505-2E9C-101B-9397-08002B2CF9AE}" pid="3" name="KSOProductBuildVer">
    <vt:lpwstr>2052-12.1.0.24034</vt:lpwstr>
  </property>
  <property fmtid="{D5CDD505-2E9C-101B-9397-08002B2CF9AE}" pid="4" name="ICV">
    <vt:lpwstr>EDF7670A291C4347AB20162D15477C95_12</vt:lpwstr>
  </property>
</Properties>
</file>