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8D716">
      <w:pPr>
        <w:snapToGrid w:val="0"/>
        <w:spacing w:line="360" w:lineRule="auto"/>
        <w:ind w:firstLine="640" w:firstLineChars="200"/>
        <w:jc w:val="center"/>
        <w:rPr>
          <w:rFonts w:hint="eastAsia" w:ascii="黑体" w:hAnsi="黑体" w:eastAsia="黑体" w:cs="宋体"/>
          <w:sz w:val="32"/>
          <w:szCs w:val="32"/>
        </w:rPr>
      </w:pPr>
      <w:r>
        <w:rPr>
          <w:rFonts w:hint="eastAsia" w:ascii="黑体" w:hAnsi="黑体" w:eastAsia="黑体" w:cs="宋体"/>
          <w:sz w:val="32"/>
          <w:szCs w:val="32"/>
          <w:lang w:eastAsia="zh-CN"/>
        </w:rPr>
        <w:t>乐山市</w:t>
      </w:r>
      <w:r>
        <w:rPr>
          <w:rFonts w:hint="eastAsia" w:ascii="黑体" w:hAnsi="黑体" w:eastAsia="黑体" w:cs="宋体"/>
          <w:sz w:val="32"/>
          <w:szCs w:val="32"/>
        </w:rPr>
        <w:t>五通桥区电吹风</w:t>
      </w:r>
      <w:r>
        <w:rPr>
          <w:rFonts w:ascii="黑体" w:hAnsi="黑体" w:eastAsia="黑体" w:cs="宋体"/>
          <w:sz w:val="32"/>
          <w:szCs w:val="32"/>
        </w:rPr>
        <w:t>产品质量监督抽查实施细则</w:t>
      </w:r>
    </w:p>
    <w:p w14:paraId="25471A67">
      <w:pPr>
        <w:snapToGrid w:val="0"/>
        <w:spacing w:line="360" w:lineRule="auto"/>
        <w:ind w:firstLine="640" w:firstLineChars="200"/>
        <w:jc w:val="center"/>
        <w:rPr>
          <w:rFonts w:ascii="黑体" w:hAnsi="黑体" w:eastAsia="黑体" w:cs="宋体"/>
          <w:sz w:val="32"/>
          <w:szCs w:val="32"/>
        </w:rPr>
      </w:pPr>
      <w:r>
        <w:rPr>
          <w:rFonts w:hint="eastAsia" w:ascii="黑体" w:hAnsi="黑体" w:eastAsia="黑体" w:cs="宋体"/>
          <w:sz w:val="32"/>
          <w:szCs w:val="32"/>
        </w:rPr>
        <w:t>（2026年版）</w:t>
      </w:r>
    </w:p>
    <w:p w14:paraId="1CFBBC95">
      <w:pPr>
        <w:snapToGrid w:val="0"/>
        <w:spacing w:line="360" w:lineRule="auto"/>
        <w:rPr>
          <w:rFonts w:ascii="黑体" w:hAnsi="黑体" w:eastAsia="黑体" w:cs="宋体"/>
          <w:szCs w:val="21"/>
        </w:rPr>
      </w:pPr>
      <w:r>
        <w:rPr>
          <w:rFonts w:ascii="黑体" w:hAnsi="黑体" w:eastAsia="黑体" w:cs="宋体"/>
          <w:szCs w:val="21"/>
        </w:rPr>
        <w:t xml:space="preserve">1  </w:t>
      </w:r>
      <w:r>
        <w:rPr>
          <w:rFonts w:hint="eastAsia" w:ascii="黑体" w:hAnsi="黑体" w:eastAsia="黑体" w:cs="宋体"/>
          <w:szCs w:val="21"/>
        </w:rPr>
        <w:t>抽样方法</w:t>
      </w:r>
    </w:p>
    <w:p w14:paraId="4A699019">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以随机抽样的方式在被抽样生产者、销售者的待销产品中抽取。</w:t>
      </w:r>
    </w:p>
    <w:p w14:paraId="134F7539">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随机数一般可使用随机数表、 骰子或扑克牌等方法产生。</w:t>
      </w:r>
    </w:p>
    <w:p w14:paraId="78DDBA78">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每批次产品抽取样品2台，其中1台作为检验样品，</w:t>
      </w:r>
      <w:r>
        <w:rPr>
          <w:rFonts w:cs="宋体" w:asciiTheme="minorEastAsia" w:hAnsiTheme="minorEastAsia" w:eastAsiaTheme="minorEastAsia"/>
          <w:szCs w:val="21"/>
        </w:rPr>
        <w:t>1</w:t>
      </w:r>
      <w:r>
        <w:rPr>
          <w:rFonts w:hint="eastAsia" w:cs="宋体" w:asciiTheme="minorEastAsia" w:hAnsiTheme="minorEastAsia" w:eastAsiaTheme="minorEastAsia"/>
          <w:szCs w:val="21"/>
        </w:rPr>
        <w:t>台作为备用样品。</w:t>
      </w:r>
    </w:p>
    <w:p w14:paraId="5E9C10C9">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w:t>
      </w:r>
    </w:p>
    <w:p w14:paraId="57CE331B">
      <w:pPr>
        <w:snapToGrid w:val="0"/>
        <w:spacing w:line="360" w:lineRule="auto"/>
        <w:rPr>
          <w:rFonts w:ascii="黑体" w:hAnsi="黑体" w:eastAsia="黑体" w:cs="宋体"/>
          <w:szCs w:val="21"/>
        </w:rPr>
      </w:pPr>
      <w:r>
        <w:rPr>
          <w:rFonts w:ascii="黑体" w:hAnsi="黑体" w:eastAsia="黑体" w:cs="宋体"/>
          <w:szCs w:val="21"/>
        </w:rPr>
        <w:t xml:space="preserve">2  </w:t>
      </w:r>
      <w:r>
        <w:rPr>
          <w:rFonts w:hint="eastAsia" w:ascii="黑体" w:hAnsi="黑体" w:eastAsia="黑体" w:cs="宋体"/>
          <w:szCs w:val="21"/>
        </w:rPr>
        <w:t>检验依据</w:t>
      </w:r>
    </w:p>
    <w:p w14:paraId="4023D485">
      <w:pPr>
        <w:snapToGrid w:val="0"/>
        <w:spacing w:line="360" w:lineRule="auto"/>
        <w:ind w:firstLine="420" w:firstLineChars="200"/>
        <w:jc w:val="center"/>
        <w:rPr>
          <w:rFonts w:ascii="黑体" w:hAnsi="黑体" w:eastAsia="黑体" w:cs="宋体"/>
          <w:szCs w:val="21"/>
        </w:rPr>
      </w:pPr>
      <w:r>
        <w:rPr>
          <w:rFonts w:hint="eastAsia" w:ascii="黑体" w:hAnsi="黑体" w:eastAsia="黑体" w:cs="宋体"/>
          <w:szCs w:val="21"/>
        </w:rPr>
        <w:t>表</w:t>
      </w:r>
      <w:r>
        <w:rPr>
          <w:rFonts w:ascii="黑体" w:hAnsi="黑体" w:eastAsia="黑体" w:cs="宋体"/>
          <w:szCs w:val="21"/>
        </w:rPr>
        <w:t xml:space="preserve">1  </w:t>
      </w:r>
      <w:r>
        <w:rPr>
          <w:rFonts w:hint="eastAsia" w:ascii="黑体" w:hAnsi="黑体" w:eastAsia="黑体" w:cs="宋体"/>
          <w:szCs w:val="21"/>
        </w:rPr>
        <w:t>电吹风</w:t>
      </w:r>
      <w:r>
        <w:rPr>
          <w:rFonts w:ascii="黑体" w:hAnsi="黑体" w:eastAsia="黑体" w:cs="宋体"/>
          <w:szCs w:val="21"/>
        </w:rPr>
        <w:t>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909"/>
        <w:gridCol w:w="2586"/>
      </w:tblGrid>
      <w:tr w14:paraId="268F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blHeader/>
          <w:jc w:val="center"/>
        </w:trPr>
        <w:tc>
          <w:tcPr>
            <w:tcW w:w="783" w:type="dxa"/>
            <w:vAlign w:val="center"/>
          </w:tcPr>
          <w:p w14:paraId="1A6353B6">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序号</w:t>
            </w:r>
          </w:p>
        </w:tc>
        <w:tc>
          <w:tcPr>
            <w:tcW w:w="4909" w:type="dxa"/>
            <w:vAlign w:val="center"/>
          </w:tcPr>
          <w:p w14:paraId="31E4515B">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检验项目</w:t>
            </w:r>
          </w:p>
        </w:tc>
        <w:tc>
          <w:tcPr>
            <w:tcW w:w="2586" w:type="dxa"/>
            <w:vAlign w:val="center"/>
          </w:tcPr>
          <w:p w14:paraId="20F0BE74">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检验方法</w:t>
            </w:r>
          </w:p>
        </w:tc>
      </w:tr>
      <w:tr w14:paraId="4480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2BEF02BC">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p>
        </w:tc>
        <w:tc>
          <w:tcPr>
            <w:tcW w:w="4909" w:type="dxa"/>
            <w:vAlign w:val="center"/>
          </w:tcPr>
          <w:p w14:paraId="44EECBF3">
            <w:pPr>
              <w:snapToGrid w:val="0"/>
              <w:jc w:val="center"/>
              <w:rPr>
                <w:rFonts w:ascii="宋体" w:hAnsi="宋体"/>
                <w:color w:val="000000"/>
                <w:szCs w:val="21"/>
              </w:rPr>
            </w:pPr>
            <w:r>
              <w:rPr>
                <w:szCs w:val="21"/>
              </w:rPr>
              <w:t>对触及带电部件的防护</w:t>
            </w:r>
          </w:p>
        </w:tc>
        <w:tc>
          <w:tcPr>
            <w:tcW w:w="2586" w:type="dxa"/>
            <w:vAlign w:val="center"/>
          </w:tcPr>
          <w:p w14:paraId="74A0C39E">
            <w:pPr>
              <w:jc w:val="center"/>
              <w:rPr>
                <w:szCs w:val="21"/>
              </w:rPr>
            </w:pPr>
            <w:r>
              <w:rPr>
                <w:szCs w:val="21"/>
              </w:rPr>
              <w:t>GB 4706.1—2005</w:t>
            </w:r>
          </w:p>
          <w:p w14:paraId="3C949590">
            <w:pPr>
              <w:snapToGrid w:val="0"/>
              <w:jc w:val="center"/>
              <w:rPr>
                <w:rFonts w:ascii="宋体" w:hAnsi="宋体"/>
                <w:color w:val="000000"/>
                <w:szCs w:val="21"/>
              </w:rPr>
            </w:pPr>
            <w:r>
              <w:rPr>
                <w:szCs w:val="21"/>
              </w:rPr>
              <w:t>GB 4706.15—2008</w:t>
            </w:r>
          </w:p>
        </w:tc>
      </w:tr>
      <w:tr w14:paraId="6DD4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0F39705F">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2</w:t>
            </w:r>
          </w:p>
        </w:tc>
        <w:tc>
          <w:tcPr>
            <w:tcW w:w="4909" w:type="dxa"/>
            <w:vAlign w:val="center"/>
          </w:tcPr>
          <w:p w14:paraId="32A65DC9">
            <w:pPr>
              <w:snapToGrid w:val="0"/>
              <w:jc w:val="center"/>
              <w:rPr>
                <w:rFonts w:ascii="宋体" w:hAnsi="宋体"/>
                <w:color w:val="000000"/>
                <w:szCs w:val="21"/>
              </w:rPr>
            </w:pPr>
            <w:r>
              <w:rPr>
                <w:szCs w:val="21"/>
              </w:rPr>
              <w:t>输入功率和电流</w:t>
            </w:r>
          </w:p>
        </w:tc>
        <w:tc>
          <w:tcPr>
            <w:tcW w:w="2586" w:type="dxa"/>
            <w:vAlign w:val="center"/>
          </w:tcPr>
          <w:p w14:paraId="3424C3DB">
            <w:pPr>
              <w:jc w:val="center"/>
              <w:rPr>
                <w:szCs w:val="21"/>
              </w:rPr>
            </w:pPr>
            <w:r>
              <w:rPr>
                <w:szCs w:val="21"/>
              </w:rPr>
              <w:t>GB 4706.1—2005</w:t>
            </w:r>
          </w:p>
          <w:p w14:paraId="76D3C86A">
            <w:pPr>
              <w:snapToGrid w:val="0"/>
              <w:jc w:val="center"/>
              <w:rPr>
                <w:rFonts w:ascii="宋体" w:hAnsi="宋体"/>
                <w:color w:val="000000"/>
                <w:szCs w:val="21"/>
              </w:rPr>
            </w:pPr>
            <w:r>
              <w:rPr>
                <w:szCs w:val="21"/>
              </w:rPr>
              <w:t>GB 4706.15—2008</w:t>
            </w:r>
          </w:p>
        </w:tc>
      </w:tr>
      <w:tr w14:paraId="43F2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0571776F">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3</w:t>
            </w:r>
          </w:p>
        </w:tc>
        <w:tc>
          <w:tcPr>
            <w:tcW w:w="4909" w:type="dxa"/>
            <w:vAlign w:val="center"/>
          </w:tcPr>
          <w:p w14:paraId="312241C0">
            <w:pPr>
              <w:snapToGrid w:val="0"/>
              <w:jc w:val="center"/>
              <w:rPr>
                <w:rFonts w:ascii="宋体" w:hAnsi="宋体"/>
                <w:color w:val="000000"/>
                <w:szCs w:val="21"/>
              </w:rPr>
            </w:pPr>
            <w:r>
              <w:rPr>
                <w:szCs w:val="21"/>
              </w:rPr>
              <w:t>非正常工作（不包括第19.11.4条试验）</w:t>
            </w:r>
          </w:p>
        </w:tc>
        <w:tc>
          <w:tcPr>
            <w:tcW w:w="2586" w:type="dxa"/>
            <w:vAlign w:val="center"/>
          </w:tcPr>
          <w:p w14:paraId="3856C528">
            <w:pPr>
              <w:jc w:val="center"/>
              <w:rPr>
                <w:szCs w:val="21"/>
              </w:rPr>
            </w:pPr>
            <w:r>
              <w:rPr>
                <w:szCs w:val="21"/>
              </w:rPr>
              <w:t>GB 4706.1—2005</w:t>
            </w:r>
          </w:p>
          <w:p w14:paraId="3D227CBC">
            <w:pPr>
              <w:snapToGrid w:val="0"/>
              <w:jc w:val="center"/>
              <w:rPr>
                <w:rFonts w:ascii="宋体" w:hAnsi="宋体"/>
                <w:color w:val="000000"/>
                <w:szCs w:val="21"/>
              </w:rPr>
            </w:pPr>
            <w:r>
              <w:rPr>
                <w:szCs w:val="21"/>
              </w:rPr>
              <w:t>GB 4706.15—2008</w:t>
            </w:r>
          </w:p>
        </w:tc>
      </w:tr>
      <w:tr w14:paraId="3F3B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4FE0FE95">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4</w:t>
            </w:r>
          </w:p>
        </w:tc>
        <w:tc>
          <w:tcPr>
            <w:tcW w:w="4909" w:type="dxa"/>
            <w:vAlign w:val="center"/>
          </w:tcPr>
          <w:p w14:paraId="7A11875C">
            <w:pPr>
              <w:snapToGrid w:val="0"/>
              <w:jc w:val="center"/>
              <w:rPr>
                <w:rFonts w:ascii="宋体" w:hAnsi="宋体"/>
                <w:color w:val="000000"/>
                <w:szCs w:val="21"/>
              </w:rPr>
            </w:pPr>
            <w:r>
              <w:rPr>
                <w:szCs w:val="21"/>
              </w:rPr>
              <w:t>结构（不包括第22.46条试验）</w:t>
            </w:r>
          </w:p>
        </w:tc>
        <w:tc>
          <w:tcPr>
            <w:tcW w:w="2586" w:type="dxa"/>
            <w:vAlign w:val="center"/>
          </w:tcPr>
          <w:p w14:paraId="2D4ACF8A">
            <w:pPr>
              <w:jc w:val="center"/>
              <w:rPr>
                <w:szCs w:val="21"/>
              </w:rPr>
            </w:pPr>
            <w:r>
              <w:rPr>
                <w:szCs w:val="21"/>
              </w:rPr>
              <w:t>GB 4706.1—2005</w:t>
            </w:r>
          </w:p>
          <w:p w14:paraId="5F8ED49E">
            <w:pPr>
              <w:snapToGrid w:val="0"/>
              <w:jc w:val="center"/>
              <w:rPr>
                <w:rFonts w:ascii="宋体" w:hAnsi="宋体"/>
                <w:color w:val="000000"/>
                <w:szCs w:val="21"/>
              </w:rPr>
            </w:pPr>
            <w:r>
              <w:rPr>
                <w:szCs w:val="21"/>
              </w:rPr>
              <w:t>GB 4706.15—2008</w:t>
            </w:r>
          </w:p>
        </w:tc>
      </w:tr>
      <w:tr w14:paraId="0885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47CAC1B6">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5</w:t>
            </w:r>
          </w:p>
        </w:tc>
        <w:tc>
          <w:tcPr>
            <w:tcW w:w="4909" w:type="dxa"/>
            <w:vAlign w:val="center"/>
          </w:tcPr>
          <w:p w14:paraId="616803EE">
            <w:pPr>
              <w:snapToGrid w:val="0"/>
              <w:jc w:val="center"/>
              <w:rPr>
                <w:rFonts w:ascii="宋体" w:hAnsi="宋体"/>
                <w:color w:val="000000"/>
                <w:szCs w:val="21"/>
              </w:rPr>
            </w:pPr>
            <w:r>
              <w:rPr>
                <w:szCs w:val="21"/>
              </w:rPr>
              <w:t>电源连接和外部软线</w:t>
            </w:r>
          </w:p>
        </w:tc>
        <w:tc>
          <w:tcPr>
            <w:tcW w:w="2586" w:type="dxa"/>
            <w:vAlign w:val="center"/>
          </w:tcPr>
          <w:p w14:paraId="7B843F15">
            <w:pPr>
              <w:jc w:val="center"/>
              <w:rPr>
                <w:szCs w:val="21"/>
              </w:rPr>
            </w:pPr>
            <w:r>
              <w:rPr>
                <w:szCs w:val="21"/>
              </w:rPr>
              <w:t>GB 4706.1—2005</w:t>
            </w:r>
          </w:p>
          <w:p w14:paraId="0BD24ED0">
            <w:pPr>
              <w:snapToGrid w:val="0"/>
              <w:jc w:val="center"/>
              <w:rPr>
                <w:rFonts w:ascii="宋体" w:hAnsi="宋体"/>
                <w:color w:val="000000"/>
                <w:szCs w:val="21"/>
              </w:rPr>
            </w:pPr>
            <w:r>
              <w:rPr>
                <w:szCs w:val="21"/>
              </w:rPr>
              <w:t>GB 4706.15—2008</w:t>
            </w:r>
          </w:p>
        </w:tc>
      </w:tr>
      <w:tr w14:paraId="726A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2AA8A2BA">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6</w:t>
            </w:r>
          </w:p>
        </w:tc>
        <w:tc>
          <w:tcPr>
            <w:tcW w:w="4909" w:type="dxa"/>
            <w:vAlign w:val="center"/>
          </w:tcPr>
          <w:p w14:paraId="1E121223">
            <w:pPr>
              <w:snapToGrid w:val="0"/>
              <w:jc w:val="center"/>
              <w:rPr>
                <w:rFonts w:ascii="宋体" w:hAnsi="宋体"/>
                <w:color w:val="000000"/>
                <w:szCs w:val="21"/>
              </w:rPr>
            </w:pPr>
            <w:r>
              <w:rPr>
                <w:szCs w:val="21"/>
              </w:rPr>
              <w:t>端子骚扰电压（连续骚扰）</w:t>
            </w:r>
          </w:p>
        </w:tc>
        <w:tc>
          <w:tcPr>
            <w:tcW w:w="2586" w:type="dxa"/>
            <w:vAlign w:val="center"/>
          </w:tcPr>
          <w:p w14:paraId="118E1C96">
            <w:pPr>
              <w:jc w:val="center"/>
              <w:rPr>
                <w:rFonts w:ascii="宋体" w:hAnsi="宋体"/>
                <w:color w:val="000000"/>
                <w:szCs w:val="21"/>
              </w:rPr>
            </w:pPr>
            <w:r>
              <w:rPr>
                <w:szCs w:val="21"/>
              </w:rPr>
              <w:t>GB 4343.1—2018</w:t>
            </w:r>
          </w:p>
        </w:tc>
      </w:tr>
    </w:tbl>
    <w:p w14:paraId="4782207E">
      <w:pPr>
        <w:snapToGrid w:val="0"/>
        <w:spacing w:line="360" w:lineRule="auto"/>
        <w:ind w:left="630" w:leftChars="200" w:hanging="210" w:hangingChars="100"/>
        <w:rPr>
          <w:rFonts w:cs="宋体" w:asciiTheme="minorEastAsia" w:hAnsiTheme="minorEastAsia" w:eastAsiaTheme="minorEastAsia"/>
          <w:szCs w:val="21"/>
        </w:rPr>
      </w:pPr>
      <w:r>
        <w:rPr>
          <w:rFonts w:hint="eastAsia" w:cs="宋体" w:asciiTheme="minorEastAsia" w:hAnsiTheme="minorEastAsia" w:eastAsiaTheme="minorEastAsia"/>
          <w:szCs w:val="21"/>
        </w:rPr>
        <w:t>注：</w:t>
      </w:r>
      <w:r>
        <w:rPr>
          <w:rFonts w:cs="宋体" w:asciiTheme="minorEastAsia" w:hAnsiTheme="minorEastAsia" w:eastAsiaTheme="minorEastAsia"/>
          <w:szCs w:val="21"/>
        </w:rPr>
        <w:t>1.</w:t>
      </w:r>
      <w:r>
        <w:rPr>
          <w:rFonts w:hint="eastAsia" w:cs="宋体" w:asciiTheme="minorEastAsia" w:hAnsiTheme="minorEastAsia" w:eastAsiaTheme="minorEastAsia"/>
          <w:szCs w:val="21"/>
        </w:rPr>
        <w:t>上表所列检验项目是有关法律法规、标准等规定的，重点涉及健康、安全、节能、环保以及消费者、有关组织反映有质量问题的重要项目。</w:t>
      </w:r>
    </w:p>
    <w:p w14:paraId="24F9049E">
      <w:pPr>
        <w:snapToGrid w:val="0"/>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2.</w:t>
      </w:r>
      <w:r>
        <w:rPr>
          <w:rFonts w:hint="eastAsia" w:cs="宋体" w:asciiTheme="minorEastAsia" w:hAnsiTheme="minorEastAsia" w:eastAsiaTheme="minorEastAsia"/>
          <w:szCs w:val="21"/>
        </w:rPr>
        <w:t>检验方法包括相关产品标准及试验方法标准。</w:t>
      </w:r>
    </w:p>
    <w:p w14:paraId="3A062098">
      <w:pPr>
        <w:snapToGrid w:val="0"/>
        <w:spacing w:line="360" w:lineRule="auto"/>
        <w:ind w:left="630" w:leftChars="200" w:hanging="210" w:hangingChars="100"/>
        <w:rPr>
          <w:rFonts w:cs="宋体" w:asciiTheme="minorEastAsia" w:hAnsiTheme="minorEastAsia" w:eastAsiaTheme="minorEastAsia"/>
          <w:szCs w:val="21"/>
        </w:rPr>
      </w:pPr>
      <w:r>
        <w:rPr>
          <w:rFonts w:cs="宋体" w:asciiTheme="minorEastAsia" w:hAnsiTheme="minorEastAsia" w:eastAsiaTheme="minorEastAsia"/>
          <w:szCs w:val="21"/>
        </w:rPr>
        <w:t>3.</w:t>
      </w:r>
      <w:r>
        <w:rPr>
          <w:rFonts w:hint="eastAsia" w:cs="宋体" w:asciiTheme="minorEastAsia" w:hAnsiTheme="minorEastAsia" w:eastAsiaTheme="minorEastAsia"/>
          <w:szCs w:val="21"/>
        </w:rPr>
        <w:t>凡是注日期的文件，其随后所有的修改单（不包括勘误的内容）或修订版不适用于本细则。凡是不注日期的文件，其最新版本适用于本细则。</w:t>
      </w:r>
    </w:p>
    <w:p w14:paraId="4A05D1A6">
      <w:pPr>
        <w:snapToGrid w:val="0"/>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4.</w:t>
      </w:r>
      <w:r>
        <w:rPr>
          <w:rFonts w:hint="eastAsia" w:cs="宋体" w:asciiTheme="minorEastAsia" w:hAnsiTheme="minorEastAsia" w:eastAsiaTheme="minorEastAsia"/>
          <w:szCs w:val="21"/>
        </w:rPr>
        <w:t>执行企业标准、团体标准、地方标准的产品，检验项目参照上述内容执行。</w:t>
      </w:r>
    </w:p>
    <w:p w14:paraId="2C1CE724">
      <w:pPr>
        <w:snapToGrid w:val="0"/>
        <w:spacing w:line="360" w:lineRule="auto"/>
        <w:rPr>
          <w:rFonts w:ascii="黑体" w:hAnsi="黑体" w:eastAsia="黑体" w:cs="宋体"/>
          <w:szCs w:val="21"/>
        </w:rPr>
      </w:pPr>
      <w:r>
        <w:rPr>
          <w:rFonts w:ascii="黑体" w:hAnsi="黑体" w:eastAsia="黑体" w:cs="宋体"/>
          <w:szCs w:val="21"/>
        </w:rPr>
        <w:t xml:space="preserve">3  </w:t>
      </w:r>
      <w:r>
        <w:rPr>
          <w:rFonts w:hint="eastAsia" w:ascii="黑体" w:hAnsi="黑体" w:eastAsia="黑体" w:cs="宋体"/>
          <w:szCs w:val="21"/>
        </w:rPr>
        <w:t>判定规则</w:t>
      </w:r>
    </w:p>
    <w:p w14:paraId="69E3FCD2">
      <w:pPr>
        <w:snapToGrid w:val="0"/>
        <w:spacing w:line="360" w:lineRule="auto"/>
        <w:rPr>
          <w:rFonts w:cs="宋体" w:asciiTheme="minorEastAsia" w:hAnsiTheme="minorEastAsia" w:eastAsiaTheme="minorEastAsia"/>
          <w:szCs w:val="21"/>
        </w:rPr>
      </w:pPr>
      <w:r>
        <w:rPr>
          <w:rFonts w:cs="宋体" w:asciiTheme="minorEastAsia" w:hAnsiTheme="minorEastAsia" w:eastAsiaTheme="minorEastAsia"/>
          <w:szCs w:val="21"/>
        </w:rPr>
        <w:t xml:space="preserve">3.1  </w:t>
      </w:r>
      <w:r>
        <w:rPr>
          <w:rFonts w:hint="eastAsia" w:cs="宋体" w:asciiTheme="minorEastAsia" w:hAnsiTheme="minorEastAsia" w:eastAsiaTheme="minorEastAsia"/>
          <w:szCs w:val="21"/>
        </w:rPr>
        <w:t>依据标准</w:t>
      </w:r>
    </w:p>
    <w:p w14:paraId="392FE267">
      <w:pPr>
        <w:snapToGrid w:val="0"/>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GB 4706.1—2005 家用和类似用途电器的安全 第1部分:通用要求</w:t>
      </w:r>
    </w:p>
    <w:p w14:paraId="7E267C4D">
      <w:pPr>
        <w:snapToGrid w:val="0"/>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GB 4706.15—2008 家用和类似用途电器的安全 皮肤及毛发护理器具的特殊要求</w:t>
      </w:r>
    </w:p>
    <w:p w14:paraId="27D658D3">
      <w:pPr>
        <w:snapToGrid w:val="0"/>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GB 4343.1—2018 家用电器、电动工具和类似器具的电磁兼容要求 第1部分：发射</w:t>
      </w:r>
      <w:bookmarkStart w:id="0" w:name="_GoBack"/>
      <w:bookmarkEnd w:id="0"/>
    </w:p>
    <w:p w14:paraId="0788C698">
      <w:pPr>
        <w:snapToGrid w:val="0"/>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现行有效的企业标准、团体标准、地方标准及产品明示质量要求。</w:t>
      </w:r>
    </w:p>
    <w:p w14:paraId="68378705">
      <w:pPr>
        <w:snapToGrid w:val="0"/>
        <w:spacing w:line="360" w:lineRule="auto"/>
        <w:rPr>
          <w:rFonts w:cs="宋体" w:asciiTheme="minorEastAsia" w:hAnsiTheme="minorEastAsia" w:eastAsiaTheme="minorEastAsia"/>
          <w:szCs w:val="21"/>
        </w:rPr>
      </w:pPr>
      <w:r>
        <w:rPr>
          <w:rFonts w:cs="宋体" w:asciiTheme="minorEastAsia" w:hAnsiTheme="minorEastAsia" w:eastAsiaTheme="minorEastAsia"/>
          <w:szCs w:val="21"/>
        </w:rPr>
        <w:t>3.2</w:t>
      </w:r>
      <w:r>
        <w:rPr>
          <w:rFonts w:hint="eastAsia" w:cs="宋体" w:asciiTheme="minorEastAsia" w:hAnsiTheme="minorEastAsia" w:eastAsiaTheme="minorEastAsia"/>
          <w:szCs w:val="21"/>
        </w:rPr>
        <w:t xml:space="preserve">  </w:t>
      </w:r>
      <w:r>
        <w:rPr>
          <w:rFonts w:cs="宋体" w:asciiTheme="minorEastAsia" w:hAnsiTheme="minorEastAsia" w:eastAsiaTheme="minorEastAsia"/>
          <w:szCs w:val="21"/>
        </w:rPr>
        <w:t>判定原则</w:t>
      </w:r>
    </w:p>
    <w:p w14:paraId="40939812">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经检验，检验项目全部合格，判定为被抽查产品未发现不合格；检验项目中任一项或一项以上不合格，判定为被抽查产品不合格。</w:t>
      </w:r>
    </w:p>
    <w:p w14:paraId="79067D4F">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若被检产品明示的质量要求高于本细则中检验项目依据的标准要求时，应按被检产品明示的质量要求判定。</w:t>
      </w:r>
    </w:p>
    <w:p w14:paraId="36C2302E">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若被检产品明示的质量要求低于本细则中检验项目依据的强制性标准要求时，应按照强制性标准要求判定。</w:t>
      </w:r>
    </w:p>
    <w:p w14:paraId="53A2E784">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若被检产品明示的质量要求低于或包含细则中检验项目依据的推荐性标准要求时，应以被检产品明示的质量要求判定，但应在检验报告备注中进行说明。</w:t>
      </w:r>
    </w:p>
    <w:p w14:paraId="1925B872">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若被检产品明示的质量要求缺少本细则中检验项目依据的强制性标准要求时，应按照强制性标准要求判定。</w:t>
      </w:r>
    </w:p>
    <w:p w14:paraId="538280F5">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若被检产品明示的质量要求缺少本细则中检验项目依据的推荐性标准要求时，该项目不参与判定，但应在检验报告备注中进行说明。</w:t>
      </w:r>
    </w:p>
    <w:p w14:paraId="356EFD5D"/>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1904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C0925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CC0925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060"/>
    <w:rsid w:val="00002E1E"/>
    <w:rsid w:val="00010B9C"/>
    <w:rsid w:val="0001411D"/>
    <w:rsid w:val="00015D84"/>
    <w:rsid w:val="00016BE1"/>
    <w:rsid w:val="00016CE0"/>
    <w:rsid w:val="000222A3"/>
    <w:rsid w:val="00023B66"/>
    <w:rsid w:val="000250B4"/>
    <w:rsid w:val="000307BB"/>
    <w:rsid w:val="000348F2"/>
    <w:rsid w:val="00037DF0"/>
    <w:rsid w:val="00042E13"/>
    <w:rsid w:val="00046358"/>
    <w:rsid w:val="00046410"/>
    <w:rsid w:val="00047F33"/>
    <w:rsid w:val="00053A79"/>
    <w:rsid w:val="00055368"/>
    <w:rsid w:val="00062C28"/>
    <w:rsid w:val="00063AB0"/>
    <w:rsid w:val="0006522A"/>
    <w:rsid w:val="00066216"/>
    <w:rsid w:val="00073FD3"/>
    <w:rsid w:val="000817B2"/>
    <w:rsid w:val="00081864"/>
    <w:rsid w:val="0008749A"/>
    <w:rsid w:val="00087A06"/>
    <w:rsid w:val="00094370"/>
    <w:rsid w:val="000A37B9"/>
    <w:rsid w:val="000A4082"/>
    <w:rsid w:val="000A667F"/>
    <w:rsid w:val="000A7D95"/>
    <w:rsid w:val="000B7683"/>
    <w:rsid w:val="000B79A8"/>
    <w:rsid w:val="000C07FA"/>
    <w:rsid w:val="000C5CBC"/>
    <w:rsid w:val="000C743C"/>
    <w:rsid w:val="000D18A1"/>
    <w:rsid w:val="000D1B7A"/>
    <w:rsid w:val="000D3E3B"/>
    <w:rsid w:val="000D48BD"/>
    <w:rsid w:val="000D5DA1"/>
    <w:rsid w:val="000D72B9"/>
    <w:rsid w:val="000E0B28"/>
    <w:rsid w:val="000E22B7"/>
    <w:rsid w:val="000E2EA3"/>
    <w:rsid w:val="000F0474"/>
    <w:rsid w:val="000F3F39"/>
    <w:rsid w:val="000F496F"/>
    <w:rsid w:val="000F4F51"/>
    <w:rsid w:val="0010393C"/>
    <w:rsid w:val="00105835"/>
    <w:rsid w:val="00111A62"/>
    <w:rsid w:val="001172A4"/>
    <w:rsid w:val="00117F6C"/>
    <w:rsid w:val="001234A6"/>
    <w:rsid w:val="001373E5"/>
    <w:rsid w:val="00144BA8"/>
    <w:rsid w:val="00147FE9"/>
    <w:rsid w:val="001531DC"/>
    <w:rsid w:val="001649F4"/>
    <w:rsid w:val="0017229B"/>
    <w:rsid w:val="00174C19"/>
    <w:rsid w:val="00176C63"/>
    <w:rsid w:val="00184CFD"/>
    <w:rsid w:val="00197BC1"/>
    <w:rsid w:val="001A6387"/>
    <w:rsid w:val="001A710C"/>
    <w:rsid w:val="001B0F07"/>
    <w:rsid w:val="001B1560"/>
    <w:rsid w:val="001C19F3"/>
    <w:rsid w:val="001C3B9E"/>
    <w:rsid w:val="001C48C6"/>
    <w:rsid w:val="001C4C8E"/>
    <w:rsid w:val="001C63FB"/>
    <w:rsid w:val="001C79BB"/>
    <w:rsid w:val="001D4CEE"/>
    <w:rsid w:val="001D5821"/>
    <w:rsid w:val="001E0C9B"/>
    <w:rsid w:val="001E20F6"/>
    <w:rsid w:val="001E6477"/>
    <w:rsid w:val="001E7455"/>
    <w:rsid w:val="001F20E1"/>
    <w:rsid w:val="001F2367"/>
    <w:rsid w:val="001F3606"/>
    <w:rsid w:val="00205A62"/>
    <w:rsid w:val="002106A7"/>
    <w:rsid w:val="0021151B"/>
    <w:rsid w:val="0021529F"/>
    <w:rsid w:val="0021730C"/>
    <w:rsid w:val="0022138C"/>
    <w:rsid w:val="00221740"/>
    <w:rsid w:val="00230A22"/>
    <w:rsid w:val="00230FFB"/>
    <w:rsid w:val="00233337"/>
    <w:rsid w:val="0023635A"/>
    <w:rsid w:val="002401F1"/>
    <w:rsid w:val="00241417"/>
    <w:rsid w:val="00243A3B"/>
    <w:rsid w:val="00247A01"/>
    <w:rsid w:val="002510C6"/>
    <w:rsid w:val="00251EEC"/>
    <w:rsid w:val="00253DBE"/>
    <w:rsid w:val="00253F35"/>
    <w:rsid w:val="00261E9C"/>
    <w:rsid w:val="002625B7"/>
    <w:rsid w:val="002661CF"/>
    <w:rsid w:val="00282100"/>
    <w:rsid w:val="00284701"/>
    <w:rsid w:val="00287D6C"/>
    <w:rsid w:val="0029501F"/>
    <w:rsid w:val="002A23A8"/>
    <w:rsid w:val="002A3CD3"/>
    <w:rsid w:val="002A460A"/>
    <w:rsid w:val="002B34F3"/>
    <w:rsid w:val="002B383C"/>
    <w:rsid w:val="002B5004"/>
    <w:rsid w:val="002B6CDF"/>
    <w:rsid w:val="002C075D"/>
    <w:rsid w:val="002C0E19"/>
    <w:rsid w:val="002C77B4"/>
    <w:rsid w:val="002D2198"/>
    <w:rsid w:val="002D2AED"/>
    <w:rsid w:val="002D342D"/>
    <w:rsid w:val="002D36E1"/>
    <w:rsid w:val="002D7173"/>
    <w:rsid w:val="002E322A"/>
    <w:rsid w:val="002E5D0A"/>
    <w:rsid w:val="002E7C6F"/>
    <w:rsid w:val="002F214D"/>
    <w:rsid w:val="002F469A"/>
    <w:rsid w:val="002F61E1"/>
    <w:rsid w:val="003022C6"/>
    <w:rsid w:val="003033AE"/>
    <w:rsid w:val="0030412F"/>
    <w:rsid w:val="0030684F"/>
    <w:rsid w:val="003218A8"/>
    <w:rsid w:val="00325058"/>
    <w:rsid w:val="00333299"/>
    <w:rsid w:val="003342EC"/>
    <w:rsid w:val="00334CFA"/>
    <w:rsid w:val="00341791"/>
    <w:rsid w:val="003458A1"/>
    <w:rsid w:val="0035246A"/>
    <w:rsid w:val="00361E6D"/>
    <w:rsid w:val="00363481"/>
    <w:rsid w:val="0036377C"/>
    <w:rsid w:val="003654DC"/>
    <w:rsid w:val="00371DA7"/>
    <w:rsid w:val="00372A87"/>
    <w:rsid w:val="003767BA"/>
    <w:rsid w:val="00380925"/>
    <w:rsid w:val="00392932"/>
    <w:rsid w:val="00394222"/>
    <w:rsid w:val="0039469B"/>
    <w:rsid w:val="003A115F"/>
    <w:rsid w:val="003A30E6"/>
    <w:rsid w:val="003A76D0"/>
    <w:rsid w:val="003B271B"/>
    <w:rsid w:val="003B3667"/>
    <w:rsid w:val="003C21AF"/>
    <w:rsid w:val="003C21B4"/>
    <w:rsid w:val="003C311A"/>
    <w:rsid w:val="003C50B9"/>
    <w:rsid w:val="003E1CE6"/>
    <w:rsid w:val="003E2693"/>
    <w:rsid w:val="003E57EF"/>
    <w:rsid w:val="003F24C4"/>
    <w:rsid w:val="003F5E62"/>
    <w:rsid w:val="00401A78"/>
    <w:rsid w:val="004113BE"/>
    <w:rsid w:val="00417338"/>
    <w:rsid w:val="004202AA"/>
    <w:rsid w:val="004227D7"/>
    <w:rsid w:val="00423371"/>
    <w:rsid w:val="00424DD8"/>
    <w:rsid w:val="00425008"/>
    <w:rsid w:val="00425A5B"/>
    <w:rsid w:val="00425D57"/>
    <w:rsid w:val="00425F8C"/>
    <w:rsid w:val="00427FA9"/>
    <w:rsid w:val="0043118A"/>
    <w:rsid w:val="00436995"/>
    <w:rsid w:val="00437476"/>
    <w:rsid w:val="004409CA"/>
    <w:rsid w:val="004416C4"/>
    <w:rsid w:val="00442060"/>
    <w:rsid w:val="00445E81"/>
    <w:rsid w:val="00447BE6"/>
    <w:rsid w:val="004538D3"/>
    <w:rsid w:val="004579AD"/>
    <w:rsid w:val="00461447"/>
    <w:rsid w:val="004650CD"/>
    <w:rsid w:val="004708E6"/>
    <w:rsid w:val="00471B75"/>
    <w:rsid w:val="004720C1"/>
    <w:rsid w:val="0047211C"/>
    <w:rsid w:val="004724F9"/>
    <w:rsid w:val="00476E29"/>
    <w:rsid w:val="00485CB8"/>
    <w:rsid w:val="00485F7C"/>
    <w:rsid w:val="004A14A8"/>
    <w:rsid w:val="004A4060"/>
    <w:rsid w:val="004B092B"/>
    <w:rsid w:val="004B6651"/>
    <w:rsid w:val="004C2914"/>
    <w:rsid w:val="004C66AE"/>
    <w:rsid w:val="004C789E"/>
    <w:rsid w:val="004C7988"/>
    <w:rsid w:val="004D13C4"/>
    <w:rsid w:val="004D30FA"/>
    <w:rsid w:val="004D34DE"/>
    <w:rsid w:val="004D68B9"/>
    <w:rsid w:val="004E09F4"/>
    <w:rsid w:val="004E6C0A"/>
    <w:rsid w:val="004F11EF"/>
    <w:rsid w:val="004F798F"/>
    <w:rsid w:val="00500200"/>
    <w:rsid w:val="005008FC"/>
    <w:rsid w:val="00502C55"/>
    <w:rsid w:val="0050303B"/>
    <w:rsid w:val="00513E21"/>
    <w:rsid w:val="00514FEF"/>
    <w:rsid w:val="00515577"/>
    <w:rsid w:val="00521171"/>
    <w:rsid w:val="0052323D"/>
    <w:rsid w:val="00525B8E"/>
    <w:rsid w:val="00544310"/>
    <w:rsid w:val="0055114E"/>
    <w:rsid w:val="00557DFE"/>
    <w:rsid w:val="005623F8"/>
    <w:rsid w:val="005628EA"/>
    <w:rsid w:val="005631AC"/>
    <w:rsid w:val="0056383C"/>
    <w:rsid w:val="00563921"/>
    <w:rsid w:val="00564C3E"/>
    <w:rsid w:val="005669DC"/>
    <w:rsid w:val="00584B48"/>
    <w:rsid w:val="0058523B"/>
    <w:rsid w:val="0059322F"/>
    <w:rsid w:val="00597A35"/>
    <w:rsid w:val="005A5D66"/>
    <w:rsid w:val="005A68F8"/>
    <w:rsid w:val="005A7F7E"/>
    <w:rsid w:val="005B125A"/>
    <w:rsid w:val="005B2555"/>
    <w:rsid w:val="005B3F42"/>
    <w:rsid w:val="005B4F7F"/>
    <w:rsid w:val="005B4FE0"/>
    <w:rsid w:val="005B5101"/>
    <w:rsid w:val="005C0B6B"/>
    <w:rsid w:val="005C401E"/>
    <w:rsid w:val="005D25E5"/>
    <w:rsid w:val="005D77B4"/>
    <w:rsid w:val="005F6B8E"/>
    <w:rsid w:val="0060155E"/>
    <w:rsid w:val="00604B1E"/>
    <w:rsid w:val="00604C7F"/>
    <w:rsid w:val="006051E8"/>
    <w:rsid w:val="006068FC"/>
    <w:rsid w:val="00611257"/>
    <w:rsid w:val="0061428D"/>
    <w:rsid w:val="006163B6"/>
    <w:rsid w:val="006166F5"/>
    <w:rsid w:val="00622935"/>
    <w:rsid w:val="00624758"/>
    <w:rsid w:val="0062617A"/>
    <w:rsid w:val="00626503"/>
    <w:rsid w:val="0063096D"/>
    <w:rsid w:val="00630FAA"/>
    <w:rsid w:val="00632BE5"/>
    <w:rsid w:val="00637ADE"/>
    <w:rsid w:val="00642102"/>
    <w:rsid w:val="00645024"/>
    <w:rsid w:val="00647A93"/>
    <w:rsid w:val="00650475"/>
    <w:rsid w:val="00652186"/>
    <w:rsid w:val="00652DEF"/>
    <w:rsid w:val="0065398E"/>
    <w:rsid w:val="006540BB"/>
    <w:rsid w:val="00657677"/>
    <w:rsid w:val="00657854"/>
    <w:rsid w:val="006604A8"/>
    <w:rsid w:val="00661F34"/>
    <w:rsid w:val="00664CE1"/>
    <w:rsid w:val="00671358"/>
    <w:rsid w:val="00676A63"/>
    <w:rsid w:val="006770F4"/>
    <w:rsid w:val="00677797"/>
    <w:rsid w:val="006833B4"/>
    <w:rsid w:val="00684F2F"/>
    <w:rsid w:val="00687F29"/>
    <w:rsid w:val="00690B64"/>
    <w:rsid w:val="00694394"/>
    <w:rsid w:val="00696D5C"/>
    <w:rsid w:val="006A22A1"/>
    <w:rsid w:val="006A3B4A"/>
    <w:rsid w:val="006A5F14"/>
    <w:rsid w:val="006B1224"/>
    <w:rsid w:val="006B1FCC"/>
    <w:rsid w:val="006B34C1"/>
    <w:rsid w:val="006B63BE"/>
    <w:rsid w:val="006C3D80"/>
    <w:rsid w:val="006C3EC0"/>
    <w:rsid w:val="006C60CC"/>
    <w:rsid w:val="006C7FA8"/>
    <w:rsid w:val="006D0F35"/>
    <w:rsid w:val="006D1917"/>
    <w:rsid w:val="006E6AF3"/>
    <w:rsid w:val="006E78E0"/>
    <w:rsid w:val="006F39B6"/>
    <w:rsid w:val="00701968"/>
    <w:rsid w:val="00704FDC"/>
    <w:rsid w:val="00707402"/>
    <w:rsid w:val="007076E7"/>
    <w:rsid w:val="00715A99"/>
    <w:rsid w:val="00715D92"/>
    <w:rsid w:val="00723D62"/>
    <w:rsid w:val="0072623F"/>
    <w:rsid w:val="00735B37"/>
    <w:rsid w:val="007429C1"/>
    <w:rsid w:val="0074605E"/>
    <w:rsid w:val="00746C5B"/>
    <w:rsid w:val="00747478"/>
    <w:rsid w:val="00754DEE"/>
    <w:rsid w:val="00756FE2"/>
    <w:rsid w:val="007613AF"/>
    <w:rsid w:val="00761D52"/>
    <w:rsid w:val="00762E6B"/>
    <w:rsid w:val="0076656D"/>
    <w:rsid w:val="007763D3"/>
    <w:rsid w:val="0077736E"/>
    <w:rsid w:val="00777B98"/>
    <w:rsid w:val="0078062F"/>
    <w:rsid w:val="00781F09"/>
    <w:rsid w:val="00785D44"/>
    <w:rsid w:val="00787012"/>
    <w:rsid w:val="00794DDE"/>
    <w:rsid w:val="007A3E19"/>
    <w:rsid w:val="007A49A8"/>
    <w:rsid w:val="007A4F0F"/>
    <w:rsid w:val="007A6546"/>
    <w:rsid w:val="007C392D"/>
    <w:rsid w:val="007D0643"/>
    <w:rsid w:val="007D52EB"/>
    <w:rsid w:val="007E1793"/>
    <w:rsid w:val="007E203E"/>
    <w:rsid w:val="007E3A44"/>
    <w:rsid w:val="007E4F5F"/>
    <w:rsid w:val="007E66DF"/>
    <w:rsid w:val="007E6DA8"/>
    <w:rsid w:val="007F5A44"/>
    <w:rsid w:val="007F693F"/>
    <w:rsid w:val="00803F70"/>
    <w:rsid w:val="00812E86"/>
    <w:rsid w:val="00815FF6"/>
    <w:rsid w:val="0082471C"/>
    <w:rsid w:val="008265B7"/>
    <w:rsid w:val="0083099F"/>
    <w:rsid w:val="008356DA"/>
    <w:rsid w:val="0083613F"/>
    <w:rsid w:val="00840449"/>
    <w:rsid w:val="00846869"/>
    <w:rsid w:val="0084702B"/>
    <w:rsid w:val="00850BA0"/>
    <w:rsid w:val="00855EA6"/>
    <w:rsid w:val="00855F49"/>
    <w:rsid w:val="008666B9"/>
    <w:rsid w:val="00866A43"/>
    <w:rsid w:val="00867ACC"/>
    <w:rsid w:val="00870334"/>
    <w:rsid w:val="00874AC2"/>
    <w:rsid w:val="008750E9"/>
    <w:rsid w:val="00882BA6"/>
    <w:rsid w:val="00882EDC"/>
    <w:rsid w:val="00887728"/>
    <w:rsid w:val="0089098D"/>
    <w:rsid w:val="008971BE"/>
    <w:rsid w:val="008B0883"/>
    <w:rsid w:val="008C3645"/>
    <w:rsid w:val="008D1BB2"/>
    <w:rsid w:val="008D594E"/>
    <w:rsid w:val="008D65A4"/>
    <w:rsid w:val="008E0067"/>
    <w:rsid w:val="008E0226"/>
    <w:rsid w:val="008E1F71"/>
    <w:rsid w:val="008E2801"/>
    <w:rsid w:val="008E48D7"/>
    <w:rsid w:val="008F021C"/>
    <w:rsid w:val="008F0B03"/>
    <w:rsid w:val="008F1E3B"/>
    <w:rsid w:val="0090529F"/>
    <w:rsid w:val="0092007C"/>
    <w:rsid w:val="009231DE"/>
    <w:rsid w:val="00923D57"/>
    <w:rsid w:val="0092463F"/>
    <w:rsid w:val="009302A1"/>
    <w:rsid w:val="00932CF3"/>
    <w:rsid w:val="00936DAF"/>
    <w:rsid w:val="0093728C"/>
    <w:rsid w:val="00942529"/>
    <w:rsid w:val="00943C78"/>
    <w:rsid w:val="009448E5"/>
    <w:rsid w:val="00944AA2"/>
    <w:rsid w:val="009569D1"/>
    <w:rsid w:val="009626AE"/>
    <w:rsid w:val="009633D6"/>
    <w:rsid w:val="00971C5F"/>
    <w:rsid w:val="009741AC"/>
    <w:rsid w:val="00977456"/>
    <w:rsid w:val="00986C98"/>
    <w:rsid w:val="00986E41"/>
    <w:rsid w:val="009910B6"/>
    <w:rsid w:val="00995EE7"/>
    <w:rsid w:val="009A4AE4"/>
    <w:rsid w:val="009A74AA"/>
    <w:rsid w:val="009B0E06"/>
    <w:rsid w:val="009B5823"/>
    <w:rsid w:val="009C0020"/>
    <w:rsid w:val="009C0CF2"/>
    <w:rsid w:val="009C2280"/>
    <w:rsid w:val="009C5CD4"/>
    <w:rsid w:val="009C5DA5"/>
    <w:rsid w:val="009C7627"/>
    <w:rsid w:val="009D006B"/>
    <w:rsid w:val="009D11AA"/>
    <w:rsid w:val="009D65B1"/>
    <w:rsid w:val="009D6CC4"/>
    <w:rsid w:val="009E259A"/>
    <w:rsid w:val="009E5458"/>
    <w:rsid w:val="009E5CD3"/>
    <w:rsid w:val="009F27B5"/>
    <w:rsid w:val="009F7948"/>
    <w:rsid w:val="00A00002"/>
    <w:rsid w:val="00A017D0"/>
    <w:rsid w:val="00A01B95"/>
    <w:rsid w:val="00A0785C"/>
    <w:rsid w:val="00A15205"/>
    <w:rsid w:val="00A2495C"/>
    <w:rsid w:val="00A25271"/>
    <w:rsid w:val="00A27F46"/>
    <w:rsid w:val="00A34DA7"/>
    <w:rsid w:val="00A37CB8"/>
    <w:rsid w:val="00A45CF1"/>
    <w:rsid w:val="00A46BF8"/>
    <w:rsid w:val="00A47BC5"/>
    <w:rsid w:val="00A60950"/>
    <w:rsid w:val="00A615E1"/>
    <w:rsid w:val="00A67673"/>
    <w:rsid w:val="00A73EE0"/>
    <w:rsid w:val="00A84B93"/>
    <w:rsid w:val="00A867B7"/>
    <w:rsid w:val="00A90DAE"/>
    <w:rsid w:val="00AA44E1"/>
    <w:rsid w:val="00AA528A"/>
    <w:rsid w:val="00AB34BD"/>
    <w:rsid w:val="00AB7C5A"/>
    <w:rsid w:val="00AD0015"/>
    <w:rsid w:val="00AD04E4"/>
    <w:rsid w:val="00AD6AE6"/>
    <w:rsid w:val="00AD7D37"/>
    <w:rsid w:val="00AF5B69"/>
    <w:rsid w:val="00B01362"/>
    <w:rsid w:val="00B06A76"/>
    <w:rsid w:val="00B06D0D"/>
    <w:rsid w:val="00B070F6"/>
    <w:rsid w:val="00B075F6"/>
    <w:rsid w:val="00B0792D"/>
    <w:rsid w:val="00B15276"/>
    <w:rsid w:val="00B223A3"/>
    <w:rsid w:val="00B24EB5"/>
    <w:rsid w:val="00B25A2C"/>
    <w:rsid w:val="00B340F4"/>
    <w:rsid w:val="00B4542D"/>
    <w:rsid w:val="00B5145A"/>
    <w:rsid w:val="00B5664F"/>
    <w:rsid w:val="00B7164D"/>
    <w:rsid w:val="00B73C6B"/>
    <w:rsid w:val="00B804AB"/>
    <w:rsid w:val="00B81F1D"/>
    <w:rsid w:val="00B83059"/>
    <w:rsid w:val="00B9167D"/>
    <w:rsid w:val="00B95125"/>
    <w:rsid w:val="00B96FD0"/>
    <w:rsid w:val="00BA0108"/>
    <w:rsid w:val="00BA0178"/>
    <w:rsid w:val="00BA18CA"/>
    <w:rsid w:val="00BB2288"/>
    <w:rsid w:val="00BB41AE"/>
    <w:rsid w:val="00BB5D6B"/>
    <w:rsid w:val="00BB7DB0"/>
    <w:rsid w:val="00BC0053"/>
    <w:rsid w:val="00BC60E0"/>
    <w:rsid w:val="00BC6EC7"/>
    <w:rsid w:val="00BD5A2D"/>
    <w:rsid w:val="00BD6EF4"/>
    <w:rsid w:val="00BE15E6"/>
    <w:rsid w:val="00C031EC"/>
    <w:rsid w:val="00C05D01"/>
    <w:rsid w:val="00C07D5F"/>
    <w:rsid w:val="00C10087"/>
    <w:rsid w:val="00C12A17"/>
    <w:rsid w:val="00C14A15"/>
    <w:rsid w:val="00C154AD"/>
    <w:rsid w:val="00C17BF7"/>
    <w:rsid w:val="00C17FFB"/>
    <w:rsid w:val="00C229E3"/>
    <w:rsid w:val="00C25E22"/>
    <w:rsid w:val="00C315C7"/>
    <w:rsid w:val="00C3309A"/>
    <w:rsid w:val="00C35C4E"/>
    <w:rsid w:val="00C36736"/>
    <w:rsid w:val="00C4258D"/>
    <w:rsid w:val="00C4479D"/>
    <w:rsid w:val="00C44CE1"/>
    <w:rsid w:val="00C550E0"/>
    <w:rsid w:val="00C55F9C"/>
    <w:rsid w:val="00C62A5F"/>
    <w:rsid w:val="00C62DB5"/>
    <w:rsid w:val="00C6377A"/>
    <w:rsid w:val="00C82819"/>
    <w:rsid w:val="00C82B74"/>
    <w:rsid w:val="00C86451"/>
    <w:rsid w:val="00C871D5"/>
    <w:rsid w:val="00C93167"/>
    <w:rsid w:val="00C933FA"/>
    <w:rsid w:val="00C96528"/>
    <w:rsid w:val="00CA1BD1"/>
    <w:rsid w:val="00CB4A22"/>
    <w:rsid w:val="00CC2B2A"/>
    <w:rsid w:val="00CD0B1C"/>
    <w:rsid w:val="00CD0BA0"/>
    <w:rsid w:val="00CE1516"/>
    <w:rsid w:val="00CE5C58"/>
    <w:rsid w:val="00CF01C3"/>
    <w:rsid w:val="00CF1B96"/>
    <w:rsid w:val="00CF4ADF"/>
    <w:rsid w:val="00D00B1D"/>
    <w:rsid w:val="00D0238E"/>
    <w:rsid w:val="00D04003"/>
    <w:rsid w:val="00D04743"/>
    <w:rsid w:val="00D10ED1"/>
    <w:rsid w:val="00D111EC"/>
    <w:rsid w:val="00D11A1F"/>
    <w:rsid w:val="00D14B35"/>
    <w:rsid w:val="00D16723"/>
    <w:rsid w:val="00D16BB1"/>
    <w:rsid w:val="00D17B0F"/>
    <w:rsid w:val="00D212FF"/>
    <w:rsid w:val="00D259EE"/>
    <w:rsid w:val="00D30545"/>
    <w:rsid w:val="00D30B31"/>
    <w:rsid w:val="00D35B56"/>
    <w:rsid w:val="00D45E05"/>
    <w:rsid w:val="00D50A59"/>
    <w:rsid w:val="00D5129A"/>
    <w:rsid w:val="00D5483C"/>
    <w:rsid w:val="00D56DA4"/>
    <w:rsid w:val="00D57FDD"/>
    <w:rsid w:val="00D61C00"/>
    <w:rsid w:val="00D624F1"/>
    <w:rsid w:val="00D636DB"/>
    <w:rsid w:val="00D705E9"/>
    <w:rsid w:val="00D72B51"/>
    <w:rsid w:val="00D73A19"/>
    <w:rsid w:val="00D7562F"/>
    <w:rsid w:val="00D778DE"/>
    <w:rsid w:val="00DA186C"/>
    <w:rsid w:val="00DA27DA"/>
    <w:rsid w:val="00DA3172"/>
    <w:rsid w:val="00DA5DBA"/>
    <w:rsid w:val="00DB1894"/>
    <w:rsid w:val="00DB3B33"/>
    <w:rsid w:val="00DC0FC2"/>
    <w:rsid w:val="00DC1DC5"/>
    <w:rsid w:val="00DC4953"/>
    <w:rsid w:val="00DC77CE"/>
    <w:rsid w:val="00DD1E4A"/>
    <w:rsid w:val="00DD3F74"/>
    <w:rsid w:val="00DE6A78"/>
    <w:rsid w:val="00DF3B77"/>
    <w:rsid w:val="00DF5226"/>
    <w:rsid w:val="00DF747F"/>
    <w:rsid w:val="00E001B7"/>
    <w:rsid w:val="00E0347B"/>
    <w:rsid w:val="00E04B71"/>
    <w:rsid w:val="00E05D78"/>
    <w:rsid w:val="00E1104B"/>
    <w:rsid w:val="00E1299D"/>
    <w:rsid w:val="00E22B3E"/>
    <w:rsid w:val="00E238F5"/>
    <w:rsid w:val="00E23F94"/>
    <w:rsid w:val="00E27549"/>
    <w:rsid w:val="00E33EF6"/>
    <w:rsid w:val="00E35097"/>
    <w:rsid w:val="00E3611C"/>
    <w:rsid w:val="00E40025"/>
    <w:rsid w:val="00E41574"/>
    <w:rsid w:val="00E441BC"/>
    <w:rsid w:val="00E50E02"/>
    <w:rsid w:val="00E60E1D"/>
    <w:rsid w:val="00E60E9C"/>
    <w:rsid w:val="00E6135C"/>
    <w:rsid w:val="00E6377E"/>
    <w:rsid w:val="00E6394E"/>
    <w:rsid w:val="00E671CD"/>
    <w:rsid w:val="00E70DCD"/>
    <w:rsid w:val="00E82CEC"/>
    <w:rsid w:val="00E84F30"/>
    <w:rsid w:val="00E87B9B"/>
    <w:rsid w:val="00E94A51"/>
    <w:rsid w:val="00EA25AD"/>
    <w:rsid w:val="00EA648E"/>
    <w:rsid w:val="00EB01E2"/>
    <w:rsid w:val="00EC36B7"/>
    <w:rsid w:val="00ED2E89"/>
    <w:rsid w:val="00EF0732"/>
    <w:rsid w:val="00EF07AF"/>
    <w:rsid w:val="00EF135B"/>
    <w:rsid w:val="00EF1B90"/>
    <w:rsid w:val="00EF2C4A"/>
    <w:rsid w:val="00F07716"/>
    <w:rsid w:val="00F13280"/>
    <w:rsid w:val="00F179D3"/>
    <w:rsid w:val="00F22C91"/>
    <w:rsid w:val="00F27468"/>
    <w:rsid w:val="00F2759B"/>
    <w:rsid w:val="00F32A19"/>
    <w:rsid w:val="00F33B11"/>
    <w:rsid w:val="00F3459B"/>
    <w:rsid w:val="00F354CE"/>
    <w:rsid w:val="00F406CC"/>
    <w:rsid w:val="00F463DB"/>
    <w:rsid w:val="00F478F7"/>
    <w:rsid w:val="00F54CE4"/>
    <w:rsid w:val="00F60B6D"/>
    <w:rsid w:val="00F7077B"/>
    <w:rsid w:val="00F727F8"/>
    <w:rsid w:val="00F76288"/>
    <w:rsid w:val="00F76BF5"/>
    <w:rsid w:val="00F828B9"/>
    <w:rsid w:val="00F85065"/>
    <w:rsid w:val="00F91386"/>
    <w:rsid w:val="00F94399"/>
    <w:rsid w:val="00F94CEB"/>
    <w:rsid w:val="00FA34BA"/>
    <w:rsid w:val="00FA43D4"/>
    <w:rsid w:val="00FA6E70"/>
    <w:rsid w:val="00FB17A1"/>
    <w:rsid w:val="00FB2A9C"/>
    <w:rsid w:val="00FB3C93"/>
    <w:rsid w:val="00FB4F34"/>
    <w:rsid w:val="00FB792A"/>
    <w:rsid w:val="00FB7E9C"/>
    <w:rsid w:val="00FB7F6F"/>
    <w:rsid w:val="00FC0A9F"/>
    <w:rsid w:val="00FC25F5"/>
    <w:rsid w:val="00FD1C5B"/>
    <w:rsid w:val="00FD47AD"/>
    <w:rsid w:val="00FD4B25"/>
    <w:rsid w:val="00FD711B"/>
    <w:rsid w:val="00FD7952"/>
    <w:rsid w:val="00FD7D36"/>
    <w:rsid w:val="00FE2239"/>
    <w:rsid w:val="00FE39F8"/>
    <w:rsid w:val="00FE4795"/>
    <w:rsid w:val="00FE4821"/>
    <w:rsid w:val="00FE7824"/>
    <w:rsid w:val="00FF009F"/>
    <w:rsid w:val="00FF79FD"/>
    <w:rsid w:val="4C3D7F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semiHidden/>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Char"/>
    <w:basedOn w:val="6"/>
    <w:link w:val="2"/>
    <w:semiHidden/>
    <w:qFormat/>
    <w:uiPriority w:val="99"/>
    <w:rPr>
      <w:rFonts w:ascii="Calibri" w:hAnsi="Calibri" w:eastAsia="宋体" w:cs="Times New Roman"/>
    </w:rPr>
  </w:style>
  <w:style w:type="character" w:customStyle="1" w:styleId="8">
    <w:name w:val="页眉 Char"/>
    <w:basedOn w:val="6"/>
    <w:link w:val="4"/>
    <w:qFormat/>
    <w:uiPriority w:val="99"/>
    <w:rPr>
      <w:rFonts w:ascii="Calibri" w:hAnsi="Calibri" w:eastAsia="宋体" w:cs="Times New Roman"/>
      <w:sz w:val="18"/>
      <w:szCs w:val="18"/>
    </w:rPr>
  </w:style>
  <w:style w:type="character" w:customStyle="1" w:styleId="9">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867</Words>
  <Characters>1042</Characters>
  <Lines>8</Lines>
  <Paragraphs>2</Paragraphs>
  <TotalTime>6</TotalTime>
  <ScaleCrop>false</ScaleCrop>
  <LinksUpToDate>false</LinksUpToDate>
  <CharactersWithSpaces>1076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2025-06-06T01:05:00Z</dcterms:created>
  <dc:creator>张亚斌</dc:creator>
  <cp:lastModifiedBy>(^ω^)静</cp:lastModifiedBy>
  <dcterms:modified xsi:type="dcterms:W3CDTF">2026-04-03T07:58:39Z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eyJoZGlkIjoiZGY4ZDQwYTRkMWY4ZjljYWQwNWJjYzE3NTRmZWI1ZTEiLCJ1c2VySWQiOiIzNDkwNzcyMzUifQ==</vt:lpwstr>
  </property>
  <property fmtid="{D5CDD505-2E9C-101B-9397-08002B2CF9AE}" pid="3" name="KSOProductBuildVer">
    <vt:lpwstr>2052-12.1.0.24034</vt:lpwstr>
  </property>
  <property fmtid="{D5CDD505-2E9C-101B-9397-08002B2CF9AE}" pid="4" name="ICV">
    <vt:lpwstr>C04609F2FDA44B0A856876CD726DBCFA_12</vt:lpwstr>
  </property>
</Properties>
</file>