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BC298">
      <w:pPr>
        <w:adjustRightInd w:val="0"/>
        <w:snapToGrid w:val="0"/>
        <w:jc w:val="center"/>
        <w:rPr>
          <w:rFonts w:hint="eastAsia" w:ascii="黑体" w:hAnsi="黑体" w:eastAsia="黑体" w:cs="黑体"/>
          <w:color w:val="000000"/>
          <w:sz w:val="24"/>
          <w:szCs w:val="24"/>
          <w:lang w:eastAsia="zh-CN"/>
        </w:rPr>
      </w:pPr>
      <w:bookmarkStart w:id="0" w:name="OLE_LINK5"/>
      <w:bookmarkStart w:id="1" w:name="OLE_LINK4"/>
      <w:r>
        <w:rPr>
          <w:rFonts w:hint="eastAsia" w:ascii="黑体" w:hAnsi="黑体" w:eastAsia="黑体" w:cs="黑体"/>
          <w:color w:val="000000"/>
          <w:sz w:val="24"/>
          <w:szCs w:val="24"/>
          <w:lang w:val="en-US" w:eastAsia="zh-CN"/>
        </w:rPr>
        <w:t>乐山市五通桥区</w:t>
      </w:r>
      <w:r>
        <w:rPr>
          <w:rFonts w:hint="eastAsia" w:ascii="黑体" w:hAnsi="黑体" w:eastAsia="黑体" w:cs="黑体"/>
          <w:color w:val="000000"/>
          <w:sz w:val="24"/>
          <w:szCs w:val="24"/>
        </w:rPr>
        <w:t>食品</w:t>
      </w:r>
      <w:r>
        <w:rPr>
          <w:rFonts w:hint="eastAsia" w:ascii="黑体" w:hAnsi="黑体" w:eastAsia="黑体" w:cs="黑体"/>
          <w:color w:val="000000"/>
          <w:sz w:val="24"/>
          <w:szCs w:val="24"/>
          <w:lang w:val="en-US" w:eastAsia="zh-CN"/>
        </w:rPr>
        <w:t>用纸</w:t>
      </w:r>
      <w:r>
        <w:rPr>
          <w:rFonts w:hint="eastAsia" w:ascii="黑体" w:hAnsi="黑体" w:eastAsia="黑体" w:cs="黑体"/>
          <w:color w:val="000000"/>
          <w:sz w:val="24"/>
          <w:szCs w:val="24"/>
        </w:rPr>
        <w:t>制品产品质量监督抽查实施细则</w:t>
      </w:r>
      <w:bookmarkEnd w:id="0"/>
      <w:r>
        <w:rPr>
          <w:rFonts w:hint="eastAsia" w:ascii="黑体" w:hAnsi="黑体" w:eastAsia="黑体" w:cs="黑体"/>
          <w:color w:val="000000"/>
          <w:sz w:val="24"/>
          <w:szCs w:val="24"/>
          <w:lang w:eastAsia="zh-CN"/>
        </w:rPr>
        <w:t>（</w:t>
      </w:r>
      <w:r>
        <w:rPr>
          <w:rFonts w:hint="eastAsia" w:ascii="黑体" w:hAnsi="黑体" w:eastAsia="黑体" w:cs="黑体"/>
          <w:color w:val="000000"/>
          <w:sz w:val="24"/>
          <w:szCs w:val="24"/>
          <w:lang w:val="en-US" w:eastAsia="zh-CN"/>
        </w:rPr>
        <w:t>2026年版</w:t>
      </w:r>
      <w:r>
        <w:rPr>
          <w:rFonts w:hint="eastAsia" w:ascii="黑体" w:hAnsi="黑体" w:eastAsia="黑体" w:cs="黑体"/>
          <w:color w:val="000000"/>
          <w:sz w:val="24"/>
          <w:szCs w:val="24"/>
          <w:lang w:eastAsia="zh-CN"/>
        </w:rPr>
        <w:t>）</w:t>
      </w:r>
    </w:p>
    <w:bookmarkEnd w:id="1"/>
    <w:p w14:paraId="6CA0BC29">
      <w:pPr>
        <w:adjustRightInd w:val="0"/>
        <w:snapToGrid w:val="0"/>
        <w:spacing w:before="312" w:beforeLines="100" w:after="312" w:afterLines="100"/>
        <w:outlineLvl w:val="1"/>
        <w:rPr>
          <w:rFonts w:hint="eastAsia" w:ascii="黑体" w:hAnsi="黑体" w:eastAsia="黑体" w:cs="黑体"/>
          <w:color w:val="000000"/>
          <w:sz w:val="24"/>
          <w:szCs w:val="24"/>
        </w:rPr>
      </w:pPr>
      <w:r>
        <w:rPr>
          <w:rFonts w:hint="eastAsia" w:ascii="黑体" w:hAnsi="黑体" w:eastAsia="黑体" w:cs="黑体"/>
          <w:color w:val="000000"/>
          <w:sz w:val="24"/>
          <w:szCs w:val="24"/>
        </w:rPr>
        <w:t>1  抽样方法</w:t>
      </w:r>
    </w:p>
    <w:p w14:paraId="24B7C11E">
      <w:pPr>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以随机抽样的方式在被抽样生产者、销售者的待销产品中抽取。</w:t>
      </w:r>
    </w:p>
    <w:p w14:paraId="20168AB7">
      <w:pPr>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随机数一般可使用随机数表等方法产生。</w:t>
      </w:r>
    </w:p>
    <w:p w14:paraId="088024F4">
      <w:pPr>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每批次产品抽样数量见表1。</w:t>
      </w:r>
    </w:p>
    <w:p w14:paraId="6E6702A8">
      <w:pPr>
        <w:snapToGrid w:val="0"/>
        <w:spacing w:before="156" w:beforeLines="50" w:after="156" w:afterLines="50"/>
        <w:ind w:firstLine="480" w:firstLineChars="200"/>
        <w:jc w:val="center"/>
        <w:rPr>
          <w:rFonts w:hint="eastAsia" w:ascii="黑体" w:hAnsi="黑体" w:eastAsia="黑体" w:cs="黑体"/>
          <w:color w:val="000000"/>
          <w:sz w:val="24"/>
          <w:szCs w:val="24"/>
        </w:rPr>
      </w:pPr>
      <w:r>
        <w:rPr>
          <w:rFonts w:hint="eastAsia" w:ascii="黑体" w:hAnsi="黑体" w:eastAsia="黑体" w:cs="黑体"/>
          <w:color w:val="000000"/>
          <w:sz w:val="24"/>
          <w:szCs w:val="24"/>
        </w:rPr>
        <w:t>表1  抽取样品数量</w:t>
      </w:r>
    </w:p>
    <w:tbl>
      <w:tblPr>
        <w:tblStyle w:val="5"/>
        <w:tblW w:w="8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905"/>
        <w:gridCol w:w="2790"/>
        <w:gridCol w:w="1500"/>
        <w:gridCol w:w="1495"/>
      </w:tblGrid>
      <w:tr w14:paraId="0B07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6" w:type="dxa"/>
            <w:tcBorders>
              <w:top w:val="single" w:color="auto" w:sz="4" w:space="0"/>
              <w:left w:val="single" w:color="auto" w:sz="4" w:space="0"/>
              <w:bottom w:val="single" w:color="auto" w:sz="4" w:space="0"/>
              <w:right w:val="single" w:color="auto" w:sz="4" w:space="0"/>
            </w:tcBorders>
            <w:noWrap w:val="0"/>
            <w:vAlign w:val="center"/>
          </w:tcPr>
          <w:p w14:paraId="3E0354FD">
            <w:pPr>
              <w:autoSpaceDE w:val="0"/>
              <w:autoSpaceDN w:val="0"/>
              <w:adjustRightInd w:val="0"/>
              <w:snapToGrid w:val="0"/>
              <w:jc w:val="center"/>
              <w:rPr>
                <w:rFonts w:ascii="黑体" w:hAnsi="黑体" w:eastAsia="黑体"/>
                <w:color w:val="000000"/>
                <w:sz w:val="24"/>
                <w:szCs w:val="24"/>
              </w:rPr>
            </w:pPr>
            <w:r>
              <w:rPr>
                <w:rFonts w:hint="eastAsia" w:ascii="黑体" w:hAnsi="黑体" w:eastAsia="黑体"/>
                <w:color w:val="000000"/>
                <w:sz w:val="24"/>
                <w:szCs w:val="24"/>
              </w:rPr>
              <w:t>序号</w:t>
            </w:r>
          </w:p>
        </w:tc>
        <w:tc>
          <w:tcPr>
            <w:tcW w:w="1905" w:type="dxa"/>
            <w:tcBorders>
              <w:top w:val="single" w:color="auto" w:sz="4" w:space="0"/>
              <w:left w:val="nil"/>
              <w:bottom w:val="single" w:color="auto" w:sz="4" w:space="0"/>
              <w:right w:val="single" w:color="auto" w:sz="4" w:space="0"/>
            </w:tcBorders>
            <w:noWrap w:val="0"/>
            <w:vAlign w:val="center"/>
          </w:tcPr>
          <w:p w14:paraId="5D4702CE">
            <w:pPr>
              <w:autoSpaceDE w:val="0"/>
              <w:autoSpaceDN w:val="0"/>
              <w:adjustRightInd w:val="0"/>
              <w:snapToGrid w:val="0"/>
              <w:jc w:val="center"/>
              <w:rPr>
                <w:rFonts w:ascii="黑体" w:hAnsi="黑体" w:eastAsia="黑体"/>
                <w:color w:val="000000"/>
                <w:sz w:val="24"/>
                <w:szCs w:val="24"/>
              </w:rPr>
            </w:pPr>
            <w:r>
              <w:rPr>
                <w:rFonts w:hint="eastAsia" w:ascii="黑体" w:hAnsi="黑体" w:eastAsia="黑体"/>
                <w:color w:val="000000"/>
                <w:sz w:val="24"/>
                <w:szCs w:val="24"/>
              </w:rPr>
              <w:t>产品名称</w:t>
            </w:r>
          </w:p>
        </w:tc>
        <w:tc>
          <w:tcPr>
            <w:tcW w:w="2790" w:type="dxa"/>
            <w:tcBorders>
              <w:top w:val="single" w:color="auto" w:sz="4" w:space="0"/>
              <w:left w:val="nil"/>
              <w:bottom w:val="single" w:color="auto" w:sz="4" w:space="0"/>
              <w:right w:val="single" w:color="auto" w:sz="4" w:space="0"/>
            </w:tcBorders>
            <w:noWrap w:val="0"/>
            <w:vAlign w:val="center"/>
          </w:tcPr>
          <w:p w14:paraId="26826A41">
            <w:pPr>
              <w:autoSpaceDE w:val="0"/>
              <w:autoSpaceDN w:val="0"/>
              <w:adjustRightInd w:val="0"/>
              <w:snapToGrid w:val="0"/>
              <w:jc w:val="center"/>
              <w:rPr>
                <w:rFonts w:ascii="黑体" w:hAnsi="黑体" w:eastAsia="黑体"/>
                <w:color w:val="000000"/>
                <w:sz w:val="24"/>
                <w:szCs w:val="24"/>
              </w:rPr>
            </w:pPr>
            <w:r>
              <w:rPr>
                <w:rFonts w:hint="eastAsia" w:ascii="黑体" w:hAnsi="黑体" w:eastAsia="黑体"/>
                <w:color w:val="000000"/>
                <w:sz w:val="24"/>
                <w:szCs w:val="24"/>
              </w:rPr>
              <w:t>每批次抽样数量（只/支）</w:t>
            </w:r>
          </w:p>
        </w:tc>
        <w:tc>
          <w:tcPr>
            <w:tcW w:w="1500" w:type="dxa"/>
            <w:tcBorders>
              <w:top w:val="single" w:color="auto" w:sz="4" w:space="0"/>
              <w:left w:val="nil"/>
              <w:bottom w:val="single" w:color="auto" w:sz="4" w:space="0"/>
              <w:right w:val="single" w:color="auto" w:sz="4" w:space="0"/>
            </w:tcBorders>
            <w:noWrap w:val="0"/>
            <w:vAlign w:val="center"/>
          </w:tcPr>
          <w:p w14:paraId="2D449242">
            <w:pPr>
              <w:snapToGrid w:val="0"/>
              <w:jc w:val="center"/>
              <w:rPr>
                <w:rFonts w:ascii="黑体" w:hAnsi="黑体" w:eastAsia="黑体"/>
                <w:color w:val="000000"/>
                <w:sz w:val="24"/>
                <w:szCs w:val="24"/>
              </w:rPr>
            </w:pPr>
            <w:r>
              <w:rPr>
                <w:rFonts w:hint="eastAsia" w:ascii="黑体" w:hAnsi="黑体" w:eastAsia="黑体"/>
                <w:color w:val="000000"/>
                <w:sz w:val="24"/>
                <w:szCs w:val="24"/>
              </w:rPr>
              <w:t>检验样品数量</w:t>
            </w:r>
          </w:p>
          <w:p w14:paraId="6B26B77E">
            <w:pPr>
              <w:snapToGrid w:val="0"/>
              <w:jc w:val="center"/>
              <w:rPr>
                <w:rFonts w:ascii="黑体" w:hAnsi="黑体" w:eastAsia="黑体"/>
                <w:color w:val="000000"/>
                <w:sz w:val="24"/>
                <w:szCs w:val="24"/>
              </w:rPr>
            </w:pPr>
            <w:r>
              <w:rPr>
                <w:rFonts w:hint="eastAsia" w:ascii="黑体" w:hAnsi="黑体" w:eastAsia="黑体"/>
                <w:color w:val="000000"/>
                <w:sz w:val="24"/>
                <w:szCs w:val="24"/>
              </w:rPr>
              <w:t>（只/支）</w:t>
            </w:r>
          </w:p>
        </w:tc>
        <w:tc>
          <w:tcPr>
            <w:tcW w:w="1495" w:type="dxa"/>
            <w:tcBorders>
              <w:top w:val="single" w:color="auto" w:sz="4" w:space="0"/>
              <w:left w:val="nil"/>
              <w:bottom w:val="single" w:color="auto" w:sz="4" w:space="0"/>
              <w:right w:val="single" w:color="auto" w:sz="4" w:space="0"/>
            </w:tcBorders>
            <w:noWrap w:val="0"/>
            <w:vAlign w:val="center"/>
          </w:tcPr>
          <w:p w14:paraId="15F665A3">
            <w:pPr>
              <w:snapToGrid w:val="0"/>
              <w:jc w:val="center"/>
              <w:rPr>
                <w:rFonts w:ascii="黑体" w:hAnsi="黑体" w:eastAsia="黑体"/>
                <w:color w:val="000000"/>
                <w:sz w:val="24"/>
                <w:szCs w:val="24"/>
              </w:rPr>
            </w:pPr>
            <w:r>
              <w:rPr>
                <w:rFonts w:hint="eastAsia" w:ascii="黑体" w:hAnsi="黑体" w:eastAsia="黑体"/>
                <w:color w:val="000000"/>
                <w:sz w:val="24"/>
                <w:szCs w:val="24"/>
              </w:rPr>
              <w:t>备用样品数量</w:t>
            </w:r>
          </w:p>
          <w:p w14:paraId="4D6D31B1">
            <w:pPr>
              <w:snapToGrid w:val="0"/>
              <w:jc w:val="center"/>
              <w:rPr>
                <w:rFonts w:ascii="黑体" w:hAnsi="黑体" w:eastAsia="黑体"/>
                <w:color w:val="000000"/>
                <w:sz w:val="24"/>
                <w:szCs w:val="24"/>
              </w:rPr>
            </w:pPr>
            <w:r>
              <w:rPr>
                <w:rFonts w:hint="eastAsia" w:ascii="黑体" w:hAnsi="黑体" w:eastAsia="黑体"/>
                <w:color w:val="000000"/>
                <w:sz w:val="24"/>
                <w:szCs w:val="24"/>
              </w:rPr>
              <w:t>（只/支）</w:t>
            </w:r>
          </w:p>
        </w:tc>
      </w:tr>
      <w:tr w14:paraId="3B084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6" w:type="dxa"/>
            <w:tcBorders>
              <w:top w:val="single" w:color="auto" w:sz="4" w:space="0"/>
              <w:left w:val="single" w:color="auto" w:sz="4" w:space="0"/>
              <w:bottom w:val="single" w:color="auto" w:sz="4" w:space="0"/>
              <w:right w:val="single" w:color="auto" w:sz="4" w:space="0"/>
            </w:tcBorders>
            <w:noWrap w:val="0"/>
            <w:vAlign w:val="center"/>
          </w:tcPr>
          <w:p w14:paraId="3EE08F0D">
            <w:pPr>
              <w:autoSpaceDE w:val="0"/>
              <w:autoSpaceDN w:val="0"/>
              <w:adjustRightInd w:val="0"/>
              <w:snapToGrid w:val="0"/>
              <w:jc w:val="center"/>
              <w:rPr>
                <w:rFonts w:ascii="宋体" w:hAnsi="宋体"/>
                <w:color w:val="000000"/>
                <w:sz w:val="24"/>
                <w:szCs w:val="24"/>
              </w:rPr>
            </w:pPr>
            <w:bookmarkStart w:id="2" w:name="OLE_LINK1" w:colFirst="2" w:colLast="4"/>
            <w:r>
              <w:rPr>
                <w:rFonts w:hint="eastAsia" w:ascii="宋体" w:hAnsi="宋体"/>
                <w:color w:val="000000"/>
                <w:sz w:val="24"/>
                <w:szCs w:val="24"/>
              </w:rPr>
              <w:t>1</w:t>
            </w:r>
          </w:p>
        </w:tc>
        <w:tc>
          <w:tcPr>
            <w:tcW w:w="1905" w:type="dxa"/>
            <w:tcBorders>
              <w:top w:val="single" w:color="auto" w:sz="4" w:space="0"/>
              <w:left w:val="nil"/>
              <w:bottom w:val="single" w:color="auto" w:sz="4" w:space="0"/>
              <w:right w:val="single" w:color="auto" w:sz="4" w:space="0"/>
            </w:tcBorders>
            <w:noWrap w:val="0"/>
            <w:vAlign w:val="center"/>
          </w:tcPr>
          <w:p w14:paraId="7278846E">
            <w:pPr>
              <w:autoSpaceDE w:val="0"/>
              <w:autoSpaceDN w:val="0"/>
              <w:adjustRightInd w:val="0"/>
              <w:snapToGrid w:val="0"/>
              <w:jc w:val="center"/>
              <w:rPr>
                <w:rFonts w:hint="eastAsia" w:ascii="宋体" w:hAnsi="宋体" w:eastAsia="宋体"/>
                <w:color w:val="000000"/>
                <w:sz w:val="24"/>
                <w:szCs w:val="24"/>
                <w:lang w:val="en-US" w:eastAsia="zh-CN"/>
              </w:rPr>
            </w:pPr>
            <w:r>
              <w:rPr>
                <w:rFonts w:hint="eastAsia" w:ascii="宋体" w:hAnsi="宋体"/>
                <w:color w:val="000000"/>
                <w:sz w:val="24"/>
                <w:szCs w:val="24"/>
                <w:lang w:val="en-US" w:eastAsia="zh-CN"/>
              </w:rPr>
              <w:t>纸杯</w:t>
            </w:r>
          </w:p>
        </w:tc>
        <w:tc>
          <w:tcPr>
            <w:tcW w:w="2790" w:type="dxa"/>
            <w:tcBorders>
              <w:top w:val="single" w:color="auto" w:sz="4" w:space="0"/>
              <w:left w:val="nil"/>
              <w:bottom w:val="single" w:color="auto" w:sz="4" w:space="0"/>
              <w:right w:val="single" w:color="auto" w:sz="4" w:space="0"/>
            </w:tcBorders>
            <w:noWrap w:val="0"/>
            <w:vAlign w:val="center"/>
          </w:tcPr>
          <w:p w14:paraId="269FCF57">
            <w:pPr>
              <w:autoSpaceDE w:val="0"/>
              <w:autoSpaceDN w:val="0"/>
              <w:adjustRightInd w:val="0"/>
              <w:snapToGrid w:val="0"/>
              <w:jc w:val="center"/>
              <w:rPr>
                <w:rFonts w:ascii="宋体" w:hAnsi="宋体"/>
                <w:color w:val="000000"/>
                <w:sz w:val="24"/>
                <w:szCs w:val="24"/>
              </w:rPr>
            </w:pPr>
            <w:r>
              <w:rPr>
                <w:rFonts w:hint="eastAsia" w:ascii="宋体" w:hAnsi="宋体"/>
                <w:color w:val="000000"/>
                <w:sz w:val="24"/>
                <w:szCs w:val="24"/>
              </w:rPr>
              <w:t>200</w:t>
            </w:r>
          </w:p>
        </w:tc>
        <w:tc>
          <w:tcPr>
            <w:tcW w:w="1500" w:type="dxa"/>
            <w:tcBorders>
              <w:top w:val="single" w:color="auto" w:sz="4" w:space="0"/>
              <w:left w:val="nil"/>
              <w:bottom w:val="single" w:color="auto" w:sz="4" w:space="0"/>
              <w:right w:val="single" w:color="auto" w:sz="4" w:space="0"/>
            </w:tcBorders>
            <w:noWrap w:val="0"/>
            <w:vAlign w:val="center"/>
          </w:tcPr>
          <w:p w14:paraId="604FA52D">
            <w:pPr>
              <w:autoSpaceDE w:val="0"/>
              <w:autoSpaceDN w:val="0"/>
              <w:adjustRightInd w:val="0"/>
              <w:snapToGrid w:val="0"/>
              <w:jc w:val="center"/>
              <w:rPr>
                <w:rFonts w:ascii="宋体" w:hAnsi="宋体"/>
                <w:color w:val="000000"/>
                <w:sz w:val="24"/>
                <w:szCs w:val="24"/>
              </w:rPr>
            </w:pPr>
            <w:r>
              <w:rPr>
                <w:rFonts w:hint="eastAsia" w:ascii="宋体" w:hAnsi="宋体"/>
                <w:color w:val="000000"/>
                <w:sz w:val="24"/>
                <w:szCs w:val="24"/>
              </w:rPr>
              <w:t>150</w:t>
            </w:r>
          </w:p>
        </w:tc>
        <w:tc>
          <w:tcPr>
            <w:tcW w:w="1495" w:type="dxa"/>
            <w:tcBorders>
              <w:top w:val="single" w:color="auto" w:sz="4" w:space="0"/>
              <w:left w:val="nil"/>
              <w:bottom w:val="single" w:color="auto" w:sz="4" w:space="0"/>
              <w:right w:val="single" w:color="auto" w:sz="4" w:space="0"/>
            </w:tcBorders>
            <w:noWrap w:val="0"/>
            <w:vAlign w:val="center"/>
          </w:tcPr>
          <w:p w14:paraId="1285AD6B">
            <w:pPr>
              <w:autoSpaceDE w:val="0"/>
              <w:autoSpaceDN w:val="0"/>
              <w:adjustRightInd w:val="0"/>
              <w:snapToGrid w:val="0"/>
              <w:jc w:val="center"/>
              <w:rPr>
                <w:rFonts w:ascii="宋体" w:hAnsi="宋体"/>
                <w:color w:val="000000"/>
                <w:sz w:val="24"/>
                <w:szCs w:val="24"/>
              </w:rPr>
            </w:pPr>
            <w:r>
              <w:rPr>
                <w:rFonts w:hint="eastAsia" w:ascii="宋体" w:hAnsi="宋体"/>
                <w:color w:val="000000"/>
                <w:sz w:val="24"/>
                <w:szCs w:val="24"/>
              </w:rPr>
              <w:t>50</w:t>
            </w:r>
          </w:p>
        </w:tc>
      </w:tr>
      <w:bookmarkEnd w:id="2"/>
      <w:tr w14:paraId="4066F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6" w:type="dxa"/>
            <w:tcBorders>
              <w:top w:val="single" w:color="auto" w:sz="4" w:space="0"/>
              <w:left w:val="single" w:color="auto" w:sz="4" w:space="0"/>
              <w:bottom w:val="single" w:color="auto" w:sz="4" w:space="0"/>
              <w:right w:val="single" w:color="auto" w:sz="4" w:space="0"/>
            </w:tcBorders>
            <w:noWrap w:val="0"/>
            <w:vAlign w:val="center"/>
          </w:tcPr>
          <w:p w14:paraId="5A6FEA97">
            <w:pPr>
              <w:autoSpaceDE w:val="0"/>
              <w:autoSpaceDN w:val="0"/>
              <w:adjustRightInd w:val="0"/>
              <w:snapToGrid w:val="0"/>
              <w:jc w:val="center"/>
              <w:rPr>
                <w:rFonts w:ascii="宋体" w:hAnsi="宋体"/>
                <w:color w:val="000000"/>
                <w:sz w:val="24"/>
                <w:szCs w:val="24"/>
              </w:rPr>
            </w:pPr>
            <w:r>
              <w:rPr>
                <w:rFonts w:hint="eastAsia" w:ascii="宋体" w:hAnsi="宋体"/>
                <w:color w:val="000000"/>
                <w:sz w:val="24"/>
                <w:szCs w:val="24"/>
              </w:rPr>
              <w:t>2</w:t>
            </w:r>
          </w:p>
        </w:tc>
        <w:tc>
          <w:tcPr>
            <w:tcW w:w="1905" w:type="dxa"/>
            <w:tcBorders>
              <w:top w:val="single" w:color="auto" w:sz="4" w:space="0"/>
              <w:left w:val="nil"/>
              <w:bottom w:val="single" w:color="auto" w:sz="4" w:space="0"/>
              <w:right w:val="single" w:color="auto" w:sz="4" w:space="0"/>
            </w:tcBorders>
            <w:noWrap w:val="0"/>
            <w:vAlign w:val="center"/>
          </w:tcPr>
          <w:p w14:paraId="15BC908D">
            <w:pPr>
              <w:adjustRightInd w:val="0"/>
              <w:snapToGrid w:val="0"/>
              <w:jc w:val="center"/>
              <w:rPr>
                <w:rFonts w:hint="eastAsia" w:ascii="宋体" w:hAnsi="宋体" w:eastAsia="宋体"/>
                <w:color w:val="000000"/>
                <w:sz w:val="24"/>
                <w:szCs w:val="24"/>
                <w:lang w:val="en-US" w:eastAsia="zh-CN"/>
              </w:rPr>
            </w:pPr>
            <w:r>
              <w:rPr>
                <w:rFonts w:hint="eastAsia" w:ascii="宋体" w:hAnsi="宋体"/>
                <w:color w:val="000000"/>
                <w:sz w:val="24"/>
                <w:szCs w:val="24"/>
                <w:lang w:val="en-US" w:eastAsia="zh-CN"/>
              </w:rPr>
              <w:t>纸碗</w:t>
            </w:r>
          </w:p>
        </w:tc>
        <w:tc>
          <w:tcPr>
            <w:tcW w:w="2790" w:type="dxa"/>
            <w:tcBorders>
              <w:top w:val="single" w:color="auto" w:sz="4" w:space="0"/>
              <w:left w:val="nil"/>
              <w:bottom w:val="single" w:color="auto" w:sz="4" w:space="0"/>
              <w:right w:val="single" w:color="auto" w:sz="4" w:space="0"/>
            </w:tcBorders>
            <w:noWrap w:val="0"/>
            <w:vAlign w:val="center"/>
          </w:tcPr>
          <w:p w14:paraId="6813002A">
            <w:pPr>
              <w:autoSpaceDE w:val="0"/>
              <w:autoSpaceDN w:val="0"/>
              <w:adjustRightInd w:val="0"/>
              <w:snapToGrid w:val="0"/>
              <w:jc w:val="center"/>
              <w:rPr>
                <w:rFonts w:ascii="宋体" w:hAnsi="宋体"/>
                <w:color w:val="000000"/>
                <w:sz w:val="24"/>
                <w:szCs w:val="24"/>
              </w:rPr>
            </w:pPr>
            <w:r>
              <w:rPr>
                <w:rFonts w:hint="eastAsia" w:ascii="宋体" w:hAnsi="宋体"/>
                <w:color w:val="000000"/>
                <w:sz w:val="24"/>
                <w:szCs w:val="24"/>
              </w:rPr>
              <w:t>200</w:t>
            </w:r>
          </w:p>
        </w:tc>
        <w:tc>
          <w:tcPr>
            <w:tcW w:w="1500" w:type="dxa"/>
            <w:tcBorders>
              <w:top w:val="single" w:color="auto" w:sz="4" w:space="0"/>
              <w:left w:val="nil"/>
              <w:bottom w:val="single" w:color="auto" w:sz="4" w:space="0"/>
              <w:right w:val="single" w:color="auto" w:sz="4" w:space="0"/>
            </w:tcBorders>
            <w:noWrap w:val="0"/>
            <w:vAlign w:val="center"/>
          </w:tcPr>
          <w:p w14:paraId="5698536D">
            <w:pPr>
              <w:autoSpaceDE w:val="0"/>
              <w:autoSpaceDN w:val="0"/>
              <w:adjustRightInd w:val="0"/>
              <w:snapToGrid w:val="0"/>
              <w:jc w:val="center"/>
              <w:rPr>
                <w:rFonts w:ascii="宋体" w:hAnsi="宋体"/>
                <w:color w:val="000000"/>
                <w:sz w:val="24"/>
                <w:szCs w:val="24"/>
              </w:rPr>
            </w:pPr>
            <w:r>
              <w:rPr>
                <w:rFonts w:hint="eastAsia" w:ascii="宋体" w:hAnsi="宋体"/>
                <w:color w:val="000000"/>
                <w:sz w:val="24"/>
                <w:szCs w:val="24"/>
              </w:rPr>
              <w:t>150</w:t>
            </w:r>
          </w:p>
        </w:tc>
        <w:tc>
          <w:tcPr>
            <w:tcW w:w="1495" w:type="dxa"/>
            <w:tcBorders>
              <w:top w:val="single" w:color="auto" w:sz="4" w:space="0"/>
              <w:left w:val="nil"/>
              <w:bottom w:val="single" w:color="auto" w:sz="4" w:space="0"/>
              <w:right w:val="single" w:color="auto" w:sz="4" w:space="0"/>
            </w:tcBorders>
            <w:noWrap w:val="0"/>
            <w:vAlign w:val="center"/>
          </w:tcPr>
          <w:p w14:paraId="01B8DCFA">
            <w:pPr>
              <w:autoSpaceDE w:val="0"/>
              <w:autoSpaceDN w:val="0"/>
              <w:adjustRightInd w:val="0"/>
              <w:snapToGrid w:val="0"/>
              <w:jc w:val="center"/>
              <w:rPr>
                <w:rFonts w:ascii="宋体" w:hAnsi="宋体"/>
                <w:color w:val="000000"/>
                <w:sz w:val="24"/>
                <w:szCs w:val="24"/>
              </w:rPr>
            </w:pPr>
            <w:r>
              <w:rPr>
                <w:rFonts w:hint="eastAsia" w:ascii="宋体" w:hAnsi="宋体"/>
                <w:color w:val="000000"/>
                <w:sz w:val="24"/>
                <w:szCs w:val="24"/>
              </w:rPr>
              <w:t>50</w:t>
            </w:r>
          </w:p>
        </w:tc>
      </w:tr>
    </w:tbl>
    <w:p w14:paraId="5525929E">
      <w:pPr>
        <w:snapToGrid w:val="0"/>
        <w:spacing w:before="312" w:beforeLines="100" w:after="312" w:afterLines="100"/>
        <w:rPr>
          <w:rFonts w:hint="eastAsia" w:ascii="黑体" w:hAnsi="黑体" w:eastAsia="黑体" w:cs="黑体"/>
          <w:color w:val="000000"/>
          <w:sz w:val="24"/>
          <w:szCs w:val="24"/>
        </w:rPr>
      </w:pPr>
      <w:r>
        <w:rPr>
          <w:rFonts w:hint="eastAsia" w:ascii="黑体" w:hAnsi="黑体" w:eastAsia="黑体" w:cs="黑体"/>
          <w:color w:val="000000"/>
          <w:sz w:val="24"/>
          <w:szCs w:val="24"/>
        </w:rPr>
        <w:t>2  检验依据</w:t>
      </w:r>
    </w:p>
    <w:p w14:paraId="5D394EB5">
      <w:pPr>
        <w:keepNext w:val="0"/>
        <w:keepLines w:val="0"/>
        <w:pageBreakBefore w:val="0"/>
        <w:widowControl w:val="0"/>
        <w:kinsoku/>
        <w:wordWrap/>
        <w:overflowPunct/>
        <w:topLinePunct w:val="0"/>
        <w:autoSpaceDE/>
        <w:autoSpaceDN/>
        <w:bidi w:val="0"/>
        <w:adjustRightInd/>
        <w:snapToGrid/>
        <w:jc w:val="center"/>
        <w:textAlignment w:val="auto"/>
        <w:rPr>
          <w:rFonts w:hint="default" w:ascii="黑体" w:hAnsi="黑体" w:eastAsia="黑体" w:cs="黑体"/>
          <w:b/>
          <w:bCs/>
          <w:color w:val="000000"/>
          <w:sz w:val="24"/>
          <w:szCs w:val="24"/>
          <w:lang w:val="en-US" w:eastAsia="zh-CN"/>
        </w:rPr>
      </w:pPr>
      <w:r>
        <w:rPr>
          <w:rFonts w:hint="eastAsia" w:ascii="黑体" w:hAnsi="黑体" w:eastAsia="黑体" w:cs="黑体"/>
          <w:color w:val="000000"/>
          <w:sz w:val="24"/>
          <w:szCs w:val="24"/>
        </w:rPr>
        <w:t xml:space="preserve">表2  </w:t>
      </w:r>
      <w:r>
        <w:rPr>
          <w:rFonts w:hint="eastAsia" w:ascii="黑体" w:hAnsi="黑体" w:eastAsia="黑体" w:cs="黑体"/>
          <w:color w:val="000000"/>
          <w:sz w:val="24"/>
          <w:szCs w:val="24"/>
          <w:lang w:val="en-US" w:eastAsia="zh-CN"/>
        </w:rPr>
        <w:t>纸杯检验项目</w:t>
      </w:r>
    </w:p>
    <w:tbl>
      <w:tblPr>
        <w:tblStyle w:val="5"/>
        <w:tblW w:w="44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3620"/>
        <w:gridCol w:w="3304"/>
      </w:tblGrid>
      <w:tr w14:paraId="73183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98" w:type="pct"/>
            <w:noWrap w:val="0"/>
            <w:vAlign w:val="center"/>
          </w:tcPr>
          <w:p w14:paraId="4DDD7E1A">
            <w:pPr>
              <w:adjustRightInd w:val="0"/>
              <w:snapToGrid w:val="0"/>
              <w:jc w:val="center"/>
              <w:rPr>
                <w:rFonts w:hint="eastAsia" w:ascii="黑体" w:hAnsi="黑体" w:eastAsia="黑体" w:cs="黑体"/>
                <w:color w:val="000000"/>
                <w:sz w:val="24"/>
                <w:szCs w:val="24"/>
              </w:rPr>
            </w:pPr>
            <w:bookmarkStart w:id="3" w:name="OLE_LINK2"/>
            <w:r>
              <w:rPr>
                <w:rFonts w:hint="eastAsia" w:ascii="黑体" w:hAnsi="黑体" w:eastAsia="黑体" w:cs="黑体"/>
                <w:color w:val="000000"/>
                <w:sz w:val="24"/>
                <w:szCs w:val="24"/>
              </w:rPr>
              <w:t>序号</w:t>
            </w:r>
          </w:p>
        </w:tc>
        <w:tc>
          <w:tcPr>
            <w:tcW w:w="2406" w:type="pct"/>
            <w:noWrap w:val="0"/>
            <w:vAlign w:val="center"/>
          </w:tcPr>
          <w:p w14:paraId="1699FFF0">
            <w:pPr>
              <w:adjustRightInd w:val="0"/>
              <w:snapToGrid w:val="0"/>
              <w:jc w:val="center"/>
              <w:rPr>
                <w:rFonts w:hint="eastAsia" w:ascii="黑体" w:hAnsi="黑体" w:eastAsia="黑体" w:cs="黑体"/>
                <w:color w:val="000000"/>
                <w:sz w:val="24"/>
                <w:szCs w:val="24"/>
              </w:rPr>
            </w:pPr>
            <w:r>
              <w:rPr>
                <w:rFonts w:hint="eastAsia" w:ascii="黑体" w:hAnsi="黑体" w:eastAsia="黑体" w:cs="黑体"/>
                <w:color w:val="000000"/>
                <w:sz w:val="24"/>
                <w:szCs w:val="24"/>
              </w:rPr>
              <w:t>检验项目</w:t>
            </w:r>
          </w:p>
        </w:tc>
        <w:tc>
          <w:tcPr>
            <w:tcW w:w="2195" w:type="pct"/>
            <w:noWrap w:val="0"/>
            <w:vAlign w:val="center"/>
          </w:tcPr>
          <w:p w14:paraId="75C74705">
            <w:pPr>
              <w:adjustRightInd w:val="0"/>
              <w:snapToGrid w:val="0"/>
              <w:jc w:val="center"/>
              <w:rPr>
                <w:rFonts w:hint="eastAsia" w:ascii="黑体" w:hAnsi="黑体" w:eastAsia="黑体" w:cs="黑体"/>
                <w:color w:val="000000"/>
                <w:sz w:val="24"/>
                <w:szCs w:val="24"/>
              </w:rPr>
            </w:pPr>
            <w:r>
              <w:rPr>
                <w:rFonts w:hint="eastAsia" w:ascii="黑体" w:hAnsi="黑体" w:eastAsia="黑体" w:cs="黑体"/>
                <w:color w:val="000000"/>
                <w:sz w:val="24"/>
                <w:szCs w:val="24"/>
              </w:rPr>
              <w:t>检验方法</w:t>
            </w:r>
          </w:p>
        </w:tc>
      </w:tr>
      <w:tr w14:paraId="0D3AA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8" w:type="pct"/>
            <w:noWrap w:val="0"/>
            <w:vAlign w:val="center"/>
          </w:tcPr>
          <w:p w14:paraId="5E3341E6">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2406" w:type="pct"/>
            <w:noWrap w:val="0"/>
            <w:vAlign w:val="center"/>
          </w:tcPr>
          <w:p w14:paraId="2C2B6457">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感官要求</w:t>
            </w:r>
          </w:p>
        </w:tc>
        <w:tc>
          <w:tcPr>
            <w:tcW w:w="2195" w:type="pct"/>
            <w:noWrap w:val="0"/>
            <w:vAlign w:val="center"/>
          </w:tcPr>
          <w:p w14:paraId="4EA2E215">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GB 4806.8—2022</w:t>
            </w:r>
          </w:p>
        </w:tc>
      </w:tr>
      <w:tr w14:paraId="5563E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8" w:type="pct"/>
            <w:noWrap w:val="0"/>
            <w:vAlign w:val="center"/>
          </w:tcPr>
          <w:p w14:paraId="11F6EE09">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2406" w:type="pct"/>
            <w:noWrap w:val="0"/>
            <w:vAlign w:val="center"/>
          </w:tcPr>
          <w:p w14:paraId="7B933F1F">
            <w:pPr>
              <w:adjustRightInd w:val="0"/>
              <w:snapToGrid w:val="0"/>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荧光性物质</w:t>
            </w:r>
          </w:p>
        </w:tc>
        <w:tc>
          <w:tcPr>
            <w:tcW w:w="2195" w:type="pct"/>
            <w:noWrap w:val="0"/>
            <w:vAlign w:val="center"/>
          </w:tcPr>
          <w:p w14:paraId="44564081">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GB 31604.8—2021</w:t>
            </w:r>
          </w:p>
        </w:tc>
      </w:tr>
      <w:tr w14:paraId="1AD8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8" w:type="pct"/>
            <w:noWrap w:val="0"/>
            <w:vAlign w:val="center"/>
          </w:tcPr>
          <w:p w14:paraId="7B7F529B">
            <w:pPr>
              <w:adjustRightInd w:val="0"/>
              <w:snapToGrid w:val="0"/>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w:t>
            </w:r>
          </w:p>
        </w:tc>
        <w:tc>
          <w:tcPr>
            <w:tcW w:w="2406" w:type="pct"/>
            <w:noWrap w:val="0"/>
            <w:vAlign w:val="center"/>
          </w:tcPr>
          <w:p w14:paraId="6E4E399A">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渗漏性能</w:t>
            </w:r>
          </w:p>
        </w:tc>
        <w:tc>
          <w:tcPr>
            <w:tcW w:w="2195" w:type="pct"/>
            <w:noWrap w:val="0"/>
            <w:vAlign w:val="center"/>
          </w:tcPr>
          <w:p w14:paraId="534C0711">
            <w:pPr>
              <w:adjustRightInd w:val="0"/>
              <w:snapToGrid w:val="0"/>
              <w:jc w:val="center"/>
              <w:rPr>
                <w:rFonts w:hint="default" w:ascii="宋体" w:hAnsi="宋体" w:eastAsia="宋体" w:cs="宋体"/>
                <w:color w:val="000000"/>
                <w:sz w:val="24"/>
                <w:szCs w:val="24"/>
                <w:lang w:val="en-US"/>
              </w:rPr>
            </w:pPr>
            <w:r>
              <w:rPr>
                <w:rFonts w:hint="eastAsia" w:ascii="宋体" w:hAnsi="宋体" w:eastAsia="宋体" w:cs="宋体"/>
                <w:color w:val="000000"/>
                <w:sz w:val="24"/>
                <w:szCs w:val="24"/>
              </w:rPr>
              <w:t>GB/T 27590—20</w:t>
            </w:r>
            <w:r>
              <w:rPr>
                <w:rFonts w:hint="eastAsia" w:ascii="宋体" w:hAnsi="宋体" w:eastAsia="宋体" w:cs="宋体"/>
                <w:color w:val="000000"/>
                <w:sz w:val="24"/>
                <w:szCs w:val="24"/>
                <w:lang w:val="en-US" w:eastAsia="zh-CN"/>
              </w:rPr>
              <w:t>22、GB/T 27591-2011</w:t>
            </w:r>
          </w:p>
        </w:tc>
      </w:tr>
      <w:tr w14:paraId="63C6E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8" w:type="pct"/>
            <w:noWrap w:val="0"/>
            <w:vAlign w:val="center"/>
          </w:tcPr>
          <w:p w14:paraId="6BD480FB">
            <w:pPr>
              <w:adjustRightInd w:val="0"/>
              <w:snapToGrid w:val="0"/>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w:t>
            </w:r>
          </w:p>
        </w:tc>
        <w:tc>
          <w:tcPr>
            <w:tcW w:w="2406" w:type="pct"/>
            <w:noWrap w:val="0"/>
            <w:vAlign w:val="center"/>
          </w:tcPr>
          <w:p w14:paraId="7908BCE2">
            <w:pPr>
              <w:adjustRightInd w:val="0"/>
              <w:snapToGrid w:val="0"/>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杯身挺度</w:t>
            </w:r>
            <w:r>
              <w:rPr>
                <w:rFonts w:hint="eastAsia" w:ascii="宋体" w:hAnsi="宋体" w:eastAsia="宋体" w:cs="宋体"/>
                <w:color w:val="000000"/>
                <w:sz w:val="24"/>
                <w:szCs w:val="24"/>
                <w:vertAlign w:val="superscript"/>
                <w:lang w:val="en-US" w:eastAsia="zh-CN"/>
              </w:rPr>
              <w:t>a</w:t>
            </w:r>
          </w:p>
        </w:tc>
        <w:tc>
          <w:tcPr>
            <w:tcW w:w="2195" w:type="pct"/>
            <w:noWrap w:val="0"/>
            <w:vAlign w:val="center"/>
          </w:tcPr>
          <w:p w14:paraId="7E5161FE">
            <w:pPr>
              <w:adjustRightInd w:val="0"/>
              <w:snapToGrid w:val="0"/>
              <w:jc w:val="center"/>
              <w:rPr>
                <w:rFonts w:hint="default" w:ascii="宋体" w:hAnsi="宋体" w:eastAsia="宋体" w:cs="宋体"/>
                <w:color w:val="000000"/>
                <w:sz w:val="24"/>
                <w:szCs w:val="24"/>
                <w:lang w:val="en-US" w:eastAsia="zh-CN"/>
              </w:rPr>
            </w:pPr>
            <w:bookmarkStart w:id="4" w:name="OLE_LINK3"/>
            <w:r>
              <w:rPr>
                <w:rFonts w:hint="eastAsia" w:ascii="宋体" w:hAnsi="宋体" w:eastAsia="宋体" w:cs="宋体"/>
                <w:color w:val="000000"/>
                <w:sz w:val="24"/>
                <w:szCs w:val="24"/>
              </w:rPr>
              <w:t>GB/T 27590—20</w:t>
            </w:r>
            <w:r>
              <w:rPr>
                <w:rFonts w:hint="eastAsia" w:ascii="宋体" w:hAnsi="宋体" w:eastAsia="宋体" w:cs="宋体"/>
                <w:color w:val="000000"/>
                <w:sz w:val="24"/>
                <w:szCs w:val="24"/>
                <w:lang w:val="en-US" w:eastAsia="zh-CN"/>
              </w:rPr>
              <w:t>22</w:t>
            </w:r>
            <w:bookmarkEnd w:id="4"/>
          </w:p>
        </w:tc>
      </w:tr>
      <w:tr w14:paraId="4C8CB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noWrap w:val="0"/>
            <w:vAlign w:val="top"/>
          </w:tcPr>
          <w:p w14:paraId="0E704DCD">
            <w:pPr>
              <w:adjustRightInd w:val="0"/>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注：</w:t>
            </w:r>
          </w:p>
        </w:tc>
      </w:tr>
      <w:bookmarkEnd w:id="3"/>
    </w:tbl>
    <w:p w14:paraId="0443AD13">
      <w:pPr>
        <w:keepNext w:val="0"/>
        <w:keepLines w:val="0"/>
        <w:pageBreakBefore w:val="0"/>
        <w:widowControl w:val="0"/>
        <w:kinsoku/>
        <w:wordWrap/>
        <w:overflowPunct/>
        <w:topLinePunct w:val="0"/>
        <w:autoSpaceDE/>
        <w:autoSpaceDN/>
        <w:bidi w:val="0"/>
        <w:adjustRightInd/>
        <w:snapToGrid/>
        <w:jc w:val="center"/>
        <w:textAlignment w:val="auto"/>
        <w:rPr>
          <w:rFonts w:hint="default" w:ascii="黑体" w:hAnsi="黑体" w:eastAsia="黑体" w:cs="黑体"/>
          <w:b/>
          <w:bCs/>
          <w:color w:val="000000"/>
          <w:sz w:val="24"/>
          <w:szCs w:val="24"/>
          <w:lang w:val="en-US" w:eastAsia="zh-CN"/>
        </w:rPr>
      </w:pPr>
      <w:r>
        <w:rPr>
          <w:rFonts w:hint="eastAsia" w:ascii="黑体" w:hAnsi="黑体" w:eastAsia="黑体" w:cs="黑体"/>
          <w:color w:val="000000"/>
          <w:sz w:val="24"/>
          <w:szCs w:val="24"/>
        </w:rPr>
        <w:t>表</w:t>
      </w:r>
      <w:r>
        <w:rPr>
          <w:rFonts w:hint="eastAsia" w:ascii="黑体" w:hAnsi="黑体" w:eastAsia="黑体" w:cs="黑体"/>
          <w:color w:val="000000"/>
          <w:sz w:val="24"/>
          <w:szCs w:val="24"/>
          <w:lang w:val="en-US" w:eastAsia="zh-CN"/>
        </w:rPr>
        <w:t>3</w:t>
      </w:r>
      <w:r>
        <w:rPr>
          <w:rFonts w:hint="eastAsia" w:ascii="黑体" w:hAnsi="黑体" w:eastAsia="黑体" w:cs="黑体"/>
          <w:color w:val="000000"/>
          <w:sz w:val="24"/>
          <w:szCs w:val="24"/>
        </w:rPr>
        <w:t xml:space="preserve"> </w:t>
      </w:r>
      <w:r>
        <w:rPr>
          <w:rFonts w:hint="eastAsia" w:ascii="黑体" w:hAnsi="黑体" w:eastAsia="黑体" w:cs="黑体"/>
          <w:color w:val="000000"/>
          <w:sz w:val="24"/>
          <w:szCs w:val="24"/>
          <w:lang w:val="en-US" w:eastAsia="zh-CN"/>
        </w:rPr>
        <w:t>纸碗检验项目</w:t>
      </w:r>
    </w:p>
    <w:tbl>
      <w:tblPr>
        <w:tblStyle w:val="5"/>
        <w:tblW w:w="44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3620"/>
        <w:gridCol w:w="3303"/>
      </w:tblGrid>
      <w:tr w14:paraId="62B12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99" w:type="pct"/>
            <w:noWrap w:val="0"/>
            <w:vAlign w:val="center"/>
          </w:tcPr>
          <w:p w14:paraId="4E9A0FA1">
            <w:pPr>
              <w:adjustRightInd w:val="0"/>
              <w:snapToGrid w:val="0"/>
              <w:jc w:val="center"/>
              <w:rPr>
                <w:rFonts w:hint="eastAsia" w:ascii="黑体" w:hAnsi="黑体" w:eastAsia="黑体" w:cs="黑体"/>
                <w:color w:val="000000"/>
                <w:sz w:val="24"/>
                <w:szCs w:val="24"/>
              </w:rPr>
            </w:pPr>
            <w:r>
              <w:rPr>
                <w:rFonts w:hint="eastAsia" w:ascii="黑体" w:hAnsi="黑体" w:eastAsia="黑体" w:cs="黑体"/>
                <w:color w:val="000000"/>
                <w:sz w:val="24"/>
                <w:szCs w:val="24"/>
              </w:rPr>
              <w:t>序号</w:t>
            </w:r>
          </w:p>
        </w:tc>
        <w:tc>
          <w:tcPr>
            <w:tcW w:w="2406" w:type="pct"/>
            <w:noWrap w:val="0"/>
            <w:vAlign w:val="center"/>
          </w:tcPr>
          <w:p w14:paraId="7EF8D8DF">
            <w:pPr>
              <w:adjustRightInd w:val="0"/>
              <w:snapToGrid w:val="0"/>
              <w:jc w:val="center"/>
              <w:rPr>
                <w:rFonts w:hint="eastAsia" w:ascii="黑体" w:hAnsi="黑体" w:eastAsia="黑体" w:cs="黑体"/>
                <w:color w:val="000000"/>
                <w:sz w:val="24"/>
                <w:szCs w:val="24"/>
              </w:rPr>
            </w:pPr>
            <w:r>
              <w:rPr>
                <w:rFonts w:hint="eastAsia" w:ascii="黑体" w:hAnsi="黑体" w:eastAsia="黑体" w:cs="黑体"/>
                <w:color w:val="000000"/>
                <w:sz w:val="24"/>
                <w:szCs w:val="24"/>
              </w:rPr>
              <w:t>检验项目</w:t>
            </w:r>
          </w:p>
        </w:tc>
        <w:tc>
          <w:tcPr>
            <w:tcW w:w="2194" w:type="pct"/>
            <w:noWrap w:val="0"/>
            <w:vAlign w:val="center"/>
          </w:tcPr>
          <w:p w14:paraId="5E16B001">
            <w:pPr>
              <w:adjustRightInd w:val="0"/>
              <w:snapToGrid w:val="0"/>
              <w:jc w:val="center"/>
              <w:rPr>
                <w:rFonts w:hint="eastAsia" w:ascii="黑体" w:hAnsi="黑体" w:eastAsia="黑体" w:cs="黑体"/>
                <w:color w:val="000000"/>
                <w:sz w:val="24"/>
                <w:szCs w:val="24"/>
              </w:rPr>
            </w:pPr>
            <w:r>
              <w:rPr>
                <w:rFonts w:hint="eastAsia" w:ascii="黑体" w:hAnsi="黑体" w:eastAsia="黑体" w:cs="黑体"/>
                <w:color w:val="000000"/>
                <w:sz w:val="24"/>
                <w:szCs w:val="24"/>
              </w:rPr>
              <w:t>检验方法</w:t>
            </w:r>
          </w:p>
        </w:tc>
      </w:tr>
      <w:tr w14:paraId="548C5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1" w:type="dxa"/>
            <w:noWrap w:val="0"/>
            <w:vAlign w:val="center"/>
          </w:tcPr>
          <w:p w14:paraId="16E29FDF">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4051" w:type="dxa"/>
            <w:noWrap w:val="0"/>
            <w:vAlign w:val="center"/>
          </w:tcPr>
          <w:p w14:paraId="3EB34CB4">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感官要求</w:t>
            </w:r>
          </w:p>
        </w:tc>
        <w:tc>
          <w:tcPr>
            <w:tcW w:w="3696" w:type="dxa"/>
            <w:noWrap w:val="0"/>
            <w:vAlign w:val="center"/>
          </w:tcPr>
          <w:p w14:paraId="12E88EF0">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GB 4806.8—2022</w:t>
            </w:r>
          </w:p>
        </w:tc>
      </w:tr>
      <w:tr w14:paraId="643D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1" w:type="dxa"/>
            <w:noWrap w:val="0"/>
            <w:vAlign w:val="center"/>
          </w:tcPr>
          <w:p w14:paraId="2571CB6B">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4051" w:type="dxa"/>
            <w:noWrap w:val="0"/>
            <w:vAlign w:val="center"/>
          </w:tcPr>
          <w:p w14:paraId="1C01022C">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荧光性物质</w:t>
            </w:r>
          </w:p>
        </w:tc>
        <w:tc>
          <w:tcPr>
            <w:tcW w:w="3696" w:type="dxa"/>
            <w:noWrap w:val="0"/>
            <w:vAlign w:val="center"/>
          </w:tcPr>
          <w:p w14:paraId="159C8B15">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GB 31604.8—2021</w:t>
            </w:r>
          </w:p>
        </w:tc>
      </w:tr>
      <w:tr w14:paraId="3B71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1" w:type="dxa"/>
            <w:noWrap w:val="0"/>
            <w:vAlign w:val="center"/>
          </w:tcPr>
          <w:p w14:paraId="1DA4A3A0">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p>
        </w:tc>
        <w:tc>
          <w:tcPr>
            <w:tcW w:w="4051" w:type="dxa"/>
            <w:noWrap w:val="0"/>
            <w:vAlign w:val="center"/>
          </w:tcPr>
          <w:p w14:paraId="05396B33">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渗漏性能</w:t>
            </w:r>
          </w:p>
        </w:tc>
        <w:tc>
          <w:tcPr>
            <w:tcW w:w="3696" w:type="dxa"/>
            <w:noWrap w:val="0"/>
            <w:vAlign w:val="center"/>
          </w:tcPr>
          <w:p w14:paraId="0F71FBD5">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GB/T 27590—20</w:t>
            </w:r>
            <w:r>
              <w:rPr>
                <w:rFonts w:hint="eastAsia" w:ascii="宋体" w:hAnsi="宋体" w:eastAsia="宋体" w:cs="宋体"/>
                <w:color w:val="000000"/>
                <w:sz w:val="24"/>
                <w:szCs w:val="24"/>
                <w:lang w:val="en-US" w:eastAsia="zh-CN"/>
              </w:rPr>
              <w:t>22、GB/T 27591-2011</w:t>
            </w:r>
          </w:p>
        </w:tc>
      </w:tr>
      <w:tr w14:paraId="163C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1" w:type="dxa"/>
            <w:noWrap w:val="0"/>
            <w:vAlign w:val="center"/>
          </w:tcPr>
          <w:p w14:paraId="54CB1630">
            <w:pPr>
              <w:adjustRightInd w:val="0"/>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4</w:t>
            </w:r>
          </w:p>
        </w:tc>
        <w:tc>
          <w:tcPr>
            <w:tcW w:w="4051" w:type="dxa"/>
            <w:noWrap w:val="0"/>
            <w:vAlign w:val="center"/>
          </w:tcPr>
          <w:p w14:paraId="624A3F4F">
            <w:pPr>
              <w:adjustRightInd w:val="0"/>
              <w:snapToGrid w:val="0"/>
              <w:jc w:val="center"/>
              <w:rPr>
                <w:rFonts w:hint="eastAsia" w:ascii="宋体" w:hAnsi="宋体" w:eastAsia="宋体" w:cs="宋体"/>
                <w:color w:val="000000"/>
                <w:sz w:val="24"/>
                <w:szCs w:val="24"/>
                <w:lang w:eastAsia="zh-CN"/>
              </w:rPr>
            </w:pPr>
            <w:r>
              <w:rPr>
                <w:rFonts w:hint="eastAsia" w:ascii="宋体" w:hAnsi="宋体" w:cs="宋体"/>
                <w:color w:val="000000"/>
                <w:sz w:val="24"/>
                <w:szCs w:val="24"/>
                <w:lang w:val="en-US" w:eastAsia="zh-CN"/>
              </w:rPr>
              <w:t>抗压性能</w:t>
            </w:r>
          </w:p>
        </w:tc>
        <w:tc>
          <w:tcPr>
            <w:tcW w:w="3696" w:type="dxa"/>
            <w:noWrap w:val="0"/>
            <w:vAlign w:val="center"/>
          </w:tcPr>
          <w:p w14:paraId="4F039A76">
            <w:pPr>
              <w:adjustRightInd w:val="0"/>
              <w:snapToGrid w:val="0"/>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GB/T 2759</w:t>
            </w:r>
            <w:r>
              <w:rPr>
                <w:rFonts w:hint="eastAsia" w:ascii="宋体" w:hAnsi="宋体" w:cs="宋体"/>
                <w:color w:val="000000"/>
                <w:sz w:val="24"/>
                <w:szCs w:val="24"/>
                <w:lang w:val="en-US" w:eastAsia="zh-CN"/>
              </w:rPr>
              <w:t>1-2011/</w:t>
            </w:r>
            <w:r>
              <w:rPr>
                <w:rFonts w:hint="eastAsia" w:ascii="宋体" w:hAnsi="宋体" w:eastAsia="宋体" w:cs="宋体"/>
                <w:color w:val="000000"/>
                <w:sz w:val="24"/>
                <w:szCs w:val="24"/>
              </w:rPr>
              <w:t>GB/T 2759</w:t>
            </w:r>
            <w:r>
              <w:rPr>
                <w:rFonts w:hint="eastAsia" w:ascii="宋体" w:hAnsi="宋体" w:cs="宋体"/>
                <w:color w:val="000000"/>
                <w:sz w:val="24"/>
                <w:szCs w:val="24"/>
                <w:lang w:val="en-US" w:eastAsia="zh-CN"/>
              </w:rPr>
              <w:t>1-2025</w:t>
            </w:r>
          </w:p>
        </w:tc>
      </w:tr>
      <w:tr w14:paraId="2252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noWrap w:val="0"/>
            <w:vAlign w:val="top"/>
          </w:tcPr>
          <w:p w14:paraId="5933A6B0">
            <w:pPr>
              <w:adjustRightInd w:val="0"/>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注：</w:t>
            </w:r>
          </w:p>
        </w:tc>
      </w:tr>
    </w:tbl>
    <w:p w14:paraId="4EC21E98">
      <w:pPr>
        <w:ind w:left="898" w:leftChars="85" w:hanging="720" w:hangingChars="300"/>
        <w:rPr>
          <w:rFonts w:ascii="宋体" w:hAnsi="宋体"/>
          <w:color w:val="000000"/>
          <w:sz w:val="24"/>
          <w:szCs w:val="24"/>
        </w:rPr>
      </w:pPr>
    </w:p>
    <w:p w14:paraId="0A4507AC">
      <w:pPr>
        <w:ind w:left="898" w:leftChars="85" w:hanging="720" w:hangingChars="300"/>
        <w:rPr>
          <w:rFonts w:ascii="宋体" w:hAnsi="宋体"/>
          <w:color w:val="000000"/>
          <w:sz w:val="24"/>
          <w:szCs w:val="24"/>
        </w:rPr>
      </w:pPr>
      <w:r>
        <w:rPr>
          <w:rFonts w:ascii="宋体" w:hAnsi="宋体"/>
          <w:color w:val="000000"/>
          <w:sz w:val="24"/>
          <w:szCs w:val="24"/>
        </w:rPr>
        <w:t>注：1.表</w:t>
      </w:r>
      <w:r>
        <w:rPr>
          <w:rFonts w:hint="eastAsia" w:ascii="宋体" w:hAnsi="宋体"/>
          <w:color w:val="000000"/>
          <w:sz w:val="24"/>
          <w:szCs w:val="24"/>
          <w:lang w:val="en-US" w:eastAsia="zh-CN"/>
        </w:rPr>
        <w:t>2～表3</w:t>
      </w:r>
      <w:r>
        <w:rPr>
          <w:rFonts w:ascii="宋体" w:hAnsi="宋体"/>
          <w:color w:val="000000"/>
          <w:sz w:val="24"/>
          <w:szCs w:val="24"/>
        </w:rPr>
        <w:t>所列检验项目是有关法律法规、标准等规定的，重点涉及健康、安全、节能、环保以及消费者、有关组织反映有质量问题的重要项目。</w:t>
      </w:r>
    </w:p>
    <w:p w14:paraId="067CE450">
      <w:pPr>
        <w:ind w:firstLine="720" w:firstLineChars="300"/>
        <w:rPr>
          <w:rFonts w:ascii="宋体" w:hAnsi="宋体"/>
          <w:color w:val="000000"/>
          <w:sz w:val="24"/>
          <w:szCs w:val="24"/>
        </w:rPr>
      </w:pPr>
      <w:r>
        <w:rPr>
          <w:rFonts w:ascii="宋体" w:hAnsi="宋体"/>
          <w:color w:val="000000"/>
          <w:sz w:val="24"/>
          <w:szCs w:val="24"/>
        </w:rPr>
        <w:t>2.检验方法包括相关产品标准及试验方法标准。</w:t>
      </w:r>
    </w:p>
    <w:p w14:paraId="3B2B9658">
      <w:pPr>
        <w:ind w:left="778" w:leftChars="256" w:hanging="240" w:hangingChars="100"/>
        <w:rPr>
          <w:rFonts w:ascii="宋体" w:hAnsi="宋体"/>
          <w:color w:val="000000"/>
          <w:sz w:val="24"/>
          <w:szCs w:val="24"/>
        </w:rPr>
      </w:pPr>
      <w:r>
        <w:rPr>
          <w:rFonts w:ascii="宋体" w:hAnsi="宋体"/>
          <w:color w:val="000000"/>
          <w:sz w:val="24"/>
          <w:szCs w:val="24"/>
        </w:rPr>
        <w:t>3.凡是注日期的文件，其随后所有的修改单（不包括勘误的内容）或修订版不适用于本细则。凡是不注日期的文件，其最新版本适用于本细则。</w:t>
      </w:r>
    </w:p>
    <w:p w14:paraId="05046BAF">
      <w:pPr>
        <w:ind w:firstLine="720" w:firstLineChars="300"/>
        <w:rPr>
          <w:rFonts w:ascii="宋体" w:hAnsi="宋体"/>
          <w:color w:val="000000"/>
          <w:sz w:val="24"/>
          <w:szCs w:val="24"/>
        </w:rPr>
      </w:pPr>
      <w:r>
        <w:rPr>
          <w:rFonts w:ascii="宋体" w:hAnsi="宋体"/>
          <w:color w:val="000000"/>
          <w:sz w:val="24"/>
          <w:szCs w:val="24"/>
        </w:rPr>
        <w:t>4.执行企业标准、团体标准、地方标准的产品，检验项目参照上述内容执行。</w:t>
      </w:r>
    </w:p>
    <w:p w14:paraId="77C04CEC">
      <w:pPr>
        <w:spacing w:before="312" w:beforeLines="100" w:after="312" w:afterLines="100"/>
        <w:rPr>
          <w:rFonts w:hint="eastAsia" w:ascii="黑体" w:hAnsi="黑体" w:eastAsia="黑体" w:cs="黑体"/>
          <w:color w:val="000000"/>
          <w:sz w:val="24"/>
          <w:szCs w:val="24"/>
        </w:rPr>
      </w:pPr>
      <w:r>
        <w:rPr>
          <w:rFonts w:hint="eastAsia" w:ascii="黑体" w:hAnsi="黑体" w:eastAsia="黑体" w:cs="黑体"/>
          <w:color w:val="000000"/>
          <w:sz w:val="24"/>
          <w:szCs w:val="24"/>
        </w:rPr>
        <w:t>3  判定规则</w:t>
      </w:r>
    </w:p>
    <w:p w14:paraId="73BA059C">
      <w:pPr>
        <w:snapToGrid w:val="0"/>
        <w:spacing w:before="312" w:beforeLines="100" w:after="312" w:afterLines="100"/>
        <w:rPr>
          <w:rFonts w:hint="eastAsia" w:ascii="黑体" w:hAnsi="黑体" w:eastAsia="黑体" w:cs="黑体"/>
          <w:color w:val="000000"/>
          <w:sz w:val="24"/>
          <w:szCs w:val="24"/>
        </w:rPr>
      </w:pPr>
      <w:r>
        <w:rPr>
          <w:rFonts w:hint="eastAsia" w:ascii="黑体" w:hAnsi="黑体" w:eastAsia="黑体" w:cs="黑体"/>
          <w:color w:val="000000"/>
          <w:sz w:val="24"/>
          <w:szCs w:val="24"/>
        </w:rPr>
        <w:t>3.1  依据标准</w:t>
      </w:r>
    </w:p>
    <w:p w14:paraId="48BD409E">
      <w:pPr>
        <w:adjustRightInd w:val="0"/>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GB 4806.7-20</w:t>
      </w:r>
      <w:r>
        <w:rPr>
          <w:rFonts w:hint="eastAsia" w:ascii="宋体" w:hAnsi="宋体" w:cs="宋体"/>
          <w:color w:val="000000"/>
          <w:sz w:val="24"/>
          <w:szCs w:val="24"/>
          <w:lang w:val="en-US" w:eastAsia="zh-CN"/>
        </w:rPr>
        <w:t>23</w:t>
      </w:r>
      <w:r>
        <w:rPr>
          <w:rFonts w:hint="eastAsia" w:ascii="宋体" w:hAnsi="宋体" w:cs="宋体"/>
          <w:color w:val="000000"/>
          <w:sz w:val="24"/>
          <w:szCs w:val="24"/>
        </w:rPr>
        <w:t xml:space="preserve">  食品安全国家标准  食品接触用塑料材料及制品</w:t>
      </w:r>
    </w:p>
    <w:p w14:paraId="75D5A52F">
      <w:pPr>
        <w:adjustRightInd w:val="0"/>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lang w:eastAsia="zh-CN"/>
        </w:rPr>
        <w:t>GB 4806.8-2022</w:t>
      </w:r>
      <w:r>
        <w:rPr>
          <w:rFonts w:hint="eastAsia" w:ascii="宋体" w:hAnsi="宋体" w:cs="宋体"/>
          <w:color w:val="000000"/>
          <w:sz w:val="24"/>
          <w:szCs w:val="24"/>
        </w:rPr>
        <w:t xml:space="preserve">  食品安全国家标准  食品接触用纸和纸板材料及制品</w:t>
      </w:r>
    </w:p>
    <w:p w14:paraId="434E3B7A">
      <w:pPr>
        <w:adjustRightInd w:val="0"/>
        <w:snapToGrid w:val="0"/>
        <w:ind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rPr>
        <w:t>GB/T 275</w:t>
      </w:r>
      <w:r>
        <w:rPr>
          <w:rFonts w:hint="eastAsia" w:ascii="宋体" w:hAnsi="宋体" w:cs="宋体"/>
          <w:color w:val="000000"/>
          <w:sz w:val="24"/>
          <w:szCs w:val="24"/>
          <w:lang w:val="en-US" w:eastAsia="zh-CN"/>
        </w:rPr>
        <w:t>90-2022</w:t>
      </w:r>
      <w:r>
        <w:rPr>
          <w:rFonts w:hint="eastAsia" w:ascii="宋体" w:hAnsi="宋体" w:cs="宋体"/>
          <w:color w:val="000000"/>
          <w:sz w:val="24"/>
          <w:szCs w:val="24"/>
        </w:rPr>
        <w:t xml:space="preserve"> 纸</w:t>
      </w:r>
      <w:r>
        <w:rPr>
          <w:rFonts w:hint="eastAsia" w:ascii="宋体" w:hAnsi="宋体" w:cs="宋体"/>
          <w:color w:val="000000"/>
          <w:sz w:val="24"/>
          <w:szCs w:val="24"/>
          <w:lang w:val="en-US" w:eastAsia="zh-CN"/>
        </w:rPr>
        <w:t>杯</w:t>
      </w:r>
    </w:p>
    <w:p w14:paraId="767858BB">
      <w:pPr>
        <w:adjustRightInd w:val="0"/>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GB/T 27591-2011  纸碗</w:t>
      </w:r>
    </w:p>
    <w:p w14:paraId="457AB78F">
      <w:pPr>
        <w:adjustRightInd w:val="0"/>
        <w:snapToGrid w:val="0"/>
        <w:ind w:firstLine="480" w:firstLineChars="200"/>
        <w:rPr>
          <w:rFonts w:hint="eastAsia" w:eastAsia="宋体"/>
          <w:lang w:val="en-US" w:eastAsia="zh-CN"/>
        </w:rPr>
      </w:pPr>
      <w:r>
        <w:rPr>
          <w:rFonts w:hint="eastAsia" w:ascii="宋体" w:hAnsi="宋体" w:cs="宋体"/>
          <w:color w:val="000000"/>
          <w:sz w:val="24"/>
          <w:szCs w:val="24"/>
        </w:rPr>
        <w:t>GB/T 27591-20</w:t>
      </w:r>
      <w:r>
        <w:rPr>
          <w:rFonts w:hint="eastAsia" w:ascii="宋体" w:hAnsi="宋体" w:cs="宋体"/>
          <w:color w:val="000000"/>
          <w:sz w:val="24"/>
          <w:szCs w:val="24"/>
          <w:lang w:val="en-US" w:eastAsia="zh-CN"/>
        </w:rPr>
        <w:t>25</w:t>
      </w: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纸餐具</w:t>
      </w:r>
    </w:p>
    <w:p w14:paraId="15DCFC4E">
      <w:pPr>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现行有效的企业标准、团体标准、地方标准及产品明示质量要求。</w:t>
      </w:r>
    </w:p>
    <w:p w14:paraId="3C74E462">
      <w:pPr>
        <w:snapToGrid w:val="0"/>
        <w:spacing w:before="312" w:beforeLines="100" w:after="312" w:afterLines="100" w:line="240" w:lineRule="auto"/>
        <w:rPr>
          <w:rFonts w:hint="eastAsia" w:ascii="黑体" w:hAnsi="黑体" w:eastAsia="黑体" w:cs="黑体"/>
          <w:color w:val="000000"/>
          <w:sz w:val="24"/>
          <w:szCs w:val="24"/>
        </w:rPr>
      </w:pPr>
      <w:r>
        <w:rPr>
          <w:rFonts w:hint="eastAsia" w:ascii="黑体" w:hAnsi="黑体" w:eastAsia="黑体" w:cs="黑体"/>
          <w:color w:val="000000"/>
          <w:sz w:val="24"/>
          <w:szCs w:val="24"/>
        </w:rPr>
        <w:t>3.2  判定原则</w:t>
      </w:r>
    </w:p>
    <w:p w14:paraId="641F448B">
      <w:pPr>
        <w:adjustRightInd w:val="0"/>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经检验，检验项目全部合格，判定为被抽查产品所检项目未发现不合格；检验项目中任一项或一项以上不合格，判定为被抽查产品不合格。 </w:t>
      </w:r>
    </w:p>
    <w:p w14:paraId="5EE96F07">
      <w:pPr>
        <w:adjustRightInd w:val="0"/>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若被检产品明示的质量要求高于本细则中检验项目依据的标准要求时，应按被检产品明示的质量要求判定。 </w:t>
      </w:r>
    </w:p>
    <w:p w14:paraId="0D992F15">
      <w:pPr>
        <w:adjustRightInd w:val="0"/>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若被检产品明示的质量要求低于本细则中检验项目依据的强制性标准要求时，应按照强制性标准要求判定。 </w:t>
      </w:r>
    </w:p>
    <w:p w14:paraId="02E27EDF">
      <w:pPr>
        <w:adjustRightInd w:val="0"/>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若被检产品明示的质量要求低于或包含本细则中检验项目依据的推荐性标准要求时，应以被检产品明示的质量要求判定，但应在检验报告备注中进行说明。 </w:t>
      </w:r>
    </w:p>
    <w:p w14:paraId="122A7940">
      <w:pPr>
        <w:adjustRightInd w:val="0"/>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若被检产品明示的质量要求缺少本细则中检验项目依据的强制性标准要求时，应按照强制性标准要求判定。 </w:t>
      </w:r>
    </w:p>
    <w:p w14:paraId="1BF92458">
      <w:pPr>
        <w:adjustRightInd w:val="0"/>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若被检产品明示的质量要求缺少本细则中检验项目依据的推荐性标准要求时，该项目不参与判定，但应在检验报告备注中进行说明。</w:t>
      </w:r>
    </w:p>
    <w:p w14:paraId="7DAA5468">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0"/>
        <w:rPr>
          <w:lang w:val="en-US" w:eastAsia="zh-CN"/>
        </w:rPr>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zNGE0NDc5MDBlZjg1OGE3MGY0YzJhZTVhNTZmYWMifQ=="/>
  </w:docVars>
  <w:rsids>
    <w:rsidRoot w:val="2F81407F"/>
    <w:rsid w:val="12885ACD"/>
    <w:rsid w:val="2C104B56"/>
    <w:rsid w:val="2F81407F"/>
    <w:rsid w:val="30A6796C"/>
    <w:rsid w:val="558D2261"/>
    <w:rsid w:val="71333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 w:val="28"/>
      <w:szCs w:val="28"/>
      <w:lang w:val="zh-CN" w:bidi="zh-CN"/>
    </w:rPr>
  </w:style>
  <w:style w:type="paragraph" w:styleId="3">
    <w:name w:val="footer"/>
    <w:basedOn w:val="1"/>
    <w:unhideWhenUsed/>
    <w:qFormat/>
    <w:uiPriority w:val="99"/>
    <w:pPr>
      <w:tabs>
        <w:tab w:val="center" w:pos="4153"/>
        <w:tab w:val="right" w:pos="8306"/>
      </w:tabs>
      <w:snapToGrid w:val="0"/>
      <w:jc w:val="left"/>
    </w:pPr>
    <w:rPr>
      <w:kern w:val="0"/>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styleId="7">
    <w:name w:val="page number"/>
    <w:qFormat/>
    <w:uiPriority w:val="0"/>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893</Words>
  <Characters>1087</Characters>
  <Lines>0</Lines>
  <Paragraphs>0</Paragraphs>
  <TotalTime>4</TotalTime>
  <ScaleCrop>false</ScaleCrop>
  <LinksUpToDate>false</LinksUpToDate>
  <CharactersWithSpaces>1138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2025-06-09T06:10:00Z</dcterms:created>
  <dc:creator>Administrator</dc:creator>
  <cp:lastModifiedBy>(^ω^)静</cp:lastModifiedBy>
  <dcterms:modified xsi:type="dcterms:W3CDTF">2026-04-03T07:56:34Z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71B5E2CEB3A4423EBA6F6C7FC43C1C52_13</vt:lpwstr>
  </property>
  <property fmtid="{D5CDD505-2E9C-101B-9397-08002B2CF9AE}" pid="4" name="KSOTemplateDocerSaveRecord">
    <vt:lpwstr>eyJoZGlkIjoiZGY4ZDQwYTRkMWY4ZjljYWQwNWJjYzE3NTRmZWI1ZTEiLCJ1c2VySWQiOiIzNDkwNzcyMzUifQ==</vt:lpwstr>
  </property>
</Properties>
</file>