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F2DD2C">
      <w:pPr>
        <w:adjustRightInd w:val="0"/>
        <w:snapToGrid w:val="0"/>
        <w:spacing w:line="594" w:lineRule="exact"/>
        <w:jc w:val="center"/>
        <w:rPr>
          <w:rFonts w:hint="eastAsia" w:eastAsia="黑体" w:cs="方正仿宋简体"/>
          <w:color w:val="000000"/>
          <w:sz w:val="32"/>
          <w:szCs w:val="32"/>
          <w:lang w:eastAsia="zh-CN"/>
        </w:rPr>
      </w:pPr>
      <w:r>
        <w:rPr>
          <w:rFonts w:hint="eastAsia" w:ascii="黑体" w:eastAsia="黑体" w:cs="黑体"/>
          <w:kern w:val="0"/>
          <w:sz w:val="32"/>
          <w:szCs w:val="32"/>
          <w:lang w:eastAsia="zh-CN"/>
        </w:rPr>
        <w:t>乐山市</w:t>
      </w:r>
      <w:r>
        <w:rPr>
          <w:rFonts w:hint="eastAsia" w:ascii="黑体" w:eastAsia="黑体" w:cs="黑体"/>
          <w:kern w:val="0"/>
          <w:sz w:val="32"/>
          <w:szCs w:val="32"/>
        </w:rPr>
        <w:t>五通桥区食品相关产品（塑料类）产品质量监督抽查实施细则</w:t>
      </w:r>
      <w:r>
        <w:rPr>
          <w:rFonts w:hint="eastAsia" w:ascii="黑体" w:eastAsia="黑体" w:cs="黑体"/>
          <w:kern w:val="0"/>
          <w:sz w:val="32"/>
          <w:szCs w:val="32"/>
          <w:lang w:eastAsia="zh-CN"/>
        </w:rPr>
        <w:t>（</w:t>
      </w:r>
      <w:r>
        <w:rPr>
          <w:rFonts w:hint="eastAsia" w:ascii="黑体" w:eastAsia="黑体" w:cs="黑体"/>
          <w:kern w:val="0"/>
          <w:sz w:val="32"/>
          <w:szCs w:val="32"/>
          <w:lang w:val="en-US" w:eastAsia="zh-CN"/>
        </w:rPr>
        <w:t>2026年版</w:t>
      </w:r>
      <w:bookmarkStart w:id="2" w:name="_GoBack"/>
      <w:bookmarkEnd w:id="2"/>
      <w:r>
        <w:rPr>
          <w:rFonts w:hint="eastAsia" w:ascii="黑体" w:eastAsia="黑体" w:cs="黑体"/>
          <w:kern w:val="0"/>
          <w:sz w:val="32"/>
          <w:szCs w:val="32"/>
          <w:lang w:eastAsia="zh-CN"/>
        </w:rPr>
        <w:t>）</w:t>
      </w:r>
    </w:p>
    <w:p w14:paraId="61EFCF84">
      <w:pPr>
        <w:adjustRightInd w:val="0"/>
        <w:snapToGrid w:val="0"/>
        <w:spacing w:line="440" w:lineRule="exact"/>
        <w:outlineLvl w:val="1"/>
        <w:rPr>
          <w:rFonts w:eastAsia="黑体" w:cs="黑体"/>
          <w:szCs w:val="21"/>
        </w:rPr>
      </w:pPr>
      <w:r>
        <w:rPr>
          <w:rFonts w:hint="eastAsia" w:eastAsia="黑体" w:cs="黑体"/>
          <w:szCs w:val="21"/>
        </w:rPr>
        <w:t>1 抽样方法</w:t>
      </w:r>
    </w:p>
    <w:p w14:paraId="6897DD01">
      <w:pPr>
        <w:autoSpaceDE w:val="0"/>
        <w:autoSpaceDN w:val="0"/>
        <w:ind w:firstLine="420" w:firstLineChars="200"/>
        <w:rPr>
          <w:rFonts w:ascii="宋体" w:hAnsi="宋体" w:cs="宋体"/>
          <w:kern w:val="0"/>
          <w:szCs w:val="21"/>
        </w:rPr>
      </w:pPr>
      <w:r>
        <w:rPr>
          <w:rFonts w:hint="eastAsia" w:ascii="宋体" w:hAnsi="宋体" w:cs="宋体"/>
          <w:kern w:val="0"/>
          <w:szCs w:val="21"/>
        </w:rPr>
        <w:t>以随机抽样的方式在被抽样生产者、销售者的待销产品中抽取。网络购样抽样人员以消费者</w:t>
      </w:r>
    </w:p>
    <w:p w14:paraId="234569A4">
      <w:pPr>
        <w:snapToGrid w:val="0"/>
        <w:ind w:firstLine="200"/>
        <w:rPr>
          <w:rFonts w:hint="eastAsia" w:ascii="宋体" w:hAnsi="宋体" w:cs="宋体"/>
          <w:kern w:val="0"/>
          <w:szCs w:val="21"/>
        </w:rPr>
      </w:pPr>
      <w:r>
        <w:rPr>
          <w:rFonts w:hint="eastAsia" w:ascii="宋体" w:hAnsi="宋体" w:cs="宋体"/>
          <w:kern w:val="0"/>
          <w:szCs w:val="21"/>
        </w:rPr>
        <w:t>的名义在电商平台购买样品。</w:t>
      </w:r>
    </w:p>
    <w:p w14:paraId="6CA751DB">
      <w:pPr>
        <w:snapToGrid w:val="0"/>
        <w:ind w:firstLine="420" w:firstLineChars="200"/>
        <w:rPr>
          <w:rFonts w:ascii="宋体" w:hAnsi="宋体"/>
          <w:szCs w:val="21"/>
        </w:rPr>
      </w:pPr>
      <w:r>
        <w:rPr>
          <w:rFonts w:hint="eastAsia" w:ascii="宋体" w:hAnsi="宋体"/>
          <w:szCs w:val="21"/>
        </w:rPr>
        <w:t>随机数一般可使用随机数表等方法产生。</w:t>
      </w:r>
    </w:p>
    <w:p w14:paraId="75B73343">
      <w:pPr>
        <w:snapToGrid w:val="0"/>
        <w:ind w:firstLine="420" w:firstLineChars="200"/>
        <w:rPr>
          <w:rFonts w:hint="eastAsia" w:ascii="宋体" w:hAnsi="宋体"/>
          <w:szCs w:val="21"/>
        </w:rPr>
      </w:pPr>
      <w:r>
        <w:rPr>
          <w:rFonts w:ascii="宋体" w:hAnsi="宋体"/>
          <w:szCs w:val="21"/>
        </w:rPr>
        <w:t>每批次产品抽取不少于</w:t>
      </w:r>
      <w:r>
        <w:rPr>
          <w:rFonts w:hint="eastAsia" w:ascii="宋体" w:hAnsi="宋体"/>
          <w:szCs w:val="21"/>
        </w:rPr>
        <w:t>2</w:t>
      </w:r>
      <w:r>
        <w:rPr>
          <w:rFonts w:ascii="宋体" w:hAnsi="宋体"/>
          <w:szCs w:val="21"/>
        </w:rPr>
        <w:t>份最小销售独立包装，每份样品抽样数量不少于</w:t>
      </w:r>
      <w:r>
        <w:rPr>
          <w:rFonts w:hint="eastAsia" w:ascii="宋体" w:hAnsi="宋体"/>
          <w:szCs w:val="21"/>
        </w:rPr>
        <w:t>10</w:t>
      </w:r>
      <w:r>
        <w:rPr>
          <w:rFonts w:ascii="宋体" w:hAnsi="宋体"/>
          <w:szCs w:val="21"/>
        </w:rPr>
        <w:t>只</w:t>
      </w:r>
      <w:r>
        <w:rPr>
          <w:rFonts w:hint="eastAsia" w:ascii="宋体" w:hAnsi="宋体"/>
          <w:szCs w:val="21"/>
        </w:rPr>
        <w:t>/</w:t>
      </w:r>
      <w:r>
        <w:rPr>
          <w:rFonts w:ascii="宋体" w:hAnsi="宋体"/>
          <w:szCs w:val="21"/>
        </w:rPr>
        <w:t>个，其中</w:t>
      </w:r>
      <w:r>
        <w:rPr>
          <w:rFonts w:hint="eastAsia" w:ascii="宋体" w:hAnsi="宋体"/>
          <w:szCs w:val="21"/>
        </w:rPr>
        <w:t>1</w:t>
      </w:r>
      <w:r>
        <w:rPr>
          <w:rFonts w:ascii="宋体" w:hAnsi="宋体"/>
          <w:szCs w:val="21"/>
        </w:rPr>
        <w:t>份作为检验样品，1份作为备用样品。每份样品质量应不少于100 g且与食品接触面的最小表面积应不小于10 dm</w:t>
      </w:r>
      <w:r>
        <w:rPr>
          <w:rFonts w:ascii="宋体" w:hAnsi="宋体"/>
          <w:szCs w:val="21"/>
          <w:vertAlign w:val="superscript"/>
        </w:rPr>
        <w:t>2</w:t>
      </w:r>
      <w:r>
        <w:rPr>
          <w:rFonts w:hint="eastAsia" w:ascii="宋体" w:hAnsi="宋体"/>
          <w:szCs w:val="21"/>
        </w:rPr>
        <w:t>。</w:t>
      </w:r>
    </w:p>
    <w:p w14:paraId="6741C9C4">
      <w:pPr>
        <w:adjustRightInd w:val="0"/>
        <w:snapToGrid w:val="0"/>
        <w:spacing w:line="440" w:lineRule="exact"/>
        <w:outlineLvl w:val="1"/>
        <w:rPr>
          <w:rFonts w:eastAsia="黑体" w:cs="黑体"/>
          <w:szCs w:val="21"/>
        </w:rPr>
      </w:pPr>
      <w:r>
        <w:rPr>
          <w:rFonts w:hint="eastAsia" w:eastAsia="黑体" w:cs="黑体"/>
          <w:szCs w:val="21"/>
        </w:rPr>
        <w:t>2 检验依据</w:t>
      </w:r>
    </w:p>
    <w:p w14:paraId="3BA1F037">
      <w:pPr>
        <w:adjustRightInd w:val="0"/>
        <w:snapToGrid w:val="0"/>
        <w:jc w:val="center"/>
        <w:rPr>
          <w:rFonts w:hint="eastAsia" w:cs="宋体"/>
          <w:szCs w:val="21"/>
        </w:rPr>
      </w:pPr>
    </w:p>
    <w:p w14:paraId="0C142C4F">
      <w:pPr>
        <w:adjustRightInd w:val="0"/>
        <w:snapToGrid w:val="0"/>
        <w:jc w:val="center"/>
        <w:rPr>
          <w:rFonts w:cs="宋体"/>
          <w:szCs w:val="21"/>
        </w:rPr>
      </w:pPr>
      <w:r>
        <w:rPr>
          <w:rFonts w:hint="eastAsia" w:ascii="黑体" w:eastAsia="黑体" w:cs="黑体"/>
          <w:kern w:val="0"/>
          <w:szCs w:val="21"/>
        </w:rPr>
        <w:t>表</w:t>
      </w:r>
      <w:r>
        <w:rPr>
          <w:rFonts w:ascii="黑体" w:eastAsia="黑体" w:cs="黑体"/>
          <w:kern w:val="0"/>
          <w:szCs w:val="21"/>
        </w:rPr>
        <w:t>1</w:t>
      </w:r>
      <w:r>
        <w:rPr>
          <w:rFonts w:hint="eastAsia" w:ascii="黑体" w:eastAsia="黑体" w:cs="黑体"/>
          <w:kern w:val="0"/>
          <w:szCs w:val="21"/>
        </w:rPr>
        <w:t>食品相关产品（塑料类）产品检验项目</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5243"/>
        <w:gridCol w:w="2544"/>
      </w:tblGrid>
      <w:tr w14:paraId="54CDB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754" w:type="pct"/>
            <w:noWrap w:val="0"/>
            <w:vAlign w:val="center"/>
          </w:tcPr>
          <w:p w14:paraId="58635448">
            <w:pPr>
              <w:keepNext w:val="0"/>
              <w:keepLines w:val="0"/>
              <w:suppressLineNumbers w:val="0"/>
              <w:snapToGrid w:val="0"/>
              <w:spacing w:before="0" w:beforeAutospacing="0" w:after="0" w:afterAutospacing="0" w:line="440" w:lineRule="exact"/>
              <w:ind w:left="0" w:right="0"/>
              <w:jc w:val="center"/>
              <w:rPr>
                <w:rFonts w:hint="default" w:ascii="宋体" w:hAnsi="宋体" w:cs="Times New Roman"/>
                <w:color w:val="000000"/>
                <w:szCs w:val="21"/>
              </w:rPr>
            </w:pPr>
            <w:bookmarkStart w:id="0" w:name="OLE_LINK2"/>
            <w:bookmarkStart w:id="1" w:name="_Hlk40347690"/>
            <w:r>
              <w:rPr>
                <w:rFonts w:hint="eastAsia" w:ascii="宋体" w:hAnsi="宋体" w:cs="Times New Roman"/>
                <w:color w:val="000000"/>
                <w:szCs w:val="21"/>
              </w:rPr>
              <w:t>序号</w:t>
            </w:r>
          </w:p>
        </w:tc>
        <w:tc>
          <w:tcPr>
            <w:tcW w:w="2859" w:type="pct"/>
            <w:noWrap w:val="0"/>
            <w:vAlign w:val="center"/>
          </w:tcPr>
          <w:p w14:paraId="066AFAAF">
            <w:pPr>
              <w:keepNext w:val="0"/>
              <w:keepLines w:val="0"/>
              <w:suppressLineNumbers w:val="0"/>
              <w:snapToGrid w:val="0"/>
              <w:spacing w:before="0" w:beforeAutospacing="0" w:after="0" w:afterAutospacing="0" w:line="440" w:lineRule="exact"/>
              <w:ind w:left="0" w:right="0"/>
              <w:jc w:val="center"/>
              <w:rPr>
                <w:rFonts w:hint="default" w:ascii="宋体" w:hAnsi="宋体" w:cs="Times New Roman"/>
                <w:color w:val="000000"/>
                <w:szCs w:val="21"/>
              </w:rPr>
            </w:pPr>
            <w:r>
              <w:rPr>
                <w:rFonts w:hint="eastAsia" w:ascii="宋体" w:hAnsi="宋体" w:cs="Times New Roman"/>
                <w:color w:val="000000"/>
                <w:szCs w:val="21"/>
              </w:rPr>
              <w:t>检验项目</w:t>
            </w:r>
          </w:p>
        </w:tc>
        <w:tc>
          <w:tcPr>
            <w:tcW w:w="1387" w:type="pct"/>
            <w:noWrap w:val="0"/>
            <w:vAlign w:val="center"/>
          </w:tcPr>
          <w:p w14:paraId="4B6AE292">
            <w:pPr>
              <w:keepNext w:val="0"/>
              <w:keepLines w:val="0"/>
              <w:suppressLineNumbers w:val="0"/>
              <w:snapToGrid w:val="0"/>
              <w:spacing w:before="0" w:beforeAutospacing="0" w:after="0" w:afterAutospacing="0" w:line="440" w:lineRule="exact"/>
              <w:ind w:left="0" w:right="0"/>
              <w:jc w:val="center"/>
              <w:rPr>
                <w:rFonts w:hint="default" w:ascii="宋体" w:hAnsi="宋体" w:cs="Times New Roman"/>
                <w:color w:val="000000"/>
                <w:szCs w:val="21"/>
              </w:rPr>
            </w:pPr>
            <w:r>
              <w:rPr>
                <w:rFonts w:hint="eastAsia" w:ascii="宋体" w:hAnsi="宋体" w:cs="Times New Roman"/>
                <w:color w:val="000000"/>
                <w:szCs w:val="21"/>
              </w:rPr>
              <w:t>检验方法</w:t>
            </w:r>
          </w:p>
        </w:tc>
      </w:tr>
      <w:tr w14:paraId="36C22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54" w:type="pct"/>
            <w:noWrap w:val="0"/>
            <w:vAlign w:val="center"/>
          </w:tcPr>
          <w:p w14:paraId="1A39A137">
            <w:pPr>
              <w:keepNext w:val="0"/>
              <w:keepLines w:val="0"/>
              <w:numPr>
                <w:ilvl w:val="0"/>
                <w:numId w:val="1"/>
              </w:numPr>
              <w:suppressLineNumbers w:val="0"/>
              <w:adjustRightInd w:val="0"/>
              <w:snapToGrid w:val="0"/>
              <w:spacing w:before="0" w:beforeAutospacing="0" w:after="0" w:afterAutospacing="0"/>
              <w:ind w:right="0"/>
              <w:jc w:val="center"/>
              <w:rPr>
                <w:rFonts w:hint="default" w:ascii="宋体" w:hAnsi="宋体" w:cs="宋体"/>
                <w:szCs w:val="21"/>
              </w:rPr>
            </w:pPr>
          </w:p>
        </w:tc>
        <w:tc>
          <w:tcPr>
            <w:tcW w:w="2859" w:type="pct"/>
            <w:noWrap w:val="0"/>
            <w:vAlign w:val="center"/>
          </w:tcPr>
          <w:p w14:paraId="10E9009F">
            <w:pPr>
              <w:keepNext w:val="0"/>
              <w:keepLines w:val="0"/>
              <w:suppressLineNumbers w:val="0"/>
              <w:adjustRightInd w:val="0"/>
              <w:snapToGrid w:val="0"/>
              <w:spacing w:before="0" w:beforeAutospacing="0" w:after="0" w:afterAutospacing="0"/>
              <w:ind w:left="0" w:right="0"/>
              <w:jc w:val="center"/>
              <w:rPr>
                <w:rFonts w:hint="default" w:ascii="宋体" w:hAnsi="宋体" w:cs="宋体"/>
                <w:szCs w:val="21"/>
              </w:rPr>
            </w:pPr>
            <w:r>
              <w:rPr>
                <w:rFonts w:hint="eastAsia" w:ascii="宋体" w:hAnsi="宋体" w:cs="宋体"/>
                <w:szCs w:val="21"/>
              </w:rPr>
              <w:t>感官要求</w:t>
            </w:r>
          </w:p>
        </w:tc>
        <w:tc>
          <w:tcPr>
            <w:tcW w:w="1387" w:type="pct"/>
            <w:noWrap w:val="0"/>
            <w:vAlign w:val="center"/>
          </w:tcPr>
          <w:p w14:paraId="24CA9747">
            <w:pPr>
              <w:keepNext w:val="0"/>
              <w:keepLines w:val="0"/>
              <w:suppressLineNumbers w:val="0"/>
              <w:adjustRightInd w:val="0"/>
              <w:snapToGrid w:val="0"/>
              <w:spacing w:before="0" w:beforeAutospacing="0" w:after="0" w:afterAutospacing="0"/>
              <w:ind w:left="0" w:right="0"/>
              <w:jc w:val="center"/>
              <w:rPr>
                <w:rFonts w:hint="default" w:ascii="宋体" w:hAnsi="宋体" w:cs="Times New Roman"/>
                <w:szCs w:val="21"/>
              </w:rPr>
            </w:pPr>
            <w:r>
              <w:rPr>
                <w:rFonts w:hint="eastAsia" w:ascii="宋体" w:hAnsi="宋体" w:cs="宋体"/>
                <w:szCs w:val="21"/>
              </w:rPr>
              <w:t>GB 4806.7-2023</w:t>
            </w:r>
          </w:p>
        </w:tc>
      </w:tr>
      <w:tr w14:paraId="2BC3A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54" w:type="pct"/>
            <w:noWrap w:val="0"/>
            <w:vAlign w:val="center"/>
          </w:tcPr>
          <w:p w14:paraId="54D4AA43">
            <w:pPr>
              <w:keepNext w:val="0"/>
              <w:keepLines w:val="0"/>
              <w:numPr>
                <w:ilvl w:val="0"/>
                <w:numId w:val="1"/>
              </w:numPr>
              <w:suppressLineNumbers w:val="0"/>
              <w:adjustRightInd w:val="0"/>
              <w:snapToGrid w:val="0"/>
              <w:spacing w:before="0" w:beforeAutospacing="0" w:after="0" w:afterAutospacing="0"/>
              <w:ind w:right="0"/>
              <w:jc w:val="center"/>
              <w:rPr>
                <w:rFonts w:hint="default" w:ascii="宋体" w:hAnsi="宋体" w:cs="宋体"/>
                <w:szCs w:val="21"/>
              </w:rPr>
            </w:pPr>
          </w:p>
        </w:tc>
        <w:tc>
          <w:tcPr>
            <w:tcW w:w="2859" w:type="pct"/>
            <w:noWrap w:val="0"/>
            <w:vAlign w:val="center"/>
          </w:tcPr>
          <w:p w14:paraId="785800B9">
            <w:pPr>
              <w:keepNext w:val="0"/>
              <w:keepLines w:val="0"/>
              <w:suppressLineNumbers w:val="0"/>
              <w:adjustRightInd w:val="0"/>
              <w:snapToGrid w:val="0"/>
              <w:spacing w:before="0" w:beforeAutospacing="0" w:after="0" w:afterAutospacing="0"/>
              <w:ind w:left="0" w:right="0"/>
              <w:jc w:val="center"/>
              <w:rPr>
                <w:rFonts w:hint="default" w:ascii="宋体" w:hAnsi="宋体" w:cs="宋体"/>
                <w:szCs w:val="21"/>
              </w:rPr>
            </w:pPr>
            <w:r>
              <w:rPr>
                <w:rFonts w:hint="eastAsia" w:ascii="宋体" w:hAnsi="宋体" w:cs="宋体"/>
                <w:szCs w:val="21"/>
              </w:rPr>
              <w:t>总迁移量</w:t>
            </w:r>
          </w:p>
        </w:tc>
        <w:tc>
          <w:tcPr>
            <w:tcW w:w="1387" w:type="pct"/>
            <w:noWrap w:val="0"/>
            <w:vAlign w:val="center"/>
          </w:tcPr>
          <w:p w14:paraId="0A92B1E1">
            <w:pPr>
              <w:keepNext w:val="0"/>
              <w:keepLines w:val="0"/>
              <w:suppressLineNumbers w:val="0"/>
              <w:adjustRightInd w:val="0"/>
              <w:snapToGrid w:val="0"/>
              <w:spacing w:before="0" w:beforeAutospacing="0" w:after="0" w:afterAutospacing="0"/>
              <w:ind w:left="0" w:right="0"/>
              <w:jc w:val="center"/>
              <w:rPr>
                <w:rFonts w:hint="default" w:ascii="宋体" w:hAnsi="宋体" w:cs="Times New Roman"/>
                <w:szCs w:val="21"/>
              </w:rPr>
            </w:pPr>
            <w:r>
              <w:rPr>
                <w:rFonts w:hint="eastAsia" w:ascii="宋体" w:hAnsi="宋体" w:cs="宋体"/>
                <w:szCs w:val="21"/>
              </w:rPr>
              <w:t>GB 31604.8</w:t>
            </w:r>
            <w:r>
              <w:rPr>
                <w:rFonts w:hint="eastAsia" w:ascii="宋体" w:hAnsi="宋体" w:cs="Times New Roman"/>
                <w:szCs w:val="21"/>
              </w:rPr>
              <w:t>-</w:t>
            </w:r>
            <w:r>
              <w:rPr>
                <w:rFonts w:hint="eastAsia" w:ascii="宋体" w:hAnsi="宋体" w:cs="宋体"/>
                <w:szCs w:val="21"/>
              </w:rPr>
              <w:t>20</w:t>
            </w:r>
            <w:r>
              <w:rPr>
                <w:rFonts w:hint="default" w:ascii="宋体" w:hAnsi="宋体" w:cs="宋体"/>
                <w:szCs w:val="21"/>
              </w:rPr>
              <w:t>21</w:t>
            </w:r>
          </w:p>
        </w:tc>
      </w:tr>
      <w:tr w14:paraId="16ADC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54" w:type="pct"/>
            <w:noWrap w:val="0"/>
            <w:vAlign w:val="center"/>
          </w:tcPr>
          <w:p w14:paraId="54DB3C55">
            <w:pPr>
              <w:keepNext w:val="0"/>
              <w:keepLines w:val="0"/>
              <w:numPr>
                <w:ilvl w:val="0"/>
                <w:numId w:val="1"/>
              </w:numPr>
              <w:suppressLineNumbers w:val="0"/>
              <w:adjustRightInd w:val="0"/>
              <w:snapToGrid w:val="0"/>
              <w:spacing w:before="0" w:beforeAutospacing="0" w:after="0" w:afterAutospacing="0"/>
              <w:ind w:right="0"/>
              <w:jc w:val="center"/>
              <w:rPr>
                <w:rFonts w:hint="default" w:ascii="宋体" w:hAnsi="宋体" w:cs="宋体"/>
                <w:szCs w:val="21"/>
              </w:rPr>
            </w:pPr>
          </w:p>
        </w:tc>
        <w:tc>
          <w:tcPr>
            <w:tcW w:w="2859" w:type="pct"/>
            <w:noWrap w:val="0"/>
            <w:vAlign w:val="center"/>
          </w:tcPr>
          <w:p w14:paraId="499ECBC9">
            <w:pPr>
              <w:keepNext w:val="0"/>
              <w:keepLines w:val="0"/>
              <w:suppressLineNumbers w:val="0"/>
              <w:adjustRightInd w:val="0"/>
              <w:snapToGrid w:val="0"/>
              <w:spacing w:before="0" w:beforeAutospacing="0" w:after="0" w:afterAutospacing="0"/>
              <w:ind w:left="0" w:right="0"/>
              <w:jc w:val="center"/>
              <w:rPr>
                <w:rFonts w:hint="default" w:ascii="宋体" w:hAnsi="宋体" w:cs="宋体"/>
                <w:szCs w:val="21"/>
              </w:rPr>
            </w:pPr>
            <w:r>
              <w:rPr>
                <w:rFonts w:hint="eastAsia" w:ascii="宋体" w:hAnsi="宋体" w:cs="宋体"/>
                <w:szCs w:val="21"/>
              </w:rPr>
              <w:t>高锰酸钾消耗量</w:t>
            </w:r>
          </w:p>
        </w:tc>
        <w:tc>
          <w:tcPr>
            <w:tcW w:w="1387" w:type="pct"/>
            <w:noWrap w:val="0"/>
            <w:vAlign w:val="center"/>
          </w:tcPr>
          <w:p w14:paraId="5DC688FC">
            <w:pPr>
              <w:keepNext w:val="0"/>
              <w:keepLines w:val="0"/>
              <w:suppressLineNumbers w:val="0"/>
              <w:adjustRightInd w:val="0"/>
              <w:snapToGrid w:val="0"/>
              <w:spacing w:before="0" w:beforeAutospacing="0" w:after="0" w:afterAutospacing="0"/>
              <w:ind w:left="0" w:right="0"/>
              <w:jc w:val="center"/>
              <w:rPr>
                <w:rFonts w:hint="default" w:ascii="宋体" w:hAnsi="宋体" w:cs="Times New Roman"/>
                <w:szCs w:val="21"/>
              </w:rPr>
            </w:pPr>
            <w:r>
              <w:rPr>
                <w:rFonts w:hint="eastAsia" w:ascii="宋体" w:hAnsi="宋体" w:cs="宋体"/>
                <w:szCs w:val="21"/>
              </w:rPr>
              <w:t>GB 31604.2</w:t>
            </w:r>
            <w:r>
              <w:rPr>
                <w:rFonts w:hint="eastAsia" w:ascii="宋体" w:hAnsi="宋体" w:cs="Times New Roman"/>
                <w:szCs w:val="21"/>
              </w:rPr>
              <w:t>-</w:t>
            </w:r>
            <w:r>
              <w:rPr>
                <w:rFonts w:hint="eastAsia" w:ascii="宋体" w:hAnsi="宋体" w:cs="宋体"/>
                <w:szCs w:val="21"/>
              </w:rPr>
              <w:t xml:space="preserve">2016 </w:t>
            </w:r>
          </w:p>
        </w:tc>
      </w:tr>
      <w:tr w14:paraId="448DF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54" w:type="pct"/>
            <w:noWrap w:val="0"/>
            <w:vAlign w:val="center"/>
          </w:tcPr>
          <w:p w14:paraId="00E9F491">
            <w:pPr>
              <w:keepNext w:val="0"/>
              <w:keepLines w:val="0"/>
              <w:numPr>
                <w:ilvl w:val="0"/>
                <w:numId w:val="1"/>
              </w:numPr>
              <w:suppressLineNumbers w:val="0"/>
              <w:adjustRightInd w:val="0"/>
              <w:snapToGrid w:val="0"/>
              <w:spacing w:before="0" w:beforeAutospacing="0" w:after="0" w:afterAutospacing="0"/>
              <w:ind w:right="0"/>
              <w:jc w:val="center"/>
              <w:rPr>
                <w:rFonts w:hint="default" w:ascii="宋体" w:hAnsi="宋体" w:cs="宋体"/>
                <w:szCs w:val="21"/>
              </w:rPr>
            </w:pPr>
          </w:p>
        </w:tc>
        <w:tc>
          <w:tcPr>
            <w:tcW w:w="2859" w:type="pct"/>
            <w:noWrap w:val="0"/>
            <w:vAlign w:val="center"/>
          </w:tcPr>
          <w:p w14:paraId="757C1427">
            <w:pPr>
              <w:keepNext w:val="0"/>
              <w:keepLines w:val="0"/>
              <w:suppressLineNumbers w:val="0"/>
              <w:adjustRightInd w:val="0"/>
              <w:snapToGrid w:val="0"/>
              <w:spacing w:before="0" w:beforeAutospacing="0" w:after="0" w:afterAutospacing="0"/>
              <w:ind w:left="0" w:right="0"/>
              <w:jc w:val="center"/>
              <w:rPr>
                <w:rFonts w:hint="default" w:ascii="宋体" w:hAnsi="宋体" w:cs="宋体"/>
                <w:szCs w:val="21"/>
              </w:rPr>
            </w:pPr>
            <w:r>
              <w:rPr>
                <w:rFonts w:hint="eastAsia" w:ascii="宋体" w:hAnsi="宋体" w:cs="宋体"/>
                <w:szCs w:val="21"/>
              </w:rPr>
              <w:t>重金属（以Pb计）</w:t>
            </w:r>
          </w:p>
        </w:tc>
        <w:tc>
          <w:tcPr>
            <w:tcW w:w="1387" w:type="pct"/>
            <w:noWrap w:val="0"/>
            <w:vAlign w:val="center"/>
          </w:tcPr>
          <w:p w14:paraId="0117CD43">
            <w:pPr>
              <w:keepNext w:val="0"/>
              <w:keepLines w:val="0"/>
              <w:suppressLineNumbers w:val="0"/>
              <w:adjustRightInd w:val="0"/>
              <w:snapToGrid w:val="0"/>
              <w:spacing w:before="0" w:beforeAutospacing="0" w:after="0" w:afterAutospacing="0"/>
              <w:ind w:left="0" w:right="0"/>
              <w:jc w:val="center"/>
              <w:rPr>
                <w:rFonts w:hint="default" w:ascii="宋体" w:hAnsi="宋体" w:cs="Times New Roman"/>
                <w:szCs w:val="21"/>
              </w:rPr>
            </w:pPr>
            <w:r>
              <w:rPr>
                <w:rFonts w:hint="eastAsia" w:ascii="宋体" w:hAnsi="宋体" w:cs="宋体"/>
                <w:szCs w:val="21"/>
              </w:rPr>
              <w:t>GB 31604.9</w:t>
            </w:r>
            <w:r>
              <w:rPr>
                <w:rFonts w:hint="eastAsia" w:ascii="宋体" w:hAnsi="宋体" w:cs="Times New Roman"/>
                <w:szCs w:val="21"/>
              </w:rPr>
              <w:t>-</w:t>
            </w:r>
            <w:r>
              <w:rPr>
                <w:rFonts w:hint="eastAsia" w:ascii="宋体" w:hAnsi="宋体" w:cs="宋体"/>
                <w:szCs w:val="21"/>
              </w:rPr>
              <w:t xml:space="preserve">2016 </w:t>
            </w:r>
          </w:p>
        </w:tc>
      </w:tr>
      <w:tr w14:paraId="266F1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54" w:type="pct"/>
            <w:noWrap w:val="0"/>
            <w:vAlign w:val="center"/>
          </w:tcPr>
          <w:p w14:paraId="51252D5D">
            <w:pPr>
              <w:keepNext w:val="0"/>
              <w:keepLines w:val="0"/>
              <w:numPr>
                <w:ilvl w:val="0"/>
                <w:numId w:val="1"/>
              </w:numPr>
              <w:suppressLineNumbers w:val="0"/>
              <w:adjustRightInd w:val="0"/>
              <w:snapToGrid w:val="0"/>
              <w:spacing w:before="0" w:beforeAutospacing="0" w:after="0" w:afterAutospacing="0"/>
              <w:ind w:right="0"/>
              <w:jc w:val="center"/>
              <w:rPr>
                <w:rFonts w:hint="default" w:ascii="宋体" w:hAnsi="宋体" w:cs="宋体"/>
                <w:szCs w:val="21"/>
              </w:rPr>
            </w:pPr>
          </w:p>
        </w:tc>
        <w:tc>
          <w:tcPr>
            <w:tcW w:w="2859" w:type="pct"/>
            <w:noWrap w:val="0"/>
            <w:vAlign w:val="center"/>
          </w:tcPr>
          <w:p w14:paraId="6C3DC6ED">
            <w:pPr>
              <w:keepNext w:val="0"/>
              <w:keepLines w:val="0"/>
              <w:suppressLineNumbers w:val="0"/>
              <w:adjustRightInd w:val="0"/>
              <w:snapToGrid w:val="0"/>
              <w:spacing w:before="0" w:beforeAutospacing="0" w:after="0" w:afterAutospacing="0"/>
              <w:ind w:left="0" w:right="0"/>
              <w:jc w:val="center"/>
              <w:rPr>
                <w:rFonts w:hint="default" w:ascii="宋体" w:hAnsi="宋体" w:cs="宋体"/>
                <w:szCs w:val="21"/>
              </w:rPr>
            </w:pPr>
            <w:r>
              <w:rPr>
                <w:rFonts w:hint="eastAsia" w:ascii="宋体" w:hAnsi="宋体" w:cs="宋体"/>
                <w:szCs w:val="21"/>
              </w:rPr>
              <w:t>脱色试验</w:t>
            </w:r>
            <w:r>
              <w:rPr>
                <w:rFonts w:hint="eastAsia" w:ascii="宋体" w:hAnsi="宋体" w:cs="宋体"/>
                <w:kern w:val="0"/>
                <w:szCs w:val="21"/>
              </w:rPr>
              <w:t>（限添加了着色剂的产品）</w:t>
            </w:r>
          </w:p>
        </w:tc>
        <w:tc>
          <w:tcPr>
            <w:tcW w:w="1387" w:type="pct"/>
            <w:noWrap w:val="0"/>
            <w:vAlign w:val="center"/>
          </w:tcPr>
          <w:p w14:paraId="4B8A41BA">
            <w:pPr>
              <w:keepNext w:val="0"/>
              <w:keepLines w:val="0"/>
              <w:suppressLineNumbers w:val="0"/>
              <w:adjustRightInd w:val="0"/>
              <w:snapToGrid w:val="0"/>
              <w:spacing w:before="0" w:beforeAutospacing="0" w:after="0" w:afterAutospacing="0"/>
              <w:ind w:left="0" w:right="0"/>
              <w:jc w:val="center"/>
              <w:rPr>
                <w:rFonts w:hint="default" w:ascii="宋体" w:hAnsi="宋体" w:cs="Times New Roman"/>
                <w:szCs w:val="21"/>
              </w:rPr>
            </w:pPr>
            <w:r>
              <w:rPr>
                <w:rFonts w:hint="eastAsia" w:ascii="宋体" w:hAnsi="宋体" w:cs="宋体"/>
                <w:szCs w:val="21"/>
              </w:rPr>
              <w:t>GB 31604.7</w:t>
            </w:r>
            <w:r>
              <w:rPr>
                <w:rFonts w:hint="eastAsia" w:ascii="宋体" w:hAnsi="宋体" w:cs="Times New Roman"/>
                <w:szCs w:val="21"/>
              </w:rPr>
              <w:t>-</w:t>
            </w:r>
            <w:r>
              <w:rPr>
                <w:rFonts w:hint="eastAsia" w:ascii="宋体" w:hAnsi="宋体" w:cs="宋体"/>
                <w:szCs w:val="21"/>
              </w:rPr>
              <w:t>2023</w:t>
            </w:r>
          </w:p>
        </w:tc>
      </w:tr>
      <w:bookmarkEnd w:id="0"/>
      <w:bookmarkEnd w:id="1"/>
    </w:tbl>
    <w:p w14:paraId="553A9F3A">
      <w:pPr>
        <w:autoSpaceDE w:val="0"/>
        <w:autoSpaceDN w:val="0"/>
        <w:adjustRightInd w:val="0"/>
        <w:ind w:firstLine="360" w:firstLineChars="200"/>
        <w:jc w:val="left"/>
        <w:rPr>
          <w:rFonts w:ascii="宋体" w:hAnsi="宋体" w:cs="宋体"/>
          <w:kern w:val="0"/>
          <w:sz w:val="18"/>
          <w:szCs w:val="18"/>
        </w:rPr>
      </w:pPr>
      <w:r>
        <w:rPr>
          <w:rFonts w:hint="eastAsia" w:ascii="宋体" w:hAnsi="宋体" w:cs="宋体"/>
          <w:kern w:val="0"/>
          <w:sz w:val="18"/>
          <w:szCs w:val="18"/>
        </w:rPr>
        <w:t>注：</w:t>
      </w:r>
      <w:r>
        <w:rPr>
          <w:rFonts w:ascii="宋体" w:hAnsi="宋体" w:cs="宋体"/>
          <w:kern w:val="0"/>
          <w:sz w:val="18"/>
          <w:szCs w:val="18"/>
        </w:rPr>
        <w:t>1.</w:t>
      </w:r>
      <w:r>
        <w:rPr>
          <w:rFonts w:hint="eastAsia" w:ascii="宋体" w:hAnsi="宋体" w:cs="宋体"/>
          <w:kern w:val="0"/>
          <w:sz w:val="18"/>
          <w:szCs w:val="18"/>
        </w:rPr>
        <w:t>上表所列检验项目是有关法律法规、标准等规定的，重点涉及健康、安全、节能、环保以及消费者、有关组织反映有质量问题的重要项目。</w:t>
      </w:r>
    </w:p>
    <w:p w14:paraId="75A98577">
      <w:pPr>
        <w:autoSpaceDE w:val="0"/>
        <w:autoSpaceDN w:val="0"/>
        <w:adjustRightInd w:val="0"/>
        <w:ind w:firstLine="360" w:firstLineChars="200"/>
        <w:jc w:val="left"/>
        <w:rPr>
          <w:rFonts w:ascii="宋体" w:hAnsi="宋体" w:cs="宋体"/>
          <w:kern w:val="0"/>
          <w:sz w:val="18"/>
          <w:szCs w:val="18"/>
        </w:rPr>
      </w:pPr>
      <w:r>
        <w:rPr>
          <w:rFonts w:ascii="宋体" w:hAnsi="宋体" w:cs="宋体"/>
          <w:kern w:val="0"/>
          <w:sz w:val="18"/>
          <w:szCs w:val="18"/>
        </w:rPr>
        <w:t>2.</w:t>
      </w:r>
      <w:r>
        <w:rPr>
          <w:rFonts w:hint="eastAsia" w:ascii="宋体" w:hAnsi="宋体" w:cs="宋体"/>
          <w:kern w:val="0"/>
          <w:sz w:val="18"/>
          <w:szCs w:val="18"/>
        </w:rPr>
        <w:t>检验方法包括相关产品标准及试验方法标准。</w:t>
      </w:r>
    </w:p>
    <w:p w14:paraId="4C3F80B0">
      <w:pPr>
        <w:autoSpaceDE w:val="0"/>
        <w:autoSpaceDN w:val="0"/>
        <w:adjustRightInd w:val="0"/>
        <w:ind w:firstLine="360" w:firstLineChars="200"/>
        <w:jc w:val="left"/>
        <w:rPr>
          <w:rFonts w:hint="eastAsia" w:ascii="宋体" w:hAnsi="宋体" w:cs="宋体"/>
          <w:kern w:val="0"/>
          <w:sz w:val="18"/>
          <w:szCs w:val="18"/>
        </w:rPr>
      </w:pPr>
      <w:r>
        <w:rPr>
          <w:rFonts w:ascii="宋体" w:hAnsi="宋体" w:cs="宋体"/>
          <w:kern w:val="0"/>
          <w:sz w:val="18"/>
          <w:szCs w:val="18"/>
        </w:rPr>
        <w:t>3.</w:t>
      </w:r>
      <w:r>
        <w:rPr>
          <w:rFonts w:hint="eastAsia" w:ascii="宋体" w:hAnsi="宋体" w:cs="宋体"/>
          <w:kern w:val="0"/>
          <w:sz w:val="18"/>
          <w:szCs w:val="18"/>
        </w:rPr>
        <w:t>凡是注日期的文件，其随后所有的修改单（不包括勘误的内容）或修订版不适用于本细则。凡是不注日期的文件，其最新版本适用于本细则。</w:t>
      </w:r>
    </w:p>
    <w:p w14:paraId="689C4F0B">
      <w:pPr>
        <w:autoSpaceDE w:val="0"/>
        <w:autoSpaceDN w:val="0"/>
        <w:adjustRightInd w:val="0"/>
        <w:ind w:firstLine="360" w:firstLineChars="200"/>
        <w:jc w:val="left"/>
        <w:rPr>
          <w:rFonts w:ascii="宋体" w:hAnsi="宋体" w:cs="黑体"/>
          <w:sz w:val="18"/>
          <w:szCs w:val="18"/>
        </w:rPr>
      </w:pPr>
      <w:r>
        <w:rPr>
          <w:rFonts w:ascii="宋体" w:hAnsi="宋体" w:cs="宋体"/>
          <w:kern w:val="0"/>
          <w:sz w:val="18"/>
          <w:szCs w:val="18"/>
        </w:rPr>
        <w:t>4.</w:t>
      </w:r>
      <w:r>
        <w:rPr>
          <w:rFonts w:hint="eastAsia" w:ascii="宋体" w:hAnsi="宋体" w:cs="宋体"/>
          <w:kern w:val="0"/>
          <w:sz w:val="18"/>
          <w:szCs w:val="18"/>
        </w:rPr>
        <w:t>执行企业标准、团体标准、地方标准的产品，检验项目参照上述内容执行。</w:t>
      </w:r>
    </w:p>
    <w:p w14:paraId="7E31F290">
      <w:pPr>
        <w:adjustRightInd w:val="0"/>
        <w:snapToGrid w:val="0"/>
        <w:spacing w:line="440" w:lineRule="exact"/>
        <w:outlineLvl w:val="1"/>
        <w:rPr>
          <w:rFonts w:eastAsia="黑体" w:cs="黑体"/>
          <w:szCs w:val="21"/>
        </w:rPr>
      </w:pPr>
      <w:r>
        <w:rPr>
          <w:rFonts w:hint="eastAsia" w:eastAsia="黑体" w:cs="黑体"/>
          <w:szCs w:val="21"/>
        </w:rPr>
        <w:t>3 判定规则</w:t>
      </w:r>
    </w:p>
    <w:p w14:paraId="0679B57F">
      <w:pPr>
        <w:adjustRightInd w:val="0"/>
        <w:snapToGrid w:val="0"/>
        <w:spacing w:line="440" w:lineRule="exact"/>
        <w:outlineLvl w:val="1"/>
        <w:rPr>
          <w:rFonts w:eastAsia="黑体" w:cs="黑体"/>
          <w:szCs w:val="21"/>
        </w:rPr>
      </w:pPr>
      <w:r>
        <w:rPr>
          <w:rFonts w:hint="eastAsia" w:eastAsia="黑体" w:cs="黑体"/>
          <w:szCs w:val="21"/>
        </w:rPr>
        <w:t>3.1依据标准</w:t>
      </w:r>
    </w:p>
    <w:p w14:paraId="1DC46603">
      <w:pPr>
        <w:adjustRightInd w:val="0"/>
        <w:snapToGrid w:val="0"/>
        <w:ind w:firstLine="420" w:firstLineChars="200"/>
        <w:rPr>
          <w:rFonts w:cs="宋体"/>
          <w:szCs w:val="21"/>
        </w:rPr>
      </w:pPr>
      <w:r>
        <w:rPr>
          <w:rFonts w:hint="eastAsia" w:cs="宋体"/>
          <w:szCs w:val="21"/>
        </w:rPr>
        <w:t>GB 4806.7-2023 食品安全国家标准 食品接触用塑料材料及制品</w:t>
      </w:r>
    </w:p>
    <w:p w14:paraId="3B3CB864">
      <w:pPr>
        <w:adjustRightInd w:val="0"/>
        <w:snapToGrid w:val="0"/>
        <w:ind w:firstLine="420" w:firstLineChars="200"/>
        <w:rPr>
          <w:rFonts w:cs="宋体"/>
          <w:szCs w:val="21"/>
        </w:rPr>
      </w:pPr>
      <w:r>
        <w:rPr>
          <w:rFonts w:hint="eastAsia" w:cs="宋体"/>
          <w:szCs w:val="21"/>
        </w:rPr>
        <w:t>现行有效的企业标准、团体标准、地方标准及产品明示质量要求</w:t>
      </w:r>
    </w:p>
    <w:p w14:paraId="3AB18A5A">
      <w:pPr>
        <w:adjustRightInd w:val="0"/>
        <w:snapToGrid w:val="0"/>
        <w:spacing w:line="440" w:lineRule="exact"/>
        <w:rPr>
          <w:rFonts w:ascii="黑体" w:hAnsi="黑体" w:eastAsia="黑体"/>
          <w:color w:val="000000"/>
          <w:szCs w:val="21"/>
        </w:rPr>
      </w:pPr>
      <w:r>
        <w:rPr>
          <w:rFonts w:ascii="黑体" w:hAnsi="黑体" w:eastAsia="黑体"/>
          <w:color w:val="000000"/>
          <w:szCs w:val="21"/>
        </w:rPr>
        <w:t xml:space="preserve">3.2 </w:t>
      </w:r>
      <w:r>
        <w:rPr>
          <w:rFonts w:hint="eastAsia" w:ascii="黑体" w:hAnsi="黑体" w:eastAsia="黑体"/>
          <w:color w:val="000000"/>
          <w:szCs w:val="21"/>
        </w:rPr>
        <w:t>判定原则</w:t>
      </w:r>
    </w:p>
    <w:p w14:paraId="7D453A6A">
      <w:pPr>
        <w:adjustRightInd w:val="0"/>
        <w:snapToGrid w:val="0"/>
        <w:ind w:firstLine="420" w:firstLineChars="200"/>
        <w:rPr>
          <w:color w:val="000000"/>
          <w:szCs w:val="21"/>
        </w:rPr>
      </w:pPr>
      <w:r>
        <w:rPr>
          <w:rFonts w:hint="eastAsia"/>
          <w:color w:val="000000"/>
          <w:szCs w:val="21"/>
        </w:rPr>
        <w:t>经检验，检验项目全部合格，判定为被抽查产品所检项目未发现不合格；检验项目中任一项</w:t>
      </w:r>
    </w:p>
    <w:p w14:paraId="28E348F0">
      <w:pPr>
        <w:adjustRightInd w:val="0"/>
        <w:snapToGrid w:val="0"/>
        <w:rPr>
          <w:color w:val="000000"/>
          <w:szCs w:val="21"/>
        </w:rPr>
      </w:pPr>
      <w:r>
        <w:rPr>
          <w:rFonts w:hint="eastAsia"/>
          <w:color w:val="000000"/>
          <w:szCs w:val="21"/>
        </w:rPr>
        <w:t>或一项以上不合格，判定为被抽查产品不合格。</w:t>
      </w:r>
    </w:p>
    <w:p w14:paraId="19B81585">
      <w:pPr>
        <w:adjustRightInd w:val="0"/>
        <w:snapToGrid w:val="0"/>
        <w:ind w:firstLine="420" w:firstLineChars="200"/>
        <w:rPr>
          <w:color w:val="000000"/>
          <w:szCs w:val="21"/>
        </w:rPr>
      </w:pPr>
      <w:r>
        <w:rPr>
          <w:rFonts w:hint="eastAsia"/>
          <w:color w:val="000000"/>
          <w:szCs w:val="21"/>
        </w:rPr>
        <w:t>若被检产品明示的质量要求高于本细则中检验项目依据的标准要求时，应按被检产品明示的</w:t>
      </w:r>
    </w:p>
    <w:p w14:paraId="073F893C">
      <w:pPr>
        <w:adjustRightInd w:val="0"/>
        <w:snapToGrid w:val="0"/>
        <w:rPr>
          <w:color w:val="000000"/>
          <w:szCs w:val="21"/>
        </w:rPr>
      </w:pPr>
      <w:r>
        <w:rPr>
          <w:rFonts w:hint="eastAsia"/>
          <w:color w:val="000000"/>
          <w:szCs w:val="21"/>
        </w:rPr>
        <w:t>质量要求判定。</w:t>
      </w:r>
    </w:p>
    <w:p w14:paraId="25639260">
      <w:pPr>
        <w:adjustRightInd w:val="0"/>
        <w:snapToGrid w:val="0"/>
        <w:ind w:firstLine="420" w:firstLineChars="200"/>
        <w:rPr>
          <w:color w:val="000000"/>
          <w:szCs w:val="21"/>
        </w:rPr>
      </w:pPr>
      <w:r>
        <w:rPr>
          <w:rFonts w:hint="eastAsia"/>
          <w:color w:val="000000"/>
          <w:szCs w:val="21"/>
        </w:rPr>
        <w:t>若被检产品明示的质量要求低于本细则中检验项目依据的强制性标准要求时，应按照强制性</w:t>
      </w:r>
    </w:p>
    <w:p w14:paraId="58EDF2D3">
      <w:pPr>
        <w:adjustRightInd w:val="0"/>
        <w:snapToGrid w:val="0"/>
        <w:rPr>
          <w:color w:val="000000"/>
          <w:szCs w:val="21"/>
        </w:rPr>
      </w:pPr>
      <w:r>
        <w:rPr>
          <w:rFonts w:hint="eastAsia"/>
          <w:color w:val="000000"/>
          <w:szCs w:val="21"/>
        </w:rPr>
        <w:t>标准要求判定。</w:t>
      </w:r>
    </w:p>
    <w:p w14:paraId="5880F50B">
      <w:pPr>
        <w:adjustRightInd w:val="0"/>
        <w:snapToGrid w:val="0"/>
        <w:ind w:firstLine="420" w:firstLineChars="200"/>
        <w:rPr>
          <w:color w:val="000000"/>
          <w:szCs w:val="21"/>
        </w:rPr>
      </w:pPr>
      <w:r>
        <w:rPr>
          <w:rFonts w:hint="eastAsia"/>
          <w:color w:val="000000"/>
          <w:szCs w:val="21"/>
        </w:rPr>
        <w:t>若被检产品明示的质量要求低于或包含本细则中检验项目依据的推荐性标准要求时，应以被</w:t>
      </w:r>
    </w:p>
    <w:p w14:paraId="44993805">
      <w:pPr>
        <w:adjustRightInd w:val="0"/>
        <w:snapToGrid w:val="0"/>
        <w:rPr>
          <w:color w:val="000000"/>
          <w:szCs w:val="21"/>
        </w:rPr>
      </w:pPr>
      <w:r>
        <w:rPr>
          <w:rFonts w:hint="eastAsia"/>
          <w:color w:val="000000"/>
          <w:szCs w:val="21"/>
        </w:rPr>
        <w:t>检产品明示的质量要求判定，但应在检验报告备注中进行说明。</w:t>
      </w:r>
    </w:p>
    <w:p w14:paraId="0E28FAFB">
      <w:pPr>
        <w:adjustRightInd w:val="0"/>
        <w:snapToGrid w:val="0"/>
        <w:ind w:firstLine="420" w:firstLineChars="200"/>
        <w:rPr>
          <w:color w:val="000000"/>
          <w:szCs w:val="21"/>
        </w:rPr>
      </w:pPr>
      <w:r>
        <w:rPr>
          <w:rFonts w:hint="eastAsia"/>
          <w:color w:val="000000"/>
          <w:szCs w:val="21"/>
        </w:rPr>
        <w:t>若被检产品明示的质量要求缺少本细则中检验项目依据的强制性标准要求时，应按照强制性</w:t>
      </w:r>
    </w:p>
    <w:p w14:paraId="350D4762">
      <w:pPr>
        <w:adjustRightInd w:val="0"/>
        <w:snapToGrid w:val="0"/>
        <w:rPr>
          <w:color w:val="000000"/>
          <w:szCs w:val="21"/>
        </w:rPr>
      </w:pPr>
      <w:r>
        <w:rPr>
          <w:rFonts w:hint="eastAsia"/>
          <w:color w:val="000000"/>
          <w:szCs w:val="21"/>
        </w:rPr>
        <w:t>标准要求判定。</w:t>
      </w:r>
    </w:p>
    <w:p w14:paraId="3E06BDE5">
      <w:pPr>
        <w:adjustRightInd w:val="0"/>
        <w:snapToGrid w:val="0"/>
        <w:ind w:firstLine="420" w:firstLineChars="200"/>
        <w:rPr>
          <w:color w:val="000000"/>
          <w:szCs w:val="21"/>
        </w:rPr>
      </w:pPr>
      <w:r>
        <w:rPr>
          <w:rFonts w:hint="eastAsia"/>
          <w:color w:val="000000"/>
          <w:szCs w:val="21"/>
        </w:rPr>
        <w:t>若被检产品明示的质量要求缺少本细则中检验项目依据的推荐性标准要求时，该项目不参与</w:t>
      </w:r>
    </w:p>
    <w:p w14:paraId="0D3187C2">
      <w:pPr>
        <w:adjustRightInd w:val="0"/>
        <w:snapToGrid w:val="0"/>
        <w:rPr>
          <w:rFonts w:hint="eastAsia"/>
          <w:color w:val="000000"/>
          <w:szCs w:val="21"/>
        </w:rPr>
      </w:pPr>
      <w:r>
        <w:rPr>
          <w:rFonts w:hint="eastAsia"/>
          <w:color w:val="000000"/>
          <w:szCs w:val="21"/>
        </w:rPr>
        <w:t>判定，但应在检验报告备注中进行说明。</w:t>
      </w:r>
    </w:p>
    <w:sectPr>
      <w:headerReference r:id="rId3" w:type="default"/>
      <w:footerReference r:id="rId4" w:type="default"/>
      <w:pgSz w:w="11906" w:h="16838"/>
      <w:pgMar w:top="1417" w:right="1474" w:bottom="1417" w:left="1474" w:header="851" w:footer="1191"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E21DA">
    <w:pPr>
      <w:pStyle w:val="5"/>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1</w:t>
    </w:r>
    <w:r>
      <w:rPr>
        <w:sz w:val="21"/>
        <w:szCs w:val="21"/>
        <w:lang w:val="zh-CN"/>
      </w:rPr>
      <w:fldChar w:fldCharType="end"/>
    </w:r>
  </w:p>
  <w:p w14:paraId="045EE539">
    <w:pPr>
      <w:pStyle w:val="5"/>
      <w:ind w:right="360"/>
    </w:pPr>
  </w:p>
  <w:p w14:paraId="35E2947E"/>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223FA">
    <w:pPr>
      <w:pStyle w:val="6"/>
      <w:pBdr>
        <w:bottom w:val="none" w:color="auto" w:sz="0" w:space="0"/>
      </w:pBdr>
    </w:pPr>
  </w:p>
  <w:p w14:paraId="7869C61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03EADD"/>
    <w:multiLevelType w:val="singleLevel"/>
    <w:tmpl w:val="F303EADD"/>
    <w:lvl w:ilvl="0" w:tentative="0">
      <w:start w:val="1"/>
      <w:numFmt w:val="decimal"/>
      <w:lvlText w:val="%1"/>
      <w:lvlJc w:val="center"/>
      <w:pPr>
        <w:ind w:left="279" w:hanging="137"/>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zNGE3NzhjZmRkZWIxOTQ3NWQ3ZGM1NDJlYzkwOTUifQ=="/>
  </w:docVars>
  <w:rsids>
    <w:rsidRoot w:val="004E7F45"/>
    <w:rsid w:val="000223BA"/>
    <w:rsid w:val="00025E70"/>
    <w:rsid w:val="00026930"/>
    <w:rsid w:val="00053617"/>
    <w:rsid w:val="000600FC"/>
    <w:rsid w:val="000612B1"/>
    <w:rsid w:val="000C39EF"/>
    <w:rsid w:val="000C6492"/>
    <w:rsid w:val="000D0B7A"/>
    <w:rsid w:val="000F504B"/>
    <w:rsid w:val="001001F2"/>
    <w:rsid w:val="00111BFA"/>
    <w:rsid w:val="00126B4B"/>
    <w:rsid w:val="0013492D"/>
    <w:rsid w:val="00190058"/>
    <w:rsid w:val="001A2F77"/>
    <w:rsid w:val="001E7D67"/>
    <w:rsid w:val="001F5300"/>
    <w:rsid w:val="00262E0C"/>
    <w:rsid w:val="00263965"/>
    <w:rsid w:val="002917F2"/>
    <w:rsid w:val="002961CD"/>
    <w:rsid w:val="002D2966"/>
    <w:rsid w:val="002E746B"/>
    <w:rsid w:val="0033027F"/>
    <w:rsid w:val="00331A97"/>
    <w:rsid w:val="00345C28"/>
    <w:rsid w:val="00391B32"/>
    <w:rsid w:val="003D5388"/>
    <w:rsid w:val="003F7705"/>
    <w:rsid w:val="004064D4"/>
    <w:rsid w:val="00421E58"/>
    <w:rsid w:val="0048431A"/>
    <w:rsid w:val="004E7F45"/>
    <w:rsid w:val="004F4966"/>
    <w:rsid w:val="0051209D"/>
    <w:rsid w:val="00532F8D"/>
    <w:rsid w:val="0054077C"/>
    <w:rsid w:val="00556FBD"/>
    <w:rsid w:val="00571A64"/>
    <w:rsid w:val="00590F96"/>
    <w:rsid w:val="005A736C"/>
    <w:rsid w:val="005E6927"/>
    <w:rsid w:val="006219F8"/>
    <w:rsid w:val="00626CB9"/>
    <w:rsid w:val="00646A2D"/>
    <w:rsid w:val="0065579C"/>
    <w:rsid w:val="0068760D"/>
    <w:rsid w:val="006C56E0"/>
    <w:rsid w:val="007844F1"/>
    <w:rsid w:val="00791A66"/>
    <w:rsid w:val="007978AC"/>
    <w:rsid w:val="007A4F3E"/>
    <w:rsid w:val="007E4C74"/>
    <w:rsid w:val="007E6AED"/>
    <w:rsid w:val="0082334C"/>
    <w:rsid w:val="00862859"/>
    <w:rsid w:val="0088588D"/>
    <w:rsid w:val="008A1D26"/>
    <w:rsid w:val="008A34E5"/>
    <w:rsid w:val="008C03C3"/>
    <w:rsid w:val="008C2AA1"/>
    <w:rsid w:val="008D1B34"/>
    <w:rsid w:val="008D4A5A"/>
    <w:rsid w:val="00902C4C"/>
    <w:rsid w:val="0091647C"/>
    <w:rsid w:val="009371D2"/>
    <w:rsid w:val="009833AD"/>
    <w:rsid w:val="009A74F5"/>
    <w:rsid w:val="009F1D5A"/>
    <w:rsid w:val="00A04474"/>
    <w:rsid w:val="00A109A3"/>
    <w:rsid w:val="00A34CC6"/>
    <w:rsid w:val="00A42486"/>
    <w:rsid w:val="00A941B5"/>
    <w:rsid w:val="00A95981"/>
    <w:rsid w:val="00AC1FA9"/>
    <w:rsid w:val="00AD527D"/>
    <w:rsid w:val="00AE0D56"/>
    <w:rsid w:val="00AF34B8"/>
    <w:rsid w:val="00AF36FF"/>
    <w:rsid w:val="00AF3B5B"/>
    <w:rsid w:val="00AF46D5"/>
    <w:rsid w:val="00B24BD0"/>
    <w:rsid w:val="00B4221B"/>
    <w:rsid w:val="00B44E4C"/>
    <w:rsid w:val="00B61C35"/>
    <w:rsid w:val="00B942CB"/>
    <w:rsid w:val="00BA4D5F"/>
    <w:rsid w:val="00BA5623"/>
    <w:rsid w:val="00BB1D93"/>
    <w:rsid w:val="00BC2935"/>
    <w:rsid w:val="00BE1502"/>
    <w:rsid w:val="00C2557D"/>
    <w:rsid w:val="00C25CB5"/>
    <w:rsid w:val="00C3154A"/>
    <w:rsid w:val="00C37F41"/>
    <w:rsid w:val="00C454DF"/>
    <w:rsid w:val="00C50932"/>
    <w:rsid w:val="00C73526"/>
    <w:rsid w:val="00C87D52"/>
    <w:rsid w:val="00CE4FD7"/>
    <w:rsid w:val="00CE5418"/>
    <w:rsid w:val="00D10BD4"/>
    <w:rsid w:val="00D53C06"/>
    <w:rsid w:val="00D541C8"/>
    <w:rsid w:val="00D5626E"/>
    <w:rsid w:val="00D71ADD"/>
    <w:rsid w:val="00D867EF"/>
    <w:rsid w:val="00D86DAE"/>
    <w:rsid w:val="00D92B63"/>
    <w:rsid w:val="00D9409B"/>
    <w:rsid w:val="00DA4552"/>
    <w:rsid w:val="00DA52B0"/>
    <w:rsid w:val="00DF15F6"/>
    <w:rsid w:val="00DF4DCE"/>
    <w:rsid w:val="00E26257"/>
    <w:rsid w:val="00E864B9"/>
    <w:rsid w:val="00E93AD3"/>
    <w:rsid w:val="00E96ACA"/>
    <w:rsid w:val="00EB3B67"/>
    <w:rsid w:val="00ED18B0"/>
    <w:rsid w:val="00EE0DA2"/>
    <w:rsid w:val="00F07ACA"/>
    <w:rsid w:val="00F14A6A"/>
    <w:rsid w:val="00F15254"/>
    <w:rsid w:val="00F2567C"/>
    <w:rsid w:val="00F76949"/>
    <w:rsid w:val="00F85554"/>
    <w:rsid w:val="00F94DCB"/>
    <w:rsid w:val="00FD0DEB"/>
    <w:rsid w:val="00FE21A9"/>
    <w:rsid w:val="00FF2630"/>
    <w:rsid w:val="01A131C3"/>
    <w:rsid w:val="01FB18B7"/>
    <w:rsid w:val="024B3ED5"/>
    <w:rsid w:val="032C2CC0"/>
    <w:rsid w:val="03F95510"/>
    <w:rsid w:val="050161E5"/>
    <w:rsid w:val="05545442"/>
    <w:rsid w:val="056915AB"/>
    <w:rsid w:val="057B705B"/>
    <w:rsid w:val="07555753"/>
    <w:rsid w:val="07C81FF8"/>
    <w:rsid w:val="09837BF5"/>
    <w:rsid w:val="0B043AC3"/>
    <w:rsid w:val="0CA16AA5"/>
    <w:rsid w:val="0D5E33E4"/>
    <w:rsid w:val="0E986DA6"/>
    <w:rsid w:val="10E96DCA"/>
    <w:rsid w:val="11A97B1A"/>
    <w:rsid w:val="12173371"/>
    <w:rsid w:val="12EE04EB"/>
    <w:rsid w:val="142E2B41"/>
    <w:rsid w:val="146050F4"/>
    <w:rsid w:val="15097FDB"/>
    <w:rsid w:val="150E1C7B"/>
    <w:rsid w:val="15326481"/>
    <w:rsid w:val="15861A43"/>
    <w:rsid w:val="15F1076B"/>
    <w:rsid w:val="16206B3A"/>
    <w:rsid w:val="16A57807"/>
    <w:rsid w:val="17084D5A"/>
    <w:rsid w:val="188E1215"/>
    <w:rsid w:val="18B11774"/>
    <w:rsid w:val="19EE2BE9"/>
    <w:rsid w:val="1A291462"/>
    <w:rsid w:val="1A9221AF"/>
    <w:rsid w:val="1AB23A71"/>
    <w:rsid w:val="1B0978C3"/>
    <w:rsid w:val="1BDD60C2"/>
    <w:rsid w:val="1BEC669B"/>
    <w:rsid w:val="1C0559C8"/>
    <w:rsid w:val="1DCA3D55"/>
    <w:rsid w:val="1E1060D3"/>
    <w:rsid w:val="1E3265FA"/>
    <w:rsid w:val="1FE932D4"/>
    <w:rsid w:val="1FF041AE"/>
    <w:rsid w:val="1FFE717E"/>
    <w:rsid w:val="20055C73"/>
    <w:rsid w:val="20076CF3"/>
    <w:rsid w:val="201C0001"/>
    <w:rsid w:val="204E7819"/>
    <w:rsid w:val="20A372F0"/>
    <w:rsid w:val="20CB4BB3"/>
    <w:rsid w:val="213E16CC"/>
    <w:rsid w:val="21470C8B"/>
    <w:rsid w:val="216F55CD"/>
    <w:rsid w:val="21F07040"/>
    <w:rsid w:val="22702DA9"/>
    <w:rsid w:val="22902033"/>
    <w:rsid w:val="22F14622"/>
    <w:rsid w:val="23997488"/>
    <w:rsid w:val="24185F38"/>
    <w:rsid w:val="24744770"/>
    <w:rsid w:val="249267E9"/>
    <w:rsid w:val="25D71F2A"/>
    <w:rsid w:val="276B0F6B"/>
    <w:rsid w:val="27B619BA"/>
    <w:rsid w:val="29370BA0"/>
    <w:rsid w:val="29FE6D57"/>
    <w:rsid w:val="2A9653EA"/>
    <w:rsid w:val="2AF0519A"/>
    <w:rsid w:val="2B3505C9"/>
    <w:rsid w:val="2B7251A1"/>
    <w:rsid w:val="2BA06E91"/>
    <w:rsid w:val="2D0F3610"/>
    <w:rsid w:val="2DAF6AA4"/>
    <w:rsid w:val="2E447434"/>
    <w:rsid w:val="2F2203D9"/>
    <w:rsid w:val="2F7401D4"/>
    <w:rsid w:val="2F7470F0"/>
    <w:rsid w:val="308630DB"/>
    <w:rsid w:val="310877D6"/>
    <w:rsid w:val="311114DA"/>
    <w:rsid w:val="31996818"/>
    <w:rsid w:val="322F25BC"/>
    <w:rsid w:val="325272D3"/>
    <w:rsid w:val="3282567F"/>
    <w:rsid w:val="32AF1344"/>
    <w:rsid w:val="337C71E2"/>
    <w:rsid w:val="33ED6206"/>
    <w:rsid w:val="34222F33"/>
    <w:rsid w:val="345E6417"/>
    <w:rsid w:val="34755852"/>
    <w:rsid w:val="348A3282"/>
    <w:rsid w:val="35D82F96"/>
    <w:rsid w:val="3601309E"/>
    <w:rsid w:val="36A6576C"/>
    <w:rsid w:val="373778B4"/>
    <w:rsid w:val="379D2C7F"/>
    <w:rsid w:val="37A458DA"/>
    <w:rsid w:val="37CF580A"/>
    <w:rsid w:val="384E752E"/>
    <w:rsid w:val="39135CA7"/>
    <w:rsid w:val="394C6EB2"/>
    <w:rsid w:val="3A774A34"/>
    <w:rsid w:val="3AE96DA9"/>
    <w:rsid w:val="3BFA02F7"/>
    <w:rsid w:val="3C7D414C"/>
    <w:rsid w:val="3CC309AB"/>
    <w:rsid w:val="3E1129E2"/>
    <w:rsid w:val="3E142187"/>
    <w:rsid w:val="3E780D76"/>
    <w:rsid w:val="405B2D0B"/>
    <w:rsid w:val="40664C8A"/>
    <w:rsid w:val="40F85902"/>
    <w:rsid w:val="42AA28AA"/>
    <w:rsid w:val="43436E77"/>
    <w:rsid w:val="43F37E46"/>
    <w:rsid w:val="44123AED"/>
    <w:rsid w:val="44C85855"/>
    <w:rsid w:val="45000F8C"/>
    <w:rsid w:val="45697947"/>
    <w:rsid w:val="46D83F4D"/>
    <w:rsid w:val="47DD19DA"/>
    <w:rsid w:val="48CD242C"/>
    <w:rsid w:val="496B0759"/>
    <w:rsid w:val="4A6B0188"/>
    <w:rsid w:val="4ABB1D38"/>
    <w:rsid w:val="4AE745DB"/>
    <w:rsid w:val="4C1D7892"/>
    <w:rsid w:val="4D5E548A"/>
    <w:rsid w:val="4E3917D8"/>
    <w:rsid w:val="4EB67BBA"/>
    <w:rsid w:val="4EF318AC"/>
    <w:rsid w:val="50225853"/>
    <w:rsid w:val="50D864D3"/>
    <w:rsid w:val="51086967"/>
    <w:rsid w:val="513F2C99"/>
    <w:rsid w:val="516E4782"/>
    <w:rsid w:val="528F266F"/>
    <w:rsid w:val="52F952BE"/>
    <w:rsid w:val="53243C8C"/>
    <w:rsid w:val="534A24ED"/>
    <w:rsid w:val="53AF4999"/>
    <w:rsid w:val="548C30FC"/>
    <w:rsid w:val="55675746"/>
    <w:rsid w:val="556E394C"/>
    <w:rsid w:val="55797C08"/>
    <w:rsid w:val="562847D2"/>
    <w:rsid w:val="59F561A9"/>
    <w:rsid w:val="5A6F5206"/>
    <w:rsid w:val="5AE47268"/>
    <w:rsid w:val="5DAE5A52"/>
    <w:rsid w:val="5E0D0BDF"/>
    <w:rsid w:val="5F253730"/>
    <w:rsid w:val="5F5D78DC"/>
    <w:rsid w:val="5FC657A3"/>
    <w:rsid w:val="601F0EAE"/>
    <w:rsid w:val="602E7188"/>
    <w:rsid w:val="608E0B55"/>
    <w:rsid w:val="620675AB"/>
    <w:rsid w:val="622B13D1"/>
    <w:rsid w:val="62AC7955"/>
    <w:rsid w:val="62B73D4C"/>
    <w:rsid w:val="63490652"/>
    <w:rsid w:val="64A86918"/>
    <w:rsid w:val="64E33708"/>
    <w:rsid w:val="650E0CE2"/>
    <w:rsid w:val="65CD15D6"/>
    <w:rsid w:val="675E4612"/>
    <w:rsid w:val="68F93880"/>
    <w:rsid w:val="6951565F"/>
    <w:rsid w:val="69552DD1"/>
    <w:rsid w:val="69CB6804"/>
    <w:rsid w:val="6BE256D4"/>
    <w:rsid w:val="6C15171F"/>
    <w:rsid w:val="6DED7B6E"/>
    <w:rsid w:val="6E083216"/>
    <w:rsid w:val="6E8A7348"/>
    <w:rsid w:val="6E9256FE"/>
    <w:rsid w:val="6EA70D04"/>
    <w:rsid w:val="6EC5277F"/>
    <w:rsid w:val="6F2B5042"/>
    <w:rsid w:val="6F5442C8"/>
    <w:rsid w:val="70ED3E4C"/>
    <w:rsid w:val="711A28E5"/>
    <w:rsid w:val="71482881"/>
    <w:rsid w:val="71D2493E"/>
    <w:rsid w:val="71DB227A"/>
    <w:rsid w:val="723122EE"/>
    <w:rsid w:val="72794FA7"/>
    <w:rsid w:val="730C2F2A"/>
    <w:rsid w:val="739B5F35"/>
    <w:rsid w:val="741A20CB"/>
    <w:rsid w:val="75762924"/>
    <w:rsid w:val="75FC38B9"/>
    <w:rsid w:val="76592B1C"/>
    <w:rsid w:val="768A5494"/>
    <w:rsid w:val="77854E73"/>
    <w:rsid w:val="797E31CB"/>
    <w:rsid w:val="7A277A18"/>
    <w:rsid w:val="7A9A1A11"/>
    <w:rsid w:val="7B095FB2"/>
    <w:rsid w:val="7B9157EC"/>
    <w:rsid w:val="7BB578CB"/>
    <w:rsid w:val="7C3D28A5"/>
    <w:rsid w:val="7C5B0643"/>
    <w:rsid w:val="7CA13F21"/>
    <w:rsid w:val="7DDF4CE6"/>
    <w:rsid w:val="7E071097"/>
    <w:rsid w:val="7E463F5C"/>
    <w:rsid w:val="7E611631"/>
    <w:rsid w:val="7E6B05F1"/>
    <w:rsid w:val="7E6B3D8A"/>
    <w:rsid w:val="7F396B86"/>
    <w:rsid w:val="7F66699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annotation text"/>
    <w:basedOn w:val="1"/>
    <w:link w:val="12"/>
    <w:qFormat/>
    <w:uiPriority w:val="99"/>
    <w:pPr>
      <w:jc w:val="left"/>
    </w:pPr>
  </w:style>
  <w:style w:type="paragraph" w:styleId="3">
    <w:name w:val="Body Text Indent"/>
    <w:basedOn w:val="1"/>
    <w:qFormat/>
    <w:uiPriority w:val="0"/>
    <w:pPr>
      <w:ind w:firstLine="600" w:firstLineChars="200"/>
    </w:pPr>
    <w:rPr>
      <w:rFonts w:eastAsia="仿宋_GB2312"/>
      <w:sz w:val="30"/>
      <w:szCs w:val="24"/>
    </w:rPr>
  </w:style>
  <w:style w:type="paragraph" w:styleId="4">
    <w:name w:val="Balloon Text"/>
    <w:basedOn w:val="1"/>
    <w:link w:val="13"/>
    <w:qFormat/>
    <w:uiPriority w:val="0"/>
    <w:rPr>
      <w:sz w:val="18"/>
      <w:szCs w:val="18"/>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4"/>
    <w:qFormat/>
    <w:uiPriority w:val="0"/>
    <w:rPr>
      <w:b/>
      <w:bCs/>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qFormat/>
    <w:uiPriority w:val="0"/>
    <w:rPr>
      <w:sz w:val="21"/>
      <w:szCs w:val="21"/>
    </w:rPr>
  </w:style>
  <w:style w:type="character" w:customStyle="1" w:styleId="12">
    <w:name w:val="批注文字 Char"/>
    <w:link w:val="2"/>
    <w:qFormat/>
    <w:uiPriority w:val="99"/>
    <w:rPr>
      <w:kern w:val="2"/>
      <w:sz w:val="21"/>
      <w:szCs w:val="22"/>
    </w:rPr>
  </w:style>
  <w:style w:type="character" w:customStyle="1" w:styleId="13">
    <w:name w:val="批注框文本 Char"/>
    <w:link w:val="4"/>
    <w:qFormat/>
    <w:uiPriority w:val="0"/>
    <w:rPr>
      <w:kern w:val="2"/>
      <w:sz w:val="18"/>
      <w:szCs w:val="18"/>
    </w:rPr>
  </w:style>
  <w:style w:type="character" w:customStyle="1" w:styleId="14">
    <w:name w:val="批注主题 Char"/>
    <w:link w:val="7"/>
    <w:qFormat/>
    <w:uiPriority w:val="0"/>
  </w:style>
  <w:style w:type="character" w:customStyle="1" w:styleId="15">
    <w:name w:val="fontstyle01"/>
    <w:qFormat/>
    <w:uiPriority w:val="0"/>
    <w:rPr>
      <w:rFonts w:ascii="黑体" w:hAnsi="宋体" w:eastAsia="黑体" w:cs="黑体"/>
      <w:color w:val="000000"/>
      <w:sz w:val="32"/>
      <w:szCs w:val="32"/>
    </w:rPr>
  </w:style>
  <w:style w:type="paragraph" w:customStyle="1" w:styleId="16">
    <w:name w:val="修订1"/>
    <w:unhideWhenUsed/>
    <w:qFormat/>
    <w:uiPriority w:val="99"/>
    <w:rPr>
      <w:rFonts w:ascii="Times New Roman" w:hAnsi="Times New Roman" w:eastAsia="宋体" w:cs="Times New Roman"/>
      <w:kern w:val="2"/>
      <w:sz w:val="21"/>
      <w:szCs w:val="22"/>
      <w:lang w:val="en-US" w:eastAsia="zh-CN" w:bidi="ar-SA"/>
    </w:rPr>
  </w:style>
  <w:style w:type="paragraph" w:customStyle="1" w:styleId="17">
    <w:name w:val="列出段落1"/>
    <w:basedOn w:val="1"/>
    <w:qFormat/>
    <w:uiPriority w:val="34"/>
    <w:pPr>
      <w:ind w:firstLine="420" w:firstLineChars="200"/>
    </w:pPr>
  </w:style>
  <w:style w:type="paragraph" w:customStyle="1" w:styleId="18">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styleId="19">
    <w:name w:val="List Paragraph"/>
    <w:basedOn w:val="1"/>
    <w:qFormat/>
    <w:uiPriority w:val="99"/>
    <w:pPr>
      <w:ind w:firstLine="420" w:firstLineChars="200"/>
    </w:pPr>
  </w:style>
  <w:style w:type="paragraph" w:customStyle="1" w:styleId="20">
    <w:name w:val="Revisio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852</Words>
  <Characters>940</Characters>
  <Lines>7</Lines>
  <Paragraphs>2</Paragraphs>
  <TotalTime>0</TotalTime>
  <ScaleCrop>false</ScaleCrop>
  <LinksUpToDate>false</LinksUpToDate>
  <CharactersWithSpaces>956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2026-01-22T02:31:00Z</dcterms:created>
  <dc:creator>lenovo</dc:creator>
  <cp:lastModifiedBy>(^ω^)静</cp:lastModifiedBy>
  <cp:lastPrinted>2024-03-01T06:25:00Z</cp:lastPrinted>
  <dcterms:modified xsi:type="dcterms:W3CDTF">2026-04-03T07:43:28Z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B483F624D0C14415907B0D7B9DE211FE_13</vt:lpwstr>
  </property>
  <property fmtid="{D5CDD505-2E9C-101B-9397-08002B2CF9AE}" pid="4" name="KSOTemplateDocerSaveRecord">
    <vt:lpwstr>eyJoZGlkIjoiZGY4ZDQwYTRkMWY4ZjljYWQwNWJjYzE3NTRmZWI1ZTEiLCJ1c2VySWQiOiIzNDkwNzcyMzUifQ==</vt:lpwstr>
  </property>
</Properties>
</file>