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724A5">
      <w:pPr>
        <w:pStyle w:val="11"/>
        <w:spacing w:line="240" w:lineRule="auto"/>
        <w:ind w:firstLine="0" w:firstLineChars="0"/>
        <w:jc w:val="left"/>
        <w:outlineLvl w:val="0"/>
        <w:rPr>
          <w:rFonts w:hint="default" w:ascii="Times New Roman" w:hAnsi="Times New Roman" w:eastAsia="黑体" w:cs="Times New Roman"/>
          <w:color w:val="auto"/>
          <w:highlight w:val="none"/>
          <w:lang w:eastAsia="zh-CN"/>
        </w:rPr>
      </w:pPr>
      <w:bookmarkStart w:id="0" w:name="_Toc219456187"/>
      <w:bookmarkStart w:id="1" w:name="_Toc219379976"/>
      <w:bookmarkStart w:id="2" w:name="_Toc219383753"/>
      <w:bookmarkStart w:id="3" w:name="_Toc219461143"/>
      <w:bookmarkStart w:id="4" w:name="OLE_LINK7"/>
      <w:bookmarkStart w:id="5" w:name="_Toc223115267"/>
      <w:bookmarkStart w:id="6" w:name="_Toc223119755"/>
      <w:bookmarkStart w:id="7" w:name="OLE_LINK8"/>
      <w:r>
        <w:rPr>
          <w:rFonts w:hint="default" w:ascii="Times New Roman" w:hAnsi="Times New Roman" w:eastAsia="黑体" w:cs="Times New Roman"/>
          <w:color w:val="auto"/>
          <w:highlight w:val="none"/>
          <w:lang w:val="en-US" w:eastAsia="zh-CN"/>
        </w:rPr>
        <w:t xml:space="preserve"> </w:t>
      </w:r>
    </w:p>
    <w:p w14:paraId="7C15828A">
      <w:pPr>
        <w:ind w:firstLine="640"/>
        <w:rPr>
          <w:rFonts w:hint="default" w:ascii="Times New Roman" w:hAnsi="Times New Roman" w:cs="Times New Roman"/>
          <w:color w:val="auto"/>
          <w:highlight w:val="none"/>
        </w:rPr>
      </w:pPr>
    </w:p>
    <w:p w14:paraId="603DD59A">
      <w:pPr>
        <w:pStyle w:val="11"/>
        <w:spacing w:line="240" w:lineRule="auto"/>
        <w:ind w:firstLine="0" w:firstLineChars="0"/>
        <w:jc w:val="center"/>
        <w:outlineLvl w:val="0"/>
        <w:rPr>
          <w:rFonts w:hint="default" w:ascii="Times New Roman" w:hAnsi="Times New Roman" w:eastAsia="方正小标宋_GBK" w:cs="Times New Roman"/>
          <w:color w:val="auto"/>
          <w:sz w:val="52"/>
          <w:szCs w:val="52"/>
          <w:highlight w:val="none"/>
        </w:rPr>
      </w:pPr>
      <w:bookmarkStart w:id="8" w:name="_Toc223187424"/>
      <w:bookmarkStart w:id="9" w:name="_Toc223120989"/>
      <w:bookmarkStart w:id="17" w:name="_GoBack"/>
      <w:r>
        <w:rPr>
          <w:rFonts w:hint="eastAsia" w:eastAsia="方正小标宋_GBK" w:cs="Times New Roman"/>
          <w:color w:val="auto"/>
          <w:sz w:val="52"/>
          <w:szCs w:val="52"/>
          <w:highlight w:val="none"/>
          <w:lang w:val="en-US" w:eastAsia="zh-CN"/>
        </w:rPr>
        <w:t>五通桥区</w:t>
      </w:r>
      <w:r>
        <w:rPr>
          <w:rFonts w:hint="default" w:ascii="Times New Roman" w:hAnsi="Times New Roman" w:eastAsia="方正小标宋_GBK" w:cs="Times New Roman"/>
          <w:color w:val="auto"/>
          <w:sz w:val="52"/>
          <w:szCs w:val="52"/>
          <w:highlight w:val="none"/>
        </w:rPr>
        <w:t>国土空间总体规划</w:t>
      </w:r>
      <w:bookmarkEnd w:id="0"/>
      <w:bookmarkEnd w:id="1"/>
      <w:bookmarkEnd w:id="2"/>
      <w:bookmarkStart w:id="10" w:name="_Toc219379977"/>
      <w:bookmarkStart w:id="11" w:name="_Toc219383754"/>
      <w:bookmarkStart w:id="12" w:name="_Toc219456188"/>
      <w:r>
        <w:rPr>
          <w:rFonts w:hint="default" w:ascii="Times New Roman" w:hAnsi="Times New Roman" w:eastAsia="方正小标宋_GBK" w:cs="Times New Roman"/>
          <w:color w:val="auto"/>
          <w:sz w:val="52"/>
          <w:szCs w:val="52"/>
          <w:highlight w:val="none"/>
        </w:rPr>
        <w:t>（2021—2035年）</w:t>
      </w:r>
      <w:bookmarkEnd w:id="3"/>
      <w:bookmarkEnd w:id="4"/>
      <w:bookmarkEnd w:id="10"/>
      <w:bookmarkEnd w:id="11"/>
      <w:bookmarkEnd w:id="12"/>
      <w:bookmarkStart w:id="13" w:name="_Toc219456189"/>
      <w:bookmarkStart w:id="14" w:name="_Toc219383755"/>
      <w:bookmarkStart w:id="15" w:name="_Toc219379978"/>
      <w:bookmarkStart w:id="16" w:name="_Toc219461144"/>
      <w:r>
        <w:rPr>
          <w:rFonts w:hint="default" w:ascii="Times New Roman" w:hAnsi="Times New Roman" w:eastAsia="方正小标宋_GBK" w:cs="Times New Roman"/>
          <w:color w:val="auto"/>
          <w:sz w:val="52"/>
          <w:szCs w:val="52"/>
          <w:highlight w:val="none"/>
          <w:lang w:val="en-US" w:eastAsia="zh-CN"/>
        </w:rPr>
        <w:t>2026年度</w:t>
      </w:r>
      <w:r>
        <w:rPr>
          <w:rFonts w:hint="default" w:ascii="Times New Roman" w:hAnsi="Times New Roman" w:eastAsia="方正小标宋_GBK" w:cs="Times New Roman"/>
          <w:color w:val="auto"/>
          <w:sz w:val="52"/>
          <w:szCs w:val="52"/>
          <w:highlight w:val="none"/>
        </w:rPr>
        <w:t>动态维护方案</w:t>
      </w:r>
      <w:bookmarkEnd w:id="5"/>
      <w:bookmarkEnd w:id="6"/>
      <w:bookmarkEnd w:id="8"/>
      <w:bookmarkEnd w:id="9"/>
      <w:bookmarkEnd w:id="13"/>
      <w:bookmarkEnd w:id="14"/>
      <w:bookmarkEnd w:id="15"/>
      <w:bookmarkEnd w:id="16"/>
      <w:bookmarkEnd w:id="17"/>
    </w:p>
    <w:bookmarkEnd w:id="7"/>
    <w:p w14:paraId="3F385D52">
      <w:pPr>
        <w:pStyle w:val="11"/>
        <w:spacing w:line="240" w:lineRule="auto"/>
        <w:ind w:firstLine="0" w:firstLineChars="0"/>
        <w:jc w:val="center"/>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lang w:val="en-US" w:eastAsia="zh-CN"/>
        </w:rPr>
        <w:t xml:space="preserve"> </w:t>
      </w:r>
    </w:p>
    <w:p w14:paraId="7060ED99">
      <w:pPr>
        <w:pStyle w:val="11"/>
        <w:spacing w:line="240" w:lineRule="auto"/>
        <w:ind w:firstLine="0" w:firstLineChars="0"/>
        <w:jc w:val="cente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 xml:space="preserve"> （公示稿）</w:t>
      </w:r>
    </w:p>
    <w:p w14:paraId="51880C7A">
      <w:pPr>
        <w:ind w:firstLine="640"/>
        <w:rPr>
          <w:rFonts w:hint="default" w:ascii="Times New Roman" w:hAnsi="Times New Roman" w:cs="Times New Roman"/>
          <w:color w:val="auto"/>
          <w:highlight w:val="none"/>
        </w:rPr>
      </w:pPr>
    </w:p>
    <w:p w14:paraId="00859541">
      <w:pPr>
        <w:ind w:firstLine="640"/>
        <w:rPr>
          <w:rFonts w:hint="default" w:ascii="Times New Roman" w:hAnsi="Times New Roman" w:cs="Times New Roman"/>
          <w:color w:val="auto"/>
          <w:highlight w:val="none"/>
        </w:rPr>
      </w:pPr>
    </w:p>
    <w:p w14:paraId="1FBB9EFB">
      <w:pPr>
        <w:ind w:firstLine="640"/>
        <w:rPr>
          <w:rFonts w:hint="default" w:ascii="Times New Roman" w:hAnsi="Times New Roman" w:cs="Times New Roman"/>
          <w:color w:val="auto"/>
          <w:highlight w:val="none"/>
        </w:rPr>
      </w:pPr>
    </w:p>
    <w:p w14:paraId="7BCEB7C8">
      <w:pPr>
        <w:ind w:firstLine="640"/>
        <w:rPr>
          <w:rFonts w:hint="default" w:ascii="Times New Roman" w:hAnsi="Times New Roman" w:cs="Times New Roman"/>
          <w:color w:val="auto"/>
          <w:highlight w:val="none"/>
        </w:rPr>
      </w:pPr>
    </w:p>
    <w:p w14:paraId="446D6CA1">
      <w:pPr>
        <w:ind w:firstLine="640"/>
        <w:rPr>
          <w:rFonts w:hint="default" w:ascii="Times New Roman" w:hAnsi="Times New Roman" w:cs="Times New Roman"/>
          <w:color w:val="auto"/>
          <w:highlight w:val="none"/>
        </w:rPr>
      </w:pPr>
    </w:p>
    <w:p w14:paraId="34ED2D30">
      <w:pPr>
        <w:ind w:firstLine="640"/>
        <w:rPr>
          <w:rFonts w:hint="default" w:ascii="Times New Roman" w:hAnsi="Times New Roman" w:cs="Times New Roman"/>
          <w:color w:val="auto"/>
          <w:highlight w:val="none"/>
        </w:rPr>
      </w:pPr>
    </w:p>
    <w:p w14:paraId="09EB55F8">
      <w:pPr>
        <w:ind w:firstLine="640"/>
        <w:rPr>
          <w:rFonts w:hint="default" w:ascii="Times New Roman" w:hAnsi="Times New Roman" w:cs="Times New Roman"/>
          <w:color w:val="auto"/>
          <w:highlight w:val="none"/>
        </w:rPr>
      </w:pPr>
    </w:p>
    <w:p w14:paraId="244DC22B">
      <w:pPr>
        <w:ind w:firstLine="640"/>
        <w:rPr>
          <w:rFonts w:hint="default" w:ascii="Times New Roman" w:hAnsi="Times New Roman" w:cs="Times New Roman"/>
          <w:color w:val="auto"/>
          <w:highlight w:val="none"/>
        </w:rPr>
      </w:pPr>
    </w:p>
    <w:p w14:paraId="561EB281">
      <w:pPr>
        <w:ind w:firstLine="640"/>
        <w:rPr>
          <w:rFonts w:hint="default" w:ascii="Times New Roman" w:hAnsi="Times New Roman" w:cs="Times New Roman"/>
          <w:color w:val="auto"/>
          <w:highlight w:val="none"/>
        </w:rPr>
      </w:pPr>
    </w:p>
    <w:p w14:paraId="72B2D241">
      <w:pPr>
        <w:ind w:firstLine="640"/>
        <w:rPr>
          <w:rFonts w:hint="default" w:ascii="Times New Roman" w:hAnsi="Times New Roman" w:cs="Times New Roman"/>
          <w:color w:val="auto"/>
          <w:highlight w:val="none"/>
        </w:rPr>
      </w:pPr>
    </w:p>
    <w:p w14:paraId="51390E2F">
      <w:pPr>
        <w:ind w:firstLine="640"/>
        <w:rPr>
          <w:rFonts w:hint="default" w:ascii="Times New Roman" w:hAnsi="Times New Roman" w:cs="Times New Roman"/>
          <w:color w:val="auto"/>
          <w:highlight w:val="none"/>
        </w:rPr>
      </w:pPr>
    </w:p>
    <w:p w14:paraId="14E2039C">
      <w:pPr>
        <w:pStyle w:val="11"/>
        <w:ind w:firstLine="0" w:firstLineChars="0"/>
        <w:jc w:val="center"/>
        <w:rPr>
          <w:rFonts w:hint="default" w:ascii="Times New Roman" w:hAnsi="Times New Roman" w:eastAsia="楷体_GB2312" w:cs="Times New Roman"/>
          <w:color w:val="auto"/>
          <w:sz w:val="28"/>
          <w:szCs w:val="28"/>
          <w:highlight w:val="none"/>
        </w:rPr>
      </w:pPr>
      <w:r>
        <w:rPr>
          <w:rFonts w:hint="eastAsia" w:eastAsia="楷体_GB2312" w:cs="Times New Roman"/>
          <w:color w:val="auto"/>
          <w:sz w:val="28"/>
          <w:szCs w:val="28"/>
          <w:highlight w:val="none"/>
          <w:lang w:val="en-US" w:eastAsia="zh-CN"/>
        </w:rPr>
        <w:t>五通桥区</w:t>
      </w:r>
      <w:r>
        <w:rPr>
          <w:rFonts w:hint="default" w:ascii="Times New Roman" w:hAnsi="Times New Roman" w:eastAsia="楷体_GB2312" w:cs="Times New Roman"/>
          <w:color w:val="auto"/>
          <w:sz w:val="28"/>
          <w:szCs w:val="28"/>
          <w:highlight w:val="none"/>
        </w:rPr>
        <w:t>人民政府</w:t>
      </w:r>
    </w:p>
    <w:p w14:paraId="6E2CFBE4">
      <w:pPr>
        <w:pStyle w:val="11"/>
        <w:ind w:firstLine="0" w:firstLineChars="0"/>
        <w:jc w:val="center"/>
        <w:rPr>
          <w:rFonts w:hint="default" w:ascii="Times New Roman" w:hAnsi="Times New Roman" w:eastAsia="楷体_GB2312" w:cs="Times New Roman"/>
          <w:color w:val="auto"/>
          <w:sz w:val="28"/>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474" w:gutter="0"/>
          <w:cols w:space="425" w:num="1"/>
          <w:docGrid w:type="linesAndChars" w:linePitch="435" w:charSpace="0"/>
        </w:sectPr>
      </w:pPr>
      <w:r>
        <w:rPr>
          <w:rFonts w:hint="default" w:ascii="Times New Roman" w:hAnsi="Times New Roman" w:eastAsia="楷体_GB2312" w:cs="Times New Roman"/>
          <w:color w:val="auto"/>
          <w:sz w:val="28"/>
          <w:szCs w:val="28"/>
          <w:highlight w:val="none"/>
        </w:rPr>
        <w:t>（</w:t>
      </w:r>
      <w:r>
        <w:rPr>
          <w:rFonts w:hint="default" w:ascii="Times New Roman" w:hAnsi="Times New Roman" w:eastAsia="楷体_GB2312" w:cs="Times New Roman"/>
          <w:color w:val="auto"/>
          <w:sz w:val="28"/>
          <w:szCs w:val="28"/>
          <w:highlight w:val="none"/>
          <w:lang w:val="en-US" w:eastAsia="zh-CN"/>
        </w:rPr>
        <w:t>2026</w:t>
      </w:r>
      <w:r>
        <w:rPr>
          <w:rFonts w:hint="default" w:ascii="Times New Roman" w:hAnsi="Times New Roman" w:eastAsia="楷体_GB2312" w:cs="Times New Roman"/>
          <w:color w:val="auto"/>
          <w:sz w:val="28"/>
          <w:szCs w:val="28"/>
          <w:highlight w:val="none"/>
        </w:rPr>
        <w:t>年</w:t>
      </w:r>
      <w:r>
        <w:rPr>
          <w:rFonts w:hint="eastAsia" w:eastAsia="楷体_GB2312" w:cs="Times New Roman"/>
          <w:color w:val="auto"/>
          <w:sz w:val="28"/>
          <w:szCs w:val="28"/>
          <w:highlight w:val="none"/>
          <w:lang w:val="en-US" w:eastAsia="zh-CN"/>
        </w:rPr>
        <w:t>5</w:t>
      </w:r>
      <w:r>
        <w:rPr>
          <w:rFonts w:hint="default" w:ascii="Times New Roman" w:hAnsi="Times New Roman" w:eastAsia="楷体_GB2312" w:cs="Times New Roman"/>
          <w:color w:val="auto"/>
          <w:sz w:val="28"/>
          <w:szCs w:val="28"/>
          <w:highlight w:val="none"/>
        </w:rPr>
        <w:t>月）</w:t>
      </w:r>
    </w:p>
    <w:p w14:paraId="5B790E5E">
      <w:pPr>
        <w:pStyle w:val="3"/>
        <w:ind w:firstLine="643"/>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工作背景</w:t>
      </w:r>
    </w:p>
    <w:p w14:paraId="4CC0EFAA">
      <w:pPr>
        <w:rPr>
          <w:rFonts w:hint="default" w:ascii="Times New Roman" w:hAnsi="Times New Roman" w:cs="Times New Roman"/>
          <w:color w:val="auto"/>
          <w:sz w:val="32"/>
          <w:highlight w:val="none"/>
          <w:lang w:val="en-US" w:eastAsia="zh-CN"/>
        </w:rPr>
      </w:pPr>
      <w:r>
        <w:rPr>
          <w:rFonts w:hint="default" w:ascii="Times New Roman" w:hAnsi="Times New Roman" w:eastAsia="仿宋_GB2312" w:cs="Times New Roman"/>
          <w:color w:val="auto"/>
          <w:sz w:val="32"/>
          <w:highlight w:val="none"/>
          <w:lang w:eastAsia="zh-CN"/>
        </w:rPr>
        <w:t>为深入贯彻落实自然资源部、省自然资源厅关于国土空间总体规划动态调整完善工作的系列部署，切实保障“十五五”时期</w:t>
      </w:r>
      <w:r>
        <w:rPr>
          <w:rFonts w:hint="eastAsia" w:cs="Times New Roman"/>
          <w:color w:val="auto"/>
          <w:sz w:val="32"/>
          <w:highlight w:val="none"/>
          <w:lang w:val="en-US" w:eastAsia="zh-CN"/>
        </w:rPr>
        <w:t>五通桥区</w:t>
      </w:r>
      <w:r>
        <w:rPr>
          <w:rFonts w:hint="default" w:ascii="Times New Roman" w:hAnsi="Times New Roman" w:eastAsia="仿宋_GB2312" w:cs="Times New Roman"/>
          <w:color w:val="auto"/>
          <w:sz w:val="32"/>
          <w:highlight w:val="none"/>
          <w:lang w:eastAsia="zh-CN"/>
        </w:rPr>
        <w:t>经济社会高质量发展空间需求，依据《四川省自然资源厅关于开展国土空间总体规划动态调整完善工作的通知》（川自然资函〔2026〕25号）及《四川省国土空间总体规划动态维护工作技术方案（2026年3月版）》（川自然资办函〔2026〕16号）等文件要求，</w:t>
      </w:r>
      <w:r>
        <w:rPr>
          <w:rFonts w:hint="default" w:ascii="Times New Roman" w:hAnsi="Times New Roman" w:eastAsia="仿宋_GB2312" w:cs="Times New Roman"/>
          <w:color w:val="auto"/>
          <w:sz w:val="32"/>
          <w:highlight w:val="none"/>
          <w:lang w:val="en-US" w:eastAsia="zh-CN"/>
        </w:rPr>
        <w:t>我局</w:t>
      </w:r>
      <w:r>
        <w:rPr>
          <w:rFonts w:hint="default" w:ascii="Times New Roman" w:hAnsi="Times New Roman" w:cs="Times New Roman"/>
          <w:color w:val="auto"/>
          <w:sz w:val="32"/>
          <w:highlight w:val="none"/>
          <w:lang w:val="en-US" w:eastAsia="zh-CN"/>
        </w:rPr>
        <w:t>组织编制了《</w:t>
      </w:r>
      <w:r>
        <w:rPr>
          <w:rFonts w:hint="eastAsia" w:cs="Times New Roman"/>
          <w:color w:val="auto"/>
          <w:sz w:val="32"/>
          <w:highlight w:val="none"/>
          <w:lang w:val="en-US" w:eastAsia="zh-CN"/>
        </w:rPr>
        <w:t>五通桥区</w:t>
      </w:r>
      <w:r>
        <w:rPr>
          <w:rFonts w:hint="default" w:ascii="Times New Roman" w:hAnsi="Times New Roman" w:cs="Times New Roman"/>
          <w:color w:val="auto"/>
          <w:sz w:val="32"/>
          <w:highlight w:val="none"/>
          <w:lang w:val="en-US" w:eastAsia="zh-CN"/>
        </w:rPr>
        <w:t>国土空间总体规划（2021—2035年）2026年度动态维护方案》（以下简称《方案》）。</w:t>
      </w:r>
    </w:p>
    <w:p w14:paraId="799B3071">
      <w:pPr>
        <w:pStyle w:val="3"/>
        <w:ind w:firstLine="64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编制依据</w:t>
      </w:r>
    </w:p>
    <w:p w14:paraId="6D448F3B">
      <w:pPr>
        <w:ind w:firstLine="64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《中共中央</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国务院关于建立国土空间规划体系并监督实施的若干意见》（中发〔2019〕18号）</w:t>
      </w:r>
    </w:p>
    <w:p w14:paraId="7A37BEA5">
      <w:pPr>
        <w:ind w:firstLine="64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《自然资源部国家林业和草原局关于进一步做好自然资源要素保障的通知》（自然资发〔2026〕38号）</w:t>
      </w:r>
    </w:p>
    <w:p w14:paraId="4799B5A7">
      <w:pPr>
        <w:ind w:firstLine="64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《自然资源部关于印发〈城镇开发边界管理办法（试行）〉的通知》（自然资规〔2026〕1号）</w:t>
      </w:r>
    </w:p>
    <w:p w14:paraId="6EDAAF4B">
      <w:pPr>
        <w:ind w:firstLine="64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《永久基本农田保护红线管理办法》（自然资源部、农业农村部令第17号）</w:t>
      </w:r>
    </w:p>
    <w:p w14:paraId="5683B21A">
      <w:pPr>
        <w:ind w:firstLine="64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《自然资源部办公厅 国家林业和草原局办公室 关于印发</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耕地保护和国土绿化空间专项规划编制工作方案</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的函》（自然资办函〔2026〕124号）</w:t>
      </w:r>
    </w:p>
    <w:p w14:paraId="155471FB">
      <w:pPr>
        <w:ind w:firstLine="64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《四川省耕地保护工作领导小组办公室 关于印发〈四川省耕地保护和国土绿化空间专项规划编制工作方案〉的通知》（川耕保领办〔2026〕4号）</w:t>
      </w:r>
    </w:p>
    <w:p w14:paraId="63A55830">
      <w:pPr>
        <w:ind w:firstLine="64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《四川省自然资源办公室 四川省林业和草原局办公室关于印发〈四川省耕地保护和国土绿化空间专项规划编制技术方案〉的通知》（川自然资办函〔2026〕15号）</w:t>
      </w:r>
    </w:p>
    <w:p w14:paraId="59351782">
      <w:pPr>
        <w:ind w:firstLine="64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《自然资源部国土空间规划局关于国土空间总体规划动态调整完善工作有关问题的答复》（自然资空间规划函〔2025〕411号）</w:t>
      </w:r>
    </w:p>
    <w:p w14:paraId="64D3A98B">
      <w:pPr>
        <w:ind w:firstLine="64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rPr>
        <w:t>《自然资源部国土空间规划局关于国土空间总体规划动态调整完善工作有关问题的答复（第二版）》（自然资空间规划函〔2026〕37号）</w:t>
      </w:r>
    </w:p>
    <w:p w14:paraId="271C391A">
      <w:pPr>
        <w:ind w:firstLine="64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10.</w:t>
      </w:r>
      <w:r>
        <w:rPr>
          <w:rFonts w:hint="default" w:ascii="Times New Roman" w:hAnsi="Times New Roman" w:cs="Times New Roman"/>
          <w:color w:val="auto"/>
          <w:highlight w:val="none"/>
        </w:rPr>
        <w:t>《四川省自然资源厅关于开展国土空间总体规划动态调整完善工作的通知》（川自然资函〔2026〕25号）</w:t>
      </w:r>
    </w:p>
    <w:p w14:paraId="70057CB0">
      <w:pPr>
        <w:pStyle w:val="3"/>
        <w:ind w:firstLine="64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编制范围</w:t>
      </w:r>
    </w:p>
    <w:p w14:paraId="1F136657">
      <w:pPr>
        <w:ind w:firstLine="640"/>
        <w:rPr>
          <w:rFonts w:hint="default" w:ascii="Times New Roman" w:hAnsi="Times New Roman" w:cs="Times New Roman"/>
          <w:color w:val="auto"/>
          <w:highlight w:val="none"/>
        </w:rPr>
      </w:pPr>
      <w:r>
        <w:rPr>
          <w:rFonts w:hint="default" w:ascii="Times New Roman" w:hAnsi="Times New Roman" w:cs="Times New Roman"/>
          <w:color w:val="auto"/>
          <w:kern w:val="0"/>
          <w:szCs w:val="32"/>
          <w:highlight w:val="none"/>
        </w:rPr>
        <w:t>规划范围为</w:t>
      </w:r>
      <w:r>
        <w:rPr>
          <w:rFonts w:hint="eastAsia" w:cs="Times New Roman"/>
          <w:color w:val="auto"/>
          <w:kern w:val="0"/>
          <w:szCs w:val="32"/>
          <w:highlight w:val="none"/>
          <w:lang w:val="en-US" w:eastAsia="zh-CN"/>
        </w:rPr>
        <w:t>五通桥区</w:t>
      </w:r>
      <w:r>
        <w:rPr>
          <w:rFonts w:hint="default" w:ascii="Times New Roman" w:hAnsi="Times New Roman" w:cs="Times New Roman"/>
          <w:color w:val="auto"/>
          <w:kern w:val="0"/>
          <w:szCs w:val="32"/>
          <w:highlight w:val="none"/>
        </w:rPr>
        <w:t>行政辖区全域，包括</w:t>
      </w:r>
      <w:r>
        <w:rPr>
          <w:rFonts w:hint="default" w:ascii="Times New Roman" w:hAnsi="Times New Roman" w:cs="Times New Roman"/>
          <w:color w:val="auto"/>
          <w:kern w:val="0"/>
          <w:szCs w:val="32"/>
          <w:highlight w:val="none"/>
          <w:lang w:val="en-US" w:eastAsia="zh-CN"/>
        </w:rPr>
        <w:t>竹根镇</w:t>
      </w:r>
      <w:r>
        <w:rPr>
          <w:rFonts w:hint="eastAsia" w:cs="Times New Roman"/>
          <w:color w:val="auto"/>
          <w:kern w:val="0"/>
          <w:szCs w:val="32"/>
          <w:highlight w:val="none"/>
          <w:lang w:val="en-US" w:eastAsia="zh-CN"/>
        </w:rPr>
        <w:t>、</w:t>
      </w:r>
      <w:r>
        <w:rPr>
          <w:rFonts w:hint="default" w:ascii="Times New Roman" w:hAnsi="Times New Roman" w:cs="Times New Roman"/>
          <w:color w:val="auto"/>
          <w:kern w:val="0"/>
          <w:szCs w:val="32"/>
          <w:highlight w:val="none"/>
          <w:lang w:val="en-US" w:eastAsia="zh-CN"/>
        </w:rPr>
        <w:t>金粟镇</w:t>
      </w:r>
      <w:r>
        <w:rPr>
          <w:rFonts w:hint="eastAsia" w:cs="Times New Roman"/>
          <w:color w:val="auto"/>
          <w:kern w:val="0"/>
          <w:szCs w:val="32"/>
          <w:highlight w:val="none"/>
          <w:lang w:val="en-US" w:eastAsia="zh-CN"/>
        </w:rPr>
        <w:t>、</w:t>
      </w:r>
      <w:r>
        <w:rPr>
          <w:rFonts w:hint="default" w:ascii="Times New Roman" w:hAnsi="Times New Roman" w:cs="Times New Roman"/>
          <w:color w:val="auto"/>
          <w:kern w:val="0"/>
          <w:szCs w:val="32"/>
          <w:highlight w:val="none"/>
          <w:lang w:val="en-US" w:eastAsia="zh-CN"/>
        </w:rPr>
        <w:t>牛华镇</w:t>
      </w:r>
      <w:r>
        <w:rPr>
          <w:rFonts w:hint="eastAsia" w:cs="Times New Roman"/>
          <w:color w:val="auto"/>
          <w:kern w:val="0"/>
          <w:szCs w:val="32"/>
          <w:highlight w:val="none"/>
          <w:lang w:val="en-US" w:eastAsia="zh-CN"/>
        </w:rPr>
        <w:t>、</w:t>
      </w:r>
      <w:r>
        <w:rPr>
          <w:rFonts w:hint="default" w:ascii="Times New Roman" w:hAnsi="Times New Roman" w:cs="Times New Roman"/>
          <w:color w:val="auto"/>
          <w:kern w:val="0"/>
          <w:szCs w:val="32"/>
          <w:highlight w:val="none"/>
          <w:lang w:val="en-US" w:eastAsia="zh-CN"/>
        </w:rPr>
        <w:t>金山镇</w:t>
      </w:r>
      <w:r>
        <w:rPr>
          <w:rFonts w:hint="eastAsia" w:cs="Times New Roman"/>
          <w:color w:val="auto"/>
          <w:kern w:val="0"/>
          <w:szCs w:val="32"/>
          <w:highlight w:val="none"/>
          <w:lang w:val="en-US" w:eastAsia="zh-CN"/>
        </w:rPr>
        <w:t>、</w:t>
      </w:r>
      <w:r>
        <w:rPr>
          <w:rFonts w:hint="default" w:ascii="Times New Roman" w:hAnsi="Times New Roman" w:cs="Times New Roman"/>
          <w:color w:val="auto"/>
          <w:kern w:val="0"/>
          <w:szCs w:val="32"/>
          <w:highlight w:val="none"/>
          <w:lang w:val="en-US" w:eastAsia="zh-CN"/>
        </w:rPr>
        <w:t>冠英镇</w:t>
      </w:r>
      <w:r>
        <w:rPr>
          <w:rFonts w:hint="eastAsia" w:cs="Times New Roman"/>
          <w:color w:val="auto"/>
          <w:kern w:val="0"/>
          <w:szCs w:val="32"/>
          <w:highlight w:val="none"/>
          <w:lang w:val="en-US" w:eastAsia="zh-CN"/>
        </w:rPr>
        <w:t>、</w:t>
      </w:r>
      <w:r>
        <w:rPr>
          <w:rFonts w:hint="default" w:ascii="Times New Roman" w:hAnsi="Times New Roman" w:cs="Times New Roman"/>
          <w:color w:val="auto"/>
          <w:kern w:val="0"/>
          <w:szCs w:val="32"/>
          <w:highlight w:val="none"/>
          <w:lang w:val="en-US" w:eastAsia="zh-CN"/>
        </w:rPr>
        <w:t>蔡金镇</w:t>
      </w:r>
      <w:r>
        <w:rPr>
          <w:rFonts w:hint="eastAsia" w:cs="Times New Roman"/>
          <w:color w:val="auto"/>
          <w:kern w:val="0"/>
          <w:szCs w:val="32"/>
          <w:highlight w:val="none"/>
          <w:lang w:val="en-US" w:eastAsia="zh-CN"/>
        </w:rPr>
        <w:t>、</w:t>
      </w:r>
      <w:r>
        <w:rPr>
          <w:rFonts w:hint="default" w:ascii="Times New Roman" w:hAnsi="Times New Roman" w:cs="Times New Roman"/>
          <w:color w:val="auto"/>
          <w:kern w:val="0"/>
          <w:szCs w:val="32"/>
          <w:highlight w:val="none"/>
          <w:lang w:val="en-US" w:eastAsia="zh-CN"/>
        </w:rPr>
        <w:t>西坝镇</w:t>
      </w:r>
      <w:r>
        <w:rPr>
          <w:rFonts w:hint="eastAsia" w:cs="Times New Roman"/>
          <w:color w:val="auto"/>
          <w:kern w:val="0"/>
          <w:szCs w:val="32"/>
          <w:highlight w:val="none"/>
          <w:lang w:val="en-US" w:eastAsia="zh-CN"/>
        </w:rPr>
        <w:t>、</w:t>
      </w:r>
      <w:r>
        <w:rPr>
          <w:rFonts w:hint="default" w:ascii="Times New Roman" w:hAnsi="Times New Roman" w:cs="Times New Roman"/>
          <w:color w:val="auto"/>
          <w:kern w:val="0"/>
          <w:szCs w:val="32"/>
          <w:highlight w:val="none"/>
          <w:lang w:val="en-US" w:eastAsia="zh-CN"/>
        </w:rPr>
        <w:t>石麟镇</w:t>
      </w:r>
      <w:r>
        <w:rPr>
          <w:rFonts w:hint="default" w:ascii="Times New Roman" w:hAnsi="Times New Roman" w:cs="Times New Roman"/>
          <w:color w:val="auto"/>
          <w:kern w:val="0"/>
          <w:szCs w:val="32"/>
          <w:highlight w:val="none"/>
        </w:rPr>
        <w:t>，总面积</w:t>
      </w:r>
      <w:r>
        <w:rPr>
          <w:rFonts w:hint="default" w:ascii="Times New Roman" w:hAnsi="Times New Roman" w:cs="Times New Roman"/>
          <w:color w:val="auto"/>
          <w:kern w:val="0"/>
          <w:szCs w:val="32"/>
          <w:highlight w:val="none"/>
          <w:lang w:val="en-US" w:eastAsia="zh-CN"/>
        </w:rPr>
        <w:t>465</w:t>
      </w:r>
      <w:r>
        <w:rPr>
          <w:rFonts w:hint="eastAsia" w:cs="Times New Roman"/>
          <w:color w:val="auto"/>
          <w:kern w:val="0"/>
          <w:szCs w:val="32"/>
          <w:highlight w:val="none"/>
          <w:lang w:val="en-US" w:eastAsia="zh-CN"/>
        </w:rPr>
        <w:t>.</w:t>
      </w:r>
      <w:r>
        <w:rPr>
          <w:rFonts w:hint="default" w:ascii="Times New Roman" w:hAnsi="Times New Roman" w:cs="Times New Roman"/>
          <w:color w:val="auto"/>
          <w:kern w:val="0"/>
          <w:szCs w:val="32"/>
          <w:highlight w:val="none"/>
          <w:lang w:val="en-US" w:eastAsia="zh-CN"/>
        </w:rPr>
        <w:t>52</w:t>
      </w:r>
      <w:r>
        <w:rPr>
          <w:rFonts w:hint="default" w:ascii="Times New Roman" w:hAnsi="Times New Roman" w:cs="Times New Roman"/>
          <w:color w:val="auto"/>
          <w:kern w:val="0"/>
          <w:szCs w:val="32"/>
          <w:highlight w:val="none"/>
        </w:rPr>
        <w:t>平方千米。</w:t>
      </w:r>
    </w:p>
    <w:p w14:paraId="3F19EA57">
      <w:pPr>
        <w:pStyle w:val="3"/>
        <w:ind w:firstLine="64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主要内容</w:t>
      </w:r>
    </w:p>
    <w:p w14:paraId="169E2C1F">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《方案》重点对三条控制线（永久基本农田、生态保护红线、城镇开发边界）、规划分区</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城市重要控制线、</w:t>
      </w:r>
      <w:r>
        <w:rPr>
          <w:rFonts w:hint="default" w:ascii="Times New Roman" w:hAnsi="Times New Roman" w:cs="Times New Roman"/>
          <w:color w:val="auto"/>
          <w:highlight w:val="none"/>
          <w:lang w:val="en-US" w:eastAsia="zh-CN"/>
        </w:rPr>
        <w:t>中心</w:t>
      </w:r>
      <w:r>
        <w:rPr>
          <w:rFonts w:hint="default" w:ascii="Times New Roman" w:hAnsi="Times New Roman" w:cs="Times New Roman"/>
          <w:color w:val="auto"/>
          <w:highlight w:val="none"/>
          <w:lang w:val="en-US" w:eastAsia="zh-CN"/>
        </w:rPr>
        <w:t>城区用地规划布局等进行正向优化，同时衔接“十五五”发展规划和专项规划，更新重点项目建设清单，保障“十五五”建设项目落地实施。《方案》主要内容如下：</w:t>
      </w:r>
    </w:p>
    <w:p w14:paraId="5E3B759F">
      <w:pPr>
        <w:pStyle w:val="4"/>
        <w:ind w:firstLine="643"/>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空间管控边界维护</w:t>
      </w:r>
    </w:p>
    <w:p w14:paraId="183727CF">
      <w:pPr>
        <w:keepNext/>
        <w:keepLines/>
        <w:widowControl w:val="0"/>
        <w:numPr>
          <w:ilvl w:val="2"/>
          <w:numId w:val="2"/>
        </w:numPr>
        <w:spacing w:line="560" w:lineRule="exact"/>
        <w:ind w:firstLine="643" w:firstLineChars="0"/>
        <w:jc w:val="both"/>
        <w:outlineLvl w:val="2"/>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永久基本农田正向优化</w:t>
      </w:r>
    </w:p>
    <w:p w14:paraId="3DF40304">
      <w:pPr>
        <w:pStyle w:val="2"/>
        <w:rPr>
          <w:rFonts w:hint="default" w:ascii="Times New Roman" w:hAnsi="Times New Roman" w:cs="Times New Roman"/>
          <w:color w:val="auto"/>
          <w:highlight w:val="none"/>
          <w:lang w:val="en-US" w:eastAsia="zh-CN"/>
        </w:rPr>
      </w:pPr>
    </w:p>
    <w:p w14:paraId="49E6C67E">
      <w:pPr>
        <w:keepNext w:val="0"/>
        <w:keepLines w:val="0"/>
        <w:widowControl/>
        <w:suppressLineNumbers w:val="0"/>
        <w:jc w:val="left"/>
        <w:rPr>
          <w:rFonts w:hint="default" w:ascii="Times New Roman" w:hAnsi="Times New Roman" w:eastAsia="仿宋_GB2312" w:cs="Times New Roman"/>
          <w:color w:val="auto"/>
          <w:kern w:val="0"/>
          <w:sz w:val="31"/>
          <w:szCs w:val="31"/>
          <w:highlight w:val="none"/>
          <w:lang w:val="en-US" w:eastAsia="zh-CN" w:bidi="ar"/>
        </w:rPr>
      </w:pPr>
      <w:r>
        <w:rPr>
          <w:rFonts w:hint="default" w:ascii="Times New Roman" w:hAnsi="Times New Roman" w:cs="Times New Roman"/>
          <w:color w:val="auto"/>
          <w:kern w:val="0"/>
          <w:sz w:val="31"/>
          <w:szCs w:val="31"/>
          <w:highlight w:val="none"/>
          <w:lang w:val="en-US" w:eastAsia="zh-CN" w:bidi="ar"/>
        </w:rPr>
        <w:t>本次动态维护坚持“数量不减少、质量不降低、布局有优化、生态有改善”的原则，严格落实耕地保护制度相关要求。将零星破碎、不适宜耕种、稳定性较差的耕地等调出永久基本农田；将可长期稳定利用的优质耕地及已建成的高标准农田优先划入永久基本农田。调整后，永久基本农田内高标准农田比例显著提升，零散破碎图斑明显减少，进一步实现了耕地“优进劣出”、集中连片，切实保障了粮食安全。</w:t>
      </w:r>
    </w:p>
    <w:p w14:paraId="4B1B9DE2">
      <w:pPr>
        <w:keepNext/>
        <w:keepLines/>
        <w:widowControl w:val="0"/>
        <w:numPr>
          <w:ilvl w:val="2"/>
          <w:numId w:val="2"/>
        </w:numPr>
        <w:spacing w:line="560" w:lineRule="exact"/>
        <w:ind w:firstLine="643" w:firstLineChars="0"/>
        <w:jc w:val="both"/>
        <w:outlineLvl w:val="2"/>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生态保护红线正向优化</w:t>
      </w:r>
    </w:p>
    <w:p w14:paraId="32F3B499">
      <w:pP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highlight w:val="none"/>
          <w:lang w:val="en-US" w:eastAsia="zh-CN"/>
        </w:rPr>
        <w:t>本次动态维护不涉及</w:t>
      </w:r>
      <w:r>
        <w:rPr>
          <w:rFonts w:hint="default" w:ascii="Times New Roman" w:hAnsi="Times New Roman" w:cs="Times New Roman"/>
          <w:color w:val="auto"/>
          <w:szCs w:val="32"/>
          <w:highlight w:val="none"/>
          <w:lang w:val="en-US" w:eastAsia="zh-CN"/>
        </w:rPr>
        <w:t>生态保护红线调整。</w:t>
      </w:r>
    </w:p>
    <w:p w14:paraId="79271950">
      <w:pPr>
        <w:keepNext/>
        <w:keepLines/>
        <w:widowControl w:val="0"/>
        <w:numPr>
          <w:ilvl w:val="2"/>
          <w:numId w:val="2"/>
        </w:numPr>
        <w:spacing w:line="560" w:lineRule="exact"/>
        <w:ind w:firstLine="643" w:firstLineChars="0"/>
        <w:jc w:val="both"/>
        <w:outlineLvl w:val="2"/>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城镇开发边界正向优化</w:t>
      </w:r>
    </w:p>
    <w:p w14:paraId="4BEAD2A7">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cs="Times New Roman"/>
          <w:color w:val="auto"/>
          <w:kern w:val="0"/>
          <w:sz w:val="31"/>
          <w:szCs w:val="31"/>
          <w:highlight w:val="none"/>
          <w:lang w:val="en-US" w:eastAsia="zh-CN" w:bidi="ar"/>
        </w:rPr>
        <w:t>本次动态维护遵循</w:t>
      </w:r>
      <w:r>
        <w:rPr>
          <w:rFonts w:hint="eastAsia" w:cs="Times New Roman"/>
          <w:color w:val="auto"/>
          <w:kern w:val="0"/>
          <w:sz w:val="31"/>
          <w:szCs w:val="31"/>
          <w:highlight w:val="none"/>
          <w:lang w:val="en-US" w:eastAsia="zh-CN" w:bidi="ar"/>
        </w:rPr>
        <w:t>“</w:t>
      </w:r>
      <w:r>
        <w:rPr>
          <w:rFonts w:hint="default" w:ascii="Times New Roman" w:hAnsi="Times New Roman" w:cs="Times New Roman"/>
          <w:color w:val="auto"/>
          <w:kern w:val="0"/>
          <w:sz w:val="31"/>
          <w:szCs w:val="31"/>
          <w:highlight w:val="none"/>
          <w:lang w:val="en-US" w:eastAsia="zh-CN" w:bidi="ar"/>
        </w:rPr>
        <w:t>集中连片、集约紧凑</w:t>
      </w:r>
      <w:r>
        <w:rPr>
          <w:rFonts w:hint="eastAsia" w:cs="Times New Roman"/>
          <w:color w:val="auto"/>
          <w:kern w:val="0"/>
          <w:sz w:val="31"/>
          <w:szCs w:val="31"/>
          <w:highlight w:val="none"/>
          <w:lang w:val="en-US" w:eastAsia="zh-CN" w:bidi="ar"/>
        </w:rPr>
        <w:t>”</w:t>
      </w:r>
      <w:r>
        <w:rPr>
          <w:rFonts w:hint="default" w:ascii="Times New Roman" w:hAnsi="Times New Roman" w:cs="Times New Roman"/>
          <w:color w:val="auto"/>
          <w:kern w:val="0"/>
          <w:sz w:val="31"/>
          <w:szCs w:val="31"/>
          <w:highlight w:val="none"/>
          <w:lang w:val="en-US" w:eastAsia="zh-CN" w:bidi="ar"/>
        </w:rPr>
        <w:t>的原则，在不对城镇空间结构和功能布局产生重大影响的前提下，对城镇开发边界实施局部优化。调整后，城镇开发边界扩展倍数与新增城镇建设用地规模均未突破规定上限，未产生新的“天窗”或破碎图斑，进一步推动了城镇集约紧凑发展，符合正向优化的标准要求。</w:t>
      </w:r>
    </w:p>
    <w:p w14:paraId="2192C029">
      <w:pPr>
        <w:pStyle w:val="4"/>
        <w:ind w:firstLine="643"/>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规划分区维护</w:t>
      </w:r>
    </w:p>
    <w:p w14:paraId="1724DC52">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本次动态维护充分衔接乡村全面振兴、找矿突破战略行动等重点工作需求，结合三条控制线动态维护方案，对农田保护区、城镇发展区、乡村发展区等进行同步调整。</w:t>
      </w:r>
    </w:p>
    <w:p w14:paraId="5CE5F362">
      <w:pPr>
        <w:pStyle w:val="4"/>
        <w:ind w:firstLine="643"/>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中心城区用地规划布局维护</w:t>
      </w:r>
    </w:p>
    <w:p w14:paraId="1B9C3221">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次动态维护聚焦规划实施评估中发现的主要问题及“十五五”时期城市发展重点，在保持布局规模与空间结构基本稳定的前提下，按照有利于规划实施的原则，对中心城区用地规划布局进行动态调整。调整后，空间结构和用地布局得到进一步优化，资源配置水平与利用效率有效提升。</w:t>
      </w:r>
    </w:p>
    <w:p w14:paraId="45967931">
      <w:pPr>
        <w:pStyle w:val="4"/>
        <w:ind w:firstLine="643"/>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城市重要控制线维护</w:t>
      </w:r>
    </w:p>
    <w:p w14:paraId="6602DF17">
      <w:pP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highlight w:val="none"/>
          <w:lang w:val="en-US" w:eastAsia="zh-CN"/>
        </w:rPr>
        <w:t>本次动态维护</w:t>
      </w:r>
      <w:r>
        <w:rPr>
          <w:rFonts w:hint="eastAsia" w:cs="Times New Roman"/>
          <w:color w:val="auto"/>
          <w:highlight w:val="none"/>
          <w:lang w:val="en-US" w:eastAsia="zh-CN"/>
        </w:rPr>
        <w:t>涉及</w:t>
      </w:r>
      <w:r>
        <w:rPr>
          <w:rFonts w:hint="default" w:ascii="Times New Roman" w:hAnsi="Times New Roman" w:cs="Times New Roman"/>
          <w:color w:val="auto"/>
          <w:szCs w:val="32"/>
          <w:highlight w:val="none"/>
        </w:rPr>
        <w:t>城市</w:t>
      </w:r>
      <w:r>
        <w:rPr>
          <w:rFonts w:hint="default" w:ascii="Times New Roman" w:hAnsi="Times New Roman" w:cs="Times New Roman"/>
          <w:color w:val="auto"/>
          <w:szCs w:val="32"/>
          <w:highlight w:val="none"/>
          <w:lang w:val="en-US" w:eastAsia="zh-CN"/>
        </w:rPr>
        <w:t>绿线</w:t>
      </w:r>
      <w:r>
        <w:rPr>
          <w:rFonts w:hint="eastAsia" w:cs="Times New Roman"/>
          <w:color w:val="auto"/>
          <w:szCs w:val="32"/>
          <w:highlight w:val="none"/>
          <w:lang w:val="en-US" w:eastAsia="zh-CN"/>
        </w:rPr>
        <w:t>、</w:t>
      </w:r>
      <w:r>
        <w:rPr>
          <w:rFonts w:hint="default" w:ascii="Times New Roman" w:hAnsi="Times New Roman" w:cs="Times New Roman"/>
          <w:color w:val="auto"/>
          <w:szCs w:val="32"/>
          <w:highlight w:val="none"/>
          <w:lang w:val="en-US" w:eastAsia="zh-CN"/>
        </w:rPr>
        <w:t>城市蓝线</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不涉及</w:t>
      </w:r>
      <w:r>
        <w:rPr>
          <w:rFonts w:hint="default" w:ascii="Times New Roman" w:hAnsi="Times New Roman" w:cs="Times New Roman"/>
          <w:color w:val="auto"/>
          <w:szCs w:val="32"/>
          <w:highlight w:val="none"/>
          <w:lang w:val="en-US" w:eastAsia="zh-CN"/>
        </w:rPr>
        <w:t>城市蓝线、城市黄线、城市紫线等城市重要控制线调整。</w:t>
      </w:r>
    </w:p>
    <w:p w14:paraId="45EC3B45">
      <w:pPr>
        <w:pStyle w:val="4"/>
        <w:ind w:firstLine="643"/>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重点项目建设清单维护</w:t>
      </w:r>
    </w:p>
    <w:p w14:paraId="34DF2A54">
      <w:pP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highlight w:val="none"/>
          <w:lang w:val="en-US" w:eastAsia="zh-CN"/>
        </w:rPr>
        <w:t>本次动态维护衔接落实国省市</w:t>
      </w:r>
      <w:r>
        <w:rPr>
          <w:rFonts w:hint="default" w:ascii="Times New Roman" w:hAnsi="Times New Roman" w:cs="Times New Roman"/>
          <w:color w:val="auto"/>
          <w:sz w:val="32"/>
          <w:highlight w:val="none"/>
          <w:lang w:val="en-US" w:eastAsia="zh-CN"/>
        </w:rPr>
        <w:t>“</w:t>
      </w:r>
      <w:r>
        <w:rPr>
          <w:rFonts w:hint="default" w:ascii="Times New Roman" w:hAnsi="Times New Roman" w:cs="Times New Roman"/>
          <w:color w:val="auto"/>
          <w:highlight w:val="none"/>
          <w:lang w:val="en-US" w:eastAsia="zh-CN"/>
        </w:rPr>
        <w:t>十五五”发展规划和专项规划空间需求，对</w:t>
      </w:r>
      <w:r>
        <w:rPr>
          <w:rFonts w:hint="eastAsia" w:cs="Times New Roman"/>
          <w:color w:val="auto"/>
          <w:highlight w:val="none"/>
          <w:lang w:val="en-US" w:eastAsia="zh-CN"/>
        </w:rPr>
        <w:t>五通桥区</w:t>
      </w:r>
      <w:r>
        <w:rPr>
          <w:rFonts w:hint="default" w:ascii="Times New Roman" w:hAnsi="Times New Roman" w:cs="Times New Roman"/>
          <w:color w:val="auto"/>
          <w:highlight w:val="none"/>
          <w:lang w:val="en-US" w:eastAsia="zh-CN"/>
        </w:rPr>
        <w:t>总体规划中的重点建设项目清单进行动态维护</w:t>
      </w:r>
      <w:r>
        <w:rPr>
          <w:rFonts w:hint="default" w:ascii="Times New Roman" w:hAnsi="Times New Roman" w:cs="Times New Roman"/>
          <w:color w:val="auto"/>
          <w:highlight w:val="none"/>
          <w:lang w:eastAsia="zh-CN"/>
        </w:rPr>
        <w:t>。</w:t>
      </w:r>
    </w:p>
    <w:p w14:paraId="077CE7C6">
      <w:pPr>
        <w:pStyle w:val="2"/>
        <w:rPr>
          <w:rFonts w:hint="default" w:ascii="Times New Roman" w:hAnsi="Times New Roman" w:cs="Times New Roman"/>
          <w:color w:val="auto"/>
          <w:highlight w:val="none"/>
          <w:lang w:val="en-US" w:eastAsia="zh-CN"/>
        </w:rPr>
      </w:pPr>
    </w:p>
    <w:p w14:paraId="4E958333">
      <w:pPr>
        <w:pStyle w:val="2"/>
        <w:rPr>
          <w:rFonts w:hint="default" w:ascii="Times New Roman" w:hAnsi="Times New Roman" w:cs="Times New Roman"/>
          <w:color w:val="auto"/>
          <w:highlight w:val="none"/>
          <w:lang w:val="en-US" w:eastAsia="zh-CN"/>
        </w:rPr>
      </w:pPr>
    </w:p>
    <w:p w14:paraId="16E50A6A">
      <w:pPr>
        <w:pStyle w:val="2"/>
        <w:rPr>
          <w:rFonts w:hint="default" w:ascii="Times New Roman" w:hAnsi="Times New Roman" w:cs="Times New Roman"/>
          <w:color w:val="auto"/>
          <w:highlight w:val="none"/>
          <w:lang w:val="en-US" w:eastAsia="zh-CN"/>
        </w:rPr>
      </w:pPr>
    </w:p>
    <w:p w14:paraId="3BCB64DE">
      <w:pPr>
        <w:pStyle w:val="2"/>
        <w:rPr>
          <w:rFonts w:hint="default" w:ascii="Times New Roman" w:hAnsi="Times New Roman" w:cs="Times New Roman"/>
          <w:color w:val="auto"/>
          <w:highlight w:val="none"/>
          <w:lang w:val="en-US" w:eastAsia="zh-CN"/>
        </w:rPr>
      </w:pPr>
    </w:p>
    <w:p w14:paraId="22B79ADE">
      <w:pPr>
        <w:pStyle w:val="2"/>
        <w:rPr>
          <w:rFonts w:hint="default" w:ascii="Times New Roman" w:hAnsi="Times New Roman" w:cs="Times New Roman"/>
          <w:color w:val="auto"/>
          <w:highlight w:val="none"/>
          <w:lang w:val="en-US" w:eastAsia="zh-CN"/>
        </w:rPr>
      </w:pPr>
    </w:p>
    <w:p w14:paraId="7E4FCBA3">
      <w:pPr>
        <w:pStyle w:val="2"/>
        <w:rPr>
          <w:rFonts w:hint="default" w:ascii="Times New Roman" w:hAnsi="Times New Roman" w:cs="Times New Roman"/>
          <w:color w:val="auto"/>
          <w:highlight w:val="none"/>
          <w:lang w:val="en-US" w:eastAsia="zh-CN"/>
        </w:rPr>
      </w:pPr>
    </w:p>
    <w:p w14:paraId="5BE68E76">
      <w:pPr>
        <w:pStyle w:val="2"/>
        <w:rPr>
          <w:rFonts w:hint="default" w:ascii="Times New Roman" w:hAnsi="Times New Roman" w:cs="Times New Roman"/>
          <w:color w:val="auto"/>
          <w:highlight w:val="none"/>
          <w:lang w:val="en-US" w:eastAsia="zh-CN"/>
        </w:rPr>
      </w:pPr>
    </w:p>
    <w:p w14:paraId="02687ECB">
      <w:pPr>
        <w:pStyle w:val="2"/>
        <w:rPr>
          <w:rFonts w:hint="default" w:ascii="Times New Roman" w:hAnsi="Times New Roman" w:cs="Times New Roman"/>
          <w:color w:val="auto"/>
          <w:highlight w:val="none"/>
          <w:lang w:val="en-US" w:eastAsia="zh-CN"/>
        </w:rPr>
      </w:pPr>
    </w:p>
    <w:p w14:paraId="5BD9DC61">
      <w:pPr>
        <w:pStyle w:val="2"/>
        <w:rPr>
          <w:rFonts w:hint="default" w:ascii="Times New Roman" w:hAnsi="Times New Roman" w:cs="Times New Roman"/>
          <w:color w:val="auto"/>
          <w:highlight w:val="none"/>
          <w:lang w:val="en-US" w:eastAsia="zh-CN"/>
        </w:rPr>
      </w:pPr>
    </w:p>
    <w:p w14:paraId="765A90FC">
      <w:pPr>
        <w:pStyle w:val="2"/>
        <w:rPr>
          <w:rFonts w:hint="default" w:ascii="Times New Roman" w:hAnsi="Times New Roman" w:cs="Times New Roman"/>
          <w:color w:val="auto"/>
          <w:highlight w:val="none"/>
          <w:lang w:val="en-US" w:eastAsia="zh-CN"/>
        </w:rPr>
      </w:pPr>
    </w:p>
    <w:p w14:paraId="3A0EE96B">
      <w:pPr>
        <w:pStyle w:val="2"/>
        <w:rPr>
          <w:rFonts w:hint="default" w:ascii="Times New Roman" w:hAnsi="Times New Roman" w:cs="Times New Roman"/>
          <w:color w:val="auto"/>
          <w:highlight w:val="none"/>
          <w:lang w:val="en-US" w:eastAsia="zh-CN"/>
        </w:rPr>
      </w:pPr>
    </w:p>
    <w:p w14:paraId="1E54A20C">
      <w:pPr>
        <w:pStyle w:val="2"/>
        <w:rPr>
          <w:rFonts w:hint="default" w:ascii="Times New Roman" w:hAnsi="Times New Roman" w:cs="Times New Roman"/>
          <w:color w:val="auto"/>
          <w:highlight w:val="none"/>
          <w:lang w:val="en-US" w:eastAsia="zh-CN"/>
        </w:rPr>
      </w:pPr>
    </w:p>
    <w:p w14:paraId="081309A1">
      <w:pPr>
        <w:pStyle w:val="2"/>
        <w:rPr>
          <w:rFonts w:hint="default" w:ascii="Times New Roman" w:hAnsi="Times New Roman" w:cs="Times New Roman"/>
          <w:color w:val="auto"/>
          <w:highlight w:val="none"/>
          <w:lang w:val="en-US" w:eastAsia="zh-CN"/>
        </w:rPr>
      </w:pPr>
    </w:p>
    <w:p w14:paraId="21C4096D">
      <w:pPr>
        <w:pStyle w:val="2"/>
        <w:rPr>
          <w:rFonts w:hint="default" w:ascii="Times New Roman" w:hAnsi="Times New Roman" w:cs="Times New Roman"/>
          <w:color w:val="auto"/>
          <w:highlight w:val="none"/>
          <w:lang w:val="en-US" w:eastAsia="zh-CN"/>
        </w:rPr>
      </w:pPr>
    </w:p>
    <w:p w14:paraId="6C436538">
      <w:pPr>
        <w:pStyle w:val="2"/>
        <w:rPr>
          <w:rFonts w:hint="default" w:ascii="Times New Roman" w:hAnsi="Times New Roman" w:cs="Times New Roman"/>
          <w:color w:val="auto"/>
          <w:highlight w:val="none"/>
          <w:lang w:val="en-US" w:eastAsia="zh-CN"/>
        </w:rPr>
      </w:pPr>
    </w:p>
    <w:p w14:paraId="4A18ECBC">
      <w:pPr>
        <w:pStyle w:val="2"/>
        <w:rPr>
          <w:rFonts w:hint="default" w:ascii="Times New Roman" w:hAnsi="Times New Roman" w:cs="Times New Roman"/>
          <w:color w:val="auto"/>
          <w:highlight w:val="none"/>
          <w:lang w:val="en-US" w:eastAsia="zh-CN"/>
        </w:rPr>
      </w:pPr>
    </w:p>
    <w:p w14:paraId="61A98DB2">
      <w:pPr>
        <w:pStyle w:val="2"/>
        <w:rPr>
          <w:rFonts w:hint="default" w:ascii="Times New Roman" w:hAnsi="Times New Roman" w:cs="Times New Roman"/>
          <w:color w:val="auto"/>
          <w:highlight w:val="none"/>
          <w:lang w:val="en-US" w:eastAsia="zh-CN"/>
        </w:rPr>
      </w:pPr>
    </w:p>
    <w:p w14:paraId="548224C5">
      <w:pPr>
        <w:pStyle w:val="3"/>
        <w:numPr>
          <w:ilvl w:val="0"/>
          <w:numId w:val="0"/>
        </w:numPr>
        <w:ind w:leftChars="200"/>
        <w:rPr>
          <w:rFonts w:hint="default" w:ascii="Times New Roman" w:hAnsi="Times New Roman" w:cs="Times New Roman"/>
          <w:color w:val="auto"/>
          <w:highlight w:val="none"/>
          <w:lang w:val="en-US" w:eastAsia="zh-CN"/>
        </w:rPr>
        <w:sectPr>
          <w:footerReference r:id="rId11" w:type="default"/>
          <w:pgSz w:w="11906" w:h="16838"/>
          <w:pgMar w:top="1440" w:right="1800" w:bottom="1440" w:left="1800" w:header="851" w:footer="992" w:gutter="0"/>
          <w:pgNumType w:fmt="decimal" w:start="1"/>
          <w:cols w:space="425" w:num="1"/>
          <w:docGrid w:type="lines" w:linePitch="312" w:charSpace="0"/>
        </w:sectPr>
      </w:pPr>
    </w:p>
    <w:p w14:paraId="718F2998">
      <w:pPr>
        <w:pStyle w:val="3"/>
        <w:numPr>
          <w:ilvl w:val="0"/>
          <w:numId w:val="0"/>
        </w:numPr>
        <w:ind w:leftChars="200"/>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406400</wp:posOffset>
            </wp:positionH>
            <wp:positionV relativeFrom="paragraph">
              <wp:posOffset>807720</wp:posOffset>
            </wp:positionV>
            <wp:extent cx="7769860" cy="5495925"/>
            <wp:effectExtent l="0" t="0" r="2540" b="9525"/>
            <wp:wrapTopAndBottom/>
            <wp:docPr id="2" name="图片 2" descr="1.永久基本农田动态维护示意图0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永久基本农田动态维护示意图0507"/>
                    <pic:cNvPicPr>
                      <a:picLocks noChangeAspect="1"/>
                    </pic:cNvPicPr>
                  </pic:nvPicPr>
                  <pic:blipFill>
                    <a:blip r:embed="rId13"/>
                    <a:stretch>
                      <a:fillRect/>
                    </a:stretch>
                  </pic:blipFill>
                  <pic:spPr>
                    <a:xfrm>
                      <a:off x="0" y="0"/>
                      <a:ext cx="7769860" cy="5495925"/>
                    </a:xfrm>
                    <a:prstGeom prst="rect">
                      <a:avLst/>
                    </a:prstGeom>
                  </pic:spPr>
                </pic:pic>
              </a:graphicData>
            </a:graphic>
          </wp:anchor>
        </w:drawing>
      </w:r>
      <w:r>
        <w:rPr>
          <w:rFonts w:hint="default" w:ascii="Times New Roman" w:hAnsi="Times New Roman" w:cs="Times New Roman"/>
          <w:color w:val="auto"/>
          <w:highlight w:val="none"/>
          <w:lang w:val="en-US" w:eastAsia="zh-CN"/>
        </w:rPr>
        <w:t>附图</w:t>
      </w:r>
    </w:p>
    <w:p w14:paraId="601FD49F">
      <w:pPr>
        <w:keepNext/>
        <w:keepLines/>
        <w:widowControl w:val="0"/>
        <w:numPr>
          <w:ilvl w:val="2"/>
          <w:numId w:val="3"/>
        </w:numPr>
        <w:spacing w:line="560" w:lineRule="exact"/>
        <w:ind w:firstLine="643" w:firstLineChars="0"/>
        <w:jc w:val="both"/>
        <w:outlineLvl w:val="2"/>
        <w:rPr>
          <w:rFonts w:hint="default"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 xml:space="preserve">永久基本农田动态维护示意图 </w:t>
      </w:r>
    </w:p>
    <w:p w14:paraId="509C68CE">
      <w:pPr>
        <w:rPr>
          <w:rFonts w:hint="default" w:ascii="Times New Roman" w:hAnsi="Times New Roman" w:eastAsia="仿宋_GB2312"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br w:type="page"/>
      </w:r>
    </w:p>
    <w:p w14:paraId="6D4CAB9F">
      <w:pPr>
        <w:keepNext/>
        <w:keepLines/>
        <w:widowControl w:val="0"/>
        <w:numPr>
          <w:ilvl w:val="2"/>
          <w:numId w:val="3"/>
        </w:numPr>
        <w:spacing w:line="560" w:lineRule="exact"/>
        <w:ind w:firstLine="643" w:firstLineChars="0"/>
        <w:jc w:val="both"/>
        <w:outlineLvl w:val="2"/>
        <w:rPr>
          <w:rFonts w:hint="default"/>
          <w:color w:val="auto"/>
          <w:highlight w:val="none"/>
          <w:lang w:val="en-US" w:eastAsia="zh-CN"/>
        </w:rPr>
      </w:pPr>
      <w:r>
        <w:rPr>
          <w:rFonts w:hint="eastAsia" w:cs="Times New Roman"/>
          <w:b/>
          <w:bCs/>
          <w:color w:val="auto"/>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275590</wp:posOffset>
            </wp:positionH>
            <wp:positionV relativeFrom="paragraph">
              <wp:posOffset>387985</wp:posOffset>
            </wp:positionV>
            <wp:extent cx="8117205" cy="5741670"/>
            <wp:effectExtent l="0" t="0" r="17145" b="11430"/>
            <wp:wrapTopAndBottom/>
            <wp:docPr id="1" name="图片 1" descr="2.城镇开发边界动态维护示意图0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城镇开发边界动态维护示意图0507"/>
                    <pic:cNvPicPr>
                      <a:picLocks noChangeAspect="1"/>
                    </pic:cNvPicPr>
                  </pic:nvPicPr>
                  <pic:blipFill>
                    <a:blip r:embed="rId14"/>
                    <a:stretch>
                      <a:fillRect/>
                    </a:stretch>
                  </pic:blipFill>
                  <pic:spPr>
                    <a:xfrm>
                      <a:off x="0" y="0"/>
                      <a:ext cx="8117205" cy="5741670"/>
                    </a:xfrm>
                    <a:prstGeom prst="rect">
                      <a:avLst/>
                    </a:prstGeom>
                  </pic:spPr>
                </pic:pic>
              </a:graphicData>
            </a:graphic>
          </wp:anchor>
        </w:drawing>
      </w:r>
      <w:r>
        <w:rPr>
          <w:rFonts w:hint="eastAsia" w:cs="Times New Roman"/>
          <w:b/>
          <w:bCs/>
          <w:color w:val="auto"/>
          <w:kern w:val="2"/>
          <w:sz w:val="32"/>
          <w:szCs w:val="32"/>
          <w:highlight w:val="none"/>
          <w:lang w:val="en-US" w:eastAsia="zh-CN" w:bidi="ar-SA"/>
        </w:rPr>
        <w:t>城镇开发边界动态维护示意图</w:t>
      </w:r>
    </w:p>
    <w:sectPr>
      <w:pgSz w:w="16838" w:h="11906" w:orient="landscape"/>
      <w:pgMar w:top="1803" w:right="1440" w:bottom="1803" w:left="1440" w:header="851" w:footer="992" w:gutter="0"/>
      <w:pgNumType w:fmt="decimal"/>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223FF">
    <w:pPr>
      <w:tabs>
        <w:tab w:val="center" w:pos="4153"/>
        <w:tab w:val="right" w:pos="8306"/>
      </w:tabs>
      <w:snapToGrid w:val="0"/>
      <w:spacing w:line="240" w:lineRule="auto"/>
      <w:ind w:firstLine="0" w:firstLineChars="0"/>
      <w:jc w:val="right"/>
      <w:rPr>
        <w:rFonts w:hint="eastAsia" w:ascii="宋体" w:hAnsi="宋体" w:eastAsia="宋体" w:cs="Times New Roman"/>
        <w:sz w:val="28"/>
        <w:szCs w:val="28"/>
        <w:lang w:val="en-US" w:eastAsia="zh-CN"/>
        <w14:ligatures w14:val="standardContextual"/>
      </w:rPr>
    </w:pPr>
    <w:r>
      <w:rPr>
        <w:rFonts w:hint="eastAsia" w:eastAsia="宋体" w:cs="Times New Roman"/>
        <w:sz w:val="18"/>
        <w:szCs w:val="18"/>
        <w:lang w:val="en-US" w:eastAsia="zh-CN"/>
        <w14:ligatures w14:val="standardContextu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cs="Times New Roman"/>
        <w:sz w:val="18"/>
        <w:szCs w:val="18"/>
        <w14:ligatures w14:val="standardContextual"/>
      </w:rPr>
      <w:id w:val="823943205"/>
    </w:sdtPr>
    <w:sdtEndPr>
      <w:rPr>
        <w:rFonts w:ascii="宋体" w:hAnsi="宋体" w:eastAsia="宋体" w:cs="Times New Roman"/>
        <w:sz w:val="28"/>
        <w:szCs w:val="28"/>
        <w14:ligatures w14:val="standardContextual"/>
      </w:rPr>
    </w:sdtEndPr>
    <w:sdtContent>
      <w:p w14:paraId="360A89B9">
        <w:pPr>
          <w:tabs>
            <w:tab w:val="center" w:pos="4153"/>
            <w:tab w:val="right" w:pos="8306"/>
          </w:tabs>
          <w:snapToGrid w:val="0"/>
          <w:spacing w:line="240" w:lineRule="auto"/>
          <w:ind w:firstLine="0" w:firstLineChars="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w:t>
        </w:r>
        <w:r>
          <w:rPr>
            <w:rFonts w:ascii="宋体" w:hAnsi="宋体" w:eastAsia="宋体" w:cs="Times New Roman"/>
            <w:sz w:val="28"/>
            <w:szCs w:val="28"/>
            <w14:ligatures w14:val="standardContextual"/>
          </w:rPr>
          <w:fldChar w:fldCharType="begin"/>
        </w:r>
        <w:r>
          <w:rPr>
            <w:rFonts w:ascii="宋体" w:hAnsi="宋体" w:eastAsia="宋体" w:cs="Times New Roman"/>
            <w:sz w:val="28"/>
            <w:szCs w:val="28"/>
            <w14:ligatures w14:val="standardContextual"/>
          </w:rPr>
          <w:instrText xml:space="preserve">PAGE   \* MERGEFORMAT</w:instrText>
        </w:r>
        <w:r>
          <w:rPr>
            <w:rFonts w:ascii="宋体" w:hAnsi="宋体" w:eastAsia="宋体" w:cs="Times New Roman"/>
            <w:sz w:val="28"/>
            <w:szCs w:val="28"/>
            <w14:ligatures w14:val="standardContextual"/>
          </w:rPr>
          <w:fldChar w:fldCharType="separate"/>
        </w:r>
        <w:r>
          <w:rPr>
            <w:rFonts w:ascii="宋体" w:hAnsi="宋体" w:eastAsia="宋体" w:cs="Times New Roman"/>
            <w:sz w:val="28"/>
            <w:szCs w:val="28"/>
            <w14:ligatures w14:val="standardContextual"/>
          </w:rPr>
          <w:t>4</w:t>
        </w:r>
        <w:r>
          <w:rPr>
            <w:rFonts w:ascii="宋体" w:hAnsi="宋体" w:eastAsia="宋体" w:cs="Times New Roman"/>
            <w:sz w:val="28"/>
            <w:szCs w:val="28"/>
            <w14:ligatures w14:val="standardContextual"/>
          </w:rPr>
          <w:fldChar w:fldCharType="end"/>
        </w:r>
        <w:r>
          <w:rPr>
            <w:rFonts w:hint="eastAsia" w:ascii="宋体" w:hAnsi="宋体" w:eastAsia="宋体" w:cs="Times New Roman"/>
            <w:sz w:val="28"/>
            <w:szCs w:val="28"/>
            <w14:ligatures w14:val="standardContextual"/>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40E4B">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5735D">
    <w:pPr>
      <w:tabs>
        <w:tab w:val="center" w:pos="4153"/>
        <w:tab w:val="right" w:pos="8306"/>
      </w:tabs>
      <w:snapToGrid w:val="0"/>
      <w:spacing w:line="240" w:lineRule="auto"/>
      <w:ind w:firstLine="0" w:firstLineChars="0"/>
      <w:jc w:val="right"/>
      <w:rPr>
        <w:rFonts w:hint="eastAsia" w:ascii="宋体" w:hAnsi="宋体" w:eastAsia="宋体" w:cs="Times New Roman"/>
        <w:sz w:val="28"/>
        <w:szCs w:val="28"/>
        <w14:ligatures w14:val="standardContextual"/>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cs="Times New Roman"/>
                              <w:sz w:val="18"/>
                              <w:szCs w:val="18"/>
                              <w14:ligatures w14:val="standardContextual"/>
                            </w:rPr>
                            <w:id w:val="147453669"/>
                          </w:sdtPr>
                          <w:sdtEndPr>
                            <w:rPr>
                              <w:rFonts w:ascii="宋体" w:hAnsi="宋体" w:eastAsia="宋体" w:cs="Times New Roman"/>
                              <w:sz w:val="28"/>
                              <w:szCs w:val="28"/>
                              <w14:ligatures w14:val="standardContextual"/>
                            </w:rPr>
                          </w:sdtEndPr>
                          <w:sdtContent>
                            <w:p w14:paraId="6A56CA2C">
                              <w:pPr>
                                <w:tabs>
                                  <w:tab w:val="center" w:pos="4153"/>
                                  <w:tab w:val="right" w:pos="8306"/>
                                </w:tabs>
                                <w:snapToGrid w:val="0"/>
                                <w:spacing w:line="240" w:lineRule="auto"/>
                                <w:ind w:firstLine="0" w:firstLineChars="0"/>
                                <w:jc w:val="right"/>
                                <w:rPr>
                                  <w:rFonts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w:t>
                              </w:r>
                              <w:r>
                                <w:rPr>
                                  <w:rFonts w:ascii="宋体" w:hAnsi="宋体" w:eastAsia="宋体" w:cs="Times New Roman"/>
                                  <w:sz w:val="28"/>
                                  <w:szCs w:val="28"/>
                                  <w14:ligatures w14:val="standardContextual"/>
                                </w:rPr>
                                <w:fldChar w:fldCharType="begin"/>
                              </w:r>
                              <w:r>
                                <w:rPr>
                                  <w:rFonts w:ascii="宋体" w:hAnsi="宋体" w:eastAsia="宋体" w:cs="Times New Roman"/>
                                  <w:sz w:val="28"/>
                                  <w:szCs w:val="28"/>
                                  <w14:ligatures w14:val="standardContextual"/>
                                </w:rPr>
                                <w:instrText xml:space="preserve">PAGE   \* MERGEFORMAT</w:instrText>
                              </w:r>
                              <w:r>
                                <w:rPr>
                                  <w:rFonts w:ascii="宋体" w:hAnsi="宋体" w:eastAsia="宋体" w:cs="Times New Roman"/>
                                  <w:sz w:val="28"/>
                                  <w:szCs w:val="28"/>
                                  <w14:ligatures w14:val="standardContextual"/>
                                </w:rPr>
                                <w:fldChar w:fldCharType="separate"/>
                              </w:r>
                              <w:r>
                                <w:rPr>
                                  <w:rFonts w:ascii="宋体" w:hAnsi="宋体" w:eastAsia="宋体" w:cs="Times New Roman"/>
                                  <w:sz w:val="28"/>
                                  <w:szCs w:val="28"/>
                                  <w14:ligatures w14:val="standardContextual"/>
                                </w:rPr>
                                <w:t>1</w:t>
                              </w:r>
                              <w:r>
                                <w:rPr>
                                  <w:rFonts w:ascii="宋体" w:hAnsi="宋体" w:eastAsia="宋体" w:cs="Times New Roman"/>
                                  <w:sz w:val="28"/>
                                  <w:szCs w:val="28"/>
                                  <w14:ligatures w14:val="standardContextual"/>
                                </w:rPr>
                                <w:fldChar w:fldCharType="end"/>
                              </w:r>
                              <w:r>
                                <w:rPr>
                                  <w:rFonts w:hint="eastAsia" w:ascii="宋体" w:hAnsi="宋体" w:eastAsia="宋体" w:cs="Times New Roman"/>
                                  <w:sz w:val="28"/>
                                  <w:szCs w:val="28"/>
                                  <w14:ligatures w14:val="standardContextual"/>
                                </w:rPr>
                                <w:t>—</w:t>
                              </w:r>
                            </w:p>
                          </w:sdtContent>
                        </w:sdt>
                        <w:p w14:paraId="577F6BFA">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sdt>
                    <w:sdtPr>
                      <w:rPr>
                        <w:rFonts w:cs="Times New Roman"/>
                        <w:sz w:val="18"/>
                        <w:szCs w:val="18"/>
                        <w14:ligatures w14:val="standardContextual"/>
                      </w:rPr>
                      <w:id w:val="147453669"/>
                    </w:sdtPr>
                    <w:sdtEndPr>
                      <w:rPr>
                        <w:rFonts w:ascii="宋体" w:hAnsi="宋体" w:eastAsia="宋体" w:cs="Times New Roman"/>
                        <w:sz w:val="28"/>
                        <w:szCs w:val="28"/>
                        <w14:ligatures w14:val="standardContextual"/>
                      </w:rPr>
                    </w:sdtEndPr>
                    <w:sdtContent>
                      <w:p w14:paraId="6A56CA2C">
                        <w:pPr>
                          <w:tabs>
                            <w:tab w:val="center" w:pos="4153"/>
                            <w:tab w:val="right" w:pos="8306"/>
                          </w:tabs>
                          <w:snapToGrid w:val="0"/>
                          <w:spacing w:line="240" w:lineRule="auto"/>
                          <w:ind w:firstLine="0" w:firstLineChars="0"/>
                          <w:jc w:val="right"/>
                          <w:rPr>
                            <w:rFonts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w:t>
                        </w:r>
                        <w:r>
                          <w:rPr>
                            <w:rFonts w:ascii="宋体" w:hAnsi="宋体" w:eastAsia="宋体" w:cs="Times New Roman"/>
                            <w:sz w:val="28"/>
                            <w:szCs w:val="28"/>
                            <w14:ligatures w14:val="standardContextual"/>
                          </w:rPr>
                          <w:fldChar w:fldCharType="begin"/>
                        </w:r>
                        <w:r>
                          <w:rPr>
                            <w:rFonts w:ascii="宋体" w:hAnsi="宋体" w:eastAsia="宋体" w:cs="Times New Roman"/>
                            <w:sz w:val="28"/>
                            <w:szCs w:val="28"/>
                            <w14:ligatures w14:val="standardContextual"/>
                          </w:rPr>
                          <w:instrText xml:space="preserve">PAGE   \* MERGEFORMAT</w:instrText>
                        </w:r>
                        <w:r>
                          <w:rPr>
                            <w:rFonts w:ascii="宋体" w:hAnsi="宋体" w:eastAsia="宋体" w:cs="Times New Roman"/>
                            <w:sz w:val="28"/>
                            <w:szCs w:val="28"/>
                            <w14:ligatures w14:val="standardContextual"/>
                          </w:rPr>
                          <w:fldChar w:fldCharType="separate"/>
                        </w:r>
                        <w:r>
                          <w:rPr>
                            <w:rFonts w:ascii="宋体" w:hAnsi="宋体" w:eastAsia="宋体" w:cs="Times New Roman"/>
                            <w:sz w:val="28"/>
                            <w:szCs w:val="28"/>
                            <w14:ligatures w14:val="standardContextual"/>
                          </w:rPr>
                          <w:t>1</w:t>
                        </w:r>
                        <w:r>
                          <w:rPr>
                            <w:rFonts w:ascii="宋体" w:hAnsi="宋体" w:eastAsia="宋体" w:cs="Times New Roman"/>
                            <w:sz w:val="28"/>
                            <w:szCs w:val="28"/>
                            <w14:ligatures w14:val="standardContextual"/>
                          </w:rPr>
                          <w:fldChar w:fldCharType="end"/>
                        </w:r>
                        <w:r>
                          <w:rPr>
                            <w:rFonts w:hint="eastAsia" w:ascii="宋体" w:hAnsi="宋体" w:eastAsia="宋体" w:cs="Times New Roman"/>
                            <w:sz w:val="28"/>
                            <w:szCs w:val="28"/>
                            <w14:ligatures w14:val="standardContextual"/>
                          </w:rPr>
                          <w:t>—</w:t>
                        </w:r>
                      </w:p>
                    </w:sdtContent>
                  </w:sdt>
                  <w:p w14:paraId="577F6BFA">
                    <w:pPr>
                      <w:pStyle w:val="2"/>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D8747">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731DC">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7DEF">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B16AE"/>
    <w:multiLevelType w:val="multilevel"/>
    <w:tmpl w:val="E19B16AE"/>
    <w:lvl w:ilvl="0" w:tentative="0">
      <w:start w:val="1"/>
      <w:numFmt w:val="taiwaneseCountingThousand"/>
      <w:suff w:val="nothing"/>
      <w:lvlText w:val="%1、"/>
      <w:lvlJc w:val="left"/>
      <w:pPr>
        <w:ind w:left="0" w:firstLine="641"/>
      </w:pPr>
      <w:rPr>
        <w:rFonts w:hint="eastAsia" w:eastAsia="黑体"/>
        <w:b w:val="0"/>
        <w:i w:val="0"/>
        <w:sz w:val="32"/>
      </w:rPr>
    </w:lvl>
    <w:lvl w:ilvl="1" w:tentative="0">
      <w:start w:val="1"/>
      <w:numFmt w:val="taiwaneseCountingThousand"/>
      <w:suff w:val="nothing"/>
      <w:lvlText w:val="（%2）"/>
      <w:lvlJc w:val="left"/>
      <w:pPr>
        <w:ind w:left="0" w:firstLine="641"/>
      </w:pPr>
      <w:rPr>
        <w:rFonts w:hint="eastAsia"/>
      </w:rPr>
    </w:lvl>
    <w:lvl w:ilvl="2" w:tentative="0">
      <w:start w:val="1"/>
      <w:numFmt w:val="decimal"/>
      <w:suff w:val="space"/>
      <w:lvlText w:val="%3."/>
      <w:lvlJc w:val="left"/>
      <w:pPr>
        <w:ind w:left="0" w:firstLine="641"/>
      </w:pPr>
      <w:rPr>
        <w:rFonts w:hint="eastAsia"/>
      </w:rPr>
    </w:lvl>
    <w:lvl w:ilvl="3" w:tentative="0">
      <w:start w:val="1"/>
      <w:numFmt w:val="decimal"/>
      <w:suff w:val="nothing"/>
      <w:lvlText w:val="（%4）"/>
      <w:lvlJc w:val="left"/>
      <w:pPr>
        <w:ind w:left="0" w:firstLine="641"/>
      </w:pPr>
      <w:rPr>
        <w:rFonts w:hint="eastAsia"/>
      </w:rPr>
    </w:lvl>
    <w:lvl w:ilvl="4" w:tentative="0">
      <w:start w:val="1"/>
      <w:numFmt w:val="decimal"/>
      <w:lvlText w:val="%5）"/>
      <w:lvlJc w:val="left"/>
      <w:pPr>
        <w:ind w:left="0" w:firstLine="641"/>
      </w:pPr>
    </w:lvl>
    <w:lvl w:ilvl="5" w:tentative="0">
      <w:start w:val="1"/>
      <w:numFmt w:val="decimal"/>
      <w:lvlText w:val="%1.%2.%3.%4.%5.%6"/>
      <w:lvlJc w:val="left"/>
      <w:pPr>
        <w:ind w:left="0" w:firstLine="641"/>
      </w:pPr>
      <w:rPr>
        <w:rFonts w:hint="eastAsia"/>
      </w:rPr>
    </w:lvl>
    <w:lvl w:ilvl="6" w:tentative="0">
      <w:start w:val="1"/>
      <w:numFmt w:val="decimal"/>
      <w:lvlText w:val="%1.%2.%3.%4.%5.%6.%7"/>
      <w:lvlJc w:val="left"/>
      <w:pPr>
        <w:ind w:left="0" w:firstLine="641"/>
      </w:pPr>
      <w:rPr>
        <w:rFonts w:hint="eastAsia"/>
      </w:rPr>
    </w:lvl>
    <w:lvl w:ilvl="7" w:tentative="0">
      <w:start w:val="1"/>
      <w:numFmt w:val="decimal"/>
      <w:lvlText w:val="%1.%2.%3.%4.%5.%6.%7.%8"/>
      <w:lvlJc w:val="left"/>
      <w:pPr>
        <w:ind w:left="0" w:firstLine="641"/>
      </w:pPr>
      <w:rPr>
        <w:rFonts w:hint="eastAsia"/>
      </w:rPr>
    </w:lvl>
    <w:lvl w:ilvl="8" w:tentative="0">
      <w:start w:val="1"/>
      <w:numFmt w:val="decimal"/>
      <w:lvlText w:val="%1.%2.%3.%4.%5.%6.%7.%8.%9"/>
      <w:lvlJc w:val="left"/>
      <w:pPr>
        <w:ind w:left="0" w:firstLine="641"/>
      </w:pPr>
      <w:rPr>
        <w:rFonts w:hint="eastAsia"/>
      </w:rPr>
    </w:lvl>
  </w:abstractNum>
  <w:abstractNum w:abstractNumId="1">
    <w:nsid w:val="36D84C03"/>
    <w:multiLevelType w:val="multilevel"/>
    <w:tmpl w:val="36D84C03"/>
    <w:lvl w:ilvl="0" w:tentative="0">
      <w:start w:val="1"/>
      <w:numFmt w:val="taiwaneseCountingThousand"/>
      <w:pStyle w:val="3"/>
      <w:suff w:val="nothing"/>
      <w:lvlText w:val="%1、"/>
      <w:lvlJc w:val="left"/>
      <w:pPr>
        <w:ind w:left="0" w:firstLine="641"/>
      </w:pPr>
      <w:rPr>
        <w:rFonts w:hint="eastAsia" w:eastAsia="黑体"/>
        <w:b w:val="0"/>
        <w:i w:val="0"/>
        <w:sz w:val="32"/>
      </w:rPr>
    </w:lvl>
    <w:lvl w:ilvl="1" w:tentative="0">
      <w:start w:val="1"/>
      <w:numFmt w:val="taiwaneseCountingThousand"/>
      <w:pStyle w:val="4"/>
      <w:suff w:val="nothing"/>
      <w:lvlText w:val="（%2）"/>
      <w:lvlJc w:val="left"/>
      <w:pPr>
        <w:ind w:left="0" w:firstLine="641"/>
      </w:pPr>
      <w:rPr>
        <w:rFonts w:hint="eastAsia"/>
      </w:rPr>
    </w:lvl>
    <w:lvl w:ilvl="2" w:tentative="0">
      <w:start w:val="1"/>
      <w:numFmt w:val="decimal"/>
      <w:lvlText w:val="%1.%2.%3"/>
      <w:lvlJc w:val="left"/>
      <w:pPr>
        <w:ind w:left="0" w:firstLine="641"/>
      </w:pPr>
      <w:rPr>
        <w:rFonts w:hint="eastAsia"/>
      </w:rPr>
    </w:lvl>
    <w:lvl w:ilvl="3" w:tentative="0">
      <w:start w:val="1"/>
      <w:numFmt w:val="decimal"/>
      <w:lvlText w:val="%1.%2.%3.%4"/>
      <w:lvlJc w:val="left"/>
      <w:pPr>
        <w:ind w:left="0" w:firstLine="641"/>
      </w:pPr>
      <w:rPr>
        <w:rFonts w:hint="eastAsia"/>
      </w:rPr>
    </w:lvl>
    <w:lvl w:ilvl="4" w:tentative="0">
      <w:start w:val="1"/>
      <w:numFmt w:val="decimal"/>
      <w:lvlText w:val="%1.%2.%3.%4.%5"/>
      <w:lvlJc w:val="left"/>
      <w:pPr>
        <w:ind w:left="0" w:firstLine="641"/>
      </w:pPr>
      <w:rPr>
        <w:rFonts w:hint="eastAsia"/>
      </w:rPr>
    </w:lvl>
    <w:lvl w:ilvl="5" w:tentative="0">
      <w:start w:val="1"/>
      <w:numFmt w:val="decimal"/>
      <w:lvlText w:val="%1.%2.%3.%4.%5.%6"/>
      <w:lvlJc w:val="left"/>
      <w:pPr>
        <w:ind w:left="0" w:firstLine="641"/>
      </w:pPr>
      <w:rPr>
        <w:rFonts w:hint="eastAsia"/>
      </w:rPr>
    </w:lvl>
    <w:lvl w:ilvl="6" w:tentative="0">
      <w:start w:val="1"/>
      <w:numFmt w:val="decimal"/>
      <w:lvlText w:val="%1.%2.%3.%4.%5.%6.%7"/>
      <w:lvlJc w:val="left"/>
      <w:pPr>
        <w:ind w:left="0" w:firstLine="641"/>
      </w:pPr>
      <w:rPr>
        <w:rFonts w:hint="eastAsia"/>
      </w:rPr>
    </w:lvl>
    <w:lvl w:ilvl="7" w:tentative="0">
      <w:start w:val="1"/>
      <w:numFmt w:val="decimal"/>
      <w:lvlText w:val="%1.%2.%3.%4.%5.%6.%7.%8"/>
      <w:lvlJc w:val="left"/>
      <w:pPr>
        <w:ind w:left="0" w:firstLine="641"/>
      </w:pPr>
      <w:rPr>
        <w:rFonts w:hint="eastAsia"/>
      </w:rPr>
    </w:lvl>
    <w:lvl w:ilvl="8" w:tentative="0">
      <w:start w:val="1"/>
      <w:numFmt w:val="decimal"/>
      <w:lvlText w:val="%1.%2.%3.%4.%5.%6.%7.%8.%9"/>
      <w:lvlJc w:val="left"/>
      <w:pPr>
        <w:ind w:left="0" w:firstLine="641"/>
      </w:pPr>
      <w:rPr>
        <w:rFonts w:hint="eastAsia"/>
      </w:rPr>
    </w:lvl>
  </w:abstractNum>
  <w:abstractNum w:abstractNumId="2">
    <w:nsid w:val="79DC44FC"/>
    <w:multiLevelType w:val="multilevel"/>
    <w:tmpl w:val="79DC44FC"/>
    <w:lvl w:ilvl="0" w:tentative="0">
      <w:start w:val="1"/>
      <w:numFmt w:val="taiwaneseCountingThousand"/>
      <w:suff w:val="nothing"/>
      <w:lvlText w:val="%1、"/>
      <w:lvlJc w:val="left"/>
      <w:pPr>
        <w:ind w:left="0" w:firstLine="641"/>
      </w:pPr>
      <w:rPr>
        <w:rFonts w:hint="eastAsia" w:eastAsia="黑体"/>
        <w:b w:val="0"/>
        <w:i w:val="0"/>
        <w:sz w:val="32"/>
      </w:rPr>
    </w:lvl>
    <w:lvl w:ilvl="1" w:tentative="0">
      <w:start w:val="1"/>
      <w:numFmt w:val="taiwaneseCountingThousand"/>
      <w:suff w:val="nothing"/>
      <w:lvlText w:val="（%2）"/>
      <w:lvlJc w:val="left"/>
      <w:pPr>
        <w:ind w:left="0" w:firstLine="641"/>
      </w:pPr>
      <w:rPr>
        <w:rFonts w:hint="eastAsia"/>
      </w:rPr>
    </w:lvl>
    <w:lvl w:ilvl="2" w:tentative="0">
      <w:start w:val="1"/>
      <w:numFmt w:val="decimal"/>
      <w:suff w:val="space"/>
      <w:lvlText w:val="%3."/>
      <w:lvlJc w:val="left"/>
      <w:pPr>
        <w:ind w:left="0" w:firstLine="641"/>
      </w:pPr>
      <w:rPr>
        <w:rFonts w:hint="eastAsia"/>
      </w:rPr>
    </w:lvl>
    <w:lvl w:ilvl="3" w:tentative="0">
      <w:start w:val="1"/>
      <w:numFmt w:val="decimal"/>
      <w:suff w:val="nothing"/>
      <w:lvlText w:val="（%4）"/>
      <w:lvlJc w:val="left"/>
      <w:pPr>
        <w:ind w:left="0" w:firstLine="641"/>
      </w:pPr>
      <w:rPr>
        <w:rFonts w:hint="eastAsia"/>
      </w:rPr>
    </w:lvl>
    <w:lvl w:ilvl="4" w:tentative="0">
      <w:start w:val="1"/>
      <w:numFmt w:val="decimal"/>
      <w:lvlText w:val="%5）"/>
      <w:lvlJc w:val="left"/>
      <w:pPr>
        <w:ind w:left="0" w:firstLine="641"/>
      </w:pPr>
    </w:lvl>
    <w:lvl w:ilvl="5" w:tentative="0">
      <w:start w:val="1"/>
      <w:numFmt w:val="decimal"/>
      <w:lvlText w:val="%1.%2.%3.%4.%5.%6"/>
      <w:lvlJc w:val="left"/>
      <w:pPr>
        <w:ind w:left="0" w:firstLine="641"/>
      </w:pPr>
      <w:rPr>
        <w:rFonts w:hint="eastAsia"/>
      </w:rPr>
    </w:lvl>
    <w:lvl w:ilvl="6" w:tentative="0">
      <w:start w:val="1"/>
      <w:numFmt w:val="decimal"/>
      <w:lvlText w:val="%1.%2.%3.%4.%5.%6.%7"/>
      <w:lvlJc w:val="left"/>
      <w:pPr>
        <w:ind w:left="0" w:firstLine="641"/>
      </w:pPr>
      <w:rPr>
        <w:rFonts w:hint="eastAsia"/>
      </w:rPr>
    </w:lvl>
    <w:lvl w:ilvl="7" w:tentative="0">
      <w:start w:val="1"/>
      <w:numFmt w:val="decimal"/>
      <w:lvlText w:val="%1.%2.%3.%4.%5.%6.%7.%8"/>
      <w:lvlJc w:val="left"/>
      <w:pPr>
        <w:ind w:left="0" w:firstLine="641"/>
      </w:pPr>
      <w:rPr>
        <w:rFonts w:hint="eastAsia"/>
      </w:rPr>
    </w:lvl>
    <w:lvl w:ilvl="8" w:tentative="0">
      <w:start w:val="1"/>
      <w:numFmt w:val="decimal"/>
      <w:lvlText w:val="%1.%2.%3.%4.%5.%6.%7.%8.%9"/>
      <w:lvlJc w:val="left"/>
      <w:pPr>
        <w:ind w:left="0" w:firstLine="641"/>
      </w:pPr>
      <w:rPr>
        <w:rFonts w:hint="eastAsia"/>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218"/>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C7C56"/>
    <w:rsid w:val="107B1C21"/>
    <w:rsid w:val="111E2757"/>
    <w:rsid w:val="138B7147"/>
    <w:rsid w:val="18277F15"/>
    <w:rsid w:val="21836423"/>
    <w:rsid w:val="28BB735A"/>
    <w:rsid w:val="2EA817CB"/>
    <w:rsid w:val="2EEE73A4"/>
    <w:rsid w:val="41B95CFE"/>
    <w:rsid w:val="42F36678"/>
    <w:rsid w:val="465C5277"/>
    <w:rsid w:val="4E9B459D"/>
    <w:rsid w:val="660670F6"/>
    <w:rsid w:val="694EC355"/>
    <w:rsid w:val="69B065A8"/>
    <w:rsid w:val="6AC9176D"/>
    <w:rsid w:val="6B5D0A5D"/>
    <w:rsid w:val="6C831372"/>
    <w:rsid w:val="7C736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qFormat/>
    <w:uiPriority w:val="9"/>
    <w:pPr>
      <w:keepNext/>
      <w:keepLines/>
      <w:numPr>
        <w:ilvl w:val="0"/>
        <w:numId w:val="1"/>
      </w:numPr>
      <w:ind w:firstLine="200"/>
      <w:outlineLvl w:val="0"/>
    </w:pPr>
    <w:rPr>
      <w:rFonts w:eastAsia="黑体"/>
      <w:b/>
      <w:bCs/>
      <w:kern w:val="44"/>
      <w:szCs w:val="44"/>
    </w:rPr>
  </w:style>
  <w:style w:type="paragraph" w:styleId="4">
    <w:name w:val="heading 2"/>
    <w:basedOn w:val="1"/>
    <w:next w:val="1"/>
    <w:unhideWhenUsed/>
    <w:qFormat/>
    <w:uiPriority w:val="9"/>
    <w:pPr>
      <w:keepNext/>
      <w:keepLines/>
      <w:numPr>
        <w:ilvl w:val="1"/>
        <w:numId w:val="1"/>
      </w:numPr>
      <w:ind w:firstLine="200"/>
      <w:outlineLvl w:val="1"/>
    </w:pPr>
    <w:rPr>
      <w:rFonts w:eastAsia="楷体_GB2312" w:asciiTheme="majorHAnsi" w:hAnsiTheme="majorHAnsi" w:cstheme="majorBidi"/>
      <w:b/>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40" w:lineRule="exact"/>
      <w:ind w:firstLine="703"/>
    </w:pPr>
    <w:rPr>
      <w:sz w:val="3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styleId="1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1712</Words>
  <Characters>1801</Characters>
  <Lines>0</Lines>
  <Paragraphs>0</Paragraphs>
  <TotalTime>0</TotalTime>
  <ScaleCrop>false</ScaleCrop>
  <LinksUpToDate>false</LinksUpToDate>
  <CharactersWithSpaces>1810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2026-04-16T09:02:00Z</dcterms:created>
  <dc:creator>zx</dc:creator>
  <cp:lastModifiedBy>ZHUOXIANG</cp:lastModifiedBy>
  <dcterms:modified xsi:type="dcterms:W3CDTF">2026-05-12T08:13:00Z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eyJoZGlkIjoiMzk3YjhlZWRkNzBhMjkzMGFlOThiZjU1YzljNzZkYmQiLCJ1c2VySWQiOiIyOTcxNDI3ODEifQ==</vt:lpwstr>
  </property>
  <property fmtid="{D5CDD505-2E9C-101B-9397-08002B2CF9AE}" pid="4" name="ICV">
    <vt:lpwstr>2B06F8DBF5D146559D76CCA0D79D4BAA_13</vt:lpwstr>
  </property>
</Properties>
</file>