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="100" w:beforeAutospacing="1" w:after="100" w:afterAutospacing="1" w:line="48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自然资源局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201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8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年部门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zh-CN"/>
        </w:rPr>
        <w:t>整体支出绩效评价报告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预算绩效管理工作开展情况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根据预算绩效管理要求,本部门(单位)在年初预算编制阶段,组织实施国土规划等工作经费项目开展了预算事前绩效评估,对1个项目编制了绩效目标,预算执行过程中,选取1个项目开展绩效监控,年终执行完毕后,对1个项目开展了绩效目标完成情况梳理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部门按要求对2018年部门整体支出开展绩效自评,从评价情况来看在一般项目支出编制质量、编制目标、绩效分配等方面还做的不够。本部门还自行组织了1个项目绩效评价,从评价情况来看社会效益和群众满意度有待提高,下一步不断优化绩效管理,争取取得更好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(二)项目绩效目标完成情况。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本部门在2018年度部门决算中反映“组织编制和实施国土规划等工作经费””矿产资源的保护和规划执行等工作经费”“耕地保护和开发整理工作经费”等7个项目绩效目标实际完成情况。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实施国土规划等工作经费项目绩效目标完成情况综述。项目全年预算数8万元,执行数为8万元,完成预算的100%。通过项目实施,保障国有土地的合理运用和合理规划,发现的主要问题:社会效益和群众满意度有待提高。下一步改进措施:结合国有土地规划条例,进一步提高绩效目标的业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 矿产资源的保护和规划执行等工作经费项目绩效目标完成情况综述。项目全年预算数3万元,执行数为3万元,完成预算的100%。通过项目实施,保障矿产资源的合理利用和规划工作的顺利开展,发现的主要问题:矿产资源管理方面还有待提高。下一步改进措施:不断优化绩效管理,提高社会效益和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3耕地保护和开发整理工作经费项目绩效目标完成情况综述。项目全年预算数5万元,执行数为5万元,完成预算的100%。通过项目实施,保障了国有土地的合理利用和开发,发现的主要问题:宣传力度还不够。下一步改进措施:加大宣传力度。</w:t>
      </w: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  <w:r>
        <w:rPr>
          <w:rFonts w:ascii="����" w:hAnsi="����" w:eastAsia="宋体" w:cs="宋体"/>
          <w:sz w:val="21"/>
          <w:szCs w:val="21"/>
        </w:rPr>
        <w:t>                     </w:t>
      </w:r>
      <w:r>
        <w:rPr>
          <w:rFonts w:hint="eastAsia" w:ascii="����" w:hAnsi="����" w:eastAsia="宋体" w:cs="宋体"/>
          <w:sz w:val="21"/>
          <w:szCs w:val="21"/>
          <w:lang w:val="en-US" w:eastAsia="zh-CN"/>
        </w:rPr>
        <w:t xml:space="preserve">  </w:t>
      </w: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����" w:hAnsi="����" w:eastAsia="宋体" w:cs="宋体"/>
          <w:sz w:val="21"/>
          <w:szCs w:val="21"/>
          <w:lang w:val="en-US" w:eastAsia="zh-CN"/>
        </w:rPr>
      </w:pPr>
    </w:p>
    <w:p>
      <w:pPr>
        <w:adjustRightInd/>
        <w:snapToGrid/>
        <w:spacing w:before="100" w:beforeAutospacing="1" w:after="100" w:afterAutospacing="1" w:line="480" w:lineRule="auto"/>
        <w:ind w:firstLine="48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����" w:hAnsi="����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项目支出绩效目标完成情况表(2018年度)</w:t>
      </w:r>
    </w:p>
    <w:tbl>
      <w:tblPr>
        <w:tblStyle w:val="5"/>
        <w:tblW w:w="10185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80"/>
        <w:gridCol w:w="1425"/>
        <w:gridCol w:w="1725"/>
        <w:gridCol w:w="2055"/>
        <w:gridCol w:w="25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38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6300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实施国土规划等工作经费项目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38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预算单位</w:t>
            </w:r>
          </w:p>
        </w:tc>
        <w:tc>
          <w:tcPr>
            <w:tcW w:w="6300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乐山市五通桥区自然资源局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预算执行情况(万元)</w:t>
            </w:r>
          </w:p>
        </w:tc>
        <w:tc>
          <w:tcPr>
            <w:tcW w:w="280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预算数: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7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执行数: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其中-财政拨款: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7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其中-财政拨款: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其它资金: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0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其它资金: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年度目标完成情况</w:t>
            </w:r>
          </w:p>
        </w:tc>
        <w:tc>
          <w:tcPr>
            <w:tcW w:w="4515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预期目标</w:t>
            </w:r>
          </w:p>
        </w:tc>
        <w:tc>
          <w:tcPr>
            <w:tcW w:w="457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实际完成目标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4515" w:type="dxa"/>
            <w:gridSpan w:val="3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加强对土地资源的合理配置、监管、利用,加大违法用地处理力度,加强地灾</w:t>
            </w:r>
          </w:p>
        </w:tc>
        <w:tc>
          <w:tcPr>
            <w:tcW w:w="4575" w:type="dxa"/>
            <w:gridSpan w:val="2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加强对土地资源的合理配置、监管、利用,加大违法用地处理力度,加强地灾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451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、土地整理、土地收储、交易等重点工作的开展。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、土地整理、土地收储、交易等重点工作的开展。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tblCellSpacing w:w="0" w:type="dxa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绩效指标完成情况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一级指标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二级指标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三级指标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预期指标值(包含数字及文字描述)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实际完成指标值(包含数字及文字描述)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项目完成指标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数量指标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开展有关国土资源环境保护的法制宣传工作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面对群众10余次讲解相关专业知识、开展宣传活动。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面对群众10余次讲解相关专业知识、开展宣传活动。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项目完成指标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质量指标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开展相关项目知识讲座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开展国土环境资源保护相关题材项目讲座8次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开展国土环境资源保护相关题材项目讲座8次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项目完成指标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时效指标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按时完成各项目标任务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已完成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已完成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项目完成指标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成本指标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实际财政投入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按实结算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按实结算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……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效益指标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社会效益指标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改善国有土地环境质量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达到预期目标,做到了保护与保障并举,管理和服务并行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达到预期目标,做到了保护与保障并举,管理和服务并行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效益指标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生态效益指标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保护土地合理利用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达到预期目标,全面落实“产业发展年”各项任务。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达到预期目标,全面落实“产业发展年”各项任务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……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可持续效益指标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保障国有土地合理运用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合理规划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合理规划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满意度指标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群众满意度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90%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����" w:hAnsi="����" w:eastAsia="宋体" w:cs="宋体"/>
                <w:sz w:val="21"/>
                <w:szCs w:val="21"/>
              </w:rPr>
            </w:pPr>
            <w:r>
              <w:rPr>
                <w:rFonts w:ascii="����" w:hAnsi="����" w:eastAsia="宋体" w:cs="宋体"/>
                <w:sz w:val="21"/>
                <w:szCs w:val="21"/>
              </w:rPr>
              <w:t>90%</w:t>
            </w:r>
          </w:p>
        </w:tc>
      </w:tr>
    </w:tbl>
    <w:p>
      <w:pPr>
        <w:adjustRightInd/>
        <w:snapToGrid/>
        <w:spacing w:before="100" w:beforeAutospacing="1" w:after="100" w:afterAutospacing="1" w:line="480" w:lineRule="auto"/>
        <w:rPr>
          <w:rFonts w:ascii="����" w:hAnsi="����" w:eastAsia="宋体" w:cs="宋体"/>
          <w:sz w:val="21"/>
          <w:szCs w:val="21"/>
        </w:rPr>
      </w:pPr>
      <w:r>
        <w:rPr>
          <w:rFonts w:ascii="����" w:hAnsi="����" w:eastAsia="宋体" w:cs="宋体"/>
          <w:sz w:val="21"/>
          <w:szCs w:val="21"/>
        </w:rPr>
        <w:t>  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(三)部门开展绩效评价结果。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本部门按要求对2018年部门整体支出绩效评价情况开展自评,《乐山市五通桥区自然资源局2018年部门整体支出绩效评价报告》见附件。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本部门自行组织对实施国土规划等工作经费项目开展了绩效评价,《乐山市五通桥区自然资源局2018年绩效评价报告》见附件</w:t>
      </w:r>
    </w:p>
    <w:p>
      <w:pPr>
        <w:spacing w:line="220" w:lineRule="atLeast"/>
      </w:pPr>
    </w:p>
    <w:sectPr>
      <w:pgSz w:w="11906" w:h="16838"/>
      <w:pgMar w:top="930" w:right="1191" w:bottom="930" w:left="147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95981"/>
    <w:rsid w:val="00323B43"/>
    <w:rsid w:val="003D37D8"/>
    <w:rsid w:val="00426133"/>
    <w:rsid w:val="004358AB"/>
    <w:rsid w:val="00596DDA"/>
    <w:rsid w:val="008B7726"/>
    <w:rsid w:val="00D2567A"/>
    <w:rsid w:val="00D31D50"/>
    <w:rsid w:val="082B7E54"/>
    <w:rsid w:val="2F97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255</Words>
  <Characters>1457</Characters>
  <Lines>12</Lines>
  <Paragraphs>3</Paragraphs>
  <TotalTime>5</TotalTime>
  <ScaleCrop>false</ScaleCrop>
  <LinksUpToDate>false</LinksUpToDate>
  <CharactersWithSpaces>1709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2021-05-25T08:54:40Z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