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outlineLvl w:val="0"/>
        <w:rPr>
          <w:rFonts w:ascii="宋体" w:cs="宋体"/>
          <w:b/>
          <w:bCs/>
          <w:color w:val="000000"/>
          <w:sz w:val="52"/>
          <w:szCs w:val="52"/>
        </w:rPr>
      </w:pPr>
      <w:bookmarkStart w:id="1" w:name="_Toc26026"/>
      <w:bookmarkStart w:id="2" w:name="_Toc15396475"/>
      <w:bookmarkStart w:id="3" w:name="_Toc15377425"/>
      <w:bookmarkStart w:id="4" w:name="_Toc4612"/>
      <w:bookmarkStart w:id="5" w:name="_Toc15377193"/>
      <w:bookmarkStart w:id="6" w:name="_Toc15396597"/>
      <w:bookmarkStart w:id="7" w:name="_Toc15378441"/>
      <w:bookmarkStart w:id="8" w:name="_Toc17261"/>
      <w:r>
        <w:rPr>
          <w:rFonts w:ascii="宋体" w:hAnsi="宋体" w:cs="宋体"/>
          <w:b/>
          <w:bCs/>
          <w:color w:val="000000"/>
          <w:sz w:val="52"/>
          <w:szCs w:val="52"/>
        </w:rPr>
        <w:t>2020</w:t>
      </w:r>
      <w:r>
        <w:rPr>
          <w:rFonts w:hint="eastAsia" w:ascii="宋体" w:hAnsi="宋体" w:cs="宋体"/>
          <w:b/>
          <w:bCs/>
          <w:color w:val="000000"/>
          <w:sz w:val="52"/>
          <w:szCs w:val="52"/>
        </w:rPr>
        <w:t>年度</w:t>
      </w:r>
      <w:bookmarkEnd w:id="1"/>
      <w:bookmarkEnd w:id="2"/>
      <w:bookmarkEnd w:id="3"/>
      <w:bookmarkEnd w:id="4"/>
      <w:bookmarkEnd w:id="5"/>
      <w:bookmarkEnd w:id="6"/>
      <w:bookmarkEnd w:id="7"/>
      <w:bookmarkEnd w:id="8"/>
    </w:p>
    <w:bookmarkEnd w:id="0"/>
    <w:p>
      <w:pPr>
        <w:jc w:val="center"/>
        <w:rPr>
          <w:rFonts w:ascii="宋体" w:cs="宋体"/>
          <w:b/>
          <w:sz w:val="52"/>
          <w:szCs w:val="52"/>
        </w:rPr>
      </w:pPr>
      <w:bookmarkStart w:id="9" w:name="_Toc15377194"/>
      <w:bookmarkStart w:id="10" w:name="_Toc23151"/>
      <w:bookmarkStart w:id="11" w:name="_Toc15378442"/>
      <w:bookmarkStart w:id="12" w:name="_Toc15396598"/>
      <w:bookmarkStart w:id="13" w:name="_Toc15377426"/>
      <w:bookmarkStart w:id="14" w:name="_Toc15396476"/>
      <w:bookmarkStart w:id="15" w:name="_Toc15306268"/>
      <w:r>
        <w:rPr>
          <w:rFonts w:hint="eastAsia" w:ascii="宋体" w:hAnsi="宋体" w:cs="宋体"/>
          <w:b/>
          <w:bCs/>
          <w:color w:val="000000"/>
          <w:sz w:val="52"/>
          <w:szCs w:val="52"/>
        </w:rPr>
        <w:t>乐山市五通桥区</w:t>
      </w:r>
      <w:r>
        <w:rPr>
          <w:rFonts w:hint="eastAsia" w:ascii="宋体" w:hAnsi="宋体" w:cs="宋体"/>
          <w:b/>
          <w:sz w:val="52"/>
          <w:szCs w:val="52"/>
        </w:rPr>
        <w:t>竹根镇</w:t>
      </w:r>
    </w:p>
    <w:p>
      <w:pPr>
        <w:jc w:val="center"/>
        <w:rPr>
          <w:rFonts w:ascii="宋体" w:cs="宋体"/>
          <w:b/>
          <w:bCs/>
          <w:color w:val="000000"/>
          <w:sz w:val="52"/>
          <w:szCs w:val="52"/>
        </w:rPr>
      </w:pPr>
      <w:r>
        <w:rPr>
          <w:rFonts w:hint="eastAsia" w:ascii="宋体" w:hAnsi="宋体" w:cs="宋体"/>
          <w:b/>
          <w:bCs/>
          <w:sz w:val="52"/>
          <w:szCs w:val="52"/>
        </w:rPr>
        <w:t>竹根初级中学</w:t>
      </w:r>
      <w:r>
        <w:rPr>
          <w:rFonts w:hint="eastAsia" w:ascii="宋体" w:hAnsi="宋体" w:cs="宋体"/>
          <w:b/>
          <w:bCs/>
          <w:color w:val="000000"/>
          <w:sz w:val="52"/>
          <w:szCs w:val="52"/>
        </w:rPr>
        <w:t>部门决算</w:t>
      </w:r>
      <w:bookmarkEnd w:id="9"/>
      <w:bookmarkEnd w:id="10"/>
      <w:bookmarkEnd w:id="11"/>
      <w:bookmarkEnd w:id="12"/>
      <w:bookmarkEnd w:id="13"/>
      <w:bookmarkEnd w:id="14"/>
      <w:bookmarkEnd w:id="15"/>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7"/>
      </w:pPr>
      <w:r>
        <w:rPr>
          <w:rFonts w:hint="eastAsia"/>
        </w:rPr>
        <w:t>公开时间：</w:t>
      </w:r>
      <w:r>
        <w:t>2021</w:t>
      </w:r>
      <w:r>
        <w:rPr>
          <w:rFonts w:hint="eastAsia"/>
        </w:rPr>
        <w:t>年</w:t>
      </w:r>
      <w:r>
        <w:t xml:space="preserve"> 9</w:t>
      </w:r>
      <w:r>
        <w:rPr>
          <w:rFonts w:hint="eastAsia"/>
        </w:rPr>
        <w:t>月</w:t>
      </w:r>
      <w:r>
        <w:t xml:space="preserve"> 28</w:t>
      </w:r>
      <w:r>
        <w:rPr>
          <w:rFonts w:hint="eastAsia"/>
        </w:rPr>
        <w:t>日</w:t>
      </w:r>
    </w:p>
    <w:p/>
    <w:p>
      <w:pPr>
        <w:jc w:val="center"/>
      </w:pPr>
      <w:bookmarkStart w:id="16" w:name="_Toc15396599"/>
      <w:bookmarkStart w:id="17" w:name="_Toc15377196"/>
    </w:p>
    <w:p>
      <w:pPr>
        <w:pStyle w:val="7"/>
        <w:tabs>
          <w:tab w:val="right" w:leader="dot" w:pos="8306"/>
          <w:tab w:val="clear" w:pos="8296"/>
        </w:tabs>
        <w:rPr>
          <w:rFonts w:ascii="宋体" w:hAnsi="宋体" w:eastAsia="宋体" w:cs="宋体"/>
          <w:sz w:val="30"/>
          <w:szCs w:val="30"/>
        </w:rPr>
      </w:pPr>
      <w:r>
        <w:rPr>
          <w:rFonts w:ascii="宋体" w:hAnsi="宋体" w:eastAsia="宋体" w:cs="宋体"/>
          <w:sz w:val="30"/>
          <w:szCs w:val="30"/>
        </w:rPr>
        <w:fldChar w:fldCharType="begin"/>
      </w:r>
      <w:r>
        <w:rPr>
          <w:rFonts w:ascii="宋体" w:hAnsi="宋体" w:eastAsia="宋体" w:cs="宋体"/>
          <w:sz w:val="30"/>
          <w:szCs w:val="30"/>
        </w:rPr>
        <w:instrText xml:space="preserve">TOC \o "1-3" \h \u </w:instrText>
      </w:r>
      <w:r>
        <w:rPr>
          <w:rFonts w:ascii="宋体" w:hAnsi="宋体" w:eastAsia="宋体" w:cs="宋体"/>
          <w:sz w:val="30"/>
          <w:szCs w:val="30"/>
        </w:rPr>
        <w:fldChar w:fldCharType="separate"/>
      </w:r>
      <w:r>
        <w:fldChar w:fldCharType="begin"/>
      </w:r>
      <w:r>
        <w:instrText xml:space="preserve"> HYPERLINK \l "_Toc4612" </w:instrText>
      </w:r>
      <w:r>
        <w:fldChar w:fldCharType="separate"/>
      </w:r>
      <w:r>
        <w:rPr>
          <w:rFonts w:ascii="宋体" w:hAnsi="宋体" w:eastAsia="宋体" w:cs="宋体"/>
          <w:bCs/>
          <w:sz w:val="30"/>
          <w:szCs w:val="30"/>
        </w:rPr>
        <w:t>2020</w:t>
      </w:r>
      <w:r>
        <w:rPr>
          <w:rFonts w:hint="eastAsia" w:ascii="宋体" w:hAnsi="宋体" w:eastAsia="宋体" w:cs="宋体"/>
          <w:bCs/>
          <w:sz w:val="30"/>
          <w:szCs w:val="30"/>
        </w:rPr>
        <w:t>年度</w:t>
      </w:r>
      <w:r>
        <w:rPr>
          <w:rFonts w:ascii="宋体" w:hAnsi="宋体" w:eastAsia="宋体" w:cs="宋体"/>
          <w:sz w:val="30"/>
          <w:szCs w:val="30"/>
        </w:rPr>
        <w:tab/>
      </w:r>
      <w:r>
        <w:rPr>
          <w:rFonts w:ascii="宋体" w:hAnsi="宋体" w:eastAsia="宋体" w:cs="宋体"/>
          <w:sz w:val="30"/>
          <w:szCs w:val="30"/>
        </w:rPr>
        <w:fldChar w:fldCharType="begin"/>
      </w:r>
      <w:r>
        <w:rPr>
          <w:rFonts w:ascii="宋体" w:hAnsi="宋体" w:eastAsia="宋体" w:cs="宋体"/>
          <w:sz w:val="30"/>
          <w:szCs w:val="30"/>
        </w:rPr>
        <w:instrText xml:space="preserve"> PAGEREF _Toc4612 \h </w:instrText>
      </w:r>
      <w:r>
        <w:rPr>
          <w:rFonts w:ascii="宋体" w:hAnsi="宋体" w:eastAsia="宋体" w:cs="宋体"/>
          <w:sz w:val="30"/>
          <w:szCs w:val="30"/>
        </w:rPr>
        <w:fldChar w:fldCharType="separate"/>
      </w:r>
      <w:r>
        <w:rPr>
          <w:rFonts w:ascii="宋体" w:hAnsi="宋体" w:eastAsia="宋体" w:cs="宋体"/>
          <w:sz w:val="30"/>
          <w:szCs w:val="30"/>
        </w:rPr>
        <w:t>1</w:t>
      </w:r>
      <w:r>
        <w:rPr>
          <w:rFonts w:ascii="宋体" w:hAnsi="宋体" w:eastAsia="宋体" w:cs="宋体"/>
          <w:sz w:val="30"/>
          <w:szCs w:val="30"/>
        </w:rPr>
        <w:fldChar w:fldCharType="end"/>
      </w:r>
      <w:r>
        <w:rPr>
          <w:rFonts w:ascii="宋体" w:hAnsi="宋体" w:eastAsia="宋体" w:cs="宋体"/>
          <w:sz w:val="30"/>
          <w:szCs w:val="30"/>
        </w:rPr>
        <w:fldChar w:fldCharType="end"/>
      </w:r>
    </w:p>
    <w:p>
      <w:pPr>
        <w:pStyle w:val="7"/>
        <w:tabs>
          <w:tab w:val="right" w:leader="dot" w:pos="8306"/>
          <w:tab w:val="clear" w:pos="8296"/>
        </w:tabs>
        <w:rPr>
          <w:rFonts w:ascii="宋体" w:hAnsi="宋体" w:eastAsia="宋体" w:cs="宋体"/>
          <w:sz w:val="30"/>
          <w:szCs w:val="30"/>
        </w:rPr>
      </w:pPr>
      <w:r>
        <w:fldChar w:fldCharType="begin"/>
      </w:r>
      <w:r>
        <w:instrText xml:space="preserve"> HYPERLINK \l "_Toc17109" </w:instrText>
      </w:r>
      <w:r>
        <w:fldChar w:fldCharType="separate"/>
      </w:r>
      <w:r>
        <w:rPr>
          <w:rFonts w:hint="eastAsia" w:ascii="宋体" w:hAnsi="宋体" w:eastAsia="宋体" w:cs="宋体"/>
          <w:sz w:val="30"/>
          <w:szCs w:val="30"/>
        </w:rPr>
        <w:t>第一部分</w:t>
      </w:r>
      <w:r>
        <w:rPr>
          <w:rFonts w:ascii="宋体" w:hAnsi="宋体" w:eastAsia="宋体" w:cs="宋体"/>
          <w:sz w:val="30"/>
          <w:szCs w:val="30"/>
        </w:rPr>
        <w:t xml:space="preserve"> </w:t>
      </w:r>
      <w:r>
        <w:rPr>
          <w:rFonts w:hint="eastAsia" w:ascii="宋体" w:hAnsi="宋体" w:eastAsia="宋体" w:cs="宋体"/>
          <w:sz w:val="30"/>
          <w:szCs w:val="30"/>
        </w:rPr>
        <w:t>部门概况</w:t>
      </w:r>
      <w:r>
        <w:rPr>
          <w:rFonts w:ascii="宋体" w:hAnsi="宋体" w:eastAsia="宋体" w:cs="宋体"/>
          <w:sz w:val="30"/>
          <w:szCs w:val="30"/>
        </w:rPr>
        <w:tab/>
      </w:r>
      <w:r>
        <w:rPr>
          <w:rFonts w:ascii="宋体" w:hAnsi="宋体" w:eastAsia="宋体" w:cs="宋体"/>
          <w:sz w:val="30"/>
          <w:szCs w:val="30"/>
        </w:rPr>
        <w:fldChar w:fldCharType="begin"/>
      </w:r>
      <w:r>
        <w:rPr>
          <w:rFonts w:ascii="宋体" w:hAnsi="宋体" w:eastAsia="宋体" w:cs="宋体"/>
          <w:sz w:val="30"/>
          <w:szCs w:val="30"/>
        </w:rPr>
        <w:instrText xml:space="preserve"> PAGEREF _Toc17109 \h </w:instrText>
      </w:r>
      <w:r>
        <w:rPr>
          <w:rFonts w:ascii="宋体" w:hAnsi="宋体" w:eastAsia="宋体" w:cs="宋体"/>
          <w:sz w:val="30"/>
          <w:szCs w:val="30"/>
        </w:rPr>
        <w:fldChar w:fldCharType="separate"/>
      </w:r>
      <w:r>
        <w:rPr>
          <w:rFonts w:ascii="宋体" w:hAnsi="宋体" w:eastAsia="宋体" w:cs="宋体"/>
          <w:sz w:val="30"/>
          <w:szCs w:val="30"/>
        </w:rPr>
        <w:t>4</w:t>
      </w:r>
      <w:r>
        <w:rPr>
          <w:rFonts w:ascii="宋体" w:hAnsi="宋体" w:eastAsia="宋体" w:cs="宋体"/>
          <w:sz w:val="30"/>
          <w:szCs w:val="30"/>
        </w:rPr>
        <w:fldChar w:fldCharType="end"/>
      </w:r>
      <w:r>
        <w:rPr>
          <w:rFonts w:ascii="宋体" w:hAnsi="宋体" w:eastAsia="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"_Toc24843" </w:instrText>
      </w:r>
      <w:r>
        <w:fldChar w:fldCharType="separate"/>
      </w:r>
      <w:r>
        <w:rPr>
          <w:rFonts w:hint="eastAsia" w:ascii="宋体" w:hAnsi="宋体" w:cs="宋体"/>
          <w:sz w:val="30"/>
          <w:szCs w:val="30"/>
        </w:rPr>
        <w:t>一、基本职能及主要工作</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_Toc24843 \h </w:instrText>
      </w:r>
      <w:r>
        <w:rPr>
          <w:rFonts w:ascii="宋体" w:hAnsi="宋体" w:cs="宋体"/>
          <w:sz w:val="30"/>
          <w:szCs w:val="30"/>
        </w:rPr>
        <w:fldChar w:fldCharType="separate"/>
      </w:r>
      <w:r>
        <w:rPr>
          <w:rFonts w:ascii="宋体" w:hAnsi="宋体" w:cs="宋体"/>
          <w:sz w:val="30"/>
          <w:szCs w:val="30"/>
        </w:rPr>
        <w:t>4</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"_Toc2586" </w:instrText>
      </w:r>
      <w:r>
        <w:fldChar w:fldCharType="separate"/>
      </w:r>
      <w:r>
        <w:rPr>
          <w:rFonts w:hint="eastAsia" w:ascii="宋体" w:hAnsi="宋体" w:cs="宋体"/>
          <w:sz w:val="30"/>
          <w:szCs w:val="30"/>
        </w:rPr>
        <w:t>二、机构设置</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_Toc2586 \h </w:instrText>
      </w:r>
      <w:r>
        <w:rPr>
          <w:rFonts w:ascii="宋体" w:hAnsi="宋体" w:cs="宋体"/>
          <w:sz w:val="30"/>
          <w:szCs w:val="30"/>
        </w:rPr>
        <w:fldChar w:fldCharType="separate"/>
      </w:r>
      <w:r>
        <w:rPr>
          <w:rFonts w:ascii="宋体" w:hAnsi="宋体" w:cs="宋体"/>
          <w:sz w:val="30"/>
          <w:szCs w:val="30"/>
        </w:rPr>
        <w:t>5</w:t>
      </w:r>
      <w:r>
        <w:rPr>
          <w:rFonts w:ascii="宋体" w:hAnsi="宋体" w:cs="宋体"/>
          <w:sz w:val="30"/>
          <w:szCs w:val="30"/>
        </w:rPr>
        <w:fldChar w:fldCharType="end"/>
      </w:r>
      <w:r>
        <w:rPr>
          <w:rFonts w:ascii="宋体" w:hAnsi="宋体" w:cs="宋体"/>
          <w:sz w:val="30"/>
          <w:szCs w:val="30"/>
        </w:rPr>
        <w:fldChar w:fldCharType="end"/>
      </w:r>
    </w:p>
    <w:p>
      <w:pPr>
        <w:pStyle w:val="7"/>
        <w:tabs>
          <w:tab w:val="right" w:leader="dot" w:pos="8306"/>
          <w:tab w:val="clear" w:pos="8296"/>
        </w:tabs>
        <w:rPr>
          <w:rFonts w:ascii="宋体" w:hAnsi="宋体" w:eastAsia="宋体" w:cs="宋体"/>
          <w:sz w:val="30"/>
          <w:szCs w:val="30"/>
        </w:rPr>
      </w:pPr>
      <w:r>
        <w:fldChar w:fldCharType="begin"/>
      </w:r>
      <w:r>
        <w:instrText xml:space="preserve"> HYPERLINK \l "_Toc710" </w:instrText>
      </w:r>
      <w:r>
        <w:fldChar w:fldCharType="separate"/>
      </w:r>
      <w:r>
        <w:rPr>
          <w:rFonts w:hint="eastAsia" w:ascii="宋体" w:hAnsi="宋体" w:eastAsia="宋体" w:cs="宋体"/>
          <w:sz w:val="30"/>
          <w:szCs w:val="30"/>
        </w:rPr>
        <w:t>第二部分</w:t>
      </w:r>
      <w:r>
        <w:rPr>
          <w:rFonts w:ascii="宋体" w:hAnsi="宋体" w:eastAsia="宋体" w:cs="宋体"/>
          <w:sz w:val="30"/>
          <w:szCs w:val="30"/>
        </w:rPr>
        <w:t xml:space="preserve"> 2020</w:t>
      </w:r>
      <w:r>
        <w:rPr>
          <w:rFonts w:hint="eastAsia" w:ascii="宋体" w:hAnsi="宋体" w:eastAsia="宋体" w:cs="宋体"/>
          <w:sz w:val="30"/>
          <w:szCs w:val="30"/>
        </w:rPr>
        <w:t>年度部门决算情况说明</w:t>
      </w:r>
      <w:r>
        <w:rPr>
          <w:rFonts w:ascii="宋体" w:hAnsi="宋体" w:eastAsia="宋体" w:cs="宋体"/>
          <w:sz w:val="30"/>
          <w:szCs w:val="30"/>
        </w:rPr>
        <w:tab/>
      </w:r>
      <w:r>
        <w:rPr>
          <w:rFonts w:ascii="宋体" w:hAnsi="宋体" w:eastAsia="宋体" w:cs="宋体"/>
          <w:sz w:val="30"/>
          <w:szCs w:val="30"/>
        </w:rPr>
        <w:fldChar w:fldCharType="begin"/>
      </w:r>
      <w:r>
        <w:rPr>
          <w:rFonts w:ascii="宋体" w:hAnsi="宋体" w:eastAsia="宋体" w:cs="宋体"/>
          <w:sz w:val="30"/>
          <w:szCs w:val="30"/>
        </w:rPr>
        <w:instrText xml:space="preserve"> PAGEREF _Toc710 \h </w:instrText>
      </w:r>
      <w:r>
        <w:rPr>
          <w:rFonts w:ascii="宋体" w:hAnsi="宋体" w:eastAsia="宋体" w:cs="宋体"/>
          <w:sz w:val="30"/>
          <w:szCs w:val="30"/>
        </w:rPr>
        <w:fldChar w:fldCharType="separate"/>
      </w:r>
      <w:r>
        <w:rPr>
          <w:rFonts w:ascii="宋体" w:hAnsi="宋体" w:eastAsia="宋体" w:cs="宋体"/>
          <w:sz w:val="30"/>
          <w:szCs w:val="30"/>
        </w:rPr>
        <w:t>6</w:t>
      </w:r>
      <w:r>
        <w:rPr>
          <w:rFonts w:ascii="宋体" w:hAnsi="宋体" w:eastAsia="宋体" w:cs="宋体"/>
          <w:sz w:val="30"/>
          <w:szCs w:val="30"/>
        </w:rPr>
        <w:fldChar w:fldCharType="end"/>
      </w:r>
      <w:r>
        <w:rPr>
          <w:rFonts w:ascii="宋体" w:hAnsi="宋体" w:eastAsia="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"_Toc107" </w:instrText>
      </w:r>
      <w:r>
        <w:fldChar w:fldCharType="separate"/>
      </w:r>
      <w:r>
        <w:rPr>
          <w:rFonts w:hint="eastAsia" w:ascii="宋体" w:hAnsi="宋体" w:cs="宋体"/>
          <w:sz w:val="30"/>
          <w:szCs w:val="30"/>
        </w:rPr>
        <w:t>一、</w:t>
      </w:r>
      <w:r>
        <w:rPr>
          <w:rFonts w:ascii="宋体" w:hAnsi="宋体" w:cs="宋体"/>
          <w:sz w:val="30"/>
          <w:szCs w:val="30"/>
        </w:rPr>
        <w:t xml:space="preserve"> </w:t>
      </w:r>
      <w:r>
        <w:rPr>
          <w:rFonts w:hint="eastAsia" w:ascii="宋体" w:hAnsi="宋体" w:cs="宋体"/>
          <w:sz w:val="30"/>
          <w:szCs w:val="30"/>
        </w:rPr>
        <w:t>收入支出决算总体情况说明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_Toc107 \h </w:instrText>
      </w:r>
      <w:r>
        <w:rPr>
          <w:rFonts w:ascii="宋体" w:hAnsi="宋体" w:cs="宋体"/>
          <w:sz w:val="30"/>
          <w:szCs w:val="30"/>
        </w:rPr>
        <w:fldChar w:fldCharType="separate"/>
      </w:r>
      <w:r>
        <w:rPr>
          <w:rFonts w:ascii="宋体" w:hAnsi="宋体" w:cs="宋体"/>
          <w:sz w:val="30"/>
          <w:szCs w:val="30"/>
        </w:rPr>
        <w:t>6</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"_Toc18157" </w:instrText>
      </w:r>
      <w:r>
        <w:fldChar w:fldCharType="separate"/>
      </w:r>
      <w:r>
        <w:rPr>
          <w:rFonts w:hint="eastAsia" w:ascii="宋体" w:hAnsi="宋体" w:cs="宋体"/>
          <w:sz w:val="30"/>
          <w:szCs w:val="30"/>
        </w:rPr>
        <w:t>二、</w:t>
      </w:r>
      <w:r>
        <w:rPr>
          <w:rFonts w:ascii="宋体" w:hAnsi="宋体" w:cs="宋体"/>
          <w:sz w:val="30"/>
          <w:szCs w:val="30"/>
        </w:rPr>
        <w:t xml:space="preserve"> </w:t>
      </w:r>
      <w:r>
        <w:rPr>
          <w:rFonts w:hint="eastAsia" w:ascii="宋体" w:hAnsi="宋体" w:cs="宋体"/>
          <w:sz w:val="30"/>
          <w:szCs w:val="30"/>
        </w:rPr>
        <w:t>收入决算情况说明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_Toc18157 \h </w:instrText>
      </w:r>
      <w:r>
        <w:rPr>
          <w:rFonts w:ascii="宋体" w:hAnsi="宋体" w:cs="宋体"/>
          <w:sz w:val="30"/>
          <w:szCs w:val="30"/>
        </w:rPr>
        <w:fldChar w:fldCharType="separate"/>
      </w:r>
      <w:r>
        <w:rPr>
          <w:rFonts w:ascii="宋体" w:hAnsi="宋体" w:cs="宋体"/>
          <w:sz w:val="30"/>
          <w:szCs w:val="30"/>
        </w:rPr>
        <w:t>6</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"_Toc4552" </w:instrText>
      </w:r>
      <w:r>
        <w:fldChar w:fldCharType="separate"/>
      </w:r>
      <w:r>
        <w:rPr>
          <w:rFonts w:hint="eastAsia" w:ascii="宋体" w:hAnsi="宋体" w:cs="宋体"/>
          <w:sz w:val="30"/>
          <w:szCs w:val="30"/>
        </w:rPr>
        <w:t>三、</w:t>
      </w:r>
      <w:r>
        <w:rPr>
          <w:rFonts w:ascii="宋体" w:hAnsi="宋体" w:cs="宋体"/>
          <w:sz w:val="30"/>
          <w:szCs w:val="30"/>
        </w:rPr>
        <w:t xml:space="preserve"> </w:t>
      </w:r>
      <w:r>
        <w:rPr>
          <w:rFonts w:hint="eastAsia" w:ascii="宋体" w:hAnsi="宋体" w:cs="宋体"/>
          <w:sz w:val="30"/>
          <w:szCs w:val="30"/>
        </w:rPr>
        <w:t>支出决算情况说明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_Toc4552 \h </w:instrText>
      </w:r>
      <w:r>
        <w:rPr>
          <w:rFonts w:ascii="宋体" w:hAnsi="宋体" w:cs="宋体"/>
          <w:sz w:val="30"/>
          <w:szCs w:val="30"/>
        </w:rPr>
        <w:fldChar w:fldCharType="separate"/>
      </w:r>
      <w:r>
        <w:rPr>
          <w:rFonts w:ascii="宋体" w:hAnsi="宋体" w:cs="宋体"/>
          <w:sz w:val="30"/>
          <w:szCs w:val="30"/>
        </w:rPr>
        <w:t>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 </w:instrText>
      </w:r>
      <w:r>
        <w:fldChar w:fldCharType="separate"/>
      </w:r>
      <w:r>
        <w:rPr>
          <w:rFonts w:hint="eastAsia" w:ascii="宋体" w:hAnsi="宋体" w:cs="宋体"/>
          <w:sz w:val="30"/>
          <w:szCs w:val="30"/>
        </w:rPr>
        <w:t>四、财政拨款收入支出决算总体情况说明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 \h </w:instrText>
      </w:r>
      <w:r>
        <w:rPr>
          <w:rFonts w:ascii="宋体" w:hAnsi="宋体" w:cs="宋体"/>
          <w:sz w:val="30"/>
          <w:szCs w:val="30"/>
        </w:rPr>
        <w:fldChar w:fldCharType="separate"/>
      </w:r>
      <w:r>
        <w:rPr>
          <w:rFonts w:ascii="宋体" w:hAnsi="宋体" w:cs="宋体"/>
          <w:sz w:val="30"/>
          <w:szCs w:val="30"/>
        </w:rPr>
        <w:t>8</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"_Toc2850" </w:instrText>
      </w:r>
      <w:r>
        <w:fldChar w:fldCharType="separate"/>
      </w:r>
      <w:r>
        <w:rPr>
          <w:rFonts w:hint="eastAsia" w:ascii="宋体" w:hAnsi="宋体" w:cs="宋体"/>
          <w:sz w:val="30"/>
          <w:szCs w:val="30"/>
        </w:rPr>
        <w:t>五、一般公共预算财政拨款支出决算情况说明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_Toc2850 \h </w:instrText>
      </w:r>
      <w:r>
        <w:rPr>
          <w:rFonts w:ascii="宋体" w:hAnsi="宋体" w:cs="宋体"/>
          <w:sz w:val="30"/>
          <w:szCs w:val="30"/>
        </w:rPr>
        <w:fldChar w:fldCharType="separate"/>
      </w:r>
      <w:r>
        <w:rPr>
          <w:rFonts w:ascii="宋体" w:hAnsi="宋体" w:cs="宋体"/>
          <w:sz w:val="30"/>
          <w:szCs w:val="30"/>
        </w:rPr>
        <w:t>9</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"_Toc25028" </w:instrText>
      </w:r>
      <w:r>
        <w:fldChar w:fldCharType="separate"/>
      </w:r>
      <w:r>
        <w:rPr>
          <w:rFonts w:hint="eastAsia" w:ascii="宋体" w:hAnsi="宋体" w:cs="宋体"/>
          <w:sz w:val="30"/>
          <w:szCs w:val="30"/>
        </w:rPr>
        <w:t>六、一般公共预算财政拨款基本支出决算情况说明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_Toc25028 \h </w:instrText>
      </w:r>
      <w:r>
        <w:rPr>
          <w:rFonts w:ascii="宋体" w:hAnsi="宋体" w:cs="宋体"/>
          <w:sz w:val="30"/>
          <w:szCs w:val="30"/>
        </w:rPr>
        <w:fldChar w:fldCharType="separate"/>
      </w:r>
      <w:r>
        <w:rPr>
          <w:rFonts w:ascii="宋体" w:hAnsi="宋体" w:cs="宋体"/>
          <w:sz w:val="30"/>
          <w:szCs w:val="30"/>
        </w:rPr>
        <w:t>12</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"_Toc18827" </w:instrText>
      </w:r>
      <w:r>
        <w:fldChar w:fldCharType="separate"/>
      </w:r>
      <w:r>
        <w:rPr>
          <w:rFonts w:hint="eastAsia" w:ascii="宋体" w:hAnsi="宋体" w:cs="宋体"/>
          <w:sz w:val="30"/>
          <w:szCs w:val="30"/>
        </w:rPr>
        <w:t>七、“三公”经费财政拨款支出决算情况说明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_Toc18827 \h </w:instrText>
      </w:r>
      <w:r>
        <w:rPr>
          <w:rFonts w:ascii="宋体" w:hAnsi="宋体" w:cs="宋体"/>
          <w:sz w:val="30"/>
          <w:szCs w:val="30"/>
        </w:rPr>
        <w:fldChar w:fldCharType="separate"/>
      </w:r>
      <w:r>
        <w:rPr>
          <w:rFonts w:ascii="宋体" w:hAnsi="宋体" w:cs="宋体"/>
          <w:sz w:val="30"/>
          <w:szCs w:val="30"/>
        </w:rPr>
        <w:t>12</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"_Toc5151" </w:instrText>
      </w:r>
      <w:r>
        <w:fldChar w:fldCharType="separate"/>
      </w:r>
      <w:r>
        <w:rPr>
          <w:rFonts w:hint="eastAsia" w:ascii="宋体" w:hAnsi="宋体" w:cs="宋体"/>
          <w:sz w:val="30"/>
          <w:szCs w:val="30"/>
        </w:rPr>
        <w:t>八、政府性基金预算支出决算情况说明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_Toc5151 \h </w:instrText>
      </w:r>
      <w:r>
        <w:rPr>
          <w:rFonts w:ascii="宋体" w:hAnsi="宋体" w:cs="宋体"/>
          <w:sz w:val="30"/>
          <w:szCs w:val="30"/>
        </w:rPr>
        <w:fldChar w:fldCharType="separate"/>
      </w:r>
      <w:r>
        <w:rPr>
          <w:rFonts w:ascii="宋体" w:hAnsi="宋体" w:cs="宋体"/>
          <w:sz w:val="30"/>
          <w:szCs w:val="30"/>
        </w:rPr>
        <w:t>13</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"_Toc8148" </w:instrText>
      </w:r>
      <w:r>
        <w:fldChar w:fldCharType="separate"/>
      </w:r>
      <w:r>
        <w:rPr>
          <w:rFonts w:hint="eastAsia" w:ascii="宋体" w:hAnsi="宋体" w:cs="宋体"/>
          <w:sz w:val="30"/>
          <w:szCs w:val="30"/>
        </w:rPr>
        <w:t>九、</w:t>
      </w:r>
      <w:r>
        <w:rPr>
          <w:rFonts w:ascii="宋体" w:hAnsi="宋体" w:cs="宋体"/>
          <w:sz w:val="30"/>
          <w:szCs w:val="30"/>
        </w:rPr>
        <w:t xml:space="preserve"> </w:t>
      </w:r>
      <w:r>
        <w:rPr>
          <w:rFonts w:hint="eastAsia" w:ascii="宋体" w:hAnsi="宋体" w:cs="宋体"/>
          <w:sz w:val="30"/>
          <w:szCs w:val="30"/>
        </w:rPr>
        <w:t>国有资本经营预算支出决算情况说明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_Toc8148 \h </w:instrText>
      </w:r>
      <w:r>
        <w:rPr>
          <w:rFonts w:ascii="宋体" w:hAnsi="宋体" w:cs="宋体"/>
          <w:sz w:val="30"/>
          <w:szCs w:val="30"/>
        </w:rPr>
        <w:fldChar w:fldCharType="separate"/>
      </w:r>
      <w:r>
        <w:rPr>
          <w:rFonts w:ascii="宋体" w:hAnsi="宋体" w:cs="宋体"/>
          <w:sz w:val="30"/>
          <w:szCs w:val="30"/>
        </w:rPr>
        <w:t>13</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"_Toc9942" </w:instrText>
      </w:r>
      <w:r>
        <w:fldChar w:fldCharType="separate"/>
      </w:r>
      <w:r>
        <w:rPr>
          <w:rFonts w:hint="eastAsia" w:ascii="宋体" w:hAnsi="宋体" w:cs="宋体"/>
          <w:sz w:val="30"/>
          <w:szCs w:val="30"/>
        </w:rPr>
        <w:t>十、其他重要事项的情况说明</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_Toc9942 \h </w:instrText>
      </w:r>
      <w:r>
        <w:rPr>
          <w:rFonts w:ascii="宋体" w:hAnsi="宋体" w:cs="宋体"/>
          <w:sz w:val="30"/>
          <w:szCs w:val="30"/>
        </w:rPr>
        <w:fldChar w:fldCharType="separate"/>
      </w:r>
      <w:r>
        <w:rPr>
          <w:rFonts w:ascii="宋体" w:hAnsi="宋体" w:cs="宋体"/>
          <w:sz w:val="30"/>
          <w:szCs w:val="30"/>
        </w:rPr>
        <w:t>13</w:t>
      </w:r>
      <w:r>
        <w:rPr>
          <w:rFonts w:ascii="宋体" w:hAnsi="宋体" w:cs="宋体"/>
          <w:sz w:val="30"/>
          <w:szCs w:val="30"/>
        </w:rPr>
        <w:fldChar w:fldCharType="end"/>
      </w:r>
      <w:r>
        <w:rPr>
          <w:rFonts w:ascii="宋体" w:hAnsi="宋体" w:cs="宋体"/>
          <w:sz w:val="30"/>
          <w:szCs w:val="30"/>
        </w:rPr>
        <w:fldChar w:fldCharType="end"/>
      </w:r>
    </w:p>
    <w:p>
      <w:pPr>
        <w:pStyle w:val="7"/>
        <w:tabs>
          <w:tab w:val="right" w:leader="dot" w:pos="8306"/>
          <w:tab w:val="clear" w:pos="8296"/>
        </w:tabs>
        <w:rPr>
          <w:rFonts w:ascii="宋体" w:hAnsi="宋体" w:eastAsia="宋体" w:cs="宋体"/>
          <w:sz w:val="30"/>
          <w:szCs w:val="30"/>
        </w:rPr>
      </w:pPr>
      <w:r>
        <w:fldChar w:fldCharType="begin"/>
      </w:r>
      <w:r>
        <w:instrText xml:space="preserve"> HYPERLINK \l "_Toc3619" </w:instrText>
      </w:r>
      <w:r>
        <w:fldChar w:fldCharType="separate"/>
      </w:r>
      <w:r>
        <w:rPr>
          <w:rFonts w:hint="eastAsia" w:ascii="宋体" w:hAnsi="宋体" w:eastAsia="宋体" w:cs="宋体"/>
          <w:sz w:val="30"/>
          <w:szCs w:val="30"/>
        </w:rPr>
        <w:t>第三部分</w:t>
      </w:r>
      <w:r>
        <w:rPr>
          <w:rFonts w:ascii="宋体" w:hAnsi="宋体" w:eastAsia="宋体" w:cs="宋体"/>
          <w:sz w:val="30"/>
          <w:szCs w:val="30"/>
        </w:rPr>
        <w:t xml:space="preserve"> </w:t>
      </w:r>
      <w:r>
        <w:rPr>
          <w:rFonts w:hint="eastAsia" w:ascii="宋体" w:hAnsi="宋体" w:eastAsia="宋体" w:cs="宋体"/>
          <w:sz w:val="30"/>
          <w:szCs w:val="30"/>
        </w:rPr>
        <w:t>名词解释</w:t>
      </w:r>
      <w:r>
        <w:rPr>
          <w:rFonts w:ascii="宋体" w:hAnsi="宋体" w:eastAsia="宋体" w:cs="宋体"/>
          <w:sz w:val="30"/>
          <w:szCs w:val="30"/>
        </w:rPr>
        <w:tab/>
      </w:r>
      <w:r>
        <w:rPr>
          <w:rFonts w:ascii="宋体" w:hAnsi="宋体" w:eastAsia="宋体" w:cs="宋体"/>
          <w:sz w:val="30"/>
          <w:szCs w:val="30"/>
        </w:rPr>
        <w:fldChar w:fldCharType="begin"/>
      </w:r>
      <w:r>
        <w:rPr>
          <w:rFonts w:ascii="宋体" w:hAnsi="宋体" w:eastAsia="宋体" w:cs="宋体"/>
          <w:sz w:val="30"/>
          <w:szCs w:val="30"/>
        </w:rPr>
        <w:instrText xml:space="preserve"> PAGEREF _Toc3619 \h </w:instrText>
      </w:r>
      <w:r>
        <w:rPr>
          <w:rFonts w:ascii="宋体" w:hAnsi="宋体" w:eastAsia="宋体" w:cs="宋体"/>
          <w:sz w:val="30"/>
          <w:szCs w:val="30"/>
        </w:rPr>
        <w:fldChar w:fldCharType="separate"/>
      </w:r>
      <w:r>
        <w:rPr>
          <w:rFonts w:ascii="宋体" w:hAnsi="宋体" w:eastAsia="宋体" w:cs="宋体"/>
          <w:sz w:val="30"/>
          <w:szCs w:val="30"/>
        </w:rPr>
        <w:t>17</w:t>
      </w:r>
      <w:r>
        <w:rPr>
          <w:rFonts w:ascii="宋体" w:hAnsi="宋体" w:eastAsia="宋体" w:cs="宋体"/>
          <w:sz w:val="30"/>
          <w:szCs w:val="30"/>
        </w:rPr>
        <w:fldChar w:fldCharType="end"/>
      </w:r>
      <w:r>
        <w:rPr>
          <w:rFonts w:ascii="宋体" w:hAnsi="宋体" w:eastAsia="宋体" w:cs="宋体"/>
          <w:sz w:val="30"/>
          <w:szCs w:val="30"/>
        </w:rPr>
        <w:fldChar w:fldCharType="end"/>
      </w:r>
    </w:p>
    <w:p>
      <w:pPr>
        <w:pStyle w:val="7"/>
        <w:tabs>
          <w:tab w:val="right" w:leader="dot" w:pos="8306"/>
          <w:tab w:val="clear" w:pos="8296"/>
        </w:tabs>
        <w:rPr>
          <w:rFonts w:ascii="宋体" w:hAnsi="宋体" w:eastAsia="宋体" w:cs="宋体"/>
          <w:sz w:val="30"/>
          <w:szCs w:val="30"/>
        </w:rPr>
      </w:pPr>
      <w:r>
        <w:fldChar w:fldCharType="begin"/>
      </w:r>
      <w:r>
        <w:instrText xml:space="preserve"> HYPERLINK \l "_Toc13107" </w:instrText>
      </w:r>
      <w:r>
        <w:fldChar w:fldCharType="separate"/>
      </w:r>
      <w:r>
        <w:rPr>
          <w:rFonts w:hint="eastAsia" w:ascii="宋体" w:hAnsi="宋体" w:eastAsia="宋体" w:cs="宋体"/>
          <w:sz w:val="30"/>
          <w:szCs w:val="30"/>
        </w:rPr>
        <w:t>第四部分</w:t>
      </w:r>
      <w:r>
        <w:rPr>
          <w:rFonts w:ascii="宋体" w:hAnsi="宋体" w:eastAsia="宋体" w:cs="宋体"/>
          <w:sz w:val="30"/>
          <w:szCs w:val="30"/>
        </w:rPr>
        <w:t xml:space="preserve"> </w:t>
      </w:r>
      <w:r>
        <w:rPr>
          <w:rFonts w:hint="eastAsia" w:ascii="宋体" w:hAnsi="宋体" w:eastAsia="宋体" w:cs="宋体"/>
          <w:sz w:val="30"/>
          <w:szCs w:val="30"/>
        </w:rPr>
        <w:t>附件</w:t>
      </w:r>
      <w:r>
        <w:rPr>
          <w:rFonts w:ascii="宋体" w:hAnsi="宋体" w:eastAsia="宋体" w:cs="宋体"/>
          <w:sz w:val="30"/>
          <w:szCs w:val="30"/>
        </w:rPr>
        <w:tab/>
      </w:r>
      <w:r>
        <w:rPr>
          <w:rFonts w:ascii="宋体" w:hAnsi="宋体" w:eastAsia="宋体" w:cs="宋体"/>
          <w:sz w:val="30"/>
          <w:szCs w:val="30"/>
        </w:rPr>
        <w:fldChar w:fldCharType="begin"/>
      </w:r>
      <w:r>
        <w:rPr>
          <w:rFonts w:ascii="宋体" w:hAnsi="宋体" w:eastAsia="宋体" w:cs="宋体"/>
          <w:sz w:val="30"/>
          <w:szCs w:val="30"/>
        </w:rPr>
        <w:instrText xml:space="preserve"> PAGEREF _Toc13107 \h </w:instrText>
      </w:r>
      <w:r>
        <w:rPr>
          <w:rFonts w:ascii="宋体" w:hAnsi="宋体" w:eastAsia="宋体" w:cs="宋体"/>
          <w:sz w:val="30"/>
          <w:szCs w:val="30"/>
        </w:rPr>
        <w:fldChar w:fldCharType="separate"/>
      </w:r>
      <w:r>
        <w:rPr>
          <w:rFonts w:ascii="宋体" w:hAnsi="宋体" w:eastAsia="宋体" w:cs="宋体"/>
          <w:sz w:val="30"/>
          <w:szCs w:val="30"/>
        </w:rPr>
        <w:t>20</w:t>
      </w:r>
      <w:r>
        <w:rPr>
          <w:rFonts w:ascii="宋体" w:hAnsi="宋体" w:eastAsia="宋体" w:cs="宋体"/>
          <w:sz w:val="30"/>
          <w:szCs w:val="30"/>
        </w:rPr>
        <w:fldChar w:fldCharType="end"/>
      </w:r>
      <w:r>
        <w:rPr>
          <w:rFonts w:ascii="宋体" w:hAnsi="宋体" w:eastAsia="宋体" w:cs="宋体"/>
          <w:sz w:val="30"/>
          <w:szCs w:val="30"/>
        </w:rPr>
        <w:fldChar w:fldCharType="end"/>
      </w:r>
    </w:p>
    <w:p>
      <w:pPr>
        <w:pStyle w:val="7"/>
        <w:tabs>
          <w:tab w:val="right" w:leader="dot" w:pos="8306"/>
          <w:tab w:val="clear" w:pos="8296"/>
        </w:tabs>
        <w:rPr>
          <w:rFonts w:ascii="宋体" w:hAnsi="宋体" w:eastAsia="宋体" w:cs="宋体"/>
          <w:sz w:val="30"/>
          <w:szCs w:val="30"/>
        </w:rPr>
      </w:pPr>
      <w:r>
        <w:fldChar w:fldCharType="begin"/>
      </w:r>
      <w:r>
        <w:instrText xml:space="preserve"> HYPERLINK \l "_Toc848" </w:instrText>
      </w:r>
      <w:r>
        <w:fldChar w:fldCharType="separate"/>
      </w:r>
      <w:r>
        <w:rPr>
          <w:rFonts w:hint="eastAsia" w:ascii="宋体" w:hAnsi="宋体" w:eastAsia="宋体" w:cs="宋体"/>
          <w:sz w:val="30"/>
          <w:szCs w:val="30"/>
        </w:rPr>
        <w:t>附件</w:t>
      </w:r>
      <w:r>
        <w:rPr>
          <w:rFonts w:ascii="宋体" w:hAnsi="宋体" w:eastAsia="宋体" w:cs="宋体"/>
          <w:sz w:val="30"/>
          <w:szCs w:val="30"/>
        </w:rPr>
        <w:t>1</w:t>
      </w:r>
      <w:r>
        <w:rPr>
          <w:rFonts w:ascii="宋体" w:hAnsi="宋体" w:eastAsia="宋体" w:cs="宋体"/>
          <w:sz w:val="30"/>
          <w:szCs w:val="30"/>
        </w:rPr>
        <w:tab/>
      </w:r>
      <w:r>
        <w:rPr>
          <w:rFonts w:ascii="宋体" w:hAnsi="宋体" w:eastAsia="宋体" w:cs="宋体"/>
          <w:sz w:val="30"/>
          <w:szCs w:val="30"/>
        </w:rPr>
        <w:fldChar w:fldCharType="begin"/>
      </w:r>
      <w:r>
        <w:rPr>
          <w:rFonts w:ascii="宋体" w:hAnsi="宋体" w:eastAsia="宋体" w:cs="宋体"/>
          <w:sz w:val="30"/>
          <w:szCs w:val="30"/>
        </w:rPr>
        <w:instrText xml:space="preserve"> PAGEREF _Toc848 \h </w:instrText>
      </w:r>
      <w:r>
        <w:rPr>
          <w:rFonts w:ascii="宋体" w:hAnsi="宋体" w:eastAsia="宋体" w:cs="宋体"/>
          <w:sz w:val="30"/>
          <w:szCs w:val="30"/>
        </w:rPr>
        <w:fldChar w:fldCharType="separate"/>
      </w:r>
      <w:r>
        <w:rPr>
          <w:rFonts w:ascii="宋体" w:hAnsi="宋体" w:eastAsia="宋体" w:cs="宋体"/>
          <w:sz w:val="30"/>
          <w:szCs w:val="30"/>
        </w:rPr>
        <w:t>20</w:t>
      </w:r>
      <w:r>
        <w:rPr>
          <w:rFonts w:ascii="宋体" w:hAnsi="宋体" w:eastAsia="宋体" w:cs="宋体"/>
          <w:sz w:val="30"/>
          <w:szCs w:val="30"/>
        </w:rPr>
        <w:fldChar w:fldCharType="end"/>
      </w:r>
      <w:r>
        <w:rPr>
          <w:rFonts w:ascii="宋体" w:hAnsi="宋体" w:eastAsia="宋体" w:cs="宋体"/>
          <w:sz w:val="30"/>
          <w:szCs w:val="30"/>
        </w:rPr>
        <w:fldChar w:fldCharType="end"/>
      </w:r>
    </w:p>
    <w:p>
      <w:pPr>
        <w:pStyle w:val="7"/>
        <w:tabs>
          <w:tab w:val="right" w:leader="dot" w:pos="8306"/>
          <w:tab w:val="clear" w:pos="8296"/>
        </w:tabs>
        <w:rPr>
          <w:rFonts w:ascii="宋体" w:hAnsi="宋体" w:eastAsia="宋体" w:cs="宋体"/>
          <w:sz w:val="30"/>
          <w:szCs w:val="30"/>
        </w:rPr>
      </w:pPr>
      <w:r>
        <w:fldChar w:fldCharType="begin"/>
      </w:r>
      <w:r>
        <w:instrText xml:space="preserve"> HYPERLINK \l "_Toc9344" </w:instrText>
      </w:r>
      <w:r>
        <w:fldChar w:fldCharType="separate"/>
      </w:r>
      <w:r>
        <w:rPr>
          <w:rFonts w:hint="eastAsia" w:ascii="宋体" w:hAnsi="宋体" w:eastAsia="宋体" w:cs="宋体"/>
          <w:sz w:val="30"/>
          <w:szCs w:val="30"/>
        </w:rPr>
        <w:t>第五部分</w:t>
      </w:r>
      <w:r>
        <w:rPr>
          <w:rFonts w:ascii="宋体" w:hAnsi="宋体" w:eastAsia="宋体" w:cs="宋体"/>
          <w:sz w:val="30"/>
          <w:szCs w:val="30"/>
        </w:rPr>
        <w:t xml:space="preserve">  </w:t>
      </w:r>
      <w:r>
        <w:rPr>
          <w:rFonts w:hint="eastAsia" w:ascii="宋体" w:hAnsi="宋体" w:eastAsia="宋体" w:cs="宋体"/>
          <w:sz w:val="30"/>
          <w:szCs w:val="30"/>
        </w:rPr>
        <w:t>附表</w:t>
      </w:r>
      <w:r>
        <w:rPr>
          <w:rFonts w:ascii="宋体" w:hAnsi="宋体" w:eastAsia="宋体" w:cs="宋体"/>
          <w:sz w:val="30"/>
          <w:szCs w:val="30"/>
        </w:rPr>
        <w:tab/>
      </w:r>
      <w:r>
        <w:rPr>
          <w:rFonts w:ascii="宋体" w:hAnsi="宋体" w:eastAsia="宋体" w:cs="宋体"/>
          <w:sz w:val="30"/>
          <w:szCs w:val="30"/>
        </w:rPr>
        <w:fldChar w:fldCharType="begin"/>
      </w:r>
      <w:r>
        <w:rPr>
          <w:rFonts w:ascii="宋体" w:hAnsi="宋体" w:eastAsia="宋体" w:cs="宋体"/>
          <w:sz w:val="30"/>
          <w:szCs w:val="30"/>
        </w:rPr>
        <w:instrText xml:space="preserve"> PAGEREF _Toc9344 \h </w:instrText>
      </w:r>
      <w:r>
        <w:rPr>
          <w:rFonts w:ascii="宋体" w:hAnsi="宋体" w:eastAsia="宋体" w:cs="宋体"/>
          <w:sz w:val="30"/>
          <w:szCs w:val="30"/>
        </w:rPr>
        <w:fldChar w:fldCharType="separate"/>
      </w:r>
      <w:r>
        <w:rPr>
          <w:rFonts w:ascii="宋体" w:hAnsi="宋体" w:eastAsia="宋体" w:cs="宋体"/>
          <w:sz w:val="30"/>
          <w:szCs w:val="30"/>
        </w:rPr>
        <w:t>27</w:t>
      </w:r>
      <w:r>
        <w:rPr>
          <w:rFonts w:ascii="宋体" w:hAnsi="宋体" w:eastAsia="宋体" w:cs="宋体"/>
          <w:sz w:val="30"/>
          <w:szCs w:val="30"/>
        </w:rPr>
        <w:fldChar w:fldCharType="end"/>
      </w:r>
      <w:r>
        <w:rPr>
          <w:rFonts w:ascii="宋体" w:hAnsi="宋体" w:eastAsia="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"_Toc24070" </w:instrText>
      </w:r>
      <w:r>
        <w:fldChar w:fldCharType="separate"/>
      </w:r>
      <w:r>
        <w:rPr>
          <w:rFonts w:hint="eastAsia" w:ascii="宋体" w:hAnsi="宋体" w:cs="宋体"/>
          <w:bCs/>
          <w:sz w:val="30"/>
          <w:szCs w:val="30"/>
        </w:rPr>
        <w:t>一、收入支出决算总表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_Toc24070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"_Toc9506" </w:instrText>
      </w:r>
      <w:r>
        <w:fldChar w:fldCharType="separate"/>
      </w:r>
      <w:r>
        <w:rPr>
          <w:rFonts w:hint="eastAsia" w:ascii="宋体" w:hAnsi="宋体" w:cs="宋体"/>
          <w:bCs/>
          <w:sz w:val="30"/>
          <w:szCs w:val="30"/>
        </w:rPr>
        <w:t>二、收入决算表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_Toc9506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"_Toc21493" </w:instrText>
      </w:r>
      <w:r>
        <w:fldChar w:fldCharType="separate"/>
      </w:r>
      <w:r>
        <w:rPr>
          <w:rFonts w:hint="eastAsia" w:ascii="宋体" w:hAnsi="宋体" w:cs="宋体"/>
          <w:bCs/>
          <w:sz w:val="30"/>
          <w:szCs w:val="30"/>
        </w:rPr>
        <w:t>三、支出决算表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_Toc21493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"_Toc23931" </w:instrText>
      </w:r>
      <w:r>
        <w:fldChar w:fldCharType="separate"/>
      </w:r>
      <w:r>
        <w:rPr>
          <w:rFonts w:hint="eastAsia" w:ascii="宋体" w:hAnsi="宋体" w:cs="宋体"/>
          <w:bCs/>
          <w:sz w:val="30"/>
          <w:szCs w:val="30"/>
        </w:rPr>
        <w:t>四、财政拨款收入支出决算总表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_Toc23931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"_Toc22429" </w:instrText>
      </w:r>
      <w:r>
        <w:fldChar w:fldCharType="separate"/>
      </w:r>
      <w:r>
        <w:rPr>
          <w:rFonts w:hint="eastAsia" w:ascii="宋体" w:hAnsi="宋体" w:cs="宋体"/>
          <w:bCs/>
          <w:sz w:val="30"/>
          <w:szCs w:val="30"/>
        </w:rPr>
        <w:t>五、财政拨款支出决算明细表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_Toc22429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"_Toc23305" </w:instrText>
      </w:r>
      <w:r>
        <w:fldChar w:fldCharType="separate"/>
      </w:r>
      <w:r>
        <w:rPr>
          <w:rFonts w:hint="eastAsia" w:ascii="宋体" w:hAnsi="宋体" w:cs="宋体"/>
          <w:bCs/>
          <w:sz w:val="30"/>
          <w:szCs w:val="30"/>
        </w:rPr>
        <w:t>六、一般公共预算财政拨款支出决算表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_Toc23305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"_Toc6527" </w:instrText>
      </w:r>
      <w:r>
        <w:fldChar w:fldCharType="separate"/>
      </w:r>
      <w:r>
        <w:rPr>
          <w:rFonts w:hint="eastAsia" w:ascii="宋体" w:hAnsi="宋体" w:cs="宋体"/>
          <w:bCs/>
          <w:sz w:val="30"/>
          <w:szCs w:val="30"/>
        </w:rPr>
        <w:t>七、一般公共预算财政拨款支出决算明细表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_Toc6527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"_Toc26974" </w:instrText>
      </w:r>
      <w:r>
        <w:fldChar w:fldCharType="separate"/>
      </w:r>
      <w:r>
        <w:rPr>
          <w:rFonts w:hint="eastAsia" w:ascii="宋体" w:hAnsi="宋体" w:cs="宋体"/>
          <w:bCs/>
          <w:sz w:val="30"/>
          <w:szCs w:val="30"/>
        </w:rPr>
        <w:t>八、一般公共预算财政拨款基本支出决算表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_Toc26974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"_Toc26543" </w:instrText>
      </w:r>
      <w:r>
        <w:fldChar w:fldCharType="separate"/>
      </w:r>
      <w:r>
        <w:rPr>
          <w:rFonts w:hint="eastAsia" w:ascii="宋体" w:hAnsi="宋体" w:cs="宋体"/>
          <w:bCs/>
          <w:sz w:val="30"/>
          <w:szCs w:val="30"/>
        </w:rPr>
        <w:t>九、一般公共预算财政拨款项目支出决算表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_Toc26543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"_Toc13277" </w:instrText>
      </w:r>
      <w:r>
        <w:fldChar w:fldCharType="separate"/>
      </w:r>
      <w:r>
        <w:rPr>
          <w:rFonts w:hint="eastAsia" w:ascii="宋体" w:hAnsi="宋体" w:cs="宋体"/>
          <w:bCs/>
          <w:sz w:val="30"/>
          <w:szCs w:val="30"/>
        </w:rPr>
        <w:t>十、一般公共预算财政拨款“三公”经费支出决算表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_Toc13277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"_Toc1824" </w:instrText>
      </w:r>
      <w:r>
        <w:fldChar w:fldCharType="separate"/>
      </w:r>
      <w:r>
        <w:rPr>
          <w:rFonts w:hint="eastAsia" w:ascii="宋体" w:hAnsi="宋体" w:cs="宋体"/>
          <w:bCs/>
          <w:sz w:val="30"/>
          <w:szCs w:val="30"/>
        </w:rPr>
        <w:t>十一、政府性基金预算财政拨款收入支出决算表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_Toc1824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"_Toc32356" </w:instrText>
      </w:r>
      <w:r>
        <w:fldChar w:fldCharType="separate"/>
      </w:r>
      <w:r>
        <w:rPr>
          <w:rFonts w:hint="eastAsia" w:ascii="宋体" w:hAnsi="宋体" w:cs="宋体"/>
          <w:bCs/>
          <w:sz w:val="30"/>
          <w:szCs w:val="30"/>
        </w:rPr>
        <w:t>十二、政府性基金预算财政拨款“三公”经费支出决算表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_Toc32356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"_Toc15390" </w:instrText>
      </w:r>
      <w:r>
        <w:fldChar w:fldCharType="separate"/>
      </w:r>
      <w:r>
        <w:rPr>
          <w:rFonts w:hint="eastAsia" w:ascii="宋体" w:hAnsi="宋体" w:cs="宋体"/>
          <w:bCs/>
          <w:sz w:val="30"/>
          <w:szCs w:val="30"/>
        </w:rPr>
        <w:t>十三、国有资本经营预算财政拨款收入支出决算表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_Toc15390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pStyle w:val="8"/>
        <w:tabs>
          <w:tab w:val="right" w:leader="dot" w:pos="8306"/>
          <w:tab w:val="clear" w:pos="8296"/>
        </w:tabs>
        <w:rPr>
          <w:rFonts w:ascii="宋体" w:cs="宋体"/>
          <w:sz w:val="30"/>
          <w:szCs w:val="30"/>
        </w:rPr>
      </w:pPr>
      <w:r>
        <w:fldChar w:fldCharType="begin"/>
      </w:r>
      <w:r>
        <w:instrText xml:space="preserve"> HYPERLINK \l "_Toc29775" </w:instrText>
      </w:r>
      <w:r>
        <w:fldChar w:fldCharType="separate"/>
      </w:r>
      <w:r>
        <w:rPr>
          <w:rFonts w:hint="eastAsia" w:ascii="宋体" w:hAnsi="宋体" w:cs="宋体"/>
          <w:bCs/>
          <w:sz w:val="30"/>
          <w:szCs w:val="30"/>
        </w:rPr>
        <w:t>十四、国有资本经营预算财政拨款支出决算表</w:t>
      </w:r>
      <w:r>
        <w:rPr>
          <w:rFonts w:ascii="宋体" w:cs="宋体"/>
          <w:sz w:val="30"/>
          <w:szCs w:val="30"/>
        </w:rPr>
        <w:tab/>
      </w:r>
      <w:r>
        <w:rPr>
          <w:rFonts w:ascii="宋体" w:hAnsi="宋体" w:cs="宋体"/>
          <w:sz w:val="30"/>
          <w:szCs w:val="30"/>
        </w:rPr>
        <w:fldChar w:fldCharType="begin"/>
      </w:r>
      <w:r>
        <w:rPr>
          <w:rFonts w:ascii="宋体" w:hAnsi="宋体" w:cs="宋体"/>
          <w:sz w:val="30"/>
          <w:szCs w:val="30"/>
        </w:rPr>
        <w:instrText xml:space="preserve"> PAGEREF _Toc29775 \h </w:instrText>
      </w:r>
      <w:r>
        <w:rPr>
          <w:rFonts w:ascii="宋体" w:hAnsi="宋体" w:cs="宋体"/>
          <w:sz w:val="30"/>
          <w:szCs w:val="30"/>
        </w:rPr>
        <w:fldChar w:fldCharType="separate"/>
      </w:r>
      <w:r>
        <w:rPr>
          <w:rFonts w:ascii="宋体" w:hAnsi="宋体" w:cs="宋体"/>
          <w:sz w:val="30"/>
          <w:szCs w:val="30"/>
        </w:rPr>
        <w:t>27</w:t>
      </w:r>
      <w:r>
        <w:rPr>
          <w:rFonts w:ascii="宋体" w:hAnsi="宋体" w:cs="宋体"/>
          <w:sz w:val="30"/>
          <w:szCs w:val="30"/>
        </w:rPr>
        <w:fldChar w:fldCharType="end"/>
      </w:r>
      <w:r>
        <w:rPr>
          <w:rFonts w:ascii="宋体" w:hAnsi="宋体" w:cs="宋体"/>
          <w:sz w:val="30"/>
          <w:szCs w:val="30"/>
        </w:rPr>
        <w:fldChar w:fldCharType="end"/>
      </w:r>
    </w:p>
    <w:p>
      <w:pPr>
        <w:rPr>
          <w:rFonts w:ascii="宋体" w:cs="宋体"/>
          <w:sz w:val="30"/>
          <w:szCs w:val="30"/>
        </w:rPr>
      </w:pPr>
      <w:r>
        <w:rPr>
          <w:rFonts w:ascii="宋体" w:hAnsi="宋体" w:cs="宋体"/>
          <w:sz w:val="30"/>
          <w:szCs w:val="30"/>
        </w:rPr>
        <w:fldChar w:fldCharType="end"/>
      </w:r>
    </w:p>
    <w:p>
      <w:pPr>
        <w:rPr>
          <w:rFonts w:ascii="宋体" w:cs="宋体"/>
          <w:sz w:val="30"/>
          <w:szCs w:val="30"/>
        </w:rPr>
      </w:pPr>
    </w:p>
    <w:p>
      <w:pPr>
        <w:rPr>
          <w:rFonts w:ascii="宋体" w:cs="宋体"/>
          <w:sz w:val="30"/>
          <w:szCs w:val="30"/>
        </w:rPr>
      </w:pPr>
    </w:p>
    <w:p/>
    <w:p>
      <w:pPr>
        <w:pStyle w:val="2"/>
        <w:ind w:firstLine="2640" w:firstLineChars="600"/>
        <w:rPr>
          <w:rStyle w:val="14"/>
          <w:rFonts w:ascii="黑体" w:hAnsi="黑体" w:eastAsia="黑体"/>
          <w:b/>
          <w:bCs w:val="0"/>
        </w:rPr>
      </w:pPr>
      <w:bookmarkStart w:id="18" w:name="_Toc17109"/>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6"/>
      <w:bookmarkEnd w:id="17"/>
      <w:bookmarkEnd w:id="18"/>
    </w:p>
    <w:p>
      <w:pPr>
        <w:widowControl/>
        <w:jc w:val="left"/>
        <w:rPr>
          <w:rFonts w:ascii="黑体" w:eastAsia="黑体"/>
          <w:color w:val="000000"/>
          <w:sz w:val="32"/>
          <w:szCs w:val="32"/>
        </w:rPr>
      </w:pPr>
    </w:p>
    <w:p>
      <w:pPr>
        <w:pStyle w:val="3"/>
        <w:rPr>
          <w:rStyle w:val="19"/>
          <w:rFonts w:ascii="仿宋" w:hAnsi="仿宋" w:eastAsia="仿宋"/>
          <w:b w:val="0"/>
          <w:bCs w:val="0"/>
        </w:rPr>
      </w:pPr>
      <w:bookmarkStart w:id="19" w:name="_Toc15377197"/>
      <w:bookmarkStart w:id="20" w:name="_Toc15396600"/>
      <w:bookmarkStart w:id="21" w:name="_Toc24843"/>
      <w:r>
        <w:rPr>
          <w:rFonts w:hint="eastAsia" w:ascii="黑体" w:hAnsi="黑体" w:eastAsia="黑体"/>
          <w:b w:val="0"/>
          <w:color w:val="000000"/>
        </w:rPr>
        <w:t>一、基</w:t>
      </w:r>
      <w:r>
        <w:rPr>
          <w:rStyle w:val="19"/>
          <w:rFonts w:hint="eastAsia" w:ascii="黑体" w:hAnsi="黑体" w:eastAsia="黑体"/>
          <w:b w:val="0"/>
          <w:bCs w:val="0"/>
        </w:rPr>
        <w:t>本职能及主要工作</w:t>
      </w:r>
      <w:bookmarkEnd w:id="19"/>
      <w:bookmarkEnd w:id="20"/>
      <w:bookmarkEnd w:id="21"/>
    </w:p>
    <w:p>
      <w:pPr>
        <w:pStyle w:val="4"/>
        <w:adjustRightInd w:val="0"/>
        <w:snapToGrid w:val="0"/>
        <w:spacing w:before="93" w:line="600" w:lineRule="exact"/>
        <w:ind w:firstLine="672" w:firstLineChars="210"/>
        <w:rPr>
          <w:rFonts w:ascii="仿宋" w:hAnsi="仿宋" w:eastAsia="仿宋"/>
          <w:bCs/>
          <w:color w:val="000000"/>
          <w:sz w:val="32"/>
          <w:szCs w:val="32"/>
        </w:rPr>
      </w:pPr>
      <w:bookmarkStart w:id="22" w:name="_Toc15378445"/>
      <w:bookmarkStart w:id="23" w:name="_Toc15377198"/>
      <w:bookmarkStart w:id="24" w:name="_Toc2408"/>
      <w:r>
        <w:rPr>
          <w:rFonts w:hint="eastAsia" w:ascii="仿宋" w:hAnsi="仿宋" w:eastAsia="仿宋"/>
          <w:bCs/>
          <w:color w:val="000000"/>
          <w:sz w:val="32"/>
          <w:szCs w:val="32"/>
        </w:rPr>
        <w:t>（一）主要职能</w:t>
      </w:r>
      <w:bookmarkEnd w:id="22"/>
      <w:bookmarkEnd w:id="23"/>
      <w:bookmarkEnd w:id="24"/>
      <w:bookmarkStart w:id="25" w:name="_Toc15377199"/>
      <w:bookmarkStart w:id="26" w:name="_Toc15378446"/>
    </w:p>
    <w:p>
      <w:pPr>
        <w:ind w:firstLine="640" w:firstLineChars="200"/>
        <w:rPr>
          <w:rFonts w:ascii="仿宋" w:hAnsi="仿宋" w:eastAsia="仿宋" w:cs="仿宋"/>
          <w:sz w:val="32"/>
          <w:szCs w:val="32"/>
        </w:rPr>
      </w:pPr>
      <w:bookmarkStart w:id="27" w:name="_Toc345"/>
      <w:r>
        <w:rPr>
          <w:rFonts w:hint="eastAsia" w:ascii="仿宋" w:hAnsi="仿宋" w:eastAsia="仿宋" w:cs="仿宋"/>
          <w:sz w:val="32"/>
          <w:szCs w:val="32"/>
        </w:rPr>
        <w:t>乐山市五通桥区竹根镇竹根初级中学实施初中义务教育促进基础教育发展，初中学历教育。贯彻执行学校党支部和行政会的决定，服务部门、服务教育教学工作，做好管理和服务的各项相关工作。</w:t>
      </w:r>
    </w:p>
    <w:p>
      <w:pPr>
        <w:pStyle w:val="4"/>
        <w:adjustRightInd w:val="0"/>
        <w:snapToGrid w:val="0"/>
        <w:spacing w:before="93" w:line="600" w:lineRule="exact"/>
        <w:ind w:firstLine="672" w:firstLineChars="210"/>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5"/>
      <w:bookmarkEnd w:id="26"/>
      <w:bookmarkEnd w:id="27"/>
    </w:p>
    <w:p>
      <w:pPr>
        <w:ind w:firstLine="640" w:firstLineChars="200"/>
        <w:rPr>
          <w:rFonts w:ascii="仿宋" w:hAnsi="仿宋" w:eastAsia="仿宋" w:cs="仿宋"/>
          <w:sz w:val="32"/>
          <w:szCs w:val="32"/>
        </w:rPr>
      </w:pPr>
      <w:bookmarkStart w:id="28" w:name="_Toc15377200"/>
      <w:bookmarkStart w:id="29" w:name="_Toc15396601"/>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）提倡现代化教学，充分利用学校现有的多媒体教学设备积极开展电化教学。</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）在学校党支部和行政会统一安排下，学校上下始终坚持正确指导思想，把准正确政治方向，强化意识形态工作责任制，掌控意识形态工作领导权。</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持续发展与未来振兴的成长发展思路，进一步促进了教学教研质量稳步提升和持续发展。在新时代教育优先发展背景下，迎接国家新课改工程的到来，结合学校实际，积极推行课程改革，拟定一系列的改革措施及办法，努力实现高效课堂工程。</w:t>
      </w:r>
    </w:p>
    <w:p>
      <w:pPr>
        <w:pStyle w:val="3"/>
        <w:rPr>
          <w:rStyle w:val="19"/>
          <w:b w:val="0"/>
          <w:bCs w:val="0"/>
        </w:rPr>
      </w:pPr>
      <w:bookmarkStart w:id="30" w:name="_Toc2586"/>
      <w:r>
        <w:rPr>
          <w:rFonts w:hint="eastAsia" w:ascii="黑体" w:eastAsia="黑体"/>
          <w:b w:val="0"/>
          <w:color w:val="000000"/>
        </w:rPr>
        <w:t>二、</w:t>
      </w:r>
      <w:r>
        <w:rPr>
          <w:rFonts w:hint="eastAsia" w:ascii="黑体" w:hAnsi="黑体" w:eastAsia="黑体"/>
          <w:b w:val="0"/>
          <w:color w:val="000000"/>
        </w:rPr>
        <w:t>机</w:t>
      </w:r>
      <w:r>
        <w:rPr>
          <w:rStyle w:val="19"/>
          <w:rFonts w:hint="eastAsia" w:ascii="黑体" w:hAnsi="黑体" w:eastAsia="黑体"/>
          <w:b w:val="0"/>
          <w:bCs w:val="0"/>
        </w:rPr>
        <w:t>构设置</w:t>
      </w:r>
      <w:bookmarkEnd w:id="28"/>
      <w:bookmarkEnd w:id="29"/>
      <w:bookmarkEnd w:id="30"/>
    </w:p>
    <w:p>
      <w:pPr>
        <w:ind w:firstLine="640" w:firstLineChars="200"/>
        <w:rPr>
          <w:rFonts w:ascii="仿宋" w:hAnsi="仿宋" w:eastAsia="仿宋" w:cs="仿宋"/>
          <w:sz w:val="32"/>
          <w:szCs w:val="32"/>
        </w:rPr>
      </w:pPr>
      <w:bookmarkStart w:id="31" w:name="_Toc15377204"/>
      <w:bookmarkStart w:id="32" w:name="_Toc15396602"/>
      <w:r>
        <w:rPr>
          <w:rFonts w:hint="eastAsia" w:ascii="仿宋" w:hAnsi="仿宋" w:eastAsia="仿宋" w:cs="仿宋"/>
          <w:sz w:val="32"/>
          <w:szCs w:val="32"/>
        </w:rPr>
        <w:t>乐山市五通桥区竹根镇竹根初级中学设置学校办公室、教务处、政教处、总务处、教科室。乐山市五通桥区竹根镇竹根初级中学年末在职教职工人数</w:t>
      </w:r>
      <w:r>
        <w:rPr>
          <w:rFonts w:ascii="仿宋" w:hAnsi="仿宋" w:eastAsia="仿宋" w:cs="仿宋"/>
          <w:sz w:val="32"/>
          <w:szCs w:val="32"/>
        </w:rPr>
        <w:t>59</w:t>
      </w:r>
      <w:r>
        <w:rPr>
          <w:rFonts w:hint="eastAsia" w:ascii="仿宋" w:hAnsi="仿宋" w:eastAsia="仿宋" w:cs="仿宋"/>
          <w:sz w:val="32"/>
          <w:szCs w:val="32"/>
        </w:rPr>
        <w:t>人。</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pStyle w:val="2"/>
        <w:ind w:right="440"/>
        <w:jc w:val="right"/>
        <w:rPr>
          <w:rStyle w:val="14"/>
          <w:rFonts w:ascii="黑体" w:hAnsi="黑体" w:eastAsia="黑体"/>
          <w:b w:val="0"/>
          <w:bCs w:val="0"/>
        </w:rPr>
      </w:pPr>
      <w:bookmarkStart w:id="33" w:name="_Toc710"/>
      <w:r>
        <w:rPr>
          <w:rFonts w:hint="eastAsia" w:ascii="黑体" w:hAnsi="黑体" w:eastAsia="黑体"/>
          <w:b w:val="0"/>
          <w:color w:val="000000"/>
        </w:rPr>
        <w:t>第二部分</w:t>
      </w:r>
      <w:r>
        <w:rPr>
          <w:rFonts w:ascii="黑体" w:hAnsi="黑体" w:eastAsia="黑体"/>
          <w:color w:val="000000"/>
        </w:rPr>
        <w:t xml:space="preserve"> </w:t>
      </w:r>
      <w:r>
        <w:rPr>
          <w:rStyle w:val="14"/>
          <w:rFonts w:ascii="黑体" w:hAnsi="黑体" w:eastAsia="黑体"/>
          <w:b w:val="0"/>
          <w:bCs w:val="0"/>
        </w:rPr>
        <w:t>2020</w:t>
      </w:r>
      <w:r>
        <w:rPr>
          <w:rStyle w:val="14"/>
          <w:rFonts w:hint="eastAsia" w:ascii="黑体" w:hAnsi="黑体" w:eastAsia="黑体"/>
          <w:b w:val="0"/>
          <w:bCs w:val="0"/>
        </w:rPr>
        <w:t>年度部门决算情况说明</w:t>
      </w:r>
      <w:bookmarkEnd w:id="31"/>
      <w:bookmarkEnd w:id="32"/>
      <w:bookmarkEnd w:id="33"/>
    </w:p>
    <w:p/>
    <w:p>
      <w:pPr>
        <w:pStyle w:val="20"/>
        <w:numPr>
          <w:ilvl w:val="0"/>
          <w:numId w:val="1"/>
        </w:numPr>
        <w:spacing w:line="600" w:lineRule="exact"/>
        <w:ind w:firstLineChars="0"/>
        <w:outlineLvl w:val="1"/>
        <w:rPr>
          <w:rStyle w:val="19"/>
          <w:rFonts w:ascii="黑体" w:hAnsi="黑体" w:eastAsia="黑体"/>
          <w:b w:val="0"/>
        </w:rPr>
      </w:pPr>
      <w:bookmarkStart w:id="34" w:name="_Toc15377205"/>
      <w:bookmarkStart w:id="35" w:name="_Toc107"/>
      <w:bookmarkStart w:id="36" w:name="_Toc15396603"/>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34"/>
      <w:bookmarkEnd w:id="35"/>
      <w:bookmarkEnd w:id="3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年度收入、支出总计</w:t>
      </w:r>
      <w:r>
        <w:rPr>
          <w:rFonts w:ascii="仿宋" w:hAnsi="仿宋" w:eastAsia="仿宋"/>
          <w:color w:val="000000"/>
          <w:sz w:val="32"/>
          <w:szCs w:val="32"/>
        </w:rPr>
        <w:t>995.27</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年相比，收入、支出总计</w:t>
      </w:r>
      <w:r>
        <w:rPr>
          <w:rFonts w:ascii="仿宋" w:hAnsi="仿宋" w:eastAsia="仿宋"/>
          <w:color w:val="000000"/>
          <w:sz w:val="32"/>
          <w:szCs w:val="32"/>
        </w:rPr>
        <w:t>989.31</w:t>
      </w:r>
      <w:r>
        <w:rPr>
          <w:rFonts w:hint="eastAsia" w:ascii="仿宋" w:hAnsi="仿宋" w:eastAsia="仿宋"/>
          <w:color w:val="000000"/>
          <w:sz w:val="32"/>
          <w:szCs w:val="32"/>
        </w:rPr>
        <w:t>万元，各增加</w:t>
      </w:r>
      <w:r>
        <w:rPr>
          <w:rFonts w:ascii="仿宋" w:hAnsi="仿宋" w:eastAsia="仿宋"/>
          <w:color w:val="000000"/>
          <w:sz w:val="32"/>
          <w:szCs w:val="32"/>
        </w:rPr>
        <w:t>5.96</w:t>
      </w:r>
      <w:r>
        <w:rPr>
          <w:rFonts w:hint="eastAsia" w:ascii="仿宋" w:hAnsi="仿宋" w:eastAsia="仿宋"/>
          <w:color w:val="000000"/>
          <w:sz w:val="32"/>
          <w:szCs w:val="32"/>
        </w:rPr>
        <w:t>万元，增加</w:t>
      </w:r>
      <w:r>
        <w:rPr>
          <w:rFonts w:ascii="仿宋" w:hAnsi="仿宋" w:eastAsia="仿宋"/>
          <w:color w:val="000000"/>
          <w:sz w:val="32"/>
          <w:szCs w:val="32"/>
        </w:rPr>
        <w:t>0.6%</w:t>
      </w:r>
      <w:r>
        <w:rPr>
          <w:rFonts w:hint="eastAsia" w:ascii="仿宋" w:hAnsi="仿宋" w:eastAsia="仿宋"/>
          <w:color w:val="000000"/>
          <w:sz w:val="32"/>
          <w:szCs w:val="32"/>
        </w:rPr>
        <w:t>。主要变动原因是项目投入增加。</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r>
        <w:pict>
          <v:shape id="_x0000_s1027" o:spid="_x0000_s1027" o:spt="75" type="#_x0000_t75" style="position:absolute;left:0pt;margin-left:27.65pt;margin-top:-44.4pt;height:300.5pt;width:401.3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7" o:title=""/>
            <o:lock v:ext="edit" aspectratio="t"/>
            <w10:wrap type="square"/>
          </v:shape>
          <o:OLEObject Type="Embed" ProgID="Excel.Chart.8" ShapeID="_x0000_s1027" DrawAspect="Content" ObjectID="_1468075725" r:id="rId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1600" w:firstLineChars="500"/>
        <w:jc w:val="left"/>
        <w:rPr>
          <w:rFonts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0"/>
        <w:numPr>
          <w:ilvl w:val="0"/>
          <w:numId w:val="1"/>
        </w:numPr>
        <w:spacing w:line="600" w:lineRule="exact"/>
        <w:ind w:firstLineChars="0"/>
        <w:outlineLvl w:val="1"/>
        <w:rPr>
          <w:rStyle w:val="19"/>
          <w:rFonts w:ascii="黑体" w:hAnsi="黑体" w:eastAsia="黑体"/>
          <w:b w:val="0"/>
        </w:rPr>
      </w:pPr>
      <w:bookmarkStart w:id="37" w:name="_Toc15396604"/>
      <w:bookmarkStart w:id="38" w:name="_Toc15377206"/>
      <w:bookmarkStart w:id="39" w:name="_Toc18157"/>
      <w:r>
        <w:rPr>
          <w:rFonts w:hint="eastAsia" w:ascii="黑体" w:hAnsi="黑体" w:eastAsia="黑体"/>
          <w:color w:val="000000"/>
          <w:sz w:val="32"/>
          <w:szCs w:val="32"/>
        </w:rPr>
        <w:t>收</w:t>
      </w:r>
      <w:r>
        <w:rPr>
          <w:rStyle w:val="19"/>
          <w:rFonts w:hint="eastAsia" w:ascii="黑体" w:hAnsi="黑体" w:eastAsia="黑体"/>
          <w:b w:val="0"/>
        </w:rPr>
        <w:t>入决算情况说明</w:t>
      </w:r>
      <w:bookmarkEnd w:id="37"/>
      <w:bookmarkEnd w:id="38"/>
      <w:bookmarkEnd w:id="39"/>
    </w:p>
    <w:p>
      <w:pPr>
        <w:spacing w:line="600" w:lineRule="exact"/>
        <w:ind w:firstLine="640" w:firstLineChars="200"/>
        <w:rPr>
          <w:rFonts w:ascii="仿宋" w:hAnsi="仿宋" w:eastAsia="仿宋"/>
          <w:color w:val="000000"/>
          <w:sz w:val="32"/>
          <w:szCs w:val="32"/>
        </w:rPr>
      </w:pPr>
      <w:bookmarkStart w:id="40"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995.27</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995.11</w:t>
      </w:r>
      <w:r>
        <w:rPr>
          <w:rFonts w:hint="eastAsia" w:ascii="仿宋" w:hAnsi="仿宋" w:eastAsia="仿宋"/>
          <w:color w:val="000000"/>
          <w:sz w:val="32"/>
          <w:szCs w:val="32"/>
        </w:rPr>
        <w:t>万元，占</w:t>
      </w:r>
      <w:r>
        <w:rPr>
          <w:rFonts w:ascii="仿宋" w:hAnsi="仿宋" w:eastAsia="仿宋"/>
          <w:color w:val="000000"/>
          <w:sz w:val="32"/>
          <w:szCs w:val="32"/>
        </w:rPr>
        <w:t>99.98%</w:t>
      </w:r>
      <w:r>
        <w:rPr>
          <w:rFonts w:hint="eastAsia" w:ascii="仿宋" w:hAnsi="仿宋" w:eastAsia="仿宋"/>
          <w:color w:val="000000"/>
          <w:sz w:val="32"/>
          <w:szCs w:val="32"/>
        </w:rPr>
        <w:t>；其他收入</w:t>
      </w:r>
      <w:r>
        <w:rPr>
          <w:rFonts w:ascii="仿宋" w:hAnsi="仿宋" w:eastAsia="仿宋"/>
          <w:color w:val="000000"/>
          <w:sz w:val="32"/>
          <w:szCs w:val="32"/>
        </w:rPr>
        <w:t>0.16</w:t>
      </w:r>
      <w:r>
        <w:rPr>
          <w:rFonts w:hint="eastAsia" w:ascii="仿宋" w:hAnsi="仿宋" w:eastAsia="仿宋"/>
          <w:color w:val="000000"/>
          <w:sz w:val="32"/>
          <w:szCs w:val="32"/>
        </w:rPr>
        <w:t>万元，占</w:t>
      </w:r>
      <w:r>
        <w:rPr>
          <w:rFonts w:ascii="仿宋" w:hAnsi="仿宋" w:eastAsia="仿宋"/>
          <w:color w:val="000000"/>
          <w:sz w:val="32"/>
          <w:szCs w:val="32"/>
        </w:rPr>
        <w:t>0.02%</w:t>
      </w:r>
      <w:r>
        <w:rPr>
          <w:rFonts w:hint="eastAsia" w:ascii="仿宋" w:hAnsi="仿宋" w:eastAsia="仿宋"/>
          <w:color w:val="000000"/>
          <w:sz w:val="32"/>
          <w:szCs w:val="32"/>
        </w:rPr>
        <w:t>。</w:t>
      </w:r>
      <w:bookmarkEnd w:id="40"/>
    </w:p>
    <w:p>
      <w:pPr>
        <w:tabs>
          <w:tab w:val="left" w:pos="2797"/>
        </w:tabs>
        <w:spacing w:line="600" w:lineRule="exact"/>
        <w:rPr>
          <w:rFonts w:ascii="仿宋" w:hAnsi="仿宋" w:eastAsia="仿宋"/>
          <w:color w:val="000000"/>
          <w:sz w:val="32"/>
          <w:szCs w:val="32"/>
        </w:rPr>
      </w:pPr>
      <w:r>
        <w:pict>
          <v:shape id="_x0000_s1028" o:spid="_x0000_s1028" o:spt="75" type="#_x0000_t75" style="position:absolute;left:0pt;margin-left:-4.4pt;margin-top:19.3pt;height:236.15pt;width:401.3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9" o:title=""/>
            <o:lock v:ext="edit" aspectratio="t"/>
            <w10:wrap type="square"/>
          </v:shape>
          <o:OLEObject Type="Embed" ProgID="Excel.Chart.8" ShapeID="_x0000_s1028" DrawAspect="Content" ObjectID="_1468075726" r:id="rId8">
            <o:LockedField>false</o:LockedField>
          </o:OLEObject>
        </w:pict>
      </w:r>
      <w:r>
        <w:rPr>
          <w:rFonts w:ascii="仿宋" w:hAnsi="仿宋" w:eastAsia="仿宋"/>
          <w:color w:val="000000"/>
          <w:sz w:val="32"/>
          <w:szCs w:val="32"/>
        </w:rPr>
        <w:t xml:space="preserve">         </w:t>
      </w: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0"/>
        <w:numPr>
          <w:ilvl w:val="0"/>
          <w:numId w:val="1"/>
        </w:numPr>
        <w:spacing w:line="600" w:lineRule="exact"/>
        <w:ind w:firstLineChars="0"/>
        <w:outlineLvl w:val="1"/>
        <w:rPr>
          <w:rStyle w:val="19"/>
          <w:rFonts w:ascii="黑体" w:hAnsi="黑体" w:eastAsia="黑体"/>
          <w:b w:val="0"/>
        </w:rPr>
      </w:pPr>
      <w:bookmarkStart w:id="41" w:name="_Toc15396605"/>
      <w:bookmarkStart w:id="42" w:name="_Toc4552"/>
      <w:bookmarkStart w:id="43" w:name="_Toc15377207"/>
      <w:r>
        <w:rPr>
          <w:rFonts w:hint="eastAsia" w:ascii="黑体" w:hAnsi="黑体" w:eastAsia="黑体"/>
          <w:color w:val="000000"/>
          <w:sz w:val="32"/>
          <w:szCs w:val="32"/>
        </w:rPr>
        <w:t>支</w:t>
      </w:r>
      <w:r>
        <w:rPr>
          <w:rStyle w:val="19"/>
          <w:rFonts w:hint="eastAsia" w:ascii="黑体" w:hAnsi="黑体" w:eastAsia="黑体"/>
          <w:b w:val="0"/>
        </w:rPr>
        <w:t>出决算情况说明</w:t>
      </w:r>
      <w:bookmarkEnd w:id="41"/>
      <w:bookmarkEnd w:id="42"/>
      <w:bookmarkEnd w:id="43"/>
    </w:p>
    <w:p>
      <w:pPr>
        <w:spacing w:line="600" w:lineRule="exact"/>
        <w:ind w:firstLine="640" w:firstLineChars="200"/>
        <w:rPr>
          <w:rFonts w:ascii="仿宋" w:hAnsi="仿宋" w:eastAsia="仿宋"/>
          <w:color w:val="000000"/>
          <w:sz w:val="32"/>
          <w:szCs w:val="32"/>
        </w:rPr>
      </w:pPr>
      <w:bookmarkStart w:id="44" w:name="_Toc2949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995.27</w:t>
      </w:r>
      <w:r>
        <w:rPr>
          <w:rFonts w:hint="eastAsia" w:ascii="仿宋" w:hAnsi="仿宋" w:eastAsia="仿宋"/>
          <w:color w:val="000000"/>
          <w:sz w:val="32"/>
          <w:szCs w:val="32"/>
        </w:rPr>
        <w:t>万元，其中：基本支出</w:t>
      </w:r>
      <w:r>
        <w:rPr>
          <w:rFonts w:ascii="仿宋" w:hAnsi="仿宋" w:eastAsia="仿宋"/>
          <w:color w:val="000000"/>
          <w:sz w:val="32"/>
          <w:szCs w:val="32"/>
        </w:rPr>
        <w:t>915.15</w:t>
      </w:r>
      <w:r>
        <w:rPr>
          <w:rFonts w:hint="eastAsia" w:ascii="仿宋" w:hAnsi="仿宋" w:eastAsia="仿宋"/>
          <w:color w:val="000000"/>
          <w:sz w:val="32"/>
          <w:szCs w:val="32"/>
        </w:rPr>
        <w:t>万元，占</w:t>
      </w:r>
      <w:r>
        <w:rPr>
          <w:rFonts w:ascii="仿宋" w:hAnsi="仿宋" w:eastAsia="仿宋"/>
          <w:color w:val="000000"/>
          <w:sz w:val="32"/>
          <w:szCs w:val="32"/>
        </w:rPr>
        <w:t>91.95%</w:t>
      </w:r>
      <w:r>
        <w:rPr>
          <w:rFonts w:hint="eastAsia" w:ascii="仿宋" w:hAnsi="仿宋" w:eastAsia="仿宋"/>
          <w:color w:val="000000"/>
          <w:sz w:val="32"/>
          <w:szCs w:val="32"/>
        </w:rPr>
        <w:t>；项目支出</w:t>
      </w:r>
      <w:r>
        <w:rPr>
          <w:rFonts w:ascii="仿宋" w:hAnsi="仿宋" w:eastAsia="仿宋"/>
          <w:color w:val="000000"/>
          <w:sz w:val="32"/>
          <w:szCs w:val="32"/>
        </w:rPr>
        <w:t>80.12</w:t>
      </w:r>
      <w:r>
        <w:rPr>
          <w:rFonts w:hint="eastAsia" w:ascii="仿宋" w:hAnsi="仿宋" w:eastAsia="仿宋"/>
          <w:color w:val="000000"/>
          <w:sz w:val="32"/>
          <w:szCs w:val="32"/>
        </w:rPr>
        <w:t>万元，占</w:t>
      </w:r>
      <w:r>
        <w:rPr>
          <w:rFonts w:ascii="仿宋" w:hAnsi="仿宋" w:eastAsia="仿宋"/>
          <w:color w:val="000000"/>
          <w:sz w:val="32"/>
          <w:szCs w:val="32"/>
        </w:rPr>
        <w:t>8.05%</w:t>
      </w:r>
      <w:r>
        <w:rPr>
          <w:rFonts w:hint="eastAsia" w:ascii="仿宋" w:hAnsi="仿宋" w:eastAsia="仿宋"/>
          <w:color w:val="000000"/>
          <w:sz w:val="32"/>
          <w:szCs w:val="32"/>
        </w:rPr>
        <w:t>。</w:t>
      </w:r>
      <w:bookmarkEnd w:id="44"/>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r>
        <w:pict>
          <v:shape id="_x0000_s1029" o:spid="_x0000_s1029" o:spt="75" type="#_x0000_t75" style="position:absolute;left:0pt;margin-left:31.4pt;margin-top:3.4pt;height:289.9pt;width:357.6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1" o:title=""/>
            <o:lock v:ext="edit" aspectratio="t"/>
            <w10:wrap type="square"/>
          </v:shape>
          <o:OLEObject Type="Embed" ProgID="Excel.Chart.8" ShapeID="_x0000_s1029" DrawAspect="Content" ObjectID="_1468075727" r:id="rId10">
            <o:LockedField>false</o:LockedField>
          </o:OLEObject>
        </w:pict>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rPr>
          <w:rFonts w:ascii="仿宋" w:hAnsi="仿宋" w:eastAsia="仿宋"/>
          <w:color w:val="000000"/>
          <w:sz w:val="32"/>
          <w:szCs w:val="32"/>
          <w:shd w:val="pct10" w:color="auto" w:fill="FFFFFF"/>
        </w:rPr>
      </w:pPr>
    </w:p>
    <w:p>
      <w:pPr>
        <w:spacing w:line="600" w:lineRule="exact"/>
        <w:ind w:firstLine="1280" w:firstLineChars="400"/>
        <w:rPr>
          <w:rFonts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1280" w:firstLineChars="400"/>
        <w:rPr>
          <w:rFonts w:ascii="仿宋" w:hAnsi="仿宋" w:eastAsia="仿宋"/>
          <w:color w:val="000000"/>
          <w:sz w:val="32"/>
          <w:szCs w:val="32"/>
        </w:rPr>
      </w:pPr>
    </w:p>
    <w:p>
      <w:pPr>
        <w:spacing w:line="600" w:lineRule="exact"/>
        <w:ind w:firstLine="2240" w:firstLineChars="7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rPr>
          <w:rFonts w:ascii="黑体" w:hAnsi="黑体" w:eastAsia="黑体"/>
          <w:color w:val="000000"/>
          <w:sz w:val="32"/>
          <w:szCs w:val="32"/>
        </w:rPr>
      </w:pPr>
      <w:bookmarkStart w:id="45" w:name="_Toc15396606"/>
      <w:bookmarkStart w:id="46" w:name="_Toc15377208"/>
    </w:p>
    <w:p>
      <w:pPr>
        <w:spacing w:line="600" w:lineRule="exact"/>
        <w:ind w:firstLine="640" w:firstLineChars="200"/>
        <w:rPr>
          <w:rFonts w:ascii="黑体" w:hAnsi="黑体" w:eastAsia="黑体"/>
          <w:color w:val="000000"/>
          <w:sz w:val="32"/>
          <w:szCs w:val="32"/>
        </w:rPr>
      </w:pPr>
    </w:p>
    <w:p>
      <w:pPr>
        <w:spacing w:line="600" w:lineRule="exact"/>
        <w:ind w:firstLine="640" w:firstLineChars="200"/>
        <w:rPr>
          <w:rFonts w:ascii="黑体" w:hAnsi="黑体" w:eastAsia="黑体"/>
          <w:color w:val="000000"/>
          <w:sz w:val="32"/>
          <w:szCs w:val="32"/>
        </w:rPr>
      </w:pPr>
    </w:p>
    <w:p>
      <w:pPr>
        <w:spacing w:line="600" w:lineRule="exact"/>
        <w:ind w:firstLine="640" w:firstLineChars="200"/>
        <w:outlineLvl w:val="1"/>
        <w:rPr>
          <w:rStyle w:val="19"/>
          <w:rFonts w:ascii="黑体" w:hAnsi="黑体" w:eastAsia="黑体"/>
          <w:b w:val="0"/>
        </w:rPr>
      </w:pPr>
      <w:bookmarkStart w:id="47" w:name="_Toc2"/>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45"/>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年财政拨款收入、支出总计</w:t>
      </w:r>
      <w:r>
        <w:rPr>
          <w:rFonts w:ascii="仿宋" w:hAnsi="仿宋" w:eastAsia="仿宋"/>
          <w:color w:val="000000"/>
          <w:sz w:val="32"/>
          <w:szCs w:val="32"/>
        </w:rPr>
        <w:t>995.11</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年相比，财政拨款收入、支出总计</w:t>
      </w:r>
      <w:r>
        <w:rPr>
          <w:rFonts w:ascii="仿宋" w:hAnsi="仿宋" w:eastAsia="仿宋"/>
          <w:color w:val="000000"/>
          <w:sz w:val="32"/>
          <w:szCs w:val="32"/>
        </w:rPr>
        <w:t>989.22</w:t>
      </w:r>
      <w:r>
        <w:rPr>
          <w:rFonts w:hint="eastAsia" w:ascii="仿宋" w:hAnsi="仿宋" w:eastAsia="仿宋"/>
          <w:color w:val="000000"/>
          <w:sz w:val="32"/>
          <w:szCs w:val="32"/>
        </w:rPr>
        <w:t>万元，各增加</w:t>
      </w:r>
      <w:r>
        <w:rPr>
          <w:rFonts w:ascii="仿宋" w:hAnsi="仿宋" w:eastAsia="仿宋"/>
          <w:color w:val="000000"/>
          <w:sz w:val="32"/>
          <w:szCs w:val="32"/>
        </w:rPr>
        <w:t>5.89</w:t>
      </w:r>
      <w:r>
        <w:rPr>
          <w:rFonts w:hint="eastAsia" w:ascii="仿宋" w:hAnsi="仿宋" w:eastAsia="仿宋"/>
          <w:color w:val="000000"/>
          <w:sz w:val="32"/>
          <w:szCs w:val="32"/>
        </w:rPr>
        <w:t>万元，增加</w:t>
      </w:r>
      <w:r>
        <w:rPr>
          <w:rFonts w:ascii="仿宋" w:hAnsi="仿宋" w:eastAsia="仿宋"/>
          <w:color w:val="000000"/>
          <w:sz w:val="32"/>
          <w:szCs w:val="32"/>
        </w:rPr>
        <w:t>0.6%</w:t>
      </w:r>
      <w:r>
        <w:rPr>
          <w:rFonts w:hint="eastAsia" w:ascii="仿宋" w:hAnsi="仿宋" w:eastAsia="仿宋"/>
          <w:color w:val="000000"/>
          <w:sz w:val="32"/>
          <w:szCs w:val="32"/>
        </w:rPr>
        <w:t>。主要变动原因是项目投入增加。</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r>
        <w:pict>
          <v:shape id="_x0000_s1030" o:spid="_x0000_s1030" o:spt="75" type="#_x0000_t75" style="position:absolute;left:0pt;margin-left:9.15pt;margin-top:15.6pt;height:300.5pt;width:401.3pt;mso-wrap-distance-bottom:0pt;mso-wrap-distance-left:9pt;mso-wrap-distance-right:9pt;mso-wrap-distance-top:0pt;z-index:251663360;mso-width-relative:page;mso-height-relative:page;" o:ole="t" filled="f" o:preferrelative="t" stroked="f" coordsize="21600,21600">
            <v:path/>
            <v:fill on="f" focussize="0,0"/>
            <v:stroke on="f" joinstyle="miter"/>
            <v:imagedata r:id="rId13" o:title=""/>
            <o:lock v:ext="edit" aspectratio="t"/>
            <w10:wrap type="square"/>
          </v:shape>
          <o:OLEObject Type="Embed" ProgID="Excel.Chart.8" ShapeID="_x0000_s1030" DrawAspect="Content" ObjectID="_1468075728" r:id="rId12">
            <o:LockedField>false</o:LockedField>
          </o:OLEObject>
        </w:pict>
      </w:r>
    </w:p>
    <w:p>
      <w:pPr>
        <w:spacing w:line="600" w:lineRule="exact"/>
        <w:ind w:firstLine="960" w:firstLineChars="3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9"/>
          <w:rFonts w:ascii="黑体" w:hAnsi="黑体" w:eastAsia="黑体"/>
          <w:b w:val="0"/>
        </w:rPr>
      </w:pPr>
      <w:bookmarkStart w:id="48" w:name="_Toc2850"/>
      <w:bookmarkStart w:id="49" w:name="_Toc15396607"/>
      <w:bookmarkStart w:id="50"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48"/>
      <w:bookmarkEnd w:id="49"/>
      <w:bookmarkEnd w:id="50"/>
    </w:p>
    <w:p>
      <w:pPr>
        <w:spacing w:line="600" w:lineRule="exact"/>
        <w:ind w:firstLine="643" w:firstLineChars="200"/>
        <w:rPr>
          <w:rFonts w:ascii="仿宋" w:hAnsi="仿宋" w:eastAsia="仿宋"/>
          <w:b/>
          <w:color w:val="000000"/>
          <w:sz w:val="32"/>
          <w:szCs w:val="32"/>
        </w:rPr>
      </w:pPr>
      <w:bookmarkStart w:id="51" w:name="_Toc15377210"/>
      <w:bookmarkStart w:id="52" w:name="_Toc20289"/>
      <w:r>
        <w:rPr>
          <w:rFonts w:hint="eastAsia" w:ascii="仿宋" w:hAnsi="仿宋" w:eastAsia="仿宋"/>
          <w:b/>
          <w:color w:val="000000"/>
          <w:sz w:val="32"/>
          <w:szCs w:val="32"/>
        </w:rPr>
        <w:t>（一）一般公共预算财政拨款支出决算总体情况</w:t>
      </w:r>
      <w:bookmarkEnd w:id="51"/>
      <w:bookmarkEnd w:id="5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995.11</w:t>
      </w:r>
      <w:r>
        <w:rPr>
          <w:rFonts w:hint="eastAsia" w:ascii="仿宋" w:hAnsi="仿宋" w:eastAsia="仿宋"/>
          <w:color w:val="000000"/>
          <w:sz w:val="32"/>
          <w:szCs w:val="32"/>
        </w:rPr>
        <w:t>万元，占本年支出合计的</w:t>
      </w:r>
      <w:r>
        <w:rPr>
          <w:rFonts w:ascii="仿宋" w:hAnsi="仿宋" w:eastAsia="仿宋"/>
          <w:color w:val="000000"/>
          <w:sz w:val="32"/>
          <w:szCs w:val="32"/>
        </w:rPr>
        <w:t>99.98%</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5.89</w:t>
      </w:r>
      <w:r>
        <w:rPr>
          <w:rFonts w:hint="eastAsia" w:ascii="仿宋" w:hAnsi="仿宋" w:eastAsia="仿宋"/>
          <w:color w:val="000000"/>
          <w:sz w:val="32"/>
          <w:szCs w:val="32"/>
        </w:rPr>
        <w:t>万元，增加</w:t>
      </w:r>
      <w:r>
        <w:rPr>
          <w:rFonts w:ascii="仿宋" w:hAnsi="仿宋" w:eastAsia="仿宋"/>
          <w:color w:val="000000"/>
          <w:sz w:val="32"/>
          <w:szCs w:val="32"/>
        </w:rPr>
        <w:t>0.6%</w:t>
      </w:r>
      <w:r>
        <w:rPr>
          <w:rFonts w:hint="eastAsia" w:ascii="仿宋" w:hAnsi="仿宋" w:eastAsia="仿宋"/>
          <w:color w:val="000000"/>
          <w:sz w:val="32"/>
          <w:szCs w:val="32"/>
        </w:rPr>
        <w:t>。主要变动原因是项目投入增加。</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pict>
          <v:shape id="_x0000_s1031" o:spid="_x0000_s1031" o:spt="75" type="#_x0000_t75" style="position:absolute;left:0pt;margin-left:31.4pt;margin-top:-15.9pt;height:244.3pt;width:345.1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5" o:title=""/>
            <o:lock v:ext="edit" aspectratio="t"/>
            <w10:wrap type="square"/>
          </v:shape>
          <o:OLEObject Type="Embed" ProgID="Excel.Chart.8" ShapeID="_x0000_s1031" DrawAspect="Content" ObjectID="_1468075729" r:id="rId14">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3" w:firstLineChars="200"/>
        <w:rPr>
          <w:rFonts w:ascii="仿宋" w:hAnsi="仿宋" w:eastAsia="仿宋"/>
          <w:b/>
          <w:color w:val="000000"/>
          <w:sz w:val="32"/>
          <w:szCs w:val="32"/>
        </w:rPr>
      </w:pPr>
      <w:bookmarkStart w:id="53" w:name="_Toc13117"/>
      <w:bookmarkStart w:id="54" w:name="_Toc15377211"/>
      <w:r>
        <w:rPr>
          <w:rFonts w:hint="eastAsia" w:ascii="仿宋" w:hAnsi="仿宋" w:eastAsia="仿宋"/>
          <w:b/>
          <w:color w:val="000000"/>
          <w:sz w:val="32"/>
          <w:szCs w:val="32"/>
        </w:rPr>
        <w:t>（二）一般公共预算财政拨款支出决算结构情况</w:t>
      </w:r>
      <w:bookmarkEnd w:id="53"/>
      <w:bookmarkEnd w:id="5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995.11</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ascii="仿宋" w:hAnsi="仿宋" w:eastAsia="仿宋"/>
          <w:color w:val="000000"/>
          <w:sz w:val="32"/>
          <w:szCs w:val="32"/>
        </w:rPr>
        <w:t>701.57</w:t>
      </w:r>
      <w:r>
        <w:rPr>
          <w:rFonts w:hint="eastAsia" w:ascii="仿宋" w:hAnsi="仿宋" w:eastAsia="仿宋"/>
          <w:color w:val="000000"/>
          <w:sz w:val="32"/>
          <w:szCs w:val="32"/>
        </w:rPr>
        <w:t>万元，占</w:t>
      </w:r>
      <w:r>
        <w:rPr>
          <w:rFonts w:ascii="仿宋" w:hAnsi="仿宋" w:eastAsia="仿宋"/>
          <w:color w:val="000000"/>
          <w:sz w:val="32"/>
          <w:szCs w:val="32"/>
        </w:rPr>
        <w:t>70.5%</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ascii="仿宋" w:hAnsi="仿宋" w:eastAsia="仿宋"/>
          <w:color w:val="000000"/>
          <w:sz w:val="32"/>
          <w:szCs w:val="32"/>
        </w:rPr>
        <w:t>194.95</w:t>
      </w:r>
      <w:r>
        <w:rPr>
          <w:rFonts w:hint="eastAsia" w:ascii="仿宋" w:hAnsi="仿宋" w:eastAsia="仿宋"/>
          <w:color w:val="000000"/>
          <w:sz w:val="32"/>
          <w:szCs w:val="32"/>
        </w:rPr>
        <w:t>万元，占</w:t>
      </w:r>
      <w:r>
        <w:rPr>
          <w:rFonts w:ascii="仿宋" w:hAnsi="仿宋" w:eastAsia="仿宋"/>
          <w:color w:val="000000"/>
          <w:sz w:val="32"/>
          <w:szCs w:val="32"/>
        </w:rPr>
        <w:t>19.59%</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ascii="仿宋" w:hAnsi="仿宋" w:eastAsia="仿宋"/>
          <w:color w:val="000000"/>
          <w:sz w:val="32"/>
          <w:szCs w:val="32"/>
        </w:rPr>
        <w:t>30.84</w:t>
      </w:r>
      <w:r>
        <w:rPr>
          <w:rFonts w:hint="eastAsia" w:ascii="仿宋" w:hAnsi="仿宋" w:eastAsia="仿宋"/>
          <w:color w:val="000000"/>
          <w:sz w:val="32"/>
          <w:szCs w:val="32"/>
        </w:rPr>
        <w:t>万元，占</w:t>
      </w:r>
      <w:r>
        <w:rPr>
          <w:rFonts w:ascii="仿宋" w:hAnsi="仿宋" w:eastAsia="仿宋"/>
          <w:color w:val="000000"/>
          <w:sz w:val="32"/>
          <w:szCs w:val="32"/>
        </w:rPr>
        <w:t>3.1%</w:t>
      </w:r>
      <w:r>
        <w:rPr>
          <w:rFonts w:hint="eastAsia" w:ascii="仿宋" w:hAnsi="仿宋" w:eastAsia="仿宋"/>
          <w:color w:val="000000"/>
          <w:sz w:val="32"/>
          <w:szCs w:val="32"/>
        </w:rPr>
        <w:t>；</w:t>
      </w:r>
      <w:r>
        <w:rPr>
          <w:rFonts w:hint="eastAsia" w:ascii="仿宋" w:hAnsi="仿宋" w:eastAsia="仿宋"/>
          <w:b/>
          <w:bCs/>
          <w:sz w:val="32"/>
          <w:szCs w:val="32"/>
        </w:rPr>
        <w:t>住房保障</w:t>
      </w:r>
      <w:r>
        <w:rPr>
          <w:rFonts w:hint="eastAsia" w:ascii="仿宋" w:hAnsi="仿宋" w:eastAsia="仿宋"/>
          <w:b/>
          <w:bCs/>
          <w:color w:val="000000"/>
          <w:sz w:val="32"/>
          <w:szCs w:val="32"/>
        </w:rPr>
        <w:t>支出</w:t>
      </w:r>
      <w:r>
        <w:rPr>
          <w:rFonts w:ascii="仿宋" w:hAnsi="仿宋" w:eastAsia="仿宋"/>
          <w:color w:val="000000"/>
          <w:sz w:val="32"/>
          <w:szCs w:val="32"/>
        </w:rPr>
        <w:t>67.75</w:t>
      </w:r>
      <w:r>
        <w:rPr>
          <w:rFonts w:hint="eastAsia" w:ascii="仿宋" w:hAnsi="仿宋" w:eastAsia="仿宋"/>
          <w:color w:val="000000"/>
          <w:sz w:val="32"/>
          <w:szCs w:val="32"/>
        </w:rPr>
        <w:t>万元，占</w:t>
      </w:r>
      <w:r>
        <w:rPr>
          <w:rFonts w:ascii="仿宋" w:hAnsi="仿宋" w:eastAsia="仿宋"/>
          <w:color w:val="000000"/>
          <w:sz w:val="32"/>
          <w:szCs w:val="32"/>
        </w:rPr>
        <w:t>6.81%</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pict>
          <v:shape id="_x0000_s1032" o:spid="_x0000_s1032" o:spt="75" type="#_x0000_t75" style="position:absolute;left:0pt;margin-left:32.05pt;margin-top:-22.2pt;height:229.45pt;width:310.1pt;mso-wrap-distance-bottom:0.05pt;mso-wrap-distance-left:9pt;mso-wrap-distance-right:9pt;mso-wrap-distance-top:0pt;z-index:251664384;mso-width-relative:page;mso-height-relative:page;" o:ole="t" filled="f" o:preferrelative="t" stroked="f" coordsize="21600,21600">
            <v:path/>
            <v:fill on="f" focussize="0,0"/>
            <v:stroke on="f" joinstyle="miter"/>
            <v:imagedata r:id="rId17" o:title=""/>
            <o:lock v:ext="edit" aspectratio="t"/>
            <w10:wrap type="square"/>
          </v:shape>
          <o:OLEObject Type="Embed" ProgID="Excel.Chart.8" ShapeID="_x0000_s1032" DrawAspect="Content" ObjectID="_1468075730" r:id="rId1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rPr>
          <w:rFonts w:ascii="仿宋" w:hAnsi="仿宋" w:eastAsia="仿宋"/>
          <w:b/>
          <w:color w:val="000000"/>
          <w:sz w:val="32"/>
          <w:szCs w:val="32"/>
        </w:rPr>
      </w:pPr>
      <w:bookmarkStart w:id="55" w:name="_Toc16048"/>
      <w:bookmarkStart w:id="56" w:name="_Toc15377212"/>
      <w:r>
        <w:rPr>
          <w:rFonts w:hint="eastAsia" w:ascii="仿宋" w:hAnsi="仿宋" w:eastAsia="仿宋"/>
          <w:b/>
          <w:color w:val="000000"/>
          <w:sz w:val="32"/>
          <w:szCs w:val="32"/>
        </w:rPr>
        <w:t>（三）一般公共预算财政拨款支出决算具体情况</w:t>
      </w:r>
      <w:bookmarkEnd w:id="55"/>
      <w:bookmarkEnd w:id="56"/>
    </w:p>
    <w:p>
      <w:pPr>
        <w:spacing w:line="600" w:lineRule="exact"/>
        <w:ind w:firstLine="643" w:firstLineChars="200"/>
        <w:rPr>
          <w:rFonts w:ascii="仿宋" w:hAnsi="仿宋" w:eastAsia="仿宋"/>
          <w:color w:val="FF0000"/>
          <w:sz w:val="32"/>
          <w:szCs w:val="32"/>
        </w:rPr>
      </w:pPr>
      <w:bookmarkStart w:id="57" w:name="_Toc15377213"/>
      <w:bookmarkStart w:id="58" w:name="_Toc15378460"/>
      <w:bookmarkStart w:id="59" w:name="_Toc28372"/>
      <w:bookmarkStart w:id="60" w:name="_Toc15377444"/>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ascii="仿宋" w:hAnsi="仿宋" w:eastAsia="仿宋"/>
          <w:color w:val="000000"/>
          <w:sz w:val="32"/>
          <w:szCs w:val="32"/>
        </w:rPr>
        <w:t>995.11</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w:t>
      </w:r>
      <w:r>
        <w:rPr>
          <w:rStyle w:val="12"/>
          <w:rFonts w:ascii="仿宋" w:hAnsi="仿宋" w:eastAsia="仿宋"/>
          <w:bCs/>
          <w:color w:val="000000"/>
          <w:sz w:val="32"/>
          <w:szCs w:val="32"/>
        </w:rPr>
        <w:t>100%</w:t>
      </w:r>
      <w:r>
        <w:rPr>
          <w:rStyle w:val="12"/>
          <w:rFonts w:hint="eastAsia" w:ascii="仿宋" w:hAnsi="仿宋" w:eastAsia="仿宋"/>
          <w:bCs/>
          <w:color w:val="000000"/>
          <w:sz w:val="32"/>
          <w:szCs w:val="32"/>
        </w:rPr>
        <w:t>。其中：</w:t>
      </w:r>
      <w:bookmarkEnd w:id="57"/>
      <w:bookmarkEnd w:id="58"/>
      <w:bookmarkEnd w:id="59"/>
      <w:bookmarkEnd w:id="60"/>
    </w:p>
    <w:p>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1.</w:t>
      </w:r>
      <w:r>
        <w:rPr>
          <w:rStyle w:val="12"/>
          <w:rFonts w:hint="eastAsia" w:ascii="仿宋" w:hAnsi="仿宋" w:eastAsia="仿宋"/>
          <w:bCs/>
          <w:color w:val="000000"/>
          <w:sz w:val="32"/>
          <w:szCs w:val="32"/>
        </w:rPr>
        <w:t>教育支出（类）普通教育（款）初中教育（项）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ascii="仿宋" w:hAnsi="仿宋" w:eastAsia="仿宋"/>
          <w:b w:val="0"/>
          <w:bCs/>
          <w:color w:val="000000"/>
          <w:sz w:val="32"/>
          <w:szCs w:val="32"/>
        </w:rPr>
        <w:t>701.57</w:t>
      </w:r>
      <w:r>
        <w:rPr>
          <w:rStyle w:val="12"/>
          <w:rFonts w:hint="eastAsia" w:ascii="仿宋" w:hAnsi="仿宋" w:eastAsia="仿宋"/>
          <w:b w:val="0"/>
          <w:bCs/>
          <w:color w:val="000000"/>
          <w:sz w:val="32"/>
          <w:szCs w:val="32"/>
        </w:rPr>
        <w:t>万元，完成预算</w:t>
      </w:r>
      <w:r>
        <w:rPr>
          <w:rStyle w:val="12"/>
          <w:rFonts w:ascii="仿宋" w:hAnsi="仿宋" w:eastAsia="仿宋"/>
          <w:b w:val="0"/>
          <w:bCs/>
          <w:color w:val="000000"/>
          <w:sz w:val="32"/>
          <w:szCs w:val="32"/>
        </w:rPr>
        <w:t>100%</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2.</w:t>
      </w:r>
      <w:r>
        <w:rPr>
          <w:rStyle w:val="12"/>
          <w:rFonts w:hint="eastAsia" w:ascii="仿宋" w:hAnsi="仿宋" w:eastAsia="仿宋"/>
          <w:bCs/>
          <w:color w:val="000000"/>
          <w:sz w:val="32"/>
          <w:szCs w:val="32"/>
        </w:rPr>
        <w:t>社会保障和就业支出（类）行政事业单位养老支出（款）机关事业单位基本养老保险缴费支出（项）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ascii="仿宋" w:hAnsi="仿宋" w:eastAsia="仿宋"/>
          <w:b w:val="0"/>
          <w:bCs/>
          <w:color w:val="000000"/>
          <w:sz w:val="32"/>
          <w:szCs w:val="32"/>
        </w:rPr>
        <w:t>80.1</w:t>
      </w:r>
      <w:r>
        <w:rPr>
          <w:rStyle w:val="12"/>
          <w:rFonts w:hint="eastAsia" w:ascii="仿宋" w:hAnsi="仿宋" w:eastAsia="仿宋"/>
          <w:b w:val="0"/>
          <w:bCs/>
          <w:color w:val="000000"/>
          <w:sz w:val="32"/>
          <w:szCs w:val="32"/>
        </w:rPr>
        <w:t>万元，完成预算</w:t>
      </w:r>
      <w:r>
        <w:rPr>
          <w:rStyle w:val="12"/>
          <w:rFonts w:ascii="仿宋" w:hAnsi="仿宋" w:eastAsia="仿宋"/>
          <w:b w:val="0"/>
          <w:bCs/>
          <w:color w:val="000000"/>
          <w:sz w:val="32"/>
          <w:szCs w:val="32"/>
        </w:rPr>
        <w:t>100%</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3.</w:t>
      </w:r>
      <w:r>
        <w:rPr>
          <w:rStyle w:val="12"/>
          <w:rFonts w:hint="eastAsia" w:ascii="仿宋" w:hAnsi="仿宋" w:eastAsia="仿宋"/>
          <w:bCs/>
          <w:color w:val="000000"/>
          <w:sz w:val="32"/>
          <w:szCs w:val="32"/>
        </w:rPr>
        <w:t>社会保障和就业支出（类）行政事业单位养老支出（款）机关事业单位职业年金缴费支出（项）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ascii="仿宋" w:hAnsi="仿宋" w:eastAsia="仿宋"/>
          <w:b w:val="0"/>
          <w:bCs/>
          <w:color w:val="000000"/>
          <w:sz w:val="32"/>
          <w:szCs w:val="32"/>
        </w:rPr>
        <w:t>42.91</w:t>
      </w:r>
      <w:r>
        <w:rPr>
          <w:rStyle w:val="12"/>
          <w:rFonts w:hint="eastAsia" w:ascii="仿宋" w:hAnsi="仿宋" w:eastAsia="仿宋"/>
          <w:b w:val="0"/>
          <w:bCs/>
          <w:color w:val="000000"/>
          <w:sz w:val="32"/>
          <w:szCs w:val="32"/>
        </w:rPr>
        <w:t>万元，完成预算</w:t>
      </w:r>
      <w:r>
        <w:rPr>
          <w:rStyle w:val="12"/>
          <w:rFonts w:ascii="仿宋" w:hAnsi="仿宋" w:eastAsia="仿宋"/>
          <w:b w:val="0"/>
          <w:bCs/>
          <w:color w:val="000000"/>
          <w:sz w:val="32"/>
          <w:szCs w:val="32"/>
        </w:rPr>
        <w:t>100%</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4.</w:t>
      </w:r>
      <w:r>
        <w:rPr>
          <w:rStyle w:val="12"/>
          <w:rFonts w:hint="eastAsia" w:ascii="仿宋" w:hAnsi="仿宋" w:eastAsia="仿宋"/>
          <w:bCs/>
          <w:color w:val="000000"/>
          <w:sz w:val="32"/>
          <w:szCs w:val="32"/>
        </w:rPr>
        <w:t>社会保障和就业支出（类）行政事业单位养老支出（款）其他行政事业单位养老支出（项）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ascii="仿宋" w:hAnsi="仿宋" w:eastAsia="仿宋"/>
          <w:b w:val="0"/>
          <w:bCs/>
          <w:color w:val="000000"/>
          <w:sz w:val="32"/>
          <w:szCs w:val="32"/>
        </w:rPr>
        <w:t>71.94</w:t>
      </w:r>
      <w:r>
        <w:rPr>
          <w:rStyle w:val="12"/>
          <w:rFonts w:hint="eastAsia" w:ascii="仿宋" w:hAnsi="仿宋" w:eastAsia="仿宋"/>
          <w:b w:val="0"/>
          <w:bCs/>
          <w:color w:val="000000"/>
          <w:sz w:val="32"/>
          <w:szCs w:val="32"/>
        </w:rPr>
        <w:t>万元，完成预算</w:t>
      </w:r>
      <w:r>
        <w:rPr>
          <w:rStyle w:val="12"/>
          <w:rFonts w:ascii="仿宋" w:hAnsi="仿宋" w:eastAsia="仿宋"/>
          <w:b w:val="0"/>
          <w:bCs/>
          <w:color w:val="000000"/>
          <w:sz w:val="32"/>
          <w:szCs w:val="32"/>
        </w:rPr>
        <w:t>100%</w:t>
      </w:r>
      <w:r>
        <w:rPr>
          <w:rStyle w:val="12"/>
          <w:rFonts w:hint="eastAsia" w:ascii="仿宋" w:hAnsi="仿宋" w:eastAsia="仿宋"/>
          <w:b w:val="0"/>
          <w:bCs/>
          <w:color w:val="000000"/>
          <w:sz w:val="32"/>
          <w:szCs w:val="32"/>
        </w:rPr>
        <w:t>。</w:t>
      </w:r>
    </w:p>
    <w:p>
      <w:pPr>
        <w:spacing w:line="600" w:lineRule="exact"/>
        <w:ind w:firstLine="643" w:firstLineChars="200"/>
        <w:rPr>
          <w:rStyle w:val="12"/>
          <w:rFonts w:ascii="仿宋" w:hAnsi="仿宋" w:eastAsia="仿宋"/>
          <w:b w:val="0"/>
          <w:bCs/>
          <w:color w:val="000000"/>
          <w:sz w:val="32"/>
          <w:szCs w:val="32"/>
        </w:rPr>
      </w:pPr>
      <w:r>
        <w:rPr>
          <w:rStyle w:val="12"/>
          <w:rFonts w:ascii="仿宋" w:hAnsi="仿宋" w:eastAsia="仿宋"/>
          <w:bCs/>
          <w:color w:val="000000"/>
          <w:sz w:val="32"/>
          <w:szCs w:val="32"/>
        </w:rPr>
        <w:t>5.</w:t>
      </w:r>
      <w:r>
        <w:rPr>
          <w:rFonts w:hint="eastAsia" w:ascii="仿宋" w:hAnsi="仿宋" w:eastAsia="仿宋"/>
          <w:b/>
          <w:bCs/>
          <w:color w:val="000000"/>
          <w:sz w:val="32"/>
          <w:szCs w:val="32"/>
        </w:rPr>
        <w:t>卫生健康</w:t>
      </w:r>
      <w:r>
        <w:rPr>
          <w:rStyle w:val="12"/>
          <w:rFonts w:hint="eastAsia" w:ascii="仿宋" w:hAnsi="仿宋" w:eastAsia="仿宋"/>
          <w:bCs/>
          <w:color w:val="000000"/>
          <w:sz w:val="32"/>
          <w:szCs w:val="32"/>
        </w:rPr>
        <w:t>（类）行政事业单位医疗（款）事业单位医疗（项）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ascii="仿宋" w:hAnsi="仿宋" w:eastAsia="仿宋"/>
          <w:b w:val="0"/>
          <w:bCs/>
          <w:color w:val="000000"/>
          <w:sz w:val="32"/>
          <w:szCs w:val="32"/>
        </w:rPr>
        <w:t>30.84</w:t>
      </w:r>
      <w:r>
        <w:rPr>
          <w:rStyle w:val="12"/>
          <w:rFonts w:hint="eastAsia" w:ascii="仿宋" w:hAnsi="仿宋" w:eastAsia="仿宋"/>
          <w:b w:val="0"/>
          <w:bCs/>
          <w:color w:val="000000"/>
          <w:sz w:val="32"/>
          <w:szCs w:val="32"/>
        </w:rPr>
        <w:t>万元，完成预算</w:t>
      </w:r>
      <w:r>
        <w:rPr>
          <w:rStyle w:val="12"/>
          <w:rFonts w:ascii="仿宋" w:hAnsi="仿宋" w:eastAsia="仿宋"/>
          <w:b w:val="0"/>
          <w:bCs/>
          <w:color w:val="000000"/>
          <w:sz w:val="32"/>
          <w:szCs w:val="32"/>
        </w:rPr>
        <w:t>100%</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FF0000"/>
          <w:sz w:val="32"/>
          <w:szCs w:val="32"/>
        </w:rPr>
      </w:pPr>
      <w:r>
        <w:rPr>
          <w:rStyle w:val="12"/>
          <w:rFonts w:ascii="仿宋" w:hAnsi="仿宋" w:eastAsia="仿宋"/>
          <w:bCs/>
          <w:color w:val="000000"/>
          <w:sz w:val="32"/>
          <w:szCs w:val="32"/>
        </w:rPr>
        <w:t>6.</w:t>
      </w:r>
      <w:r>
        <w:rPr>
          <w:rFonts w:hint="eastAsia" w:ascii="仿宋" w:hAnsi="仿宋" w:eastAsia="仿宋"/>
          <w:b/>
          <w:bCs/>
          <w:color w:val="000000"/>
          <w:sz w:val="32"/>
          <w:szCs w:val="32"/>
        </w:rPr>
        <w:t>住房保障支出</w:t>
      </w:r>
      <w:r>
        <w:rPr>
          <w:rStyle w:val="12"/>
          <w:rFonts w:hint="eastAsia" w:ascii="仿宋" w:hAnsi="仿宋" w:eastAsia="仿宋"/>
          <w:bCs/>
          <w:color w:val="000000"/>
          <w:sz w:val="32"/>
          <w:szCs w:val="32"/>
        </w:rPr>
        <w:t>（类）住房改革支出（款）住房公积金（项）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ascii="仿宋" w:hAnsi="仿宋" w:eastAsia="仿宋"/>
          <w:b w:val="0"/>
          <w:bCs/>
          <w:color w:val="000000"/>
          <w:sz w:val="32"/>
          <w:szCs w:val="32"/>
        </w:rPr>
        <w:t>67.75</w:t>
      </w:r>
      <w:r>
        <w:rPr>
          <w:rStyle w:val="12"/>
          <w:rFonts w:hint="eastAsia" w:ascii="仿宋" w:hAnsi="仿宋" w:eastAsia="仿宋"/>
          <w:b w:val="0"/>
          <w:bCs/>
          <w:color w:val="000000"/>
          <w:sz w:val="32"/>
          <w:szCs w:val="32"/>
        </w:rPr>
        <w:t>万元，完成预算</w:t>
      </w:r>
      <w:r>
        <w:rPr>
          <w:rStyle w:val="12"/>
          <w:rFonts w:ascii="仿宋" w:hAnsi="仿宋" w:eastAsia="仿宋"/>
          <w:b w:val="0"/>
          <w:bCs/>
          <w:color w:val="000000"/>
          <w:sz w:val="32"/>
          <w:szCs w:val="32"/>
        </w:rPr>
        <w:t>100%</w:t>
      </w:r>
      <w:r>
        <w:rPr>
          <w:rStyle w:val="12"/>
          <w:rFonts w:hint="eastAsia" w:ascii="仿宋" w:hAnsi="仿宋" w:eastAsia="仿宋"/>
          <w:b w:val="0"/>
          <w:bCs/>
          <w:color w:val="000000"/>
          <w:sz w:val="32"/>
          <w:szCs w:val="32"/>
        </w:rPr>
        <w:t>。</w:t>
      </w:r>
    </w:p>
    <w:p>
      <w:pPr>
        <w:tabs>
          <w:tab w:val="right" w:pos="8306"/>
        </w:tabs>
        <w:spacing w:line="600" w:lineRule="exact"/>
        <w:ind w:firstLine="640"/>
        <w:outlineLvl w:val="1"/>
        <w:rPr>
          <w:rStyle w:val="19"/>
        </w:rPr>
      </w:pPr>
      <w:bookmarkStart w:id="61" w:name="_Toc25028"/>
      <w:bookmarkStart w:id="62" w:name="_Toc15396608"/>
      <w:bookmarkStart w:id="6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61"/>
      <w:bookmarkEnd w:id="62"/>
      <w:bookmarkEnd w:id="63"/>
      <w:r>
        <w:rPr>
          <w:rStyle w:val="1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915.15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888.93</w:t>
      </w:r>
      <w:r>
        <w:rPr>
          <w:rFonts w:hint="eastAsia" w:ascii="仿宋" w:hAnsi="仿宋" w:eastAsia="仿宋"/>
          <w:color w:val="000000"/>
          <w:sz w:val="32"/>
          <w:szCs w:val="32"/>
        </w:rPr>
        <w:t>万元，主要包括：基本工资、津贴补贴、绩效工资、机关事业单位基本养老保险缴费、职业年金缴费、职工基本医疗保险缴费、其他社会保障缴费、住房公积金、其他工资福利支出、抚恤金、生活补助等。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ascii="仿宋" w:hAnsi="仿宋" w:eastAsia="仿宋"/>
          <w:color w:val="000000"/>
          <w:sz w:val="32"/>
          <w:szCs w:val="32"/>
        </w:rPr>
        <w:t>26.22</w:t>
      </w:r>
      <w:r>
        <w:rPr>
          <w:rFonts w:hint="eastAsia" w:ascii="仿宋" w:hAnsi="仿宋" w:eastAsia="仿宋"/>
          <w:color w:val="000000"/>
          <w:sz w:val="32"/>
          <w:szCs w:val="32"/>
        </w:rPr>
        <w:t>万元，主要包括：工会经费、福利费等。</w:t>
      </w:r>
    </w:p>
    <w:p>
      <w:pPr>
        <w:spacing w:line="600" w:lineRule="exact"/>
        <w:ind w:firstLine="640"/>
        <w:outlineLvl w:val="1"/>
        <w:rPr>
          <w:rStyle w:val="19"/>
          <w:rFonts w:ascii="黑体" w:hAnsi="黑体" w:eastAsia="黑体"/>
          <w:b w:val="0"/>
        </w:rPr>
      </w:pPr>
      <w:bookmarkStart w:id="64" w:name="_Toc18827"/>
      <w:bookmarkStart w:id="65" w:name="_Toc15377215"/>
      <w:bookmarkStart w:id="66" w:name="_Toc15396609"/>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64"/>
      <w:bookmarkEnd w:id="65"/>
      <w:bookmarkEnd w:id="66"/>
    </w:p>
    <w:p>
      <w:pPr>
        <w:spacing w:line="600" w:lineRule="exact"/>
        <w:ind w:firstLine="640"/>
        <w:rPr>
          <w:rFonts w:ascii="仿宋" w:hAnsi="仿宋" w:eastAsia="仿宋"/>
          <w:b/>
          <w:color w:val="000000"/>
          <w:sz w:val="32"/>
          <w:szCs w:val="32"/>
        </w:rPr>
      </w:pPr>
      <w:bookmarkStart w:id="67" w:name="_Toc15377216"/>
      <w:bookmarkStart w:id="68" w:name="_Toc26822"/>
      <w:r>
        <w:rPr>
          <w:rFonts w:hint="eastAsia" w:ascii="仿宋" w:hAnsi="仿宋" w:eastAsia="仿宋"/>
          <w:b/>
          <w:color w:val="000000"/>
          <w:sz w:val="32"/>
          <w:szCs w:val="32"/>
        </w:rPr>
        <w:t>（一）“三公”经费财政拨款支出决算总体情况说明</w:t>
      </w:r>
      <w:bookmarkEnd w:id="67"/>
      <w:bookmarkEnd w:id="6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rPr>
          <w:rFonts w:ascii="仿宋" w:hAnsi="仿宋" w:eastAsia="仿宋"/>
          <w:b/>
          <w:color w:val="000000"/>
          <w:sz w:val="32"/>
          <w:szCs w:val="32"/>
        </w:rPr>
      </w:pPr>
      <w:bookmarkStart w:id="69" w:name="_Toc15377217"/>
      <w:bookmarkStart w:id="70" w:name="_Toc26414"/>
      <w:r>
        <w:rPr>
          <w:rFonts w:hint="eastAsia" w:ascii="仿宋" w:hAnsi="仿宋" w:eastAsia="仿宋"/>
          <w:b/>
          <w:color w:val="000000"/>
          <w:sz w:val="32"/>
          <w:szCs w:val="32"/>
        </w:rPr>
        <w:t>（二）“三公”经费财政拨款支出决算具体情况说明</w:t>
      </w:r>
      <w:bookmarkEnd w:id="69"/>
      <w:bookmarkEnd w:id="7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万元；公务接待费支出决算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。具体情况如下：</w:t>
      </w:r>
    </w:p>
    <w:p>
      <w:pPr>
        <w:spacing w:line="600" w:lineRule="exact"/>
        <w:ind w:firstLine="640"/>
        <w:rPr>
          <w:rFonts w:ascii="仿宋" w:hAnsi="仿宋" w:eastAsia="仿宋" w:cs="仿宋"/>
          <w:b/>
          <w:color w:val="000000"/>
          <w:sz w:val="32"/>
          <w:szCs w:val="32"/>
        </w:rPr>
      </w:pPr>
      <w:r>
        <w:rPr>
          <w:rFonts w:ascii="仿宋" w:hAnsi="仿宋" w:eastAsia="仿宋" w:cs="仿宋"/>
          <w:b/>
          <w:color w:val="000000"/>
          <w:sz w:val="32"/>
          <w:szCs w:val="32"/>
        </w:rPr>
        <w:t>1.</w:t>
      </w:r>
      <w:r>
        <w:rPr>
          <w:rFonts w:hint="eastAsia" w:ascii="仿宋" w:hAnsi="仿宋" w:eastAsia="仿宋" w:cs="仿宋"/>
          <w:b/>
          <w:color w:val="000000"/>
          <w:sz w:val="32"/>
          <w:szCs w:val="32"/>
        </w:rPr>
        <w:t>因公出国（境）经费支出</w:t>
      </w:r>
      <w:r>
        <w:rPr>
          <w:rFonts w:ascii="仿宋" w:hAnsi="仿宋" w:eastAsia="仿宋" w:cs="仿宋"/>
          <w:color w:val="000000"/>
          <w:sz w:val="32"/>
          <w:szCs w:val="32"/>
        </w:rPr>
        <w:t>0</w:t>
      </w:r>
      <w:r>
        <w:rPr>
          <w:rFonts w:hint="eastAsia" w:ascii="仿宋" w:hAnsi="仿宋" w:eastAsia="仿宋" w:cs="仿宋"/>
          <w:color w:val="000000"/>
          <w:sz w:val="32"/>
          <w:szCs w:val="32"/>
        </w:rPr>
        <w:t>万元。</w:t>
      </w:r>
    </w:p>
    <w:p>
      <w:pPr>
        <w:spacing w:line="600" w:lineRule="exact"/>
        <w:ind w:firstLine="640"/>
        <w:rPr>
          <w:rFonts w:ascii="仿宋" w:hAnsi="仿宋" w:eastAsia="仿宋" w:cs="仿宋"/>
          <w:b/>
          <w:color w:val="000000"/>
          <w:sz w:val="32"/>
          <w:szCs w:val="32"/>
        </w:rPr>
      </w:pPr>
      <w:r>
        <w:rPr>
          <w:rFonts w:ascii="仿宋" w:hAnsi="仿宋" w:eastAsia="仿宋" w:cs="仿宋"/>
          <w:b/>
          <w:color w:val="000000"/>
          <w:sz w:val="32"/>
          <w:szCs w:val="32"/>
        </w:rPr>
        <w:t>2.</w:t>
      </w:r>
      <w:r>
        <w:rPr>
          <w:rFonts w:hint="eastAsia" w:ascii="仿宋" w:hAnsi="仿宋" w:eastAsia="仿宋" w:cs="仿宋"/>
          <w:b/>
          <w:color w:val="000000"/>
          <w:sz w:val="32"/>
          <w:szCs w:val="32"/>
        </w:rPr>
        <w:t>公务用车购置及运行维护费支出</w:t>
      </w:r>
      <w:r>
        <w:rPr>
          <w:rFonts w:ascii="仿宋" w:hAnsi="仿宋" w:eastAsia="仿宋" w:cs="仿宋"/>
          <w:color w:val="000000"/>
          <w:sz w:val="32"/>
          <w:szCs w:val="32"/>
        </w:rPr>
        <w:t>0</w:t>
      </w:r>
      <w:r>
        <w:rPr>
          <w:rFonts w:hint="eastAsia" w:ascii="仿宋" w:hAnsi="仿宋" w:eastAsia="仿宋" w:cs="仿宋"/>
          <w:color w:val="000000"/>
          <w:sz w:val="32"/>
          <w:szCs w:val="32"/>
        </w:rPr>
        <w:t>万元。</w:t>
      </w:r>
    </w:p>
    <w:p>
      <w:pPr>
        <w:spacing w:line="600" w:lineRule="exact"/>
        <w:ind w:firstLine="640"/>
        <w:rPr>
          <w:rFonts w:ascii="仿宋" w:hAnsi="仿宋" w:eastAsia="仿宋" w:cs="仿宋"/>
          <w:color w:val="000000"/>
          <w:sz w:val="32"/>
          <w:szCs w:val="32"/>
        </w:rPr>
      </w:pPr>
      <w:r>
        <w:rPr>
          <w:rFonts w:ascii="仿宋" w:hAnsi="仿宋" w:eastAsia="仿宋" w:cs="仿宋"/>
          <w:b/>
          <w:color w:val="000000"/>
          <w:sz w:val="32"/>
          <w:szCs w:val="32"/>
        </w:rPr>
        <w:t>3.</w:t>
      </w:r>
      <w:r>
        <w:rPr>
          <w:rFonts w:hint="eastAsia" w:ascii="仿宋" w:hAnsi="仿宋" w:eastAsia="仿宋" w:cs="仿宋"/>
          <w:b/>
          <w:color w:val="000000"/>
          <w:sz w:val="32"/>
          <w:szCs w:val="32"/>
        </w:rPr>
        <w:t>公务接待费支出</w:t>
      </w:r>
      <w:r>
        <w:rPr>
          <w:rFonts w:ascii="仿宋" w:hAnsi="仿宋" w:eastAsia="仿宋" w:cs="仿宋"/>
          <w:bCs/>
          <w:color w:val="000000"/>
          <w:sz w:val="32"/>
          <w:szCs w:val="32"/>
        </w:rPr>
        <w:t>0</w:t>
      </w:r>
      <w:r>
        <w:rPr>
          <w:rFonts w:hint="eastAsia" w:ascii="仿宋" w:hAnsi="仿宋" w:eastAsia="仿宋" w:cs="仿宋"/>
          <w:color w:val="000000"/>
          <w:sz w:val="32"/>
          <w:szCs w:val="32"/>
        </w:rPr>
        <w:t>万元，</w:t>
      </w:r>
      <w:r>
        <w:rPr>
          <w:rStyle w:val="12"/>
          <w:rFonts w:hint="eastAsia" w:ascii="仿宋" w:hAnsi="仿宋" w:eastAsia="仿宋" w:cs="仿宋"/>
          <w:b w:val="0"/>
          <w:bCs/>
          <w:color w:val="000000"/>
          <w:sz w:val="32"/>
          <w:szCs w:val="32"/>
        </w:rPr>
        <w:t>完成预算</w:t>
      </w:r>
      <w:r>
        <w:rPr>
          <w:rStyle w:val="12"/>
          <w:rFonts w:ascii="仿宋" w:hAnsi="仿宋" w:eastAsia="仿宋" w:cs="仿宋"/>
          <w:b w:val="0"/>
          <w:bCs/>
          <w:color w:val="000000"/>
          <w:sz w:val="32"/>
          <w:szCs w:val="32"/>
        </w:rPr>
        <w:t>0%</w:t>
      </w:r>
      <w:r>
        <w:rPr>
          <w:rStyle w:val="12"/>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w:t>
      </w:r>
      <w:r>
        <w:rPr>
          <w:rFonts w:ascii="仿宋" w:hAnsi="仿宋" w:eastAsia="仿宋" w:cs="仿宋"/>
          <w:color w:val="000000"/>
          <w:sz w:val="32"/>
          <w:szCs w:val="32"/>
        </w:rPr>
        <w:t>2019</w:t>
      </w:r>
      <w:r>
        <w:rPr>
          <w:rFonts w:hint="eastAsia" w:ascii="仿宋" w:hAnsi="仿宋" w:eastAsia="仿宋" w:cs="仿宋"/>
          <w:color w:val="000000"/>
          <w:sz w:val="32"/>
          <w:szCs w:val="32"/>
        </w:rPr>
        <w:t>年减少</w:t>
      </w:r>
      <w:r>
        <w:rPr>
          <w:rFonts w:ascii="仿宋" w:hAnsi="仿宋" w:eastAsia="仿宋" w:cs="仿宋"/>
          <w:color w:val="000000"/>
          <w:sz w:val="32"/>
          <w:szCs w:val="32"/>
        </w:rPr>
        <w:t>0.79</w:t>
      </w:r>
      <w:r>
        <w:rPr>
          <w:rFonts w:hint="eastAsia" w:ascii="仿宋" w:hAnsi="仿宋" w:eastAsia="仿宋" w:cs="仿宋"/>
          <w:color w:val="000000"/>
          <w:sz w:val="32"/>
          <w:szCs w:val="32"/>
        </w:rPr>
        <w:t>万元，下降</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其中：</w:t>
      </w:r>
    </w:p>
    <w:p>
      <w:pPr>
        <w:spacing w:line="600" w:lineRule="exact"/>
        <w:ind w:firstLine="640"/>
        <w:rPr>
          <w:rFonts w:ascii="仿宋" w:hAnsi="仿宋" w:eastAsia="仿宋" w:cs="仿宋"/>
          <w:sz w:val="32"/>
          <w:szCs w:val="32"/>
        </w:rPr>
      </w:pPr>
      <w:r>
        <w:rPr>
          <w:rFonts w:hint="eastAsia" w:ascii="仿宋" w:hAnsi="仿宋" w:eastAsia="仿宋" w:cs="仿宋"/>
          <w:b/>
          <w:color w:val="000000"/>
          <w:sz w:val="32"/>
          <w:szCs w:val="32"/>
        </w:rPr>
        <w:t>国内公务接待支出</w:t>
      </w:r>
      <w:r>
        <w:rPr>
          <w:rFonts w:ascii="仿宋" w:hAnsi="仿宋" w:eastAsia="仿宋" w:cs="仿宋"/>
          <w:color w:val="000000"/>
          <w:sz w:val="32"/>
          <w:szCs w:val="32"/>
        </w:rPr>
        <w:t>0</w:t>
      </w:r>
      <w:r>
        <w:rPr>
          <w:rFonts w:hint="eastAsia" w:ascii="仿宋" w:hAnsi="仿宋" w:eastAsia="仿宋" w:cs="仿宋"/>
          <w:color w:val="000000"/>
          <w:sz w:val="32"/>
          <w:szCs w:val="32"/>
        </w:rPr>
        <w:t>万元，主要用于执行公务、开展业务活动开支的交通费、住宿费、用餐费等。国内公务接待</w:t>
      </w:r>
      <w:r>
        <w:rPr>
          <w:rFonts w:ascii="仿宋" w:hAnsi="仿宋" w:eastAsia="仿宋" w:cs="仿宋"/>
          <w:color w:val="000000"/>
          <w:sz w:val="32"/>
          <w:szCs w:val="32"/>
        </w:rPr>
        <w:t>0</w:t>
      </w:r>
      <w:r>
        <w:rPr>
          <w:rFonts w:hint="eastAsia" w:ascii="仿宋" w:hAnsi="仿宋" w:eastAsia="仿宋" w:cs="仿宋"/>
          <w:color w:val="000000"/>
          <w:sz w:val="32"/>
          <w:szCs w:val="32"/>
        </w:rPr>
        <w:t>批次，</w:t>
      </w:r>
      <w:r>
        <w:rPr>
          <w:rFonts w:ascii="仿宋" w:hAnsi="仿宋" w:eastAsia="仿宋" w:cs="仿宋"/>
          <w:color w:val="000000"/>
          <w:sz w:val="32"/>
          <w:szCs w:val="32"/>
        </w:rPr>
        <w:t>0</w:t>
      </w:r>
      <w:r>
        <w:rPr>
          <w:rFonts w:hint="eastAsia" w:ascii="仿宋" w:hAnsi="仿宋" w:eastAsia="仿宋" w:cs="仿宋"/>
          <w:color w:val="000000"/>
          <w:sz w:val="32"/>
          <w:szCs w:val="32"/>
        </w:rPr>
        <w:t>人次（不包括陪同人员），共计支出</w:t>
      </w:r>
      <w:r>
        <w:rPr>
          <w:rFonts w:ascii="仿宋" w:hAnsi="仿宋" w:eastAsia="仿宋" w:cs="仿宋"/>
          <w:color w:val="000000"/>
          <w:sz w:val="32"/>
          <w:szCs w:val="32"/>
        </w:rPr>
        <w:t>0</w:t>
      </w:r>
      <w:r>
        <w:rPr>
          <w:rFonts w:hint="eastAsia" w:ascii="仿宋" w:hAnsi="仿宋" w:eastAsia="仿宋" w:cs="仿宋"/>
          <w:color w:val="000000"/>
          <w:sz w:val="32"/>
          <w:szCs w:val="32"/>
        </w:rPr>
        <w:t>万元，具体内容包括：</w:t>
      </w:r>
      <w:r>
        <w:rPr>
          <w:rFonts w:hint="eastAsia" w:ascii="仿宋" w:hAnsi="仿宋" w:eastAsia="仿宋" w:cs="仿宋"/>
          <w:sz w:val="32"/>
          <w:szCs w:val="32"/>
        </w:rPr>
        <w:t>用于接待上级领导视察并指导学校发展产生的住宿费、用餐费</w:t>
      </w:r>
      <w:r>
        <w:rPr>
          <w:rFonts w:ascii="仿宋" w:hAnsi="仿宋" w:eastAsia="仿宋" w:cs="仿宋"/>
          <w:sz w:val="32"/>
          <w:szCs w:val="32"/>
        </w:rPr>
        <w:t>0</w:t>
      </w:r>
      <w:r>
        <w:rPr>
          <w:rFonts w:hint="eastAsia" w:ascii="仿宋" w:hAnsi="仿宋" w:eastAsia="仿宋" w:cs="仿宋"/>
          <w:sz w:val="32"/>
          <w:szCs w:val="32"/>
        </w:rPr>
        <w:t>万元。</w:t>
      </w:r>
    </w:p>
    <w:p>
      <w:pPr>
        <w:spacing w:line="600" w:lineRule="exact"/>
        <w:ind w:firstLine="640"/>
        <w:outlineLvl w:val="1"/>
        <w:rPr>
          <w:rStyle w:val="19"/>
          <w:rFonts w:ascii="黑体" w:hAnsi="黑体" w:eastAsia="黑体"/>
        </w:rPr>
      </w:pPr>
      <w:bookmarkStart w:id="71" w:name="_Toc5151"/>
      <w:bookmarkStart w:id="72" w:name="_Toc15377218"/>
      <w:bookmarkStart w:id="73" w:name="_Toc15396610"/>
      <w:r>
        <w:rPr>
          <w:rFonts w:hint="eastAsia" w:ascii="黑体" w:eastAsia="黑体"/>
          <w:color w:val="000000"/>
          <w:sz w:val="32"/>
          <w:szCs w:val="32"/>
        </w:rPr>
        <w:t>八、</w:t>
      </w:r>
      <w:r>
        <w:rPr>
          <w:rStyle w:val="19"/>
          <w:rFonts w:hint="eastAsia" w:ascii="黑体" w:hAnsi="黑体" w:eastAsia="黑体"/>
          <w:b w:val="0"/>
        </w:rPr>
        <w:t>政府性基金预算支出决算情况说明</w:t>
      </w:r>
      <w:bookmarkEnd w:id="71"/>
      <w:bookmarkEnd w:id="72"/>
      <w:bookmarkEnd w:id="73"/>
    </w:p>
    <w:p>
      <w:pPr>
        <w:spacing w:line="600" w:lineRule="exact"/>
        <w:ind w:firstLine="640"/>
        <w:rPr>
          <w:rFonts w:ascii="仿宋_GB2312" w:eastAsia="仿宋_GB2312"/>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年政府性基金预算拨款支出</w:t>
      </w:r>
      <w:r>
        <w:rPr>
          <w:rFonts w:ascii="仿宋" w:hAnsi="仿宋" w:eastAsia="仿宋" w:cs="仿宋"/>
          <w:color w:val="000000"/>
          <w:sz w:val="32"/>
          <w:szCs w:val="32"/>
        </w:rPr>
        <w:t>0</w:t>
      </w:r>
      <w:r>
        <w:rPr>
          <w:rFonts w:hint="eastAsia" w:ascii="仿宋" w:hAnsi="仿宋" w:eastAsia="仿宋" w:cs="仿宋"/>
          <w:color w:val="000000"/>
          <w:sz w:val="32"/>
          <w:szCs w:val="32"/>
        </w:rPr>
        <w:t>万元。</w:t>
      </w:r>
    </w:p>
    <w:p>
      <w:pPr>
        <w:numPr>
          <w:ilvl w:val="0"/>
          <w:numId w:val="2"/>
        </w:numPr>
        <w:spacing w:line="600" w:lineRule="exact"/>
        <w:ind w:firstLine="640"/>
        <w:outlineLvl w:val="1"/>
        <w:rPr>
          <w:rStyle w:val="19"/>
          <w:rFonts w:ascii="黑体" w:hAnsi="黑体" w:eastAsia="黑体"/>
          <w:b w:val="0"/>
        </w:rPr>
      </w:pPr>
      <w:bookmarkStart w:id="74" w:name="_Toc8148"/>
      <w:bookmarkStart w:id="75" w:name="_Toc15377219"/>
      <w:bookmarkStart w:id="76" w:name="_Toc15396611"/>
      <w:r>
        <w:rPr>
          <w:rStyle w:val="19"/>
          <w:rFonts w:hint="eastAsia" w:ascii="黑体" w:hAnsi="黑体" w:eastAsia="黑体"/>
          <w:b w:val="0"/>
        </w:rPr>
        <w:t>国有资本经营预算支出决算情况说明</w:t>
      </w:r>
      <w:bookmarkEnd w:id="74"/>
      <w:bookmarkEnd w:id="75"/>
      <w:bookmarkEnd w:id="76"/>
    </w:p>
    <w:p>
      <w:pPr>
        <w:spacing w:line="600" w:lineRule="exact"/>
        <w:ind w:firstLine="640"/>
        <w:rPr>
          <w:rFonts w:ascii="方正小标宋简体" w:hAnsi="方正小标宋简体" w:eastAsia="方正小标宋简体" w:cs="方正小标宋简体"/>
          <w:sz w:val="44"/>
          <w:szCs w:val="44"/>
        </w:rPr>
      </w:pPr>
      <w:r>
        <w:rPr>
          <w:rFonts w:ascii="仿宋" w:hAnsi="仿宋" w:eastAsia="仿宋" w:cs="仿宋"/>
          <w:color w:val="000000"/>
          <w:sz w:val="32"/>
          <w:szCs w:val="32"/>
        </w:rPr>
        <w:t>2020</w:t>
      </w:r>
      <w:r>
        <w:rPr>
          <w:rFonts w:hint="eastAsia" w:ascii="仿宋" w:hAnsi="仿宋" w:eastAsia="仿宋" w:cs="仿宋"/>
          <w:color w:val="000000"/>
          <w:sz w:val="32"/>
          <w:szCs w:val="32"/>
        </w:rPr>
        <w:t>年国有资本经营预算拨款支出</w:t>
      </w:r>
      <w:r>
        <w:rPr>
          <w:rFonts w:ascii="仿宋" w:hAnsi="仿宋" w:eastAsia="仿宋" w:cs="仿宋"/>
          <w:color w:val="000000"/>
          <w:sz w:val="32"/>
          <w:szCs w:val="32"/>
        </w:rPr>
        <w:t>0</w:t>
      </w:r>
      <w:r>
        <w:rPr>
          <w:rFonts w:hint="eastAsia" w:ascii="仿宋" w:hAnsi="仿宋" w:eastAsia="仿宋" w:cs="仿宋"/>
          <w:color w:val="000000"/>
          <w:sz w:val="32"/>
          <w:szCs w:val="32"/>
        </w:rPr>
        <w:t>万元。</w:t>
      </w:r>
    </w:p>
    <w:p>
      <w:pPr>
        <w:spacing w:line="600" w:lineRule="exact"/>
        <w:ind w:firstLine="800" w:firstLineChars="250"/>
        <w:outlineLvl w:val="1"/>
        <w:rPr>
          <w:rStyle w:val="19"/>
          <w:rFonts w:ascii="黑体" w:hAnsi="黑体" w:eastAsia="黑体"/>
        </w:rPr>
      </w:pPr>
      <w:bookmarkStart w:id="77" w:name="_Toc15396612"/>
      <w:bookmarkStart w:id="78" w:name="_Toc15377221"/>
      <w:bookmarkStart w:id="79" w:name="_Toc9942"/>
      <w:r>
        <w:rPr>
          <w:rFonts w:hint="eastAsia" w:ascii="黑体" w:hAnsi="黑体" w:eastAsia="黑体"/>
          <w:color w:val="000000"/>
          <w:sz w:val="32"/>
          <w:szCs w:val="32"/>
        </w:rPr>
        <w:t>十</w:t>
      </w:r>
      <w:r>
        <w:rPr>
          <w:rStyle w:val="19"/>
          <w:rFonts w:hint="eastAsia" w:ascii="黑体" w:hAnsi="黑体" w:eastAsia="黑体"/>
        </w:rPr>
        <w:t>、</w:t>
      </w:r>
      <w:r>
        <w:rPr>
          <w:rStyle w:val="19"/>
          <w:rFonts w:hint="eastAsia" w:ascii="黑体" w:hAnsi="黑体" w:eastAsia="黑体"/>
          <w:b w:val="0"/>
        </w:rPr>
        <w:t>其他重要事项的情况说明</w:t>
      </w:r>
      <w:bookmarkEnd w:id="77"/>
      <w:bookmarkEnd w:id="78"/>
      <w:bookmarkEnd w:id="79"/>
    </w:p>
    <w:p>
      <w:pPr>
        <w:spacing w:line="600" w:lineRule="exact"/>
        <w:ind w:firstLine="643" w:firstLineChars="200"/>
        <w:rPr>
          <w:rFonts w:ascii="仿宋" w:hAnsi="仿宋" w:eastAsia="仿宋"/>
          <w:color w:val="000000"/>
          <w:sz w:val="32"/>
          <w:szCs w:val="32"/>
        </w:rPr>
      </w:pPr>
      <w:bookmarkStart w:id="80" w:name="_Toc23902"/>
      <w:bookmarkStart w:id="81" w:name="_Toc15377222"/>
      <w:r>
        <w:rPr>
          <w:rFonts w:hint="eastAsia" w:ascii="仿宋" w:hAnsi="仿宋" w:eastAsia="仿宋"/>
          <w:b/>
          <w:color w:val="000000"/>
          <w:sz w:val="32"/>
          <w:szCs w:val="32"/>
        </w:rPr>
        <w:t>（一）机关运行经费支出情况</w:t>
      </w:r>
      <w:bookmarkEnd w:id="80"/>
      <w:bookmarkEnd w:id="81"/>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年，乐山市五通桥区竹根镇竹根初级中学运行经费支出</w:t>
      </w:r>
      <w:r>
        <w:rPr>
          <w:rFonts w:ascii="仿宋" w:hAnsi="仿宋" w:eastAsia="仿宋" w:cs="仿宋"/>
          <w:color w:val="000000"/>
          <w:sz w:val="32"/>
          <w:szCs w:val="32"/>
        </w:rPr>
        <w:t>0</w:t>
      </w:r>
      <w:r>
        <w:rPr>
          <w:rFonts w:hint="eastAsia" w:ascii="仿宋" w:hAnsi="仿宋" w:eastAsia="仿宋" w:cs="仿宋"/>
          <w:color w:val="000000"/>
          <w:sz w:val="32"/>
          <w:szCs w:val="32"/>
        </w:rPr>
        <w:t>万元，与</w:t>
      </w:r>
      <w:r>
        <w:rPr>
          <w:rFonts w:ascii="仿宋" w:hAnsi="仿宋" w:eastAsia="仿宋" w:cs="仿宋"/>
          <w:color w:val="000000"/>
          <w:sz w:val="32"/>
          <w:szCs w:val="32"/>
        </w:rPr>
        <w:t>2019</w:t>
      </w:r>
      <w:r>
        <w:rPr>
          <w:rFonts w:hint="eastAsia" w:ascii="仿宋" w:hAnsi="仿宋" w:eastAsia="仿宋" w:cs="仿宋"/>
          <w:color w:val="000000"/>
          <w:sz w:val="32"/>
          <w:szCs w:val="32"/>
        </w:rPr>
        <w:t>年决算数持平。</w:t>
      </w:r>
    </w:p>
    <w:p>
      <w:pPr>
        <w:autoSpaceDE w:val="0"/>
        <w:autoSpaceDN w:val="0"/>
        <w:adjustRightInd w:val="0"/>
        <w:spacing w:line="600" w:lineRule="exact"/>
        <w:ind w:firstLine="643" w:firstLineChars="200"/>
        <w:jc w:val="left"/>
        <w:rPr>
          <w:rFonts w:ascii="仿宋" w:hAnsi="仿宋" w:eastAsia="仿宋"/>
          <w:b/>
          <w:color w:val="000000"/>
          <w:sz w:val="32"/>
          <w:szCs w:val="32"/>
        </w:rPr>
      </w:pPr>
      <w:bookmarkStart w:id="82" w:name="_Toc29901"/>
      <w:bookmarkStart w:id="83" w:name="_Toc15377223"/>
      <w:r>
        <w:rPr>
          <w:rFonts w:hint="eastAsia" w:ascii="仿宋" w:hAnsi="仿宋" w:eastAsia="仿宋"/>
          <w:b/>
          <w:color w:val="000000"/>
          <w:sz w:val="32"/>
          <w:szCs w:val="32"/>
        </w:rPr>
        <w:t>（二）政府采购支出情况</w:t>
      </w:r>
      <w:bookmarkEnd w:id="82"/>
      <w:bookmarkEnd w:id="83"/>
    </w:p>
    <w:p>
      <w:pPr>
        <w:spacing w:line="600" w:lineRule="exact"/>
        <w:ind w:firstLine="640" w:firstLineChars="200"/>
        <w:rPr>
          <w:rFonts w:ascii="仿宋" w:hAnsi="仿宋" w:eastAsia="仿宋"/>
          <w:b/>
          <w:color w:val="FF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年，乐山市五通桥区竹根镇竹根初级中学采购支出总额</w:t>
      </w:r>
      <w:r>
        <w:rPr>
          <w:rFonts w:ascii="仿宋" w:hAnsi="仿宋" w:eastAsia="仿宋" w:cs="仿宋"/>
          <w:color w:val="000000"/>
          <w:sz w:val="32"/>
          <w:szCs w:val="32"/>
        </w:rPr>
        <w:t>13.69</w:t>
      </w:r>
      <w:r>
        <w:rPr>
          <w:rFonts w:hint="eastAsia" w:ascii="仿宋" w:hAnsi="仿宋" w:eastAsia="仿宋" w:cs="仿宋"/>
          <w:color w:val="000000"/>
          <w:sz w:val="32"/>
          <w:szCs w:val="32"/>
        </w:rPr>
        <w:t>万元，其中：政府采购货物支出</w:t>
      </w:r>
      <w:r>
        <w:rPr>
          <w:rFonts w:ascii="仿宋" w:hAnsi="仿宋" w:eastAsia="仿宋" w:cs="仿宋"/>
          <w:color w:val="000000"/>
          <w:sz w:val="32"/>
          <w:szCs w:val="32"/>
        </w:rPr>
        <w:t>13.69</w:t>
      </w:r>
      <w:r>
        <w:rPr>
          <w:rFonts w:hint="eastAsia" w:ascii="仿宋" w:hAnsi="仿宋" w:eastAsia="仿宋" w:cs="仿宋"/>
          <w:color w:val="000000"/>
          <w:sz w:val="32"/>
          <w:szCs w:val="32"/>
        </w:rPr>
        <w:t>万元、政府采购工程支出</w:t>
      </w:r>
      <w:r>
        <w:rPr>
          <w:rFonts w:ascii="仿宋" w:hAnsi="仿宋" w:eastAsia="仿宋" w:cs="仿宋"/>
          <w:color w:val="000000"/>
          <w:sz w:val="32"/>
          <w:szCs w:val="32"/>
        </w:rPr>
        <w:t>0</w:t>
      </w:r>
      <w:r>
        <w:rPr>
          <w:rFonts w:hint="eastAsia" w:ascii="仿宋" w:hAnsi="仿宋" w:eastAsia="仿宋" w:cs="仿宋"/>
          <w:color w:val="000000"/>
          <w:sz w:val="32"/>
          <w:szCs w:val="32"/>
        </w:rPr>
        <w:t>万元、政府采购服务支出</w:t>
      </w:r>
      <w:r>
        <w:rPr>
          <w:rFonts w:ascii="仿宋" w:hAnsi="仿宋" w:eastAsia="仿宋" w:cs="仿宋"/>
          <w:color w:val="000000"/>
          <w:sz w:val="32"/>
          <w:szCs w:val="32"/>
        </w:rPr>
        <w:t>0</w:t>
      </w:r>
      <w:r>
        <w:rPr>
          <w:rFonts w:hint="eastAsia" w:ascii="仿宋" w:hAnsi="仿宋" w:eastAsia="仿宋" w:cs="仿宋"/>
          <w:color w:val="000000"/>
          <w:sz w:val="32"/>
          <w:szCs w:val="32"/>
        </w:rPr>
        <w:t>万元。主要用于教师办公桌椅采购。授予中小企业合同金额</w:t>
      </w:r>
      <w:r>
        <w:rPr>
          <w:rFonts w:ascii="仿宋" w:hAnsi="仿宋" w:eastAsia="仿宋" w:cs="仿宋"/>
          <w:color w:val="000000"/>
          <w:sz w:val="32"/>
          <w:szCs w:val="32"/>
        </w:rPr>
        <w:t>0</w:t>
      </w:r>
      <w:r>
        <w:rPr>
          <w:rFonts w:hint="eastAsia" w:ascii="仿宋" w:hAnsi="仿宋" w:eastAsia="仿宋" w:cs="仿宋"/>
          <w:color w:val="000000"/>
          <w:sz w:val="32"/>
          <w:szCs w:val="32"/>
        </w:rPr>
        <w:t>万元，占政府采购支出总额的</w:t>
      </w:r>
      <w:r>
        <w:rPr>
          <w:rFonts w:ascii="仿宋" w:hAnsi="仿宋" w:eastAsia="仿宋" w:cs="仿宋"/>
          <w:color w:val="000000"/>
          <w:sz w:val="32"/>
          <w:szCs w:val="32"/>
        </w:rPr>
        <w:t>0%</w:t>
      </w:r>
      <w:r>
        <w:rPr>
          <w:rFonts w:hint="eastAsia" w:ascii="仿宋" w:hAnsi="仿宋" w:eastAsia="仿宋" w:cs="仿宋"/>
          <w:color w:val="000000"/>
          <w:sz w:val="32"/>
          <w:szCs w:val="32"/>
        </w:rPr>
        <w:t>，其中：授予小微企业合同金额</w:t>
      </w:r>
      <w:r>
        <w:rPr>
          <w:rFonts w:ascii="仿宋" w:hAnsi="仿宋" w:eastAsia="仿宋" w:cs="仿宋"/>
          <w:color w:val="000000"/>
          <w:sz w:val="32"/>
          <w:szCs w:val="32"/>
        </w:rPr>
        <w:t>0</w:t>
      </w:r>
      <w:r>
        <w:rPr>
          <w:rFonts w:hint="eastAsia" w:ascii="仿宋" w:hAnsi="仿宋" w:eastAsia="仿宋" w:cs="仿宋"/>
          <w:color w:val="000000"/>
          <w:sz w:val="32"/>
          <w:szCs w:val="32"/>
        </w:rPr>
        <w:t>万元，占政府采购支出总额的</w:t>
      </w:r>
      <w:r>
        <w:rPr>
          <w:rFonts w:ascii="仿宋" w:hAnsi="仿宋" w:eastAsia="仿宋" w:cs="仿宋"/>
          <w:color w:val="000000"/>
          <w:sz w:val="32"/>
          <w:szCs w:val="32"/>
        </w:rPr>
        <w:t>0%</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rPr>
          <w:rFonts w:ascii="仿宋" w:hAnsi="仿宋" w:eastAsia="仿宋"/>
          <w:b/>
          <w:color w:val="000000"/>
          <w:sz w:val="32"/>
          <w:szCs w:val="32"/>
        </w:rPr>
      </w:pPr>
      <w:bookmarkStart w:id="84" w:name="_Toc28062"/>
      <w:bookmarkStart w:id="85" w:name="_Toc15377224"/>
      <w:r>
        <w:rPr>
          <w:rFonts w:hint="eastAsia" w:ascii="仿宋" w:hAnsi="仿宋" w:eastAsia="仿宋"/>
          <w:b/>
          <w:color w:val="000000"/>
          <w:sz w:val="32"/>
          <w:szCs w:val="32"/>
        </w:rPr>
        <w:t>（三）国有资产占有使用情况</w:t>
      </w:r>
      <w:bookmarkEnd w:id="84"/>
      <w:bookmarkEnd w:id="85"/>
    </w:p>
    <w:p>
      <w:pPr>
        <w:autoSpaceDE w:val="0"/>
        <w:autoSpaceDN w:val="0"/>
        <w:adjustRightInd w:val="0"/>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截至</w:t>
      </w:r>
      <w:r>
        <w:rPr>
          <w:rFonts w:ascii="仿宋" w:hAnsi="仿宋" w:eastAsia="仿宋" w:cs="仿宋"/>
          <w:color w:val="000000"/>
          <w:sz w:val="32"/>
          <w:szCs w:val="32"/>
        </w:rPr>
        <w:t>2020</w:t>
      </w:r>
      <w:r>
        <w:rPr>
          <w:rFonts w:hint="eastAsia" w:ascii="仿宋" w:hAnsi="仿宋" w:eastAsia="仿宋" w:cs="仿宋"/>
          <w:color w:val="000000"/>
          <w:sz w:val="32"/>
          <w:szCs w:val="32"/>
        </w:rPr>
        <w:t>年</w:t>
      </w:r>
      <w:r>
        <w:rPr>
          <w:rFonts w:ascii="仿宋" w:hAnsi="仿宋" w:eastAsia="仿宋" w:cs="仿宋"/>
          <w:color w:val="000000"/>
          <w:sz w:val="32"/>
          <w:szCs w:val="32"/>
        </w:rPr>
        <w:t>12</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日，乐山市五通桥区竹根镇竹根初级中学共有车辆</w:t>
      </w:r>
      <w:r>
        <w:rPr>
          <w:rFonts w:ascii="仿宋" w:hAnsi="仿宋" w:eastAsia="仿宋" w:cs="仿宋"/>
          <w:color w:val="000000"/>
          <w:sz w:val="32"/>
          <w:szCs w:val="32"/>
        </w:rPr>
        <w:t>0</w:t>
      </w:r>
      <w:r>
        <w:rPr>
          <w:rFonts w:hint="eastAsia" w:ascii="仿宋" w:hAnsi="仿宋" w:eastAsia="仿宋" w:cs="仿宋"/>
          <w:color w:val="000000"/>
          <w:sz w:val="32"/>
          <w:szCs w:val="32"/>
        </w:rPr>
        <w:t>辆。</w:t>
      </w:r>
    </w:p>
    <w:p>
      <w:pPr>
        <w:autoSpaceDE w:val="0"/>
        <w:autoSpaceDN w:val="0"/>
        <w:adjustRightInd w:val="0"/>
        <w:spacing w:line="600" w:lineRule="exact"/>
        <w:ind w:firstLine="643" w:firstLineChars="200"/>
        <w:jc w:val="left"/>
        <w:rPr>
          <w:rFonts w:ascii="仿宋" w:hAnsi="仿宋" w:eastAsia="仿宋"/>
          <w:b/>
          <w:color w:val="000000"/>
          <w:sz w:val="32"/>
          <w:szCs w:val="32"/>
        </w:rPr>
      </w:pPr>
      <w:bookmarkStart w:id="86" w:name="_Toc8507"/>
      <w:r>
        <w:rPr>
          <w:rFonts w:hint="eastAsia" w:ascii="仿宋" w:hAnsi="仿宋" w:eastAsia="仿宋"/>
          <w:b/>
          <w:color w:val="000000"/>
          <w:sz w:val="32"/>
          <w:szCs w:val="32"/>
        </w:rPr>
        <w:t>（四）预算绩效管理情况</w:t>
      </w:r>
      <w:bookmarkEnd w:id="86"/>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根据预算绩效管理要求，乐山市五通桥区竹根镇竹根初级中学在年初预算编制阶段，组织对教育支出项目开展了预算事前绩效评估，对</w:t>
      </w:r>
      <w:r>
        <w:rPr>
          <w:rFonts w:ascii="仿宋" w:hAnsi="仿宋" w:eastAsia="仿宋" w:cs="仿宋"/>
          <w:color w:val="000000"/>
          <w:sz w:val="32"/>
          <w:szCs w:val="32"/>
        </w:rPr>
        <w:t>1</w:t>
      </w:r>
      <w:r>
        <w:rPr>
          <w:rFonts w:hint="eastAsia" w:ascii="仿宋" w:hAnsi="仿宋" w:eastAsia="仿宋" w:cs="仿宋"/>
          <w:color w:val="000000"/>
          <w:sz w:val="32"/>
          <w:szCs w:val="32"/>
        </w:rPr>
        <w:t>个项目编制了绩效目标，预算执行过程中，选取</w:t>
      </w:r>
      <w:r>
        <w:rPr>
          <w:rFonts w:ascii="仿宋" w:hAnsi="仿宋" w:eastAsia="仿宋" w:cs="仿宋"/>
          <w:color w:val="000000"/>
          <w:sz w:val="32"/>
          <w:szCs w:val="32"/>
        </w:rPr>
        <w:t>1</w:t>
      </w:r>
      <w:r>
        <w:rPr>
          <w:rFonts w:hint="eastAsia" w:ascii="仿宋" w:hAnsi="仿宋" w:eastAsia="仿宋" w:cs="仿宋"/>
          <w:color w:val="000000"/>
          <w:sz w:val="32"/>
          <w:szCs w:val="32"/>
        </w:rPr>
        <w:t>个项目开展绩效监控，年终执行完毕后，对</w:t>
      </w:r>
      <w:r>
        <w:rPr>
          <w:rFonts w:ascii="仿宋" w:hAnsi="仿宋" w:eastAsia="仿宋" w:cs="仿宋"/>
          <w:color w:val="000000"/>
          <w:sz w:val="32"/>
          <w:szCs w:val="32"/>
        </w:rPr>
        <w:t>1</w:t>
      </w:r>
      <w:r>
        <w:rPr>
          <w:rFonts w:hint="eastAsia" w:ascii="仿宋" w:hAnsi="仿宋" w:eastAsia="仿宋" w:cs="仿宋"/>
          <w:color w:val="000000"/>
          <w:sz w:val="32"/>
          <w:szCs w:val="32"/>
        </w:rPr>
        <w:t>个项目开展了绩效目标完成情况自评。</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乐山市五通桥区竹根镇竹根初级中学按要求对</w:t>
      </w:r>
      <w:r>
        <w:rPr>
          <w:rFonts w:ascii="仿宋" w:hAnsi="仿宋" w:eastAsia="仿宋" w:cs="仿宋"/>
          <w:color w:val="000000"/>
          <w:sz w:val="32"/>
          <w:szCs w:val="32"/>
        </w:rPr>
        <w:t>2020</w:t>
      </w:r>
      <w:r>
        <w:rPr>
          <w:rFonts w:hint="eastAsia" w:ascii="仿宋" w:hAnsi="仿宋" w:eastAsia="仿宋" w:cs="仿宋"/>
          <w:color w:val="000000"/>
          <w:sz w:val="32"/>
          <w:szCs w:val="32"/>
        </w:rPr>
        <w:t>年部门整体支出开展绩效自评，基本完成年初绩效目标。本部门还自行组织了</w:t>
      </w:r>
      <w:r>
        <w:rPr>
          <w:rFonts w:ascii="仿宋" w:hAnsi="仿宋" w:eastAsia="仿宋" w:cs="仿宋"/>
          <w:color w:val="000000"/>
          <w:sz w:val="32"/>
          <w:szCs w:val="32"/>
        </w:rPr>
        <w:t>1</w:t>
      </w:r>
      <w:r>
        <w:rPr>
          <w:rFonts w:hint="eastAsia" w:ascii="仿宋" w:hAnsi="仿宋" w:eastAsia="仿宋" w:cs="仿宋"/>
          <w:color w:val="000000"/>
          <w:sz w:val="32"/>
          <w:szCs w:val="32"/>
        </w:rPr>
        <w:t>个项目支出绩效评价，从评价情况来看完成良好。</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项目绩效目标完成情况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本部门在</w:t>
      </w:r>
      <w:r>
        <w:rPr>
          <w:rFonts w:ascii="仿宋" w:hAnsi="仿宋" w:eastAsia="仿宋" w:cs="仿宋"/>
          <w:sz w:val="32"/>
          <w:szCs w:val="32"/>
        </w:rPr>
        <w:t>2020</w:t>
      </w:r>
      <w:r>
        <w:rPr>
          <w:rFonts w:hint="eastAsia" w:ascii="仿宋" w:hAnsi="仿宋" w:eastAsia="仿宋" w:cs="仿宋"/>
          <w:sz w:val="32"/>
          <w:szCs w:val="32"/>
        </w:rPr>
        <w:t>年度部门决算中反映“生均公用经费”项目绩效目标实际完成情况。（本单位部门项目绩效目标个数</w:t>
      </w:r>
      <w:r>
        <w:rPr>
          <w:rFonts w:ascii="仿宋" w:hAnsi="仿宋" w:eastAsia="仿宋" w:cs="仿宋"/>
          <w:sz w:val="32"/>
          <w:szCs w:val="32"/>
        </w:rPr>
        <w:t>1</w:t>
      </w:r>
      <w:r>
        <w:rPr>
          <w:rFonts w:hint="eastAsia" w:ascii="仿宋" w:hAnsi="仿宋" w:eastAsia="仿宋" w:cs="仿宋"/>
          <w:sz w:val="32"/>
          <w:szCs w:val="32"/>
        </w:rPr>
        <w:t>个，选取</w:t>
      </w:r>
      <w:r>
        <w:rPr>
          <w:rFonts w:ascii="仿宋" w:hAnsi="仿宋" w:eastAsia="仿宋" w:cs="仿宋"/>
          <w:sz w:val="32"/>
          <w:szCs w:val="32"/>
        </w:rPr>
        <w:t>1</w:t>
      </w:r>
      <w:r>
        <w:rPr>
          <w:rFonts w:hint="eastAsia" w:ascii="仿宋" w:hAnsi="仿宋" w:eastAsia="仿宋" w:cs="仿宋"/>
          <w:sz w:val="32"/>
          <w:szCs w:val="32"/>
        </w:rPr>
        <w:t>个项目进行公开，公开内容包括选取的全部项目完成情况综述和完成情况表）。</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生均公用经费项目绩效目标完成情况综述。生均公用经费项目全年预算数</w:t>
      </w:r>
      <w:r>
        <w:rPr>
          <w:rFonts w:ascii="仿宋" w:hAnsi="仿宋" w:eastAsia="仿宋" w:cs="仿宋"/>
          <w:sz w:val="32"/>
          <w:szCs w:val="32"/>
        </w:rPr>
        <w:t>79.96</w:t>
      </w:r>
      <w:r>
        <w:rPr>
          <w:rFonts w:hint="eastAsia" w:ascii="仿宋" w:hAnsi="仿宋" w:eastAsia="仿宋" w:cs="仿宋"/>
          <w:sz w:val="32"/>
          <w:szCs w:val="32"/>
        </w:rPr>
        <w:t>万元，执行数为</w:t>
      </w:r>
      <w:r>
        <w:rPr>
          <w:rFonts w:ascii="仿宋" w:hAnsi="仿宋" w:eastAsia="仿宋" w:cs="仿宋"/>
          <w:sz w:val="32"/>
          <w:szCs w:val="32"/>
        </w:rPr>
        <w:t>79.96</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。通过项目实施，保障</w:t>
      </w:r>
      <w:r>
        <w:rPr>
          <w:rFonts w:hint="eastAsia" w:ascii="仿宋" w:hAnsi="仿宋" w:eastAsia="仿宋" w:cs="仿宋"/>
          <w:color w:val="000000"/>
          <w:sz w:val="32"/>
          <w:szCs w:val="32"/>
        </w:rPr>
        <w:t>学校正常运转。</w:t>
      </w:r>
    </w:p>
    <w:tbl>
      <w:tblPr>
        <w:tblStyle w:val="10"/>
        <w:tblpPr w:leftFromText="180" w:rightFromText="180" w:vertAnchor="text" w:horzAnchor="page" w:tblpX="1064" w:tblpY="2474"/>
        <w:tblOverlap w:val="never"/>
        <w:tblW w:w="9960" w:type="dxa"/>
        <w:jc w:val="center"/>
        <w:tblLayout w:type="fixed"/>
        <w:tblCellMar>
          <w:top w:w="0" w:type="dxa"/>
          <w:left w:w="0" w:type="dxa"/>
          <w:bottom w:w="0" w:type="dxa"/>
          <w:right w:w="0" w:type="dxa"/>
        </w:tblCellMar>
      </w:tblPr>
      <w:tblGrid>
        <w:gridCol w:w="788"/>
        <w:gridCol w:w="969"/>
        <w:gridCol w:w="1326"/>
        <w:gridCol w:w="2091"/>
        <w:gridCol w:w="2394"/>
        <w:gridCol w:w="2392"/>
      </w:tblGrid>
      <w:tr>
        <w:tblPrEx>
          <w:tblCellMar>
            <w:top w:w="0" w:type="dxa"/>
            <w:left w:w="0" w:type="dxa"/>
            <w:bottom w:w="0" w:type="dxa"/>
            <w:right w:w="0" w:type="dxa"/>
          </w:tblCellMar>
        </w:tblPrEx>
        <w:trPr>
          <w:trHeight w:val="1038"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579"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项目名称</w:t>
            </w:r>
          </w:p>
        </w:tc>
        <w:tc>
          <w:tcPr>
            <w:tcW w:w="68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sz w:val="32"/>
                <w:szCs w:val="32"/>
              </w:rPr>
              <w:t>生均公用经费</w:t>
            </w:r>
          </w:p>
        </w:tc>
      </w:tr>
      <w:tr>
        <w:tblPrEx>
          <w:tblCellMar>
            <w:top w:w="0" w:type="dxa"/>
            <w:left w:w="0" w:type="dxa"/>
            <w:bottom w:w="0" w:type="dxa"/>
            <w:right w:w="0" w:type="dxa"/>
          </w:tblCellMar>
        </w:tblPrEx>
        <w:trPr>
          <w:trHeight w:val="504"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预算单位</w:t>
            </w:r>
          </w:p>
        </w:tc>
        <w:tc>
          <w:tcPr>
            <w:tcW w:w="68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_GB2312" w:hAnsi="仿宋_GB2312" w:eastAsia="仿宋_GB2312" w:cs="仿宋_GB2312"/>
                <w:sz w:val="32"/>
                <w:szCs w:val="32"/>
              </w:rPr>
              <w:t>乐山市五通桥区</w:t>
            </w:r>
            <w:r>
              <w:rPr>
                <w:rFonts w:hint="eastAsia" w:ascii="仿宋" w:hAnsi="仿宋" w:eastAsia="仿宋" w:cs="仿宋"/>
                <w:sz w:val="32"/>
                <w:szCs w:val="32"/>
              </w:rPr>
              <w:t>竹根镇竹根初级中学</w:t>
            </w:r>
          </w:p>
        </w:tc>
      </w:tr>
      <w:tr>
        <w:tblPrEx>
          <w:tblCellMar>
            <w:top w:w="0" w:type="dxa"/>
            <w:left w:w="0" w:type="dxa"/>
            <w:bottom w:w="0" w:type="dxa"/>
            <w:right w:w="0" w:type="dxa"/>
          </w:tblCellMar>
        </w:tblPrEx>
        <w:trPr>
          <w:trHeight w:val="889"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预算执行情况</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万元</w:t>
            </w:r>
            <w:r>
              <w:rPr>
                <w:rFonts w:ascii="仿宋" w:hAnsi="仿宋" w:eastAsia="仿宋" w:cs="仿宋"/>
                <w:color w:val="000000"/>
                <w:kern w:val="0"/>
                <w:sz w:val="32"/>
                <w:szCs w:val="32"/>
              </w:rPr>
              <w:t>)</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预算数</w:t>
            </w:r>
            <w:r>
              <w:rPr>
                <w:rFonts w:ascii="仿宋" w:hAnsi="仿宋" w:eastAsia="仿宋" w:cs="仿宋"/>
                <w:color w:val="000000"/>
                <w:kern w:val="0"/>
                <w:sz w:val="32"/>
                <w:szCs w:val="32"/>
              </w:rPr>
              <w:t>:</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FF0000"/>
                <w:sz w:val="32"/>
                <w:szCs w:val="32"/>
              </w:rPr>
            </w:pPr>
            <w:r>
              <w:rPr>
                <w:rFonts w:ascii="仿宋" w:hAnsi="仿宋" w:eastAsia="仿宋" w:cs="仿宋"/>
                <w:sz w:val="32"/>
                <w:szCs w:val="32"/>
              </w:rPr>
              <w:t>79.96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执行数</w:t>
            </w:r>
            <w:r>
              <w:rPr>
                <w:rFonts w:ascii="仿宋" w:hAnsi="仿宋" w:eastAsia="仿宋" w:cs="仿宋"/>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ascii="仿宋" w:hAnsi="仿宋" w:eastAsia="仿宋" w:cs="仿宋"/>
                <w:sz w:val="32"/>
                <w:szCs w:val="32"/>
              </w:rPr>
              <w:t>79.96</w:t>
            </w:r>
          </w:p>
        </w:tc>
      </w:tr>
      <w:tr>
        <w:tblPrEx>
          <w:tblCellMar>
            <w:top w:w="0" w:type="dxa"/>
            <w:left w:w="0" w:type="dxa"/>
            <w:bottom w:w="0" w:type="dxa"/>
            <w:right w:w="0" w:type="dxa"/>
          </w:tblCellMar>
        </w:tblPrEx>
        <w:trPr>
          <w:trHeight w:val="111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32"/>
                <w:szCs w:val="32"/>
              </w:rPr>
            </w:pP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其中</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w:t>
            </w:r>
            <w:r>
              <w:rPr>
                <w:rFonts w:ascii="仿宋" w:hAnsi="仿宋" w:eastAsia="仿宋" w:cs="仿宋"/>
                <w:color w:val="000000"/>
                <w:kern w:val="0"/>
                <w:sz w:val="32"/>
                <w:szCs w:val="32"/>
              </w:rPr>
              <w:t>:</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FF0000"/>
                <w:sz w:val="32"/>
                <w:szCs w:val="32"/>
              </w:rPr>
            </w:pPr>
            <w:r>
              <w:rPr>
                <w:rFonts w:ascii="仿宋" w:hAnsi="仿宋" w:eastAsia="仿宋" w:cs="仿宋"/>
                <w:sz w:val="32"/>
                <w:szCs w:val="32"/>
              </w:rPr>
              <w:t>79.96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其中</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w:t>
            </w:r>
            <w:r>
              <w:rPr>
                <w:rFonts w:ascii="仿宋" w:hAnsi="仿宋" w:eastAsia="仿宋" w:cs="仿宋"/>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ascii="仿宋" w:hAnsi="仿宋" w:eastAsia="仿宋" w:cs="仿宋"/>
                <w:sz w:val="32"/>
                <w:szCs w:val="32"/>
              </w:rPr>
              <w:t>79.96</w:t>
            </w:r>
          </w:p>
        </w:tc>
      </w:tr>
      <w:tr>
        <w:tblPrEx>
          <w:tblCellMar>
            <w:top w:w="0" w:type="dxa"/>
            <w:left w:w="0" w:type="dxa"/>
            <w:bottom w:w="0" w:type="dxa"/>
            <w:right w:w="0" w:type="dxa"/>
          </w:tblCellMar>
        </w:tblPrEx>
        <w:trPr>
          <w:trHeight w:val="112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32"/>
                <w:szCs w:val="32"/>
              </w:rPr>
            </w:pP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其它资金</w:t>
            </w:r>
            <w:r>
              <w:rPr>
                <w:rFonts w:ascii="仿宋" w:hAnsi="仿宋" w:eastAsia="仿宋" w:cs="仿宋"/>
                <w:color w:val="000000"/>
                <w:kern w:val="0"/>
                <w:sz w:val="32"/>
                <w:szCs w:val="32"/>
              </w:rPr>
              <w:t>:</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ascii="仿宋" w:hAnsi="仿宋" w:eastAsia="仿宋" w:cs="仿宋"/>
                <w:color w:val="000000"/>
                <w:sz w:val="32"/>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其它资金</w:t>
            </w:r>
            <w:r>
              <w:rPr>
                <w:rFonts w:ascii="仿宋" w:hAnsi="仿宋" w:eastAsia="仿宋" w:cs="仿宋"/>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32"/>
                <w:szCs w:val="32"/>
              </w:rPr>
            </w:pPr>
            <w:r>
              <w:rPr>
                <w:rFonts w:ascii="仿宋" w:hAnsi="仿宋" w:eastAsia="仿宋" w:cs="仿宋"/>
                <w:color w:val="000000"/>
                <w:sz w:val="32"/>
                <w:szCs w:val="32"/>
              </w:rPr>
              <w:t>0</w:t>
            </w:r>
          </w:p>
        </w:tc>
      </w:tr>
      <w:tr>
        <w:tblPrEx>
          <w:tblCellMar>
            <w:top w:w="0" w:type="dxa"/>
            <w:left w:w="0" w:type="dxa"/>
            <w:bottom w:w="0" w:type="dxa"/>
            <w:right w:w="0" w:type="dxa"/>
          </w:tblCellMar>
        </w:tblPrEx>
        <w:trPr>
          <w:trHeight w:val="952"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年度目标完成情况</w:t>
            </w:r>
          </w:p>
        </w:tc>
        <w:tc>
          <w:tcPr>
            <w:tcW w:w="43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实际完成目标</w:t>
            </w:r>
          </w:p>
        </w:tc>
      </w:tr>
      <w:tr>
        <w:tblPrEx>
          <w:tblCellMar>
            <w:top w:w="0" w:type="dxa"/>
            <w:left w:w="0" w:type="dxa"/>
            <w:bottom w:w="0" w:type="dxa"/>
            <w:right w:w="0" w:type="dxa"/>
          </w:tblCellMar>
        </w:tblPrEx>
        <w:trPr>
          <w:trHeight w:val="115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32"/>
                <w:szCs w:val="32"/>
              </w:rPr>
            </w:pPr>
          </w:p>
        </w:tc>
        <w:tc>
          <w:tcPr>
            <w:tcW w:w="43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预计投入</w:t>
            </w:r>
            <w:r>
              <w:rPr>
                <w:rFonts w:ascii="仿宋" w:hAnsi="仿宋" w:eastAsia="仿宋" w:cs="仿宋"/>
                <w:sz w:val="32"/>
                <w:szCs w:val="32"/>
              </w:rPr>
              <w:t>79.96</w:t>
            </w:r>
            <w:r>
              <w:rPr>
                <w:rFonts w:hint="eastAsia" w:ascii="仿宋" w:hAnsi="仿宋" w:eastAsia="仿宋" w:cs="仿宋"/>
                <w:color w:val="000000"/>
                <w:sz w:val="32"/>
                <w:szCs w:val="32"/>
              </w:rPr>
              <w:t>万，涉及</w:t>
            </w:r>
            <w:r>
              <w:rPr>
                <w:rFonts w:ascii="仿宋" w:hAnsi="仿宋" w:eastAsia="仿宋" w:cs="仿宋"/>
                <w:color w:val="000000"/>
                <w:sz w:val="32"/>
                <w:szCs w:val="32"/>
              </w:rPr>
              <w:t>1</w:t>
            </w:r>
            <w:r>
              <w:rPr>
                <w:rFonts w:hint="eastAsia" w:ascii="仿宋" w:hAnsi="仿宋" w:eastAsia="仿宋" w:cs="仿宋"/>
                <w:color w:val="000000"/>
                <w:sz w:val="32"/>
                <w:szCs w:val="32"/>
              </w:rPr>
              <w:t>个项目，保障学校正常运转，完成校园文化建设等工作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32"/>
                <w:szCs w:val="32"/>
              </w:rPr>
            </w:pPr>
            <w:r>
              <w:rPr>
                <w:rFonts w:hint="eastAsia" w:ascii="仿宋" w:hAnsi="仿宋" w:eastAsia="仿宋" w:cs="仿宋"/>
                <w:color w:val="000000"/>
                <w:sz w:val="32"/>
                <w:szCs w:val="32"/>
              </w:rPr>
              <w:t>全年执行</w:t>
            </w:r>
            <w:r>
              <w:rPr>
                <w:rFonts w:ascii="仿宋" w:hAnsi="仿宋" w:eastAsia="仿宋" w:cs="仿宋"/>
                <w:sz w:val="32"/>
                <w:szCs w:val="32"/>
              </w:rPr>
              <w:t>79.96</w:t>
            </w:r>
            <w:r>
              <w:rPr>
                <w:rFonts w:hint="eastAsia" w:ascii="仿宋" w:hAnsi="仿宋" w:eastAsia="仿宋" w:cs="仿宋"/>
                <w:color w:val="000000"/>
                <w:sz w:val="32"/>
                <w:szCs w:val="32"/>
              </w:rPr>
              <w:t>万，涉及</w:t>
            </w:r>
            <w:r>
              <w:rPr>
                <w:rFonts w:ascii="仿宋" w:hAnsi="仿宋" w:eastAsia="仿宋" w:cs="仿宋"/>
                <w:color w:val="000000"/>
                <w:sz w:val="32"/>
                <w:szCs w:val="32"/>
              </w:rPr>
              <w:t>1</w:t>
            </w:r>
            <w:r>
              <w:rPr>
                <w:rFonts w:hint="eastAsia" w:ascii="仿宋" w:hAnsi="仿宋" w:eastAsia="仿宋" w:cs="仿宋"/>
                <w:color w:val="000000"/>
                <w:sz w:val="32"/>
                <w:szCs w:val="32"/>
              </w:rPr>
              <w:t>个项目，保障了学校工作正常运转，完成了各项教育教学工作</w:t>
            </w:r>
          </w:p>
        </w:tc>
      </w:tr>
      <w:tr>
        <w:tblPrEx>
          <w:tblCellMar>
            <w:top w:w="0" w:type="dxa"/>
            <w:left w:w="0" w:type="dxa"/>
            <w:bottom w:w="0" w:type="dxa"/>
            <w:right w:w="0" w:type="dxa"/>
          </w:tblCellMar>
        </w:tblPrEx>
        <w:trPr>
          <w:trHeight w:val="1042" w:hRule="atLeast"/>
          <w:jc w:val="center"/>
        </w:trPr>
        <w:tc>
          <w:tcPr>
            <w:tcW w:w="78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一级指标</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二级指标</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预期指标值</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包含数字及文字描述</w:t>
            </w:r>
            <w:r>
              <w:rPr>
                <w:rFonts w:ascii="仿宋" w:hAnsi="仿宋" w:eastAsia="仿宋" w:cs="仿宋"/>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实际完成指标值</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包含数字及文字描述</w:t>
            </w:r>
            <w:r>
              <w:rPr>
                <w:rFonts w:ascii="仿宋" w:hAnsi="仿宋" w:eastAsia="仿宋" w:cs="仿宋"/>
                <w:color w:val="000000"/>
                <w:kern w:val="0"/>
                <w:sz w:val="32"/>
                <w:szCs w:val="32"/>
              </w:rPr>
              <w:t>)</w:t>
            </w:r>
          </w:p>
        </w:tc>
      </w:tr>
      <w:tr>
        <w:trPr>
          <w:trHeight w:val="953" w:hRule="atLeast"/>
          <w:jc w:val="center"/>
        </w:trPr>
        <w:tc>
          <w:tcPr>
            <w:tcW w:w="78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产出指标</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数量指标</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在校学生人数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32"/>
                <w:szCs w:val="32"/>
              </w:rPr>
            </w:pPr>
            <w:r>
              <w:rPr>
                <w:rFonts w:ascii="仿宋" w:hAnsi="仿宋" w:eastAsia="仿宋" w:cs="仿宋"/>
                <w:color w:val="000000"/>
                <w:sz w:val="32"/>
                <w:szCs w:val="32"/>
              </w:rPr>
              <w:t xml:space="preserve">      736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ascii="仿宋" w:hAnsi="仿宋" w:eastAsia="仿宋" w:cs="仿宋"/>
                <w:color w:val="000000"/>
                <w:sz w:val="32"/>
                <w:szCs w:val="32"/>
              </w:rPr>
              <w:t>736</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96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32"/>
                <w:szCs w:val="32"/>
              </w:rPr>
            </w:pPr>
            <w:r>
              <w:rPr>
                <w:rFonts w:hint="eastAsia" w:ascii="仿宋" w:hAnsi="仿宋" w:eastAsia="仿宋" w:cs="仿宋"/>
                <w:color w:val="000000"/>
                <w:sz w:val="32"/>
                <w:szCs w:val="32"/>
              </w:rPr>
              <w:t>成本指标</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项目预算成本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79.96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960" w:firstLineChars="300"/>
              <w:textAlignment w:val="center"/>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79.96</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96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质量指标</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校园安全率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ascii="仿宋" w:hAnsi="仿宋" w:eastAsia="仿宋" w:cs="仿宋"/>
                <w:color w:val="000000"/>
                <w:sz w:val="32"/>
                <w:szCs w:val="32"/>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ascii="仿宋" w:hAnsi="仿宋" w:eastAsia="仿宋" w:cs="仿宋"/>
                <w:color w:val="000000"/>
                <w:sz w:val="32"/>
                <w:szCs w:val="32"/>
              </w:rPr>
              <w:t>100%</w:t>
            </w:r>
          </w:p>
        </w:tc>
      </w:tr>
      <w:tr>
        <w:tblPrEx>
          <w:tblCellMar>
            <w:top w:w="0" w:type="dxa"/>
            <w:left w:w="0" w:type="dxa"/>
            <w:bottom w:w="0" w:type="dxa"/>
            <w:right w:w="0" w:type="dxa"/>
          </w:tblCellMar>
        </w:tblPrEx>
        <w:trPr>
          <w:trHeight w:val="1055" w:hRule="atLeast"/>
          <w:jc w:val="center"/>
        </w:trPr>
        <w:tc>
          <w:tcPr>
            <w:tcW w:w="78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96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质量指标</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教师师资力量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持续提升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持续提升</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32"/>
                <w:szCs w:val="32"/>
              </w:rPr>
            </w:pPr>
            <w:r>
              <w:rPr>
                <w:rFonts w:hint="eastAsia" w:ascii="仿宋" w:hAnsi="仿宋" w:eastAsia="仿宋" w:cs="仿宋"/>
                <w:color w:val="000000"/>
                <w:sz w:val="32"/>
                <w:szCs w:val="32"/>
              </w:rPr>
              <w:t>时效指标</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项目完成是否在计划时间内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效益指标</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可持续影响</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是否能带来有力可持续影响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满意度指标</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满意度指标</w:t>
            </w:r>
          </w:p>
        </w:tc>
        <w:tc>
          <w:tcPr>
            <w:tcW w:w="2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学生家长满意度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ascii="仿宋" w:hAnsi="仿宋" w:eastAsia="仿宋" w:cs="仿宋"/>
                <w:color w:val="000000"/>
                <w:sz w:val="32"/>
                <w:szCs w:val="32"/>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ascii="仿宋" w:hAnsi="仿宋" w:eastAsia="仿宋" w:cs="仿宋"/>
                <w:color w:val="000000"/>
                <w:sz w:val="32"/>
                <w:szCs w:val="32"/>
              </w:rPr>
              <w:t>100%</w:t>
            </w:r>
          </w:p>
        </w:tc>
      </w:tr>
    </w:tbl>
    <w:p>
      <w:pPr>
        <w:spacing w:line="580" w:lineRule="exact"/>
        <w:ind w:firstLine="640" w:firstLineChars="200"/>
        <w:rPr>
          <w:rFonts w:ascii="仿宋" w:hAnsi="仿宋" w:eastAsia="仿宋" w:cs="仿宋"/>
          <w:color w:val="000000"/>
          <w:sz w:val="32"/>
          <w:szCs w:val="32"/>
        </w:rPr>
      </w:pPr>
    </w:p>
    <w:p>
      <w:pPr>
        <w:spacing w:line="580" w:lineRule="exact"/>
        <w:rPr>
          <w:rFonts w:ascii="仿宋_GB2312" w:hAnsi="仿宋_GB2312" w:eastAsia="仿宋_GB2312" w:cs="仿宋_GB2312"/>
          <w:sz w:val="32"/>
          <w:szCs w:val="32"/>
        </w:rPr>
      </w:pPr>
    </w:p>
    <w:p>
      <w:pPr>
        <w:spacing w:line="580" w:lineRule="exact"/>
        <w:ind w:left="63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部门绩效评价结果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本部门按要求对</w:t>
      </w:r>
      <w:r>
        <w:rPr>
          <w:rFonts w:ascii="仿宋" w:hAnsi="仿宋" w:eastAsia="仿宋" w:cs="仿宋"/>
          <w:sz w:val="32"/>
          <w:szCs w:val="32"/>
        </w:rPr>
        <w:t>2020</w:t>
      </w:r>
      <w:r>
        <w:rPr>
          <w:rFonts w:hint="eastAsia" w:ascii="仿宋" w:hAnsi="仿宋" w:eastAsia="仿宋" w:cs="仿宋"/>
          <w:sz w:val="32"/>
          <w:szCs w:val="32"/>
        </w:rPr>
        <w:t>年部门整体支出绩效评价情况开展自评，《乐山市五通桥区竹根镇竹根初级中学部门</w:t>
      </w:r>
      <w:r>
        <w:rPr>
          <w:rFonts w:ascii="仿宋" w:hAnsi="仿宋" w:eastAsia="仿宋" w:cs="仿宋"/>
          <w:sz w:val="32"/>
          <w:szCs w:val="32"/>
        </w:rPr>
        <w:t>2020</w:t>
      </w:r>
      <w:r>
        <w:rPr>
          <w:rFonts w:hint="eastAsia" w:ascii="仿宋" w:hAnsi="仿宋" w:eastAsia="仿宋" w:cs="仿宋"/>
          <w:sz w:val="32"/>
          <w:szCs w:val="32"/>
        </w:rPr>
        <w:t>年部门整体支出绩效评价报告》见附件（附件</w:t>
      </w:r>
      <w:r>
        <w:rPr>
          <w:rFonts w:ascii="仿宋" w:hAnsi="仿宋" w:eastAsia="仿宋" w:cs="仿宋"/>
          <w:sz w:val="32"/>
          <w:szCs w:val="32"/>
        </w:rPr>
        <w:t>1</w:t>
      </w:r>
      <w:r>
        <w:rPr>
          <w:rFonts w:hint="eastAsia" w:ascii="仿宋" w:hAnsi="仿宋" w:eastAsia="仿宋" w:cs="仿宋"/>
          <w:sz w:val="32"/>
          <w:szCs w:val="32"/>
        </w:rPr>
        <w:t>）。</w:t>
      </w:r>
    </w:p>
    <w:p>
      <w:pPr>
        <w:spacing w:line="580" w:lineRule="exact"/>
        <w:ind w:firstLine="640" w:firstLineChars="200"/>
        <w:rPr>
          <w:rFonts w:ascii="仿宋" w:hAnsi="仿宋" w:eastAsia="仿宋" w:cs="仿宋"/>
          <w:b/>
          <w:color w:val="000000"/>
          <w:sz w:val="32"/>
          <w:szCs w:val="32"/>
        </w:rPr>
      </w:pPr>
      <w:r>
        <w:rPr>
          <w:rFonts w:hint="eastAsia" w:ascii="仿宋" w:hAnsi="仿宋" w:eastAsia="仿宋" w:cs="仿宋"/>
          <w:sz w:val="32"/>
          <w:szCs w:val="32"/>
        </w:rPr>
        <w:t>本部门自行组织对生均公用经费项目开展了绩效评价，《生均公用经费项目</w:t>
      </w:r>
      <w:r>
        <w:rPr>
          <w:rFonts w:ascii="仿宋" w:hAnsi="仿宋" w:eastAsia="仿宋" w:cs="仿宋"/>
          <w:sz w:val="32"/>
          <w:szCs w:val="32"/>
        </w:rPr>
        <w:t>2020</w:t>
      </w:r>
      <w:r>
        <w:rPr>
          <w:rFonts w:hint="eastAsia" w:ascii="仿宋" w:hAnsi="仿宋" w:eastAsia="仿宋" w:cs="仿宋"/>
          <w:sz w:val="32"/>
          <w:szCs w:val="32"/>
        </w:rPr>
        <w:t>年绩效评价报告》见附件（附件</w:t>
      </w:r>
      <w:r>
        <w:rPr>
          <w:rFonts w:ascii="仿宋" w:hAnsi="仿宋" w:eastAsia="仿宋" w:cs="仿宋"/>
          <w:sz w:val="32"/>
          <w:szCs w:val="32"/>
        </w:rPr>
        <w:t>2</w:t>
      </w:r>
      <w:r>
        <w:rPr>
          <w:rFonts w:hint="eastAsia" w:ascii="仿宋" w:hAnsi="仿宋" w:eastAsia="仿宋" w:cs="仿宋"/>
          <w:sz w:val="32"/>
          <w:szCs w:val="32"/>
        </w:rPr>
        <w:t>）。</w:t>
      </w:r>
    </w:p>
    <w:p>
      <w:pPr>
        <w:widowControl/>
        <w:jc w:val="left"/>
        <w:rPr>
          <w:rFonts w:ascii="仿宋" w:hAnsi="仿宋" w:eastAsia="仿宋" w:cs="仿宋"/>
          <w:b/>
          <w:color w:val="000000"/>
          <w:sz w:val="32"/>
          <w:szCs w:val="32"/>
        </w:rPr>
      </w:pPr>
    </w:p>
    <w:p>
      <w:pPr>
        <w:widowControl/>
        <w:jc w:val="left"/>
        <w:rPr>
          <w:rFonts w:ascii="仿宋" w:hAnsi="仿宋" w:eastAsia="仿宋" w:cs="仿宋"/>
          <w:b/>
          <w:color w:val="000000"/>
          <w:sz w:val="32"/>
          <w:szCs w:val="32"/>
        </w:rPr>
      </w:pPr>
    </w:p>
    <w:p>
      <w:pPr>
        <w:widowControl/>
        <w:jc w:val="left"/>
        <w:rPr>
          <w:rFonts w:ascii="仿宋" w:hAnsi="仿宋" w:eastAsia="仿宋" w:cs="仿宋"/>
          <w:b/>
          <w:color w:val="000000"/>
          <w:sz w:val="32"/>
          <w:szCs w:val="32"/>
        </w:rPr>
      </w:pPr>
    </w:p>
    <w:p>
      <w:pPr>
        <w:widowControl/>
        <w:jc w:val="left"/>
        <w:rPr>
          <w:rFonts w:ascii="仿宋" w:hAnsi="仿宋" w:eastAsia="仿宋" w:cs="仿宋"/>
          <w:b/>
          <w:color w:val="000000"/>
          <w:sz w:val="32"/>
          <w:szCs w:val="32"/>
        </w:rPr>
      </w:pPr>
    </w:p>
    <w:p>
      <w:pPr>
        <w:numPr>
          <w:ilvl w:val="0"/>
          <w:numId w:val="3"/>
        </w:numPr>
        <w:spacing w:line="600" w:lineRule="exact"/>
        <w:ind w:firstLine="660" w:firstLineChars="150"/>
        <w:jc w:val="center"/>
        <w:outlineLvl w:val="0"/>
        <w:rPr>
          <w:rStyle w:val="14"/>
          <w:rFonts w:ascii="黑体" w:hAnsi="黑体" w:eastAsia="黑体"/>
          <w:b w:val="0"/>
        </w:rPr>
      </w:pPr>
      <w:bookmarkStart w:id="87" w:name="_Toc15396613"/>
      <w:bookmarkStart w:id="88" w:name="_Toc3619"/>
      <w:bookmarkStart w:id="89" w:name="_Toc15377225"/>
      <w:r>
        <w:rPr>
          <w:rFonts w:hint="eastAsia" w:ascii="黑体" w:hAnsi="黑体" w:eastAsia="黑体"/>
          <w:color w:val="000000"/>
          <w:sz w:val="44"/>
          <w:szCs w:val="44"/>
        </w:rPr>
        <w:t>名</w:t>
      </w:r>
      <w:r>
        <w:rPr>
          <w:rStyle w:val="14"/>
          <w:rFonts w:hint="eastAsia" w:ascii="黑体" w:hAnsi="黑体" w:eastAsia="黑体"/>
          <w:b w:val="0"/>
        </w:rPr>
        <w:t>词解释</w:t>
      </w:r>
      <w:bookmarkEnd w:id="87"/>
      <w:bookmarkEnd w:id="88"/>
      <w:bookmarkEnd w:id="89"/>
    </w:p>
    <w:p>
      <w:pPr>
        <w:spacing w:line="600" w:lineRule="exact"/>
        <w:jc w:val="left"/>
        <w:rPr>
          <w:rFonts w:ascii="宋体"/>
          <w:b/>
          <w:color w:val="000000"/>
          <w:sz w:val="44"/>
          <w:szCs w:val="44"/>
        </w:rPr>
      </w:pPr>
    </w:p>
    <w:p>
      <w:pPr>
        <w:pStyle w:val="21"/>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1"/>
        <w:spacing w:line="560" w:lineRule="exact"/>
        <w:ind w:firstLine="640" w:firstLineChars="200"/>
        <w:rPr>
          <w:rFonts w:hAnsi="仿宋"/>
          <w:sz w:val="32"/>
          <w:szCs w:val="32"/>
        </w:rPr>
      </w:pPr>
      <w:r>
        <w:rPr>
          <w:rFonts w:hAnsi="仿宋"/>
          <w:sz w:val="32"/>
          <w:szCs w:val="32"/>
        </w:rPr>
        <w:t>2.</w:t>
      </w:r>
      <w:r>
        <w:rPr>
          <w:rFonts w:hint="eastAsia" w:hAnsi="仿宋"/>
          <w:sz w:val="32"/>
          <w:szCs w:val="32"/>
        </w:rPr>
        <w:t>其他收入：指单位取得的除上述收入以外的各项收入。主要是利息收入等。</w:t>
      </w:r>
      <w:r>
        <w:rPr>
          <w:rFonts w:hAnsi="仿宋"/>
          <w:sz w:val="32"/>
          <w:szCs w:val="32"/>
        </w:rPr>
        <w:t xml:space="preserve"> </w:t>
      </w:r>
    </w:p>
    <w:p>
      <w:pPr>
        <w:pStyle w:val="21"/>
        <w:spacing w:line="560" w:lineRule="exact"/>
        <w:ind w:firstLine="640" w:firstLineChars="200"/>
        <w:rPr>
          <w:rFonts w:hAnsi="仿宋"/>
          <w:sz w:val="32"/>
          <w:szCs w:val="32"/>
        </w:rPr>
      </w:pPr>
      <w:r>
        <w:rPr>
          <w:rFonts w:hAnsi="仿宋"/>
          <w:sz w:val="32"/>
          <w:szCs w:val="32"/>
        </w:rPr>
        <w:t>3.</w:t>
      </w:r>
      <w:r>
        <w:rPr>
          <w:rFonts w:hint="eastAsia" w:hAnsi="仿宋"/>
          <w:sz w:val="32"/>
          <w:szCs w:val="32"/>
        </w:rPr>
        <w:t>使用非财政拨款结余：指事业单位使用以前年度积累的非财政拨款结余弥补当年收支差额的金额。</w:t>
      </w:r>
      <w:r>
        <w:rPr>
          <w:rFonts w:hAnsi="仿宋"/>
          <w:sz w:val="32"/>
          <w:szCs w:val="32"/>
        </w:rPr>
        <w:t xml:space="preserve"> </w:t>
      </w:r>
    </w:p>
    <w:p>
      <w:pPr>
        <w:pStyle w:val="21"/>
        <w:spacing w:line="560" w:lineRule="exact"/>
        <w:ind w:firstLine="640" w:firstLineChars="200"/>
        <w:rPr>
          <w:rFonts w:hAnsi="仿宋"/>
          <w:sz w:val="32"/>
          <w:szCs w:val="32"/>
        </w:rPr>
      </w:pPr>
      <w:r>
        <w:rPr>
          <w:rFonts w:hAnsi="仿宋"/>
          <w:sz w:val="32"/>
          <w:szCs w:val="32"/>
        </w:rPr>
        <w:t>4.</w:t>
      </w:r>
      <w:r>
        <w:rPr>
          <w:rFonts w:hint="eastAsia" w:hAnsi="仿宋"/>
          <w:sz w:val="32"/>
          <w:szCs w:val="32"/>
        </w:rPr>
        <w:t>年初结转和结余：指以前年度尚未完成、结转到本年按有关规定继续使用的资金。</w:t>
      </w:r>
      <w:r>
        <w:rPr>
          <w:rFonts w:hAnsi="仿宋"/>
          <w:sz w:val="32"/>
          <w:szCs w:val="32"/>
        </w:rPr>
        <w:t xml:space="preserve"> </w:t>
      </w:r>
    </w:p>
    <w:p>
      <w:pPr>
        <w:pStyle w:val="21"/>
        <w:spacing w:line="560" w:lineRule="exact"/>
        <w:ind w:firstLine="640" w:firstLineChars="200"/>
        <w:rPr>
          <w:rFonts w:hAnsi="仿宋"/>
          <w:sz w:val="32"/>
          <w:szCs w:val="32"/>
        </w:rPr>
      </w:pPr>
      <w:r>
        <w:rPr>
          <w:rFonts w:hAnsi="仿宋"/>
          <w:sz w:val="32"/>
          <w:szCs w:val="32"/>
        </w:rPr>
        <w:t>5.</w:t>
      </w:r>
      <w:r>
        <w:rPr>
          <w:rFonts w:hint="eastAsia" w:hAnsi="仿宋"/>
          <w:sz w:val="32"/>
          <w:szCs w:val="32"/>
        </w:rPr>
        <w:t>结余分配：指事业单位按照会计制度规定缴纳的所得税、提取的专用结余以及转入非财政拨款结余的金额等。</w:t>
      </w:r>
    </w:p>
    <w:p>
      <w:pPr>
        <w:pStyle w:val="21"/>
        <w:spacing w:line="560" w:lineRule="exact"/>
        <w:ind w:firstLine="640" w:firstLineChars="200"/>
        <w:rPr>
          <w:rFonts w:hAnsi="仿宋"/>
          <w:sz w:val="32"/>
          <w:szCs w:val="32"/>
        </w:rPr>
      </w:pPr>
      <w:r>
        <w:rPr>
          <w:rFonts w:hAnsi="仿宋"/>
          <w:sz w:val="32"/>
          <w:szCs w:val="32"/>
        </w:rPr>
        <w:t>6</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s="仿宋"/>
          <w:color w:val="000000"/>
          <w:sz w:val="32"/>
          <w:szCs w:val="32"/>
        </w:rPr>
      </w:pPr>
      <w:bookmarkStart w:id="90" w:name="_Toc15396614"/>
      <w:bookmarkStart w:id="91" w:name="_Toc15377226"/>
      <w:r>
        <w:rPr>
          <w:rFonts w:ascii="仿宋" w:hAnsi="仿宋" w:eastAsia="仿宋" w:cs="仿宋"/>
          <w:color w:val="000000"/>
          <w:sz w:val="32"/>
          <w:szCs w:val="32"/>
        </w:rPr>
        <w:t>7.</w:t>
      </w:r>
      <w:r>
        <w:rPr>
          <w:rFonts w:hint="eastAsia" w:ascii="仿宋" w:hAnsi="仿宋" w:eastAsia="仿宋" w:cs="仿宋"/>
          <w:color w:val="000000"/>
          <w:sz w:val="32"/>
          <w:szCs w:val="32"/>
        </w:rPr>
        <w:t>教育（类）普通教育（款）初中教育（项）：指反映各部门举办的初中教育支出。政府各部门对社会中介</w:t>
      </w:r>
      <w:r>
        <w:rPr>
          <w:rFonts w:ascii="仿宋" w:hAnsi="仿宋" w:eastAsia="仿宋" w:cs="仿宋"/>
          <w:color w:val="000000"/>
          <w:sz w:val="32"/>
          <w:szCs w:val="32"/>
        </w:rPr>
        <w:t xml:space="preserve"> </w:t>
      </w:r>
      <w:r>
        <w:rPr>
          <w:rFonts w:hint="eastAsia" w:ascii="仿宋" w:hAnsi="仿宋" w:eastAsia="仿宋" w:cs="仿宋"/>
          <w:color w:val="000000"/>
          <w:sz w:val="32"/>
          <w:szCs w:val="32"/>
        </w:rPr>
        <w:t>组织等举办的初中教育的资助，如捐赠、补贴等，也在本科</w:t>
      </w:r>
      <w:r>
        <w:rPr>
          <w:rFonts w:ascii="仿宋" w:hAnsi="仿宋" w:eastAsia="仿宋" w:cs="仿宋"/>
          <w:color w:val="000000"/>
          <w:sz w:val="32"/>
          <w:szCs w:val="32"/>
        </w:rPr>
        <w:t xml:space="preserve"> </w:t>
      </w:r>
      <w:r>
        <w:rPr>
          <w:rFonts w:hint="eastAsia" w:ascii="仿宋" w:hAnsi="仿宋" w:eastAsia="仿宋" w:cs="仿宋"/>
          <w:color w:val="000000"/>
          <w:sz w:val="32"/>
          <w:szCs w:val="32"/>
        </w:rPr>
        <w:t>目中反映。</w:t>
      </w:r>
    </w:p>
    <w:p>
      <w:pPr>
        <w:ind w:firstLine="640" w:firstLineChars="200"/>
        <w:rPr>
          <w:rFonts w:ascii="仿宋" w:hAnsi="仿宋" w:eastAsia="仿宋" w:cs="仿宋"/>
          <w:color w:val="000000"/>
          <w:sz w:val="32"/>
          <w:szCs w:val="32"/>
        </w:rPr>
      </w:pPr>
      <w:r>
        <w:rPr>
          <w:rFonts w:ascii="仿宋_GB2312" w:eastAsia="仿宋_GB2312"/>
          <w:color w:val="000000"/>
          <w:sz w:val="32"/>
          <w:szCs w:val="32"/>
        </w:rPr>
        <w:t>8.</w:t>
      </w:r>
      <w:r>
        <w:rPr>
          <w:rFonts w:hint="eastAsia" w:ascii="仿宋" w:hAnsi="仿宋" w:eastAsia="仿宋" w:cs="仿宋"/>
          <w:color w:val="000000"/>
          <w:sz w:val="32"/>
          <w:szCs w:val="32"/>
        </w:rPr>
        <w:t>社会保障和就业支出（类）行政事业单位养老支出（款）机关事业单位基本养老保险缴费支出（项）：指反映机关事业单位实施养老保险制度由单位缴纳的基本老保险费支出。</w:t>
      </w:r>
    </w:p>
    <w:p>
      <w:pPr>
        <w:ind w:firstLine="640" w:firstLineChars="200"/>
        <w:rPr>
          <w:rFonts w:ascii="仿宋" w:hAnsi="仿宋" w:eastAsia="仿宋" w:cs="仿宋"/>
          <w:color w:val="000000"/>
          <w:sz w:val="32"/>
          <w:szCs w:val="32"/>
        </w:rPr>
      </w:pPr>
      <w:r>
        <w:rPr>
          <w:rFonts w:ascii="仿宋_GB2312" w:eastAsia="仿宋_GB2312"/>
          <w:color w:val="000000"/>
          <w:sz w:val="32"/>
          <w:szCs w:val="32"/>
        </w:rPr>
        <w:t>9.</w:t>
      </w:r>
      <w:r>
        <w:rPr>
          <w:rFonts w:hint="eastAsia" w:ascii="仿宋" w:hAnsi="仿宋" w:eastAsia="仿宋" w:cs="仿宋"/>
          <w:color w:val="000000"/>
          <w:sz w:val="32"/>
          <w:szCs w:val="32"/>
        </w:rPr>
        <w:t>社会保障和就业支出（类）行政事业单位养老支出（款）机关事业单位职业年金缴费支出（项）：指反映机关事业单位实施养老保险制度由单位实际缴纳的业年金支出。</w:t>
      </w:r>
    </w:p>
    <w:p>
      <w:pPr>
        <w:ind w:firstLine="640" w:firstLineChars="200"/>
        <w:rPr>
          <w:rFonts w:ascii="仿宋" w:hAnsi="仿宋" w:eastAsia="仿宋" w:cs="仿宋"/>
          <w:color w:val="000000"/>
          <w:sz w:val="32"/>
          <w:szCs w:val="32"/>
        </w:rPr>
      </w:pPr>
      <w:r>
        <w:rPr>
          <w:rFonts w:ascii="仿宋_GB2312" w:eastAsia="仿宋_GB2312"/>
          <w:color w:val="000000"/>
          <w:sz w:val="32"/>
          <w:szCs w:val="32"/>
        </w:rPr>
        <w:t>10.</w:t>
      </w:r>
      <w:r>
        <w:rPr>
          <w:rFonts w:hint="eastAsia" w:ascii="仿宋" w:hAnsi="仿宋" w:eastAsia="仿宋" w:cs="仿宋"/>
          <w:color w:val="000000"/>
          <w:sz w:val="32"/>
          <w:szCs w:val="32"/>
        </w:rPr>
        <w:t>社会保障和就业支出（类）行政事业单位养老支出（款）其他行政事业单位养老支出（项）：指反映除上述项目以外其他用于行政事业单位养老方面的支出。</w:t>
      </w:r>
    </w:p>
    <w:p>
      <w:pPr>
        <w:ind w:firstLine="640" w:firstLineChars="200"/>
        <w:rPr>
          <w:rFonts w:ascii="仿宋" w:hAnsi="仿宋" w:eastAsia="仿宋" w:cs="仿宋"/>
          <w:color w:val="000000"/>
          <w:sz w:val="32"/>
          <w:szCs w:val="32"/>
        </w:rPr>
      </w:pPr>
      <w:r>
        <w:rPr>
          <w:rFonts w:ascii="仿宋_GB2312" w:eastAsia="仿宋_GB2312"/>
          <w:color w:val="000000"/>
          <w:sz w:val="32"/>
          <w:szCs w:val="32"/>
        </w:rPr>
        <w:t>11.</w:t>
      </w:r>
      <w:r>
        <w:rPr>
          <w:rFonts w:hint="eastAsia" w:ascii="仿宋" w:hAnsi="仿宋" w:eastAsia="仿宋" w:cs="仿宋"/>
          <w:color w:val="000000"/>
          <w:sz w:val="32"/>
          <w:szCs w:val="32"/>
        </w:rPr>
        <w:t>卫生健康支出（类）行政事业单位医疗（款）事业单位医疗（项）：指反映财政部门安排的事业单位基本医疗保险缴费经费，未</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参加医疗保险的事业单位的公费医疗经费，按国家规定享受</w:t>
      </w:r>
      <w:r>
        <w:rPr>
          <w:rFonts w:ascii="仿宋" w:hAnsi="仿宋" w:eastAsia="仿宋" w:cs="仿宋"/>
          <w:color w:val="000000"/>
          <w:sz w:val="32"/>
          <w:szCs w:val="32"/>
        </w:rPr>
        <w:t xml:space="preserve"> </w:t>
      </w:r>
      <w:r>
        <w:rPr>
          <w:rFonts w:hint="eastAsia" w:ascii="仿宋" w:hAnsi="仿宋" w:eastAsia="仿宋" w:cs="仿宋"/>
          <w:color w:val="000000"/>
          <w:sz w:val="32"/>
          <w:szCs w:val="32"/>
        </w:rPr>
        <w:t>离休人员待遇的医疗经费。</w:t>
      </w:r>
    </w:p>
    <w:p>
      <w:pPr>
        <w:ind w:firstLine="640" w:firstLineChars="200"/>
        <w:rPr>
          <w:rFonts w:ascii="仿宋" w:hAnsi="仿宋" w:eastAsia="仿宋" w:cs="仿宋"/>
          <w:color w:val="000000"/>
          <w:sz w:val="32"/>
          <w:szCs w:val="32"/>
        </w:rPr>
      </w:pPr>
      <w:r>
        <w:rPr>
          <w:rFonts w:ascii="仿宋_GB2312" w:eastAsia="仿宋_GB2312"/>
          <w:color w:val="000000"/>
          <w:sz w:val="32"/>
          <w:szCs w:val="32"/>
        </w:rPr>
        <w:t>12.</w:t>
      </w:r>
      <w:r>
        <w:rPr>
          <w:rFonts w:hint="eastAsia" w:ascii="仿宋" w:hAnsi="仿宋" w:eastAsia="仿宋" w:cs="仿宋"/>
          <w:color w:val="000000"/>
          <w:sz w:val="32"/>
          <w:szCs w:val="32"/>
        </w:rPr>
        <w:t>住房保障支出（类）住房改革支出（款）住房公积金（项）：指反映行政事业单位按人力资源和社会保障部、财政部规定</w:t>
      </w:r>
      <w:r>
        <w:rPr>
          <w:rFonts w:ascii="仿宋" w:hAnsi="仿宋" w:eastAsia="仿宋" w:cs="仿宋"/>
          <w:color w:val="000000"/>
          <w:sz w:val="32"/>
          <w:szCs w:val="32"/>
        </w:rPr>
        <w:t xml:space="preserve"> </w:t>
      </w:r>
      <w:r>
        <w:rPr>
          <w:rFonts w:hint="eastAsia" w:ascii="仿宋" w:hAnsi="仿宋" w:eastAsia="仿宋" w:cs="仿宋"/>
          <w:color w:val="000000"/>
          <w:sz w:val="32"/>
          <w:szCs w:val="32"/>
        </w:rPr>
        <w:t>的基本工资和津贴补贴以及规定比例为职工缴纳的住房公</w:t>
      </w:r>
      <w:r>
        <w:rPr>
          <w:rFonts w:ascii="仿宋" w:hAnsi="仿宋" w:eastAsia="仿宋" w:cs="仿宋"/>
          <w:color w:val="000000"/>
          <w:sz w:val="32"/>
          <w:szCs w:val="32"/>
        </w:rPr>
        <w:t xml:space="preserve"> </w:t>
      </w:r>
      <w:r>
        <w:rPr>
          <w:rFonts w:hint="eastAsia" w:ascii="仿宋" w:hAnsi="仿宋" w:eastAsia="仿宋" w:cs="仿宋"/>
          <w:color w:val="000000"/>
          <w:sz w:val="32"/>
          <w:szCs w:val="32"/>
        </w:rPr>
        <w:t>积金。</w:t>
      </w:r>
    </w:p>
    <w:p>
      <w:pPr>
        <w:ind w:firstLine="640" w:firstLineChars="200"/>
        <w:rPr>
          <w:rFonts w:ascii="仿宋" w:hAnsi="仿宋" w:eastAsia="仿宋" w:cs="仿宋"/>
          <w:color w:val="000000"/>
          <w:sz w:val="32"/>
          <w:szCs w:val="32"/>
        </w:rPr>
      </w:pPr>
      <w:r>
        <w:rPr>
          <w:rFonts w:ascii="仿宋" w:hAnsi="仿宋" w:eastAsia="仿宋" w:cs="仿宋"/>
          <w:color w:val="000000"/>
          <w:sz w:val="32"/>
          <w:szCs w:val="32"/>
        </w:rPr>
        <w:t>13.</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ascii="仿宋" w:hAnsi="仿宋" w:eastAsia="仿宋" w:cs="仿宋"/>
          <w:color w:val="000000"/>
          <w:sz w:val="32"/>
          <w:szCs w:val="32"/>
        </w:rPr>
      </w:pPr>
      <w:r>
        <w:rPr>
          <w:rFonts w:ascii="仿宋" w:hAnsi="仿宋" w:eastAsia="仿宋" w:cs="仿宋"/>
          <w:color w:val="000000"/>
          <w:sz w:val="32"/>
          <w:szCs w:val="32"/>
        </w:rPr>
        <w:t>14.</w:t>
      </w:r>
      <w:r>
        <w:rPr>
          <w:rFonts w:hint="eastAsia" w:ascii="仿宋" w:hAnsi="仿宋" w:eastAsia="仿宋" w:cs="仿宋"/>
          <w:color w:val="000000"/>
          <w:sz w:val="32"/>
          <w:szCs w:val="32"/>
        </w:rPr>
        <w:t>项目支出：指在基本支出之外为完成特定行政任务和事业发展目标所发生的支出。</w:t>
      </w:r>
      <w:r>
        <w:rPr>
          <w:rFonts w:ascii="仿宋" w:hAnsi="仿宋" w:eastAsia="仿宋" w:cs="仿宋"/>
          <w:color w:val="000000"/>
          <w:sz w:val="32"/>
          <w:szCs w:val="32"/>
        </w:rPr>
        <w:t xml:space="preserve"> </w:t>
      </w:r>
    </w:p>
    <w:p>
      <w:pPr>
        <w:pStyle w:val="21"/>
        <w:spacing w:line="560" w:lineRule="exact"/>
        <w:ind w:firstLine="640" w:firstLineChars="200"/>
        <w:rPr>
          <w:rFonts w:hAnsi="仿宋"/>
          <w:sz w:val="32"/>
          <w:szCs w:val="32"/>
        </w:rPr>
      </w:pPr>
      <w:r>
        <w:rPr>
          <w:rFonts w:hAnsi="仿宋"/>
          <w:sz w:val="32"/>
          <w:szCs w:val="32"/>
        </w:rPr>
        <w:t>15.</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bookmarkStart w:id="92" w:name="_Toc13107"/>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90"/>
      <w:bookmarkEnd w:id="92"/>
    </w:p>
    <w:p>
      <w:pPr>
        <w:spacing w:line="600" w:lineRule="exact"/>
        <w:jc w:val="left"/>
        <w:outlineLvl w:val="0"/>
        <w:rPr>
          <w:rFonts w:ascii="方正小标宋简体" w:hAnsi="方正小标宋简体" w:eastAsia="方正小标宋简体" w:cs="方正小标宋简体"/>
          <w:sz w:val="32"/>
          <w:szCs w:val="32"/>
        </w:rPr>
      </w:pPr>
      <w:bookmarkStart w:id="93" w:name="_Toc848"/>
      <w:r>
        <w:rPr>
          <w:rFonts w:hint="eastAsia" w:ascii="黑体" w:hAnsi="黑体" w:eastAsia="黑体" w:cs="黑体"/>
          <w:sz w:val="32"/>
          <w:szCs w:val="32"/>
        </w:rPr>
        <w:t>附件</w:t>
      </w:r>
      <w:r>
        <w:rPr>
          <w:rFonts w:ascii="黑体" w:hAnsi="黑体" w:eastAsia="黑体" w:cs="黑体"/>
          <w:sz w:val="32"/>
          <w:szCs w:val="32"/>
        </w:rPr>
        <w:t>1</w:t>
      </w:r>
      <w:bookmarkEnd w:id="93"/>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乐山市五通桥区竹根镇竹根初级中学</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ind w:firstLine="640" w:firstLineChars="200"/>
        <w:rPr>
          <w:rFonts w:ascii="仿宋" w:hAnsi="仿宋" w:eastAsia="仿宋" w:cs="仿宋"/>
          <w:sz w:val="32"/>
          <w:szCs w:val="32"/>
        </w:rPr>
      </w:pPr>
      <w:r>
        <w:rPr>
          <w:rFonts w:hint="eastAsia" w:ascii="仿宋" w:hAnsi="仿宋" w:eastAsia="仿宋" w:cs="仿宋"/>
          <w:sz w:val="32"/>
          <w:szCs w:val="32"/>
        </w:rPr>
        <w:t>乐山市五通桥区竹根镇竹根初级中学设置学校办公室、教务处、政教处、总务处、教科室。</w:t>
      </w:r>
    </w:p>
    <w:p>
      <w:pPr>
        <w:widowControl/>
        <w:numPr>
          <w:ilvl w:val="0"/>
          <w:numId w:val="4"/>
        </w:numPr>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640" w:firstLineChars="200"/>
        <w:rPr>
          <w:rFonts w:ascii="仿宋_GB2312" w:eastAsia="仿宋_GB2312"/>
          <w:sz w:val="30"/>
          <w:szCs w:val="30"/>
        </w:rPr>
      </w:pPr>
      <w:r>
        <w:rPr>
          <w:rFonts w:hint="eastAsia" w:ascii="仿宋" w:hAnsi="仿宋" w:eastAsia="仿宋" w:cs="仿宋"/>
          <w:sz w:val="32"/>
          <w:szCs w:val="32"/>
        </w:rPr>
        <w:t>乐山市五通桥区竹根镇竹根初级中学实施初中义务教育促进基础教育发展，初中学历教育。贯彻执行学校党支部和行政会的决定，服务部门、服务教育教学，做好管理和服务的各项相关工作</w:t>
      </w:r>
      <w:r>
        <w:rPr>
          <w:rFonts w:hint="eastAsia" w:ascii="仿宋_GB2312" w:eastAsia="仿宋_GB2312"/>
          <w:sz w:val="30"/>
          <w:szCs w:val="30"/>
        </w:rPr>
        <w:t>。</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人员概况</w:t>
      </w:r>
    </w:p>
    <w:p>
      <w:pPr>
        <w:ind w:firstLine="640" w:firstLineChars="200"/>
        <w:rPr>
          <w:rFonts w:ascii="仿宋" w:hAnsi="仿宋" w:eastAsia="仿宋" w:cs="仿宋"/>
          <w:sz w:val="32"/>
          <w:szCs w:val="32"/>
        </w:rPr>
      </w:pPr>
      <w:r>
        <w:rPr>
          <w:rFonts w:hint="eastAsia" w:ascii="仿宋" w:hAnsi="仿宋" w:eastAsia="仿宋" w:cs="仿宋"/>
          <w:sz w:val="32"/>
          <w:szCs w:val="32"/>
        </w:rPr>
        <w:t>乐山市五通桥区竹根镇竹根初级中学年末在职教职工人数</w:t>
      </w:r>
      <w:r>
        <w:rPr>
          <w:rFonts w:ascii="仿宋" w:hAnsi="仿宋" w:eastAsia="仿宋" w:cs="仿宋"/>
          <w:sz w:val="32"/>
          <w:szCs w:val="32"/>
        </w:rPr>
        <w:t>59</w:t>
      </w:r>
      <w:r>
        <w:rPr>
          <w:rFonts w:hint="eastAsia" w:ascii="仿宋" w:hAnsi="仿宋" w:eastAsia="仿宋" w:cs="仿宋"/>
          <w:sz w:val="32"/>
          <w:szCs w:val="32"/>
        </w:rPr>
        <w:t>人。</w:t>
      </w:r>
    </w:p>
    <w:p>
      <w:pPr>
        <w:ind w:firstLine="640" w:firstLineChars="200"/>
        <w:rPr>
          <w:rFonts w:ascii="仿宋" w:hAnsi="仿宋" w:eastAsia="仿宋" w:cs="仿宋"/>
          <w:sz w:val="32"/>
          <w:szCs w:val="32"/>
        </w:rPr>
      </w:pPr>
    </w:p>
    <w:p>
      <w:pPr>
        <w:widowControl/>
        <w:numPr>
          <w:ilvl w:val="0"/>
          <w:numId w:val="5"/>
        </w:numPr>
        <w:adjustRightInd w:val="0"/>
        <w:snapToGrid w:val="0"/>
        <w:spacing w:line="580" w:lineRule="exact"/>
        <w:ind w:firstLine="960" w:firstLineChars="3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部门财政资金收支情况</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spacing w:line="600" w:lineRule="exact"/>
        <w:ind w:firstLine="640"/>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2020</w:t>
      </w:r>
      <w:r>
        <w:rPr>
          <w:rFonts w:hint="eastAsia" w:ascii="仿宋" w:hAnsi="仿宋" w:eastAsia="仿宋"/>
          <w:color w:val="000000"/>
          <w:sz w:val="32"/>
          <w:szCs w:val="32"/>
        </w:rPr>
        <w:t>年财政拨款收入</w:t>
      </w:r>
      <w:r>
        <w:rPr>
          <w:rFonts w:ascii="仿宋" w:hAnsi="仿宋" w:eastAsia="仿宋"/>
          <w:color w:val="000000"/>
          <w:sz w:val="32"/>
          <w:szCs w:val="32"/>
        </w:rPr>
        <w:t>995.11</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年相比，财政拨款收入增加</w:t>
      </w:r>
      <w:r>
        <w:rPr>
          <w:rFonts w:ascii="仿宋" w:hAnsi="仿宋" w:eastAsia="仿宋"/>
          <w:color w:val="000000"/>
          <w:sz w:val="32"/>
          <w:szCs w:val="32"/>
        </w:rPr>
        <w:t>5.89</w:t>
      </w:r>
      <w:r>
        <w:rPr>
          <w:rFonts w:hint="eastAsia" w:ascii="仿宋" w:hAnsi="仿宋" w:eastAsia="仿宋"/>
          <w:color w:val="000000"/>
          <w:sz w:val="32"/>
          <w:szCs w:val="32"/>
        </w:rPr>
        <w:t>万元、增加</w:t>
      </w:r>
      <w:r>
        <w:rPr>
          <w:rFonts w:ascii="仿宋" w:hAnsi="仿宋" w:eastAsia="仿宋"/>
          <w:color w:val="000000"/>
          <w:sz w:val="32"/>
          <w:szCs w:val="32"/>
        </w:rPr>
        <w:t>0.6%</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（二）部门财政资金支出情况</w:t>
      </w:r>
    </w:p>
    <w:p>
      <w:pPr>
        <w:pStyle w:val="9"/>
        <w:widowControl/>
        <w:spacing w:beforeAutospacing="0" w:afterAutospacing="0" w:line="600" w:lineRule="atLeast"/>
        <w:ind w:firstLine="640" w:firstLineChars="200"/>
        <w:jc w:val="both"/>
        <w:rPr>
          <w:color w:val="333333"/>
          <w:sz w:val="32"/>
          <w:szCs w:val="32"/>
        </w:rPr>
      </w:pPr>
      <w:r>
        <w:rPr>
          <w:rFonts w:hint="eastAsia" w:ascii="仿宋" w:hAnsi="仿宋" w:eastAsia="仿宋" w:cs="仿宋"/>
          <w:color w:val="333333"/>
          <w:sz w:val="32"/>
          <w:szCs w:val="32"/>
        </w:rPr>
        <w:t>基本支出：</w:t>
      </w:r>
      <w:r>
        <w:rPr>
          <w:rFonts w:ascii="仿宋" w:hAnsi="仿宋" w:eastAsia="仿宋" w:cs="仿宋"/>
          <w:color w:val="333333"/>
          <w:sz w:val="32"/>
          <w:szCs w:val="32"/>
        </w:rPr>
        <w:t>2020</w:t>
      </w:r>
      <w:r>
        <w:rPr>
          <w:rFonts w:hint="eastAsia" w:ascii="仿宋" w:hAnsi="仿宋" w:eastAsia="仿宋" w:cs="仿宋"/>
          <w:color w:val="333333"/>
          <w:sz w:val="32"/>
          <w:szCs w:val="32"/>
        </w:rPr>
        <w:t>年</w:t>
      </w:r>
      <w:r>
        <w:rPr>
          <w:rFonts w:ascii="仿宋" w:hAnsi="仿宋" w:eastAsia="仿宋" w:cs="仿宋"/>
          <w:color w:val="333333"/>
          <w:sz w:val="32"/>
          <w:szCs w:val="32"/>
        </w:rPr>
        <w:t>12</w:t>
      </w:r>
      <w:r>
        <w:rPr>
          <w:rFonts w:hint="eastAsia" w:ascii="仿宋" w:hAnsi="仿宋" w:eastAsia="仿宋" w:cs="仿宋"/>
          <w:color w:val="333333"/>
          <w:sz w:val="32"/>
          <w:szCs w:val="32"/>
        </w:rPr>
        <w:t>月止基本支出</w:t>
      </w:r>
      <w:r>
        <w:rPr>
          <w:rFonts w:ascii="仿宋" w:hAnsi="仿宋" w:eastAsia="仿宋" w:cs="仿宋"/>
          <w:color w:val="333333"/>
          <w:sz w:val="32"/>
          <w:szCs w:val="32"/>
        </w:rPr>
        <w:t>915.15</w:t>
      </w:r>
      <w:r>
        <w:rPr>
          <w:rFonts w:hint="eastAsia" w:ascii="仿宋" w:hAnsi="仿宋" w:eastAsia="仿宋" w:cs="仿宋"/>
          <w:color w:val="333333"/>
          <w:sz w:val="32"/>
          <w:szCs w:val="32"/>
        </w:rPr>
        <w:t>万元，其中：人员经费支出</w:t>
      </w:r>
      <w:r>
        <w:rPr>
          <w:rFonts w:ascii="仿宋" w:hAnsi="仿宋" w:eastAsia="仿宋" w:cs="仿宋"/>
          <w:color w:val="333333"/>
          <w:sz w:val="32"/>
          <w:szCs w:val="32"/>
        </w:rPr>
        <w:t>888.93</w:t>
      </w:r>
      <w:r>
        <w:rPr>
          <w:rFonts w:hint="eastAsia" w:ascii="仿宋" w:hAnsi="仿宋" w:eastAsia="仿宋" w:cs="仿宋"/>
          <w:color w:val="333333"/>
          <w:sz w:val="32"/>
          <w:szCs w:val="32"/>
        </w:rPr>
        <w:t>万元、商品和服务支出</w:t>
      </w:r>
      <w:r>
        <w:rPr>
          <w:rFonts w:ascii="仿宋" w:hAnsi="仿宋" w:eastAsia="仿宋" w:cs="仿宋"/>
          <w:color w:val="333333"/>
          <w:sz w:val="32"/>
          <w:szCs w:val="32"/>
        </w:rPr>
        <w:t>26.22</w:t>
      </w:r>
      <w:r>
        <w:rPr>
          <w:rFonts w:hint="eastAsia" w:ascii="仿宋" w:hAnsi="仿宋" w:eastAsia="仿宋" w:cs="仿宋"/>
          <w:color w:val="333333"/>
          <w:sz w:val="32"/>
          <w:szCs w:val="32"/>
        </w:rPr>
        <w:t>万元（工会经费、福利费等）。</w:t>
      </w:r>
    </w:p>
    <w:p>
      <w:pPr>
        <w:pStyle w:val="9"/>
        <w:widowControl/>
        <w:spacing w:beforeAutospacing="0" w:afterAutospacing="0" w:line="600" w:lineRule="atLeast"/>
        <w:ind w:firstLine="640" w:firstLineChars="200"/>
        <w:jc w:val="both"/>
        <w:rPr>
          <w:rFonts w:ascii="仿宋" w:hAnsi="仿宋" w:eastAsia="仿宋" w:cs="仿宋"/>
          <w:color w:val="333333"/>
          <w:sz w:val="32"/>
          <w:szCs w:val="32"/>
        </w:rPr>
      </w:pPr>
      <w:r>
        <w:rPr>
          <w:rFonts w:hint="eastAsia" w:ascii="仿宋" w:hAnsi="仿宋" w:eastAsia="仿宋" w:cs="仿宋"/>
          <w:color w:val="333333"/>
          <w:sz w:val="32"/>
          <w:szCs w:val="32"/>
        </w:rPr>
        <w:t>专项支出：本年下拨专项资金</w:t>
      </w:r>
      <w:r>
        <w:rPr>
          <w:rFonts w:ascii="仿宋" w:hAnsi="仿宋" w:eastAsia="仿宋" w:cs="仿宋"/>
          <w:color w:val="333333"/>
          <w:sz w:val="32"/>
          <w:szCs w:val="32"/>
        </w:rPr>
        <w:t>79.96</w:t>
      </w:r>
      <w:r>
        <w:rPr>
          <w:rFonts w:hint="eastAsia" w:ascii="仿宋" w:hAnsi="仿宋" w:eastAsia="仿宋" w:cs="仿宋"/>
          <w:color w:val="333333"/>
          <w:sz w:val="32"/>
          <w:szCs w:val="32"/>
        </w:rPr>
        <w:t>万元，专项资金实行“专人管理、专线使用、专账核算”，按照《专项资金使用办法》、《专项资金管理制度》、《财务管理制度》等制度，该资金用于学校正常运行。共投入资金</w:t>
      </w:r>
      <w:r>
        <w:rPr>
          <w:rFonts w:ascii="仿宋" w:hAnsi="仿宋" w:eastAsia="仿宋" w:cs="仿宋"/>
          <w:color w:val="333333"/>
          <w:sz w:val="32"/>
          <w:szCs w:val="32"/>
        </w:rPr>
        <w:t>79.96</w:t>
      </w:r>
      <w:r>
        <w:rPr>
          <w:rFonts w:hint="eastAsia" w:ascii="仿宋" w:hAnsi="仿宋" w:eastAsia="仿宋" w:cs="仿宋"/>
          <w:color w:val="333333"/>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9"/>
        <w:widowControl/>
        <w:spacing w:beforeAutospacing="0" w:afterAutospacing="0" w:line="600" w:lineRule="atLeast"/>
        <w:ind w:firstLine="640"/>
        <w:jc w:val="both"/>
        <w:rPr>
          <w:rFonts w:eastAsia="仿宋"/>
          <w:color w:val="333333"/>
          <w:sz w:val="21"/>
          <w:szCs w:val="21"/>
        </w:rPr>
      </w:pPr>
      <w:r>
        <w:rPr>
          <w:rFonts w:hint="eastAsia" w:ascii="仿宋" w:hAnsi="仿宋" w:eastAsia="仿宋" w:cs="仿宋"/>
          <w:color w:val="333333"/>
          <w:sz w:val="32"/>
          <w:szCs w:val="32"/>
        </w:rPr>
        <w:t>（一）部门预算管理</w:t>
      </w:r>
    </w:p>
    <w:p>
      <w:pPr>
        <w:pStyle w:val="9"/>
        <w:widowControl/>
        <w:spacing w:beforeAutospacing="0" w:afterAutospacing="0" w:line="600" w:lineRule="atLeast"/>
        <w:ind w:firstLine="640"/>
        <w:jc w:val="both"/>
        <w:rPr>
          <w:rFonts w:ascii="仿宋" w:hAnsi="仿宋" w:eastAsia="仿宋" w:cs="仿宋"/>
          <w:color w:val="333333"/>
          <w:sz w:val="32"/>
          <w:szCs w:val="32"/>
        </w:rPr>
      </w:pPr>
      <w:r>
        <w:rPr>
          <w:rFonts w:ascii="仿宋" w:hAnsi="仿宋" w:eastAsia="仿宋" w:cs="仿宋"/>
          <w:color w:val="333333"/>
          <w:sz w:val="32"/>
          <w:szCs w:val="32"/>
        </w:rPr>
        <w:t>2020</w:t>
      </w:r>
      <w:r>
        <w:rPr>
          <w:rFonts w:hint="eastAsia" w:ascii="仿宋" w:hAnsi="仿宋" w:eastAsia="仿宋" w:cs="仿宋"/>
          <w:color w:val="333333"/>
          <w:sz w:val="32"/>
          <w:szCs w:val="32"/>
        </w:rPr>
        <w:t>年</w:t>
      </w:r>
      <w:bookmarkStart w:id="137" w:name="_GoBack"/>
      <w:bookmarkEnd w:id="137"/>
      <w:r>
        <w:rPr>
          <w:rFonts w:hint="eastAsia" w:ascii="仿宋" w:hAnsi="仿宋" w:eastAsia="仿宋" w:cs="仿宋"/>
          <w:color w:val="333333"/>
          <w:sz w:val="32"/>
          <w:szCs w:val="32"/>
        </w:rPr>
        <w:t>乐山市五通桥区竹根镇竹根初级中学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9"/>
        <w:widowControl/>
        <w:spacing w:beforeAutospacing="0" w:afterAutospacing="0" w:line="600" w:lineRule="atLeast"/>
        <w:ind w:firstLine="640"/>
        <w:jc w:val="both"/>
        <w:rPr>
          <w:rFonts w:ascii="仿宋" w:hAnsi="仿宋" w:eastAsia="仿宋" w:cs="仿宋"/>
          <w:color w:val="333333"/>
          <w:sz w:val="32"/>
          <w:szCs w:val="32"/>
        </w:rPr>
      </w:pPr>
      <w:r>
        <w:rPr>
          <w:rFonts w:hint="eastAsia" w:ascii="仿宋" w:hAnsi="仿宋" w:eastAsia="仿宋" w:cs="仿宋"/>
          <w:color w:val="333333"/>
          <w:sz w:val="32"/>
          <w:szCs w:val="32"/>
        </w:rPr>
        <w:t>学校工作经费安排严格按照年初预算来执行，有效防止了超预算；认真学习财经法规，严格执行财经纪律，防止了违法违纪行为的发生。</w:t>
      </w:r>
    </w:p>
    <w:p>
      <w:pPr>
        <w:pStyle w:val="9"/>
        <w:widowControl/>
        <w:spacing w:beforeAutospacing="0" w:afterAutospacing="0" w:line="600" w:lineRule="atLeast"/>
        <w:ind w:firstLine="640"/>
        <w:jc w:val="both"/>
        <w:rPr>
          <w:rFonts w:eastAsia="仿宋"/>
          <w:color w:val="333333"/>
          <w:sz w:val="32"/>
          <w:szCs w:val="32"/>
        </w:rPr>
      </w:pPr>
      <w:r>
        <w:rPr>
          <w:rFonts w:hint="eastAsia" w:ascii="仿宋" w:hAnsi="仿宋" w:eastAsia="仿宋" w:cs="仿宋"/>
          <w:color w:val="333333"/>
          <w:sz w:val="32"/>
          <w:szCs w:val="32"/>
        </w:rPr>
        <w:t>（二）应用结果情况</w:t>
      </w:r>
    </w:p>
    <w:p>
      <w:r>
        <w:rPr>
          <w:rFonts w:hint="eastAsia" w:ascii="仿宋" w:hAnsi="仿宋" w:eastAsia="仿宋" w:cs="仿宋"/>
          <w:color w:val="333333"/>
          <w:sz w:val="32"/>
          <w:szCs w:val="32"/>
        </w:rPr>
        <w:t>推进了专项工作落实，财政监督检查、专项资金检查、违规发放津补贴的自查等多项管理工作，确保了专项资金在使用和管理上单独核算、专款专用；保障了学校有效运转，严格按照厉行节约的要求，精打细算，规范学校运转管理工作，进一步公务用车、公务接待等方面加强集中管理，提高服务质量，降低运行成本，合理配置，提高保障能力；具备正确的办学理念并内化为行动习惯，规划科学的办学目标，特有的学校文化氛围，推陈出新的能力，科学管理理念与方法，学校队伍建设等的办学理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9"/>
        <w:widowControl/>
        <w:spacing w:beforeAutospacing="0" w:afterAutospacing="0" w:line="600" w:lineRule="atLeast"/>
        <w:ind w:firstLine="651"/>
        <w:jc w:val="both"/>
        <w:rPr>
          <w:rFonts w:ascii="仿宋" w:hAnsi="仿宋" w:eastAsia="仿宋" w:cs="仿宋"/>
          <w:color w:val="333333"/>
          <w:sz w:val="32"/>
          <w:szCs w:val="32"/>
          <w:lang w:val="zh-CN"/>
        </w:rPr>
      </w:pPr>
      <w:r>
        <w:rPr>
          <w:rFonts w:hint="eastAsia" w:ascii="仿宋" w:hAnsi="仿宋" w:eastAsia="仿宋" w:cs="仿宋"/>
          <w:color w:val="333333"/>
          <w:sz w:val="32"/>
          <w:szCs w:val="32"/>
        </w:rPr>
        <w:t>按照财政部门整体支出绩效评价指标细则，我校自评得分</w:t>
      </w:r>
      <w:r>
        <w:rPr>
          <w:rFonts w:ascii="仿宋" w:hAnsi="仿宋" w:eastAsia="仿宋" w:cs="仿宋"/>
          <w:color w:val="333333"/>
          <w:sz w:val="32"/>
          <w:szCs w:val="32"/>
        </w:rPr>
        <w:t>100</w:t>
      </w:r>
      <w:r>
        <w:rPr>
          <w:rFonts w:hint="eastAsia" w:ascii="仿宋" w:hAnsi="仿宋" w:eastAsia="仿宋" w:cs="仿宋"/>
          <w:color w:val="333333"/>
          <w:sz w:val="32"/>
          <w:szCs w:val="32"/>
        </w:rPr>
        <w:t>分，</w:t>
      </w:r>
      <w:r>
        <w:rPr>
          <w:rFonts w:hint="eastAsia" w:ascii="仿宋" w:hAnsi="仿宋" w:eastAsia="仿宋" w:cs="仿宋"/>
          <w:sz w:val="32"/>
          <w:szCs w:val="32"/>
        </w:rPr>
        <w:t>总体评分为优</w:t>
      </w:r>
      <w:r>
        <w:rPr>
          <w:rFonts w:hint="eastAsia" w:ascii="仿宋" w:hAnsi="仿宋" w:eastAsia="仿宋" w:cs="仿宋"/>
          <w:color w:val="333333"/>
          <w:sz w:val="32"/>
          <w:szCs w:val="32"/>
        </w:rPr>
        <w:t>。</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rPr>
        <w:t>二</w:t>
      </w:r>
      <w:r>
        <w:rPr>
          <w:rFonts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zh-CN"/>
        </w:rPr>
        <w:t>存在问题</w:t>
      </w:r>
    </w:p>
    <w:p>
      <w:pPr>
        <w:widowControl/>
        <w:adjustRightInd w:val="0"/>
        <w:snapToGrid w:val="0"/>
        <w:spacing w:line="580" w:lineRule="exact"/>
        <w:ind w:left="210" w:leftChars="100" w:firstLine="1280" w:firstLineChars="4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w:t>
      </w:r>
      <w:r>
        <w:rPr>
          <w:rFonts w:hint="eastAsia" w:ascii="仿宋" w:hAnsi="仿宋" w:eastAsia="仿宋" w:cs="仿宋"/>
          <w:color w:val="000000"/>
          <w:kern w:val="0"/>
          <w:sz w:val="32"/>
          <w:szCs w:val="32"/>
          <w:shd w:val="clear" w:color="auto" w:fill="FFFFFF"/>
          <w:lang w:val="zh-CN"/>
        </w:rPr>
        <w:t>改进建议</w:t>
      </w:r>
    </w:p>
    <w:p>
      <w:pPr>
        <w:spacing w:line="580" w:lineRule="exact"/>
        <w:ind w:firstLine="1600" w:firstLineChars="500"/>
        <w:rPr>
          <w:rFonts w:ascii="仿宋" w:hAnsi="仿宋" w:eastAsia="仿宋" w:cs="仿宋"/>
          <w:sz w:val="32"/>
          <w:szCs w:val="32"/>
        </w:rPr>
      </w:pPr>
      <w:r>
        <w:rPr>
          <w:rFonts w:hint="eastAsia" w:ascii="仿宋" w:hAnsi="仿宋" w:eastAsia="仿宋" w:cs="仿宋"/>
          <w:sz w:val="32"/>
          <w:szCs w:val="32"/>
        </w:rPr>
        <w:t>无</w:t>
      </w:r>
    </w:p>
    <w:p>
      <w:pPr>
        <w:spacing w:line="580" w:lineRule="exact"/>
        <w:ind w:firstLine="1600" w:firstLineChars="500"/>
        <w:rPr>
          <w:rFonts w:ascii="仿宋" w:hAnsi="仿宋" w:eastAsia="仿宋" w:cs="仿宋"/>
          <w:sz w:val="32"/>
          <w:szCs w:val="32"/>
        </w:rPr>
      </w:pPr>
    </w:p>
    <w:p>
      <w:pPr>
        <w:spacing w:line="580" w:lineRule="exact"/>
        <w:ind w:firstLine="1600" w:firstLineChars="500"/>
        <w:rPr>
          <w:rFonts w:ascii="仿宋" w:hAnsi="仿宋" w:eastAsia="仿宋" w:cs="仿宋"/>
          <w:sz w:val="32"/>
          <w:szCs w:val="32"/>
        </w:rPr>
      </w:pPr>
    </w:p>
    <w:p>
      <w:pPr>
        <w:spacing w:line="580" w:lineRule="exact"/>
        <w:ind w:firstLine="1600" w:firstLineChars="500"/>
        <w:rPr>
          <w:rFonts w:ascii="仿宋" w:hAnsi="仿宋" w:eastAsia="仿宋" w:cs="仿宋"/>
          <w:sz w:val="32"/>
          <w:szCs w:val="32"/>
        </w:rPr>
      </w:pPr>
    </w:p>
    <w:p>
      <w:pPr>
        <w:spacing w:line="580" w:lineRule="exact"/>
        <w:ind w:firstLine="1600" w:firstLineChars="500"/>
        <w:rPr>
          <w:rFonts w:ascii="仿宋" w:hAnsi="仿宋" w:eastAsia="仿宋" w:cs="仿宋"/>
          <w:sz w:val="32"/>
          <w:szCs w:val="32"/>
        </w:rPr>
      </w:pPr>
    </w:p>
    <w:p>
      <w:pPr>
        <w:spacing w:line="580" w:lineRule="exact"/>
        <w:ind w:firstLine="1600" w:firstLineChars="500"/>
        <w:rPr>
          <w:rFonts w:ascii="仿宋" w:hAnsi="仿宋" w:eastAsia="仿宋" w:cs="仿宋"/>
          <w:sz w:val="32"/>
          <w:szCs w:val="32"/>
        </w:rPr>
      </w:pPr>
    </w:p>
    <w:p>
      <w:pPr>
        <w:spacing w:line="580" w:lineRule="exact"/>
        <w:ind w:firstLine="1600" w:firstLineChars="500"/>
        <w:rPr>
          <w:rFonts w:ascii="仿宋" w:hAnsi="仿宋" w:eastAsia="仿宋" w:cs="仿宋"/>
          <w:sz w:val="32"/>
          <w:szCs w:val="32"/>
        </w:rPr>
      </w:pPr>
    </w:p>
    <w:p>
      <w:pPr>
        <w:spacing w:line="580" w:lineRule="exact"/>
        <w:ind w:firstLine="1600" w:firstLineChars="500"/>
        <w:rPr>
          <w:rFonts w:ascii="仿宋" w:hAnsi="仿宋" w:eastAsia="仿宋" w:cs="仿宋"/>
          <w:sz w:val="32"/>
          <w:szCs w:val="32"/>
        </w:rPr>
      </w:pPr>
    </w:p>
    <w:p>
      <w:pPr>
        <w:spacing w:line="580" w:lineRule="exact"/>
        <w:ind w:firstLine="1600" w:firstLineChars="500"/>
        <w:rPr>
          <w:rFonts w:ascii="仿宋" w:hAnsi="仿宋" w:eastAsia="仿宋" w:cs="仿宋"/>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乐山市五通桥区竹根镇竹根初级中学生均公用经费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ascii="仿宋" w:hAnsi="仿宋" w:eastAsia="仿宋" w:cs="仿宋"/>
          <w:color w:val="000000"/>
          <w:kern w:val="0"/>
          <w:sz w:val="32"/>
          <w:szCs w:val="32"/>
          <w:shd w:val="clear" w:color="auto" w:fill="FFFFFF"/>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rPr>
        <w:t>项目职能：</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坚持“依法治校，以人为本，培养基础性、发展性人才”的办学理念，狠抓外树形象，内提质量工程，积极推进素质教育，着力纯正校风学风，其教育教学质量居区中上水平。认真贯彻执行党的路线、方针、政策和上级领导部门及学校党委、行政的各项指示、决定。用于</w:t>
      </w:r>
      <w:r>
        <w:rPr>
          <w:rFonts w:hint="eastAsia" w:ascii="仿宋" w:hAnsi="仿宋" w:eastAsia="仿宋" w:cs="仿宋"/>
          <w:sz w:val="32"/>
          <w:szCs w:val="32"/>
          <w:lang w:val="zh-CN"/>
        </w:rPr>
        <w:t>义务教育阶段的中央省区级公用经费、义务教育学校随班就读学生公用经费、寄宿制学生公用经费。</w:t>
      </w:r>
    </w:p>
    <w:p>
      <w:pPr>
        <w:adjustRightInd w:val="0"/>
        <w:snapToGrid w:val="0"/>
        <w:spacing w:line="600" w:lineRule="exact"/>
        <w:ind w:firstLine="720"/>
        <w:rPr>
          <w:rFonts w:ascii="仿宋" w:hAnsi="仿宋" w:eastAsia="仿宋" w:cs="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．项目立项、资金申报的依据</w:t>
      </w:r>
    </w:p>
    <w:p>
      <w:pPr>
        <w:adjustRightInd w:val="0"/>
        <w:snapToGrid w:val="0"/>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用于学校全年教育教学正常运转支出。</w:t>
      </w:r>
    </w:p>
    <w:p>
      <w:pPr>
        <w:numPr>
          <w:ilvl w:val="0"/>
          <w:numId w:val="6"/>
        </w:num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spacing w:line="560" w:lineRule="exact"/>
        <w:ind w:left="420" w:leftChars="200"/>
        <w:jc w:val="left"/>
        <w:rPr>
          <w:rFonts w:ascii="仿宋" w:hAnsi="仿宋" w:eastAsia="仿宋" w:cs="仿宋"/>
          <w:sz w:val="32"/>
          <w:szCs w:val="32"/>
          <w:lang w:val="zh-CN"/>
        </w:rPr>
      </w:pPr>
      <w:r>
        <w:rPr>
          <w:rFonts w:ascii="仿宋" w:hAnsi="仿宋" w:eastAsia="仿宋" w:cs="仿宋"/>
          <w:sz w:val="32"/>
          <w:szCs w:val="32"/>
        </w:rPr>
        <w:t xml:space="preserve"> </w:t>
      </w:r>
      <w:r>
        <w:rPr>
          <w:rFonts w:hint="eastAsia" w:ascii="仿宋" w:hAnsi="仿宋" w:eastAsia="仿宋" w:cs="仿宋"/>
          <w:sz w:val="32"/>
          <w:szCs w:val="32"/>
        </w:rPr>
        <w:t>根据学校实际情况，在保运转基础上纳入年初预算</w:t>
      </w:r>
      <w:r>
        <w:rPr>
          <w:rFonts w:hint="eastAsia" w:ascii="仿宋_GB2312" w:eastAsia="仿宋_GB2312"/>
          <w:sz w:val="32"/>
          <w:szCs w:val="32"/>
        </w:rPr>
        <w:t>。</w:t>
      </w:r>
    </w:p>
    <w:p>
      <w:pPr>
        <w:numPr>
          <w:ilvl w:val="0"/>
          <w:numId w:val="6"/>
        </w:num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adjustRightInd w:val="0"/>
        <w:snapToGrid w:val="0"/>
        <w:spacing w:line="600" w:lineRule="exact"/>
        <w:ind w:left="720"/>
        <w:rPr>
          <w:rFonts w:ascii="仿宋" w:hAnsi="仿宋" w:eastAsia="仿宋" w:cs="仿宋"/>
          <w:sz w:val="32"/>
          <w:szCs w:val="32"/>
          <w:lang w:val="zh-CN"/>
        </w:rPr>
      </w:pPr>
      <w:r>
        <w:rPr>
          <w:rFonts w:hint="eastAsia" w:ascii="仿宋" w:hAnsi="仿宋" w:eastAsia="仿宋" w:cs="仿宋"/>
          <w:sz w:val="32"/>
          <w:szCs w:val="32"/>
        </w:rPr>
        <w:t>该项目资金由区级配套财政资金及上级财政</w:t>
      </w:r>
      <w:r>
        <w:rPr>
          <w:rFonts w:hint="eastAsia" w:ascii="仿宋" w:hAnsi="仿宋" w:eastAsia="仿宋" w:cs="仿宋"/>
          <w:sz w:val="32"/>
          <w:szCs w:val="32"/>
          <w:lang w:val="zh-CN"/>
        </w:rPr>
        <w:t>资金</w:t>
      </w:r>
      <w:r>
        <w:rPr>
          <w:rFonts w:hint="eastAsia" w:ascii="仿宋" w:hAnsi="仿宋" w:eastAsia="仿宋" w:cs="仿宋"/>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年预计投入</w:t>
      </w:r>
      <w:r>
        <w:rPr>
          <w:rFonts w:ascii="仿宋" w:hAnsi="仿宋" w:eastAsia="仿宋" w:cs="仿宋"/>
          <w:sz w:val="32"/>
          <w:szCs w:val="32"/>
        </w:rPr>
        <w:t>79.96</w:t>
      </w:r>
      <w:r>
        <w:rPr>
          <w:rFonts w:hint="eastAsia" w:ascii="仿宋" w:hAnsi="仿宋" w:eastAsia="仿宋" w:cs="仿宋"/>
          <w:sz w:val="32"/>
          <w:szCs w:val="32"/>
        </w:rPr>
        <w:t>万，涉及</w:t>
      </w:r>
      <w:r>
        <w:rPr>
          <w:rFonts w:ascii="仿宋" w:hAnsi="仿宋" w:eastAsia="仿宋" w:cs="仿宋"/>
          <w:sz w:val="32"/>
          <w:szCs w:val="32"/>
        </w:rPr>
        <w:t>1</w:t>
      </w:r>
      <w:r>
        <w:rPr>
          <w:rFonts w:hint="eastAsia" w:ascii="仿宋" w:hAnsi="仿宋" w:eastAsia="仿宋" w:cs="仿宋"/>
          <w:sz w:val="32"/>
          <w:szCs w:val="32"/>
        </w:rPr>
        <w:t>个项目，用于学校正常教育教学任务。</w:t>
      </w:r>
    </w:p>
    <w:p>
      <w:pPr>
        <w:numPr>
          <w:ilvl w:val="0"/>
          <w:numId w:val="7"/>
        </w:num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adjustRightInd w:val="0"/>
        <w:snapToGrid w:val="0"/>
        <w:spacing w:line="600" w:lineRule="exact"/>
        <w:rPr>
          <w:rFonts w:ascii="仿宋" w:hAnsi="仿宋" w:eastAsia="仿宋" w:cs="仿宋"/>
          <w:sz w:val="32"/>
          <w:szCs w:val="32"/>
        </w:rPr>
      </w:pPr>
      <w:r>
        <w:rPr>
          <w:rFonts w:ascii="仿宋_GB2312" w:hAnsi="宋体" w:eastAsia="仿宋_GB2312"/>
          <w:sz w:val="32"/>
          <w:szCs w:val="32"/>
        </w:rPr>
        <w:t xml:space="preserve">  </w:t>
      </w:r>
      <w:r>
        <w:rPr>
          <w:rFonts w:ascii="仿宋" w:hAnsi="仿宋" w:eastAsia="仿宋" w:cs="仿宋"/>
          <w:sz w:val="32"/>
          <w:szCs w:val="32"/>
        </w:rPr>
        <w:t xml:space="preserve">  2020</w:t>
      </w:r>
      <w:r>
        <w:rPr>
          <w:rFonts w:hint="eastAsia" w:ascii="仿宋" w:hAnsi="仿宋" w:eastAsia="仿宋" w:cs="仿宋"/>
          <w:sz w:val="32"/>
          <w:szCs w:val="32"/>
        </w:rPr>
        <w:t>年五通桥区竹根镇竹根初级中学按照财政局下达的预算批复，对于商品及服务支出（日常公用经费）按照年初预算执行，实现内部报告审批制度，实时监控支出情况；对于项目支出的经费使用情况进行监督检查。</w:t>
      </w:r>
    </w:p>
    <w:p>
      <w:pPr>
        <w:numPr>
          <w:ilvl w:val="0"/>
          <w:numId w:val="7"/>
        </w:num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adjustRightInd w:val="0"/>
        <w:snapToGrid w:val="0"/>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p>
    <w:p>
      <w:pPr>
        <w:adjustRightInd w:val="0"/>
        <w:snapToGrid w:val="0"/>
        <w:spacing w:line="600" w:lineRule="exact"/>
        <w:ind w:firstLine="720"/>
        <w:rPr>
          <w:rFonts w:ascii="仿宋" w:hAnsi="仿宋" w:eastAsia="仿宋" w:cs="仿宋"/>
          <w:sz w:val="32"/>
          <w:szCs w:val="32"/>
        </w:rPr>
      </w:pPr>
      <w:r>
        <w:rPr>
          <w:rFonts w:ascii="仿宋_GB2312" w:hAnsi="宋体" w:eastAsia="仿宋_GB2312"/>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adjustRightInd w:val="0"/>
        <w:snapToGrid w:val="0"/>
        <w:spacing w:line="600" w:lineRule="exact"/>
        <w:ind w:firstLine="720"/>
        <w:rPr>
          <w:rFonts w:ascii="仿宋" w:hAnsi="仿宋" w:eastAsia="仿宋" w:cs="仿宋"/>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资金计划、到位及使用情况</w:t>
      </w:r>
    </w:p>
    <w:p>
      <w:pPr>
        <w:adjustRightInd w:val="0"/>
        <w:snapToGrid w:val="0"/>
        <w:spacing w:line="600" w:lineRule="exact"/>
        <w:ind w:firstLine="720"/>
        <w:rPr>
          <w:rFonts w:ascii="仿宋" w:hAnsi="仿宋" w:eastAsia="仿宋" w:cs="仿宋"/>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资金计划：该项目资金由区级配套财政资金划拨及上级财政资金</w:t>
      </w:r>
      <w:r>
        <w:rPr>
          <w:rFonts w:hint="eastAsia" w:ascii="仿宋" w:hAnsi="仿宋" w:eastAsia="仿宋" w:cs="仿宋"/>
          <w:sz w:val="32"/>
          <w:szCs w:val="32"/>
        </w:rPr>
        <w:t>纳入年初预算</w:t>
      </w:r>
      <w:r>
        <w:rPr>
          <w:rFonts w:hint="eastAsia" w:ascii="仿宋" w:hAnsi="仿宋" w:eastAsia="仿宋" w:cs="仿宋"/>
          <w:sz w:val="32"/>
          <w:szCs w:val="32"/>
          <w:lang w:val="zh-CN"/>
        </w:rPr>
        <w:t>。</w:t>
      </w:r>
    </w:p>
    <w:p>
      <w:pPr>
        <w:adjustRightInd w:val="0"/>
        <w:snapToGrid w:val="0"/>
        <w:spacing w:line="600" w:lineRule="exact"/>
        <w:ind w:firstLine="720"/>
        <w:rPr>
          <w:rFonts w:ascii="仿宋" w:hAnsi="仿宋" w:eastAsia="仿宋" w:cs="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．资金到位：截止评价时点该项目财政拨付项目资金</w:t>
      </w:r>
      <w:r>
        <w:rPr>
          <w:rFonts w:ascii="仿宋" w:hAnsi="仿宋" w:eastAsia="仿宋" w:cs="仿宋"/>
          <w:sz w:val="32"/>
          <w:szCs w:val="32"/>
        </w:rPr>
        <w:t>79.96</w:t>
      </w:r>
      <w:r>
        <w:rPr>
          <w:rFonts w:hint="eastAsia" w:ascii="仿宋" w:hAnsi="仿宋" w:eastAsia="仿宋" w:cs="仿宋"/>
          <w:sz w:val="32"/>
          <w:szCs w:val="32"/>
          <w:lang w:val="zh-CN"/>
        </w:rPr>
        <w:t>万元。预算资金到位</w:t>
      </w:r>
      <w:r>
        <w:rPr>
          <w:rFonts w:ascii="仿宋" w:hAnsi="仿宋" w:eastAsia="仿宋" w:cs="仿宋"/>
          <w:sz w:val="32"/>
          <w:szCs w:val="32"/>
        </w:rPr>
        <w:t>79.96</w:t>
      </w:r>
      <w:r>
        <w:rPr>
          <w:rFonts w:hint="eastAsia" w:ascii="仿宋" w:hAnsi="仿宋" w:eastAsia="仿宋" w:cs="仿宋"/>
          <w:sz w:val="32"/>
          <w:szCs w:val="32"/>
          <w:lang w:val="zh-CN"/>
        </w:rPr>
        <w:t>万元，到位率</w:t>
      </w:r>
      <w:r>
        <w:rPr>
          <w:rFonts w:ascii="仿宋" w:hAnsi="仿宋" w:eastAsia="仿宋" w:cs="仿宋"/>
          <w:sz w:val="32"/>
          <w:szCs w:val="32"/>
          <w:lang w:val="zh-CN"/>
        </w:rPr>
        <w:t>100%</w:t>
      </w:r>
      <w:r>
        <w:rPr>
          <w:rFonts w:hint="eastAsia" w:ascii="仿宋" w:hAnsi="仿宋" w:eastAsia="仿宋" w:cs="仿宋"/>
          <w:sz w:val="32"/>
          <w:szCs w:val="32"/>
          <w:lang w:val="zh-CN"/>
        </w:rPr>
        <w:t>。</w:t>
      </w:r>
    </w:p>
    <w:p>
      <w:pPr>
        <w:adjustRightInd w:val="0"/>
        <w:snapToGrid w:val="0"/>
        <w:spacing w:line="600" w:lineRule="exact"/>
        <w:ind w:firstLine="720"/>
        <w:rPr>
          <w:rFonts w:ascii="仿宋" w:hAnsi="仿宋" w:eastAsia="仿宋" w:cs="仿宋"/>
          <w:sz w:val="32"/>
          <w:szCs w:val="32"/>
          <w:lang w:val="zh-CN"/>
        </w:rPr>
      </w:pPr>
      <w:r>
        <w:rPr>
          <w:rFonts w:ascii="仿宋" w:hAnsi="仿宋" w:eastAsia="仿宋" w:cs="仿宋"/>
          <w:sz w:val="32"/>
          <w:szCs w:val="32"/>
          <w:lang w:val="zh-CN"/>
        </w:rPr>
        <w:t>3</w:t>
      </w:r>
      <w:r>
        <w:rPr>
          <w:rFonts w:hint="eastAsia" w:ascii="仿宋" w:hAnsi="仿宋" w:eastAsia="仿宋" w:cs="仿宋"/>
          <w:sz w:val="32"/>
          <w:szCs w:val="32"/>
          <w:lang w:val="zh-CN"/>
        </w:rPr>
        <w:t>．资金使用：该项资金用于</w:t>
      </w:r>
      <w:r>
        <w:rPr>
          <w:rFonts w:hint="eastAsia" w:ascii="仿宋" w:hAnsi="仿宋" w:eastAsia="仿宋" w:cs="仿宋"/>
          <w:sz w:val="32"/>
          <w:szCs w:val="32"/>
        </w:rPr>
        <w:t>保障学校正常教育教学秩序开展，严格按财经制度及主管部门相关要求进行每笔支出</w:t>
      </w:r>
      <w:r>
        <w:rPr>
          <w:rFonts w:hint="eastAsia" w:ascii="仿宋" w:hAnsi="仿宋" w:eastAsia="仿宋" w:cs="仿宋"/>
          <w:sz w:val="32"/>
          <w:szCs w:val="32"/>
          <w:lang w:val="zh-CN"/>
        </w:rPr>
        <w:t>。</w:t>
      </w:r>
    </w:p>
    <w:p>
      <w:pPr>
        <w:adjustRightInd w:val="0"/>
        <w:snapToGrid w:val="0"/>
        <w:spacing w:line="600" w:lineRule="exact"/>
        <w:ind w:firstLine="720"/>
        <w:rPr>
          <w:rFonts w:ascii="仿宋" w:hAnsi="仿宋" w:eastAsia="仿宋" w:cs="仿宋"/>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项目财务管理情况</w:t>
      </w:r>
    </w:p>
    <w:p>
      <w:p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该项目财务管理制度健全，严格执行财务管理制度，账务处理及时，会计核算规范等。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项目组织架构及实施流程</w:t>
      </w:r>
    </w:p>
    <w:p>
      <w:p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sz w:val="32"/>
          <w:szCs w:val="32"/>
          <w:lang w:val="zh-CN"/>
        </w:rPr>
        <w:t>五通桥区竹根镇竹根初级中学成立项目建设工作的领导小组，项目建设工作由行政会集体研究决定，由分管领导和职能部门负责人具体负责实施。</w:t>
      </w:r>
    </w:p>
    <w:p>
      <w:pPr>
        <w:numPr>
          <w:ilvl w:val="0"/>
          <w:numId w:val="8"/>
        </w:numPr>
        <w:adjustRightInd w:val="0"/>
        <w:snapToGrid w:val="0"/>
        <w:spacing w:line="60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项目管理情况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项目完成情况</w:t>
      </w:r>
    </w:p>
    <w:p>
      <w:pPr>
        <w:adjustRightInd w:val="0"/>
        <w:snapToGrid w:val="0"/>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全年执行</w:t>
      </w:r>
      <w:r>
        <w:rPr>
          <w:rFonts w:ascii="仿宋" w:hAnsi="仿宋" w:eastAsia="仿宋" w:cs="仿宋"/>
          <w:sz w:val="32"/>
          <w:szCs w:val="32"/>
        </w:rPr>
        <w:t>79.96</w:t>
      </w:r>
      <w:r>
        <w:rPr>
          <w:rFonts w:hint="eastAsia" w:ascii="仿宋" w:hAnsi="仿宋" w:eastAsia="仿宋" w:cs="仿宋"/>
          <w:sz w:val="32"/>
          <w:szCs w:val="32"/>
          <w:lang w:val="zh-CN"/>
        </w:rPr>
        <w:t>万，涉及</w:t>
      </w:r>
      <w:r>
        <w:rPr>
          <w:rFonts w:ascii="仿宋" w:hAnsi="仿宋" w:eastAsia="仿宋" w:cs="仿宋"/>
          <w:sz w:val="32"/>
          <w:szCs w:val="32"/>
          <w:lang w:val="zh-CN"/>
        </w:rPr>
        <w:t>1</w:t>
      </w:r>
      <w:r>
        <w:rPr>
          <w:rFonts w:hint="eastAsia" w:ascii="仿宋" w:hAnsi="仿宋" w:eastAsia="仿宋" w:cs="仿宋"/>
          <w:sz w:val="32"/>
          <w:szCs w:val="32"/>
          <w:lang w:val="zh-CN"/>
        </w:rPr>
        <w:t>个项目，顺利完成教育教学任务，学校办学条件有所提升。</w:t>
      </w:r>
    </w:p>
    <w:p>
      <w:pPr>
        <w:adjustRightInd w:val="0"/>
        <w:snapToGrid w:val="0"/>
        <w:spacing w:line="600" w:lineRule="exact"/>
        <w:ind w:firstLine="720"/>
        <w:rPr>
          <w:rFonts w:ascii="仿宋" w:hAnsi="仿宋" w:eastAsia="仿宋" w:cs="仿宋"/>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项目效益情况</w:t>
      </w:r>
    </w:p>
    <w:p>
      <w:pPr>
        <w:adjustRightInd w:val="0"/>
        <w:snapToGrid w:val="0"/>
        <w:spacing w:line="600" w:lineRule="exact"/>
        <w:ind w:firstLine="720"/>
        <w:rPr>
          <w:rFonts w:ascii="仿宋" w:hAnsi="仿宋" w:eastAsia="仿宋" w:cs="仿宋"/>
          <w:sz w:val="32"/>
          <w:szCs w:val="32"/>
          <w:lang w:val="zh-CN"/>
        </w:rPr>
      </w:pPr>
      <w:r>
        <w:rPr>
          <w:rFonts w:hint="eastAsia" w:ascii="仿宋" w:hAnsi="仿宋" w:eastAsia="仿宋" w:cs="仿宋"/>
          <w:sz w:val="32"/>
          <w:szCs w:val="32"/>
          <w:lang w:val="zh-CN"/>
        </w:rPr>
        <w:t>灾后重建建设全部完成，顺利验收合格，保障了学校师生正常教育教学秩序开展，为师生提供健康。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ascii="仿宋" w:hAnsi="仿宋" w:eastAsia="仿宋" w:cs="仿宋"/>
          <w:sz w:val="32"/>
          <w:szCs w:val="32"/>
        </w:rPr>
        <w:t>100</w:t>
      </w:r>
      <w:r>
        <w:rPr>
          <w:rFonts w:hint="eastAsia" w:ascii="仿宋" w:hAnsi="仿宋" w:eastAsia="仿宋" w:cs="仿宋"/>
          <w:sz w:val="32"/>
          <w:szCs w:val="32"/>
        </w:rPr>
        <w:t>分，总体评分为优。</w:t>
      </w:r>
    </w:p>
    <w:p>
      <w:pPr>
        <w:adjustRightInd w:val="0"/>
        <w:snapToGrid w:val="0"/>
        <w:spacing w:line="600" w:lineRule="exact"/>
        <w:ind w:firstLine="643" w:firstLineChars="200"/>
        <w:rPr>
          <w:rFonts w:ascii="仿宋" w:hAnsi="仿宋" w:eastAsia="仿宋" w:cs="仿宋"/>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1920" w:firstLineChars="600"/>
        <w:rPr>
          <w:rFonts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ascii="仿宋" w:hAnsi="仿宋" w:eastAsia="仿宋" w:cs="仿宋"/>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widowControl/>
        <w:ind w:firstLine="1920" w:firstLineChars="600"/>
        <w:jc w:val="left"/>
        <w:rPr>
          <w:rStyle w:val="14"/>
          <w:rFonts w:ascii="黑体" w:hAnsi="黑体" w:eastAsia="黑体"/>
          <w:b w:val="0"/>
        </w:rPr>
      </w:pPr>
      <w:r>
        <w:rPr>
          <w:rFonts w:hint="eastAsia" w:ascii="仿宋" w:hAnsi="仿宋" w:eastAsia="仿宋" w:cs="仿宋"/>
          <w:sz w:val="32"/>
          <w:szCs w:val="32"/>
          <w:lang w:val="zh-CN"/>
        </w:rPr>
        <w:t>无</w:t>
      </w: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p>
      <w:pPr>
        <w:widowControl/>
        <w:jc w:val="left"/>
        <w:rPr>
          <w:rStyle w:val="14"/>
          <w:rFonts w:ascii="黑体" w:hAnsi="黑体" w:eastAsia="黑体"/>
          <w:b w:val="0"/>
        </w:rPr>
      </w:pPr>
    </w:p>
    <w:bookmarkEnd w:id="91"/>
    <w:p>
      <w:pPr>
        <w:spacing w:line="600" w:lineRule="exact"/>
        <w:ind w:left="315" w:leftChars="150"/>
        <w:jc w:val="center"/>
        <w:outlineLvl w:val="0"/>
        <w:rPr>
          <w:rStyle w:val="14"/>
          <w:rFonts w:ascii="黑体" w:hAnsi="黑体" w:eastAsia="黑体"/>
          <w:b w:val="0"/>
        </w:rPr>
      </w:pPr>
      <w:bookmarkStart w:id="94" w:name="_Toc29316"/>
      <w:bookmarkStart w:id="95" w:name="_Toc15396618"/>
      <w:bookmarkStart w:id="96" w:name="_Toc15396619"/>
      <w:r>
        <w:rPr>
          <w:rStyle w:val="14"/>
          <w:rFonts w:hint="eastAsia" w:ascii="黑体" w:hAnsi="黑体" w:eastAsia="黑体"/>
          <w:b w:val="0"/>
        </w:rPr>
        <w:t>第五部分</w:t>
      </w:r>
      <w:r>
        <w:rPr>
          <w:rStyle w:val="14"/>
          <w:rFonts w:ascii="黑体" w:hAnsi="黑体" w:eastAsia="黑体"/>
          <w:b w:val="0"/>
        </w:rPr>
        <w:t xml:space="preserve">  </w:t>
      </w:r>
      <w:r>
        <w:rPr>
          <w:rStyle w:val="14"/>
          <w:rFonts w:hint="eastAsia" w:ascii="黑体" w:hAnsi="黑体" w:eastAsia="黑体"/>
          <w:b w:val="0"/>
        </w:rPr>
        <w:t>附表</w:t>
      </w:r>
      <w:bookmarkEnd w:id="94"/>
      <w:bookmarkEnd w:id="95"/>
    </w:p>
    <w:p>
      <w:pPr>
        <w:spacing w:line="600" w:lineRule="exact"/>
        <w:ind w:left="315" w:leftChars="150"/>
        <w:outlineLvl w:val="0"/>
        <w:rPr>
          <w:rStyle w:val="14"/>
          <w:rFonts w:ascii="黑体" w:hAnsi="黑体" w:eastAsia="黑体"/>
          <w:b w:val="0"/>
        </w:rPr>
      </w:pPr>
    </w:p>
    <w:bookmarkEnd w:id="96"/>
    <w:p>
      <w:pPr>
        <w:pStyle w:val="3"/>
        <w:spacing w:line="580" w:lineRule="exact"/>
        <w:rPr>
          <w:rFonts w:ascii="仿宋" w:hAnsi="仿宋" w:eastAsia="仿宋"/>
          <w:b w:val="0"/>
          <w:color w:val="000000"/>
        </w:rPr>
      </w:pPr>
      <w:bookmarkStart w:id="97" w:name="_Toc24070"/>
      <w:bookmarkStart w:id="98" w:name="_Toc30727"/>
      <w:r>
        <w:rPr>
          <w:rFonts w:hint="eastAsia" w:ascii="仿宋" w:hAnsi="仿宋" w:eastAsia="仿宋"/>
          <w:b w:val="0"/>
          <w:color w:val="000000"/>
        </w:rPr>
        <w:t>一、收</w:t>
      </w:r>
      <w:r>
        <w:rPr>
          <w:rStyle w:val="15"/>
          <w:rFonts w:hint="eastAsia" w:ascii="仿宋" w:hAnsi="仿宋" w:eastAsia="仿宋"/>
          <w:b w:val="0"/>
        </w:rPr>
        <w:t>入支出决算总表</w:t>
      </w:r>
      <w:bookmarkEnd w:id="97"/>
      <w:bookmarkEnd w:id="98"/>
    </w:p>
    <w:p>
      <w:pPr>
        <w:pStyle w:val="3"/>
        <w:spacing w:line="580" w:lineRule="exact"/>
        <w:rPr>
          <w:rFonts w:ascii="仿宋" w:hAnsi="仿宋" w:eastAsia="仿宋"/>
          <w:b w:val="0"/>
          <w:color w:val="000000"/>
        </w:rPr>
      </w:pPr>
      <w:bookmarkStart w:id="99" w:name="_Toc15396620"/>
      <w:bookmarkStart w:id="100" w:name="_Toc6493"/>
      <w:bookmarkStart w:id="101" w:name="_Toc9506"/>
      <w:r>
        <w:rPr>
          <w:rFonts w:hint="eastAsia" w:ascii="仿宋" w:hAnsi="仿宋" w:eastAsia="仿宋"/>
          <w:b w:val="0"/>
          <w:color w:val="000000"/>
        </w:rPr>
        <w:t>二、收</w:t>
      </w:r>
      <w:r>
        <w:rPr>
          <w:rStyle w:val="15"/>
          <w:rFonts w:hint="eastAsia" w:ascii="仿宋" w:hAnsi="仿宋" w:eastAsia="仿宋"/>
          <w:b w:val="0"/>
        </w:rPr>
        <w:t>入决算表</w:t>
      </w:r>
      <w:bookmarkEnd w:id="99"/>
      <w:bookmarkEnd w:id="100"/>
      <w:bookmarkEnd w:id="101"/>
    </w:p>
    <w:p>
      <w:pPr>
        <w:pStyle w:val="3"/>
        <w:spacing w:line="580" w:lineRule="exact"/>
        <w:rPr>
          <w:rFonts w:ascii="仿宋" w:hAnsi="仿宋" w:eastAsia="仿宋"/>
          <w:b w:val="0"/>
          <w:color w:val="000000"/>
        </w:rPr>
      </w:pPr>
      <w:bookmarkStart w:id="102" w:name="_Toc15396621"/>
      <w:bookmarkStart w:id="103" w:name="_Toc23752"/>
      <w:bookmarkStart w:id="104" w:name="_Toc21493"/>
      <w:r>
        <w:rPr>
          <w:rStyle w:val="15"/>
          <w:rFonts w:hint="eastAsia" w:ascii="仿宋" w:hAnsi="仿宋" w:eastAsia="仿宋"/>
          <w:b w:val="0"/>
        </w:rPr>
        <w:t>三、</w:t>
      </w:r>
      <w:r>
        <w:rPr>
          <w:rFonts w:hint="eastAsia" w:ascii="仿宋" w:hAnsi="仿宋" w:eastAsia="仿宋"/>
          <w:b w:val="0"/>
          <w:color w:val="000000"/>
        </w:rPr>
        <w:t>支</w:t>
      </w:r>
      <w:r>
        <w:rPr>
          <w:rStyle w:val="15"/>
          <w:rFonts w:hint="eastAsia" w:ascii="仿宋" w:hAnsi="仿宋" w:eastAsia="仿宋"/>
          <w:b w:val="0"/>
        </w:rPr>
        <w:t>出决算表</w:t>
      </w:r>
      <w:bookmarkEnd w:id="102"/>
      <w:bookmarkEnd w:id="103"/>
      <w:bookmarkEnd w:id="104"/>
    </w:p>
    <w:p>
      <w:pPr>
        <w:pStyle w:val="3"/>
        <w:spacing w:line="580" w:lineRule="exact"/>
        <w:rPr>
          <w:rFonts w:ascii="仿宋" w:hAnsi="仿宋" w:eastAsia="仿宋"/>
          <w:b w:val="0"/>
          <w:color w:val="000000"/>
        </w:rPr>
      </w:pPr>
      <w:bookmarkStart w:id="105" w:name="_Toc15396622"/>
      <w:bookmarkStart w:id="106" w:name="_Toc23931"/>
      <w:bookmarkStart w:id="107" w:name="_Toc3504"/>
      <w:r>
        <w:rPr>
          <w:rStyle w:val="15"/>
          <w:rFonts w:hint="eastAsia" w:ascii="仿宋" w:hAnsi="仿宋" w:eastAsia="仿宋"/>
          <w:b w:val="0"/>
        </w:rPr>
        <w:t>四、</w:t>
      </w:r>
      <w:r>
        <w:rPr>
          <w:rFonts w:hint="eastAsia" w:ascii="仿宋" w:hAnsi="仿宋" w:eastAsia="仿宋"/>
          <w:b w:val="0"/>
          <w:color w:val="000000"/>
        </w:rPr>
        <w:t>财</w:t>
      </w:r>
      <w:r>
        <w:rPr>
          <w:rStyle w:val="15"/>
          <w:rFonts w:hint="eastAsia" w:ascii="仿宋" w:hAnsi="仿宋" w:eastAsia="仿宋"/>
          <w:b w:val="0"/>
        </w:rPr>
        <w:t>政拨款收入支出决算总表</w:t>
      </w:r>
      <w:bookmarkEnd w:id="105"/>
      <w:bookmarkEnd w:id="106"/>
      <w:bookmarkEnd w:id="107"/>
    </w:p>
    <w:p>
      <w:pPr>
        <w:pStyle w:val="3"/>
        <w:spacing w:line="580" w:lineRule="exact"/>
        <w:rPr>
          <w:rStyle w:val="15"/>
          <w:rFonts w:ascii="仿宋" w:hAnsi="仿宋" w:eastAsia="仿宋"/>
          <w:b w:val="0"/>
        </w:rPr>
      </w:pPr>
      <w:bookmarkStart w:id="108" w:name="_Toc15396623"/>
      <w:bookmarkStart w:id="109" w:name="_Toc30002"/>
      <w:bookmarkStart w:id="110" w:name="_Toc22429"/>
      <w:r>
        <w:rPr>
          <w:rStyle w:val="15"/>
          <w:rFonts w:hint="eastAsia" w:ascii="仿宋" w:hAnsi="仿宋" w:eastAsia="仿宋"/>
          <w:b w:val="0"/>
        </w:rPr>
        <w:t>五、</w:t>
      </w:r>
      <w:r>
        <w:rPr>
          <w:rFonts w:hint="eastAsia" w:ascii="仿宋" w:hAnsi="仿宋" w:eastAsia="仿宋"/>
          <w:b w:val="0"/>
          <w:color w:val="000000"/>
        </w:rPr>
        <w:t>财</w:t>
      </w:r>
      <w:r>
        <w:rPr>
          <w:rStyle w:val="15"/>
          <w:rFonts w:hint="eastAsia" w:ascii="仿宋" w:hAnsi="仿宋" w:eastAsia="仿宋"/>
          <w:b w:val="0"/>
        </w:rPr>
        <w:t>政拨款支出决算明细表</w:t>
      </w:r>
      <w:bookmarkEnd w:id="108"/>
      <w:bookmarkEnd w:id="109"/>
      <w:bookmarkEnd w:id="110"/>
      <w:bookmarkStart w:id="111" w:name="_Toc15396624"/>
    </w:p>
    <w:p>
      <w:pPr>
        <w:pStyle w:val="3"/>
        <w:spacing w:line="580" w:lineRule="exact"/>
        <w:rPr>
          <w:rFonts w:ascii="仿宋" w:hAnsi="仿宋" w:eastAsia="仿宋"/>
          <w:b w:val="0"/>
          <w:color w:val="000000"/>
        </w:rPr>
      </w:pPr>
      <w:bookmarkStart w:id="112" w:name="_Toc19691"/>
      <w:bookmarkStart w:id="113" w:name="_Toc23305"/>
      <w:r>
        <w:rPr>
          <w:rStyle w:val="15"/>
          <w:rFonts w:hint="eastAsia" w:ascii="仿宋" w:hAnsi="仿宋" w:eastAsia="仿宋"/>
          <w:b w:val="0"/>
        </w:rPr>
        <w:t>六、</w:t>
      </w:r>
      <w:r>
        <w:rPr>
          <w:rFonts w:hint="eastAsia" w:ascii="仿宋" w:hAnsi="仿宋" w:eastAsia="仿宋"/>
          <w:b w:val="0"/>
          <w:color w:val="000000"/>
        </w:rPr>
        <w:t>一</w:t>
      </w:r>
      <w:r>
        <w:rPr>
          <w:rStyle w:val="15"/>
          <w:rFonts w:hint="eastAsia" w:ascii="仿宋" w:hAnsi="仿宋" w:eastAsia="仿宋"/>
          <w:b w:val="0"/>
        </w:rPr>
        <w:t>般公共预算财政拨款支出决算表</w:t>
      </w:r>
      <w:bookmarkEnd w:id="111"/>
      <w:bookmarkEnd w:id="112"/>
      <w:bookmarkEnd w:id="113"/>
    </w:p>
    <w:p>
      <w:pPr>
        <w:pStyle w:val="3"/>
        <w:spacing w:line="580" w:lineRule="exact"/>
        <w:rPr>
          <w:rFonts w:ascii="仿宋" w:hAnsi="仿宋" w:eastAsia="仿宋"/>
          <w:b w:val="0"/>
          <w:color w:val="000000"/>
        </w:rPr>
      </w:pPr>
      <w:bookmarkStart w:id="114" w:name="_Toc15396625"/>
      <w:bookmarkStart w:id="115" w:name="_Toc25647"/>
      <w:bookmarkStart w:id="116" w:name="_Toc6527"/>
      <w:r>
        <w:rPr>
          <w:rStyle w:val="15"/>
          <w:rFonts w:hint="eastAsia" w:ascii="仿宋" w:hAnsi="仿宋" w:eastAsia="仿宋"/>
          <w:b w:val="0"/>
        </w:rPr>
        <w:t>七、</w:t>
      </w:r>
      <w:r>
        <w:rPr>
          <w:rFonts w:hint="eastAsia" w:ascii="仿宋" w:hAnsi="仿宋" w:eastAsia="仿宋"/>
          <w:b w:val="0"/>
          <w:color w:val="000000"/>
        </w:rPr>
        <w:t>一</w:t>
      </w:r>
      <w:r>
        <w:rPr>
          <w:rStyle w:val="15"/>
          <w:rFonts w:hint="eastAsia" w:ascii="仿宋" w:hAnsi="仿宋" w:eastAsia="仿宋"/>
          <w:b w:val="0"/>
        </w:rPr>
        <w:t>般公共预算财政拨款支出决算明细表</w:t>
      </w:r>
      <w:bookmarkEnd w:id="114"/>
      <w:bookmarkEnd w:id="115"/>
      <w:bookmarkEnd w:id="116"/>
    </w:p>
    <w:p>
      <w:pPr>
        <w:pStyle w:val="3"/>
        <w:spacing w:line="580" w:lineRule="exact"/>
        <w:rPr>
          <w:rFonts w:ascii="仿宋" w:hAnsi="仿宋" w:eastAsia="仿宋"/>
          <w:b w:val="0"/>
          <w:color w:val="000000"/>
        </w:rPr>
      </w:pPr>
      <w:bookmarkStart w:id="117" w:name="_Toc26974"/>
      <w:bookmarkStart w:id="118" w:name="_Toc15396626"/>
      <w:bookmarkStart w:id="119" w:name="_Toc10119"/>
      <w:r>
        <w:rPr>
          <w:rStyle w:val="15"/>
          <w:rFonts w:hint="eastAsia" w:ascii="仿宋" w:hAnsi="仿宋" w:eastAsia="仿宋"/>
          <w:b w:val="0"/>
        </w:rPr>
        <w:t>八、</w:t>
      </w:r>
      <w:r>
        <w:rPr>
          <w:rFonts w:hint="eastAsia" w:ascii="仿宋" w:hAnsi="仿宋" w:eastAsia="仿宋"/>
          <w:b w:val="0"/>
          <w:color w:val="000000"/>
        </w:rPr>
        <w:t>一</w:t>
      </w:r>
      <w:r>
        <w:rPr>
          <w:rStyle w:val="15"/>
          <w:rFonts w:hint="eastAsia" w:ascii="仿宋" w:hAnsi="仿宋" w:eastAsia="仿宋"/>
          <w:b w:val="0"/>
        </w:rPr>
        <w:t>般公共预算财政拨款基本支出决算表</w:t>
      </w:r>
      <w:bookmarkEnd w:id="117"/>
      <w:bookmarkEnd w:id="118"/>
      <w:bookmarkEnd w:id="119"/>
    </w:p>
    <w:p>
      <w:pPr>
        <w:pStyle w:val="3"/>
        <w:spacing w:line="580" w:lineRule="exact"/>
        <w:rPr>
          <w:rFonts w:ascii="仿宋" w:hAnsi="仿宋" w:eastAsia="仿宋"/>
          <w:b w:val="0"/>
          <w:color w:val="000000"/>
        </w:rPr>
      </w:pPr>
      <w:bookmarkStart w:id="120" w:name="_Toc21697"/>
      <w:bookmarkStart w:id="121" w:name="_Toc15396627"/>
      <w:bookmarkStart w:id="122" w:name="_Toc26543"/>
      <w:r>
        <w:rPr>
          <w:rStyle w:val="15"/>
          <w:rFonts w:hint="eastAsia" w:ascii="仿宋" w:hAnsi="仿宋" w:eastAsia="仿宋"/>
          <w:b w:val="0"/>
        </w:rPr>
        <w:t>九、</w:t>
      </w:r>
      <w:r>
        <w:rPr>
          <w:rFonts w:hint="eastAsia" w:ascii="仿宋" w:hAnsi="仿宋" w:eastAsia="仿宋"/>
          <w:b w:val="0"/>
          <w:color w:val="000000"/>
        </w:rPr>
        <w:t>一</w:t>
      </w:r>
      <w:r>
        <w:rPr>
          <w:rStyle w:val="15"/>
          <w:rFonts w:hint="eastAsia" w:ascii="仿宋" w:hAnsi="仿宋" w:eastAsia="仿宋"/>
          <w:b w:val="0"/>
        </w:rPr>
        <w:t>般公共预算财政拨款项目支出决算表</w:t>
      </w:r>
      <w:bookmarkEnd w:id="120"/>
      <w:bookmarkEnd w:id="121"/>
      <w:bookmarkEnd w:id="122"/>
    </w:p>
    <w:p>
      <w:pPr>
        <w:pStyle w:val="3"/>
        <w:spacing w:line="580" w:lineRule="exact"/>
        <w:rPr>
          <w:rFonts w:ascii="仿宋" w:hAnsi="仿宋" w:eastAsia="仿宋"/>
          <w:b w:val="0"/>
          <w:color w:val="000000"/>
        </w:rPr>
      </w:pPr>
      <w:bookmarkStart w:id="123" w:name="_Toc13277"/>
      <w:bookmarkStart w:id="124" w:name="_Toc28481"/>
      <w:bookmarkStart w:id="125" w:name="_Toc15396628"/>
      <w:r>
        <w:rPr>
          <w:rStyle w:val="15"/>
          <w:rFonts w:hint="eastAsia" w:ascii="仿宋" w:hAnsi="仿宋" w:eastAsia="仿宋"/>
          <w:b w:val="0"/>
        </w:rPr>
        <w:t>十、</w:t>
      </w:r>
      <w:r>
        <w:rPr>
          <w:rFonts w:hint="eastAsia" w:ascii="仿宋" w:hAnsi="仿宋" w:eastAsia="仿宋"/>
          <w:b w:val="0"/>
          <w:color w:val="000000"/>
        </w:rPr>
        <w:t>一</w:t>
      </w:r>
      <w:r>
        <w:rPr>
          <w:rStyle w:val="15"/>
          <w:rFonts w:hint="eastAsia" w:ascii="仿宋" w:hAnsi="仿宋" w:eastAsia="仿宋"/>
          <w:b w:val="0"/>
        </w:rPr>
        <w:t>般公共预算财政拨款“三公”经费支出决算表</w:t>
      </w:r>
      <w:bookmarkEnd w:id="123"/>
      <w:bookmarkEnd w:id="124"/>
      <w:bookmarkEnd w:id="125"/>
    </w:p>
    <w:p>
      <w:pPr>
        <w:pStyle w:val="3"/>
        <w:spacing w:line="580" w:lineRule="exact"/>
        <w:rPr>
          <w:rFonts w:ascii="仿宋" w:hAnsi="仿宋" w:eastAsia="仿宋"/>
          <w:b w:val="0"/>
          <w:color w:val="000000"/>
        </w:rPr>
      </w:pPr>
      <w:bookmarkStart w:id="126" w:name="_Toc24938"/>
      <w:bookmarkStart w:id="127" w:name="_Toc1824"/>
      <w:bookmarkStart w:id="128" w:name="_Toc15396629"/>
      <w:r>
        <w:rPr>
          <w:rStyle w:val="15"/>
          <w:rFonts w:hint="eastAsia" w:ascii="仿宋" w:hAnsi="仿宋" w:eastAsia="仿宋"/>
          <w:b w:val="0"/>
        </w:rPr>
        <w:t>十一、</w:t>
      </w:r>
      <w:r>
        <w:rPr>
          <w:rFonts w:hint="eastAsia" w:ascii="仿宋" w:hAnsi="仿宋" w:eastAsia="仿宋"/>
          <w:b w:val="0"/>
          <w:color w:val="000000"/>
        </w:rPr>
        <w:t>政</w:t>
      </w:r>
      <w:r>
        <w:rPr>
          <w:rStyle w:val="15"/>
          <w:rFonts w:hint="eastAsia" w:ascii="仿宋" w:hAnsi="仿宋" w:eastAsia="仿宋"/>
          <w:b w:val="0"/>
        </w:rPr>
        <w:t>府性基金预算财政拨款收入支出决算表</w:t>
      </w:r>
      <w:bookmarkEnd w:id="126"/>
      <w:bookmarkEnd w:id="127"/>
      <w:bookmarkEnd w:id="128"/>
    </w:p>
    <w:p>
      <w:pPr>
        <w:pStyle w:val="3"/>
        <w:spacing w:line="580" w:lineRule="exact"/>
        <w:rPr>
          <w:rFonts w:ascii="仿宋" w:hAnsi="仿宋" w:eastAsia="仿宋"/>
          <w:b w:val="0"/>
          <w:color w:val="000000"/>
        </w:rPr>
      </w:pPr>
      <w:bookmarkStart w:id="129" w:name="_Toc3423"/>
      <w:bookmarkStart w:id="130" w:name="_Toc32356"/>
      <w:bookmarkStart w:id="131" w:name="_Toc15396630"/>
      <w:r>
        <w:rPr>
          <w:rStyle w:val="15"/>
          <w:rFonts w:hint="eastAsia" w:ascii="仿宋" w:hAnsi="仿宋" w:eastAsia="仿宋"/>
          <w:b w:val="0"/>
        </w:rPr>
        <w:t>十二、</w:t>
      </w:r>
      <w:r>
        <w:rPr>
          <w:rFonts w:hint="eastAsia" w:ascii="仿宋" w:hAnsi="仿宋" w:eastAsia="仿宋"/>
          <w:b w:val="0"/>
          <w:color w:val="000000"/>
        </w:rPr>
        <w:t>政</w:t>
      </w:r>
      <w:r>
        <w:rPr>
          <w:rStyle w:val="15"/>
          <w:rFonts w:hint="eastAsia" w:ascii="仿宋" w:hAnsi="仿宋" w:eastAsia="仿宋"/>
          <w:b w:val="0"/>
        </w:rPr>
        <w:t>府性基金预算财政拨款“三公”经费支出决算表</w:t>
      </w:r>
      <w:bookmarkEnd w:id="129"/>
      <w:bookmarkEnd w:id="130"/>
      <w:bookmarkEnd w:id="131"/>
    </w:p>
    <w:p>
      <w:pPr>
        <w:pStyle w:val="3"/>
        <w:spacing w:line="580" w:lineRule="exact"/>
        <w:rPr>
          <w:rStyle w:val="15"/>
          <w:rFonts w:ascii="仿宋" w:hAnsi="仿宋" w:eastAsia="仿宋"/>
          <w:b w:val="0"/>
        </w:rPr>
      </w:pPr>
      <w:bookmarkStart w:id="132" w:name="_Toc27620"/>
      <w:bookmarkStart w:id="133" w:name="_Toc15390"/>
      <w:bookmarkStart w:id="134" w:name="_Toc15396631"/>
      <w:r>
        <w:rPr>
          <w:rStyle w:val="15"/>
          <w:rFonts w:hint="eastAsia" w:ascii="仿宋" w:hAnsi="仿宋" w:eastAsia="仿宋"/>
          <w:b w:val="0"/>
        </w:rPr>
        <w:t>十三、</w:t>
      </w:r>
      <w:r>
        <w:rPr>
          <w:rFonts w:hint="eastAsia" w:ascii="仿宋" w:hAnsi="仿宋" w:eastAsia="仿宋"/>
          <w:b w:val="0"/>
          <w:color w:val="000000"/>
        </w:rPr>
        <w:t>国</w:t>
      </w:r>
      <w:r>
        <w:rPr>
          <w:rStyle w:val="15"/>
          <w:rFonts w:hint="eastAsia" w:ascii="仿宋" w:hAnsi="仿宋" w:eastAsia="仿宋"/>
          <w:b w:val="0"/>
        </w:rPr>
        <w:t>有资本经营预算财政拨款收入支出决算表</w:t>
      </w:r>
      <w:bookmarkEnd w:id="132"/>
      <w:bookmarkEnd w:id="133"/>
      <w:bookmarkEnd w:id="134"/>
    </w:p>
    <w:p>
      <w:pPr>
        <w:pStyle w:val="3"/>
        <w:spacing w:line="580" w:lineRule="exact"/>
        <w:rPr>
          <w:rFonts w:ascii="仿宋" w:hAnsi="仿宋" w:eastAsia="仿宋"/>
          <w:b w:val="0"/>
          <w:color w:val="000000"/>
        </w:rPr>
      </w:pPr>
      <w:bookmarkStart w:id="135" w:name="_Toc29775"/>
      <w:bookmarkStart w:id="136" w:name="_Toc11289"/>
      <w:r>
        <w:rPr>
          <w:rStyle w:val="15"/>
          <w:rFonts w:hint="eastAsia" w:ascii="仿宋" w:hAnsi="仿宋" w:eastAsia="仿宋"/>
          <w:b w:val="0"/>
        </w:rPr>
        <w:t>十四、</w:t>
      </w:r>
      <w:r>
        <w:rPr>
          <w:rFonts w:hint="eastAsia" w:ascii="仿宋" w:hAnsi="仿宋" w:eastAsia="仿宋"/>
          <w:b w:val="0"/>
          <w:color w:val="000000"/>
        </w:rPr>
        <w:t>国</w:t>
      </w:r>
      <w:r>
        <w:rPr>
          <w:rStyle w:val="15"/>
          <w:rFonts w:hint="eastAsia" w:ascii="仿宋" w:hAnsi="仿宋" w:eastAsia="仿宋"/>
          <w:b w:val="0"/>
        </w:rPr>
        <w:t>有资本经营预算财政拨款支出决算表</w:t>
      </w:r>
      <w:bookmarkEnd w:id="135"/>
      <w:bookmarkEnd w:id="136"/>
    </w:p>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EA98A"/>
    <w:multiLevelType w:val="singleLevel"/>
    <w:tmpl w:val="AA1EA98A"/>
    <w:lvl w:ilvl="0" w:tentative="0">
      <w:start w:val="3"/>
      <w:numFmt w:val="decimal"/>
      <w:suff w:val="nothing"/>
      <w:lvlText w:val="%1．"/>
      <w:lvlJc w:val="left"/>
      <w:rPr>
        <w:rFonts w:cs="Times New Roman"/>
      </w:rPr>
    </w:lvl>
  </w:abstractNum>
  <w:abstractNum w:abstractNumId="1">
    <w:nsid w:val="BDD8C250"/>
    <w:multiLevelType w:val="singleLevel"/>
    <w:tmpl w:val="BDD8C250"/>
    <w:lvl w:ilvl="0" w:tentative="0">
      <w:start w:val="2"/>
      <w:numFmt w:val="chineseCounting"/>
      <w:suff w:val="nothing"/>
      <w:lvlText w:val="（%1）"/>
      <w:lvlJc w:val="left"/>
      <w:rPr>
        <w:rFonts w:hint="eastAsia" w:cs="Times New Roman"/>
      </w:rPr>
    </w:lvl>
  </w:abstractNum>
  <w:abstractNum w:abstractNumId="2">
    <w:nsid w:val="C6CA7421"/>
    <w:multiLevelType w:val="singleLevel"/>
    <w:tmpl w:val="C6CA7421"/>
    <w:lvl w:ilvl="0" w:tentative="0">
      <w:start w:val="2"/>
      <w:numFmt w:val="chineseCounting"/>
      <w:suff w:val="nothing"/>
      <w:lvlText w:val="（%1）"/>
      <w:lvlJc w:val="left"/>
      <w:rPr>
        <w:rFonts w:hint="eastAsia" w:cs="Times New Roman"/>
      </w:rPr>
    </w:lvl>
  </w:abstractNum>
  <w:abstractNum w:abstractNumId="3">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4">
    <w:nsid w:val="D8E583FD"/>
    <w:multiLevelType w:val="singleLevel"/>
    <w:tmpl w:val="D8E583FD"/>
    <w:lvl w:ilvl="0" w:tentative="0">
      <w:start w:val="2"/>
      <w:numFmt w:val="chineseCounting"/>
      <w:suff w:val="nothing"/>
      <w:lvlText w:val="%1、"/>
      <w:lvlJc w:val="left"/>
      <w:rPr>
        <w:rFonts w:hint="eastAsia" w:cs="Times New Roman"/>
      </w:rPr>
    </w:lvl>
  </w:abstractNum>
  <w:abstractNum w:abstractNumId="5">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7">
    <w:nsid w:val="65B2F012"/>
    <w:multiLevelType w:val="singleLevel"/>
    <w:tmpl w:val="65B2F012"/>
    <w:lvl w:ilvl="0" w:tentative="0">
      <w:start w:val="2"/>
      <w:numFmt w:val="decimal"/>
      <w:suff w:val="nothing"/>
      <w:lvlText w:val="%1．"/>
      <w:lvlJc w:val="left"/>
      <w:rPr>
        <w:rFonts w:cs="Times New Roman"/>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1F"/>
    <w:rsid w:val="002073FE"/>
    <w:rsid w:val="002C1D9C"/>
    <w:rsid w:val="004B66DB"/>
    <w:rsid w:val="00624AEE"/>
    <w:rsid w:val="006301F9"/>
    <w:rsid w:val="00677634"/>
    <w:rsid w:val="00A63913"/>
    <w:rsid w:val="00A80D1F"/>
    <w:rsid w:val="00B26018"/>
    <w:rsid w:val="00DF6ECF"/>
    <w:rsid w:val="010D2661"/>
    <w:rsid w:val="01B64868"/>
    <w:rsid w:val="01BC5869"/>
    <w:rsid w:val="01C11E30"/>
    <w:rsid w:val="01E3205D"/>
    <w:rsid w:val="02E065BA"/>
    <w:rsid w:val="02E93779"/>
    <w:rsid w:val="03BC23B4"/>
    <w:rsid w:val="047D2B2F"/>
    <w:rsid w:val="04D12053"/>
    <w:rsid w:val="05287A32"/>
    <w:rsid w:val="052A6E74"/>
    <w:rsid w:val="058420F1"/>
    <w:rsid w:val="0612567A"/>
    <w:rsid w:val="06951C7E"/>
    <w:rsid w:val="069A6762"/>
    <w:rsid w:val="06E55597"/>
    <w:rsid w:val="074B32FE"/>
    <w:rsid w:val="07604836"/>
    <w:rsid w:val="07721D91"/>
    <w:rsid w:val="07A662F0"/>
    <w:rsid w:val="07CD7C0C"/>
    <w:rsid w:val="089844FD"/>
    <w:rsid w:val="089A28A1"/>
    <w:rsid w:val="08CC033C"/>
    <w:rsid w:val="09186640"/>
    <w:rsid w:val="099E276D"/>
    <w:rsid w:val="09C430F7"/>
    <w:rsid w:val="09CB7031"/>
    <w:rsid w:val="09D407DB"/>
    <w:rsid w:val="0A051ACC"/>
    <w:rsid w:val="0A5510C7"/>
    <w:rsid w:val="0B0D441B"/>
    <w:rsid w:val="0B0D49A2"/>
    <w:rsid w:val="0B225F17"/>
    <w:rsid w:val="0B2267BB"/>
    <w:rsid w:val="0BFC6B85"/>
    <w:rsid w:val="0C285864"/>
    <w:rsid w:val="0C6F1C0B"/>
    <w:rsid w:val="0C7869F8"/>
    <w:rsid w:val="0C8913FF"/>
    <w:rsid w:val="0C943154"/>
    <w:rsid w:val="0D511AC8"/>
    <w:rsid w:val="0D7063F4"/>
    <w:rsid w:val="0E094B3A"/>
    <w:rsid w:val="0E9F0C06"/>
    <w:rsid w:val="0EB547B9"/>
    <w:rsid w:val="0F40628C"/>
    <w:rsid w:val="0F735599"/>
    <w:rsid w:val="0F96152D"/>
    <w:rsid w:val="104F5FF3"/>
    <w:rsid w:val="105967B7"/>
    <w:rsid w:val="1061082F"/>
    <w:rsid w:val="107172A0"/>
    <w:rsid w:val="10B30423"/>
    <w:rsid w:val="10C30504"/>
    <w:rsid w:val="10F24AC0"/>
    <w:rsid w:val="112962C2"/>
    <w:rsid w:val="11383E35"/>
    <w:rsid w:val="118D3F5F"/>
    <w:rsid w:val="11A650B1"/>
    <w:rsid w:val="12F473D0"/>
    <w:rsid w:val="13C14374"/>
    <w:rsid w:val="13D51776"/>
    <w:rsid w:val="13E41CDB"/>
    <w:rsid w:val="141A66B9"/>
    <w:rsid w:val="14B06E34"/>
    <w:rsid w:val="15316F8B"/>
    <w:rsid w:val="15441BB6"/>
    <w:rsid w:val="156848E7"/>
    <w:rsid w:val="158B2B38"/>
    <w:rsid w:val="15DA618C"/>
    <w:rsid w:val="16385338"/>
    <w:rsid w:val="1639537D"/>
    <w:rsid w:val="16544B70"/>
    <w:rsid w:val="16665107"/>
    <w:rsid w:val="16AC0C91"/>
    <w:rsid w:val="172214AF"/>
    <w:rsid w:val="17E0018E"/>
    <w:rsid w:val="17FE1A10"/>
    <w:rsid w:val="1887488F"/>
    <w:rsid w:val="194046CD"/>
    <w:rsid w:val="19A509E8"/>
    <w:rsid w:val="19A87E02"/>
    <w:rsid w:val="19C42560"/>
    <w:rsid w:val="1AD35EA8"/>
    <w:rsid w:val="1AEC5330"/>
    <w:rsid w:val="1B466AD6"/>
    <w:rsid w:val="1B91706E"/>
    <w:rsid w:val="1BD0082C"/>
    <w:rsid w:val="1C2365C6"/>
    <w:rsid w:val="1C4F3E2F"/>
    <w:rsid w:val="1CA53998"/>
    <w:rsid w:val="1CB219C3"/>
    <w:rsid w:val="1D2A6AA0"/>
    <w:rsid w:val="1D8B46EB"/>
    <w:rsid w:val="1DD045F0"/>
    <w:rsid w:val="1DD51D3B"/>
    <w:rsid w:val="1DDF10B1"/>
    <w:rsid w:val="1DEF4930"/>
    <w:rsid w:val="1E217132"/>
    <w:rsid w:val="1E340921"/>
    <w:rsid w:val="1E421890"/>
    <w:rsid w:val="1E6C1364"/>
    <w:rsid w:val="1ECE0F03"/>
    <w:rsid w:val="1F91291C"/>
    <w:rsid w:val="201B24C0"/>
    <w:rsid w:val="202030ED"/>
    <w:rsid w:val="20482E83"/>
    <w:rsid w:val="20DB6B1C"/>
    <w:rsid w:val="2167349A"/>
    <w:rsid w:val="21C54CAA"/>
    <w:rsid w:val="220E1D61"/>
    <w:rsid w:val="224D0AF4"/>
    <w:rsid w:val="24B1088C"/>
    <w:rsid w:val="24C877E1"/>
    <w:rsid w:val="25736D7C"/>
    <w:rsid w:val="258940D8"/>
    <w:rsid w:val="27065C97"/>
    <w:rsid w:val="27267E43"/>
    <w:rsid w:val="27306953"/>
    <w:rsid w:val="27EE54D6"/>
    <w:rsid w:val="281A68C5"/>
    <w:rsid w:val="28312D27"/>
    <w:rsid w:val="284E5E4B"/>
    <w:rsid w:val="290415B0"/>
    <w:rsid w:val="290E2754"/>
    <w:rsid w:val="290F015E"/>
    <w:rsid w:val="293F3240"/>
    <w:rsid w:val="296B3F4B"/>
    <w:rsid w:val="29CA30E0"/>
    <w:rsid w:val="29DB7B33"/>
    <w:rsid w:val="2A412F8F"/>
    <w:rsid w:val="2A903862"/>
    <w:rsid w:val="2B2A381E"/>
    <w:rsid w:val="2B9A4747"/>
    <w:rsid w:val="2BBD3CB4"/>
    <w:rsid w:val="2C412B3E"/>
    <w:rsid w:val="2CC92BF1"/>
    <w:rsid w:val="2CD202A6"/>
    <w:rsid w:val="2CD24DD2"/>
    <w:rsid w:val="2CE324C0"/>
    <w:rsid w:val="2D4466DA"/>
    <w:rsid w:val="2D700FEE"/>
    <w:rsid w:val="2DE36CBE"/>
    <w:rsid w:val="2E154B85"/>
    <w:rsid w:val="2E9D416D"/>
    <w:rsid w:val="300517CD"/>
    <w:rsid w:val="30434438"/>
    <w:rsid w:val="30596012"/>
    <w:rsid w:val="309375FE"/>
    <w:rsid w:val="30AD22F7"/>
    <w:rsid w:val="30B1294E"/>
    <w:rsid w:val="30CF551D"/>
    <w:rsid w:val="31AF05DF"/>
    <w:rsid w:val="327D7A45"/>
    <w:rsid w:val="32C01F73"/>
    <w:rsid w:val="32DE5329"/>
    <w:rsid w:val="33361DB0"/>
    <w:rsid w:val="33B011FF"/>
    <w:rsid w:val="33C57E9A"/>
    <w:rsid w:val="3445531D"/>
    <w:rsid w:val="34895F9A"/>
    <w:rsid w:val="34C3415E"/>
    <w:rsid w:val="34FC40CF"/>
    <w:rsid w:val="35801574"/>
    <w:rsid w:val="358062DE"/>
    <w:rsid w:val="358A6C92"/>
    <w:rsid w:val="35D5318A"/>
    <w:rsid w:val="35E2639B"/>
    <w:rsid w:val="360526E3"/>
    <w:rsid w:val="3619770F"/>
    <w:rsid w:val="36206041"/>
    <w:rsid w:val="368D3F86"/>
    <w:rsid w:val="36CA6C86"/>
    <w:rsid w:val="37206344"/>
    <w:rsid w:val="37254C52"/>
    <w:rsid w:val="37694D62"/>
    <w:rsid w:val="37880EF2"/>
    <w:rsid w:val="381B1E02"/>
    <w:rsid w:val="383276CB"/>
    <w:rsid w:val="386246B4"/>
    <w:rsid w:val="388D3D04"/>
    <w:rsid w:val="38F45326"/>
    <w:rsid w:val="39115282"/>
    <w:rsid w:val="392B51C6"/>
    <w:rsid w:val="393F3EB9"/>
    <w:rsid w:val="3951677D"/>
    <w:rsid w:val="39B03EBF"/>
    <w:rsid w:val="39EB0E26"/>
    <w:rsid w:val="39EE546D"/>
    <w:rsid w:val="39EF201E"/>
    <w:rsid w:val="39FC3F49"/>
    <w:rsid w:val="3A14361B"/>
    <w:rsid w:val="3A520D8A"/>
    <w:rsid w:val="3A584D11"/>
    <w:rsid w:val="3A994E53"/>
    <w:rsid w:val="3A9C74E9"/>
    <w:rsid w:val="3A9E6709"/>
    <w:rsid w:val="3AAB0341"/>
    <w:rsid w:val="3B25291B"/>
    <w:rsid w:val="3B453E63"/>
    <w:rsid w:val="3DEE5631"/>
    <w:rsid w:val="3E213369"/>
    <w:rsid w:val="3E327B54"/>
    <w:rsid w:val="3ED67A25"/>
    <w:rsid w:val="3F1B770F"/>
    <w:rsid w:val="3F313D50"/>
    <w:rsid w:val="3FCB3A13"/>
    <w:rsid w:val="40194187"/>
    <w:rsid w:val="401A5546"/>
    <w:rsid w:val="40D22E6D"/>
    <w:rsid w:val="41CE67C7"/>
    <w:rsid w:val="421D161B"/>
    <w:rsid w:val="425809C0"/>
    <w:rsid w:val="42737A05"/>
    <w:rsid w:val="42B816ED"/>
    <w:rsid w:val="42F158BA"/>
    <w:rsid w:val="431C0FD2"/>
    <w:rsid w:val="436D57D0"/>
    <w:rsid w:val="436E41F1"/>
    <w:rsid w:val="43B04E41"/>
    <w:rsid w:val="44417BA6"/>
    <w:rsid w:val="4467570E"/>
    <w:rsid w:val="44975E01"/>
    <w:rsid w:val="44F14737"/>
    <w:rsid w:val="45130843"/>
    <w:rsid w:val="45A4657F"/>
    <w:rsid w:val="45BD1DF1"/>
    <w:rsid w:val="45E13E67"/>
    <w:rsid w:val="45E32B66"/>
    <w:rsid w:val="45F77353"/>
    <w:rsid w:val="462A775C"/>
    <w:rsid w:val="46B25424"/>
    <w:rsid w:val="46EF616C"/>
    <w:rsid w:val="47450513"/>
    <w:rsid w:val="47813CC2"/>
    <w:rsid w:val="48A71754"/>
    <w:rsid w:val="48E56D2A"/>
    <w:rsid w:val="49003C66"/>
    <w:rsid w:val="496A01DE"/>
    <w:rsid w:val="4A4A697E"/>
    <w:rsid w:val="4A840933"/>
    <w:rsid w:val="4AD67B06"/>
    <w:rsid w:val="4AF2447C"/>
    <w:rsid w:val="4B1E4CBE"/>
    <w:rsid w:val="4B3B6A1C"/>
    <w:rsid w:val="4BD82429"/>
    <w:rsid w:val="4BED3CEC"/>
    <w:rsid w:val="4CAC5477"/>
    <w:rsid w:val="4CB83F31"/>
    <w:rsid w:val="4D605DC6"/>
    <w:rsid w:val="4D687FF9"/>
    <w:rsid w:val="4DA27727"/>
    <w:rsid w:val="4E7E138A"/>
    <w:rsid w:val="4E937E91"/>
    <w:rsid w:val="4F654691"/>
    <w:rsid w:val="4F8708C6"/>
    <w:rsid w:val="502335D3"/>
    <w:rsid w:val="50292930"/>
    <w:rsid w:val="507F49AE"/>
    <w:rsid w:val="50D949D3"/>
    <w:rsid w:val="50ED543A"/>
    <w:rsid w:val="5114508A"/>
    <w:rsid w:val="5138364D"/>
    <w:rsid w:val="514A2249"/>
    <w:rsid w:val="51736AE0"/>
    <w:rsid w:val="51F27CA8"/>
    <w:rsid w:val="52223986"/>
    <w:rsid w:val="526D72E2"/>
    <w:rsid w:val="528A52AB"/>
    <w:rsid w:val="529A0C32"/>
    <w:rsid w:val="52FD4951"/>
    <w:rsid w:val="53425BA9"/>
    <w:rsid w:val="53487391"/>
    <w:rsid w:val="534C0289"/>
    <w:rsid w:val="53793167"/>
    <w:rsid w:val="53B22A58"/>
    <w:rsid w:val="541334FF"/>
    <w:rsid w:val="541C090B"/>
    <w:rsid w:val="54EE1A60"/>
    <w:rsid w:val="565A7838"/>
    <w:rsid w:val="56974D41"/>
    <w:rsid w:val="56AB3A5E"/>
    <w:rsid w:val="56D94A3F"/>
    <w:rsid w:val="56F9130E"/>
    <w:rsid w:val="574A3ACB"/>
    <w:rsid w:val="576E6004"/>
    <w:rsid w:val="586179DB"/>
    <w:rsid w:val="588538D5"/>
    <w:rsid w:val="58A747AE"/>
    <w:rsid w:val="594B68C7"/>
    <w:rsid w:val="596737E5"/>
    <w:rsid w:val="59BF27D2"/>
    <w:rsid w:val="59C40752"/>
    <w:rsid w:val="5A280E56"/>
    <w:rsid w:val="5AB173A5"/>
    <w:rsid w:val="5B9260B6"/>
    <w:rsid w:val="5BC31761"/>
    <w:rsid w:val="5BE572BC"/>
    <w:rsid w:val="5C575077"/>
    <w:rsid w:val="5C727176"/>
    <w:rsid w:val="5C9516E9"/>
    <w:rsid w:val="5C9D01B4"/>
    <w:rsid w:val="5D0E671C"/>
    <w:rsid w:val="5D305D26"/>
    <w:rsid w:val="5D3E4A7C"/>
    <w:rsid w:val="5D6631F3"/>
    <w:rsid w:val="5DB35D09"/>
    <w:rsid w:val="5DDA1BCF"/>
    <w:rsid w:val="5E1D2BD4"/>
    <w:rsid w:val="5E654F36"/>
    <w:rsid w:val="5E7264B1"/>
    <w:rsid w:val="5F9547CF"/>
    <w:rsid w:val="5FD97134"/>
    <w:rsid w:val="5FEA5DB4"/>
    <w:rsid w:val="606833B6"/>
    <w:rsid w:val="60D15139"/>
    <w:rsid w:val="60D41851"/>
    <w:rsid w:val="60E3289B"/>
    <w:rsid w:val="611F6C92"/>
    <w:rsid w:val="6146457C"/>
    <w:rsid w:val="61626DF7"/>
    <w:rsid w:val="61D70DA1"/>
    <w:rsid w:val="61EE6B79"/>
    <w:rsid w:val="620571AE"/>
    <w:rsid w:val="6225548C"/>
    <w:rsid w:val="622D497E"/>
    <w:rsid w:val="62516F4D"/>
    <w:rsid w:val="62ED6C1F"/>
    <w:rsid w:val="632945F3"/>
    <w:rsid w:val="63D0089C"/>
    <w:rsid w:val="64100407"/>
    <w:rsid w:val="642037B7"/>
    <w:rsid w:val="645012F1"/>
    <w:rsid w:val="64CB46E0"/>
    <w:rsid w:val="64D35C2C"/>
    <w:rsid w:val="66027103"/>
    <w:rsid w:val="6603187B"/>
    <w:rsid w:val="66B4327E"/>
    <w:rsid w:val="66BE27A7"/>
    <w:rsid w:val="670C2D8E"/>
    <w:rsid w:val="67CC031E"/>
    <w:rsid w:val="67DD406C"/>
    <w:rsid w:val="68063136"/>
    <w:rsid w:val="685714B9"/>
    <w:rsid w:val="685D75BF"/>
    <w:rsid w:val="68875EE9"/>
    <w:rsid w:val="68DD0BCA"/>
    <w:rsid w:val="69416B39"/>
    <w:rsid w:val="69453A20"/>
    <w:rsid w:val="695735C6"/>
    <w:rsid w:val="69C32BEC"/>
    <w:rsid w:val="69FD6115"/>
    <w:rsid w:val="6A195FD9"/>
    <w:rsid w:val="6B511E04"/>
    <w:rsid w:val="6C215156"/>
    <w:rsid w:val="6C297CB8"/>
    <w:rsid w:val="6C5253BE"/>
    <w:rsid w:val="6C8E0D31"/>
    <w:rsid w:val="6C906037"/>
    <w:rsid w:val="6C9C715A"/>
    <w:rsid w:val="6CB23495"/>
    <w:rsid w:val="6CF971EF"/>
    <w:rsid w:val="6D085172"/>
    <w:rsid w:val="6D9D7B5F"/>
    <w:rsid w:val="6DBC0F97"/>
    <w:rsid w:val="6DC86816"/>
    <w:rsid w:val="6E1075D5"/>
    <w:rsid w:val="6E453EF3"/>
    <w:rsid w:val="6E7E0683"/>
    <w:rsid w:val="6F0B67DB"/>
    <w:rsid w:val="6F1A6E32"/>
    <w:rsid w:val="6F874265"/>
    <w:rsid w:val="6F941740"/>
    <w:rsid w:val="6FA01EF0"/>
    <w:rsid w:val="70E27D81"/>
    <w:rsid w:val="70F466ED"/>
    <w:rsid w:val="70F4753C"/>
    <w:rsid w:val="718F16A6"/>
    <w:rsid w:val="71BE5748"/>
    <w:rsid w:val="72461A15"/>
    <w:rsid w:val="72B96F51"/>
    <w:rsid w:val="73905FA1"/>
    <w:rsid w:val="73943FE5"/>
    <w:rsid w:val="7401533B"/>
    <w:rsid w:val="741371CB"/>
    <w:rsid w:val="742B0080"/>
    <w:rsid w:val="743823AB"/>
    <w:rsid w:val="74394BD2"/>
    <w:rsid w:val="744D5803"/>
    <w:rsid w:val="74CD6D8F"/>
    <w:rsid w:val="74D14478"/>
    <w:rsid w:val="74D22C28"/>
    <w:rsid w:val="750F40FA"/>
    <w:rsid w:val="75290E51"/>
    <w:rsid w:val="753A0633"/>
    <w:rsid w:val="755F0101"/>
    <w:rsid w:val="755F43CF"/>
    <w:rsid w:val="75A50518"/>
    <w:rsid w:val="75BA4B9B"/>
    <w:rsid w:val="76205F71"/>
    <w:rsid w:val="7700067C"/>
    <w:rsid w:val="77301B08"/>
    <w:rsid w:val="77503CB1"/>
    <w:rsid w:val="77A2095A"/>
    <w:rsid w:val="77EA5FE3"/>
    <w:rsid w:val="783160EF"/>
    <w:rsid w:val="78477399"/>
    <w:rsid w:val="78492F51"/>
    <w:rsid w:val="784F0C6B"/>
    <w:rsid w:val="78672953"/>
    <w:rsid w:val="78F315F7"/>
    <w:rsid w:val="78FD0927"/>
    <w:rsid w:val="79315599"/>
    <w:rsid w:val="797D5751"/>
    <w:rsid w:val="79AA717E"/>
    <w:rsid w:val="79B770A8"/>
    <w:rsid w:val="79B949EC"/>
    <w:rsid w:val="7A6C528E"/>
    <w:rsid w:val="7AD20D8D"/>
    <w:rsid w:val="7B1E4DF2"/>
    <w:rsid w:val="7B58499B"/>
    <w:rsid w:val="7B8A381D"/>
    <w:rsid w:val="7B9F481A"/>
    <w:rsid w:val="7BE3590F"/>
    <w:rsid w:val="7C38495C"/>
    <w:rsid w:val="7C7067B1"/>
    <w:rsid w:val="7CBE4CC0"/>
    <w:rsid w:val="7CE82EFC"/>
    <w:rsid w:val="7D052EBA"/>
    <w:rsid w:val="7D6A6573"/>
    <w:rsid w:val="7D87142E"/>
    <w:rsid w:val="7E494F36"/>
    <w:rsid w:val="7E687550"/>
    <w:rsid w:val="7F3851DD"/>
    <w:rsid w:val="7F574D58"/>
    <w:rsid w:val="7F5C4AF8"/>
    <w:rsid w:val="7F884E25"/>
    <w:rsid w:val="7FA946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uiPriority w:val="99"/>
    <w:pPr>
      <w:spacing w:beforeLines="30"/>
    </w:pPr>
    <w:rPr>
      <w:rFonts w:ascii="仿宋_GB2312" w:eastAsia="仿宋_GB2312"/>
      <w:kern w:val="0"/>
      <w:sz w:val="24"/>
      <w:szCs w:val="20"/>
    </w:rPr>
  </w:style>
  <w:style w:type="paragraph" w:styleId="5">
    <w:name w:val="footer"/>
    <w:basedOn w:val="1"/>
    <w:link w:val="17"/>
    <w:uiPriority w:val="99"/>
    <w:pPr>
      <w:tabs>
        <w:tab w:val="center" w:pos="4153"/>
        <w:tab w:val="right" w:pos="8306"/>
      </w:tabs>
      <w:snapToGrid w:val="0"/>
      <w:jc w:val="left"/>
    </w:pPr>
    <w:rPr>
      <w:sz w:val="18"/>
    </w:rPr>
  </w:style>
  <w:style w:type="paragraph" w:styleId="6">
    <w:name w:val="header"/>
    <w:basedOn w:val="1"/>
    <w:link w:val="1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iPriority w:val="99"/>
    <w:pPr>
      <w:tabs>
        <w:tab w:val="right" w:leader="dot" w:pos="8296"/>
      </w:tabs>
      <w:spacing w:before="93"/>
      <w:jc w:val="center"/>
    </w:pPr>
    <w:rPr>
      <w:rFonts w:ascii="仿宋" w:hAnsi="仿宋" w:eastAsia="仿宋"/>
      <w:sz w:val="28"/>
      <w:szCs w:val="28"/>
    </w:rPr>
  </w:style>
  <w:style w:type="paragraph" w:styleId="8">
    <w:name w:val="toc 2"/>
    <w:basedOn w:val="1"/>
    <w:next w:val="1"/>
    <w:uiPriority w:val="99"/>
    <w:pPr>
      <w:tabs>
        <w:tab w:val="right" w:leader="dot" w:pos="8296"/>
      </w:tabs>
      <w:ind w:left="420" w:leftChars="200"/>
    </w:pPr>
  </w:style>
  <w:style w:type="paragraph" w:styleId="9">
    <w:name w:val="Normal (Web)"/>
    <w:basedOn w:val="1"/>
    <w:uiPriority w:val="99"/>
    <w:pPr>
      <w:spacing w:beforeAutospacing="1" w:afterAutospacing="1"/>
      <w:jc w:val="left"/>
    </w:pPr>
    <w:rPr>
      <w:kern w:val="0"/>
      <w:sz w:val="24"/>
    </w:rPr>
  </w:style>
  <w:style w:type="character" w:styleId="12">
    <w:name w:val="Strong"/>
    <w:basedOn w:val="11"/>
    <w:qFormat/>
    <w:uiPriority w:val="99"/>
    <w:rPr>
      <w:rFonts w:cs="Times New Roman"/>
      <w:b/>
    </w:rPr>
  </w:style>
  <w:style w:type="character" w:styleId="13">
    <w:name w:val="Hyperlink"/>
    <w:basedOn w:val="11"/>
    <w:qFormat/>
    <w:uiPriority w:val="99"/>
    <w:rPr>
      <w:rFonts w:cs="Times New Roman"/>
      <w:color w:val="0000FF"/>
      <w:u w:val="single"/>
    </w:rPr>
  </w:style>
  <w:style w:type="character" w:customStyle="1" w:styleId="14">
    <w:name w:val="Heading 1 Char"/>
    <w:basedOn w:val="11"/>
    <w:link w:val="2"/>
    <w:locked/>
    <w:uiPriority w:val="99"/>
    <w:rPr>
      <w:rFonts w:cs="Times New Roman"/>
      <w:b/>
      <w:bCs/>
      <w:kern w:val="44"/>
      <w:sz w:val="44"/>
      <w:szCs w:val="44"/>
    </w:rPr>
  </w:style>
  <w:style w:type="character" w:customStyle="1" w:styleId="15">
    <w:name w:val="Heading 2 Char"/>
    <w:basedOn w:val="11"/>
    <w:link w:val="3"/>
    <w:locked/>
    <w:uiPriority w:val="99"/>
    <w:rPr>
      <w:rFonts w:ascii="Cambria" w:hAnsi="Cambria" w:eastAsia="宋体"/>
      <w:b/>
      <w:kern w:val="2"/>
      <w:sz w:val="32"/>
    </w:rPr>
  </w:style>
  <w:style w:type="character" w:customStyle="1" w:styleId="16">
    <w:name w:val="Body Text Char"/>
    <w:basedOn w:val="11"/>
    <w:link w:val="4"/>
    <w:semiHidden/>
    <w:uiPriority w:val="99"/>
    <w:rPr>
      <w:szCs w:val="24"/>
    </w:rPr>
  </w:style>
  <w:style w:type="character" w:customStyle="1" w:styleId="17">
    <w:name w:val="Footer Char"/>
    <w:basedOn w:val="11"/>
    <w:link w:val="5"/>
    <w:semiHidden/>
    <w:uiPriority w:val="99"/>
    <w:rPr>
      <w:sz w:val="18"/>
      <w:szCs w:val="18"/>
    </w:rPr>
  </w:style>
  <w:style w:type="character" w:customStyle="1" w:styleId="18">
    <w:name w:val="Header Char"/>
    <w:basedOn w:val="11"/>
    <w:link w:val="6"/>
    <w:semiHidden/>
    <w:uiPriority w:val="99"/>
    <w:rPr>
      <w:sz w:val="18"/>
      <w:szCs w:val="18"/>
    </w:rPr>
  </w:style>
  <w:style w:type="character" w:customStyle="1" w:styleId="19">
    <w:name w:val="Char Char5"/>
    <w:basedOn w:val="11"/>
    <w:link w:val="3"/>
    <w:locked/>
    <w:uiPriority w:val="99"/>
    <w:rPr>
      <w:rFonts w:ascii="Cambria" w:hAnsi="Cambria" w:cs="Times New Roman"/>
      <w:b/>
      <w:bCs/>
      <w:sz w:val="32"/>
      <w:szCs w:val="32"/>
    </w:rPr>
  </w:style>
  <w:style w:type="paragraph" w:customStyle="1" w:styleId="20">
    <w:name w:val="List Paragraph1"/>
    <w:basedOn w:val="1"/>
    <w:uiPriority w:val="99"/>
    <w:pPr>
      <w:ind w:firstLine="420" w:firstLineChars="200"/>
    </w:pPr>
  </w:style>
  <w:style w:type="paragraph" w:customStyle="1" w:styleId="21">
    <w:name w:val="Default"/>
    <w:uiPriority w:val="99"/>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paragraph" w:customStyle="1" w:styleId="22">
    <w:name w:val="WPSOffice手动目录 1"/>
    <w:uiPriority w:val="99"/>
    <w:rPr>
      <w:rFonts w:ascii="Times New Roman" w:hAnsi="Times New Roman" w:eastAsia="宋体" w:cs="Times New Roman"/>
      <w:kern w:val="0"/>
      <w:sz w:val="20"/>
      <w:szCs w:val="20"/>
      <w:lang w:val="en-US" w:eastAsia="zh-CN" w:bidi="ar-SA"/>
    </w:rPr>
  </w:style>
  <w:style w:type="paragraph" w:customStyle="1" w:styleId="23">
    <w:name w:val="WPSOffice手动目录 2"/>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24">
    <w:name w:val="WPSOffice手动目录 3"/>
    <w:uiPriority w:val="99"/>
    <w:pPr>
      <w:ind w:left="400" w:leftChars="4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1481</Words>
  <Characters>8443</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2021-09-29T23:52:00Z</dcterms:created>
  <dc:creator>cw</dc:creator>
  <cp:lastModifiedBy>ZZZ-ZWC</cp:lastModifiedBy>
  <dcterms:modified xsi:type="dcterms:W3CDTF">2021-09-30T00:13:58Z</dcterms:modified>
  <dc:title>2020年度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D1A35B3DB791424B8DE8ADFBED7CB66E</vt:lpwstr>
  </property>
</Properties>
</file>