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9"/>
        <w:rPr>
          <w:rFonts w:hint="eastAsia" w:ascii="宋体" w:hAnsi="宋体" w:eastAsia="宋体" w:cs="宋体"/>
          <w:b/>
          <w:bCs/>
          <w:color w:val="000000"/>
          <w:sz w:val="52"/>
          <w:szCs w:val="52"/>
        </w:rPr>
      </w:pPr>
      <w:bookmarkStart w:id="1" w:name="_Toc15396597"/>
      <w:bookmarkStart w:id="2" w:name="_Toc15396475"/>
      <w:bookmarkStart w:id="3" w:name="_Toc15377425"/>
      <w:bookmarkStart w:id="4" w:name="_Toc17261"/>
      <w:bookmarkStart w:id="5" w:name="_Toc15378441"/>
      <w:bookmarkStart w:id="6" w:name="_Toc15377193"/>
      <w:r>
        <w:rPr>
          <w:rFonts w:hint="eastAsia" w:ascii="宋体" w:hAnsi="宋体" w:eastAsia="宋体" w:cs="宋体"/>
          <w:b/>
          <w:bCs/>
          <w:color w:val="000000"/>
          <w:sz w:val="52"/>
          <w:szCs w:val="52"/>
        </w:rPr>
        <w:t>2020年度</w:t>
      </w:r>
      <w:bookmarkEnd w:id="1"/>
      <w:bookmarkEnd w:id="2"/>
      <w:bookmarkEnd w:id="3"/>
      <w:bookmarkEnd w:id="4"/>
      <w:bookmarkEnd w:id="5"/>
      <w:bookmarkEnd w:id="6"/>
    </w:p>
    <w:p>
      <w:pPr>
        <w:jc w:val="center"/>
        <w:rPr>
          <w:rFonts w:hint="eastAsia" w:ascii="宋体" w:hAnsi="宋体" w:eastAsia="宋体" w:cs="宋体"/>
          <w:b/>
          <w:bCs/>
          <w:color w:val="000000"/>
          <w:sz w:val="52"/>
          <w:szCs w:val="52"/>
        </w:rPr>
      </w:pPr>
      <w:bookmarkStart w:id="7" w:name="_Toc15396476"/>
      <w:bookmarkStart w:id="8" w:name="_Toc15377194"/>
      <w:bookmarkStart w:id="9" w:name="_Toc23151"/>
      <w:bookmarkStart w:id="10" w:name="_Toc15378442"/>
      <w:bookmarkStart w:id="11" w:name="_Toc15377426"/>
      <w:bookmarkStart w:id="12" w:name="_Toc15396598"/>
      <w:r>
        <w:rPr>
          <w:rFonts w:hint="eastAsia" w:ascii="宋体" w:hAnsi="宋体" w:eastAsia="宋体" w:cs="宋体"/>
          <w:b/>
          <w:bCs/>
          <w:color w:val="000000"/>
          <w:sz w:val="52"/>
          <w:szCs w:val="52"/>
        </w:rPr>
        <w:t>四川省</w:t>
      </w:r>
      <w:bookmarkEnd w:id="0"/>
      <w:bookmarkStart w:id="13" w:name="_Toc15306268"/>
      <w:r>
        <w:rPr>
          <w:rFonts w:hint="eastAsia" w:ascii="宋体" w:hAnsi="宋体" w:eastAsia="宋体" w:cs="宋体"/>
          <w:b/>
          <w:bCs/>
          <w:color w:val="000000"/>
          <w:sz w:val="52"/>
          <w:szCs w:val="52"/>
        </w:rPr>
        <w:t>乐山市五通桥区</w:t>
      </w:r>
    </w:p>
    <w:p>
      <w:pPr>
        <w:jc w:val="center"/>
        <w:rPr>
          <w:rFonts w:hint="eastAsia" w:ascii="宋体" w:hAnsi="宋体" w:eastAsia="宋体" w:cs="宋体"/>
          <w:b/>
          <w:bCs/>
          <w:color w:val="000000"/>
          <w:sz w:val="52"/>
          <w:szCs w:val="52"/>
        </w:rPr>
      </w:pPr>
      <w:r>
        <w:rPr>
          <w:rFonts w:hint="eastAsia" w:ascii="宋体" w:hAnsi="宋体" w:cs="宋体"/>
          <w:b/>
          <w:sz w:val="52"/>
          <w:szCs w:val="52"/>
          <w:lang w:eastAsia="zh-CN"/>
        </w:rPr>
        <w:t>辉山镇初级中学</w:t>
      </w:r>
      <w:r>
        <w:rPr>
          <w:rFonts w:hint="eastAsia" w:ascii="宋体" w:hAnsi="宋体" w:eastAsia="宋体" w:cs="宋体"/>
          <w:b/>
          <w:bCs/>
          <w:color w:val="000000"/>
          <w:sz w:val="52"/>
          <w:szCs w:val="5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7"/>
      </w:pPr>
      <w:r>
        <w:rPr>
          <w:rFonts w:hint="eastAsia"/>
        </w:rPr>
        <w:t>公开时间：</w:t>
      </w:r>
      <w: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bookmarkStart w:id="14" w:name="_Toc15396599"/>
          <w:bookmarkStart w:id="15" w:name="_Toc15377196"/>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TOC \o "1-3" \h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_Toc31251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第一部分 </w:t>
          </w:r>
          <w:r>
            <w:rPr>
              <w:rFonts w:hint="eastAsia" w:asciiTheme="majorEastAsia" w:hAnsiTheme="majorEastAsia" w:eastAsiaTheme="majorEastAsia" w:cstheme="majorEastAsia"/>
              <w:bCs w:val="0"/>
              <w:sz w:val="30"/>
              <w:szCs w:val="30"/>
            </w:rPr>
            <w:t>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_Toc31251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_Toc15695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_Toc15695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_Toc3730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_Toc3730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_Toc19412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_Toc19412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_Toc15139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_Toc15139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_Toc2405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_Toc2405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_Toc21953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_Toc21953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_Toc26677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_Toc26677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_Toc13168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_Toc13168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_Toc20075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_Toc20075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_Toc14885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_Toc14885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_Toc26858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_Toc26858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_Toc20206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_Toc20206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_Toc11608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_Toc11608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_Toc27240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_Toc27240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_Toc19780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_Toc19780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7"/>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_Toc11708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en-US" w:eastAsia="zh-CN"/>
            </w:rPr>
            <w:t xml:space="preserve">第五部分  </w:t>
          </w:r>
          <w:r>
            <w:rPr>
              <w:rFonts w:hint="eastAsia" w:asciiTheme="majorEastAsia" w:hAnsiTheme="majorEastAsia" w:eastAsiaTheme="majorEastAsia" w:cstheme="majorEastAsia"/>
              <w:sz w:val="30"/>
              <w:szCs w:val="30"/>
            </w:rPr>
            <w:t>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_Toc11708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_Toc11167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_Toc11167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_Toc25794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_Toc25794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_Toc12007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_Toc12007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_Toc1529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_Toc1529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_Toc23985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_Toc23985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_Toc1903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_Toc1903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_Toc24691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_Toc24691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_Toc22489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_Toc22489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_Toc6851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_Toc6851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_Toc24420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_Toc24420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_Toc10232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_Toc10232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_Toc7634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_Toc7634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_Toc4914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_Toc4914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end"/>
          </w: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ascii="仿宋" w:hAnsi="仿宋" w:eastAsia="仿宋"/>
              <w:bCs/>
              <w:kern w:val="44"/>
              <w:sz w:val="24"/>
            </w:rPr>
          </w:pPr>
        </w:p>
      </w:sdtContent>
    </w:sdt>
    <w:p>
      <w:pPr>
        <w:pStyle w:val="2"/>
        <w:jc w:val="center"/>
        <w:rPr>
          <w:rStyle w:val="14"/>
          <w:rFonts w:ascii="黑体" w:hAnsi="黑体" w:eastAsia="黑体"/>
          <w:b/>
          <w:bCs w:val="0"/>
        </w:rPr>
      </w:pPr>
      <w:bookmarkStart w:id="16" w:name="_Toc31251"/>
      <w:r>
        <w:rPr>
          <w:rFonts w:hint="eastAsia" w:ascii="黑体" w:hAnsi="黑体" w:eastAsia="黑体"/>
          <w:b w:val="0"/>
        </w:rPr>
        <w:t>第一部分</w:t>
      </w:r>
      <w:r>
        <w:rPr>
          <w:rFonts w:ascii="黑体" w:hAnsi="黑体" w:eastAsia="黑体"/>
          <w:b w:val="0"/>
        </w:rPr>
        <w:t xml:space="preserve"> </w:t>
      </w:r>
      <w:r>
        <w:rPr>
          <w:rStyle w:val="14"/>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3"/>
        <w:rPr>
          <w:rStyle w:val="15"/>
          <w:rFonts w:ascii="仿宋" w:hAnsi="仿宋" w:eastAsia="仿宋"/>
          <w:b w:val="0"/>
          <w:bCs w:val="0"/>
        </w:rPr>
      </w:pPr>
      <w:bookmarkStart w:id="17" w:name="_Toc15396600"/>
      <w:bookmarkStart w:id="18" w:name="_Toc15377197"/>
      <w:bookmarkStart w:id="19" w:name="_Toc15695"/>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7"/>
      <w:bookmarkEnd w:id="18"/>
      <w:bookmarkEnd w:id="19"/>
    </w:p>
    <w:p>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bookmarkStart w:id="20" w:name="_Toc15378445"/>
      <w:bookmarkStart w:id="21" w:name="_Toc2408"/>
      <w:bookmarkStart w:id="22" w:name="_Toc15377198"/>
      <w:r>
        <w:rPr>
          <w:rFonts w:hint="eastAsia" w:ascii="仿宋" w:hAnsi="仿宋" w:eastAsia="仿宋"/>
          <w:bCs/>
          <w:color w:val="000000"/>
          <w:sz w:val="32"/>
          <w:szCs w:val="32"/>
        </w:rPr>
        <w:t>（一）主要职能</w:t>
      </w:r>
      <w:bookmarkEnd w:id="20"/>
      <w:bookmarkEnd w:id="21"/>
      <w:bookmarkEnd w:id="22"/>
      <w:bookmarkStart w:id="23" w:name="_Toc15377199"/>
      <w:bookmarkStart w:id="24" w:name="_Toc15378446"/>
    </w:p>
    <w:p>
      <w:pPr>
        <w:ind w:firstLineChars="200"/>
        <w:rPr>
          <w:rFonts w:hint="eastAsia" w:ascii="仿宋" w:hAnsi="仿宋" w:eastAsia="仿宋" w:cs="仿宋"/>
          <w:color w:val="FF0000"/>
          <w:sz w:val="32"/>
          <w:szCs w:val="32"/>
        </w:rPr>
      </w:pPr>
      <w:bookmarkStart w:id="25" w:name="_Toc345"/>
      <w:r>
        <w:rPr>
          <w:rFonts w:hint="eastAsia" w:ascii="仿宋" w:hAnsi="仿宋" w:eastAsia="仿宋" w:cs="仿宋"/>
          <w:sz w:val="32"/>
          <w:szCs w:val="32"/>
          <w:lang w:eastAsia="zh-CN"/>
        </w:rPr>
        <w:t>乐山市五通桥区辉山镇初级中学</w:t>
      </w:r>
      <w:r>
        <w:rPr>
          <w:rFonts w:hint="eastAsia" w:ascii="仿宋" w:hAnsi="仿宋" w:eastAsia="仿宋" w:cs="仿宋"/>
          <w:sz w:val="32"/>
          <w:szCs w:val="32"/>
        </w:rPr>
        <w:t>辉山中学是由五通区教育部门举办和管理的九年制义务教育学校</w:t>
      </w:r>
      <w:r>
        <w:rPr>
          <w:rFonts w:hint="eastAsia" w:ascii="仿宋" w:hAnsi="仿宋" w:eastAsia="仿宋" w:cs="仿宋"/>
          <w:sz w:val="32"/>
          <w:szCs w:val="32"/>
          <w:lang w:eastAsia="zh-CN"/>
        </w:rPr>
        <w:t>，</w:t>
      </w:r>
      <w:r>
        <w:rPr>
          <w:rFonts w:hint="eastAsia" w:ascii="仿宋" w:hAnsi="仿宋" w:eastAsia="仿宋" w:cs="仿宋"/>
          <w:sz w:val="32"/>
          <w:szCs w:val="32"/>
        </w:rPr>
        <w:t>其职能是实施初中义务教育，促进基础教育发展。</w:t>
      </w:r>
    </w:p>
    <w:p>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3"/>
      <w:bookmarkEnd w:id="24"/>
      <w:bookmarkEnd w:id="25"/>
    </w:p>
    <w:p>
      <w:pPr>
        <w:ind w:firstLineChars="200"/>
        <w:rPr>
          <w:rFonts w:hint="eastAsia" w:ascii="仿宋" w:hAnsi="仿宋" w:eastAsia="仿宋" w:cs="仿宋"/>
          <w:sz w:val="32"/>
          <w:szCs w:val="32"/>
        </w:rPr>
      </w:pPr>
      <w:bookmarkStart w:id="26" w:name="_Toc15396601"/>
      <w:bookmarkStart w:id="27" w:name="_Toc1537720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按照课程计划，开齐了课程开足课时，规范校本课程的设置，向“佑君集团化办学”请优秀教师对我校学生进行音乐、美术专项训练，并取得良好效果。</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开展了教研组活动，制定了教研组活动计划，教研组形成良好教研风气。①认真学习两纲，②每两周一次学科组(以年级为单位)集体备课。提高集体备课的质量。③每位教师每学期听课不得少于10节，学校检查听课记录并纳入期末考核。④每位教师上示范课，大家相互学习，共同进步。⑤全体教师积极参加“佑君集团化办学”活动，认真准备，认真负责参与，学习他人优点，改进自己的不足。</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切实做好了教学流程，规范了教学秩序。上课期间禁止使用多媒体播放与教学无关的视频影像。规范了教学过程，对备课、上课、作业批改、课后辅导、等明确要求，认真检查、指导。对各项教学工作，教务处设专人检查，记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全面落实了阳光体育活动。学校要确保学生每天一小时的体育活动时间，确保活动的计划、安排、内容、器械、效果五落实；对九年级学生加大加强了锻炼，每天利用课间进行训练，做好体育考试。</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严格执行上级要求，按要求采购教材教辅，没有乱订教辅等违规现象，出没有乱收费、课业负担过重、违规补课和有偿家教行为，形成了长效机制。</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抓好了行为养成习惯。各位教职工时时注重学生文明习惯教育，从点滴做起，狠抓乱扔纸屑果皮、破坏公物、零食进教室等不良行为。</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坚持了每周一的国旗下讲话制度。坚持做到有计划，有主题，早准备，内容充实，针对性强。对学生进行文明礼仪、艰苦朴素、爱校爱班、诚实守信、安全等教育。</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充分利用好班会、宣传栏等德育阵地，加强对学生的思德教育。班会课要结合主题活动，内容鲜明，精心组织，注重效果。班会课有创新，形式多样。真正把班会课作为学生养成教育、理想教育、安全教育等的主渠道。</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抓好特殊学生的教育。结合“访万家”获得的第一手资料，建立和完善特殊学生档案，实行德育导师帮扶制度，定期找责任对象交流谈话，做好记录。对违纪学生正确批评教育，做好了思想工作，没有严禁体罚和变相体罚学生发生。</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重视法制教育。法制副校长来作了一次专题讲座，增强学生的法制意识和辨别是非能力，无违纪违规现象。</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各班主任和科任教师做好了学生的心理健康教育，促进了学生的身心健康发展。七年级培养吃苦耐劳、积极向上的心理意识;八年级作好青春期的交友引导教育;九年级作好考试心理引导和自我调节学会减压方面的工作。</w:t>
      </w:r>
    </w:p>
    <w:p>
      <w:pPr>
        <w:pStyle w:val="3"/>
        <w:rPr>
          <w:rStyle w:val="15"/>
          <w:b w:val="0"/>
          <w:bCs w:val="0"/>
        </w:rPr>
      </w:pPr>
      <w:bookmarkStart w:id="28" w:name="_Toc3730"/>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26"/>
      <w:bookmarkEnd w:id="27"/>
      <w:bookmarkEnd w:id="28"/>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乐山市五通桥区辉山镇初级中学</w:t>
      </w:r>
      <w:r>
        <w:rPr>
          <w:rFonts w:hint="eastAsia" w:ascii="仿宋" w:hAnsi="仿宋" w:eastAsia="仿宋" w:cs="仿宋"/>
          <w:sz w:val="32"/>
          <w:szCs w:val="32"/>
        </w:rPr>
        <w:t>属一级预算单位，学校内设政教处、总务处、教务处、办公室四个部门。</w:t>
      </w:r>
      <w:r>
        <w:rPr>
          <w:rFonts w:hint="eastAsia" w:ascii="仿宋" w:hAnsi="仿宋" w:eastAsia="仿宋" w:cs="仿宋"/>
          <w:sz w:val="32"/>
          <w:szCs w:val="32"/>
          <w:lang w:eastAsia="zh-CN"/>
        </w:rPr>
        <w:t>乐山市五通桥区辉山镇初级中学</w:t>
      </w:r>
      <w:r>
        <w:rPr>
          <w:rFonts w:hint="eastAsia" w:ascii="仿宋" w:hAnsi="仿宋" w:eastAsia="仿宋" w:cs="仿宋"/>
          <w:sz w:val="32"/>
          <w:szCs w:val="32"/>
          <w:lang w:val="en-US" w:eastAsia="zh-CN"/>
        </w:rPr>
        <w:t>年末在职人数17人</w:t>
      </w:r>
      <w:r>
        <w:rPr>
          <w:rFonts w:hint="eastAsia" w:ascii="仿宋" w:hAnsi="仿宋" w:eastAsia="仿宋" w:cs="仿宋"/>
          <w:sz w:val="32"/>
          <w:szCs w:val="32"/>
        </w:rPr>
        <w:t>。</w:t>
      </w: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center"/>
        <w:outlineLvl w:val="0"/>
        <w:rPr>
          <w:rStyle w:val="14"/>
          <w:rFonts w:ascii="黑体" w:hAnsi="黑体" w:eastAsia="黑体"/>
          <w:b w:val="0"/>
          <w:bCs w:val="0"/>
        </w:rPr>
      </w:pPr>
      <w:bookmarkStart w:id="29" w:name="_Toc15396602"/>
      <w:bookmarkStart w:id="30" w:name="_Toc15377204"/>
      <w:bookmarkStart w:id="31" w:name="_Toc19412"/>
      <w:r>
        <w:rPr>
          <w:rFonts w:hint="eastAsia" w:ascii="黑体" w:hAnsi="黑体" w:eastAsia="黑体"/>
          <w:b w:val="0"/>
          <w:color w:val="000000"/>
          <w:sz w:val="44"/>
          <w:szCs w:val="44"/>
        </w:rPr>
        <w:t>第二部分</w:t>
      </w:r>
      <w:r>
        <w:rPr>
          <w:rFonts w:ascii="黑体" w:hAnsi="黑体" w:eastAsia="黑体"/>
          <w:color w:val="000000"/>
          <w:sz w:val="44"/>
          <w:szCs w:val="44"/>
        </w:rPr>
        <w:t xml:space="preserve"> </w:t>
      </w:r>
      <w:r>
        <w:rPr>
          <w:rStyle w:val="14"/>
          <w:rFonts w:ascii="黑体" w:hAnsi="黑体" w:eastAsia="黑体"/>
          <w:b w:val="0"/>
          <w:bCs w:val="0"/>
        </w:rPr>
        <w:t>2020</w:t>
      </w:r>
      <w:r>
        <w:rPr>
          <w:rStyle w:val="14"/>
          <w:rFonts w:hint="eastAsia" w:ascii="黑体" w:hAnsi="黑体" w:eastAsia="黑体"/>
          <w:b w:val="0"/>
          <w:bCs w:val="0"/>
        </w:rPr>
        <w:t>年度部门决算情况说明</w:t>
      </w:r>
      <w:bookmarkEnd w:id="29"/>
      <w:bookmarkEnd w:id="30"/>
      <w:bookmarkEnd w:id="31"/>
    </w:p>
    <w:p/>
    <w:p>
      <w:pPr>
        <w:pStyle w:val="16"/>
        <w:numPr>
          <w:ilvl w:val="0"/>
          <w:numId w:val="1"/>
        </w:numPr>
        <w:spacing w:line="600" w:lineRule="exact"/>
        <w:ind w:firstLineChars="0"/>
        <w:outlineLvl w:val="1"/>
        <w:rPr>
          <w:rStyle w:val="15"/>
          <w:rFonts w:ascii="黑体" w:hAnsi="黑体" w:eastAsia="黑体"/>
          <w:b w:val="0"/>
        </w:rPr>
      </w:pPr>
      <w:bookmarkStart w:id="32" w:name="_Toc15396603"/>
      <w:bookmarkStart w:id="33" w:name="_Toc15377205"/>
      <w:bookmarkStart w:id="34" w:name="_Toc15139"/>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32"/>
      <w:bookmarkEnd w:id="33"/>
      <w:bookmarkEnd w:id="3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出总计272.93万元，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263.29万元，各增加9.64万元，增加</w:t>
      </w:r>
      <w:r>
        <w:rPr>
          <w:rFonts w:hint="eastAsia" w:ascii="仿宋" w:hAnsi="仿宋" w:eastAsia="仿宋"/>
          <w:color w:val="000000" w:themeColor="text1"/>
          <w:sz w:val="32"/>
          <w:szCs w:val="32"/>
          <w:lang w:val="en-US" w:eastAsia="zh-CN"/>
          <w14:textFill>
            <w14:solidFill>
              <w14:schemeClr w14:val="tx1"/>
            </w14:solidFill>
          </w14:textFill>
        </w:rPr>
        <w:t>3.66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w:t>
      </w:r>
      <w:r>
        <w:rPr>
          <w:rFonts w:hint="eastAsia" w:ascii="仿宋" w:hAnsi="仿宋" w:eastAsia="仿宋"/>
          <w:color w:val="000000"/>
          <w:sz w:val="32"/>
          <w:szCs w:val="32"/>
          <w:highlight w:val="none"/>
          <w:lang w:val="en-US" w:eastAsia="zh-CN"/>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jc w:val="left"/>
        <w:rPr>
          <w:rFonts w:ascii="仿宋_GB2312" w:eastAsia="仿宋_GB2312"/>
          <w:color w:val="00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5" w:name="_Toc15377206"/>
      <w:bookmarkStart w:id="36" w:name="_Toc15396604"/>
      <w:bookmarkStart w:id="37" w:name="_Toc2405"/>
      <w:r>
        <w:rPr>
          <w:rFonts w:hint="eastAsia" w:ascii="黑体" w:hAnsi="黑体" w:eastAsia="黑体"/>
          <w:color w:val="000000"/>
          <w:sz w:val="32"/>
          <w:szCs w:val="32"/>
        </w:rPr>
        <w:t>收</w:t>
      </w:r>
      <w:r>
        <w:rPr>
          <w:rStyle w:val="15"/>
          <w:rFonts w:hint="eastAsia" w:ascii="黑体" w:hAnsi="黑体" w:eastAsia="黑体"/>
          <w:b w:val="0"/>
        </w:rPr>
        <w:t>入决算情况说明</w:t>
      </w:r>
      <w:bookmarkEnd w:id="35"/>
      <w:bookmarkEnd w:id="36"/>
      <w:bookmarkEnd w:id="37"/>
    </w:p>
    <w:p>
      <w:pPr>
        <w:spacing w:line="600" w:lineRule="exact"/>
        <w:ind w:firstLine="640" w:firstLineChars="200"/>
        <w:outlineLvl w:val="9"/>
        <w:rPr>
          <w:rFonts w:hint="eastAsia" w:ascii="仿宋" w:hAnsi="仿宋" w:eastAsia="仿宋"/>
          <w:color w:val="000000"/>
          <w:sz w:val="32"/>
          <w:szCs w:val="32"/>
          <w:lang w:eastAsia="zh-CN"/>
        </w:rPr>
      </w:pPr>
      <w:bookmarkStart w:id="38"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272.93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272.92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bookmarkEnd w:id="38"/>
    </w:p>
    <w:p>
      <w:pPr>
        <w:tabs>
          <w:tab w:val="left" w:pos="2797"/>
        </w:tabs>
        <w:spacing w:line="600" w:lineRule="exact"/>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16"/>
        <w:numPr>
          <w:ilvl w:val="0"/>
          <w:numId w:val="1"/>
        </w:numPr>
        <w:spacing w:line="600" w:lineRule="exact"/>
        <w:ind w:firstLineChars="0"/>
        <w:outlineLvl w:val="1"/>
        <w:rPr>
          <w:rStyle w:val="15"/>
          <w:rFonts w:ascii="黑体" w:hAnsi="黑体" w:eastAsia="黑体"/>
          <w:b w:val="0"/>
        </w:rPr>
      </w:pPr>
      <w:bookmarkStart w:id="39" w:name="_Toc21953"/>
      <w:bookmarkStart w:id="40" w:name="_Toc15396605"/>
      <w:bookmarkStart w:id="41" w:name="_Toc15377207"/>
      <w:r>
        <w:rPr>
          <w:rFonts w:hint="eastAsia" w:ascii="黑体" w:hAnsi="黑体" w:eastAsia="黑体"/>
          <w:color w:val="000000"/>
          <w:sz w:val="32"/>
          <w:szCs w:val="32"/>
        </w:rPr>
        <w:t>支</w:t>
      </w:r>
      <w:r>
        <w:rPr>
          <w:rStyle w:val="15"/>
          <w:rFonts w:hint="eastAsia" w:ascii="黑体" w:hAnsi="黑体" w:eastAsia="黑体"/>
          <w:b w:val="0"/>
        </w:rPr>
        <w:t>出决算情况说明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272.93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262.82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2"/>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477520</wp:posOffset>
            </wp:positionH>
            <wp:positionV relativeFrom="paragraph">
              <wp:posOffset>135255</wp:posOffset>
            </wp:positionV>
            <wp:extent cx="4524375" cy="3286760"/>
            <wp:effectExtent l="4445" t="4445" r="5080" b="234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rPr>
          <w:rFonts w:hint="eastAsia" w:ascii="仿宋" w:hAnsi="仿宋" w:eastAsia="仿宋"/>
          <w:color w:val="000000"/>
          <w:sz w:val="32"/>
          <w:szCs w:val="32"/>
          <w:shd w:val="pct10" w:color="auto" w:fill="FFFFFF"/>
          <w:lang w:eastAsia="zh-CN"/>
        </w:rPr>
      </w:pPr>
    </w:p>
    <w:p>
      <w:pPr>
        <w:spacing w:line="600" w:lineRule="exact"/>
        <w:ind w:firstLine="1600" w:firstLineChars="5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5"/>
          <w:rFonts w:ascii="黑体" w:hAnsi="黑体" w:eastAsia="黑体"/>
          <w:b w:val="0"/>
        </w:rPr>
      </w:pPr>
      <w:bookmarkStart w:id="43" w:name="_Toc15396606"/>
      <w:bookmarkStart w:id="44" w:name="_Toc26677"/>
      <w:bookmarkStart w:id="45"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出总计272.92</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263.28万元，各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9.64万元，增加3.66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w:t>
      </w:r>
      <w:r>
        <w:rPr>
          <w:rFonts w:hint="eastAsia" w:ascii="仿宋" w:hAnsi="仿宋" w:eastAsia="仿宋"/>
          <w:color w:val="000000"/>
          <w:sz w:val="32"/>
          <w:szCs w:val="32"/>
          <w:highlight w:val="none"/>
          <w:lang w:val="en-US" w:eastAsia="zh-CN"/>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175895</wp:posOffset>
            </wp:positionH>
            <wp:positionV relativeFrom="paragraph">
              <wp:posOffset>425450</wp:posOffset>
            </wp:positionV>
            <wp:extent cx="5080000" cy="3810000"/>
            <wp:effectExtent l="4445" t="4445" r="8255"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5"/>
          <w:rFonts w:ascii="黑体" w:hAnsi="黑体" w:eastAsia="黑体"/>
          <w:b w:val="0"/>
        </w:rPr>
      </w:pPr>
      <w:bookmarkStart w:id="46" w:name="_Toc15396607"/>
      <w:bookmarkStart w:id="47" w:name="_Toc15377209"/>
      <w:bookmarkStart w:id="48" w:name="_Toc1316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9"/>
        <w:rPr>
          <w:rFonts w:ascii="仿宋" w:hAnsi="仿宋" w:eastAsia="仿宋"/>
          <w:b/>
          <w:color w:val="000000"/>
          <w:sz w:val="32"/>
          <w:szCs w:val="32"/>
        </w:rPr>
      </w:pPr>
      <w:bookmarkStart w:id="49" w:name="_Toc20289"/>
      <w:bookmarkStart w:id="50" w:name="_Toc15377210"/>
      <w:r>
        <w:rPr>
          <w:rFonts w:hint="eastAsia" w:ascii="仿宋" w:hAnsi="仿宋" w:eastAsia="仿宋"/>
          <w:b/>
          <w:color w:val="000000"/>
          <w:sz w:val="32"/>
          <w:szCs w:val="32"/>
        </w:rPr>
        <w:t>（一）一般公共预算财政拨款支出决算总体情况</w:t>
      </w:r>
      <w:bookmarkEnd w:id="49"/>
      <w:bookmarkEnd w:id="50"/>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272.92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9.64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3.66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w:t>
      </w:r>
      <w:r>
        <w:rPr>
          <w:rFonts w:hint="eastAsia" w:ascii="仿宋" w:hAnsi="仿宋" w:eastAsia="仿宋"/>
          <w:color w:val="000000"/>
          <w:sz w:val="32"/>
          <w:szCs w:val="32"/>
          <w:highlight w:val="none"/>
          <w:lang w:val="en-US" w:eastAsia="zh-CN"/>
        </w:rPr>
        <w:t>增加</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410845</wp:posOffset>
            </wp:positionH>
            <wp:positionV relativeFrom="paragraph">
              <wp:posOffset>-195580</wp:posOffset>
            </wp:positionV>
            <wp:extent cx="4365625" cy="3095625"/>
            <wp:effectExtent l="4445" t="4445" r="11430"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rPr>
          <w:rFonts w:hint="eastAsia" w:ascii="仿宋" w:hAnsi="仿宋" w:eastAsia="仿宋"/>
          <w:color w:val="000000"/>
          <w:sz w:val="32"/>
          <w:szCs w:val="32"/>
        </w:rPr>
      </w:pPr>
    </w:p>
    <w:p>
      <w:pPr>
        <w:spacing w:line="600" w:lineRule="exact"/>
        <w:ind w:firstLine="643" w:firstLineChars="200"/>
        <w:outlineLvl w:val="9"/>
        <w:rPr>
          <w:rFonts w:ascii="仿宋" w:hAnsi="仿宋" w:eastAsia="仿宋"/>
          <w:b/>
          <w:color w:val="000000"/>
          <w:sz w:val="32"/>
          <w:szCs w:val="32"/>
        </w:rPr>
      </w:pPr>
      <w:bookmarkStart w:id="51" w:name="_Toc13117"/>
      <w:bookmarkStart w:id="52" w:name="_Toc15377211"/>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272.92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199.1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72.95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9.92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22.9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3023235"/>
            <wp:effectExtent l="4445" t="4445" r="17780" b="2032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3" w:name="_Toc16048"/>
      <w:bookmarkStart w:id="54" w:name="_Toc15377212"/>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9"/>
        <w:rPr>
          <w:rFonts w:ascii="仿宋" w:hAnsi="仿宋" w:eastAsia="仿宋"/>
          <w:color w:val="FF0000"/>
          <w:sz w:val="32"/>
          <w:szCs w:val="32"/>
        </w:rPr>
      </w:pPr>
      <w:bookmarkStart w:id="55" w:name="_Toc15378460"/>
      <w:bookmarkStart w:id="56" w:name="_Toc28372"/>
      <w:bookmarkStart w:id="57" w:name="_Toc15377444"/>
      <w:bookmarkStart w:id="58"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val="en-US" w:eastAsia="zh-CN"/>
        </w:rPr>
        <w:t>272.92</w:t>
      </w:r>
      <w:r>
        <w:rPr>
          <w:rFonts w:hint="eastAsia" w:ascii="仿宋" w:hAnsi="仿宋" w:eastAsia="仿宋"/>
          <w:color w:val="000000"/>
          <w:sz w:val="32"/>
          <w:szCs w:val="32"/>
        </w:rPr>
        <w:t>，</w:t>
      </w:r>
      <w:r>
        <w:rPr>
          <w:rStyle w:val="12"/>
          <w:rFonts w:hint="eastAsia" w:ascii="仿宋" w:hAnsi="仿宋" w:eastAsia="仿宋"/>
          <w:bCs/>
          <w:color w:val="000000"/>
          <w:sz w:val="32"/>
          <w:szCs w:val="32"/>
        </w:rPr>
        <w:t>完成预算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55"/>
      <w:bookmarkEnd w:id="56"/>
      <w:bookmarkEnd w:id="57"/>
      <w:bookmarkEnd w:id="58"/>
    </w:p>
    <w:p>
      <w:pPr>
        <w:spacing w:line="600" w:lineRule="exact"/>
        <w:ind w:firstLine="643" w:firstLineChars="200"/>
        <w:rPr>
          <w:rFonts w:ascii="仿宋" w:hAnsi="仿宋" w:eastAsia="仿宋"/>
          <w:b/>
          <w:color w:val="000000"/>
          <w:sz w:val="32"/>
          <w:szCs w:val="32"/>
        </w:rPr>
      </w:pPr>
      <w:r>
        <w:rPr>
          <w:rStyle w:val="12"/>
          <w:rFonts w:ascii="仿宋" w:hAnsi="仿宋" w:eastAsia="仿宋"/>
          <w:bCs/>
          <w:color w:val="000000"/>
          <w:sz w:val="32"/>
          <w:szCs w:val="32"/>
        </w:rPr>
        <w:t>1.</w:t>
      </w:r>
      <w:r>
        <w:rPr>
          <w:rStyle w:val="12"/>
          <w:rFonts w:hint="eastAsia" w:ascii="仿宋" w:hAnsi="仿宋" w:eastAsia="仿宋"/>
          <w:bCs/>
          <w:color w:val="000000"/>
          <w:sz w:val="32"/>
          <w:szCs w:val="32"/>
        </w:rPr>
        <w:t>教育支出（类）普通教育（款）</w:t>
      </w:r>
      <w:r>
        <w:rPr>
          <w:rStyle w:val="12"/>
          <w:rFonts w:hint="eastAsia" w:ascii="仿宋" w:hAnsi="仿宋" w:eastAsia="仿宋"/>
          <w:bCs/>
          <w:color w:val="000000"/>
          <w:sz w:val="32"/>
          <w:szCs w:val="32"/>
          <w:lang w:eastAsia="zh-CN"/>
        </w:rPr>
        <w:t>初中</w:t>
      </w:r>
      <w:r>
        <w:rPr>
          <w:rStyle w:val="12"/>
          <w:rFonts w:hint="eastAsia" w:ascii="仿宋" w:hAnsi="仿宋" w:eastAsia="仿宋"/>
          <w:bCs/>
          <w:color w:val="000000"/>
          <w:sz w:val="32"/>
          <w:szCs w:val="32"/>
        </w:rPr>
        <w:t>教育（项）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199.1</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22.64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3</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社会保障和就业支出（类）行政事业单位养老支出（款）机关事业单位职业年金缴费支出（项）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12.52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社会保障和就业支出（类）行政事业单位养老支出（款）其他行政事业单位养老支出（项）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5.84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Fonts w:hint="eastAsia" w:ascii="仿宋" w:hAnsi="仿宋" w:eastAsia="仿宋"/>
          <w:b/>
          <w:bCs/>
          <w:color w:val="000000"/>
          <w:sz w:val="32"/>
          <w:szCs w:val="32"/>
        </w:rPr>
        <w:t>卫生健康</w:t>
      </w:r>
      <w:r>
        <w:rPr>
          <w:rStyle w:val="12"/>
          <w:rFonts w:hint="eastAsia" w:ascii="仿宋" w:hAnsi="仿宋" w:eastAsia="仿宋"/>
          <w:bCs/>
          <w:color w:val="000000"/>
          <w:sz w:val="32"/>
          <w:szCs w:val="32"/>
        </w:rPr>
        <w:t>（类）行政事业单位医疗（款）事业单位医疗（项）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9.92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2"/>
          <w:rFonts w:hint="eastAsia" w:ascii="仿宋" w:hAnsi="仿宋" w:eastAsia="仿宋"/>
          <w:bCs/>
          <w:color w:val="000000"/>
          <w:sz w:val="32"/>
          <w:szCs w:val="32"/>
        </w:rPr>
        <w:t>（类）住房改革支出</w:t>
      </w:r>
      <w:r>
        <w:rPr>
          <w:rStyle w:val="12"/>
          <w:rFonts w:hint="eastAsia" w:ascii="仿宋" w:hAnsi="仿宋" w:eastAsia="仿宋"/>
          <w:bCs/>
          <w:color w:val="000000"/>
          <w:sz w:val="32"/>
          <w:szCs w:val="32"/>
          <w:lang w:eastAsia="zh-CN"/>
        </w:rPr>
        <w:t>（</w:t>
      </w:r>
      <w:r>
        <w:rPr>
          <w:rStyle w:val="12"/>
          <w:rFonts w:hint="eastAsia" w:ascii="仿宋" w:hAnsi="仿宋" w:eastAsia="仿宋"/>
          <w:bCs/>
          <w:color w:val="000000"/>
          <w:sz w:val="32"/>
          <w:szCs w:val="32"/>
        </w:rPr>
        <w:t>款）住房公积金（项）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22.9</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tabs>
          <w:tab w:val="right" w:pos="8306"/>
        </w:tabs>
        <w:spacing w:line="600" w:lineRule="exact"/>
        <w:ind w:firstLine="640"/>
        <w:outlineLvl w:val="1"/>
        <w:rPr>
          <w:rStyle w:val="15"/>
        </w:rPr>
      </w:pPr>
      <w:bookmarkStart w:id="59" w:name="_Toc15396608"/>
      <w:bookmarkStart w:id="60" w:name="_Toc20075"/>
      <w:bookmarkStart w:id="6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59"/>
      <w:bookmarkEnd w:id="60"/>
      <w:bookmarkEnd w:id="61"/>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262.82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255.52</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万元，主要包括：工会经费、福利费等。</w:t>
      </w:r>
    </w:p>
    <w:p>
      <w:pPr>
        <w:spacing w:line="600" w:lineRule="exact"/>
        <w:ind w:firstLine="640"/>
        <w:outlineLvl w:val="1"/>
        <w:rPr>
          <w:rStyle w:val="15"/>
          <w:rFonts w:ascii="黑体" w:hAnsi="黑体" w:eastAsia="黑体"/>
          <w:b w:val="0"/>
        </w:rPr>
      </w:pPr>
      <w:bookmarkStart w:id="62" w:name="_Toc15377215"/>
      <w:bookmarkStart w:id="63" w:name="_Toc15396609"/>
      <w:bookmarkStart w:id="64" w:name="_Toc1488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62"/>
      <w:bookmarkEnd w:id="63"/>
      <w:bookmarkEnd w:id="64"/>
    </w:p>
    <w:p>
      <w:pPr>
        <w:spacing w:line="600" w:lineRule="exact"/>
        <w:ind w:firstLine="640"/>
        <w:outlineLvl w:val="9"/>
        <w:rPr>
          <w:rFonts w:ascii="仿宋" w:hAnsi="仿宋" w:eastAsia="仿宋"/>
          <w:b/>
          <w:color w:val="000000"/>
          <w:sz w:val="32"/>
          <w:szCs w:val="32"/>
        </w:rPr>
      </w:pPr>
      <w:bookmarkStart w:id="65" w:name="_Toc15377216"/>
      <w:bookmarkStart w:id="66" w:name="_Toc26822"/>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67" w:name="_Toc15377217"/>
      <w:bookmarkStart w:id="68" w:name="_Toc26414"/>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b w:val="0"/>
          <w:bCs/>
          <w:color w:val="000000"/>
          <w:sz w:val="32"/>
          <w:szCs w:val="32"/>
          <w:lang w:val="en-US" w:eastAsia="zh-CN"/>
        </w:rPr>
        <w:t>0</w:t>
      </w:r>
      <w:r>
        <w:rPr>
          <w:rFonts w:hint="eastAsia" w:ascii="仿宋" w:hAnsi="仿宋" w:eastAsia="仿宋" w:cs="仿宋"/>
          <w:color w:val="000000"/>
          <w:sz w:val="32"/>
          <w:szCs w:val="32"/>
        </w:rPr>
        <w:t>万元，</w:t>
      </w:r>
      <w:r>
        <w:rPr>
          <w:rStyle w:val="12"/>
          <w:rFonts w:hint="eastAsia" w:ascii="仿宋" w:hAnsi="仿宋" w:eastAsia="仿宋" w:cs="仿宋"/>
          <w:b w:val="0"/>
          <w:bCs/>
          <w:color w:val="000000"/>
          <w:sz w:val="32"/>
          <w:szCs w:val="32"/>
        </w:rPr>
        <w:t>完成预算</w:t>
      </w:r>
      <w:r>
        <w:rPr>
          <w:rStyle w:val="12"/>
          <w:rFonts w:hint="eastAsia" w:ascii="仿宋" w:hAnsi="仿宋" w:eastAsia="仿宋" w:cs="仿宋"/>
          <w:b w:val="0"/>
          <w:bCs/>
          <w:color w:val="000000"/>
          <w:sz w:val="32"/>
          <w:szCs w:val="32"/>
          <w:lang w:val="en-US" w:eastAsia="zh-CN"/>
        </w:rPr>
        <w:t>0</w:t>
      </w:r>
      <w:r>
        <w:rPr>
          <w:rStyle w:val="12"/>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公务接待费支出决算比2019年减少</w:t>
      </w:r>
      <w:r>
        <w:rPr>
          <w:rFonts w:hint="eastAsia" w:ascii="仿宋" w:hAnsi="仿宋" w:eastAsia="仿宋" w:cs="仿宋"/>
          <w:color w:val="000000"/>
          <w:sz w:val="32"/>
          <w:szCs w:val="32"/>
          <w:lang w:val="en-US" w:eastAsia="zh-CN"/>
        </w:rPr>
        <w:t>0.1</w:t>
      </w:r>
      <w:r>
        <w:rPr>
          <w:rFonts w:hint="eastAsia" w:ascii="仿宋" w:hAnsi="仿宋" w:eastAsia="仿宋" w:cs="仿宋"/>
          <w:color w:val="000000"/>
          <w:sz w:val="32"/>
          <w:szCs w:val="32"/>
        </w:rPr>
        <w:t>万元，下降</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其中：</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万元，主要用于执行公务、开展业务活动开支的交通费、住宿费、用餐费等。国内公务接待</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人次（不包括陪同人员），共计支出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万元，具体内容包括：</w:t>
      </w:r>
      <w:r>
        <w:rPr>
          <w:rFonts w:hint="eastAsia" w:ascii="仿宋" w:hAnsi="仿宋" w:eastAsia="仿宋" w:cs="仿宋"/>
          <w:color w:val="auto"/>
          <w:sz w:val="32"/>
          <w:szCs w:val="32"/>
          <w:lang w:val="en-US" w:eastAsia="zh-CN"/>
        </w:rPr>
        <w:t>用于接待上级领导视察并指导学校发展产生的住宿费、用餐费0万元。</w:t>
      </w:r>
    </w:p>
    <w:p>
      <w:pPr>
        <w:spacing w:line="600" w:lineRule="exact"/>
        <w:ind w:firstLine="640"/>
        <w:outlineLvl w:val="1"/>
        <w:rPr>
          <w:rStyle w:val="15"/>
          <w:rFonts w:ascii="黑体" w:hAnsi="黑体" w:eastAsia="黑体"/>
        </w:rPr>
      </w:pPr>
      <w:bookmarkStart w:id="69" w:name="_Toc15377218"/>
      <w:bookmarkStart w:id="70" w:name="_Toc15396610"/>
      <w:bookmarkStart w:id="71" w:name="_Toc26858"/>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5"/>
          <w:rFonts w:ascii="黑体" w:hAnsi="黑体" w:eastAsia="黑体"/>
          <w:b w:val="0"/>
        </w:rPr>
      </w:pPr>
      <w:bookmarkStart w:id="72" w:name="_Toc15377219"/>
      <w:bookmarkStart w:id="73" w:name="_Toc20206"/>
      <w:bookmarkStart w:id="74" w:name="_Toc15396611"/>
      <w:r>
        <w:rPr>
          <w:rStyle w:val="15"/>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5"/>
          <w:rFonts w:ascii="黑体" w:hAnsi="黑体" w:eastAsia="黑体"/>
        </w:rPr>
      </w:pPr>
      <w:bookmarkStart w:id="75" w:name="_Toc15377221"/>
      <w:bookmarkStart w:id="76" w:name="_Toc15396612"/>
      <w:bookmarkStart w:id="77" w:name="_Toc11608"/>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bookmarkEnd w:id="75"/>
      <w:bookmarkEnd w:id="76"/>
      <w:bookmarkEnd w:id="77"/>
    </w:p>
    <w:p>
      <w:pPr>
        <w:spacing w:line="600" w:lineRule="exact"/>
        <w:ind w:firstLine="643" w:firstLineChars="200"/>
        <w:outlineLvl w:val="9"/>
        <w:rPr>
          <w:rFonts w:ascii="仿宋" w:hAnsi="仿宋" w:eastAsia="仿宋"/>
          <w:color w:val="000000"/>
          <w:sz w:val="32"/>
          <w:szCs w:val="32"/>
        </w:rPr>
      </w:pPr>
      <w:bookmarkStart w:id="78" w:name="_Toc23902"/>
      <w:bookmarkStart w:id="79" w:name="_Toc1537722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辉山镇初级中学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0" w:name="_Toc15377223"/>
      <w:bookmarkStart w:id="81" w:name="_Toc29901"/>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辉山镇初级中学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2" w:name="_Toc28062"/>
      <w:bookmarkStart w:id="83" w:name="_Toc15377224"/>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辉山镇初级中学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8507"/>
      <w:r>
        <w:rPr>
          <w:rFonts w:hint="eastAsia" w:ascii="仿宋" w:hAnsi="仿宋" w:eastAsia="仿宋"/>
          <w:b/>
          <w:color w:val="000000"/>
          <w:sz w:val="32"/>
          <w:szCs w:val="32"/>
        </w:rPr>
        <w:t>（四）预算绩效管理情况</w:t>
      </w:r>
      <w:bookmarkEnd w:id="84"/>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乐山市五通桥区辉山镇初级中学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乐山市五通桥区辉山镇初级中学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本部门</w:t>
      </w:r>
      <w:r>
        <w:rPr>
          <w:rFonts w:hint="eastAsia" w:ascii="仿宋" w:hAnsi="仿宋" w:eastAsia="仿宋" w:cs="仿宋"/>
          <w:sz w:val="32"/>
          <w:szCs w:val="32"/>
          <w:highlight w:val="none"/>
        </w:rPr>
        <w:t>在2020年度部门决算中反映“</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”项目绩效目标实际完成情况。（本单位部门项目绩效目标个</w:t>
      </w:r>
      <w:r>
        <w:rPr>
          <w:rFonts w:hint="eastAsia" w:ascii="仿宋" w:hAnsi="仿宋" w:eastAsia="仿宋" w:cs="仿宋"/>
          <w:sz w:val="32"/>
          <w:szCs w:val="32"/>
        </w:rPr>
        <w:t>数</w:t>
      </w:r>
      <w:r>
        <w:rPr>
          <w:rFonts w:hint="eastAsia" w:ascii="仿宋" w:hAnsi="仿宋" w:eastAsia="仿宋" w:cs="仿宋"/>
          <w:sz w:val="32"/>
          <w:szCs w:val="32"/>
          <w:lang w:val="en-US" w:eastAsia="zh-CN"/>
        </w:rPr>
        <w:t>1</w:t>
      </w:r>
      <w:r>
        <w:rPr>
          <w:rFonts w:hint="eastAsia" w:ascii="仿宋" w:hAnsi="仿宋" w:eastAsia="仿宋" w:cs="仿宋"/>
          <w:sz w:val="32"/>
          <w:szCs w:val="32"/>
        </w:rPr>
        <w:t>个，选取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个项目进行公开，公开内容包括选取的全部</w:t>
      </w:r>
      <w:r>
        <w:rPr>
          <w:rFonts w:hint="eastAsia" w:ascii="仿宋" w:hAnsi="仿宋" w:eastAsia="仿宋" w:cs="仿宋"/>
          <w:sz w:val="32"/>
          <w:szCs w:val="32"/>
          <w:highlight w:val="none"/>
        </w:rPr>
        <w:t>项目完成情况综述和完成情况表）。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highlight w:val="none"/>
        </w:rPr>
        <w:t>项目全年预算数</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rPr>
        <w:t>万元，执行数为</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rPr>
        <w:t>万元，完成预</w:t>
      </w:r>
      <w:r>
        <w:rPr>
          <w:rFonts w:hint="eastAsia" w:ascii="仿宋" w:hAnsi="仿宋" w:eastAsia="仿宋" w:cs="仿宋"/>
          <w:sz w:val="32"/>
          <w:szCs w:val="32"/>
        </w:rPr>
        <w:t>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025"/>
        <w:gridCol w:w="2392"/>
        <w:gridCol w:w="2394"/>
        <w:gridCol w:w="2392"/>
      </w:tblGrid>
      <w:tr>
        <w:tblPrEx>
          <w:tblCellMar>
            <w:top w:w="0" w:type="dxa"/>
            <w:left w:w="0" w:type="dxa"/>
            <w:bottom w:w="0" w:type="dxa"/>
            <w:right w:w="0" w:type="dxa"/>
          </w:tblCellMar>
        </w:tblPrEx>
        <w:trPr>
          <w:trHeight w:val="723"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44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highlight w:val="none"/>
                <w:lang w:val="en-US" w:eastAsia="zh-CN"/>
              </w:rPr>
              <w:t>生均公用经费</w:t>
            </w:r>
          </w:p>
        </w:tc>
      </w:tr>
      <w:tr>
        <w:tblPrEx>
          <w:tblCellMar>
            <w:top w:w="0" w:type="dxa"/>
            <w:left w:w="0" w:type="dxa"/>
            <w:bottom w:w="0" w:type="dxa"/>
            <w:right w:w="0" w:type="dxa"/>
          </w:tblCellMar>
        </w:tblPrEx>
        <w:trPr>
          <w:trHeight w:val="47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_GB2312" w:cs="仿宋"/>
                <w:color w:val="000000"/>
                <w:sz w:val="32"/>
                <w:szCs w:val="32"/>
                <w:lang w:eastAsia="zh-CN"/>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辉山镇初级中学</w:t>
            </w:r>
          </w:p>
        </w:tc>
      </w:tr>
      <w:tr>
        <w:tblPrEx>
          <w:tblCellMar>
            <w:top w:w="0" w:type="dxa"/>
            <w:left w:w="0" w:type="dxa"/>
            <w:bottom w:w="0" w:type="dxa"/>
            <w:right w:w="0" w:type="dxa"/>
          </w:tblCellMar>
        </w:tblPrEx>
        <w:trPr>
          <w:trHeight w:val="784"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10.1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sz w:val="32"/>
                <w:szCs w:val="32"/>
                <w:lang w:val="en-US" w:eastAsia="zh-CN"/>
              </w:rPr>
              <w:t>10.1</w:t>
            </w:r>
          </w:p>
        </w:tc>
      </w:tr>
      <w:tr>
        <w:tblPrEx>
          <w:tblCellMar>
            <w:top w:w="0" w:type="dxa"/>
            <w:left w:w="0" w:type="dxa"/>
            <w:bottom w:w="0" w:type="dxa"/>
            <w:right w:w="0" w:type="dxa"/>
          </w:tblCellMar>
        </w:tblPrEx>
        <w:trPr>
          <w:trHeight w:val="803"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10.1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10.1</w:t>
            </w:r>
          </w:p>
        </w:tc>
      </w:tr>
      <w:tr>
        <w:tblPrEx>
          <w:tblCellMar>
            <w:top w:w="0" w:type="dxa"/>
            <w:left w:w="0" w:type="dxa"/>
            <w:bottom w:w="0" w:type="dxa"/>
            <w:right w:w="0" w:type="dxa"/>
          </w:tblCellMar>
        </w:tblPrEx>
        <w:trPr>
          <w:trHeight w:val="58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19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597"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56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计划投入9.6万元，保障学校正常运转，完成维修及校园文化建设。</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全年投入10.1万元，保障了学校正常运转，完成了校园小型维修及校园文化建设。</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2020年9月合并到金山中学 </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2020年9月合并到金山中学</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9.6</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10.1</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年部门整体支出绩效评价情况开展自评，《乐山市五通桥区</w:t>
      </w:r>
      <w:r>
        <w:rPr>
          <w:rFonts w:hint="eastAsia" w:ascii="仿宋_GB2312" w:hAnsi="仿宋_GB2312" w:eastAsia="仿宋_GB2312" w:cs="仿宋_GB2312"/>
          <w:sz w:val="32"/>
          <w:szCs w:val="32"/>
          <w:lang w:eastAsia="zh-CN"/>
        </w:rPr>
        <w:t>辉山镇初级中学</w:t>
      </w:r>
      <w:r>
        <w:rPr>
          <w:rFonts w:hint="eastAsia" w:ascii="仿宋_GB2312" w:hAnsi="仿宋_GB2312" w:eastAsia="仿宋_GB2312" w:cs="仿宋_GB2312"/>
          <w:sz w:val="32"/>
          <w:szCs w:val="32"/>
        </w:rPr>
        <w:t>部门2020年部门整体支出绩效评价报告》见附件（附件1）。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 w:hAnsi="仿宋" w:eastAsia="仿宋" w:cs="仿宋"/>
          <w:sz w:val="32"/>
          <w:szCs w:val="32"/>
          <w:highlight w:val="none"/>
          <w:lang w:val="en-US" w:eastAsia="zh-CN"/>
        </w:rPr>
        <w:t>生均公用经费</w:t>
      </w:r>
      <w:r>
        <w:rPr>
          <w:rFonts w:hint="eastAsia" w:ascii="仿宋_GB2312" w:hAnsi="仿宋_GB2312" w:eastAsia="仿宋_GB2312" w:cs="仿宋_GB2312"/>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3"/>
        </w:numPr>
        <w:spacing w:line="600" w:lineRule="exact"/>
        <w:ind w:firstLine="660" w:firstLineChars="150"/>
        <w:jc w:val="center"/>
        <w:outlineLvl w:val="0"/>
        <w:rPr>
          <w:rStyle w:val="14"/>
          <w:rFonts w:ascii="黑体" w:hAnsi="黑体" w:eastAsia="黑体"/>
          <w:b w:val="0"/>
        </w:rPr>
      </w:pPr>
      <w:bookmarkStart w:id="85" w:name="_Toc27240"/>
      <w:bookmarkStart w:id="86" w:name="_Toc15396613"/>
      <w:bookmarkStart w:id="87" w:name="_Toc15377225"/>
      <w:r>
        <w:rPr>
          <w:rFonts w:hint="eastAsia" w:ascii="黑体" w:hAnsi="黑体" w:eastAsia="黑体"/>
          <w:color w:val="000000"/>
          <w:sz w:val="44"/>
          <w:szCs w:val="44"/>
        </w:rPr>
        <w:t>名</w:t>
      </w:r>
      <w:r>
        <w:rPr>
          <w:rStyle w:val="14"/>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7"/>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pacing w:val="0"/>
          <w:w w:val="100"/>
          <w:position w:val="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教育（类）普通教育（款）初中教育（项）：指</w:t>
      </w:r>
      <w:r>
        <w:rPr>
          <w:rFonts w:hint="eastAsia" w:ascii="仿宋" w:hAnsi="仿宋" w:eastAsia="仿宋" w:cs="仿宋"/>
          <w:b w:val="0"/>
          <w:bCs w:val="0"/>
          <w:color w:val="000000"/>
          <w:spacing w:val="0"/>
          <w:w w:val="100"/>
          <w:position w:val="0"/>
          <w:sz w:val="32"/>
          <w:szCs w:val="32"/>
        </w:rPr>
        <w:t>反映各部门举办的初中教育支出。政府各部门对社会中介 组织等举办的初中教育的资助，如捐赠、补贴等，也在本科 目中反映。</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7"/>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5</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bookmarkStart w:id="88" w:name="_Toc19780"/>
      <w:bookmarkStart w:id="89" w:name="_Toc15396614"/>
      <w:bookmarkStart w:id="90" w:name="_Toc15377226"/>
      <w:r>
        <w:rPr>
          <w:rFonts w:hint="eastAsia" w:ascii="黑体" w:hAnsi="黑体" w:eastAsia="黑体"/>
          <w:color w:val="000000"/>
          <w:sz w:val="44"/>
          <w:szCs w:val="44"/>
        </w:rPr>
        <w:t>第</w:t>
      </w:r>
      <w:r>
        <w:rPr>
          <w:rStyle w:val="14"/>
          <w:rFonts w:hint="eastAsia" w:ascii="黑体" w:hAnsi="黑体" w:eastAsia="黑体"/>
          <w:b w:val="0"/>
        </w:rPr>
        <w:t>四部分</w:t>
      </w:r>
      <w:r>
        <w:rPr>
          <w:rStyle w:val="14"/>
          <w:rFonts w:ascii="黑体" w:hAnsi="黑体" w:eastAsia="黑体"/>
          <w:b w:val="0"/>
        </w:rPr>
        <w:t xml:space="preserve"> </w:t>
      </w:r>
      <w:r>
        <w:rPr>
          <w:rStyle w:val="14"/>
          <w:rFonts w:hint="eastAsia" w:ascii="黑体" w:hAnsi="黑体" w:eastAsia="黑体"/>
          <w:b w:val="0"/>
        </w:rPr>
        <w:t>附件</w:t>
      </w:r>
      <w:bookmarkEnd w:id="88"/>
      <w:bookmarkEnd w:id="89"/>
    </w:p>
    <w:p>
      <w:pPr>
        <w:spacing w:line="600" w:lineRule="exact"/>
        <w:jc w:val="left"/>
        <w:outlineLvl w:val="9"/>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四川省乐山市五通桥区</w:t>
      </w:r>
      <w:r>
        <w:rPr>
          <w:rFonts w:hint="eastAsia" w:ascii="方正小标宋简体" w:hAnsi="宋体" w:eastAsia="方正小标宋简体"/>
          <w:color w:val="000000"/>
          <w:kern w:val="0"/>
          <w:sz w:val="40"/>
          <w:szCs w:val="44"/>
          <w:lang w:eastAsia="zh-CN"/>
        </w:rPr>
        <w:t>辉山镇初级中学</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Chars="200"/>
        <w:rPr>
          <w:rFonts w:hint="eastAsia" w:ascii="仿宋_GB2312" w:eastAsia="仿宋_GB2312"/>
          <w:sz w:val="30"/>
          <w:szCs w:val="30"/>
        </w:rPr>
      </w:pPr>
      <w:r>
        <w:rPr>
          <w:rFonts w:hint="eastAsia" w:ascii="仿宋_GB2312" w:eastAsia="仿宋_GB2312"/>
          <w:sz w:val="30"/>
          <w:szCs w:val="30"/>
          <w:lang w:eastAsia="zh-CN"/>
        </w:rPr>
        <w:t>乐山市五通桥区辉山镇初级中学</w:t>
      </w:r>
      <w:r>
        <w:rPr>
          <w:rFonts w:hint="eastAsia" w:ascii="仿宋_GB2312" w:eastAsia="仿宋_GB2312"/>
          <w:sz w:val="30"/>
          <w:szCs w:val="30"/>
        </w:rPr>
        <w:t>属一级预算单位，学校内设政教处、总务处、教务处、办公室四个部门。</w:t>
      </w:r>
    </w:p>
    <w:p>
      <w:pPr>
        <w:widowControl/>
        <w:numPr>
          <w:ilvl w:val="0"/>
          <w:numId w:val="4"/>
        </w:numPr>
        <w:adjustRightInd w:val="0"/>
        <w:snapToGrid w:val="0"/>
        <w:spacing w:line="580" w:lineRule="exact"/>
        <w:ind w:left="-220" w:leftChars="0" w:firstLine="640" w:firstLineChars="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_GB2312" w:eastAsia="仿宋_GB2312"/>
          <w:color w:val="FF0000"/>
          <w:sz w:val="30"/>
          <w:szCs w:val="30"/>
        </w:rPr>
      </w:pPr>
      <w:r>
        <w:rPr>
          <w:rFonts w:hint="eastAsia" w:ascii="仿宋_GB2312" w:eastAsia="仿宋_GB2312"/>
          <w:sz w:val="30"/>
          <w:szCs w:val="30"/>
          <w:lang w:eastAsia="zh-CN"/>
        </w:rPr>
        <w:t>乐山市五通桥区辉山镇初级中学</w:t>
      </w:r>
      <w:r>
        <w:rPr>
          <w:rFonts w:hint="eastAsia" w:ascii="仿宋_GB2312" w:eastAsia="仿宋_GB2312"/>
          <w:sz w:val="30"/>
          <w:szCs w:val="30"/>
        </w:rPr>
        <w:t>辉山中学是由五通区教育部门举办和管理的九年制义务教育学校</w:t>
      </w:r>
      <w:r>
        <w:rPr>
          <w:rFonts w:hint="eastAsia" w:ascii="仿宋_GB2312" w:eastAsia="仿宋_GB2312"/>
          <w:sz w:val="30"/>
          <w:szCs w:val="30"/>
          <w:lang w:eastAsia="zh-CN"/>
        </w:rPr>
        <w:t>，</w:t>
      </w:r>
      <w:r>
        <w:rPr>
          <w:rFonts w:hint="eastAsia" w:ascii="仿宋_GB2312" w:eastAsia="仿宋_GB2312"/>
          <w:sz w:val="30"/>
          <w:szCs w:val="30"/>
        </w:rPr>
        <w:t>其职能是实施初中义务教育，促进基础教育发展。</w:t>
      </w:r>
    </w:p>
    <w:p>
      <w:pPr>
        <w:widowControl/>
        <w:numPr>
          <w:ilvl w:val="0"/>
          <w:numId w:val="4"/>
        </w:numPr>
        <w:adjustRightInd w:val="0"/>
        <w:snapToGrid w:val="0"/>
        <w:spacing w:line="580" w:lineRule="exact"/>
        <w:ind w:left="-220" w:leftChars="0" w:firstLine="640" w:firstLineChars="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ind w:firstLineChars="200"/>
        <w:rPr>
          <w:rFonts w:hint="eastAsia" w:ascii="黑体" w:hAnsi="宋体" w:eastAsia="黑体" w:cs="宋体"/>
          <w:color w:val="000000"/>
          <w:kern w:val="0"/>
          <w:sz w:val="32"/>
          <w:szCs w:val="32"/>
          <w:shd w:val="clear" w:color="auto" w:fill="FFFFFF"/>
        </w:rPr>
      </w:pPr>
      <w:r>
        <w:rPr>
          <w:rFonts w:hint="eastAsia" w:ascii="仿宋_GB2312" w:eastAsia="仿宋_GB2312"/>
          <w:sz w:val="30"/>
          <w:szCs w:val="30"/>
          <w:lang w:eastAsia="zh-CN"/>
        </w:rPr>
        <w:t>乐山市五通桥区辉山镇初级中学</w:t>
      </w:r>
      <w:r>
        <w:rPr>
          <w:rFonts w:hint="eastAsia" w:ascii="仿宋_GB2312" w:eastAsia="仿宋_GB2312"/>
          <w:sz w:val="30"/>
          <w:szCs w:val="30"/>
          <w:lang w:val="en-US" w:eastAsia="zh-CN"/>
        </w:rPr>
        <w:t>年末在职人数17人</w:t>
      </w:r>
      <w:r>
        <w:rPr>
          <w:rFonts w:hint="eastAsia" w:ascii="仿宋_GB2312" w:eastAsia="仿宋_GB2312"/>
          <w:sz w:val="30"/>
          <w:szCs w:val="30"/>
        </w:rPr>
        <w:t>。</w:t>
      </w:r>
    </w:p>
    <w:p>
      <w:pPr>
        <w:widowControl/>
        <w:adjustRightInd w:val="0"/>
        <w:snapToGrid w:val="0"/>
        <w:spacing w:line="580" w:lineRule="exact"/>
        <w:ind w:firstLine="960" w:firstLineChars="300"/>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ind w:firstLine="960" w:firstLineChars="3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入272.92万元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入增加9.64万元、增加3.66</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5"/>
        </w:numPr>
        <w:adjustRightInd w:val="0"/>
        <w:snapToGrid w:val="0"/>
        <w:spacing w:line="580" w:lineRule="exact"/>
        <w:ind w:left="-10" w:leftChars="0" w:firstLine="640" w:firstLineChars="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s="仿宋"/>
          <w:i w:val="0"/>
          <w:iCs w:val="0"/>
          <w:caps w:val="0"/>
          <w:color w:val="333333"/>
          <w:spacing w:val="0"/>
          <w:sz w:val="32"/>
          <w:szCs w:val="32"/>
          <w:lang w:val="en-US" w:eastAsia="zh-CN"/>
        </w:rPr>
        <w:t>262.82</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s="仿宋"/>
          <w:i w:val="0"/>
          <w:iCs w:val="0"/>
          <w:caps w:val="0"/>
          <w:color w:val="333333"/>
          <w:spacing w:val="0"/>
          <w:sz w:val="32"/>
          <w:szCs w:val="32"/>
          <w:lang w:val="en-US" w:eastAsia="zh-CN"/>
        </w:rPr>
        <w:t>255.52</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s="仿宋"/>
          <w:i w:val="0"/>
          <w:iCs w:val="0"/>
          <w:caps w:val="0"/>
          <w:color w:val="333333"/>
          <w:spacing w:val="0"/>
          <w:sz w:val="32"/>
          <w:szCs w:val="32"/>
          <w:lang w:val="en-US" w:eastAsia="zh-CN"/>
        </w:rPr>
        <w:t>7.3</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10.1</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10.1</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四川省乐山市五通桥区辉山镇初级中学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(二)</w:t>
      </w:r>
      <w:r>
        <w:rPr>
          <w:rFonts w:hint="eastAsia" w:ascii="仿宋" w:hAnsi="仿宋" w:eastAsia="仿宋" w:cs="仿宋"/>
          <w:color w:val="000000"/>
          <w:kern w:val="0"/>
          <w:sz w:val="32"/>
          <w:szCs w:val="32"/>
          <w:shd w:val="clear" w:color="auto" w:fill="FFFFFF"/>
          <w:lang w:val="zh-CN"/>
        </w:rPr>
        <w:t>存在问题</w:t>
      </w:r>
    </w:p>
    <w:p>
      <w:pPr>
        <w:widowControl/>
        <w:adjustRightInd w:val="0"/>
        <w:snapToGrid w:val="0"/>
        <w:spacing w:line="580" w:lineRule="exact"/>
        <w:ind w:firstLine="1600" w:firstLineChars="5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w:t>
      </w:r>
      <w:r>
        <w:rPr>
          <w:rFonts w:hint="eastAsia" w:ascii="仿宋" w:hAnsi="仿宋" w:eastAsia="仿宋" w:cs="仿宋"/>
          <w:color w:val="000000"/>
          <w:kern w:val="0"/>
          <w:sz w:val="32"/>
          <w:szCs w:val="32"/>
          <w:shd w:val="clear" w:color="auto" w:fill="FFFFFF"/>
          <w:lang w:val="zh-CN"/>
        </w:rPr>
        <w:t>改进建议</w:t>
      </w:r>
    </w:p>
    <w:p>
      <w:pPr>
        <w:spacing w:line="580" w:lineRule="exact"/>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ind w:firstLine="1600" w:firstLineChars="500"/>
        <w:rPr>
          <w:rFonts w:hint="eastAsia" w:ascii="仿宋" w:hAnsi="仿宋" w:eastAsia="仿宋" w:cs="仿宋"/>
          <w:sz w:val="32"/>
          <w:szCs w:val="32"/>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辉山镇初级中学</w:t>
      </w:r>
      <w:r>
        <w:rPr>
          <w:rFonts w:hint="eastAsia" w:ascii="方正小标宋简体" w:hAnsi="宋体" w:eastAsia="方正小标宋简体"/>
          <w:color w:val="000000"/>
          <w:kern w:val="0"/>
          <w:sz w:val="44"/>
          <w:szCs w:val="44"/>
          <w:lang w:val="en-US" w:eastAsia="zh-CN"/>
        </w:rPr>
        <w:t>生均公用经费</w:t>
      </w:r>
      <w:r>
        <w:rPr>
          <w:rFonts w:hint="eastAsia" w:ascii="方正小标宋简体" w:hAnsi="宋体" w:eastAsia="方正小标宋简体"/>
          <w:color w:val="000000"/>
          <w:kern w:val="0"/>
          <w:sz w:val="44"/>
          <w:szCs w:val="44"/>
          <w:lang w:val="zh-CN" w:eastAsia="zh-CN"/>
        </w:rPr>
        <w:t>项目</w:t>
      </w: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sz w:val="32"/>
          <w:szCs w:val="32"/>
          <w:lang w:val="zh-CN"/>
        </w:rPr>
      </w:pPr>
      <w:r>
        <w:rPr>
          <w:rFonts w:hint="eastAsia" w:ascii="仿宋" w:hAnsi="仿宋" w:eastAsia="仿宋" w:cs="仿宋"/>
          <w:sz w:val="32"/>
          <w:szCs w:val="32"/>
        </w:rPr>
        <w:t>坚持“依法治校，以人为本，培养基础性、发展性人才”的办学理念，狠抓外树形象，内提质量工程，积极推进素质教育，着力纯正校风学风，其教育教学质量居区中上水平。认真贯彻执行党的路线、方针、政策和上级领导部门及学校党委、行政的各项指示、决定。</w:t>
      </w:r>
      <w:r>
        <w:rPr>
          <w:rFonts w:hint="eastAsia" w:ascii="仿宋" w:hAnsi="仿宋" w:eastAsia="仿宋" w:cs="仿宋"/>
          <w:sz w:val="32"/>
          <w:szCs w:val="32"/>
          <w:lang w:eastAsia="zh-CN"/>
        </w:rPr>
        <w:t>用于</w:t>
      </w:r>
      <w:r>
        <w:rPr>
          <w:rFonts w:hint="eastAsia" w:ascii="仿宋" w:hAnsi="仿宋" w:eastAsia="仿宋" w:cs="仿宋"/>
          <w:sz w:val="32"/>
          <w:szCs w:val="32"/>
          <w:lang w:val="zh-CN"/>
        </w:rPr>
        <w:t>义务教育阶段的中央省区级公用经费、义务教育学校随班就读学生公用经费。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2．项目立项、资金申报的依据</w:t>
      </w:r>
      <w:bookmarkStart w:id="134" w:name="_GoBack"/>
      <w:bookmarkEnd w:id="134"/>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用于学校全年</w:t>
      </w:r>
      <w:r>
        <w:rPr>
          <w:rFonts w:hint="eastAsia" w:ascii="仿宋" w:hAnsi="仿宋" w:eastAsia="仿宋" w:cs="仿宋"/>
          <w:sz w:val="32"/>
          <w:szCs w:val="32"/>
          <w:highlight w:val="none"/>
          <w:lang w:val="en-US" w:eastAsia="zh-CN"/>
        </w:rPr>
        <w:t>教育教学正常运转支出</w:t>
      </w:r>
      <w:r>
        <w:rPr>
          <w:rFonts w:hint="eastAsia" w:ascii="仿宋" w:hAnsi="仿宋" w:eastAsia="仿宋" w:cs="仿宋"/>
          <w:sz w:val="32"/>
          <w:szCs w:val="32"/>
          <w:lang w:val="en-US" w:eastAsia="zh-CN"/>
        </w:rPr>
        <w:t>。</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spacing w:line="560" w:lineRule="exact"/>
        <w:ind w:leftChars="200"/>
        <w:jc w:val="left"/>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根据学校实际情况，在保运转基础上纳入年初预算</w:t>
      </w:r>
      <w:r>
        <w:rPr>
          <w:rFonts w:hint="eastAsia" w:ascii="仿宋_GB2312" w:eastAsia="仿宋_GB2312"/>
          <w:sz w:val="32"/>
          <w:szCs w:val="32"/>
          <w:lang w:val="en-US" w:eastAsia="zh-CN"/>
        </w:rPr>
        <w:t>。</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该项目资金由区级配套财政资金及</w:t>
      </w:r>
      <w:r>
        <w:rPr>
          <w:rFonts w:hint="eastAsia" w:ascii="仿宋" w:hAnsi="仿宋" w:eastAsia="仿宋" w:cs="仿宋"/>
          <w:sz w:val="32"/>
          <w:szCs w:val="32"/>
          <w:highlight w:val="none"/>
          <w:lang w:val="en-US" w:eastAsia="zh-CN"/>
        </w:rPr>
        <w:t>上级</w:t>
      </w:r>
      <w:r>
        <w:rPr>
          <w:rFonts w:hint="eastAsia" w:ascii="仿宋" w:hAnsi="仿宋" w:eastAsia="仿宋" w:cs="仿宋"/>
          <w:sz w:val="32"/>
          <w:szCs w:val="32"/>
          <w:lang w:val="en-US" w:eastAsia="zh-CN"/>
        </w:rPr>
        <w:t>财政</w:t>
      </w:r>
      <w:r>
        <w:rPr>
          <w:rFonts w:hint="eastAsia" w:ascii="仿宋" w:hAnsi="仿宋" w:eastAsia="仿宋" w:cs="仿宋"/>
          <w:sz w:val="32"/>
          <w:szCs w:val="32"/>
          <w:lang w:val="zh-CN"/>
        </w:rPr>
        <w:t>资金</w:t>
      </w:r>
      <w:r>
        <w:rPr>
          <w:rFonts w:hint="eastAsia" w:ascii="仿宋" w:hAnsi="仿宋" w:eastAsia="仿宋" w:cs="仿宋"/>
          <w:sz w:val="32"/>
          <w:szCs w:val="32"/>
          <w:lang w:val="en-US" w:eastAsia="zh-CN"/>
        </w:rPr>
        <w:t>。</w:t>
      </w:r>
    </w:p>
    <w:p>
      <w:pPr>
        <w:numPr>
          <w:ilvl w:val="0"/>
          <w:numId w:val="0"/>
        </w:numPr>
        <w:adjustRightInd w:val="0"/>
        <w:snapToGrid w:val="0"/>
        <w:spacing w:line="600" w:lineRule="exact"/>
        <w:ind w:left="720" w:leftChars="0"/>
        <w:rPr>
          <w:rFonts w:hint="eastAsia" w:ascii="仿宋" w:hAnsi="仿宋" w:eastAsia="仿宋" w:cs="仿宋"/>
          <w:sz w:val="32"/>
          <w:szCs w:val="32"/>
          <w:lang w:val="zh-CN" w:eastAsia="zh-CN"/>
        </w:rPr>
      </w:pPr>
    </w:p>
    <w:p>
      <w:pPr>
        <w:numPr>
          <w:ilvl w:val="0"/>
          <w:numId w:val="5"/>
        </w:numPr>
        <w:adjustRightInd w:val="0"/>
        <w:snapToGrid w:val="0"/>
        <w:spacing w:line="600" w:lineRule="exact"/>
        <w:ind w:left="-10" w:leftChars="0" w:firstLine="64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 w:hAnsi="仿宋" w:eastAsia="仿宋" w:cs="仿宋"/>
          <w:b/>
          <w:sz w:val="32"/>
          <w:szCs w:val="32"/>
          <w:lang w:val="zh-CN"/>
        </w:rPr>
      </w:pP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2020年预计投入10.1万，涉及1个项目，用于学校正常教育教学任务。</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cs="仿宋"/>
          <w:sz w:val="32"/>
          <w:szCs w:val="32"/>
          <w:lang w:val="en-US" w:eastAsia="zh-CN"/>
        </w:rPr>
        <w:t xml:space="preserve">  2020年五通桥区辉山镇初级中学按照财政局下达的预算批复，对于商品及服务支出（日常公用经费）按照年初预算执行，实现内部报告审批制度，实时监控支出情况；对于项目支出的经费使用情况进行监督检查。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cs="仿宋"/>
          <w:sz w:val="32"/>
          <w:szCs w:val="32"/>
          <w:lang w:val="en-US" w:eastAsia="zh-CN"/>
        </w:rPr>
        <w:t xml:space="preserve"> 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adjustRightInd w:val="0"/>
        <w:snapToGrid w:val="0"/>
        <w:spacing w:line="600" w:lineRule="exact"/>
        <w:ind w:firstLine="720"/>
        <w:rPr>
          <w:rFonts w:hint="eastAsia" w:ascii="仿宋" w:hAnsi="仿宋" w:eastAsia="仿宋" w:cs="仿宋"/>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资金计划、到位及使用情况</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_GB2312" w:hAnsi="宋体" w:eastAsia="仿宋_GB2312" w:cs="Times New Roman"/>
          <w:sz w:val="32"/>
          <w:szCs w:val="32"/>
          <w:highlight w:val="none"/>
          <w:lang w:val="zh-CN" w:eastAsia="zh-CN"/>
        </w:rPr>
        <w:t>1．</w:t>
      </w:r>
      <w:r>
        <w:rPr>
          <w:rFonts w:hint="eastAsia" w:ascii="仿宋" w:hAnsi="仿宋" w:eastAsia="仿宋" w:cs="仿宋"/>
          <w:sz w:val="32"/>
          <w:szCs w:val="32"/>
          <w:highlight w:val="none"/>
          <w:lang w:val="zh-CN" w:eastAsia="zh-CN"/>
        </w:rPr>
        <w:t>资金计划：该项目资金由区级配套财政资金划拨及</w:t>
      </w:r>
      <w:r>
        <w:rPr>
          <w:rFonts w:hint="eastAsia" w:ascii="仿宋" w:hAnsi="仿宋" w:eastAsia="仿宋" w:cs="仿宋"/>
          <w:sz w:val="32"/>
          <w:szCs w:val="32"/>
          <w:highlight w:val="none"/>
          <w:lang w:val="en-US" w:eastAsia="zh-CN"/>
        </w:rPr>
        <w:t>上级</w:t>
      </w:r>
      <w:r>
        <w:rPr>
          <w:rFonts w:hint="eastAsia" w:ascii="仿宋" w:hAnsi="仿宋" w:eastAsia="仿宋" w:cs="仿宋"/>
          <w:sz w:val="32"/>
          <w:szCs w:val="32"/>
          <w:highlight w:val="none"/>
          <w:lang w:val="zh-CN" w:eastAsia="zh-CN"/>
        </w:rPr>
        <w:t>财政资金</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2．资金到位：截止评价时点该项目财政</w:t>
      </w:r>
      <w:r>
        <w:rPr>
          <w:rFonts w:hint="eastAsia" w:ascii="仿宋" w:hAnsi="仿宋" w:eastAsia="仿宋" w:cs="仿宋"/>
          <w:sz w:val="32"/>
          <w:szCs w:val="32"/>
          <w:highlight w:val="none"/>
          <w:lang w:val="en-US" w:eastAsia="zh-CN"/>
        </w:rPr>
        <w:t>拨付</w:t>
      </w:r>
      <w:r>
        <w:rPr>
          <w:rFonts w:hint="eastAsia" w:ascii="仿宋" w:hAnsi="仿宋" w:eastAsia="仿宋" w:cs="仿宋"/>
          <w:sz w:val="32"/>
          <w:szCs w:val="32"/>
          <w:highlight w:val="none"/>
          <w:lang w:val="zh-CN" w:eastAsia="zh-CN"/>
        </w:rPr>
        <w:t>项目资金</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lang w:val="zh-CN" w:eastAsia="zh-CN"/>
        </w:rPr>
        <w:t>万元，预算资金到位</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3．资金使用：该项资金用于</w:t>
      </w:r>
      <w:r>
        <w:rPr>
          <w:rFonts w:hint="eastAsia" w:ascii="仿宋" w:hAnsi="仿宋" w:eastAsia="仿宋" w:cs="仿宋"/>
          <w:sz w:val="32"/>
          <w:szCs w:val="32"/>
          <w:highlight w:val="none"/>
          <w:lang w:val="en-US" w:eastAsia="zh-CN"/>
        </w:rPr>
        <w:t>保障学校正常教育教学秩序开展，严格按财经制度及主管部门相关要求进行每笔支出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五通桥区辉山镇初级中学成立项目建设工作的领导小组，项目建设工作由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63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10.1</w:t>
      </w:r>
      <w:r>
        <w:rPr>
          <w:rFonts w:hint="eastAsia" w:ascii="仿宋" w:hAnsi="仿宋" w:eastAsia="仿宋" w:cs="仿宋"/>
          <w:sz w:val="32"/>
          <w:szCs w:val="32"/>
          <w:lang w:val="zh-CN"/>
        </w:rPr>
        <w:t>万，涉及1个项目，顺利完成教育教学任务，学校办学条件有所提升。</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保障了学校师生正常教育教学秩序，为师生提供了健康校园环境，师生及家长满意度都较高。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w:t>
      </w:r>
      <w:r>
        <w:rPr>
          <w:rFonts w:hint="eastAsia" w:ascii="仿宋" w:hAnsi="仿宋" w:eastAsia="仿宋" w:cs="仿宋"/>
          <w:i w:val="0"/>
          <w:iCs w:val="0"/>
          <w:caps w:val="0"/>
          <w:color w:val="333333"/>
          <w:spacing w:val="0"/>
          <w:sz w:val="32"/>
          <w:szCs w:val="32"/>
        </w:rPr>
        <w:t>总体评</w:t>
      </w:r>
      <w:r>
        <w:rPr>
          <w:rFonts w:hint="eastAsia" w:ascii="仿宋" w:hAnsi="仿宋" w:eastAsia="仿宋" w:cs="仿宋"/>
          <w:i w:val="0"/>
          <w:iCs w:val="0"/>
          <w:caps w:val="0"/>
          <w:color w:val="333333"/>
          <w:spacing w:val="0"/>
          <w:sz w:val="32"/>
          <w:szCs w:val="32"/>
          <w:lang w:eastAsia="zh-CN"/>
        </w:rPr>
        <w:t>分为优</w:t>
      </w:r>
      <w:r>
        <w:rPr>
          <w:rFonts w:hint="eastAsia" w:ascii="仿宋" w:hAnsi="仿宋" w:eastAsia="仿宋" w:cs="仿宋"/>
          <w:sz w:val="32"/>
          <w:szCs w:val="32"/>
          <w:lang w:val="en-US" w:eastAsia="zh-CN"/>
        </w:rPr>
        <w:t>。</w:t>
      </w:r>
    </w:p>
    <w:p>
      <w:p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600" w:firstLineChars="5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ind w:firstLine="1600" w:firstLineChars="500"/>
        <w:jc w:val="left"/>
        <w:rPr>
          <w:rStyle w:val="14"/>
          <w:rFonts w:ascii="黑体" w:hAnsi="黑体" w:eastAsia="黑体"/>
          <w:b w:val="0"/>
        </w:rPr>
      </w:pPr>
      <w:r>
        <w:rPr>
          <w:rFonts w:hint="eastAsia" w:ascii="仿宋" w:hAnsi="仿宋" w:eastAsia="仿宋" w:cs="仿宋"/>
          <w:sz w:val="32"/>
          <w:szCs w:val="32"/>
          <w:lang w:val="zh-CN"/>
        </w:rPr>
        <w:t>无</w:t>
      </w:r>
    </w:p>
    <w:p>
      <w:pPr>
        <w:numPr>
          <w:ilvl w:val="0"/>
          <w:numId w:val="0"/>
        </w:numPr>
        <w:spacing w:line="600" w:lineRule="exact"/>
        <w:jc w:val="both"/>
        <w:outlineLvl w:val="9"/>
        <w:rPr>
          <w:rStyle w:val="14"/>
          <w:rFonts w:hint="eastAsia" w:ascii="黑体" w:hAnsi="黑体" w:eastAsia="黑体"/>
          <w:b w:val="0"/>
          <w:lang w:val="en-US" w:eastAsia="zh-CN"/>
        </w:rPr>
      </w:pPr>
      <w:bookmarkStart w:id="91" w:name="_Toc15396618"/>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jc w:val="both"/>
        <w:outlineLvl w:val="9"/>
        <w:rPr>
          <w:rStyle w:val="14"/>
          <w:rFonts w:hint="eastAsia" w:ascii="黑体" w:hAnsi="黑体" w:eastAsia="黑体"/>
          <w:b w:val="0"/>
          <w:lang w:val="en-US" w:eastAsia="zh-CN"/>
        </w:rPr>
      </w:pPr>
    </w:p>
    <w:p>
      <w:pPr>
        <w:numPr>
          <w:ilvl w:val="0"/>
          <w:numId w:val="0"/>
        </w:numPr>
        <w:spacing w:line="600" w:lineRule="exact"/>
        <w:ind w:leftChars="150"/>
        <w:jc w:val="center"/>
        <w:outlineLvl w:val="0"/>
        <w:rPr>
          <w:rStyle w:val="14"/>
          <w:rFonts w:hint="eastAsia" w:ascii="黑体" w:hAnsi="黑体" w:eastAsia="黑体"/>
          <w:b w:val="0"/>
        </w:rPr>
      </w:pPr>
      <w:bookmarkStart w:id="92" w:name="_Toc11708"/>
      <w:r>
        <w:rPr>
          <w:rStyle w:val="14"/>
          <w:rFonts w:hint="eastAsia" w:ascii="黑体" w:hAnsi="黑体" w:eastAsia="黑体"/>
          <w:b w:val="0"/>
          <w:lang w:val="en-US" w:eastAsia="zh-CN"/>
        </w:rPr>
        <w:t xml:space="preserve">第五部分  </w:t>
      </w:r>
      <w:r>
        <w:rPr>
          <w:rStyle w:val="14"/>
          <w:rFonts w:hint="eastAsia" w:ascii="黑体" w:hAnsi="黑体" w:eastAsia="黑体"/>
          <w:b w:val="0"/>
        </w:rPr>
        <w:t>附表</w:t>
      </w:r>
      <w:bookmarkEnd w:id="90"/>
      <w:bookmarkEnd w:id="91"/>
      <w:bookmarkEnd w:id="92"/>
      <w:bookmarkStart w:id="93" w:name="_Toc15396619"/>
    </w:p>
    <w:bookmarkEnd w:id="93"/>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4" w:name="_Toc30727"/>
      <w:bookmarkStart w:id="95" w:name="_Toc11167"/>
      <w:r>
        <w:rPr>
          <w:rFonts w:hint="eastAsia" w:ascii="仿宋" w:hAnsi="仿宋" w:eastAsia="仿宋"/>
          <w:b w:val="0"/>
          <w:bCs/>
          <w:color w:val="000000"/>
        </w:rPr>
        <w:t>一、收</w:t>
      </w:r>
      <w:r>
        <w:rPr>
          <w:rStyle w:val="18"/>
          <w:rFonts w:hint="eastAsia" w:ascii="仿宋" w:hAnsi="仿宋" w:eastAsia="仿宋"/>
          <w:b w:val="0"/>
          <w:bCs/>
        </w:rPr>
        <w:t>入支出决算总表</w:t>
      </w:r>
      <w:bookmarkEnd w:id="94"/>
      <w:bookmarkEnd w:id="9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6" w:name="_Toc15396620"/>
      <w:bookmarkStart w:id="97" w:name="_Toc25794"/>
      <w:bookmarkStart w:id="98" w:name="_Toc6493"/>
      <w:r>
        <w:rPr>
          <w:rFonts w:hint="eastAsia" w:ascii="仿宋" w:hAnsi="仿宋" w:eastAsia="仿宋"/>
          <w:b w:val="0"/>
          <w:bCs/>
          <w:color w:val="000000"/>
        </w:rPr>
        <w:t>二、收</w:t>
      </w:r>
      <w:r>
        <w:rPr>
          <w:rStyle w:val="18"/>
          <w:rFonts w:hint="eastAsia" w:ascii="仿宋" w:hAnsi="仿宋" w:eastAsia="仿宋"/>
          <w:b w:val="0"/>
          <w:bCs/>
        </w:rPr>
        <w:t>入决算表</w:t>
      </w:r>
      <w:bookmarkEnd w:id="96"/>
      <w:bookmarkEnd w:id="97"/>
      <w:bookmarkEnd w:id="9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9" w:name="_Toc23752"/>
      <w:bookmarkStart w:id="100" w:name="_Toc12007"/>
      <w:bookmarkStart w:id="101" w:name="_Toc15396621"/>
      <w:r>
        <w:rPr>
          <w:rStyle w:val="18"/>
          <w:rFonts w:hint="eastAsia" w:ascii="仿宋" w:hAnsi="仿宋" w:eastAsia="仿宋"/>
          <w:b w:val="0"/>
          <w:bCs/>
        </w:rPr>
        <w:t>三、</w:t>
      </w:r>
      <w:r>
        <w:rPr>
          <w:rFonts w:hint="eastAsia" w:ascii="仿宋" w:hAnsi="仿宋" w:eastAsia="仿宋"/>
          <w:b w:val="0"/>
          <w:bCs/>
          <w:color w:val="000000"/>
        </w:rPr>
        <w:t>支</w:t>
      </w:r>
      <w:r>
        <w:rPr>
          <w:rStyle w:val="18"/>
          <w:rFonts w:hint="eastAsia" w:ascii="仿宋" w:hAnsi="仿宋" w:eastAsia="仿宋"/>
          <w:b w:val="0"/>
          <w:bCs/>
        </w:rPr>
        <w:t>出决算表</w:t>
      </w:r>
      <w:bookmarkEnd w:id="99"/>
      <w:bookmarkEnd w:id="100"/>
      <w:bookmarkEnd w:id="10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2" w:name="_Toc15396622"/>
      <w:bookmarkStart w:id="103" w:name="_Toc1529"/>
      <w:bookmarkStart w:id="104" w:name="_Toc3504"/>
      <w:r>
        <w:rPr>
          <w:rStyle w:val="18"/>
          <w:rFonts w:hint="eastAsia" w:ascii="仿宋" w:hAnsi="仿宋" w:eastAsia="仿宋"/>
          <w:b w:val="0"/>
          <w:bCs/>
        </w:rPr>
        <w:t>四、</w:t>
      </w:r>
      <w:r>
        <w:rPr>
          <w:rFonts w:hint="eastAsia" w:ascii="仿宋" w:hAnsi="仿宋" w:eastAsia="仿宋"/>
          <w:b w:val="0"/>
          <w:bCs/>
          <w:color w:val="000000"/>
        </w:rPr>
        <w:t>财</w:t>
      </w:r>
      <w:r>
        <w:rPr>
          <w:rStyle w:val="18"/>
          <w:rFonts w:hint="eastAsia" w:ascii="仿宋" w:hAnsi="仿宋" w:eastAsia="仿宋"/>
          <w:b w:val="0"/>
          <w:bCs/>
        </w:rPr>
        <w:t>政拨款收入支出决算总表</w:t>
      </w:r>
      <w:bookmarkEnd w:id="102"/>
      <w:bookmarkEnd w:id="103"/>
      <w:bookmarkEnd w:id="104"/>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05" w:name="_Toc15396623"/>
      <w:bookmarkStart w:id="106" w:name="_Toc23985"/>
      <w:bookmarkStart w:id="107" w:name="_Toc30002"/>
      <w:r>
        <w:rPr>
          <w:rStyle w:val="18"/>
          <w:rFonts w:hint="eastAsia" w:ascii="仿宋" w:hAnsi="仿宋" w:eastAsia="仿宋"/>
          <w:b w:val="0"/>
          <w:bCs/>
        </w:rPr>
        <w:t>五、</w:t>
      </w:r>
      <w:r>
        <w:rPr>
          <w:rFonts w:hint="eastAsia" w:ascii="仿宋" w:hAnsi="仿宋" w:eastAsia="仿宋"/>
          <w:b w:val="0"/>
          <w:bCs/>
          <w:color w:val="000000"/>
        </w:rPr>
        <w:t>财</w:t>
      </w:r>
      <w:r>
        <w:rPr>
          <w:rStyle w:val="18"/>
          <w:rFonts w:hint="eastAsia" w:ascii="仿宋" w:hAnsi="仿宋" w:eastAsia="仿宋"/>
          <w:b w:val="0"/>
          <w:bCs/>
        </w:rPr>
        <w:t>政拨款支出决算明细表</w:t>
      </w:r>
      <w:bookmarkEnd w:id="105"/>
      <w:bookmarkEnd w:id="106"/>
      <w:bookmarkEnd w:id="107"/>
      <w:bookmarkStart w:id="108"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9" w:name="_Toc1903"/>
      <w:bookmarkStart w:id="110" w:name="_Toc19691"/>
      <w:r>
        <w:rPr>
          <w:rStyle w:val="18"/>
          <w:rFonts w:hint="eastAsia" w:ascii="仿宋" w:hAnsi="仿宋" w:eastAsia="仿宋"/>
          <w:b w:val="0"/>
          <w:bCs/>
        </w:rPr>
        <w:t>六、</w:t>
      </w:r>
      <w:r>
        <w:rPr>
          <w:rFonts w:hint="eastAsia" w:ascii="仿宋" w:hAnsi="仿宋" w:eastAsia="仿宋"/>
          <w:b w:val="0"/>
          <w:bCs/>
          <w:color w:val="000000"/>
        </w:rPr>
        <w:t>一</w:t>
      </w:r>
      <w:r>
        <w:rPr>
          <w:rStyle w:val="18"/>
          <w:rFonts w:hint="eastAsia" w:ascii="仿宋" w:hAnsi="仿宋" w:eastAsia="仿宋"/>
          <w:b w:val="0"/>
          <w:bCs/>
        </w:rPr>
        <w:t>般公共预算财政拨款支出决算表</w:t>
      </w:r>
      <w:bookmarkEnd w:id="108"/>
      <w:bookmarkEnd w:id="109"/>
      <w:bookmarkEnd w:id="11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1" w:name="_Toc25647"/>
      <w:bookmarkStart w:id="112" w:name="_Toc24691"/>
      <w:bookmarkStart w:id="113" w:name="_Toc15396625"/>
      <w:r>
        <w:rPr>
          <w:rStyle w:val="18"/>
          <w:rFonts w:hint="eastAsia" w:ascii="仿宋" w:hAnsi="仿宋" w:eastAsia="仿宋"/>
          <w:b w:val="0"/>
          <w:bCs/>
        </w:rPr>
        <w:t>七、</w:t>
      </w:r>
      <w:r>
        <w:rPr>
          <w:rFonts w:hint="eastAsia" w:ascii="仿宋" w:hAnsi="仿宋" w:eastAsia="仿宋"/>
          <w:b w:val="0"/>
          <w:bCs/>
          <w:color w:val="000000"/>
        </w:rPr>
        <w:t>一</w:t>
      </w:r>
      <w:r>
        <w:rPr>
          <w:rStyle w:val="18"/>
          <w:rFonts w:hint="eastAsia" w:ascii="仿宋" w:hAnsi="仿宋" w:eastAsia="仿宋"/>
          <w:b w:val="0"/>
          <w:bCs/>
        </w:rPr>
        <w:t>般公共预算财政拨款支出决算明细表</w:t>
      </w:r>
      <w:bookmarkEnd w:id="111"/>
      <w:bookmarkEnd w:id="112"/>
      <w:bookmarkEnd w:id="11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4" w:name="_Toc22489"/>
      <w:bookmarkStart w:id="115" w:name="_Toc10119"/>
      <w:bookmarkStart w:id="116" w:name="_Toc15396626"/>
      <w:r>
        <w:rPr>
          <w:rStyle w:val="18"/>
          <w:rFonts w:hint="eastAsia" w:ascii="仿宋" w:hAnsi="仿宋" w:eastAsia="仿宋"/>
          <w:b w:val="0"/>
          <w:bCs/>
        </w:rPr>
        <w:t>八、</w:t>
      </w:r>
      <w:r>
        <w:rPr>
          <w:rFonts w:hint="eastAsia" w:ascii="仿宋" w:hAnsi="仿宋" w:eastAsia="仿宋"/>
          <w:b w:val="0"/>
          <w:bCs/>
          <w:color w:val="000000"/>
        </w:rPr>
        <w:t>一</w:t>
      </w:r>
      <w:r>
        <w:rPr>
          <w:rStyle w:val="18"/>
          <w:rFonts w:hint="eastAsia" w:ascii="仿宋" w:hAnsi="仿宋" w:eastAsia="仿宋"/>
          <w:b w:val="0"/>
          <w:bCs/>
        </w:rPr>
        <w:t>般公共预算财政拨款基本支出决算表</w:t>
      </w:r>
      <w:bookmarkEnd w:id="114"/>
      <w:bookmarkEnd w:id="115"/>
      <w:bookmarkEnd w:id="11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7" w:name="_Toc6851"/>
      <w:bookmarkStart w:id="118" w:name="_Toc15396627"/>
      <w:bookmarkStart w:id="119" w:name="_Toc21697"/>
      <w:r>
        <w:rPr>
          <w:rStyle w:val="18"/>
          <w:rFonts w:hint="eastAsia" w:ascii="仿宋" w:hAnsi="仿宋" w:eastAsia="仿宋"/>
          <w:b w:val="0"/>
          <w:bCs/>
        </w:rPr>
        <w:t>九、</w:t>
      </w:r>
      <w:r>
        <w:rPr>
          <w:rFonts w:hint="eastAsia" w:ascii="仿宋" w:hAnsi="仿宋" w:eastAsia="仿宋"/>
          <w:b w:val="0"/>
          <w:bCs/>
          <w:color w:val="000000"/>
        </w:rPr>
        <w:t>一</w:t>
      </w:r>
      <w:r>
        <w:rPr>
          <w:rStyle w:val="18"/>
          <w:rFonts w:hint="eastAsia" w:ascii="仿宋" w:hAnsi="仿宋" w:eastAsia="仿宋"/>
          <w:b w:val="0"/>
          <w:bCs/>
        </w:rPr>
        <w:t>般公共预算财政拨款项目支出决算表</w:t>
      </w:r>
      <w:bookmarkEnd w:id="117"/>
      <w:bookmarkEnd w:id="118"/>
      <w:bookmarkEnd w:id="119"/>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0" w:name="_Toc28481"/>
      <w:bookmarkStart w:id="121" w:name="_Toc15396628"/>
      <w:bookmarkStart w:id="122" w:name="_Toc1377"/>
      <w:r>
        <w:rPr>
          <w:rStyle w:val="18"/>
          <w:rFonts w:hint="eastAsia" w:ascii="仿宋" w:hAnsi="仿宋" w:eastAsia="仿宋"/>
          <w:b w:val="0"/>
          <w:bCs/>
        </w:rPr>
        <w:t>十、</w:t>
      </w:r>
      <w:r>
        <w:rPr>
          <w:rFonts w:hint="eastAsia" w:ascii="仿宋" w:hAnsi="仿宋" w:eastAsia="仿宋"/>
          <w:b w:val="0"/>
          <w:bCs/>
          <w:color w:val="000000"/>
        </w:rPr>
        <w:t>一</w:t>
      </w:r>
      <w:r>
        <w:rPr>
          <w:rStyle w:val="18"/>
          <w:rFonts w:hint="eastAsia" w:ascii="仿宋" w:hAnsi="仿宋" w:eastAsia="仿宋"/>
          <w:b w:val="0"/>
          <w:bCs/>
        </w:rPr>
        <w:t>般公共预算财政拨款“三公”经费支出决算表</w:t>
      </w:r>
      <w:bookmarkEnd w:id="120"/>
      <w:bookmarkEnd w:id="121"/>
      <w:bookmarkEnd w:id="122"/>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3" w:name="_Toc15396629"/>
      <w:bookmarkStart w:id="124" w:name="_Toc24938"/>
      <w:bookmarkStart w:id="125" w:name="_Toc24420"/>
      <w:r>
        <w:rPr>
          <w:rStyle w:val="18"/>
          <w:rFonts w:hint="eastAsia" w:ascii="仿宋" w:hAnsi="仿宋" w:eastAsia="仿宋"/>
          <w:b w:val="0"/>
          <w:bCs/>
        </w:rPr>
        <w:t>十一、</w:t>
      </w:r>
      <w:r>
        <w:rPr>
          <w:rFonts w:hint="eastAsia" w:ascii="仿宋" w:hAnsi="仿宋" w:eastAsia="仿宋"/>
          <w:b w:val="0"/>
          <w:bCs/>
          <w:color w:val="000000"/>
        </w:rPr>
        <w:t>政</w:t>
      </w:r>
      <w:r>
        <w:rPr>
          <w:rStyle w:val="18"/>
          <w:rFonts w:hint="eastAsia" w:ascii="仿宋" w:hAnsi="仿宋" w:eastAsia="仿宋"/>
          <w:b w:val="0"/>
          <w:bCs/>
        </w:rPr>
        <w:t>府性基金预算财政拨款收入支出决算表</w:t>
      </w:r>
      <w:bookmarkEnd w:id="123"/>
      <w:bookmarkEnd w:id="124"/>
      <w:bookmarkEnd w:id="12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6" w:name="_Toc3423"/>
      <w:bookmarkStart w:id="127" w:name="_Toc15396630"/>
      <w:bookmarkStart w:id="128" w:name="_Toc10232"/>
      <w:r>
        <w:rPr>
          <w:rStyle w:val="18"/>
          <w:rFonts w:hint="eastAsia" w:ascii="仿宋" w:hAnsi="仿宋" w:eastAsia="仿宋"/>
          <w:b w:val="0"/>
          <w:bCs/>
        </w:rPr>
        <w:t>十二、</w:t>
      </w:r>
      <w:r>
        <w:rPr>
          <w:rFonts w:hint="eastAsia" w:ascii="仿宋" w:hAnsi="仿宋" w:eastAsia="仿宋"/>
          <w:b w:val="0"/>
          <w:bCs/>
          <w:color w:val="000000"/>
        </w:rPr>
        <w:t>政</w:t>
      </w:r>
      <w:r>
        <w:rPr>
          <w:rStyle w:val="18"/>
          <w:rFonts w:hint="eastAsia" w:ascii="仿宋" w:hAnsi="仿宋" w:eastAsia="仿宋"/>
          <w:b w:val="0"/>
          <w:bCs/>
        </w:rPr>
        <w:t>府性基金预算财政拨款“三公”经费支出决算表</w:t>
      </w:r>
      <w:bookmarkEnd w:id="126"/>
      <w:bookmarkEnd w:id="127"/>
      <w:bookmarkEnd w:id="128"/>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8"/>
          <w:rFonts w:ascii="仿宋" w:hAnsi="仿宋" w:eastAsia="仿宋"/>
          <w:b w:val="0"/>
          <w:bCs/>
        </w:rPr>
      </w:pPr>
      <w:bookmarkStart w:id="129" w:name="_Toc15396631"/>
      <w:bookmarkStart w:id="130" w:name="_Toc7634"/>
      <w:bookmarkStart w:id="131" w:name="_Toc27620"/>
      <w:r>
        <w:rPr>
          <w:rStyle w:val="18"/>
          <w:rFonts w:hint="eastAsia" w:ascii="仿宋" w:hAnsi="仿宋" w:eastAsia="仿宋"/>
          <w:b w:val="0"/>
          <w:bCs/>
        </w:rPr>
        <w:t>十三、</w:t>
      </w:r>
      <w:r>
        <w:rPr>
          <w:rFonts w:hint="eastAsia" w:ascii="仿宋" w:hAnsi="仿宋" w:eastAsia="仿宋"/>
          <w:b w:val="0"/>
          <w:bCs/>
          <w:color w:val="000000"/>
        </w:rPr>
        <w:t>国</w:t>
      </w:r>
      <w:r>
        <w:rPr>
          <w:rStyle w:val="18"/>
          <w:rFonts w:hint="eastAsia" w:ascii="仿宋" w:hAnsi="仿宋" w:eastAsia="仿宋"/>
          <w:b w:val="0"/>
          <w:bCs/>
        </w:rPr>
        <w:t>有资本经营预算财政拨款收入支出决算表</w:t>
      </w:r>
      <w:bookmarkEnd w:id="129"/>
      <w:bookmarkEnd w:id="130"/>
      <w:bookmarkEnd w:id="13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2" w:name="_Toc11289"/>
      <w:bookmarkStart w:id="133" w:name="_Toc4914"/>
      <w:r>
        <w:rPr>
          <w:rStyle w:val="18"/>
          <w:rFonts w:hint="eastAsia" w:ascii="仿宋" w:hAnsi="仿宋" w:eastAsia="仿宋"/>
          <w:b w:val="0"/>
          <w:bCs/>
        </w:rPr>
        <w:t>十四、</w:t>
      </w:r>
      <w:r>
        <w:rPr>
          <w:rFonts w:hint="eastAsia" w:ascii="仿宋" w:hAnsi="仿宋" w:eastAsia="仿宋"/>
          <w:b w:val="0"/>
          <w:bCs/>
          <w:color w:val="000000"/>
        </w:rPr>
        <w:t>国</w:t>
      </w:r>
      <w:r>
        <w:rPr>
          <w:rStyle w:val="18"/>
          <w:rFonts w:hint="eastAsia" w:ascii="仿宋" w:hAnsi="仿宋" w:eastAsia="仿宋"/>
          <w:b w:val="0"/>
          <w:bCs/>
        </w:rPr>
        <w:t>有资本经营预算财政拨款支出决算表</w:t>
      </w:r>
      <w:bookmarkEnd w:id="132"/>
      <w:bookmarkEnd w:id="133"/>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EA98A"/>
    <w:multiLevelType w:val="singleLevel"/>
    <w:tmpl w:val="AA1EA98A"/>
    <w:lvl w:ilvl="0" w:tentative="0">
      <w:start w:val="3"/>
      <w:numFmt w:val="decimal"/>
      <w:suff w:val="nothing"/>
      <w:lvlText w:val="%1．"/>
      <w:lvlJc w:val="left"/>
    </w:lvl>
  </w:abstractNum>
  <w:abstractNum w:abstractNumId="1">
    <w:nsid w:val="BDD8C250"/>
    <w:multiLevelType w:val="singleLevel"/>
    <w:tmpl w:val="BDD8C250"/>
    <w:lvl w:ilvl="0" w:tentative="0">
      <w:start w:val="2"/>
      <w:numFmt w:val="chineseCounting"/>
      <w:suff w:val="nothing"/>
      <w:lvlText w:val="（%1）"/>
      <w:lvlJc w:val="left"/>
      <w:pPr>
        <w:ind w:left="-220"/>
      </w:pPr>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DDA431CD"/>
    <w:multiLevelType w:val="singleLevel"/>
    <w:tmpl w:val="DDA431CD"/>
    <w:lvl w:ilvl="0" w:tentative="0">
      <w:start w:val="2"/>
      <w:numFmt w:val="chineseCounting"/>
      <w:suff w:val="nothing"/>
      <w:lvlText w:val="（%1）"/>
      <w:lvlJc w:val="left"/>
      <w:pPr>
        <w:ind w:left="-10"/>
      </w:pPr>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65B2F012"/>
    <w:multiLevelType w:val="singleLevel"/>
    <w:tmpl w:val="65B2F012"/>
    <w:lvl w:ilvl="0" w:tentative="0">
      <w:start w:val="2"/>
      <w:numFmt w:val="decimal"/>
      <w:suff w:val="nothing"/>
      <w:lvlText w:val="%1．"/>
      <w:lvlJc w:val="left"/>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624AEE"/>
    <w:rsid w:val="00B26018"/>
    <w:rsid w:val="00DF6ECF"/>
    <w:rsid w:val="010D2661"/>
    <w:rsid w:val="01B64868"/>
    <w:rsid w:val="01BC5869"/>
    <w:rsid w:val="01C11E30"/>
    <w:rsid w:val="01E3205D"/>
    <w:rsid w:val="02E065BA"/>
    <w:rsid w:val="02E93779"/>
    <w:rsid w:val="03BC23B4"/>
    <w:rsid w:val="04190644"/>
    <w:rsid w:val="047D2B2F"/>
    <w:rsid w:val="04D12053"/>
    <w:rsid w:val="05287A32"/>
    <w:rsid w:val="052A6E74"/>
    <w:rsid w:val="057F2824"/>
    <w:rsid w:val="058420F1"/>
    <w:rsid w:val="06951C7E"/>
    <w:rsid w:val="069A6762"/>
    <w:rsid w:val="06E55597"/>
    <w:rsid w:val="07604836"/>
    <w:rsid w:val="07721D91"/>
    <w:rsid w:val="07A662F0"/>
    <w:rsid w:val="07CF4136"/>
    <w:rsid w:val="07E625B6"/>
    <w:rsid w:val="089844FD"/>
    <w:rsid w:val="089A28A1"/>
    <w:rsid w:val="08CC033C"/>
    <w:rsid w:val="09186640"/>
    <w:rsid w:val="098C6E1B"/>
    <w:rsid w:val="09C430F7"/>
    <w:rsid w:val="09CB7031"/>
    <w:rsid w:val="09D407DB"/>
    <w:rsid w:val="0A1B4D57"/>
    <w:rsid w:val="0A5510C7"/>
    <w:rsid w:val="0B0D441B"/>
    <w:rsid w:val="0B0D49A2"/>
    <w:rsid w:val="0B225F17"/>
    <w:rsid w:val="0B2267BB"/>
    <w:rsid w:val="0B8C687B"/>
    <w:rsid w:val="0BFC6B85"/>
    <w:rsid w:val="0C285864"/>
    <w:rsid w:val="0C6F1C0B"/>
    <w:rsid w:val="0C7869F8"/>
    <w:rsid w:val="0C8913FF"/>
    <w:rsid w:val="0C943154"/>
    <w:rsid w:val="0D511AC8"/>
    <w:rsid w:val="0D7063F4"/>
    <w:rsid w:val="0E5C565B"/>
    <w:rsid w:val="0E7D6A74"/>
    <w:rsid w:val="0E9F0C06"/>
    <w:rsid w:val="0F40628C"/>
    <w:rsid w:val="0F60455D"/>
    <w:rsid w:val="0F735599"/>
    <w:rsid w:val="0F96152D"/>
    <w:rsid w:val="10257E6D"/>
    <w:rsid w:val="104F5FF3"/>
    <w:rsid w:val="105967B7"/>
    <w:rsid w:val="1061082F"/>
    <w:rsid w:val="107172A0"/>
    <w:rsid w:val="10C30504"/>
    <w:rsid w:val="10F24AC0"/>
    <w:rsid w:val="112962C2"/>
    <w:rsid w:val="11383E35"/>
    <w:rsid w:val="116E74B8"/>
    <w:rsid w:val="118D3F5F"/>
    <w:rsid w:val="11A650B1"/>
    <w:rsid w:val="12E51306"/>
    <w:rsid w:val="13C14374"/>
    <w:rsid w:val="13D51776"/>
    <w:rsid w:val="13E41CDB"/>
    <w:rsid w:val="141A66B9"/>
    <w:rsid w:val="14B06E34"/>
    <w:rsid w:val="15316F8B"/>
    <w:rsid w:val="15441BB6"/>
    <w:rsid w:val="158B2B38"/>
    <w:rsid w:val="15DA618C"/>
    <w:rsid w:val="16385338"/>
    <w:rsid w:val="1639537D"/>
    <w:rsid w:val="16544B70"/>
    <w:rsid w:val="16665107"/>
    <w:rsid w:val="16AC0C91"/>
    <w:rsid w:val="176C628D"/>
    <w:rsid w:val="17E0018E"/>
    <w:rsid w:val="17FE1A10"/>
    <w:rsid w:val="1887488F"/>
    <w:rsid w:val="18923310"/>
    <w:rsid w:val="18F1658C"/>
    <w:rsid w:val="194046CD"/>
    <w:rsid w:val="19A509E8"/>
    <w:rsid w:val="19A87E02"/>
    <w:rsid w:val="19AD7658"/>
    <w:rsid w:val="19C42560"/>
    <w:rsid w:val="1A0C2774"/>
    <w:rsid w:val="1A3B4588"/>
    <w:rsid w:val="1AD35EA8"/>
    <w:rsid w:val="1AEC5330"/>
    <w:rsid w:val="1B456F26"/>
    <w:rsid w:val="1B466AD6"/>
    <w:rsid w:val="1B91706E"/>
    <w:rsid w:val="1C2365C6"/>
    <w:rsid w:val="1CB219C3"/>
    <w:rsid w:val="1D2A6AA0"/>
    <w:rsid w:val="1D8B46EB"/>
    <w:rsid w:val="1DD045F0"/>
    <w:rsid w:val="1DD51D3B"/>
    <w:rsid w:val="1DDF10B1"/>
    <w:rsid w:val="1E217132"/>
    <w:rsid w:val="1E420A00"/>
    <w:rsid w:val="1E421890"/>
    <w:rsid w:val="1E943545"/>
    <w:rsid w:val="1F0919AA"/>
    <w:rsid w:val="1F3918E0"/>
    <w:rsid w:val="1F91291C"/>
    <w:rsid w:val="201B24C0"/>
    <w:rsid w:val="202030ED"/>
    <w:rsid w:val="20482E83"/>
    <w:rsid w:val="20657E59"/>
    <w:rsid w:val="2167349A"/>
    <w:rsid w:val="21BA50DA"/>
    <w:rsid w:val="21C54CAA"/>
    <w:rsid w:val="220E1D61"/>
    <w:rsid w:val="223651C3"/>
    <w:rsid w:val="224D0AF4"/>
    <w:rsid w:val="22963E1D"/>
    <w:rsid w:val="24892217"/>
    <w:rsid w:val="24B1088C"/>
    <w:rsid w:val="24C877E1"/>
    <w:rsid w:val="254E3887"/>
    <w:rsid w:val="25736D7C"/>
    <w:rsid w:val="25DD7246"/>
    <w:rsid w:val="27267E43"/>
    <w:rsid w:val="27306953"/>
    <w:rsid w:val="27DA6EE4"/>
    <w:rsid w:val="27EE54D6"/>
    <w:rsid w:val="281A68C5"/>
    <w:rsid w:val="28312D27"/>
    <w:rsid w:val="284E5E4B"/>
    <w:rsid w:val="28B855C5"/>
    <w:rsid w:val="290415B0"/>
    <w:rsid w:val="290E2754"/>
    <w:rsid w:val="290F015E"/>
    <w:rsid w:val="293F3240"/>
    <w:rsid w:val="296B3F4B"/>
    <w:rsid w:val="29DB7B33"/>
    <w:rsid w:val="2A4124FA"/>
    <w:rsid w:val="2A412F8F"/>
    <w:rsid w:val="2A903862"/>
    <w:rsid w:val="2ABE123C"/>
    <w:rsid w:val="2B2A381E"/>
    <w:rsid w:val="2B9A4747"/>
    <w:rsid w:val="2BBD3CB4"/>
    <w:rsid w:val="2BF02E7C"/>
    <w:rsid w:val="2C284679"/>
    <w:rsid w:val="2C412B3E"/>
    <w:rsid w:val="2CB12138"/>
    <w:rsid w:val="2CC92BF1"/>
    <w:rsid w:val="2CD202A6"/>
    <w:rsid w:val="2CD24DD2"/>
    <w:rsid w:val="2CE324C0"/>
    <w:rsid w:val="2D4466DA"/>
    <w:rsid w:val="2DE36CBE"/>
    <w:rsid w:val="2E154B85"/>
    <w:rsid w:val="2E3A2DDC"/>
    <w:rsid w:val="2E866535"/>
    <w:rsid w:val="2E9D416D"/>
    <w:rsid w:val="2F23561C"/>
    <w:rsid w:val="300517CD"/>
    <w:rsid w:val="30434438"/>
    <w:rsid w:val="309375FE"/>
    <w:rsid w:val="30AD22F7"/>
    <w:rsid w:val="30B1294E"/>
    <w:rsid w:val="30CF551D"/>
    <w:rsid w:val="31AF05DF"/>
    <w:rsid w:val="3216054F"/>
    <w:rsid w:val="32C01F73"/>
    <w:rsid w:val="32C65B79"/>
    <w:rsid w:val="32DE5329"/>
    <w:rsid w:val="33361DB0"/>
    <w:rsid w:val="33C57E9A"/>
    <w:rsid w:val="3445531D"/>
    <w:rsid w:val="34622C3E"/>
    <w:rsid w:val="34895F9A"/>
    <w:rsid w:val="34FC40CF"/>
    <w:rsid w:val="35174946"/>
    <w:rsid w:val="3519168F"/>
    <w:rsid w:val="35801574"/>
    <w:rsid w:val="358062DE"/>
    <w:rsid w:val="358A6C92"/>
    <w:rsid w:val="35D5318A"/>
    <w:rsid w:val="35EB6E94"/>
    <w:rsid w:val="3619770F"/>
    <w:rsid w:val="36206041"/>
    <w:rsid w:val="368D3F86"/>
    <w:rsid w:val="36CA6C86"/>
    <w:rsid w:val="37206344"/>
    <w:rsid w:val="37694D62"/>
    <w:rsid w:val="37880EF2"/>
    <w:rsid w:val="38091FD6"/>
    <w:rsid w:val="381B1E02"/>
    <w:rsid w:val="383276CB"/>
    <w:rsid w:val="386246B4"/>
    <w:rsid w:val="388D3D04"/>
    <w:rsid w:val="38F45326"/>
    <w:rsid w:val="39115282"/>
    <w:rsid w:val="392B51C6"/>
    <w:rsid w:val="3951677D"/>
    <w:rsid w:val="39B03EBF"/>
    <w:rsid w:val="39EB0E26"/>
    <w:rsid w:val="39EF201E"/>
    <w:rsid w:val="39FC3F49"/>
    <w:rsid w:val="3A14361B"/>
    <w:rsid w:val="3A520D8A"/>
    <w:rsid w:val="3A584D11"/>
    <w:rsid w:val="3A994E53"/>
    <w:rsid w:val="3A9C74E9"/>
    <w:rsid w:val="3A9E6709"/>
    <w:rsid w:val="3AAB0341"/>
    <w:rsid w:val="3B25291B"/>
    <w:rsid w:val="3B300310"/>
    <w:rsid w:val="3B453E63"/>
    <w:rsid w:val="3B6923BF"/>
    <w:rsid w:val="3BD5454C"/>
    <w:rsid w:val="3CBD17CE"/>
    <w:rsid w:val="3DEE5631"/>
    <w:rsid w:val="3E213369"/>
    <w:rsid w:val="3E327B54"/>
    <w:rsid w:val="3E5A6E48"/>
    <w:rsid w:val="3F1B770F"/>
    <w:rsid w:val="3F313D50"/>
    <w:rsid w:val="3FCB3A13"/>
    <w:rsid w:val="40194187"/>
    <w:rsid w:val="401A5546"/>
    <w:rsid w:val="40D22E6D"/>
    <w:rsid w:val="41CE67C7"/>
    <w:rsid w:val="421D161B"/>
    <w:rsid w:val="424912FE"/>
    <w:rsid w:val="425809C0"/>
    <w:rsid w:val="42B816ED"/>
    <w:rsid w:val="42F158BA"/>
    <w:rsid w:val="431C0FD2"/>
    <w:rsid w:val="436D57D0"/>
    <w:rsid w:val="43B04E41"/>
    <w:rsid w:val="44417BA6"/>
    <w:rsid w:val="4467570E"/>
    <w:rsid w:val="447A318C"/>
    <w:rsid w:val="44F14737"/>
    <w:rsid w:val="45187888"/>
    <w:rsid w:val="45A4657F"/>
    <w:rsid w:val="45E13E67"/>
    <w:rsid w:val="45E32B66"/>
    <w:rsid w:val="45F77353"/>
    <w:rsid w:val="462A775C"/>
    <w:rsid w:val="46B25424"/>
    <w:rsid w:val="47360088"/>
    <w:rsid w:val="47450513"/>
    <w:rsid w:val="47813CC2"/>
    <w:rsid w:val="48A71754"/>
    <w:rsid w:val="48E56D2A"/>
    <w:rsid w:val="49003C66"/>
    <w:rsid w:val="49623F14"/>
    <w:rsid w:val="496A01DE"/>
    <w:rsid w:val="4A480BFF"/>
    <w:rsid w:val="4A4A697E"/>
    <w:rsid w:val="4A840933"/>
    <w:rsid w:val="4B1E4CBE"/>
    <w:rsid w:val="4B3B6A1C"/>
    <w:rsid w:val="4B565D83"/>
    <w:rsid w:val="4BD82429"/>
    <w:rsid w:val="4BED3CEC"/>
    <w:rsid w:val="4C787BF4"/>
    <w:rsid w:val="4C7B6B63"/>
    <w:rsid w:val="4CB83F31"/>
    <w:rsid w:val="4D605DC6"/>
    <w:rsid w:val="4D687FF9"/>
    <w:rsid w:val="4D6B30BC"/>
    <w:rsid w:val="4DA27727"/>
    <w:rsid w:val="4E7E138A"/>
    <w:rsid w:val="4E937E91"/>
    <w:rsid w:val="4F654691"/>
    <w:rsid w:val="4F8708C6"/>
    <w:rsid w:val="502335D3"/>
    <w:rsid w:val="507F49AE"/>
    <w:rsid w:val="50D949D3"/>
    <w:rsid w:val="50ED543A"/>
    <w:rsid w:val="5114508A"/>
    <w:rsid w:val="5138364D"/>
    <w:rsid w:val="51485C44"/>
    <w:rsid w:val="51736AE0"/>
    <w:rsid w:val="51F27CA8"/>
    <w:rsid w:val="52223986"/>
    <w:rsid w:val="5257272E"/>
    <w:rsid w:val="526D72E2"/>
    <w:rsid w:val="528A52AB"/>
    <w:rsid w:val="529A0C32"/>
    <w:rsid w:val="53487391"/>
    <w:rsid w:val="53793167"/>
    <w:rsid w:val="53B22A58"/>
    <w:rsid w:val="53E35CA7"/>
    <w:rsid w:val="541334FF"/>
    <w:rsid w:val="541C090B"/>
    <w:rsid w:val="54EE1A60"/>
    <w:rsid w:val="565A7838"/>
    <w:rsid w:val="56974D41"/>
    <w:rsid w:val="56AB3A5E"/>
    <w:rsid w:val="56D94A3F"/>
    <w:rsid w:val="56F1284E"/>
    <w:rsid w:val="56F9130E"/>
    <w:rsid w:val="574A3ACB"/>
    <w:rsid w:val="576E6004"/>
    <w:rsid w:val="586179DB"/>
    <w:rsid w:val="58645BD8"/>
    <w:rsid w:val="588538D5"/>
    <w:rsid w:val="58A747AE"/>
    <w:rsid w:val="596737E5"/>
    <w:rsid w:val="5981686C"/>
    <w:rsid w:val="59BF27D2"/>
    <w:rsid w:val="59C40752"/>
    <w:rsid w:val="59E17AFF"/>
    <w:rsid w:val="59E347E2"/>
    <w:rsid w:val="5B9260B6"/>
    <w:rsid w:val="5BC31761"/>
    <w:rsid w:val="5BE572BC"/>
    <w:rsid w:val="5C727176"/>
    <w:rsid w:val="5C9D01B4"/>
    <w:rsid w:val="5D0E671C"/>
    <w:rsid w:val="5D305D26"/>
    <w:rsid w:val="5D3E4A7C"/>
    <w:rsid w:val="5DB35D09"/>
    <w:rsid w:val="5DDA1BCF"/>
    <w:rsid w:val="5E1D2BD4"/>
    <w:rsid w:val="5E654F36"/>
    <w:rsid w:val="5E7264B1"/>
    <w:rsid w:val="5F9547CF"/>
    <w:rsid w:val="5FD97134"/>
    <w:rsid w:val="606833B6"/>
    <w:rsid w:val="60D15139"/>
    <w:rsid w:val="60E3289B"/>
    <w:rsid w:val="60F01CD4"/>
    <w:rsid w:val="611F6C92"/>
    <w:rsid w:val="6146457C"/>
    <w:rsid w:val="61626DF7"/>
    <w:rsid w:val="61D70DA1"/>
    <w:rsid w:val="61E31845"/>
    <w:rsid w:val="61EE6B79"/>
    <w:rsid w:val="6225548C"/>
    <w:rsid w:val="62516F4D"/>
    <w:rsid w:val="62ED6C1F"/>
    <w:rsid w:val="632945F3"/>
    <w:rsid w:val="63974AB3"/>
    <w:rsid w:val="63D0089C"/>
    <w:rsid w:val="642037B7"/>
    <w:rsid w:val="645012F1"/>
    <w:rsid w:val="64CB46E0"/>
    <w:rsid w:val="64D35C2C"/>
    <w:rsid w:val="66027103"/>
    <w:rsid w:val="6603187B"/>
    <w:rsid w:val="66B4327E"/>
    <w:rsid w:val="66BE27A7"/>
    <w:rsid w:val="670C2D8E"/>
    <w:rsid w:val="67CC031E"/>
    <w:rsid w:val="67DD406C"/>
    <w:rsid w:val="68063136"/>
    <w:rsid w:val="685714B9"/>
    <w:rsid w:val="68875EE9"/>
    <w:rsid w:val="68B7018A"/>
    <w:rsid w:val="68DD0BCA"/>
    <w:rsid w:val="69416B39"/>
    <w:rsid w:val="69453A20"/>
    <w:rsid w:val="69C32BEC"/>
    <w:rsid w:val="69FD6115"/>
    <w:rsid w:val="6A195FD9"/>
    <w:rsid w:val="6A905C86"/>
    <w:rsid w:val="6B511E04"/>
    <w:rsid w:val="6C0B65EE"/>
    <w:rsid w:val="6C297CB8"/>
    <w:rsid w:val="6C5253BE"/>
    <w:rsid w:val="6C782321"/>
    <w:rsid w:val="6C8E0D31"/>
    <w:rsid w:val="6C906037"/>
    <w:rsid w:val="6C9C715A"/>
    <w:rsid w:val="6CB23495"/>
    <w:rsid w:val="6CF971EF"/>
    <w:rsid w:val="6D085172"/>
    <w:rsid w:val="6D9D7B5F"/>
    <w:rsid w:val="6DA412ED"/>
    <w:rsid w:val="6DC86816"/>
    <w:rsid w:val="6E1075D5"/>
    <w:rsid w:val="6E453EF3"/>
    <w:rsid w:val="6E7E0683"/>
    <w:rsid w:val="6EA757AF"/>
    <w:rsid w:val="6F0B67DB"/>
    <w:rsid w:val="6F874265"/>
    <w:rsid w:val="6F941740"/>
    <w:rsid w:val="6FA01EF0"/>
    <w:rsid w:val="6FDE7F6E"/>
    <w:rsid w:val="700B7CEF"/>
    <w:rsid w:val="70734BDE"/>
    <w:rsid w:val="70F466ED"/>
    <w:rsid w:val="71636B94"/>
    <w:rsid w:val="718F16A6"/>
    <w:rsid w:val="71BE5748"/>
    <w:rsid w:val="721E5ED7"/>
    <w:rsid w:val="72461A15"/>
    <w:rsid w:val="72B96F51"/>
    <w:rsid w:val="73905FA1"/>
    <w:rsid w:val="73943FE5"/>
    <w:rsid w:val="7401533B"/>
    <w:rsid w:val="741371CB"/>
    <w:rsid w:val="742B0080"/>
    <w:rsid w:val="743823AB"/>
    <w:rsid w:val="744D5803"/>
    <w:rsid w:val="74CD6D8F"/>
    <w:rsid w:val="74D14478"/>
    <w:rsid w:val="74D22C28"/>
    <w:rsid w:val="750F40FA"/>
    <w:rsid w:val="75290E51"/>
    <w:rsid w:val="753A0633"/>
    <w:rsid w:val="755F0101"/>
    <w:rsid w:val="755F43CF"/>
    <w:rsid w:val="75A50518"/>
    <w:rsid w:val="75BA4B9B"/>
    <w:rsid w:val="75ED4E43"/>
    <w:rsid w:val="76205F71"/>
    <w:rsid w:val="7700067C"/>
    <w:rsid w:val="77301B08"/>
    <w:rsid w:val="77A2095A"/>
    <w:rsid w:val="77EA5FE3"/>
    <w:rsid w:val="783160EF"/>
    <w:rsid w:val="78477399"/>
    <w:rsid w:val="78492F51"/>
    <w:rsid w:val="784F0C6B"/>
    <w:rsid w:val="78672953"/>
    <w:rsid w:val="78F315F7"/>
    <w:rsid w:val="78FD0927"/>
    <w:rsid w:val="79B770A8"/>
    <w:rsid w:val="79B949EC"/>
    <w:rsid w:val="7A6C528E"/>
    <w:rsid w:val="7B1E4DF2"/>
    <w:rsid w:val="7B8A381D"/>
    <w:rsid w:val="7BE3590F"/>
    <w:rsid w:val="7C2B16C9"/>
    <w:rsid w:val="7C38495C"/>
    <w:rsid w:val="7C7067B1"/>
    <w:rsid w:val="7CBE4CC0"/>
    <w:rsid w:val="7CE82EFC"/>
    <w:rsid w:val="7E494F36"/>
    <w:rsid w:val="7E687550"/>
    <w:rsid w:val="7F574D58"/>
    <w:rsid w:val="7F5C4AF8"/>
    <w:rsid w:val="7F884E25"/>
    <w:rsid w:val="7F9D6F08"/>
    <w:rsid w:val="7FA9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99"/>
    <w:rPr>
      <w:rFonts w:cs="Times New Roman"/>
      <w:b/>
    </w:rPr>
  </w:style>
  <w:style w:type="character" w:styleId="13">
    <w:name w:val="Hyperlink"/>
    <w:basedOn w:val="11"/>
    <w:unhideWhenUsed/>
    <w:qFormat/>
    <w:uiPriority w:val="99"/>
    <w:rPr>
      <w:rFonts w:cs="Times New Roman"/>
      <w:color w:val="0000FF"/>
      <w:u w:val="single"/>
    </w:rPr>
  </w:style>
  <w:style w:type="character" w:customStyle="1" w:styleId="14">
    <w:name w:val=" Char Char6"/>
    <w:basedOn w:val="11"/>
    <w:link w:val="2"/>
    <w:qFormat/>
    <w:locked/>
    <w:uiPriority w:val="9"/>
    <w:rPr>
      <w:b/>
      <w:bCs/>
      <w:kern w:val="44"/>
      <w:sz w:val="44"/>
      <w:szCs w:val="44"/>
    </w:rPr>
  </w:style>
  <w:style w:type="character" w:customStyle="1" w:styleId="15">
    <w:name w:val=" Char Char5"/>
    <w:basedOn w:val="11"/>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8">
    <w:name w:val="标题 2 字符"/>
    <w:link w:val="3"/>
    <w:qFormat/>
    <w:locked/>
    <w:uiPriority w:val="9"/>
    <w:rPr>
      <w:rFonts w:ascii="Cambria" w:hAnsi="Cambria" w:eastAsia="宋体"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263.29</c:v>
                </c:pt>
                <c:pt idx="1">
                  <c:v>272.93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272.92</c:v>
                </c:pt>
                <c:pt idx="1">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262.82</c:v>
                </c:pt>
                <c:pt idx="1">
                  <c:v>10.11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7325"/>
          <c:y val="0.168166666666667"/>
          <c:w val="0.905175"/>
          <c:h val="0.7329"/>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263.28</c:v>
                </c:pt>
                <c:pt idx="1">
                  <c:v>272.92</c:v>
                </c:pt>
              </c:numCache>
            </c:numRef>
          </c:val>
        </c:ser>
        <c:dLbls>
          <c:showLegendKey val="0"/>
          <c:showVal val="1"/>
          <c:showCatName val="0"/>
          <c:showSerName val="0"/>
          <c:showPercent val="0"/>
          <c:showBubbleSize val="0"/>
        </c:dLbls>
        <c:gapWidth val="219"/>
        <c:overlap val="-27"/>
        <c:axId val="292170353"/>
        <c:axId val="5184516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263.28</c:v>
                </c:pt>
                <c:pt idx="1">
                  <c:v>272.92</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199.1</c:v>
                </c:pt>
                <c:pt idx="1">
                  <c:v>41</c:v>
                </c:pt>
                <c:pt idx="2">
                  <c:v>9.92</c:v>
                </c:pt>
                <c:pt idx="3">
                  <c:v>22.9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8416</Words>
  <Characters>8900</Characters>
  <Lines>0</Lines>
  <Paragraphs>0</Paragraphs>
  <TotalTime>2</TotalTime>
  <ScaleCrop>false</ScaleCrop>
  <LinksUpToDate>false</LinksUpToDate>
  <CharactersWithSpaces>9050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admin</cp:lastModifiedBy>
  <dcterms:modified xsi:type="dcterms:W3CDTF">2021-09-30T02:31:09Z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