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000000"/>
          <w:sz w:val="72"/>
          <w:szCs w:val="72"/>
        </w:rPr>
      </w:pPr>
      <w:bookmarkStart w:id="0" w:name="_Toc15306267"/>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ascii="方正小标宋简体" w:hAnsi="宋体" w:eastAsia="方正小标宋简体"/>
          <w:color w:val="000000"/>
          <w:sz w:val="72"/>
          <w:szCs w:val="72"/>
        </w:rPr>
      </w:pPr>
    </w:p>
    <w:p>
      <w:pPr>
        <w:adjustRightInd w:val="0"/>
        <w:snapToGrid w:val="0"/>
        <w:spacing w:line="360" w:lineRule="auto"/>
        <w:jc w:val="center"/>
        <w:outlineLvl w:val="0"/>
        <w:rPr>
          <w:rFonts w:hint="eastAsia" w:ascii="宋体" w:hAnsi="宋体" w:eastAsia="宋体" w:cs="宋体"/>
          <w:color w:val="000000"/>
          <w:sz w:val="72"/>
          <w:szCs w:val="72"/>
        </w:rPr>
      </w:pPr>
      <w:bookmarkStart w:id="1" w:name="_Toc15396475"/>
      <w:bookmarkStart w:id="2" w:name="_Toc15377193"/>
      <w:bookmarkStart w:id="3" w:name="_Toc15377425"/>
      <w:bookmarkStart w:id="4" w:name="_Toc15396597"/>
      <w:bookmarkStart w:id="5" w:name="_Toc18907"/>
      <w:bookmarkStart w:id="6" w:name="_Toc17261"/>
      <w:bookmarkStart w:id="7" w:name="_Toc10577"/>
      <w:bookmarkStart w:id="8" w:name="_Toc15378441"/>
      <w:r>
        <w:rPr>
          <w:rFonts w:hint="eastAsia" w:ascii="宋体" w:hAnsi="宋体" w:eastAsia="宋体" w:cs="宋体"/>
          <w:color w:val="000000"/>
          <w:sz w:val="72"/>
          <w:szCs w:val="72"/>
        </w:rPr>
        <w:t>2020年度</w:t>
      </w:r>
      <w:bookmarkEnd w:id="1"/>
      <w:bookmarkEnd w:id="2"/>
      <w:bookmarkEnd w:id="3"/>
      <w:bookmarkEnd w:id="4"/>
      <w:bookmarkEnd w:id="5"/>
      <w:bookmarkEnd w:id="6"/>
      <w:bookmarkEnd w:id="7"/>
      <w:bookmarkEnd w:id="8"/>
    </w:p>
    <w:p>
      <w:pPr>
        <w:adjustRightInd w:val="0"/>
        <w:snapToGrid w:val="0"/>
        <w:spacing w:line="360" w:lineRule="auto"/>
        <w:jc w:val="center"/>
        <w:outlineLvl w:val="0"/>
        <w:rPr>
          <w:rFonts w:hint="eastAsia" w:ascii="宋体" w:hAnsi="宋体" w:eastAsia="宋体" w:cs="宋体"/>
          <w:color w:val="000000"/>
          <w:sz w:val="72"/>
          <w:szCs w:val="72"/>
        </w:rPr>
      </w:pPr>
      <w:bookmarkStart w:id="9" w:name="_Toc15377194"/>
      <w:bookmarkStart w:id="10" w:name="_Toc11389"/>
      <w:bookmarkStart w:id="11" w:name="_Toc15396598"/>
      <w:bookmarkStart w:id="12" w:name="_Toc15378442"/>
      <w:bookmarkStart w:id="13" w:name="_Toc15396476"/>
      <w:bookmarkStart w:id="14" w:name="_Toc23151"/>
      <w:bookmarkStart w:id="15" w:name="_Toc29106"/>
      <w:bookmarkStart w:id="16" w:name="_Toc15377426"/>
      <w:r>
        <w:rPr>
          <w:rFonts w:hint="eastAsia" w:ascii="宋体" w:hAnsi="宋体" w:eastAsia="宋体" w:cs="宋体"/>
          <w:color w:val="000000"/>
          <w:sz w:val="72"/>
          <w:szCs w:val="72"/>
        </w:rPr>
        <w:t>四川省</w:t>
      </w:r>
      <w:bookmarkEnd w:id="0"/>
      <w:bookmarkStart w:id="17" w:name="_Toc15306268"/>
      <w:r>
        <w:rPr>
          <w:rFonts w:hint="eastAsia" w:ascii="宋体" w:hAnsi="宋体" w:eastAsia="宋体" w:cs="宋体"/>
          <w:color w:val="000000"/>
          <w:sz w:val="72"/>
          <w:szCs w:val="72"/>
        </w:rPr>
        <w:t>乐山市五通桥区</w:t>
      </w:r>
    </w:p>
    <w:p>
      <w:pPr>
        <w:adjustRightInd w:val="0"/>
        <w:snapToGrid w:val="0"/>
        <w:spacing w:line="360" w:lineRule="auto"/>
        <w:jc w:val="center"/>
        <w:outlineLvl w:val="0"/>
        <w:rPr>
          <w:rFonts w:hint="eastAsia" w:ascii="宋体" w:hAnsi="宋体" w:eastAsia="宋体" w:cs="宋体"/>
          <w:color w:val="000000"/>
          <w:sz w:val="72"/>
          <w:szCs w:val="72"/>
        </w:rPr>
      </w:pPr>
      <w:r>
        <w:rPr>
          <w:rFonts w:hint="eastAsia" w:ascii="宋体" w:hAnsi="宋体" w:cs="宋体"/>
          <w:color w:val="000000"/>
          <w:sz w:val="72"/>
          <w:szCs w:val="72"/>
          <w:lang w:eastAsia="zh-CN"/>
        </w:rPr>
        <w:t>西坝镇西坝小学</w:t>
      </w:r>
      <w:r>
        <w:rPr>
          <w:rFonts w:hint="eastAsia" w:ascii="宋体" w:hAnsi="宋体" w:eastAsia="宋体" w:cs="宋体"/>
          <w:color w:val="000000"/>
          <w:sz w:val="72"/>
          <w:szCs w:val="72"/>
        </w:rPr>
        <w:t>部门决算</w:t>
      </w:r>
      <w:bookmarkEnd w:id="9"/>
      <w:bookmarkEnd w:id="10"/>
      <w:bookmarkEnd w:id="11"/>
      <w:bookmarkEnd w:id="12"/>
      <w:bookmarkEnd w:id="13"/>
      <w:bookmarkEnd w:id="14"/>
      <w:bookmarkEnd w:id="15"/>
      <w:bookmarkEnd w:id="16"/>
      <w:bookmarkEnd w:id="17"/>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p>
    <w:p>
      <w:pPr>
        <w:pStyle w:val="7"/>
      </w:pPr>
      <w:r>
        <w:rPr>
          <w:rFonts w:hint="eastAsia"/>
        </w:rPr>
        <w:t>公开时间：</w:t>
      </w:r>
      <w:r>
        <w:t>2021</w:t>
      </w:r>
      <w:r>
        <w:rPr>
          <w:rFonts w:hint="eastAsia"/>
        </w:rPr>
        <w:t>年</w:t>
      </w:r>
      <w:r>
        <w:rPr>
          <w:rFonts w:hint="eastAsia"/>
          <w:lang w:val="en-US" w:eastAsia="zh-CN"/>
        </w:rPr>
        <w:t>9</w:t>
      </w:r>
      <w:r>
        <w:rPr>
          <w:rFonts w:hint="eastAsia"/>
        </w:rPr>
        <w:t xml:space="preserve"> 月</w:t>
      </w:r>
      <w:r>
        <w:rPr>
          <w:rFonts w:hint="eastAsia"/>
          <w:lang w:val="en-US" w:eastAsia="zh-CN"/>
        </w:rPr>
        <w:t>28</w:t>
      </w:r>
      <w:r>
        <w:rPr>
          <w:rFonts w:hint="eastAsia"/>
        </w:rPr>
        <w:t xml:space="preserve"> 日</w:t>
      </w:r>
    </w:p>
    <w:p/>
    <w:sdt>
      <w:sdtPr>
        <w:rPr>
          <w:rFonts w:ascii="宋体" w:hAnsi="宋体" w:eastAsia="宋体" w:cs="Times New Roman"/>
          <w:kern w:val="2"/>
          <w:sz w:val="21"/>
          <w:szCs w:val="24"/>
          <w:lang w:val="en-US" w:eastAsia="zh-CN" w:bidi="ar-SA"/>
        </w:rPr>
        <w:id w:val="147458708"/>
        <w15:color w:val="DBDBDB"/>
        <w:docPartObj>
          <w:docPartGallery w:val="Table of Contents"/>
          <w:docPartUnique/>
        </w:docPartObj>
      </w:sdtPr>
      <w:sdtEndPr>
        <w:rPr>
          <w:rFonts w:hint="eastAsia" w:asciiTheme="majorEastAsia" w:hAnsiTheme="majorEastAsia" w:eastAsiaTheme="majorEastAsia" w:cstheme="majorEastAsia"/>
          <w:kern w:val="2"/>
          <w:sz w:val="30"/>
          <w:szCs w:val="30"/>
          <w:lang w:val="en-US" w:eastAsia="zh-CN" w:bidi="ar-SA"/>
        </w:rPr>
      </w:sdtEndPr>
      <w:sdtContent>
        <w:p>
          <w:pPr>
            <w:spacing w:before="0" w:beforeLines="0" w:after="0" w:afterLines="0" w:line="240" w:lineRule="auto"/>
            <w:ind w:left="0" w:leftChars="0" w:right="0" w:rightChars="0" w:firstLine="0" w:firstLineChars="0"/>
            <w:jc w:val="center"/>
          </w:pPr>
          <w:bookmarkStart w:id="18" w:name="_Toc15377196"/>
          <w:bookmarkStart w:id="19" w:name="_Toc15396599"/>
        </w:p>
        <w:p>
          <w:pPr>
            <w:pStyle w:val="7"/>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TOC \o "1-3" \h \u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_Toc10577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2020年度</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_Toc10577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7"/>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_Toc11389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四川省乐山市五通桥区</w:t>
          </w:r>
          <w:r>
            <w:rPr>
              <w:rFonts w:hint="eastAsia" w:asciiTheme="majorEastAsia" w:hAnsiTheme="majorEastAsia" w:eastAsiaTheme="majorEastAsia" w:cstheme="majorEastAsia"/>
              <w:sz w:val="30"/>
              <w:szCs w:val="30"/>
              <w:lang w:eastAsia="zh-CN"/>
            </w:rPr>
            <w:t>西坝镇西坝小学</w:t>
          </w:r>
          <w:r>
            <w:rPr>
              <w:rFonts w:hint="eastAsia" w:asciiTheme="majorEastAsia" w:hAnsiTheme="majorEastAsia" w:eastAsiaTheme="majorEastAsia" w:cstheme="majorEastAsia"/>
              <w:sz w:val="30"/>
              <w:szCs w:val="30"/>
            </w:rPr>
            <w:t>部门决算</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_Toc11389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7"/>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_Toc21227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 xml:space="preserve">第一部分 </w:t>
          </w:r>
          <w:r>
            <w:rPr>
              <w:rFonts w:hint="eastAsia" w:asciiTheme="majorEastAsia" w:hAnsiTheme="majorEastAsia" w:eastAsiaTheme="majorEastAsia" w:cstheme="majorEastAsia"/>
              <w:bCs w:val="0"/>
              <w:sz w:val="30"/>
              <w:szCs w:val="30"/>
            </w:rPr>
            <w:t>部门概况</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_Toc21227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4</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_Toc12094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一、基</w:t>
          </w:r>
          <w:r>
            <w:rPr>
              <w:rFonts w:hint="eastAsia" w:asciiTheme="majorEastAsia" w:hAnsiTheme="majorEastAsia" w:eastAsiaTheme="majorEastAsia" w:cstheme="majorEastAsia"/>
              <w:bCs w:val="0"/>
              <w:sz w:val="30"/>
              <w:szCs w:val="30"/>
            </w:rPr>
            <w:t>本职能及主要工作</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_Toc12094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4</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_Toc19744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二、机</w:t>
          </w:r>
          <w:r>
            <w:rPr>
              <w:rFonts w:hint="eastAsia" w:asciiTheme="majorEastAsia" w:hAnsiTheme="majorEastAsia" w:eastAsiaTheme="majorEastAsia" w:cstheme="majorEastAsia"/>
              <w:bCs w:val="0"/>
              <w:sz w:val="30"/>
              <w:szCs w:val="30"/>
            </w:rPr>
            <w:t>构设置</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_Toc19744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9</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7"/>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_Toc13787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 xml:space="preserve">第二部分 </w:t>
          </w:r>
          <w:r>
            <w:rPr>
              <w:rFonts w:hint="eastAsia" w:asciiTheme="majorEastAsia" w:hAnsiTheme="majorEastAsia" w:eastAsiaTheme="majorEastAsia" w:cstheme="majorEastAsia"/>
              <w:bCs w:val="0"/>
              <w:sz w:val="30"/>
              <w:szCs w:val="30"/>
            </w:rPr>
            <w:t>2020年度部门决算情况说明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_Toc13787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10</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_Toc25523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一、 收入支出决算总体情况说明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_Toc25523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10</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_Toc21630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二、 收入决算情况说明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_Toc21630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_Toc15317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三、 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_Toc15317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_Toc7830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四、财政拨款收入支出决算总体情况说明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_Toc7830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12</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_Toc6706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五、一般公共预算财政拨款支出决算情况说明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_Toc6706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13</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_Toc12594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六、一般公共预算财政拨款基本支出决算情况说明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_Toc12594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15</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_Toc11879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七、“三公”经费财政拨款支出决算情况说明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_Toc11879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16</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_Toc4382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八、政府性基金预算支出决算情况说明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_Toc4382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16</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_Toc14119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九、 国有资本经营预算支出决算情况说明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_Toc14119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16</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_Toc751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十、其他重要事项的情况说明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_Toc751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16</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7"/>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_Toc11423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第三部分 名词解释</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_Toc11423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7"/>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_Toc29794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第四部分 附件</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_Toc29794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24</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7"/>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_Toc19158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附件1</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_Toc19158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24</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7"/>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_Toc2485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lang w:val="en-US" w:eastAsia="zh-CN"/>
            </w:rPr>
            <w:t xml:space="preserve">第五部分  </w:t>
          </w:r>
          <w:r>
            <w:rPr>
              <w:rFonts w:hint="eastAsia" w:asciiTheme="majorEastAsia" w:hAnsiTheme="majorEastAsia" w:eastAsiaTheme="majorEastAsia" w:cstheme="majorEastAsia"/>
              <w:sz w:val="30"/>
              <w:szCs w:val="30"/>
            </w:rPr>
            <w:t>附表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_Toc2485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7"/>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_Toc25620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lang w:val="en-US" w:eastAsia="zh-CN" w:bidi="ar-SA"/>
            </w:rPr>
            <w:t>一、收入支出决算总表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_Toc25620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_Toc14064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二、收入决算表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_Toc14064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_Toc25506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三、支出决算表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_Toc25506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_Toc19500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四、财政拨款收入支出决算总表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_Toc19500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_Toc27482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五、财政拨款支出决算明细表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_Toc27482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_Toc21853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六、一般公共预算财政拨款支出决算表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_Toc21853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_Toc2782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七、一般公共预算财政拨款支出决算明细表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_Toc2782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_Toc28973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八、一般公共预算财政拨款基本支出决算表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_Toc28973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_Toc17783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九、一般公共预算财政拨款项目支出决算表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_Toc17783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_Toc8167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十、一般公共预算财政拨款“三公”经费支出决算表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_Toc8167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_Toc993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十一、政府性基金预算财政拨款收入支出决算表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_Toc993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_Toc21124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十二、政府性基金预算财政拨款“三公”经费支出决算表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_Toc21124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_Toc14742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十三、国有资本经营预算财政拨款收入支出决算表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_Toc14742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_Toc857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十四、国有资本经营预算财政拨款支出决算表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_Toc857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rPr>
              <w:rFonts w:hint="eastAsia" w:asciiTheme="majorEastAsia" w:hAnsiTheme="majorEastAsia" w:eastAsiaTheme="majorEastAsia" w:cstheme="majorEastAsia"/>
              <w:bCs/>
              <w:kern w:val="44"/>
              <w:sz w:val="30"/>
              <w:szCs w:val="30"/>
            </w:rPr>
          </w:pPr>
          <w:r>
            <w:rPr>
              <w:rFonts w:hint="eastAsia" w:asciiTheme="majorEastAsia" w:hAnsiTheme="majorEastAsia" w:eastAsiaTheme="majorEastAsia" w:cstheme="majorEastAsia"/>
              <w:sz w:val="30"/>
              <w:szCs w:val="30"/>
            </w:rPr>
            <w:fldChar w:fldCharType="end"/>
          </w:r>
        </w:p>
      </w:sdtContent>
    </w:sdt>
    <w:p>
      <w:pPr>
        <w:jc w:val="both"/>
        <w:outlineLvl w:val="9"/>
        <w:rPr>
          <w:rFonts w:hint="eastAsia" w:ascii="黑体" w:hAnsi="黑体" w:eastAsia="黑体"/>
          <w:b w:val="0"/>
        </w:rPr>
      </w:pPr>
    </w:p>
    <w:p>
      <w:pPr>
        <w:rPr>
          <w:rFonts w:hint="eastAsia"/>
        </w:rPr>
      </w:pPr>
    </w:p>
    <w:p>
      <w:pPr>
        <w:jc w:val="both"/>
        <w:outlineLvl w:val="9"/>
        <w:rPr>
          <w:rFonts w:hint="eastAsia" w:ascii="黑体" w:hAnsi="黑体" w:eastAsia="黑体"/>
          <w:b w:val="0"/>
        </w:rPr>
      </w:pPr>
    </w:p>
    <w:p>
      <w:pPr>
        <w:jc w:val="both"/>
        <w:outlineLvl w:val="9"/>
        <w:rPr>
          <w:rFonts w:hint="eastAsia" w:ascii="黑体" w:hAnsi="黑体" w:eastAsia="黑体"/>
          <w:b w:val="0"/>
        </w:rPr>
      </w:pPr>
    </w:p>
    <w:p>
      <w:pPr>
        <w:jc w:val="both"/>
        <w:outlineLvl w:val="9"/>
        <w:rPr>
          <w:rFonts w:hint="eastAsia" w:ascii="黑体" w:hAnsi="黑体" w:eastAsia="黑体"/>
          <w:b w:val="0"/>
        </w:rPr>
      </w:pPr>
    </w:p>
    <w:p>
      <w:pPr>
        <w:pStyle w:val="2"/>
        <w:jc w:val="center"/>
        <w:rPr>
          <w:rStyle w:val="14"/>
          <w:rFonts w:ascii="黑体" w:hAnsi="黑体" w:eastAsia="黑体"/>
          <w:b/>
          <w:bCs w:val="0"/>
        </w:rPr>
      </w:pPr>
      <w:bookmarkStart w:id="20" w:name="_Toc21227"/>
      <w:r>
        <w:rPr>
          <w:rFonts w:hint="eastAsia" w:ascii="黑体" w:hAnsi="黑体" w:eastAsia="黑体"/>
          <w:b w:val="0"/>
        </w:rPr>
        <w:t>第一部分</w:t>
      </w:r>
      <w:r>
        <w:rPr>
          <w:rFonts w:ascii="黑体" w:hAnsi="黑体" w:eastAsia="黑体"/>
          <w:b w:val="0"/>
        </w:rPr>
        <w:t xml:space="preserve"> </w:t>
      </w:r>
      <w:r>
        <w:rPr>
          <w:rStyle w:val="14"/>
          <w:rFonts w:hint="eastAsia" w:ascii="黑体" w:hAnsi="黑体" w:eastAsia="黑体"/>
          <w:b w:val="0"/>
          <w:bCs w:val="0"/>
        </w:rPr>
        <w:t>部门概况</w:t>
      </w:r>
      <w:bookmarkEnd w:id="18"/>
      <w:bookmarkEnd w:id="19"/>
      <w:bookmarkEnd w:id="20"/>
    </w:p>
    <w:p>
      <w:pPr>
        <w:widowControl/>
        <w:jc w:val="left"/>
        <w:rPr>
          <w:rFonts w:ascii="黑体" w:eastAsia="黑体"/>
          <w:color w:val="000000"/>
          <w:sz w:val="32"/>
          <w:szCs w:val="32"/>
        </w:rPr>
      </w:pPr>
    </w:p>
    <w:p>
      <w:pPr>
        <w:pStyle w:val="3"/>
        <w:rPr>
          <w:rStyle w:val="15"/>
          <w:rFonts w:ascii="仿宋" w:hAnsi="仿宋" w:eastAsia="仿宋"/>
          <w:b w:val="0"/>
          <w:bCs w:val="0"/>
        </w:rPr>
      </w:pPr>
      <w:bookmarkStart w:id="21" w:name="_Toc12094"/>
      <w:bookmarkStart w:id="22" w:name="_Toc15377197"/>
      <w:bookmarkStart w:id="23" w:name="_Toc15396600"/>
      <w:r>
        <w:rPr>
          <w:rFonts w:hint="eastAsia" w:ascii="黑体" w:hAnsi="黑体" w:eastAsia="黑体"/>
          <w:b w:val="0"/>
          <w:color w:val="000000"/>
        </w:rPr>
        <w:t>一、基</w:t>
      </w:r>
      <w:r>
        <w:rPr>
          <w:rStyle w:val="15"/>
          <w:rFonts w:hint="eastAsia" w:ascii="黑体" w:hAnsi="黑体" w:eastAsia="黑体"/>
          <w:b w:val="0"/>
          <w:bCs w:val="0"/>
        </w:rPr>
        <w:t>本职能及主要工作</w:t>
      </w:r>
      <w:bookmarkEnd w:id="21"/>
      <w:bookmarkEnd w:id="22"/>
      <w:bookmarkEnd w:id="23"/>
    </w:p>
    <w:p>
      <w:pPr>
        <w:pStyle w:val="4"/>
        <w:adjustRightInd w:val="0"/>
        <w:snapToGrid w:val="0"/>
        <w:spacing w:before="93" w:line="600" w:lineRule="exact"/>
        <w:ind w:firstLine="672" w:firstLineChars="210"/>
        <w:outlineLvl w:val="9"/>
        <w:rPr>
          <w:rFonts w:hint="eastAsia" w:ascii="仿宋" w:hAnsi="仿宋" w:eastAsia="仿宋" w:cs="仿宋"/>
          <w:bCs/>
          <w:color w:val="000000"/>
          <w:sz w:val="32"/>
          <w:szCs w:val="32"/>
        </w:rPr>
      </w:pPr>
      <w:bookmarkStart w:id="24" w:name="_Toc15377198"/>
      <w:bookmarkStart w:id="25" w:name="_Toc2408"/>
      <w:bookmarkStart w:id="26" w:name="_Toc15378445"/>
      <w:r>
        <w:rPr>
          <w:rFonts w:hint="eastAsia" w:ascii="仿宋" w:hAnsi="仿宋" w:eastAsia="仿宋" w:cs="仿宋"/>
          <w:bCs/>
          <w:color w:val="000000"/>
          <w:sz w:val="32"/>
          <w:szCs w:val="32"/>
        </w:rPr>
        <w:t>（一）主要职能</w:t>
      </w:r>
      <w:bookmarkEnd w:id="24"/>
      <w:bookmarkEnd w:id="25"/>
      <w:bookmarkEnd w:id="26"/>
      <w:bookmarkStart w:id="27" w:name="_Toc15378446"/>
      <w:bookmarkStart w:id="28" w:name="_Toc15377199"/>
    </w:p>
    <w:p>
      <w:pPr>
        <w:ind w:firstLineChars="200"/>
        <w:rPr>
          <w:rFonts w:hint="eastAsia" w:ascii="仿宋" w:hAnsi="仿宋" w:eastAsia="仿宋" w:cs="仿宋"/>
          <w:color w:val="FF0000"/>
          <w:sz w:val="32"/>
          <w:szCs w:val="32"/>
          <w:lang w:val="en-US" w:eastAsia="zh-CN"/>
        </w:rPr>
      </w:pPr>
      <w:bookmarkStart w:id="29" w:name="_Toc345"/>
      <w:r>
        <w:rPr>
          <w:rFonts w:hint="eastAsia" w:ascii="仿宋" w:hAnsi="仿宋" w:eastAsia="仿宋" w:cs="仿宋"/>
          <w:sz w:val="32"/>
          <w:szCs w:val="32"/>
          <w:lang w:eastAsia="zh-CN"/>
        </w:rPr>
        <w:t>乐山市五通桥区西坝镇西坝小学</w:t>
      </w:r>
      <w:r>
        <w:rPr>
          <w:rFonts w:hint="eastAsia" w:ascii="仿宋" w:hAnsi="仿宋" w:eastAsia="仿宋" w:cs="仿宋"/>
          <w:sz w:val="32"/>
          <w:szCs w:val="32"/>
        </w:rPr>
        <w:t>其主要职能是</w:t>
      </w:r>
      <w:r>
        <w:rPr>
          <w:rFonts w:hint="eastAsia" w:ascii="仿宋" w:hAnsi="仿宋" w:eastAsia="仿宋" w:cs="仿宋"/>
          <w:sz w:val="32"/>
          <w:szCs w:val="32"/>
          <w:lang w:val="en-US" w:eastAsia="zh-CN"/>
        </w:rPr>
        <w:t>实施小学义务教育，促进基础教育发展</w:t>
      </w:r>
      <w:r>
        <w:rPr>
          <w:rFonts w:hint="eastAsia" w:ascii="仿宋" w:hAnsi="仿宋" w:eastAsia="仿宋" w:cs="仿宋"/>
          <w:sz w:val="32"/>
          <w:szCs w:val="32"/>
        </w:rPr>
        <w:t>。</w:t>
      </w:r>
    </w:p>
    <w:p>
      <w:pPr>
        <w:pStyle w:val="4"/>
        <w:adjustRightInd w:val="0"/>
        <w:snapToGrid w:val="0"/>
        <w:spacing w:before="93" w:line="600" w:lineRule="exact"/>
        <w:ind w:firstLine="672" w:firstLineChars="210"/>
        <w:outlineLvl w:val="9"/>
        <w:rPr>
          <w:rFonts w:hint="eastAsia" w:ascii="仿宋" w:hAnsi="仿宋" w:eastAsia="仿宋" w:cs="仿宋"/>
          <w:bCs/>
          <w:color w:val="000000"/>
          <w:sz w:val="32"/>
          <w:szCs w:val="32"/>
        </w:rPr>
      </w:pPr>
      <w:r>
        <w:rPr>
          <w:rFonts w:hint="eastAsia" w:ascii="仿宋" w:hAnsi="仿宋" w:eastAsia="仿宋" w:cs="仿宋"/>
          <w:bCs/>
          <w:color w:val="000000"/>
          <w:sz w:val="32"/>
          <w:szCs w:val="32"/>
        </w:rPr>
        <w:t>（二）2020年重点工作完成情况</w:t>
      </w:r>
      <w:bookmarkEnd w:id="27"/>
      <w:bookmarkEnd w:id="28"/>
      <w:bookmarkEnd w:id="29"/>
    </w:p>
    <w:p>
      <w:pPr>
        <w:ind w:firstLineChars="200"/>
        <w:rPr>
          <w:rFonts w:hint="eastAsia" w:ascii="仿宋" w:hAnsi="仿宋" w:eastAsia="仿宋" w:cs="仿宋"/>
          <w:sz w:val="32"/>
          <w:szCs w:val="32"/>
        </w:rPr>
      </w:pPr>
      <w:bookmarkStart w:id="30" w:name="_Toc15396601"/>
      <w:bookmarkStart w:id="31" w:name="_Toc15377200"/>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抓教学常规检查</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一年</w:t>
      </w:r>
      <w:r>
        <w:rPr>
          <w:rFonts w:hint="eastAsia" w:ascii="仿宋" w:hAnsi="仿宋" w:eastAsia="仿宋" w:cs="仿宋"/>
          <w:sz w:val="32"/>
          <w:szCs w:val="32"/>
        </w:rPr>
        <w:t>以来，教导处不定期进入课堂随堂听课，实实在在地了解教师的常态化教学，课后和教师进行交流，指出问题，促进教师改进自己的教学方法，提高课堂教学效益。同时在听课中，有针对性地与我校的弱班弱科任课教师进行了诊断性的研讨活动。在本期的常规检查形式上，我校不断创新教学常规的管理模式，继续实施以“教师自评－同学科教师互评－教研组长评－展评”的评价管理模式，尤其是展评环节要求每个教研组长在教师会上展示本组在“备课”“作业批改”“辅导学生”“检测与分析”方面的亮点并介绍，促进了教师备课的规范，提高了教师钻研课标和把握教材的能力，同时还让优秀教师的一些好经验、好做法在校内得到进一步的推广和运用。</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认真开展课堂教学改革研讨活动</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一年</w:t>
      </w:r>
      <w:r>
        <w:rPr>
          <w:rFonts w:hint="eastAsia" w:ascii="仿宋" w:hAnsi="仿宋" w:eastAsia="仿宋" w:cs="仿宋"/>
          <w:sz w:val="32"/>
          <w:szCs w:val="32"/>
        </w:rPr>
        <w:t>以来，教导处认真开展课堂教学改革的教学研讨活动。</w:t>
      </w:r>
    </w:p>
    <w:p>
      <w:pPr>
        <w:ind w:firstLineChars="200"/>
        <w:rPr>
          <w:rFonts w:hint="eastAsia" w:ascii="仿宋" w:hAnsi="仿宋" w:eastAsia="仿宋" w:cs="仿宋"/>
          <w:sz w:val="32"/>
          <w:szCs w:val="32"/>
        </w:rPr>
      </w:pPr>
      <w:r>
        <w:rPr>
          <w:rFonts w:hint="eastAsia" w:ascii="仿宋" w:hAnsi="仿宋" w:eastAsia="仿宋" w:cs="仿宋"/>
          <w:sz w:val="32"/>
          <w:szCs w:val="32"/>
        </w:rPr>
        <w:t>1）以校本研训为平台，深化课堂教学改革。我校充分利用校本研训开展深化课堂教学改革研讨活动。具体如下：⑴开展深化课堂教学改革的校内研讨活动：由教导处统一组织各教研组在校内开展“同课异构”或“异课同构”的学科教学研训活动。同组教师听课后提出修改建议，上课教师根据其他教师的意见修改教学设计后再运用到课堂教学中，课后进行评课（评课堂教学设计、评教师课堂效果、评现代教育技术应用），并认真做好记录。</w:t>
      </w:r>
    </w:p>
    <w:p>
      <w:pPr>
        <w:ind w:firstLineChars="200"/>
        <w:rPr>
          <w:rFonts w:hint="eastAsia" w:ascii="仿宋" w:hAnsi="仿宋" w:eastAsia="仿宋" w:cs="仿宋"/>
          <w:sz w:val="32"/>
          <w:szCs w:val="32"/>
        </w:rPr>
      </w:pPr>
      <w:r>
        <w:rPr>
          <w:rFonts w:hint="eastAsia" w:ascii="仿宋" w:hAnsi="仿宋" w:eastAsia="仿宋" w:cs="仿宋"/>
          <w:sz w:val="32"/>
          <w:szCs w:val="32"/>
        </w:rPr>
        <w:t>2）开展新教师（转岗教师）结对活动。为更好地发挥骨干的引领作用，我校开展了教师结对活动：首先是开学初启动结对仪式，然后由教导处每月安排结对教师与指导教师互相听课，课后进行研讨，通过活动的开展，对新教师和转岗老师的教学行为和改变学生的学习方式起到的积极作用。</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分析质量促提升</w:t>
      </w:r>
    </w:p>
    <w:p>
      <w:pPr>
        <w:ind w:firstLineChars="200"/>
        <w:rPr>
          <w:rFonts w:hint="eastAsia" w:ascii="仿宋" w:hAnsi="仿宋" w:eastAsia="仿宋" w:cs="仿宋"/>
          <w:sz w:val="32"/>
          <w:szCs w:val="32"/>
        </w:rPr>
      </w:pPr>
      <w:r>
        <w:rPr>
          <w:rFonts w:hint="eastAsia" w:ascii="仿宋" w:hAnsi="仿宋" w:eastAsia="仿宋" w:cs="仿宋"/>
          <w:sz w:val="32"/>
          <w:szCs w:val="32"/>
        </w:rPr>
        <w:t>本学期初教导处要求全校所有的统考科目教师完成了对2020春的教学质量的分析，在这学期的半期考试和期末考试后均要求教师认真做好试卷分析工作。另外，为了进一步提高教学质量，我校根据上级要求，对各年级统考科目老师提出了培养优生和转化后进生的具体目标，并要求各学科落实到人，任课教师要作好记录等，教导处也不定期进行抽查。同时要求所有统考科目均要做好单元测试成绩记录，从日常教学中抓好教学质量，力争使我校在2021春的教学质量评估中能取得更好的成绩。</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艺术与体育创特色</w:t>
      </w:r>
    </w:p>
    <w:p>
      <w:pPr>
        <w:ind w:firstLineChars="200"/>
        <w:rPr>
          <w:rFonts w:hint="eastAsia" w:ascii="仿宋" w:hAnsi="仿宋" w:eastAsia="仿宋" w:cs="仿宋"/>
          <w:sz w:val="32"/>
          <w:szCs w:val="32"/>
        </w:rPr>
      </w:pPr>
      <w:r>
        <w:rPr>
          <w:rFonts w:hint="eastAsia" w:ascii="仿宋" w:hAnsi="仿宋" w:eastAsia="仿宋" w:cs="仿宋"/>
          <w:sz w:val="32"/>
          <w:szCs w:val="32"/>
        </w:rPr>
        <w:t>为了进一步促进学生全面素质的提高，有效地增强了学生体质，教导处在本学期认真组织开展学生体质健康测试、冬季运动会、阳光体育大课间等活动。同时，为了提高学生的体质健康测试等级，我校教导处组织并安排体育教师向各班学生布置体育作业，班主任负责提醒和督促，本期末进行摸底测试，下学期开学第一周进行二次测试，再将数据进行对比分析，体育教师相办法提措施，进一步提升学生的体质。在艺术教育方面,我校依托"乡村少年宫"和课后服务工作,积极开展了一系列的艺术和社团活动,如机器人社团、陶艺社团、戏剧社团、乒乓球社团等，学生的艺术和体育素养得到了进一步提高。</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坚持每天和每周一次的升国旗制度，增强对全校师生的爱国主义教育</w:t>
      </w:r>
    </w:p>
    <w:p>
      <w:pPr>
        <w:ind w:firstLineChars="200"/>
        <w:rPr>
          <w:rFonts w:hint="eastAsia" w:ascii="仿宋" w:hAnsi="仿宋" w:eastAsia="仿宋" w:cs="仿宋"/>
          <w:sz w:val="32"/>
          <w:szCs w:val="32"/>
        </w:rPr>
      </w:pPr>
      <w:r>
        <w:rPr>
          <w:rFonts w:hint="eastAsia" w:ascii="仿宋" w:hAnsi="仿宋" w:eastAsia="仿宋" w:cs="仿宋"/>
          <w:sz w:val="32"/>
          <w:szCs w:val="32"/>
        </w:rPr>
        <w:t>一是每周一全体师生在庄严的五星红旗下聆听着国旗下讲话，及时纠正学生中的不良风气，激发学生的五爱热情。二是利用各班先进的多媒体教学设备，组织学生观看了多部爱国影片活动，通过座谈写观后感为载体，活化教育内容，深化教育主题。</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加强德育主题班队会教育工作</w:t>
      </w:r>
    </w:p>
    <w:p>
      <w:pPr>
        <w:ind w:firstLineChars="200"/>
        <w:rPr>
          <w:rFonts w:hint="eastAsia" w:ascii="仿宋" w:hAnsi="仿宋" w:eastAsia="仿宋" w:cs="仿宋"/>
          <w:sz w:val="32"/>
          <w:szCs w:val="32"/>
        </w:rPr>
      </w:pPr>
      <w:r>
        <w:rPr>
          <w:rFonts w:hint="eastAsia" w:ascii="仿宋" w:hAnsi="仿宋" w:eastAsia="仿宋" w:cs="仿宋"/>
          <w:sz w:val="32"/>
          <w:szCs w:val="32"/>
        </w:rPr>
        <w:t>为切实做到“月月有主题、周周有活动”的德育工作要求。德育处根据上级文件精神，制定了“浓浓尊师意”、“深深爱国情”、“拳拳感恩心”、“切切遵法情”、“欢天喜地迎新年”、“珍爱生命拒绝毒品”、“心理健康”、“宪法宣传日活动”、“廉政宣传周活动”、“珍爱生命安全第一”、“森林防灭火”等相应的班队会主题，然后监督指导班主任查找好相关资料，通过远程教育资源、多媒体课件等直观教育方式，加强对学生进行教育。德育处组织专职人员到中小学各班级进行监督、检查，确保了德育主题班队会活动的落实。</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做好家长会及家长学校的教育工作</w:t>
      </w:r>
    </w:p>
    <w:p>
      <w:pPr>
        <w:ind w:firstLineChars="200"/>
        <w:rPr>
          <w:rFonts w:hint="eastAsia" w:ascii="仿宋" w:hAnsi="仿宋" w:eastAsia="仿宋" w:cs="仿宋"/>
          <w:sz w:val="32"/>
          <w:szCs w:val="32"/>
        </w:rPr>
      </w:pPr>
      <w:r>
        <w:rPr>
          <w:rFonts w:hint="eastAsia" w:ascii="仿宋" w:hAnsi="仿宋" w:eastAsia="仿宋" w:cs="仿宋"/>
          <w:sz w:val="32"/>
          <w:szCs w:val="32"/>
        </w:rPr>
        <w:t>以家长会为契机，组织各年级的家长，召开家长学校工作会议，宣传我校教育教学成效，邀请校外法治副校长授课，使家长们接受更多的教育。</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sz w:val="32"/>
          <w:szCs w:val="32"/>
        </w:rPr>
        <w:t>加大对学生卫生意识教育，促进学生健康发展</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我校</w:t>
      </w:r>
      <w:r>
        <w:rPr>
          <w:rFonts w:hint="eastAsia" w:ascii="仿宋" w:hAnsi="仿宋" w:eastAsia="仿宋" w:cs="仿宋"/>
          <w:sz w:val="32"/>
          <w:szCs w:val="32"/>
        </w:rPr>
        <w:t>结合双创工作，我校在卫生工作方面，坚持以预防为主的防控原则，按照工作要求定期对校园内人员较为集中的地方和垃圾堆放点进行喷洒药物，消除四害孽生场地;定期对学校食堂、宿舍、厕所、教室进行消毒;积极开展卫生流动红旗评比活动，每周开展对学生个人、班级进行卫生评比活动，广泛宣传和普及卫生知识，从而减少和预防了各类传染病的发生，有力的保证了师生健康。</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w:t>
      </w:r>
      <w:r>
        <w:rPr>
          <w:rFonts w:hint="eastAsia" w:ascii="仿宋" w:hAnsi="仿宋" w:eastAsia="仿宋" w:cs="仿宋"/>
          <w:sz w:val="32"/>
          <w:szCs w:val="32"/>
        </w:rPr>
        <w:t>扎实开展文明礼仪教育</w:t>
      </w:r>
    </w:p>
    <w:p>
      <w:pPr>
        <w:ind w:firstLineChars="200"/>
        <w:rPr>
          <w:rFonts w:hint="eastAsia" w:ascii="仿宋" w:hAnsi="仿宋" w:eastAsia="仿宋" w:cs="仿宋"/>
          <w:sz w:val="32"/>
          <w:szCs w:val="32"/>
        </w:rPr>
      </w:pPr>
      <w:r>
        <w:rPr>
          <w:rFonts w:hint="eastAsia" w:ascii="仿宋" w:hAnsi="仿宋" w:eastAsia="仿宋" w:cs="仿宋"/>
          <w:sz w:val="32"/>
          <w:szCs w:val="32"/>
        </w:rPr>
        <w:t>把语言文明作为抓学生规范的切入点，要求校园内外会用“十字”礼貌用语，倡导主动问好、排队礼让等“文明礼仪伴我行”。九月份学校组织学生收看中央电视台“开学第一课”活动，结合电视内容，开展了礼仪教育，要求五六年级学生撰写心得体会，强化文明礼仪。不定期对各年级进行了文明礼仪的抽查，及时纠正学生的不良行为。通过国旗下表扬、校园广播报道、LED显示屏滚动播出等宣传榜样，鼓励学生从榜样身上受到启发，引导学生养成文明有礼、健康向上的优秀品质。</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w:t>
      </w:r>
      <w:r>
        <w:rPr>
          <w:rFonts w:hint="eastAsia" w:ascii="仿宋" w:hAnsi="仿宋" w:eastAsia="仿宋" w:cs="仿宋"/>
          <w:sz w:val="32"/>
          <w:szCs w:val="32"/>
        </w:rPr>
        <w:t xml:space="preserve">开展“美丽校园”班级文化建设活动 </w:t>
      </w:r>
    </w:p>
    <w:p>
      <w:pPr>
        <w:ind w:firstLineChars="200"/>
        <w:rPr>
          <w:rFonts w:hint="eastAsia" w:ascii="仿宋" w:hAnsi="仿宋" w:eastAsia="仿宋" w:cs="仿宋"/>
          <w:sz w:val="32"/>
          <w:szCs w:val="32"/>
        </w:rPr>
      </w:pPr>
      <w:r>
        <w:rPr>
          <w:rFonts w:hint="eastAsia" w:ascii="仿宋" w:hAnsi="仿宋" w:eastAsia="仿宋" w:cs="仿宋"/>
          <w:sz w:val="32"/>
          <w:szCs w:val="32"/>
        </w:rPr>
        <w:t>放手让各班自定主题，根据本班实际布置教室，努力打造特色班级。美观、育人氛围浓厚的班级文化，得到了家长的高度认可。</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11</w:t>
      </w:r>
      <w:r>
        <w:rPr>
          <w:rFonts w:hint="eastAsia" w:ascii="仿宋" w:hAnsi="仿宋" w:eastAsia="仿宋" w:cs="仿宋"/>
          <w:sz w:val="32"/>
          <w:szCs w:val="32"/>
          <w:lang w:eastAsia="zh-CN"/>
        </w:rPr>
        <w:t>）</w:t>
      </w:r>
      <w:r>
        <w:rPr>
          <w:rFonts w:hint="eastAsia" w:ascii="仿宋" w:hAnsi="仿宋" w:eastAsia="仿宋" w:cs="仿宋"/>
          <w:sz w:val="32"/>
          <w:szCs w:val="32"/>
        </w:rPr>
        <w:t>科技活动取得突破</w:t>
      </w:r>
    </w:p>
    <w:p>
      <w:pPr>
        <w:ind w:firstLine="640" w:firstLineChars="200"/>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本</w:t>
      </w:r>
      <w:r>
        <w:rPr>
          <w:rFonts w:hint="eastAsia" w:ascii="仿宋" w:hAnsi="仿宋" w:eastAsia="仿宋" w:cs="仿宋"/>
          <w:b w:val="0"/>
          <w:bCs w:val="0"/>
          <w:sz w:val="32"/>
          <w:szCs w:val="32"/>
          <w:lang w:eastAsia="zh-CN"/>
        </w:rPr>
        <w:t>年度</w:t>
      </w:r>
      <w:r>
        <w:rPr>
          <w:rFonts w:hint="eastAsia" w:ascii="仿宋" w:hAnsi="仿宋" w:eastAsia="仿宋" w:cs="仿宋"/>
          <w:b w:val="0"/>
          <w:bCs w:val="0"/>
          <w:sz w:val="32"/>
          <w:szCs w:val="32"/>
        </w:rPr>
        <w:t>科幻画社团，机器人社团，几位社团老师分工合作，通过科技实践、科幻画等兴趣活动营造了科技氛围。在乐山市科技大赛及机器人大赛中都取得了优异成绩。</w:t>
      </w:r>
    </w:p>
    <w:p>
      <w:pPr>
        <w:pStyle w:val="3"/>
        <w:rPr>
          <w:rStyle w:val="15"/>
          <w:b w:val="0"/>
          <w:bCs w:val="0"/>
        </w:rPr>
      </w:pPr>
      <w:bookmarkStart w:id="32" w:name="_Toc19744"/>
      <w:r>
        <w:rPr>
          <w:rFonts w:hint="eastAsia" w:ascii="黑体" w:eastAsia="黑体"/>
          <w:b w:val="0"/>
          <w:color w:val="000000"/>
        </w:rPr>
        <w:t>二、</w:t>
      </w:r>
      <w:r>
        <w:rPr>
          <w:rFonts w:hint="eastAsia" w:ascii="黑体" w:hAnsi="黑体" w:eastAsia="黑体"/>
          <w:b w:val="0"/>
          <w:color w:val="000000"/>
        </w:rPr>
        <w:t>机</w:t>
      </w:r>
      <w:r>
        <w:rPr>
          <w:rStyle w:val="15"/>
          <w:rFonts w:hint="eastAsia" w:ascii="黑体" w:hAnsi="黑体" w:eastAsia="黑体"/>
          <w:b w:val="0"/>
          <w:bCs w:val="0"/>
        </w:rPr>
        <w:t>构设置</w:t>
      </w:r>
      <w:bookmarkEnd w:id="30"/>
      <w:bookmarkEnd w:id="31"/>
      <w:bookmarkEnd w:id="32"/>
    </w:p>
    <w:p>
      <w:pPr>
        <w:ind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五通桥区西坝镇西坝小学执行事业单位会计制度，单位基本性质为财政补助事业单位，单位属于普通小学教育。五通桥区西坝镇西坝小学截至2020年12月31日，已纳入我单位资产报表编制范围的单位共1户，独立编制机构数1个，较上年度增长0。截至 2020 年 12月31日，我单位编制人数 46 人 ，较上年度增加 0 人 ，年末实有人数 5</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 xml:space="preserve"> 人。</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14"/>
          <w:rFonts w:ascii="黑体" w:hAnsi="黑体" w:eastAsia="黑体"/>
          <w:b w:val="0"/>
          <w:bCs w:val="0"/>
        </w:rPr>
      </w:pPr>
      <w:bookmarkStart w:id="33" w:name="_Toc13787"/>
      <w:bookmarkStart w:id="34" w:name="_Toc15377204"/>
      <w:bookmarkStart w:id="35" w:name="_Toc15396602"/>
      <w:r>
        <w:rPr>
          <w:rFonts w:hint="eastAsia" w:ascii="黑体" w:hAnsi="黑体" w:eastAsia="黑体"/>
          <w:b w:val="0"/>
          <w:color w:val="000000"/>
        </w:rPr>
        <w:t>第二部分</w:t>
      </w:r>
      <w:r>
        <w:rPr>
          <w:rFonts w:ascii="黑体" w:hAnsi="黑体" w:eastAsia="黑体"/>
          <w:color w:val="000000"/>
        </w:rPr>
        <w:t xml:space="preserve"> </w:t>
      </w:r>
      <w:r>
        <w:rPr>
          <w:rStyle w:val="14"/>
          <w:rFonts w:ascii="黑体" w:hAnsi="黑体" w:eastAsia="黑体"/>
          <w:b w:val="0"/>
          <w:bCs w:val="0"/>
        </w:rPr>
        <w:t>2020</w:t>
      </w:r>
      <w:r>
        <w:rPr>
          <w:rStyle w:val="14"/>
          <w:rFonts w:hint="eastAsia" w:ascii="黑体" w:hAnsi="黑体" w:eastAsia="黑体"/>
          <w:b w:val="0"/>
          <w:bCs w:val="0"/>
        </w:rPr>
        <w:t>年度部门决算情况说明</w:t>
      </w:r>
      <w:bookmarkEnd w:id="33"/>
      <w:bookmarkEnd w:id="34"/>
      <w:bookmarkEnd w:id="35"/>
    </w:p>
    <w:p/>
    <w:p>
      <w:pPr>
        <w:pStyle w:val="16"/>
        <w:numPr>
          <w:ilvl w:val="0"/>
          <w:numId w:val="1"/>
        </w:numPr>
        <w:spacing w:line="600" w:lineRule="exact"/>
        <w:ind w:firstLineChars="0"/>
        <w:outlineLvl w:val="1"/>
        <w:rPr>
          <w:rStyle w:val="15"/>
          <w:rFonts w:ascii="黑体" w:hAnsi="黑体" w:eastAsia="黑体"/>
          <w:b w:val="0"/>
        </w:rPr>
      </w:pPr>
      <w:bookmarkStart w:id="36" w:name="_Toc15377205"/>
      <w:bookmarkStart w:id="37" w:name="_Toc15396603"/>
      <w:bookmarkStart w:id="38" w:name="_Toc25523"/>
      <w:r>
        <w:rPr>
          <w:rFonts w:hint="eastAsia" w:ascii="黑体" w:hAnsi="黑体" w:eastAsia="黑体"/>
          <w:color w:val="000000"/>
          <w:sz w:val="32"/>
          <w:szCs w:val="32"/>
        </w:rPr>
        <w:t>收</w:t>
      </w:r>
      <w:r>
        <w:rPr>
          <w:rStyle w:val="15"/>
          <w:rFonts w:hint="eastAsia" w:ascii="黑体" w:hAnsi="黑体" w:eastAsia="黑体"/>
          <w:b w:val="0"/>
        </w:rPr>
        <w:t>入支出决算总体情况说明</w:t>
      </w:r>
      <w:bookmarkEnd w:id="36"/>
      <w:bookmarkEnd w:id="37"/>
      <w:bookmarkEnd w:id="38"/>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ascii="仿宋" w:hAnsi="仿宋" w:eastAsia="仿宋"/>
          <w:color w:val="000000"/>
          <w:sz w:val="32"/>
          <w:szCs w:val="32"/>
        </w:rPr>
        <w:t>2020</w:t>
      </w:r>
      <w:r>
        <w:rPr>
          <w:rFonts w:hint="eastAsia" w:ascii="仿宋" w:hAnsi="仿宋" w:eastAsia="仿宋"/>
          <w:color w:val="000000"/>
          <w:sz w:val="32"/>
          <w:szCs w:val="32"/>
        </w:rPr>
        <w:t>年度收</w:t>
      </w:r>
      <w:r>
        <w:rPr>
          <w:rFonts w:hint="eastAsia" w:ascii="仿宋" w:hAnsi="仿宋" w:eastAsia="仿宋"/>
          <w:color w:val="000000"/>
          <w:sz w:val="32"/>
          <w:szCs w:val="32"/>
          <w:lang w:val="en-US" w:eastAsia="zh-CN"/>
        </w:rPr>
        <w:t>入</w:t>
      </w:r>
      <w:r>
        <w:rPr>
          <w:rFonts w:hint="eastAsia" w:ascii="仿宋" w:hAnsi="仿宋" w:eastAsia="仿宋"/>
          <w:color w:val="000000"/>
          <w:sz w:val="32"/>
          <w:szCs w:val="32"/>
        </w:rPr>
        <w:t>、支</w:t>
      </w:r>
      <w:r>
        <w:rPr>
          <w:rFonts w:hint="eastAsia" w:ascii="仿宋" w:hAnsi="仿宋" w:eastAsia="仿宋"/>
          <w:color w:val="000000"/>
          <w:sz w:val="32"/>
          <w:szCs w:val="32"/>
          <w:lang w:val="en-US" w:eastAsia="zh-CN"/>
        </w:rPr>
        <w:t>出总计945.4万元，</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出总计</w:t>
      </w:r>
      <w:r>
        <w:rPr>
          <w:rFonts w:hint="eastAsia" w:ascii="仿宋" w:hAnsi="仿宋" w:eastAsia="仿宋"/>
          <w:color w:val="000000"/>
          <w:sz w:val="32"/>
          <w:szCs w:val="32"/>
          <w:lang w:val="en-US" w:eastAsia="zh-CN"/>
        </w:rPr>
        <w:t>913.02万元，各</w:t>
      </w:r>
      <w:r>
        <w:rPr>
          <w:rFonts w:hint="eastAsia" w:ascii="仿宋" w:hAnsi="仿宋" w:eastAsia="仿宋"/>
          <w:color w:val="000000"/>
          <w:sz w:val="32"/>
          <w:szCs w:val="32"/>
        </w:rPr>
        <w:t>增加</w:t>
      </w:r>
      <w:r>
        <w:rPr>
          <w:rFonts w:hint="eastAsia" w:ascii="仿宋" w:hAnsi="仿宋" w:eastAsia="仿宋"/>
          <w:color w:val="000000"/>
          <w:sz w:val="32"/>
          <w:szCs w:val="32"/>
          <w:lang w:val="en-US" w:eastAsia="zh-CN"/>
        </w:rPr>
        <w:t>32.38万元，</w:t>
      </w:r>
      <w:r>
        <w:rPr>
          <w:rFonts w:hint="eastAsia" w:ascii="仿宋" w:hAnsi="仿宋" w:eastAsia="仿宋"/>
          <w:color w:val="000000" w:themeColor="text1"/>
          <w:sz w:val="32"/>
          <w:szCs w:val="32"/>
          <w14:textFill>
            <w14:solidFill>
              <w14:schemeClr w14:val="tx1"/>
            </w14:solidFill>
          </w14:textFill>
        </w:rPr>
        <w:t>增长</w:t>
      </w:r>
      <w:r>
        <w:rPr>
          <w:rFonts w:hint="eastAsia" w:ascii="仿宋" w:hAnsi="仿宋" w:eastAsia="仿宋"/>
          <w:color w:val="000000" w:themeColor="text1"/>
          <w:sz w:val="32"/>
          <w:szCs w:val="32"/>
          <w:lang w:val="en-US" w:eastAsia="zh-CN"/>
          <w14:textFill>
            <w14:solidFill>
              <w14:schemeClr w14:val="tx1"/>
            </w14:solidFill>
          </w14:textFill>
        </w:rPr>
        <w:t>3.55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。主要变动原因是</w:t>
      </w:r>
      <w:r>
        <w:rPr>
          <w:rFonts w:hint="eastAsia" w:ascii="仿宋" w:hAnsi="仿宋" w:eastAsia="仿宋"/>
          <w:color w:val="000000" w:themeColor="text1"/>
          <w:sz w:val="32"/>
          <w:szCs w:val="32"/>
          <w:lang w:val="en-US" w:eastAsia="zh-CN"/>
          <w14:textFill>
            <w14:solidFill>
              <w14:schemeClr w14:val="tx1"/>
            </w14:solidFill>
          </w14:textFill>
        </w:rPr>
        <w:t>项目投入增加。</w:t>
      </w: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drawing>
          <wp:anchor distT="0" distB="0" distL="114300" distR="114300" simplePos="0" relativeHeight="251662336" behindDoc="0" locked="0" layoutInCell="1" allowOverlap="1">
            <wp:simplePos x="0" y="0"/>
            <wp:positionH relativeFrom="column">
              <wp:posOffset>410845</wp:posOffset>
            </wp:positionH>
            <wp:positionV relativeFrom="paragraph">
              <wp:posOffset>-3513455</wp:posOffset>
            </wp:positionV>
            <wp:extent cx="5080000" cy="3810000"/>
            <wp:effectExtent l="4445" t="4445" r="8255" b="8255"/>
            <wp:wrapSquare wrapText="bothSides"/>
            <wp:docPr id="7" name="图表 7" descr="7b0a202020202263686172745265734964223a2022343136373636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1280" w:firstLineChars="400"/>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w:t>
      </w: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pStyle w:val="16"/>
        <w:numPr>
          <w:ilvl w:val="0"/>
          <w:numId w:val="1"/>
        </w:numPr>
        <w:spacing w:line="600" w:lineRule="exact"/>
        <w:ind w:firstLineChars="0"/>
        <w:outlineLvl w:val="1"/>
        <w:rPr>
          <w:rStyle w:val="15"/>
          <w:rFonts w:ascii="黑体" w:hAnsi="黑体" w:eastAsia="黑体"/>
          <w:b w:val="0"/>
        </w:rPr>
      </w:pPr>
      <w:bookmarkStart w:id="39" w:name="_Toc15396604"/>
      <w:bookmarkStart w:id="40" w:name="_Toc21630"/>
      <w:bookmarkStart w:id="41" w:name="_Toc15377206"/>
      <w:r>
        <w:rPr>
          <w:rFonts w:hint="eastAsia" w:ascii="黑体" w:hAnsi="黑体" w:eastAsia="黑体"/>
          <w:color w:val="000000"/>
          <w:sz w:val="32"/>
          <w:szCs w:val="32"/>
        </w:rPr>
        <w:t>收</w:t>
      </w:r>
      <w:r>
        <w:rPr>
          <w:rStyle w:val="15"/>
          <w:rFonts w:hint="eastAsia" w:ascii="黑体" w:hAnsi="黑体" w:eastAsia="黑体"/>
          <w:b w:val="0"/>
        </w:rPr>
        <w:t>入决算情况说明</w:t>
      </w:r>
      <w:bookmarkEnd w:id="39"/>
      <w:bookmarkEnd w:id="40"/>
      <w:bookmarkEnd w:id="41"/>
    </w:p>
    <w:p>
      <w:pPr>
        <w:spacing w:line="600" w:lineRule="exact"/>
        <w:ind w:firstLine="640" w:firstLineChars="200"/>
        <w:outlineLvl w:val="9"/>
        <w:rPr>
          <w:rFonts w:hint="eastAsia" w:ascii="仿宋" w:hAnsi="仿宋" w:eastAsia="仿宋"/>
          <w:color w:val="000000"/>
          <w:sz w:val="32"/>
          <w:szCs w:val="32"/>
          <w:lang w:eastAsia="zh-CN"/>
        </w:rPr>
      </w:pPr>
      <w:bookmarkStart w:id="42" w:name="_Toc7239"/>
      <w:r>
        <w:rPr>
          <w:rFonts w:ascii="仿宋" w:hAnsi="仿宋" w:eastAsia="仿宋"/>
          <w:color w:val="000000"/>
          <w:sz w:val="32"/>
          <w:szCs w:val="32"/>
        </w:rPr>
        <w:t>2020</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945.4</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940.84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99.52</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政府性基金</w:t>
      </w:r>
      <w:r>
        <w:rPr>
          <w:rFonts w:hint="eastAsia" w:ascii="仿宋" w:hAnsi="仿宋" w:eastAsia="仿宋"/>
          <w:color w:val="000000"/>
          <w:sz w:val="32"/>
          <w:szCs w:val="32"/>
        </w:rPr>
        <w:t>预算财政拨款</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0.32</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1.56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0.16</w:t>
      </w:r>
      <w:r>
        <w:rPr>
          <w:rFonts w:ascii="仿宋" w:hAnsi="仿宋" w:eastAsia="仿宋"/>
          <w:color w:val="000000"/>
          <w:sz w:val="32"/>
          <w:szCs w:val="32"/>
        </w:rPr>
        <w:t>%</w:t>
      </w:r>
      <w:r>
        <w:rPr>
          <w:rFonts w:hint="eastAsia" w:ascii="仿宋" w:hAnsi="仿宋" w:eastAsia="仿宋"/>
          <w:color w:val="000000"/>
          <w:sz w:val="32"/>
          <w:szCs w:val="32"/>
        </w:rPr>
        <w:t>。</w:t>
      </w:r>
      <w:bookmarkEnd w:id="42"/>
    </w:p>
    <w:p>
      <w:pPr>
        <w:tabs>
          <w:tab w:val="left" w:pos="2797"/>
        </w:tabs>
        <w:spacing w:line="600" w:lineRule="exact"/>
        <w:outlineLvl w:val="9"/>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anchor distT="0" distB="0" distL="114300" distR="114300" simplePos="0" relativeHeight="251660288" behindDoc="0" locked="0" layoutInCell="1" allowOverlap="1">
            <wp:simplePos x="0" y="0"/>
            <wp:positionH relativeFrom="column">
              <wp:posOffset>-43815</wp:posOffset>
            </wp:positionH>
            <wp:positionV relativeFrom="paragraph">
              <wp:posOffset>251460</wp:posOffset>
            </wp:positionV>
            <wp:extent cx="5080000" cy="2992755"/>
            <wp:effectExtent l="4445" t="4445" r="8255" b="1270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1280" w:firstLineChars="400"/>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w:t>
      </w:r>
    </w:p>
    <w:p>
      <w:pPr>
        <w:spacing w:line="600" w:lineRule="exact"/>
        <w:ind w:firstLine="640" w:firstLineChars="200"/>
        <w:rPr>
          <w:rFonts w:ascii="仿宋_GB2312" w:eastAsia="仿宋_GB2312"/>
          <w:color w:val="FF0000"/>
          <w:sz w:val="32"/>
          <w:szCs w:val="32"/>
        </w:rPr>
      </w:pPr>
    </w:p>
    <w:p>
      <w:pPr>
        <w:pStyle w:val="16"/>
        <w:numPr>
          <w:ilvl w:val="0"/>
          <w:numId w:val="1"/>
        </w:numPr>
        <w:spacing w:line="600" w:lineRule="exact"/>
        <w:ind w:firstLineChars="0"/>
        <w:outlineLvl w:val="1"/>
        <w:rPr>
          <w:rStyle w:val="15"/>
          <w:rFonts w:ascii="黑体" w:hAnsi="黑体" w:eastAsia="黑体"/>
          <w:b w:val="0"/>
        </w:rPr>
      </w:pPr>
      <w:bookmarkStart w:id="43" w:name="_Toc15317"/>
      <w:bookmarkStart w:id="44" w:name="_Toc15396605"/>
      <w:bookmarkStart w:id="45" w:name="_Toc15377207"/>
      <w:r>
        <w:rPr>
          <w:rFonts w:hint="eastAsia" w:ascii="黑体" w:hAnsi="黑体" w:eastAsia="黑体"/>
          <w:color w:val="000000"/>
          <w:sz w:val="32"/>
          <w:szCs w:val="32"/>
        </w:rPr>
        <w:t>支</w:t>
      </w:r>
      <w:r>
        <w:rPr>
          <w:rStyle w:val="15"/>
          <w:rFonts w:hint="eastAsia" w:ascii="黑体" w:hAnsi="黑体" w:eastAsia="黑体"/>
          <w:b w:val="0"/>
        </w:rPr>
        <w:t>出决算情况说明</w:t>
      </w:r>
      <w:bookmarkEnd w:id="43"/>
      <w:bookmarkEnd w:id="44"/>
      <w:bookmarkEnd w:id="45"/>
    </w:p>
    <w:p>
      <w:pPr>
        <w:spacing w:line="600" w:lineRule="exact"/>
        <w:ind w:firstLine="640" w:firstLineChars="200"/>
        <w:outlineLvl w:val="9"/>
        <w:rPr>
          <w:rFonts w:hint="eastAsia" w:ascii="仿宋" w:hAnsi="仿宋" w:eastAsia="仿宋"/>
          <w:color w:val="000000"/>
          <w:sz w:val="32"/>
          <w:szCs w:val="32"/>
          <w:lang w:eastAsia="zh-CN"/>
        </w:rPr>
      </w:pPr>
      <w:bookmarkStart w:id="46" w:name="_Toc29496"/>
      <w:r>
        <w:rPr>
          <w:rFonts w:ascii="仿宋" w:hAnsi="仿宋" w:eastAsia="仿宋"/>
          <w:color w:val="000000"/>
          <w:sz w:val="32"/>
          <w:szCs w:val="32"/>
        </w:rPr>
        <w:t>2020</w:t>
      </w:r>
      <w:r>
        <w:rPr>
          <w:rFonts w:hint="eastAsia" w:ascii="仿宋" w:hAnsi="仿宋" w:eastAsia="仿宋"/>
          <w:color w:val="000000"/>
          <w:sz w:val="32"/>
          <w:szCs w:val="32"/>
        </w:rPr>
        <w:t>年本年支出合计</w:t>
      </w:r>
      <w:r>
        <w:rPr>
          <w:rFonts w:hint="eastAsia" w:ascii="仿宋" w:hAnsi="仿宋" w:eastAsia="仿宋"/>
          <w:color w:val="000000"/>
          <w:sz w:val="32"/>
          <w:szCs w:val="32"/>
          <w:lang w:eastAsia="zh-CN"/>
        </w:rPr>
        <w:t>945.4</w:t>
      </w:r>
      <w:r>
        <w:rPr>
          <w:rFonts w:hint="eastAsia" w:ascii="仿宋" w:hAnsi="仿宋" w:eastAsia="仿宋"/>
          <w:color w:val="000000"/>
          <w:sz w:val="32"/>
          <w:szCs w:val="32"/>
        </w:rPr>
        <w:t>万元，其中：基本支出</w:t>
      </w:r>
      <w:r>
        <w:rPr>
          <w:rFonts w:hint="eastAsia" w:ascii="仿宋" w:hAnsi="仿宋" w:eastAsia="仿宋"/>
          <w:color w:val="000000"/>
          <w:sz w:val="32"/>
          <w:szCs w:val="32"/>
          <w:lang w:eastAsia="zh-CN"/>
        </w:rPr>
        <w:t>859.0</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90.86</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eastAsia="zh-CN"/>
        </w:rPr>
        <w:t>86.3</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9.14</w:t>
      </w:r>
      <w:r>
        <w:rPr>
          <w:rFonts w:ascii="仿宋" w:hAnsi="仿宋" w:eastAsia="仿宋"/>
          <w:color w:val="000000"/>
          <w:sz w:val="32"/>
          <w:szCs w:val="32"/>
        </w:rPr>
        <w:t>%</w:t>
      </w:r>
      <w:r>
        <w:rPr>
          <w:rFonts w:hint="eastAsia" w:ascii="仿宋" w:hAnsi="仿宋" w:eastAsia="仿宋"/>
          <w:color w:val="000000"/>
          <w:sz w:val="32"/>
          <w:szCs w:val="32"/>
          <w:lang w:eastAsia="zh-CN"/>
        </w:rPr>
        <w:t>。</w:t>
      </w:r>
      <w:bookmarkEnd w:id="46"/>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r>
        <w:rPr>
          <w:rFonts w:hint="eastAsia" w:ascii="仿宋" w:hAnsi="仿宋" w:eastAsia="仿宋"/>
          <w:color w:val="000000"/>
          <w:sz w:val="32"/>
          <w:szCs w:val="32"/>
          <w:shd w:val="pct10" w:color="auto" w:fill="FFFFFF"/>
          <w:lang w:eastAsia="zh-CN"/>
        </w:rPr>
        <w:drawing>
          <wp:anchor distT="0" distB="0" distL="114300" distR="114300" simplePos="0" relativeHeight="251661312" behindDoc="0" locked="0" layoutInCell="1" allowOverlap="1">
            <wp:simplePos x="0" y="0"/>
            <wp:positionH relativeFrom="column">
              <wp:posOffset>410845</wp:posOffset>
            </wp:positionH>
            <wp:positionV relativeFrom="paragraph">
              <wp:posOffset>49530</wp:posOffset>
            </wp:positionV>
            <wp:extent cx="4524375" cy="3676015"/>
            <wp:effectExtent l="4445" t="4445" r="5080" b="1524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hint="eastAsia" w:ascii="仿宋" w:hAnsi="仿宋" w:eastAsia="仿宋"/>
          <w:color w:val="000000"/>
          <w:sz w:val="32"/>
          <w:szCs w:val="32"/>
          <w:shd w:val="pct10" w:color="auto" w:fill="FFFFFF"/>
          <w:lang w:eastAsia="zh-CN"/>
        </w:rPr>
      </w:pPr>
    </w:p>
    <w:p>
      <w:pPr>
        <w:spacing w:line="600" w:lineRule="exact"/>
        <w:ind w:firstLine="1280" w:firstLineChars="400"/>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w:t>
      </w:r>
    </w:p>
    <w:p>
      <w:pPr>
        <w:spacing w:line="600" w:lineRule="exact"/>
        <w:ind w:firstLine="1280" w:firstLineChars="400"/>
        <w:rPr>
          <w:rFonts w:hint="eastAsia" w:ascii="仿宋" w:hAnsi="仿宋" w:eastAsia="仿宋"/>
          <w:color w:val="000000"/>
          <w:sz w:val="32"/>
          <w:szCs w:val="32"/>
        </w:rPr>
      </w:pPr>
    </w:p>
    <w:p>
      <w:pPr>
        <w:spacing w:line="600" w:lineRule="exact"/>
        <w:ind w:firstLine="640" w:firstLineChars="200"/>
        <w:outlineLvl w:val="1"/>
        <w:rPr>
          <w:rStyle w:val="15"/>
          <w:rFonts w:ascii="黑体" w:hAnsi="黑体" w:eastAsia="黑体"/>
          <w:b w:val="0"/>
        </w:rPr>
      </w:pPr>
      <w:bookmarkStart w:id="47" w:name="_Toc7830"/>
      <w:bookmarkStart w:id="48" w:name="_Toc15377208"/>
      <w:bookmarkStart w:id="49" w:name="_Toc15396606"/>
      <w:r>
        <w:rPr>
          <w:rFonts w:hint="eastAsia" w:ascii="黑体" w:hAnsi="黑体" w:eastAsia="黑体"/>
          <w:color w:val="000000"/>
          <w:sz w:val="32"/>
          <w:szCs w:val="32"/>
        </w:rPr>
        <w:t>四、财</w:t>
      </w:r>
      <w:r>
        <w:rPr>
          <w:rStyle w:val="15"/>
          <w:rFonts w:hint="eastAsia" w:ascii="黑体" w:hAnsi="黑体" w:eastAsia="黑体"/>
          <w:b w:val="0"/>
        </w:rPr>
        <w:t>政拨款收入支出决算总体情况说明</w:t>
      </w:r>
      <w:bookmarkEnd w:id="47"/>
      <w:bookmarkEnd w:id="48"/>
      <w:bookmarkEnd w:id="49"/>
    </w:p>
    <w:p>
      <w:pPr>
        <w:spacing w:line="600" w:lineRule="exact"/>
        <w:ind w:firstLine="640"/>
        <w:rPr>
          <w:rFonts w:hint="eastAsia" w:ascii="仿宋" w:hAnsi="仿宋" w:eastAsia="仿宋"/>
          <w:color w:val="000000" w:themeColor="text1"/>
          <w:sz w:val="32"/>
          <w:szCs w:val="32"/>
          <w:lang w:val="en-US" w:eastAsia="zh-CN"/>
          <w14:textFill>
            <w14:solidFill>
              <w14:schemeClr w14:val="tx1"/>
            </w14:solidFill>
          </w14:textFill>
        </w:rPr>
      </w:pPr>
      <w:r>
        <w:rPr>
          <w:rFonts w:ascii="仿宋" w:hAnsi="仿宋" w:eastAsia="仿宋"/>
          <w:color w:val="000000"/>
          <w:sz w:val="32"/>
          <w:szCs w:val="32"/>
        </w:rPr>
        <w:t>2020</w:t>
      </w:r>
      <w:r>
        <w:rPr>
          <w:rFonts w:hint="eastAsia" w:ascii="仿宋" w:hAnsi="仿宋" w:eastAsia="仿宋"/>
          <w:color w:val="000000"/>
          <w:sz w:val="32"/>
          <w:szCs w:val="32"/>
        </w:rPr>
        <w:t>年财政拨款收</w:t>
      </w:r>
      <w:r>
        <w:rPr>
          <w:rFonts w:hint="eastAsia" w:ascii="仿宋" w:hAnsi="仿宋" w:eastAsia="仿宋"/>
          <w:color w:val="000000"/>
          <w:sz w:val="32"/>
          <w:szCs w:val="32"/>
          <w:lang w:val="en-US" w:eastAsia="zh-CN"/>
        </w:rPr>
        <w:t>入</w:t>
      </w:r>
      <w:r>
        <w:rPr>
          <w:rFonts w:hint="eastAsia" w:ascii="仿宋" w:hAnsi="仿宋" w:eastAsia="仿宋"/>
          <w:color w:val="000000"/>
          <w:sz w:val="32"/>
          <w:szCs w:val="32"/>
        </w:rPr>
        <w:t>、支</w:t>
      </w:r>
      <w:r>
        <w:rPr>
          <w:rFonts w:hint="eastAsia" w:ascii="仿宋" w:hAnsi="仿宋" w:eastAsia="仿宋"/>
          <w:color w:val="000000"/>
          <w:sz w:val="32"/>
          <w:szCs w:val="32"/>
          <w:lang w:val="en-US" w:eastAsia="zh-CN"/>
        </w:rPr>
        <w:t>出总计943.84</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年相比，财政拨款收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出总计</w:t>
      </w:r>
      <w:r>
        <w:rPr>
          <w:rFonts w:hint="eastAsia" w:ascii="仿宋" w:hAnsi="仿宋" w:eastAsia="仿宋"/>
          <w:color w:val="000000"/>
          <w:sz w:val="32"/>
          <w:szCs w:val="32"/>
          <w:lang w:val="en-US" w:eastAsia="zh-CN"/>
        </w:rPr>
        <w:t>902.67万元，各</w:t>
      </w:r>
      <w:r>
        <w:rPr>
          <w:rFonts w:hint="eastAsia" w:ascii="仿宋" w:hAnsi="仿宋" w:eastAsia="仿宋"/>
          <w:color w:val="000000"/>
          <w:sz w:val="32"/>
          <w:szCs w:val="32"/>
        </w:rPr>
        <w:t>增加</w:t>
      </w:r>
      <w:r>
        <w:rPr>
          <w:rFonts w:hint="eastAsia" w:ascii="仿宋" w:hAnsi="仿宋" w:eastAsia="仿宋"/>
          <w:color w:val="000000"/>
          <w:sz w:val="32"/>
          <w:szCs w:val="32"/>
          <w:lang w:val="en-US" w:eastAsia="zh-CN"/>
        </w:rPr>
        <w:t>41.17万元，</w:t>
      </w:r>
      <w:r>
        <w:rPr>
          <w:rFonts w:hint="eastAsia" w:ascii="仿宋" w:hAnsi="仿宋" w:eastAsia="仿宋"/>
          <w:color w:val="000000"/>
          <w:sz w:val="32"/>
          <w:szCs w:val="32"/>
        </w:rPr>
        <w:t>增长</w:t>
      </w:r>
      <w:r>
        <w:rPr>
          <w:rFonts w:hint="eastAsia" w:ascii="仿宋" w:hAnsi="仿宋" w:eastAsia="仿宋"/>
          <w:color w:val="000000"/>
          <w:sz w:val="32"/>
          <w:szCs w:val="32"/>
          <w:lang w:val="en-US" w:eastAsia="zh-CN"/>
        </w:rPr>
        <w:t>4.56</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主要变动原因是</w:t>
      </w:r>
      <w:r>
        <w:rPr>
          <w:rFonts w:hint="eastAsia" w:ascii="仿宋" w:hAnsi="仿宋" w:eastAsia="仿宋"/>
          <w:color w:val="000000" w:themeColor="text1"/>
          <w:sz w:val="32"/>
          <w:szCs w:val="32"/>
          <w:lang w:val="en-US" w:eastAsia="zh-CN"/>
          <w14:textFill>
            <w14:solidFill>
              <w14:schemeClr w14:val="tx1"/>
            </w14:solidFill>
          </w14:textFill>
        </w:rPr>
        <w:t>人员经费和项目投入增加。</w:t>
      </w: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4384" behindDoc="0" locked="0" layoutInCell="1" allowOverlap="1">
            <wp:simplePos x="0" y="0"/>
            <wp:positionH relativeFrom="column">
              <wp:posOffset>137160</wp:posOffset>
            </wp:positionH>
            <wp:positionV relativeFrom="paragraph">
              <wp:posOffset>14605</wp:posOffset>
            </wp:positionV>
            <wp:extent cx="5078095" cy="2839085"/>
            <wp:effectExtent l="5080" t="4445" r="22225" b="1397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w:t>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15"/>
          <w:rFonts w:ascii="黑体" w:hAnsi="黑体" w:eastAsia="黑体"/>
          <w:b w:val="0"/>
        </w:rPr>
      </w:pPr>
      <w:bookmarkStart w:id="50" w:name="_Toc15396607"/>
      <w:bookmarkStart w:id="51" w:name="_Toc15377209"/>
      <w:bookmarkStart w:id="52" w:name="_Toc6706"/>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5"/>
          <w:rFonts w:hint="eastAsia" w:ascii="黑体" w:hAnsi="黑体" w:eastAsia="黑体"/>
          <w:b w:val="0"/>
        </w:rPr>
        <w:t>般公共预算财政拨款支出决算情况说明</w:t>
      </w:r>
      <w:bookmarkEnd w:id="50"/>
      <w:bookmarkEnd w:id="51"/>
      <w:bookmarkEnd w:id="52"/>
    </w:p>
    <w:p>
      <w:pPr>
        <w:spacing w:line="600" w:lineRule="exact"/>
        <w:ind w:firstLine="643" w:firstLineChars="200"/>
        <w:outlineLvl w:val="9"/>
        <w:rPr>
          <w:rFonts w:ascii="仿宋" w:hAnsi="仿宋" w:eastAsia="仿宋"/>
          <w:b/>
          <w:color w:val="000000"/>
          <w:sz w:val="32"/>
          <w:szCs w:val="32"/>
        </w:rPr>
      </w:pPr>
      <w:bookmarkStart w:id="53" w:name="_Toc15377210"/>
      <w:bookmarkStart w:id="54" w:name="_Toc20289"/>
      <w:r>
        <w:rPr>
          <w:rFonts w:hint="eastAsia" w:ascii="仿宋" w:hAnsi="仿宋" w:eastAsia="仿宋"/>
          <w:b/>
          <w:color w:val="000000"/>
          <w:sz w:val="32"/>
          <w:szCs w:val="32"/>
        </w:rPr>
        <w:t>（一）一般公共预算财政拨款支出决算总体情况</w:t>
      </w:r>
      <w:bookmarkEnd w:id="53"/>
      <w:bookmarkEnd w:id="54"/>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drawing>
          <wp:anchor distT="0" distB="0" distL="114300" distR="114300" simplePos="0" relativeHeight="251663360" behindDoc="0" locked="0" layoutInCell="1" allowOverlap="1">
            <wp:simplePos x="0" y="0"/>
            <wp:positionH relativeFrom="column">
              <wp:posOffset>585470</wp:posOffset>
            </wp:positionH>
            <wp:positionV relativeFrom="paragraph">
              <wp:posOffset>1734820</wp:posOffset>
            </wp:positionV>
            <wp:extent cx="4365625" cy="2668270"/>
            <wp:effectExtent l="4445" t="4445" r="11430" b="1333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eastAsia="zh-CN"/>
        </w:rPr>
        <w:t>940.84</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99.52</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年相比，一般公共预算财政拨款增加</w:t>
      </w:r>
      <w:r>
        <w:rPr>
          <w:rFonts w:hint="eastAsia" w:ascii="仿宋" w:hAnsi="仿宋" w:eastAsia="仿宋"/>
          <w:color w:val="000000"/>
          <w:sz w:val="32"/>
          <w:szCs w:val="32"/>
          <w:lang w:val="en-US" w:eastAsia="zh-CN"/>
        </w:rPr>
        <w:t>41.17</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4.58</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主要变动原因是</w:t>
      </w:r>
      <w:r>
        <w:rPr>
          <w:rFonts w:hint="eastAsia" w:ascii="仿宋" w:hAnsi="仿宋" w:eastAsia="仿宋"/>
          <w:color w:val="000000" w:themeColor="text1"/>
          <w:sz w:val="32"/>
          <w:szCs w:val="32"/>
          <w:lang w:val="en-US" w:eastAsia="zh-CN"/>
          <w14:textFill>
            <w14:solidFill>
              <w14:schemeClr w14:val="tx1"/>
            </w14:solidFill>
          </w14:textFill>
        </w:rPr>
        <w:t>人员经费和项目投入增加。</w:t>
      </w: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ind w:firstLine="320" w:firstLineChars="100"/>
        <w:rPr>
          <w:rFonts w:ascii="仿宋" w:hAnsi="仿宋" w:eastAsia="仿宋"/>
          <w:color w:val="000000"/>
          <w:sz w:val="32"/>
          <w:szCs w:val="32"/>
        </w:rPr>
      </w:pPr>
      <w:r>
        <w:rPr>
          <w:rFonts w:hint="eastAsia" w:ascii="仿宋" w:hAnsi="仿宋" w:eastAsia="仿宋"/>
          <w:color w:val="000000"/>
          <w:sz w:val="32"/>
          <w:szCs w:val="32"/>
          <w:lang w:val="en-US" w:eastAsia="zh-CN"/>
        </w:rPr>
        <w:t>(</w:t>
      </w: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w:t>
      </w:r>
    </w:p>
    <w:p>
      <w:pPr>
        <w:spacing w:line="600" w:lineRule="exact"/>
        <w:ind w:firstLine="643" w:firstLineChars="200"/>
        <w:outlineLvl w:val="9"/>
        <w:rPr>
          <w:rFonts w:ascii="仿宋" w:hAnsi="仿宋" w:eastAsia="仿宋"/>
          <w:b/>
          <w:color w:val="000000"/>
          <w:sz w:val="32"/>
          <w:szCs w:val="32"/>
        </w:rPr>
      </w:pPr>
      <w:bookmarkStart w:id="55" w:name="_Toc15377211"/>
      <w:bookmarkStart w:id="56" w:name="_Toc13117"/>
      <w:r>
        <w:rPr>
          <w:rFonts w:hint="eastAsia" w:ascii="仿宋" w:hAnsi="仿宋" w:eastAsia="仿宋"/>
          <w:b/>
          <w:color w:val="000000"/>
          <w:sz w:val="32"/>
          <w:szCs w:val="32"/>
        </w:rPr>
        <w:t>（二）一般公共预算财政拨款支出决算结构情况</w:t>
      </w:r>
      <w:bookmarkEnd w:id="55"/>
      <w:bookmarkEnd w:id="56"/>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eastAsia="zh-CN"/>
        </w:rPr>
        <w:t>940.84</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
          <w:color w:val="000000"/>
          <w:sz w:val="32"/>
          <w:szCs w:val="32"/>
        </w:rPr>
        <w:t>教育支出（类）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675.32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71.78</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社会保障和就业支出（类）</w:t>
      </w:r>
      <w:r>
        <w:rPr>
          <w:rFonts w:hint="eastAsia" w:ascii="仿宋" w:hAnsi="仿宋" w:eastAsia="仿宋"/>
          <w:color w:val="000000"/>
          <w:sz w:val="32"/>
          <w:szCs w:val="32"/>
          <w:lang w:val="en-US" w:eastAsia="zh-CN"/>
        </w:rPr>
        <w:t>175.7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18.67</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卫生健康支出</w:t>
      </w:r>
      <w:r>
        <w:rPr>
          <w:rFonts w:hint="eastAsia" w:ascii="仿宋" w:hAnsi="仿宋" w:eastAsia="仿宋"/>
          <w:color w:val="000000"/>
          <w:sz w:val="32"/>
          <w:szCs w:val="32"/>
          <w:lang w:val="en-US" w:eastAsia="zh-CN"/>
        </w:rPr>
        <w:t>27.28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2.9</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auto"/>
          <w:sz w:val="32"/>
          <w:szCs w:val="32"/>
        </w:rPr>
        <w:t>住房保障</w:t>
      </w:r>
      <w:r>
        <w:rPr>
          <w:rFonts w:hint="eastAsia" w:ascii="仿宋" w:hAnsi="仿宋" w:eastAsia="仿宋"/>
          <w:b/>
          <w:bCs/>
          <w:color w:val="000000"/>
          <w:sz w:val="32"/>
          <w:szCs w:val="32"/>
        </w:rPr>
        <w:t>支出</w:t>
      </w:r>
      <w:r>
        <w:rPr>
          <w:rFonts w:hint="eastAsia" w:ascii="仿宋" w:hAnsi="仿宋" w:eastAsia="仿宋"/>
          <w:color w:val="000000"/>
          <w:sz w:val="32"/>
          <w:szCs w:val="32"/>
          <w:lang w:val="en-US" w:eastAsia="zh-CN"/>
        </w:rPr>
        <w:t>62.54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6.65</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anchor distT="0" distB="0" distL="114300" distR="114300" simplePos="0" relativeHeight="251665408" behindDoc="0" locked="0" layoutInCell="1" allowOverlap="1">
            <wp:simplePos x="0" y="0"/>
            <wp:positionH relativeFrom="column">
              <wp:posOffset>419100</wp:posOffset>
            </wp:positionH>
            <wp:positionV relativeFrom="paragraph">
              <wp:posOffset>-275590</wp:posOffset>
            </wp:positionV>
            <wp:extent cx="3921125" cy="2747010"/>
            <wp:effectExtent l="4445" t="4445" r="11430" b="1714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w:t>
      </w:r>
    </w:p>
    <w:p>
      <w:pPr>
        <w:spacing w:line="600" w:lineRule="exact"/>
        <w:ind w:firstLine="643" w:firstLineChars="200"/>
        <w:outlineLvl w:val="9"/>
        <w:rPr>
          <w:rFonts w:ascii="仿宋" w:hAnsi="仿宋" w:eastAsia="仿宋"/>
          <w:b/>
          <w:color w:val="000000"/>
          <w:sz w:val="32"/>
          <w:szCs w:val="32"/>
        </w:rPr>
      </w:pPr>
      <w:bookmarkStart w:id="57" w:name="_Toc16048"/>
      <w:bookmarkStart w:id="58" w:name="_Toc15377212"/>
      <w:r>
        <w:rPr>
          <w:rFonts w:hint="eastAsia" w:ascii="仿宋" w:hAnsi="仿宋" w:eastAsia="仿宋"/>
          <w:b/>
          <w:color w:val="000000"/>
          <w:sz w:val="32"/>
          <w:szCs w:val="32"/>
        </w:rPr>
        <w:t>（三）一般公共预算财政拨款支出决算具体情况</w:t>
      </w:r>
      <w:bookmarkEnd w:id="57"/>
      <w:bookmarkEnd w:id="58"/>
    </w:p>
    <w:p>
      <w:pPr>
        <w:spacing w:line="600" w:lineRule="exact"/>
        <w:ind w:firstLine="643" w:firstLineChars="200"/>
        <w:outlineLvl w:val="9"/>
        <w:rPr>
          <w:rFonts w:ascii="仿宋" w:hAnsi="仿宋" w:eastAsia="仿宋"/>
          <w:color w:val="FF0000"/>
          <w:sz w:val="32"/>
          <w:szCs w:val="32"/>
        </w:rPr>
      </w:pPr>
      <w:bookmarkStart w:id="59" w:name="_Toc15377444"/>
      <w:bookmarkStart w:id="60" w:name="_Toc28372"/>
      <w:bookmarkStart w:id="61" w:name="_Toc15378460"/>
      <w:bookmarkStart w:id="62" w:name="_Toc15377213"/>
      <w:r>
        <w:rPr>
          <w:rFonts w:ascii="仿宋" w:hAnsi="仿宋" w:eastAsia="仿宋"/>
          <w:b/>
          <w:color w:val="000000"/>
          <w:sz w:val="32"/>
          <w:szCs w:val="32"/>
        </w:rPr>
        <w:t>2020</w:t>
      </w:r>
      <w:r>
        <w:rPr>
          <w:rFonts w:hint="eastAsia" w:ascii="仿宋" w:hAnsi="仿宋" w:eastAsia="仿宋"/>
          <w:b/>
          <w:color w:val="000000"/>
          <w:sz w:val="32"/>
          <w:szCs w:val="32"/>
        </w:rPr>
        <w:t>年一般公共预算支出决算数为</w:t>
      </w:r>
      <w:r>
        <w:rPr>
          <w:rFonts w:hint="eastAsia" w:ascii="仿宋" w:hAnsi="仿宋" w:eastAsia="仿宋"/>
          <w:color w:val="000000"/>
          <w:sz w:val="32"/>
          <w:szCs w:val="32"/>
          <w:lang w:eastAsia="zh-CN"/>
        </w:rPr>
        <w:t>940.84</w:t>
      </w:r>
      <w:r>
        <w:rPr>
          <w:rFonts w:hint="eastAsia" w:ascii="仿宋" w:hAnsi="仿宋" w:eastAsia="仿宋"/>
          <w:color w:val="000000"/>
          <w:sz w:val="32"/>
          <w:szCs w:val="32"/>
        </w:rPr>
        <w:t>，</w:t>
      </w:r>
      <w:r>
        <w:rPr>
          <w:rStyle w:val="12"/>
          <w:rFonts w:hint="eastAsia" w:ascii="仿宋" w:hAnsi="仿宋" w:eastAsia="仿宋"/>
          <w:bCs/>
          <w:color w:val="000000"/>
          <w:sz w:val="32"/>
          <w:szCs w:val="32"/>
        </w:rPr>
        <w:t>完成预算</w:t>
      </w:r>
      <w:r>
        <w:rPr>
          <w:rStyle w:val="12"/>
          <w:rFonts w:hint="eastAsia" w:ascii="仿宋" w:hAnsi="仿宋" w:eastAsia="仿宋"/>
          <w:bCs/>
          <w:color w:val="000000"/>
          <w:sz w:val="32"/>
          <w:szCs w:val="32"/>
          <w:lang w:val="en-US" w:eastAsia="zh-CN"/>
        </w:rPr>
        <w:t>100</w:t>
      </w:r>
      <w:r>
        <w:rPr>
          <w:rStyle w:val="12"/>
          <w:rFonts w:ascii="仿宋" w:hAnsi="仿宋" w:eastAsia="仿宋"/>
          <w:bCs/>
          <w:color w:val="000000"/>
          <w:sz w:val="32"/>
          <w:szCs w:val="32"/>
        </w:rPr>
        <w:t>%</w:t>
      </w:r>
      <w:r>
        <w:rPr>
          <w:rStyle w:val="12"/>
          <w:rFonts w:hint="eastAsia" w:ascii="仿宋" w:hAnsi="仿宋" w:eastAsia="仿宋"/>
          <w:bCs/>
          <w:color w:val="000000"/>
          <w:sz w:val="32"/>
          <w:szCs w:val="32"/>
        </w:rPr>
        <w:t>。其中：</w:t>
      </w:r>
      <w:bookmarkEnd w:id="59"/>
      <w:bookmarkEnd w:id="60"/>
      <w:bookmarkEnd w:id="61"/>
      <w:bookmarkEnd w:id="62"/>
    </w:p>
    <w:p>
      <w:pPr>
        <w:spacing w:line="600" w:lineRule="exact"/>
        <w:ind w:firstLine="643" w:firstLineChars="200"/>
        <w:rPr>
          <w:rFonts w:ascii="仿宋" w:hAnsi="仿宋" w:eastAsia="仿宋"/>
          <w:b/>
          <w:color w:val="000000"/>
          <w:sz w:val="32"/>
          <w:szCs w:val="32"/>
        </w:rPr>
      </w:pPr>
      <w:r>
        <w:rPr>
          <w:rStyle w:val="12"/>
          <w:rFonts w:ascii="仿宋" w:hAnsi="仿宋" w:eastAsia="仿宋"/>
          <w:bCs/>
          <w:color w:val="000000"/>
          <w:sz w:val="32"/>
          <w:szCs w:val="32"/>
        </w:rPr>
        <w:t>1.</w:t>
      </w:r>
      <w:r>
        <w:rPr>
          <w:rStyle w:val="12"/>
          <w:rFonts w:hint="eastAsia" w:ascii="仿宋" w:hAnsi="仿宋" w:eastAsia="仿宋"/>
          <w:bCs/>
          <w:color w:val="000000"/>
          <w:sz w:val="32"/>
          <w:szCs w:val="32"/>
        </w:rPr>
        <w:t>教育支出（类）普通教育（款）小学教育（项）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支出决算为654.44万元，完成预算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2"/>
          <w:rFonts w:hint="eastAsia" w:ascii="仿宋" w:hAnsi="仿宋" w:eastAsia="仿宋"/>
          <w:bCs/>
          <w:color w:val="000000"/>
          <w:sz w:val="32"/>
          <w:szCs w:val="32"/>
          <w:lang w:val="en-US" w:eastAsia="zh-CN"/>
        </w:rPr>
        <w:t>2</w:t>
      </w:r>
      <w:r>
        <w:rPr>
          <w:rStyle w:val="12"/>
          <w:rFonts w:ascii="仿宋" w:hAnsi="仿宋" w:eastAsia="仿宋"/>
          <w:bCs/>
          <w:color w:val="000000"/>
          <w:sz w:val="32"/>
          <w:szCs w:val="32"/>
        </w:rPr>
        <w:t>.</w:t>
      </w:r>
      <w:r>
        <w:rPr>
          <w:rStyle w:val="12"/>
          <w:rFonts w:hint="eastAsia" w:ascii="仿宋" w:hAnsi="仿宋" w:eastAsia="仿宋"/>
          <w:bCs/>
          <w:color w:val="000000"/>
          <w:sz w:val="32"/>
          <w:szCs w:val="32"/>
        </w:rPr>
        <w:t>教育支出（类）普通教育（款）学</w:t>
      </w:r>
      <w:r>
        <w:rPr>
          <w:rStyle w:val="12"/>
          <w:rFonts w:hint="eastAsia" w:ascii="仿宋" w:hAnsi="仿宋" w:eastAsia="仿宋"/>
          <w:bCs/>
          <w:color w:val="000000"/>
          <w:sz w:val="32"/>
          <w:szCs w:val="32"/>
          <w:lang w:val="en-US" w:eastAsia="zh-CN"/>
        </w:rPr>
        <w:t>前</w:t>
      </w:r>
      <w:r>
        <w:rPr>
          <w:rStyle w:val="12"/>
          <w:rFonts w:hint="eastAsia" w:ascii="仿宋" w:hAnsi="仿宋" w:eastAsia="仿宋"/>
          <w:bCs/>
          <w:color w:val="000000"/>
          <w:sz w:val="32"/>
          <w:szCs w:val="32"/>
        </w:rPr>
        <w:t>教育（项）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支出决算为16万元，完成预算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2"/>
          <w:rFonts w:hint="eastAsia" w:ascii="仿宋" w:hAnsi="仿宋" w:eastAsia="仿宋"/>
          <w:bCs/>
          <w:color w:val="000000"/>
          <w:sz w:val="32"/>
          <w:szCs w:val="32"/>
          <w:lang w:val="en-US" w:eastAsia="zh-CN"/>
        </w:rPr>
        <w:t>3</w:t>
      </w:r>
      <w:r>
        <w:rPr>
          <w:rStyle w:val="12"/>
          <w:rFonts w:ascii="仿宋" w:hAnsi="仿宋" w:eastAsia="仿宋"/>
          <w:bCs/>
          <w:color w:val="000000"/>
          <w:sz w:val="32"/>
          <w:szCs w:val="32"/>
        </w:rPr>
        <w:t>.</w:t>
      </w:r>
      <w:r>
        <w:rPr>
          <w:rStyle w:val="12"/>
          <w:rFonts w:hint="eastAsia" w:ascii="仿宋" w:hAnsi="仿宋" w:eastAsia="仿宋"/>
          <w:bCs/>
          <w:color w:val="000000"/>
          <w:sz w:val="32"/>
          <w:szCs w:val="32"/>
        </w:rPr>
        <w:t>教育支出（类）教育费附加安排的支出（款）其他教育费附加安排的支出（项）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支出决算为4.88万元，完成预算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2"/>
          <w:rFonts w:hint="eastAsia" w:ascii="仿宋" w:hAnsi="仿宋" w:eastAsia="仿宋"/>
          <w:bCs/>
          <w:color w:val="000000"/>
          <w:sz w:val="32"/>
          <w:szCs w:val="32"/>
          <w:lang w:val="en-US" w:eastAsia="zh-CN"/>
        </w:rPr>
        <w:t>4</w:t>
      </w:r>
      <w:r>
        <w:rPr>
          <w:rStyle w:val="12"/>
          <w:rFonts w:ascii="仿宋" w:hAnsi="仿宋" w:eastAsia="仿宋"/>
          <w:bCs/>
          <w:color w:val="000000"/>
          <w:sz w:val="32"/>
          <w:szCs w:val="32"/>
        </w:rPr>
        <w:t>.</w:t>
      </w:r>
      <w:r>
        <w:rPr>
          <w:rStyle w:val="12"/>
          <w:rFonts w:hint="eastAsia" w:ascii="仿宋" w:hAnsi="仿宋" w:eastAsia="仿宋"/>
          <w:bCs/>
          <w:color w:val="000000"/>
          <w:sz w:val="32"/>
          <w:szCs w:val="32"/>
        </w:rPr>
        <w:t>社会保障和就业支出（类）行政事业单位养老支出（款）机关事业单位基本养老保险缴费支出（项）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支出决算为71.41万元，完成预算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2"/>
          <w:rFonts w:hint="eastAsia" w:ascii="仿宋" w:hAnsi="仿宋" w:eastAsia="仿宋"/>
          <w:bCs/>
          <w:color w:val="000000"/>
          <w:sz w:val="32"/>
          <w:szCs w:val="32"/>
          <w:lang w:val="en-US" w:eastAsia="zh-CN"/>
        </w:rPr>
        <w:t>5</w:t>
      </w:r>
      <w:r>
        <w:rPr>
          <w:rStyle w:val="12"/>
          <w:rFonts w:ascii="仿宋" w:hAnsi="仿宋" w:eastAsia="仿宋"/>
          <w:bCs/>
          <w:color w:val="000000"/>
          <w:sz w:val="32"/>
          <w:szCs w:val="32"/>
        </w:rPr>
        <w:t>.</w:t>
      </w:r>
      <w:r>
        <w:rPr>
          <w:rStyle w:val="12"/>
          <w:rFonts w:hint="eastAsia" w:ascii="仿宋" w:hAnsi="仿宋" w:eastAsia="仿宋"/>
          <w:bCs/>
          <w:color w:val="000000"/>
          <w:sz w:val="32"/>
          <w:szCs w:val="32"/>
        </w:rPr>
        <w:t>社会保障和就业支出（类）行政事业单位养老支出（款）机关事业单位职业年金缴费支出（项）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支出决算为37.3万元，完成预算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2"/>
          <w:rFonts w:hint="eastAsia" w:ascii="仿宋" w:hAnsi="仿宋" w:eastAsia="仿宋"/>
          <w:bCs/>
          <w:color w:val="000000"/>
          <w:sz w:val="32"/>
          <w:szCs w:val="32"/>
          <w:lang w:val="en-US" w:eastAsia="zh-CN"/>
        </w:rPr>
        <w:t>6</w:t>
      </w:r>
      <w:r>
        <w:rPr>
          <w:rStyle w:val="12"/>
          <w:rFonts w:ascii="仿宋" w:hAnsi="仿宋" w:eastAsia="仿宋"/>
          <w:bCs/>
          <w:color w:val="000000"/>
          <w:sz w:val="32"/>
          <w:szCs w:val="32"/>
        </w:rPr>
        <w:t>.</w:t>
      </w:r>
      <w:r>
        <w:rPr>
          <w:rStyle w:val="12"/>
          <w:rFonts w:hint="eastAsia" w:ascii="仿宋" w:hAnsi="仿宋" w:eastAsia="仿宋"/>
          <w:bCs/>
          <w:color w:val="000000"/>
          <w:sz w:val="32"/>
          <w:szCs w:val="32"/>
        </w:rPr>
        <w:t>社会保障和就业支出（类）行政事业单位养老支出（款）其他行政事业单位养老支出（项）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支出决算为66.99万元，完成预算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spacing w:line="600" w:lineRule="exact"/>
        <w:ind w:firstLine="643" w:firstLineChars="200"/>
        <w:rPr>
          <w:rStyle w:val="12"/>
          <w:rFonts w:hint="eastAsia" w:ascii="仿宋" w:hAnsi="仿宋" w:eastAsia="仿宋"/>
          <w:b w:val="0"/>
          <w:bCs/>
          <w:color w:val="000000"/>
          <w:sz w:val="32"/>
          <w:szCs w:val="32"/>
        </w:rPr>
      </w:pPr>
      <w:r>
        <w:rPr>
          <w:rStyle w:val="12"/>
          <w:rFonts w:hint="eastAsia" w:ascii="仿宋" w:hAnsi="仿宋" w:eastAsia="仿宋"/>
          <w:bCs/>
          <w:color w:val="000000"/>
          <w:sz w:val="32"/>
          <w:szCs w:val="32"/>
          <w:lang w:val="en-US" w:eastAsia="zh-CN"/>
        </w:rPr>
        <w:t>7</w:t>
      </w:r>
      <w:r>
        <w:rPr>
          <w:rStyle w:val="12"/>
          <w:rFonts w:ascii="仿宋" w:hAnsi="仿宋" w:eastAsia="仿宋"/>
          <w:bCs/>
          <w:color w:val="000000"/>
          <w:sz w:val="32"/>
          <w:szCs w:val="32"/>
        </w:rPr>
        <w:t>.</w:t>
      </w:r>
      <w:r>
        <w:rPr>
          <w:rFonts w:hint="eastAsia" w:ascii="仿宋" w:hAnsi="仿宋" w:eastAsia="仿宋"/>
          <w:b/>
          <w:bCs/>
          <w:color w:val="000000"/>
          <w:sz w:val="32"/>
          <w:szCs w:val="32"/>
        </w:rPr>
        <w:t>卫生健康</w:t>
      </w:r>
      <w:r>
        <w:rPr>
          <w:rStyle w:val="12"/>
          <w:rFonts w:hint="eastAsia" w:ascii="仿宋" w:hAnsi="仿宋" w:eastAsia="仿宋"/>
          <w:bCs/>
          <w:color w:val="000000"/>
          <w:sz w:val="32"/>
          <w:szCs w:val="32"/>
        </w:rPr>
        <w:t>（类）行政事业单位医疗（款）事业单位医疗（项）</w:t>
      </w:r>
      <w:r>
        <w:rPr>
          <w:rStyle w:val="12"/>
          <w:rFonts w:ascii="仿宋" w:hAnsi="仿宋" w:eastAsia="仿宋"/>
          <w:bCs/>
          <w:color w:val="000000"/>
          <w:sz w:val="32"/>
          <w:szCs w:val="32"/>
        </w:rPr>
        <w:t>:</w:t>
      </w:r>
      <w:r>
        <w:rPr>
          <w:rStyle w:val="12"/>
          <w:rFonts w:hint="eastAsia" w:ascii="仿宋" w:hAnsi="仿宋" w:eastAsia="仿宋"/>
          <w:b w:val="0"/>
          <w:bCs/>
          <w:color w:val="000000"/>
          <w:sz w:val="32"/>
          <w:szCs w:val="32"/>
        </w:rPr>
        <w:t>支出决算为27.28万元，完成预算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spacing w:line="600" w:lineRule="exact"/>
        <w:ind w:firstLine="643" w:firstLineChars="200"/>
        <w:rPr>
          <w:rFonts w:hint="eastAsia" w:ascii="仿宋" w:hAnsi="仿宋" w:eastAsia="仿宋"/>
          <w:b/>
          <w:color w:val="FF0000"/>
          <w:sz w:val="32"/>
          <w:szCs w:val="32"/>
        </w:rPr>
      </w:pPr>
      <w:r>
        <w:rPr>
          <w:rStyle w:val="12"/>
          <w:rFonts w:hint="eastAsia" w:ascii="仿宋" w:hAnsi="仿宋" w:eastAsia="仿宋"/>
          <w:bCs/>
          <w:color w:val="000000"/>
          <w:sz w:val="32"/>
          <w:szCs w:val="32"/>
          <w:lang w:val="en-US" w:eastAsia="zh-CN"/>
        </w:rPr>
        <w:t>8</w:t>
      </w:r>
      <w:r>
        <w:rPr>
          <w:rStyle w:val="12"/>
          <w:rFonts w:ascii="仿宋" w:hAnsi="仿宋" w:eastAsia="仿宋"/>
          <w:bCs/>
          <w:color w:val="000000"/>
          <w:sz w:val="32"/>
          <w:szCs w:val="32"/>
        </w:rPr>
        <w:t>.</w:t>
      </w:r>
      <w:r>
        <w:rPr>
          <w:rFonts w:hint="eastAsia" w:ascii="仿宋" w:hAnsi="仿宋" w:eastAsia="仿宋"/>
          <w:b/>
          <w:bCs/>
          <w:color w:val="000000"/>
          <w:sz w:val="32"/>
          <w:szCs w:val="32"/>
        </w:rPr>
        <w:t>住房保障支出</w:t>
      </w:r>
      <w:r>
        <w:rPr>
          <w:rStyle w:val="12"/>
          <w:rFonts w:hint="eastAsia" w:ascii="仿宋" w:hAnsi="仿宋" w:eastAsia="仿宋"/>
          <w:bCs/>
          <w:color w:val="000000"/>
          <w:sz w:val="32"/>
          <w:szCs w:val="32"/>
        </w:rPr>
        <w:t>（类）住房改革支出</w:t>
      </w:r>
      <w:r>
        <w:rPr>
          <w:rStyle w:val="12"/>
          <w:rFonts w:hint="eastAsia" w:ascii="仿宋" w:hAnsi="仿宋" w:eastAsia="仿宋"/>
          <w:bCs/>
          <w:color w:val="000000"/>
          <w:sz w:val="32"/>
          <w:szCs w:val="32"/>
          <w:lang w:eastAsia="zh-CN"/>
        </w:rPr>
        <w:t>（</w:t>
      </w:r>
      <w:r>
        <w:rPr>
          <w:rStyle w:val="12"/>
          <w:rFonts w:hint="eastAsia" w:ascii="仿宋" w:hAnsi="仿宋" w:eastAsia="仿宋"/>
          <w:bCs/>
          <w:color w:val="000000"/>
          <w:sz w:val="32"/>
          <w:szCs w:val="32"/>
        </w:rPr>
        <w:t>款）住房公积金（项）</w:t>
      </w:r>
      <w:r>
        <w:rPr>
          <w:rStyle w:val="12"/>
          <w:rFonts w:ascii="仿宋" w:hAnsi="仿宋" w:eastAsia="仿宋"/>
          <w:bCs/>
          <w:color w:val="000000"/>
          <w:sz w:val="32"/>
          <w:szCs w:val="32"/>
        </w:rPr>
        <w:t>:</w:t>
      </w:r>
      <w:r>
        <w:rPr>
          <w:rStyle w:val="12"/>
          <w:rFonts w:hint="eastAsia" w:ascii="仿宋" w:hAnsi="仿宋" w:eastAsia="仿宋"/>
          <w:b w:val="0"/>
          <w:bCs/>
          <w:color w:val="000000"/>
          <w:sz w:val="32"/>
          <w:szCs w:val="32"/>
        </w:rPr>
        <w:t>支出决算为62.54万元，完成预算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tabs>
          <w:tab w:val="right" w:pos="8306"/>
        </w:tabs>
        <w:spacing w:line="600" w:lineRule="exact"/>
        <w:ind w:firstLine="640"/>
        <w:outlineLvl w:val="1"/>
        <w:rPr>
          <w:rStyle w:val="15"/>
        </w:rPr>
      </w:pPr>
      <w:bookmarkStart w:id="63" w:name="_Toc12594"/>
      <w:bookmarkStart w:id="64" w:name="_Toc15377214"/>
      <w:bookmarkStart w:id="65"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5"/>
          <w:rFonts w:hint="eastAsia" w:ascii="黑体" w:hAnsi="黑体" w:eastAsia="黑体"/>
          <w:b w:val="0"/>
        </w:rPr>
        <w:t>般公共预算财政拨款基本支出决算情况说明</w:t>
      </w:r>
      <w:bookmarkEnd w:id="63"/>
      <w:bookmarkEnd w:id="64"/>
      <w:bookmarkEnd w:id="65"/>
      <w:r>
        <w:rPr>
          <w:rStyle w:val="1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859.02</w:t>
      </w:r>
      <w:r>
        <w:rPr>
          <w:rFonts w:hint="eastAsia" w:ascii="仿宋" w:hAnsi="仿宋" w:eastAsia="仿宋"/>
          <w:color w:val="000000"/>
          <w:sz w:val="32"/>
          <w:szCs w:val="32"/>
        </w:rPr>
        <w:t>万元，其中：</w:t>
      </w:r>
    </w:p>
    <w:p>
      <w:pPr>
        <w:spacing w:line="600" w:lineRule="exact"/>
        <w:ind w:firstLine="645"/>
        <w:rPr>
          <w:rFonts w:hint="eastAsia" w:ascii="仿宋" w:hAnsi="仿宋" w:eastAsia="仿宋"/>
          <w:color w:val="000000"/>
          <w:sz w:val="32"/>
          <w:szCs w:val="32"/>
          <w:lang w:eastAsia="zh-CN"/>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835.82</w:t>
      </w:r>
      <w:r>
        <w:rPr>
          <w:rFonts w:hint="eastAsia" w:ascii="仿宋" w:hAnsi="仿宋" w:eastAsia="仿宋"/>
          <w:color w:val="000000"/>
          <w:sz w:val="32"/>
          <w:szCs w:val="32"/>
        </w:rPr>
        <w:t>万元，主要包括：基本工资、津贴补贴、绩效工资、机关事业单位基本养老保险缴费、职业年金缴费、职工基本医疗保险缴费</w:t>
      </w:r>
      <w:r>
        <w:rPr>
          <w:rFonts w:hint="eastAsia" w:ascii="仿宋" w:hAnsi="仿宋" w:eastAsia="仿宋"/>
          <w:color w:val="000000"/>
          <w:sz w:val="32"/>
          <w:szCs w:val="32"/>
          <w:lang w:eastAsia="zh-CN"/>
        </w:rPr>
        <w:t>、其他社会保障缴费、</w:t>
      </w:r>
      <w:r>
        <w:rPr>
          <w:rFonts w:hint="eastAsia" w:ascii="仿宋" w:hAnsi="仿宋" w:eastAsia="仿宋"/>
          <w:color w:val="000000"/>
          <w:sz w:val="32"/>
          <w:szCs w:val="32"/>
        </w:rPr>
        <w:t>住房公积金、其他工资福利支出</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抚恤金、</w:t>
      </w:r>
      <w:r>
        <w:rPr>
          <w:rFonts w:hint="eastAsia" w:ascii="仿宋" w:hAnsi="仿宋" w:eastAsia="仿宋"/>
          <w:color w:val="000000"/>
          <w:sz w:val="32"/>
          <w:szCs w:val="32"/>
        </w:rPr>
        <w:t>生活补助等。</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日常公用经费</w:t>
      </w:r>
      <w:r>
        <w:rPr>
          <w:rFonts w:hint="eastAsia" w:ascii="仿宋" w:hAnsi="仿宋" w:eastAsia="仿宋"/>
          <w:color w:val="000000"/>
          <w:sz w:val="32"/>
          <w:szCs w:val="32"/>
          <w:lang w:val="en-US" w:eastAsia="zh-CN"/>
        </w:rPr>
        <w:t>23.2</w:t>
      </w:r>
      <w:r>
        <w:rPr>
          <w:rFonts w:hint="eastAsia" w:ascii="仿宋" w:hAnsi="仿宋" w:eastAsia="仿宋"/>
          <w:color w:val="000000"/>
          <w:sz w:val="32"/>
          <w:szCs w:val="32"/>
        </w:rPr>
        <w:t>万元，主要包括：工会经费、福利费等。</w:t>
      </w:r>
    </w:p>
    <w:p>
      <w:pPr>
        <w:spacing w:line="600" w:lineRule="exact"/>
        <w:ind w:firstLine="640"/>
        <w:rPr>
          <w:rFonts w:ascii="仿宋" w:hAnsi="仿宋" w:eastAsia="仿宋"/>
          <w:b/>
          <w:color w:val="FF0000"/>
          <w:sz w:val="32"/>
          <w:szCs w:val="32"/>
        </w:rPr>
      </w:pPr>
    </w:p>
    <w:p>
      <w:pPr>
        <w:spacing w:line="600" w:lineRule="exact"/>
        <w:ind w:firstLine="640"/>
        <w:outlineLvl w:val="1"/>
        <w:rPr>
          <w:rStyle w:val="15"/>
          <w:rFonts w:ascii="黑体" w:hAnsi="黑体" w:eastAsia="黑体"/>
          <w:b w:val="0"/>
        </w:rPr>
      </w:pPr>
      <w:bookmarkStart w:id="66" w:name="_Toc15377215"/>
      <w:bookmarkStart w:id="67" w:name="_Toc15396609"/>
      <w:bookmarkStart w:id="68" w:name="_Toc11879"/>
      <w:r>
        <w:rPr>
          <w:rFonts w:hint="eastAsia" w:ascii="黑体" w:eastAsia="黑体"/>
          <w:color w:val="000000"/>
          <w:sz w:val="32"/>
          <w:szCs w:val="32"/>
        </w:rPr>
        <w:t>七、</w:t>
      </w:r>
      <w:r>
        <w:rPr>
          <w:rStyle w:val="15"/>
          <w:rFonts w:hint="eastAsia" w:ascii="黑体" w:hAnsi="黑体" w:eastAsia="黑体"/>
        </w:rPr>
        <w:t>“</w:t>
      </w:r>
      <w:r>
        <w:rPr>
          <w:rStyle w:val="15"/>
          <w:rFonts w:hint="eastAsia" w:ascii="黑体" w:hAnsi="黑体" w:eastAsia="黑体"/>
          <w:b w:val="0"/>
        </w:rPr>
        <w:t>三公”经费财政拨款支出决算情况说明</w:t>
      </w:r>
      <w:bookmarkEnd w:id="66"/>
      <w:bookmarkEnd w:id="67"/>
      <w:bookmarkEnd w:id="68"/>
    </w:p>
    <w:p>
      <w:pPr>
        <w:spacing w:line="600" w:lineRule="exact"/>
        <w:ind w:firstLine="640"/>
        <w:outlineLvl w:val="9"/>
        <w:rPr>
          <w:rFonts w:ascii="仿宋" w:hAnsi="仿宋" w:eastAsia="仿宋"/>
          <w:b/>
          <w:color w:val="000000"/>
          <w:sz w:val="32"/>
          <w:szCs w:val="32"/>
        </w:rPr>
      </w:pPr>
      <w:bookmarkStart w:id="69" w:name="_Toc15377216"/>
      <w:bookmarkStart w:id="70" w:name="_Toc26822"/>
      <w:r>
        <w:rPr>
          <w:rFonts w:hint="eastAsia" w:ascii="仿宋" w:hAnsi="仿宋" w:eastAsia="仿宋"/>
          <w:b/>
          <w:color w:val="000000"/>
          <w:sz w:val="32"/>
          <w:szCs w:val="32"/>
        </w:rPr>
        <w:t>（一）“三公”经费财政拨款支出决算总体情况说明</w:t>
      </w:r>
      <w:bookmarkEnd w:id="69"/>
      <w:bookmarkEnd w:id="70"/>
    </w:p>
    <w:p>
      <w:pPr>
        <w:spacing w:line="600" w:lineRule="exact"/>
        <w:ind w:firstLine="640"/>
        <w:rPr>
          <w:rFonts w:hint="default" w:ascii="仿宋" w:hAnsi="仿宋" w:eastAsia="仿宋"/>
          <w:color w:val="000000"/>
          <w:sz w:val="32"/>
          <w:szCs w:val="32"/>
          <w:lang w:val="en-US" w:eastAsia="zh-CN"/>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0万</w:t>
      </w:r>
      <w:r>
        <w:rPr>
          <w:rFonts w:hint="eastAsia" w:ascii="仿宋" w:hAnsi="仿宋" w:eastAsia="仿宋"/>
          <w:color w:val="000000"/>
          <w:sz w:val="32"/>
          <w:szCs w:val="32"/>
        </w:rPr>
        <w:t>元，完成预算</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9"/>
        <w:rPr>
          <w:rFonts w:ascii="仿宋" w:hAnsi="仿宋" w:eastAsia="仿宋"/>
          <w:b/>
          <w:color w:val="000000"/>
          <w:sz w:val="32"/>
          <w:szCs w:val="32"/>
        </w:rPr>
      </w:pPr>
      <w:bookmarkStart w:id="71" w:name="_Toc26414"/>
      <w:bookmarkStart w:id="72" w:name="_Toc15377217"/>
      <w:r>
        <w:rPr>
          <w:rFonts w:hint="eastAsia" w:ascii="仿宋" w:hAnsi="仿宋" w:eastAsia="仿宋"/>
          <w:b/>
          <w:color w:val="000000"/>
          <w:sz w:val="32"/>
          <w:szCs w:val="32"/>
        </w:rPr>
        <w:t>（二）“三公”经费财政拨款支出决算具体情况说明</w:t>
      </w:r>
      <w:bookmarkEnd w:id="71"/>
      <w:bookmarkEnd w:id="72"/>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万元；公务接待费支出决算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s="仿宋"/>
          <w:b/>
          <w:color w:val="000000"/>
          <w:sz w:val="32"/>
          <w:szCs w:val="32"/>
        </w:rPr>
      </w:pPr>
      <w:r>
        <w:rPr>
          <w:rFonts w:hint="eastAsia" w:ascii="仿宋" w:hAnsi="仿宋" w:eastAsia="仿宋" w:cs="仿宋"/>
          <w:b/>
          <w:color w:val="000000"/>
          <w:sz w:val="32"/>
          <w:szCs w:val="32"/>
        </w:rPr>
        <w:t>1.因公出国（境）经费支出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p>
    <w:p>
      <w:pPr>
        <w:spacing w:line="600" w:lineRule="exact"/>
        <w:ind w:firstLine="640"/>
        <w:rPr>
          <w:rFonts w:hint="eastAsia" w:ascii="仿宋" w:hAnsi="仿宋" w:eastAsia="仿宋" w:cs="仿宋"/>
          <w:b/>
          <w:color w:val="000000"/>
          <w:sz w:val="32"/>
          <w:szCs w:val="32"/>
        </w:rPr>
      </w:pPr>
      <w:r>
        <w:rPr>
          <w:rFonts w:hint="eastAsia" w:ascii="仿宋" w:hAnsi="仿宋" w:eastAsia="仿宋" w:cs="仿宋"/>
          <w:b/>
          <w:color w:val="000000"/>
          <w:sz w:val="32"/>
          <w:szCs w:val="32"/>
        </w:rPr>
        <w:t>2.公务用车购置及运行维护费支出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p>
    <w:p>
      <w:pPr>
        <w:spacing w:line="600" w:lineRule="exact"/>
        <w:ind w:firstLine="640"/>
        <w:rPr>
          <w:rFonts w:hint="eastAsia" w:ascii="仿宋" w:hAnsi="仿宋" w:eastAsia="仿宋" w:cs="仿宋"/>
          <w:color w:val="000000"/>
          <w:sz w:val="32"/>
          <w:szCs w:val="32"/>
        </w:rPr>
      </w:pPr>
      <w:r>
        <w:rPr>
          <w:rFonts w:hint="eastAsia" w:ascii="仿宋" w:hAnsi="仿宋" w:eastAsia="仿宋" w:cs="仿宋"/>
          <w:b/>
          <w:color w:val="000000"/>
          <w:sz w:val="32"/>
          <w:szCs w:val="32"/>
        </w:rPr>
        <w:t>3.公务接待费支出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p>
    <w:p>
      <w:pPr>
        <w:spacing w:line="600" w:lineRule="exact"/>
        <w:ind w:firstLine="640"/>
        <w:outlineLvl w:val="1"/>
        <w:rPr>
          <w:rStyle w:val="15"/>
          <w:rFonts w:ascii="黑体" w:hAnsi="黑体" w:eastAsia="黑体"/>
        </w:rPr>
      </w:pPr>
      <w:bookmarkStart w:id="73" w:name="_Toc15396610"/>
      <w:bookmarkStart w:id="74" w:name="_Toc15377218"/>
      <w:bookmarkStart w:id="75" w:name="_Toc4382"/>
      <w:r>
        <w:rPr>
          <w:rFonts w:hint="eastAsia" w:ascii="黑体" w:eastAsia="黑体"/>
          <w:color w:val="000000"/>
          <w:sz w:val="32"/>
          <w:szCs w:val="32"/>
        </w:rPr>
        <w:t>八、</w:t>
      </w:r>
      <w:r>
        <w:rPr>
          <w:rStyle w:val="15"/>
          <w:rFonts w:hint="eastAsia" w:ascii="黑体" w:hAnsi="黑体" w:eastAsia="黑体"/>
          <w:b w:val="0"/>
        </w:rPr>
        <w:t>政府性基金预算支出决算情况说明</w:t>
      </w:r>
      <w:bookmarkEnd w:id="73"/>
      <w:bookmarkEnd w:id="74"/>
      <w:bookmarkEnd w:id="75"/>
    </w:p>
    <w:p>
      <w:pPr>
        <w:spacing w:line="600" w:lineRule="exact"/>
        <w:ind w:firstLine="640"/>
        <w:rPr>
          <w:rFonts w:ascii="仿宋" w:hAnsi="仿宋" w:eastAsia="仿宋"/>
          <w:color w:val="FF0000"/>
          <w:sz w:val="32"/>
          <w:szCs w:val="32"/>
        </w:rPr>
      </w:pPr>
      <w:r>
        <w:rPr>
          <w:rFonts w:hint="eastAsia" w:ascii="仿宋" w:hAnsi="仿宋" w:eastAsia="仿宋" w:cs="仿宋"/>
          <w:color w:val="000000"/>
          <w:sz w:val="32"/>
          <w:szCs w:val="32"/>
        </w:rPr>
        <w:t>2020年政府性基金预算拨款支出</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万元。</w:t>
      </w:r>
    </w:p>
    <w:p>
      <w:pPr>
        <w:spacing w:line="600" w:lineRule="exact"/>
        <w:ind w:firstLine="640"/>
        <w:rPr>
          <w:rFonts w:hint="eastAsia" w:ascii="仿宋_GB2312" w:eastAsia="仿宋_GB2312"/>
          <w:b/>
          <w:bCs/>
          <w:color w:val="000000"/>
          <w:sz w:val="32"/>
          <w:szCs w:val="32"/>
          <w:lang w:eastAsia="zh-CN"/>
        </w:rPr>
      </w:pPr>
      <w:r>
        <w:rPr>
          <w:rFonts w:hint="eastAsia" w:ascii="仿宋_GB2312" w:eastAsia="仿宋_GB2312"/>
          <w:b/>
          <w:bCs/>
          <w:color w:val="000000"/>
          <w:sz w:val="32"/>
          <w:szCs w:val="32"/>
        </w:rPr>
        <w:t>其他支出</w:t>
      </w:r>
      <w:r>
        <w:rPr>
          <w:rFonts w:hint="eastAsia" w:ascii="仿宋_GB2312" w:eastAsia="仿宋_GB2312"/>
          <w:b/>
          <w:bCs/>
          <w:color w:val="000000"/>
          <w:sz w:val="32"/>
          <w:szCs w:val="32"/>
          <w:lang w:eastAsia="zh-CN"/>
        </w:rPr>
        <w:t>（</w:t>
      </w:r>
      <w:r>
        <w:rPr>
          <w:rFonts w:hint="eastAsia" w:ascii="仿宋_GB2312" w:eastAsia="仿宋_GB2312"/>
          <w:b/>
          <w:bCs/>
          <w:color w:val="000000"/>
          <w:sz w:val="32"/>
          <w:szCs w:val="32"/>
          <w:lang w:val="en-US" w:eastAsia="zh-CN"/>
        </w:rPr>
        <w:t>类</w:t>
      </w:r>
      <w:r>
        <w:rPr>
          <w:rFonts w:hint="eastAsia" w:ascii="仿宋_GB2312" w:eastAsia="仿宋_GB2312"/>
          <w:b/>
          <w:bCs/>
          <w:color w:val="000000"/>
          <w:sz w:val="32"/>
          <w:szCs w:val="32"/>
          <w:lang w:eastAsia="zh-CN"/>
        </w:rPr>
        <w:t>）彩票公益金安排的支出（</w:t>
      </w:r>
      <w:r>
        <w:rPr>
          <w:rFonts w:hint="eastAsia" w:ascii="仿宋_GB2312" w:eastAsia="仿宋_GB2312"/>
          <w:b/>
          <w:bCs/>
          <w:color w:val="000000"/>
          <w:sz w:val="32"/>
          <w:szCs w:val="32"/>
          <w:lang w:val="en-US" w:eastAsia="zh-CN"/>
        </w:rPr>
        <w:t>款</w:t>
      </w:r>
      <w:r>
        <w:rPr>
          <w:rFonts w:hint="eastAsia" w:ascii="仿宋_GB2312" w:eastAsia="仿宋_GB2312"/>
          <w:b/>
          <w:bCs/>
          <w:color w:val="000000"/>
          <w:sz w:val="32"/>
          <w:szCs w:val="32"/>
          <w:lang w:eastAsia="zh-CN"/>
        </w:rPr>
        <w:t>）用于教育事业的彩票公益金支出（</w:t>
      </w:r>
      <w:r>
        <w:rPr>
          <w:rFonts w:hint="eastAsia" w:ascii="仿宋_GB2312" w:eastAsia="仿宋_GB2312"/>
          <w:b/>
          <w:bCs/>
          <w:color w:val="000000"/>
          <w:sz w:val="32"/>
          <w:szCs w:val="32"/>
          <w:lang w:val="en-US" w:eastAsia="zh-CN"/>
        </w:rPr>
        <w:t>项</w:t>
      </w:r>
      <w:r>
        <w:rPr>
          <w:rFonts w:hint="eastAsia" w:ascii="仿宋_GB2312" w:eastAsia="仿宋_GB2312"/>
          <w:b/>
          <w:bCs/>
          <w:color w:val="000000"/>
          <w:sz w:val="32"/>
          <w:szCs w:val="32"/>
          <w:lang w:eastAsia="zh-CN"/>
        </w:rPr>
        <w:t>）：</w:t>
      </w:r>
      <w:r>
        <w:rPr>
          <w:rFonts w:hint="eastAsia" w:ascii="仿宋" w:hAnsi="仿宋" w:eastAsia="仿宋"/>
          <w:color w:val="000000"/>
          <w:sz w:val="32"/>
          <w:szCs w:val="32"/>
        </w:rPr>
        <w:t>支出决算为</w:t>
      </w:r>
      <w:r>
        <w:rPr>
          <w:rFonts w:hint="eastAsia" w:ascii="仿宋" w:hAnsi="仿宋" w:eastAsia="仿宋"/>
          <w:color w:val="000000"/>
          <w:sz w:val="32"/>
          <w:szCs w:val="32"/>
          <w:lang w:val="en-US" w:eastAsia="zh-CN"/>
        </w:rPr>
        <w:t>3万</w:t>
      </w:r>
      <w:r>
        <w:rPr>
          <w:rFonts w:hint="eastAsia" w:ascii="仿宋" w:hAnsi="仿宋" w:eastAsia="仿宋"/>
          <w:color w:val="000000"/>
          <w:sz w:val="32"/>
          <w:szCs w:val="32"/>
        </w:rPr>
        <w:t>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numPr>
          <w:ilvl w:val="0"/>
          <w:numId w:val="2"/>
        </w:numPr>
        <w:spacing w:line="600" w:lineRule="exact"/>
        <w:ind w:firstLine="640"/>
        <w:outlineLvl w:val="1"/>
        <w:rPr>
          <w:rStyle w:val="15"/>
          <w:rFonts w:ascii="黑体" w:hAnsi="黑体" w:eastAsia="黑体"/>
          <w:b w:val="0"/>
        </w:rPr>
      </w:pPr>
      <w:bookmarkStart w:id="76" w:name="_Toc15377219"/>
      <w:bookmarkStart w:id="77" w:name="_Toc15396611"/>
      <w:bookmarkStart w:id="78" w:name="_Toc14119"/>
      <w:r>
        <w:rPr>
          <w:rStyle w:val="15"/>
          <w:rFonts w:hint="eastAsia" w:ascii="黑体" w:hAnsi="黑体" w:eastAsia="黑体"/>
          <w:b w:val="0"/>
        </w:rPr>
        <w:t>国有资本经营预算支出决算情况说明</w:t>
      </w:r>
      <w:bookmarkEnd w:id="76"/>
      <w:bookmarkEnd w:id="77"/>
      <w:bookmarkEnd w:id="78"/>
    </w:p>
    <w:p>
      <w:pPr>
        <w:spacing w:line="600" w:lineRule="exact"/>
        <w:ind w:firstLine="640"/>
        <w:rPr>
          <w:rFonts w:ascii="方正小标宋简体" w:hAnsi="方正小标宋简体" w:eastAsia="方正小标宋简体" w:cs="方正小标宋简体"/>
          <w:sz w:val="44"/>
          <w:szCs w:val="44"/>
        </w:rPr>
      </w:pPr>
      <w:r>
        <w:rPr>
          <w:rFonts w:hint="eastAsia" w:ascii="仿宋" w:hAnsi="仿宋" w:eastAsia="仿宋" w:cs="仿宋"/>
          <w:color w:val="000000"/>
          <w:sz w:val="32"/>
          <w:szCs w:val="32"/>
        </w:rPr>
        <w:t>2020年国有资本经营预算拨款支出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p>
    <w:p>
      <w:pPr>
        <w:spacing w:line="600" w:lineRule="exact"/>
        <w:ind w:firstLine="800" w:firstLineChars="250"/>
        <w:outlineLvl w:val="1"/>
        <w:rPr>
          <w:rStyle w:val="15"/>
          <w:rFonts w:ascii="黑体" w:hAnsi="黑体" w:eastAsia="黑体"/>
        </w:rPr>
      </w:pPr>
      <w:bookmarkStart w:id="79" w:name="_Toc751"/>
      <w:bookmarkStart w:id="80" w:name="_Toc15396612"/>
      <w:bookmarkStart w:id="81" w:name="_Toc15377221"/>
      <w:r>
        <w:rPr>
          <w:rFonts w:hint="eastAsia" w:ascii="黑体" w:hAnsi="黑体" w:eastAsia="黑体"/>
          <w:color w:val="000000"/>
          <w:sz w:val="32"/>
          <w:szCs w:val="32"/>
        </w:rPr>
        <w:t>十</w:t>
      </w:r>
      <w:r>
        <w:rPr>
          <w:rStyle w:val="15"/>
          <w:rFonts w:hint="eastAsia" w:ascii="黑体" w:hAnsi="黑体" w:eastAsia="黑体"/>
        </w:rPr>
        <w:t>、</w:t>
      </w:r>
      <w:r>
        <w:rPr>
          <w:rStyle w:val="15"/>
          <w:rFonts w:hint="eastAsia" w:ascii="黑体" w:hAnsi="黑体" w:eastAsia="黑体"/>
          <w:b w:val="0"/>
        </w:rPr>
        <w:t>其他重要事项的情况说明</w:t>
      </w:r>
      <w:bookmarkEnd w:id="79"/>
      <w:bookmarkEnd w:id="80"/>
      <w:bookmarkEnd w:id="81"/>
    </w:p>
    <w:p>
      <w:pPr>
        <w:spacing w:line="600" w:lineRule="exact"/>
        <w:ind w:firstLine="643" w:firstLineChars="200"/>
        <w:outlineLvl w:val="9"/>
        <w:rPr>
          <w:rFonts w:ascii="仿宋" w:hAnsi="仿宋" w:eastAsia="仿宋"/>
          <w:color w:val="000000"/>
          <w:sz w:val="32"/>
          <w:szCs w:val="32"/>
        </w:rPr>
      </w:pPr>
      <w:bookmarkStart w:id="82" w:name="_Toc23902"/>
      <w:bookmarkStart w:id="83" w:name="_Toc15377222"/>
      <w:r>
        <w:rPr>
          <w:rFonts w:hint="eastAsia" w:ascii="仿宋" w:hAnsi="仿宋" w:eastAsia="仿宋"/>
          <w:b/>
          <w:color w:val="000000"/>
          <w:sz w:val="32"/>
          <w:szCs w:val="32"/>
        </w:rPr>
        <w:t>（一）机关运行经费支出情况</w:t>
      </w:r>
      <w:bookmarkEnd w:id="82"/>
      <w:bookmarkEnd w:id="83"/>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2020年，四川省乐山市五通桥区</w:t>
      </w:r>
      <w:r>
        <w:rPr>
          <w:rFonts w:hint="eastAsia" w:ascii="仿宋" w:hAnsi="仿宋" w:eastAsia="仿宋" w:cs="仿宋"/>
          <w:color w:val="000000"/>
          <w:sz w:val="32"/>
          <w:szCs w:val="32"/>
          <w:lang w:eastAsia="zh-CN"/>
        </w:rPr>
        <w:t>西坝镇西坝小学</w:t>
      </w:r>
      <w:r>
        <w:rPr>
          <w:rFonts w:hint="eastAsia" w:ascii="仿宋" w:hAnsi="仿宋" w:eastAsia="仿宋" w:cs="仿宋"/>
          <w:color w:val="000000"/>
          <w:sz w:val="32"/>
          <w:szCs w:val="32"/>
        </w:rPr>
        <w:t>运行经费支出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万元，与2019年决算数持平。</w:t>
      </w:r>
    </w:p>
    <w:p>
      <w:pPr>
        <w:autoSpaceDE w:val="0"/>
        <w:autoSpaceDN w:val="0"/>
        <w:adjustRightInd w:val="0"/>
        <w:spacing w:line="600" w:lineRule="exact"/>
        <w:ind w:firstLine="643" w:firstLineChars="200"/>
        <w:jc w:val="left"/>
        <w:outlineLvl w:val="9"/>
        <w:rPr>
          <w:rFonts w:ascii="仿宋" w:hAnsi="仿宋" w:eastAsia="仿宋"/>
          <w:b/>
          <w:color w:val="000000"/>
          <w:sz w:val="32"/>
          <w:szCs w:val="32"/>
        </w:rPr>
      </w:pPr>
      <w:bookmarkStart w:id="84" w:name="_Toc15377223"/>
      <w:bookmarkStart w:id="85" w:name="_Toc29901"/>
      <w:r>
        <w:rPr>
          <w:rFonts w:hint="eastAsia" w:ascii="仿宋" w:hAnsi="仿宋" w:eastAsia="仿宋"/>
          <w:b/>
          <w:color w:val="000000"/>
          <w:sz w:val="32"/>
          <w:szCs w:val="32"/>
        </w:rPr>
        <w:t>（二）政府采购支出情况</w:t>
      </w:r>
      <w:bookmarkEnd w:id="84"/>
      <w:bookmarkEnd w:id="85"/>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2020年，四川省乐山市五通桥区</w:t>
      </w:r>
      <w:r>
        <w:rPr>
          <w:rFonts w:hint="eastAsia" w:ascii="仿宋" w:hAnsi="仿宋" w:eastAsia="仿宋" w:cs="仿宋"/>
          <w:color w:val="000000"/>
          <w:sz w:val="32"/>
          <w:szCs w:val="32"/>
          <w:lang w:eastAsia="zh-CN"/>
        </w:rPr>
        <w:t>西坝镇西坝小学</w:t>
      </w:r>
      <w:r>
        <w:rPr>
          <w:rFonts w:hint="eastAsia" w:ascii="仿宋" w:hAnsi="仿宋" w:eastAsia="仿宋" w:cs="仿宋"/>
          <w:color w:val="000000"/>
          <w:sz w:val="32"/>
          <w:szCs w:val="32"/>
        </w:rPr>
        <w:t>采购支出总额</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万元，其中：政府采购货物支出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万元、政府采购工程支出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万元、政府采购服务支出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万元。主要用于</w:t>
      </w:r>
      <w:r>
        <w:rPr>
          <w:rFonts w:hint="eastAsia" w:ascii="仿宋" w:hAnsi="仿宋" w:eastAsia="仿宋" w:cs="仿宋"/>
          <w:color w:val="000000"/>
          <w:sz w:val="32"/>
          <w:szCs w:val="32"/>
          <w:lang w:val="en-US" w:eastAsia="zh-CN"/>
        </w:rPr>
        <w:t>教师办公桌椅采购</w:t>
      </w:r>
      <w:r>
        <w:rPr>
          <w:rFonts w:hint="eastAsia" w:ascii="仿宋" w:hAnsi="仿宋" w:eastAsia="仿宋" w:cs="仿宋"/>
          <w:color w:val="000000"/>
          <w:sz w:val="32"/>
          <w:szCs w:val="32"/>
        </w:rPr>
        <w:t>。授予中小企业合同金额</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万元，占政府采购支出总额的</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%，其中：授予小微企业合同金额</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万元，占政府采购支出总额的</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w:t>
      </w:r>
    </w:p>
    <w:p>
      <w:pPr>
        <w:autoSpaceDE w:val="0"/>
        <w:autoSpaceDN w:val="0"/>
        <w:adjustRightInd w:val="0"/>
        <w:spacing w:line="600" w:lineRule="exact"/>
        <w:ind w:firstLine="643" w:firstLineChars="200"/>
        <w:jc w:val="left"/>
        <w:outlineLvl w:val="9"/>
        <w:rPr>
          <w:rFonts w:ascii="仿宋" w:hAnsi="仿宋" w:eastAsia="仿宋"/>
          <w:b/>
          <w:color w:val="000000"/>
          <w:sz w:val="32"/>
          <w:szCs w:val="32"/>
        </w:rPr>
      </w:pPr>
      <w:bookmarkStart w:id="86" w:name="_Toc15377224"/>
      <w:bookmarkStart w:id="87" w:name="_Toc28062"/>
      <w:r>
        <w:rPr>
          <w:rFonts w:hint="eastAsia" w:ascii="仿宋" w:hAnsi="仿宋" w:eastAsia="仿宋"/>
          <w:b/>
          <w:color w:val="000000"/>
          <w:sz w:val="32"/>
          <w:szCs w:val="32"/>
        </w:rPr>
        <w:t>（三）国有资产占有使用情况</w:t>
      </w:r>
      <w:bookmarkEnd w:id="86"/>
      <w:bookmarkEnd w:id="87"/>
    </w:p>
    <w:p>
      <w:pPr>
        <w:autoSpaceDE w:val="0"/>
        <w:autoSpaceDN w:val="0"/>
        <w:adjustRightInd w:val="0"/>
        <w:spacing w:line="60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截至2020年12月31日，四川省乐山市五通桥区</w:t>
      </w:r>
      <w:r>
        <w:rPr>
          <w:rFonts w:hint="eastAsia" w:ascii="仿宋" w:hAnsi="仿宋" w:eastAsia="仿宋" w:cs="仿宋"/>
          <w:color w:val="000000"/>
          <w:sz w:val="32"/>
          <w:szCs w:val="32"/>
          <w:lang w:eastAsia="zh-CN"/>
        </w:rPr>
        <w:t>西坝镇西坝小学</w:t>
      </w:r>
      <w:r>
        <w:rPr>
          <w:rFonts w:hint="eastAsia" w:ascii="仿宋" w:hAnsi="仿宋" w:eastAsia="仿宋" w:cs="仿宋"/>
          <w:color w:val="000000"/>
          <w:sz w:val="32"/>
          <w:szCs w:val="32"/>
        </w:rPr>
        <w:t>共有车辆</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辆。</w:t>
      </w:r>
    </w:p>
    <w:p>
      <w:pPr>
        <w:autoSpaceDE w:val="0"/>
        <w:autoSpaceDN w:val="0"/>
        <w:adjustRightInd w:val="0"/>
        <w:spacing w:line="600" w:lineRule="exact"/>
        <w:ind w:firstLine="643" w:firstLineChars="200"/>
        <w:jc w:val="left"/>
        <w:outlineLvl w:val="9"/>
        <w:rPr>
          <w:rFonts w:ascii="仿宋" w:hAnsi="仿宋" w:eastAsia="仿宋"/>
          <w:b/>
          <w:color w:val="000000"/>
          <w:sz w:val="32"/>
          <w:szCs w:val="32"/>
        </w:rPr>
      </w:pPr>
      <w:bookmarkStart w:id="88" w:name="_Toc8507"/>
      <w:r>
        <w:rPr>
          <w:rFonts w:hint="eastAsia" w:ascii="仿宋" w:hAnsi="仿宋" w:eastAsia="仿宋"/>
          <w:b/>
          <w:color w:val="000000"/>
          <w:sz w:val="32"/>
          <w:szCs w:val="32"/>
        </w:rPr>
        <w:t>（四）预算绩效管理情况</w:t>
      </w:r>
      <w:bookmarkEnd w:id="88"/>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根据预算绩效管理要求，</w:t>
      </w:r>
      <w:r>
        <w:rPr>
          <w:rFonts w:hint="eastAsia" w:ascii="仿宋" w:hAnsi="仿宋" w:eastAsia="仿宋" w:cs="仿宋"/>
          <w:color w:val="000000" w:themeColor="text1"/>
          <w:sz w:val="32"/>
          <w:szCs w:val="32"/>
          <w:lang w:eastAsia="zh-CN"/>
          <w14:textFill>
            <w14:solidFill>
              <w14:schemeClr w14:val="tx1"/>
            </w14:solidFill>
          </w14:textFill>
        </w:rPr>
        <w:t>乐山市五通桥西坝镇西坝小学</w:t>
      </w:r>
      <w:r>
        <w:rPr>
          <w:rFonts w:hint="eastAsia" w:ascii="仿宋" w:hAnsi="仿宋" w:eastAsia="仿宋" w:cs="仿宋"/>
          <w:color w:val="000000" w:themeColor="text1"/>
          <w:sz w:val="32"/>
          <w:szCs w:val="32"/>
          <w14:textFill>
            <w14:solidFill>
              <w14:schemeClr w14:val="tx1"/>
            </w14:solidFill>
          </w14:textFill>
        </w:rPr>
        <w:t>在年初预算编制阶段，组织对教育支出项目开展了预算事前绩效评估，对</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个项目编制了绩效目标，预算执行过程中，选取</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个项目开展绩效监控，年终执行完毕后，对</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个项目开展了绩效目标完成情况自评。</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乐山市五通桥西坝镇西坝小学</w:t>
      </w:r>
      <w:r>
        <w:rPr>
          <w:rFonts w:hint="eastAsia" w:ascii="仿宋" w:hAnsi="仿宋" w:eastAsia="仿宋" w:cs="仿宋"/>
          <w:color w:val="000000" w:themeColor="text1"/>
          <w:sz w:val="32"/>
          <w:szCs w:val="32"/>
          <w14:textFill>
            <w14:solidFill>
              <w14:schemeClr w14:val="tx1"/>
            </w14:solidFill>
          </w14:textFill>
        </w:rPr>
        <w:t>按要求对2020年部门整体支出开展绩效自评，</w:t>
      </w:r>
      <w:r>
        <w:rPr>
          <w:rFonts w:hint="eastAsia" w:ascii="仿宋" w:hAnsi="仿宋" w:eastAsia="仿宋" w:cs="仿宋"/>
          <w:color w:val="000000" w:themeColor="text1"/>
          <w:sz w:val="32"/>
          <w:szCs w:val="32"/>
          <w:lang w:eastAsia="zh-CN"/>
          <w14:textFill>
            <w14:solidFill>
              <w14:schemeClr w14:val="tx1"/>
            </w14:solidFill>
          </w14:textFill>
        </w:rPr>
        <w:t>基本完成年初绩效目标</w:t>
      </w:r>
      <w:r>
        <w:rPr>
          <w:rFonts w:hint="eastAsia" w:ascii="仿宋" w:hAnsi="仿宋" w:eastAsia="仿宋" w:cs="仿宋"/>
          <w:color w:val="000000" w:themeColor="text1"/>
          <w:sz w:val="32"/>
          <w:szCs w:val="32"/>
          <w14:textFill>
            <w14:solidFill>
              <w14:schemeClr w14:val="tx1"/>
            </w14:solidFill>
          </w14:textFill>
        </w:rPr>
        <w:t>。本部门还自行组织了</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个项目支出绩效评价，从评价情况来看</w:t>
      </w:r>
      <w:r>
        <w:rPr>
          <w:rFonts w:hint="eastAsia" w:ascii="仿宋" w:hAnsi="仿宋" w:eastAsia="仿宋" w:cs="仿宋"/>
          <w:color w:val="000000" w:themeColor="text1"/>
          <w:sz w:val="32"/>
          <w:szCs w:val="32"/>
          <w:lang w:val="en-US" w:eastAsia="zh-CN"/>
          <w14:textFill>
            <w14:solidFill>
              <w14:schemeClr w14:val="tx1"/>
            </w14:solidFill>
          </w14:textFill>
        </w:rPr>
        <w:t>完成良好</w:t>
      </w:r>
      <w:r>
        <w:rPr>
          <w:rFonts w:hint="eastAsia" w:ascii="仿宋" w:hAnsi="仿宋" w:eastAsia="仿宋" w:cs="仿宋"/>
          <w:color w:val="000000" w:themeColor="text1"/>
          <w:sz w:val="32"/>
          <w:szCs w:val="32"/>
          <w14:textFill>
            <w14:solidFill>
              <w14:schemeClr w14:val="tx1"/>
            </w14:solidFill>
          </w14:textFill>
        </w:rPr>
        <w:t>。</w:t>
      </w:r>
    </w:p>
    <w:p>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1.项目绩效目标完成情况</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本部门</w:t>
      </w:r>
      <w:r>
        <w:rPr>
          <w:rFonts w:hint="eastAsia" w:ascii="仿宋" w:hAnsi="仿宋" w:eastAsia="仿宋" w:cs="仿宋"/>
          <w:sz w:val="32"/>
          <w:szCs w:val="32"/>
        </w:rPr>
        <w:t xml:space="preserve">在2020年度部门决算中反映“ </w:t>
      </w:r>
      <w:r>
        <w:rPr>
          <w:rFonts w:hint="eastAsia" w:ascii="仿宋" w:hAnsi="仿宋" w:eastAsia="仿宋" w:cs="仿宋"/>
          <w:sz w:val="32"/>
          <w:szCs w:val="32"/>
          <w:highlight w:val="none"/>
          <w:lang w:val="en-US" w:eastAsia="zh-CN"/>
        </w:rPr>
        <w:t>生均公用经费</w:t>
      </w:r>
      <w:r>
        <w:rPr>
          <w:rFonts w:hint="eastAsia" w:ascii="仿宋" w:hAnsi="仿宋" w:eastAsia="仿宋" w:cs="仿宋"/>
          <w:sz w:val="32"/>
          <w:szCs w:val="32"/>
        </w:rPr>
        <w:t>”项目绩效目标实际完成情况。</w:t>
      </w:r>
    </w:p>
    <w:p>
      <w:pPr>
        <w:spacing w:line="58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sz w:val="32"/>
          <w:szCs w:val="32"/>
          <w:highlight w:val="none"/>
          <w:lang w:val="en-US" w:eastAsia="zh-CN"/>
        </w:rPr>
        <w:t>生均公用经费</w:t>
      </w:r>
      <w:r>
        <w:rPr>
          <w:rFonts w:hint="eastAsia" w:ascii="仿宋" w:hAnsi="仿宋" w:eastAsia="仿宋" w:cs="仿宋"/>
          <w:sz w:val="32"/>
          <w:szCs w:val="32"/>
        </w:rPr>
        <w:t>项目绩效目标完成情况综述。</w:t>
      </w:r>
      <w:r>
        <w:rPr>
          <w:rFonts w:hint="eastAsia" w:ascii="仿宋" w:hAnsi="仿宋" w:eastAsia="仿宋" w:cs="仿宋"/>
          <w:sz w:val="32"/>
          <w:szCs w:val="32"/>
          <w:highlight w:val="none"/>
          <w:lang w:val="en-US" w:eastAsia="zh-CN"/>
        </w:rPr>
        <w:t>生均公用经费</w:t>
      </w:r>
      <w:r>
        <w:rPr>
          <w:rFonts w:hint="eastAsia" w:ascii="仿宋" w:hAnsi="仿宋" w:eastAsia="仿宋" w:cs="仿宋"/>
          <w:sz w:val="32"/>
          <w:szCs w:val="32"/>
        </w:rPr>
        <w:t>项目全年预算数</w:t>
      </w:r>
      <w:r>
        <w:rPr>
          <w:rFonts w:hint="eastAsia" w:ascii="仿宋" w:hAnsi="仿宋" w:eastAsia="仿宋" w:cs="仿宋"/>
          <w:sz w:val="32"/>
          <w:szCs w:val="32"/>
          <w:lang w:val="en-US" w:eastAsia="zh-CN"/>
        </w:rPr>
        <w:t>60.94</w:t>
      </w:r>
      <w:r>
        <w:rPr>
          <w:rFonts w:hint="eastAsia" w:ascii="仿宋" w:hAnsi="仿宋" w:eastAsia="仿宋" w:cs="仿宋"/>
          <w:sz w:val="32"/>
          <w:szCs w:val="32"/>
        </w:rPr>
        <w:t>万元，执行数为</w:t>
      </w:r>
      <w:r>
        <w:rPr>
          <w:rFonts w:hint="eastAsia" w:ascii="仿宋" w:hAnsi="仿宋" w:eastAsia="仿宋" w:cs="仿宋"/>
          <w:sz w:val="32"/>
          <w:szCs w:val="32"/>
          <w:lang w:val="en-US" w:eastAsia="zh-CN"/>
        </w:rPr>
        <w:t>60.94</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99.77</w:t>
      </w:r>
      <w:r>
        <w:rPr>
          <w:rFonts w:hint="eastAsia" w:ascii="仿宋" w:hAnsi="仿宋" w:eastAsia="仿宋" w:cs="仿宋"/>
          <w:sz w:val="32"/>
          <w:szCs w:val="32"/>
        </w:rPr>
        <w:t>%。通过项目实施，保障</w:t>
      </w:r>
      <w:r>
        <w:rPr>
          <w:rFonts w:hint="eastAsia" w:ascii="仿宋" w:hAnsi="仿宋" w:eastAsia="仿宋" w:cs="仿宋"/>
          <w:color w:val="000000"/>
          <w:sz w:val="32"/>
          <w:szCs w:val="32"/>
          <w:lang w:val="en-US" w:eastAsia="zh-CN"/>
        </w:rPr>
        <w:t>学校正常运转。</w:t>
      </w:r>
    </w:p>
    <w:tbl>
      <w:tblPr>
        <w:tblStyle w:val="10"/>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788"/>
        <w:gridCol w:w="969"/>
        <w:gridCol w:w="1025"/>
        <w:gridCol w:w="2392"/>
        <w:gridCol w:w="2394"/>
        <w:gridCol w:w="2392"/>
      </w:tblGrid>
      <w:tr>
        <w:tblPrEx>
          <w:tblCellMar>
            <w:top w:w="0" w:type="dxa"/>
            <w:left w:w="0" w:type="dxa"/>
            <w:bottom w:w="0" w:type="dxa"/>
            <w:right w:w="0" w:type="dxa"/>
          </w:tblCellMar>
        </w:tblPrEx>
        <w:trPr>
          <w:trHeight w:val="828"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36"/>
                <w:szCs w:val="36"/>
                <w:lang w:eastAsia="zh-CN" w:bidi="ar"/>
              </w:rPr>
            </w:pPr>
            <w:r>
              <w:rPr>
                <w:rFonts w:hint="eastAsia" w:ascii="宋体" w:hAnsi="宋体" w:cs="宋体"/>
                <w:b/>
                <w:bCs/>
                <w:color w:val="000000"/>
                <w:kern w:val="0"/>
                <w:sz w:val="36"/>
                <w:szCs w:val="36"/>
                <w:lang w:bidi="ar"/>
              </w:rPr>
              <w:t>项目绩效目标完成情况表</w:t>
            </w:r>
          </w:p>
          <w:p>
            <w:pPr>
              <w:widowControl/>
              <w:jc w:val="center"/>
              <w:textAlignment w:val="center"/>
              <w:rPr>
                <w:rFonts w:ascii="宋体" w:cs="宋体"/>
                <w:color w:val="000000"/>
                <w:sz w:val="36"/>
                <w:szCs w:val="36"/>
              </w:rPr>
            </w:pP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459"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sz w:val="32"/>
                <w:szCs w:val="32"/>
                <w:highlight w:val="none"/>
                <w:lang w:val="en-US" w:eastAsia="zh-CN"/>
              </w:rPr>
              <w:t>生均公用经费</w:t>
            </w:r>
          </w:p>
        </w:tc>
      </w:tr>
      <w:tr>
        <w:tblPrEx>
          <w:tblCellMar>
            <w:top w:w="0" w:type="dxa"/>
            <w:left w:w="0" w:type="dxa"/>
            <w:bottom w:w="0" w:type="dxa"/>
            <w:right w:w="0" w:type="dxa"/>
          </w:tblCellMar>
        </w:tblPrEx>
        <w:trPr>
          <w:trHeight w:val="519"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sz w:val="32"/>
                <w:szCs w:val="32"/>
              </w:rPr>
              <w:t>四川省乐山市五通桥区</w:t>
            </w:r>
            <w:r>
              <w:rPr>
                <w:rFonts w:hint="eastAsia" w:ascii="仿宋" w:hAnsi="仿宋" w:eastAsia="仿宋" w:cs="仿宋"/>
                <w:sz w:val="32"/>
                <w:szCs w:val="32"/>
                <w:lang w:eastAsia="zh-CN"/>
              </w:rPr>
              <w:t>西坝镇西坝小学</w:t>
            </w:r>
          </w:p>
        </w:tc>
      </w:tr>
      <w:tr>
        <w:tblPrEx>
          <w:tblCellMar>
            <w:top w:w="0" w:type="dxa"/>
            <w:left w:w="0" w:type="dxa"/>
            <w:bottom w:w="0" w:type="dxa"/>
            <w:right w:w="0" w:type="dxa"/>
          </w:tblCellMar>
        </w:tblPrEx>
        <w:trPr>
          <w:trHeight w:val="619" w:hRule="atLeast"/>
          <w:jc w:val="center"/>
        </w:trPr>
        <w:tc>
          <w:tcPr>
            <w:tcW w:w="7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预算执行情况(万元)</w:t>
            </w:r>
          </w:p>
        </w:tc>
        <w:tc>
          <w:tcPr>
            <w:tcW w:w="19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预算数: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FF0000"/>
                <w:sz w:val="32"/>
                <w:szCs w:val="32"/>
                <w:lang w:eastAsia="zh-CN"/>
              </w:rPr>
            </w:pPr>
            <w:r>
              <w:rPr>
                <w:rFonts w:hint="eastAsia" w:ascii="仿宋" w:hAnsi="仿宋" w:eastAsia="仿宋" w:cs="仿宋"/>
                <w:color w:val="auto"/>
                <w:sz w:val="32"/>
                <w:szCs w:val="32"/>
                <w:lang w:val="en-US" w:eastAsia="zh-CN"/>
              </w:rPr>
              <w:t>60.94</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000000"/>
                <w:sz w:val="32"/>
                <w:szCs w:val="32"/>
                <w:lang w:eastAsia="zh-CN"/>
              </w:rPr>
            </w:pPr>
            <w:r>
              <w:rPr>
                <w:rFonts w:hint="eastAsia" w:ascii="仿宋" w:hAnsi="仿宋" w:eastAsia="仿宋" w:cs="仿宋"/>
                <w:color w:val="auto"/>
                <w:sz w:val="32"/>
                <w:szCs w:val="32"/>
                <w:lang w:val="en-US" w:eastAsia="zh-CN"/>
              </w:rPr>
              <w:t>60.94</w:t>
            </w:r>
          </w:p>
        </w:tc>
      </w:tr>
      <w:tr>
        <w:tblPrEx>
          <w:tblCellMar>
            <w:top w:w="0" w:type="dxa"/>
            <w:left w:w="0" w:type="dxa"/>
            <w:bottom w:w="0" w:type="dxa"/>
            <w:right w:w="0" w:type="dxa"/>
          </w:tblCellMar>
        </w:tblPrEx>
        <w:trPr>
          <w:trHeight w:val="728"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32"/>
                <w:szCs w:val="32"/>
              </w:rPr>
            </w:pPr>
          </w:p>
        </w:tc>
        <w:tc>
          <w:tcPr>
            <w:tcW w:w="19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FF0000"/>
                <w:sz w:val="32"/>
                <w:szCs w:val="32"/>
                <w:lang w:eastAsia="zh-CN"/>
              </w:rPr>
            </w:pPr>
            <w:r>
              <w:rPr>
                <w:rFonts w:hint="eastAsia" w:ascii="仿宋" w:hAnsi="仿宋" w:eastAsia="仿宋" w:cs="仿宋"/>
                <w:color w:val="auto"/>
                <w:sz w:val="32"/>
                <w:szCs w:val="32"/>
                <w:lang w:val="en-US" w:eastAsia="zh-CN"/>
              </w:rPr>
              <w:t>60.94</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auto"/>
                <w:sz w:val="32"/>
                <w:szCs w:val="32"/>
                <w:lang w:val="en-US" w:eastAsia="zh-CN"/>
              </w:rPr>
              <w:t>60.94</w:t>
            </w:r>
          </w:p>
        </w:tc>
      </w:tr>
      <w:tr>
        <w:tblPrEx>
          <w:tblCellMar>
            <w:top w:w="0" w:type="dxa"/>
            <w:left w:w="0" w:type="dxa"/>
            <w:bottom w:w="0" w:type="dxa"/>
            <w:right w:w="0" w:type="dxa"/>
          </w:tblCellMar>
        </w:tblPrEx>
        <w:trPr>
          <w:trHeight w:val="632"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32"/>
                <w:szCs w:val="32"/>
              </w:rPr>
            </w:pPr>
          </w:p>
        </w:tc>
        <w:tc>
          <w:tcPr>
            <w:tcW w:w="19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r>
      <w:tr>
        <w:tblPrEx>
          <w:tblCellMar>
            <w:top w:w="0" w:type="dxa"/>
            <w:left w:w="0" w:type="dxa"/>
            <w:bottom w:w="0" w:type="dxa"/>
            <w:right w:w="0" w:type="dxa"/>
          </w:tblCellMar>
        </w:tblPrEx>
        <w:trPr>
          <w:trHeight w:val="952" w:hRule="atLeast"/>
          <w:jc w:val="center"/>
        </w:trPr>
        <w:tc>
          <w:tcPr>
            <w:tcW w:w="7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年度目标完成情况</w:t>
            </w:r>
          </w:p>
        </w:tc>
        <w:tc>
          <w:tcPr>
            <w:tcW w:w="43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实际完成目标</w:t>
            </w:r>
          </w:p>
        </w:tc>
      </w:tr>
      <w:tr>
        <w:tblPrEx>
          <w:tblCellMar>
            <w:top w:w="0" w:type="dxa"/>
            <w:left w:w="0" w:type="dxa"/>
            <w:bottom w:w="0" w:type="dxa"/>
            <w:right w:w="0" w:type="dxa"/>
          </w:tblCellMar>
        </w:tblPrEx>
        <w:trPr>
          <w:trHeight w:val="3325"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32"/>
                <w:szCs w:val="32"/>
              </w:rPr>
            </w:pPr>
          </w:p>
        </w:tc>
        <w:tc>
          <w:tcPr>
            <w:tcW w:w="43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全年计划投入60.94万元，保障学校正常运转，完成学校正常办公支出、维修、班级文化校园文化建设、教职工培训等。</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全年执行投入60.94万元，保障了学校正常运转，完成了学校正常办公支出、维修、班级文化校园文化建设、教职工培训等。保障了正常的教育教学秩序，顺利完成了教育教学任务。</w:t>
            </w:r>
          </w:p>
        </w:tc>
      </w:tr>
      <w:tr>
        <w:tblPrEx>
          <w:tblCellMar>
            <w:top w:w="0" w:type="dxa"/>
            <w:left w:w="0" w:type="dxa"/>
            <w:bottom w:w="0" w:type="dxa"/>
            <w:right w:w="0" w:type="dxa"/>
          </w:tblCellMar>
        </w:tblPrEx>
        <w:trPr>
          <w:trHeight w:val="1452" w:hRule="atLeast"/>
          <w:jc w:val="center"/>
        </w:trPr>
        <w:tc>
          <w:tcPr>
            <w:tcW w:w="78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绩效指标完成情况</w:t>
            </w:r>
          </w:p>
        </w:tc>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000000"/>
                <w:kern w:val="0"/>
                <w:sz w:val="32"/>
                <w:szCs w:val="32"/>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实际完成指标值(包含数字及文字描述)</w:t>
            </w:r>
          </w:p>
        </w:tc>
      </w:tr>
      <w:tr>
        <w:tblPrEx>
          <w:tblCellMar>
            <w:top w:w="0" w:type="dxa"/>
            <w:left w:w="0" w:type="dxa"/>
            <w:bottom w:w="0" w:type="dxa"/>
            <w:right w:w="0" w:type="dxa"/>
          </w:tblCellMar>
        </w:tblPrEx>
        <w:trPr>
          <w:trHeight w:val="953"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产出指标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数量</w:t>
            </w:r>
            <w:r>
              <w:rPr>
                <w:rFonts w:hint="eastAsia" w:ascii="仿宋" w:hAnsi="仿宋" w:eastAsia="仿宋" w:cs="仿宋"/>
                <w:color w:val="000000"/>
                <w:sz w:val="32"/>
                <w:szCs w:val="32"/>
              </w:rPr>
              <w:t>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在校学生人数</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802</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802</w:t>
            </w:r>
          </w:p>
        </w:tc>
      </w:tr>
      <w:tr>
        <w:tblPrEx>
          <w:tblCellMar>
            <w:top w:w="0" w:type="dxa"/>
            <w:left w:w="0" w:type="dxa"/>
            <w:bottom w:w="0" w:type="dxa"/>
            <w:right w:w="0" w:type="dxa"/>
          </w:tblCellMar>
        </w:tblPrEx>
        <w:trPr>
          <w:trHeight w:val="1297"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项目预算成本</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zh-CN"/>
              </w:rPr>
              <w:t>60.94</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960" w:firstLineChars="300"/>
              <w:jc w:val="both"/>
              <w:textAlignment w:val="center"/>
              <w:rPr>
                <w:rFonts w:hint="eastAsia"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zh-CN"/>
              </w:rPr>
              <w:t>60.94</w:t>
            </w:r>
          </w:p>
        </w:tc>
      </w:tr>
      <w:tr>
        <w:tblPrEx>
          <w:tblCellMar>
            <w:top w:w="0" w:type="dxa"/>
            <w:left w:w="0" w:type="dxa"/>
            <w:bottom w:w="0" w:type="dxa"/>
            <w:right w:w="0" w:type="dxa"/>
          </w:tblCellMar>
        </w:tblPrEx>
        <w:trPr>
          <w:trHeight w:val="1297"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质量</w:t>
            </w:r>
            <w:r>
              <w:rPr>
                <w:rFonts w:hint="eastAsia" w:ascii="仿宋" w:hAnsi="仿宋" w:eastAsia="仿宋" w:cs="仿宋"/>
                <w:color w:val="000000"/>
                <w:sz w:val="32"/>
                <w:szCs w:val="32"/>
              </w:rPr>
              <w:t>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校园安全率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100%</w:t>
            </w:r>
          </w:p>
        </w:tc>
      </w:tr>
      <w:tr>
        <w:tblPrEx>
          <w:tblCellMar>
            <w:top w:w="0" w:type="dxa"/>
            <w:left w:w="0" w:type="dxa"/>
            <w:bottom w:w="0" w:type="dxa"/>
            <w:right w:w="0" w:type="dxa"/>
          </w:tblCellMar>
        </w:tblPrEx>
        <w:trPr>
          <w:trHeight w:val="1055"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质量</w:t>
            </w:r>
            <w:r>
              <w:rPr>
                <w:rFonts w:hint="eastAsia" w:ascii="仿宋" w:hAnsi="仿宋" w:eastAsia="仿宋" w:cs="仿宋"/>
                <w:color w:val="000000"/>
                <w:sz w:val="32"/>
                <w:szCs w:val="32"/>
              </w:rPr>
              <w:t>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教师师资力量</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持续提升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持续提升</w:t>
            </w:r>
          </w:p>
        </w:tc>
      </w:tr>
      <w:tr>
        <w:tblPrEx>
          <w:tblCellMar>
            <w:top w:w="0" w:type="dxa"/>
            <w:left w:w="0" w:type="dxa"/>
            <w:bottom w:w="0" w:type="dxa"/>
            <w:right w:w="0" w:type="dxa"/>
          </w:tblCellMar>
        </w:tblPrEx>
        <w:trPr>
          <w:trHeight w:val="1042"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32"/>
                <w:szCs w:val="32"/>
                <w:lang w:bidi="ar"/>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项目完成是否在计划时间内</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是</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是</w:t>
            </w:r>
          </w:p>
        </w:tc>
      </w:tr>
      <w:tr>
        <w:tblPrEx>
          <w:tblCellMar>
            <w:top w:w="0" w:type="dxa"/>
            <w:left w:w="0" w:type="dxa"/>
            <w:bottom w:w="0" w:type="dxa"/>
            <w:right w:w="0" w:type="dxa"/>
          </w:tblCellMar>
        </w:tblPrEx>
        <w:trPr>
          <w:trHeight w:val="1042"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可持续影响</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是否能带来有力可持续影响</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 xml:space="preserve"> 是</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是</w:t>
            </w:r>
          </w:p>
        </w:tc>
      </w:tr>
      <w:tr>
        <w:tblPrEx>
          <w:tblCellMar>
            <w:top w:w="0" w:type="dxa"/>
            <w:left w:w="0" w:type="dxa"/>
            <w:bottom w:w="0" w:type="dxa"/>
            <w:right w:w="0" w:type="dxa"/>
          </w:tblCellMar>
        </w:tblPrEx>
        <w:trPr>
          <w:trHeight w:val="1050" w:hRule="atLeast"/>
          <w:jc w:val="center"/>
        </w:trPr>
        <w:tc>
          <w:tcPr>
            <w:tcW w:w="78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学生家长满意度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100%</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firstLine="640" w:firstLineChars="200"/>
        <w:rPr>
          <w:rFonts w:hint="eastAsia" w:ascii="仿宋" w:hAnsi="仿宋" w:eastAsia="仿宋" w:cs="仿宋"/>
          <w:sz w:val="32"/>
          <w:szCs w:val="32"/>
        </w:rPr>
      </w:pPr>
      <w:bookmarkStart w:id="89" w:name="_Toc15377226"/>
      <w:r>
        <w:rPr>
          <w:rFonts w:hint="eastAsia" w:ascii="仿宋" w:hAnsi="仿宋" w:eastAsia="仿宋" w:cs="仿宋"/>
          <w:sz w:val="32"/>
          <w:szCs w:val="32"/>
        </w:rPr>
        <w:t>2.部门绩效评价结果</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本部门按要求对2020年部门整体支出绩效评价情况开展自评，《乐山市五通桥区</w:t>
      </w:r>
      <w:r>
        <w:rPr>
          <w:rFonts w:hint="eastAsia" w:ascii="仿宋" w:hAnsi="仿宋" w:eastAsia="仿宋" w:cs="仿宋"/>
          <w:sz w:val="32"/>
          <w:szCs w:val="32"/>
          <w:lang w:eastAsia="zh-CN"/>
        </w:rPr>
        <w:t>西坝镇西坝小学</w:t>
      </w:r>
      <w:r>
        <w:rPr>
          <w:rFonts w:hint="eastAsia" w:ascii="仿宋" w:hAnsi="仿宋" w:eastAsia="仿宋" w:cs="仿宋"/>
          <w:sz w:val="32"/>
          <w:szCs w:val="32"/>
        </w:rPr>
        <w:t>部门2020年部门整体支出绩效评价报告》见附件（附件1）。</w:t>
      </w:r>
    </w:p>
    <w:p>
      <w:pPr>
        <w:spacing w:line="580" w:lineRule="exact"/>
        <w:ind w:firstLine="640" w:firstLineChars="200"/>
        <w:rPr>
          <w:rFonts w:hint="eastAsia" w:ascii="仿宋" w:hAnsi="仿宋" w:eastAsia="仿宋" w:cs="仿宋"/>
          <w:b/>
          <w:color w:val="000000"/>
          <w:sz w:val="32"/>
          <w:szCs w:val="32"/>
        </w:rPr>
      </w:pPr>
      <w:r>
        <w:rPr>
          <w:rFonts w:hint="eastAsia" w:ascii="仿宋" w:hAnsi="仿宋" w:eastAsia="仿宋" w:cs="仿宋"/>
          <w:sz w:val="32"/>
          <w:szCs w:val="32"/>
        </w:rPr>
        <w:t>本部门自行组织对</w:t>
      </w:r>
      <w:r>
        <w:rPr>
          <w:rFonts w:hint="eastAsia" w:ascii="仿宋" w:hAnsi="仿宋" w:eastAsia="仿宋" w:cs="仿宋"/>
          <w:sz w:val="32"/>
          <w:szCs w:val="32"/>
          <w:highlight w:val="none"/>
          <w:lang w:val="en-US" w:eastAsia="zh-CN"/>
        </w:rPr>
        <w:t>生均公用经费</w:t>
      </w:r>
      <w:r>
        <w:rPr>
          <w:rFonts w:hint="eastAsia" w:ascii="仿宋" w:hAnsi="仿宋" w:eastAsia="仿宋" w:cs="仿宋"/>
          <w:sz w:val="32"/>
          <w:szCs w:val="32"/>
        </w:rPr>
        <w:t>项目开展了绩效评价，《</w:t>
      </w:r>
      <w:r>
        <w:rPr>
          <w:rFonts w:hint="eastAsia" w:ascii="仿宋" w:hAnsi="仿宋" w:eastAsia="仿宋" w:cs="仿宋"/>
          <w:sz w:val="32"/>
          <w:szCs w:val="32"/>
          <w:highlight w:val="none"/>
          <w:lang w:val="en-US" w:eastAsia="zh-CN"/>
        </w:rPr>
        <w:t>生均公用经费</w:t>
      </w:r>
      <w:r>
        <w:rPr>
          <w:rFonts w:hint="eastAsia" w:ascii="仿宋" w:hAnsi="仿宋" w:eastAsia="仿宋" w:cs="仿宋"/>
          <w:sz w:val="32"/>
          <w:szCs w:val="32"/>
        </w:rPr>
        <w:t>项目2020年绩效评价报告》见附件（附件2）。</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14"/>
          <w:rFonts w:ascii="黑体" w:hAnsi="黑体" w:eastAsia="黑体"/>
          <w:b w:val="0"/>
        </w:rPr>
      </w:pPr>
      <w:bookmarkStart w:id="90" w:name="_Toc15396613"/>
      <w:bookmarkStart w:id="91" w:name="_Toc15377225"/>
      <w:bookmarkStart w:id="92" w:name="_Toc11423"/>
      <w:r>
        <w:rPr>
          <w:rFonts w:hint="eastAsia" w:ascii="黑体" w:hAnsi="黑体" w:eastAsia="黑体"/>
          <w:color w:val="000000"/>
          <w:sz w:val="44"/>
          <w:szCs w:val="44"/>
        </w:rPr>
        <w:t>名</w:t>
      </w:r>
      <w:r>
        <w:rPr>
          <w:rStyle w:val="14"/>
          <w:rFonts w:hint="eastAsia" w:ascii="黑体" w:hAnsi="黑体" w:eastAsia="黑体"/>
          <w:b w:val="0"/>
        </w:rPr>
        <w:t>词解释</w:t>
      </w:r>
      <w:bookmarkEnd w:id="90"/>
      <w:bookmarkEnd w:id="91"/>
      <w:bookmarkEnd w:id="92"/>
    </w:p>
    <w:p>
      <w:pPr>
        <w:spacing w:line="600" w:lineRule="exact"/>
        <w:jc w:val="left"/>
        <w:rPr>
          <w:rFonts w:ascii="宋体"/>
          <w:b/>
          <w:color w:val="000000"/>
          <w:sz w:val="44"/>
          <w:szCs w:val="44"/>
        </w:rPr>
      </w:pPr>
    </w:p>
    <w:p>
      <w:pPr>
        <w:pStyle w:val="17"/>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1.财政拨款收入：指单位从同级财政部门取得的财政预算资金。</w:t>
      </w:r>
    </w:p>
    <w:p>
      <w:pPr>
        <w:pStyle w:val="17"/>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2</w:t>
      </w:r>
      <w:r>
        <w:rPr>
          <w:rFonts w:hint="eastAsia" w:ascii="仿宋" w:hAnsi="仿宋" w:eastAsia="仿宋" w:cs="仿宋"/>
          <w:sz w:val="32"/>
          <w:szCs w:val="32"/>
        </w:rPr>
        <w:t>.其他收入：指单位取得的除上述收入以外的各项收入。主要是</w:t>
      </w:r>
      <w:r>
        <w:rPr>
          <w:rFonts w:hint="eastAsia" w:ascii="仿宋" w:hAnsi="仿宋" w:eastAsia="仿宋" w:cs="仿宋"/>
          <w:sz w:val="32"/>
          <w:szCs w:val="32"/>
          <w:lang w:val="en-US" w:eastAsia="zh-CN"/>
        </w:rPr>
        <w:t>利息收入</w:t>
      </w:r>
      <w:r>
        <w:rPr>
          <w:rFonts w:hint="eastAsia" w:ascii="仿宋" w:hAnsi="仿宋" w:eastAsia="仿宋" w:cs="仿宋"/>
          <w:sz w:val="32"/>
          <w:szCs w:val="32"/>
        </w:rPr>
        <w:t xml:space="preserve">等。 </w:t>
      </w:r>
    </w:p>
    <w:p>
      <w:pPr>
        <w:pStyle w:val="17"/>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3</w:t>
      </w:r>
      <w:r>
        <w:rPr>
          <w:rFonts w:hint="eastAsia" w:ascii="仿宋" w:hAnsi="仿宋" w:eastAsia="仿宋" w:cs="仿宋"/>
          <w:sz w:val="32"/>
          <w:szCs w:val="32"/>
        </w:rPr>
        <w:t xml:space="preserve">.使用非财政拨款结余：指事业单位使用以前年度积累的非财政拨款结余弥补当年收支差额的金额。 </w:t>
      </w:r>
    </w:p>
    <w:p>
      <w:pPr>
        <w:pStyle w:val="17"/>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4</w:t>
      </w:r>
      <w:r>
        <w:rPr>
          <w:rFonts w:hint="eastAsia" w:ascii="仿宋" w:hAnsi="仿宋" w:eastAsia="仿宋" w:cs="仿宋"/>
          <w:sz w:val="32"/>
          <w:szCs w:val="32"/>
        </w:rPr>
        <w:t xml:space="preserve">.年初结转和结余：指以前年度尚未完成、结转到本年按有关规定继续使用的资金。 </w:t>
      </w:r>
    </w:p>
    <w:p>
      <w:pPr>
        <w:pStyle w:val="17"/>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5</w:t>
      </w:r>
      <w:r>
        <w:rPr>
          <w:rFonts w:hint="eastAsia" w:ascii="仿宋" w:hAnsi="仿宋" w:eastAsia="仿宋" w:cs="仿宋"/>
          <w:sz w:val="32"/>
          <w:szCs w:val="32"/>
        </w:rPr>
        <w:t>.结余分配：指事业单位按照会计制度规定缴纳的所得税、提取的专用结余以及转入非财政拨款结余的金额等。</w:t>
      </w:r>
    </w:p>
    <w:p>
      <w:pPr>
        <w:pStyle w:val="17"/>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6</w:t>
      </w:r>
      <w:r>
        <w:rPr>
          <w:rFonts w:hint="eastAsia" w:ascii="仿宋" w:hAnsi="仿宋" w:eastAsia="仿宋" w:cs="仿宋"/>
          <w:sz w:val="32"/>
          <w:szCs w:val="32"/>
        </w:rPr>
        <w:t>、年末结转和结余：指单位按有关规定结转到下年或以后年度继续使用的资金。</w:t>
      </w:r>
    </w:p>
    <w:p>
      <w:pPr>
        <w:ind w:firstLine="640" w:firstLineChars="200"/>
        <w:rPr>
          <w:rFonts w:hint="eastAsia" w:ascii="仿宋" w:hAnsi="仿宋" w:eastAsia="仿宋" w:cs="仿宋"/>
          <w:b w:val="0"/>
          <w:bCs w:val="0"/>
          <w:color w:val="000000"/>
          <w:sz w:val="32"/>
          <w:szCs w:val="32"/>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w:t>
      </w:r>
      <w:r>
        <w:rPr>
          <w:rFonts w:hint="eastAsia" w:ascii="仿宋" w:hAnsi="仿宋" w:eastAsia="仿宋" w:cs="仿宋"/>
          <w:b w:val="0"/>
          <w:bCs w:val="0"/>
          <w:color w:val="000000"/>
          <w:sz w:val="32"/>
          <w:szCs w:val="32"/>
        </w:rPr>
        <w:t>教育（类）普通教育（款）学前教育（项）：指反映各部门举办的学前教育支出。</w:t>
      </w:r>
    </w:p>
    <w:p>
      <w:pPr>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000000"/>
          <w:spacing w:val="0"/>
          <w:w w:val="100"/>
          <w:position w:val="0"/>
          <w:sz w:val="32"/>
          <w:szCs w:val="32"/>
          <w:lang w:val="en-US" w:eastAsia="zh-CN"/>
        </w:rPr>
        <w:t>8.</w:t>
      </w:r>
      <w:r>
        <w:rPr>
          <w:rFonts w:hint="eastAsia" w:ascii="仿宋" w:hAnsi="仿宋" w:eastAsia="仿宋" w:cs="仿宋"/>
          <w:b w:val="0"/>
          <w:bCs w:val="0"/>
          <w:color w:val="000000"/>
          <w:sz w:val="32"/>
          <w:szCs w:val="32"/>
        </w:rPr>
        <w:t>教育（类）普通教育（款）小学教育（项）：指反映各部门举办的小学教育支出。政府各部门对社会中介 组织等举办的小学的资助，如各类捐赠、补贴等，也在本科 目中反映。</w:t>
      </w:r>
    </w:p>
    <w:p>
      <w:pPr>
        <w:ind w:firstLine="640" w:firstLineChars="200"/>
        <w:rPr>
          <w:rFonts w:hint="eastAsia" w:ascii="仿宋" w:hAnsi="仿宋" w:eastAsia="仿宋" w:cs="仿宋"/>
          <w:b w:val="0"/>
          <w:bCs w:val="0"/>
          <w:color w:val="000000"/>
          <w:sz w:val="32"/>
          <w:szCs w:val="32"/>
        </w:rPr>
      </w:pP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w:t>
      </w:r>
      <w:r>
        <w:rPr>
          <w:rFonts w:hint="eastAsia" w:ascii="仿宋" w:hAnsi="仿宋" w:eastAsia="仿宋" w:cs="仿宋"/>
          <w:b w:val="0"/>
          <w:bCs w:val="0"/>
          <w:color w:val="000000"/>
          <w:sz w:val="32"/>
          <w:szCs w:val="32"/>
        </w:rPr>
        <w:t>教育（类）教育费附加安排的支出（款）其他教育费附加安排的支出（项）：指反映除上述项目以外的教育费附加支出。</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.社会保障和就业支出（类）行政事业单位养老支出（款）机关事业单位基本养老保险缴费支出（项）：指反映机关事业单位实施养老保险制度由单位缴纳的基本老保险费支出。</w:t>
      </w:r>
    </w:p>
    <w:p>
      <w:pPr>
        <w:ind w:firstLine="640" w:firstLineChars="200"/>
        <w:rPr>
          <w:rFonts w:hint="eastAsia" w:ascii="仿宋" w:hAnsi="仿宋" w:eastAsia="仿宋" w:cs="仿宋"/>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1</w:t>
      </w:r>
      <w:r>
        <w:rPr>
          <w:rFonts w:ascii="仿宋_GB2312" w:eastAsia="仿宋_GB2312"/>
          <w:color w:val="000000"/>
          <w:sz w:val="32"/>
          <w:szCs w:val="32"/>
        </w:rPr>
        <w:t>.</w:t>
      </w:r>
      <w:r>
        <w:rPr>
          <w:rFonts w:hint="eastAsia" w:ascii="仿宋" w:hAnsi="仿宋" w:eastAsia="仿宋" w:cs="仿宋"/>
          <w:color w:val="000000"/>
          <w:sz w:val="32"/>
          <w:szCs w:val="32"/>
        </w:rPr>
        <w:t>社会保障和就业支出（类）行政事业单位养老支出（款）机关事业单位职业年金缴费支出（项）：指反映机关事业单位实施养老保险制度由单位实际缴纳的业年金支出。</w:t>
      </w:r>
    </w:p>
    <w:p>
      <w:pPr>
        <w:ind w:firstLine="640" w:firstLineChars="200"/>
        <w:rPr>
          <w:rFonts w:hint="eastAsia" w:ascii="仿宋" w:hAnsi="仿宋" w:eastAsia="仿宋" w:cs="仿宋"/>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2</w:t>
      </w:r>
      <w:r>
        <w:rPr>
          <w:rFonts w:ascii="仿宋_GB2312" w:eastAsia="仿宋_GB2312"/>
          <w:color w:val="000000"/>
          <w:sz w:val="32"/>
          <w:szCs w:val="32"/>
        </w:rPr>
        <w:t>.</w:t>
      </w:r>
      <w:r>
        <w:rPr>
          <w:rFonts w:hint="eastAsia" w:ascii="仿宋" w:hAnsi="仿宋" w:eastAsia="仿宋" w:cs="仿宋"/>
          <w:color w:val="000000"/>
          <w:sz w:val="32"/>
          <w:szCs w:val="32"/>
        </w:rPr>
        <w:t>社会保障和就业支出（类）行政事业单位养老支出（款）其他行政事业单位养老支出（项）：指反映除上述项目以外其他用于行政事业单位养老方面的支出。</w:t>
      </w:r>
    </w:p>
    <w:p>
      <w:pPr>
        <w:ind w:firstLine="640" w:firstLineChars="200"/>
        <w:rPr>
          <w:rFonts w:hint="eastAsia" w:ascii="仿宋" w:hAnsi="仿宋" w:eastAsia="仿宋" w:cs="仿宋"/>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3</w:t>
      </w:r>
      <w:r>
        <w:rPr>
          <w:rFonts w:ascii="仿宋_GB2312" w:eastAsia="仿宋_GB2312"/>
          <w:color w:val="000000"/>
          <w:sz w:val="32"/>
          <w:szCs w:val="32"/>
        </w:rPr>
        <w:t>.</w:t>
      </w:r>
      <w:r>
        <w:rPr>
          <w:rFonts w:hint="eastAsia" w:ascii="仿宋" w:hAnsi="仿宋" w:eastAsia="仿宋" w:cs="仿宋"/>
          <w:color w:val="000000"/>
          <w:sz w:val="32"/>
          <w:szCs w:val="32"/>
        </w:rPr>
        <w:t>卫生健康支出（类）行政事业单位医疗（款）事业单位医疗（项）：指反映财政部门安排的事业单位基本医疗保险缴费经费，未 参加医疗保险的事业单位的公费医疗经费，按国家规定享受 离休人员待遇的医疗经费。</w:t>
      </w:r>
    </w:p>
    <w:p>
      <w:pPr>
        <w:ind w:firstLine="640" w:firstLineChars="200"/>
        <w:rPr>
          <w:rFonts w:hint="eastAsia" w:ascii="仿宋" w:hAnsi="仿宋" w:eastAsia="仿宋" w:cs="仿宋"/>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4</w:t>
      </w:r>
      <w:r>
        <w:rPr>
          <w:rFonts w:ascii="仿宋_GB2312" w:eastAsia="仿宋_GB2312"/>
          <w:color w:val="000000"/>
          <w:sz w:val="32"/>
          <w:szCs w:val="32"/>
        </w:rPr>
        <w:t>.</w:t>
      </w:r>
      <w:r>
        <w:rPr>
          <w:rFonts w:hint="eastAsia" w:ascii="仿宋" w:hAnsi="仿宋" w:eastAsia="仿宋" w:cs="仿宋"/>
          <w:color w:val="000000"/>
          <w:sz w:val="32"/>
          <w:szCs w:val="32"/>
        </w:rPr>
        <w:t>住房保障支出（类）住房改革支出（款）住房公积金（项）：指反映行政事业单位按人力资源和社会保障部、财政部规定 的基本工资和津贴补贴以及规定比例为职工缴纳的住房公 积金。</w:t>
      </w:r>
    </w:p>
    <w:p>
      <w:pPr>
        <w:ind w:firstLine="640" w:firstLineChars="200"/>
        <w:rPr>
          <w:rFonts w:hint="eastAsia" w:ascii="仿宋" w:hAnsi="仿宋" w:eastAsia="仿宋" w:cs="仿宋"/>
          <w:color w:val="000000"/>
          <w:sz w:val="32"/>
          <w:szCs w:val="32"/>
        </w:rPr>
      </w:pPr>
      <w:bookmarkStart w:id="93" w:name="_Toc15396614"/>
      <w:r>
        <w:rPr>
          <w:rFonts w:hint="eastAsia" w:ascii="仿宋" w:hAnsi="仿宋" w:eastAsia="仿宋" w:cs="仿宋"/>
          <w:color w:val="000000"/>
          <w:sz w:val="32"/>
          <w:szCs w:val="32"/>
          <w:lang w:val="en-US" w:eastAsia="zh-CN"/>
        </w:rPr>
        <w:t>15</w:t>
      </w:r>
      <w:r>
        <w:rPr>
          <w:rFonts w:hint="eastAsia" w:ascii="仿宋" w:hAnsi="仿宋" w:eastAsia="仿宋" w:cs="仿宋"/>
          <w:color w:val="000000"/>
          <w:sz w:val="32"/>
          <w:szCs w:val="32"/>
        </w:rPr>
        <w:t>.基本支出：指为保障机构正常运转、完成日常工作任务而发生的人员支出和公用支出。</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16</w:t>
      </w:r>
      <w:r>
        <w:rPr>
          <w:rFonts w:hint="eastAsia" w:ascii="仿宋" w:hAnsi="仿宋" w:eastAsia="仿宋" w:cs="仿宋"/>
          <w:color w:val="000000"/>
          <w:sz w:val="32"/>
          <w:szCs w:val="32"/>
        </w:rPr>
        <w:t xml:space="preserve">.项目支出：指在基本支出之外为完成特定行政任务和事业发展目标所发生的支出。 </w:t>
      </w:r>
    </w:p>
    <w:p>
      <w:pPr>
        <w:pStyle w:val="17"/>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17</w:t>
      </w:r>
      <w:r>
        <w:rPr>
          <w:rFonts w:hint="eastAsia" w:ascii="仿宋" w:hAnsi="仿宋" w:eastAsia="仿宋" w:cs="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center"/>
        <w:outlineLvl w:val="0"/>
        <w:rPr>
          <w:rStyle w:val="14"/>
          <w:rFonts w:ascii="黑体" w:hAnsi="黑体" w:eastAsia="黑体"/>
          <w:b w:val="0"/>
        </w:rPr>
      </w:pPr>
      <w:bookmarkStart w:id="94" w:name="_Toc29794"/>
      <w:r>
        <w:rPr>
          <w:rFonts w:hint="eastAsia" w:ascii="黑体" w:hAnsi="黑体" w:eastAsia="黑体"/>
          <w:color w:val="000000"/>
          <w:sz w:val="44"/>
          <w:szCs w:val="44"/>
        </w:rPr>
        <w:t>第</w:t>
      </w:r>
      <w:r>
        <w:rPr>
          <w:rStyle w:val="14"/>
          <w:rFonts w:hint="eastAsia" w:ascii="黑体" w:hAnsi="黑体" w:eastAsia="黑体"/>
          <w:b w:val="0"/>
        </w:rPr>
        <w:t>四部分</w:t>
      </w:r>
      <w:r>
        <w:rPr>
          <w:rStyle w:val="14"/>
          <w:rFonts w:ascii="黑体" w:hAnsi="黑体" w:eastAsia="黑体"/>
          <w:b w:val="0"/>
        </w:rPr>
        <w:t xml:space="preserve"> </w:t>
      </w:r>
      <w:r>
        <w:rPr>
          <w:rStyle w:val="14"/>
          <w:rFonts w:hint="eastAsia" w:ascii="黑体" w:hAnsi="黑体" w:eastAsia="黑体"/>
          <w:b w:val="0"/>
        </w:rPr>
        <w:t>附件</w:t>
      </w:r>
      <w:bookmarkEnd w:id="93"/>
      <w:bookmarkEnd w:id="94"/>
    </w:p>
    <w:p>
      <w:pPr>
        <w:spacing w:line="600" w:lineRule="exact"/>
        <w:jc w:val="left"/>
        <w:outlineLvl w:val="0"/>
        <w:rPr>
          <w:rFonts w:ascii="方正小标宋简体" w:hAnsi="方正小标宋简体" w:eastAsia="方正小标宋简体" w:cs="方正小标宋简体"/>
          <w:sz w:val="32"/>
          <w:szCs w:val="32"/>
        </w:rPr>
      </w:pPr>
      <w:bookmarkStart w:id="95" w:name="_Toc19158"/>
      <w:r>
        <w:rPr>
          <w:rFonts w:hint="eastAsia" w:ascii="黑体" w:hAnsi="黑体" w:eastAsia="黑体" w:cs="黑体"/>
          <w:sz w:val="32"/>
          <w:szCs w:val="32"/>
        </w:rPr>
        <w:t>附件</w:t>
      </w:r>
      <w:r>
        <w:rPr>
          <w:rFonts w:ascii="黑体" w:hAnsi="黑体" w:eastAsia="黑体" w:cs="黑体"/>
          <w:sz w:val="32"/>
          <w:szCs w:val="32"/>
        </w:rPr>
        <w:t>1</w:t>
      </w:r>
      <w:bookmarkEnd w:id="95"/>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rPr>
        <w:t>四川省乐山市五通桥区</w:t>
      </w:r>
      <w:r>
        <w:rPr>
          <w:rFonts w:hint="eastAsia" w:ascii="方正小标宋简体" w:hAnsi="宋体" w:eastAsia="方正小标宋简体"/>
          <w:color w:val="000000"/>
          <w:kern w:val="0"/>
          <w:sz w:val="40"/>
          <w:szCs w:val="44"/>
          <w:lang w:eastAsia="zh-CN"/>
        </w:rPr>
        <w:t>西坝镇西坝小学</w:t>
      </w:r>
      <w:r>
        <w:rPr>
          <w:rFonts w:ascii="方正小标宋简体" w:hAnsi="宋体" w:eastAsia="方正小标宋简体"/>
          <w:color w:val="000000"/>
          <w:kern w:val="0"/>
          <w:sz w:val="40"/>
          <w:szCs w:val="44"/>
        </w:rPr>
        <w:t>2020</w:t>
      </w:r>
      <w:r>
        <w:rPr>
          <w:rFonts w:hint="eastAsia"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spacing w:line="600" w:lineRule="exact"/>
        <w:jc w:val="center"/>
        <w:rPr>
          <w:rFonts w:hint="eastAsia" w:ascii="方正小标宋简体" w:hAnsi="宋体" w:eastAsia="方正小标宋简体"/>
          <w:color w:val="000000"/>
          <w:kern w:val="0"/>
          <w:sz w:val="40"/>
          <w:szCs w:val="44"/>
          <w:lang w:val="zh-CN"/>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（一）机构组成</w:t>
      </w:r>
    </w:p>
    <w:p>
      <w:pPr>
        <w:widowControl/>
        <w:numPr>
          <w:ilvl w:val="0"/>
          <w:numId w:val="0"/>
        </w:numPr>
        <w:adjustRightInd w:val="0"/>
        <w:snapToGrid w:val="0"/>
        <w:spacing w:line="580" w:lineRule="exact"/>
        <w:ind w:firstLine="60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_GB2312" w:eastAsia="仿宋_GB2312"/>
          <w:sz w:val="30"/>
          <w:szCs w:val="30"/>
          <w:lang w:eastAsia="zh-CN"/>
        </w:rPr>
        <w:t>五通桥区西坝镇西坝小学执行事业单位会计制度，单位基本性质为财政补助事业单位，单位属于普通小学教育。</w:t>
      </w:r>
    </w:p>
    <w:p>
      <w:pPr>
        <w:widowControl/>
        <w:numPr>
          <w:ilvl w:val="0"/>
          <w:numId w:val="4"/>
        </w:numPr>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机构职能</w:t>
      </w:r>
    </w:p>
    <w:p>
      <w:pPr>
        <w:ind w:firstLineChars="200"/>
        <w:rPr>
          <w:rFonts w:hint="eastAsia" w:ascii="仿宋_GB2312" w:eastAsia="仿宋_GB2312"/>
          <w:color w:val="FF0000"/>
          <w:sz w:val="30"/>
          <w:szCs w:val="30"/>
          <w:lang w:val="en-US" w:eastAsia="zh-CN"/>
        </w:rPr>
      </w:pPr>
      <w:r>
        <w:rPr>
          <w:rFonts w:hint="eastAsia" w:ascii="仿宋_GB2312" w:eastAsia="仿宋_GB2312"/>
          <w:sz w:val="30"/>
          <w:szCs w:val="30"/>
          <w:lang w:eastAsia="zh-CN"/>
        </w:rPr>
        <w:t>乐山市五通桥区西坝镇西坝小学</w:t>
      </w:r>
      <w:r>
        <w:rPr>
          <w:rFonts w:hint="eastAsia" w:ascii="仿宋_GB2312" w:eastAsia="仿宋_GB2312"/>
          <w:sz w:val="30"/>
          <w:szCs w:val="30"/>
        </w:rPr>
        <w:t>其主要职能是</w:t>
      </w:r>
      <w:r>
        <w:rPr>
          <w:rFonts w:hint="eastAsia" w:ascii="仿宋_GB2312" w:eastAsia="仿宋_GB2312"/>
          <w:sz w:val="30"/>
          <w:szCs w:val="30"/>
          <w:lang w:val="en-US" w:eastAsia="zh-CN"/>
        </w:rPr>
        <w:t>实施小学义务教育，促进基础教育发展</w:t>
      </w:r>
      <w:r>
        <w:rPr>
          <w:rFonts w:hint="eastAsia" w:ascii="仿宋_GB2312" w:eastAsia="仿宋_GB2312"/>
          <w:sz w:val="30"/>
          <w:szCs w:val="30"/>
        </w:rPr>
        <w:t>。</w:t>
      </w:r>
    </w:p>
    <w:p>
      <w:pPr>
        <w:widowControl/>
        <w:numPr>
          <w:ilvl w:val="0"/>
          <w:numId w:val="4"/>
        </w:numPr>
        <w:adjustRightInd w:val="0"/>
        <w:snapToGrid w:val="0"/>
        <w:spacing w:line="580" w:lineRule="exact"/>
        <w:ind w:left="0" w:leftChars="0"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人员概况</w:t>
      </w:r>
    </w:p>
    <w:p>
      <w:pPr>
        <w:widowControl/>
        <w:numPr>
          <w:ilvl w:val="0"/>
          <w:numId w:val="0"/>
        </w:numPr>
        <w:adjustRightInd w:val="0"/>
        <w:snapToGrid w:val="0"/>
        <w:spacing w:line="580" w:lineRule="exact"/>
        <w:ind w:firstLine="600" w:firstLineChars="200"/>
        <w:contextualSpacing/>
        <w:jc w:val="left"/>
        <w:rPr>
          <w:rFonts w:hint="eastAsia" w:ascii="仿宋_GB2312" w:eastAsia="仿宋_GB2312"/>
          <w:sz w:val="30"/>
          <w:szCs w:val="30"/>
          <w:lang w:val="zh-CN" w:eastAsia="zh-CN"/>
        </w:rPr>
      </w:pPr>
      <w:r>
        <w:rPr>
          <w:rFonts w:hint="eastAsia" w:ascii="仿宋_GB2312" w:eastAsia="仿宋_GB2312"/>
          <w:sz w:val="30"/>
          <w:szCs w:val="30"/>
          <w:lang w:eastAsia="zh-CN"/>
        </w:rPr>
        <w:t>五通桥区西坝镇西坝小学截至2020年12月31日，已纳入我单位资产报表编制范围的单位共1户，独立编制机构数1个，较上年度增长0。截至 2020 年 12月31日，我单位 编制人数 46 人 ， 较上年度增加 0 人 ， 年末实有人数 5</w:t>
      </w:r>
      <w:r>
        <w:rPr>
          <w:rFonts w:hint="eastAsia" w:ascii="仿宋_GB2312" w:eastAsia="仿宋_GB2312"/>
          <w:sz w:val="30"/>
          <w:szCs w:val="30"/>
          <w:lang w:val="en-US" w:eastAsia="zh-CN"/>
        </w:rPr>
        <w:t>7</w:t>
      </w:r>
      <w:r>
        <w:rPr>
          <w:rFonts w:hint="eastAsia" w:ascii="仿宋_GB2312" w:eastAsia="仿宋_GB2312"/>
          <w:sz w:val="30"/>
          <w:szCs w:val="30"/>
          <w:lang w:eastAsia="zh-CN"/>
        </w:rPr>
        <w:t xml:space="preserve"> 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（一）部门财政资金收入情况</w:t>
      </w:r>
    </w:p>
    <w:p>
      <w:pPr>
        <w:spacing w:line="600" w:lineRule="exact"/>
        <w:ind w:firstLine="640"/>
        <w:rPr>
          <w:rFonts w:hint="eastAsia" w:ascii="仿宋" w:hAnsi="仿宋" w:eastAsia="仿宋"/>
          <w:color w:val="000000"/>
          <w:sz w:val="32"/>
          <w:szCs w:val="32"/>
          <w:lang w:val="zh-CN"/>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年财政拨款收</w:t>
      </w:r>
      <w:r>
        <w:rPr>
          <w:rFonts w:hint="eastAsia" w:ascii="仿宋" w:hAnsi="仿宋" w:eastAsia="仿宋"/>
          <w:color w:val="000000"/>
          <w:sz w:val="32"/>
          <w:szCs w:val="32"/>
          <w:lang w:val="en-US" w:eastAsia="zh-CN"/>
        </w:rPr>
        <w:t>入943.84万元</w:t>
      </w:r>
      <w:r>
        <w:rPr>
          <w:rFonts w:hint="eastAsia" w:ascii="仿宋" w:hAnsi="仿宋" w:eastAsia="仿宋"/>
          <w:color w:val="000000"/>
          <w:sz w:val="32"/>
          <w:szCs w:val="32"/>
        </w:rPr>
        <w:t>。与</w:t>
      </w:r>
      <w:r>
        <w:rPr>
          <w:rFonts w:hint="eastAsia" w:ascii="仿宋" w:hAnsi="仿宋" w:eastAsia="仿宋"/>
          <w:color w:val="000000"/>
          <w:sz w:val="32"/>
          <w:szCs w:val="32"/>
          <w:lang w:eastAsia="zh-CN"/>
        </w:rPr>
        <w:t>20</w:t>
      </w:r>
      <w:r>
        <w:rPr>
          <w:rFonts w:hint="eastAsia" w:ascii="仿宋" w:hAnsi="仿宋" w:eastAsia="仿宋"/>
          <w:color w:val="000000"/>
          <w:sz w:val="32"/>
          <w:szCs w:val="32"/>
          <w:lang w:val="en-US" w:eastAsia="zh-CN"/>
        </w:rPr>
        <w:t>19</w:t>
      </w:r>
      <w:r>
        <w:rPr>
          <w:rFonts w:hint="eastAsia" w:ascii="仿宋" w:hAnsi="仿宋" w:eastAsia="仿宋"/>
          <w:color w:val="000000"/>
          <w:sz w:val="32"/>
          <w:szCs w:val="32"/>
        </w:rPr>
        <w:t>年相比，财政拨款收</w:t>
      </w:r>
      <w:r>
        <w:rPr>
          <w:rFonts w:hint="eastAsia" w:ascii="仿宋" w:hAnsi="仿宋" w:eastAsia="仿宋"/>
          <w:color w:val="000000"/>
          <w:sz w:val="32"/>
          <w:szCs w:val="32"/>
          <w:lang w:val="en-US" w:eastAsia="zh-CN"/>
        </w:rPr>
        <w:t>入</w:t>
      </w:r>
      <w:r>
        <w:rPr>
          <w:rFonts w:hint="eastAsia" w:ascii="仿宋" w:hAnsi="仿宋" w:eastAsia="仿宋"/>
          <w:color w:val="000000"/>
          <w:sz w:val="32"/>
          <w:szCs w:val="32"/>
        </w:rPr>
        <w:t>增加</w:t>
      </w:r>
      <w:r>
        <w:rPr>
          <w:rFonts w:hint="eastAsia" w:ascii="仿宋" w:hAnsi="仿宋" w:eastAsia="仿宋"/>
          <w:color w:val="000000"/>
          <w:sz w:val="32"/>
          <w:szCs w:val="32"/>
          <w:lang w:val="en-US" w:eastAsia="zh-CN"/>
        </w:rPr>
        <w:t>41.17万元、</w:t>
      </w:r>
      <w:r>
        <w:rPr>
          <w:rFonts w:hint="eastAsia" w:ascii="仿宋" w:hAnsi="仿宋" w:eastAsia="仿宋"/>
          <w:color w:val="000000"/>
          <w:sz w:val="32"/>
          <w:szCs w:val="32"/>
        </w:rPr>
        <w:t>增长</w:t>
      </w:r>
      <w:r>
        <w:rPr>
          <w:rFonts w:hint="eastAsia" w:ascii="仿宋" w:hAnsi="仿宋" w:eastAsia="仿宋"/>
          <w:color w:val="000000"/>
          <w:sz w:val="32"/>
          <w:szCs w:val="32"/>
          <w:lang w:val="en-US" w:eastAsia="zh-CN"/>
        </w:rPr>
        <w:t>4.58</w:t>
      </w:r>
      <w:r>
        <w:rPr>
          <w:rFonts w:ascii="仿宋" w:hAnsi="仿宋" w:eastAsia="仿宋"/>
          <w:color w:val="000000"/>
          <w:sz w:val="32"/>
          <w:szCs w:val="32"/>
        </w:rPr>
        <w:t>%</w:t>
      </w:r>
      <w:r>
        <w:rPr>
          <w:rFonts w:hint="eastAsia" w:ascii="仿宋" w:hAnsi="仿宋" w:eastAsia="仿宋"/>
          <w:color w:val="000000"/>
          <w:sz w:val="32"/>
          <w:szCs w:val="32"/>
        </w:rPr>
        <w:t>。</w:t>
      </w:r>
    </w:p>
    <w:p>
      <w:pPr>
        <w:widowControl/>
        <w:numPr>
          <w:ilvl w:val="0"/>
          <w:numId w:val="5"/>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部门财政资金支出情况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基本支出</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20</w:t>
      </w:r>
      <w:r>
        <w:rPr>
          <w:rFonts w:hint="eastAsia" w:ascii="仿宋" w:hAnsi="仿宋" w:eastAsia="仿宋" w:cs="仿宋"/>
          <w:i w:val="0"/>
          <w:iCs w:val="0"/>
          <w:caps w:val="0"/>
          <w:color w:val="333333"/>
          <w:spacing w:val="0"/>
          <w:sz w:val="32"/>
          <w:szCs w:val="32"/>
          <w:lang w:val="en-US" w:eastAsia="zh-CN"/>
        </w:rPr>
        <w:t>20</w:t>
      </w:r>
      <w:r>
        <w:rPr>
          <w:rFonts w:hint="eastAsia" w:ascii="仿宋" w:hAnsi="仿宋" w:eastAsia="仿宋" w:cs="仿宋"/>
          <w:i w:val="0"/>
          <w:iCs w:val="0"/>
          <w:caps w:val="0"/>
          <w:color w:val="333333"/>
          <w:spacing w:val="0"/>
          <w:sz w:val="32"/>
          <w:szCs w:val="32"/>
        </w:rPr>
        <w:t>年1</w:t>
      </w:r>
      <w:r>
        <w:rPr>
          <w:rFonts w:hint="eastAsia" w:ascii="仿宋" w:hAnsi="仿宋" w:eastAsia="仿宋" w:cs="仿宋"/>
          <w:i w:val="0"/>
          <w:iCs w:val="0"/>
          <w:caps w:val="0"/>
          <w:color w:val="333333"/>
          <w:spacing w:val="0"/>
          <w:sz w:val="32"/>
          <w:szCs w:val="32"/>
          <w:lang w:val="en-US" w:eastAsia="zh-CN"/>
        </w:rPr>
        <w:t>2</w:t>
      </w:r>
      <w:r>
        <w:rPr>
          <w:rFonts w:hint="eastAsia" w:ascii="仿宋" w:hAnsi="仿宋" w:eastAsia="仿宋" w:cs="仿宋"/>
          <w:i w:val="0"/>
          <w:iCs w:val="0"/>
          <w:caps w:val="0"/>
          <w:color w:val="333333"/>
          <w:spacing w:val="0"/>
          <w:sz w:val="32"/>
          <w:szCs w:val="32"/>
        </w:rPr>
        <w:t>月止基本支出</w:t>
      </w:r>
      <w:r>
        <w:rPr>
          <w:rFonts w:hint="eastAsia" w:ascii="仿宋" w:hAnsi="仿宋" w:eastAsia="仿宋"/>
          <w:color w:val="000000"/>
          <w:sz w:val="32"/>
          <w:szCs w:val="32"/>
          <w:lang w:val="en-US" w:eastAsia="zh-CN"/>
        </w:rPr>
        <w:t>859.02</w:t>
      </w:r>
      <w:r>
        <w:rPr>
          <w:rFonts w:hint="eastAsia" w:ascii="仿宋" w:hAnsi="仿宋" w:eastAsia="仿宋" w:cs="仿宋"/>
          <w:i w:val="0"/>
          <w:iCs w:val="0"/>
          <w:caps w:val="0"/>
          <w:color w:val="333333"/>
          <w:spacing w:val="0"/>
          <w:sz w:val="32"/>
          <w:szCs w:val="32"/>
        </w:rPr>
        <w:t>万元，其中：人员经费支出</w:t>
      </w:r>
      <w:r>
        <w:rPr>
          <w:rFonts w:hint="eastAsia" w:ascii="仿宋" w:hAnsi="仿宋" w:eastAsia="仿宋"/>
          <w:color w:val="000000"/>
          <w:sz w:val="32"/>
          <w:szCs w:val="32"/>
          <w:lang w:val="en-US" w:eastAsia="zh-CN"/>
        </w:rPr>
        <w:t>835.82</w:t>
      </w:r>
      <w:r>
        <w:rPr>
          <w:rFonts w:hint="eastAsia" w:ascii="仿宋" w:hAnsi="仿宋" w:eastAsia="仿宋" w:cs="仿宋"/>
          <w:i w:val="0"/>
          <w:iCs w:val="0"/>
          <w:caps w:val="0"/>
          <w:color w:val="333333"/>
          <w:spacing w:val="0"/>
          <w:sz w:val="32"/>
          <w:szCs w:val="32"/>
        </w:rPr>
        <w:t>万元、商品和服务支出</w:t>
      </w:r>
      <w:r>
        <w:rPr>
          <w:rFonts w:hint="eastAsia" w:ascii="仿宋" w:hAnsi="仿宋" w:eastAsia="仿宋"/>
          <w:color w:val="000000"/>
          <w:sz w:val="32"/>
          <w:szCs w:val="32"/>
          <w:lang w:val="en-US" w:eastAsia="zh-CN"/>
        </w:rPr>
        <w:t>23.2</w:t>
      </w:r>
      <w:r>
        <w:rPr>
          <w:rFonts w:hint="eastAsia" w:ascii="仿宋" w:hAnsi="仿宋" w:eastAsia="仿宋" w:cs="仿宋"/>
          <w:i w:val="0"/>
          <w:iCs w:val="0"/>
          <w:caps w:val="0"/>
          <w:color w:val="333333"/>
          <w:spacing w:val="0"/>
          <w:sz w:val="32"/>
          <w:szCs w:val="32"/>
        </w:rPr>
        <w:t>万元（</w:t>
      </w:r>
      <w:r>
        <w:rPr>
          <w:rFonts w:hint="eastAsia" w:ascii="仿宋" w:hAnsi="仿宋" w:eastAsia="仿宋" w:cs="仿宋"/>
          <w:i w:val="0"/>
          <w:iCs w:val="0"/>
          <w:caps w:val="0"/>
          <w:color w:val="333333"/>
          <w:spacing w:val="0"/>
          <w:sz w:val="32"/>
          <w:szCs w:val="32"/>
          <w:lang w:eastAsia="zh-CN"/>
        </w:rPr>
        <w:t>工会经费</w:t>
      </w:r>
      <w:r>
        <w:rPr>
          <w:rFonts w:hint="eastAsia" w:ascii="仿宋" w:hAnsi="仿宋" w:eastAsia="仿宋" w:cs="仿宋"/>
          <w:i w:val="0"/>
          <w:iCs w:val="0"/>
          <w:caps w:val="0"/>
          <w:color w:val="333333"/>
          <w:spacing w:val="0"/>
          <w:sz w:val="32"/>
          <w:szCs w:val="32"/>
        </w:rPr>
        <w:t>、</w:t>
      </w:r>
      <w:r>
        <w:rPr>
          <w:rFonts w:hint="eastAsia" w:ascii="仿宋" w:hAnsi="仿宋" w:eastAsia="仿宋" w:cs="仿宋"/>
          <w:i w:val="0"/>
          <w:iCs w:val="0"/>
          <w:caps w:val="0"/>
          <w:color w:val="333333"/>
          <w:spacing w:val="0"/>
          <w:sz w:val="32"/>
          <w:szCs w:val="32"/>
          <w:lang w:eastAsia="zh-CN"/>
        </w:rPr>
        <w:t>福利费</w:t>
      </w:r>
      <w:r>
        <w:rPr>
          <w:rFonts w:hint="eastAsia" w:ascii="仿宋" w:hAnsi="仿宋" w:eastAsia="仿宋" w:cs="仿宋"/>
          <w:i w:val="0"/>
          <w:iCs w:val="0"/>
          <w:caps w:val="0"/>
          <w:color w:val="333333"/>
          <w:spacing w:val="0"/>
          <w:sz w:val="32"/>
          <w:szCs w:val="32"/>
        </w:rPr>
        <w:t>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仿宋" w:hAnsi="仿宋" w:eastAsia="仿宋" w:cs="仿宋"/>
          <w:i w:val="0"/>
          <w:iCs w:val="0"/>
          <w:caps w:val="0"/>
          <w:color w:val="333333"/>
          <w:spacing w:val="0"/>
          <w:sz w:val="32"/>
          <w:szCs w:val="32"/>
          <w:lang w:val="zh-CN" w:eastAsia="zh-CN"/>
        </w:rPr>
      </w:pPr>
      <w:r>
        <w:rPr>
          <w:rFonts w:hint="eastAsia" w:ascii="仿宋" w:hAnsi="仿宋" w:eastAsia="仿宋" w:cs="仿宋"/>
          <w:i w:val="0"/>
          <w:iCs w:val="0"/>
          <w:caps w:val="0"/>
          <w:color w:val="333333"/>
          <w:spacing w:val="0"/>
          <w:sz w:val="32"/>
          <w:szCs w:val="32"/>
        </w:rPr>
        <w:t>专项支出</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本年下拨专项资金</w:t>
      </w:r>
      <w:r>
        <w:rPr>
          <w:rFonts w:hint="eastAsia" w:ascii="仿宋" w:hAnsi="仿宋" w:eastAsia="仿宋" w:cs="仿宋"/>
          <w:i w:val="0"/>
          <w:iCs w:val="0"/>
          <w:caps w:val="0"/>
          <w:color w:val="333333"/>
          <w:spacing w:val="0"/>
          <w:sz w:val="32"/>
          <w:szCs w:val="32"/>
          <w:lang w:val="en-US" w:eastAsia="zh-CN"/>
        </w:rPr>
        <w:t>84.82</w:t>
      </w:r>
      <w:r>
        <w:rPr>
          <w:rFonts w:hint="eastAsia" w:ascii="仿宋" w:hAnsi="仿宋" w:eastAsia="仿宋" w:cs="仿宋"/>
          <w:i w:val="0"/>
          <w:iCs w:val="0"/>
          <w:caps w:val="0"/>
          <w:color w:val="333333"/>
          <w:spacing w:val="0"/>
          <w:sz w:val="32"/>
          <w:szCs w:val="32"/>
        </w:rPr>
        <w:t>万元，专项资金实行“专人管理、专线使用、专账核算”，按照《专项资金使用办法》、《专项资金管理制度》、《财务管理制度》等制度，该资金用于</w:t>
      </w:r>
      <w:r>
        <w:rPr>
          <w:rFonts w:hint="eastAsia" w:ascii="仿宋" w:hAnsi="仿宋" w:eastAsia="仿宋" w:cs="仿宋"/>
          <w:i w:val="0"/>
          <w:iCs w:val="0"/>
          <w:caps w:val="0"/>
          <w:color w:val="333333"/>
          <w:spacing w:val="0"/>
          <w:sz w:val="32"/>
          <w:szCs w:val="32"/>
          <w:lang w:eastAsia="zh-CN"/>
        </w:rPr>
        <w:t>学校正常运行</w:t>
      </w:r>
      <w:r>
        <w:rPr>
          <w:rFonts w:hint="eastAsia" w:ascii="仿宋" w:hAnsi="仿宋" w:eastAsia="仿宋" w:cs="仿宋"/>
          <w:i w:val="0"/>
          <w:iCs w:val="0"/>
          <w:caps w:val="0"/>
          <w:color w:val="333333"/>
          <w:spacing w:val="0"/>
          <w:sz w:val="32"/>
          <w:szCs w:val="32"/>
        </w:rPr>
        <w:t>。共投入资金</w:t>
      </w:r>
      <w:r>
        <w:rPr>
          <w:rFonts w:hint="eastAsia" w:ascii="仿宋" w:hAnsi="仿宋" w:eastAsia="仿宋" w:cs="仿宋"/>
          <w:i w:val="0"/>
          <w:iCs w:val="0"/>
          <w:caps w:val="0"/>
          <w:color w:val="333333"/>
          <w:spacing w:val="0"/>
          <w:sz w:val="32"/>
          <w:szCs w:val="32"/>
          <w:lang w:val="en-US" w:eastAsia="zh-CN"/>
        </w:rPr>
        <w:t>84.82</w:t>
      </w:r>
      <w:r>
        <w:rPr>
          <w:rFonts w:hint="eastAsia" w:ascii="仿宋" w:hAnsi="仿宋" w:eastAsia="仿宋" w:cs="仿宋"/>
          <w:i w:val="0"/>
          <w:iCs w:val="0"/>
          <w:caps w:val="0"/>
          <w:color w:val="333333"/>
          <w:spacing w:val="0"/>
          <w:sz w:val="32"/>
          <w:szCs w:val="32"/>
        </w:rPr>
        <w:t>万元</w:t>
      </w:r>
      <w:r>
        <w:rPr>
          <w:rFonts w:hint="eastAsia" w:ascii="仿宋" w:hAnsi="仿宋" w:eastAsia="仿宋" w:cs="仿宋"/>
          <w:i w:val="0"/>
          <w:iCs w:val="0"/>
          <w:caps w:val="0"/>
          <w:color w:val="333333"/>
          <w:spacing w:val="0"/>
          <w:sz w:val="32"/>
          <w:szCs w:val="32"/>
          <w:lang w:eastAsia="zh-CN"/>
        </w:rPr>
        <w:t>。</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eastAsia="仿宋" w:cs="Times New Roman"/>
          <w:i w:val="0"/>
          <w:iCs w:val="0"/>
          <w:caps w:val="0"/>
          <w:color w:val="333333"/>
          <w:spacing w:val="0"/>
          <w:sz w:val="21"/>
          <w:szCs w:val="21"/>
          <w:highlight w:val="none"/>
          <w:lang w:val="en-US" w:eastAsia="zh-CN"/>
        </w:rPr>
      </w:pPr>
      <w:r>
        <w:rPr>
          <w:rFonts w:hint="eastAsia" w:ascii="仿宋" w:hAnsi="仿宋" w:eastAsia="仿宋" w:cs="仿宋"/>
          <w:i w:val="0"/>
          <w:iCs w:val="0"/>
          <w:caps w:val="0"/>
          <w:color w:val="333333"/>
          <w:spacing w:val="0"/>
          <w:sz w:val="32"/>
          <w:szCs w:val="32"/>
        </w:rPr>
        <w:t>（一）</w:t>
      </w:r>
      <w:r>
        <w:rPr>
          <w:rFonts w:hint="eastAsia" w:ascii="仿宋" w:hAnsi="仿宋" w:eastAsia="仿宋" w:cs="仿宋"/>
          <w:i w:val="0"/>
          <w:iCs w:val="0"/>
          <w:caps w:val="0"/>
          <w:color w:val="333333"/>
          <w:spacing w:val="0"/>
          <w:sz w:val="32"/>
          <w:szCs w:val="32"/>
          <w:highlight w:val="none"/>
          <w:lang w:val="en-US" w:eastAsia="zh-CN"/>
        </w:rPr>
        <w:t>部门预算管理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20</w:t>
      </w:r>
      <w:r>
        <w:rPr>
          <w:rFonts w:hint="eastAsia" w:ascii="仿宋" w:hAnsi="仿宋" w:eastAsia="仿宋" w:cs="仿宋"/>
          <w:i w:val="0"/>
          <w:iCs w:val="0"/>
          <w:caps w:val="0"/>
          <w:color w:val="333333"/>
          <w:spacing w:val="0"/>
          <w:sz w:val="32"/>
          <w:szCs w:val="32"/>
          <w:lang w:val="en-US" w:eastAsia="zh-CN"/>
        </w:rPr>
        <w:t>20</w:t>
      </w:r>
      <w:r>
        <w:rPr>
          <w:rFonts w:hint="eastAsia" w:ascii="仿宋" w:hAnsi="仿宋" w:eastAsia="仿宋" w:cs="仿宋"/>
          <w:i w:val="0"/>
          <w:iCs w:val="0"/>
          <w:caps w:val="0"/>
          <w:color w:val="333333"/>
          <w:spacing w:val="0"/>
          <w:sz w:val="32"/>
          <w:szCs w:val="32"/>
        </w:rPr>
        <w:t>年</w:t>
      </w:r>
      <w:r>
        <w:rPr>
          <w:rFonts w:hint="eastAsia" w:ascii="仿宋" w:hAnsi="仿宋" w:eastAsia="仿宋" w:cs="仿宋"/>
          <w:i w:val="0"/>
          <w:iCs w:val="0"/>
          <w:caps w:val="0"/>
          <w:color w:val="333333"/>
          <w:spacing w:val="0"/>
          <w:sz w:val="32"/>
          <w:szCs w:val="32"/>
          <w:lang w:eastAsia="zh-CN"/>
        </w:rPr>
        <w:t>四川省乐山市五通桥区</w:t>
      </w:r>
      <w:r>
        <w:rPr>
          <w:rFonts w:hint="eastAsia" w:ascii="仿宋" w:hAnsi="仿宋" w:eastAsia="仿宋" w:cs="仿宋"/>
          <w:sz w:val="32"/>
          <w:szCs w:val="32"/>
          <w:lang w:eastAsia="zh-CN"/>
        </w:rPr>
        <w:t>西坝镇西坝小学</w:t>
      </w:r>
      <w:r>
        <w:rPr>
          <w:rFonts w:hint="eastAsia" w:ascii="仿宋" w:hAnsi="仿宋" w:eastAsia="仿宋" w:cs="仿宋"/>
          <w:i w:val="0"/>
          <w:iCs w:val="0"/>
          <w:caps w:val="0"/>
          <w:color w:val="333333"/>
          <w:spacing w:val="0"/>
          <w:sz w:val="32"/>
          <w:szCs w:val="32"/>
        </w:rPr>
        <w:t>整体支出按照财政局下达的预算批复，对于基本支出中的工资福利支出、对个人和家庭补助支出按照实际在职人员及进度均衡支付；对于商品及服务支出（日常公用经费）按照年初预算执行，实现内部报告审批制度，实时监控支出情况；对于项目支出的经费使用情况进行监督检查；严格遵循厉行节约的精神，按规定开支“三公”经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lang w:eastAsia="zh-CN"/>
        </w:rPr>
        <w:t>学校</w:t>
      </w:r>
      <w:r>
        <w:rPr>
          <w:rFonts w:hint="eastAsia" w:ascii="仿宋" w:hAnsi="仿宋" w:eastAsia="仿宋" w:cs="仿宋"/>
          <w:i w:val="0"/>
          <w:iCs w:val="0"/>
          <w:caps w:val="0"/>
          <w:color w:val="333333"/>
          <w:spacing w:val="0"/>
          <w:sz w:val="32"/>
          <w:szCs w:val="32"/>
        </w:rPr>
        <w:t>工作经费安排严格按照年初预算来执行，有效防止了超预算；认真学习财经法规，严格执行财经纪律，防止了违法违纪行为的发生。</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eastAsia="仿宋" w:cs="Times New Roman"/>
          <w:i w:val="0"/>
          <w:iCs w:val="0"/>
          <w:caps w:val="0"/>
          <w:color w:val="333333"/>
          <w:spacing w:val="0"/>
          <w:sz w:val="32"/>
          <w:szCs w:val="32"/>
          <w:highlight w:val="none"/>
          <w:lang w:val="en-US" w:eastAsia="zh-CN"/>
        </w:rPr>
      </w:pPr>
      <w:r>
        <w:rPr>
          <w:rFonts w:hint="eastAsia" w:ascii="仿宋" w:hAnsi="仿宋" w:eastAsia="仿宋" w:cs="仿宋"/>
          <w:i w:val="0"/>
          <w:iCs w:val="0"/>
          <w:caps w:val="0"/>
          <w:color w:val="333333"/>
          <w:spacing w:val="0"/>
          <w:sz w:val="32"/>
          <w:szCs w:val="32"/>
        </w:rPr>
        <w:t>（二）</w:t>
      </w:r>
      <w:r>
        <w:rPr>
          <w:rFonts w:hint="eastAsia" w:ascii="仿宋" w:hAnsi="仿宋" w:eastAsia="仿宋" w:cs="仿宋"/>
          <w:i w:val="0"/>
          <w:iCs w:val="0"/>
          <w:caps w:val="0"/>
          <w:color w:val="333333"/>
          <w:spacing w:val="0"/>
          <w:sz w:val="32"/>
          <w:szCs w:val="32"/>
          <w:highlight w:val="none"/>
          <w:lang w:val="en-US" w:eastAsia="zh-CN"/>
        </w:rPr>
        <w:t>应用结果情况</w:t>
      </w:r>
    </w:p>
    <w:p>
      <w:pPr>
        <w:ind w:firstLine="640" w:firstLineChars="200"/>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rPr>
        <w:t>推进了专项工作落实</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财政监督检查、专项资金检查、违规发放津补贴的自查等多项管理工作，确保了专项资金在使用和管理上单独核算、专款专用</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保障了</w:t>
      </w:r>
      <w:r>
        <w:rPr>
          <w:rFonts w:hint="eastAsia" w:ascii="仿宋" w:hAnsi="仿宋" w:eastAsia="仿宋" w:cs="仿宋"/>
          <w:i w:val="0"/>
          <w:iCs w:val="0"/>
          <w:caps w:val="0"/>
          <w:color w:val="333333"/>
          <w:spacing w:val="0"/>
          <w:sz w:val="32"/>
          <w:szCs w:val="32"/>
          <w:lang w:eastAsia="zh-CN"/>
        </w:rPr>
        <w:t>学校</w:t>
      </w:r>
      <w:r>
        <w:rPr>
          <w:rFonts w:hint="eastAsia" w:ascii="仿宋" w:hAnsi="仿宋" w:eastAsia="仿宋" w:cs="仿宋"/>
          <w:i w:val="0"/>
          <w:iCs w:val="0"/>
          <w:caps w:val="0"/>
          <w:color w:val="333333"/>
          <w:spacing w:val="0"/>
          <w:sz w:val="32"/>
          <w:szCs w:val="32"/>
        </w:rPr>
        <w:t>有效运转</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严格按照厉行节约的要求，精打细算，规范</w:t>
      </w:r>
      <w:r>
        <w:rPr>
          <w:rFonts w:hint="eastAsia" w:ascii="仿宋" w:hAnsi="仿宋" w:eastAsia="仿宋" w:cs="仿宋"/>
          <w:i w:val="0"/>
          <w:iCs w:val="0"/>
          <w:caps w:val="0"/>
          <w:color w:val="333333"/>
          <w:spacing w:val="0"/>
          <w:sz w:val="32"/>
          <w:szCs w:val="32"/>
          <w:lang w:eastAsia="zh-CN"/>
        </w:rPr>
        <w:t>学校</w:t>
      </w:r>
      <w:r>
        <w:rPr>
          <w:rFonts w:hint="eastAsia" w:ascii="仿宋" w:hAnsi="仿宋" w:eastAsia="仿宋" w:cs="仿宋"/>
          <w:i w:val="0"/>
          <w:iCs w:val="0"/>
          <w:caps w:val="0"/>
          <w:color w:val="333333"/>
          <w:spacing w:val="0"/>
          <w:sz w:val="32"/>
          <w:szCs w:val="32"/>
        </w:rPr>
        <w:t>运转管理工作，进一步公务用车、公务接待等方面加强集中管理，提高服务质量，降低运行成本，合理配置，提高保障能力</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lang w:val="en-US" w:eastAsia="zh-CN"/>
        </w:rPr>
        <w:t>具备正确的办学理念并内化为行动习惯，规划科学的办学目标，特有的学校文化氛围，推陈出新的能力，科学管理理念与方法，学校队伍建设等的办学理念。</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w:t>
      </w:r>
      <w:r>
        <w:rPr>
          <w:rFonts w:hint="eastAsia" w:ascii="仿宋" w:hAnsi="仿宋" w:eastAsia="仿宋" w:cs="仿宋"/>
          <w:color w:val="000000"/>
          <w:kern w:val="0"/>
          <w:sz w:val="32"/>
          <w:szCs w:val="32"/>
          <w:shd w:val="clear" w:color="auto" w:fill="FFFFFF"/>
          <w:lang w:val="zh-CN"/>
        </w:rPr>
        <w:t>评价结论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51"/>
        <w:jc w:val="both"/>
        <w:rPr>
          <w:rFonts w:hint="eastAsia" w:ascii="仿宋" w:hAnsi="仿宋" w:eastAsia="仿宋" w:cs="仿宋"/>
          <w:i w:val="0"/>
          <w:iCs w:val="0"/>
          <w:caps w:val="0"/>
          <w:color w:val="333333"/>
          <w:spacing w:val="0"/>
          <w:sz w:val="32"/>
          <w:szCs w:val="32"/>
          <w:lang w:val="zh-CN"/>
        </w:rPr>
      </w:pPr>
      <w:r>
        <w:rPr>
          <w:rFonts w:hint="eastAsia" w:ascii="仿宋" w:hAnsi="仿宋" w:eastAsia="仿宋" w:cs="仿宋"/>
          <w:i w:val="0"/>
          <w:iCs w:val="0"/>
          <w:caps w:val="0"/>
          <w:color w:val="333333"/>
          <w:spacing w:val="0"/>
          <w:sz w:val="32"/>
          <w:szCs w:val="32"/>
        </w:rPr>
        <w:t>按照财政部门整体支出绩效评价指标细则，我</w:t>
      </w:r>
      <w:r>
        <w:rPr>
          <w:rFonts w:hint="eastAsia" w:ascii="仿宋" w:hAnsi="仿宋" w:eastAsia="仿宋" w:cs="仿宋"/>
          <w:i w:val="0"/>
          <w:iCs w:val="0"/>
          <w:caps w:val="0"/>
          <w:color w:val="333333"/>
          <w:spacing w:val="0"/>
          <w:sz w:val="32"/>
          <w:szCs w:val="32"/>
          <w:lang w:eastAsia="zh-CN"/>
        </w:rPr>
        <w:t>校</w:t>
      </w:r>
      <w:r>
        <w:rPr>
          <w:rFonts w:hint="eastAsia" w:ascii="仿宋" w:hAnsi="仿宋" w:eastAsia="仿宋" w:cs="仿宋"/>
          <w:i w:val="0"/>
          <w:iCs w:val="0"/>
          <w:caps w:val="0"/>
          <w:color w:val="333333"/>
          <w:spacing w:val="0"/>
          <w:sz w:val="32"/>
          <w:szCs w:val="32"/>
        </w:rPr>
        <w:t>自评得分</w:t>
      </w:r>
      <w:r>
        <w:rPr>
          <w:rFonts w:hint="eastAsia" w:ascii="仿宋" w:hAnsi="仿宋" w:eastAsia="仿宋" w:cs="仿宋"/>
          <w:i w:val="0"/>
          <w:iCs w:val="0"/>
          <w:caps w:val="0"/>
          <w:color w:val="333333"/>
          <w:spacing w:val="0"/>
          <w:sz w:val="32"/>
          <w:szCs w:val="32"/>
          <w:highlight w:val="none"/>
          <w:lang w:val="en-US" w:eastAsia="zh-CN"/>
        </w:rPr>
        <w:t>96</w:t>
      </w:r>
      <w:r>
        <w:rPr>
          <w:rFonts w:hint="eastAsia" w:ascii="仿宋" w:hAnsi="仿宋" w:eastAsia="仿宋" w:cs="仿宋"/>
          <w:i w:val="0"/>
          <w:iCs w:val="0"/>
          <w:caps w:val="0"/>
          <w:color w:val="333333"/>
          <w:spacing w:val="0"/>
          <w:sz w:val="32"/>
          <w:szCs w:val="32"/>
        </w:rPr>
        <w:t>分，总体评</w:t>
      </w:r>
      <w:r>
        <w:rPr>
          <w:rFonts w:hint="eastAsia" w:ascii="仿宋" w:hAnsi="仿宋" w:eastAsia="仿宋" w:cs="仿宋"/>
          <w:i w:val="0"/>
          <w:iCs w:val="0"/>
          <w:caps w:val="0"/>
          <w:color w:val="333333"/>
          <w:spacing w:val="0"/>
          <w:sz w:val="32"/>
          <w:szCs w:val="32"/>
          <w:lang w:eastAsia="zh-CN"/>
        </w:rPr>
        <w:t>分为优</w:t>
      </w:r>
      <w:r>
        <w:rPr>
          <w:rFonts w:hint="eastAsia" w:ascii="仿宋" w:hAnsi="仿宋" w:eastAsia="仿宋" w:cs="仿宋"/>
          <w:i w:val="0"/>
          <w:iCs w:val="0"/>
          <w:caps w:val="0"/>
          <w:color w:val="333333"/>
          <w:spacing w:val="0"/>
          <w:sz w:val="32"/>
          <w:szCs w:val="32"/>
        </w:rPr>
        <w:t>。</w:t>
      </w:r>
    </w:p>
    <w:p>
      <w:pPr>
        <w:widowControl/>
        <w:numPr>
          <w:ilvl w:val="0"/>
          <w:numId w:val="0"/>
        </w:numPr>
        <w:adjustRightInd w:val="0"/>
        <w:snapToGrid w:val="0"/>
        <w:spacing w:line="580" w:lineRule="exact"/>
        <w:ind w:leftChars="200" w:firstLine="320" w:firstLineChars="1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（二）存在问题</w:t>
      </w:r>
    </w:p>
    <w:p>
      <w:pPr>
        <w:widowControl/>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开支计划的拟定有待完善，家长和师生满意度有待继续提高。</w:t>
      </w:r>
    </w:p>
    <w:p>
      <w:pPr>
        <w:widowControl/>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（三）改进建议</w:t>
      </w:r>
    </w:p>
    <w:p>
      <w:pPr>
        <w:widowControl/>
        <w:numPr>
          <w:ilvl w:val="0"/>
          <w:numId w:val="0"/>
        </w:numPr>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进一步完善开支计划的拟定，加强提升学校教育教学水平及学校校园环境，让家长和师生满意度提高。</w:t>
      </w:r>
    </w:p>
    <w:p>
      <w:pPr>
        <w:spacing w:line="580" w:lineRule="exact"/>
        <w:ind w:firstLine="640" w:firstLineChars="200"/>
        <w:rPr>
          <w:rFonts w:hint="eastAsia" w:ascii="仿宋" w:hAnsi="仿宋" w:eastAsia="仿宋" w:cs="仿宋"/>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黑体" w:hAnsi="黑体" w:eastAsia="黑体" w:cs="黑体"/>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hint="eastAsia" w:ascii="方正小标宋简体" w:hAnsi="宋体" w:eastAsia="方正小标宋简体"/>
          <w:color w:val="000000"/>
          <w:kern w:val="0"/>
          <w:sz w:val="44"/>
          <w:szCs w:val="44"/>
          <w:lang w:val="zh-CN" w:eastAsia="zh-CN"/>
        </w:rPr>
      </w:pPr>
      <w:r>
        <w:rPr>
          <w:rFonts w:hint="eastAsia" w:ascii="方正小标宋简体" w:hAnsi="宋体" w:eastAsia="方正小标宋简体"/>
          <w:color w:val="000000"/>
          <w:kern w:val="0"/>
          <w:sz w:val="44"/>
          <w:szCs w:val="44"/>
        </w:rPr>
        <w:t>四川省乐山市五通桥区</w:t>
      </w:r>
      <w:r>
        <w:rPr>
          <w:rFonts w:hint="eastAsia" w:ascii="方正小标宋简体" w:hAnsi="宋体" w:eastAsia="方正小标宋简体"/>
          <w:color w:val="000000"/>
          <w:kern w:val="0"/>
          <w:sz w:val="44"/>
          <w:szCs w:val="44"/>
          <w:lang w:eastAsia="zh-CN"/>
        </w:rPr>
        <w:t>西坝镇西坝小学</w:t>
      </w:r>
      <w:r>
        <w:rPr>
          <w:rFonts w:hint="eastAsia" w:ascii="方正小标宋简体" w:hAnsi="宋体" w:eastAsia="方正小标宋简体"/>
          <w:color w:val="000000"/>
          <w:kern w:val="0"/>
          <w:sz w:val="44"/>
          <w:szCs w:val="44"/>
          <w:lang w:val="en-US" w:eastAsia="zh-CN"/>
        </w:rPr>
        <w:t>生均公用经费</w:t>
      </w:r>
      <w:r>
        <w:rPr>
          <w:rFonts w:hint="eastAsia" w:ascii="方正小标宋简体" w:hAnsi="宋体" w:eastAsia="方正小标宋简体"/>
          <w:color w:val="000000"/>
          <w:kern w:val="0"/>
          <w:sz w:val="44"/>
          <w:szCs w:val="44"/>
          <w:lang w:val="zh-CN" w:eastAsia="zh-CN"/>
        </w:rPr>
        <w:t>项目</w:t>
      </w:r>
      <w:r>
        <w:rPr>
          <w:rFonts w:hint="eastAsia" w:ascii="方正小标宋简体" w:hAnsi="宋体" w:eastAsia="方正小标宋简体"/>
          <w:color w:val="000000"/>
          <w:kern w:val="0"/>
          <w:sz w:val="44"/>
          <w:szCs w:val="44"/>
          <w:lang w:eastAsia="zh-CN"/>
        </w:rPr>
        <w:t>2020年</w:t>
      </w:r>
      <w:r>
        <w:rPr>
          <w:rFonts w:hint="eastAsia" w:ascii="方正小标宋简体" w:hAnsi="宋体" w:eastAsia="方正小标宋简体"/>
          <w:color w:val="000000"/>
          <w:kern w:val="0"/>
          <w:sz w:val="44"/>
          <w:szCs w:val="44"/>
          <w:lang w:val="zh-CN" w:eastAsia="zh-CN"/>
        </w:rPr>
        <w:t>绩效评价报告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楷体_GB2312" w:hAnsi="宋体" w:eastAsia="楷体_GB2312"/>
          <w:b/>
          <w:sz w:val="32"/>
          <w:szCs w:val="32"/>
          <w:lang w:val="zh-CN"/>
        </w:rPr>
        <w:t>（一）</w:t>
      </w:r>
      <w:r>
        <w:rPr>
          <w:rFonts w:hint="eastAsia" w:ascii="仿宋" w:hAnsi="仿宋" w:eastAsia="仿宋" w:cs="仿宋"/>
          <w:b/>
          <w:sz w:val="32"/>
          <w:szCs w:val="32"/>
          <w:lang w:val="zh-CN"/>
        </w:rPr>
        <w:t>项目基本情况</w:t>
      </w:r>
    </w:p>
    <w:p>
      <w:pPr>
        <w:adjustRightInd w:val="0"/>
        <w:snapToGrid w:val="0"/>
        <w:spacing w:line="600" w:lineRule="exact"/>
        <w:ind w:firstLine="720"/>
        <w:rPr>
          <w:rFonts w:hint="eastAsia" w:ascii="仿宋" w:hAnsi="仿宋" w:eastAsia="仿宋" w:cs="仿宋"/>
          <w:color w:val="000000"/>
          <w:kern w:val="0"/>
          <w:sz w:val="32"/>
          <w:szCs w:val="32"/>
          <w:shd w:val="clear" w:color="auto" w:fill="FFFFFF"/>
          <w:lang w:val="en-US" w:eastAsia="zh-CN"/>
        </w:rPr>
      </w:pPr>
      <w:r>
        <w:rPr>
          <w:rFonts w:ascii="仿宋_GB2312" w:hAnsi="宋体" w:eastAsia="仿宋_GB2312"/>
          <w:sz w:val="32"/>
          <w:szCs w:val="32"/>
          <w:lang w:val="zh-CN"/>
        </w:rPr>
        <w:t>1</w:t>
      </w:r>
      <w:r>
        <w:rPr>
          <w:rFonts w:hint="eastAsia" w:ascii="仿宋_GB2312" w:hAnsi="宋体" w:eastAsia="仿宋_GB2312"/>
          <w:sz w:val="32"/>
          <w:szCs w:val="32"/>
          <w:lang w:val="zh-CN"/>
        </w:rPr>
        <w:t>．</w:t>
      </w:r>
      <w:r>
        <w:rPr>
          <w:rFonts w:hint="eastAsia" w:ascii="仿宋" w:hAnsi="仿宋" w:eastAsia="仿宋" w:cs="仿宋"/>
          <w:color w:val="000000"/>
          <w:kern w:val="0"/>
          <w:sz w:val="32"/>
          <w:szCs w:val="32"/>
          <w:shd w:val="clear" w:color="auto" w:fill="FFFFFF"/>
          <w:lang w:val="en-US" w:eastAsia="zh-CN"/>
        </w:rPr>
        <w:t>项目职能：</w:t>
      </w:r>
    </w:p>
    <w:p>
      <w:pPr>
        <w:ind w:firstLineChars="200"/>
        <w:rPr>
          <w:rFonts w:hint="eastAsia" w:ascii="仿宋" w:hAnsi="仿宋" w:eastAsia="仿宋" w:cs="仿宋"/>
          <w:color w:val="FF0000"/>
          <w:kern w:val="0"/>
          <w:sz w:val="32"/>
          <w:szCs w:val="32"/>
          <w:shd w:val="clear" w:color="auto" w:fill="FFFFFF"/>
          <w:lang w:val="en-US" w:eastAsia="zh-CN"/>
        </w:rPr>
      </w:pPr>
      <w:r>
        <w:rPr>
          <w:rFonts w:hint="eastAsia" w:ascii="仿宋" w:hAnsi="仿宋" w:eastAsia="仿宋" w:cs="仿宋"/>
          <w:sz w:val="32"/>
          <w:szCs w:val="32"/>
        </w:rPr>
        <w:t>主要实施小学义务教育，促进基础教育发展。</w:t>
      </w:r>
    </w:p>
    <w:p>
      <w:pPr>
        <w:numPr>
          <w:ilvl w:val="0"/>
          <w:numId w:val="6"/>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项目立项、资金申报的依据。</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用于学校全</w:t>
      </w:r>
      <w:r>
        <w:rPr>
          <w:rFonts w:hint="eastAsia" w:ascii="仿宋" w:hAnsi="仿宋" w:eastAsia="仿宋" w:cs="仿宋"/>
          <w:sz w:val="32"/>
          <w:szCs w:val="32"/>
          <w:highlight w:val="none"/>
          <w:lang w:val="en-US" w:eastAsia="zh-CN"/>
        </w:rPr>
        <w:t>年教育教学正常运转</w:t>
      </w:r>
      <w:r>
        <w:rPr>
          <w:rFonts w:hint="eastAsia" w:ascii="仿宋" w:hAnsi="仿宋" w:eastAsia="仿宋" w:cs="仿宋"/>
          <w:sz w:val="32"/>
          <w:szCs w:val="32"/>
          <w:lang w:val="en-US" w:eastAsia="zh-CN"/>
        </w:rPr>
        <w:t>支出。</w:t>
      </w:r>
    </w:p>
    <w:p>
      <w:pPr>
        <w:numPr>
          <w:ilvl w:val="0"/>
          <w:numId w:val="6"/>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资金管理办法制定情况，资金支持具体项目的条件、范围与支持方式概况。</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en-US" w:eastAsia="zh-CN"/>
        </w:rPr>
        <w:t>根据学校实际情况，在保运转基础上纳入年初预算。</w:t>
      </w:r>
    </w:p>
    <w:p>
      <w:pPr>
        <w:numPr>
          <w:ilvl w:val="0"/>
          <w:numId w:val="6"/>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资金分配的原则及考虑因素。</w:t>
      </w:r>
    </w:p>
    <w:p>
      <w:pPr>
        <w:numPr>
          <w:ilvl w:val="0"/>
          <w:numId w:val="0"/>
        </w:numPr>
        <w:adjustRightInd w:val="0"/>
        <w:snapToGrid w:val="0"/>
        <w:spacing w:line="600" w:lineRule="exact"/>
        <w:ind w:left="72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该项目资金由区级配套财政资金及上级财政</w:t>
      </w:r>
      <w:r>
        <w:rPr>
          <w:rFonts w:hint="eastAsia" w:ascii="仿宋" w:hAnsi="仿宋" w:eastAsia="仿宋" w:cs="仿宋"/>
          <w:sz w:val="32"/>
          <w:szCs w:val="32"/>
          <w:lang w:val="zh-CN"/>
        </w:rPr>
        <w:t>资金</w:t>
      </w:r>
      <w:r>
        <w:rPr>
          <w:rFonts w:hint="eastAsia" w:ascii="仿宋" w:hAnsi="仿宋" w:eastAsia="仿宋" w:cs="仿宋"/>
          <w:sz w:val="32"/>
          <w:szCs w:val="32"/>
          <w:lang w:val="en-US" w:eastAsia="zh-CN"/>
        </w:rPr>
        <w:t>。</w:t>
      </w:r>
    </w:p>
    <w:p>
      <w:pPr>
        <w:numPr>
          <w:ilvl w:val="0"/>
          <w:numId w:val="0"/>
        </w:numPr>
        <w:adjustRightInd w:val="0"/>
        <w:snapToGrid w:val="0"/>
        <w:spacing w:line="600" w:lineRule="exact"/>
        <w:ind w:left="720" w:leftChars="0"/>
        <w:rPr>
          <w:rFonts w:hint="eastAsia" w:ascii="仿宋" w:hAnsi="仿宋" w:eastAsia="仿宋" w:cs="仿宋"/>
          <w:sz w:val="32"/>
          <w:szCs w:val="32"/>
          <w:lang w:val="zh-CN" w:eastAsia="zh-CN"/>
        </w:rPr>
      </w:pP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w:t>
      </w:r>
      <w:r>
        <w:rPr>
          <w:rFonts w:hint="eastAsia" w:ascii="仿宋" w:hAnsi="仿宋" w:eastAsia="仿宋" w:cs="仿宋"/>
          <w:b/>
          <w:sz w:val="32"/>
          <w:szCs w:val="32"/>
          <w:lang w:val="zh-CN"/>
        </w:rPr>
        <w:t>项目绩效目标。</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w:t>
      </w:r>
      <w:r>
        <w:rPr>
          <w:rFonts w:hint="eastAsia" w:ascii="仿宋" w:hAnsi="仿宋" w:eastAsia="仿宋" w:cs="仿宋"/>
          <w:sz w:val="32"/>
          <w:szCs w:val="32"/>
          <w:lang w:val="zh-CN"/>
        </w:rPr>
        <w:t>项目主要内容</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 w:hAnsi="仿宋" w:eastAsia="仿宋" w:cs="仿宋"/>
          <w:sz w:val="32"/>
          <w:szCs w:val="32"/>
          <w:lang w:val="en-US" w:eastAsia="zh-CN"/>
        </w:rPr>
        <w:t>2020年预计投入60.94万，涉及1个项目，用于学校正常教育教学任务。</w:t>
      </w:r>
    </w:p>
    <w:p>
      <w:pPr>
        <w:numPr>
          <w:ilvl w:val="0"/>
          <w:numId w:val="7"/>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项目应实现的具体绩效目标，包括目标的量化、细化情况以及项目实施进度计划等。</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2020年五通桥区西坝镇西坝小学按照财政局下达的预算批复，对于商品及服务支出（日常公用经费）按照年初预算执行，实现内部报告审批制度，实时监控支出情况；对于项目支出的经费使用情况进行监督检查。</w:t>
      </w:r>
    </w:p>
    <w:p>
      <w:pPr>
        <w:numPr>
          <w:ilvl w:val="0"/>
          <w:numId w:val="7"/>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分析评价申报内容是否与实际相符，申报目标是否合理可行。</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经绩效自评表分析，申报内容与实际相符，申报目标合理可行。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w:t>
      </w:r>
      <w:r>
        <w:rPr>
          <w:rFonts w:hint="eastAsia" w:ascii="仿宋" w:hAnsi="仿宋" w:eastAsia="仿宋" w:cs="仿宋"/>
          <w:b/>
          <w:sz w:val="32"/>
          <w:szCs w:val="32"/>
          <w:lang w:val="zh-CN"/>
        </w:rPr>
        <w:t>项目自评步骤及方法</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项目绩效自评采用资金执行进度和项目执行进度相结合办法组织实施，通过项目主管部门相关监督和考核科室对项目各项具体绩效目标完成情况进行分析研判得出项目执行总体执行情况。</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楷体_GB2312" w:hAnsi="宋体" w:eastAsia="楷体_GB2312"/>
          <w:b/>
          <w:sz w:val="32"/>
          <w:szCs w:val="32"/>
          <w:lang w:val="zh-CN"/>
        </w:rPr>
        <w:t>（一）</w:t>
      </w:r>
      <w:r>
        <w:rPr>
          <w:rFonts w:hint="eastAsia" w:ascii="仿宋" w:hAnsi="仿宋" w:eastAsia="仿宋" w:cs="仿宋"/>
          <w:b/>
          <w:sz w:val="32"/>
          <w:szCs w:val="32"/>
          <w:lang w:val="zh-CN"/>
        </w:rPr>
        <w:t>项目资金申报及批复情况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年初预算县级配套财政拨款资金，经财政“一上”、“二上”审核通过后进行项目资金划拨，根据单位实际支出情况，调整预算，保障学校生均公用经费正常运行。</w:t>
      </w:r>
    </w:p>
    <w:p>
      <w:pPr>
        <w:numPr>
          <w:ilvl w:val="0"/>
          <w:numId w:val="8"/>
        </w:num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资金计划、到位及使用情况</w:t>
      </w:r>
    </w:p>
    <w:p>
      <w:pPr>
        <w:numPr>
          <w:ilvl w:val="0"/>
          <w:numId w:val="0"/>
        </w:numPr>
        <w:adjustRightInd w:val="0"/>
        <w:snapToGrid w:val="0"/>
        <w:spacing w:line="600" w:lineRule="exact"/>
        <w:ind w:firstLine="640" w:firstLineChars="200"/>
        <w:rPr>
          <w:rFonts w:hint="eastAsia" w:ascii="仿宋" w:hAnsi="仿宋" w:eastAsia="仿宋" w:cs="仿宋"/>
          <w:sz w:val="32"/>
          <w:szCs w:val="32"/>
          <w:highlight w:val="none"/>
          <w:lang w:val="zh-CN" w:eastAsia="zh-CN"/>
        </w:rPr>
      </w:pPr>
      <w:r>
        <w:rPr>
          <w:rFonts w:hint="eastAsia" w:ascii="仿宋_GB2312" w:hAnsi="宋体" w:eastAsia="仿宋_GB2312" w:cs="Times New Roman"/>
          <w:sz w:val="32"/>
          <w:szCs w:val="32"/>
          <w:lang w:val="zh-CN" w:eastAsia="zh-CN"/>
        </w:rPr>
        <w:t>1．</w:t>
      </w:r>
      <w:r>
        <w:rPr>
          <w:rFonts w:hint="eastAsia" w:ascii="仿宋" w:hAnsi="仿宋" w:eastAsia="仿宋" w:cs="仿宋"/>
          <w:sz w:val="32"/>
          <w:szCs w:val="32"/>
          <w:lang w:val="zh-CN" w:eastAsia="zh-CN"/>
        </w:rPr>
        <w:t>资金计划：该项目资金由区级配套财政资金划拨及上级财政资金</w:t>
      </w:r>
      <w:r>
        <w:rPr>
          <w:rFonts w:hint="eastAsia" w:ascii="仿宋" w:hAnsi="仿宋" w:eastAsia="仿宋" w:cs="仿宋"/>
          <w:sz w:val="32"/>
          <w:szCs w:val="32"/>
          <w:highlight w:val="none"/>
          <w:lang w:val="en-US" w:eastAsia="zh-CN"/>
        </w:rPr>
        <w:t>纳入年初预算</w:t>
      </w:r>
      <w:r>
        <w:rPr>
          <w:rFonts w:hint="eastAsia" w:ascii="仿宋" w:hAnsi="仿宋" w:eastAsia="仿宋" w:cs="仿宋"/>
          <w:sz w:val="32"/>
          <w:szCs w:val="32"/>
          <w:highlight w:val="none"/>
          <w:lang w:val="zh-CN" w:eastAsia="zh-CN"/>
        </w:rPr>
        <w:t>。</w:t>
      </w:r>
    </w:p>
    <w:p>
      <w:pPr>
        <w:adjustRightInd w:val="0"/>
        <w:snapToGrid w:val="0"/>
        <w:spacing w:line="600" w:lineRule="exact"/>
        <w:ind w:firstLine="72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2．资金到位：截止评价时点该项目财政拨付项目资金</w:t>
      </w:r>
      <w:r>
        <w:rPr>
          <w:rFonts w:hint="eastAsia" w:ascii="仿宋" w:hAnsi="仿宋" w:eastAsia="仿宋" w:cs="仿宋"/>
          <w:sz w:val="32"/>
          <w:szCs w:val="32"/>
          <w:lang w:val="en-US" w:eastAsia="zh-CN"/>
        </w:rPr>
        <w:t>60.94</w:t>
      </w:r>
      <w:r>
        <w:rPr>
          <w:rFonts w:hint="eastAsia" w:ascii="仿宋" w:hAnsi="仿宋" w:eastAsia="仿宋" w:cs="仿宋"/>
          <w:sz w:val="32"/>
          <w:szCs w:val="32"/>
          <w:lang w:val="zh-CN" w:eastAsia="zh-CN"/>
        </w:rPr>
        <w:t>万元。预算资金到位</w:t>
      </w:r>
      <w:r>
        <w:rPr>
          <w:rFonts w:hint="eastAsia" w:ascii="仿宋" w:hAnsi="仿宋" w:eastAsia="仿宋" w:cs="仿宋"/>
          <w:sz w:val="32"/>
          <w:szCs w:val="32"/>
          <w:lang w:val="en-US" w:eastAsia="zh-CN"/>
        </w:rPr>
        <w:t>60.94</w:t>
      </w:r>
      <w:r>
        <w:rPr>
          <w:rFonts w:hint="eastAsia" w:ascii="仿宋" w:hAnsi="仿宋" w:eastAsia="仿宋" w:cs="仿宋"/>
          <w:sz w:val="32"/>
          <w:szCs w:val="32"/>
          <w:lang w:val="zh-CN" w:eastAsia="zh-CN"/>
        </w:rPr>
        <w:t>万元，到位率100%。</w:t>
      </w:r>
    </w:p>
    <w:p>
      <w:pPr>
        <w:adjustRightInd w:val="0"/>
        <w:snapToGrid w:val="0"/>
        <w:spacing w:line="600" w:lineRule="exact"/>
        <w:ind w:firstLine="720"/>
        <w:rPr>
          <w:rFonts w:hint="eastAsia" w:ascii="仿宋" w:hAnsi="仿宋" w:eastAsia="仿宋" w:cs="仿宋"/>
          <w:sz w:val="32"/>
          <w:szCs w:val="32"/>
          <w:highlight w:val="none"/>
          <w:lang w:val="zh-CN" w:eastAsia="zh-CN"/>
        </w:rPr>
      </w:pPr>
      <w:r>
        <w:rPr>
          <w:rFonts w:hint="eastAsia" w:ascii="仿宋" w:hAnsi="仿宋" w:eastAsia="仿宋" w:cs="仿宋"/>
          <w:sz w:val="32"/>
          <w:szCs w:val="32"/>
          <w:lang w:val="zh-CN" w:eastAsia="zh-CN"/>
        </w:rPr>
        <w:t>3．资金使用：</w:t>
      </w:r>
      <w:r>
        <w:rPr>
          <w:rFonts w:hint="eastAsia" w:ascii="仿宋" w:hAnsi="仿宋" w:eastAsia="仿宋" w:cs="仿宋"/>
          <w:sz w:val="32"/>
          <w:szCs w:val="32"/>
          <w:highlight w:val="none"/>
          <w:lang w:val="zh-CN" w:eastAsia="zh-CN"/>
        </w:rPr>
        <w:t>该项资金用于</w:t>
      </w:r>
      <w:r>
        <w:rPr>
          <w:rFonts w:hint="eastAsia" w:ascii="仿宋" w:hAnsi="仿宋" w:eastAsia="仿宋" w:cs="仿宋"/>
          <w:sz w:val="32"/>
          <w:szCs w:val="32"/>
          <w:highlight w:val="none"/>
          <w:lang w:val="en-US" w:eastAsia="zh-CN"/>
        </w:rPr>
        <w:t>保障学校正常教育教学秩序开展，严格按财经制度及主管部门相关要求进行每笔支出</w:t>
      </w:r>
      <w:r>
        <w:rPr>
          <w:rFonts w:hint="eastAsia" w:ascii="仿宋" w:hAnsi="仿宋" w:eastAsia="仿宋" w:cs="仿宋"/>
          <w:sz w:val="32"/>
          <w:szCs w:val="32"/>
          <w:highlight w:val="none"/>
          <w:lang w:val="zh-CN" w:eastAsia="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w:t>
      </w:r>
      <w:r>
        <w:rPr>
          <w:rFonts w:hint="eastAsia" w:ascii="仿宋" w:hAnsi="仿宋" w:eastAsia="仿宋" w:cs="仿宋"/>
          <w:b/>
          <w:sz w:val="32"/>
          <w:szCs w:val="32"/>
          <w:lang w:val="zh-CN"/>
        </w:rPr>
        <w:t>项目财务管理情况</w:t>
      </w:r>
    </w:p>
    <w:p>
      <w:pPr>
        <w:adjustRightInd w:val="0"/>
        <w:snapToGrid w:val="0"/>
        <w:spacing w:line="600" w:lineRule="exact"/>
        <w:ind w:firstLine="72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该项目财务管理制度健全，严格执行财务管理制度，账务处理及时，会计核算规范等。</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numPr>
          <w:ilvl w:val="0"/>
          <w:numId w:val="0"/>
        </w:numPr>
        <w:adjustRightInd w:val="0"/>
        <w:snapToGrid w:val="0"/>
        <w:spacing w:line="600" w:lineRule="exact"/>
        <w:ind w:firstLine="643" w:firstLineChars="200"/>
        <w:rPr>
          <w:rFonts w:hint="eastAsia" w:ascii="仿宋" w:hAnsi="仿宋" w:eastAsia="仿宋" w:cs="仿宋"/>
          <w:b/>
          <w:sz w:val="32"/>
          <w:szCs w:val="32"/>
          <w:lang w:val="zh-CN"/>
        </w:rPr>
      </w:pPr>
      <w:r>
        <w:rPr>
          <w:rFonts w:hint="eastAsia" w:ascii="仿宋" w:hAnsi="仿宋" w:eastAsia="仿宋" w:cs="仿宋"/>
          <w:b/>
          <w:sz w:val="32"/>
          <w:szCs w:val="32"/>
          <w:lang w:val="zh-CN"/>
        </w:rPr>
        <w:t>（</w:t>
      </w:r>
      <w:r>
        <w:rPr>
          <w:rFonts w:hint="eastAsia" w:ascii="仿宋" w:hAnsi="仿宋" w:eastAsia="仿宋" w:cs="仿宋"/>
          <w:b/>
          <w:sz w:val="32"/>
          <w:szCs w:val="32"/>
          <w:lang w:val="en-US" w:eastAsia="zh-CN"/>
        </w:rPr>
        <w:t>一</w:t>
      </w:r>
      <w:r>
        <w:rPr>
          <w:rFonts w:hint="eastAsia" w:ascii="仿宋" w:hAnsi="仿宋" w:eastAsia="仿宋" w:cs="仿宋"/>
          <w:b/>
          <w:sz w:val="32"/>
          <w:szCs w:val="32"/>
          <w:lang w:val="zh-CN"/>
        </w:rPr>
        <w:t>）项目组织架构及实施流程</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五通桥区西坝镇西坝小学成立项目建设工作的领导小组，项目建设工作由</w:t>
      </w:r>
      <w:r>
        <w:rPr>
          <w:rFonts w:hint="eastAsia" w:ascii="仿宋" w:hAnsi="仿宋" w:eastAsia="仿宋" w:cs="仿宋"/>
          <w:sz w:val="32"/>
          <w:szCs w:val="32"/>
          <w:highlight w:val="none"/>
          <w:lang w:val="zh-CN"/>
        </w:rPr>
        <w:t>党委会集体</w:t>
      </w:r>
      <w:r>
        <w:rPr>
          <w:rFonts w:hint="eastAsia" w:ascii="仿宋" w:hAnsi="仿宋" w:eastAsia="仿宋" w:cs="仿宋"/>
          <w:sz w:val="32"/>
          <w:szCs w:val="32"/>
          <w:lang w:val="zh-CN"/>
        </w:rPr>
        <w:t>研究决定，由分管领导具体负责实施。</w:t>
      </w:r>
    </w:p>
    <w:p>
      <w:pPr>
        <w:numPr>
          <w:ilvl w:val="0"/>
          <w:numId w:val="0"/>
        </w:numPr>
        <w:adjustRightInd w:val="0"/>
        <w:snapToGrid w:val="0"/>
        <w:spacing w:line="600" w:lineRule="exact"/>
        <w:ind w:left="720" w:leftChars="0"/>
        <w:rPr>
          <w:rFonts w:hint="eastAsia" w:ascii="仿宋" w:hAnsi="仿宋" w:eastAsia="仿宋" w:cs="仿宋"/>
          <w:b/>
          <w:sz w:val="32"/>
          <w:szCs w:val="32"/>
          <w:lang w:val="zh-CN"/>
        </w:rPr>
      </w:pPr>
      <w:r>
        <w:rPr>
          <w:rFonts w:hint="eastAsia" w:ascii="仿宋" w:hAnsi="仿宋" w:eastAsia="仿宋" w:cs="仿宋"/>
          <w:b/>
          <w:sz w:val="32"/>
          <w:szCs w:val="32"/>
          <w:lang w:val="zh-CN"/>
        </w:rPr>
        <w:t>（二）项目管理情况</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加强对项目的监督管理，采取事前、事中、事后相结合，日常监督和专项监督相结合的方式，对项目财务行为实施全过程监督管理。</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w:t>
      </w:r>
      <w:r>
        <w:rPr>
          <w:rFonts w:hint="eastAsia" w:ascii="仿宋" w:hAnsi="仿宋" w:eastAsia="仿宋" w:cs="仿宋"/>
          <w:b/>
          <w:sz w:val="32"/>
          <w:szCs w:val="32"/>
          <w:lang w:val="zh-CN"/>
        </w:rPr>
        <w:t>一）项目完成情况</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全年执行</w:t>
      </w:r>
      <w:r>
        <w:rPr>
          <w:rFonts w:hint="eastAsia" w:ascii="仿宋" w:hAnsi="仿宋" w:eastAsia="仿宋" w:cs="仿宋"/>
          <w:sz w:val="32"/>
          <w:szCs w:val="32"/>
          <w:lang w:val="en-US" w:eastAsia="zh-CN"/>
        </w:rPr>
        <w:t>60.94</w:t>
      </w:r>
      <w:r>
        <w:rPr>
          <w:rFonts w:hint="eastAsia" w:ascii="仿宋" w:hAnsi="仿宋" w:eastAsia="仿宋" w:cs="仿宋"/>
          <w:sz w:val="32"/>
          <w:szCs w:val="32"/>
          <w:lang w:val="zh-CN"/>
        </w:rPr>
        <w:t>万，涉及1个项目，顺利完成教育教学任务，学校办学条件有所提升。</w:t>
      </w:r>
    </w:p>
    <w:p>
      <w:pPr>
        <w:adjustRightInd w:val="0"/>
        <w:snapToGrid w:val="0"/>
        <w:spacing w:line="600" w:lineRule="exact"/>
        <w:ind w:firstLine="720"/>
        <w:rPr>
          <w:rFonts w:ascii="楷体_GB2312" w:hAnsi="宋体" w:eastAsia="楷体_GB2312"/>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圆满完成教育教学任务，学校办学条件提高，家长和师生满意度显著提高。</w:t>
      </w:r>
    </w:p>
    <w:p>
      <w:pPr>
        <w:adjustRightInd w:val="0"/>
        <w:snapToGrid w:val="0"/>
        <w:spacing w:line="600" w:lineRule="exact"/>
        <w:ind w:firstLine="640" w:firstLineChars="20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w:t>
      </w:r>
      <w:r>
        <w:rPr>
          <w:rFonts w:hint="eastAsia" w:ascii="仿宋" w:hAnsi="仿宋" w:eastAsia="仿宋" w:cs="仿宋"/>
          <w:b/>
          <w:sz w:val="32"/>
          <w:szCs w:val="32"/>
          <w:lang w:val="zh-CN"/>
        </w:rPr>
        <w:t>评价结论</w:t>
      </w:r>
    </w:p>
    <w:p>
      <w:pPr>
        <w:adjustRightInd w:val="0"/>
        <w:snapToGrid w:val="0"/>
        <w:spacing w:line="600" w:lineRule="exact"/>
        <w:ind w:firstLine="640" w:firstLineChars="200"/>
        <w:rPr>
          <w:rFonts w:hint="eastAsia" w:ascii="仿宋" w:hAnsi="仿宋" w:eastAsia="仿宋" w:cs="仿宋"/>
          <w:sz w:val="32"/>
          <w:szCs w:val="32"/>
          <w:bdr w:val="single" w:color="auto" w:sz="4" w:space="0"/>
          <w:lang w:val="zh-CN"/>
        </w:rPr>
      </w:pPr>
      <w:r>
        <w:rPr>
          <w:rFonts w:hint="eastAsia" w:ascii="仿宋" w:hAnsi="仿宋" w:eastAsia="仿宋" w:cs="仿宋"/>
          <w:sz w:val="32"/>
          <w:szCs w:val="32"/>
          <w:lang w:val="zh-CN"/>
        </w:rPr>
        <w:t>按照财政部门整体支出绩效评价指标细则，我校自评得分</w:t>
      </w:r>
      <w:r>
        <w:rPr>
          <w:rFonts w:hint="eastAsia" w:ascii="仿宋" w:hAnsi="仿宋" w:eastAsia="仿宋" w:cs="仿宋"/>
          <w:sz w:val="32"/>
          <w:szCs w:val="32"/>
          <w:lang w:val="en-US" w:eastAsia="zh-CN"/>
        </w:rPr>
        <w:t>96分，</w:t>
      </w:r>
      <w:r>
        <w:rPr>
          <w:rFonts w:hint="eastAsia" w:ascii="仿宋" w:hAnsi="仿宋" w:eastAsia="仿宋" w:cs="仿宋"/>
          <w:i w:val="0"/>
          <w:iCs w:val="0"/>
          <w:caps w:val="0"/>
          <w:color w:val="333333"/>
          <w:spacing w:val="0"/>
          <w:sz w:val="32"/>
          <w:szCs w:val="32"/>
        </w:rPr>
        <w:t>总体评</w:t>
      </w:r>
      <w:r>
        <w:rPr>
          <w:rFonts w:hint="eastAsia" w:ascii="仿宋" w:hAnsi="仿宋" w:eastAsia="仿宋" w:cs="仿宋"/>
          <w:i w:val="0"/>
          <w:iCs w:val="0"/>
          <w:caps w:val="0"/>
          <w:color w:val="333333"/>
          <w:spacing w:val="0"/>
          <w:sz w:val="32"/>
          <w:szCs w:val="32"/>
          <w:lang w:eastAsia="zh-CN"/>
        </w:rPr>
        <w:t>分为优</w:t>
      </w:r>
      <w:r>
        <w:rPr>
          <w:rFonts w:hint="eastAsia" w:ascii="仿宋" w:hAnsi="仿宋" w:eastAsia="仿宋" w:cs="仿宋"/>
          <w:sz w:val="32"/>
          <w:szCs w:val="32"/>
          <w:lang w:val="en-US" w:eastAsia="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w:t>
      </w:r>
      <w:r>
        <w:rPr>
          <w:rFonts w:hint="eastAsia" w:ascii="仿宋" w:hAnsi="仿宋" w:eastAsia="仿宋" w:cs="仿宋"/>
          <w:b/>
          <w:sz w:val="32"/>
          <w:szCs w:val="32"/>
          <w:lang w:val="zh-CN"/>
        </w:rPr>
        <w:t>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_GB2312" w:hAnsi="宋体" w:eastAsia="仿宋_GB2312"/>
          <w:sz w:val="32"/>
          <w:szCs w:val="32"/>
          <w:lang w:val="en-US" w:eastAsia="zh-CN"/>
        </w:rPr>
        <w:t>拟定支出计划不够科学合理，家长和师生满意度有待提高。</w:t>
      </w:r>
      <w:r>
        <w:rPr>
          <w:rFonts w:hint="eastAsia" w:ascii="仿宋" w:hAnsi="仿宋" w:eastAsia="仿宋" w:cs="仿宋"/>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w:t>
      </w:r>
      <w:r>
        <w:rPr>
          <w:rFonts w:hint="eastAsia" w:ascii="仿宋" w:hAnsi="仿宋" w:eastAsia="仿宋" w:cs="仿宋"/>
          <w:b/>
          <w:sz w:val="32"/>
          <w:szCs w:val="32"/>
          <w:lang w:val="zh-CN"/>
        </w:rPr>
        <w:t>相关建议</w:t>
      </w:r>
    </w:p>
    <w:p>
      <w:pPr>
        <w:widowControl/>
        <w:numPr>
          <w:ilvl w:val="0"/>
          <w:numId w:val="0"/>
        </w:numPr>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进一步完善开支计划的拟定，加强提升学校教育教学水平及学校校园环境，让家长和师生满意度提高。</w:t>
      </w:r>
    </w:p>
    <w:p>
      <w:pPr>
        <w:spacing w:line="580" w:lineRule="exact"/>
        <w:ind w:firstLine="640"/>
        <w:rPr>
          <w:rFonts w:ascii="仿宋_GB2312" w:hAnsi="仿宋_GB2312" w:eastAsia="仿宋_GB2312" w:cs="仿宋_GB2312"/>
          <w:sz w:val="32"/>
          <w:szCs w:val="32"/>
        </w:rPr>
      </w:pPr>
    </w:p>
    <w:p>
      <w:pPr>
        <w:widowControl/>
        <w:jc w:val="left"/>
        <w:rPr>
          <w:rStyle w:val="14"/>
          <w:rFonts w:ascii="黑体" w:hAnsi="黑体" w:eastAsia="黑体"/>
          <w:b w:val="0"/>
        </w:rPr>
      </w:pPr>
    </w:p>
    <w:p>
      <w:pPr>
        <w:widowControl/>
        <w:jc w:val="left"/>
        <w:rPr>
          <w:rStyle w:val="14"/>
          <w:rFonts w:ascii="黑体" w:hAnsi="黑体" w:eastAsia="黑体"/>
          <w:b w:val="0"/>
        </w:rPr>
      </w:pPr>
    </w:p>
    <w:p>
      <w:pPr>
        <w:widowControl/>
        <w:jc w:val="left"/>
        <w:rPr>
          <w:rStyle w:val="14"/>
          <w:rFonts w:ascii="黑体" w:hAnsi="黑体" w:eastAsia="黑体"/>
          <w:b w:val="0"/>
        </w:rPr>
      </w:pPr>
    </w:p>
    <w:p>
      <w:pPr>
        <w:widowControl/>
        <w:jc w:val="left"/>
        <w:rPr>
          <w:rStyle w:val="14"/>
          <w:rFonts w:ascii="黑体" w:hAnsi="黑体" w:eastAsia="黑体"/>
          <w:b w:val="0"/>
        </w:rPr>
      </w:pPr>
    </w:p>
    <w:p>
      <w:pPr>
        <w:widowControl/>
        <w:jc w:val="left"/>
        <w:rPr>
          <w:rStyle w:val="14"/>
          <w:rFonts w:ascii="黑体" w:hAnsi="黑体" w:eastAsia="黑体"/>
          <w:b w:val="0"/>
        </w:rPr>
      </w:pPr>
    </w:p>
    <w:p>
      <w:pPr>
        <w:widowControl/>
        <w:jc w:val="left"/>
        <w:rPr>
          <w:rStyle w:val="14"/>
          <w:rFonts w:ascii="黑体" w:hAnsi="黑体" w:eastAsia="黑体"/>
          <w:b w:val="0"/>
        </w:rPr>
      </w:pPr>
    </w:p>
    <w:p>
      <w:pPr>
        <w:widowControl/>
        <w:jc w:val="left"/>
        <w:rPr>
          <w:rStyle w:val="14"/>
          <w:rFonts w:ascii="黑体" w:hAnsi="黑体" w:eastAsia="黑体"/>
          <w:b w:val="0"/>
        </w:rPr>
      </w:pPr>
    </w:p>
    <w:p>
      <w:pPr>
        <w:widowControl/>
        <w:jc w:val="left"/>
        <w:rPr>
          <w:rStyle w:val="14"/>
          <w:rFonts w:ascii="黑体" w:hAnsi="黑体" w:eastAsia="黑体"/>
          <w:b w:val="0"/>
        </w:rPr>
      </w:pPr>
    </w:p>
    <w:p>
      <w:pPr>
        <w:widowControl/>
        <w:jc w:val="left"/>
        <w:rPr>
          <w:rStyle w:val="14"/>
          <w:rFonts w:ascii="黑体" w:hAnsi="黑体" w:eastAsia="黑体"/>
          <w:b w:val="0"/>
        </w:rPr>
      </w:pPr>
    </w:p>
    <w:p>
      <w:pPr>
        <w:widowControl/>
        <w:jc w:val="left"/>
        <w:rPr>
          <w:rStyle w:val="14"/>
          <w:rFonts w:ascii="黑体" w:hAnsi="黑体" w:eastAsia="黑体"/>
          <w:b w:val="0"/>
        </w:rPr>
      </w:pPr>
    </w:p>
    <w:p>
      <w:pPr>
        <w:widowControl/>
        <w:jc w:val="left"/>
        <w:rPr>
          <w:rStyle w:val="14"/>
          <w:rFonts w:ascii="黑体" w:hAnsi="黑体" w:eastAsia="黑体"/>
          <w:b w:val="0"/>
        </w:rPr>
      </w:pPr>
    </w:p>
    <w:p>
      <w:pPr>
        <w:widowControl/>
        <w:jc w:val="left"/>
        <w:rPr>
          <w:rStyle w:val="14"/>
          <w:rFonts w:ascii="黑体" w:hAnsi="黑体" w:eastAsia="黑体"/>
          <w:b w:val="0"/>
        </w:rPr>
      </w:pPr>
      <w:bookmarkStart w:id="138" w:name="_GoBack"/>
      <w:bookmarkEnd w:id="138"/>
    </w:p>
    <w:p>
      <w:pPr>
        <w:numPr>
          <w:ilvl w:val="0"/>
          <w:numId w:val="0"/>
        </w:numPr>
        <w:spacing w:line="600" w:lineRule="exact"/>
        <w:ind w:leftChars="150"/>
        <w:jc w:val="center"/>
        <w:outlineLvl w:val="0"/>
        <w:rPr>
          <w:rStyle w:val="14"/>
          <w:rFonts w:hint="eastAsia" w:ascii="黑体" w:hAnsi="黑体" w:eastAsia="黑体"/>
          <w:b w:val="0"/>
        </w:rPr>
      </w:pPr>
      <w:bookmarkStart w:id="96" w:name="_Toc15396618"/>
      <w:bookmarkStart w:id="97" w:name="_Toc2485"/>
      <w:r>
        <w:rPr>
          <w:rStyle w:val="14"/>
          <w:rFonts w:hint="eastAsia" w:ascii="黑体" w:hAnsi="黑体" w:eastAsia="黑体"/>
          <w:b w:val="0"/>
          <w:lang w:val="en-US" w:eastAsia="zh-CN"/>
        </w:rPr>
        <w:t xml:space="preserve">第五部分  </w:t>
      </w:r>
      <w:r>
        <w:rPr>
          <w:rStyle w:val="14"/>
          <w:rFonts w:hint="eastAsia" w:ascii="黑体" w:hAnsi="黑体" w:eastAsia="黑体"/>
          <w:b w:val="0"/>
        </w:rPr>
        <w:t>附表</w:t>
      </w:r>
      <w:bookmarkEnd w:id="89"/>
      <w:bookmarkEnd w:id="96"/>
      <w:bookmarkEnd w:id="97"/>
      <w:bookmarkStart w:id="98" w:name="_Toc30727"/>
    </w:p>
    <w:p>
      <w:pPr>
        <w:numPr>
          <w:ilvl w:val="0"/>
          <w:numId w:val="0"/>
        </w:numPr>
        <w:spacing w:line="600" w:lineRule="exact"/>
        <w:jc w:val="both"/>
        <w:outlineLvl w:val="0"/>
        <w:rPr>
          <w:rStyle w:val="18"/>
          <w:rFonts w:hint="eastAsia" w:ascii="仿宋" w:hAnsi="仿宋" w:eastAsia="仿宋"/>
          <w:b w:val="0"/>
          <w:lang w:val="en-US" w:eastAsia="zh-CN" w:bidi="ar-SA"/>
        </w:rPr>
      </w:pPr>
      <w:bookmarkStart w:id="99" w:name="_Toc25620"/>
      <w:r>
        <w:rPr>
          <w:rStyle w:val="18"/>
          <w:rFonts w:hint="eastAsia" w:ascii="仿宋" w:hAnsi="仿宋" w:eastAsia="仿宋"/>
          <w:b w:val="0"/>
          <w:lang w:val="en-US" w:eastAsia="zh-CN" w:bidi="ar-SA"/>
        </w:rPr>
        <w:t>一、收入支出决算总表</w:t>
      </w:r>
      <w:bookmarkEnd w:id="98"/>
      <w:bookmarkEnd w:id="99"/>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00" w:name="_Toc6493"/>
      <w:bookmarkStart w:id="101" w:name="_Toc15396620"/>
      <w:bookmarkStart w:id="102" w:name="_Toc14064"/>
      <w:r>
        <w:rPr>
          <w:rFonts w:hint="eastAsia" w:ascii="仿宋" w:hAnsi="仿宋" w:eastAsia="仿宋"/>
          <w:b w:val="0"/>
          <w:bCs/>
          <w:color w:val="000000"/>
        </w:rPr>
        <w:t>二、收</w:t>
      </w:r>
      <w:r>
        <w:rPr>
          <w:rStyle w:val="18"/>
          <w:rFonts w:hint="eastAsia" w:ascii="仿宋" w:hAnsi="仿宋" w:eastAsia="仿宋"/>
          <w:b w:val="0"/>
          <w:bCs/>
        </w:rPr>
        <w:t>入决算表</w:t>
      </w:r>
      <w:bookmarkEnd w:id="100"/>
      <w:bookmarkEnd w:id="101"/>
      <w:bookmarkEnd w:id="102"/>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03" w:name="_Toc15396621"/>
      <w:bookmarkStart w:id="104" w:name="_Toc23752"/>
      <w:bookmarkStart w:id="105" w:name="_Toc25506"/>
      <w:r>
        <w:rPr>
          <w:rStyle w:val="18"/>
          <w:rFonts w:hint="eastAsia" w:ascii="仿宋" w:hAnsi="仿宋" w:eastAsia="仿宋"/>
          <w:b w:val="0"/>
          <w:bCs/>
        </w:rPr>
        <w:t>三、</w:t>
      </w:r>
      <w:r>
        <w:rPr>
          <w:rFonts w:hint="eastAsia" w:ascii="仿宋" w:hAnsi="仿宋" w:eastAsia="仿宋"/>
          <w:b w:val="0"/>
          <w:bCs/>
          <w:color w:val="000000"/>
        </w:rPr>
        <w:t>支</w:t>
      </w:r>
      <w:r>
        <w:rPr>
          <w:rStyle w:val="18"/>
          <w:rFonts w:hint="eastAsia" w:ascii="仿宋" w:hAnsi="仿宋" w:eastAsia="仿宋"/>
          <w:b w:val="0"/>
          <w:bCs/>
        </w:rPr>
        <w:t>出决算表</w:t>
      </w:r>
      <w:bookmarkEnd w:id="103"/>
      <w:bookmarkEnd w:id="104"/>
      <w:bookmarkEnd w:id="105"/>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06" w:name="_Toc19500"/>
      <w:bookmarkStart w:id="107" w:name="_Toc3504"/>
      <w:bookmarkStart w:id="108" w:name="_Toc15396622"/>
      <w:r>
        <w:rPr>
          <w:rStyle w:val="18"/>
          <w:rFonts w:hint="eastAsia" w:ascii="仿宋" w:hAnsi="仿宋" w:eastAsia="仿宋"/>
          <w:b w:val="0"/>
          <w:bCs/>
        </w:rPr>
        <w:t>四、</w:t>
      </w:r>
      <w:r>
        <w:rPr>
          <w:rFonts w:hint="eastAsia" w:ascii="仿宋" w:hAnsi="仿宋" w:eastAsia="仿宋"/>
          <w:b w:val="0"/>
          <w:bCs/>
          <w:color w:val="000000"/>
        </w:rPr>
        <w:t>财</w:t>
      </w:r>
      <w:r>
        <w:rPr>
          <w:rStyle w:val="18"/>
          <w:rFonts w:hint="eastAsia" w:ascii="仿宋" w:hAnsi="仿宋" w:eastAsia="仿宋"/>
          <w:b w:val="0"/>
          <w:bCs/>
        </w:rPr>
        <w:t>政拨款收入支出决算总表</w:t>
      </w:r>
      <w:bookmarkEnd w:id="106"/>
      <w:bookmarkEnd w:id="107"/>
      <w:bookmarkEnd w:id="108"/>
    </w:p>
    <w:p>
      <w:pPr>
        <w:pStyle w:val="3"/>
        <w:keepNext/>
        <w:keepLines/>
        <w:pageBreakBefore w:val="0"/>
        <w:widowControl w:val="0"/>
        <w:kinsoku/>
        <w:wordWrap/>
        <w:overflowPunct/>
        <w:topLinePunct w:val="0"/>
        <w:autoSpaceDE/>
        <w:autoSpaceDN/>
        <w:bidi w:val="0"/>
        <w:adjustRightInd/>
        <w:snapToGrid/>
        <w:spacing w:line="580" w:lineRule="exact"/>
        <w:textAlignment w:val="auto"/>
        <w:rPr>
          <w:rStyle w:val="18"/>
          <w:rFonts w:ascii="仿宋" w:hAnsi="仿宋" w:eastAsia="仿宋"/>
          <w:b w:val="0"/>
          <w:bCs/>
        </w:rPr>
      </w:pPr>
      <w:bookmarkStart w:id="109" w:name="_Toc15396623"/>
      <w:bookmarkStart w:id="110" w:name="_Toc30002"/>
      <w:bookmarkStart w:id="111" w:name="_Toc27482"/>
      <w:r>
        <w:rPr>
          <w:rStyle w:val="18"/>
          <w:rFonts w:hint="eastAsia" w:ascii="仿宋" w:hAnsi="仿宋" w:eastAsia="仿宋"/>
          <w:b w:val="0"/>
          <w:bCs/>
        </w:rPr>
        <w:t>五、</w:t>
      </w:r>
      <w:r>
        <w:rPr>
          <w:rFonts w:hint="eastAsia" w:ascii="仿宋" w:hAnsi="仿宋" w:eastAsia="仿宋"/>
          <w:b w:val="0"/>
          <w:bCs/>
          <w:color w:val="000000"/>
        </w:rPr>
        <w:t>财</w:t>
      </w:r>
      <w:r>
        <w:rPr>
          <w:rStyle w:val="18"/>
          <w:rFonts w:hint="eastAsia" w:ascii="仿宋" w:hAnsi="仿宋" w:eastAsia="仿宋"/>
          <w:b w:val="0"/>
          <w:bCs/>
        </w:rPr>
        <w:t>政拨款支出决算明细表</w:t>
      </w:r>
      <w:bookmarkEnd w:id="109"/>
      <w:bookmarkEnd w:id="110"/>
      <w:bookmarkEnd w:id="111"/>
      <w:bookmarkStart w:id="112" w:name="_Toc15396624"/>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13" w:name="_Toc21853"/>
      <w:bookmarkStart w:id="114" w:name="_Toc19691"/>
      <w:r>
        <w:rPr>
          <w:rStyle w:val="18"/>
          <w:rFonts w:hint="eastAsia" w:ascii="仿宋" w:hAnsi="仿宋" w:eastAsia="仿宋"/>
          <w:b w:val="0"/>
          <w:bCs/>
        </w:rPr>
        <w:t>六、</w:t>
      </w:r>
      <w:r>
        <w:rPr>
          <w:rFonts w:hint="eastAsia" w:ascii="仿宋" w:hAnsi="仿宋" w:eastAsia="仿宋"/>
          <w:b w:val="0"/>
          <w:bCs/>
          <w:color w:val="000000"/>
        </w:rPr>
        <w:t>一</w:t>
      </w:r>
      <w:r>
        <w:rPr>
          <w:rStyle w:val="18"/>
          <w:rFonts w:hint="eastAsia" w:ascii="仿宋" w:hAnsi="仿宋" w:eastAsia="仿宋"/>
          <w:b w:val="0"/>
          <w:bCs/>
        </w:rPr>
        <w:t>般公共预算财政拨款支出决算表</w:t>
      </w:r>
      <w:bookmarkEnd w:id="112"/>
      <w:bookmarkEnd w:id="113"/>
      <w:bookmarkEnd w:id="114"/>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15" w:name="_Toc25647"/>
      <w:bookmarkStart w:id="116" w:name="_Toc2782"/>
      <w:bookmarkStart w:id="117" w:name="_Toc15396625"/>
      <w:r>
        <w:rPr>
          <w:rStyle w:val="18"/>
          <w:rFonts w:hint="eastAsia" w:ascii="仿宋" w:hAnsi="仿宋" w:eastAsia="仿宋"/>
          <w:b w:val="0"/>
          <w:bCs/>
        </w:rPr>
        <w:t>七、</w:t>
      </w:r>
      <w:r>
        <w:rPr>
          <w:rFonts w:hint="eastAsia" w:ascii="仿宋" w:hAnsi="仿宋" w:eastAsia="仿宋"/>
          <w:b w:val="0"/>
          <w:bCs/>
          <w:color w:val="000000"/>
        </w:rPr>
        <w:t>一</w:t>
      </w:r>
      <w:r>
        <w:rPr>
          <w:rStyle w:val="18"/>
          <w:rFonts w:hint="eastAsia" w:ascii="仿宋" w:hAnsi="仿宋" w:eastAsia="仿宋"/>
          <w:b w:val="0"/>
          <w:bCs/>
        </w:rPr>
        <w:t>般公共预算财政拨款支出决算明细表</w:t>
      </w:r>
      <w:bookmarkEnd w:id="115"/>
      <w:bookmarkEnd w:id="116"/>
      <w:bookmarkEnd w:id="117"/>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18" w:name="_Toc15396626"/>
      <w:bookmarkStart w:id="119" w:name="_Toc10119"/>
      <w:bookmarkStart w:id="120" w:name="_Toc28973"/>
      <w:r>
        <w:rPr>
          <w:rStyle w:val="18"/>
          <w:rFonts w:hint="eastAsia" w:ascii="仿宋" w:hAnsi="仿宋" w:eastAsia="仿宋"/>
          <w:b w:val="0"/>
          <w:bCs/>
        </w:rPr>
        <w:t>八、</w:t>
      </w:r>
      <w:r>
        <w:rPr>
          <w:rFonts w:hint="eastAsia" w:ascii="仿宋" w:hAnsi="仿宋" w:eastAsia="仿宋"/>
          <w:b w:val="0"/>
          <w:bCs/>
          <w:color w:val="000000"/>
        </w:rPr>
        <w:t>一</w:t>
      </w:r>
      <w:r>
        <w:rPr>
          <w:rStyle w:val="18"/>
          <w:rFonts w:hint="eastAsia" w:ascii="仿宋" w:hAnsi="仿宋" w:eastAsia="仿宋"/>
          <w:b w:val="0"/>
          <w:bCs/>
        </w:rPr>
        <w:t>般公共预算财政拨款基本支出决算表</w:t>
      </w:r>
      <w:bookmarkEnd w:id="118"/>
      <w:bookmarkEnd w:id="119"/>
      <w:bookmarkEnd w:id="120"/>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21" w:name="_Toc21697"/>
      <w:bookmarkStart w:id="122" w:name="_Toc15396627"/>
      <w:bookmarkStart w:id="123" w:name="_Toc17783"/>
      <w:r>
        <w:rPr>
          <w:rStyle w:val="18"/>
          <w:rFonts w:hint="eastAsia" w:ascii="仿宋" w:hAnsi="仿宋" w:eastAsia="仿宋"/>
          <w:b w:val="0"/>
          <w:bCs/>
        </w:rPr>
        <w:t>九、</w:t>
      </w:r>
      <w:r>
        <w:rPr>
          <w:rFonts w:hint="eastAsia" w:ascii="仿宋" w:hAnsi="仿宋" w:eastAsia="仿宋"/>
          <w:b w:val="0"/>
          <w:bCs/>
          <w:color w:val="000000"/>
        </w:rPr>
        <w:t>一</w:t>
      </w:r>
      <w:r>
        <w:rPr>
          <w:rStyle w:val="18"/>
          <w:rFonts w:hint="eastAsia" w:ascii="仿宋" w:hAnsi="仿宋" w:eastAsia="仿宋"/>
          <w:b w:val="0"/>
          <w:bCs/>
        </w:rPr>
        <w:t>般公共预算财政拨款项目支出决算表</w:t>
      </w:r>
      <w:bookmarkEnd w:id="121"/>
      <w:bookmarkEnd w:id="122"/>
      <w:bookmarkEnd w:id="123"/>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24" w:name="_Toc8167"/>
      <w:bookmarkStart w:id="125" w:name="_Toc28481"/>
      <w:bookmarkStart w:id="126" w:name="_Toc15396628"/>
      <w:r>
        <w:rPr>
          <w:rStyle w:val="18"/>
          <w:rFonts w:hint="eastAsia" w:ascii="仿宋" w:hAnsi="仿宋" w:eastAsia="仿宋"/>
          <w:b w:val="0"/>
          <w:bCs/>
        </w:rPr>
        <w:t>十、</w:t>
      </w:r>
      <w:r>
        <w:rPr>
          <w:rFonts w:hint="eastAsia" w:ascii="仿宋" w:hAnsi="仿宋" w:eastAsia="仿宋"/>
          <w:b w:val="0"/>
          <w:bCs/>
          <w:color w:val="000000"/>
        </w:rPr>
        <w:t>一</w:t>
      </w:r>
      <w:r>
        <w:rPr>
          <w:rStyle w:val="18"/>
          <w:rFonts w:hint="eastAsia" w:ascii="仿宋" w:hAnsi="仿宋" w:eastAsia="仿宋"/>
          <w:b w:val="0"/>
          <w:bCs/>
        </w:rPr>
        <w:t>般公共预算财政拨款“三公”经费支出决算表</w:t>
      </w:r>
      <w:bookmarkEnd w:id="124"/>
      <w:bookmarkEnd w:id="125"/>
      <w:bookmarkEnd w:id="126"/>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27" w:name="_Toc24938"/>
      <w:bookmarkStart w:id="128" w:name="_Toc15396629"/>
      <w:bookmarkStart w:id="129" w:name="_Toc993"/>
      <w:r>
        <w:rPr>
          <w:rStyle w:val="18"/>
          <w:rFonts w:hint="eastAsia" w:ascii="仿宋" w:hAnsi="仿宋" w:eastAsia="仿宋"/>
          <w:b w:val="0"/>
          <w:bCs/>
        </w:rPr>
        <w:t>十一、</w:t>
      </w:r>
      <w:r>
        <w:rPr>
          <w:rFonts w:hint="eastAsia" w:ascii="仿宋" w:hAnsi="仿宋" w:eastAsia="仿宋"/>
          <w:b w:val="0"/>
          <w:bCs/>
          <w:color w:val="000000"/>
        </w:rPr>
        <w:t>政</w:t>
      </w:r>
      <w:r>
        <w:rPr>
          <w:rStyle w:val="18"/>
          <w:rFonts w:hint="eastAsia" w:ascii="仿宋" w:hAnsi="仿宋" w:eastAsia="仿宋"/>
          <w:b w:val="0"/>
          <w:bCs/>
        </w:rPr>
        <w:t>府性基金预算财政拨款收入支出决算表</w:t>
      </w:r>
      <w:bookmarkEnd w:id="127"/>
      <w:bookmarkEnd w:id="128"/>
      <w:bookmarkEnd w:id="129"/>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30" w:name="_Toc15396630"/>
      <w:bookmarkStart w:id="131" w:name="_Toc3423"/>
      <w:bookmarkStart w:id="132" w:name="_Toc21124"/>
      <w:r>
        <w:rPr>
          <w:rStyle w:val="18"/>
          <w:rFonts w:hint="eastAsia" w:ascii="仿宋" w:hAnsi="仿宋" w:eastAsia="仿宋"/>
          <w:b w:val="0"/>
          <w:bCs/>
        </w:rPr>
        <w:t>十二、</w:t>
      </w:r>
      <w:r>
        <w:rPr>
          <w:rFonts w:hint="eastAsia" w:ascii="仿宋" w:hAnsi="仿宋" w:eastAsia="仿宋"/>
          <w:b w:val="0"/>
          <w:bCs/>
          <w:color w:val="000000"/>
        </w:rPr>
        <w:t>政</w:t>
      </w:r>
      <w:r>
        <w:rPr>
          <w:rStyle w:val="18"/>
          <w:rFonts w:hint="eastAsia" w:ascii="仿宋" w:hAnsi="仿宋" w:eastAsia="仿宋"/>
          <w:b w:val="0"/>
          <w:bCs/>
        </w:rPr>
        <w:t>府性基金预算财政拨款“三公”经费支出决算表</w:t>
      </w:r>
      <w:bookmarkEnd w:id="130"/>
      <w:bookmarkEnd w:id="131"/>
      <w:bookmarkEnd w:id="132"/>
    </w:p>
    <w:p>
      <w:pPr>
        <w:pStyle w:val="3"/>
        <w:keepNext/>
        <w:keepLines/>
        <w:pageBreakBefore w:val="0"/>
        <w:widowControl w:val="0"/>
        <w:kinsoku/>
        <w:wordWrap/>
        <w:overflowPunct/>
        <w:topLinePunct w:val="0"/>
        <w:autoSpaceDE/>
        <w:autoSpaceDN/>
        <w:bidi w:val="0"/>
        <w:adjustRightInd/>
        <w:snapToGrid/>
        <w:spacing w:line="580" w:lineRule="exact"/>
        <w:textAlignment w:val="auto"/>
        <w:rPr>
          <w:rStyle w:val="18"/>
          <w:rFonts w:ascii="仿宋" w:hAnsi="仿宋" w:eastAsia="仿宋"/>
          <w:b w:val="0"/>
          <w:bCs/>
        </w:rPr>
      </w:pPr>
      <w:bookmarkStart w:id="133" w:name="_Toc14742"/>
      <w:bookmarkStart w:id="134" w:name="_Toc27620"/>
      <w:bookmarkStart w:id="135" w:name="_Toc15396631"/>
      <w:r>
        <w:rPr>
          <w:rStyle w:val="18"/>
          <w:rFonts w:hint="eastAsia" w:ascii="仿宋" w:hAnsi="仿宋" w:eastAsia="仿宋"/>
          <w:b w:val="0"/>
          <w:bCs/>
        </w:rPr>
        <w:t>十三、</w:t>
      </w:r>
      <w:r>
        <w:rPr>
          <w:rFonts w:hint="eastAsia" w:ascii="仿宋" w:hAnsi="仿宋" w:eastAsia="仿宋"/>
          <w:b w:val="0"/>
          <w:bCs/>
          <w:color w:val="000000"/>
        </w:rPr>
        <w:t>国</w:t>
      </w:r>
      <w:r>
        <w:rPr>
          <w:rStyle w:val="18"/>
          <w:rFonts w:hint="eastAsia" w:ascii="仿宋" w:hAnsi="仿宋" w:eastAsia="仿宋"/>
          <w:b w:val="0"/>
          <w:bCs/>
        </w:rPr>
        <w:t>有资本经营预算财政拨款收入支出决算表</w:t>
      </w:r>
      <w:bookmarkEnd w:id="133"/>
      <w:bookmarkEnd w:id="134"/>
      <w:bookmarkEnd w:id="135"/>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36" w:name="_Toc857"/>
      <w:bookmarkStart w:id="137" w:name="_Toc11289"/>
      <w:r>
        <w:rPr>
          <w:rStyle w:val="18"/>
          <w:rFonts w:hint="eastAsia" w:ascii="仿宋" w:hAnsi="仿宋" w:eastAsia="仿宋"/>
          <w:b w:val="0"/>
          <w:bCs/>
        </w:rPr>
        <w:t>十四、</w:t>
      </w:r>
      <w:r>
        <w:rPr>
          <w:rFonts w:hint="eastAsia" w:ascii="仿宋" w:hAnsi="仿宋" w:eastAsia="仿宋"/>
          <w:b w:val="0"/>
          <w:bCs/>
          <w:color w:val="000000"/>
        </w:rPr>
        <w:t>国</w:t>
      </w:r>
      <w:r>
        <w:rPr>
          <w:rStyle w:val="18"/>
          <w:rFonts w:hint="eastAsia" w:ascii="仿宋" w:hAnsi="仿宋" w:eastAsia="仿宋"/>
          <w:b w:val="0"/>
          <w:bCs/>
        </w:rPr>
        <w:t>有资本经营预算财政拨款支出决算表</w:t>
      </w:r>
      <w:bookmarkEnd w:id="136"/>
      <w:bookmarkEnd w:id="137"/>
    </w:p>
    <w:p>
      <w:pPr>
        <w:rPr>
          <w:rFonts w:hint="eastAsia" w:eastAsiaTheme="minorEastAsia"/>
          <w:lang w:eastAsia="zh-CN"/>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010C9D7"/>
    <w:multiLevelType w:val="singleLevel"/>
    <w:tmpl w:val="E010C9D7"/>
    <w:lvl w:ilvl="0" w:tentative="0">
      <w:start w:val="2"/>
      <w:numFmt w:val="decimal"/>
      <w:suff w:val="nothing"/>
      <w:lvlText w:val="%1．"/>
      <w:lvlJc w:val="left"/>
    </w:lvl>
  </w:abstractNum>
  <w:abstractNum w:abstractNumId="2">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3">
    <w:nsid w:val="F6CC13E2"/>
    <w:multiLevelType w:val="singleLevel"/>
    <w:tmpl w:val="F6CC13E2"/>
    <w:lvl w:ilvl="0" w:tentative="0">
      <w:start w:val="2"/>
      <w:numFmt w:val="chineseCounting"/>
      <w:suff w:val="nothing"/>
      <w:lvlText w:val="（%1）"/>
      <w:lvlJc w:val="left"/>
      <w:rPr>
        <w:rFonts w:hint="eastAsia"/>
      </w:rPr>
    </w:lvl>
  </w:abstractNum>
  <w:abstractNum w:abstractNumId="4">
    <w:nsid w:val="F7BBCEEB"/>
    <w:multiLevelType w:val="singleLevel"/>
    <w:tmpl w:val="F7BBCEEB"/>
    <w:lvl w:ilvl="0" w:tentative="0">
      <w:start w:val="2"/>
      <w:numFmt w:val="decimal"/>
      <w:suff w:val="nothing"/>
      <w:lvlText w:val="%1．"/>
      <w:lvlJc w:val="left"/>
    </w:lvl>
  </w:abstractNum>
  <w:abstractNum w:abstractNumId="5">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6">
    <w:nsid w:val="1DA1CD08"/>
    <w:multiLevelType w:val="singleLevel"/>
    <w:tmpl w:val="1DA1CD08"/>
    <w:lvl w:ilvl="0" w:tentative="0">
      <w:start w:val="2"/>
      <w:numFmt w:val="chineseCounting"/>
      <w:suff w:val="nothing"/>
      <w:lvlText w:val="（%1）"/>
      <w:lvlJc w:val="left"/>
      <w:rPr>
        <w:rFonts w:hint="eastAsia"/>
      </w:rPr>
    </w:lvl>
  </w:abstractNum>
  <w:abstractNum w:abstractNumId="7">
    <w:nsid w:val="2DF79ECB"/>
    <w:multiLevelType w:val="singleLevel"/>
    <w:tmpl w:val="2DF79ECB"/>
    <w:lvl w:ilvl="0" w:tentative="0">
      <w:start w:val="2"/>
      <w:numFmt w:val="chineseCounting"/>
      <w:suff w:val="nothing"/>
      <w:lvlText w:val="（%1）"/>
      <w:lvlJc w:val="left"/>
      <w:rPr>
        <w:rFonts w:hint="eastAsia"/>
      </w:rPr>
    </w:lvl>
  </w:abstractNum>
  <w:num w:numId="1">
    <w:abstractNumId w:val="5"/>
  </w:num>
  <w:num w:numId="2">
    <w:abstractNumId w:val="0"/>
  </w:num>
  <w:num w:numId="3">
    <w:abstractNumId w:val="2"/>
  </w:num>
  <w:num w:numId="4">
    <w:abstractNumId w:val="6"/>
  </w:num>
  <w:num w:numId="5">
    <w:abstractNumId w:val="3"/>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0724"/>
    <w:rsid w:val="004B66DB"/>
    <w:rsid w:val="00624AEE"/>
    <w:rsid w:val="00DF6ECF"/>
    <w:rsid w:val="010D2661"/>
    <w:rsid w:val="01B64868"/>
    <w:rsid w:val="01BC5869"/>
    <w:rsid w:val="01C11E30"/>
    <w:rsid w:val="01E3205D"/>
    <w:rsid w:val="026D1636"/>
    <w:rsid w:val="02E065BA"/>
    <w:rsid w:val="02E93779"/>
    <w:rsid w:val="03557094"/>
    <w:rsid w:val="03BC23B4"/>
    <w:rsid w:val="047D2B2F"/>
    <w:rsid w:val="04D12053"/>
    <w:rsid w:val="04DA114C"/>
    <w:rsid w:val="05287A32"/>
    <w:rsid w:val="052A6E74"/>
    <w:rsid w:val="05645302"/>
    <w:rsid w:val="058420F1"/>
    <w:rsid w:val="06495805"/>
    <w:rsid w:val="06950C55"/>
    <w:rsid w:val="06951C7E"/>
    <w:rsid w:val="06977505"/>
    <w:rsid w:val="069A6762"/>
    <w:rsid w:val="06E55597"/>
    <w:rsid w:val="07053E6D"/>
    <w:rsid w:val="07604836"/>
    <w:rsid w:val="07CD3868"/>
    <w:rsid w:val="089844FD"/>
    <w:rsid w:val="089A28A1"/>
    <w:rsid w:val="08CC033C"/>
    <w:rsid w:val="09186640"/>
    <w:rsid w:val="09C430F7"/>
    <w:rsid w:val="09CB7031"/>
    <w:rsid w:val="09D407DB"/>
    <w:rsid w:val="0A25129D"/>
    <w:rsid w:val="0A5510C7"/>
    <w:rsid w:val="0A8B345C"/>
    <w:rsid w:val="0B0D441B"/>
    <w:rsid w:val="0B0D49A2"/>
    <w:rsid w:val="0B225F17"/>
    <w:rsid w:val="0B482663"/>
    <w:rsid w:val="0BFC6B85"/>
    <w:rsid w:val="0C285864"/>
    <w:rsid w:val="0C6F1C0B"/>
    <w:rsid w:val="0C8913FF"/>
    <w:rsid w:val="0C943154"/>
    <w:rsid w:val="0D511AC8"/>
    <w:rsid w:val="0D7063F4"/>
    <w:rsid w:val="0E9F0C06"/>
    <w:rsid w:val="0F735599"/>
    <w:rsid w:val="0F96152D"/>
    <w:rsid w:val="0FFF6BA1"/>
    <w:rsid w:val="104F5FF3"/>
    <w:rsid w:val="105967B7"/>
    <w:rsid w:val="1061082F"/>
    <w:rsid w:val="107172A0"/>
    <w:rsid w:val="10C30504"/>
    <w:rsid w:val="10F24AC0"/>
    <w:rsid w:val="112962C2"/>
    <w:rsid w:val="11383E35"/>
    <w:rsid w:val="118D3F5F"/>
    <w:rsid w:val="119159B2"/>
    <w:rsid w:val="11A650B1"/>
    <w:rsid w:val="129753F8"/>
    <w:rsid w:val="13C14374"/>
    <w:rsid w:val="13D51776"/>
    <w:rsid w:val="13E41CDB"/>
    <w:rsid w:val="141A66B9"/>
    <w:rsid w:val="144D0F77"/>
    <w:rsid w:val="14591C55"/>
    <w:rsid w:val="14B06E34"/>
    <w:rsid w:val="15316F8B"/>
    <w:rsid w:val="15441BB6"/>
    <w:rsid w:val="158B2B38"/>
    <w:rsid w:val="15DA618C"/>
    <w:rsid w:val="15F07D63"/>
    <w:rsid w:val="16385338"/>
    <w:rsid w:val="1639537D"/>
    <w:rsid w:val="16544B70"/>
    <w:rsid w:val="16665107"/>
    <w:rsid w:val="16AC0C91"/>
    <w:rsid w:val="17E0018E"/>
    <w:rsid w:val="17FE1A10"/>
    <w:rsid w:val="1887488F"/>
    <w:rsid w:val="194046CD"/>
    <w:rsid w:val="19A509E8"/>
    <w:rsid w:val="19A87E02"/>
    <w:rsid w:val="19C42560"/>
    <w:rsid w:val="19ED3D24"/>
    <w:rsid w:val="1AD35EA8"/>
    <w:rsid w:val="1AEC5330"/>
    <w:rsid w:val="1B6E3FD6"/>
    <w:rsid w:val="1B91706E"/>
    <w:rsid w:val="1C2365C6"/>
    <w:rsid w:val="1CB219C3"/>
    <w:rsid w:val="1D1C73B3"/>
    <w:rsid w:val="1D2A6AA0"/>
    <w:rsid w:val="1D6A1234"/>
    <w:rsid w:val="1D737AE6"/>
    <w:rsid w:val="1D8B46EB"/>
    <w:rsid w:val="1DD045F0"/>
    <w:rsid w:val="1DD51D3B"/>
    <w:rsid w:val="1DDF10B1"/>
    <w:rsid w:val="1E217132"/>
    <w:rsid w:val="1E421890"/>
    <w:rsid w:val="1F8530E3"/>
    <w:rsid w:val="1F91291C"/>
    <w:rsid w:val="201B24C0"/>
    <w:rsid w:val="202030ED"/>
    <w:rsid w:val="20482E83"/>
    <w:rsid w:val="20D47108"/>
    <w:rsid w:val="213B5427"/>
    <w:rsid w:val="2167349A"/>
    <w:rsid w:val="21850EBE"/>
    <w:rsid w:val="21C54CAA"/>
    <w:rsid w:val="21FA222E"/>
    <w:rsid w:val="224D0AF4"/>
    <w:rsid w:val="22B873B9"/>
    <w:rsid w:val="22D85D2A"/>
    <w:rsid w:val="231F1D51"/>
    <w:rsid w:val="24B1088C"/>
    <w:rsid w:val="24C877E1"/>
    <w:rsid w:val="255376C1"/>
    <w:rsid w:val="25736D7C"/>
    <w:rsid w:val="2594492F"/>
    <w:rsid w:val="26A23B04"/>
    <w:rsid w:val="27071E7D"/>
    <w:rsid w:val="27267E43"/>
    <w:rsid w:val="27306953"/>
    <w:rsid w:val="27EE54D6"/>
    <w:rsid w:val="281A68C5"/>
    <w:rsid w:val="28312D27"/>
    <w:rsid w:val="284E5E4B"/>
    <w:rsid w:val="28A07177"/>
    <w:rsid w:val="290415B0"/>
    <w:rsid w:val="290E2754"/>
    <w:rsid w:val="290F015E"/>
    <w:rsid w:val="293F3240"/>
    <w:rsid w:val="296B3F4B"/>
    <w:rsid w:val="29DB7B33"/>
    <w:rsid w:val="2A412F8F"/>
    <w:rsid w:val="2A903862"/>
    <w:rsid w:val="2B2A381E"/>
    <w:rsid w:val="2B9A4747"/>
    <w:rsid w:val="2BBD3CB4"/>
    <w:rsid w:val="2C0E0AA2"/>
    <w:rsid w:val="2C1B6AD5"/>
    <w:rsid w:val="2C412B3E"/>
    <w:rsid w:val="2CAB3AC4"/>
    <w:rsid w:val="2CC92BF1"/>
    <w:rsid w:val="2CD24DD2"/>
    <w:rsid w:val="2CE324C0"/>
    <w:rsid w:val="2D2456D1"/>
    <w:rsid w:val="2D4466DA"/>
    <w:rsid w:val="2DE36CBE"/>
    <w:rsid w:val="2E154B85"/>
    <w:rsid w:val="2E9D416D"/>
    <w:rsid w:val="2F5E29B8"/>
    <w:rsid w:val="2F7D0C8C"/>
    <w:rsid w:val="300517CD"/>
    <w:rsid w:val="3032140F"/>
    <w:rsid w:val="30434438"/>
    <w:rsid w:val="309375FE"/>
    <w:rsid w:val="30AD22F7"/>
    <w:rsid w:val="30B1294E"/>
    <w:rsid w:val="30CF551D"/>
    <w:rsid w:val="30FF79F1"/>
    <w:rsid w:val="316F2BE1"/>
    <w:rsid w:val="319C2B39"/>
    <w:rsid w:val="31AF05DF"/>
    <w:rsid w:val="32C01F73"/>
    <w:rsid w:val="32DE5329"/>
    <w:rsid w:val="331E187A"/>
    <w:rsid w:val="332B5C89"/>
    <w:rsid w:val="337338F9"/>
    <w:rsid w:val="33C57E9A"/>
    <w:rsid w:val="340B49FB"/>
    <w:rsid w:val="3445531D"/>
    <w:rsid w:val="344F0223"/>
    <w:rsid w:val="34895F9A"/>
    <w:rsid w:val="34F05427"/>
    <w:rsid w:val="34FC40CF"/>
    <w:rsid w:val="35801574"/>
    <w:rsid w:val="358062DE"/>
    <w:rsid w:val="358A6C92"/>
    <w:rsid w:val="35D5318A"/>
    <w:rsid w:val="3610072D"/>
    <w:rsid w:val="3619770F"/>
    <w:rsid w:val="36206041"/>
    <w:rsid w:val="368D3F86"/>
    <w:rsid w:val="36CA6C86"/>
    <w:rsid w:val="36FA134C"/>
    <w:rsid w:val="37206344"/>
    <w:rsid w:val="37694D62"/>
    <w:rsid w:val="381B1E02"/>
    <w:rsid w:val="383276CB"/>
    <w:rsid w:val="386246B4"/>
    <w:rsid w:val="388D3D04"/>
    <w:rsid w:val="38F45326"/>
    <w:rsid w:val="39115282"/>
    <w:rsid w:val="3918639C"/>
    <w:rsid w:val="392B51C6"/>
    <w:rsid w:val="39311764"/>
    <w:rsid w:val="39B03EBF"/>
    <w:rsid w:val="39C164E2"/>
    <w:rsid w:val="39EB0E26"/>
    <w:rsid w:val="39EF201E"/>
    <w:rsid w:val="39FC3F49"/>
    <w:rsid w:val="3A14361B"/>
    <w:rsid w:val="3A520D8A"/>
    <w:rsid w:val="3A994E53"/>
    <w:rsid w:val="3A9C74E9"/>
    <w:rsid w:val="3A9E6709"/>
    <w:rsid w:val="3AAB0341"/>
    <w:rsid w:val="3B25291B"/>
    <w:rsid w:val="3B2C76E6"/>
    <w:rsid w:val="3B453E63"/>
    <w:rsid w:val="3B5D7C61"/>
    <w:rsid w:val="3C0F43A8"/>
    <w:rsid w:val="3D1D63CE"/>
    <w:rsid w:val="3DA8755D"/>
    <w:rsid w:val="3DEE5631"/>
    <w:rsid w:val="3E213369"/>
    <w:rsid w:val="3E327B54"/>
    <w:rsid w:val="3E991A02"/>
    <w:rsid w:val="3F1B770F"/>
    <w:rsid w:val="3F313D50"/>
    <w:rsid w:val="3FCB3A13"/>
    <w:rsid w:val="3FE41A4F"/>
    <w:rsid w:val="40194187"/>
    <w:rsid w:val="401A5546"/>
    <w:rsid w:val="40D22E6D"/>
    <w:rsid w:val="417B69B2"/>
    <w:rsid w:val="41B539F7"/>
    <w:rsid w:val="41CE67C7"/>
    <w:rsid w:val="42141592"/>
    <w:rsid w:val="421D161B"/>
    <w:rsid w:val="425809C0"/>
    <w:rsid w:val="42B816ED"/>
    <w:rsid w:val="431C0FD2"/>
    <w:rsid w:val="436D57D0"/>
    <w:rsid w:val="43B04E41"/>
    <w:rsid w:val="44417BA6"/>
    <w:rsid w:val="44ED29EA"/>
    <w:rsid w:val="44F14737"/>
    <w:rsid w:val="45180111"/>
    <w:rsid w:val="45A4657F"/>
    <w:rsid w:val="45E13E67"/>
    <w:rsid w:val="45E32B66"/>
    <w:rsid w:val="45F77353"/>
    <w:rsid w:val="462A775C"/>
    <w:rsid w:val="46691042"/>
    <w:rsid w:val="46B25424"/>
    <w:rsid w:val="46BE316A"/>
    <w:rsid w:val="472A5E21"/>
    <w:rsid w:val="47450513"/>
    <w:rsid w:val="47813CC2"/>
    <w:rsid w:val="47F8508E"/>
    <w:rsid w:val="48A71754"/>
    <w:rsid w:val="48E56D2A"/>
    <w:rsid w:val="49003C66"/>
    <w:rsid w:val="496A01DE"/>
    <w:rsid w:val="49CA7439"/>
    <w:rsid w:val="4A4A697E"/>
    <w:rsid w:val="4A840933"/>
    <w:rsid w:val="4B1E4CBE"/>
    <w:rsid w:val="4B3B6A1C"/>
    <w:rsid w:val="4B59242C"/>
    <w:rsid w:val="4BC17A54"/>
    <w:rsid w:val="4BD82429"/>
    <w:rsid w:val="4BED3CEC"/>
    <w:rsid w:val="4CB83F31"/>
    <w:rsid w:val="4D1D36FC"/>
    <w:rsid w:val="4D605DC6"/>
    <w:rsid w:val="4D687FF9"/>
    <w:rsid w:val="4DA27727"/>
    <w:rsid w:val="4DB60160"/>
    <w:rsid w:val="4E654BE7"/>
    <w:rsid w:val="4E7E138A"/>
    <w:rsid w:val="4E937E91"/>
    <w:rsid w:val="4F654691"/>
    <w:rsid w:val="4F8708C6"/>
    <w:rsid w:val="50214B33"/>
    <w:rsid w:val="502335D3"/>
    <w:rsid w:val="507F49AE"/>
    <w:rsid w:val="50D949D3"/>
    <w:rsid w:val="50ED543A"/>
    <w:rsid w:val="5114508A"/>
    <w:rsid w:val="5138364D"/>
    <w:rsid w:val="51736AE0"/>
    <w:rsid w:val="51F27CA8"/>
    <w:rsid w:val="52223986"/>
    <w:rsid w:val="523F04BA"/>
    <w:rsid w:val="526D72E2"/>
    <w:rsid w:val="528A52AB"/>
    <w:rsid w:val="529A0C32"/>
    <w:rsid w:val="52EE6179"/>
    <w:rsid w:val="53487391"/>
    <w:rsid w:val="53793167"/>
    <w:rsid w:val="541334FF"/>
    <w:rsid w:val="541C090B"/>
    <w:rsid w:val="54EB3532"/>
    <w:rsid w:val="54EE1A60"/>
    <w:rsid w:val="5502153E"/>
    <w:rsid w:val="55AC1526"/>
    <w:rsid w:val="565A7838"/>
    <w:rsid w:val="56974D41"/>
    <w:rsid w:val="56AB3A5E"/>
    <w:rsid w:val="56D94A3F"/>
    <w:rsid w:val="56F9130E"/>
    <w:rsid w:val="570A602D"/>
    <w:rsid w:val="571346C3"/>
    <w:rsid w:val="574A3ACB"/>
    <w:rsid w:val="576E6004"/>
    <w:rsid w:val="57721667"/>
    <w:rsid w:val="58322CF1"/>
    <w:rsid w:val="586179DB"/>
    <w:rsid w:val="5880567C"/>
    <w:rsid w:val="588538D5"/>
    <w:rsid w:val="58A747AE"/>
    <w:rsid w:val="58EF73A6"/>
    <w:rsid w:val="59500426"/>
    <w:rsid w:val="596737E5"/>
    <w:rsid w:val="59BF27D2"/>
    <w:rsid w:val="59C40752"/>
    <w:rsid w:val="5B9260B6"/>
    <w:rsid w:val="5BC31761"/>
    <w:rsid w:val="5BE572BC"/>
    <w:rsid w:val="5C1343F0"/>
    <w:rsid w:val="5D0E671C"/>
    <w:rsid w:val="5D305D26"/>
    <w:rsid w:val="5D3E4A7C"/>
    <w:rsid w:val="5DB35D09"/>
    <w:rsid w:val="5DDA1BCF"/>
    <w:rsid w:val="5E1D2BD4"/>
    <w:rsid w:val="5E654F36"/>
    <w:rsid w:val="5E7264B1"/>
    <w:rsid w:val="5EB447EA"/>
    <w:rsid w:val="5F51526B"/>
    <w:rsid w:val="5F931B14"/>
    <w:rsid w:val="5F9547CF"/>
    <w:rsid w:val="5FD97134"/>
    <w:rsid w:val="5FE90DFC"/>
    <w:rsid w:val="60441EB7"/>
    <w:rsid w:val="606833B6"/>
    <w:rsid w:val="60D15139"/>
    <w:rsid w:val="60E3289B"/>
    <w:rsid w:val="611F6C92"/>
    <w:rsid w:val="6146457C"/>
    <w:rsid w:val="61626DF7"/>
    <w:rsid w:val="61D70DA1"/>
    <w:rsid w:val="61EE6B79"/>
    <w:rsid w:val="6225548C"/>
    <w:rsid w:val="62516F4D"/>
    <w:rsid w:val="62C9399D"/>
    <w:rsid w:val="62ED6C1F"/>
    <w:rsid w:val="63214156"/>
    <w:rsid w:val="632945F3"/>
    <w:rsid w:val="63512E58"/>
    <w:rsid w:val="63D0089C"/>
    <w:rsid w:val="642037B7"/>
    <w:rsid w:val="646A3AF5"/>
    <w:rsid w:val="64D35C2C"/>
    <w:rsid w:val="65C628F6"/>
    <w:rsid w:val="65CF5A72"/>
    <w:rsid w:val="65D0085E"/>
    <w:rsid w:val="66027103"/>
    <w:rsid w:val="6603187B"/>
    <w:rsid w:val="66AF07BF"/>
    <w:rsid w:val="66B4327E"/>
    <w:rsid w:val="66BE27A7"/>
    <w:rsid w:val="670C2D8E"/>
    <w:rsid w:val="67CC031E"/>
    <w:rsid w:val="67DD406C"/>
    <w:rsid w:val="68063136"/>
    <w:rsid w:val="685714B9"/>
    <w:rsid w:val="68BC3EA1"/>
    <w:rsid w:val="69416B39"/>
    <w:rsid w:val="69453A20"/>
    <w:rsid w:val="69C32BEC"/>
    <w:rsid w:val="69FD6115"/>
    <w:rsid w:val="6A2650B5"/>
    <w:rsid w:val="6A497906"/>
    <w:rsid w:val="6B511E04"/>
    <w:rsid w:val="6BB77640"/>
    <w:rsid w:val="6C297CB8"/>
    <w:rsid w:val="6C4254F6"/>
    <w:rsid w:val="6C5253BE"/>
    <w:rsid w:val="6C8E0D31"/>
    <w:rsid w:val="6C906037"/>
    <w:rsid w:val="6C9C715A"/>
    <w:rsid w:val="6CB23495"/>
    <w:rsid w:val="6CCD2C5F"/>
    <w:rsid w:val="6CD34F5C"/>
    <w:rsid w:val="6CF971EF"/>
    <w:rsid w:val="6D085172"/>
    <w:rsid w:val="6D396EC6"/>
    <w:rsid w:val="6D9D7B5F"/>
    <w:rsid w:val="6DC86816"/>
    <w:rsid w:val="6E1075D5"/>
    <w:rsid w:val="6E54425E"/>
    <w:rsid w:val="6E7E0683"/>
    <w:rsid w:val="6EBD3BE7"/>
    <w:rsid w:val="6F0A77C5"/>
    <w:rsid w:val="6F874265"/>
    <w:rsid w:val="6F941740"/>
    <w:rsid w:val="6FA01EF0"/>
    <w:rsid w:val="6FA26BEB"/>
    <w:rsid w:val="70E426BB"/>
    <w:rsid w:val="70F466ED"/>
    <w:rsid w:val="71741C3F"/>
    <w:rsid w:val="718F16A6"/>
    <w:rsid w:val="71BE5748"/>
    <w:rsid w:val="71BF7F9F"/>
    <w:rsid w:val="71F00D8A"/>
    <w:rsid w:val="72906E86"/>
    <w:rsid w:val="72B96F51"/>
    <w:rsid w:val="736234E2"/>
    <w:rsid w:val="73905FA1"/>
    <w:rsid w:val="73943FE5"/>
    <w:rsid w:val="7401533B"/>
    <w:rsid w:val="741371CB"/>
    <w:rsid w:val="742B0080"/>
    <w:rsid w:val="743823AB"/>
    <w:rsid w:val="744D5803"/>
    <w:rsid w:val="748B034D"/>
    <w:rsid w:val="74CD6D8F"/>
    <w:rsid w:val="74D14478"/>
    <w:rsid w:val="750F40FA"/>
    <w:rsid w:val="75290E51"/>
    <w:rsid w:val="753A0633"/>
    <w:rsid w:val="755F0101"/>
    <w:rsid w:val="755F43CF"/>
    <w:rsid w:val="75A50518"/>
    <w:rsid w:val="75BA4B9B"/>
    <w:rsid w:val="7612369C"/>
    <w:rsid w:val="76205F71"/>
    <w:rsid w:val="76E5461A"/>
    <w:rsid w:val="7700067C"/>
    <w:rsid w:val="77301B08"/>
    <w:rsid w:val="776831DD"/>
    <w:rsid w:val="77A2095A"/>
    <w:rsid w:val="77EA5FE3"/>
    <w:rsid w:val="783160EF"/>
    <w:rsid w:val="78477399"/>
    <w:rsid w:val="784F0C6B"/>
    <w:rsid w:val="78672953"/>
    <w:rsid w:val="78F315F7"/>
    <w:rsid w:val="78F72856"/>
    <w:rsid w:val="78FD0927"/>
    <w:rsid w:val="793574A5"/>
    <w:rsid w:val="79B770A8"/>
    <w:rsid w:val="79B949EC"/>
    <w:rsid w:val="7A2A61BD"/>
    <w:rsid w:val="7A5B5A0A"/>
    <w:rsid w:val="7A6C528E"/>
    <w:rsid w:val="7B1E4DF2"/>
    <w:rsid w:val="7B2C0627"/>
    <w:rsid w:val="7B510A44"/>
    <w:rsid w:val="7B8A381D"/>
    <w:rsid w:val="7BE3590F"/>
    <w:rsid w:val="7C38495C"/>
    <w:rsid w:val="7C6B587A"/>
    <w:rsid w:val="7C7067B1"/>
    <w:rsid w:val="7CAC5B6D"/>
    <w:rsid w:val="7CBE4CC0"/>
    <w:rsid w:val="7CE82EFC"/>
    <w:rsid w:val="7E687550"/>
    <w:rsid w:val="7ECE5FCB"/>
    <w:rsid w:val="7EE951F5"/>
    <w:rsid w:val="7F574D58"/>
    <w:rsid w:val="7F60594E"/>
    <w:rsid w:val="7F884E25"/>
    <w:rsid w:val="7FA4052A"/>
    <w:rsid w:val="7FA94641"/>
    <w:rsid w:val="7FAF0568"/>
    <w:rsid w:val="7FD35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Cambria" w:hAnsi="Cambria"/>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99"/>
    <w:pPr>
      <w:spacing w:beforeLines="30"/>
    </w:pPr>
    <w:rPr>
      <w:rFonts w:ascii="仿宋_GB2312" w:eastAsia="仿宋_GB2312"/>
      <w:kern w:val="0"/>
      <w:sz w:val="24"/>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8">
    <w:name w:val="toc 2"/>
    <w:basedOn w:val="1"/>
    <w:next w:val="1"/>
    <w:unhideWhenUsed/>
    <w:qFormat/>
    <w:uiPriority w:val="39"/>
    <w:pPr>
      <w:tabs>
        <w:tab w:val="right" w:leader="dot" w:pos="8296"/>
      </w:tabs>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99"/>
    <w:rPr>
      <w:rFonts w:cs="Times New Roman"/>
      <w:b/>
    </w:rPr>
  </w:style>
  <w:style w:type="character" w:styleId="13">
    <w:name w:val="Hyperlink"/>
    <w:basedOn w:val="11"/>
    <w:unhideWhenUsed/>
    <w:qFormat/>
    <w:uiPriority w:val="99"/>
    <w:rPr>
      <w:rFonts w:cs="Times New Roman"/>
      <w:color w:val="0000FF"/>
      <w:u w:val="single"/>
    </w:rPr>
  </w:style>
  <w:style w:type="character" w:customStyle="1" w:styleId="14">
    <w:name w:val=" Char Char6"/>
    <w:basedOn w:val="11"/>
    <w:link w:val="2"/>
    <w:qFormat/>
    <w:locked/>
    <w:uiPriority w:val="9"/>
    <w:rPr>
      <w:b/>
      <w:bCs/>
      <w:kern w:val="44"/>
      <w:sz w:val="44"/>
      <w:szCs w:val="44"/>
    </w:rPr>
  </w:style>
  <w:style w:type="character" w:customStyle="1" w:styleId="15">
    <w:name w:val=" Char Char5"/>
    <w:basedOn w:val="11"/>
    <w:link w:val="3"/>
    <w:qFormat/>
    <w:locked/>
    <w:uiPriority w:val="9"/>
    <w:rPr>
      <w:rFonts w:ascii="Cambria" w:hAnsi="Cambria"/>
      <w:b/>
      <w:bCs/>
      <w:sz w:val="32"/>
      <w:szCs w:val="32"/>
    </w:rPr>
  </w:style>
  <w:style w:type="paragraph" w:customStyle="1" w:styleId="16">
    <w:name w:val="List Paragraph"/>
    <w:basedOn w:val="1"/>
    <w:qFormat/>
    <w:uiPriority w:val="34"/>
    <w:pPr>
      <w:ind w:firstLine="420" w:firstLineChars="200"/>
    </w:pPr>
  </w:style>
  <w:style w:type="paragraph" w:customStyle="1" w:styleId="17">
    <w:name w:val="Default"/>
    <w:qFormat/>
    <w:uiPriority w:val="99"/>
    <w:pPr>
      <w:widowControl w:val="0"/>
      <w:autoSpaceDE w:val="0"/>
      <w:autoSpaceDN w:val="0"/>
      <w:adjustRightInd w:val="0"/>
    </w:pPr>
    <w:rPr>
      <w:rFonts w:ascii="仿宋" w:hAnsi="Times New Roman" w:eastAsia="仿宋" w:cs="仿宋"/>
      <w:color w:val="000000"/>
      <w:sz w:val="24"/>
      <w:szCs w:val="24"/>
      <w:lang w:val="en-US" w:eastAsia="zh-CN" w:bidi="ar-SA"/>
    </w:rPr>
  </w:style>
  <w:style w:type="character" w:customStyle="1" w:styleId="18">
    <w:name w:val="标题 2 字符"/>
    <w:link w:val="3"/>
    <w:qFormat/>
    <w:locked/>
    <w:uiPriority w:val="9"/>
    <w:rPr>
      <w:rFonts w:ascii="Cambria" w:hAnsi="Cambria" w:eastAsia="宋体" w:cs="Times New Roman"/>
      <w:b/>
      <w:bCs/>
      <w:kern w:val="2"/>
      <w:sz w:val="32"/>
      <w:szCs w:val="32"/>
    </w:rPr>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paragraph" w:customStyle="1" w:styleId="20">
    <w:name w:val="WPSOffice手动目录 2"/>
    <w:qFormat/>
    <w:uiPriority w:val="0"/>
    <w:pPr>
      <w:ind w:leftChars="200"/>
    </w:pPr>
    <w:rPr>
      <w:rFonts w:ascii="Times New Roman" w:hAnsi="Times New Roman" w:eastAsia="宋体" w:cs="Times New Roman"/>
      <w:sz w:val="20"/>
      <w:szCs w:val="20"/>
    </w:rPr>
  </w:style>
  <w:style w:type="paragraph" w:customStyle="1" w:styleId="21">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73748906386702"/>
          <c:y val="0.174131111111111"/>
          <c:w val="0.882069553805774"/>
          <c:h val="0.692801481481482"/>
        </c:manualLayout>
      </c:layout>
      <c:barChart>
        <c:barDir val="col"/>
        <c:grouping val="clustered"/>
        <c:varyColors val="0"/>
        <c:ser>
          <c:idx val="0"/>
          <c:order val="0"/>
          <c:tx>
            <c:strRef>
              <c:f>Sheet1!$B$1</c:f>
              <c:strCache>
                <c:ptCount val="1"/>
                <c:pt idx="0">
                  <c:v>收、支决算总计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2019年</c:v>
                </c:pt>
                <c:pt idx="1">
                  <c:v>2020年</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913.02</c:v>
                </c:pt>
                <c:pt idx="1">
                  <c:v>945.4</c:v>
                </c:pt>
              </c:numCache>
            </c:numRef>
          </c:val>
        </c:ser>
        <c:ser>
          <c:idx val="1"/>
          <c:order val="1"/>
          <c:tx>
            <c:strRef>
              <c:f>Sheet1!$C$1</c:f>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2019年</c:v>
                </c:pt>
                <c:pt idx="1">
                  <c:v>2020年</c:v>
                </c:pt>
              </c:strCache>
            </c:strRef>
          </c:cat>
          <c:val>
            <c:numRef>
              <c:extLst>
                <c:ext xmlns:c15="http://schemas.microsoft.com/office/drawing/2012/chart" uri="{02D57815-91ED-43cb-92C2-25804820EDAC}">
                  <c15:fullRef>
                    <c15:sqref>Sheet1!$C$2:$C$5</c15:sqref>
                  </c15:fullRef>
                </c:ext>
              </c:extLst>
              <c:f>Sheet1!$C$2:$C$3</c:f>
              <c:numCache>
                <c:formatCode>General</c:formatCode>
                <c:ptCount val="2"/>
              </c:numCache>
            </c:numRef>
          </c:val>
        </c:ser>
        <c:ser>
          <c:idx val="2"/>
          <c:order val="2"/>
          <c:tx>
            <c:strRef>
              <c:f>Sheet1!$D$1</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2019年</c:v>
                </c:pt>
                <c:pt idx="1">
                  <c:v>2020年</c:v>
                </c:pt>
              </c:strCache>
            </c:strRef>
          </c:cat>
          <c:val>
            <c:numRef>
              <c:extLst>
                <c:ext xmlns:c15="http://schemas.microsoft.com/office/drawing/2012/chart" uri="{02D57815-91ED-43cb-92C2-25804820EDAC}">
                  <c15:fullRef>
                    <c15:sqref>Sheet1!$D$2:$D$5</c15:sqref>
                  </c15:fullRef>
                </c:ext>
              </c:extLst>
              <c:f>Sheet1!$D$2:$D$3</c:f>
              <c:numCache>
                <c:formatCode>General</c:formatCode>
                <c:ptCount val="2"/>
              </c:numCache>
            </c:numRef>
          </c:val>
        </c:ser>
        <c:dLbls>
          <c:showLegendKey val="0"/>
          <c:showVal val="1"/>
          <c:showCatName val="0"/>
          <c:showSerName val="0"/>
          <c:showPercent val="0"/>
          <c:showBubbleSize val="0"/>
        </c:dLbls>
        <c:gapWidth val="219"/>
        <c:overlap val="-27"/>
        <c:axId val="876570379"/>
        <c:axId val="731084015"/>
      </c:barChart>
      <c:catAx>
        <c:axId val="8765703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1084015"/>
        <c:crosses val="autoZero"/>
        <c:auto val="1"/>
        <c:lblAlgn val="ctr"/>
        <c:lblOffset val="100"/>
        <c:noMultiLvlLbl val="0"/>
      </c:catAx>
      <c:valAx>
        <c:axId val="7310840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65703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一般公共预算财政拨款收入</c:v>
                </c:pt>
                <c:pt idx="1">
                  <c:v>政府性基金预算财政拨款</c:v>
                </c:pt>
                <c:pt idx="2">
                  <c:v>其他收入</c:v>
                </c:pt>
              </c:strCache>
            </c:strRef>
          </c:cat>
          <c:val>
            <c:numRef>
              <c:f>Sheet1!$B$2:$B$4</c:f>
              <c:numCache>
                <c:formatCode>General</c:formatCode>
                <c:ptCount val="3"/>
                <c:pt idx="0">
                  <c:v>940.84</c:v>
                </c:pt>
                <c:pt idx="1">
                  <c:v>3</c:v>
                </c:pt>
                <c:pt idx="2">
                  <c:v>1.56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859.03</c:v>
                </c:pt>
                <c:pt idx="1">
                  <c:v>86.37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66190476190476"/>
          <c:y val="0.0277334397446129"/>
          <c:w val="0.881952380952381"/>
          <c:h val="0.878571428571428"/>
        </c:manualLayout>
      </c:layout>
      <c:barChart>
        <c:barDir val="col"/>
        <c:grouping val="clustered"/>
        <c:varyColors val="0"/>
        <c:ser>
          <c:idx val="0"/>
          <c:order val="0"/>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902.67</c:v>
                </c:pt>
                <c:pt idx="1">
                  <c:v>943.84</c:v>
                </c:pt>
              </c:numCache>
            </c:numRef>
          </c:val>
        </c:ser>
        <c:dLbls>
          <c:showLegendKey val="0"/>
          <c:showVal val="1"/>
          <c:showCatName val="0"/>
          <c:showSerName val="0"/>
          <c:showPercent val="0"/>
          <c:showBubbleSize val="0"/>
        </c:dLbls>
        <c:gapWidth val="219"/>
        <c:overlap val="-27"/>
        <c:axId val="292170353"/>
        <c:axId val="51845161"/>
      </c:barChart>
      <c:catAx>
        <c:axId val="29217035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845161"/>
        <c:crosses val="autoZero"/>
        <c:auto val="1"/>
        <c:lblAlgn val="ctr"/>
        <c:lblOffset val="100"/>
        <c:noMultiLvlLbl val="0"/>
      </c:catAx>
      <c:valAx>
        <c:axId val="5184516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217035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899.67</c:v>
                </c:pt>
                <c:pt idx="1">
                  <c:v>940.84</c:v>
                </c:pt>
              </c:numCache>
            </c:numRef>
          </c:val>
        </c:ser>
        <c:dLbls>
          <c:showLegendKey val="0"/>
          <c:showVal val="1"/>
          <c:showCatName val="0"/>
          <c:showSerName val="0"/>
          <c:showPercent val="0"/>
          <c:showBubbleSize val="0"/>
        </c:dLbls>
        <c:gapWidth val="219"/>
        <c:overlap val="-27"/>
        <c:axId val="455322082"/>
        <c:axId val="984484302"/>
      </c:barChart>
      <c:catAx>
        <c:axId val="45532208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4484302"/>
        <c:crosses val="autoZero"/>
        <c:auto val="1"/>
        <c:lblAlgn val="ctr"/>
        <c:lblOffset val="100"/>
        <c:noMultiLvlLbl val="0"/>
      </c:catAx>
      <c:valAx>
        <c:axId val="98448430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532208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教育支出</c:v>
                </c:pt>
                <c:pt idx="1">
                  <c:v>社会保障和就业支出</c:v>
                </c:pt>
                <c:pt idx="2">
                  <c:v>卫生健康支出</c:v>
                </c:pt>
                <c:pt idx="3">
                  <c:v>住房保障支出</c:v>
                </c:pt>
              </c:strCache>
            </c:strRef>
          </c:cat>
          <c:val>
            <c:numRef>
              <c:f>Sheet1!$B$2:$B$5</c:f>
              <c:numCache>
                <c:formatCode>General</c:formatCode>
                <c:ptCount val="4"/>
                <c:pt idx="0">
                  <c:v>675.32</c:v>
                </c:pt>
                <c:pt idx="1">
                  <c:v>175.7</c:v>
                </c:pt>
                <c:pt idx="2">
                  <c:v>27.28</c:v>
                </c:pt>
                <c:pt idx="3">
                  <c:v>62.54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9789</Words>
  <Characters>10334</Characters>
  <Lines>0</Lines>
  <Paragraphs>0</Paragraphs>
  <TotalTime>27</TotalTime>
  <ScaleCrop>false</ScaleCrop>
  <LinksUpToDate>false</LinksUpToDate>
  <CharactersWithSpaces>10473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2021-09-17T15:06:00Z</dcterms:created>
  <dc:creator>cw</dc:creator>
  <cp:lastModifiedBy>滚地球（张正堂）</cp:lastModifiedBy>
  <dcterms:modified xsi:type="dcterms:W3CDTF">2021-09-30T01:20:49Z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FD687E1E8BF74A75BDB0C6555826DEDF</vt:lpwstr>
  </property>
</Properties>
</file>