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hint="eastAsia" w:ascii="宋体" w:hAnsi="宋体" w:eastAsia="宋体" w:cs="宋体"/>
          <w:color w:val="000000"/>
          <w:sz w:val="72"/>
          <w:szCs w:val="72"/>
        </w:rPr>
      </w:pPr>
      <w:bookmarkStart w:id="1" w:name="_Toc15377425"/>
      <w:bookmarkStart w:id="2" w:name="_Toc15378441"/>
      <w:bookmarkStart w:id="3" w:name="_Toc15396475"/>
      <w:bookmarkStart w:id="4" w:name="_Toc15377193"/>
      <w:bookmarkStart w:id="5" w:name="_Toc15396597"/>
      <w:bookmarkStart w:id="6" w:name="_Toc17261"/>
      <w:r>
        <w:rPr>
          <w:rFonts w:hint="eastAsia" w:ascii="宋体" w:hAnsi="宋体" w:eastAsia="宋体" w:cs="宋体"/>
          <w:color w:val="000000"/>
          <w:sz w:val="72"/>
          <w:szCs w:val="72"/>
        </w:rPr>
        <w:t>2020年度</w:t>
      </w:r>
      <w:bookmarkEnd w:id="1"/>
      <w:bookmarkEnd w:id="2"/>
      <w:bookmarkEnd w:id="3"/>
      <w:bookmarkEnd w:id="4"/>
      <w:bookmarkEnd w:id="5"/>
      <w:bookmarkEnd w:id="6"/>
    </w:p>
    <w:p>
      <w:pPr>
        <w:adjustRightInd w:val="0"/>
        <w:snapToGrid w:val="0"/>
        <w:spacing w:line="360" w:lineRule="auto"/>
        <w:jc w:val="center"/>
        <w:outlineLvl w:val="9"/>
        <w:rPr>
          <w:rFonts w:hint="eastAsia" w:ascii="宋体" w:hAnsi="宋体" w:eastAsia="宋体" w:cs="宋体"/>
          <w:color w:val="000000"/>
          <w:sz w:val="72"/>
          <w:szCs w:val="72"/>
        </w:rPr>
      </w:pPr>
      <w:bookmarkStart w:id="7" w:name="_Toc15377426"/>
      <w:bookmarkStart w:id="8" w:name="_Toc15396598"/>
      <w:bookmarkStart w:id="9" w:name="_Toc15378442"/>
      <w:bookmarkStart w:id="10" w:name="_Toc15396476"/>
      <w:bookmarkStart w:id="11" w:name="_Toc15377194"/>
      <w:bookmarkStart w:id="12" w:name="_Toc23151"/>
      <w:r>
        <w:rPr>
          <w:rFonts w:hint="eastAsia" w:ascii="宋体" w:hAnsi="宋体" w:eastAsia="宋体" w:cs="宋体"/>
          <w:color w:val="000000"/>
          <w:sz w:val="72"/>
          <w:szCs w:val="72"/>
        </w:rPr>
        <w:t>四川省</w:t>
      </w:r>
      <w:bookmarkEnd w:id="0"/>
      <w:bookmarkStart w:id="13" w:name="_Toc15306268"/>
      <w:r>
        <w:rPr>
          <w:rFonts w:hint="eastAsia" w:ascii="宋体" w:hAnsi="宋体" w:eastAsia="宋体" w:cs="宋体"/>
          <w:color w:val="000000"/>
          <w:sz w:val="72"/>
          <w:szCs w:val="72"/>
        </w:rPr>
        <w:t>乐山市五通桥区</w:t>
      </w:r>
    </w:p>
    <w:p>
      <w:pPr>
        <w:adjustRightInd w:val="0"/>
        <w:snapToGrid w:val="0"/>
        <w:spacing w:line="360" w:lineRule="auto"/>
        <w:jc w:val="center"/>
        <w:outlineLvl w:val="9"/>
        <w:rPr>
          <w:rFonts w:hint="default" w:ascii="宋体" w:hAnsi="宋体" w:eastAsia="宋体" w:cs="宋体"/>
          <w:color w:val="000000"/>
          <w:sz w:val="72"/>
          <w:szCs w:val="72"/>
          <w:lang w:val="en-US" w:eastAsia="zh-CN"/>
        </w:rPr>
      </w:pPr>
      <w:r>
        <w:rPr>
          <w:rFonts w:hint="eastAsia" w:ascii="宋体" w:hAnsi="宋体" w:cs="宋体"/>
          <w:color w:val="000000"/>
          <w:sz w:val="72"/>
          <w:szCs w:val="72"/>
          <w:lang w:eastAsia="zh-CN"/>
        </w:rPr>
        <w:t>牛华镇新云小学</w:t>
      </w:r>
      <w:bookmarkEnd w:id="7"/>
      <w:bookmarkEnd w:id="8"/>
      <w:bookmarkEnd w:id="9"/>
      <w:bookmarkEnd w:id="10"/>
      <w:bookmarkEnd w:id="11"/>
      <w:bookmarkEnd w:id="12"/>
      <w:bookmarkEnd w:id="13"/>
      <w:r>
        <w:rPr>
          <w:rFonts w:hint="eastAsia" w:ascii="宋体" w:hAnsi="宋体" w:cs="宋体"/>
          <w:color w:val="000000"/>
          <w:sz w:val="72"/>
          <w:szCs w:val="72"/>
          <w:lang w:val="en-US" w:eastAsia="zh-CN"/>
        </w:rPr>
        <w:t>部门决算</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8"/>
      </w:pPr>
      <w:r>
        <w:rPr>
          <w:rFonts w:hint="eastAsia"/>
        </w:rPr>
        <w:t>公开时间：</w:t>
      </w:r>
      <w:r>
        <w:t>2021</w:t>
      </w:r>
      <w:r>
        <w:rPr>
          <w:rFonts w:hint="eastAsia"/>
        </w:rPr>
        <w:t xml:space="preserve">年 </w:t>
      </w:r>
      <w:r>
        <w:rPr>
          <w:rFonts w:hint="eastAsia"/>
          <w:lang w:val="en-US" w:eastAsia="zh-CN"/>
        </w:rPr>
        <w:t>9</w:t>
      </w:r>
      <w:r>
        <w:rPr>
          <w:rFonts w:hint="eastAsia"/>
        </w:rPr>
        <w:t>月</w:t>
      </w:r>
      <w:r>
        <w:rPr>
          <w:rFonts w:hint="eastAsia"/>
          <w:lang w:val="en-US" w:eastAsia="zh-CN"/>
        </w:rPr>
        <w:t>28</w:t>
      </w:r>
      <w:r>
        <w:rPr>
          <w:rFonts w:hint="eastAsia"/>
        </w:rPr>
        <w:t>日</w:t>
      </w:r>
    </w:p>
    <w:p/>
    <w:p>
      <w:pPr>
        <w:spacing w:before="0" w:beforeLines="0" w:after="0" w:afterLines="0" w:line="240" w:lineRule="auto"/>
        <w:ind w:left="0" w:leftChars="0" w:right="0" w:rightChars="0" w:firstLine="0" w:firstLineChars="0"/>
        <w:jc w:val="center"/>
        <w:rPr>
          <w:sz w:val="30"/>
          <w:szCs w:val="30"/>
        </w:rPr>
      </w:pPr>
      <w:bookmarkStart w:id="14" w:name="_Toc15396599"/>
      <w:bookmarkStart w:id="15" w:name="_Toc15377196"/>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TOC \o "1-3" \h \u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_Toc27941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val="0"/>
          <w:sz w:val="30"/>
          <w:szCs w:val="30"/>
        </w:rPr>
        <w:t>第一部分</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_Toc27941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_Toc19897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_Toc19897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_Toc15667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（一）主要职能</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_Toc15667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_Toc18962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（二）2020年重点工作完成情况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_Toc18962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_Toc9412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val="0"/>
          <w:sz w:val="30"/>
          <w:szCs w:val="30"/>
        </w:rPr>
        <w:t>二、机构设置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_Toc9412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_Toc5937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val="0"/>
          <w:sz w:val="30"/>
          <w:szCs w:val="30"/>
        </w:rPr>
        <w:t>第二部分 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_Toc5937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_Toc25871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_Toc25871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_Toc17908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_Toc17908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_Toc22010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_Toc22010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_Toc5949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_Toc5949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_Toc8996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_Toc8996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_Toc25931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（一）一般公共预算财政拨款支出决算总体情况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_Toc25931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_Toc11883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（二）一般公共预算财政拨款支出决算结构情况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_Toc11883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_Toc8382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（三）一般公共预算财政拨款支出决算具体情况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_Toc8382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_Toc11101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_Toc11101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_Toc18090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_Toc18090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_Toc25462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（一）“三公”经费财政拨款支出决算总体情况说明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_Toc25462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_Toc8302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（二）“三公”经费财政拨款支出决算具体情况说明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_Toc8302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_Toc20766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_Toc20766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_Toc25393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_Toc25393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_Toc28610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_Toc28610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_Toc13346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（一）机关运行经费支出情况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_Toc13346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_Toc20858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（二）政府采购支出情况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_Toc20858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_Toc32761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（三）国有资产占有使用情况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_Toc32761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5"/>
        <w:tabs>
          <w:tab w:val="right" w:leader="dot" w:pos="830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_Toc20249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（四）预算绩效管理情况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_Toc20249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_Toc18253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_Toc18253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_Toc3493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_Toc3493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_Toc20147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附件1</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_Toc20147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_Toc11386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附件2</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_Toc11386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_Toc22726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_Toc22726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_Toc18860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_Toc18860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_Toc395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_Toc395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_Toc13929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_Toc13929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_Toc19915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_Toc19915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_Toc17251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_Toc17251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_Toc22099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_Toc22099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_Toc3466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_Toc3466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_Toc30277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_Toc30277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_Toc13727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_Toc13727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_Toc23773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_Toc23773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_Toc366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_Toc366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_Toc9805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_Toc9805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_Toc7078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_Toc7078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_Toc31912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_Toc31912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end"/>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ascii="黑体" w:eastAsia="黑体"/>
          <w:color w:val="000000"/>
          <w:sz w:val="32"/>
          <w:szCs w:val="32"/>
        </w:rPr>
      </w:pPr>
      <w:bookmarkStart w:id="16" w:name="_Toc27941"/>
      <w:r>
        <w:rPr>
          <w:rStyle w:val="15"/>
          <w:rFonts w:hint="eastAsia" w:ascii="黑体" w:hAnsi="黑体" w:eastAsia="黑体"/>
          <w:b w:val="0"/>
          <w:bCs w:val="0"/>
        </w:rPr>
        <w:t>第一部分</w:t>
      </w:r>
      <w:bookmarkEnd w:id="16"/>
      <w:r>
        <w:rPr>
          <w:rFonts w:ascii="黑体" w:hAnsi="黑体" w:eastAsia="黑体"/>
          <w:b w:val="0"/>
        </w:rPr>
        <w:t xml:space="preserve"> </w:t>
      </w:r>
      <w:r>
        <w:rPr>
          <w:rStyle w:val="15"/>
          <w:rFonts w:hint="eastAsia" w:ascii="黑体" w:hAnsi="黑体" w:eastAsia="黑体"/>
          <w:b w:val="0"/>
          <w:bCs w:val="0"/>
        </w:rPr>
        <w:t>部门概况</w:t>
      </w:r>
      <w:bookmarkEnd w:id="14"/>
      <w:bookmarkEnd w:id="15"/>
    </w:p>
    <w:p>
      <w:pPr>
        <w:pStyle w:val="3"/>
        <w:rPr>
          <w:rStyle w:val="16"/>
          <w:rFonts w:ascii="仿宋" w:hAnsi="仿宋" w:eastAsia="仿宋"/>
          <w:b w:val="0"/>
          <w:bCs w:val="0"/>
        </w:rPr>
      </w:pPr>
      <w:bookmarkStart w:id="17" w:name="_Toc15377197"/>
      <w:bookmarkStart w:id="18" w:name="_Toc15396600"/>
      <w:bookmarkStart w:id="19" w:name="_Toc19897"/>
      <w:r>
        <w:rPr>
          <w:rFonts w:hint="eastAsia" w:ascii="黑体" w:hAnsi="黑体" w:eastAsia="黑体"/>
          <w:b w:val="0"/>
          <w:color w:val="000000"/>
        </w:rPr>
        <w:t>一、基</w:t>
      </w:r>
      <w:r>
        <w:rPr>
          <w:rStyle w:val="16"/>
          <w:rFonts w:hint="eastAsia" w:ascii="黑体" w:hAnsi="黑体" w:eastAsia="黑体"/>
          <w:b w:val="0"/>
          <w:bCs w:val="0"/>
        </w:rPr>
        <w:t>本职能及主要工作</w:t>
      </w:r>
      <w:bookmarkEnd w:id="17"/>
      <w:bookmarkEnd w:id="18"/>
      <w:bookmarkEnd w:id="19"/>
    </w:p>
    <w:p>
      <w:pPr>
        <w:pStyle w:val="4"/>
        <w:adjustRightInd w:val="0"/>
        <w:snapToGrid w:val="0"/>
        <w:spacing w:before="93" w:line="600" w:lineRule="exact"/>
        <w:ind w:firstLine="672" w:firstLineChars="210"/>
        <w:outlineLvl w:val="2"/>
        <w:rPr>
          <w:rFonts w:hint="eastAsia" w:ascii="仿宋" w:hAnsi="仿宋" w:eastAsia="仿宋" w:cs="仿宋"/>
          <w:bCs/>
          <w:color w:val="000000"/>
          <w:sz w:val="32"/>
          <w:szCs w:val="32"/>
        </w:rPr>
      </w:pPr>
      <w:bookmarkStart w:id="20" w:name="_Toc15377198"/>
      <w:bookmarkStart w:id="21" w:name="_Toc2408"/>
      <w:bookmarkStart w:id="22" w:name="_Toc15378445"/>
      <w:bookmarkStart w:id="23" w:name="_Toc15667"/>
      <w:r>
        <w:rPr>
          <w:rFonts w:hint="eastAsia" w:ascii="仿宋" w:hAnsi="仿宋" w:eastAsia="仿宋" w:cs="仿宋"/>
          <w:bCs/>
          <w:color w:val="000000"/>
          <w:sz w:val="32"/>
          <w:szCs w:val="32"/>
        </w:rPr>
        <w:t>（一）主要职能</w:t>
      </w:r>
      <w:bookmarkEnd w:id="20"/>
      <w:bookmarkEnd w:id="21"/>
      <w:bookmarkEnd w:id="22"/>
      <w:bookmarkEnd w:id="23"/>
      <w:bookmarkStart w:id="24" w:name="_Toc15377199"/>
      <w:bookmarkStart w:id="25" w:name="_Toc15378446"/>
    </w:p>
    <w:p>
      <w:pPr>
        <w:pStyle w:val="4"/>
        <w:adjustRightInd w:val="0"/>
        <w:snapToGrid w:val="0"/>
        <w:spacing w:before="93" w:line="600" w:lineRule="exact"/>
        <w:ind w:firstLine="672" w:firstLineChars="210"/>
        <w:outlineLvl w:val="9"/>
        <w:rPr>
          <w:rFonts w:hint="eastAsia" w:ascii="仿宋" w:hAnsi="仿宋" w:eastAsia="仿宋" w:cs="仿宋"/>
          <w:bCs/>
          <w:color w:val="000000"/>
          <w:sz w:val="32"/>
          <w:szCs w:val="32"/>
        </w:rPr>
      </w:pPr>
      <w:r>
        <w:rPr>
          <w:rFonts w:hint="eastAsia" w:ascii="仿宋" w:hAnsi="仿宋" w:eastAsia="仿宋" w:cs="仿宋"/>
          <w:sz w:val="32"/>
          <w:szCs w:val="32"/>
          <w:lang w:eastAsia="zh-CN"/>
        </w:rPr>
        <w:t>乐山市五通桥区牛华镇新云小学</w:t>
      </w:r>
      <w:r>
        <w:rPr>
          <w:rFonts w:hint="eastAsia" w:ascii="仿宋" w:hAnsi="仿宋" w:eastAsia="仿宋" w:cs="仿宋"/>
          <w:sz w:val="32"/>
          <w:szCs w:val="32"/>
        </w:rPr>
        <w:t>其主要职能是实施小学义务教育,促进基础教育发展。小学学历教育。</w:t>
      </w:r>
    </w:p>
    <w:p>
      <w:pPr>
        <w:pStyle w:val="4"/>
        <w:adjustRightInd w:val="0"/>
        <w:snapToGrid w:val="0"/>
        <w:spacing w:before="93" w:line="600" w:lineRule="exact"/>
        <w:ind w:firstLine="672" w:firstLineChars="210"/>
        <w:outlineLvl w:val="2"/>
        <w:rPr>
          <w:rFonts w:hint="eastAsia" w:ascii="仿宋" w:hAnsi="仿宋" w:eastAsia="仿宋" w:cs="仿宋"/>
          <w:bCs/>
          <w:color w:val="000000"/>
          <w:sz w:val="32"/>
          <w:szCs w:val="32"/>
        </w:rPr>
      </w:pPr>
      <w:bookmarkStart w:id="26" w:name="_Toc345"/>
      <w:bookmarkStart w:id="27" w:name="_Toc18962"/>
      <w:r>
        <w:rPr>
          <w:rFonts w:hint="eastAsia" w:ascii="仿宋" w:hAnsi="仿宋" w:eastAsia="仿宋" w:cs="仿宋"/>
          <w:bCs/>
          <w:color w:val="000000"/>
          <w:sz w:val="32"/>
          <w:szCs w:val="32"/>
        </w:rPr>
        <w:t>（二）2020年重点工作完成情况</w:t>
      </w:r>
      <w:bookmarkEnd w:id="24"/>
      <w:bookmarkEnd w:id="25"/>
      <w:bookmarkEnd w:id="26"/>
      <w:bookmarkEnd w:id="27"/>
    </w:p>
    <w:p>
      <w:pPr>
        <w:ind w:firstLineChars="200"/>
        <w:rPr>
          <w:rFonts w:hint="eastAsia" w:ascii="仿宋" w:hAnsi="仿宋" w:eastAsia="仿宋" w:cs="仿宋"/>
          <w:sz w:val="32"/>
          <w:szCs w:val="32"/>
        </w:rPr>
      </w:pPr>
      <w:bookmarkStart w:id="28" w:name="_Toc15377200"/>
      <w:bookmarkStart w:id="29" w:name="_Toc15396601"/>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）德育工作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建立和健全学校德育领导小组，组长：代建超，副组长：刘锋，成员：祝德利、张雅琴、赵强、彭晓菁和各班班主任。牢固树立“以人为本，立德树人”的思想，以活动为载体，狠抓学生行为习惯的养成教育，培养学生良好思想品质。</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开展主题活动，丰富学生校内外生活。少先队大队部以各种重要节日、纪念日为依托，开展丰富多彩的活动，如体验教育活动、爱心教育活动、禁毒宣传活动、法治宣传活动、感恩教育主题活动、敬老活动、包饺子活动、观看爱国主义电影、运动会、艺术节等。让学生在活动中成长，陶冶情操，培养良好的行为品质。充分信任学生，着力培养小干部，增强自主管理能力。利用班会课开展先进典型、英雄模范学习宣传活动，各班举行抗疫英雄故事会等。</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认真执行升降国旗制度，每周一举行升旗仪式，开展国旗下讲话，对学生进行爱国主义教育、优秀传统文化教育、社会主义核心价值观、安全教育等。加强家校联系，每期召开家长会，搭建交流沟通的桥梁，共同教育学生。2020年因</w:t>
      </w:r>
      <w:bookmarkStart w:id="147" w:name="_GoBack"/>
      <w:bookmarkEnd w:id="147"/>
      <w:r>
        <w:rPr>
          <w:rFonts w:hint="eastAsia" w:ascii="仿宋" w:hAnsi="仿宋" w:eastAsia="仿宋" w:cs="仿宋"/>
          <w:sz w:val="32"/>
          <w:szCs w:val="32"/>
        </w:rPr>
        <w:t>疫情原因，未举办全校集中性家长</w:t>
      </w:r>
      <w:r>
        <w:rPr>
          <w:rFonts w:hint="eastAsia" w:ascii="仿宋" w:hAnsi="仿宋" w:eastAsia="仿宋" w:cs="仿宋"/>
          <w:sz w:val="32"/>
          <w:szCs w:val="32"/>
          <w:lang w:eastAsia="zh-CN"/>
        </w:rPr>
        <w:t>会</w:t>
      </w:r>
      <w:r>
        <w:rPr>
          <w:rFonts w:hint="eastAsia" w:ascii="仿宋" w:hAnsi="仿宋" w:eastAsia="仿宋" w:cs="仿宋"/>
          <w:sz w:val="32"/>
          <w:szCs w:val="32"/>
        </w:rPr>
        <w:t>，各班小规模召开家长会，疫情期间</w:t>
      </w:r>
      <w:r>
        <w:rPr>
          <w:rFonts w:hint="eastAsia" w:ascii="仿宋" w:hAnsi="仿宋" w:eastAsia="仿宋" w:cs="仿宋"/>
          <w:b w:val="0"/>
          <w:bCs w:val="0"/>
          <w:color w:val="000000" w:themeColor="text1"/>
          <w:sz w:val="32"/>
          <w:szCs w:val="32"/>
          <w14:textFill>
            <w14:solidFill>
              <w14:schemeClr w14:val="tx1"/>
            </w14:solidFill>
          </w14:textFill>
        </w:rPr>
        <w:t>利</w:t>
      </w:r>
      <w:r>
        <w:rPr>
          <w:rFonts w:hint="eastAsia" w:ascii="仿宋" w:hAnsi="仿宋" w:eastAsia="仿宋" w:cs="仿宋"/>
          <w:b w:val="0"/>
          <w:bCs w:val="0"/>
          <w:color w:val="000000" w:themeColor="text1"/>
          <w:sz w:val="32"/>
          <w:szCs w:val="32"/>
          <w:lang w:eastAsia="zh-CN"/>
          <w14:textFill>
            <w14:solidFill>
              <w14:schemeClr w14:val="tx1"/>
            </w14:solidFill>
          </w14:textFill>
        </w:rPr>
        <w:t>用</w:t>
      </w:r>
      <w:r>
        <w:rPr>
          <w:rFonts w:hint="eastAsia" w:ascii="仿宋" w:hAnsi="仿宋" w:eastAsia="仿宋" w:cs="仿宋"/>
          <w:sz w:val="32"/>
          <w:szCs w:val="32"/>
        </w:rPr>
        <w:t>QQ群、微信群和钉钉进行家长会，向家长讲授正确的教育孩子的方法。班主任通过多种形式做好家校联系工作，让家长了解学校的工作，听取家长对学校教育的建议和意见，形成教育合力。关心建档立卡家庭贫困生和留守学生的健康成长，在生活上、学习上给予热情的帮助。班主任每期走访留守学生和建档立卡学生，了解学生家庭情况，向学生家长宣传国家的教育资助政策，收集家长对学校的意见和建议，交流孩子在校学习情况，深受家长好评。</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加强学生心理辅导，疫情期间利QQ群、微信群和钉钉开展心理健康教育。复课后，班主任老师每期上两节心理健康教育团辅课，每学期安排一次全校性集中讲授心理健康知识，受到师生好评，起到了引领示范的作用。学校新建一间心理健康辅导室，积极派出张雅琴、郭静、盛倩、袁旭琴四位教师参加区级和集团化心理健康培训，培养心理健康教育师资力量。</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建立健全法治教育建设机构，认真开展了法律进校园活动。组织开展了禁毒宣传教育活动、艾滋病宣传教育活动、学习《宪法》主题活动、法治知识竞赛活动等。我校聘请新云派出所民警钱林同志为我校法治副校长，法治副校长多次到校了解学校情况，向学生讲授法治知识。</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每期根据学生表现情况，期末评选出勤学上进的三好学生、优秀学生干部、优秀少先队员、劳动之星、学习之星、运动健将、进步之星等，在下期开学典礼上进行表彰，树立榜样。班主任撰写学生评语均做到写激励性评语。本年度新云小学少先队大队被评为五通桥区优秀少先队集体，学生杨惠琳被评为五通桥区优秀少先队员。</w:t>
      </w:r>
    </w:p>
    <w:p>
      <w:pPr>
        <w:ind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）教学工作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按照部颁计划、课程标准，开足开齐课程计划规定的课程，严格执行课程表和作息时间表。各部门制定教学工作计划，每月底行政会各部门总结汇报计划完成情况。寒暑假学生完成规定的作业，比如每天写一篇字，每天在家长的陪同下锻炼1小时，每天做几件力所能及的家务事，寒暑假期间读几本好书（教师推荐书目）等。</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严格执行“六认真”要求，规范教学过程管理。学校完善了教学常规管理制度，同时，教导处、教研组采取不定期抽查和月查相结合的形式，检查每位教师的上课、备课、作业批改、听课笔记等资料，做到随查随记，并将检查情况进行分析、汇总，及时通报给各位教师。落实听课制度，教师听课每期不少于15节，副校长、学校中层干部、教研组长每期听课不少于20节，校长每期听课不少于40 节。</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学校结合来源于老师们平时教学中遇到的实际问题和困惑，开展了理论学习和教学研讨活动。采用请进来，走出去的方式和二码头教研组共同开展活动。集团化办学试行后，积极参加集团化共同教研活动，为教师们搭建交流平台，促进教师的专业发展。</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静心读书写字活动。二码头小学教育集团组织全体语文老师到乐山翡翠实验小学参观学习读书活动，2020年秋季学期我校启动书香校园建设活动，组织全体师生开展静心读书写字活动，让图书室的书流动起来。每天利用中午20分钟时间开展读书写字活动（每周一、三、五读书，二、四写字），全校师生共同参与，通过这一期的运行，形成良好的读书写字氛围。</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教师积极参与教研教改，推荐多名教师参加市区优质课展评活动，一名教师获市级二等奖，二名教师获区级二等奖。教师积极撰写教学论文，一名教师论文获市级一等奖，一名教师论文获区级二等奖，三名教师论文获区级三等奖，四名教师论文获区级优秀奖。</w:t>
      </w:r>
    </w:p>
    <w:p>
      <w:pPr>
        <w:ind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）体育、美育和劳动教育</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学校坚持每学期举办一次全校学生体育运动会（春季学期因疫原因未举办运动会），每天安排大课间活动和2次眼保健操，认真上好体育课，保证学生每天有1 小时体育活动时间。利用课后服务组织开展体育社团活动，学校开展了乒乓球、花式跳绳两个社团活动，平时加强学生体育锻炼，按时完成学生体质健康测试工作。本年度学校组织参加区运会，获体育道德风尚奖。</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加强艺术教育工作，严格落实音乐、美术、书法等课程，结合学校师资情况和地方文化，利用课后服务开展小</w:t>
      </w:r>
      <w:r>
        <w:rPr>
          <w:rFonts w:hint="eastAsia" w:ascii="仿宋" w:hAnsi="仿宋" w:eastAsia="仿宋" w:cs="仿宋"/>
          <w:color w:val="FF0000"/>
          <w:sz w:val="32"/>
          <w:szCs w:val="32"/>
          <w:lang w:eastAsia="zh-CN"/>
        </w:rPr>
        <w:t>合</w:t>
      </w:r>
      <w:r>
        <w:rPr>
          <w:rFonts w:hint="eastAsia" w:ascii="仿宋" w:hAnsi="仿宋" w:eastAsia="仿宋" w:cs="仿宋"/>
          <w:sz w:val="32"/>
          <w:szCs w:val="32"/>
        </w:rPr>
        <w:t>唱班，舞蹈班，书法班和绘画班等兴趣小组，2020年12月18日学校举办了全校性艺术节，将形成的艺术作品进行集中展示，形成良好的艺术氛围。学生参加青少年科技创新大赛，学生科幻画作品获市级一等奖2人，市级二等奖1人，三等奖1人，获区级一等奖4人，二等奖2人，杨君艳评为优秀指导教师。</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探索劳动实践教育课程，劳动教育进课堂，利用地方资源和家校合作开展劳动实践教育。组织部分年级学生到中华村一农户家进行养羊体验活动；组织全校师生进行花草种植活动，将种植的花草用于绿化美化校园；农忙期间要求学生参与家庭劳作，如水稻、玉米收割，让学生体会劳动的艰辛和丰收的喜悦；疫情期要求家长指导孩子在家开展厨艺大比拼、收拾自己的卧室、清洗自己的衣物等活动，通过网络晒图老师进行评价，促进学生全面发展。</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规范实施课后服务，每期开学制定课后服务实施方案，规范过程管理，探索特色课程，本年度开设有书法班、经典诵读班、乒乓球班、花试跳绳班、儿童画班、小合唱班、舞蹈班等特色课程，学校艺术节将形成的作品进行集中展演。</w:t>
      </w:r>
    </w:p>
    <w:p>
      <w:pPr>
        <w:ind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）校园文化</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按照学校制定的校园文化建设设施方案，围绕学校的感恩教育主题，深入开展校园文化建设，充分发挥校园文化的育人功能。开展感恩教育学月活动，以活动带动班级文化建设，创造良好的育人环境，固化感恩教育特色，营造“一校一品”育人氛围。</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认真开展校园文化建设，楼道文化、教室文化、办公室文化、橱窗文化建设已成体系，黑板报、宣传橱窗内容定期更换，育人氛围浓。加强校园环境卫生整治，特别注重净化、绿化，抓好学校建筑管理和维修，本年度完善了党员活动室和少先队室，设立了心理健康辅导室。少先队建立有卫生检查和纪律检查评比制度，坚持每天检查评比。校园整洁优美，绿化效果好，育人环境得到全面优化，校园内及周边环境秩序良好，无严重安全隐患。</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教育技术装备工作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学校成立领导小组，设立有教育技术装备办公室，教导处祝德利主任分管教育装备工作；制定有教育装备年度工作计划；健全各功能室相应的制度和职责，各功能室教育装备的配置均已达标。加强电教设备的管理和维护，确保设备设施的正常使用。本年度新够置电脑4台。</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学校有科学实验室和实验器材保管室。按要求开展实验教学，学生演示和分组实验开出率达标，记录资料完整。本年度投入3万余元，新建舞蹈室和心理咨询室，改建音乐室、图书室。图书室藏书量6001册，生均量约45册。书籍实行电子化管理，完善了借阅管理制度，向学生开放借阅。每个班级有慈弘图书角，书柜里有许多书，利用中午20分钟时间开展全校师生静心阅读书写字活动，让图书室的书流动起来，逐步让学生养成读课外书的好习惯。</w:t>
      </w:r>
    </w:p>
    <w:p>
      <w:pPr>
        <w:ind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③</w:t>
      </w:r>
      <w:r>
        <w:rPr>
          <w:rFonts w:hint="eastAsia" w:ascii="仿宋" w:hAnsi="仿宋" w:eastAsia="仿宋" w:cs="仿宋"/>
          <w:sz w:val="32"/>
          <w:szCs w:val="32"/>
        </w:rPr>
        <w:t>各功能室相关人员按时积极参加各级组织的各种培训活动，学校按时上报各种表册和相关材料。坚持每期进行一次信息技术检测。积极组织教师参加“一师一优课，一课一名师”赛课活动和“课堂教育大比武”赛课活动，数学老师盛倩在区级优质课展评中获区级二等奖，积极撰写教育技术装备论文，本年度代建超老师撰写的论文《着力构建“融创课堂”的点滴思考》在2020年义务教育阶段信息技术论文评选中获市级一等奖</w:t>
      </w:r>
      <w:r>
        <w:rPr>
          <w:rFonts w:hint="eastAsia" w:ascii="仿宋" w:hAnsi="仿宋" w:eastAsia="仿宋" w:cs="仿宋"/>
          <w:sz w:val="32"/>
          <w:szCs w:val="32"/>
          <w:lang w:eastAsia="zh-CN"/>
        </w:rPr>
        <w:t>。</w:t>
      </w:r>
    </w:p>
    <w:p>
      <w:pPr>
        <w:ind w:firstLineChars="200"/>
        <w:rPr>
          <w:rFonts w:hint="eastAsia" w:ascii="仿宋" w:hAnsi="仿宋" w:eastAsia="仿宋" w:cs="仿宋"/>
          <w:sz w:val="32"/>
          <w:szCs w:val="32"/>
          <w:lang w:eastAsia="zh-CN"/>
        </w:rPr>
      </w:pPr>
    </w:p>
    <w:p>
      <w:pPr>
        <w:ind w:firstLineChars="200"/>
        <w:rPr>
          <w:rFonts w:hint="eastAsia" w:ascii="仿宋" w:hAnsi="仿宋" w:eastAsia="仿宋" w:cs="仿宋"/>
          <w:sz w:val="32"/>
          <w:szCs w:val="32"/>
          <w:lang w:eastAsia="zh-CN"/>
        </w:rPr>
      </w:pPr>
    </w:p>
    <w:p>
      <w:pPr>
        <w:ind w:firstLineChars="200"/>
        <w:rPr>
          <w:rFonts w:hint="eastAsia" w:ascii="仿宋" w:hAnsi="仿宋" w:eastAsia="仿宋" w:cs="仿宋"/>
          <w:sz w:val="32"/>
          <w:szCs w:val="32"/>
          <w:lang w:eastAsia="zh-CN"/>
        </w:rPr>
      </w:pPr>
    </w:p>
    <w:p>
      <w:pPr>
        <w:ind w:firstLineChars="200"/>
        <w:rPr>
          <w:rStyle w:val="16"/>
          <w:b w:val="0"/>
          <w:bCs w:val="0"/>
        </w:rPr>
      </w:pPr>
      <w:bookmarkStart w:id="30" w:name="_Toc9412"/>
      <w:r>
        <w:rPr>
          <w:rStyle w:val="16"/>
          <w:rFonts w:hint="eastAsia" w:ascii="黑体" w:hAnsi="黑体" w:eastAsia="黑体"/>
          <w:b w:val="0"/>
          <w:bCs w:val="0"/>
        </w:rPr>
        <w:t>二、机构设置</w:t>
      </w:r>
      <w:bookmarkEnd w:id="28"/>
      <w:bookmarkEnd w:id="29"/>
    </w:p>
    <w:bookmarkEnd w:id="30"/>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乐山市五通桥区牛华镇新云小学</w:t>
      </w:r>
      <w:r>
        <w:rPr>
          <w:rFonts w:hint="eastAsia" w:ascii="仿宋" w:hAnsi="仿宋" w:eastAsia="仿宋" w:cs="仿宋"/>
          <w:sz w:val="32"/>
          <w:szCs w:val="32"/>
        </w:rPr>
        <w:t>一级预算单位，无下属二级单位。</w:t>
      </w:r>
      <w:r>
        <w:rPr>
          <w:rFonts w:hint="eastAsia" w:ascii="仿宋" w:hAnsi="仿宋" w:eastAsia="仿宋" w:cs="仿宋"/>
          <w:sz w:val="32"/>
          <w:szCs w:val="32"/>
          <w:lang w:eastAsia="zh-CN"/>
        </w:rPr>
        <w:t>乐山市五通桥区牛华镇新云小学</w:t>
      </w:r>
      <w:r>
        <w:rPr>
          <w:rFonts w:hint="eastAsia" w:ascii="仿宋" w:hAnsi="仿宋" w:eastAsia="仿宋" w:cs="仿宋"/>
          <w:sz w:val="32"/>
          <w:szCs w:val="32"/>
          <w:lang w:val="en-US" w:eastAsia="zh-CN"/>
        </w:rPr>
        <w:t>年末在职人数24人</w:t>
      </w:r>
      <w:r>
        <w:rPr>
          <w:rFonts w:hint="eastAsia" w:ascii="仿宋" w:hAnsi="仿宋" w:eastAsia="仿宋" w:cs="仿宋"/>
          <w:sz w:val="32"/>
          <w:szCs w:val="32"/>
        </w:rPr>
        <w:t>。</w:t>
      </w: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p>
    <w:p>
      <w:pPr>
        <w:widowControl/>
        <w:jc w:val="left"/>
        <w:rPr>
          <w:rFonts w:hint="eastAsia" w:ascii="仿宋" w:hAnsi="仿宋" w:eastAsia="仿宋" w:cs="仿宋"/>
          <w:sz w:val="32"/>
          <w:szCs w:val="32"/>
        </w:rPr>
      </w:pPr>
    </w:p>
    <w:p>
      <w:pPr>
        <w:widowControl/>
        <w:ind w:firstLine="440" w:firstLineChars="100"/>
        <w:jc w:val="left"/>
        <w:outlineLvl w:val="0"/>
        <w:rPr>
          <w:rStyle w:val="15"/>
          <w:rFonts w:ascii="黑体" w:hAnsi="黑体" w:eastAsia="黑体"/>
          <w:b w:val="0"/>
          <w:bCs w:val="0"/>
        </w:rPr>
      </w:pPr>
      <w:bookmarkStart w:id="31" w:name="_Toc5937"/>
      <w:bookmarkStart w:id="32" w:name="_Toc15396602"/>
      <w:bookmarkStart w:id="33" w:name="_Toc15377204"/>
      <w:r>
        <w:rPr>
          <w:rStyle w:val="15"/>
          <w:rFonts w:hint="eastAsia" w:ascii="黑体" w:hAnsi="黑体" w:eastAsia="黑体"/>
          <w:b w:val="0"/>
          <w:bCs w:val="0"/>
        </w:rPr>
        <w:t>第二部分 20</w:t>
      </w:r>
      <w:r>
        <w:rPr>
          <w:rStyle w:val="15"/>
          <w:rFonts w:ascii="黑体" w:hAnsi="黑体" w:eastAsia="黑体"/>
          <w:b w:val="0"/>
          <w:bCs w:val="0"/>
        </w:rPr>
        <w:t>20</w:t>
      </w:r>
      <w:r>
        <w:rPr>
          <w:rStyle w:val="15"/>
          <w:rFonts w:hint="eastAsia" w:ascii="黑体" w:hAnsi="黑体" w:eastAsia="黑体"/>
          <w:b w:val="0"/>
          <w:bCs w:val="0"/>
        </w:rPr>
        <w:t>年度部门决算情况说明</w:t>
      </w:r>
      <w:bookmarkEnd w:id="31"/>
      <w:bookmarkEnd w:id="32"/>
      <w:bookmarkEnd w:id="33"/>
    </w:p>
    <w:p/>
    <w:p>
      <w:pPr>
        <w:pStyle w:val="17"/>
        <w:numPr>
          <w:ilvl w:val="0"/>
          <w:numId w:val="1"/>
        </w:numPr>
        <w:spacing w:line="600" w:lineRule="exact"/>
        <w:ind w:firstLineChars="0"/>
        <w:outlineLvl w:val="1"/>
        <w:rPr>
          <w:rStyle w:val="16"/>
          <w:rFonts w:ascii="黑体" w:hAnsi="黑体" w:eastAsia="黑体"/>
          <w:b w:val="0"/>
        </w:rPr>
      </w:pPr>
      <w:bookmarkStart w:id="34" w:name="_Toc15377205"/>
      <w:bookmarkStart w:id="35" w:name="_Toc25871"/>
      <w:bookmarkStart w:id="36" w:name="_Toc15396603"/>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34"/>
      <w:bookmarkEnd w:id="35"/>
      <w:bookmarkEnd w:id="36"/>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出总计363.71万元，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354.02万元，各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9.69万元，</w:t>
      </w:r>
      <w:r>
        <w:rPr>
          <w:rFonts w:hint="eastAsia" w:ascii="仿宋" w:hAnsi="仿宋" w:eastAsia="仿宋"/>
          <w:color w:val="000000" w:themeColor="text1"/>
          <w:sz w:val="32"/>
          <w:szCs w:val="32"/>
          <w14:textFill>
            <w14:solidFill>
              <w14:schemeClr w14:val="tx1"/>
            </w14:solidFill>
          </w14:textFill>
        </w:rPr>
        <w:t>增长</w:t>
      </w:r>
      <w:r>
        <w:rPr>
          <w:rFonts w:hint="eastAsia" w:ascii="仿宋" w:hAnsi="仿宋" w:eastAsia="仿宋"/>
          <w:color w:val="000000" w:themeColor="text1"/>
          <w:sz w:val="32"/>
          <w:szCs w:val="32"/>
          <w:lang w:val="en-US" w:eastAsia="zh-CN"/>
          <w14:textFill>
            <w14:solidFill>
              <w14:schemeClr w14:val="tx1"/>
            </w14:solidFill>
          </w14:textFill>
        </w:rPr>
        <w:t>2.74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410845</wp:posOffset>
            </wp:positionH>
            <wp:positionV relativeFrom="paragraph">
              <wp:posOffset>258445</wp:posOffset>
            </wp:positionV>
            <wp:extent cx="5080000" cy="3467100"/>
            <wp:effectExtent l="5080" t="4445" r="20320" b="1460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jc w:val="center"/>
        <w:rPr>
          <w:rFonts w:ascii="仿宋_GB2312" w:eastAsia="仿宋_GB2312"/>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17"/>
        <w:numPr>
          <w:ilvl w:val="0"/>
          <w:numId w:val="1"/>
        </w:numPr>
        <w:spacing w:line="600" w:lineRule="exact"/>
        <w:ind w:firstLineChars="0"/>
        <w:outlineLvl w:val="1"/>
        <w:rPr>
          <w:rStyle w:val="16"/>
          <w:rFonts w:ascii="黑体" w:hAnsi="黑体" w:eastAsia="黑体"/>
          <w:b w:val="0"/>
        </w:rPr>
      </w:pPr>
      <w:bookmarkStart w:id="37" w:name="_Toc17908"/>
      <w:bookmarkStart w:id="38" w:name="_Toc15377206"/>
      <w:bookmarkStart w:id="39" w:name="_Toc15396604"/>
      <w:r>
        <w:rPr>
          <w:rFonts w:hint="eastAsia" w:ascii="黑体" w:hAnsi="黑体" w:eastAsia="黑体"/>
          <w:color w:val="000000"/>
          <w:sz w:val="32"/>
          <w:szCs w:val="32"/>
        </w:rPr>
        <w:t>收</w:t>
      </w:r>
      <w:r>
        <w:rPr>
          <w:rStyle w:val="16"/>
          <w:rFonts w:hint="eastAsia" w:ascii="黑体" w:hAnsi="黑体" w:eastAsia="黑体"/>
          <w:b w:val="0"/>
        </w:rPr>
        <w:t>入决算情况说明</w:t>
      </w:r>
      <w:bookmarkEnd w:id="37"/>
      <w:bookmarkEnd w:id="38"/>
      <w:bookmarkEnd w:id="39"/>
    </w:p>
    <w:p>
      <w:pPr>
        <w:spacing w:line="600" w:lineRule="exact"/>
        <w:ind w:firstLine="640" w:firstLineChars="200"/>
        <w:outlineLvl w:val="9"/>
        <w:rPr>
          <w:rFonts w:hint="eastAsia" w:ascii="仿宋" w:hAnsi="仿宋" w:eastAsia="仿宋"/>
          <w:color w:val="000000"/>
          <w:sz w:val="32"/>
          <w:szCs w:val="32"/>
          <w:lang w:eastAsia="zh-CN"/>
        </w:rPr>
      </w:pPr>
      <w:bookmarkStart w:id="40"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363.71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363.68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bookmarkEnd w:id="40"/>
    </w:p>
    <w:p>
      <w:pPr>
        <w:tabs>
          <w:tab w:val="left" w:pos="2797"/>
        </w:tabs>
        <w:spacing w:line="600" w:lineRule="exact"/>
        <w:outlineLvl w:val="9"/>
        <w:rPr>
          <w:rFonts w:hint="eastAsia" w:ascii="仿宋" w:hAnsi="仿宋" w:eastAsia="仿宋"/>
          <w:color w:val="000000"/>
          <w:sz w:val="32"/>
          <w:szCs w:val="32"/>
          <w:lang w:eastAsia="zh-CN"/>
        </w:rPr>
      </w:pPr>
    </w:p>
    <w:p>
      <w:pPr>
        <w:spacing w:line="600" w:lineRule="exact"/>
        <w:ind w:firstLine="1280" w:firstLineChars="400"/>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1280" w:firstLineChars="400"/>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127500" cy="2783840"/>
            <wp:effectExtent l="4445" t="5080" r="11430"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jc w:val="center"/>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17"/>
        <w:numPr>
          <w:ilvl w:val="0"/>
          <w:numId w:val="1"/>
        </w:numPr>
        <w:spacing w:line="600" w:lineRule="exact"/>
        <w:ind w:firstLineChars="0"/>
        <w:outlineLvl w:val="1"/>
        <w:rPr>
          <w:rStyle w:val="16"/>
          <w:rFonts w:ascii="黑体" w:hAnsi="黑体" w:eastAsia="黑体"/>
          <w:b w:val="0"/>
        </w:rPr>
      </w:pPr>
      <w:bookmarkStart w:id="41" w:name="_Toc22010"/>
      <w:bookmarkStart w:id="42" w:name="_Toc15396605"/>
      <w:bookmarkStart w:id="43" w:name="_Toc15377207"/>
      <w:r>
        <w:rPr>
          <w:rFonts w:hint="eastAsia" w:ascii="黑体" w:hAnsi="黑体" w:eastAsia="黑体"/>
          <w:color w:val="000000"/>
          <w:sz w:val="32"/>
          <w:szCs w:val="32"/>
        </w:rPr>
        <w:t>支</w:t>
      </w:r>
      <w:r>
        <w:rPr>
          <w:rStyle w:val="16"/>
          <w:rFonts w:hint="eastAsia" w:ascii="黑体" w:hAnsi="黑体" w:eastAsia="黑体"/>
          <w:b w:val="0"/>
        </w:rPr>
        <w:t>出决算情况说明</w:t>
      </w:r>
      <w:bookmarkEnd w:id="41"/>
      <w:bookmarkEnd w:id="42"/>
      <w:bookmarkEnd w:id="43"/>
    </w:p>
    <w:p>
      <w:pPr>
        <w:spacing w:line="600" w:lineRule="exact"/>
        <w:ind w:firstLine="640" w:firstLineChars="200"/>
        <w:outlineLvl w:val="9"/>
        <w:rPr>
          <w:rFonts w:hint="eastAsia" w:ascii="仿宋" w:hAnsi="仿宋" w:eastAsia="仿宋"/>
          <w:color w:val="000000"/>
          <w:sz w:val="32"/>
          <w:szCs w:val="32"/>
          <w:lang w:eastAsia="zh-CN"/>
        </w:rPr>
      </w:pPr>
      <w:bookmarkStart w:id="44" w:name="_Toc2949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eastAsia="zh-CN"/>
        </w:rPr>
        <w:t>363.71</w:t>
      </w:r>
      <w:r>
        <w:rPr>
          <w:rFonts w:hint="eastAsia" w:ascii="仿宋" w:hAnsi="仿宋" w:eastAsia="仿宋"/>
          <w:color w:val="000000"/>
          <w:sz w:val="32"/>
          <w:szCs w:val="32"/>
        </w:rPr>
        <w:t>万元，其中：基本支出</w:t>
      </w:r>
      <w:r>
        <w:rPr>
          <w:rFonts w:hint="eastAsia" w:ascii="仿宋" w:hAnsi="仿宋" w:eastAsia="仿宋"/>
          <w:color w:val="000000"/>
          <w:sz w:val="32"/>
          <w:szCs w:val="32"/>
          <w:lang w:eastAsia="zh-CN"/>
        </w:rPr>
        <w:t>348.2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95.74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eastAsia="zh-CN"/>
        </w:rPr>
        <w:t>15.48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4.26</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44"/>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0288" behindDoc="0" locked="0" layoutInCell="1" allowOverlap="1">
            <wp:simplePos x="0" y="0"/>
            <wp:positionH relativeFrom="column">
              <wp:posOffset>414655</wp:posOffset>
            </wp:positionH>
            <wp:positionV relativeFrom="paragraph">
              <wp:posOffset>49530</wp:posOffset>
            </wp:positionV>
            <wp:extent cx="4524375" cy="3275965"/>
            <wp:effectExtent l="4445" t="4445" r="5080" b="571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jc w:val="center"/>
        <w:rPr>
          <w:rFonts w:hint="eastAsia" w:ascii="仿宋" w:hAnsi="仿宋" w:eastAsia="仿宋"/>
          <w:color w:val="000000"/>
          <w:sz w:val="32"/>
          <w:szCs w:val="32"/>
          <w:shd w:val="pct10" w:color="auto" w:fill="FFFFFF"/>
          <w:lang w:eastAsia="zh-CN"/>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6"/>
          <w:rFonts w:ascii="黑体" w:hAnsi="黑体" w:eastAsia="黑体"/>
          <w:b w:val="0"/>
        </w:rPr>
      </w:pPr>
      <w:bookmarkStart w:id="45" w:name="_Toc5949"/>
      <w:bookmarkStart w:id="46" w:name="_Toc15377208"/>
      <w:bookmarkStart w:id="47" w:name="_Toc15396606"/>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45"/>
      <w:bookmarkEnd w:id="46"/>
      <w:bookmarkEnd w:id="47"/>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出总计363.68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350.13万元，各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13.55万元，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3.87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179070</wp:posOffset>
            </wp:positionH>
            <wp:positionV relativeFrom="paragraph">
              <wp:posOffset>250190</wp:posOffset>
            </wp:positionV>
            <wp:extent cx="5334000" cy="3783965"/>
            <wp:effectExtent l="4445" t="4445" r="14605" b="2159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16"/>
          <w:rFonts w:ascii="黑体" w:hAnsi="黑体" w:eastAsia="黑体"/>
          <w:b w:val="0"/>
        </w:rPr>
      </w:pPr>
      <w:bookmarkStart w:id="48" w:name="_Toc8996"/>
      <w:bookmarkStart w:id="49" w:name="_Toc15396607"/>
      <w:bookmarkStart w:id="50"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48"/>
      <w:bookmarkEnd w:id="49"/>
      <w:bookmarkEnd w:id="50"/>
    </w:p>
    <w:p>
      <w:pPr>
        <w:spacing w:line="600" w:lineRule="exact"/>
        <w:ind w:firstLine="643" w:firstLineChars="200"/>
        <w:outlineLvl w:val="2"/>
        <w:rPr>
          <w:rFonts w:ascii="仿宋" w:hAnsi="仿宋" w:eastAsia="仿宋"/>
          <w:b/>
          <w:color w:val="000000"/>
          <w:sz w:val="32"/>
          <w:szCs w:val="32"/>
        </w:rPr>
      </w:pPr>
      <w:bookmarkStart w:id="51" w:name="_Toc25931"/>
      <w:bookmarkStart w:id="52" w:name="_Toc20289"/>
      <w:bookmarkStart w:id="53" w:name="_Toc15377210"/>
      <w:r>
        <w:rPr>
          <w:rFonts w:hint="eastAsia" w:ascii="仿宋" w:hAnsi="仿宋" w:eastAsia="仿宋"/>
          <w:b/>
          <w:color w:val="000000"/>
          <w:sz w:val="32"/>
          <w:szCs w:val="32"/>
        </w:rPr>
        <w:t>（一）一般公共预算财政拨款支出决算总体情况</w:t>
      </w:r>
      <w:bookmarkEnd w:id="51"/>
      <w:bookmarkEnd w:id="52"/>
      <w:bookmarkEnd w:id="53"/>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363.68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13.55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3.87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391160</wp:posOffset>
            </wp:positionH>
            <wp:positionV relativeFrom="paragraph">
              <wp:posOffset>22860</wp:posOffset>
            </wp:positionV>
            <wp:extent cx="4365625" cy="3095625"/>
            <wp:effectExtent l="4445" t="4445" r="11430" b="1143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jc w:val="center"/>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54" w:name="_Toc13117"/>
      <w:bookmarkStart w:id="55" w:name="_Toc11883"/>
      <w:bookmarkStart w:id="56" w:name="_Toc15377211"/>
      <w:r>
        <w:rPr>
          <w:rFonts w:hint="eastAsia" w:ascii="仿宋" w:hAnsi="仿宋" w:eastAsia="仿宋"/>
          <w:b/>
          <w:color w:val="000000"/>
          <w:sz w:val="32"/>
          <w:szCs w:val="32"/>
        </w:rPr>
        <w:t>（二）一般公共预算财政拨款支出决算结构情况</w:t>
      </w:r>
      <w:bookmarkEnd w:id="54"/>
      <w:bookmarkEnd w:id="55"/>
      <w:bookmarkEnd w:id="5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363.68</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263.35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72.41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63.8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17.54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11.18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25.35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6.97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419100</wp:posOffset>
            </wp:positionH>
            <wp:positionV relativeFrom="paragraph">
              <wp:posOffset>-275590</wp:posOffset>
            </wp:positionV>
            <wp:extent cx="3921125" cy="1704340"/>
            <wp:effectExtent l="4445" t="4445" r="8255" b="571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57" w:name="_Toc15377212"/>
      <w:bookmarkStart w:id="58" w:name="_Toc8382"/>
      <w:bookmarkStart w:id="59" w:name="_Toc16048"/>
      <w:r>
        <w:rPr>
          <w:rFonts w:hint="eastAsia" w:ascii="仿宋" w:hAnsi="仿宋" w:eastAsia="仿宋"/>
          <w:b/>
          <w:color w:val="000000"/>
          <w:sz w:val="32"/>
          <w:szCs w:val="32"/>
        </w:rPr>
        <w:t>（三）一般公共预算财政拨款支出决算具体情况</w:t>
      </w:r>
      <w:bookmarkEnd w:id="57"/>
      <w:bookmarkEnd w:id="58"/>
      <w:bookmarkEnd w:id="59"/>
    </w:p>
    <w:p>
      <w:pPr>
        <w:spacing w:line="600" w:lineRule="exact"/>
        <w:ind w:firstLine="643" w:firstLineChars="200"/>
        <w:outlineLvl w:val="9"/>
        <w:rPr>
          <w:rFonts w:ascii="仿宋" w:hAnsi="仿宋" w:eastAsia="仿宋"/>
          <w:color w:val="FF0000"/>
          <w:sz w:val="32"/>
          <w:szCs w:val="32"/>
        </w:rPr>
      </w:pPr>
      <w:bookmarkStart w:id="60" w:name="_Toc15378460"/>
      <w:bookmarkStart w:id="61" w:name="_Toc28372"/>
      <w:bookmarkStart w:id="62" w:name="_Toc15377444"/>
      <w:bookmarkStart w:id="63"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bCs/>
          <w:color w:val="000000"/>
          <w:sz w:val="32"/>
          <w:szCs w:val="32"/>
          <w:lang w:val="en-US" w:eastAsia="zh-CN"/>
        </w:rPr>
        <w:t>363.68</w:t>
      </w:r>
      <w:r>
        <w:rPr>
          <w:rFonts w:hint="eastAsia" w:ascii="仿宋" w:hAnsi="仿宋" w:eastAsia="仿宋"/>
          <w:b/>
          <w:bCs/>
          <w:color w:val="000000"/>
          <w:sz w:val="32"/>
          <w:szCs w:val="32"/>
        </w:rPr>
        <w:t>万元</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w:t>
      </w:r>
      <w:r>
        <w:rPr>
          <w:rStyle w:val="13"/>
          <w:rFonts w:hint="eastAsia" w:ascii="仿宋" w:hAnsi="仿宋" w:eastAsia="仿宋"/>
          <w:bCs/>
          <w:color w:val="000000"/>
          <w:sz w:val="32"/>
          <w:szCs w:val="32"/>
          <w:lang w:val="en-US" w:eastAsia="zh-CN"/>
        </w:rPr>
        <w:t>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60"/>
      <w:bookmarkEnd w:id="61"/>
      <w:bookmarkEnd w:id="62"/>
      <w:bookmarkEnd w:id="63"/>
    </w:p>
    <w:p>
      <w:pPr>
        <w:numPr>
          <w:ilvl w:val="0"/>
          <w:numId w:val="0"/>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1.</w:t>
      </w:r>
      <w:r>
        <w:rPr>
          <w:rStyle w:val="13"/>
          <w:rFonts w:hint="eastAsia" w:ascii="仿宋" w:hAnsi="仿宋" w:eastAsia="仿宋"/>
          <w:bCs/>
          <w:color w:val="000000"/>
          <w:sz w:val="32"/>
          <w:szCs w:val="32"/>
        </w:rPr>
        <w:t>教育支出（类）普通教育（款）小学教育（项）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260.35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numPr>
          <w:ilvl w:val="0"/>
          <w:numId w:val="0"/>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2.</w:t>
      </w:r>
      <w:r>
        <w:rPr>
          <w:rStyle w:val="13"/>
          <w:rFonts w:hint="eastAsia" w:ascii="仿宋" w:hAnsi="仿宋" w:eastAsia="仿宋"/>
          <w:bCs/>
          <w:color w:val="000000"/>
          <w:sz w:val="32"/>
          <w:szCs w:val="32"/>
        </w:rPr>
        <w:t>教育支出（类）普通教育（款）学</w:t>
      </w:r>
      <w:r>
        <w:rPr>
          <w:rStyle w:val="13"/>
          <w:rFonts w:hint="eastAsia" w:ascii="仿宋" w:hAnsi="仿宋" w:eastAsia="仿宋"/>
          <w:bCs/>
          <w:color w:val="000000"/>
          <w:sz w:val="32"/>
          <w:szCs w:val="32"/>
          <w:lang w:eastAsia="zh-CN"/>
        </w:rPr>
        <w:t>前</w:t>
      </w:r>
      <w:r>
        <w:rPr>
          <w:rStyle w:val="13"/>
          <w:rFonts w:hint="eastAsia" w:ascii="仿宋" w:hAnsi="仿宋" w:eastAsia="仿宋"/>
          <w:bCs/>
          <w:color w:val="000000"/>
          <w:sz w:val="32"/>
          <w:szCs w:val="32"/>
        </w:rPr>
        <w:t>教育（项）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社会保障和就业支出（类）行政事业单位养老支出（款）机关事业单位基本养老保险缴费支出（项）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支出决算为29.05万元，完成预算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4</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社会保障和就业支出（类）行政事业单位养老支出（款）机关事业单位职业年金缴费支出（项）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支出决算为14.52万元，完成预算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5</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社会保障和就业支出（类）行政事业单位养老支出（款）其他行政事业单位养老支出（项）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支出决算为20.23万元，完成预算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6</w:t>
      </w:r>
      <w:r>
        <w:rPr>
          <w:rStyle w:val="13"/>
          <w:rFonts w:ascii="仿宋" w:hAnsi="仿宋" w:eastAsia="仿宋"/>
          <w:bCs/>
          <w:color w:val="000000"/>
          <w:sz w:val="32"/>
          <w:szCs w:val="32"/>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（类）行政事业单位医疗（款）事业单位医疗（项）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支出决算为11.18万元，完成预算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FF0000"/>
          <w:sz w:val="32"/>
          <w:szCs w:val="32"/>
        </w:rPr>
      </w:pPr>
      <w:r>
        <w:rPr>
          <w:rStyle w:val="13"/>
          <w:rFonts w:hint="eastAsia" w:ascii="仿宋" w:hAnsi="仿宋" w:eastAsia="仿宋"/>
          <w:bCs/>
          <w:color w:val="000000"/>
          <w:sz w:val="32"/>
          <w:szCs w:val="32"/>
          <w:lang w:val="en-US" w:eastAsia="zh-CN"/>
        </w:rPr>
        <w:t>7</w:t>
      </w:r>
      <w:r>
        <w:rPr>
          <w:rStyle w:val="13"/>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3"/>
          <w:rFonts w:hint="eastAsia" w:ascii="仿宋" w:hAnsi="仿宋" w:eastAsia="仿宋"/>
          <w:bCs/>
          <w:color w:val="000000"/>
          <w:sz w:val="32"/>
          <w:szCs w:val="32"/>
        </w:rPr>
        <w:t>（类）住房改革支出</w:t>
      </w:r>
      <w:r>
        <w:rPr>
          <w:rStyle w:val="13"/>
          <w:rFonts w:hint="eastAsia" w:ascii="仿宋" w:hAnsi="仿宋" w:eastAsia="仿宋"/>
          <w:bCs/>
          <w:color w:val="000000"/>
          <w:sz w:val="32"/>
          <w:szCs w:val="32"/>
          <w:lang w:eastAsia="zh-CN"/>
        </w:rPr>
        <w:t>（</w:t>
      </w:r>
      <w:r>
        <w:rPr>
          <w:rStyle w:val="13"/>
          <w:rFonts w:hint="eastAsia" w:ascii="仿宋" w:hAnsi="仿宋" w:eastAsia="仿宋"/>
          <w:bCs/>
          <w:color w:val="000000"/>
          <w:sz w:val="32"/>
          <w:szCs w:val="32"/>
        </w:rPr>
        <w:t>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支出决算为25.35万元，完成预算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16"/>
        </w:rPr>
      </w:pPr>
      <w:bookmarkStart w:id="64" w:name="_Toc15396608"/>
      <w:bookmarkStart w:id="65" w:name="_Toc15377214"/>
      <w:bookmarkStart w:id="66" w:name="_Toc11101"/>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64"/>
      <w:bookmarkEnd w:id="65"/>
      <w:bookmarkEnd w:id="66"/>
      <w:r>
        <w:rPr>
          <w:rStyle w:val="1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348.23</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338.69</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、其他社会保障缴费、</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9.54</w:t>
      </w:r>
      <w:r>
        <w:rPr>
          <w:rFonts w:hint="eastAsia" w:ascii="仿宋" w:hAnsi="仿宋" w:eastAsia="仿宋"/>
          <w:color w:val="000000"/>
          <w:sz w:val="32"/>
          <w:szCs w:val="32"/>
        </w:rPr>
        <w:t>万元，主要包括：工会经费、福利费等。</w:t>
      </w:r>
    </w:p>
    <w:p>
      <w:pPr>
        <w:spacing w:line="600" w:lineRule="exact"/>
        <w:ind w:firstLine="640"/>
        <w:outlineLvl w:val="1"/>
        <w:rPr>
          <w:rStyle w:val="16"/>
          <w:rFonts w:ascii="黑体" w:hAnsi="黑体" w:eastAsia="黑体"/>
          <w:b w:val="0"/>
        </w:rPr>
      </w:pPr>
      <w:bookmarkStart w:id="67" w:name="_Toc18090"/>
      <w:bookmarkStart w:id="68" w:name="_Toc15377215"/>
      <w:bookmarkStart w:id="69" w:name="_Toc15396609"/>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67"/>
      <w:bookmarkEnd w:id="68"/>
      <w:bookmarkEnd w:id="69"/>
    </w:p>
    <w:p>
      <w:pPr>
        <w:spacing w:line="600" w:lineRule="exact"/>
        <w:ind w:firstLine="640"/>
        <w:outlineLvl w:val="2"/>
        <w:rPr>
          <w:rFonts w:ascii="仿宋" w:hAnsi="仿宋" w:eastAsia="仿宋"/>
          <w:b/>
          <w:color w:val="000000"/>
          <w:sz w:val="32"/>
          <w:szCs w:val="32"/>
        </w:rPr>
      </w:pPr>
      <w:bookmarkStart w:id="70" w:name="_Toc15377216"/>
      <w:bookmarkStart w:id="71" w:name="_Toc26822"/>
      <w:bookmarkStart w:id="72" w:name="_Toc25462"/>
      <w:r>
        <w:rPr>
          <w:rFonts w:hint="eastAsia" w:ascii="仿宋" w:hAnsi="仿宋" w:eastAsia="仿宋"/>
          <w:b/>
          <w:color w:val="000000"/>
          <w:sz w:val="32"/>
          <w:szCs w:val="32"/>
        </w:rPr>
        <w:t>（一）“三公”经费财政拨款支出决算总体情况说明</w:t>
      </w:r>
      <w:bookmarkEnd w:id="70"/>
      <w:bookmarkEnd w:id="71"/>
      <w:bookmarkEnd w:id="72"/>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3" w:name="_Toc26414"/>
      <w:bookmarkStart w:id="74" w:name="_Toc15377217"/>
      <w:bookmarkStart w:id="75" w:name="_Toc8302"/>
      <w:r>
        <w:rPr>
          <w:rFonts w:hint="eastAsia" w:ascii="仿宋" w:hAnsi="仿宋" w:eastAsia="仿宋"/>
          <w:b/>
          <w:color w:val="000000"/>
          <w:sz w:val="32"/>
          <w:szCs w:val="32"/>
        </w:rPr>
        <w:t>（二）“三公”经费财政拨款支出决算具体情况说明</w:t>
      </w:r>
      <w:bookmarkEnd w:id="73"/>
      <w:bookmarkEnd w:id="74"/>
      <w:bookmarkEnd w:id="7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Style w:val="13"/>
          <w:rFonts w:hint="eastAsia" w:ascii="仿宋" w:hAnsi="仿宋" w:eastAsia="仿宋" w:cs="仿宋"/>
          <w:b w:val="0"/>
          <w:bCs/>
          <w:color w:val="000000"/>
          <w:sz w:val="32"/>
          <w:szCs w:val="32"/>
        </w:rPr>
        <w:t>完成预算</w:t>
      </w:r>
      <w:r>
        <w:rPr>
          <w:rStyle w:val="13"/>
          <w:rFonts w:hint="eastAsia" w:ascii="仿宋" w:hAnsi="仿宋" w:eastAsia="仿宋" w:cs="仿宋"/>
          <w:b w:val="0"/>
          <w:bCs/>
          <w:color w:val="000000"/>
          <w:sz w:val="32"/>
          <w:szCs w:val="32"/>
          <w:lang w:val="en-US" w:eastAsia="zh-CN"/>
        </w:rPr>
        <w:t>0</w:t>
      </w:r>
      <w:r>
        <w:rPr>
          <w:rStyle w:val="13"/>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%。其中：</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万元，具体内容包括：</w:t>
      </w:r>
      <w:r>
        <w:rPr>
          <w:rFonts w:hint="eastAsia" w:ascii="仿宋" w:hAnsi="仿宋" w:eastAsia="仿宋" w:cs="仿宋"/>
          <w:color w:val="auto"/>
          <w:sz w:val="32"/>
          <w:szCs w:val="32"/>
          <w:lang w:val="en-US" w:eastAsia="zh-CN"/>
        </w:rPr>
        <w:t>用于接待上级领导视察并指导学校发展产生的住宿费、用餐费0万元。</w:t>
      </w:r>
    </w:p>
    <w:p>
      <w:pPr>
        <w:spacing w:line="600" w:lineRule="exact"/>
        <w:ind w:firstLine="640"/>
        <w:outlineLvl w:val="1"/>
        <w:rPr>
          <w:rStyle w:val="16"/>
          <w:rFonts w:ascii="黑体" w:hAnsi="黑体" w:eastAsia="黑体"/>
        </w:rPr>
      </w:pPr>
      <w:bookmarkStart w:id="76" w:name="_Toc15377218"/>
      <w:bookmarkStart w:id="77" w:name="_Toc20766"/>
      <w:bookmarkStart w:id="78" w:name="_Toc15396610"/>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76"/>
      <w:bookmarkEnd w:id="77"/>
      <w:bookmarkEnd w:id="78"/>
    </w:p>
    <w:p>
      <w:pPr>
        <w:spacing w:line="600" w:lineRule="exact"/>
        <w:ind w:firstLine="640"/>
        <w:rPr>
          <w:rFonts w:ascii="仿宋_GB2312" w:eastAsia="仿宋_GB2312"/>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2"/>
        </w:numPr>
        <w:spacing w:line="600" w:lineRule="exact"/>
        <w:ind w:firstLine="640"/>
        <w:outlineLvl w:val="1"/>
        <w:rPr>
          <w:rStyle w:val="16"/>
          <w:rFonts w:ascii="黑体" w:hAnsi="黑体" w:eastAsia="黑体"/>
          <w:b w:val="0"/>
        </w:rPr>
      </w:pPr>
      <w:bookmarkStart w:id="79" w:name="_Toc15377219"/>
      <w:bookmarkStart w:id="80" w:name="_Toc15396611"/>
      <w:bookmarkStart w:id="81" w:name="_Toc25393"/>
      <w:r>
        <w:rPr>
          <w:rStyle w:val="16"/>
          <w:rFonts w:hint="eastAsia" w:ascii="黑体" w:hAnsi="黑体" w:eastAsia="黑体"/>
          <w:b w:val="0"/>
        </w:rPr>
        <w:t>国有资本经营预算支出决算情况说明</w:t>
      </w:r>
      <w:bookmarkEnd w:id="79"/>
      <w:bookmarkEnd w:id="80"/>
      <w:bookmarkEnd w:id="81"/>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6"/>
          <w:rFonts w:ascii="黑体" w:hAnsi="黑体" w:eastAsia="黑体"/>
        </w:rPr>
      </w:pPr>
      <w:bookmarkStart w:id="82" w:name="_Toc15377221"/>
      <w:bookmarkStart w:id="83" w:name="_Toc28610"/>
      <w:bookmarkStart w:id="84" w:name="_Toc15396612"/>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82"/>
      <w:bookmarkEnd w:id="83"/>
      <w:bookmarkEnd w:id="84"/>
    </w:p>
    <w:p>
      <w:pPr>
        <w:spacing w:line="600" w:lineRule="exact"/>
        <w:ind w:firstLine="643" w:firstLineChars="200"/>
        <w:outlineLvl w:val="2"/>
        <w:rPr>
          <w:rFonts w:ascii="仿宋" w:hAnsi="仿宋" w:eastAsia="仿宋"/>
          <w:color w:val="000000"/>
          <w:sz w:val="32"/>
          <w:szCs w:val="32"/>
        </w:rPr>
      </w:pPr>
      <w:bookmarkStart w:id="85" w:name="_Toc13346"/>
      <w:bookmarkStart w:id="86" w:name="_Toc23902"/>
      <w:bookmarkStart w:id="87" w:name="_Toc15377222"/>
      <w:r>
        <w:rPr>
          <w:rFonts w:hint="eastAsia" w:ascii="仿宋" w:hAnsi="仿宋" w:eastAsia="仿宋"/>
          <w:b/>
          <w:color w:val="000000"/>
          <w:sz w:val="32"/>
          <w:szCs w:val="32"/>
        </w:rPr>
        <w:t>（一）机关运行经费支出情况</w:t>
      </w:r>
      <w:bookmarkEnd w:id="85"/>
      <w:bookmarkEnd w:id="86"/>
      <w:bookmarkEnd w:id="87"/>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牛华镇新云小学</w:t>
      </w:r>
      <w:r>
        <w:rPr>
          <w:rFonts w:hint="eastAsia" w:ascii="仿宋" w:hAnsi="仿宋" w:eastAsia="仿宋" w:cs="仿宋"/>
          <w:color w:val="000000"/>
          <w:sz w:val="32"/>
          <w:szCs w:val="32"/>
        </w:rPr>
        <w:t>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8" w:name="_Toc20858"/>
      <w:bookmarkStart w:id="89" w:name="_Toc15377223"/>
      <w:bookmarkStart w:id="90" w:name="_Toc29901"/>
      <w:r>
        <w:rPr>
          <w:rFonts w:hint="eastAsia" w:ascii="仿宋" w:hAnsi="仿宋" w:eastAsia="仿宋"/>
          <w:b/>
          <w:color w:val="000000"/>
          <w:sz w:val="32"/>
          <w:szCs w:val="32"/>
        </w:rPr>
        <w:t>（二）政府采购支出情况</w:t>
      </w:r>
      <w:bookmarkEnd w:id="88"/>
      <w:bookmarkEnd w:id="89"/>
      <w:bookmarkEnd w:id="90"/>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牛华镇新云小学</w:t>
      </w:r>
      <w:r>
        <w:rPr>
          <w:rFonts w:hint="eastAsia" w:ascii="仿宋" w:hAnsi="仿宋" w:eastAsia="仿宋" w:cs="仿宋"/>
          <w:color w:val="000000"/>
          <w:sz w:val="32"/>
          <w:szCs w:val="32"/>
        </w:rPr>
        <w:t>采购支出总额</w:t>
      </w:r>
      <w:r>
        <w:rPr>
          <w:rFonts w:hint="eastAsia" w:ascii="仿宋" w:hAnsi="仿宋" w:eastAsia="仿宋" w:cs="仿宋"/>
          <w:color w:val="000000"/>
          <w:sz w:val="32"/>
          <w:szCs w:val="32"/>
          <w:lang w:val="en-US" w:eastAsia="zh-CN"/>
        </w:rPr>
        <w:t>5.15</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5.15</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val="en-US" w:eastAsia="zh-CN"/>
        </w:rPr>
        <w:t>教师办公桌椅采购</w:t>
      </w:r>
      <w:r>
        <w:rPr>
          <w:rFonts w:hint="eastAsia" w:ascii="仿宋" w:hAnsi="仿宋" w:eastAsia="仿宋" w:cs="仿宋"/>
          <w:color w:val="000000"/>
          <w:sz w:val="32"/>
          <w:szCs w:val="32"/>
        </w:rPr>
        <w:t>。授予中小企业合同金额</w:t>
      </w:r>
      <w:r>
        <w:rPr>
          <w:rFonts w:hint="eastAsia" w:ascii="仿宋" w:hAnsi="仿宋" w:eastAsia="仿宋" w:cs="仿宋"/>
          <w:color w:val="000000"/>
          <w:sz w:val="32"/>
          <w:szCs w:val="32"/>
          <w:lang w:val="en-US" w:eastAsia="zh-CN"/>
        </w:rPr>
        <w:t>5.15</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1" w:name="_Toc15377224"/>
      <w:bookmarkStart w:id="92" w:name="_Toc28062"/>
      <w:bookmarkStart w:id="93" w:name="_Toc32761"/>
      <w:r>
        <w:rPr>
          <w:rFonts w:hint="eastAsia" w:ascii="仿宋" w:hAnsi="仿宋" w:eastAsia="仿宋"/>
          <w:b/>
          <w:color w:val="000000"/>
          <w:sz w:val="32"/>
          <w:szCs w:val="32"/>
        </w:rPr>
        <w:t>（三）国有资产占有使用情况</w:t>
      </w:r>
      <w:bookmarkEnd w:id="91"/>
      <w:bookmarkEnd w:id="92"/>
      <w:bookmarkEnd w:id="93"/>
    </w:p>
    <w:p>
      <w:pPr>
        <w:autoSpaceDE w:val="0"/>
        <w:autoSpaceDN w:val="0"/>
        <w:adjustRightInd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截至2020年12月31日，四川省乐山市五通桥区</w:t>
      </w:r>
      <w:r>
        <w:rPr>
          <w:rFonts w:hint="eastAsia" w:ascii="仿宋" w:hAnsi="仿宋" w:eastAsia="仿宋" w:cs="仿宋"/>
          <w:color w:val="000000"/>
          <w:sz w:val="32"/>
          <w:szCs w:val="32"/>
          <w:lang w:eastAsia="zh-CN"/>
        </w:rPr>
        <w:t>牛华镇新云小学</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lang w:eastAsia="zh-CN"/>
        </w:rPr>
      </w:pPr>
      <w:bookmarkStart w:id="94" w:name="_Toc20249"/>
      <w:bookmarkStart w:id="95" w:name="_Toc8507"/>
      <w:r>
        <w:rPr>
          <w:rFonts w:hint="eastAsia" w:ascii="仿宋" w:hAnsi="仿宋" w:eastAsia="仿宋"/>
          <w:b/>
          <w:color w:val="000000"/>
          <w:sz w:val="32"/>
          <w:szCs w:val="32"/>
        </w:rPr>
        <w:t>（四）预算绩效管理情况</w:t>
      </w:r>
      <w:bookmarkEnd w:id="94"/>
      <w:bookmarkEnd w:id="95"/>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themeColor="text1"/>
          <w:sz w:val="32"/>
          <w:szCs w:val="32"/>
          <w:lang w:eastAsia="zh-CN"/>
          <w14:textFill>
            <w14:solidFill>
              <w14:schemeClr w14:val="tx1"/>
            </w14:solidFill>
          </w14:textFill>
        </w:rPr>
        <w:t>乐山市五通桥牛华镇新云小学</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乐山市五通桥牛华镇新云小学</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本部门</w:t>
      </w:r>
      <w:r>
        <w:rPr>
          <w:rFonts w:hint="eastAsia" w:ascii="仿宋" w:hAnsi="仿宋" w:eastAsia="仿宋" w:cs="仿宋"/>
          <w:sz w:val="32"/>
          <w:szCs w:val="32"/>
        </w:rPr>
        <w:t>在2020年度部门决算中反映“</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”项目绩效目标实际完成情况。</w:t>
      </w:r>
    </w:p>
    <w:p>
      <w:pPr>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项目绩效目标完成情况综述。</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项目全年预算数</w:t>
      </w:r>
      <w:r>
        <w:rPr>
          <w:rFonts w:hint="eastAsia" w:ascii="仿宋" w:hAnsi="仿宋" w:eastAsia="仿宋"/>
          <w:color w:val="000000"/>
          <w:sz w:val="32"/>
          <w:szCs w:val="32"/>
          <w:lang w:val="en-US" w:eastAsia="zh-CN"/>
        </w:rPr>
        <w:t>12.45</w:t>
      </w:r>
      <w:r>
        <w:rPr>
          <w:rFonts w:hint="eastAsia" w:ascii="仿宋" w:hAnsi="仿宋" w:eastAsia="仿宋" w:cs="仿宋"/>
          <w:sz w:val="32"/>
          <w:szCs w:val="32"/>
        </w:rPr>
        <w:t>万元，执行数为</w:t>
      </w:r>
      <w:r>
        <w:rPr>
          <w:rFonts w:hint="eastAsia" w:ascii="仿宋" w:hAnsi="仿宋" w:eastAsia="仿宋"/>
          <w:color w:val="000000"/>
          <w:sz w:val="32"/>
          <w:szCs w:val="32"/>
          <w:lang w:val="en-US" w:eastAsia="zh-CN"/>
        </w:rPr>
        <w:t>12.45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617"/>
        <w:gridCol w:w="2087"/>
        <w:gridCol w:w="2107"/>
        <w:gridCol w:w="2392"/>
      </w:tblGrid>
      <w:tr>
        <w:tblPrEx>
          <w:tblCellMar>
            <w:top w:w="0" w:type="dxa"/>
            <w:left w:w="0" w:type="dxa"/>
            <w:bottom w:w="0" w:type="dxa"/>
            <w:right w:w="0" w:type="dxa"/>
          </w:tblCellMar>
        </w:tblPrEx>
        <w:trPr>
          <w:trHeight w:val="1308"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302" w:hRule="atLeast"/>
          <w:jc w:val="center"/>
        </w:trPr>
        <w:tc>
          <w:tcPr>
            <w:tcW w:w="3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65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生均公用经费</w:t>
            </w:r>
          </w:p>
        </w:tc>
      </w:tr>
      <w:tr>
        <w:tblPrEx>
          <w:tblCellMar>
            <w:top w:w="0" w:type="dxa"/>
            <w:left w:w="0" w:type="dxa"/>
            <w:bottom w:w="0" w:type="dxa"/>
            <w:right w:w="0" w:type="dxa"/>
          </w:tblCellMar>
        </w:tblPrEx>
        <w:trPr>
          <w:trHeight w:val="453" w:hRule="atLeast"/>
          <w:jc w:val="center"/>
        </w:trPr>
        <w:tc>
          <w:tcPr>
            <w:tcW w:w="33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65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四川省乐山市五通桥区</w:t>
            </w:r>
            <w:r>
              <w:rPr>
                <w:rFonts w:hint="eastAsia" w:ascii="仿宋" w:hAnsi="仿宋" w:eastAsia="仿宋" w:cs="仿宋"/>
                <w:sz w:val="32"/>
                <w:szCs w:val="32"/>
                <w:lang w:eastAsia="zh-CN"/>
              </w:rPr>
              <w:t>牛华镇新云小学</w:t>
            </w:r>
          </w:p>
        </w:tc>
      </w:tr>
      <w:tr>
        <w:tblPrEx>
          <w:tblCellMar>
            <w:top w:w="0" w:type="dxa"/>
            <w:left w:w="0" w:type="dxa"/>
            <w:bottom w:w="0" w:type="dxa"/>
            <w:right w:w="0" w:type="dxa"/>
          </w:tblCellMar>
        </w:tblPrEx>
        <w:trPr>
          <w:trHeight w:val="606"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25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olor w:val="000000"/>
                <w:sz w:val="32"/>
                <w:szCs w:val="32"/>
                <w:lang w:val="en-US" w:eastAsia="zh-CN"/>
              </w:rPr>
              <w:t>12.45</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bCs/>
                <w:color w:val="000000"/>
                <w:sz w:val="32"/>
                <w:szCs w:val="32"/>
                <w:lang w:eastAsia="zh-CN"/>
              </w:rPr>
            </w:pPr>
            <w:r>
              <w:rPr>
                <w:rFonts w:hint="eastAsia" w:ascii="仿宋" w:hAnsi="仿宋" w:eastAsia="仿宋"/>
                <w:color w:val="000000"/>
                <w:sz w:val="32"/>
                <w:szCs w:val="32"/>
                <w:lang w:val="en-US" w:eastAsia="zh-CN"/>
              </w:rPr>
              <w:t>12.45</w:t>
            </w:r>
          </w:p>
        </w:tc>
      </w:tr>
      <w:tr>
        <w:tblPrEx>
          <w:tblCellMar>
            <w:top w:w="0" w:type="dxa"/>
            <w:left w:w="0" w:type="dxa"/>
            <w:bottom w:w="0" w:type="dxa"/>
            <w:right w:w="0" w:type="dxa"/>
          </w:tblCellMar>
        </w:tblPrEx>
        <w:trPr>
          <w:trHeight w:val="545"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25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olor w:val="000000"/>
                <w:sz w:val="32"/>
                <w:szCs w:val="32"/>
                <w:lang w:val="en-US" w:eastAsia="zh-CN"/>
              </w:rPr>
              <w:t>12.45</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olor w:val="000000"/>
                <w:sz w:val="32"/>
                <w:szCs w:val="32"/>
                <w:lang w:val="en-US" w:eastAsia="zh-CN"/>
              </w:rPr>
              <w:t>12.45</w:t>
            </w:r>
          </w:p>
        </w:tc>
      </w:tr>
      <w:tr>
        <w:tblPrEx>
          <w:tblCellMar>
            <w:top w:w="0" w:type="dxa"/>
            <w:left w:w="0" w:type="dxa"/>
            <w:bottom w:w="0" w:type="dxa"/>
            <w:right w:w="0" w:type="dxa"/>
          </w:tblCellMar>
        </w:tblPrEx>
        <w:trPr>
          <w:trHeight w:val="1020"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25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613"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4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490"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预计投入</w:t>
            </w:r>
            <w:r>
              <w:rPr>
                <w:rFonts w:hint="eastAsia" w:ascii="仿宋" w:hAnsi="仿宋" w:eastAsia="仿宋"/>
                <w:color w:val="000000"/>
                <w:sz w:val="32"/>
                <w:szCs w:val="32"/>
                <w:lang w:val="en-US" w:eastAsia="zh-CN"/>
              </w:rPr>
              <w:t>12.45</w:t>
            </w:r>
            <w:r>
              <w:rPr>
                <w:rFonts w:hint="eastAsia" w:ascii="仿宋" w:hAnsi="仿宋" w:eastAsia="仿宋" w:cs="仿宋"/>
                <w:color w:val="000000"/>
                <w:sz w:val="32"/>
                <w:szCs w:val="32"/>
                <w:lang w:val="en-US" w:eastAsia="zh-CN"/>
              </w:rPr>
              <w:t>万，涉及1个项目，按时完成学校正常教育教学任务</w:t>
            </w:r>
          </w:p>
        </w:tc>
        <w:tc>
          <w:tcPr>
            <w:tcW w:w="44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全年执行</w:t>
            </w:r>
            <w:r>
              <w:rPr>
                <w:rFonts w:hint="eastAsia" w:ascii="仿宋" w:hAnsi="仿宋" w:eastAsia="仿宋"/>
                <w:color w:val="000000"/>
                <w:sz w:val="32"/>
                <w:szCs w:val="32"/>
                <w:lang w:val="en-US" w:eastAsia="zh-CN"/>
              </w:rPr>
              <w:t>12.45</w:t>
            </w:r>
            <w:r>
              <w:rPr>
                <w:rFonts w:hint="eastAsia" w:ascii="仿宋" w:hAnsi="仿宋" w:eastAsia="仿宋" w:cs="仿宋"/>
                <w:color w:val="000000"/>
                <w:sz w:val="32"/>
                <w:szCs w:val="32"/>
                <w:lang w:val="en-US" w:eastAsia="zh-CN"/>
              </w:rPr>
              <w:t>万，涉及1个项目，顺利完成教育教学任务，学校办学条件有所提升。</w:t>
            </w:r>
          </w:p>
        </w:tc>
      </w:tr>
      <w:tr>
        <w:tblPrEx>
          <w:tblCellMar>
            <w:top w:w="0" w:type="dxa"/>
            <w:left w:w="0" w:type="dxa"/>
            <w:bottom w:w="0" w:type="dxa"/>
            <w:right w:w="0" w:type="dxa"/>
          </w:tblCellMar>
        </w:tblPrEx>
        <w:trPr>
          <w:trHeight w:val="1406"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698"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144</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144</w:t>
            </w:r>
          </w:p>
        </w:tc>
      </w:tr>
      <w:tr>
        <w:tblPrEx>
          <w:tblCellMar>
            <w:top w:w="0" w:type="dxa"/>
            <w:left w:w="0" w:type="dxa"/>
            <w:bottom w:w="0" w:type="dxa"/>
            <w:right w:w="0" w:type="dxa"/>
          </w:tblCellMar>
        </w:tblPrEx>
        <w:trPr>
          <w:trHeight w:val="88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项目预算成本</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12.45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960" w:firstLineChars="300"/>
              <w:jc w:val="both"/>
              <w:textAlignment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12.45</w:t>
            </w:r>
          </w:p>
        </w:tc>
      </w:tr>
      <w:tr>
        <w:tblPrEx>
          <w:tblCellMar>
            <w:top w:w="0" w:type="dxa"/>
            <w:left w:w="0" w:type="dxa"/>
            <w:bottom w:w="0" w:type="dxa"/>
            <w:right w:w="0" w:type="dxa"/>
          </w:tblCellMar>
        </w:tblPrEx>
        <w:trPr>
          <w:trHeight w:val="70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661"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591"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2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ind w:left="630"/>
        <w:rPr>
          <w:rFonts w:hint="eastAsia" w:ascii="仿宋" w:hAnsi="仿宋" w:eastAsia="仿宋" w:cs="仿宋"/>
          <w:sz w:val="32"/>
          <w:szCs w:val="32"/>
        </w:rPr>
      </w:pPr>
    </w:p>
    <w:p>
      <w:pPr>
        <w:spacing w:line="580" w:lineRule="exact"/>
        <w:ind w:left="630"/>
        <w:rPr>
          <w:rFonts w:hint="eastAsia" w:ascii="仿宋" w:hAnsi="仿宋" w:eastAsia="仿宋" w:cs="仿宋"/>
          <w:sz w:val="32"/>
          <w:szCs w:val="32"/>
        </w:rPr>
      </w:pPr>
    </w:p>
    <w:p>
      <w:pPr>
        <w:spacing w:line="580" w:lineRule="exact"/>
        <w:ind w:left="630"/>
        <w:rPr>
          <w:rFonts w:hint="eastAsia" w:ascii="仿宋" w:hAnsi="仿宋" w:eastAsia="仿宋" w:cs="仿宋"/>
          <w:sz w:val="32"/>
          <w:szCs w:val="32"/>
        </w:rPr>
      </w:pPr>
    </w:p>
    <w:p>
      <w:pPr>
        <w:spacing w:line="580" w:lineRule="exact"/>
        <w:ind w:left="630"/>
        <w:rPr>
          <w:rFonts w:hint="eastAsia" w:ascii="仿宋" w:hAnsi="仿宋" w:eastAsia="仿宋" w:cs="仿宋"/>
          <w:sz w:val="32"/>
          <w:szCs w:val="32"/>
        </w:rPr>
      </w:pPr>
    </w:p>
    <w:p>
      <w:pPr>
        <w:spacing w:line="580" w:lineRule="exact"/>
        <w:ind w:left="630"/>
        <w:rPr>
          <w:rFonts w:hint="eastAsia" w:ascii="仿宋" w:hAnsi="仿宋" w:eastAsia="仿宋" w:cs="仿宋"/>
          <w:sz w:val="32"/>
          <w:szCs w:val="32"/>
        </w:rPr>
      </w:pPr>
      <w:r>
        <w:rPr>
          <w:rFonts w:hint="eastAsia" w:ascii="仿宋" w:hAnsi="仿宋" w:eastAsia="仿宋" w:cs="仿宋"/>
          <w:sz w:val="32"/>
          <w:szCs w:val="32"/>
        </w:rPr>
        <w:t>2.部门绩效评价结果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本部门按要求对2020年部门整体支出绩效评价情况开展自评，《乐山市五通桥区</w:t>
      </w:r>
      <w:r>
        <w:rPr>
          <w:rFonts w:hint="eastAsia" w:ascii="仿宋" w:hAnsi="仿宋" w:eastAsia="仿宋" w:cs="仿宋"/>
          <w:sz w:val="32"/>
          <w:szCs w:val="32"/>
          <w:lang w:eastAsia="zh-CN"/>
        </w:rPr>
        <w:t>牛华镇新云小学</w:t>
      </w:r>
      <w:r>
        <w:rPr>
          <w:rFonts w:hint="eastAsia" w:ascii="仿宋" w:hAnsi="仿宋" w:eastAsia="仿宋" w:cs="仿宋"/>
          <w:sz w:val="32"/>
          <w:szCs w:val="32"/>
        </w:rPr>
        <w:t>部门2020年部门整体支出绩效评价报告》见附件（附件1）。</w:t>
      </w:r>
    </w:p>
    <w:p>
      <w:pPr>
        <w:spacing w:line="580"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项目开展了绩效评价，《</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项目2020年绩效评价报告》见附件（附件2）。</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outlineLvl w:val="9"/>
        <w:rPr>
          <w:rFonts w:ascii="仿宋_GB2312" w:eastAsia="仿宋_GB2312"/>
          <w:b/>
          <w:color w:val="000000"/>
          <w:sz w:val="32"/>
          <w:szCs w:val="32"/>
        </w:rPr>
      </w:pPr>
    </w:p>
    <w:p>
      <w:pPr>
        <w:widowControl/>
        <w:jc w:val="left"/>
        <w:outlineLvl w:val="9"/>
        <w:rPr>
          <w:rFonts w:ascii="仿宋_GB2312" w:eastAsia="仿宋_GB2312"/>
          <w:b/>
          <w:color w:val="000000"/>
          <w:sz w:val="32"/>
          <w:szCs w:val="32"/>
        </w:rPr>
      </w:pPr>
    </w:p>
    <w:p>
      <w:pPr>
        <w:widowControl/>
        <w:jc w:val="left"/>
        <w:outlineLvl w:val="9"/>
        <w:rPr>
          <w:rFonts w:ascii="仿宋_GB2312" w:eastAsia="仿宋_GB2312"/>
          <w:b/>
          <w:color w:val="000000"/>
          <w:sz w:val="32"/>
          <w:szCs w:val="32"/>
        </w:rPr>
      </w:pPr>
    </w:p>
    <w:p>
      <w:pPr>
        <w:widowControl/>
        <w:jc w:val="left"/>
        <w:outlineLvl w:val="9"/>
        <w:rPr>
          <w:rFonts w:ascii="仿宋_GB2312" w:eastAsia="仿宋_GB2312"/>
          <w:b/>
          <w:color w:val="000000"/>
          <w:sz w:val="32"/>
          <w:szCs w:val="32"/>
        </w:rPr>
      </w:pPr>
    </w:p>
    <w:p>
      <w:pPr>
        <w:widowControl/>
        <w:jc w:val="left"/>
        <w:outlineLvl w:val="9"/>
        <w:rPr>
          <w:rFonts w:ascii="仿宋_GB2312" w:eastAsia="仿宋_GB2312"/>
          <w:b/>
          <w:color w:val="000000"/>
          <w:sz w:val="32"/>
          <w:szCs w:val="32"/>
        </w:rPr>
      </w:pPr>
    </w:p>
    <w:p>
      <w:pPr>
        <w:numPr>
          <w:ilvl w:val="0"/>
          <w:numId w:val="3"/>
        </w:numPr>
        <w:spacing w:line="600" w:lineRule="exact"/>
        <w:ind w:firstLine="660" w:firstLineChars="150"/>
        <w:jc w:val="center"/>
        <w:outlineLvl w:val="0"/>
        <w:rPr>
          <w:rStyle w:val="15"/>
          <w:rFonts w:ascii="黑体" w:hAnsi="黑体" w:eastAsia="黑体"/>
          <w:b w:val="0"/>
        </w:rPr>
      </w:pPr>
      <w:bookmarkStart w:id="96" w:name="_Toc18253"/>
      <w:bookmarkStart w:id="97" w:name="_Toc15377225"/>
      <w:bookmarkStart w:id="98" w:name="_Toc15396613"/>
      <w:r>
        <w:rPr>
          <w:rFonts w:hint="eastAsia" w:ascii="黑体" w:hAnsi="黑体" w:eastAsia="黑体"/>
          <w:color w:val="000000"/>
          <w:sz w:val="44"/>
          <w:szCs w:val="44"/>
        </w:rPr>
        <w:t>名</w:t>
      </w:r>
      <w:r>
        <w:rPr>
          <w:rStyle w:val="15"/>
          <w:rFonts w:hint="eastAsia" w:ascii="黑体" w:hAnsi="黑体" w:eastAsia="黑体"/>
          <w:b w:val="0"/>
        </w:rPr>
        <w:t>词解释</w:t>
      </w:r>
      <w:bookmarkEnd w:id="96"/>
      <w:bookmarkEnd w:id="97"/>
      <w:bookmarkEnd w:id="98"/>
    </w:p>
    <w:p>
      <w:pPr>
        <w:spacing w:line="600" w:lineRule="exact"/>
        <w:jc w:val="left"/>
        <w:rPr>
          <w:rFonts w:ascii="宋体"/>
          <w:b/>
          <w:color w:val="000000"/>
          <w:sz w:val="44"/>
          <w:szCs w:val="44"/>
        </w:rPr>
      </w:pPr>
    </w:p>
    <w:p>
      <w:pPr>
        <w:pStyle w:val="1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.年初结转和结余：指以前年度尚未完成、结转到本年按有关规定继续使用的资金。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教育（类）普通教育（款）学前教育（项）：指反映各部门举办的学前教育支出。</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pacing w:val="0"/>
          <w:w w:val="100"/>
          <w:position w:val="0"/>
          <w:sz w:val="32"/>
          <w:szCs w:val="32"/>
          <w:lang w:val="en-US" w:eastAsia="zh-CN"/>
        </w:rPr>
        <w:t>8.</w:t>
      </w:r>
      <w:r>
        <w:rPr>
          <w:rFonts w:hint="eastAsia" w:ascii="仿宋" w:hAnsi="仿宋" w:eastAsia="仿宋" w:cs="仿宋"/>
          <w:b w:val="0"/>
          <w:bCs w:val="0"/>
          <w:color w:val="000000"/>
          <w:sz w:val="32"/>
          <w:szCs w:val="32"/>
        </w:rPr>
        <w:t>教育（类）普通教育（款）小学教育（项）：指反映各部门举办的小学教育支出。政府各部门对社会中介 组织等举办的小学的资助，如各类捐赠、补贴等，也在本科 目中反映。</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.社会保障和就业支出（类）行政事业单位养老支出（款）机关事业单位基本养老保险缴费支出（项）：指反映机关事业单位实施养老保险制度由单位缴纳的基本老保险费支出。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社会保障和就业支出（类）行政事业单位养老支出（款）机关事业单位职业年金缴费支出（项）：指反映机关事业单位实施养老保险制度由单位实际缴纳的业年金支出。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社会保障和就业支出（类）行政事业单位养老支出（款）其他行政事业单位养老支出（项）：指反映除上述项目以外其他用于行政事业单位养老方面的支出。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 w:hAnsi="仿宋" w:eastAsia="仿宋" w:cs="仿宋"/>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 w:hAnsi="仿宋" w:eastAsia="仿宋" w:cs="仿宋"/>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16</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bookmarkStart w:id="99" w:name="_Toc15396614"/>
      <w:bookmarkStart w:id="100" w:name="_Toc15377226"/>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0"/>
        <w:rPr>
          <w:rStyle w:val="15"/>
          <w:rFonts w:ascii="黑体" w:hAnsi="黑体" w:eastAsia="黑体"/>
          <w:b w:val="0"/>
        </w:rPr>
      </w:pPr>
      <w:bookmarkStart w:id="101" w:name="_Toc3493"/>
      <w:r>
        <w:rPr>
          <w:rFonts w:hint="eastAsia" w:ascii="黑体" w:hAnsi="黑体" w:eastAsia="黑体"/>
          <w:color w:val="000000"/>
          <w:sz w:val="44"/>
          <w:szCs w:val="44"/>
        </w:rPr>
        <w:t>第</w:t>
      </w:r>
      <w:r>
        <w:rPr>
          <w:rStyle w:val="15"/>
          <w:rFonts w:hint="eastAsia" w:ascii="黑体" w:hAnsi="黑体" w:eastAsia="黑体"/>
          <w:b w:val="0"/>
        </w:rPr>
        <w:t>四部分</w:t>
      </w:r>
      <w:r>
        <w:rPr>
          <w:rStyle w:val="15"/>
          <w:rFonts w:ascii="黑体" w:hAnsi="黑体" w:eastAsia="黑体"/>
          <w:b w:val="0"/>
        </w:rPr>
        <w:t xml:space="preserve"> </w:t>
      </w:r>
      <w:r>
        <w:rPr>
          <w:rStyle w:val="15"/>
          <w:rFonts w:hint="eastAsia" w:ascii="黑体" w:hAnsi="黑体" w:eastAsia="黑体"/>
          <w:b w:val="0"/>
        </w:rPr>
        <w:t>附件</w:t>
      </w:r>
      <w:bookmarkEnd w:id="99"/>
      <w:bookmarkEnd w:id="101"/>
    </w:p>
    <w:p>
      <w:pPr>
        <w:spacing w:line="600" w:lineRule="exact"/>
        <w:jc w:val="left"/>
        <w:outlineLvl w:val="0"/>
        <w:rPr>
          <w:rFonts w:ascii="方正小标宋简体" w:hAnsi="方正小标宋简体" w:eastAsia="方正小标宋简体" w:cs="方正小标宋简体"/>
          <w:sz w:val="32"/>
          <w:szCs w:val="32"/>
        </w:rPr>
      </w:pPr>
      <w:bookmarkStart w:id="102" w:name="_Toc20147"/>
      <w:r>
        <w:rPr>
          <w:rFonts w:hint="eastAsia" w:ascii="黑体" w:hAnsi="黑体" w:eastAsia="黑体" w:cs="黑体"/>
          <w:sz w:val="32"/>
          <w:szCs w:val="32"/>
        </w:rPr>
        <w:t>附件</w:t>
      </w:r>
      <w:r>
        <w:rPr>
          <w:rFonts w:ascii="黑体" w:hAnsi="黑体" w:eastAsia="黑体" w:cs="黑体"/>
          <w:sz w:val="32"/>
          <w:szCs w:val="32"/>
        </w:rPr>
        <w:t>1</w:t>
      </w:r>
      <w:bookmarkEnd w:id="102"/>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s="Times New Roman"/>
          <w:color w:val="000000"/>
          <w:kern w:val="0"/>
          <w:sz w:val="40"/>
          <w:szCs w:val="44"/>
          <w:lang w:eastAsia="zh-CN"/>
        </w:rPr>
      </w:pPr>
      <w:r>
        <w:rPr>
          <w:rFonts w:hint="eastAsia" w:ascii="方正小标宋简体" w:hAnsi="宋体" w:eastAsia="方正小标宋简体"/>
          <w:color w:val="000000"/>
          <w:kern w:val="0"/>
          <w:sz w:val="40"/>
          <w:szCs w:val="44"/>
        </w:rPr>
        <w:t>四川省</w:t>
      </w:r>
      <w:r>
        <w:rPr>
          <w:rFonts w:hint="eastAsia" w:ascii="方正小标宋简体" w:hAnsi="宋体" w:eastAsia="方正小标宋简体" w:cs="Times New Roman"/>
          <w:color w:val="000000"/>
          <w:kern w:val="0"/>
          <w:sz w:val="40"/>
          <w:szCs w:val="44"/>
        </w:rPr>
        <w:t>乐山市五通桥区</w:t>
      </w:r>
      <w:r>
        <w:rPr>
          <w:rFonts w:hint="eastAsia" w:ascii="方正小标宋简体" w:hAnsi="宋体" w:eastAsia="方正小标宋简体" w:cs="Times New Roman"/>
          <w:color w:val="000000"/>
          <w:kern w:val="0"/>
          <w:sz w:val="40"/>
          <w:szCs w:val="44"/>
          <w:lang w:eastAsia="zh-CN"/>
        </w:rPr>
        <w:t>牛华镇新云小学</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sz w:val="32"/>
          <w:szCs w:val="32"/>
          <w:lang w:eastAsia="zh-CN"/>
        </w:rPr>
        <w:t>乐山市五通桥区牛华镇新云小学</w:t>
      </w:r>
      <w:r>
        <w:rPr>
          <w:rFonts w:hint="eastAsia" w:ascii="仿宋" w:hAnsi="仿宋" w:eastAsia="仿宋" w:cs="仿宋"/>
          <w:sz w:val="32"/>
          <w:szCs w:val="32"/>
        </w:rPr>
        <w:t>一级预算单位，无下属二级单位。</w:t>
      </w:r>
    </w:p>
    <w:p>
      <w:pPr>
        <w:widowControl/>
        <w:numPr>
          <w:ilvl w:val="0"/>
          <w:numId w:val="4"/>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ind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乐山市五通桥区牛华镇新云小学</w:t>
      </w:r>
      <w:r>
        <w:rPr>
          <w:rFonts w:hint="eastAsia" w:ascii="仿宋" w:hAnsi="仿宋" w:eastAsia="仿宋" w:cs="仿宋"/>
          <w:sz w:val="32"/>
          <w:szCs w:val="32"/>
        </w:rPr>
        <w:t>其主要职能是实施小学义务教育,促进基础教育发展。小学学历教育。认真贯彻执行党的路线、方针、政策和上级领导部门及学校党委、行政的各项指示、决定</w:t>
      </w:r>
      <w:r>
        <w:rPr>
          <w:rFonts w:hint="eastAsia" w:ascii="仿宋" w:hAnsi="仿宋" w:eastAsia="仿宋" w:cs="仿宋"/>
          <w:sz w:val="32"/>
          <w:szCs w:val="32"/>
          <w:lang w:eastAsia="zh-CN"/>
        </w:rPr>
        <w:t>。</w:t>
      </w:r>
    </w:p>
    <w:p>
      <w:pPr>
        <w:widowControl/>
        <w:numPr>
          <w:ilvl w:val="0"/>
          <w:numId w:val="4"/>
        </w:numPr>
        <w:adjustRightInd w:val="0"/>
        <w:snapToGrid w:val="0"/>
        <w:spacing w:line="580" w:lineRule="exact"/>
        <w:ind w:left="0" w:leftChars="0"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人员概况</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sz w:val="32"/>
          <w:szCs w:val="32"/>
          <w:lang w:val="zh-CN"/>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sz w:val="32"/>
          <w:szCs w:val="32"/>
          <w:lang w:eastAsia="zh-CN"/>
        </w:rPr>
        <w:t>乐山市五通桥区牛华镇新云小学</w:t>
      </w:r>
      <w:r>
        <w:rPr>
          <w:rFonts w:hint="eastAsia" w:ascii="仿宋" w:hAnsi="仿宋" w:eastAsia="仿宋" w:cs="仿宋"/>
          <w:sz w:val="32"/>
          <w:szCs w:val="32"/>
          <w:lang w:val="en-US" w:eastAsia="zh-CN"/>
        </w:rPr>
        <w:t>年末在职人数24人</w:t>
      </w:r>
      <w:r>
        <w:rPr>
          <w:rFonts w:hint="eastAsia" w:ascii="仿宋" w:hAnsi="仿宋" w:eastAsia="仿宋" w:cs="仿宋"/>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入363.68万元，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13.55万元，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3.87</w:t>
      </w:r>
      <w:r>
        <w:rPr>
          <w:rFonts w:ascii="仿宋" w:hAnsi="仿宋" w:eastAsia="仿宋"/>
          <w:color w:val="000000"/>
          <w:sz w:val="32"/>
          <w:szCs w:val="32"/>
        </w:rPr>
        <w:t>%</w:t>
      </w:r>
      <w:r>
        <w:rPr>
          <w:rFonts w:hint="eastAsia" w:ascii="仿宋" w:hAnsi="仿宋" w:eastAsia="仿宋"/>
          <w:color w:val="000000" w:themeColor="text1"/>
          <w:sz w:val="32"/>
          <w:szCs w:val="32"/>
          <w:lang w:val="en-US" w:eastAsia="zh-CN"/>
          <w14:textFill>
            <w14:solidFill>
              <w14:schemeClr w14:val="tx1"/>
            </w14:solidFill>
          </w14:textFill>
        </w:rPr>
        <w:t>。</w:t>
      </w:r>
    </w:p>
    <w:p>
      <w:pPr>
        <w:widowControl/>
        <w:numPr>
          <w:ilvl w:val="0"/>
          <w:numId w:val="5"/>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部门财政资金支出情况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olor w:val="000000"/>
          <w:sz w:val="32"/>
          <w:szCs w:val="32"/>
          <w:lang w:val="en-US" w:eastAsia="zh-CN"/>
        </w:rPr>
        <w:t>348.23</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olor w:val="000000"/>
          <w:sz w:val="32"/>
          <w:szCs w:val="32"/>
          <w:lang w:val="en-US" w:eastAsia="zh-CN"/>
        </w:rPr>
        <w:t>338.69</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olor w:val="000000"/>
          <w:sz w:val="32"/>
          <w:szCs w:val="32"/>
          <w:lang w:val="en-US" w:eastAsia="zh-CN"/>
        </w:rPr>
        <w:t>9.54</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 w:hAnsi="仿宋" w:eastAsia="仿宋" w:cs="仿宋"/>
          <w:i w:val="0"/>
          <w:iCs w:val="0"/>
          <w:caps w:val="0"/>
          <w:color w:val="333333"/>
          <w:spacing w:val="0"/>
          <w:sz w:val="32"/>
          <w:szCs w:val="32"/>
          <w:lang w:val="zh-CN" w:eastAsia="zh-CN"/>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15.45</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15.45</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四川省乐山市五通桥区</w:t>
      </w:r>
      <w:r>
        <w:rPr>
          <w:rFonts w:hint="eastAsia" w:ascii="仿宋" w:hAnsi="仿宋" w:eastAsia="仿宋" w:cs="仿宋"/>
          <w:sz w:val="32"/>
          <w:szCs w:val="32"/>
          <w:lang w:eastAsia="zh-CN"/>
        </w:rPr>
        <w:t>牛华镇新云小学</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100</w:t>
      </w:r>
      <w:r>
        <w:rPr>
          <w:rFonts w:hint="eastAsia" w:ascii="仿宋" w:hAnsi="仿宋" w:eastAsia="仿宋" w:cs="仿宋"/>
          <w:i w:val="0"/>
          <w:iCs w:val="0"/>
          <w:caps w:val="0"/>
          <w:color w:val="333333"/>
          <w:spacing w:val="0"/>
          <w:sz w:val="32"/>
          <w:szCs w:val="32"/>
        </w:rPr>
        <w:t>分，总体评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leftChars="200" w:firstLine="320" w:firstLineChars="1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widowControl/>
        <w:numPr>
          <w:ilvl w:val="0"/>
          <w:numId w:val="0"/>
        </w:numPr>
        <w:adjustRightInd w:val="0"/>
        <w:snapToGrid w:val="0"/>
        <w:spacing w:line="580" w:lineRule="exact"/>
        <w:ind w:leftChars="200" w:firstLine="1600" w:firstLineChars="5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无</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spacing w:line="580" w:lineRule="exact"/>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ind w:firstLine="1920" w:firstLineChars="600"/>
        <w:rPr>
          <w:rFonts w:hint="eastAsia" w:ascii="仿宋" w:hAnsi="仿宋" w:eastAsia="仿宋" w:cs="仿宋"/>
          <w:sz w:val="32"/>
          <w:szCs w:val="32"/>
          <w:lang w:eastAsia="zh-CN"/>
        </w:rPr>
      </w:pPr>
    </w:p>
    <w:p>
      <w:pPr>
        <w:spacing w:line="580" w:lineRule="exact"/>
        <w:outlineLvl w:val="0"/>
        <w:rPr>
          <w:rFonts w:ascii="仿宋_GB2312" w:hAnsi="仿宋_GB2312" w:eastAsia="仿宋_GB2312" w:cs="仿宋_GB2312"/>
          <w:sz w:val="32"/>
          <w:szCs w:val="32"/>
        </w:rPr>
      </w:pPr>
      <w:bookmarkStart w:id="103" w:name="_Toc11386"/>
      <w:r>
        <w:rPr>
          <w:rFonts w:hint="eastAsia" w:ascii="黑体" w:hAnsi="黑体" w:eastAsia="黑体" w:cs="黑体"/>
          <w:sz w:val="32"/>
          <w:szCs w:val="32"/>
        </w:rPr>
        <w:t>附件</w:t>
      </w:r>
      <w:r>
        <w:rPr>
          <w:rFonts w:ascii="黑体" w:hAnsi="黑体" w:eastAsia="黑体" w:cs="黑体"/>
          <w:sz w:val="32"/>
          <w:szCs w:val="32"/>
        </w:rPr>
        <w:t>2</w:t>
      </w:r>
      <w:bookmarkEnd w:id="103"/>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rPr>
        <w:t>四川省乐山市五通桥区</w:t>
      </w:r>
      <w:r>
        <w:rPr>
          <w:rFonts w:hint="eastAsia" w:ascii="方正小标宋简体" w:hAnsi="宋体" w:eastAsia="方正小标宋简体"/>
          <w:color w:val="000000"/>
          <w:kern w:val="0"/>
          <w:sz w:val="44"/>
          <w:szCs w:val="44"/>
          <w:lang w:eastAsia="zh-CN"/>
        </w:rPr>
        <w:t>牛华镇新云小学</w:t>
      </w:r>
    </w:p>
    <w:p>
      <w:pPr>
        <w:spacing w:line="600" w:lineRule="exact"/>
        <w:jc w:val="center"/>
        <w:rPr>
          <w:rFonts w:hint="eastAsia" w:ascii="方正小标宋简体" w:hAnsi="宋体" w:eastAsia="方正小标宋简体"/>
          <w:color w:val="000000"/>
          <w:kern w:val="0"/>
          <w:sz w:val="44"/>
          <w:szCs w:val="44"/>
          <w:lang w:val="zh-CN" w:eastAsia="zh-CN"/>
        </w:rPr>
      </w:pPr>
      <w:r>
        <w:rPr>
          <w:rFonts w:hint="eastAsia" w:ascii="方正小标宋简体" w:hAnsi="宋体" w:eastAsia="方正小标宋简体"/>
          <w:color w:val="000000"/>
          <w:kern w:val="0"/>
          <w:sz w:val="44"/>
          <w:szCs w:val="44"/>
          <w:lang w:val="en-US" w:eastAsia="zh-CN"/>
        </w:rPr>
        <w:t>生均公用经费</w:t>
      </w:r>
      <w:r>
        <w:rPr>
          <w:rFonts w:hint="eastAsia" w:ascii="方正小标宋简体" w:hAnsi="宋体" w:eastAsia="方正小标宋简体"/>
          <w:color w:val="000000"/>
          <w:kern w:val="0"/>
          <w:sz w:val="44"/>
          <w:szCs w:val="44"/>
          <w:lang w:val="zh-CN" w:eastAsia="zh-CN"/>
        </w:rPr>
        <w:t>项目</w:t>
      </w:r>
      <w:r>
        <w:rPr>
          <w:rFonts w:hint="eastAsia" w:ascii="方正小标宋简体" w:hAnsi="宋体" w:eastAsia="方正小标宋简体"/>
          <w:color w:val="000000"/>
          <w:kern w:val="0"/>
          <w:sz w:val="44"/>
          <w:szCs w:val="44"/>
          <w:lang w:eastAsia="zh-CN"/>
        </w:rPr>
        <w:t>2020年</w:t>
      </w:r>
      <w:r>
        <w:rPr>
          <w:rFonts w:hint="eastAsia" w:ascii="方正小标宋简体" w:hAnsi="宋体" w:eastAsia="方正小标宋简体"/>
          <w:color w:val="000000"/>
          <w:kern w:val="0"/>
          <w:sz w:val="44"/>
          <w:szCs w:val="44"/>
          <w:lang w:val="zh-CN" w:eastAsia="zh-CN"/>
        </w:rPr>
        <w:t>绩效评价报告</w:t>
      </w:r>
    </w:p>
    <w:p>
      <w:pPr>
        <w:spacing w:line="600" w:lineRule="exact"/>
        <w:jc w:val="center"/>
        <w:rPr>
          <w:rFonts w:hint="eastAsia" w:ascii="方正小标宋简体" w:hAnsi="宋体" w:eastAsia="方正小标宋简体"/>
          <w:color w:val="000000"/>
          <w:kern w:val="0"/>
          <w:sz w:val="44"/>
          <w:szCs w:val="44"/>
          <w:lang w:val="zh-CN" w:eastAsia="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sz w:val="32"/>
          <w:szCs w:val="32"/>
        </w:rPr>
        <w:t>主要实施小学义务教育，促进基础教育发展。小学学历教育。贯彻执行学校党委的决定，服务领导、服务部门、服务基层，做好管理和服务的各项相关工作。认真贯彻执行党的路线、方针、政策和上级领导部门及学校党委、行政的各项指示、决定</w:t>
      </w:r>
      <w:r>
        <w:rPr>
          <w:rFonts w:hint="eastAsia" w:ascii="仿宋_GB2312" w:eastAsia="仿宋_GB2312"/>
          <w:sz w:val="32"/>
          <w:szCs w:val="32"/>
        </w:rPr>
        <w:t>。</w:t>
      </w:r>
    </w:p>
    <w:p>
      <w:pPr>
        <w:numPr>
          <w:ilvl w:val="0"/>
          <w:numId w:val="6"/>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项目立项、资金申报的依据</w:t>
      </w:r>
    </w:p>
    <w:p>
      <w:pPr>
        <w:adjustRightInd w:val="0"/>
        <w:snapToGrid w:val="0"/>
        <w:spacing w:line="60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lang w:val="en-US" w:eastAsia="zh-CN"/>
        </w:rPr>
        <w:t>用于学校全</w:t>
      </w:r>
      <w:r>
        <w:rPr>
          <w:rFonts w:hint="eastAsia" w:ascii="仿宋" w:hAnsi="仿宋" w:eastAsia="仿宋" w:cs="仿宋"/>
          <w:sz w:val="32"/>
          <w:szCs w:val="32"/>
          <w:highlight w:val="none"/>
          <w:lang w:val="en-US" w:eastAsia="zh-CN"/>
        </w:rPr>
        <w:t>年教育教学正常运转支出。</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adjustRightInd w:val="0"/>
        <w:snapToGrid w:val="0"/>
        <w:spacing w:line="600" w:lineRule="exact"/>
        <w:ind w:left="720" w:leftChars="0"/>
        <w:rPr>
          <w:rFonts w:hint="eastAsia" w:ascii="仿宋" w:hAnsi="仿宋" w:eastAsia="仿宋" w:cs="仿宋"/>
          <w:sz w:val="32"/>
          <w:szCs w:val="32"/>
          <w:lang w:val="zh-CN"/>
        </w:rPr>
      </w:pPr>
      <w:r>
        <w:rPr>
          <w:rFonts w:hint="eastAsia" w:ascii="仿宋" w:hAnsi="仿宋" w:eastAsia="仿宋" w:cs="仿宋"/>
          <w:sz w:val="32"/>
          <w:szCs w:val="32"/>
          <w:lang w:val="en-US" w:eastAsia="zh-CN"/>
        </w:rPr>
        <w:t>根据学校实际情况，在保运转基础上纳入年初预算。</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该项目资金由区级配套财政资金及上级财政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cs="仿宋"/>
          <w:sz w:val="32"/>
          <w:szCs w:val="32"/>
          <w:lang w:val="en-US" w:eastAsia="zh-CN"/>
        </w:rPr>
        <w:t>2020年预计投入12.45万，涉及1个项目，用于学校正常教育教学任务。</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2020年五通桥区牛华镇新云小学按照财政局下达的预算批复，对于商品及服务支出（日常公用经费）按照年初预算执行，实现内部报告审批制度，实时监控支出情况；对于项目支出的经费使用情况进行监督检查。</w:t>
      </w:r>
    </w:p>
    <w:p>
      <w:pPr>
        <w:numPr>
          <w:ilvl w:val="0"/>
          <w:numId w:val="7"/>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r>
        <w:rPr>
          <w:rFonts w:hint="eastAsia" w:ascii="楷体_GB2312" w:hAnsi="宋体" w:eastAsia="楷体_GB2312"/>
          <w:b/>
          <w:sz w:val="32"/>
          <w:szCs w:val="32"/>
          <w:lang w:val="zh-CN"/>
        </w:rPr>
        <w:t>。</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资金计划、到位及使用情况</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_GB2312" w:hAnsi="宋体" w:eastAsia="仿宋_GB2312" w:cs="Times New Roman"/>
          <w:sz w:val="32"/>
          <w:szCs w:val="32"/>
          <w:lang w:val="zh-CN" w:eastAsia="zh-CN"/>
        </w:rPr>
        <w:t>1．</w:t>
      </w:r>
      <w:r>
        <w:rPr>
          <w:rFonts w:hint="eastAsia" w:ascii="仿宋" w:hAnsi="仿宋" w:eastAsia="仿宋" w:cs="仿宋"/>
          <w:sz w:val="32"/>
          <w:szCs w:val="32"/>
          <w:lang w:val="zh-CN" w:eastAsia="zh-CN"/>
        </w:rPr>
        <w:t>资金计划：该项目资金由区级配套财政资金划拨及上级财政资</w:t>
      </w:r>
      <w:r>
        <w:rPr>
          <w:rFonts w:hint="eastAsia" w:ascii="仿宋" w:hAnsi="仿宋" w:eastAsia="仿宋" w:cs="仿宋"/>
          <w:sz w:val="32"/>
          <w:szCs w:val="32"/>
          <w:highlight w:val="none"/>
          <w:lang w:val="zh-CN" w:eastAsia="zh-CN"/>
        </w:rPr>
        <w:t>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2．资金到位：截止评价时点该项目财政</w:t>
      </w:r>
      <w:r>
        <w:rPr>
          <w:rFonts w:hint="eastAsia" w:ascii="仿宋" w:hAnsi="仿宋" w:eastAsia="仿宋" w:cs="仿宋"/>
          <w:sz w:val="32"/>
          <w:szCs w:val="32"/>
          <w:highlight w:val="none"/>
          <w:lang w:val="en-US" w:eastAsia="zh-CN"/>
        </w:rPr>
        <w:t>拨付</w:t>
      </w:r>
      <w:r>
        <w:rPr>
          <w:rFonts w:hint="eastAsia" w:ascii="仿宋" w:hAnsi="仿宋" w:eastAsia="仿宋" w:cs="仿宋"/>
          <w:sz w:val="32"/>
          <w:szCs w:val="32"/>
          <w:lang w:val="zh-CN" w:eastAsia="zh-CN"/>
        </w:rPr>
        <w:t>项目资金</w:t>
      </w:r>
      <w:r>
        <w:rPr>
          <w:rFonts w:hint="eastAsia" w:ascii="仿宋" w:hAnsi="仿宋" w:eastAsia="仿宋" w:cs="仿宋"/>
          <w:sz w:val="32"/>
          <w:szCs w:val="32"/>
          <w:lang w:val="en-US" w:eastAsia="zh-CN"/>
        </w:rPr>
        <w:t>12.45</w:t>
      </w:r>
      <w:r>
        <w:rPr>
          <w:rFonts w:hint="eastAsia" w:ascii="仿宋" w:hAnsi="仿宋" w:eastAsia="仿宋" w:cs="仿宋"/>
          <w:sz w:val="32"/>
          <w:szCs w:val="32"/>
          <w:lang w:val="zh-CN" w:eastAsia="zh-CN"/>
        </w:rPr>
        <w:t>万元，预算资金到位</w:t>
      </w:r>
      <w:r>
        <w:rPr>
          <w:rFonts w:hint="eastAsia" w:ascii="仿宋" w:hAnsi="仿宋" w:eastAsia="仿宋" w:cs="仿宋"/>
          <w:sz w:val="32"/>
          <w:szCs w:val="32"/>
          <w:lang w:val="en-US" w:eastAsia="zh-CN"/>
        </w:rPr>
        <w:t>12.45</w:t>
      </w:r>
      <w:r>
        <w:rPr>
          <w:rFonts w:hint="eastAsia" w:ascii="仿宋" w:hAnsi="仿宋" w:eastAsia="仿宋" w:cs="仿宋"/>
          <w:sz w:val="32"/>
          <w:szCs w:val="32"/>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lang w:val="zh-CN" w:eastAsia="zh-CN"/>
        </w:rPr>
        <w:t>3．资金使用：该项资金用于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（三）</w:t>
      </w:r>
      <w:r>
        <w:rPr>
          <w:rFonts w:hint="eastAsia" w:ascii="仿宋" w:hAnsi="仿宋" w:eastAsia="仿宋" w:cs="仿宋"/>
          <w:b/>
          <w:sz w:val="32"/>
          <w:szCs w:val="32"/>
          <w:highlight w:val="none"/>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numPr>
          <w:ilvl w:val="0"/>
          <w:numId w:val="0"/>
        </w:num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仿宋" w:hAnsi="仿宋" w:eastAsia="仿宋" w:cs="仿宋"/>
          <w:b/>
          <w:sz w:val="32"/>
          <w:szCs w:val="32"/>
          <w:lang w:val="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五通桥区牛华镇新云小学成立项目建设工作的领导小组，项目建设工作由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0"/>
        </w:numPr>
        <w:adjustRightInd w:val="0"/>
        <w:snapToGrid w:val="0"/>
        <w:spacing w:line="600" w:lineRule="exact"/>
        <w:ind w:left="720" w:leftChars="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w:t>
      </w:r>
      <w:r>
        <w:rPr>
          <w:rFonts w:hint="eastAsia" w:ascii="仿宋" w:hAnsi="仿宋" w:eastAsia="仿宋" w:cs="仿宋"/>
          <w:b/>
          <w:sz w:val="32"/>
          <w:szCs w:val="32"/>
          <w:lang w:val="zh-CN"/>
        </w:rPr>
        <w:t>一）项目完成情况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w:t>
      </w:r>
      <w:r>
        <w:rPr>
          <w:rFonts w:hint="eastAsia" w:ascii="仿宋" w:hAnsi="仿宋" w:eastAsia="仿宋" w:cs="仿宋"/>
          <w:sz w:val="32"/>
          <w:szCs w:val="32"/>
          <w:lang w:val="en-US" w:eastAsia="zh-CN"/>
        </w:rPr>
        <w:t>12.45</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ascii="楷体_GB2312" w:hAnsi="宋体" w:eastAsia="楷体_GB2312"/>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640" w:firstLineChars="200"/>
        <w:rPr>
          <w:rFonts w:hint="eastAsia" w:ascii="黑体" w:hAnsi="宋体" w:eastAsia="黑体"/>
          <w:sz w:val="32"/>
          <w:szCs w:val="32"/>
        </w:rPr>
      </w:pPr>
      <w:r>
        <w:rPr>
          <w:rFonts w:hint="eastAsia" w:ascii="仿宋" w:hAnsi="仿宋" w:eastAsia="仿宋" w:cs="仿宋"/>
          <w:sz w:val="32"/>
          <w:szCs w:val="32"/>
          <w:lang w:val="zh-CN"/>
        </w:rPr>
        <w:t>项目实际取得的效益好，保障了学校的正常办公及水电、电信、维修费用支出等，受益人员满意度高，社会评价高。</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100分，</w:t>
      </w:r>
      <w:r>
        <w:rPr>
          <w:rFonts w:hint="eastAsia" w:ascii="仿宋" w:hAnsi="仿宋" w:eastAsia="仿宋" w:cs="仿宋"/>
          <w:i w:val="0"/>
          <w:iCs w:val="0"/>
          <w:caps w:val="0"/>
          <w:color w:val="333333"/>
          <w:spacing w:val="0"/>
          <w:sz w:val="32"/>
          <w:szCs w:val="32"/>
        </w:rPr>
        <w:t>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2054" w:firstLineChars="642"/>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widowControl/>
        <w:ind w:firstLine="2240" w:firstLineChars="700"/>
        <w:jc w:val="left"/>
        <w:rPr>
          <w:rStyle w:val="15"/>
          <w:rFonts w:ascii="黑体" w:hAnsi="黑体" w:eastAsia="黑体"/>
          <w:b w:val="0"/>
        </w:rPr>
      </w:pPr>
      <w:r>
        <w:rPr>
          <w:rFonts w:hint="eastAsia" w:ascii="仿宋" w:hAnsi="仿宋" w:eastAsia="仿宋" w:cs="仿宋"/>
          <w:sz w:val="32"/>
          <w:szCs w:val="32"/>
          <w:lang w:val="zh-CN"/>
        </w:rPr>
        <w:t>无</w:t>
      </w: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bookmarkStart w:id="104" w:name="_Toc15396618"/>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9"/>
        <w:rPr>
          <w:rStyle w:val="15"/>
          <w:rFonts w:hint="eastAsia" w:ascii="黑体" w:hAnsi="黑体" w:eastAsia="黑体"/>
          <w:b w:val="0"/>
          <w:lang w:val="en-US" w:eastAsia="zh-CN"/>
        </w:rPr>
      </w:pPr>
    </w:p>
    <w:p>
      <w:pPr>
        <w:numPr>
          <w:ilvl w:val="0"/>
          <w:numId w:val="0"/>
        </w:numPr>
        <w:spacing w:line="600" w:lineRule="exact"/>
        <w:ind w:firstLine="1760" w:firstLineChars="400"/>
        <w:jc w:val="both"/>
        <w:outlineLvl w:val="0"/>
        <w:rPr>
          <w:rStyle w:val="15"/>
          <w:rFonts w:hint="eastAsia" w:ascii="黑体" w:hAnsi="黑体" w:eastAsia="黑体"/>
          <w:b w:val="0"/>
        </w:rPr>
      </w:pPr>
      <w:bookmarkStart w:id="105" w:name="_Toc22726"/>
      <w:r>
        <w:rPr>
          <w:rStyle w:val="15"/>
          <w:rFonts w:hint="eastAsia" w:ascii="黑体" w:hAnsi="黑体" w:eastAsia="黑体"/>
          <w:b w:val="0"/>
          <w:lang w:val="en-US" w:eastAsia="zh-CN"/>
        </w:rPr>
        <w:t xml:space="preserve">第五部分  </w:t>
      </w:r>
      <w:r>
        <w:rPr>
          <w:rStyle w:val="15"/>
          <w:rFonts w:hint="eastAsia" w:ascii="黑体" w:hAnsi="黑体" w:eastAsia="黑体"/>
          <w:b w:val="0"/>
        </w:rPr>
        <w:t>附表</w:t>
      </w:r>
      <w:bookmarkEnd w:id="100"/>
      <w:bookmarkEnd w:id="104"/>
      <w:bookmarkEnd w:id="105"/>
      <w:bookmarkStart w:id="106" w:name="_Toc15396619"/>
    </w:p>
    <w:bookmarkEnd w:id="106"/>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7" w:name="_Toc18860"/>
      <w:bookmarkStart w:id="108" w:name="_Toc30727"/>
      <w:r>
        <w:rPr>
          <w:rFonts w:hint="eastAsia" w:ascii="仿宋" w:hAnsi="仿宋" w:eastAsia="仿宋"/>
          <w:b w:val="0"/>
          <w:bCs/>
          <w:color w:val="000000"/>
        </w:rPr>
        <w:t>一、收</w:t>
      </w:r>
      <w:r>
        <w:rPr>
          <w:rStyle w:val="19"/>
          <w:rFonts w:hint="eastAsia" w:ascii="仿宋" w:hAnsi="仿宋" w:eastAsia="仿宋"/>
          <w:b w:val="0"/>
          <w:bCs/>
        </w:rPr>
        <w:t>入支出决算总表</w:t>
      </w:r>
      <w:bookmarkEnd w:id="107"/>
      <w:bookmarkEnd w:id="10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9" w:name="_Toc6493"/>
      <w:bookmarkStart w:id="110" w:name="_Toc395"/>
      <w:bookmarkStart w:id="111" w:name="_Toc15396620"/>
      <w:r>
        <w:rPr>
          <w:rFonts w:hint="eastAsia" w:ascii="仿宋" w:hAnsi="仿宋" w:eastAsia="仿宋"/>
          <w:b w:val="0"/>
          <w:bCs/>
          <w:color w:val="000000"/>
        </w:rPr>
        <w:t>二、收</w:t>
      </w:r>
      <w:r>
        <w:rPr>
          <w:rStyle w:val="19"/>
          <w:rFonts w:hint="eastAsia" w:ascii="仿宋" w:hAnsi="仿宋" w:eastAsia="仿宋"/>
          <w:b w:val="0"/>
          <w:bCs/>
        </w:rPr>
        <w:t>入决算表</w:t>
      </w:r>
      <w:bookmarkEnd w:id="109"/>
      <w:bookmarkEnd w:id="110"/>
      <w:bookmarkEnd w:id="111"/>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2" w:name="_Toc13929"/>
      <w:bookmarkStart w:id="113" w:name="_Toc23752"/>
      <w:bookmarkStart w:id="114" w:name="_Toc15396621"/>
      <w:r>
        <w:rPr>
          <w:rStyle w:val="19"/>
          <w:rFonts w:hint="eastAsia" w:ascii="仿宋" w:hAnsi="仿宋" w:eastAsia="仿宋"/>
          <w:b w:val="0"/>
          <w:bCs/>
        </w:rPr>
        <w:t>三、</w:t>
      </w:r>
      <w:r>
        <w:rPr>
          <w:rFonts w:hint="eastAsia" w:ascii="仿宋" w:hAnsi="仿宋" w:eastAsia="仿宋"/>
          <w:b w:val="0"/>
          <w:bCs/>
          <w:color w:val="000000"/>
        </w:rPr>
        <w:t>支</w:t>
      </w:r>
      <w:r>
        <w:rPr>
          <w:rStyle w:val="19"/>
          <w:rFonts w:hint="eastAsia" w:ascii="仿宋" w:hAnsi="仿宋" w:eastAsia="仿宋"/>
          <w:b w:val="0"/>
          <w:bCs/>
        </w:rPr>
        <w:t>出决算表</w:t>
      </w:r>
      <w:bookmarkEnd w:id="112"/>
      <w:bookmarkEnd w:id="113"/>
      <w:bookmarkEnd w:id="11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5" w:name="_Toc3504"/>
      <w:bookmarkStart w:id="116" w:name="_Toc15396622"/>
      <w:bookmarkStart w:id="117" w:name="_Toc19915"/>
      <w:r>
        <w:rPr>
          <w:rStyle w:val="19"/>
          <w:rFonts w:hint="eastAsia" w:ascii="仿宋" w:hAnsi="仿宋" w:eastAsia="仿宋"/>
          <w:b w:val="0"/>
          <w:bCs/>
        </w:rPr>
        <w:t>四、</w:t>
      </w:r>
      <w:r>
        <w:rPr>
          <w:rFonts w:hint="eastAsia" w:ascii="仿宋" w:hAnsi="仿宋" w:eastAsia="仿宋"/>
          <w:b w:val="0"/>
          <w:bCs/>
          <w:color w:val="000000"/>
        </w:rPr>
        <w:t>财</w:t>
      </w:r>
      <w:r>
        <w:rPr>
          <w:rStyle w:val="19"/>
          <w:rFonts w:hint="eastAsia" w:ascii="仿宋" w:hAnsi="仿宋" w:eastAsia="仿宋"/>
          <w:b w:val="0"/>
          <w:bCs/>
        </w:rPr>
        <w:t>政拨款收入支出决算总表</w:t>
      </w:r>
      <w:bookmarkEnd w:id="115"/>
      <w:bookmarkEnd w:id="116"/>
      <w:bookmarkEnd w:id="117"/>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9"/>
          <w:rFonts w:ascii="仿宋" w:hAnsi="仿宋" w:eastAsia="仿宋"/>
          <w:b w:val="0"/>
          <w:bCs/>
        </w:rPr>
      </w:pPr>
      <w:bookmarkStart w:id="118" w:name="_Toc30002"/>
      <w:bookmarkStart w:id="119" w:name="_Toc17251"/>
      <w:bookmarkStart w:id="120" w:name="_Toc15396623"/>
      <w:r>
        <w:rPr>
          <w:rStyle w:val="19"/>
          <w:rFonts w:hint="eastAsia" w:ascii="仿宋" w:hAnsi="仿宋" w:eastAsia="仿宋"/>
          <w:b w:val="0"/>
          <w:bCs/>
        </w:rPr>
        <w:t>五、</w:t>
      </w:r>
      <w:r>
        <w:rPr>
          <w:rFonts w:hint="eastAsia" w:ascii="仿宋" w:hAnsi="仿宋" w:eastAsia="仿宋"/>
          <w:b w:val="0"/>
          <w:bCs/>
          <w:color w:val="000000"/>
        </w:rPr>
        <w:t>财</w:t>
      </w:r>
      <w:r>
        <w:rPr>
          <w:rStyle w:val="19"/>
          <w:rFonts w:hint="eastAsia" w:ascii="仿宋" w:hAnsi="仿宋" w:eastAsia="仿宋"/>
          <w:b w:val="0"/>
          <w:bCs/>
        </w:rPr>
        <w:t>政拨款支出决算明细表</w:t>
      </w:r>
      <w:bookmarkEnd w:id="118"/>
      <w:bookmarkEnd w:id="119"/>
      <w:bookmarkEnd w:id="120"/>
      <w:bookmarkStart w:id="121"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2" w:name="_Toc22099"/>
      <w:bookmarkStart w:id="123" w:name="_Toc19691"/>
      <w:r>
        <w:rPr>
          <w:rStyle w:val="19"/>
          <w:rFonts w:hint="eastAsia" w:ascii="仿宋" w:hAnsi="仿宋" w:eastAsia="仿宋"/>
          <w:b w:val="0"/>
          <w:bCs/>
        </w:rPr>
        <w:t>六、</w:t>
      </w:r>
      <w:r>
        <w:rPr>
          <w:rFonts w:hint="eastAsia" w:ascii="仿宋" w:hAnsi="仿宋" w:eastAsia="仿宋"/>
          <w:b w:val="0"/>
          <w:bCs/>
          <w:color w:val="000000"/>
        </w:rPr>
        <w:t>一</w:t>
      </w:r>
      <w:r>
        <w:rPr>
          <w:rStyle w:val="19"/>
          <w:rFonts w:hint="eastAsia" w:ascii="仿宋" w:hAnsi="仿宋" w:eastAsia="仿宋"/>
          <w:b w:val="0"/>
          <w:bCs/>
        </w:rPr>
        <w:t>般公共预算财政拨款支出决算表</w:t>
      </w:r>
      <w:bookmarkEnd w:id="121"/>
      <w:bookmarkEnd w:id="122"/>
      <w:bookmarkEnd w:id="123"/>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4" w:name="_Toc15396625"/>
      <w:bookmarkStart w:id="125" w:name="_Toc3466"/>
      <w:bookmarkStart w:id="126" w:name="_Toc25647"/>
      <w:r>
        <w:rPr>
          <w:rStyle w:val="19"/>
          <w:rFonts w:hint="eastAsia" w:ascii="仿宋" w:hAnsi="仿宋" w:eastAsia="仿宋"/>
          <w:b w:val="0"/>
          <w:bCs/>
        </w:rPr>
        <w:t>七、</w:t>
      </w:r>
      <w:r>
        <w:rPr>
          <w:rFonts w:hint="eastAsia" w:ascii="仿宋" w:hAnsi="仿宋" w:eastAsia="仿宋"/>
          <w:b w:val="0"/>
          <w:bCs/>
          <w:color w:val="000000"/>
        </w:rPr>
        <w:t>一</w:t>
      </w:r>
      <w:r>
        <w:rPr>
          <w:rStyle w:val="19"/>
          <w:rFonts w:hint="eastAsia" w:ascii="仿宋" w:hAnsi="仿宋" w:eastAsia="仿宋"/>
          <w:b w:val="0"/>
          <w:bCs/>
        </w:rPr>
        <w:t>般公共预算财政拨款支出决算明细表</w:t>
      </w:r>
      <w:bookmarkEnd w:id="124"/>
      <w:bookmarkEnd w:id="125"/>
      <w:bookmarkEnd w:id="12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7" w:name="_Toc30277"/>
      <w:bookmarkStart w:id="128" w:name="_Toc15396626"/>
      <w:bookmarkStart w:id="129" w:name="_Toc10119"/>
      <w:r>
        <w:rPr>
          <w:rStyle w:val="19"/>
          <w:rFonts w:hint="eastAsia" w:ascii="仿宋" w:hAnsi="仿宋" w:eastAsia="仿宋"/>
          <w:b w:val="0"/>
          <w:bCs/>
        </w:rPr>
        <w:t>八、</w:t>
      </w:r>
      <w:r>
        <w:rPr>
          <w:rFonts w:hint="eastAsia" w:ascii="仿宋" w:hAnsi="仿宋" w:eastAsia="仿宋"/>
          <w:b w:val="0"/>
          <w:bCs/>
          <w:color w:val="000000"/>
        </w:rPr>
        <w:t>一</w:t>
      </w:r>
      <w:r>
        <w:rPr>
          <w:rStyle w:val="19"/>
          <w:rFonts w:hint="eastAsia" w:ascii="仿宋" w:hAnsi="仿宋" w:eastAsia="仿宋"/>
          <w:b w:val="0"/>
          <w:bCs/>
        </w:rPr>
        <w:t>般公共预算财政拨款基本支出决算表</w:t>
      </w:r>
      <w:bookmarkEnd w:id="127"/>
      <w:bookmarkEnd w:id="128"/>
      <w:bookmarkEnd w:id="129"/>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0" w:name="_Toc13727"/>
      <w:bookmarkStart w:id="131" w:name="_Toc21697"/>
      <w:bookmarkStart w:id="132" w:name="_Toc15396627"/>
      <w:r>
        <w:rPr>
          <w:rStyle w:val="19"/>
          <w:rFonts w:hint="eastAsia" w:ascii="仿宋" w:hAnsi="仿宋" w:eastAsia="仿宋"/>
          <w:b w:val="0"/>
          <w:bCs/>
        </w:rPr>
        <w:t>九、</w:t>
      </w:r>
      <w:r>
        <w:rPr>
          <w:rFonts w:hint="eastAsia" w:ascii="仿宋" w:hAnsi="仿宋" w:eastAsia="仿宋"/>
          <w:b w:val="0"/>
          <w:bCs/>
          <w:color w:val="000000"/>
        </w:rPr>
        <w:t>一</w:t>
      </w:r>
      <w:r>
        <w:rPr>
          <w:rStyle w:val="19"/>
          <w:rFonts w:hint="eastAsia" w:ascii="仿宋" w:hAnsi="仿宋" w:eastAsia="仿宋"/>
          <w:b w:val="0"/>
          <w:bCs/>
        </w:rPr>
        <w:t>般公共预算财政拨款项目支出决算表</w:t>
      </w:r>
      <w:bookmarkEnd w:id="130"/>
      <w:bookmarkEnd w:id="131"/>
      <w:bookmarkEnd w:id="132"/>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3" w:name="_Toc23773"/>
      <w:bookmarkStart w:id="134" w:name="_Toc28481"/>
      <w:bookmarkStart w:id="135" w:name="_Toc15396628"/>
      <w:r>
        <w:rPr>
          <w:rStyle w:val="19"/>
          <w:rFonts w:hint="eastAsia" w:ascii="仿宋" w:hAnsi="仿宋" w:eastAsia="仿宋"/>
          <w:b w:val="0"/>
          <w:bCs/>
        </w:rPr>
        <w:t>十、</w:t>
      </w:r>
      <w:r>
        <w:rPr>
          <w:rFonts w:hint="eastAsia" w:ascii="仿宋" w:hAnsi="仿宋" w:eastAsia="仿宋"/>
          <w:b w:val="0"/>
          <w:bCs/>
          <w:color w:val="000000"/>
        </w:rPr>
        <w:t>一</w:t>
      </w:r>
      <w:r>
        <w:rPr>
          <w:rStyle w:val="19"/>
          <w:rFonts w:hint="eastAsia" w:ascii="仿宋" w:hAnsi="仿宋" w:eastAsia="仿宋"/>
          <w:b w:val="0"/>
          <w:bCs/>
        </w:rPr>
        <w:t>般公共预算财政拨款“三公”经费支出决算表</w:t>
      </w:r>
      <w:bookmarkEnd w:id="133"/>
      <w:bookmarkEnd w:id="134"/>
      <w:bookmarkEnd w:id="13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6" w:name="_Toc15396629"/>
      <w:bookmarkStart w:id="137" w:name="_Toc24938"/>
      <w:bookmarkStart w:id="138" w:name="_Toc366"/>
      <w:r>
        <w:rPr>
          <w:rStyle w:val="19"/>
          <w:rFonts w:hint="eastAsia" w:ascii="仿宋" w:hAnsi="仿宋" w:eastAsia="仿宋"/>
          <w:b w:val="0"/>
          <w:bCs/>
        </w:rPr>
        <w:t>十一、</w:t>
      </w:r>
      <w:r>
        <w:rPr>
          <w:rFonts w:hint="eastAsia" w:ascii="仿宋" w:hAnsi="仿宋" w:eastAsia="仿宋"/>
          <w:b w:val="0"/>
          <w:bCs/>
          <w:color w:val="000000"/>
        </w:rPr>
        <w:t>政</w:t>
      </w:r>
      <w:r>
        <w:rPr>
          <w:rStyle w:val="19"/>
          <w:rFonts w:hint="eastAsia" w:ascii="仿宋" w:hAnsi="仿宋" w:eastAsia="仿宋"/>
          <w:b w:val="0"/>
          <w:bCs/>
        </w:rPr>
        <w:t>府性基金预算财政拨款收入支出决算表</w:t>
      </w:r>
      <w:bookmarkEnd w:id="136"/>
      <w:bookmarkEnd w:id="137"/>
      <w:bookmarkEnd w:id="13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9" w:name="_Toc15396630"/>
      <w:bookmarkStart w:id="140" w:name="_Toc9805"/>
      <w:bookmarkStart w:id="141" w:name="_Toc3423"/>
      <w:r>
        <w:rPr>
          <w:rStyle w:val="19"/>
          <w:rFonts w:hint="eastAsia" w:ascii="仿宋" w:hAnsi="仿宋" w:eastAsia="仿宋"/>
          <w:b w:val="0"/>
          <w:bCs/>
        </w:rPr>
        <w:t>十二、</w:t>
      </w:r>
      <w:r>
        <w:rPr>
          <w:rFonts w:hint="eastAsia" w:ascii="仿宋" w:hAnsi="仿宋" w:eastAsia="仿宋"/>
          <w:b w:val="0"/>
          <w:bCs/>
          <w:color w:val="000000"/>
        </w:rPr>
        <w:t>政</w:t>
      </w:r>
      <w:r>
        <w:rPr>
          <w:rStyle w:val="19"/>
          <w:rFonts w:hint="eastAsia" w:ascii="仿宋" w:hAnsi="仿宋" w:eastAsia="仿宋"/>
          <w:b w:val="0"/>
          <w:bCs/>
        </w:rPr>
        <w:t>府性基金预算财政拨款“三公”经费支出决算表</w:t>
      </w:r>
      <w:bookmarkEnd w:id="139"/>
      <w:bookmarkEnd w:id="140"/>
      <w:bookmarkEnd w:id="141"/>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9"/>
          <w:rFonts w:ascii="仿宋" w:hAnsi="仿宋" w:eastAsia="仿宋"/>
          <w:b w:val="0"/>
          <w:bCs/>
        </w:rPr>
      </w:pPr>
      <w:bookmarkStart w:id="142" w:name="_Toc27620"/>
      <w:bookmarkStart w:id="143" w:name="_Toc15396631"/>
      <w:bookmarkStart w:id="144" w:name="_Toc7078"/>
      <w:r>
        <w:rPr>
          <w:rStyle w:val="19"/>
          <w:rFonts w:hint="eastAsia" w:ascii="仿宋" w:hAnsi="仿宋" w:eastAsia="仿宋"/>
          <w:b w:val="0"/>
          <w:bCs/>
        </w:rPr>
        <w:t>十三、</w:t>
      </w:r>
      <w:r>
        <w:rPr>
          <w:rFonts w:hint="eastAsia" w:ascii="仿宋" w:hAnsi="仿宋" w:eastAsia="仿宋"/>
          <w:b w:val="0"/>
          <w:bCs/>
          <w:color w:val="000000"/>
        </w:rPr>
        <w:t>国</w:t>
      </w:r>
      <w:r>
        <w:rPr>
          <w:rStyle w:val="19"/>
          <w:rFonts w:hint="eastAsia" w:ascii="仿宋" w:hAnsi="仿宋" w:eastAsia="仿宋"/>
          <w:b w:val="0"/>
          <w:bCs/>
        </w:rPr>
        <w:t>有资本经营预算财政拨款收入支出决算表</w:t>
      </w:r>
      <w:bookmarkEnd w:id="142"/>
      <w:bookmarkEnd w:id="143"/>
      <w:bookmarkEnd w:id="14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45" w:name="_Toc11289"/>
      <w:bookmarkStart w:id="146" w:name="_Toc31912"/>
      <w:r>
        <w:rPr>
          <w:rStyle w:val="19"/>
          <w:rFonts w:hint="eastAsia" w:ascii="仿宋" w:hAnsi="仿宋" w:eastAsia="仿宋"/>
          <w:b w:val="0"/>
          <w:bCs/>
        </w:rPr>
        <w:t>十四、</w:t>
      </w:r>
      <w:r>
        <w:rPr>
          <w:rFonts w:hint="eastAsia" w:ascii="仿宋" w:hAnsi="仿宋" w:eastAsia="仿宋"/>
          <w:b w:val="0"/>
          <w:bCs/>
          <w:color w:val="000000"/>
        </w:rPr>
        <w:t>国</w:t>
      </w:r>
      <w:r>
        <w:rPr>
          <w:rStyle w:val="19"/>
          <w:rFonts w:hint="eastAsia" w:ascii="仿宋" w:hAnsi="仿宋" w:eastAsia="仿宋"/>
          <w:b w:val="0"/>
          <w:bCs/>
        </w:rPr>
        <w:t>有资本经营预算财政拨款支出决算表</w:t>
      </w:r>
      <w:bookmarkEnd w:id="145"/>
      <w:bookmarkEnd w:id="146"/>
    </w:p>
    <w:p>
      <w:pPr>
        <w:rPr>
          <w:rFonts w:hint="eastAsia" w:eastAsiaTheme="minorEastAsia"/>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010C9D7"/>
    <w:multiLevelType w:val="singleLevel"/>
    <w:tmpl w:val="E010C9D7"/>
    <w:lvl w:ilvl="0" w:tentative="0">
      <w:start w:val="2"/>
      <w:numFmt w:val="decimal"/>
      <w:suff w:val="nothing"/>
      <w:lvlText w:val="%1．"/>
      <w:lvlJc w:val="left"/>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F7BBCEEB"/>
    <w:multiLevelType w:val="singleLevel"/>
    <w:tmpl w:val="F7BBCEEB"/>
    <w:lvl w:ilvl="0" w:tentative="0">
      <w:start w:val="2"/>
      <w:numFmt w:val="decimal"/>
      <w:suff w:val="nothing"/>
      <w:lvlText w:val="%1．"/>
      <w:lvlJc w:val="left"/>
    </w:lvl>
  </w:abstractNum>
  <w:abstractNum w:abstractNumId="4">
    <w:nsid w:val="FB9E574E"/>
    <w:multiLevelType w:val="singleLevel"/>
    <w:tmpl w:val="FB9E574E"/>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26F0DB3F"/>
    <w:multiLevelType w:val="singleLevel"/>
    <w:tmpl w:val="26F0DB3F"/>
    <w:lvl w:ilvl="0" w:tentative="0">
      <w:start w:val="2"/>
      <w:numFmt w:val="chineseCounting"/>
      <w:suff w:val="nothing"/>
      <w:lvlText w:val="（%1）"/>
      <w:lvlJc w:val="left"/>
      <w:rPr>
        <w:rFonts w:hint="eastAsia"/>
      </w:rPr>
    </w:lvl>
  </w:abstractNum>
  <w:abstractNum w:abstractNumId="7">
    <w:nsid w:val="2DF79ECB"/>
    <w:multiLevelType w:val="singleLevel"/>
    <w:tmpl w:val="2DF79ECB"/>
    <w:lvl w:ilvl="0" w:tentative="0">
      <w:start w:val="2"/>
      <w:numFmt w:val="chineseCounting"/>
      <w:suff w:val="nothing"/>
      <w:lvlText w:val="（%1）"/>
      <w:lvlJc w:val="left"/>
      <w:rPr>
        <w:rFonts w:hint="eastAsia"/>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6DB"/>
    <w:rsid w:val="00624AEE"/>
    <w:rsid w:val="00DF6ECF"/>
    <w:rsid w:val="010D2661"/>
    <w:rsid w:val="01B64868"/>
    <w:rsid w:val="01BC5869"/>
    <w:rsid w:val="01C11E30"/>
    <w:rsid w:val="01E3205D"/>
    <w:rsid w:val="02E065BA"/>
    <w:rsid w:val="02E93779"/>
    <w:rsid w:val="031E1D8E"/>
    <w:rsid w:val="03557094"/>
    <w:rsid w:val="03BC23B4"/>
    <w:rsid w:val="047D2B2F"/>
    <w:rsid w:val="04D12053"/>
    <w:rsid w:val="05287A32"/>
    <w:rsid w:val="052A6E74"/>
    <w:rsid w:val="05645302"/>
    <w:rsid w:val="058420F1"/>
    <w:rsid w:val="06951C7E"/>
    <w:rsid w:val="06977505"/>
    <w:rsid w:val="069A6762"/>
    <w:rsid w:val="06E55597"/>
    <w:rsid w:val="07604836"/>
    <w:rsid w:val="078D18E5"/>
    <w:rsid w:val="07CD3868"/>
    <w:rsid w:val="089844FD"/>
    <w:rsid w:val="089A28A1"/>
    <w:rsid w:val="08CC033C"/>
    <w:rsid w:val="09186640"/>
    <w:rsid w:val="09C430F7"/>
    <w:rsid w:val="09CB7031"/>
    <w:rsid w:val="09D407DB"/>
    <w:rsid w:val="09DE34B1"/>
    <w:rsid w:val="0A5510C7"/>
    <w:rsid w:val="0A8B345C"/>
    <w:rsid w:val="0B0D441B"/>
    <w:rsid w:val="0B0D49A2"/>
    <w:rsid w:val="0B225F17"/>
    <w:rsid w:val="0B482663"/>
    <w:rsid w:val="0BFC6B85"/>
    <w:rsid w:val="0C061E4E"/>
    <w:rsid w:val="0C285864"/>
    <w:rsid w:val="0C6F1C0B"/>
    <w:rsid w:val="0C8913FF"/>
    <w:rsid w:val="0C943154"/>
    <w:rsid w:val="0CBA7287"/>
    <w:rsid w:val="0D096AC0"/>
    <w:rsid w:val="0D511AC8"/>
    <w:rsid w:val="0D7063F4"/>
    <w:rsid w:val="0D717005"/>
    <w:rsid w:val="0E1413F1"/>
    <w:rsid w:val="0E9F0C06"/>
    <w:rsid w:val="0F646DBD"/>
    <w:rsid w:val="0F735599"/>
    <w:rsid w:val="0F96152D"/>
    <w:rsid w:val="0FF65D68"/>
    <w:rsid w:val="0FFF6BA1"/>
    <w:rsid w:val="104F5FF3"/>
    <w:rsid w:val="105967B7"/>
    <w:rsid w:val="1061082F"/>
    <w:rsid w:val="107172A0"/>
    <w:rsid w:val="10821F6B"/>
    <w:rsid w:val="10C30504"/>
    <w:rsid w:val="10F24AC0"/>
    <w:rsid w:val="112962C2"/>
    <w:rsid w:val="11383E35"/>
    <w:rsid w:val="118D3F5F"/>
    <w:rsid w:val="11A650B1"/>
    <w:rsid w:val="121050DF"/>
    <w:rsid w:val="13C14374"/>
    <w:rsid w:val="13D51776"/>
    <w:rsid w:val="13DB7C24"/>
    <w:rsid w:val="13E41CDB"/>
    <w:rsid w:val="141A66B9"/>
    <w:rsid w:val="144D0F77"/>
    <w:rsid w:val="14591C55"/>
    <w:rsid w:val="14B06E34"/>
    <w:rsid w:val="14B71A79"/>
    <w:rsid w:val="15316F8B"/>
    <w:rsid w:val="15441BB6"/>
    <w:rsid w:val="158B2B38"/>
    <w:rsid w:val="15DA618C"/>
    <w:rsid w:val="16385338"/>
    <w:rsid w:val="1639537D"/>
    <w:rsid w:val="16544B70"/>
    <w:rsid w:val="16665107"/>
    <w:rsid w:val="16AC0C91"/>
    <w:rsid w:val="17A5639C"/>
    <w:rsid w:val="17E0018E"/>
    <w:rsid w:val="17FE1A10"/>
    <w:rsid w:val="1887488F"/>
    <w:rsid w:val="18BF28B4"/>
    <w:rsid w:val="194046CD"/>
    <w:rsid w:val="19A509E8"/>
    <w:rsid w:val="19A87E02"/>
    <w:rsid w:val="19C079C5"/>
    <w:rsid w:val="19C42560"/>
    <w:rsid w:val="1AD35EA8"/>
    <w:rsid w:val="1AEC5330"/>
    <w:rsid w:val="1B6E3FD6"/>
    <w:rsid w:val="1B91706E"/>
    <w:rsid w:val="1C2365C6"/>
    <w:rsid w:val="1C5F54FD"/>
    <w:rsid w:val="1CB219C3"/>
    <w:rsid w:val="1D2A6AA0"/>
    <w:rsid w:val="1D6A1234"/>
    <w:rsid w:val="1D737AE6"/>
    <w:rsid w:val="1D8B46EB"/>
    <w:rsid w:val="1DD045F0"/>
    <w:rsid w:val="1DD51D3B"/>
    <w:rsid w:val="1DDF10B1"/>
    <w:rsid w:val="1DFA19C3"/>
    <w:rsid w:val="1E217132"/>
    <w:rsid w:val="1E421890"/>
    <w:rsid w:val="1EB7290A"/>
    <w:rsid w:val="1F91291C"/>
    <w:rsid w:val="201B24C0"/>
    <w:rsid w:val="202030ED"/>
    <w:rsid w:val="20482E83"/>
    <w:rsid w:val="213B5427"/>
    <w:rsid w:val="2167349A"/>
    <w:rsid w:val="21C54CAA"/>
    <w:rsid w:val="224D0AF4"/>
    <w:rsid w:val="22D85D2A"/>
    <w:rsid w:val="242A503B"/>
    <w:rsid w:val="24B1088C"/>
    <w:rsid w:val="24C877E1"/>
    <w:rsid w:val="25736D7C"/>
    <w:rsid w:val="2594492F"/>
    <w:rsid w:val="262D18FF"/>
    <w:rsid w:val="26A23B04"/>
    <w:rsid w:val="27071E7D"/>
    <w:rsid w:val="27267E43"/>
    <w:rsid w:val="27306953"/>
    <w:rsid w:val="278357EF"/>
    <w:rsid w:val="27D663C9"/>
    <w:rsid w:val="27EE54D6"/>
    <w:rsid w:val="281A68C5"/>
    <w:rsid w:val="28312D27"/>
    <w:rsid w:val="284E5E4B"/>
    <w:rsid w:val="28F30CB7"/>
    <w:rsid w:val="290415B0"/>
    <w:rsid w:val="290E2754"/>
    <w:rsid w:val="290F015E"/>
    <w:rsid w:val="293F3240"/>
    <w:rsid w:val="29653C54"/>
    <w:rsid w:val="296B3F4B"/>
    <w:rsid w:val="29DB7B33"/>
    <w:rsid w:val="2A412F8F"/>
    <w:rsid w:val="2A903862"/>
    <w:rsid w:val="2B2A381E"/>
    <w:rsid w:val="2B8B1F12"/>
    <w:rsid w:val="2B9A4747"/>
    <w:rsid w:val="2BBD3CB4"/>
    <w:rsid w:val="2BF911CC"/>
    <w:rsid w:val="2C0E0AA2"/>
    <w:rsid w:val="2C412B3E"/>
    <w:rsid w:val="2CAB3AC4"/>
    <w:rsid w:val="2CC92BF1"/>
    <w:rsid w:val="2CD24DD2"/>
    <w:rsid w:val="2CE324C0"/>
    <w:rsid w:val="2CF4284B"/>
    <w:rsid w:val="2CF97C5D"/>
    <w:rsid w:val="2D2456D1"/>
    <w:rsid w:val="2D4466DA"/>
    <w:rsid w:val="2DE36CBE"/>
    <w:rsid w:val="2E031422"/>
    <w:rsid w:val="2E154B85"/>
    <w:rsid w:val="2E9D416D"/>
    <w:rsid w:val="2F7D0C8C"/>
    <w:rsid w:val="2FD265B4"/>
    <w:rsid w:val="300517CD"/>
    <w:rsid w:val="30434438"/>
    <w:rsid w:val="309375FE"/>
    <w:rsid w:val="30AD22F7"/>
    <w:rsid w:val="30B1294E"/>
    <w:rsid w:val="30CF551D"/>
    <w:rsid w:val="30FF79F1"/>
    <w:rsid w:val="319C2B39"/>
    <w:rsid w:val="31AF05DF"/>
    <w:rsid w:val="32C01F73"/>
    <w:rsid w:val="32DE5329"/>
    <w:rsid w:val="332B5C89"/>
    <w:rsid w:val="3354624E"/>
    <w:rsid w:val="33C57E9A"/>
    <w:rsid w:val="340B49FB"/>
    <w:rsid w:val="3445531D"/>
    <w:rsid w:val="34895F9A"/>
    <w:rsid w:val="34F05427"/>
    <w:rsid w:val="34FC40CF"/>
    <w:rsid w:val="35801574"/>
    <w:rsid w:val="358062DE"/>
    <w:rsid w:val="358A6C92"/>
    <w:rsid w:val="35D5318A"/>
    <w:rsid w:val="36016D8D"/>
    <w:rsid w:val="3610072D"/>
    <w:rsid w:val="3619770F"/>
    <w:rsid w:val="36206041"/>
    <w:rsid w:val="368D3F86"/>
    <w:rsid w:val="36A848C1"/>
    <w:rsid w:val="36CA6C86"/>
    <w:rsid w:val="36FA134C"/>
    <w:rsid w:val="37206344"/>
    <w:rsid w:val="37694D62"/>
    <w:rsid w:val="37B92FD1"/>
    <w:rsid w:val="381B1E02"/>
    <w:rsid w:val="383276CB"/>
    <w:rsid w:val="386246B4"/>
    <w:rsid w:val="388D3D04"/>
    <w:rsid w:val="38F45326"/>
    <w:rsid w:val="38FF114B"/>
    <w:rsid w:val="39115282"/>
    <w:rsid w:val="392B51C6"/>
    <w:rsid w:val="39747D8D"/>
    <w:rsid w:val="39B03EBF"/>
    <w:rsid w:val="39EB0E26"/>
    <w:rsid w:val="39EF201E"/>
    <w:rsid w:val="39FC3F49"/>
    <w:rsid w:val="3A14361B"/>
    <w:rsid w:val="3A520D8A"/>
    <w:rsid w:val="3A994E53"/>
    <w:rsid w:val="3A9C74E9"/>
    <w:rsid w:val="3A9E6709"/>
    <w:rsid w:val="3AAB0341"/>
    <w:rsid w:val="3B25291B"/>
    <w:rsid w:val="3B2C76E6"/>
    <w:rsid w:val="3B453E63"/>
    <w:rsid w:val="3B5D7C61"/>
    <w:rsid w:val="3CA640CB"/>
    <w:rsid w:val="3D015B71"/>
    <w:rsid w:val="3DEE5631"/>
    <w:rsid w:val="3E213369"/>
    <w:rsid w:val="3E327B54"/>
    <w:rsid w:val="3F1B770F"/>
    <w:rsid w:val="3F313D50"/>
    <w:rsid w:val="3FCB3A13"/>
    <w:rsid w:val="3FEB2B0E"/>
    <w:rsid w:val="40194187"/>
    <w:rsid w:val="401A5546"/>
    <w:rsid w:val="40D22E6D"/>
    <w:rsid w:val="41AF3C3C"/>
    <w:rsid w:val="41B539F7"/>
    <w:rsid w:val="41CE67C7"/>
    <w:rsid w:val="421D161B"/>
    <w:rsid w:val="425809C0"/>
    <w:rsid w:val="42B816ED"/>
    <w:rsid w:val="431C0FD2"/>
    <w:rsid w:val="436D57D0"/>
    <w:rsid w:val="43B04E41"/>
    <w:rsid w:val="44417BA6"/>
    <w:rsid w:val="44ED29EA"/>
    <w:rsid w:val="44F14737"/>
    <w:rsid w:val="44F97A33"/>
    <w:rsid w:val="45180111"/>
    <w:rsid w:val="45A4657F"/>
    <w:rsid w:val="45E13E67"/>
    <w:rsid w:val="45E32B66"/>
    <w:rsid w:val="45F77353"/>
    <w:rsid w:val="462A775C"/>
    <w:rsid w:val="463F3AAF"/>
    <w:rsid w:val="46B25424"/>
    <w:rsid w:val="46BE316A"/>
    <w:rsid w:val="46CE3F78"/>
    <w:rsid w:val="47450513"/>
    <w:rsid w:val="47813CC2"/>
    <w:rsid w:val="47F8508E"/>
    <w:rsid w:val="48A71754"/>
    <w:rsid w:val="48A92B9B"/>
    <w:rsid w:val="48E56D2A"/>
    <w:rsid w:val="49003C66"/>
    <w:rsid w:val="490E3BA0"/>
    <w:rsid w:val="496A01DE"/>
    <w:rsid w:val="49FF3FB3"/>
    <w:rsid w:val="4A4A697E"/>
    <w:rsid w:val="4A840933"/>
    <w:rsid w:val="4B1E4CBE"/>
    <w:rsid w:val="4B3B6A1C"/>
    <w:rsid w:val="4B483A6B"/>
    <w:rsid w:val="4BC17A54"/>
    <w:rsid w:val="4BD82429"/>
    <w:rsid w:val="4BED3CEC"/>
    <w:rsid w:val="4C890010"/>
    <w:rsid w:val="4CB83F31"/>
    <w:rsid w:val="4CF878D5"/>
    <w:rsid w:val="4D605DC6"/>
    <w:rsid w:val="4D687FF9"/>
    <w:rsid w:val="4DA27727"/>
    <w:rsid w:val="4E7E138A"/>
    <w:rsid w:val="4E937E91"/>
    <w:rsid w:val="4F3B4450"/>
    <w:rsid w:val="4F654691"/>
    <w:rsid w:val="4F8708C6"/>
    <w:rsid w:val="50214B33"/>
    <w:rsid w:val="502335D3"/>
    <w:rsid w:val="507F49AE"/>
    <w:rsid w:val="50D949D3"/>
    <w:rsid w:val="50ED543A"/>
    <w:rsid w:val="5114508A"/>
    <w:rsid w:val="5138364D"/>
    <w:rsid w:val="51736AE0"/>
    <w:rsid w:val="51F27CA8"/>
    <w:rsid w:val="51FE6A78"/>
    <w:rsid w:val="52223986"/>
    <w:rsid w:val="523F04BA"/>
    <w:rsid w:val="526D72E2"/>
    <w:rsid w:val="528A52AB"/>
    <w:rsid w:val="529A0C32"/>
    <w:rsid w:val="52EE6179"/>
    <w:rsid w:val="53487391"/>
    <w:rsid w:val="53793167"/>
    <w:rsid w:val="541334FF"/>
    <w:rsid w:val="541C090B"/>
    <w:rsid w:val="54EB3532"/>
    <w:rsid w:val="54EE1A60"/>
    <w:rsid w:val="5502153E"/>
    <w:rsid w:val="565A7838"/>
    <w:rsid w:val="56974D41"/>
    <w:rsid w:val="56A56373"/>
    <w:rsid w:val="56AB3A5E"/>
    <w:rsid w:val="56D94A3F"/>
    <w:rsid w:val="56F9130E"/>
    <w:rsid w:val="570A602D"/>
    <w:rsid w:val="571346C3"/>
    <w:rsid w:val="574A3ACB"/>
    <w:rsid w:val="576E6004"/>
    <w:rsid w:val="57C45D42"/>
    <w:rsid w:val="586179DB"/>
    <w:rsid w:val="588538D5"/>
    <w:rsid w:val="58A747AE"/>
    <w:rsid w:val="59500426"/>
    <w:rsid w:val="596737E5"/>
    <w:rsid w:val="59BF27D2"/>
    <w:rsid w:val="59C40752"/>
    <w:rsid w:val="5B9260B6"/>
    <w:rsid w:val="5B9F511E"/>
    <w:rsid w:val="5BC31761"/>
    <w:rsid w:val="5BE572BC"/>
    <w:rsid w:val="5C6260BC"/>
    <w:rsid w:val="5D0E671C"/>
    <w:rsid w:val="5D305D26"/>
    <w:rsid w:val="5D3E4A7C"/>
    <w:rsid w:val="5D7040B8"/>
    <w:rsid w:val="5DB35D09"/>
    <w:rsid w:val="5DDA1BCF"/>
    <w:rsid w:val="5E1D2BD4"/>
    <w:rsid w:val="5E5B046B"/>
    <w:rsid w:val="5E654F36"/>
    <w:rsid w:val="5E7264B1"/>
    <w:rsid w:val="5F931B14"/>
    <w:rsid w:val="5F9547CF"/>
    <w:rsid w:val="5FD97134"/>
    <w:rsid w:val="5FE90DFC"/>
    <w:rsid w:val="606833B6"/>
    <w:rsid w:val="60987644"/>
    <w:rsid w:val="60D15139"/>
    <w:rsid w:val="60E3289B"/>
    <w:rsid w:val="611F6C92"/>
    <w:rsid w:val="6146457C"/>
    <w:rsid w:val="61626DF7"/>
    <w:rsid w:val="61D70DA1"/>
    <w:rsid w:val="61EE6B79"/>
    <w:rsid w:val="6225548C"/>
    <w:rsid w:val="62516F4D"/>
    <w:rsid w:val="62C9399D"/>
    <w:rsid w:val="62ED6C1F"/>
    <w:rsid w:val="63214156"/>
    <w:rsid w:val="632945F3"/>
    <w:rsid w:val="63D0089C"/>
    <w:rsid w:val="642037B7"/>
    <w:rsid w:val="646A3AF5"/>
    <w:rsid w:val="64D35C2C"/>
    <w:rsid w:val="65CF5A72"/>
    <w:rsid w:val="66027103"/>
    <w:rsid w:val="6603187B"/>
    <w:rsid w:val="66353A82"/>
    <w:rsid w:val="66646471"/>
    <w:rsid w:val="66B4327E"/>
    <w:rsid w:val="66BE27A7"/>
    <w:rsid w:val="670C2D8E"/>
    <w:rsid w:val="67262527"/>
    <w:rsid w:val="674856F1"/>
    <w:rsid w:val="67CC031E"/>
    <w:rsid w:val="67DD406C"/>
    <w:rsid w:val="68063136"/>
    <w:rsid w:val="685714B9"/>
    <w:rsid w:val="68BC3EA1"/>
    <w:rsid w:val="69416B39"/>
    <w:rsid w:val="69453A20"/>
    <w:rsid w:val="69C32BEC"/>
    <w:rsid w:val="69FD6115"/>
    <w:rsid w:val="6A2650B5"/>
    <w:rsid w:val="6A497906"/>
    <w:rsid w:val="6B511E04"/>
    <w:rsid w:val="6C153B7A"/>
    <w:rsid w:val="6C297CB8"/>
    <w:rsid w:val="6C4254F6"/>
    <w:rsid w:val="6C5253BE"/>
    <w:rsid w:val="6C8E0D31"/>
    <w:rsid w:val="6C906037"/>
    <w:rsid w:val="6C9C715A"/>
    <w:rsid w:val="6CB23495"/>
    <w:rsid w:val="6CD34F5C"/>
    <w:rsid w:val="6CD70E3C"/>
    <w:rsid w:val="6CF971EF"/>
    <w:rsid w:val="6D085172"/>
    <w:rsid w:val="6D396EC6"/>
    <w:rsid w:val="6D9D7B5F"/>
    <w:rsid w:val="6DC86816"/>
    <w:rsid w:val="6E1075D5"/>
    <w:rsid w:val="6E7E0683"/>
    <w:rsid w:val="6EBD3BE7"/>
    <w:rsid w:val="6F0A77C5"/>
    <w:rsid w:val="6F874265"/>
    <w:rsid w:val="6F941740"/>
    <w:rsid w:val="6FA01EF0"/>
    <w:rsid w:val="70971926"/>
    <w:rsid w:val="70E426BB"/>
    <w:rsid w:val="70F466ED"/>
    <w:rsid w:val="71040CFA"/>
    <w:rsid w:val="71741C3F"/>
    <w:rsid w:val="718F16A6"/>
    <w:rsid w:val="71BE5748"/>
    <w:rsid w:val="71F00D8A"/>
    <w:rsid w:val="72B96F51"/>
    <w:rsid w:val="736234E2"/>
    <w:rsid w:val="73905FA1"/>
    <w:rsid w:val="73943FE5"/>
    <w:rsid w:val="73EF49CC"/>
    <w:rsid w:val="7401533B"/>
    <w:rsid w:val="741371CB"/>
    <w:rsid w:val="742B0080"/>
    <w:rsid w:val="743823AB"/>
    <w:rsid w:val="744D5803"/>
    <w:rsid w:val="748B034D"/>
    <w:rsid w:val="74CD6D8F"/>
    <w:rsid w:val="74D14478"/>
    <w:rsid w:val="750F40FA"/>
    <w:rsid w:val="75290E51"/>
    <w:rsid w:val="753A0633"/>
    <w:rsid w:val="755F0101"/>
    <w:rsid w:val="755F43CF"/>
    <w:rsid w:val="75A50518"/>
    <w:rsid w:val="75BA4B9B"/>
    <w:rsid w:val="7612369C"/>
    <w:rsid w:val="76205F71"/>
    <w:rsid w:val="7700067C"/>
    <w:rsid w:val="77301B08"/>
    <w:rsid w:val="773D505A"/>
    <w:rsid w:val="776831DD"/>
    <w:rsid w:val="77A2095A"/>
    <w:rsid w:val="77EA5FE3"/>
    <w:rsid w:val="783160EF"/>
    <w:rsid w:val="78477399"/>
    <w:rsid w:val="784F0C6B"/>
    <w:rsid w:val="78672953"/>
    <w:rsid w:val="78F315F7"/>
    <w:rsid w:val="78F72856"/>
    <w:rsid w:val="78FD0927"/>
    <w:rsid w:val="791177E8"/>
    <w:rsid w:val="793574A5"/>
    <w:rsid w:val="79B770A8"/>
    <w:rsid w:val="79B949EC"/>
    <w:rsid w:val="7A6C528E"/>
    <w:rsid w:val="7AFB7C22"/>
    <w:rsid w:val="7B1E4DF2"/>
    <w:rsid w:val="7B2C0627"/>
    <w:rsid w:val="7B510A44"/>
    <w:rsid w:val="7B8A381D"/>
    <w:rsid w:val="7BE3590F"/>
    <w:rsid w:val="7C38495C"/>
    <w:rsid w:val="7C6B587A"/>
    <w:rsid w:val="7C7067B1"/>
    <w:rsid w:val="7CBE4CC0"/>
    <w:rsid w:val="7CE82EFC"/>
    <w:rsid w:val="7D5F2122"/>
    <w:rsid w:val="7D970A40"/>
    <w:rsid w:val="7E687550"/>
    <w:rsid w:val="7ECE5FCB"/>
    <w:rsid w:val="7EE951F5"/>
    <w:rsid w:val="7F574D58"/>
    <w:rsid w:val="7F60594E"/>
    <w:rsid w:val="7F884E25"/>
    <w:rsid w:val="7FA4052A"/>
    <w:rsid w:val="7FA94641"/>
    <w:rsid w:val="7FAF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99"/>
    <w:rPr>
      <w:rFonts w:cs="Times New Roman"/>
      <w:b/>
    </w:rPr>
  </w:style>
  <w:style w:type="character" w:styleId="14">
    <w:name w:val="Hyperlink"/>
    <w:basedOn w:val="12"/>
    <w:unhideWhenUsed/>
    <w:qFormat/>
    <w:uiPriority w:val="99"/>
    <w:rPr>
      <w:rFonts w:cs="Times New Roman"/>
      <w:color w:val="0000FF"/>
      <w:u w:val="single"/>
    </w:rPr>
  </w:style>
  <w:style w:type="character" w:customStyle="1" w:styleId="15">
    <w:name w:val=" Char Char6"/>
    <w:basedOn w:val="12"/>
    <w:link w:val="2"/>
    <w:qFormat/>
    <w:locked/>
    <w:uiPriority w:val="9"/>
    <w:rPr>
      <w:b/>
      <w:bCs/>
      <w:kern w:val="44"/>
      <w:sz w:val="44"/>
      <w:szCs w:val="44"/>
    </w:rPr>
  </w:style>
  <w:style w:type="character" w:customStyle="1" w:styleId="16">
    <w:name w:val=" Char Char5"/>
    <w:basedOn w:val="12"/>
    <w:link w:val="3"/>
    <w:qFormat/>
    <w:locked/>
    <w:uiPriority w:val="9"/>
    <w:rPr>
      <w:rFonts w:ascii="Cambria" w:hAnsi="Cambria"/>
      <w:b/>
      <w:bCs/>
      <w:sz w:val="32"/>
      <w:szCs w:val="32"/>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9">
    <w:name w:val="标题 2 字符"/>
    <w:link w:val="3"/>
    <w:qFormat/>
    <w:locked/>
    <w:uiPriority w:val="9"/>
    <w:rPr>
      <w:rFonts w:ascii="Cambria" w:hAnsi="Cambria" w:eastAsia="宋体" w:cs="Times New Roman"/>
      <w:b/>
      <w:bCs/>
      <w:kern w:val="2"/>
      <w:sz w:val="32"/>
      <w:szCs w:val="32"/>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354.02</c:v>
                </c:pt>
                <c:pt idx="1">
                  <c:v>363.71</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363.68</c:v>
                </c:pt>
                <c:pt idx="1">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348.23</c:v>
                </c:pt>
                <c:pt idx="1">
                  <c:v>15.48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9761904761904"/>
          <c:y val="0.0520209527005974"/>
          <c:w val="0.881952380952381"/>
          <c:h val="0.878571428571428"/>
        </c:manualLayout>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350.13</c:v>
                </c:pt>
                <c:pt idx="1">
                  <c:v>363.68</c:v>
                </c:pt>
              </c:numCache>
            </c:numRef>
          </c:val>
        </c:ser>
        <c:dLbls>
          <c:showLegendKey val="0"/>
          <c:showVal val="1"/>
          <c:showCatName val="0"/>
          <c:showSerName val="0"/>
          <c:showPercent val="0"/>
          <c:showBubbleSize val="0"/>
        </c:dLbls>
        <c:gapWidth val="219"/>
        <c:overlap val="-27"/>
        <c:axId val="292170353"/>
        <c:axId val="51845161"/>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350.13</c:v>
                </c:pt>
                <c:pt idx="1">
                  <c:v>363.68</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263.35</c:v>
                </c:pt>
                <c:pt idx="1">
                  <c:v>63.8</c:v>
                </c:pt>
                <c:pt idx="2">
                  <c:v>11.18</c:v>
                </c:pt>
                <c:pt idx="3">
                  <c:v>25.35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10377</Words>
  <Characters>10916</Characters>
  <Lines>0</Lines>
  <Paragraphs>0</Paragraphs>
  <TotalTime>19</TotalTime>
  <ScaleCrop>false</ScaleCrop>
  <LinksUpToDate>false</LinksUpToDate>
  <CharactersWithSpaces>10996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Administrator</cp:lastModifiedBy>
  <dcterms:modified xsi:type="dcterms:W3CDTF">2021-09-30T05:52:34Z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89451A6A57C146D98048659D8AA882ED</vt:lpwstr>
  </property>
</Properties>
</file>