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000000"/>
          <w:sz w:val="72"/>
          <w:szCs w:val="72"/>
        </w:rPr>
      </w:pPr>
      <w:bookmarkStart w:id="0" w:name="_Toc15306267"/>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adjustRightInd w:val="0"/>
        <w:snapToGrid w:val="0"/>
        <w:spacing w:line="360" w:lineRule="auto"/>
        <w:jc w:val="center"/>
        <w:outlineLvl w:val="9"/>
        <w:rPr>
          <w:rFonts w:hint="eastAsia" w:ascii="宋体" w:hAnsi="宋体" w:eastAsia="宋体" w:cs="宋体"/>
          <w:color w:val="000000"/>
          <w:sz w:val="72"/>
          <w:szCs w:val="72"/>
        </w:rPr>
      </w:pPr>
      <w:bookmarkStart w:id="1" w:name="_Toc15377425"/>
      <w:bookmarkStart w:id="2" w:name="_Toc15378441"/>
      <w:bookmarkStart w:id="3" w:name="_Toc15396475"/>
      <w:bookmarkStart w:id="4" w:name="_Toc15377193"/>
      <w:bookmarkStart w:id="5" w:name="_Toc15396597"/>
      <w:bookmarkStart w:id="6" w:name="_Toc17261"/>
      <w:r>
        <w:rPr>
          <w:rFonts w:hint="eastAsia" w:ascii="宋体" w:hAnsi="宋体" w:eastAsia="宋体" w:cs="宋体"/>
          <w:color w:val="000000"/>
          <w:sz w:val="72"/>
          <w:szCs w:val="72"/>
        </w:rPr>
        <w:t>2020年度</w:t>
      </w:r>
      <w:bookmarkEnd w:id="1"/>
      <w:bookmarkEnd w:id="2"/>
      <w:bookmarkEnd w:id="3"/>
      <w:bookmarkEnd w:id="4"/>
      <w:bookmarkEnd w:id="5"/>
      <w:bookmarkEnd w:id="6"/>
    </w:p>
    <w:p>
      <w:pPr>
        <w:adjustRightInd w:val="0"/>
        <w:snapToGrid w:val="0"/>
        <w:spacing w:line="360" w:lineRule="auto"/>
        <w:jc w:val="center"/>
        <w:outlineLvl w:val="9"/>
        <w:rPr>
          <w:rFonts w:hint="eastAsia" w:ascii="宋体" w:hAnsi="宋体" w:eastAsia="宋体" w:cs="宋体"/>
          <w:color w:val="000000"/>
          <w:sz w:val="72"/>
          <w:szCs w:val="72"/>
        </w:rPr>
      </w:pPr>
      <w:bookmarkStart w:id="7" w:name="_Toc15377426"/>
      <w:bookmarkStart w:id="8" w:name="_Toc15396598"/>
      <w:bookmarkStart w:id="9" w:name="_Toc15378442"/>
      <w:bookmarkStart w:id="10" w:name="_Toc15396476"/>
      <w:bookmarkStart w:id="11" w:name="_Toc15377194"/>
      <w:bookmarkStart w:id="12" w:name="_Toc23151"/>
      <w:r>
        <w:rPr>
          <w:rFonts w:hint="eastAsia" w:ascii="宋体" w:hAnsi="宋体" w:eastAsia="宋体" w:cs="宋体"/>
          <w:color w:val="000000"/>
          <w:sz w:val="72"/>
          <w:szCs w:val="72"/>
        </w:rPr>
        <w:t>四川省</w:t>
      </w:r>
      <w:bookmarkEnd w:id="0"/>
      <w:bookmarkStart w:id="13" w:name="_Toc15306268"/>
      <w:r>
        <w:rPr>
          <w:rFonts w:hint="eastAsia" w:ascii="宋体" w:hAnsi="宋体" w:eastAsia="宋体" w:cs="宋体"/>
          <w:color w:val="000000"/>
          <w:sz w:val="72"/>
          <w:szCs w:val="72"/>
        </w:rPr>
        <w:t>乐山市五通桥区</w:t>
      </w:r>
    </w:p>
    <w:p>
      <w:pPr>
        <w:adjustRightInd w:val="0"/>
        <w:snapToGrid w:val="0"/>
        <w:spacing w:line="360" w:lineRule="auto"/>
        <w:jc w:val="center"/>
        <w:outlineLvl w:val="9"/>
        <w:rPr>
          <w:rFonts w:hint="default" w:ascii="宋体" w:hAnsi="宋体" w:eastAsia="宋体" w:cs="宋体"/>
          <w:color w:val="000000"/>
          <w:sz w:val="72"/>
          <w:szCs w:val="72"/>
          <w:lang w:val="en-US" w:eastAsia="zh-CN"/>
        </w:rPr>
      </w:pPr>
      <w:r>
        <w:rPr>
          <w:rFonts w:hint="eastAsia" w:ascii="宋体" w:hAnsi="宋体" w:cs="宋体"/>
          <w:color w:val="000000"/>
          <w:sz w:val="72"/>
          <w:szCs w:val="72"/>
          <w:lang w:eastAsia="zh-CN"/>
        </w:rPr>
        <w:t>牛华镇新云小学</w:t>
      </w:r>
      <w:bookmarkEnd w:id="7"/>
      <w:bookmarkEnd w:id="8"/>
      <w:bookmarkEnd w:id="9"/>
      <w:bookmarkEnd w:id="10"/>
      <w:bookmarkEnd w:id="11"/>
      <w:bookmarkEnd w:id="12"/>
      <w:bookmarkEnd w:id="13"/>
      <w:r>
        <w:rPr>
          <w:rFonts w:hint="eastAsia" w:ascii="宋体" w:hAnsi="宋体" w:cs="宋体"/>
          <w:color w:val="000000"/>
          <w:sz w:val="72"/>
          <w:szCs w:val="72"/>
          <w:lang w:val="en-US" w:eastAsia="zh-CN"/>
        </w:rPr>
        <w:t>部门决算</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8"/>
      </w:pPr>
      <w:r>
        <w:rPr>
          <w:rFonts w:hint="eastAsia"/>
        </w:rPr>
        <w:t>公开时间：</w:t>
      </w:r>
      <w:r>
        <w:t>2021</w:t>
      </w:r>
      <w:r>
        <w:rPr>
          <w:rFonts w:hint="eastAsia"/>
        </w:rPr>
        <w:t xml:space="preserve">年 </w:t>
      </w:r>
      <w:r>
        <w:rPr>
          <w:rFonts w:hint="eastAsia"/>
          <w:lang w:val="en-US" w:eastAsia="zh-CN"/>
        </w:rPr>
        <w:t>9</w:t>
      </w:r>
      <w:r>
        <w:rPr>
          <w:rFonts w:hint="eastAsia"/>
        </w:rPr>
        <w:t>月</w:t>
      </w:r>
      <w:r>
        <w:rPr>
          <w:rFonts w:hint="eastAsia"/>
          <w:lang w:val="en-US" w:eastAsia="zh-CN"/>
        </w:rPr>
        <w:t>28</w:t>
      </w:r>
      <w:r>
        <w:rPr>
          <w:rFonts w:hint="eastAsia"/>
        </w:rPr>
        <w:t>日</w:t>
      </w:r>
    </w:p>
    <w:p/>
    <w:p>
      <w:pPr>
        <w:spacing w:before="0" w:beforeLines="0" w:after="0" w:afterLines="0" w:line="240" w:lineRule="auto"/>
        <w:ind w:left="0" w:leftChars="0" w:right="0" w:rightChars="0" w:firstLine="0" w:firstLineChars="0"/>
        <w:jc w:val="center"/>
        <w:rPr>
          <w:sz w:val="30"/>
          <w:szCs w:val="30"/>
        </w:rPr>
      </w:pPr>
      <w:bookmarkStart w:id="14" w:name="_Toc15396599"/>
      <w:bookmarkStart w:id="15" w:name="_Toc15377196"/>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TOC \o "1-3" \h \u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_Toc27941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val="0"/>
          <w:sz w:val="30"/>
          <w:szCs w:val="30"/>
        </w:rPr>
        <w:t>第一部分</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_Toc27941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5</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_Toc19897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一、基</w:t>
      </w:r>
      <w:r>
        <w:rPr>
          <w:rFonts w:hint="eastAsia" w:asciiTheme="majorEastAsia" w:hAnsiTheme="majorEastAsia" w:eastAsiaTheme="majorEastAsia" w:cstheme="majorEastAsia"/>
          <w:bCs w:val="0"/>
          <w:sz w:val="30"/>
          <w:szCs w:val="30"/>
        </w:rPr>
        <w:t>本职能及主要工作</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_Toc19897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5</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5"/>
        <w:tabs>
          <w:tab w:val="right" w:leader="dot" w:pos="830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_Toc15667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（一）主要职能</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_Toc15667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5</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5"/>
        <w:tabs>
          <w:tab w:val="right" w:leader="dot" w:pos="830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_Toc18962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（二）2020年重点工作完成情况</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_Toc18962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5</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_Toc9412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val="0"/>
          <w:sz w:val="30"/>
          <w:szCs w:val="30"/>
        </w:rPr>
        <w:t>二、机构设置</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_Toc9412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12</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_Toc5937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val="0"/>
          <w:sz w:val="30"/>
          <w:szCs w:val="30"/>
        </w:rPr>
        <w:t>第二部分 2020年度部门决算情况说明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_Toc5937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_Toc25871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一、 收入支出决算总体情况说明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_Toc25871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_Toc17908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二、 收入决算情况说明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_Toc17908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_Toc22010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三、 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_Toc22010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_Toc5949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四、财政拨款收入支出决算总体情况说明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_Toc5949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15</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_Toc8996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五、一般公共预算财政拨款支出决算情况说明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_Toc8996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15</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5"/>
        <w:tabs>
          <w:tab w:val="right" w:leader="dot" w:pos="830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_Toc25931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（一）一般公共预算财政拨款支出决算总体情况</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_Toc25931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15</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5"/>
        <w:tabs>
          <w:tab w:val="right" w:leader="dot" w:pos="830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_Toc11883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（二）一般公共预算财政拨款支出决算结构情况</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_Toc11883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16</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5"/>
        <w:tabs>
          <w:tab w:val="right" w:leader="dot" w:pos="830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_Toc8382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（三）一般公共预算财政拨款支出决算具体情况</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_Toc8382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17</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_Toc11101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六、一般公共预算财政拨款基本支出决算情况说明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_Toc11101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17</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_Toc18090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七、“三公”经费财政拨款支出决算情况说明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_Toc18090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18</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5"/>
        <w:tabs>
          <w:tab w:val="right" w:leader="dot" w:pos="830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_Toc25462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（一）“三公”经费财政拨款支出决算总体情况说明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_Toc25462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18</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5"/>
        <w:tabs>
          <w:tab w:val="right" w:leader="dot" w:pos="830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_Toc8302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（二）“三公”经费财政拨款支出决算具体情况说明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_Toc8302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18</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_Toc20766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八、政府性基金预算支出决算情况说明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_Toc20766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_Toc25393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九、 国有资本经营预算支出决算情况说明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_Toc25393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_Toc28610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十、其他重要事项的情况说明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_Toc28610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5"/>
        <w:tabs>
          <w:tab w:val="right" w:leader="dot" w:pos="830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_Toc13346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（一）机关运行经费支出情况</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_Toc13346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5"/>
        <w:tabs>
          <w:tab w:val="right" w:leader="dot" w:pos="830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_Toc20858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（二）政府采购支出情况</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_Toc20858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5"/>
        <w:tabs>
          <w:tab w:val="right" w:leader="dot" w:pos="830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_Toc32761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（三）国有资产占有使用情况</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_Toc32761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5"/>
        <w:tabs>
          <w:tab w:val="right" w:leader="dot" w:pos="830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_Toc20249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（四）预算绩效管理情况</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_Toc20249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_Toc18253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第三部分 名词解释</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_Toc18253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_Toc3493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第四部分 附件</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_Toc3493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26</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_Toc20147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附件1</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_Toc20147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26</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_Toc11386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附件2</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_Toc11386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_Toc22726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lang w:val="en-US" w:eastAsia="zh-CN"/>
        </w:rPr>
        <w:t xml:space="preserve">第五部分  </w:t>
      </w:r>
      <w:r>
        <w:rPr>
          <w:rFonts w:hint="eastAsia" w:asciiTheme="majorEastAsia" w:hAnsiTheme="majorEastAsia" w:eastAsiaTheme="majorEastAsia" w:cstheme="majorEastAsia"/>
          <w:sz w:val="30"/>
          <w:szCs w:val="30"/>
        </w:rPr>
        <w:t>附表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_Toc22726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_Toc18860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一、收入支出决算总表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_Toc18860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_Toc395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二、收入决算表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_Toc395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_Toc13929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三、支出决算表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_Toc13929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_Toc19915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四、财政拨款收入支出决算总表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_Toc19915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_Toc17251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五、财政拨款支出决算明细表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_Toc17251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_Toc22099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六、一般公共预算财政拨款支出决算表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_Toc22099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_Toc3466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七、一般公共预算财政拨款支出决算明细表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_Toc3466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_Toc30277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八、一般公共预算财政拨款基本支出决算表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_Toc30277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_Toc13727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九、一般公共预算财政拨款项目支出决算表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_Toc13727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_Toc23773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十、一般公共预算财政拨款“三公”经费支出决算表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_Toc23773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_Toc366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十一、政府性基金预算财政拨款收入支出决算表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_Toc366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_Toc9805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十二、政府性基金预算财政拨款“三公”经费支出决算表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_Toc9805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_Toc7078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十三、国有资本经营预算财政拨款收入支出决算表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_Toc7078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_Toc31912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十四、国有资本经营预算财政拨款支出决算表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_Toc31912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jc w:val="cente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end"/>
      </w:r>
    </w:p>
    <w:p>
      <w:pPr>
        <w:jc w:val="center"/>
        <w:rPr>
          <w:rFonts w:hint="eastAsia" w:ascii="黑体" w:hAnsi="黑体" w:eastAsia="黑体" w:cs="黑体"/>
          <w:sz w:val="28"/>
          <w:szCs w:val="28"/>
        </w:rPr>
      </w:pPr>
    </w:p>
    <w:p>
      <w:pPr>
        <w:jc w:val="center"/>
        <w:rPr>
          <w:rFonts w:hint="eastAsia" w:ascii="黑体" w:hAnsi="黑体" w:eastAsia="黑体" w:cs="黑体"/>
          <w:sz w:val="28"/>
          <w:szCs w:val="28"/>
        </w:rPr>
      </w:pPr>
    </w:p>
    <w:p>
      <w:pPr>
        <w:jc w:val="center"/>
        <w:rPr>
          <w:rFonts w:hint="eastAsia" w:ascii="黑体" w:hAnsi="黑体" w:eastAsia="黑体" w:cs="黑体"/>
          <w:sz w:val="28"/>
          <w:szCs w:val="28"/>
        </w:rPr>
      </w:pPr>
    </w:p>
    <w:p>
      <w:pPr>
        <w:jc w:val="center"/>
        <w:rPr>
          <w:rFonts w:hint="eastAsia" w:ascii="黑体" w:hAnsi="黑体" w:eastAsia="黑体" w:cs="黑体"/>
          <w:sz w:val="28"/>
          <w:szCs w:val="28"/>
        </w:rPr>
      </w:pPr>
    </w:p>
    <w:p>
      <w:pPr>
        <w:jc w:val="center"/>
        <w:rPr>
          <w:rFonts w:hint="eastAsia" w:ascii="黑体" w:hAnsi="黑体" w:eastAsia="黑体" w:cs="黑体"/>
          <w:sz w:val="28"/>
          <w:szCs w:val="28"/>
        </w:rPr>
      </w:pPr>
    </w:p>
    <w:p>
      <w:pPr>
        <w:jc w:val="center"/>
        <w:rPr>
          <w:rFonts w:hint="eastAsia" w:ascii="黑体" w:hAnsi="黑体" w:eastAsia="黑体" w:cs="黑体"/>
          <w:sz w:val="28"/>
          <w:szCs w:val="28"/>
        </w:rPr>
      </w:pPr>
    </w:p>
    <w:p>
      <w:pPr>
        <w:jc w:val="center"/>
        <w:rPr>
          <w:rFonts w:hint="eastAsia" w:ascii="黑体" w:hAnsi="黑体" w:eastAsia="黑体" w:cs="黑体"/>
          <w:sz w:val="28"/>
          <w:szCs w:val="28"/>
        </w:rPr>
      </w:pPr>
    </w:p>
    <w:p>
      <w:pPr>
        <w:jc w:val="center"/>
        <w:rPr>
          <w:rFonts w:hint="eastAsia" w:ascii="黑体" w:hAnsi="黑体" w:eastAsia="黑体" w:cs="黑体"/>
          <w:sz w:val="28"/>
          <w:szCs w:val="28"/>
        </w:rPr>
      </w:pPr>
    </w:p>
    <w:p>
      <w:pPr>
        <w:jc w:val="center"/>
        <w:rPr>
          <w:rFonts w:hint="eastAsia" w:ascii="黑体" w:hAnsi="黑体" w:eastAsia="黑体" w:cs="黑体"/>
          <w:sz w:val="28"/>
          <w:szCs w:val="28"/>
        </w:rPr>
      </w:pPr>
    </w:p>
    <w:p>
      <w:pPr>
        <w:jc w:val="center"/>
        <w:rPr>
          <w:rFonts w:hint="eastAsia" w:ascii="黑体" w:hAnsi="黑体" w:eastAsia="黑体" w:cs="黑体"/>
          <w:sz w:val="28"/>
          <w:szCs w:val="28"/>
        </w:rPr>
      </w:pPr>
    </w:p>
    <w:p>
      <w:pPr>
        <w:jc w:val="center"/>
        <w:rPr>
          <w:rFonts w:hint="eastAsia" w:ascii="黑体" w:hAnsi="黑体" w:eastAsia="黑体" w:cs="黑体"/>
          <w:sz w:val="28"/>
          <w:szCs w:val="28"/>
        </w:rPr>
      </w:pPr>
    </w:p>
    <w:p>
      <w:pPr>
        <w:jc w:val="center"/>
        <w:rPr>
          <w:rFonts w:hint="eastAsia" w:ascii="黑体" w:hAnsi="黑体" w:eastAsia="黑体" w:cs="黑体"/>
          <w:sz w:val="28"/>
          <w:szCs w:val="28"/>
        </w:rPr>
      </w:pPr>
    </w:p>
    <w:p>
      <w:pPr>
        <w:jc w:val="center"/>
        <w:rPr>
          <w:rFonts w:hint="eastAsia" w:ascii="黑体" w:hAnsi="黑体" w:eastAsia="黑体" w:cs="黑体"/>
          <w:sz w:val="28"/>
          <w:szCs w:val="28"/>
        </w:rPr>
      </w:pPr>
    </w:p>
    <w:p>
      <w:pPr>
        <w:jc w:val="center"/>
        <w:rPr>
          <w:rFonts w:hint="eastAsia" w:ascii="黑体" w:hAnsi="黑体" w:eastAsia="黑体" w:cs="黑体"/>
          <w:sz w:val="28"/>
          <w:szCs w:val="28"/>
        </w:rPr>
      </w:pPr>
    </w:p>
    <w:p>
      <w:pPr>
        <w:jc w:val="center"/>
        <w:rPr>
          <w:rFonts w:hint="eastAsia" w:ascii="黑体" w:hAnsi="黑体" w:eastAsia="黑体" w:cs="黑体"/>
          <w:sz w:val="28"/>
          <w:szCs w:val="28"/>
        </w:rPr>
      </w:pPr>
    </w:p>
    <w:p>
      <w:pPr>
        <w:jc w:val="center"/>
        <w:rPr>
          <w:rFonts w:hint="eastAsia" w:ascii="黑体" w:hAnsi="黑体" w:eastAsia="黑体" w:cs="黑体"/>
          <w:sz w:val="28"/>
          <w:szCs w:val="28"/>
        </w:rPr>
      </w:pPr>
    </w:p>
    <w:p>
      <w:pPr>
        <w:jc w:val="center"/>
        <w:rPr>
          <w:rFonts w:ascii="黑体" w:eastAsia="黑体"/>
          <w:color w:val="000000"/>
          <w:sz w:val="32"/>
          <w:szCs w:val="32"/>
        </w:rPr>
      </w:pPr>
      <w:bookmarkStart w:id="16" w:name="_Toc27941"/>
      <w:r>
        <w:rPr>
          <w:rStyle w:val="15"/>
          <w:rFonts w:hint="eastAsia" w:ascii="黑体" w:hAnsi="黑体" w:eastAsia="黑体"/>
          <w:b w:val="0"/>
          <w:bCs w:val="0"/>
        </w:rPr>
        <w:t>第一部分</w:t>
      </w:r>
      <w:bookmarkEnd w:id="16"/>
      <w:r>
        <w:rPr>
          <w:rFonts w:ascii="黑体" w:hAnsi="黑体" w:eastAsia="黑体"/>
          <w:b w:val="0"/>
        </w:rPr>
        <w:t xml:space="preserve"> </w:t>
      </w:r>
      <w:r>
        <w:rPr>
          <w:rStyle w:val="15"/>
          <w:rFonts w:hint="eastAsia" w:ascii="黑体" w:hAnsi="黑体" w:eastAsia="黑体"/>
          <w:b w:val="0"/>
          <w:bCs w:val="0"/>
        </w:rPr>
        <w:t>部门概况</w:t>
      </w:r>
      <w:bookmarkEnd w:id="14"/>
      <w:bookmarkEnd w:id="15"/>
    </w:p>
    <w:p>
      <w:pPr>
        <w:pStyle w:val="3"/>
        <w:rPr>
          <w:rStyle w:val="16"/>
          <w:rFonts w:ascii="仿宋" w:hAnsi="仿宋" w:eastAsia="仿宋"/>
          <w:b w:val="0"/>
          <w:bCs w:val="0"/>
        </w:rPr>
      </w:pPr>
      <w:bookmarkStart w:id="17" w:name="_Toc15377197"/>
      <w:bookmarkStart w:id="18" w:name="_Toc15396600"/>
      <w:bookmarkStart w:id="19" w:name="_Toc19897"/>
      <w:r>
        <w:rPr>
          <w:rFonts w:hint="eastAsia" w:ascii="黑体" w:hAnsi="黑体" w:eastAsia="黑体"/>
          <w:b w:val="0"/>
          <w:color w:val="000000"/>
        </w:rPr>
        <w:t>一、基</w:t>
      </w:r>
      <w:r>
        <w:rPr>
          <w:rStyle w:val="16"/>
          <w:rFonts w:hint="eastAsia" w:ascii="黑体" w:hAnsi="黑体" w:eastAsia="黑体"/>
          <w:b w:val="0"/>
          <w:bCs w:val="0"/>
        </w:rPr>
        <w:t>本职能及主要工作</w:t>
      </w:r>
      <w:bookmarkEnd w:id="17"/>
      <w:bookmarkEnd w:id="18"/>
      <w:bookmarkEnd w:id="19"/>
    </w:p>
    <w:p>
      <w:pPr>
        <w:pStyle w:val="4"/>
        <w:adjustRightInd w:val="0"/>
        <w:snapToGrid w:val="0"/>
        <w:spacing w:before="93" w:line="600" w:lineRule="exact"/>
        <w:ind w:firstLine="672" w:firstLineChars="210"/>
        <w:outlineLvl w:val="2"/>
        <w:rPr>
          <w:rFonts w:hint="eastAsia" w:ascii="仿宋" w:hAnsi="仿宋" w:eastAsia="仿宋" w:cs="仿宋"/>
          <w:bCs/>
          <w:color w:val="000000"/>
          <w:sz w:val="32"/>
          <w:szCs w:val="32"/>
        </w:rPr>
      </w:pPr>
      <w:bookmarkStart w:id="20" w:name="_Toc15377198"/>
      <w:bookmarkStart w:id="21" w:name="_Toc2408"/>
      <w:bookmarkStart w:id="22" w:name="_Toc15378445"/>
      <w:bookmarkStart w:id="23" w:name="_Toc15667"/>
      <w:r>
        <w:rPr>
          <w:rFonts w:hint="eastAsia" w:ascii="仿宋" w:hAnsi="仿宋" w:eastAsia="仿宋" w:cs="仿宋"/>
          <w:bCs/>
          <w:color w:val="000000"/>
          <w:sz w:val="32"/>
          <w:szCs w:val="32"/>
        </w:rPr>
        <w:t>（一）主要职能</w:t>
      </w:r>
      <w:bookmarkEnd w:id="20"/>
      <w:bookmarkEnd w:id="21"/>
      <w:bookmarkEnd w:id="22"/>
      <w:bookmarkEnd w:id="23"/>
      <w:bookmarkStart w:id="24" w:name="_Toc15377199"/>
      <w:bookmarkStart w:id="25" w:name="_Toc15378446"/>
    </w:p>
    <w:p>
      <w:pPr>
        <w:pStyle w:val="4"/>
        <w:adjustRightInd w:val="0"/>
        <w:snapToGrid w:val="0"/>
        <w:spacing w:before="93" w:line="600" w:lineRule="exact"/>
        <w:ind w:firstLine="672" w:firstLineChars="210"/>
        <w:outlineLvl w:val="9"/>
        <w:rPr>
          <w:rFonts w:hint="eastAsia" w:ascii="仿宋" w:hAnsi="仿宋" w:eastAsia="仿宋" w:cs="仿宋"/>
          <w:bCs/>
          <w:color w:val="000000"/>
          <w:sz w:val="32"/>
          <w:szCs w:val="32"/>
        </w:rPr>
      </w:pPr>
      <w:r>
        <w:rPr>
          <w:rFonts w:hint="eastAsia" w:ascii="仿宋" w:hAnsi="仿宋" w:eastAsia="仿宋" w:cs="仿宋"/>
          <w:sz w:val="32"/>
          <w:szCs w:val="32"/>
          <w:lang w:eastAsia="zh-CN"/>
        </w:rPr>
        <w:t>乐山市五通桥区牛华镇新云小学</w:t>
      </w:r>
      <w:r>
        <w:rPr>
          <w:rFonts w:hint="eastAsia" w:ascii="仿宋" w:hAnsi="仿宋" w:eastAsia="仿宋" w:cs="仿宋"/>
          <w:sz w:val="32"/>
          <w:szCs w:val="32"/>
        </w:rPr>
        <w:t>其主要职能是实施小学义务教育,促进基础教育发展。小学学历教育。</w:t>
      </w:r>
    </w:p>
    <w:p>
      <w:pPr>
        <w:pStyle w:val="4"/>
        <w:adjustRightInd w:val="0"/>
        <w:snapToGrid w:val="0"/>
        <w:spacing w:before="93" w:line="600" w:lineRule="exact"/>
        <w:ind w:firstLine="672" w:firstLineChars="210"/>
        <w:outlineLvl w:val="2"/>
        <w:rPr>
          <w:rFonts w:hint="eastAsia" w:ascii="仿宋" w:hAnsi="仿宋" w:eastAsia="仿宋" w:cs="仿宋"/>
          <w:bCs/>
          <w:color w:val="000000"/>
          <w:sz w:val="32"/>
          <w:szCs w:val="32"/>
        </w:rPr>
      </w:pPr>
      <w:bookmarkStart w:id="26" w:name="_Toc345"/>
      <w:bookmarkStart w:id="27" w:name="_Toc18962"/>
      <w:r>
        <w:rPr>
          <w:rFonts w:hint="eastAsia" w:ascii="仿宋" w:hAnsi="仿宋" w:eastAsia="仿宋" w:cs="仿宋"/>
          <w:bCs/>
          <w:color w:val="000000"/>
          <w:sz w:val="32"/>
          <w:szCs w:val="32"/>
        </w:rPr>
        <w:t>（二）2020年重点工作完成情况</w:t>
      </w:r>
      <w:bookmarkEnd w:id="24"/>
      <w:bookmarkEnd w:id="25"/>
      <w:bookmarkEnd w:id="26"/>
      <w:bookmarkEnd w:id="27"/>
    </w:p>
    <w:p>
      <w:pPr>
        <w:ind w:firstLineChars="200"/>
        <w:rPr>
          <w:rFonts w:hint="eastAsia" w:ascii="仿宋" w:hAnsi="仿宋" w:eastAsia="仿宋" w:cs="仿宋"/>
          <w:sz w:val="32"/>
          <w:szCs w:val="32"/>
        </w:rPr>
      </w:pPr>
      <w:bookmarkStart w:id="28" w:name="_Toc15377200"/>
      <w:bookmarkStart w:id="29" w:name="_Toc15396601"/>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）德育工作</w:t>
      </w:r>
    </w:p>
    <w:p>
      <w:pPr>
        <w:ind w:firstLineChars="200"/>
        <w:rPr>
          <w:rFonts w:hint="eastAsia" w:ascii="仿宋" w:hAnsi="仿宋" w:eastAsia="仿宋" w:cs="仿宋"/>
          <w:sz w:val="32"/>
          <w:szCs w:val="32"/>
        </w:rPr>
      </w:pPr>
      <w:r>
        <w:rPr>
          <w:rFonts w:hint="eastAsia" w:ascii="仿宋" w:hAnsi="仿宋" w:eastAsia="仿宋" w:cs="仿宋"/>
          <w:sz w:val="32"/>
          <w:szCs w:val="32"/>
          <w:lang w:val="en-US" w:eastAsia="zh-CN"/>
        </w:rPr>
        <w:t>①</w:t>
      </w:r>
      <w:r>
        <w:rPr>
          <w:rFonts w:hint="eastAsia" w:ascii="仿宋" w:hAnsi="仿宋" w:eastAsia="仿宋" w:cs="仿宋"/>
          <w:sz w:val="32"/>
          <w:szCs w:val="32"/>
        </w:rPr>
        <w:t>建立和健全学校德育领导小组，组长：代建超，副组长：刘锋，成员：祝德利、张雅琴、赵强、彭晓菁和各班班主任。牢固树立“以人为本，立德树人”的思想，以活动为载体，狠抓学生行为习惯的养成教育，培养学生良好思想品质。</w:t>
      </w:r>
    </w:p>
    <w:p>
      <w:pPr>
        <w:ind w:firstLineChars="200"/>
        <w:rPr>
          <w:rFonts w:hint="eastAsia" w:ascii="仿宋" w:hAnsi="仿宋" w:eastAsia="仿宋" w:cs="仿宋"/>
          <w:sz w:val="32"/>
          <w:szCs w:val="32"/>
        </w:rPr>
      </w:pPr>
      <w:r>
        <w:rPr>
          <w:rFonts w:hint="eastAsia" w:ascii="仿宋" w:hAnsi="仿宋" w:eastAsia="仿宋" w:cs="仿宋"/>
          <w:sz w:val="32"/>
          <w:szCs w:val="32"/>
          <w:lang w:val="en-US" w:eastAsia="zh-CN"/>
        </w:rPr>
        <w:t>②</w:t>
      </w:r>
      <w:r>
        <w:rPr>
          <w:rFonts w:hint="eastAsia" w:ascii="仿宋" w:hAnsi="仿宋" w:eastAsia="仿宋" w:cs="仿宋"/>
          <w:sz w:val="32"/>
          <w:szCs w:val="32"/>
        </w:rPr>
        <w:t>开展主题活动，丰富学生校内外生活。少先队大队部以各种重要节日、纪念日为依托，开展丰富多彩的活动，如体验教育活动、爱心教育活动、禁毒宣传活动、法治宣传活动、感恩教育主题活动、敬老活动、包饺子活动、观看爱国主义电影、运动会、艺术节等。让学生在活动中成长，陶冶情操，培养良好的行为品质。充分信任学生，着力培养小干部，增强自主管理能力。利用班会课开展先进典型、英雄模范学习宣传活动，各班举行抗疫英雄故事会等。</w:t>
      </w:r>
    </w:p>
    <w:p>
      <w:pPr>
        <w:ind w:firstLineChars="200"/>
        <w:rPr>
          <w:rFonts w:hint="eastAsia" w:ascii="仿宋" w:hAnsi="仿宋" w:eastAsia="仿宋" w:cs="仿宋"/>
          <w:sz w:val="32"/>
          <w:szCs w:val="32"/>
        </w:rPr>
      </w:pPr>
      <w:r>
        <w:rPr>
          <w:rFonts w:hint="eastAsia" w:ascii="仿宋" w:hAnsi="仿宋" w:eastAsia="仿宋" w:cs="仿宋"/>
          <w:sz w:val="32"/>
          <w:szCs w:val="32"/>
          <w:lang w:val="en-US" w:eastAsia="zh-CN"/>
        </w:rPr>
        <w:t>③</w:t>
      </w:r>
      <w:r>
        <w:rPr>
          <w:rFonts w:hint="eastAsia" w:ascii="仿宋" w:hAnsi="仿宋" w:eastAsia="仿宋" w:cs="仿宋"/>
          <w:sz w:val="32"/>
          <w:szCs w:val="32"/>
        </w:rPr>
        <w:t>认真执行升降国旗制度，每周一举行升旗仪式，开展国旗下讲话，对学生进行爱国主义教育、优秀传统文化教育、社会主义核心价值观、安全教育等。加强家校联系，每期召开家长会，搭建交流沟通的桥梁，共同教育学生。2020年因</w:t>
      </w:r>
      <w:bookmarkStart w:id="147" w:name="_GoBack"/>
      <w:bookmarkEnd w:id="147"/>
      <w:r>
        <w:rPr>
          <w:rFonts w:hint="eastAsia" w:ascii="仿宋" w:hAnsi="仿宋" w:eastAsia="仿宋" w:cs="仿宋"/>
          <w:sz w:val="32"/>
          <w:szCs w:val="32"/>
        </w:rPr>
        <w:t>疫情原因，未举办全校集中性家长</w:t>
      </w:r>
      <w:r>
        <w:rPr>
          <w:rFonts w:hint="eastAsia" w:ascii="仿宋" w:hAnsi="仿宋" w:eastAsia="仿宋" w:cs="仿宋"/>
          <w:sz w:val="32"/>
          <w:szCs w:val="32"/>
          <w:lang w:eastAsia="zh-CN"/>
        </w:rPr>
        <w:t>会</w:t>
      </w:r>
      <w:r>
        <w:rPr>
          <w:rFonts w:hint="eastAsia" w:ascii="仿宋" w:hAnsi="仿宋" w:eastAsia="仿宋" w:cs="仿宋"/>
          <w:sz w:val="32"/>
          <w:szCs w:val="32"/>
        </w:rPr>
        <w:t>，各班小规模召开家长会，疫情期间</w:t>
      </w:r>
      <w:r>
        <w:rPr>
          <w:rFonts w:hint="eastAsia" w:ascii="仿宋" w:hAnsi="仿宋" w:eastAsia="仿宋" w:cs="仿宋"/>
          <w:b w:val="0"/>
          <w:bCs w:val="0"/>
          <w:color w:val="000000" w:themeColor="text1"/>
          <w:sz w:val="32"/>
          <w:szCs w:val="32"/>
          <w14:textFill>
            <w14:solidFill>
              <w14:schemeClr w14:val="tx1"/>
            </w14:solidFill>
          </w14:textFill>
        </w:rPr>
        <w:t>利</w:t>
      </w:r>
      <w:r>
        <w:rPr>
          <w:rFonts w:hint="eastAsia" w:ascii="仿宋" w:hAnsi="仿宋" w:eastAsia="仿宋" w:cs="仿宋"/>
          <w:b w:val="0"/>
          <w:bCs w:val="0"/>
          <w:color w:val="000000" w:themeColor="text1"/>
          <w:sz w:val="32"/>
          <w:szCs w:val="32"/>
          <w:lang w:eastAsia="zh-CN"/>
          <w14:textFill>
            <w14:solidFill>
              <w14:schemeClr w14:val="tx1"/>
            </w14:solidFill>
          </w14:textFill>
        </w:rPr>
        <w:t>用</w:t>
      </w:r>
      <w:r>
        <w:rPr>
          <w:rFonts w:hint="eastAsia" w:ascii="仿宋" w:hAnsi="仿宋" w:eastAsia="仿宋" w:cs="仿宋"/>
          <w:sz w:val="32"/>
          <w:szCs w:val="32"/>
        </w:rPr>
        <w:t>QQ群、微信群和钉钉进行家长会，向家长讲授正确的教育孩子的方法。班主任通过多种形式做好家校联系工作，让家长了解学校的工作，听取家长对学校教育的建议和意见，形成教育合力。关心建档立卡家庭贫困生和留守学生的健康成长，在生活上、学习上给予热情的帮助。班主任每期走访留守学生和建档立卡学生，了解学生家庭情况，向学生家长宣传国家的教育资助政策，收集家长对学校的意见和建议，交流孩子在校学习情况，深受家长好评。</w:t>
      </w:r>
    </w:p>
    <w:p>
      <w:pPr>
        <w:ind w:firstLineChars="200"/>
        <w:rPr>
          <w:rFonts w:hint="eastAsia" w:ascii="仿宋" w:hAnsi="仿宋" w:eastAsia="仿宋" w:cs="仿宋"/>
          <w:sz w:val="32"/>
          <w:szCs w:val="32"/>
        </w:rPr>
      </w:pPr>
      <w:r>
        <w:rPr>
          <w:rFonts w:hint="eastAsia" w:ascii="仿宋" w:hAnsi="仿宋" w:eastAsia="仿宋" w:cs="仿宋"/>
          <w:sz w:val="32"/>
          <w:szCs w:val="32"/>
          <w:lang w:val="en-US" w:eastAsia="zh-CN"/>
        </w:rPr>
        <w:t>④</w:t>
      </w:r>
      <w:r>
        <w:rPr>
          <w:rFonts w:hint="eastAsia" w:ascii="仿宋" w:hAnsi="仿宋" w:eastAsia="仿宋" w:cs="仿宋"/>
          <w:sz w:val="32"/>
          <w:szCs w:val="32"/>
        </w:rPr>
        <w:t>加强学生心理辅导，疫情期间利QQ群、微信群和钉钉开展心理健康教育。复课后，班主任老师每期上两节心理健康教育团辅课，每学期安排一次全校性集中讲授心理健康知识，受到师生好评，起到了引领示范的作用。学校新建一间心理健康辅导室，积极派出张雅琴、郭静、盛倩、袁旭琴四位教师参加区级和集团化心理健康培训，培养心理健康教育师资力量。</w:t>
      </w:r>
    </w:p>
    <w:p>
      <w:pPr>
        <w:ind w:firstLineChars="200"/>
        <w:rPr>
          <w:rFonts w:hint="eastAsia" w:ascii="仿宋" w:hAnsi="仿宋" w:eastAsia="仿宋" w:cs="仿宋"/>
          <w:sz w:val="32"/>
          <w:szCs w:val="32"/>
        </w:rPr>
      </w:pPr>
      <w:r>
        <w:rPr>
          <w:rFonts w:hint="eastAsia" w:ascii="仿宋" w:hAnsi="仿宋" w:eastAsia="仿宋" w:cs="仿宋"/>
          <w:sz w:val="32"/>
          <w:szCs w:val="32"/>
          <w:lang w:val="en-US" w:eastAsia="zh-CN"/>
        </w:rPr>
        <w:t>⑤</w:t>
      </w:r>
      <w:r>
        <w:rPr>
          <w:rFonts w:hint="eastAsia" w:ascii="仿宋" w:hAnsi="仿宋" w:eastAsia="仿宋" w:cs="仿宋"/>
          <w:sz w:val="32"/>
          <w:szCs w:val="32"/>
        </w:rPr>
        <w:t>建立健全法治教育建设机构，认真开展了法律进校园活动。组织开展了禁毒宣传教育活动、艾滋病宣传教育活动、学习《宪法》主题活动、法治知识竞赛活动等。我校聘请新云派出所民警钱林同志为我校法治副校长，法治副校长多次到校了解学校情况，向学生讲授法治知识。</w:t>
      </w:r>
    </w:p>
    <w:p>
      <w:pPr>
        <w:ind w:firstLineChars="200"/>
        <w:rPr>
          <w:rFonts w:hint="eastAsia" w:ascii="仿宋" w:hAnsi="仿宋" w:eastAsia="仿宋" w:cs="仿宋"/>
          <w:sz w:val="32"/>
          <w:szCs w:val="32"/>
        </w:rPr>
      </w:pPr>
      <w:r>
        <w:rPr>
          <w:rFonts w:hint="eastAsia" w:ascii="仿宋" w:hAnsi="仿宋" w:eastAsia="仿宋" w:cs="仿宋"/>
          <w:sz w:val="32"/>
          <w:szCs w:val="32"/>
          <w:lang w:val="en-US" w:eastAsia="zh-CN"/>
        </w:rPr>
        <w:t>⑥</w:t>
      </w:r>
      <w:r>
        <w:rPr>
          <w:rFonts w:hint="eastAsia" w:ascii="仿宋" w:hAnsi="仿宋" w:eastAsia="仿宋" w:cs="仿宋"/>
          <w:sz w:val="32"/>
          <w:szCs w:val="32"/>
        </w:rPr>
        <w:t>每期根据学生表现情况，期末评选出勤学上进的三好学生、优秀学生干部、优秀少先队员、劳动之星、学习之星、运动健将、进步之星等，在下期开学典礼上进行表彰，树立榜样。班主任撰写学生评语均做到写激励性评语。本年度新云小学少先队大队被评为五通桥区优秀少先队集体，学生杨惠琳被评为五通桥区优秀少先队员。</w:t>
      </w:r>
    </w:p>
    <w:p>
      <w:pPr>
        <w:ind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）教学工作</w:t>
      </w:r>
    </w:p>
    <w:p>
      <w:pPr>
        <w:ind w:firstLineChars="200"/>
        <w:rPr>
          <w:rFonts w:hint="eastAsia" w:ascii="仿宋" w:hAnsi="仿宋" w:eastAsia="仿宋" w:cs="仿宋"/>
          <w:sz w:val="32"/>
          <w:szCs w:val="32"/>
        </w:rPr>
      </w:pPr>
      <w:r>
        <w:rPr>
          <w:rFonts w:hint="eastAsia" w:ascii="仿宋" w:hAnsi="仿宋" w:eastAsia="仿宋" w:cs="仿宋"/>
          <w:sz w:val="32"/>
          <w:szCs w:val="32"/>
          <w:lang w:val="en-US" w:eastAsia="zh-CN"/>
        </w:rPr>
        <w:t>①</w:t>
      </w:r>
      <w:r>
        <w:rPr>
          <w:rFonts w:hint="eastAsia" w:ascii="仿宋" w:hAnsi="仿宋" w:eastAsia="仿宋" w:cs="仿宋"/>
          <w:sz w:val="32"/>
          <w:szCs w:val="32"/>
        </w:rPr>
        <w:t>按照部颁计划、课程标准，开足开齐课程计划规定的课程，严格执行课程表和作息时间表。各部门制定教学工作计划，每月底行政会各部门总结汇报计划完成情况。寒暑假学生完成规定的作业，比如每天写一篇字，每天在家长的陪同下锻炼1小时，每天做几件力所能及的家务事，寒暑假期间读几本好书（教师推荐书目）等。</w:t>
      </w:r>
    </w:p>
    <w:p>
      <w:pPr>
        <w:ind w:firstLineChars="200"/>
        <w:rPr>
          <w:rFonts w:hint="eastAsia" w:ascii="仿宋" w:hAnsi="仿宋" w:eastAsia="仿宋" w:cs="仿宋"/>
          <w:sz w:val="32"/>
          <w:szCs w:val="32"/>
        </w:rPr>
      </w:pPr>
      <w:r>
        <w:rPr>
          <w:rFonts w:hint="eastAsia" w:ascii="仿宋" w:hAnsi="仿宋" w:eastAsia="仿宋" w:cs="仿宋"/>
          <w:sz w:val="32"/>
          <w:szCs w:val="32"/>
          <w:lang w:val="en-US" w:eastAsia="zh-CN"/>
        </w:rPr>
        <w:t>②</w:t>
      </w:r>
      <w:r>
        <w:rPr>
          <w:rFonts w:hint="eastAsia" w:ascii="仿宋" w:hAnsi="仿宋" w:eastAsia="仿宋" w:cs="仿宋"/>
          <w:sz w:val="32"/>
          <w:szCs w:val="32"/>
        </w:rPr>
        <w:t>严格执行“六认真”要求，规范教学过程管理。学校完善了教学常规管理制度，同时，教导处、教研组采取不定期抽查和月查相结合的形式，检查每位教师的上课、备课、作业批改、听课笔记等资料，做到随查随记，并将检查情况进行分析、汇总，及时通报给各位教师。落实听课制度，教师听课每期不少于15节，副校长、学校中层干部、教研组长每期听课不少于20节，校长每期听课不少于40 节。</w:t>
      </w:r>
    </w:p>
    <w:p>
      <w:pPr>
        <w:ind w:firstLineChars="200"/>
        <w:rPr>
          <w:rFonts w:hint="eastAsia" w:ascii="仿宋" w:hAnsi="仿宋" w:eastAsia="仿宋" w:cs="仿宋"/>
          <w:sz w:val="32"/>
          <w:szCs w:val="32"/>
        </w:rPr>
      </w:pPr>
      <w:r>
        <w:rPr>
          <w:rFonts w:hint="eastAsia" w:ascii="仿宋" w:hAnsi="仿宋" w:eastAsia="仿宋" w:cs="仿宋"/>
          <w:sz w:val="32"/>
          <w:szCs w:val="32"/>
          <w:lang w:val="en-US" w:eastAsia="zh-CN"/>
        </w:rPr>
        <w:t>③</w:t>
      </w:r>
      <w:r>
        <w:rPr>
          <w:rFonts w:hint="eastAsia" w:ascii="仿宋" w:hAnsi="仿宋" w:eastAsia="仿宋" w:cs="仿宋"/>
          <w:sz w:val="32"/>
          <w:szCs w:val="32"/>
        </w:rPr>
        <w:t>学校结合来源于老师们平时教学中遇到的实际问题和困惑，开展了理论学习和教学研讨活动。采用请进来，走出去的方式和二码头教研组共同开展活动。集团化办学试行后，积极参加集团化共同教研活动，为教师们搭建交流平台，促进教师的专业发展。</w:t>
      </w:r>
    </w:p>
    <w:p>
      <w:pPr>
        <w:ind w:firstLineChars="200"/>
        <w:rPr>
          <w:rFonts w:hint="eastAsia" w:ascii="仿宋" w:hAnsi="仿宋" w:eastAsia="仿宋" w:cs="仿宋"/>
          <w:sz w:val="32"/>
          <w:szCs w:val="32"/>
        </w:rPr>
      </w:pPr>
      <w:r>
        <w:rPr>
          <w:rFonts w:hint="eastAsia" w:ascii="仿宋" w:hAnsi="仿宋" w:eastAsia="仿宋" w:cs="仿宋"/>
          <w:sz w:val="32"/>
          <w:szCs w:val="32"/>
          <w:lang w:val="en-US" w:eastAsia="zh-CN"/>
        </w:rPr>
        <w:t>④</w:t>
      </w:r>
      <w:r>
        <w:rPr>
          <w:rFonts w:hint="eastAsia" w:ascii="仿宋" w:hAnsi="仿宋" w:eastAsia="仿宋" w:cs="仿宋"/>
          <w:sz w:val="32"/>
          <w:szCs w:val="32"/>
        </w:rPr>
        <w:t>静心读书写字活动。二码头小学教育集团组织全体语文老师到乐山翡翠实验小学参观学习读书活动，2020年秋季学期我校启动书香校园建设活动，组织全体师生开展静心读书写字活动，让图书室的书流动起来。每天利用中午20分钟时间开展读书写字活动（每周一、三、五读书，二、四写字），全校师生共同参与，通过这一期的运行，形成良好的读书写字氛围。</w:t>
      </w:r>
    </w:p>
    <w:p>
      <w:pPr>
        <w:ind w:firstLineChars="200"/>
        <w:rPr>
          <w:rFonts w:hint="eastAsia" w:ascii="仿宋" w:hAnsi="仿宋" w:eastAsia="仿宋" w:cs="仿宋"/>
          <w:sz w:val="32"/>
          <w:szCs w:val="32"/>
        </w:rPr>
      </w:pPr>
      <w:r>
        <w:rPr>
          <w:rFonts w:hint="eastAsia" w:ascii="仿宋" w:hAnsi="仿宋" w:eastAsia="仿宋" w:cs="仿宋"/>
          <w:sz w:val="32"/>
          <w:szCs w:val="32"/>
          <w:lang w:val="en-US" w:eastAsia="zh-CN"/>
        </w:rPr>
        <w:t>⑤</w:t>
      </w:r>
      <w:r>
        <w:rPr>
          <w:rFonts w:hint="eastAsia" w:ascii="仿宋" w:hAnsi="仿宋" w:eastAsia="仿宋" w:cs="仿宋"/>
          <w:sz w:val="32"/>
          <w:szCs w:val="32"/>
        </w:rPr>
        <w:t>教师积极参与教研教改，推荐多名教师参加市区优质课展评活动，一名教师获市级二等奖，二名教师获区级二等奖。教师积极撰写教学论文，一名教师论文获市级一等奖，一名教师论文获区级二等奖，三名教师论文获区级三等奖，四名教师论文获区级优秀奖。</w:t>
      </w:r>
    </w:p>
    <w:p>
      <w:pPr>
        <w:ind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）体育、美育和劳动教育</w:t>
      </w:r>
    </w:p>
    <w:p>
      <w:pPr>
        <w:ind w:firstLineChars="200"/>
        <w:rPr>
          <w:rFonts w:hint="eastAsia" w:ascii="仿宋" w:hAnsi="仿宋" w:eastAsia="仿宋" w:cs="仿宋"/>
          <w:sz w:val="32"/>
          <w:szCs w:val="32"/>
        </w:rPr>
      </w:pPr>
      <w:r>
        <w:rPr>
          <w:rFonts w:hint="eastAsia" w:ascii="仿宋" w:hAnsi="仿宋" w:eastAsia="仿宋" w:cs="仿宋"/>
          <w:sz w:val="32"/>
          <w:szCs w:val="32"/>
          <w:lang w:val="en-US" w:eastAsia="zh-CN"/>
        </w:rPr>
        <w:t>①</w:t>
      </w:r>
      <w:r>
        <w:rPr>
          <w:rFonts w:hint="eastAsia" w:ascii="仿宋" w:hAnsi="仿宋" w:eastAsia="仿宋" w:cs="仿宋"/>
          <w:sz w:val="32"/>
          <w:szCs w:val="32"/>
        </w:rPr>
        <w:t>学校坚持每学期举办一次全校学生体育运动会（春季学期因疫原因未举办运动会），每天安排大课间活动和2次眼保健操，认真上好体育课，保证学生每天有1 小时体育活动时间。利用课后服务组织开展体育社团活动，学校开展了乒乓球、花式跳绳两个社团活动，平时加强学生体育锻炼，按时完成学生体质健康测试工作。本年度学校组织参加区运会，获体育道德风尚奖。</w:t>
      </w:r>
    </w:p>
    <w:p>
      <w:pPr>
        <w:ind w:firstLineChars="200"/>
        <w:rPr>
          <w:rFonts w:hint="eastAsia" w:ascii="仿宋" w:hAnsi="仿宋" w:eastAsia="仿宋" w:cs="仿宋"/>
          <w:sz w:val="32"/>
          <w:szCs w:val="32"/>
        </w:rPr>
      </w:pPr>
      <w:r>
        <w:rPr>
          <w:rFonts w:hint="eastAsia" w:ascii="仿宋" w:hAnsi="仿宋" w:eastAsia="仿宋" w:cs="仿宋"/>
          <w:sz w:val="32"/>
          <w:szCs w:val="32"/>
          <w:lang w:val="en-US" w:eastAsia="zh-CN"/>
        </w:rPr>
        <w:t>②</w:t>
      </w:r>
      <w:r>
        <w:rPr>
          <w:rFonts w:hint="eastAsia" w:ascii="仿宋" w:hAnsi="仿宋" w:eastAsia="仿宋" w:cs="仿宋"/>
          <w:sz w:val="32"/>
          <w:szCs w:val="32"/>
        </w:rPr>
        <w:t>加强艺术教育工作，严格落实音乐、美术、书法等课程，结合学校师资情况和地方文化，利用课后服务开展小</w:t>
      </w:r>
      <w:r>
        <w:rPr>
          <w:rFonts w:hint="eastAsia" w:ascii="仿宋" w:hAnsi="仿宋" w:eastAsia="仿宋" w:cs="仿宋"/>
          <w:color w:val="FF0000"/>
          <w:sz w:val="32"/>
          <w:szCs w:val="32"/>
          <w:lang w:eastAsia="zh-CN"/>
        </w:rPr>
        <w:t>合</w:t>
      </w:r>
      <w:r>
        <w:rPr>
          <w:rFonts w:hint="eastAsia" w:ascii="仿宋" w:hAnsi="仿宋" w:eastAsia="仿宋" w:cs="仿宋"/>
          <w:sz w:val="32"/>
          <w:szCs w:val="32"/>
        </w:rPr>
        <w:t>唱班，舞蹈班，书法班和绘画班等兴趣小组，2020年12月18日学校举办了全校性艺术节，将形成的艺术作品进行集中展示，形成良好的艺术氛围。学生参加青少年科技创新大赛，学生科幻画作品获市级一等奖2人，市级二等奖1人，三等奖1人，获区级一等奖4人，二等奖2人，杨君艳评为优秀指导教师。</w:t>
      </w:r>
    </w:p>
    <w:p>
      <w:pPr>
        <w:ind w:firstLineChars="200"/>
        <w:rPr>
          <w:rFonts w:hint="eastAsia" w:ascii="仿宋" w:hAnsi="仿宋" w:eastAsia="仿宋" w:cs="仿宋"/>
          <w:sz w:val="32"/>
          <w:szCs w:val="32"/>
        </w:rPr>
      </w:pPr>
      <w:r>
        <w:rPr>
          <w:rFonts w:hint="eastAsia" w:ascii="仿宋" w:hAnsi="仿宋" w:eastAsia="仿宋" w:cs="仿宋"/>
          <w:sz w:val="32"/>
          <w:szCs w:val="32"/>
          <w:lang w:val="en-US" w:eastAsia="zh-CN"/>
        </w:rPr>
        <w:t>③</w:t>
      </w:r>
      <w:r>
        <w:rPr>
          <w:rFonts w:hint="eastAsia" w:ascii="仿宋" w:hAnsi="仿宋" w:eastAsia="仿宋" w:cs="仿宋"/>
          <w:sz w:val="32"/>
          <w:szCs w:val="32"/>
        </w:rPr>
        <w:t>探索劳动实践教育课程，劳动教育进课堂，利用地方资源和家校合作开展劳动实践教育。组织部分年级学生到中华村一农户家进行养羊体验活动；组织全校师生进行花草种植活动，将种植的花草用于绿化美化校园；农忙期间要求学生参与家庭劳作，如水稻、玉米收割，让学生体会劳动的艰辛和丰收的喜悦；疫情期要求家长指导孩子在家开展厨艺大比拼、收拾自己的卧室、清洗自己的衣物等活动，通过网络晒图老师进行评价，促进学生全面发展。</w:t>
      </w:r>
    </w:p>
    <w:p>
      <w:pPr>
        <w:ind w:firstLineChars="200"/>
        <w:rPr>
          <w:rFonts w:hint="eastAsia" w:ascii="仿宋" w:hAnsi="仿宋" w:eastAsia="仿宋" w:cs="仿宋"/>
          <w:sz w:val="32"/>
          <w:szCs w:val="32"/>
        </w:rPr>
      </w:pPr>
      <w:r>
        <w:rPr>
          <w:rFonts w:hint="eastAsia" w:ascii="仿宋" w:hAnsi="仿宋" w:eastAsia="仿宋" w:cs="仿宋"/>
          <w:sz w:val="32"/>
          <w:szCs w:val="32"/>
          <w:lang w:val="en-US" w:eastAsia="zh-CN"/>
        </w:rPr>
        <w:t>④</w:t>
      </w:r>
      <w:r>
        <w:rPr>
          <w:rFonts w:hint="eastAsia" w:ascii="仿宋" w:hAnsi="仿宋" w:eastAsia="仿宋" w:cs="仿宋"/>
          <w:sz w:val="32"/>
          <w:szCs w:val="32"/>
        </w:rPr>
        <w:t>规范实施课后服务，每期开学制定课后服务实施方案，规范过程管理，探索特色课程，本年度开设有书法班、经典诵读班、乒乓球班、花试跳绳班、儿童画班、小合唱班、舞蹈班等特色课程，学校艺术节将形成的作品进行集中展演。</w:t>
      </w:r>
    </w:p>
    <w:p>
      <w:pPr>
        <w:ind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）校园文化</w:t>
      </w:r>
    </w:p>
    <w:p>
      <w:pPr>
        <w:ind w:firstLineChars="200"/>
        <w:rPr>
          <w:rFonts w:hint="eastAsia" w:ascii="仿宋" w:hAnsi="仿宋" w:eastAsia="仿宋" w:cs="仿宋"/>
          <w:sz w:val="32"/>
          <w:szCs w:val="32"/>
        </w:rPr>
      </w:pPr>
      <w:r>
        <w:rPr>
          <w:rFonts w:hint="eastAsia" w:ascii="仿宋" w:hAnsi="仿宋" w:eastAsia="仿宋" w:cs="仿宋"/>
          <w:sz w:val="32"/>
          <w:szCs w:val="32"/>
          <w:lang w:val="en-US" w:eastAsia="zh-CN"/>
        </w:rPr>
        <w:t>①</w:t>
      </w:r>
      <w:r>
        <w:rPr>
          <w:rFonts w:hint="eastAsia" w:ascii="仿宋" w:hAnsi="仿宋" w:eastAsia="仿宋" w:cs="仿宋"/>
          <w:sz w:val="32"/>
          <w:szCs w:val="32"/>
        </w:rPr>
        <w:t>按照学校制定的校园文化建设设施方案，围绕学校的感恩教育主题，深入开展校园文化建设，充分发挥校园文化的育人功能。开展感恩教育学月活动，以活动带动班级文化建设，创造良好的育人环境，固化感恩教育特色，营造“一校一品”育人氛围。</w:t>
      </w:r>
    </w:p>
    <w:p>
      <w:pPr>
        <w:ind w:firstLineChars="200"/>
        <w:rPr>
          <w:rFonts w:hint="eastAsia" w:ascii="仿宋" w:hAnsi="仿宋" w:eastAsia="仿宋" w:cs="仿宋"/>
          <w:sz w:val="32"/>
          <w:szCs w:val="32"/>
        </w:rPr>
      </w:pPr>
      <w:r>
        <w:rPr>
          <w:rFonts w:hint="eastAsia" w:ascii="仿宋" w:hAnsi="仿宋" w:eastAsia="仿宋" w:cs="仿宋"/>
          <w:sz w:val="32"/>
          <w:szCs w:val="32"/>
          <w:lang w:val="en-US" w:eastAsia="zh-CN"/>
        </w:rPr>
        <w:t>②</w:t>
      </w:r>
      <w:r>
        <w:rPr>
          <w:rFonts w:hint="eastAsia" w:ascii="仿宋" w:hAnsi="仿宋" w:eastAsia="仿宋" w:cs="仿宋"/>
          <w:sz w:val="32"/>
          <w:szCs w:val="32"/>
        </w:rPr>
        <w:t>认真开展校园文化建设，楼道文化、教室文化、办公室文化、橱窗文化建设已成体系，黑板报、宣传橱窗内容定期更换，育人氛围浓。加强校园环境卫生整治，特别注重净化、绿化，抓好学校建筑管理和维修，本年度完善了党员活动室和少先队室，设立了心理健康辅导室。少先队建立有卫生检查和纪律检查评比制度，坚持每天检查评比。校园整洁优美，绿化效果好，育人环境得到全面优化，校园内及周边环境秩序良好，无严重安全隐患。</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教育技术装备工作</w:t>
      </w:r>
    </w:p>
    <w:p>
      <w:pPr>
        <w:ind w:firstLineChars="200"/>
        <w:rPr>
          <w:rFonts w:hint="eastAsia" w:ascii="仿宋" w:hAnsi="仿宋" w:eastAsia="仿宋" w:cs="仿宋"/>
          <w:sz w:val="32"/>
          <w:szCs w:val="32"/>
        </w:rPr>
      </w:pPr>
      <w:r>
        <w:rPr>
          <w:rFonts w:hint="eastAsia" w:ascii="仿宋" w:hAnsi="仿宋" w:eastAsia="仿宋" w:cs="仿宋"/>
          <w:sz w:val="32"/>
          <w:szCs w:val="32"/>
          <w:lang w:val="en-US" w:eastAsia="zh-CN"/>
        </w:rPr>
        <w:t>①</w:t>
      </w:r>
      <w:r>
        <w:rPr>
          <w:rFonts w:hint="eastAsia" w:ascii="仿宋" w:hAnsi="仿宋" w:eastAsia="仿宋" w:cs="仿宋"/>
          <w:sz w:val="32"/>
          <w:szCs w:val="32"/>
        </w:rPr>
        <w:t>学校成立领导小组，设立有教育技术装备办公室，教导处祝德利主任分管教育装备工作；制定有教育装备年度工作计划；健全各功能室相应的制度和职责，各功能室教育装备的配置均已达标。加强电教设备的管理和维护，确保设备设施的正常使用。本年度新够置电脑4台。</w:t>
      </w:r>
    </w:p>
    <w:p>
      <w:pPr>
        <w:ind w:firstLineChars="200"/>
        <w:rPr>
          <w:rFonts w:hint="eastAsia" w:ascii="仿宋" w:hAnsi="仿宋" w:eastAsia="仿宋" w:cs="仿宋"/>
          <w:sz w:val="32"/>
          <w:szCs w:val="32"/>
        </w:rPr>
      </w:pPr>
      <w:r>
        <w:rPr>
          <w:rFonts w:hint="eastAsia" w:ascii="仿宋" w:hAnsi="仿宋" w:eastAsia="仿宋" w:cs="仿宋"/>
          <w:sz w:val="32"/>
          <w:szCs w:val="32"/>
          <w:lang w:val="en-US" w:eastAsia="zh-CN"/>
        </w:rPr>
        <w:t>②</w:t>
      </w:r>
      <w:r>
        <w:rPr>
          <w:rFonts w:hint="eastAsia" w:ascii="仿宋" w:hAnsi="仿宋" w:eastAsia="仿宋" w:cs="仿宋"/>
          <w:sz w:val="32"/>
          <w:szCs w:val="32"/>
        </w:rPr>
        <w:t>学校有科学实验室和实验器材保管室。按要求开展实验教学，学生演示和分组实验开出率达标，记录资料完整。本年度投入3万余元，新建舞蹈室和心理咨询室，改建音乐室、图书室。图书室藏书量6001册，生均量约45册。书籍实行电子化管理，完善了借阅管理制度，向学生开放借阅。每个班级有慈弘图书角，书柜里有许多书，利用中午20分钟时间开展全校师生静心阅读书写字活动，让图书室的书流动起来，逐步让学生养成读课外书的好习惯。</w:t>
      </w:r>
    </w:p>
    <w:p>
      <w:pPr>
        <w:ind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③</w:t>
      </w:r>
      <w:r>
        <w:rPr>
          <w:rFonts w:hint="eastAsia" w:ascii="仿宋" w:hAnsi="仿宋" w:eastAsia="仿宋" w:cs="仿宋"/>
          <w:sz w:val="32"/>
          <w:szCs w:val="32"/>
        </w:rPr>
        <w:t>各功能室相关人员按时积极参加各级组织的各种培训活动，学校按时上报各种表册和相关材料。坚持每期进行一次信息技术检测。积极组织教师参加“一师一优课，一课一名师”赛课活动和“课堂教育大比武”赛课活动，数学老师盛倩在区级优质课展评中获区级二等奖，积极撰写教育技术装备论文，本年度代建超老师撰写的论文《着力构建“融创课堂”的点滴思考》在2020年义务教育阶段信息技术论文评选中获市级一等奖</w:t>
      </w:r>
      <w:r>
        <w:rPr>
          <w:rFonts w:hint="eastAsia" w:ascii="仿宋" w:hAnsi="仿宋" w:eastAsia="仿宋" w:cs="仿宋"/>
          <w:sz w:val="32"/>
          <w:szCs w:val="32"/>
          <w:lang w:eastAsia="zh-CN"/>
        </w:rPr>
        <w:t>。</w:t>
      </w:r>
    </w:p>
    <w:p>
      <w:pPr>
        <w:ind w:firstLineChars="200"/>
        <w:rPr>
          <w:rFonts w:hint="eastAsia" w:ascii="仿宋" w:hAnsi="仿宋" w:eastAsia="仿宋" w:cs="仿宋"/>
          <w:sz w:val="32"/>
          <w:szCs w:val="32"/>
          <w:lang w:eastAsia="zh-CN"/>
        </w:rPr>
      </w:pPr>
    </w:p>
    <w:p>
      <w:pPr>
        <w:ind w:firstLineChars="200"/>
        <w:rPr>
          <w:rFonts w:hint="eastAsia" w:ascii="仿宋" w:hAnsi="仿宋" w:eastAsia="仿宋" w:cs="仿宋"/>
          <w:sz w:val="32"/>
          <w:szCs w:val="32"/>
          <w:lang w:eastAsia="zh-CN"/>
        </w:rPr>
      </w:pPr>
    </w:p>
    <w:p>
      <w:pPr>
        <w:ind w:firstLineChars="200"/>
        <w:rPr>
          <w:rFonts w:hint="eastAsia" w:ascii="仿宋" w:hAnsi="仿宋" w:eastAsia="仿宋" w:cs="仿宋"/>
          <w:sz w:val="32"/>
          <w:szCs w:val="32"/>
          <w:lang w:eastAsia="zh-CN"/>
        </w:rPr>
      </w:pPr>
    </w:p>
    <w:p>
      <w:pPr>
        <w:ind w:firstLineChars="200"/>
        <w:rPr>
          <w:rStyle w:val="16"/>
          <w:b w:val="0"/>
          <w:bCs w:val="0"/>
        </w:rPr>
      </w:pPr>
      <w:bookmarkStart w:id="30" w:name="_Toc9412"/>
      <w:r>
        <w:rPr>
          <w:rStyle w:val="16"/>
          <w:rFonts w:hint="eastAsia" w:ascii="黑体" w:hAnsi="黑体" w:eastAsia="黑体"/>
          <w:b w:val="0"/>
          <w:bCs w:val="0"/>
        </w:rPr>
        <w:t>二、机构设置</w:t>
      </w:r>
      <w:bookmarkEnd w:id="28"/>
      <w:bookmarkEnd w:id="29"/>
    </w:p>
    <w:bookmarkEnd w:id="30"/>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乐山市五通桥区牛华镇新云小学</w:t>
      </w:r>
      <w:r>
        <w:rPr>
          <w:rFonts w:hint="eastAsia" w:ascii="仿宋" w:hAnsi="仿宋" w:eastAsia="仿宋" w:cs="仿宋"/>
          <w:sz w:val="32"/>
          <w:szCs w:val="32"/>
        </w:rPr>
        <w:t>一级预算单位，无下属二级单位。</w:t>
      </w:r>
      <w:r>
        <w:rPr>
          <w:rFonts w:hint="eastAsia" w:ascii="仿宋" w:hAnsi="仿宋" w:eastAsia="仿宋" w:cs="仿宋"/>
          <w:sz w:val="32"/>
          <w:szCs w:val="32"/>
          <w:lang w:eastAsia="zh-CN"/>
        </w:rPr>
        <w:t>乐山市五通桥区牛华镇新云小学</w:t>
      </w:r>
      <w:r>
        <w:rPr>
          <w:rFonts w:hint="eastAsia" w:ascii="仿宋" w:hAnsi="仿宋" w:eastAsia="仿宋" w:cs="仿宋"/>
          <w:sz w:val="32"/>
          <w:szCs w:val="32"/>
          <w:lang w:val="en-US" w:eastAsia="zh-CN"/>
        </w:rPr>
        <w:t>年末在职人数24人</w:t>
      </w:r>
      <w:r>
        <w:rPr>
          <w:rFonts w:hint="eastAsia" w:ascii="仿宋" w:hAnsi="仿宋" w:eastAsia="仿宋" w:cs="仿宋"/>
          <w:sz w:val="32"/>
          <w:szCs w:val="32"/>
        </w:rPr>
        <w:t>。</w:t>
      </w:r>
    </w:p>
    <w:p>
      <w:pPr>
        <w:widowControl/>
        <w:ind w:firstLine="640" w:firstLineChars="200"/>
        <w:jc w:val="left"/>
        <w:rPr>
          <w:rFonts w:hint="eastAsia" w:ascii="仿宋" w:hAnsi="仿宋" w:eastAsia="仿宋" w:cs="仿宋"/>
          <w:sz w:val="32"/>
          <w:szCs w:val="32"/>
        </w:rPr>
      </w:pPr>
    </w:p>
    <w:p>
      <w:pPr>
        <w:widowControl/>
        <w:ind w:firstLine="640" w:firstLineChars="200"/>
        <w:jc w:val="left"/>
        <w:rPr>
          <w:rFonts w:hint="eastAsia" w:ascii="仿宋" w:hAnsi="仿宋" w:eastAsia="仿宋" w:cs="仿宋"/>
          <w:sz w:val="32"/>
          <w:szCs w:val="32"/>
        </w:rPr>
      </w:pPr>
    </w:p>
    <w:p>
      <w:pPr>
        <w:widowControl/>
        <w:ind w:firstLine="640" w:firstLineChars="200"/>
        <w:jc w:val="left"/>
        <w:rPr>
          <w:rFonts w:hint="eastAsia" w:ascii="仿宋" w:hAnsi="仿宋" w:eastAsia="仿宋" w:cs="仿宋"/>
          <w:sz w:val="32"/>
          <w:szCs w:val="32"/>
        </w:rPr>
      </w:pPr>
    </w:p>
    <w:p>
      <w:pPr>
        <w:widowControl/>
        <w:ind w:firstLine="640" w:firstLineChars="200"/>
        <w:jc w:val="left"/>
        <w:rPr>
          <w:rFonts w:hint="eastAsia" w:ascii="仿宋" w:hAnsi="仿宋" w:eastAsia="仿宋" w:cs="仿宋"/>
          <w:sz w:val="32"/>
          <w:szCs w:val="32"/>
        </w:rPr>
      </w:pPr>
    </w:p>
    <w:p>
      <w:pPr>
        <w:widowControl/>
        <w:ind w:firstLine="640" w:firstLineChars="200"/>
        <w:jc w:val="left"/>
        <w:rPr>
          <w:rFonts w:hint="eastAsia" w:ascii="仿宋" w:hAnsi="仿宋" w:eastAsia="仿宋" w:cs="仿宋"/>
          <w:sz w:val="32"/>
          <w:szCs w:val="32"/>
        </w:rPr>
      </w:pPr>
    </w:p>
    <w:p>
      <w:pPr>
        <w:widowControl/>
        <w:ind w:firstLine="640" w:firstLineChars="200"/>
        <w:jc w:val="left"/>
        <w:rPr>
          <w:rFonts w:hint="eastAsia" w:ascii="仿宋" w:hAnsi="仿宋" w:eastAsia="仿宋" w:cs="仿宋"/>
          <w:sz w:val="32"/>
          <w:szCs w:val="32"/>
        </w:rPr>
      </w:pPr>
    </w:p>
    <w:p>
      <w:pPr>
        <w:widowControl/>
        <w:ind w:firstLine="640" w:firstLineChars="200"/>
        <w:jc w:val="left"/>
        <w:rPr>
          <w:rFonts w:hint="eastAsia" w:ascii="仿宋" w:hAnsi="仿宋" w:eastAsia="仿宋" w:cs="仿宋"/>
          <w:sz w:val="32"/>
          <w:szCs w:val="32"/>
        </w:rPr>
      </w:pPr>
    </w:p>
    <w:p>
      <w:pPr>
        <w:widowControl/>
        <w:ind w:firstLine="640" w:firstLineChars="200"/>
        <w:jc w:val="left"/>
        <w:rPr>
          <w:rFonts w:hint="eastAsia" w:ascii="仿宋" w:hAnsi="仿宋" w:eastAsia="仿宋" w:cs="仿宋"/>
          <w:sz w:val="32"/>
          <w:szCs w:val="32"/>
        </w:rPr>
      </w:pPr>
    </w:p>
    <w:p>
      <w:pPr>
        <w:widowControl/>
        <w:ind w:firstLine="640" w:firstLineChars="200"/>
        <w:jc w:val="left"/>
        <w:rPr>
          <w:rFonts w:hint="eastAsia" w:ascii="仿宋" w:hAnsi="仿宋" w:eastAsia="仿宋" w:cs="仿宋"/>
          <w:sz w:val="32"/>
          <w:szCs w:val="32"/>
        </w:rPr>
      </w:pPr>
    </w:p>
    <w:p>
      <w:pPr>
        <w:widowControl/>
        <w:ind w:firstLine="640" w:firstLineChars="200"/>
        <w:jc w:val="left"/>
        <w:rPr>
          <w:rFonts w:hint="eastAsia" w:ascii="仿宋" w:hAnsi="仿宋" w:eastAsia="仿宋" w:cs="仿宋"/>
          <w:sz w:val="32"/>
          <w:szCs w:val="32"/>
        </w:rPr>
      </w:pPr>
    </w:p>
    <w:p>
      <w:pPr>
        <w:widowControl/>
        <w:ind w:firstLine="640" w:firstLineChars="200"/>
        <w:jc w:val="left"/>
        <w:rPr>
          <w:rFonts w:hint="eastAsia" w:ascii="仿宋" w:hAnsi="仿宋" w:eastAsia="仿宋" w:cs="仿宋"/>
          <w:sz w:val="32"/>
          <w:szCs w:val="32"/>
        </w:rPr>
      </w:pPr>
    </w:p>
    <w:p>
      <w:pPr>
        <w:widowControl/>
        <w:ind w:firstLine="640" w:firstLineChars="200"/>
        <w:jc w:val="left"/>
        <w:rPr>
          <w:rFonts w:hint="eastAsia" w:ascii="仿宋" w:hAnsi="仿宋" w:eastAsia="仿宋" w:cs="仿宋"/>
          <w:sz w:val="32"/>
          <w:szCs w:val="32"/>
        </w:rPr>
      </w:pPr>
    </w:p>
    <w:p>
      <w:pPr>
        <w:widowControl/>
        <w:ind w:firstLine="640" w:firstLineChars="200"/>
        <w:jc w:val="left"/>
        <w:rPr>
          <w:rFonts w:hint="eastAsia" w:ascii="仿宋" w:hAnsi="仿宋" w:eastAsia="仿宋" w:cs="仿宋"/>
          <w:sz w:val="32"/>
          <w:szCs w:val="32"/>
        </w:rPr>
      </w:pPr>
    </w:p>
    <w:p>
      <w:pPr>
        <w:widowControl/>
        <w:ind w:firstLine="640" w:firstLineChars="200"/>
        <w:jc w:val="left"/>
        <w:rPr>
          <w:rFonts w:hint="eastAsia" w:ascii="仿宋" w:hAnsi="仿宋" w:eastAsia="仿宋" w:cs="仿宋"/>
          <w:sz w:val="32"/>
          <w:szCs w:val="32"/>
        </w:rPr>
      </w:pPr>
    </w:p>
    <w:p>
      <w:pPr>
        <w:widowControl/>
        <w:ind w:firstLine="640" w:firstLineChars="200"/>
        <w:jc w:val="left"/>
        <w:rPr>
          <w:rFonts w:hint="eastAsia" w:ascii="仿宋" w:hAnsi="仿宋" w:eastAsia="仿宋" w:cs="仿宋"/>
          <w:sz w:val="32"/>
          <w:szCs w:val="32"/>
        </w:rPr>
      </w:pPr>
    </w:p>
    <w:p>
      <w:pPr>
        <w:widowControl/>
        <w:ind w:firstLine="640" w:firstLineChars="200"/>
        <w:jc w:val="left"/>
        <w:rPr>
          <w:rFonts w:hint="eastAsia" w:ascii="仿宋" w:hAnsi="仿宋" w:eastAsia="仿宋" w:cs="仿宋"/>
          <w:sz w:val="32"/>
          <w:szCs w:val="32"/>
        </w:rPr>
      </w:pPr>
    </w:p>
    <w:p>
      <w:pPr>
        <w:widowControl/>
        <w:ind w:firstLine="640" w:firstLineChars="200"/>
        <w:jc w:val="left"/>
        <w:rPr>
          <w:rFonts w:hint="eastAsia" w:ascii="仿宋" w:hAnsi="仿宋" w:eastAsia="仿宋" w:cs="仿宋"/>
          <w:sz w:val="32"/>
          <w:szCs w:val="32"/>
        </w:rPr>
      </w:pPr>
    </w:p>
    <w:p>
      <w:pPr>
        <w:widowControl/>
        <w:jc w:val="left"/>
        <w:rPr>
          <w:rFonts w:hint="eastAsia" w:ascii="仿宋" w:hAnsi="仿宋" w:eastAsia="仿宋" w:cs="仿宋"/>
          <w:sz w:val="32"/>
          <w:szCs w:val="32"/>
        </w:rPr>
      </w:pPr>
    </w:p>
    <w:p>
      <w:pPr>
        <w:widowControl/>
        <w:ind w:firstLine="440" w:firstLineChars="100"/>
        <w:jc w:val="left"/>
        <w:outlineLvl w:val="0"/>
        <w:rPr>
          <w:rStyle w:val="15"/>
          <w:rFonts w:ascii="黑体" w:hAnsi="黑体" w:eastAsia="黑体"/>
          <w:b w:val="0"/>
          <w:bCs w:val="0"/>
        </w:rPr>
      </w:pPr>
      <w:bookmarkStart w:id="31" w:name="_Toc5937"/>
      <w:bookmarkStart w:id="32" w:name="_Toc15396602"/>
      <w:bookmarkStart w:id="33" w:name="_Toc15377204"/>
      <w:r>
        <w:rPr>
          <w:rStyle w:val="15"/>
          <w:rFonts w:hint="eastAsia" w:ascii="黑体" w:hAnsi="黑体" w:eastAsia="黑体"/>
          <w:b w:val="0"/>
          <w:bCs w:val="0"/>
        </w:rPr>
        <w:t>第二部分 20</w:t>
      </w:r>
      <w:r>
        <w:rPr>
          <w:rStyle w:val="15"/>
          <w:rFonts w:ascii="黑体" w:hAnsi="黑体" w:eastAsia="黑体"/>
          <w:b w:val="0"/>
          <w:bCs w:val="0"/>
        </w:rPr>
        <w:t>20</w:t>
      </w:r>
      <w:r>
        <w:rPr>
          <w:rStyle w:val="15"/>
          <w:rFonts w:hint="eastAsia" w:ascii="黑体" w:hAnsi="黑体" w:eastAsia="黑体"/>
          <w:b w:val="0"/>
          <w:bCs w:val="0"/>
        </w:rPr>
        <w:t>年度部门决算情况说明</w:t>
      </w:r>
      <w:bookmarkEnd w:id="31"/>
      <w:bookmarkEnd w:id="32"/>
      <w:bookmarkEnd w:id="33"/>
    </w:p>
    <w:p/>
    <w:p>
      <w:pPr>
        <w:pStyle w:val="17"/>
        <w:numPr>
          <w:ilvl w:val="0"/>
          <w:numId w:val="1"/>
        </w:numPr>
        <w:spacing w:line="600" w:lineRule="exact"/>
        <w:ind w:firstLineChars="0"/>
        <w:outlineLvl w:val="1"/>
        <w:rPr>
          <w:rStyle w:val="16"/>
          <w:rFonts w:ascii="黑体" w:hAnsi="黑体" w:eastAsia="黑体"/>
          <w:b w:val="0"/>
        </w:rPr>
      </w:pPr>
      <w:bookmarkStart w:id="34" w:name="_Toc15377205"/>
      <w:bookmarkStart w:id="35" w:name="_Toc25871"/>
      <w:bookmarkStart w:id="36" w:name="_Toc15396603"/>
      <w:r>
        <w:rPr>
          <w:rFonts w:hint="eastAsia" w:ascii="黑体" w:hAnsi="黑体" w:eastAsia="黑体"/>
          <w:color w:val="000000"/>
          <w:sz w:val="32"/>
          <w:szCs w:val="32"/>
        </w:rPr>
        <w:t>收</w:t>
      </w:r>
      <w:r>
        <w:rPr>
          <w:rStyle w:val="16"/>
          <w:rFonts w:hint="eastAsia" w:ascii="黑体" w:hAnsi="黑体" w:eastAsia="黑体"/>
          <w:b w:val="0"/>
        </w:rPr>
        <w:t>入支出决算总体情况说明</w:t>
      </w:r>
      <w:bookmarkEnd w:id="34"/>
      <w:bookmarkEnd w:id="35"/>
      <w:bookmarkEnd w:id="36"/>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ascii="仿宋" w:hAnsi="仿宋" w:eastAsia="仿宋"/>
          <w:color w:val="000000"/>
          <w:sz w:val="32"/>
          <w:szCs w:val="32"/>
        </w:rPr>
        <w:t>2020</w:t>
      </w:r>
      <w:r>
        <w:rPr>
          <w:rFonts w:hint="eastAsia" w:ascii="仿宋" w:hAnsi="仿宋" w:eastAsia="仿宋"/>
          <w:color w:val="000000"/>
          <w:sz w:val="32"/>
          <w:szCs w:val="32"/>
        </w:rPr>
        <w:t>年度收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val="en-US" w:eastAsia="zh-CN"/>
        </w:rPr>
        <w:t>出总计363.71万元，</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出总计</w:t>
      </w:r>
      <w:r>
        <w:rPr>
          <w:rFonts w:hint="eastAsia" w:ascii="仿宋" w:hAnsi="仿宋" w:eastAsia="仿宋"/>
          <w:color w:val="000000"/>
          <w:sz w:val="32"/>
          <w:szCs w:val="32"/>
          <w:lang w:val="en-US" w:eastAsia="zh-CN"/>
        </w:rPr>
        <w:t>354.02万元，各</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9.69万元，</w:t>
      </w:r>
      <w:r>
        <w:rPr>
          <w:rFonts w:hint="eastAsia" w:ascii="仿宋" w:hAnsi="仿宋" w:eastAsia="仿宋"/>
          <w:color w:val="000000" w:themeColor="text1"/>
          <w:sz w:val="32"/>
          <w:szCs w:val="32"/>
          <w14:textFill>
            <w14:solidFill>
              <w14:schemeClr w14:val="tx1"/>
            </w14:solidFill>
          </w14:textFill>
        </w:rPr>
        <w:t>增长</w:t>
      </w:r>
      <w:r>
        <w:rPr>
          <w:rFonts w:hint="eastAsia" w:ascii="仿宋" w:hAnsi="仿宋" w:eastAsia="仿宋"/>
          <w:color w:val="000000" w:themeColor="text1"/>
          <w:sz w:val="32"/>
          <w:szCs w:val="32"/>
          <w:lang w:val="en-US" w:eastAsia="zh-CN"/>
          <w14:textFill>
            <w14:solidFill>
              <w14:schemeClr w14:val="tx1"/>
            </w14:solidFill>
          </w14:textFill>
        </w:rPr>
        <w:t>2.74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。主要变动原因是</w:t>
      </w:r>
      <w:r>
        <w:rPr>
          <w:rFonts w:hint="eastAsia" w:ascii="仿宋" w:hAnsi="仿宋" w:eastAsia="仿宋"/>
          <w:color w:val="000000" w:themeColor="text1"/>
          <w:sz w:val="32"/>
          <w:szCs w:val="32"/>
          <w:lang w:val="en-US" w:eastAsia="zh-CN"/>
          <w14:textFill>
            <w14:solidFill>
              <w14:schemeClr w14:val="tx1"/>
            </w14:solidFill>
          </w14:textFill>
        </w:rPr>
        <w:t>项目投入增加。</w:t>
      </w:r>
    </w:p>
    <w:p>
      <w:pPr>
        <w:spacing w:line="600" w:lineRule="exact"/>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drawing>
          <wp:anchor distT="0" distB="0" distL="114300" distR="114300" simplePos="0" relativeHeight="251661312" behindDoc="0" locked="0" layoutInCell="1" allowOverlap="1">
            <wp:simplePos x="0" y="0"/>
            <wp:positionH relativeFrom="column">
              <wp:posOffset>410845</wp:posOffset>
            </wp:positionH>
            <wp:positionV relativeFrom="paragraph">
              <wp:posOffset>258445</wp:posOffset>
            </wp:positionV>
            <wp:extent cx="5080000" cy="3467100"/>
            <wp:effectExtent l="5080" t="4445" r="20320" b="14605"/>
            <wp:wrapSquare wrapText="bothSides"/>
            <wp:docPr id="7" name="图表 7" descr="7b0a202020202263686172745265734964223a2022343136373636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spacing w:line="600" w:lineRule="exact"/>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ind w:firstLine="640" w:firstLineChars="200"/>
        <w:jc w:val="center"/>
        <w:rPr>
          <w:rFonts w:ascii="仿宋_GB2312" w:eastAsia="仿宋_GB2312"/>
          <w:color w:val="000000"/>
          <w:sz w:val="32"/>
          <w:szCs w:val="32"/>
        </w:rPr>
      </w:pPr>
      <w:r>
        <w:rPr>
          <w:rFonts w:hint="eastAsia" w:ascii="仿宋" w:hAnsi="仿宋" w:eastAsia="仿宋"/>
          <w:color w:val="000000"/>
          <w:sz w:val="32"/>
          <w:szCs w:val="32"/>
        </w:rPr>
        <w:t>（</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w:t>
      </w:r>
    </w:p>
    <w:p>
      <w:pPr>
        <w:pStyle w:val="17"/>
        <w:numPr>
          <w:ilvl w:val="0"/>
          <w:numId w:val="1"/>
        </w:numPr>
        <w:spacing w:line="600" w:lineRule="exact"/>
        <w:ind w:firstLineChars="0"/>
        <w:outlineLvl w:val="1"/>
        <w:rPr>
          <w:rStyle w:val="16"/>
          <w:rFonts w:ascii="黑体" w:hAnsi="黑体" w:eastAsia="黑体"/>
          <w:b w:val="0"/>
        </w:rPr>
      </w:pPr>
      <w:bookmarkStart w:id="37" w:name="_Toc17908"/>
      <w:bookmarkStart w:id="38" w:name="_Toc15377206"/>
      <w:bookmarkStart w:id="39" w:name="_Toc15396604"/>
      <w:r>
        <w:rPr>
          <w:rFonts w:hint="eastAsia" w:ascii="黑体" w:hAnsi="黑体" w:eastAsia="黑体"/>
          <w:color w:val="000000"/>
          <w:sz w:val="32"/>
          <w:szCs w:val="32"/>
        </w:rPr>
        <w:t>收</w:t>
      </w:r>
      <w:r>
        <w:rPr>
          <w:rStyle w:val="16"/>
          <w:rFonts w:hint="eastAsia" w:ascii="黑体" w:hAnsi="黑体" w:eastAsia="黑体"/>
          <w:b w:val="0"/>
        </w:rPr>
        <w:t>入决算情况说明</w:t>
      </w:r>
      <w:bookmarkEnd w:id="37"/>
      <w:bookmarkEnd w:id="38"/>
      <w:bookmarkEnd w:id="39"/>
    </w:p>
    <w:p>
      <w:pPr>
        <w:spacing w:line="600" w:lineRule="exact"/>
        <w:ind w:firstLine="640" w:firstLineChars="200"/>
        <w:outlineLvl w:val="9"/>
        <w:rPr>
          <w:rFonts w:hint="eastAsia" w:ascii="仿宋" w:hAnsi="仿宋" w:eastAsia="仿宋"/>
          <w:color w:val="000000"/>
          <w:sz w:val="32"/>
          <w:szCs w:val="32"/>
          <w:lang w:eastAsia="zh-CN"/>
        </w:rPr>
      </w:pPr>
      <w:bookmarkStart w:id="40" w:name="_Toc7239"/>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363.71</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363.68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99.99</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0.03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0.01</w:t>
      </w:r>
      <w:r>
        <w:rPr>
          <w:rFonts w:ascii="仿宋" w:hAnsi="仿宋" w:eastAsia="仿宋"/>
          <w:color w:val="000000"/>
          <w:sz w:val="32"/>
          <w:szCs w:val="32"/>
        </w:rPr>
        <w:t>%</w:t>
      </w:r>
      <w:r>
        <w:rPr>
          <w:rFonts w:hint="eastAsia" w:ascii="仿宋" w:hAnsi="仿宋" w:eastAsia="仿宋"/>
          <w:color w:val="000000"/>
          <w:sz w:val="32"/>
          <w:szCs w:val="32"/>
        </w:rPr>
        <w:t>。</w:t>
      </w:r>
      <w:bookmarkEnd w:id="40"/>
    </w:p>
    <w:p>
      <w:pPr>
        <w:tabs>
          <w:tab w:val="left" w:pos="2797"/>
        </w:tabs>
        <w:spacing w:line="600" w:lineRule="exact"/>
        <w:outlineLvl w:val="9"/>
        <w:rPr>
          <w:rFonts w:hint="eastAsia" w:ascii="仿宋" w:hAnsi="仿宋" w:eastAsia="仿宋"/>
          <w:color w:val="000000"/>
          <w:sz w:val="32"/>
          <w:szCs w:val="32"/>
          <w:lang w:eastAsia="zh-CN"/>
        </w:rPr>
      </w:pPr>
    </w:p>
    <w:p>
      <w:pPr>
        <w:spacing w:line="600" w:lineRule="exact"/>
        <w:ind w:firstLine="1280" w:firstLineChars="400"/>
        <w:rPr>
          <w:rFonts w:hint="eastAsia"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1280" w:firstLineChars="400"/>
        <w:textAlignment w:val="auto"/>
        <w:rPr>
          <w:rFonts w:hint="eastAsia" w:ascii="仿宋" w:hAnsi="仿宋" w:eastAsia="仿宋"/>
          <w:color w:val="000000"/>
          <w:sz w:val="32"/>
          <w:szCs w:val="32"/>
        </w:rPr>
      </w:pPr>
      <w:r>
        <w:rPr>
          <w:rFonts w:hint="eastAsia" w:ascii="仿宋" w:hAnsi="仿宋" w:eastAsia="仿宋"/>
          <w:color w:val="000000"/>
          <w:sz w:val="32"/>
          <w:szCs w:val="32"/>
          <w:lang w:eastAsia="zh-CN"/>
        </w:rPr>
        <w:drawing>
          <wp:inline distT="0" distB="0" distL="114300" distR="114300">
            <wp:extent cx="4127500" cy="2783840"/>
            <wp:effectExtent l="4445" t="5080" r="11430" b="1143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1280" w:firstLineChars="400"/>
        <w:jc w:val="center"/>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w:t>
      </w:r>
    </w:p>
    <w:p>
      <w:pPr>
        <w:pStyle w:val="17"/>
        <w:numPr>
          <w:ilvl w:val="0"/>
          <w:numId w:val="1"/>
        </w:numPr>
        <w:spacing w:line="600" w:lineRule="exact"/>
        <w:ind w:firstLineChars="0"/>
        <w:outlineLvl w:val="1"/>
        <w:rPr>
          <w:rStyle w:val="16"/>
          <w:rFonts w:ascii="黑体" w:hAnsi="黑体" w:eastAsia="黑体"/>
          <w:b w:val="0"/>
        </w:rPr>
      </w:pPr>
      <w:bookmarkStart w:id="41" w:name="_Toc22010"/>
      <w:bookmarkStart w:id="42" w:name="_Toc15396605"/>
      <w:bookmarkStart w:id="43" w:name="_Toc15377207"/>
      <w:r>
        <w:rPr>
          <w:rFonts w:hint="eastAsia" w:ascii="黑体" w:hAnsi="黑体" w:eastAsia="黑体"/>
          <w:color w:val="000000"/>
          <w:sz w:val="32"/>
          <w:szCs w:val="32"/>
        </w:rPr>
        <w:t>支</w:t>
      </w:r>
      <w:r>
        <w:rPr>
          <w:rStyle w:val="16"/>
          <w:rFonts w:hint="eastAsia" w:ascii="黑体" w:hAnsi="黑体" w:eastAsia="黑体"/>
          <w:b w:val="0"/>
        </w:rPr>
        <w:t>出决算情况说明</w:t>
      </w:r>
      <w:bookmarkEnd w:id="41"/>
      <w:bookmarkEnd w:id="42"/>
      <w:bookmarkEnd w:id="43"/>
    </w:p>
    <w:p>
      <w:pPr>
        <w:spacing w:line="600" w:lineRule="exact"/>
        <w:ind w:firstLine="640" w:firstLineChars="200"/>
        <w:outlineLvl w:val="9"/>
        <w:rPr>
          <w:rFonts w:hint="eastAsia" w:ascii="仿宋" w:hAnsi="仿宋" w:eastAsia="仿宋"/>
          <w:color w:val="000000"/>
          <w:sz w:val="32"/>
          <w:szCs w:val="32"/>
          <w:lang w:eastAsia="zh-CN"/>
        </w:rPr>
      </w:pPr>
      <w:bookmarkStart w:id="44" w:name="_Toc29496"/>
      <w:r>
        <w:rPr>
          <w:rFonts w:ascii="仿宋" w:hAnsi="仿宋" w:eastAsia="仿宋"/>
          <w:color w:val="000000"/>
          <w:sz w:val="32"/>
          <w:szCs w:val="32"/>
        </w:rPr>
        <w:t>2020</w:t>
      </w:r>
      <w:r>
        <w:rPr>
          <w:rFonts w:hint="eastAsia" w:ascii="仿宋" w:hAnsi="仿宋" w:eastAsia="仿宋"/>
          <w:color w:val="000000"/>
          <w:sz w:val="32"/>
          <w:szCs w:val="32"/>
        </w:rPr>
        <w:t>年本年支出合计</w:t>
      </w:r>
      <w:r>
        <w:rPr>
          <w:rFonts w:hint="eastAsia" w:ascii="仿宋" w:hAnsi="仿宋" w:eastAsia="仿宋"/>
          <w:color w:val="000000"/>
          <w:sz w:val="32"/>
          <w:szCs w:val="32"/>
          <w:lang w:eastAsia="zh-CN"/>
        </w:rPr>
        <w:t>363.71</w:t>
      </w:r>
      <w:r>
        <w:rPr>
          <w:rFonts w:hint="eastAsia" w:ascii="仿宋" w:hAnsi="仿宋" w:eastAsia="仿宋"/>
          <w:color w:val="000000"/>
          <w:sz w:val="32"/>
          <w:szCs w:val="32"/>
        </w:rPr>
        <w:t>万元，其中：基本支出</w:t>
      </w:r>
      <w:r>
        <w:rPr>
          <w:rFonts w:hint="eastAsia" w:ascii="仿宋" w:hAnsi="仿宋" w:eastAsia="仿宋"/>
          <w:color w:val="000000"/>
          <w:sz w:val="32"/>
          <w:szCs w:val="32"/>
          <w:lang w:eastAsia="zh-CN"/>
        </w:rPr>
        <w:t>348.2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95.74</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eastAsia="zh-CN"/>
        </w:rPr>
        <w:t>15.48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4.26</w:t>
      </w:r>
      <w:r>
        <w:rPr>
          <w:rFonts w:ascii="仿宋" w:hAnsi="仿宋" w:eastAsia="仿宋"/>
          <w:color w:val="000000"/>
          <w:sz w:val="32"/>
          <w:szCs w:val="32"/>
        </w:rPr>
        <w:t>%</w:t>
      </w:r>
      <w:r>
        <w:rPr>
          <w:rFonts w:hint="eastAsia" w:ascii="仿宋" w:hAnsi="仿宋" w:eastAsia="仿宋"/>
          <w:color w:val="000000"/>
          <w:sz w:val="32"/>
          <w:szCs w:val="32"/>
          <w:lang w:eastAsia="zh-CN"/>
        </w:rPr>
        <w:t>。</w:t>
      </w:r>
      <w:bookmarkEnd w:id="44"/>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r>
        <w:rPr>
          <w:rFonts w:hint="eastAsia" w:ascii="仿宋" w:hAnsi="仿宋" w:eastAsia="仿宋"/>
          <w:color w:val="000000"/>
          <w:sz w:val="32"/>
          <w:szCs w:val="32"/>
          <w:shd w:val="pct10" w:color="auto" w:fill="FFFFFF"/>
          <w:lang w:eastAsia="zh-CN"/>
        </w:rPr>
        <w:drawing>
          <wp:anchor distT="0" distB="0" distL="114300" distR="114300" simplePos="0" relativeHeight="251660288" behindDoc="0" locked="0" layoutInCell="1" allowOverlap="1">
            <wp:simplePos x="0" y="0"/>
            <wp:positionH relativeFrom="column">
              <wp:posOffset>414655</wp:posOffset>
            </wp:positionH>
            <wp:positionV relativeFrom="paragraph">
              <wp:posOffset>49530</wp:posOffset>
            </wp:positionV>
            <wp:extent cx="4524375" cy="3275965"/>
            <wp:effectExtent l="4445" t="4445" r="5080" b="571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jc w:val="center"/>
        <w:rPr>
          <w:rFonts w:hint="eastAsia" w:ascii="仿宋" w:hAnsi="仿宋" w:eastAsia="仿宋"/>
          <w:color w:val="000000"/>
          <w:sz w:val="32"/>
          <w:szCs w:val="32"/>
          <w:shd w:val="pct10" w:color="auto" w:fill="FFFFFF"/>
          <w:lang w:eastAsia="zh-CN"/>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w:t>
      </w:r>
    </w:p>
    <w:p>
      <w:pPr>
        <w:spacing w:line="600" w:lineRule="exact"/>
        <w:ind w:firstLine="640" w:firstLineChars="200"/>
        <w:outlineLvl w:val="1"/>
        <w:rPr>
          <w:rStyle w:val="16"/>
          <w:rFonts w:ascii="黑体" w:hAnsi="黑体" w:eastAsia="黑体"/>
          <w:b w:val="0"/>
        </w:rPr>
      </w:pPr>
      <w:bookmarkStart w:id="45" w:name="_Toc5949"/>
      <w:bookmarkStart w:id="46" w:name="_Toc15377208"/>
      <w:bookmarkStart w:id="47" w:name="_Toc15396606"/>
      <w:r>
        <w:rPr>
          <w:rFonts w:hint="eastAsia" w:ascii="黑体" w:hAnsi="黑体" w:eastAsia="黑体"/>
          <w:color w:val="000000"/>
          <w:sz w:val="32"/>
          <w:szCs w:val="32"/>
        </w:rPr>
        <w:t>四、财</w:t>
      </w:r>
      <w:r>
        <w:rPr>
          <w:rStyle w:val="16"/>
          <w:rFonts w:hint="eastAsia" w:ascii="黑体" w:hAnsi="黑体" w:eastAsia="黑体"/>
          <w:b w:val="0"/>
        </w:rPr>
        <w:t>政拨款收入支出决算总体情况说明</w:t>
      </w:r>
      <w:bookmarkEnd w:id="45"/>
      <w:bookmarkEnd w:id="46"/>
      <w:bookmarkEnd w:id="47"/>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r>
        <w:rPr>
          <w:rFonts w:ascii="仿宋" w:hAnsi="仿宋" w:eastAsia="仿宋"/>
          <w:color w:val="000000"/>
          <w:sz w:val="32"/>
          <w:szCs w:val="32"/>
        </w:rPr>
        <w:t>2020</w:t>
      </w:r>
      <w:r>
        <w:rPr>
          <w:rFonts w:hint="eastAsia" w:ascii="仿宋" w:hAnsi="仿宋" w:eastAsia="仿宋"/>
          <w:color w:val="000000"/>
          <w:sz w:val="32"/>
          <w:szCs w:val="32"/>
        </w:rPr>
        <w:t>年财政拨款收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val="en-US" w:eastAsia="zh-CN"/>
        </w:rPr>
        <w:t>出总计363.68</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出总计</w:t>
      </w:r>
      <w:r>
        <w:rPr>
          <w:rFonts w:hint="eastAsia" w:ascii="仿宋" w:hAnsi="仿宋" w:eastAsia="仿宋"/>
          <w:color w:val="000000"/>
          <w:sz w:val="32"/>
          <w:szCs w:val="32"/>
          <w:lang w:val="en-US" w:eastAsia="zh-CN"/>
        </w:rPr>
        <w:t>350.13万元，各</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13.55万元，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3.87</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主要变动原因是</w:t>
      </w:r>
      <w:r>
        <w:rPr>
          <w:rFonts w:hint="eastAsia" w:ascii="仿宋" w:hAnsi="仿宋" w:eastAsia="仿宋"/>
          <w:color w:val="000000" w:themeColor="text1"/>
          <w:sz w:val="32"/>
          <w:szCs w:val="32"/>
          <w:lang w:val="en-US" w:eastAsia="zh-CN"/>
          <w14:textFill>
            <w14:solidFill>
              <w14:schemeClr w14:val="tx1"/>
            </w14:solidFill>
          </w14:textFill>
        </w:rPr>
        <w:t>项目投入增加。</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w:t>
      </w:r>
      <w:r>
        <w:rPr>
          <w:rFonts w:hint="eastAsia" w:ascii="仿宋" w:hAnsi="仿宋" w:eastAsia="仿宋"/>
          <w:color w:val="000000"/>
          <w:sz w:val="32"/>
          <w:szCs w:val="32"/>
          <w:lang w:eastAsia="zh-CN"/>
        </w:rPr>
        <w:drawing>
          <wp:anchor distT="0" distB="0" distL="114300" distR="114300" simplePos="0" relativeHeight="251663360" behindDoc="0" locked="0" layoutInCell="1" allowOverlap="1">
            <wp:simplePos x="0" y="0"/>
            <wp:positionH relativeFrom="column">
              <wp:posOffset>179070</wp:posOffset>
            </wp:positionH>
            <wp:positionV relativeFrom="paragraph">
              <wp:posOffset>250190</wp:posOffset>
            </wp:positionV>
            <wp:extent cx="5334000" cy="3783965"/>
            <wp:effectExtent l="4445" t="4445" r="14605" b="2159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Style w:val="16"/>
          <w:rFonts w:ascii="黑体" w:hAnsi="黑体" w:eastAsia="黑体"/>
          <w:b w:val="0"/>
        </w:rPr>
      </w:pPr>
      <w:bookmarkStart w:id="48" w:name="_Toc8996"/>
      <w:bookmarkStart w:id="49" w:name="_Toc15396607"/>
      <w:bookmarkStart w:id="50"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6"/>
          <w:rFonts w:hint="eastAsia" w:ascii="黑体" w:hAnsi="黑体" w:eastAsia="黑体"/>
          <w:b w:val="0"/>
        </w:rPr>
        <w:t>般公共预算财政拨款支出决算情况说明</w:t>
      </w:r>
      <w:bookmarkEnd w:id="48"/>
      <w:bookmarkEnd w:id="49"/>
      <w:bookmarkEnd w:id="50"/>
    </w:p>
    <w:p>
      <w:pPr>
        <w:spacing w:line="600" w:lineRule="exact"/>
        <w:ind w:firstLine="643" w:firstLineChars="200"/>
        <w:outlineLvl w:val="2"/>
        <w:rPr>
          <w:rFonts w:ascii="仿宋" w:hAnsi="仿宋" w:eastAsia="仿宋"/>
          <w:b/>
          <w:color w:val="000000"/>
          <w:sz w:val="32"/>
          <w:szCs w:val="32"/>
        </w:rPr>
      </w:pPr>
      <w:bookmarkStart w:id="51" w:name="_Toc25931"/>
      <w:bookmarkStart w:id="52" w:name="_Toc20289"/>
      <w:bookmarkStart w:id="53" w:name="_Toc15377210"/>
      <w:r>
        <w:rPr>
          <w:rFonts w:hint="eastAsia" w:ascii="仿宋" w:hAnsi="仿宋" w:eastAsia="仿宋"/>
          <w:b/>
          <w:color w:val="000000"/>
          <w:sz w:val="32"/>
          <w:szCs w:val="32"/>
        </w:rPr>
        <w:t>（一）一般公共预算财政拨款支出决算总体情况</w:t>
      </w:r>
      <w:bookmarkEnd w:id="51"/>
      <w:bookmarkEnd w:id="52"/>
      <w:bookmarkEnd w:id="53"/>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363.68</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99.99</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年相比，一般公共预算财政拨款增加</w:t>
      </w:r>
      <w:r>
        <w:rPr>
          <w:rFonts w:hint="eastAsia" w:ascii="仿宋" w:hAnsi="仿宋" w:eastAsia="仿宋"/>
          <w:color w:val="000000"/>
          <w:sz w:val="32"/>
          <w:szCs w:val="32"/>
          <w:lang w:val="en-US" w:eastAsia="zh-CN"/>
        </w:rPr>
        <w:t>13.55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3.87</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主要变动原因是</w:t>
      </w:r>
      <w:r>
        <w:rPr>
          <w:rFonts w:hint="eastAsia" w:ascii="仿宋" w:hAnsi="仿宋" w:eastAsia="仿宋"/>
          <w:color w:val="000000" w:themeColor="text1"/>
          <w:sz w:val="32"/>
          <w:szCs w:val="32"/>
          <w:lang w:val="en-US" w:eastAsia="zh-CN"/>
          <w14:textFill>
            <w14:solidFill>
              <w14:schemeClr w14:val="tx1"/>
            </w14:solidFill>
          </w14:textFill>
        </w:rPr>
        <w:t>项目投入增加。</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drawing>
          <wp:anchor distT="0" distB="0" distL="114300" distR="114300" simplePos="0" relativeHeight="251662336" behindDoc="0" locked="0" layoutInCell="1" allowOverlap="1">
            <wp:simplePos x="0" y="0"/>
            <wp:positionH relativeFrom="column">
              <wp:posOffset>391160</wp:posOffset>
            </wp:positionH>
            <wp:positionV relativeFrom="paragraph">
              <wp:posOffset>22860</wp:posOffset>
            </wp:positionV>
            <wp:extent cx="4365625" cy="3095625"/>
            <wp:effectExtent l="4445" t="4445" r="11430" b="1143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jc w:val="center"/>
        <w:rPr>
          <w:rFonts w:hint="eastAsia"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w:t>
      </w:r>
    </w:p>
    <w:p>
      <w:pPr>
        <w:spacing w:line="600" w:lineRule="exact"/>
        <w:ind w:firstLine="643" w:firstLineChars="200"/>
        <w:outlineLvl w:val="2"/>
        <w:rPr>
          <w:rFonts w:ascii="仿宋" w:hAnsi="仿宋" w:eastAsia="仿宋"/>
          <w:b/>
          <w:color w:val="000000"/>
          <w:sz w:val="32"/>
          <w:szCs w:val="32"/>
        </w:rPr>
      </w:pPr>
      <w:bookmarkStart w:id="54" w:name="_Toc13117"/>
      <w:bookmarkStart w:id="55" w:name="_Toc11883"/>
      <w:bookmarkStart w:id="56" w:name="_Toc15377211"/>
      <w:r>
        <w:rPr>
          <w:rFonts w:hint="eastAsia" w:ascii="仿宋" w:hAnsi="仿宋" w:eastAsia="仿宋"/>
          <w:b/>
          <w:color w:val="000000"/>
          <w:sz w:val="32"/>
          <w:szCs w:val="32"/>
        </w:rPr>
        <w:t>（二）一般公共预算财政拨款支出决算结构情况</w:t>
      </w:r>
      <w:bookmarkEnd w:id="54"/>
      <w:bookmarkEnd w:id="55"/>
      <w:bookmarkEnd w:id="56"/>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363.68</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教育支出（类）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263.35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72.41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社会保障和就业支出（类）</w:t>
      </w:r>
      <w:r>
        <w:rPr>
          <w:rFonts w:hint="eastAsia" w:ascii="仿宋" w:hAnsi="仿宋" w:eastAsia="仿宋"/>
          <w:color w:val="000000"/>
          <w:sz w:val="32"/>
          <w:szCs w:val="32"/>
          <w:lang w:val="en-US" w:eastAsia="zh-CN"/>
        </w:rPr>
        <w:t>63.8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17.54</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color w:val="000000"/>
          <w:sz w:val="32"/>
          <w:szCs w:val="32"/>
          <w:lang w:val="en-US" w:eastAsia="zh-CN"/>
        </w:rPr>
        <w:t>11.18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3.07</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auto"/>
          <w:sz w:val="32"/>
          <w:szCs w:val="32"/>
        </w:rPr>
        <w:t>住房保障</w:t>
      </w:r>
      <w:r>
        <w:rPr>
          <w:rFonts w:hint="eastAsia" w:ascii="仿宋" w:hAnsi="仿宋" w:eastAsia="仿宋"/>
          <w:b/>
          <w:bCs/>
          <w:color w:val="000000"/>
          <w:sz w:val="32"/>
          <w:szCs w:val="32"/>
        </w:rPr>
        <w:t>支出</w:t>
      </w:r>
      <w:r>
        <w:rPr>
          <w:rFonts w:hint="eastAsia" w:ascii="仿宋" w:hAnsi="仿宋" w:eastAsia="仿宋"/>
          <w:color w:val="000000"/>
          <w:sz w:val="32"/>
          <w:szCs w:val="32"/>
          <w:lang w:val="en-US" w:eastAsia="zh-CN"/>
        </w:rPr>
        <w:t>25.35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6.97</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4384" behindDoc="0" locked="0" layoutInCell="1" allowOverlap="1">
            <wp:simplePos x="0" y="0"/>
            <wp:positionH relativeFrom="column">
              <wp:posOffset>419100</wp:posOffset>
            </wp:positionH>
            <wp:positionV relativeFrom="paragraph">
              <wp:posOffset>-275590</wp:posOffset>
            </wp:positionV>
            <wp:extent cx="3921125" cy="1704340"/>
            <wp:effectExtent l="4445" t="4445" r="8255" b="571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w:t>
      </w:r>
    </w:p>
    <w:p>
      <w:pPr>
        <w:spacing w:line="600" w:lineRule="exact"/>
        <w:ind w:firstLine="643" w:firstLineChars="200"/>
        <w:outlineLvl w:val="2"/>
        <w:rPr>
          <w:rFonts w:ascii="仿宋" w:hAnsi="仿宋" w:eastAsia="仿宋"/>
          <w:b/>
          <w:color w:val="000000"/>
          <w:sz w:val="32"/>
          <w:szCs w:val="32"/>
        </w:rPr>
      </w:pPr>
      <w:bookmarkStart w:id="57" w:name="_Toc15377212"/>
      <w:bookmarkStart w:id="58" w:name="_Toc8382"/>
      <w:bookmarkStart w:id="59" w:name="_Toc16048"/>
      <w:r>
        <w:rPr>
          <w:rFonts w:hint="eastAsia" w:ascii="仿宋" w:hAnsi="仿宋" w:eastAsia="仿宋"/>
          <w:b/>
          <w:color w:val="000000"/>
          <w:sz w:val="32"/>
          <w:szCs w:val="32"/>
        </w:rPr>
        <w:t>（三）一般公共预算财政拨款支出决算具体情况</w:t>
      </w:r>
      <w:bookmarkEnd w:id="57"/>
      <w:bookmarkEnd w:id="58"/>
      <w:bookmarkEnd w:id="59"/>
    </w:p>
    <w:p>
      <w:pPr>
        <w:spacing w:line="600" w:lineRule="exact"/>
        <w:ind w:firstLine="643" w:firstLineChars="200"/>
        <w:outlineLvl w:val="9"/>
        <w:rPr>
          <w:rFonts w:ascii="仿宋" w:hAnsi="仿宋" w:eastAsia="仿宋"/>
          <w:color w:val="FF0000"/>
          <w:sz w:val="32"/>
          <w:szCs w:val="32"/>
        </w:rPr>
      </w:pPr>
      <w:bookmarkStart w:id="60" w:name="_Toc15378460"/>
      <w:bookmarkStart w:id="61" w:name="_Toc28372"/>
      <w:bookmarkStart w:id="62" w:name="_Toc15377444"/>
      <w:bookmarkStart w:id="63" w:name="_Toc15377213"/>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w:t>
      </w:r>
      <w:r>
        <w:rPr>
          <w:rFonts w:hint="eastAsia" w:ascii="仿宋" w:hAnsi="仿宋" w:eastAsia="仿宋"/>
          <w:b/>
          <w:bCs/>
          <w:color w:val="000000"/>
          <w:sz w:val="32"/>
          <w:szCs w:val="32"/>
          <w:lang w:val="en-US" w:eastAsia="zh-CN"/>
        </w:rPr>
        <w:t>363.68</w:t>
      </w:r>
      <w:r>
        <w:rPr>
          <w:rFonts w:hint="eastAsia" w:ascii="仿宋" w:hAnsi="仿宋" w:eastAsia="仿宋"/>
          <w:b/>
          <w:bCs/>
          <w:color w:val="000000"/>
          <w:sz w:val="32"/>
          <w:szCs w:val="32"/>
        </w:rPr>
        <w:t>万元</w:t>
      </w:r>
      <w:r>
        <w:rPr>
          <w:rFonts w:hint="eastAsia" w:ascii="仿宋" w:hAnsi="仿宋" w:eastAsia="仿宋"/>
          <w:color w:val="000000"/>
          <w:sz w:val="32"/>
          <w:szCs w:val="32"/>
        </w:rPr>
        <w:t>，</w:t>
      </w:r>
      <w:r>
        <w:rPr>
          <w:rStyle w:val="13"/>
          <w:rFonts w:hint="eastAsia" w:ascii="仿宋" w:hAnsi="仿宋" w:eastAsia="仿宋"/>
          <w:bCs/>
          <w:color w:val="000000"/>
          <w:sz w:val="32"/>
          <w:szCs w:val="32"/>
        </w:rPr>
        <w:t>完成预算</w:t>
      </w:r>
      <w:r>
        <w:rPr>
          <w:rStyle w:val="13"/>
          <w:rFonts w:hint="eastAsia" w:ascii="仿宋" w:hAnsi="仿宋" w:eastAsia="仿宋"/>
          <w:bCs/>
          <w:color w:val="000000"/>
          <w:sz w:val="32"/>
          <w:szCs w:val="32"/>
          <w:lang w:val="en-US" w:eastAsia="zh-CN"/>
        </w:rPr>
        <w:t>100</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。其中：</w:t>
      </w:r>
      <w:bookmarkEnd w:id="60"/>
      <w:bookmarkEnd w:id="61"/>
      <w:bookmarkEnd w:id="62"/>
      <w:bookmarkEnd w:id="63"/>
    </w:p>
    <w:p>
      <w:pPr>
        <w:numPr>
          <w:ilvl w:val="0"/>
          <w:numId w:val="0"/>
        </w:numPr>
        <w:spacing w:line="600" w:lineRule="exact"/>
        <w:ind w:firstLine="643" w:firstLineChars="200"/>
        <w:rPr>
          <w:rStyle w:val="13"/>
          <w:rFonts w:hint="eastAsia" w:ascii="仿宋" w:hAnsi="仿宋" w:eastAsia="仿宋"/>
          <w:b w:val="0"/>
          <w:bCs/>
          <w:color w:val="000000"/>
          <w:sz w:val="32"/>
          <w:szCs w:val="32"/>
        </w:rPr>
      </w:pPr>
      <w:r>
        <w:rPr>
          <w:rStyle w:val="13"/>
          <w:rFonts w:hint="eastAsia" w:ascii="仿宋" w:hAnsi="仿宋" w:eastAsia="仿宋"/>
          <w:bCs/>
          <w:color w:val="000000"/>
          <w:sz w:val="32"/>
          <w:szCs w:val="32"/>
          <w:lang w:val="en-US" w:eastAsia="zh-CN"/>
        </w:rPr>
        <w:t>1.</w:t>
      </w:r>
      <w:r>
        <w:rPr>
          <w:rStyle w:val="13"/>
          <w:rFonts w:hint="eastAsia" w:ascii="仿宋" w:hAnsi="仿宋" w:eastAsia="仿宋"/>
          <w:bCs/>
          <w:color w:val="000000"/>
          <w:sz w:val="32"/>
          <w:szCs w:val="32"/>
        </w:rPr>
        <w:t>教育支出（类）普通教育（款）小学教育（项）</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260.35</w:t>
      </w:r>
      <w:r>
        <w:rPr>
          <w:rStyle w:val="13"/>
          <w:rFonts w:hint="eastAsia" w:ascii="仿宋" w:hAnsi="仿宋" w:eastAsia="仿宋"/>
          <w:b w:val="0"/>
          <w:bCs/>
          <w:color w:val="000000"/>
          <w:sz w:val="32"/>
          <w:szCs w:val="32"/>
        </w:rPr>
        <w:t>万元，完成预算</w:t>
      </w:r>
      <w:r>
        <w:rPr>
          <w:rStyle w:val="13"/>
          <w:rFonts w:hint="eastAsia" w:ascii="仿宋" w:hAnsi="仿宋" w:eastAsia="仿宋"/>
          <w:b w:val="0"/>
          <w:bCs/>
          <w:color w:val="000000"/>
          <w:sz w:val="32"/>
          <w:szCs w:val="32"/>
          <w:lang w:val="en-US" w:eastAsia="zh-CN"/>
        </w:rPr>
        <w:t>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numPr>
          <w:ilvl w:val="0"/>
          <w:numId w:val="0"/>
        </w:numPr>
        <w:spacing w:line="600" w:lineRule="exact"/>
        <w:ind w:firstLine="643" w:firstLineChars="200"/>
        <w:rPr>
          <w:rStyle w:val="13"/>
          <w:rFonts w:hint="eastAsia" w:ascii="仿宋" w:hAnsi="仿宋" w:eastAsia="仿宋"/>
          <w:b w:val="0"/>
          <w:bCs/>
          <w:color w:val="000000"/>
          <w:sz w:val="32"/>
          <w:szCs w:val="32"/>
        </w:rPr>
      </w:pPr>
      <w:r>
        <w:rPr>
          <w:rStyle w:val="13"/>
          <w:rFonts w:hint="eastAsia" w:ascii="仿宋" w:hAnsi="仿宋" w:eastAsia="仿宋"/>
          <w:bCs/>
          <w:color w:val="000000"/>
          <w:sz w:val="32"/>
          <w:szCs w:val="32"/>
          <w:lang w:val="en-US" w:eastAsia="zh-CN"/>
        </w:rPr>
        <w:t>2.</w:t>
      </w:r>
      <w:r>
        <w:rPr>
          <w:rStyle w:val="13"/>
          <w:rFonts w:hint="eastAsia" w:ascii="仿宋" w:hAnsi="仿宋" w:eastAsia="仿宋"/>
          <w:bCs/>
          <w:color w:val="000000"/>
          <w:sz w:val="32"/>
          <w:szCs w:val="32"/>
        </w:rPr>
        <w:t>教育支出（类）普通教育（款）学</w:t>
      </w:r>
      <w:r>
        <w:rPr>
          <w:rStyle w:val="13"/>
          <w:rFonts w:hint="eastAsia" w:ascii="仿宋" w:hAnsi="仿宋" w:eastAsia="仿宋"/>
          <w:bCs/>
          <w:color w:val="000000"/>
          <w:sz w:val="32"/>
          <w:szCs w:val="32"/>
          <w:lang w:eastAsia="zh-CN"/>
        </w:rPr>
        <w:t>前</w:t>
      </w:r>
      <w:r>
        <w:rPr>
          <w:rStyle w:val="13"/>
          <w:rFonts w:hint="eastAsia" w:ascii="仿宋" w:hAnsi="仿宋" w:eastAsia="仿宋"/>
          <w:bCs/>
          <w:color w:val="000000"/>
          <w:sz w:val="32"/>
          <w:szCs w:val="32"/>
        </w:rPr>
        <w:t>教育（项）</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3</w:t>
      </w:r>
      <w:r>
        <w:rPr>
          <w:rStyle w:val="13"/>
          <w:rFonts w:hint="eastAsia" w:ascii="仿宋" w:hAnsi="仿宋" w:eastAsia="仿宋"/>
          <w:b w:val="0"/>
          <w:bCs/>
          <w:color w:val="000000"/>
          <w:sz w:val="32"/>
          <w:szCs w:val="32"/>
        </w:rPr>
        <w:t>万元，完成预算</w:t>
      </w:r>
      <w:r>
        <w:rPr>
          <w:rStyle w:val="13"/>
          <w:rFonts w:hint="eastAsia" w:ascii="仿宋" w:hAnsi="仿宋" w:eastAsia="仿宋"/>
          <w:b w:val="0"/>
          <w:bCs/>
          <w:color w:val="000000"/>
          <w:sz w:val="32"/>
          <w:szCs w:val="32"/>
          <w:lang w:val="en-US" w:eastAsia="zh-CN"/>
        </w:rPr>
        <w:t>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3"/>
          <w:rFonts w:hint="eastAsia" w:ascii="仿宋" w:hAnsi="仿宋" w:eastAsia="仿宋"/>
          <w:bCs/>
          <w:color w:val="000000"/>
          <w:sz w:val="32"/>
          <w:szCs w:val="32"/>
          <w:lang w:val="en-US" w:eastAsia="zh-CN"/>
        </w:rPr>
        <w:t>3</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社会保障和就业支出（类）行政事业单位养老支出（款）机关事业单位基本养老保险缴费支出（项）</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支出决算为29.05万元，完成预算</w:t>
      </w:r>
      <w:r>
        <w:rPr>
          <w:rStyle w:val="13"/>
          <w:rFonts w:hint="eastAsia" w:ascii="仿宋" w:hAnsi="仿宋" w:eastAsia="仿宋"/>
          <w:b w:val="0"/>
          <w:bCs/>
          <w:color w:val="000000"/>
          <w:sz w:val="32"/>
          <w:szCs w:val="32"/>
          <w:lang w:val="en-US" w:eastAsia="zh-CN"/>
        </w:rPr>
        <w:t>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3"/>
          <w:rFonts w:hint="eastAsia" w:ascii="仿宋" w:hAnsi="仿宋" w:eastAsia="仿宋"/>
          <w:bCs/>
          <w:color w:val="000000"/>
          <w:sz w:val="32"/>
          <w:szCs w:val="32"/>
          <w:lang w:val="en-US" w:eastAsia="zh-CN"/>
        </w:rPr>
        <w:t>4</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社会保障和就业支出（类）行政事业单位养老支出（款）机关事业单位职业年金缴费支出（项）</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支出决算为14.52万元，完成预算</w:t>
      </w:r>
      <w:r>
        <w:rPr>
          <w:rStyle w:val="13"/>
          <w:rFonts w:hint="eastAsia" w:ascii="仿宋" w:hAnsi="仿宋" w:eastAsia="仿宋"/>
          <w:b w:val="0"/>
          <w:bCs/>
          <w:color w:val="000000"/>
          <w:sz w:val="32"/>
          <w:szCs w:val="32"/>
          <w:lang w:val="en-US" w:eastAsia="zh-CN"/>
        </w:rPr>
        <w:t>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3"/>
          <w:rFonts w:hint="eastAsia" w:ascii="仿宋" w:hAnsi="仿宋" w:eastAsia="仿宋"/>
          <w:bCs/>
          <w:color w:val="000000"/>
          <w:sz w:val="32"/>
          <w:szCs w:val="32"/>
          <w:lang w:val="en-US" w:eastAsia="zh-CN"/>
        </w:rPr>
        <w:t>5</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社会保障和就业支出（类）行政事业单位养老支出（款）其他行政事业单位养老支出（项）</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支出决算为20.23万元，完成预算</w:t>
      </w:r>
      <w:r>
        <w:rPr>
          <w:rStyle w:val="13"/>
          <w:rFonts w:hint="eastAsia" w:ascii="仿宋" w:hAnsi="仿宋" w:eastAsia="仿宋"/>
          <w:b w:val="0"/>
          <w:bCs/>
          <w:color w:val="000000"/>
          <w:sz w:val="32"/>
          <w:szCs w:val="32"/>
          <w:lang w:val="en-US" w:eastAsia="zh-CN"/>
        </w:rPr>
        <w:t>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Style w:val="13"/>
          <w:rFonts w:hint="eastAsia" w:ascii="仿宋" w:hAnsi="仿宋" w:eastAsia="仿宋"/>
          <w:b w:val="0"/>
          <w:bCs/>
          <w:color w:val="000000"/>
          <w:sz w:val="32"/>
          <w:szCs w:val="32"/>
        </w:rPr>
      </w:pPr>
      <w:r>
        <w:rPr>
          <w:rStyle w:val="13"/>
          <w:rFonts w:hint="eastAsia" w:ascii="仿宋" w:hAnsi="仿宋" w:eastAsia="仿宋"/>
          <w:bCs/>
          <w:color w:val="000000"/>
          <w:sz w:val="32"/>
          <w:szCs w:val="32"/>
          <w:lang w:val="en-US" w:eastAsia="zh-CN"/>
        </w:rPr>
        <w:t>6</w:t>
      </w:r>
      <w:r>
        <w:rPr>
          <w:rStyle w:val="13"/>
          <w:rFonts w:ascii="仿宋" w:hAnsi="仿宋" w:eastAsia="仿宋"/>
          <w:bCs/>
          <w:color w:val="000000"/>
          <w:sz w:val="32"/>
          <w:szCs w:val="32"/>
        </w:rPr>
        <w:t>.</w:t>
      </w:r>
      <w:r>
        <w:rPr>
          <w:rFonts w:hint="eastAsia" w:ascii="仿宋" w:hAnsi="仿宋" w:eastAsia="仿宋"/>
          <w:b/>
          <w:bCs/>
          <w:color w:val="000000"/>
          <w:sz w:val="32"/>
          <w:szCs w:val="32"/>
        </w:rPr>
        <w:t>卫生健康</w:t>
      </w:r>
      <w:r>
        <w:rPr>
          <w:rStyle w:val="13"/>
          <w:rFonts w:hint="eastAsia" w:ascii="仿宋" w:hAnsi="仿宋" w:eastAsia="仿宋"/>
          <w:bCs/>
          <w:color w:val="000000"/>
          <w:sz w:val="32"/>
          <w:szCs w:val="32"/>
        </w:rPr>
        <w:t>（类）行政事业单位医疗（款）事业单位医疗（项）</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支出决算为11.18万元，完成预算</w:t>
      </w:r>
      <w:r>
        <w:rPr>
          <w:rStyle w:val="13"/>
          <w:rFonts w:hint="eastAsia" w:ascii="仿宋" w:hAnsi="仿宋" w:eastAsia="仿宋"/>
          <w:b w:val="0"/>
          <w:bCs/>
          <w:color w:val="000000"/>
          <w:sz w:val="32"/>
          <w:szCs w:val="32"/>
          <w:lang w:val="en-US" w:eastAsia="zh-CN"/>
        </w:rPr>
        <w:t>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Fonts w:hint="eastAsia" w:ascii="仿宋" w:hAnsi="仿宋" w:eastAsia="仿宋"/>
          <w:b/>
          <w:color w:val="FF0000"/>
          <w:sz w:val="32"/>
          <w:szCs w:val="32"/>
        </w:rPr>
      </w:pPr>
      <w:r>
        <w:rPr>
          <w:rStyle w:val="13"/>
          <w:rFonts w:hint="eastAsia" w:ascii="仿宋" w:hAnsi="仿宋" w:eastAsia="仿宋"/>
          <w:bCs/>
          <w:color w:val="000000"/>
          <w:sz w:val="32"/>
          <w:szCs w:val="32"/>
          <w:lang w:val="en-US" w:eastAsia="zh-CN"/>
        </w:rPr>
        <w:t>7</w:t>
      </w:r>
      <w:r>
        <w:rPr>
          <w:rStyle w:val="13"/>
          <w:rFonts w:ascii="仿宋" w:hAnsi="仿宋" w:eastAsia="仿宋"/>
          <w:bCs/>
          <w:color w:val="000000"/>
          <w:sz w:val="32"/>
          <w:szCs w:val="32"/>
        </w:rPr>
        <w:t>.</w:t>
      </w:r>
      <w:r>
        <w:rPr>
          <w:rFonts w:hint="eastAsia" w:ascii="仿宋" w:hAnsi="仿宋" w:eastAsia="仿宋"/>
          <w:b/>
          <w:bCs/>
          <w:color w:val="000000"/>
          <w:sz w:val="32"/>
          <w:szCs w:val="32"/>
        </w:rPr>
        <w:t>住房保障支出</w:t>
      </w:r>
      <w:r>
        <w:rPr>
          <w:rStyle w:val="13"/>
          <w:rFonts w:hint="eastAsia" w:ascii="仿宋" w:hAnsi="仿宋" w:eastAsia="仿宋"/>
          <w:bCs/>
          <w:color w:val="000000"/>
          <w:sz w:val="32"/>
          <w:szCs w:val="32"/>
        </w:rPr>
        <w:t>（类）住房改革支出</w:t>
      </w:r>
      <w:r>
        <w:rPr>
          <w:rStyle w:val="13"/>
          <w:rFonts w:hint="eastAsia" w:ascii="仿宋" w:hAnsi="仿宋" w:eastAsia="仿宋"/>
          <w:bCs/>
          <w:color w:val="000000"/>
          <w:sz w:val="32"/>
          <w:szCs w:val="32"/>
          <w:lang w:eastAsia="zh-CN"/>
        </w:rPr>
        <w:t>（</w:t>
      </w:r>
      <w:r>
        <w:rPr>
          <w:rStyle w:val="13"/>
          <w:rFonts w:hint="eastAsia" w:ascii="仿宋" w:hAnsi="仿宋" w:eastAsia="仿宋"/>
          <w:bCs/>
          <w:color w:val="000000"/>
          <w:sz w:val="32"/>
          <w:szCs w:val="32"/>
        </w:rPr>
        <w:t>款）住房公积金（项）</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支出决算为25.35万元，完成预算</w:t>
      </w:r>
      <w:r>
        <w:rPr>
          <w:rStyle w:val="13"/>
          <w:rFonts w:hint="eastAsia" w:ascii="仿宋" w:hAnsi="仿宋" w:eastAsia="仿宋"/>
          <w:b w:val="0"/>
          <w:bCs/>
          <w:color w:val="000000"/>
          <w:sz w:val="32"/>
          <w:szCs w:val="32"/>
          <w:lang w:val="en-US" w:eastAsia="zh-CN"/>
        </w:rPr>
        <w:t>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tabs>
          <w:tab w:val="right" w:pos="8306"/>
        </w:tabs>
        <w:spacing w:line="600" w:lineRule="exact"/>
        <w:ind w:firstLine="640"/>
        <w:outlineLvl w:val="1"/>
        <w:rPr>
          <w:rStyle w:val="16"/>
        </w:rPr>
      </w:pPr>
      <w:bookmarkStart w:id="64" w:name="_Toc15396608"/>
      <w:bookmarkStart w:id="65" w:name="_Toc15377214"/>
      <w:bookmarkStart w:id="66" w:name="_Toc11101"/>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6"/>
          <w:rFonts w:hint="eastAsia" w:ascii="黑体" w:hAnsi="黑体" w:eastAsia="黑体"/>
          <w:b w:val="0"/>
        </w:rPr>
        <w:t>般公共预算财政拨款基本支出决算情况说明</w:t>
      </w:r>
      <w:bookmarkEnd w:id="64"/>
      <w:bookmarkEnd w:id="65"/>
      <w:bookmarkEnd w:id="66"/>
      <w:r>
        <w:rPr>
          <w:rStyle w:val="1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348.23</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338.69</w:t>
      </w:r>
      <w:r>
        <w:rPr>
          <w:rFonts w:hint="eastAsia" w:ascii="仿宋" w:hAnsi="仿宋" w:eastAsia="仿宋"/>
          <w:color w:val="000000"/>
          <w:sz w:val="32"/>
          <w:szCs w:val="32"/>
        </w:rPr>
        <w:t>万元，主要包括：基本工资、津贴补贴、绩效工资、机关事业单位基本养老保险缴费、职业年金缴费、职工基本医疗保险缴费</w:t>
      </w:r>
      <w:r>
        <w:rPr>
          <w:rFonts w:hint="eastAsia" w:ascii="仿宋" w:hAnsi="仿宋" w:eastAsia="仿宋"/>
          <w:color w:val="000000"/>
          <w:sz w:val="32"/>
          <w:szCs w:val="32"/>
          <w:lang w:eastAsia="zh-CN"/>
        </w:rPr>
        <w:t>、其他社会保障缴费、</w:t>
      </w:r>
      <w:r>
        <w:rPr>
          <w:rFonts w:hint="eastAsia" w:ascii="仿宋" w:hAnsi="仿宋" w:eastAsia="仿宋"/>
          <w:color w:val="000000"/>
          <w:sz w:val="32"/>
          <w:szCs w:val="32"/>
        </w:rPr>
        <w:t>住房公积金、其他工资福利支出</w:t>
      </w:r>
      <w:r>
        <w:rPr>
          <w:rFonts w:hint="eastAsia" w:ascii="仿宋" w:hAnsi="仿宋" w:eastAsia="仿宋"/>
          <w:color w:val="000000"/>
          <w:sz w:val="32"/>
          <w:szCs w:val="32"/>
          <w:lang w:eastAsia="zh-CN"/>
        </w:rPr>
        <w:t>、</w:t>
      </w:r>
      <w:r>
        <w:rPr>
          <w:rFonts w:hint="eastAsia" w:ascii="仿宋" w:hAnsi="仿宋" w:eastAsia="仿宋"/>
          <w:color w:val="000000"/>
          <w:sz w:val="32"/>
          <w:szCs w:val="32"/>
        </w:rPr>
        <w:t>生活补助等。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日常公用经费</w:t>
      </w:r>
      <w:r>
        <w:rPr>
          <w:rFonts w:hint="eastAsia" w:ascii="仿宋" w:hAnsi="仿宋" w:eastAsia="仿宋"/>
          <w:color w:val="000000"/>
          <w:sz w:val="32"/>
          <w:szCs w:val="32"/>
          <w:lang w:val="en-US" w:eastAsia="zh-CN"/>
        </w:rPr>
        <w:t>9.54</w:t>
      </w:r>
      <w:r>
        <w:rPr>
          <w:rFonts w:hint="eastAsia" w:ascii="仿宋" w:hAnsi="仿宋" w:eastAsia="仿宋"/>
          <w:color w:val="000000"/>
          <w:sz w:val="32"/>
          <w:szCs w:val="32"/>
        </w:rPr>
        <w:t>万元，主要包括：工会经费、福利费等。</w:t>
      </w:r>
    </w:p>
    <w:p>
      <w:pPr>
        <w:spacing w:line="600" w:lineRule="exact"/>
        <w:ind w:firstLine="640"/>
        <w:outlineLvl w:val="1"/>
        <w:rPr>
          <w:rStyle w:val="16"/>
          <w:rFonts w:ascii="黑体" w:hAnsi="黑体" w:eastAsia="黑体"/>
          <w:b w:val="0"/>
        </w:rPr>
      </w:pPr>
      <w:bookmarkStart w:id="67" w:name="_Toc18090"/>
      <w:bookmarkStart w:id="68" w:name="_Toc15377215"/>
      <w:bookmarkStart w:id="69" w:name="_Toc15396609"/>
      <w:r>
        <w:rPr>
          <w:rFonts w:hint="eastAsia" w:ascii="黑体" w:eastAsia="黑体"/>
          <w:color w:val="000000"/>
          <w:sz w:val="32"/>
          <w:szCs w:val="32"/>
        </w:rPr>
        <w:t>七、</w:t>
      </w:r>
      <w:r>
        <w:rPr>
          <w:rStyle w:val="16"/>
          <w:rFonts w:hint="eastAsia" w:ascii="黑体" w:hAnsi="黑体" w:eastAsia="黑体"/>
        </w:rPr>
        <w:t>“</w:t>
      </w:r>
      <w:r>
        <w:rPr>
          <w:rStyle w:val="16"/>
          <w:rFonts w:hint="eastAsia" w:ascii="黑体" w:hAnsi="黑体" w:eastAsia="黑体"/>
          <w:b w:val="0"/>
        </w:rPr>
        <w:t>三公”经费财政拨款支出决算情况说明</w:t>
      </w:r>
      <w:bookmarkEnd w:id="67"/>
      <w:bookmarkEnd w:id="68"/>
      <w:bookmarkEnd w:id="69"/>
    </w:p>
    <w:p>
      <w:pPr>
        <w:spacing w:line="600" w:lineRule="exact"/>
        <w:ind w:firstLine="640"/>
        <w:outlineLvl w:val="2"/>
        <w:rPr>
          <w:rFonts w:ascii="仿宋" w:hAnsi="仿宋" w:eastAsia="仿宋"/>
          <w:b/>
          <w:color w:val="000000"/>
          <w:sz w:val="32"/>
          <w:szCs w:val="32"/>
        </w:rPr>
      </w:pPr>
      <w:bookmarkStart w:id="70" w:name="_Toc15377216"/>
      <w:bookmarkStart w:id="71" w:name="_Toc26822"/>
      <w:bookmarkStart w:id="72" w:name="_Toc25462"/>
      <w:r>
        <w:rPr>
          <w:rFonts w:hint="eastAsia" w:ascii="仿宋" w:hAnsi="仿宋" w:eastAsia="仿宋"/>
          <w:b/>
          <w:color w:val="000000"/>
          <w:sz w:val="32"/>
          <w:szCs w:val="32"/>
        </w:rPr>
        <w:t>（一）“三公”经费财政拨款支出决算总体情况说明</w:t>
      </w:r>
      <w:bookmarkEnd w:id="70"/>
      <w:bookmarkEnd w:id="71"/>
      <w:bookmarkEnd w:id="72"/>
    </w:p>
    <w:p>
      <w:pPr>
        <w:spacing w:line="600" w:lineRule="exact"/>
        <w:ind w:firstLine="640"/>
        <w:rPr>
          <w:rFonts w:hint="default" w:ascii="仿宋" w:hAnsi="仿宋" w:eastAsia="仿宋"/>
          <w:color w:val="000000"/>
          <w:sz w:val="32"/>
          <w:szCs w:val="32"/>
          <w:lang w:val="en-US" w:eastAsia="zh-CN"/>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0万</w:t>
      </w:r>
      <w:r>
        <w:rPr>
          <w:rFonts w:hint="eastAsia" w:ascii="仿宋" w:hAnsi="仿宋" w:eastAsia="仿宋"/>
          <w:color w:val="000000"/>
          <w:sz w:val="32"/>
          <w:szCs w:val="32"/>
        </w:rPr>
        <w:t>元，完成预算</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73" w:name="_Toc26414"/>
      <w:bookmarkStart w:id="74" w:name="_Toc15377217"/>
      <w:bookmarkStart w:id="75" w:name="_Toc8302"/>
      <w:r>
        <w:rPr>
          <w:rFonts w:hint="eastAsia" w:ascii="仿宋" w:hAnsi="仿宋" w:eastAsia="仿宋"/>
          <w:b/>
          <w:color w:val="000000"/>
          <w:sz w:val="32"/>
          <w:szCs w:val="32"/>
        </w:rPr>
        <w:t>（二）“三公”经费财政拨款支出决算具体情况说明</w:t>
      </w:r>
      <w:bookmarkEnd w:id="73"/>
      <w:bookmarkEnd w:id="74"/>
      <w:bookmarkEnd w:id="75"/>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s="仿宋"/>
          <w:b/>
          <w:color w:val="000000"/>
          <w:sz w:val="32"/>
          <w:szCs w:val="32"/>
        </w:rPr>
      </w:pPr>
      <w:r>
        <w:rPr>
          <w:rFonts w:hint="eastAsia" w:ascii="仿宋" w:hAnsi="仿宋" w:eastAsia="仿宋" w:cs="仿宋"/>
          <w:b/>
          <w:color w:val="000000"/>
          <w:sz w:val="32"/>
          <w:szCs w:val="32"/>
        </w:rPr>
        <w:t>1.因公出国（境）经费支出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spacing w:line="600" w:lineRule="exact"/>
        <w:ind w:firstLine="640"/>
        <w:rPr>
          <w:rFonts w:hint="eastAsia" w:ascii="仿宋" w:hAnsi="仿宋" w:eastAsia="仿宋" w:cs="仿宋"/>
          <w:b/>
          <w:color w:val="000000"/>
          <w:sz w:val="32"/>
          <w:szCs w:val="32"/>
        </w:rPr>
      </w:pPr>
      <w:r>
        <w:rPr>
          <w:rFonts w:hint="eastAsia" w:ascii="仿宋" w:hAnsi="仿宋" w:eastAsia="仿宋" w:cs="仿宋"/>
          <w:b/>
          <w:color w:val="000000"/>
          <w:sz w:val="32"/>
          <w:szCs w:val="32"/>
        </w:rPr>
        <w:t>2.公务用车购置及运行维护费支出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spacing w:line="600" w:lineRule="exact"/>
        <w:ind w:firstLine="640"/>
        <w:rPr>
          <w:rFonts w:hint="eastAsia" w:ascii="仿宋" w:hAnsi="仿宋" w:eastAsia="仿宋" w:cs="仿宋"/>
          <w:color w:val="000000"/>
          <w:sz w:val="32"/>
          <w:szCs w:val="32"/>
        </w:rPr>
      </w:pPr>
      <w:r>
        <w:rPr>
          <w:rFonts w:hint="eastAsia" w:ascii="仿宋" w:hAnsi="仿宋" w:eastAsia="仿宋" w:cs="仿宋"/>
          <w:b/>
          <w:color w:val="000000"/>
          <w:sz w:val="32"/>
          <w:szCs w:val="32"/>
        </w:rPr>
        <w:t>3.公务接待费支出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r>
        <w:rPr>
          <w:rStyle w:val="13"/>
          <w:rFonts w:hint="eastAsia" w:ascii="仿宋" w:hAnsi="仿宋" w:eastAsia="仿宋" w:cs="仿宋"/>
          <w:b w:val="0"/>
          <w:bCs/>
          <w:color w:val="000000"/>
          <w:sz w:val="32"/>
          <w:szCs w:val="32"/>
        </w:rPr>
        <w:t>完成预算</w:t>
      </w:r>
      <w:r>
        <w:rPr>
          <w:rStyle w:val="13"/>
          <w:rFonts w:hint="eastAsia" w:ascii="仿宋" w:hAnsi="仿宋" w:eastAsia="仿宋" w:cs="仿宋"/>
          <w:b w:val="0"/>
          <w:bCs/>
          <w:color w:val="000000"/>
          <w:sz w:val="32"/>
          <w:szCs w:val="32"/>
          <w:lang w:val="en-US" w:eastAsia="zh-CN"/>
        </w:rPr>
        <w:t>0</w:t>
      </w:r>
      <w:r>
        <w:rPr>
          <w:rStyle w:val="13"/>
          <w:rFonts w:hint="eastAsia" w:ascii="仿宋" w:hAnsi="仿宋" w:eastAsia="仿宋" w:cs="仿宋"/>
          <w:b w:val="0"/>
          <w:bCs/>
          <w:color w:val="000000"/>
          <w:sz w:val="32"/>
          <w:szCs w:val="32"/>
        </w:rPr>
        <w:t>%。</w:t>
      </w:r>
      <w:r>
        <w:rPr>
          <w:rFonts w:hint="eastAsia" w:ascii="仿宋" w:hAnsi="仿宋" w:eastAsia="仿宋" w:cs="仿宋"/>
          <w:color w:val="000000"/>
          <w:sz w:val="32"/>
          <w:szCs w:val="32"/>
        </w:rPr>
        <w:t>公务接待费支出决算比2019年减少</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万元，下降</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%。其中：</w:t>
      </w:r>
    </w:p>
    <w:p>
      <w:pPr>
        <w:spacing w:line="600" w:lineRule="exact"/>
        <w:ind w:firstLine="640"/>
        <w:rPr>
          <w:rFonts w:hint="eastAsia" w:ascii="仿宋" w:hAnsi="仿宋" w:eastAsia="仿宋" w:cs="仿宋"/>
          <w:color w:val="auto"/>
          <w:sz w:val="32"/>
          <w:szCs w:val="32"/>
        </w:rPr>
      </w:pPr>
      <w:r>
        <w:rPr>
          <w:rFonts w:hint="eastAsia" w:ascii="仿宋" w:hAnsi="仿宋" w:eastAsia="仿宋" w:cs="仿宋"/>
          <w:b/>
          <w:color w:val="000000"/>
          <w:sz w:val="32"/>
          <w:szCs w:val="32"/>
        </w:rPr>
        <w:t>国内公务接待支出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万元，主要用于执行公务、开展业务活动开支的交通费、住宿费、用餐费等。国内公务接待</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批次，</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人次（不包括陪同人员），共计支出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万元，具体内容包括：</w:t>
      </w:r>
      <w:r>
        <w:rPr>
          <w:rFonts w:hint="eastAsia" w:ascii="仿宋" w:hAnsi="仿宋" w:eastAsia="仿宋" w:cs="仿宋"/>
          <w:color w:val="auto"/>
          <w:sz w:val="32"/>
          <w:szCs w:val="32"/>
          <w:lang w:val="en-US" w:eastAsia="zh-CN"/>
        </w:rPr>
        <w:t>用于接待上级领导视察并指导学校发展产生的住宿费、用餐费0万元。</w:t>
      </w:r>
    </w:p>
    <w:p>
      <w:pPr>
        <w:spacing w:line="600" w:lineRule="exact"/>
        <w:ind w:firstLine="640"/>
        <w:outlineLvl w:val="1"/>
        <w:rPr>
          <w:rStyle w:val="16"/>
          <w:rFonts w:ascii="黑体" w:hAnsi="黑体" w:eastAsia="黑体"/>
        </w:rPr>
      </w:pPr>
      <w:bookmarkStart w:id="76" w:name="_Toc15377218"/>
      <w:bookmarkStart w:id="77" w:name="_Toc20766"/>
      <w:bookmarkStart w:id="78" w:name="_Toc15396610"/>
      <w:r>
        <w:rPr>
          <w:rFonts w:hint="eastAsia" w:ascii="黑体" w:eastAsia="黑体"/>
          <w:color w:val="000000"/>
          <w:sz w:val="32"/>
          <w:szCs w:val="32"/>
        </w:rPr>
        <w:t>八、</w:t>
      </w:r>
      <w:r>
        <w:rPr>
          <w:rStyle w:val="16"/>
          <w:rFonts w:hint="eastAsia" w:ascii="黑体" w:hAnsi="黑体" w:eastAsia="黑体"/>
          <w:b w:val="0"/>
        </w:rPr>
        <w:t>政府性基金预算支出决算情况说明</w:t>
      </w:r>
      <w:bookmarkEnd w:id="76"/>
      <w:bookmarkEnd w:id="77"/>
      <w:bookmarkEnd w:id="78"/>
    </w:p>
    <w:p>
      <w:pPr>
        <w:spacing w:line="600" w:lineRule="exact"/>
        <w:ind w:firstLine="640"/>
        <w:rPr>
          <w:rFonts w:ascii="仿宋_GB2312" w:eastAsia="仿宋_GB2312"/>
          <w:color w:val="000000"/>
          <w:sz w:val="32"/>
          <w:szCs w:val="32"/>
        </w:rPr>
      </w:pPr>
      <w:r>
        <w:rPr>
          <w:rFonts w:hint="eastAsia" w:ascii="仿宋" w:hAnsi="仿宋" w:eastAsia="仿宋" w:cs="仿宋"/>
          <w:color w:val="000000"/>
          <w:sz w:val="32"/>
          <w:szCs w:val="32"/>
        </w:rPr>
        <w:t>2020年政府性基金预算拨款支出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numPr>
          <w:ilvl w:val="0"/>
          <w:numId w:val="2"/>
        </w:numPr>
        <w:spacing w:line="600" w:lineRule="exact"/>
        <w:ind w:firstLine="640"/>
        <w:outlineLvl w:val="1"/>
        <w:rPr>
          <w:rStyle w:val="16"/>
          <w:rFonts w:ascii="黑体" w:hAnsi="黑体" w:eastAsia="黑体"/>
          <w:b w:val="0"/>
        </w:rPr>
      </w:pPr>
      <w:bookmarkStart w:id="79" w:name="_Toc15377219"/>
      <w:bookmarkStart w:id="80" w:name="_Toc15396611"/>
      <w:bookmarkStart w:id="81" w:name="_Toc25393"/>
      <w:r>
        <w:rPr>
          <w:rStyle w:val="16"/>
          <w:rFonts w:hint="eastAsia" w:ascii="黑体" w:hAnsi="黑体" w:eastAsia="黑体"/>
          <w:b w:val="0"/>
        </w:rPr>
        <w:t>国有资本经营预算支出决算情况说明</w:t>
      </w:r>
      <w:bookmarkEnd w:id="79"/>
      <w:bookmarkEnd w:id="80"/>
      <w:bookmarkEnd w:id="81"/>
    </w:p>
    <w:p>
      <w:pPr>
        <w:spacing w:line="600" w:lineRule="exact"/>
        <w:ind w:firstLine="640"/>
        <w:rPr>
          <w:rFonts w:ascii="方正小标宋简体" w:hAnsi="方正小标宋简体" w:eastAsia="方正小标宋简体" w:cs="方正小标宋简体"/>
          <w:sz w:val="44"/>
          <w:szCs w:val="44"/>
        </w:rPr>
      </w:pPr>
      <w:r>
        <w:rPr>
          <w:rFonts w:hint="eastAsia" w:ascii="仿宋" w:hAnsi="仿宋" w:eastAsia="仿宋" w:cs="仿宋"/>
          <w:color w:val="000000"/>
          <w:sz w:val="32"/>
          <w:szCs w:val="32"/>
        </w:rPr>
        <w:t>2020年国有资本经营预算拨款支出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spacing w:line="600" w:lineRule="exact"/>
        <w:ind w:firstLine="800" w:firstLineChars="250"/>
        <w:outlineLvl w:val="1"/>
        <w:rPr>
          <w:rStyle w:val="16"/>
          <w:rFonts w:ascii="黑体" w:hAnsi="黑体" w:eastAsia="黑体"/>
        </w:rPr>
      </w:pPr>
      <w:bookmarkStart w:id="82" w:name="_Toc15377221"/>
      <w:bookmarkStart w:id="83" w:name="_Toc28610"/>
      <w:bookmarkStart w:id="84" w:name="_Toc15396612"/>
      <w:r>
        <w:rPr>
          <w:rFonts w:hint="eastAsia" w:ascii="黑体" w:hAnsi="黑体" w:eastAsia="黑体"/>
          <w:color w:val="000000"/>
          <w:sz w:val="32"/>
          <w:szCs w:val="32"/>
        </w:rPr>
        <w:t>十</w:t>
      </w:r>
      <w:r>
        <w:rPr>
          <w:rStyle w:val="16"/>
          <w:rFonts w:hint="eastAsia" w:ascii="黑体" w:hAnsi="黑体" w:eastAsia="黑体"/>
        </w:rPr>
        <w:t>、</w:t>
      </w:r>
      <w:r>
        <w:rPr>
          <w:rStyle w:val="16"/>
          <w:rFonts w:hint="eastAsia" w:ascii="黑体" w:hAnsi="黑体" w:eastAsia="黑体"/>
          <w:b w:val="0"/>
        </w:rPr>
        <w:t>其他重要事项的情况说明</w:t>
      </w:r>
      <w:bookmarkEnd w:id="82"/>
      <w:bookmarkEnd w:id="83"/>
      <w:bookmarkEnd w:id="84"/>
    </w:p>
    <w:p>
      <w:pPr>
        <w:spacing w:line="600" w:lineRule="exact"/>
        <w:ind w:firstLine="643" w:firstLineChars="200"/>
        <w:outlineLvl w:val="2"/>
        <w:rPr>
          <w:rFonts w:ascii="仿宋" w:hAnsi="仿宋" w:eastAsia="仿宋"/>
          <w:color w:val="000000"/>
          <w:sz w:val="32"/>
          <w:szCs w:val="32"/>
        </w:rPr>
      </w:pPr>
      <w:bookmarkStart w:id="85" w:name="_Toc13346"/>
      <w:bookmarkStart w:id="86" w:name="_Toc23902"/>
      <w:bookmarkStart w:id="87" w:name="_Toc15377222"/>
      <w:r>
        <w:rPr>
          <w:rFonts w:hint="eastAsia" w:ascii="仿宋" w:hAnsi="仿宋" w:eastAsia="仿宋"/>
          <w:b/>
          <w:color w:val="000000"/>
          <w:sz w:val="32"/>
          <w:szCs w:val="32"/>
        </w:rPr>
        <w:t>（一）机关运行经费支出情况</w:t>
      </w:r>
      <w:bookmarkEnd w:id="85"/>
      <w:bookmarkEnd w:id="86"/>
      <w:bookmarkEnd w:id="87"/>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2020年，四川省乐山市五通桥区</w:t>
      </w:r>
      <w:r>
        <w:rPr>
          <w:rFonts w:hint="eastAsia" w:ascii="仿宋" w:hAnsi="仿宋" w:eastAsia="仿宋" w:cs="仿宋"/>
          <w:color w:val="000000"/>
          <w:sz w:val="32"/>
          <w:szCs w:val="32"/>
          <w:lang w:eastAsia="zh-CN"/>
        </w:rPr>
        <w:t>牛华镇新云小学</w:t>
      </w:r>
      <w:r>
        <w:rPr>
          <w:rFonts w:hint="eastAsia" w:ascii="仿宋" w:hAnsi="仿宋" w:eastAsia="仿宋" w:cs="仿宋"/>
          <w:color w:val="000000"/>
          <w:sz w:val="32"/>
          <w:szCs w:val="32"/>
        </w:rPr>
        <w:t>运行经费支出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万元，与2019年决算数持平。</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88" w:name="_Toc20858"/>
      <w:bookmarkStart w:id="89" w:name="_Toc15377223"/>
      <w:bookmarkStart w:id="90" w:name="_Toc29901"/>
      <w:r>
        <w:rPr>
          <w:rFonts w:hint="eastAsia" w:ascii="仿宋" w:hAnsi="仿宋" w:eastAsia="仿宋"/>
          <w:b/>
          <w:color w:val="000000"/>
          <w:sz w:val="32"/>
          <w:szCs w:val="32"/>
        </w:rPr>
        <w:t>（二）政府采购支出情况</w:t>
      </w:r>
      <w:bookmarkEnd w:id="88"/>
      <w:bookmarkEnd w:id="89"/>
      <w:bookmarkEnd w:id="90"/>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2020年，四川省乐山市五通桥区</w:t>
      </w:r>
      <w:r>
        <w:rPr>
          <w:rFonts w:hint="eastAsia" w:ascii="仿宋" w:hAnsi="仿宋" w:eastAsia="仿宋" w:cs="仿宋"/>
          <w:color w:val="000000"/>
          <w:sz w:val="32"/>
          <w:szCs w:val="32"/>
          <w:lang w:eastAsia="zh-CN"/>
        </w:rPr>
        <w:t>牛华镇新云小学</w:t>
      </w:r>
      <w:r>
        <w:rPr>
          <w:rFonts w:hint="eastAsia" w:ascii="仿宋" w:hAnsi="仿宋" w:eastAsia="仿宋" w:cs="仿宋"/>
          <w:color w:val="000000"/>
          <w:sz w:val="32"/>
          <w:szCs w:val="32"/>
        </w:rPr>
        <w:t>采购支出总额</w:t>
      </w:r>
      <w:r>
        <w:rPr>
          <w:rFonts w:hint="eastAsia" w:ascii="仿宋" w:hAnsi="仿宋" w:eastAsia="仿宋" w:cs="仿宋"/>
          <w:color w:val="000000"/>
          <w:sz w:val="32"/>
          <w:szCs w:val="32"/>
          <w:lang w:val="en-US" w:eastAsia="zh-CN"/>
        </w:rPr>
        <w:t>5.15</w:t>
      </w:r>
      <w:r>
        <w:rPr>
          <w:rFonts w:hint="eastAsia" w:ascii="仿宋" w:hAnsi="仿宋" w:eastAsia="仿宋" w:cs="仿宋"/>
          <w:color w:val="000000"/>
          <w:sz w:val="32"/>
          <w:szCs w:val="32"/>
        </w:rPr>
        <w:t>万元，其中：政府采购货物支出</w:t>
      </w:r>
      <w:r>
        <w:rPr>
          <w:rFonts w:hint="eastAsia" w:ascii="仿宋" w:hAnsi="仿宋" w:eastAsia="仿宋" w:cs="仿宋"/>
          <w:color w:val="000000"/>
          <w:sz w:val="32"/>
          <w:szCs w:val="32"/>
          <w:lang w:val="en-US" w:eastAsia="zh-CN"/>
        </w:rPr>
        <w:t>5.15</w:t>
      </w:r>
      <w:r>
        <w:rPr>
          <w:rFonts w:hint="eastAsia" w:ascii="仿宋" w:hAnsi="仿宋" w:eastAsia="仿宋" w:cs="仿宋"/>
          <w:color w:val="000000"/>
          <w:sz w:val="32"/>
          <w:szCs w:val="32"/>
        </w:rPr>
        <w:t>万元、政府采购工程支出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万元、政府采购服务支出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万元。主要用于</w:t>
      </w:r>
      <w:r>
        <w:rPr>
          <w:rFonts w:hint="eastAsia" w:ascii="仿宋" w:hAnsi="仿宋" w:eastAsia="仿宋" w:cs="仿宋"/>
          <w:color w:val="000000"/>
          <w:sz w:val="32"/>
          <w:szCs w:val="32"/>
          <w:lang w:val="en-US" w:eastAsia="zh-CN"/>
        </w:rPr>
        <w:t>教师办公桌椅采购</w:t>
      </w:r>
      <w:r>
        <w:rPr>
          <w:rFonts w:hint="eastAsia" w:ascii="仿宋" w:hAnsi="仿宋" w:eastAsia="仿宋" w:cs="仿宋"/>
          <w:color w:val="000000"/>
          <w:sz w:val="32"/>
          <w:szCs w:val="32"/>
        </w:rPr>
        <w:t>。授予中小企业合同金额</w:t>
      </w:r>
      <w:r>
        <w:rPr>
          <w:rFonts w:hint="eastAsia" w:ascii="仿宋" w:hAnsi="仿宋" w:eastAsia="仿宋" w:cs="仿宋"/>
          <w:color w:val="000000"/>
          <w:sz w:val="32"/>
          <w:szCs w:val="32"/>
          <w:lang w:val="en-US" w:eastAsia="zh-CN"/>
        </w:rPr>
        <w:t>5.15</w:t>
      </w:r>
      <w:r>
        <w:rPr>
          <w:rFonts w:hint="eastAsia" w:ascii="仿宋" w:hAnsi="仿宋" w:eastAsia="仿宋" w:cs="仿宋"/>
          <w:color w:val="000000"/>
          <w:sz w:val="32"/>
          <w:szCs w:val="32"/>
        </w:rPr>
        <w:t>万元，占政府采购支出总额的</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%，其中：授予小微企业合同金额</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万元，占政府采购支出总额的</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91" w:name="_Toc15377224"/>
      <w:bookmarkStart w:id="92" w:name="_Toc28062"/>
      <w:bookmarkStart w:id="93" w:name="_Toc32761"/>
      <w:r>
        <w:rPr>
          <w:rFonts w:hint="eastAsia" w:ascii="仿宋" w:hAnsi="仿宋" w:eastAsia="仿宋"/>
          <w:b/>
          <w:color w:val="000000"/>
          <w:sz w:val="32"/>
          <w:szCs w:val="32"/>
        </w:rPr>
        <w:t>（三）国有资产占有使用情况</w:t>
      </w:r>
      <w:bookmarkEnd w:id="91"/>
      <w:bookmarkEnd w:id="92"/>
      <w:bookmarkEnd w:id="93"/>
    </w:p>
    <w:p>
      <w:pPr>
        <w:autoSpaceDE w:val="0"/>
        <w:autoSpaceDN w:val="0"/>
        <w:adjustRightInd w:val="0"/>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截至2020年12月31日，四川省乐山市五通桥区</w:t>
      </w:r>
      <w:r>
        <w:rPr>
          <w:rFonts w:hint="eastAsia" w:ascii="仿宋" w:hAnsi="仿宋" w:eastAsia="仿宋" w:cs="仿宋"/>
          <w:color w:val="000000"/>
          <w:sz w:val="32"/>
          <w:szCs w:val="32"/>
          <w:lang w:eastAsia="zh-CN"/>
        </w:rPr>
        <w:t>牛华镇新云小学</w:t>
      </w:r>
      <w:r>
        <w:rPr>
          <w:rFonts w:hint="eastAsia" w:ascii="仿宋" w:hAnsi="仿宋" w:eastAsia="仿宋" w:cs="仿宋"/>
          <w:color w:val="000000"/>
          <w:sz w:val="32"/>
          <w:szCs w:val="32"/>
        </w:rPr>
        <w:t>共有车辆</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辆。</w:t>
      </w:r>
    </w:p>
    <w:p>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lang w:eastAsia="zh-CN"/>
        </w:rPr>
      </w:pPr>
      <w:bookmarkStart w:id="94" w:name="_Toc20249"/>
      <w:bookmarkStart w:id="95" w:name="_Toc8507"/>
      <w:r>
        <w:rPr>
          <w:rFonts w:hint="eastAsia" w:ascii="仿宋" w:hAnsi="仿宋" w:eastAsia="仿宋"/>
          <w:b/>
          <w:color w:val="000000"/>
          <w:sz w:val="32"/>
          <w:szCs w:val="32"/>
        </w:rPr>
        <w:t>（四）预算绩效管理情况</w:t>
      </w:r>
      <w:bookmarkEnd w:id="94"/>
      <w:bookmarkEnd w:id="95"/>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根据预算绩效管理要求，</w:t>
      </w:r>
      <w:r>
        <w:rPr>
          <w:rFonts w:hint="eastAsia" w:ascii="仿宋" w:hAnsi="仿宋" w:eastAsia="仿宋" w:cs="仿宋"/>
          <w:color w:val="000000" w:themeColor="text1"/>
          <w:sz w:val="32"/>
          <w:szCs w:val="32"/>
          <w:lang w:eastAsia="zh-CN"/>
          <w14:textFill>
            <w14:solidFill>
              <w14:schemeClr w14:val="tx1"/>
            </w14:solidFill>
          </w14:textFill>
        </w:rPr>
        <w:t>乐山市五通桥牛华镇新云小学</w:t>
      </w:r>
      <w:r>
        <w:rPr>
          <w:rFonts w:hint="eastAsia" w:ascii="仿宋" w:hAnsi="仿宋" w:eastAsia="仿宋" w:cs="仿宋"/>
          <w:color w:val="000000" w:themeColor="text1"/>
          <w:sz w:val="32"/>
          <w:szCs w:val="32"/>
          <w14:textFill>
            <w14:solidFill>
              <w14:schemeClr w14:val="tx1"/>
            </w14:solidFill>
          </w14:textFill>
        </w:rPr>
        <w:t>在年初预算编制阶段，组织对教育支出项目开展了预算事前绩效评估，对</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个项目编制了绩效目标，预算执行过程中，选取</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个项目开展绩效监控，年终执行完毕后，对</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个项目开展了绩效目标完成情况自评。</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乐山市五通桥牛华镇新云小学</w:t>
      </w:r>
      <w:r>
        <w:rPr>
          <w:rFonts w:hint="eastAsia" w:ascii="仿宋" w:hAnsi="仿宋" w:eastAsia="仿宋" w:cs="仿宋"/>
          <w:color w:val="000000" w:themeColor="text1"/>
          <w:sz w:val="32"/>
          <w:szCs w:val="32"/>
          <w14:textFill>
            <w14:solidFill>
              <w14:schemeClr w14:val="tx1"/>
            </w14:solidFill>
          </w14:textFill>
        </w:rPr>
        <w:t>按要求对2020年部门整体支出开展绩效自评，</w:t>
      </w:r>
      <w:r>
        <w:rPr>
          <w:rFonts w:hint="eastAsia" w:ascii="仿宋" w:hAnsi="仿宋" w:eastAsia="仿宋" w:cs="仿宋"/>
          <w:color w:val="000000" w:themeColor="text1"/>
          <w:sz w:val="32"/>
          <w:szCs w:val="32"/>
          <w:lang w:eastAsia="zh-CN"/>
          <w14:textFill>
            <w14:solidFill>
              <w14:schemeClr w14:val="tx1"/>
            </w14:solidFill>
          </w14:textFill>
        </w:rPr>
        <w:t>基本完成年初绩效目标</w:t>
      </w:r>
      <w:r>
        <w:rPr>
          <w:rFonts w:hint="eastAsia" w:ascii="仿宋" w:hAnsi="仿宋" w:eastAsia="仿宋" w:cs="仿宋"/>
          <w:color w:val="000000" w:themeColor="text1"/>
          <w:sz w:val="32"/>
          <w:szCs w:val="32"/>
          <w14:textFill>
            <w14:solidFill>
              <w14:schemeClr w14:val="tx1"/>
            </w14:solidFill>
          </w14:textFill>
        </w:rPr>
        <w:t>。本部门还自行组织了</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个项目支出绩效评价，从评价情况来看</w:t>
      </w:r>
      <w:r>
        <w:rPr>
          <w:rFonts w:hint="eastAsia" w:ascii="仿宋" w:hAnsi="仿宋" w:eastAsia="仿宋" w:cs="仿宋"/>
          <w:color w:val="000000" w:themeColor="text1"/>
          <w:sz w:val="32"/>
          <w:szCs w:val="32"/>
          <w:lang w:val="en-US" w:eastAsia="zh-CN"/>
          <w14:textFill>
            <w14:solidFill>
              <w14:schemeClr w14:val="tx1"/>
            </w14:solidFill>
          </w14:textFill>
        </w:rPr>
        <w:t>完成良好</w:t>
      </w:r>
      <w:r>
        <w:rPr>
          <w:rFonts w:hint="eastAsia" w:ascii="仿宋" w:hAnsi="仿宋" w:eastAsia="仿宋" w:cs="仿宋"/>
          <w:color w:val="000000" w:themeColor="text1"/>
          <w:sz w:val="32"/>
          <w:szCs w:val="32"/>
          <w14:textFill>
            <w14:solidFill>
              <w14:schemeClr w14:val="tx1"/>
            </w14:solidFill>
          </w14:textFill>
        </w:rPr>
        <w:t>。</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1.项目绩效目标完成情况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本部门</w:t>
      </w:r>
      <w:r>
        <w:rPr>
          <w:rFonts w:hint="eastAsia" w:ascii="仿宋" w:hAnsi="仿宋" w:eastAsia="仿宋" w:cs="仿宋"/>
          <w:sz w:val="32"/>
          <w:szCs w:val="32"/>
        </w:rPr>
        <w:t>在2020年度部门决算中反映“</w:t>
      </w: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rPr>
        <w:t>”项目绩效目标实际完成情况。</w:t>
      </w:r>
    </w:p>
    <w:p>
      <w:pPr>
        <w:spacing w:line="58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rPr>
        <w:t>项目绩效目标完成情况综述。</w:t>
      </w: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rPr>
        <w:t>项目全年预算数</w:t>
      </w:r>
      <w:r>
        <w:rPr>
          <w:rFonts w:hint="eastAsia" w:ascii="仿宋" w:hAnsi="仿宋" w:eastAsia="仿宋"/>
          <w:color w:val="000000"/>
          <w:sz w:val="32"/>
          <w:szCs w:val="32"/>
          <w:lang w:val="en-US" w:eastAsia="zh-CN"/>
        </w:rPr>
        <w:t>12.45</w:t>
      </w:r>
      <w:r>
        <w:rPr>
          <w:rFonts w:hint="eastAsia" w:ascii="仿宋" w:hAnsi="仿宋" w:eastAsia="仿宋" w:cs="仿宋"/>
          <w:sz w:val="32"/>
          <w:szCs w:val="32"/>
        </w:rPr>
        <w:t>万元，执行数为</w:t>
      </w:r>
      <w:r>
        <w:rPr>
          <w:rFonts w:hint="eastAsia" w:ascii="仿宋" w:hAnsi="仿宋" w:eastAsia="仿宋"/>
          <w:color w:val="000000"/>
          <w:sz w:val="32"/>
          <w:szCs w:val="32"/>
          <w:lang w:val="en-US" w:eastAsia="zh-CN"/>
        </w:rPr>
        <w:t>12.45</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%。通过项目实施，保障</w:t>
      </w:r>
      <w:r>
        <w:rPr>
          <w:rFonts w:hint="eastAsia" w:ascii="仿宋" w:hAnsi="仿宋" w:eastAsia="仿宋" w:cs="仿宋"/>
          <w:color w:val="000000"/>
          <w:sz w:val="32"/>
          <w:szCs w:val="32"/>
          <w:lang w:val="en-US" w:eastAsia="zh-CN"/>
        </w:rPr>
        <w:t>学校正常运转。</w:t>
      </w:r>
    </w:p>
    <w:tbl>
      <w:tblPr>
        <w:tblStyle w:val="11"/>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88"/>
        <w:gridCol w:w="969"/>
        <w:gridCol w:w="1617"/>
        <w:gridCol w:w="2087"/>
        <w:gridCol w:w="2107"/>
        <w:gridCol w:w="2392"/>
      </w:tblGrid>
      <w:tr>
        <w:tblPrEx>
          <w:tblCellMar>
            <w:top w:w="0" w:type="dxa"/>
            <w:left w:w="0" w:type="dxa"/>
            <w:bottom w:w="0" w:type="dxa"/>
            <w:right w:w="0" w:type="dxa"/>
          </w:tblCellMar>
        </w:tblPrEx>
        <w:trPr>
          <w:trHeight w:val="1308"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36"/>
                <w:szCs w:val="36"/>
                <w:lang w:eastAsia="zh-CN" w:bidi="ar"/>
              </w:rPr>
            </w:pPr>
            <w:r>
              <w:rPr>
                <w:rFonts w:hint="eastAsia" w:ascii="宋体" w:hAnsi="宋体" w:cs="宋体"/>
                <w:b/>
                <w:bCs/>
                <w:color w:val="000000"/>
                <w:kern w:val="0"/>
                <w:sz w:val="36"/>
                <w:szCs w:val="36"/>
                <w:lang w:bidi="ar"/>
              </w:rPr>
              <w:t>项目绩效目标完成情况表</w:t>
            </w:r>
          </w:p>
          <w:p>
            <w:pPr>
              <w:widowControl/>
              <w:jc w:val="center"/>
              <w:textAlignment w:val="center"/>
              <w:rPr>
                <w:rFonts w:ascii="宋体" w:cs="宋体"/>
                <w:color w:val="000000"/>
                <w:sz w:val="36"/>
                <w:szCs w:val="36"/>
              </w:rPr>
            </w:pP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302" w:hRule="atLeast"/>
          <w:jc w:val="center"/>
        </w:trPr>
        <w:tc>
          <w:tcPr>
            <w:tcW w:w="33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项目名称</w:t>
            </w:r>
          </w:p>
        </w:tc>
        <w:tc>
          <w:tcPr>
            <w:tcW w:w="65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sz w:val="32"/>
                <w:szCs w:val="32"/>
                <w:highlight w:val="none"/>
                <w:lang w:val="en-US" w:eastAsia="zh-CN"/>
              </w:rPr>
              <w:t>生均公用经费</w:t>
            </w:r>
          </w:p>
        </w:tc>
      </w:tr>
      <w:tr>
        <w:tblPrEx>
          <w:tblCellMar>
            <w:top w:w="0" w:type="dxa"/>
            <w:left w:w="0" w:type="dxa"/>
            <w:bottom w:w="0" w:type="dxa"/>
            <w:right w:w="0" w:type="dxa"/>
          </w:tblCellMar>
        </w:tblPrEx>
        <w:trPr>
          <w:trHeight w:val="453" w:hRule="atLeast"/>
          <w:jc w:val="center"/>
        </w:trPr>
        <w:tc>
          <w:tcPr>
            <w:tcW w:w="33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预算单位</w:t>
            </w:r>
          </w:p>
        </w:tc>
        <w:tc>
          <w:tcPr>
            <w:tcW w:w="65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sz w:val="32"/>
                <w:szCs w:val="32"/>
              </w:rPr>
              <w:t>四川省乐山市五通桥区</w:t>
            </w:r>
            <w:r>
              <w:rPr>
                <w:rFonts w:hint="eastAsia" w:ascii="仿宋" w:hAnsi="仿宋" w:eastAsia="仿宋" w:cs="仿宋"/>
                <w:sz w:val="32"/>
                <w:szCs w:val="32"/>
                <w:lang w:eastAsia="zh-CN"/>
              </w:rPr>
              <w:t>牛华镇新云小学</w:t>
            </w:r>
          </w:p>
        </w:tc>
      </w:tr>
      <w:tr>
        <w:tblPrEx>
          <w:tblCellMar>
            <w:top w:w="0" w:type="dxa"/>
            <w:left w:w="0" w:type="dxa"/>
            <w:bottom w:w="0" w:type="dxa"/>
            <w:right w:w="0" w:type="dxa"/>
          </w:tblCellMar>
        </w:tblPrEx>
        <w:trPr>
          <w:trHeight w:val="606"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预算执行情况(万元)</w:t>
            </w:r>
          </w:p>
        </w:tc>
        <w:tc>
          <w:tcPr>
            <w:tcW w:w="25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预算数:</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32"/>
                <w:szCs w:val="32"/>
                <w:lang w:eastAsia="zh-CN"/>
              </w:rPr>
            </w:pPr>
            <w:r>
              <w:rPr>
                <w:rFonts w:hint="eastAsia" w:ascii="仿宋" w:hAnsi="仿宋" w:eastAsia="仿宋"/>
                <w:color w:val="000000"/>
                <w:sz w:val="32"/>
                <w:szCs w:val="32"/>
                <w:lang w:val="en-US" w:eastAsia="zh-CN"/>
              </w:rPr>
              <w:t>12.45</w:t>
            </w:r>
          </w:p>
        </w:tc>
        <w:tc>
          <w:tcPr>
            <w:tcW w:w="2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000000"/>
                <w:sz w:val="32"/>
                <w:szCs w:val="32"/>
                <w:lang w:eastAsia="zh-CN"/>
              </w:rPr>
            </w:pPr>
            <w:r>
              <w:rPr>
                <w:rFonts w:hint="eastAsia" w:ascii="仿宋" w:hAnsi="仿宋" w:eastAsia="仿宋"/>
                <w:color w:val="000000"/>
                <w:sz w:val="32"/>
                <w:szCs w:val="32"/>
                <w:lang w:val="en-US" w:eastAsia="zh-CN"/>
              </w:rPr>
              <w:t>12.45</w:t>
            </w:r>
          </w:p>
        </w:tc>
      </w:tr>
      <w:tr>
        <w:tblPrEx>
          <w:tblCellMar>
            <w:top w:w="0" w:type="dxa"/>
            <w:left w:w="0" w:type="dxa"/>
            <w:bottom w:w="0" w:type="dxa"/>
            <w:right w:w="0" w:type="dxa"/>
          </w:tblCellMar>
        </w:tblPrEx>
        <w:trPr>
          <w:trHeight w:val="545"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rPr>
            </w:pPr>
          </w:p>
        </w:tc>
        <w:tc>
          <w:tcPr>
            <w:tcW w:w="25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其中-财政拨款:</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32"/>
                <w:szCs w:val="32"/>
                <w:lang w:eastAsia="zh-CN"/>
              </w:rPr>
            </w:pPr>
            <w:r>
              <w:rPr>
                <w:rFonts w:hint="eastAsia" w:ascii="仿宋" w:hAnsi="仿宋" w:eastAsia="仿宋"/>
                <w:color w:val="000000"/>
                <w:sz w:val="32"/>
                <w:szCs w:val="32"/>
                <w:lang w:val="en-US" w:eastAsia="zh-CN"/>
              </w:rPr>
              <w:t>12.45</w:t>
            </w:r>
          </w:p>
        </w:tc>
        <w:tc>
          <w:tcPr>
            <w:tcW w:w="2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olor w:val="000000"/>
                <w:sz w:val="32"/>
                <w:szCs w:val="32"/>
                <w:lang w:val="en-US" w:eastAsia="zh-CN"/>
              </w:rPr>
              <w:t>12.45</w:t>
            </w:r>
          </w:p>
        </w:tc>
      </w:tr>
      <w:tr>
        <w:tblPrEx>
          <w:tblCellMar>
            <w:top w:w="0" w:type="dxa"/>
            <w:left w:w="0" w:type="dxa"/>
            <w:bottom w:w="0" w:type="dxa"/>
            <w:right w:w="0" w:type="dxa"/>
          </w:tblCellMar>
        </w:tblPrEx>
        <w:trPr>
          <w:trHeight w:val="102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rPr>
            </w:pPr>
          </w:p>
        </w:tc>
        <w:tc>
          <w:tcPr>
            <w:tcW w:w="25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其它资金:</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2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r>
      <w:tr>
        <w:tblPrEx>
          <w:tblCellMar>
            <w:top w:w="0" w:type="dxa"/>
            <w:left w:w="0" w:type="dxa"/>
            <w:bottom w:w="0" w:type="dxa"/>
            <w:right w:w="0" w:type="dxa"/>
          </w:tblCellMar>
        </w:tblPrEx>
        <w:trPr>
          <w:trHeight w:val="613"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年度目标完成情况</w:t>
            </w:r>
          </w:p>
        </w:tc>
        <w:tc>
          <w:tcPr>
            <w:tcW w:w="467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预期目标</w:t>
            </w:r>
          </w:p>
        </w:tc>
        <w:tc>
          <w:tcPr>
            <w:tcW w:w="44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实际完成目标</w:t>
            </w:r>
          </w:p>
        </w:tc>
      </w:tr>
      <w:tr>
        <w:tblPrEx>
          <w:tblCellMar>
            <w:top w:w="0" w:type="dxa"/>
            <w:left w:w="0" w:type="dxa"/>
            <w:bottom w:w="0" w:type="dxa"/>
            <w:right w:w="0" w:type="dxa"/>
          </w:tblCellMar>
        </w:tblPrEx>
        <w:trPr>
          <w:trHeight w:val="149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rPr>
            </w:pPr>
          </w:p>
        </w:tc>
        <w:tc>
          <w:tcPr>
            <w:tcW w:w="467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预计投入</w:t>
            </w:r>
            <w:r>
              <w:rPr>
                <w:rFonts w:hint="eastAsia" w:ascii="仿宋" w:hAnsi="仿宋" w:eastAsia="仿宋"/>
                <w:color w:val="000000"/>
                <w:sz w:val="32"/>
                <w:szCs w:val="32"/>
                <w:lang w:val="en-US" w:eastAsia="zh-CN"/>
              </w:rPr>
              <w:t>12.45</w:t>
            </w:r>
            <w:r>
              <w:rPr>
                <w:rFonts w:hint="eastAsia" w:ascii="仿宋" w:hAnsi="仿宋" w:eastAsia="仿宋" w:cs="仿宋"/>
                <w:color w:val="000000"/>
                <w:sz w:val="32"/>
                <w:szCs w:val="32"/>
                <w:lang w:val="en-US" w:eastAsia="zh-CN"/>
              </w:rPr>
              <w:t>万，涉及1个项目，按时完成学校正常教育教学任务</w:t>
            </w:r>
          </w:p>
        </w:tc>
        <w:tc>
          <w:tcPr>
            <w:tcW w:w="44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全年执行</w:t>
            </w:r>
            <w:r>
              <w:rPr>
                <w:rFonts w:hint="eastAsia" w:ascii="仿宋" w:hAnsi="仿宋" w:eastAsia="仿宋"/>
                <w:color w:val="000000"/>
                <w:sz w:val="32"/>
                <w:szCs w:val="32"/>
                <w:lang w:val="en-US" w:eastAsia="zh-CN"/>
              </w:rPr>
              <w:t>12.45</w:t>
            </w:r>
            <w:r>
              <w:rPr>
                <w:rFonts w:hint="eastAsia" w:ascii="仿宋" w:hAnsi="仿宋" w:eastAsia="仿宋" w:cs="仿宋"/>
                <w:color w:val="000000"/>
                <w:sz w:val="32"/>
                <w:szCs w:val="32"/>
                <w:lang w:val="en-US" w:eastAsia="zh-CN"/>
              </w:rPr>
              <w:t>万，涉及1个项目，顺利完成教育教学任务，学校办学条件有所提升。</w:t>
            </w:r>
          </w:p>
        </w:tc>
      </w:tr>
      <w:tr>
        <w:tblPrEx>
          <w:tblCellMar>
            <w:top w:w="0" w:type="dxa"/>
            <w:left w:w="0" w:type="dxa"/>
            <w:bottom w:w="0" w:type="dxa"/>
            <w:right w:w="0" w:type="dxa"/>
          </w:tblCellMar>
        </w:tblPrEx>
        <w:trPr>
          <w:trHeight w:val="1406" w:hRule="atLeast"/>
          <w:jc w:val="center"/>
        </w:trPr>
        <w:tc>
          <w:tcPr>
            <w:tcW w:w="78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绩效指标完成情况</w:t>
            </w: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一级指标</w:t>
            </w:r>
          </w:p>
        </w:tc>
        <w:tc>
          <w:tcPr>
            <w:tcW w:w="1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kern w:val="0"/>
                <w:sz w:val="32"/>
                <w:szCs w:val="32"/>
                <w:lang w:bidi="ar"/>
              </w:rPr>
              <w:t>二级指标</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三级指标</w:t>
            </w:r>
          </w:p>
        </w:tc>
        <w:tc>
          <w:tcPr>
            <w:tcW w:w="2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实际完成指标值(包含数字及文字描述)</w:t>
            </w:r>
          </w:p>
        </w:tc>
      </w:tr>
      <w:tr>
        <w:tblPrEx>
          <w:tblCellMar>
            <w:top w:w="0" w:type="dxa"/>
            <w:left w:w="0" w:type="dxa"/>
            <w:bottom w:w="0" w:type="dxa"/>
            <w:right w:w="0" w:type="dxa"/>
          </w:tblCellMar>
        </w:tblPrEx>
        <w:trPr>
          <w:trHeight w:val="698"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产出指标</w:t>
            </w:r>
          </w:p>
        </w:tc>
        <w:tc>
          <w:tcPr>
            <w:tcW w:w="1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数量</w:t>
            </w:r>
            <w:r>
              <w:rPr>
                <w:rFonts w:hint="eastAsia" w:ascii="仿宋" w:hAnsi="仿宋" w:eastAsia="仿宋" w:cs="仿宋"/>
                <w:color w:val="000000"/>
                <w:sz w:val="32"/>
                <w:szCs w:val="32"/>
              </w:rPr>
              <w:t>指标</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在校学生人数</w:t>
            </w:r>
          </w:p>
        </w:tc>
        <w:tc>
          <w:tcPr>
            <w:tcW w:w="2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144</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144</w:t>
            </w:r>
          </w:p>
        </w:tc>
      </w:tr>
      <w:tr>
        <w:tblPrEx>
          <w:tblCellMar>
            <w:top w:w="0" w:type="dxa"/>
            <w:left w:w="0" w:type="dxa"/>
            <w:bottom w:w="0" w:type="dxa"/>
            <w:right w:w="0" w:type="dxa"/>
          </w:tblCellMar>
        </w:tblPrEx>
        <w:trPr>
          <w:trHeight w:val="885"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1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成本指标</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项目预算成本</w:t>
            </w:r>
          </w:p>
        </w:tc>
        <w:tc>
          <w:tcPr>
            <w:tcW w:w="2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12.45</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960" w:firstLineChars="300"/>
              <w:jc w:val="both"/>
              <w:textAlignment w:val="center"/>
              <w:rPr>
                <w:rFonts w:hint="eastAsia"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12.45</w:t>
            </w:r>
          </w:p>
        </w:tc>
      </w:tr>
      <w:tr>
        <w:tblPrEx>
          <w:tblCellMar>
            <w:top w:w="0" w:type="dxa"/>
            <w:left w:w="0" w:type="dxa"/>
            <w:bottom w:w="0" w:type="dxa"/>
            <w:right w:w="0" w:type="dxa"/>
          </w:tblCellMar>
        </w:tblPrEx>
        <w:trPr>
          <w:trHeight w:val="703"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1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质量</w:t>
            </w:r>
            <w:r>
              <w:rPr>
                <w:rFonts w:hint="eastAsia" w:ascii="仿宋" w:hAnsi="仿宋" w:eastAsia="仿宋" w:cs="仿宋"/>
                <w:color w:val="000000"/>
                <w:sz w:val="32"/>
                <w:szCs w:val="32"/>
              </w:rPr>
              <w:t>指标</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校园安全率</w:t>
            </w:r>
          </w:p>
        </w:tc>
        <w:tc>
          <w:tcPr>
            <w:tcW w:w="2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100%</w:t>
            </w:r>
          </w:p>
        </w:tc>
      </w:tr>
      <w:tr>
        <w:tblPrEx>
          <w:tblCellMar>
            <w:top w:w="0" w:type="dxa"/>
            <w:left w:w="0" w:type="dxa"/>
            <w:bottom w:w="0" w:type="dxa"/>
            <w:right w:w="0" w:type="dxa"/>
          </w:tblCellMar>
        </w:tblPrEx>
        <w:trPr>
          <w:trHeight w:val="661"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1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质量</w:t>
            </w:r>
            <w:r>
              <w:rPr>
                <w:rFonts w:hint="eastAsia" w:ascii="仿宋" w:hAnsi="仿宋" w:eastAsia="仿宋" w:cs="仿宋"/>
                <w:color w:val="000000"/>
                <w:sz w:val="32"/>
                <w:szCs w:val="32"/>
              </w:rPr>
              <w:t>指标</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教师师资力量</w:t>
            </w:r>
          </w:p>
        </w:tc>
        <w:tc>
          <w:tcPr>
            <w:tcW w:w="2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持续提升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持续提升</w:t>
            </w:r>
          </w:p>
        </w:tc>
      </w:tr>
      <w:tr>
        <w:tblPrEx>
          <w:tblCellMar>
            <w:top w:w="0" w:type="dxa"/>
            <w:left w:w="0" w:type="dxa"/>
            <w:bottom w:w="0" w:type="dxa"/>
            <w:right w:w="0" w:type="dxa"/>
          </w:tblCellMar>
        </w:tblPrEx>
        <w:trPr>
          <w:trHeight w:val="1591"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32"/>
                <w:szCs w:val="32"/>
                <w:lang w:bidi="ar"/>
              </w:rPr>
            </w:pPr>
          </w:p>
        </w:tc>
        <w:tc>
          <w:tcPr>
            <w:tcW w:w="1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时效指标</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项目完成是否在计划时间内</w:t>
            </w:r>
          </w:p>
        </w:tc>
        <w:tc>
          <w:tcPr>
            <w:tcW w:w="2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是</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是</w:t>
            </w:r>
          </w:p>
        </w:tc>
      </w:tr>
      <w:tr>
        <w:tblPrEx>
          <w:tblCellMar>
            <w:top w:w="0" w:type="dxa"/>
            <w:left w:w="0" w:type="dxa"/>
            <w:bottom w:w="0" w:type="dxa"/>
            <w:right w:w="0" w:type="dxa"/>
          </w:tblCellMar>
        </w:tblPrEx>
        <w:trPr>
          <w:trHeight w:val="1042"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效益指标</w:t>
            </w:r>
          </w:p>
        </w:tc>
        <w:tc>
          <w:tcPr>
            <w:tcW w:w="1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可持续影响</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是否能带来有力可持续影响</w:t>
            </w:r>
          </w:p>
        </w:tc>
        <w:tc>
          <w:tcPr>
            <w:tcW w:w="2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是</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是</w:t>
            </w:r>
          </w:p>
        </w:tc>
      </w:tr>
      <w:tr>
        <w:tblPrEx>
          <w:tblCellMar>
            <w:top w:w="0" w:type="dxa"/>
            <w:left w:w="0" w:type="dxa"/>
            <w:bottom w:w="0" w:type="dxa"/>
            <w:right w:w="0" w:type="dxa"/>
          </w:tblCellMar>
        </w:tblPrEx>
        <w:trPr>
          <w:trHeight w:val="1050" w:hRule="atLeast"/>
          <w:jc w:val="center"/>
        </w:trPr>
        <w:tc>
          <w:tcPr>
            <w:tcW w:w="78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满意度指标</w:t>
            </w:r>
          </w:p>
        </w:tc>
        <w:tc>
          <w:tcPr>
            <w:tcW w:w="1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满意度指标</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学生家长满意度</w:t>
            </w:r>
          </w:p>
        </w:tc>
        <w:tc>
          <w:tcPr>
            <w:tcW w:w="2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100%</w:t>
            </w:r>
          </w:p>
        </w:tc>
      </w:tr>
    </w:tbl>
    <w:p>
      <w:pPr>
        <w:spacing w:line="580" w:lineRule="exact"/>
        <w:ind w:left="630"/>
        <w:rPr>
          <w:rFonts w:hint="eastAsia" w:ascii="仿宋" w:hAnsi="仿宋" w:eastAsia="仿宋" w:cs="仿宋"/>
          <w:sz w:val="32"/>
          <w:szCs w:val="32"/>
        </w:rPr>
      </w:pPr>
    </w:p>
    <w:p>
      <w:pPr>
        <w:spacing w:line="580" w:lineRule="exact"/>
        <w:ind w:left="630"/>
        <w:rPr>
          <w:rFonts w:hint="eastAsia" w:ascii="仿宋" w:hAnsi="仿宋" w:eastAsia="仿宋" w:cs="仿宋"/>
          <w:sz w:val="32"/>
          <w:szCs w:val="32"/>
        </w:rPr>
      </w:pPr>
    </w:p>
    <w:p>
      <w:pPr>
        <w:spacing w:line="580" w:lineRule="exact"/>
        <w:ind w:left="630"/>
        <w:rPr>
          <w:rFonts w:hint="eastAsia" w:ascii="仿宋" w:hAnsi="仿宋" w:eastAsia="仿宋" w:cs="仿宋"/>
          <w:sz w:val="32"/>
          <w:szCs w:val="32"/>
        </w:rPr>
      </w:pPr>
    </w:p>
    <w:p>
      <w:pPr>
        <w:spacing w:line="580" w:lineRule="exact"/>
        <w:ind w:left="630"/>
        <w:rPr>
          <w:rFonts w:hint="eastAsia" w:ascii="仿宋" w:hAnsi="仿宋" w:eastAsia="仿宋" w:cs="仿宋"/>
          <w:sz w:val="32"/>
          <w:szCs w:val="32"/>
        </w:rPr>
      </w:pPr>
    </w:p>
    <w:p>
      <w:pPr>
        <w:spacing w:line="580" w:lineRule="exact"/>
        <w:ind w:left="630"/>
        <w:rPr>
          <w:rFonts w:hint="eastAsia" w:ascii="仿宋" w:hAnsi="仿宋" w:eastAsia="仿宋" w:cs="仿宋"/>
          <w:sz w:val="32"/>
          <w:szCs w:val="32"/>
        </w:rPr>
      </w:pPr>
      <w:r>
        <w:rPr>
          <w:rFonts w:hint="eastAsia" w:ascii="仿宋" w:hAnsi="仿宋" w:eastAsia="仿宋" w:cs="仿宋"/>
          <w:sz w:val="32"/>
          <w:szCs w:val="32"/>
        </w:rPr>
        <w:t>2.部门绩效评价结果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本部门按要求对2020年部门整体支出绩效评价情况开展自评，《乐山市五通桥区</w:t>
      </w:r>
      <w:r>
        <w:rPr>
          <w:rFonts w:hint="eastAsia" w:ascii="仿宋" w:hAnsi="仿宋" w:eastAsia="仿宋" w:cs="仿宋"/>
          <w:sz w:val="32"/>
          <w:szCs w:val="32"/>
          <w:lang w:eastAsia="zh-CN"/>
        </w:rPr>
        <w:t>牛华镇新云小学</w:t>
      </w:r>
      <w:r>
        <w:rPr>
          <w:rFonts w:hint="eastAsia" w:ascii="仿宋" w:hAnsi="仿宋" w:eastAsia="仿宋" w:cs="仿宋"/>
          <w:sz w:val="32"/>
          <w:szCs w:val="32"/>
        </w:rPr>
        <w:t>部门2020年部门整体支出绩效评价报告》见附件（附件1）。</w:t>
      </w:r>
    </w:p>
    <w:p>
      <w:pPr>
        <w:spacing w:line="580" w:lineRule="exact"/>
        <w:ind w:firstLine="640" w:firstLineChars="200"/>
        <w:rPr>
          <w:rFonts w:hint="eastAsia" w:ascii="仿宋" w:hAnsi="仿宋" w:eastAsia="仿宋" w:cs="仿宋"/>
          <w:b/>
          <w:color w:val="000000"/>
          <w:sz w:val="32"/>
          <w:szCs w:val="32"/>
        </w:rPr>
      </w:pPr>
      <w:r>
        <w:rPr>
          <w:rFonts w:hint="eastAsia" w:ascii="仿宋" w:hAnsi="仿宋" w:eastAsia="仿宋" w:cs="仿宋"/>
          <w:sz w:val="32"/>
          <w:szCs w:val="32"/>
        </w:rPr>
        <w:t>本部门自行组织对</w:t>
      </w: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rPr>
        <w:t>项目开展了绩效评价，《</w:t>
      </w: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rPr>
        <w:t>项目2020年绩效评价报告》见附件（附件2）。</w:t>
      </w: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outlineLvl w:val="9"/>
        <w:rPr>
          <w:rFonts w:ascii="仿宋_GB2312" w:eastAsia="仿宋_GB2312"/>
          <w:b/>
          <w:color w:val="000000"/>
          <w:sz w:val="32"/>
          <w:szCs w:val="32"/>
        </w:rPr>
      </w:pPr>
    </w:p>
    <w:p>
      <w:pPr>
        <w:widowControl/>
        <w:jc w:val="left"/>
        <w:outlineLvl w:val="9"/>
        <w:rPr>
          <w:rFonts w:ascii="仿宋_GB2312" w:eastAsia="仿宋_GB2312"/>
          <w:b/>
          <w:color w:val="000000"/>
          <w:sz w:val="32"/>
          <w:szCs w:val="32"/>
        </w:rPr>
      </w:pPr>
    </w:p>
    <w:p>
      <w:pPr>
        <w:widowControl/>
        <w:jc w:val="left"/>
        <w:outlineLvl w:val="9"/>
        <w:rPr>
          <w:rFonts w:ascii="仿宋_GB2312" w:eastAsia="仿宋_GB2312"/>
          <w:b/>
          <w:color w:val="000000"/>
          <w:sz w:val="32"/>
          <w:szCs w:val="32"/>
        </w:rPr>
      </w:pPr>
    </w:p>
    <w:p>
      <w:pPr>
        <w:widowControl/>
        <w:jc w:val="left"/>
        <w:outlineLvl w:val="9"/>
        <w:rPr>
          <w:rFonts w:ascii="仿宋_GB2312" w:eastAsia="仿宋_GB2312"/>
          <w:b/>
          <w:color w:val="000000"/>
          <w:sz w:val="32"/>
          <w:szCs w:val="32"/>
        </w:rPr>
      </w:pPr>
    </w:p>
    <w:p>
      <w:pPr>
        <w:widowControl/>
        <w:jc w:val="left"/>
        <w:outlineLvl w:val="9"/>
        <w:rPr>
          <w:rFonts w:ascii="仿宋_GB2312" w:eastAsia="仿宋_GB2312"/>
          <w:b/>
          <w:color w:val="000000"/>
          <w:sz w:val="32"/>
          <w:szCs w:val="32"/>
        </w:rPr>
      </w:pPr>
    </w:p>
    <w:p>
      <w:pPr>
        <w:numPr>
          <w:ilvl w:val="0"/>
          <w:numId w:val="3"/>
        </w:numPr>
        <w:spacing w:line="600" w:lineRule="exact"/>
        <w:ind w:firstLine="660" w:firstLineChars="150"/>
        <w:jc w:val="center"/>
        <w:outlineLvl w:val="0"/>
        <w:rPr>
          <w:rStyle w:val="15"/>
          <w:rFonts w:ascii="黑体" w:hAnsi="黑体" w:eastAsia="黑体"/>
          <w:b w:val="0"/>
        </w:rPr>
      </w:pPr>
      <w:bookmarkStart w:id="96" w:name="_Toc18253"/>
      <w:bookmarkStart w:id="97" w:name="_Toc15377225"/>
      <w:bookmarkStart w:id="98" w:name="_Toc15396613"/>
      <w:r>
        <w:rPr>
          <w:rFonts w:hint="eastAsia" w:ascii="黑体" w:hAnsi="黑体" w:eastAsia="黑体"/>
          <w:color w:val="000000"/>
          <w:sz w:val="44"/>
          <w:szCs w:val="44"/>
        </w:rPr>
        <w:t>名</w:t>
      </w:r>
      <w:r>
        <w:rPr>
          <w:rStyle w:val="15"/>
          <w:rFonts w:hint="eastAsia" w:ascii="黑体" w:hAnsi="黑体" w:eastAsia="黑体"/>
          <w:b w:val="0"/>
        </w:rPr>
        <w:t>词解释</w:t>
      </w:r>
      <w:bookmarkEnd w:id="96"/>
      <w:bookmarkEnd w:id="97"/>
      <w:bookmarkEnd w:id="98"/>
    </w:p>
    <w:p>
      <w:pPr>
        <w:spacing w:line="600" w:lineRule="exact"/>
        <w:jc w:val="left"/>
        <w:rPr>
          <w:rFonts w:ascii="宋体"/>
          <w:b/>
          <w:color w:val="000000"/>
          <w:sz w:val="44"/>
          <w:szCs w:val="44"/>
        </w:rPr>
      </w:pPr>
    </w:p>
    <w:p>
      <w:pPr>
        <w:pStyle w:val="18"/>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1.财政拨款收入：指单位从同级财政部门取得的财政预算资金。</w:t>
      </w:r>
    </w:p>
    <w:p>
      <w:pPr>
        <w:pStyle w:val="18"/>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2</w:t>
      </w:r>
      <w:r>
        <w:rPr>
          <w:rFonts w:hint="eastAsia" w:ascii="仿宋" w:hAnsi="仿宋" w:eastAsia="仿宋" w:cs="仿宋"/>
          <w:sz w:val="32"/>
          <w:szCs w:val="32"/>
        </w:rPr>
        <w:t>.其他收入：指单位取得的除上述收入以外的各项收入。主要是</w:t>
      </w:r>
      <w:r>
        <w:rPr>
          <w:rFonts w:hint="eastAsia" w:ascii="仿宋" w:hAnsi="仿宋" w:eastAsia="仿宋" w:cs="仿宋"/>
          <w:sz w:val="32"/>
          <w:szCs w:val="32"/>
          <w:lang w:val="en-US" w:eastAsia="zh-CN"/>
        </w:rPr>
        <w:t>利息收入</w:t>
      </w:r>
      <w:r>
        <w:rPr>
          <w:rFonts w:hint="eastAsia" w:ascii="仿宋" w:hAnsi="仿宋" w:eastAsia="仿宋" w:cs="仿宋"/>
          <w:sz w:val="32"/>
          <w:szCs w:val="32"/>
        </w:rPr>
        <w:t xml:space="preserve">等。 </w:t>
      </w:r>
    </w:p>
    <w:p>
      <w:pPr>
        <w:pStyle w:val="18"/>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3</w:t>
      </w:r>
      <w:r>
        <w:rPr>
          <w:rFonts w:hint="eastAsia" w:ascii="仿宋" w:hAnsi="仿宋" w:eastAsia="仿宋" w:cs="仿宋"/>
          <w:sz w:val="32"/>
          <w:szCs w:val="32"/>
        </w:rPr>
        <w:t xml:space="preserve">.使用非财政拨款结余：指事业单位使用以前年度积累的非财政拨款结余弥补当年收支差额的金额。 </w:t>
      </w:r>
    </w:p>
    <w:p>
      <w:pPr>
        <w:pStyle w:val="18"/>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4</w:t>
      </w:r>
      <w:r>
        <w:rPr>
          <w:rFonts w:hint="eastAsia" w:ascii="仿宋" w:hAnsi="仿宋" w:eastAsia="仿宋" w:cs="仿宋"/>
          <w:sz w:val="32"/>
          <w:szCs w:val="32"/>
        </w:rPr>
        <w:t xml:space="preserve">.年初结转和结余：指以前年度尚未完成、结转到本年按有关规定继续使用的资金。 </w:t>
      </w:r>
    </w:p>
    <w:p>
      <w:pPr>
        <w:pStyle w:val="18"/>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5</w:t>
      </w:r>
      <w:r>
        <w:rPr>
          <w:rFonts w:hint="eastAsia" w:ascii="仿宋" w:hAnsi="仿宋" w:eastAsia="仿宋" w:cs="仿宋"/>
          <w:sz w:val="32"/>
          <w:szCs w:val="32"/>
        </w:rPr>
        <w:t>.结余分配：指事业单位按照会计制度规定缴纳的所得税、提取的专用结余以及转入非财政拨款结余的金额等。</w:t>
      </w:r>
    </w:p>
    <w:p>
      <w:pPr>
        <w:pStyle w:val="18"/>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6</w:t>
      </w:r>
      <w:r>
        <w:rPr>
          <w:rFonts w:hint="eastAsia" w:ascii="仿宋" w:hAnsi="仿宋" w:eastAsia="仿宋" w:cs="仿宋"/>
          <w:sz w:val="32"/>
          <w:szCs w:val="32"/>
        </w:rPr>
        <w:t>、年末结转和结余：指单位按有关规定结转到下年或以后年度继续使用的资金。</w:t>
      </w:r>
    </w:p>
    <w:p>
      <w:pPr>
        <w:ind w:firstLine="640" w:firstLineChars="200"/>
        <w:rPr>
          <w:rFonts w:hint="eastAsia" w:ascii="仿宋" w:hAnsi="仿宋" w:eastAsia="仿宋" w:cs="仿宋"/>
          <w:b w:val="0"/>
          <w:bCs w:val="0"/>
          <w:color w:val="000000"/>
          <w:sz w:val="32"/>
          <w:szCs w:val="32"/>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w:t>
      </w:r>
      <w:r>
        <w:rPr>
          <w:rFonts w:hint="eastAsia" w:ascii="仿宋" w:hAnsi="仿宋" w:eastAsia="仿宋" w:cs="仿宋"/>
          <w:b w:val="0"/>
          <w:bCs w:val="0"/>
          <w:color w:val="000000"/>
          <w:sz w:val="32"/>
          <w:szCs w:val="32"/>
        </w:rPr>
        <w:t>教育（类）普通教育（款）学前教育（项）：指反映各部门举办的学前教育支出。</w:t>
      </w:r>
    </w:p>
    <w:p>
      <w:pPr>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pacing w:val="0"/>
          <w:w w:val="100"/>
          <w:position w:val="0"/>
          <w:sz w:val="32"/>
          <w:szCs w:val="32"/>
          <w:lang w:val="en-US" w:eastAsia="zh-CN"/>
        </w:rPr>
        <w:t>8.</w:t>
      </w:r>
      <w:r>
        <w:rPr>
          <w:rFonts w:hint="eastAsia" w:ascii="仿宋" w:hAnsi="仿宋" w:eastAsia="仿宋" w:cs="仿宋"/>
          <w:b w:val="0"/>
          <w:bCs w:val="0"/>
          <w:color w:val="000000"/>
          <w:sz w:val="32"/>
          <w:szCs w:val="32"/>
        </w:rPr>
        <w:t>教育（类）普通教育（款）小学教育（项）：指反映各部门举办的小学教育支出。政府各部门对社会中介 组织等举办的小学的资助，如各类捐赠、补贴等，也在本科 目中反映。</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.社会保障和就业支出（类）行政事业单位养老支出（款）机关事业单位基本养老保险缴费支出（项）：指反映机关事业单位实施养老保险制度由单位缴纳的基本老保险费支出。</w:t>
      </w:r>
    </w:p>
    <w:p>
      <w:pPr>
        <w:ind w:firstLine="640" w:firstLineChars="200"/>
        <w:rPr>
          <w:rFonts w:hint="eastAsia" w:ascii="仿宋" w:hAnsi="仿宋" w:eastAsia="仿宋" w:cs="仿宋"/>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 w:hAnsi="仿宋" w:eastAsia="仿宋" w:cs="仿宋"/>
          <w:color w:val="000000"/>
          <w:sz w:val="32"/>
          <w:szCs w:val="32"/>
        </w:rPr>
        <w:t>社会保障和就业支出（类）行政事业单位养老支出（款）机关事业单位职业年金缴费支出（项）：指反映机关事业单位实施养老保险制度由单位实际缴纳的业年金支出。</w:t>
      </w:r>
    </w:p>
    <w:p>
      <w:pPr>
        <w:ind w:firstLine="640" w:firstLineChars="200"/>
        <w:rPr>
          <w:rFonts w:hint="eastAsia" w:ascii="仿宋" w:hAnsi="仿宋" w:eastAsia="仿宋" w:cs="仿宋"/>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 w:hAnsi="仿宋" w:eastAsia="仿宋" w:cs="仿宋"/>
          <w:color w:val="000000"/>
          <w:sz w:val="32"/>
          <w:szCs w:val="32"/>
        </w:rPr>
        <w:t>社会保障和就业支出（类）行政事业单位养老支出（款）其他行政事业单位养老支出（项）：指反映除上述项目以外其他用于行政事业单位养老方面的支出。</w:t>
      </w:r>
    </w:p>
    <w:p>
      <w:pPr>
        <w:ind w:firstLine="640" w:firstLineChars="200"/>
        <w:rPr>
          <w:rFonts w:hint="eastAsia" w:ascii="仿宋" w:hAnsi="仿宋" w:eastAsia="仿宋" w:cs="仿宋"/>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 w:hAnsi="仿宋" w:eastAsia="仿宋" w:cs="仿宋"/>
          <w:color w:val="000000"/>
          <w:sz w:val="32"/>
          <w:szCs w:val="32"/>
        </w:rPr>
        <w:t>卫生健康支出（类）行政事业单位医疗（款）事业单位医疗（项）：指反映财政部门安排的事业单位基本医疗保险缴费经费，未 参加医疗保险的事业单位的公费医疗经费，按国家规定享受 离休人员待遇的医疗经费。</w:t>
      </w:r>
    </w:p>
    <w:p>
      <w:pPr>
        <w:ind w:firstLine="640" w:firstLineChars="200"/>
        <w:rPr>
          <w:rFonts w:hint="eastAsia" w:ascii="仿宋" w:hAnsi="仿宋" w:eastAsia="仿宋" w:cs="仿宋"/>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 w:hAnsi="仿宋" w:eastAsia="仿宋" w:cs="仿宋"/>
          <w:color w:val="000000"/>
          <w:sz w:val="32"/>
          <w:szCs w:val="32"/>
        </w:rPr>
        <w:t>住房保障支出（类）住房改革支出（款）住房公积金（项）：指反映行政事业单位按人力资源和社会保障部、财政部规定 的基本工资和津贴补贴以及规定比例为职工缴纳的住房公 积金。</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.基本支出：指为保障机构正常运转、完成日常工作任务而发生的人员支出和公用支出。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rPr>
        <w:t xml:space="preserve">.项目支出：指在基本支出之外为完成特定行政任务和事业发展目标所发生的支出。 </w:t>
      </w:r>
    </w:p>
    <w:p>
      <w:pPr>
        <w:pStyle w:val="18"/>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16</w:t>
      </w:r>
      <w:r>
        <w:rPr>
          <w:rFonts w:hint="eastAsia" w:ascii="仿宋" w:hAnsi="仿宋" w:eastAsia="仿宋"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bookmarkStart w:id="99" w:name="_Toc15396614"/>
      <w:bookmarkStart w:id="100" w:name="_Toc15377226"/>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center"/>
        <w:outlineLvl w:val="0"/>
        <w:rPr>
          <w:rStyle w:val="15"/>
          <w:rFonts w:ascii="黑体" w:hAnsi="黑体" w:eastAsia="黑体"/>
          <w:b w:val="0"/>
        </w:rPr>
      </w:pPr>
      <w:bookmarkStart w:id="101" w:name="_Toc3493"/>
      <w:r>
        <w:rPr>
          <w:rFonts w:hint="eastAsia" w:ascii="黑体" w:hAnsi="黑体" w:eastAsia="黑体"/>
          <w:color w:val="000000"/>
          <w:sz w:val="44"/>
          <w:szCs w:val="44"/>
        </w:rPr>
        <w:t>第</w:t>
      </w:r>
      <w:r>
        <w:rPr>
          <w:rStyle w:val="15"/>
          <w:rFonts w:hint="eastAsia" w:ascii="黑体" w:hAnsi="黑体" w:eastAsia="黑体"/>
          <w:b w:val="0"/>
        </w:rPr>
        <w:t>四部分</w:t>
      </w:r>
      <w:r>
        <w:rPr>
          <w:rStyle w:val="15"/>
          <w:rFonts w:ascii="黑体" w:hAnsi="黑体" w:eastAsia="黑体"/>
          <w:b w:val="0"/>
        </w:rPr>
        <w:t xml:space="preserve"> </w:t>
      </w:r>
      <w:r>
        <w:rPr>
          <w:rStyle w:val="15"/>
          <w:rFonts w:hint="eastAsia" w:ascii="黑体" w:hAnsi="黑体" w:eastAsia="黑体"/>
          <w:b w:val="0"/>
        </w:rPr>
        <w:t>附件</w:t>
      </w:r>
      <w:bookmarkEnd w:id="99"/>
      <w:bookmarkEnd w:id="101"/>
    </w:p>
    <w:p>
      <w:pPr>
        <w:spacing w:line="600" w:lineRule="exact"/>
        <w:jc w:val="left"/>
        <w:outlineLvl w:val="0"/>
        <w:rPr>
          <w:rFonts w:ascii="方正小标宋简体" w:hAnsi="方正小标宋简体" w:eastAsia="方正小标宋简体" w:cs="方正小标宋简体"/>
          <w:sz w:val="32"/>
          <w:szCs w:val="32"/>
        </w:rPr>
      </w:pPr>
      <w:bookmarkStart w:id="102" w:name="_Toc20147"/>
      <w:r>
        <w:rPr>
          <w:rFonts w:hint="eastAsia" w:ascii="黑体" w:hAnsi="黑体" w:eastAsia="黑体" w:cs="黑体"/>
          <w:sz w:val="32"/>
          <w:szCs w:val="32"/>
        </w:rPr>
        <w:t>附件</w:t>
      </w:r>
      <w:r>
        <w:rPr>
          <w:rFonts w:ascii="黑体" w:hAnsi="黑体" w:eastAsia="黑体" w:cs="黑体"/>
          <w:sz w:val="32"/>
          <w:szCs w:val="32"/>
        </w:rPr>
        <w:t>1</w:t>
      </w:r>
      <w:bookmarkEnd w:id="102"/>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s="Times New Roman"/>
          <w:color w:val="000000"/>
          <w:kern w:val="0"/>
          <w:sz w:val="40"/>
          <w:szCs w:val="44"/>
          <w:lang w:eastAsia="zh-CN"/>
        </w:rPr>
      </w:pPr>
      <w:r>
        <w:rPr>
          <w:rFonts w:hint="eastAsia" w:ascii="方正小标宋简体" w:hAnsi="宋体" w:eastAsia="方正小标宋简体"/>
          <w:color w:val="000000"/>
          <w:kern w:val="0"/>
          <w:sz w:val="40"/>
          <w:szCs w:val="44"/>
        </w:rPr>
        <w:t>四川省</w:t>
      </w:r>
      <w:r>
        <w:rPr>
          <w:rFonts w:hint="eastAsia" w:ascii="方正小标宋简体" w:hAnsi="宋体" w:eastAsia="方正小标宋简体" w:cs="Times New Roman"/>
          <w:color w:val="000000"/>
          <w:kern w:val="0"/>
          <w:sz w:val="40"/>
          <w:szCs w:val="44"/>
        </w:rPr>
        <w:t>乐山市五通桥区</w:t>
      </w:r>
      <w:r>
        <w:rPr>
          <w:rFonts w:hint="eastAsia" w:ascii="方正小标宋简体" w:hAnsi="宋体" w:eastAsia="方正小标宋简体" w:cs="Times New Roman"/>
          <w:color w:val="000000"/>
          <w:kern w:val="0"/>
          <w:sz w:val="40"/>
          <w:szCs w:val="44"/>
          <w:lang w:eastAsia="zh-CN"/>
        </w:rPr>
        <w:t>牛华镇新云小学</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（一）机构组成</w:t>
      </w:r>
    </w:p>
    <w:p>
      <w:pPr>
        <w:widowControl/>
        <w:numPr>
          <w:ilvl w:val="0"/>
          <w:numId w:val="0"/>
        </w:numPr>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sz w:val="32"/>
          <w:szCs w:val="32"/>
          <w:lang w:eastAsia="zh-CN"/>
        </w:rPr>
        <w:t>乐山市五通桥区牛华镇新云小学</w:t>
      </w:r>
      <w:r>
        <w:rPr>
          <w:rFonts w:hint="eastAsia" w:ascii="仿宋" w:hAnsi="仿宋" w:eastAsia="仿宋" w:cs="仿宋"/>
          <w:sz w:val="32"/>
          <w:szCs w:val="32"/>
        </w:rPr>
        <w:t>一级预算单位，无下属二级单位。</w:t>
      </w:r>
    </w:p>
    <w:p>
      <w:pPr>
        <w:widowControl/>
        <w:numPr>
          <w:ilvl w:val="0"/>
          <w:numId w:val="4"/>
        </w:numPr>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机构职能</w:t>
      </w:r>
    </w:p>
    <w:p>
      <w:pPr>
        <w:ind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乐山市五通桥区牛华镇新云小学</w:t>
      </w:r>
      <w:r>
        <w:rPr>
          <w:rFonts w:hint="eastAsia" w:ascii="仿宋" w:hAnsi="仿宋" w:eastAsia="仿宋" w:cs="仿宋"/>
          <w:sz w:val="32"/>
          <w:szCs w:val="32"/>
        </w:rPr>
        <w:t>其主要职能是实施小学义务教育,促进基础教育发展。小学学历教育。认真贯彻执行党的路线、方针、政策和上级领导部门及学校党委、行政的各项指示、决定</w:t>
      </w:r>
      <w:r>
        <w:rPr>
          <w:rFonts w:hint="eastAsia" w:ascii="仿宋" w:hAnsi="仿宋" w:eastAsia="仿宋" w:cs="仿宋"/>
          <w:sz w:val="32"/>
          <w:szCs w:val="32"/>
          <w:lang w:eastAsia="zh-CN"/>
        </w:rPr>
        <w:t>。</w:t>
      </w:r>
    </w:p>
    <w:p>
      <w:pPr>
        <w:widowControl/>
        <w:numPr>
          <w:ilvl w:val="0"/>
          <w:numId w:val="4"/>
        </w:numPr>
        <w:adjustRightInd w:val="0"/>
        <w:snapToGrid w:val="0"/>
        <w:spacing w:line="580" w:lineRule="exact"/>
        <w:ind w:left="0" w:leftChars="0"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人员概况</w:t>
      </w:r>
    </w:p>
    <w:p>
      <w:pPr>
        <w:widowControl/>
        <w:numPr>
          <w:ilvl w:val="0"/>
          <w:numId w:val="0"/>
        </w:numPr>
        <w:adjustRightInd w:val="0"/>
        <w:snapToGrid w:val="0"/>
        <w:spacing w:line="580" w:lineRule="exact"/>
        <w:ind w:firstLine="640" w:firstLineChars="200"/>
        <w:contextualSpacing/>
        <w:jc w:val="left"/>
        <w:rPr>
          <w:rFonts w:hint="eastAsia" w:ascii="仿宋" w:hAnsi="仿宋" w:eastAsia="仿宋" w:cs="仿宋"/>
          <w:sz w:val="32"/>
          <w:szCs w:val="32"/>
          <w:lang w:val="zh-CN"/>
        </w:rPr>
      </w:pPr>
      <w:r>
        <w:rPr>
          <w:rFonts w:hint="eastAsia" w:ascii="仿宋" w:hAnsi="仿宋" w:eastAsia="仿宋" w:cs="仿宋"/>
          <w:color w:val="000000"/>
          <w:kern w:val="0"/>
          <w:sz w:val="32"/>
          <w:szCs w:val="32"/>
          <w:shd w:val="clear" w:color="auto" w:fill="FFFFFF"/>
          <w:lang w:val="en-US" w:eastAsia="zh-CN"/>
        </w:rPr>
        <w:t xml:space="preserve"> </w:t>
      </w:r>
      <w:r>
        <w:rPr>
          <w:rFonts w:hint="eastAsia" w:ascii="仿宋" w:hAnsi="仿宋" w:eastAsia="仿宋" w:cs="仿宋"/>
          <w:sz w:val="32"/>
          <w:szCs w:val="32"/>
          <w:lang w:eastAsia="zh-CN"/>
        </w:rPr>
        <w:t>乐山市五通桥区牛华镇新云小学</w:t>
      </w:r>
      <w:r>
        <w:rPr>
          <w:rFonts w:hint="eastAsia" w:ascii="仿宋" w:hAnsi="仿宋" w:eastAsia="仿宋" w:cs="仿宋"/>
          <w:sz w:val="32"/>
          <w:szCs w:val="32"/>
          <w:lang w:val="en-US" w:eastAsia="zh-CN"/>
        </w:rPr>
        <w:t>年末在职人数24人</w:t>
      </w:r>
      <w:r>
        <w:rPr>
          <w:rFonts w:hint="eastAsia" w:ascii="仿宋" w:hAnsi="仿宋" w:eastAsia="仿宋" w:cs="仿宋"/>
          <w:sz w:val="32"/>
          <w:szCs w:val="32"/>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en-US"/>
        </w:rPr>
      </w:pPr>
      <w:r>
        <w:rPr>
          <w:rFonts w:ascii="仿宋" w:hAnsi="仿宋" w:eastAsia="仿宋"/>
          <w:color w:val="000000"/>
          <w:sz w:val="32"/>
          <w:szCs w:val="32"/>
        </w:rPr>
        <w:t>2020</w:t>
      </w:r>
      <w:r>
        <w:rPr>
          <w:rFonts w:hint="eastAsia" w:ascii="仿宋" w:hAnsi="仿宋" w:eastAsia="仿宋"/>
          <w:color w:val="000000"/>
          <w:sz w:val="32"/>
          <w:szCs w:val="32"/>
        </w:rPr>
        <w:t>年财政拨款收</w:t>
      </w:r>
      <w:r>
        <w:rPr>
          <w:rFonts w:hint="eastAsia" w:ascii="仿宋" w:hAnsi="仿宋" w:eastAsia="仿宋"/>
          <w:color w:val="000000"/>
          <w:sz w:val="32"/>
          <w:szCs w:val="32"/>
          <w:lang w:val="en-US" w:eastAsia="zh-CN"/>
        </w:rPr>
        <w:t>入363.68万元，</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年相比，财政拨款</w:t>
      </w:r>
      <w:r>
        <w:rPr>
          <w:rFonts w:hint="eastAsia" w:ascii="仿宋" w:hAnsi="仿宋" w:eastAsia="仿宋"/>
          <w:color w:val="000000"/>
          <w:sz w:val="32"/>
          <w:szCs w:val="32"/>
          <w:lang w:val="en-US" w:eastAsia="zh-CN"/>
        </w:rPr>
        <w:t>收入</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13.55万元，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3.87</w:t>
      </w:r>
      <w:r>
        <w:rPr>
          <w:rFonts w:ascii="仿宋" w:hAnsi="仿宋" w:eastAsia="仿宋"/>
          <w:color w:val="000000"/>
          <w:sz w:val="32"/>
          <w:szCs w:val="32"/>
        </w:rPr>
        <w:t>%</w:t>
      </w:r>
      <w:r>
        <w:rPr>
          <w:rFonts w:hint="eastAsia" w:ascii="仿宋" w:hAnsi="仿宋" w:eastAsia="仿宋"/>
          <w:color w:val="000000" w:themeColor="text1"/>
          <w:sz w:val="32"/>
          <w:szCs w:val="32"/>
          <w:lang w:val="en-US" w:eastAsia="zh-CN"/>
          <w14:textFill>
            <w14:solidFill>
              <w14:schemeClr w14:val="tx1"/>
            </w14:solidFill>
          </w14:textFill>
        </w:rPr>
        <w:t>。</w:t>
      </w:r>
    </w:p>
    <w:p>
      <w:pPr>
        <w:widowControl/>
        <w:numPr>
          <w:ilvl w:val="0"/>
          <w:numId w:val="5"/>
        </w:numPr>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部门财政资金支出情况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基本支出</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20</w:t>
      </w:r>
      <w:r>
        <w:rPr>
          <w:rFonts w:hint="eastAsia" w:ascii="仿宋" w:hAnsi="仿宋" w:eastAsia="仿宋" w:cs="仿宋"/>
          <w:i w:val="0"/>
          <w:iCs w:val="0"/>
          <w:caps w:val="0"/>
          <w:color w:val="333333"/>
          <w:spacing w:val="0"/>
          <w:sz w:val="32"/>
          <w:szCs w:val="32"/>
          <w:lang w:val="en-US" w:eastAsia="zh-CN"/>
        </w:rPr>
        <w:t>20</w:t>
      </w:r>
      <w:r>
        <w:rPr>
          <w:rFonts w:hint="eastAsia" w:ascii="仿宋" w:hAnsi="仿宋" w:eastAsia="仿宋" w:cs="仿宋"/>
          <w:i w:val="0"/>
          <w:iCs w:val="0"/>
          <w:caps w:val="0"/>
          <w:color w:val="333333"/>
          <w:spacing w:val="0"/>
          <w:sz w:val="32"/>
          <w:szCs w:val="32"/>
        </w:rPr>
        <w:t>年1</w:t>
      </w:r>
      <w:r>
        <w:rPr>
          <w:rFonts w:hint="eastAsia" w:ascii="仿宋" w:hAnsi="仿宋" w:eastAsia="仿宋" w:cs="仿宋"/>
          <w:i w:val="0"/>
          <w:iCs w:val="0"/>
          <w:caps w:val="0"/>
          <w:color w:val="333333"/>
          <w:spacing w:val="0"/>
          <w:sz w:val="32"/>
          <w:szCs w:val="32"/>
          <w:lang w:val="en-US" w:eastAsia="zh-CN"/>
        </w:rPr>
        <w:t>2</w:t>
      </w:r>
      <w:r>
        <w:rPr>
          <w:rFonts w:hint="eastAsia" w:ascii="仿宋" w:hAnsi="仿宋" w:eastAsia="仿宋" w:cs="仿宋"/>
          <w:i w:val="0"/>
          <w:iCs w:val="0"/>
          <w:caps w:val="0"/>
          <w:color w:val="333333"/>
          <w:spacing w:val="0"/>
          <w:sz w:val="32"/>
          <w:szCs w:val="32"/>
        </w:rPr>
        <w:t>月止基本支出</w:t>
      </w:r>
      <w:r>
        <w:rPr>
          <w:rFonts w:hint="eastAsia" w:ascii="仿宋" w:hAnsi="仿宋" w:eastAsia="仿宋"/>
          <w:color w:val="000000"/>
          <w:sz w:val="32"/>
          <w:szCs w:val="32"/>
          <w:lang w:val="en-US" w:eastAsia="zh-CN"/>
        </w:rPr>
        <w:t>348.23</w:t>
      </w:r>
      <w:r>
        <w:rPr>
          <w:rFonts w:hint="eastAsia" w:ascii="仿宋" w:hAnsi="仿宋" w:eastAsia="仿宋" w:cs="仿宋"/>
          <w:i w:val="0"/>
          <w:iCs w:val="0"/>
          <w:caps w:val="0"/>
          <w:color w:val="333333"/>
          <w:spacing w:val="0"/>
          <w:sz w:val="32"/>
          <w:szCs w:val="32"/>
        </w:rPr>
        <w:t>万元，其中：人员经费支出</w:t>
      </w:r>
      <w:r>
        <w:rPr>
          <w:rFonts w:hint="eastAsia" w:ascii="仿宋" w:hAnsi="仿宋" w:eastAsia="仿宋"/>
          <w:color w:val="000000"/>
          <w:sz w:val="32"/>
          <w:szCs w:val="32"/>
          <w:lang w:val="en-US" w:eastAsia="zh-CN"/>
        </w:rPr>
        <w:t>338.69</w:t>
      </w:r>
      <w:r>
        <w:rPr>
          <w:rFonts w:hint="eastAsia" w:ascii="仿宋" w:hAnsi="仿宋" w:eastAsia="仿宋" w:cs="仿宋"/>
          <w:i w:val="0"/>
          <w:iCs w:val="0"/>
          <w:caps w:val="0"/>
          <w:color w:val="333333"/>
          <w:spacing w:val="0"/>
          <w:sz w:val="32"/>
          <w:szCs w:val="32"/>
        </w:rPr>
        <w:t>万元、商品和服务支出</w:t>
      </w:r>
      <w:r>
        <w:rPr>
          <w:rFonts w:hint="eastAsia" w:ascii="仿宋" w:hAnsi="仿宋" w:eastAsia="仿宋"/>
          <w:color w:val="000000"/>
          <w:sz w:val="32"/>
          <w:szCs w:val="32"/>
          <w:lang w:val="en-US" w:eastAsia="zh-CN"/>
        </w:rPr>
        <w:t>9.54</w:t>
      </w:r>
      <w:r>
        <w:rPr>
          <w:rFonts w:hint="eastAsia" w:ascii="仿宋" w:hAnsi="仿宋" w:eastAsia="仿宋" w:cs="仿宋"/>
          <w:i w:val="0"/>
          <w:iCs w:val="0"/>
          <w:caps w:val="0"/>
          <w:color w:val="333333"/>
          <w:spacing w:val="0"/>
          <w:sz w:val="32"/>
          <w:szCs w:val="32"/>
        </w:rPr>
        <w:t>万元（</w:t>
      </w:r>
      <w:r>
        <w:rPr>
          <w:rFonts w:hint="eastAsia" w:ascii="仿宋" w:hAnsi="仿宋" w:eastAsia="仿宋" w:cs="仿宋"/>
          <w:i w:val="0"/>
          <w:iCs w:val="0"/>
          <w:caps w:val="0"/>
          <w:color w:val="333333"/>
          <w:spacing w:val="0"/>
          <w:sz w:val="32"/>
          <w:szCs w:val="32"/>
          <w:lang w:eastAsia="zh-CN"/>
        </w:rPr>
        <w:t>工会经费</w:t>
      </w:r>
      <w:r>
        <w:rPr>
          <w:rFonts w:hint="eastAsia" w:ascii="仿宋" w:hAnsi="仿宋" w:eastAsia="仿宋" w:cs="仿宋"/>
          <w:i w:val="0"/>
          <w:iCs w:val="0"/>
          <w:caps w:val="0"/>
          <w:color w:val="333333"/>
          <w:spacing w:val="0"/>
          <w:sz w:val="32"/>
          <w:szCs w:val="32"/>
        </w:rPr>
        <w:t>、</w:t>
      </w:r>
      <w:r>
        <w:rPr>
          <w:rFonts w:hint="eastAsia" w:ascii="仿宋" w:hAnsi="仿宋" w:eastAsia="仿宋" w:cs="仿宋"/>
          <w:i w:val="0"/>
          <w:iCs w:val="0"/>
          <w:caps w:val="0"/>
          <w:color w:val="333333"/>
          <w:spacing w:val="0"/>
          <w:sz w:val="32"/>
          <w:szCs w:val="32"/>
          <w:lang w:eastAsia="zh-CN"/>
        </w:rPr>
        <w:t>福利费</w:t>
      </w:r>
      <w:r>
        <w:rPr>
          <w:rFonts w:hint="eastAsia" w:ascii="仿宋" w:hAnsi="仿宋" w:eastAsia="仿宋" w:cs="仿宋"/>
          <w:i w:val="0"/>
          <w:iCs w:val="0"/>
          <w:caps w:val="0"/>
          <w:color w:val="333333"/>
          <w:spacing w:val="0"/>
          <w:sz w:val="32"/>
          <w:szCs w:val="32"/>
        </w:rPr>
        <w:t>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仿宋" w:hAnsi="仿宋" w:eastAsia="仿宋" w:cs="仿宋"/>
          <w:i w:val="0"/>
          <w:iCs w:val="0"/>
          <w:caps w:val="0"/>
          <w:color w:val="333333"/>
          <w:spacing w:val="0"/>
          <w:sz w:val="32"/>
          <w:szCs w:val="32"/>
          <w:lang w:val="zh-CN" w:eastAsia="zh-CN"/>
        </w:rPr>
      </w:pPr>
      <w:r>
        <w:rPr>
          <w:rFonts w:hint="eastAsia" w:ascii="仿宋" w:hAnsi="仿宋" w:eastAsia="仿宋" w:cs="仿宋"/>
          <w:i w:val="0"/>
          <w:iCs w:val="0"/>
          <w:caps w:val="0"/>
          <w:color w:val="333333"/>
          <w:spacing w:val="0"/>
          <w:sz w:val="32"/>
          <w:szCs w:val="32"/>
        </w:rPr>
        <w:t>专项支出</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本年下拨专项资金</w:t>
      </w:r>
      <w:r>
        <w:rPr>
          <w:rFonts w:hint="eastAsia" w:ascii="仿宋" w:hAnsi="仿宋" w:eastAsia="仿宋" w:cs="仿宋"/>
          <w:i w:val="0"/>
          <w:iCs w:val="0"/>
          <w:caps w:val="0"/>
          <w:color w:val="333333"/>
          <w:spacing w:val="0"/>
          <w:sz w:val="32"/>
          <w:szCs w:val="32"/>
          <w:lang w:val="en-US" w:eastAsia="zh-CN"/>
        </w:rPr>
        <w:t>15.45</w:t>
      </w:r>
      <w:r>
        <w:rPr>
          <w:rFonts w:hint="eastAsia" w:ascii="仿宋" w:hAnsi="仿宋" w:eastAsia="仿宋" w:cs="仿宋"/>
          <w:i w:val="0"/>
          <w:iCs w:val="0"/>
          <w:caps w:val="0"/>
          <w:color w:val="333333"/>
          <w:spacing w:val="0"/>
          <w:sz w:val="32"/>
          <w:szCs w:val="32"/>
        </w:rPr>
        <w:t>万元，专项资金实行“专人管理、专线使用、专账核算”，按照《专项资金使用办法》、《专项资金管理制度》、《财务管理制度》等制度，该资金用于</w:t>
      </w:r>
      <w:r>
        <w:rPr>
          <w:rFonts w:hint="eastAsia" w:ascii="仿宋" w:hAnsi="仿宋" w:eastAsia="仿宋" w:cs="仿宋"/>
          <w:i w:val="0"/>
          <w:iCs w:val="0"/>
          <w:caps w:val="0"/>
          <w:color w:val="333333"/>
          <w:spacing w:val="0"/>
          <w:sz w:val="32"/>
          <w:szCs w:val="32"/>
          <w:lang w:eastAsia="zh-CN"/>
        </w:rPr>
        <w:t>学校正常运行</w:t>
      </w:r>
      <w:r>
        <w:rPr>
          <w:rFonts w:hint="eastAsia" w:ascii="仿宋" w:hAnsi="仿宋" w:eastAsia="仿宋" w:cs="仿宋"/>
          <w:i w:val="0"/>
          <w:iCs w:val="0"/>
          <w:caps w:val="0"/>
          <w:color w:val="333333"/>
          <w:spacing w:val="0"/>
          <w:sz w:val="32"/>
          <w:szCs w:val="32"/>
        </w:rPr>
        <w:t>。共投入资金</w:t>
      </w:r>
      <w:r>
        <w:rPr>
          <w:rFonts w:hint="eastAsia" w:ascii="仿宋" w:hAnsi="仿宋" w:eastAsia="仿宋" w:cs="仿宋"/>
          <w:i w:val="0"/>
          <w:iCs w:val="0"/>
          <w:caps w:val="0"/>
          <w:color w:val="333333"/>
          <w:spacing w:val="0"/>
          <w:sz w:val="32"/>
          <w:szCs w:val="32"/>
          <w:lang w:val="en-US" w:eastAsia="zh-CN"/>
        </w:rPr>
        <w:t>15.45</w:t>
      </w:r>
      <w:r>
        <w:rPr>
          <w:rFonts w:hint="eastAsia" w:ascii="仿宋" w:hAnsi="仿宋" w:eastAsia="仿宋" w:cs="仿宋"/>
          <w:i w:val="0"/>
          <w:iCs w:val="0"/>
          <w:caps w:val="0"/>
          <w:color w:val="333333"/>
          <w:spacing w:val="0"/>
          <w:sz w:val="32"/>
          <w:szCs w:val="32"/>
        </w:rPr>
        <w:t>万元</w:t>
      </w:r>
      <w:r>
        <w:rPr>
          <w:rFonts w:hint="eastAsia" w:ascii="仿宋" w:hAnsi="仿宋" w:eastAsia="仿宋" w:cs="仿宋"/>
          <w:i w:val="0"/>
          <w:iCs w:val="0"/>
          <w:caps w:val="0"/>
          <w:color w:val="333333"/>
          <w:spacing w:val="0"/>
          <w:sz w:val="32"/>
          <w:szCs w:val="32"/>
          <w:lang w:eastAsia="zh-CN"/>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eastAsia="仿宋" w:cs="Times New Roman"/>
          <w:i w:val="0"/>
          <w:iCs w:val="0"/>
          <w:caps w:val="0"/>
          <w:color w:val="333333"/>
          <w:spacing w:val="0"/>
          <w:sz w:val="21"/>
          <w:szCs w:val="21"/>
          <w:highlight w:val="none"/>
          <w:lang w:val="en-US" w:eastAsia="zh-CN"/>
        </w:rPr>
      </w:pPr>
      <w:r>
        <w:rPr>
          <w:rFonts w:hint="eastAsia" w:ascii="仿宋" w:hAnsi="仿宋" w:eastAsia="仿宋" w:cs="仿宋"/>
          <w:i w:val="0"/>
          <w:iCs w:val="0"/>
          <w:caps w:val="0"/>
          <w:color w:val="333333"/>
          <w:spacing w:val="0"/>
          <w:sz w:val="32"/>
          <w:szCs w:val="32"/>
        </w:rPr>
        <w:t>（一）</w:t>
      </w:r>
      <w:r>
        <w:rPr>
          <w:rFonts w:hint="eastAsia" w:ascii="仿宋" w:hAnsi="仿宋" w:eastAsia="仿宋" w:cs="仿宋"/>
          <w:i w:val="0"/>
          <w:iCs w:val="0"/>
          <w:caps w:val="0"/>
          <w:color w:val="333333"/>
          <w:spacing w:val="0"/>
          <w:sz w:val="32"/>
          <w:szCs w:val="32"/>
          <w:highlight w:val="none"/>
          <w:lang w:val="en-US" w:eastAsia="zh-CN"/>
        </w:rPr>
        <w:t>部门预算管理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20</w:t>
      </w:r>
      <w:r>
        <w:rPr>
          <w:rFonts w:hint="eastAsia" w:ascii="仿宋" w:hAnsi="仿宋" w:eastAsia="仿宋" w:cs="仿宋"/>
          <w:i w:val="0"/>
          <w:iCs w:val="0"/>
          <w:caps w:val="0"/>
          <w:color w:val="333333"/>
          <w:spacing w:val="0"/>
          <w:sz w:val="32"/>
          <w:szCs w:val="32"/>
          <w:lang w:val="en-US" w:eastAsia="zh-CN"/>
        </w:rPr>
        <w:t>20</w:t>
      </w:r>
      <w:r>
        <w:rPr>
          <w:rFonts w:hint="eastAsia" w:ascii="仿宋" w:hAnsi="仿宋" w:eastAsia="仿宋" w:cs="仿宋"/>
          <w:i w:val="0"/>
          <w:iCs w:val="0"/>
          <w:caps w:val="0"/>
          <w:color w:val="333333"/>
          <w:spacing w:val="0"/>
          <w:sz w:val="32"/>
          <w:szCs w:val="32"/>
        </w:rPr>
        <w:t>年</w:t>
      </w:r>
      <w:r>
        <w:rPr>
          <w:rFonts w:hint="eastAsia" w:ascii="仿宋" w:hAnsi="仿宋" w:eastAsia="仿宋" w:cs="仿宋"/>
          <w:i w:val="0"/>
          <w:iCs w:val="0"/>
          <w:caps w:val="0"/>
          <w:color w:val="333333"/>
          <w:spacing w:val="0"/>
          <w:sz w:val="32"/>
          <w:szCs w:val="32"/>
          <w:lang w:eastAsia="zh-CN"/>
        </w:rPr>
        <w:t>四川省乐山市五通桥区</w:t>
      </w:r>
      <w:r>
        <w:rPr>
          <w:rFonts w:hint="eastAsia" w:ascii="仿宋" w:hAnsi="仿宋" w:eastAsia="仿宋" w:cs="仿宋"/>
          <w:sz w:val="32"/>
          <w:szCs w:val="32"/>
          <w:lang w:eastAsia="zh-CN"/>
        </w:rPr>
        <w:t>牛华镇新云小学</w:t>
      </w:r>
      <w:r>
        <w:rPr>
          <w:rFonts w:hint="eastAsia" w:ascii="仿宋" w:hAnsi="仿宋" w:eastAsia="仿宋" w:cs="仿宋"/>
          <w:i w:val="0"/>
          <w:iCs w:val="0"/>
          <w:caps w:val="0"/>
          <w:color w:val="333333"/>
          <w:spacing w:val="0"/>
          <w:sz w:val="32"/>
          <w:szCs w:val="32"/>
        </w:rPr>
        <w:t>整体支出按照财政局下达的预算批复，对于基本支出中的工资福利支出、对个人和家庭补助支出按照实际在职人员及进度均衡支付；对于商品及服务支出（日常公用经费）按照年初预算执行，实现内部报告审批制度，实时监控支出情况；对于项目支出的经费使用情况进行监督检查；严格遵循厉行节约的精神，按规定开支“三公”经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lang w:eastAsia="zh-CN"/>
        </w:rPr>
        <w:t>学校</w:t>
      </w:r>
      <w:r>
        <w:rPr>
          <w:rFonts w:hint="eastAsia" w:ascii="仿宋" w:hAnsi="仿宋" w:eastAsia="仿宋" w:cs="仿宋"/>
          <w:i w:val="0"/>
          <w:iCs w:val="0"/>
          <w:caps w:val="0"/>
          <w:color w:val="333333"/>
          <w:spacing w:val="0"/>
          <w:sz w:val="32"/>
          <w:szCs w:val="32"/>
        </w:rPr>
        <w:t>工作经费安排严格按照年初预算来执行，有效防止了超预算；认真学习财经法规，严格执行财经纪律，防止了违法违纪行为的发生。</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eastAsia="仿宋" w:cs="Times New Roman"/>
          <w:i w:val="0"/>
          <w:iCs w:val="0"/>
          <w:caps w:val="0"/>
          <w:color w:val="333333"/>
          <w:spacing w:val="0"/>
          <w:sz w:val="32"/>
          <w:szCs w:val="32"/>
          <w:highlight w:val="none"/>
          <w:lang w:val="en-US" w:eastAsia="zh-CN"/>
        </w:rPr>
      </w:pPr>
      <w:r>
        <w:rPr>
          <w:rFonts w:hint="eastAsia" w:ascii="仿宋" w:hAnsi="仿宋" w:eastAsia="仿宋" w:cs="仿宋"/>
          <w:i w:val="0"/>
          <w:iCs w:val="0"/>
          <w:caps w:val="0"/>
          <w:color w:val="333333"/>
          <w:spacing w:val="0"/>
          <w:sz w:val="32"/>
          <w:szCs w:val="32"/>
        </w:rPr>
        <w:t>（二）</w:t>
      </w:r>
      <w:r>
        <w:rPr>
          <w:rFonts w:hint="eastAsia" w:ascii="仿宋" w:hAnsi="仿宋" w:eastAsia="仿宋" w:cs="仿宋"/>
          <w:i w:val="0"/>
          <w:iCs w:val="0"/>
          <w:caps w:val="0"/>
          <w:color w:val="333333"/>
          <w:spacing w:val="0"/>
          <w:sz w:val="32"/>
          <w:szCs w:val="32"/>
          <w:highlight w:val="none"/>
          <w:lang w:val="en-US" w:eastAsia="zh-CN"/>
        </w:rPr>
        <w:t>应用结果情况</w:t>
      </w:r>
    </w:p>
    <w:p>
      <w:r>
        <w:rPr>
          <w:rFonts w:hint="eastAsia" w:ascii="仿宋" w:hAnsi="仿宋" w:eastAsia="仿宋" w:cs="仿宋"/>
          <w:i w:val="0"/>
          <w:iCs w:val="0"/>
          <w:caps w:val="0"/>
          <w:color w:val="333333"/>
          <w:spacing w:val="0"/>
          <w:sz w:val="32"/>
          <w:szCs w:val="32"/>
        </w:rPr>
        <w:t>推进了专项工作落实</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财政监督检查、专项资金检查、违规发放津补贴的自查等多项管理工作，确保了专项资金在使用和管理上单独核算、专款专用</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保障了</w:t>
      </w:r>
      <w:r>
        <w:rPr>
          <w:rFonts w:hint="eastAsia" w:ascii="仿宋" w:hAnsi="仿宋" w:eastAsia="仿宋" w:cs="仿宋"/>
          <w:i w:val="0"/>
          <w:iCs w:val="0"/>
          <w:caps w:val="0"/>
          <w:color w:val="333333"/>
          <w:spacing w:val="0"/>
          <w:sz w:val="32"/>
          <w:szCs w:val="32"/>
          <w:lang w:eastAsia="zh-CN"/>
        </w:rPr>
        <w:t>学校</w:t>
      </w:r>
      <w:r>
        <w:rPr>
          <w:rFonts w:hint="eastAsia" w:ascii="仿宋" w:hAnsi="仿宋" w:eastAsia="仿宋" w:cs="仿宋"/>
          <w:i w:val="0"/>
          <w:iCs w:val="0"/>
          <w:caps w:val="0"/>
          <w:color w:val="333333"/>
          <w:spacing w:val="0"/>
          <w:sz w:val="32"/>
          <w:szCs w:val="32"/>
        </w:rPr>
        <w:t>有效运转</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严格按照厉行节约的要求，精打细算，规范</w:t>
      </w:r>
      <w:r>
        <w:rPr>
          <w:rFonts w:hint="eastAsia" w:ascii="仿宋" w:hAnsi="仿宋" w:eastAsia="仿宋" w:cs="仿宋"/>
          <w:i w:val="0"/>
          <w:iCs w:val="0"/>
          <w:caps w:val="0"/>
          <w:color w:val="333333"/>
          <w:spacing w:val="0"/>
          <w:sz w:val="32"/>
          <w:szCs w:val="32"/>
          <w:lang w:eastAsia="zh-CN"/>
        </w:rPr>
        <w:t>学校</w:t>
      </w:r>
      <w:r>
        <w:rPr>
          <w:rFonts w:hint="eastAsia" w:ascii="仿宋" w:hAnsi="仿宋" w:eastAsia="仿宋" w:cs="仿宋"/>
          <w:i w:val="0"/>
          <w:iCs w:val="0"/>
          <w:caps w:val="0"/>
          <w:color w:val="333333"/>
          <w:spacing w:val="0"/>
          <w:sz w:val="32"/>
          <w:szCs w:val="32"/>
        </w:rPr>
        <w:t>运转管理工作，进一步公务用车、公务接待等方面加强集中管理，提高服务质量，降低运行成本，合理配置，提高保障能力</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lang w:val="en-US" w:eastAsia="zh-CN"/>
        </w:rPr>
        <w:t>具备正确的办学理念并内化为行动习惯，规划科学的办学目标，特有的学校文化氛围，推陈出新的能力，科学管理理念与方法，学校队伍建设等的办学理念。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w:t>
      </w:r>
      <w:r>
        <w:rPr>
          <w:rFonts w:hint="eastAsia" w:ascii="仿宋" w:hAnsi="仿宋" w:eastAsia="仿宋" w:cs="仿宋"/>
          <w:color w:val="000000"/>
          <w:kern w:val="0"/>
          <w:sz w:val="32"/>
          <w:szCs w:val="32"/>
          <w:shd w:val="clear" w:color="auto" w:fill="FFFFFF"/>
          <w:lang w:val="zh-CN"/>
        </w:rPr>
        <w:t>评价结论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51"/>
        <w:jc w:val="both"/>
        <w:rPr>
          <w:rFonts w:hint="eastAsia" w:ascii="仿宋" w:hAnsi="仿宋" w:eastAsia="仿宋" w:cs="仿宋"/>
          <w:i w:val="0"/>
          <w:iCs w:val="0"/>
          <w:caps w:val="0"/>
          <w:color w:val="333333"/>
          <w:spacing w:val="0"/>
          <w:sz w:val="32"/>
          <w:szCs w:val="32"/>
          <w:lang w:val="zh-CN"/>
        </w:rPr>
      </w:pPr>
      <w:r>
        <w:rPr>
          <w:rFonts w:hint="eastAsia" w:ascii="仿宋" w:hAnsi="仿宋" w:eastAsia="仿宋" w:cs="仿宋"/>
          <w:i w:val="0"/>
          <w:iCs w:val="0"/>
          <w:caps w:val="0"/>
          <w:color w:val="333333"/>
          <w:spacing w:val="0"/>
          <w:sz w:val="32"/>
          <w:szCs w:val="32"/>
        </w:rPr>
        <w:t>按照财政部门整体支出绩效评价指标细则，我</w:t>
      </w:r>
      <w:r>
        <w:rPr>
          <w:rFonts w:hint="eastAsia" w:ascii="仿宋" w:hAnsi="仿宋" w:eastAsia="仿宋" w:cs="仿宋"/>
          <w:i w:val="0"/>
          <w:iCs w:val="0"/>
          <w:caps w:val="0"/>
          <w:color w:val="333333"/>
          <w:spacing w:val="0"/>
          <w:sz w:val="32"/>
          <w:szCs w:val="32"/>
          <w:lang w:eastAsia="zh-CN"/>
        </w:rPr>
        <w:t>校</w:t>
      </w:r>
      <w:r>
        <w:rPr>
          <w:rFonts w:hint="eastAsia" w:ascii="仿宋" w:hAnsi="仿宋" w:eastAsia="仿宋" w:cs="仿宋"/>
          <w:i w:val="0"/>
          <w:iCs w:val="0"/>
          <w:caps w:val="0"/>
          <w:color w:val="333333"/>
          <w:spacing w:val="0"/>
          <w:sz w:val="32"/>
          <w:szCs w:val="32"/>
        </w:rPr>
        <w:t>自评得分</w:t>
      </w:r>
      <w:r>
        <w:rPr>
          <w:rFonts w:hint="eastAsia" w:ascii="仿宋" w:hAnsi="仿宋" w:eastAsia="仿宋" w:cs="仿宋"/>
          <w:i w:val="0"/>
          <w:iCs w:val="0"/>
          <w:caps w:val="0"/>
          <w:color w:val="333333"/>
          <w:spacing w:val="0"/>
          <w:sz w:val="32"/>
          <w:szCs w:val="32"/>
          <w:highlight w:val="none"/>
          <w:lang w:val="en-US" w:eastAsia="zh-CN"/>
        </w:rPr>
        <w:t>100</w:t>
      </w:r>
      <w:r>
        <w:rPr>
          <w:rFonts w:hint="eastAsia" w:ascii="仿宋" w:hAnsi="仿宋" w:eastAsia="仿宋" w:cs="仿宋"/>
          <w:i w:val="0"/>
          <w:iCs w:val="0"/>
          <w:caps w:val="0"/>
          <w:color w:val="333333"/>
          <w:spacing w:val="0"/>
          <w:sz w:val="32"/>
          <w:szCs w:val="32"/>
        </w:rPr>
        <w:t>分，总体评</w:t>
      </w:r>
      <w:r>
        <w:rPr>
          <w:rFonts w:hint="eastAsia" w:ascii="仿宋" w:hAnsi="仿宋" w:eastAsia="仿宋" w:cs="仿宋"/>
          <w:i w:val="0"/>
          <w:iCs w:val="0"/>
          <w:caps w:val="0"/>
          <w:color w:val="333333"/>
          <w:spacing w:val="0"/>
          <w:sz w:val="32"/>
          <w:szCs w:val="32"/>
          <w:lang w:eastAsia="zh-CN"/>
        </w:rPr>
        <w:t>分为优</w:t>
      </w:r>
      <w:r>
        <w:rPr>
          <w:rFonts w:hint="eastAsia" w:ascii="仿宋" w:hAnsi="仿宋" w:eastAsia="仿宋" w:cs="仿宋"/>
          <w:i w:val="0"/>
          <w:iCs w:val="0"/>
          <w:caps w:val="0"/>
          <w:color w:val="333333"/>
          <w:spacing w:val="0"/>
          <w:sz w:val="32"/>
          <w:szCs w:val="32"/>
        </w:rPr>
        <w:t>。</w:t>
      </w:r>
    </w:p>
    <w:p>
      <w:pPr>
        <w:widowControl/>
        <w:numPr>
          <w:ilvl w:val="0"/>
          <w:numId w:val="0"/>
        </w:numPr>
        <w:adjustRightInd w:val="0"/>
        <w:snapToGrid w:val="0"/>
        <w:spacing w:line="580" w:lineRule="exact"/>
        <w:ind w:leftChars="200" w:firstLine="320" w:firstLineChars="1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（二）存在问题</w:t>
      </w:r>
    </w:p>
    <w:p>
      <w:pPr>
        <w:widowControl/>
        <w:numPr>
          <w:ilvl w:val="0"/>
          <w:numId w:val="0"/>
        </w:numPr>
        <w:adjustRightInd w:val="0"/>
        <w:snapToGrid w:val="0"/>
        <w:spacing w:line="580" w:lineRule="exact"/>
        <w:ind w:leftChars="200" w:firstLine="1600" w:firstLineChars="5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无</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（三）改进建议</w:t>
      </w:r>
    </w:p>
    <w:p>
      <w:pPr>
        <w:spacing w:line="580" w:lineRule="exact"/>
        <w:ind w:firstLine="1920" w:firstLineChars="600"/>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pPr>
        <w:spacing w:line="580" w:lineRule="exact"/>
        <w:ind w:firstLine="1920" w:firstLineChars="600"/>
        <w:rPr>
          <w:rFonts w:hint="eastAsia" w:ascii="仿宋" w:hAnsi="仿宋" w:eastAsia="仿宋" w:cs="仿宋"/>
          <w:sz w:val="32"/>
          <w:szCs w:val="32"/>
          <w:lang w:eastAsia="zh-CN"/>
        </w:rPr>
      </w:pPr>
    </w:p>
    <w:p>
      <w:pPr>
        <w:spacing w:line="580" w:lineRule="exact"/>
        <w:ind w:firstLine="1920" w:firstLineChars="600"/>
        <w:rPr>
          <w:rFonts w:hint="eastAsia" w:ascii="仿宋" w:hAnsi="仿宋" w:eastAsia="仿宋" w:cs="仿宋"/>
          <w:sz w:val="32"/>
          <w:szCs w:val="32"/>
          <w:lang w:eastAsia="zh-CN"/>
        </w:rPr>
      </w:pPr>
    </w:p>
    <w:p>
      <w:pPr>
        <w:spacing w:line="580" w:lineRule="exact"/>
        <w:ind w:firstLine="1920" w:firstLineChars="600"/>
        <w:rPr>
          <w:rFonts w:hint="eastAsia" w:ascii="仿宋" w:hAnsi="仿宋" w:eastAsia="仿宋" w:cs="仿宋"/>
          <w:sz w:val="32"/>
          <w:szCs w:val="32"/>
          <w:lang w:eastAsia="zh-CN"/>
        </w:rPr>
      </w:pPr>
    </w:p>
    <w:p>
      <w:pPr>
        <w:spacing w:line="580" w:lineRule="exact"/>
        <w:ind w:firstLine="1920" w:firstLineChars="600"/>
        <w:rPr>
          <w:rFonts w:hint="eastAsia" w:ascii="仿宋" w:hAnsi="仿宋" w:eastAsia="仿宋" w:cs="仿宋"/>
          <w:sz w:val="32"/>
          <w:szCs w:val="32"/>
          <w:lang w:eastAsia="zh-CN"/>
        </w:rPr>
      </w:pPr>
    </w:p>
    <w:p>
      <w:pPr>
        <w:spacing w:line="580" w:lineRule="exact"/>
        <w:ind w:firstLine="1920" w:firstLineChars="600"/>
        <w:rPr>
          <w:rFonts w:hint="eastAsia" w:ascii="仿宋" w:hAnsi="仿宋" w:eastAsia="仿宋" w:cs="仿宋"/>
          <w:sz w:val="32"/>
          <w:szCs w:val="32"/>
          <w:lang w:eastAsia="zh-CN"/>
        </w:rPr>
      </w:pPr>
    </w:p>
    <w:p>
      <w:pPr>
        <w:spacing w:line="580" w:lineRule="exact"/>
        <w:ind w:firstLine="1920" w:firstLineChars="600"/>
        <w:rPr>
          <w:rFonts w:hint="eastAsia" w:ascii="仿宋" w:hAnsi="仿宋" w:eastAsia="仿宋" w:cs="仿宋"/>
          <w:sz w:val="32"/>
          <w:szCs w:val="32"/>
          <w:lang w:eastAsia="zh-CN"/>
        </w:rPr>
      </w:pPr>
    </w:p>
    <w:p>
      <w:pPr>
        <w:spacing w:line="580" w:lineRule="exact"/>
        <w:ind w:firstLine="1920" w:firstLineChars="600"/>
        <w:rPr>
          <w:rFonts w:hint="eastAsia" w:ascii="仿宋" w:hAnsi="仿宋" w:eastAsia="仿宋" w:cs="仿宋"/>
          <w:sz w:val="32"/>
          <w:szCs w:val="32"/>
          <w:lang w:eastAsia="zh-CN"/>
        </w:rPr>
      </w:pPr>
    </w:p>
    <w:p>
      <w:pPr>
        <w:spacing w:line="580" w:lineRule="exact"/>
        <w:ind w:firstLine="1920" w:firstLineChars="600"/>
        <w:rPr>
          <w:rFonts w:hint="eastAsia" w:ascii="仿宋" w:hAnsi="仿宋" w:eastAsia="仿宋" w:cs="仿宋"/>
          <w:sz w:val="32"/>
          <w:szCs w:val="32"/>
          <w:lang w:eastAsia="zh-CN"/>
        </w:rPr>
      </w:pPr>
    </w:p>
    <w:p>
      <w:pPr>
        <w:spacing w:line="580" w:lineRule="exact"/>
        <w:outlineLvl w:val="0"/>
        <w:rPr>
          <w:rFonts w:ascii="仿宋_GB2312" w:hAnsi="仿宋_GB2312" w:eastAsia="仿宋_GB2312" w:cs="仿宋_GB2312"/>
          <w:sz w:val="32"/>
          <w:szCs w:val="32"/>
        </w:rPr>
      </w:pPr>
      <w:bookmarkStart w:id="103" w:name="_Toc11386"/>
      <w:r>
        <w:rPr>
          <w:rFonts w:hint="eastAsia" w:ascii="黑体" w:hAnsi="黑体" w:eastAsia="黑体" w:cs="黑体"/>
          <w:sz w:val="32"/>
          <w:szCs w:val="32"/>
        </w:rPr>
        <w:t>附件</w:t>
      </w:r>
      <w:r>
        <w:rPr>
          <w:rFonts w:ascii="黑体" w:hAnsi="黑体" w:eastAsia="黑体" w:cs="黑体"/>
          <w:sz w:val="32"/>
          <w:szCs w:val="32"/>
        </w:rPr>
        <w:t>2</w:t>
      </w:r>
      <w:bookmarkEnd w:id="103"/>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hint="eastAsia" w:ascii="方正小标宋简体" w:hAnsi="宋体" w:eastAsia="方正小标宋简体"/>
          <w:color w:val="000000"/>
          <w:kern w:val="0"/>
          <w:sz w:val="44"/>
          <w:szCs w:val="44"/>
          <w:lang w:eastAsia="zh-CN"/>
        </w:rPr>
      </w:pPr>
      <w:r>
        <w:rPr>
          <w:rFonts w:hint="eastAsia" w:ascii="方正小标宋简体" w:hAnsi="宋体" w:eastAsia="方正小标宋简体"/>
          <w:color w:val="000000"/>
          <w:kern w:val="0"/>
          <w:sz w:val="44"/>
          <w:szCs w:val="44"/>
        </w:rPr>
        <w:t>四川省乐山市五通桥区</w:t>
      </w:r>
      <w:r>
        <w:rPr>
          <w:rFonts w:hint="eastAsia" w:ascii="方正小标宋简体" w:hAnsi="宋体" w:eastAsia="方正小标宋简体"/>
          <w:color w:val="000000"/>
          <w:kern w:val="0"/>
          <w:sz w:val="44"/>
          <w:szCs w:val="44"/>
          <w:lang w:eastAsia="zh-CN"/>
        </w:rPr>
        <w:t>牛华镇新云小学</w:t>
      </w:r>
    </w:p>
    <w:p>
      <w:pPr>
        <w:spacing w:line="600" w:lineRule="exact"/>
        <w:jc w:val="center"/>
        <w:rPr>
          <w:rFonts w:hint="eastAsia" w:ascii="方正小标宋简体" w:hAnsi="宋体" w:eastAsia="方正小标宋简体"/>
          <w:color w:val="000000"/>
          <w:kern w:val="0"/>
          <w:sz w:val="44"/>
          <w:szCs w:val="44"/>
          <w:lang w:val="zh-CN" w:eastAsia="zh-CN"/>
        </w:rPr>
      </w:pPr>
      <w:r>
        <w:rPr>
          <w:rFonts w:hint="eastAsia" w:ascii="方正小标宋简体" w:hAnsi="宋体" w:eastAsia="方正小标宋简体"/>
          <w:color w:val="000000"/>
          <w:kern w:val="0"/>
          <w:sz w:val="44"/>
          <w:szCs w:val="44"/>
          <w:lang w:val="en-US" w:eastAsia="zh-CN"/>
        </w:rPr>
        <w:t>生均公用经费</w:t>
      </w:r>
      <w:r>
        <w:rPr>
          <w:rFonts w:hint="eastAsia" w:ascii="方正小标宋简体" w:hAnsi="宋体" w:eastAsia="方正小标宋简体"/>
          <w:color w:val="000000"/>
          <w:kern w:val="0"/>
          <w:sz w:val="44"/>
          <w:szCs w:val="44"/>
          <w:lang w:val="zh-CN" w:eastAsia="zh-CN"/>
        </w:rPr>
        <w:t>项目</w:t>
      </w:r>
      <w:r>
        <w:rPr>
          <w:rFonts w:hint="eastAsia" w:ascii="方正小标宋简体" w:hAnsi="宋体" w:eastAsia="方正小标宋简体"/>
          <w:color w:val="000000"/>
          <w:kern w:val="0"/>
          <w:sz w:val="44"/>
          <w:szCs w:val="44"/>
          <w:lang w:eastAsia="zh-CN"/>
        </w:rPr>
        <w:t>2020年</w:t>
      </w:r>
      <w:r>
        <w:rPr>
          <w:rFonts w:hint="eastAsia" w:ascii="方正小标宋简体" w:hAnsi="宋体" w:eastAsia="方正小标宋简体"/>
          <w:color w:val="000000"/>
          <w:kern w:val="0"/>
          <w:sz w:val="44"/>
          <w:szCs w:val="44"/>
          <w:lang w:val="zh-CN" w:eastAsia="zh-CN"/>
        </w:rPr>
        <w:t>绩效评价报告</w:t>
      </w:r>
    </w:p>
    <w:p>
      <w:pPr>
        <w:spacing w:line="600" w:lineRule="exact"/>
        <w:jc w:val="center"/>
        <w:rPr>
          <w:rFonts w:hint="eastAsia" w:ascii="方正小标宋简体" w:hAnsi="宋体" w:eastAsia="方正小标宋简体"/>
          <w:color w:val="000000"/>
          <w:kern w:val="0"/>
          <w:sz w:val="44"/>
          <w:szCs w:val="44"/>
          <w:lang w:val="zh-CN" w:eastAsia="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项目基本情况</w:t>
      </w:r>
    </w:p>
    <w:p>
      <w:pPr>
        <w:adjustRightInd w:val="0"/>
        <w:snapToGrid w:val="0"/>
        <w:spacing w:line="600" w:lineRule="exact"/>
        <w:ind w:firstLine="720"/>
        <w:rPr>
          <w:rFonts w:hint="eastAsia" w:ascii="仿宋" w:hAnsi="仿宋" w:eastAsia="仿宋" w:cs="仿宋"/>
          <w:color w:val="000000"/>
          <w:kern w:val="0"/>
          <w:sz w:val="32"/>
          <w:szCs w:val="32"/>
          <w:shd w:val="clear" w:color="auto" w:fill="FFFFFF"/>
          <w:lang w:val="en-US" w:eastAsia="zh-CN"/>
        </w:rPr>
      </w:pPr>
      <w:r>
        <w:rPr>
          <w:rFonts w:ascii="仿宋_GB2312" w:hAnsi="宋体" w:eastAsia="仿宋_GB2312"/>
          <w:sz w:val="32"/>
          <w:szCs w:val="32"/>
          <w:lang w:val="zh-CN"/>
        </w:rPr>
        <w:t>1</w:t>
      </w:r>
      <w:r>
        <w:rPr>
          <w:rFonts w:hint="eastAsia" w:ascii="仿宋_GB2312" w:hAnsi="宋体" w:eastAsia="仿宋_GB2312"/>
          <w:sz w:val="32"/>
          <w:szCs w:val="32"/>
          <w:lang w:val="zh-CN"/>
        </w:rPr>
        <w:t>．</w:t>
      </w:r>
      <w:r>
        <w:rPr>
          <w:rFonts w:hint="eastAsia" w:ascii="仿宋" w:hAnsi="仿宋" w:eastAsia="仿宋" w:cs="仿宋"/>
          <w:color w:val="000000"/>
          <w:kern w:val="0"/>
          <w:sz w:val="32"/>
          <w:szCs w:val="32"/>
          <w:shd w:val="clear" w:color="auto" w:fill="FFFFFF"/>
          <w:lang w:val="en-US" w:eastAsia="zh-CN"/>
        </w:rPr>
        <w:t>项目职能：</w:t>
      </w:r>
    </w:p>
    <w:p>
      <w:pPr>
        <w:ind w:firstLineChars="20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sz w:val="32"/>
          <w:szCs w:val="32"/>
        </w:rPr>
        <w:t>主要实施小学义务教育，促进基础教育发展。小学学历教育。贯彻执行学校党委的决定，服务领导、服务部门、服务基层，做好管理和服务的各项相关工作。认真贯彻执行党的路线、方针、政策和上级领导部门及学校党委、行政的各项指示、决定</w:t>
      </w:r>
      <w:r>
        <w:rPr>
          <w:rFonts w:hint="eastAsia" w:ascii="仿宋_GB2312" w:eastAsia="仿宋_GB2312"/>
          <w:sz w:val="32"/>
          <w:szCs w:val="32"/>
        </w:rPr>
        <w:t>。</w:t>
      </w:r>
    </w:p>
    <w:p>
      <w:pPr>
        <w:numPr>
          <w:ilvl w:val="0"/>
          <w:numId w:val="6"/>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项目立项、资金申报的依据</w:t>
      </w:r>
    </w:p>
    <w:p>
      <w:pPr>
        <w:adjustRightInd w:val="0"/>
        <w:snapToGrid w:val="0"/>
        <w:spacing w:line="600" w:lineRule="exact"/>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lang w:val="en-US" w:eastAsia="zh-CN"/>
        </w:rPr>
        <w:t>用于学校全</w:t>
      </w:r>
      <w:r>
        <w:rPr>
          <w:rFonts w:hint="eastAsia" w:ascii="仿宋" w:hAnsi="仿宋" w:eastAsia="仿宋" w:cs="仿宋"/>
          <w:sz w:val="32"/>
          <w:szCs w:val="32"/>
          <w:highlight w:val="none"/>
          <w:lang w:val="en-US" w:eastAsia="zh-CN"/>
        </w:rPr>
        <w:t>年教育教学正常运转支出。</w:t>
      </w:r>
    </w:p>
    <w:p>
      <w:pPr>
        <w:numPr>
          <w:ilvl w:val="0"/>
          <w:numId w:val="6"/>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资金管理办法制定情况，资金支持具体项目的条件、范围与支持方式概况。</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根据学校实际情况，在保运转基础上纳入年初预算。</w:t>
      </w:r>
    </w:p>
    <w:p>
      <w:pPr>
        <w:numPr>
          <w:ilvl w:val="0"/>
          <w:numId w:val="6"/>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资金分配的原则及考虑因素。</w:t>
      </w:r>
    </w:p>
    <w:p>
      <w:pPr>
        <w:numPr>
          <w:ilvl w:val="0"/>
          <w:numId w:val="0"/>
        </w:numPr>
        <w:adjustRightInd w:val="0"/>
        <w:snapToGrid w:val="0"/>
        <w:spacing w:line="600" w:lineRule="exact"/>
        <w:ind w:left="720" w:leftChars="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该项目资金由区级配套财政资金及上级财政</w:t>
      </w:r>
      <w:r>
        <w:rPr>
          <w:rFonts w:hint="eastAsia" w:ascii="仿宋" w:hAnsi="仿宋" w:eastAsia="仿宋" w:cs="仿宋"/>
          <w:sz w:val="32"/>
          <w:szCs w:val="32"/>
          <w:lang w:val="zh-CN"/>
        </w:rPr>
        <w:t>资金</w:t>
      </w:r>
      <w:r>
        <w:rPr>
          <w:rFonts w:hint="eastAsia" w:ascii="仿宋" w:hAnsi="仿宋" w:eastAsia="仿宋" w:cs="仿宋"/>
          <w:sz w:val="32"/>
          <w:szCs w:val="32"/>
          <w:lang w:val="en-US" w:eastAsia="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w:t>
      </w:r>
      <w:r>
        <w:rPr>
          <w:rFonts w:hint="eastAsia" w:ascii="仿宋" w:hAnsi="仿宋" w:eastAsia="仿宋" w:cs="仿宋"/>
          <w:b/>
          <w:sz w:val="32"/>
          <w:szCs w:val="32"/>
          <w:lang w:val="zh-CN"/>
        </w:rPr>
        <w:t>项目绩效目标</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w:t>
      </w:r>
      <w:r>
        <w:rPr>
          <w:rFonts w:hint="eastAsia" w:ascii="仿宋" w:hAnsi="仿宋" w:eastAsia="仿宋" w:cs="仿宋"/>
          <w:sz w:val="32"/>
          <w:szCs w:val="32"/>
          <w:lang w:val="zh-CN"/>
        </w:rPr>
        <w:t>项目主要内容</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 w:hAnsi="仿宋" w:eastAsia="仿宋" w:cs="仿宋"/>
          <w:sz w:val="32"/>
          <w:szCs w:val="32"/>
          <w:lang w:val="en-US" w:eastAsia="zh-CN"/>
        </w:rPr>
        <w:t>2020年预计投入12.45万，涉及1个项目，用于学校正常教育教学任务。</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项目应实现的具体绩效目标，包括目标的量化、细化情况以及项目实施进度计划等。</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2020年五通桥区牛华镇新云小学按照财政局下达的预算批复，对于商品及服务支出（日常公用经费）按照年初预算执行，实现内部报告审批制度，实时监控支出情况；对于项目支出的经费使用情况进行监督检查。</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分析评价申报内容是否与实际相符，申报目标是否合理可行。</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经绩效自评表分析，申报内容与实际相符，申报目标合理可行。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w:t>
      </w:r>
      <w:r>
        <w:rPr>
          <w:rFonts w:hint="eastAsia" w:ascii="仿宋" w:hAnsi="仿宋" w:eastAsia="仿宋" w:cs="仿宋"/>
          <w:b/>
          <w:sz w:val="32"/>
          <w:szCs w:val="32"/>
          <w:lang w:val="zh-CN"/>
        </w:rPr>
        <w:t>项目自评步骤及方法</w:t>
      </w:r>
      <w:r>
        <w:rPr>
          <w:rFonts w:hint="eastAsia" w:ascii="楷体_GB2312" w:hAnsi="宋体" w:eastAsia="楷体_GB2312"/>
          <w:b/>
          <w:sz w:val="32"/>
          <w:szCs w:val="32"/>
          <w:lang w:val="zh-CN"/>
        </w:rPr>
        <w:t>。</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项目绩效自评采用资金执行进度和项目执行进度相结合办法组织实施，通过项目主管部门相关监督和考核科室对项目各项具体绩效目标完成情况进行分析研判得出项目执行总体执行情况。</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年初预算县级配套财政拨款资金，经财政“一上”、“二上”审核通过后进行项目资金划拨，根据单位实际支出情况，调整预算，保障学校生均公用经费正常运行。</w:t>
      </w:r>
    </w:p>
    <w:p>
      <w:pPr>
        <w:numPr>
          <w:ilvl w:val="0"/>
          <w:numId w:val="8"/>
        </w:num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资金计划、到位及使用情况</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eastAsia="zh-CN"/>
        </w:rPr>
      </w:pPr>
      <w:r>
        <w:rPr>
          <w:rFonts w:hint="eastAsia" w:ascii="仿宋_GB2312" w:hAnsi="宋体" w:eastAsia="仿宋_GB2312" w:cs="Times New Roman"/>
          <w:sz w:val="32"/>
          <w:szCs w:val="32"/>
          <w:lang w:val="zh-CN" w:eastAsia="zh-CN"/>
        </w:rPr>
        <w:t>1．</w:t>
      </w:r>
      <w:r>
        <w:rPr>
          <w:rFonts w:hint="eastAsia" w:ascii="仿宋" w:hAnsi="仿宋" w:eastAsia="仿宋" w:cs="仿宋"/>
          <w:sz w:val="32"/>
          <w:szCs w:val="32"/>
          <w:lang w:val="zh-CN" w:eastAsia="zh-CN"/>
        </w:rPr>
        <w:t>资金计划：该项目资金由区级配套财政资金划拨及上级财政资</w:t>
      </w:r>
      <w:r>
        <w:rPr>
          <w:rFonts w:hint="eastAsia" w:ascii="仿宋" w:hAnsi="仿宋" w:eastAsia="仿宋" w:cs="仿宋"/>
          <w:sz w:val="32"/>
          <w:szCs w:val="32"/>
          <w:highlight w:val="none"/>
          <w:lang w:val="zh-CN" w:eastAsia="zh-CN"/>
        </w:rPr>
        <w:t>金</w:t>
      </w:r>
      <w:r>
        <w:rPr>
          <w:rFonts w:hint="eastAsia" w:ascii="仿宋" w:hAnsi="仿宋" w:eastAsia="仿宋" w:cs="仿宋"/>
          <w:sz w:val="32"/>
          <w:szCs w:val="32"/>
          <w:highlight w:val="none"/>
          <w:lang w:val="en-US" w:eastAsia="zh-CN"/>
        </w:rPr>
        <w:t>纳入年初预算</w:t>
      </w:r>
      <w:r>
        <w:rPr>
          <w:rFonts w:hint="eastAsia" w:ascii="仿宋" w:hAnsi="仿宋" w:eastAsia="仿宋" w:cs="仿宋"/>
          <w:sz w:val="32"/>
          <w:szCs w:val="32"/>
          <w:highlight w:val="none"/>
          <w:lang w:val="zh-CN" w:eastAsia="zh-CN"/>
        </w:rPr>
        <w:t>。</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2．资金到位：截止评价时点该项目财政</w:t>
      </w:r>
      <w:r>
        <w:rPr>
          <w:rFonts w:hint="eastAsia" w:ascii="仿宋" w:hAnsi="仿宋" w:eastAsia="仿宋" w:cs="仿宋"/>
          <w:sz w:val="32"/>
          <w:szCs w:val="32"/>
          <w:highlight w:val="none"/>
          <w:lang w:val="en-US" w:eastAsia="zh-CN"/>
        </w:rPr>
        <w:t>拨付</w:t>
      </w:r>
      <w:r>
        <w:rPr>
          <w:rFonts w:hint="eastAsia" w:ascii="仿宋" w:hAnsi="仿宋" w:eastAsia="仿宋" w:cs="仿宋"/>
          <w:sz w:val="32"/>
          <w:szCs w:val="32"/>
          <w:lang w:val="zh-CN" w:eastAsia="zh-CN"/>
        </w:rPr>
        <w:t>项目资金</w:t>
      </w:r>
      <w:r>
        <w:rPr>
          <w:rFonts w:hint="eastAsia" w:ascii="仿宋" w:hAnsi="仿宋" w:eastAsia="仿宋" w:cs="仿宋"/>
          <w:sz w:val="32"/>
          <w:szCs w:val="32"/>
          <w:lang w:val="en-US" w:eastAsia="zh-CN"/>
        </w:rPr>
        <w:t>12.45</w:t>
      </w:r>
      <w:r>
        <w:rPr>
          <w:rFonts w:hint="eastAsia" w:ascii="仿宋" w:hAnsi="仿宋" w:eastAsia="仿宋" w:cs="仿宋"/>
          <w:sz w:val="32"/>
          <w:szCs w:val="32"/>
          <w:lang w:val="zh-CN" w:eastAsia="zh-CN"/>
        </w:rPr>
        <w:t>万元，预算资金到位</w:t>
      </w:r>
      <w:r>
        <w:rPr>
          <w:rFonts w:hint="eastAsia" w:ascii="仿宋" w:hAnsi="仿宋" w:eastAsia="仿宋" w:cs="仿宋"/>
          <w:sz w:val="32"/>
          <w:szCs w:val="32"/>
          <w:lang w:val="en-US" w:eastAsia="zh-CN"/>
        </w:rPr>
        <w:t>12.45</w:t>
      </w:r>
      <w:r>
        <w:rPr>
          <w:rFonts w:hint="eastAsia" w:ascii="仿宋" w:hAnsi="仿宋" w:eastAsia="仿宋" w:cs="仿宋"/>
          <w:sz w:val="32"/>
          <w:szCs w:val="32"/>
          <w:lang w:val="zh-CN" w:eastAsia="zh-CN"/>
        </w:rPr>
        <w:t>万元，到位率100%。</w:t>
      </w:r>
    </w:p>
    <w:p>
      <w:pPr>
        <w:adjustRightInd w:val="0"/>
        <w:snapToGrid w:val="0"/>
        <w:spacing w:line="600" w:lineRule="exact"/>
        <w:ind w:firstLine="720"/>
        <w:rPr>
          <w:rFonts w:hint="eastAsia" w:ascii="仿宋" w:hAnsi="仿宋" w:eastAsia="仿宋" w:cs="仿宋"/>
          <w:sz w:val="32"/>
          <w:szCs w:val="32"/>
          <w:highlight w:val="none"/>
          <w:lang w:val="zh-CN" w:eastAsia="zh-CN"/>
        </w:rPr>
      </w:pPr>
      <w:r>
        <w:rPr>
          <w:rFonts w:hint="eastAsia" w:ascii="仿宋" w:hAnsi="仿宋" w:eastAsia="仿宋" w:cs="仿宋"/>
          <w:sz w:val="32"/>
          <w:szCs w:val="32"/>
          <w:lang w:val="zh-CN" w:eastAsia="zh-CN"/>
        </w:rPr>
        <w:t>3．资金使用：该项资金用于</w:t>
      </w:r>
      <w:r>
        <w:rPr>
          <w:rFonts w:hint="eastAsia" w:ascii="仿宋" w:hAnsi="仿宋" w:eastAsia="仿宋" w:cs="仿宋"/>
          <w:sz w:val="32"/>
          <w:szCs w:val="32"/>
          <w:highlight w:val="none"/>
          <w:lang w:val="en-US" w:eastAsia="zh-CN"/>
        </w:rPr>
        <w:t>保障学校正常教育教学秩序开展，严格按财经制度及主管部门相关要求进行每笔支出</w:t>
      </w:r>
      <w:r>
        <w:rPr>
          <w:rFonts w:hint="eastAsia" w:ascii="仿宋" w:hAnsi="仿宋" w:eastAsia="仿宋" w:cs="仿宋"/>
          <w:sz w:val="32"/>
          <w:szCs w:val="32"/>
          <w:highlight w:val="none"/>
          <w:lang w:val="zh-CN" w:eastAsia="zh-CN"/>
        </w:rPr>
        <w:t>。</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w:t>
      </w:r>
      <w:r>
        <w:rPr>
          <w:rFonts w:hint="eastAsia" w:ascii="仿宋" w:hAnsi="仿宋" w:eastAsia="仿宋" w:cs="仿宋"/>
          <w:b/>
          <w:sz w:val="32"/>
          <w:szCs w:val="32"/>
          <w:highlight w:val="none"/>
          <w:lang w:val="zh-CN"/>
        </w:rPr>
        <w:t>项目财务管理情况</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该项目财务管理制度健全，严格执行财务管理制度，账务处理及时，会计核算规范等。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numPr>
          <w:ilvl w:val="0"/>
          <w:numId w:val="0"/>
        </w:numPr>
        <w:adjustRightInd w:val="0"/>
        <w:snapToGrid w:val="0"/>
        <w:spacing w:line="600" w:lineRule="exact"/>
        <w:ind w:firstLine="643" w:firstLineChars="200"/>
        <w:rPr>
          <w:rFonts w:hint="eastAsia" w:ascii="仿宋" w:hAnsi="仿宋" w:eastAsia="仿宋" w:cs="仿宋"/>
          <w:b/>
          <w:sz w:val="32"/>
          <w:szCs w:val="32"/>
          <w:lang w:val="zh-CN"/>
        </w:rPr>
      </w:pPr>
      <w:r>
        <w:rPr>
          <w:rFonts w:hint="eastAsia" w:ascii="仿宋" w:hAnsi="仿宋" w:eastAsia="仿宋" w:cs="仿宋"/>
          <w:b/>
          <w:sz w:val="32"/>
          <w:szCs w:val="32"/>
          <w:lang w:val="zh-CN"/>
        </w:rPr>
        <w:t>（</w:t>
      </w:r>
      <w:r>
        <w:rPr>
          <w:rFonts w:hint="eastAsia" w:ascii="仿宋" w:hAnsi="仿宋" w:eastAsia="仿宋" w:cs="仿宋"/>
          <w:b/>
          <w:sz w:val="32"/>
          <w:szCs w:val="32"/>
          <w:lang w:val="en-US" w:eastAsia="zh-CN"/>
        </w:rPr>
        <w:t>一</w:t>
      </w:r>
      <w:r>
        <w:rPr>
          <w:rFonts w:hint="eastAsia" w:ascii="仿宋" w:hAnsi="仿宋" w:eastAsia="仿宋" w:cs="仿宋"/>
          <w:b/>
          <w:sz w:val="32"/>
          <w:szCs w:val="32"/>
          <w:lang w:val="zh-CN"/>
        </w:rPr>
        <w:t>）项目组织架构及实施流程</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五通桥区牛华镇新云小学成立项目建设工作的领导小组，项目建设工作由</w:t>
      </w:r>
      <w:r>
        <w:rPr>
          <w:rFonts w:hint="eastAsia" w:ascii="仿宋" w:hAnsi="仿宋" w:eastAsia="仿宋" w:cs="仿宋"/>
          <w:sz w:val="32"/>
          <w:szCs w:val="32"/>
          <w:highlight w:val="none"/>
          <w:lang w:val="zh-CN"/>
        </w:rPr>
        <w:t>党委会集体</w:t>
      </w:r>
      <w:r>
        <w:rPr>
          <w:rFonts w:hint="eastAsia" w:ascii="仿宋" w:hAnsi="仿宋" w:eastAsia="仿宋" w:cs="仿宋"/>
          <w:sz w:val="32"/>
          <w:szCs w:val="32"/>
          <w:lang w:val="zh-CN"/>
        </w:rPr>
        <w:t>研究决定，由分管领导具体负责实施。</w:t>
      </w:r>
    </w:p>
    <w:p>
      <w:pPr>
        <w:numPr>
          <w:ilvl w:val="0"/>
          <w:numId w:val="0"/>
        </w:numPr>
        <w:adjustRightInd w:val="0"/>
        <w:snapToGrid w:val="0"/>
        <w:spacing w:line="600" w:lineRule="exact"/>
        <w:ind w:left="720" w:leftChars="0"/>
        <w:rPr>
          <w:rFonts w:hint="eastAsia" w:ascii="仿宋" w:hAnsi="仿宋" w:eastAsia="仿宋" w:cs="仿宋"/>
          <w:b/>
          <w:sz w:val="32"/>
          <w:szCs w:val="32"/>
          <w:lang w:val="zh-CN"/>
        </w:rPr>
      </w:pPr>
      <w:r>
        <w:rPr>
          <w:rFonts w:hint="eastAsia" w:ascii="仿宋" w:hAnsi="仿宋" w:eastAsia="仿宋" w:cs="仿宋"/>
          <w:b/>
          <w:sz w:val="32"/>
          <w:szCs w:val="32"/>
          <w:lang w:val="zh-CN"/>
        </w:rPr>
        <w:t>（二）项目管理情况</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加强对项目的监督管理，采取事前、事中、事后相结合，日常监督和专项监督相结合的方式，对项目财务行为实施全过程监督管理。</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w:t>
      </w:r>
      <w:r>
        <w:rPr>
          <w:rFonts w:hint="eastAsia" w:ascii="仿宋" w:hAnsi="仿宋" w:eastAsia="仿宋" w:cs="仿宋"/>
          <w:b/>
          <w:sz w:val="32"/>
          <w:szCs w:val="32"/>
          <w:lang w:val="zh-CN"/>
        </w:rPr>
        <w:t>一）项目完成情况</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全年执行</w:t>
      </w:r>
      <w:r>
        <w:rPr>
          <w:rFonts w:hint="eastAsia" w:ascii="仿宋" w:hAnsi="仿宋" w:eastAsia="仿宋" w:cs="仿宋"/>
          <w:sz w:val="32"/>
          <w:szCs w:val="32"/>
          <w:lang w:val="en-US" w:eastAsia="zh-CN"/>
        </w:rPr>
        <w:t>12.45</w:t>
      </w:r>
      <w:r>
        <w:rPr>
          <w:rFonts w:hint="eastAsia" w:ascii="仿宋" w:hAnsi="仿宋" w:eastAsia="仿宋" w:cs="仿宋"/>
          <w:sz w:val="32"/>
          <w:szCs w:val="32"/>
          <w:lang w:val="zh-CN"/>
        </w:rPr>
        <w:t>万，涉及1个项目，顺利完成教育教学任务，学校办学条件有所提升。</w:t>
      </w:r>
    </w:p>
    <w:p>
      <w:pPr>
        <w:adjustRightInd w:val="0"/>
        <w:snapToGrid w:val="0"/>
        <w:spacing w:line="600" w:lineRule="exact"/>
        <w:ind w:firstLine="720"/>
        <w:rPr>
          <w:rFonts w:ascii="楷体_GB2312" w:hAnsi="宋体" w:eastAsia="楷体_GB2312"/>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640" w:firstLineChars="200"/>
        <w:rPr>
          <w:rFonts w:hint="eastAsia" w:ascii="黑体" w:hAnsi="宋体" w:eastAsia="黑体"/>
          <w:sz w:val="32"/>
          <w:szCs w:val="32"/>
        </w:rPr>
      </w:pPr>
      <w:r>
        <w:rPr>
          <w:rFonts w:hint="eastAsia" w:ascii="仿宋" w:hAnsi="仿宋" w:eastAsia="仿宋" w:cs="仿宋"/>
          <w:sz w:val="32"/>
          <w:szCs w:val="32"/>
          <w:lang w:val="zh-CN"/>
        </w:rPr>
        <w:t>项目实际取得的效益好，保障了学校的正常办公及水电、电信、维修费用支出等，受益人员满意度高，社会评价高。</w:t>
      </w:r>
    </w:p>
    <w:p>
      <w:pPr>
        <w:adjustRightInd w:val="0"/>
        <w:snapToGrid w:val="0"/>
        <w:spacing w:line="600" w:lineRule="exact"/>
        <w:ind w:firstLine="640" w:firstLineChars="20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评价结论</w:t>
      </w:r>
    </w:p>
    <w:p>
      <w:pPr>
        <w:adjustRightInd w:val="0"/>
        <w:snapToGrid w:val="0"/>
        <w:spacing w:line="600" w:lineRule="exact"/>
        <w:ind w:firstLine="640" w:firstLineChars="200"/>
        <w:rPr>
          <w:rFonts w:hint="eastAsia" w:ascii="仿宋" w:hAnsi="仿宋" w:eastAsia="仿宋" w:cs="仿宋"/>
          <w:sz w:val="32"/>
          <w:szCs w:val="32"/>
          <w:bdr w:val="single" w:color="auto" w:sz="4" w:space="0"/>
          <w:lang w:val="zh-CN"/>
        </w:rPr>
      </w:pPr>
      <w:r>
        <w:rPr>
          <w:rFonts w:hint="eastAsia" w:ascii="仿宋" w:hAnsi="仿宋" w:eastAsia="仿宋" w:cs="仿宋"/>
          <w:sz w:val="32"/>
          <w:szCs w:val="32"/>
          <w:lang w:val="zh-CN"/>
        </w:rPr>
        <w:t>按照财政部门整体支出绩效评价指标细则，我校自评得分</w:t>
      </w:r>
      <w:r>
        <w:rPr>
          <w:rFonts w:hint="eastAsia" w:ascii="仿宋" w:hAnsi="仿宋" w:eastAsia="仿宋" w:cs="仿宋"/>
          <w:sz w:val="32"/>
          <w:szCs w:val="32"/>
          <w:lang w:val="en-US" w:eastAsia="zh-CN"/>
        </w:rPr>
        <w:t>100分，</w:t>
      </w:r>
      <w:r>
        <w:rPr>
          <w:rFonts w:hint="eastAsia" w:ascii="仿宋" w:hAnsi="仿宋" w:eastAsia="仿宋" w:cs="仿宋"/>
          <w:i w:val="0"/>
          <w:iCs w:val="0"/>
          <w:caps w:val="0"/>
          <w:color w:val="333333"/>
          <w:spacing w:val="0"/>
          <w:sz w:val="32"/>
          <w:szCs w:val="32"/>
        </w:rPr>
        <w:t>总体评</w:t>
      </w:r>
      <w:r>
        <w:rPr>
          <w:rFonts w:hint="eastAsia" w:ascii="仿宋" w:hAnsi="仿宋" w:eastAsia="仿宋" w:cs="仿宋"/>
          <w:i w:val="0"/>
          <w:iCs w:val="0"/>
          <w:caps w:val="0"/>
          <w:color w:val="333333"/>
          <w:spacing w:val="0"/>
          <w:sz w:val="32"/>
          <w:szCs w:val="32"/>
          <w:lang w:eastAsia="zh-CN"/>
        </w:rPr>
        <w:t>分为优</w:t>
      </w:r>
      <w:r>
        <w:rPr>
          <w:rFonts w:hint="eastAsia" w:ascii="仿宋" w:hAnsi="仿宋" w:eastAsia="仿宋" w:cs="仿宋"/>
          <w:sz w:val="32"/>
          <w:szCs w:val="32"/>
          <w:lang w:val="en-US" w:eastAsia="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w:t>
      </w:r>
      <w:r>
        <w:rPr>
          <w:rFonts w:hint="eastAsia" w:ascii="仿宋" w:hAnsi="仿宋" w:eastAsia="仿宋" w:cs="仿宋"/>
          <w:b/>
          <w:sz w:val="32"/>
          <w:szCs w:val="32"/>
          <w:lang w:val="zh-CN"/>
        </w:rPr>
        <w:t>存在的问题</w:t>
      </w:r>
    </w:p>
    <w:p>
      <w:pPr>
        <w:adjustRightInd w:val="0"/>
        <w:snapToGrid w:val="0"/>
        <w:spacing w:line="600" w:lineRule="exact"/>
        <w:ind w:firstLine="2054" w:firstLineChars="642"/>
        <w:rPr>
          <w:rFonts w:hint="eastAsia" w:ascii="仿宋" w:hAnsi="仿宋" w:eastAsia="仿宋" w:cs="仿宋"/>
          <w:b w:val="0"/>
          <w:bCs/>
          <w:sz w:val="32"/>
          <w:szCs w:val="32"/>
          <w:lang w:val="zh-CN" w:eastAsia="zh-CN"/>
        </w:rPr>
      </w:pPr>
      <w:r>
        <w:rPr>
          <w:rFonts w:hint="eastAsia" w:ascii="仿宋" w:hAnsi="仿宋" w:eastAsia="仿宋" w:cs="仿宋"/>
          <w:b w:val="0"/>
          <w:bCs/>
          <w:sz w:val="32"/>
          <w:szCs w:val="32"/>
          <w:lang w:val="zh-CN" w:eastAsia="zh-CN"/>
        </w:rPr>
        <w:t>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w:t>
      </w:r>
      <w:r>
        <w:rPr>
          <w:rFonts w:hint="eastAsia" w:ascii="仿宋" w:hAnsi="仿宋" w:eastAsia="仿宋" w:cs="仿宋"/>
          <w:b/>
          <w:sz w:val="32"/>
          <w:szCs w:val="32"/>
          <w:lang w:val="zh-CN"/>
        </w:rPr>
        <w:t>相关建议</w:t>
      </w:r>
    </w:p>
    <w:p>
      <w:pPr>
        <w:widowControl/>
        <w:ind w:firstLine="2240" w:firstLineChars="700"/>
        <w:jc w:val="left"/>
        <w:rPr>
          <w:rStyle w:val="15"/>
          <w:rFonts w:ascii="黑体" w:hAnsi="黑体" w:eastAsia="黑体"/>
          <w:b w:val="0"/>
        </w:rPr>
      </w:pPr>
      <w:r>
        <w:rPr>
          <w:rFonts w:hint="eastAsia" w:ascii="仿宋" w:hAnsi="仿宋" w:eastAsia="仿宋" w:cs="仿宋"/>
          <w:sz w:val="32"/>
          <w:szCs w:val="32"/>
          <w:lang w:val="zh-CN"/>
        </w:rPr>
        <w:t>无</w:t>
      </w:r>
    </w:p>
    <w:p>
      <w:pPr>
        <w:numPr>
          <w:ilvl w:val="0"/>
          <w:numId w:val="0"/>
        </w:numPr>
        <w:spacing w:line="600" w:lineRule="exact"/>
        <w:ind w:firstLine="1760" w:firstLineChars="400"/>
        <w:jc w:val="both"/>
        <w:outlineLvl w:val="9"/>
        <w:rPr>
          <w:rStyle w:val="15"/>
          <w:rFonts w:hint="eastAsia" w:ascii="黑体" w:hAnsi="黑体" w:eastAsia="黑体"/>
          <w:b w:val="0"/>
          <w:lang w:val="en-US" w:eastAsia="zh-CN"/>
        </w:rPr>
      </w:pPr>
      <w:bookmarkStart w:id="104" w:name="_Toc15396618"/>
    </w:p>
    <w:p>
      <w:pPr>
        <w:numPr>
          <w:ilvl w:val="0"/>
          <w:numId w:val="0"/>
        </w:numPr>
        <w:spacing w:line="600" w:lineRule="exact"/>
        <w:ind w:firstLine="1760" w:firstLineChars="400"/>
        <w:jc w:val="both"/>
        <w:outlineLvl w:val="9"/>
        <w:rPr>
          <w:rStyle w:val="15"/>
          <w:rFonts w:hint="eastAsia" w:ascii="黑体" w:hAnsi="黑体" w:eastAsia="黑体"/>
          <w:b w:val="0"/>
          <w:lang w:val="en-US" w:eastAsia="zh-CN"/>
        </w:rPr>
      </w:pPr>
    </w:p>
    <w:p>
      <w:pPr>
        <w:numPr>
          <w:ilvl w:val="0"/>
          <w:numId w:val="0"/>
        </w:numPr>
        <w:spacing w:line="600" w:lineRule="exact"/>
        <w:ind w:firstLine="1760" w:firstLineChars="400"/>
        <w:jc w:val="both"/>
        <w:outlineLvl w:val="9"/>
        <w:rPr>
          <w:rStyle w:val="15"/>
          <w:rFonts w:hint="eastAsia" w:ascii="黑体" w:hAnsi="黑体" w:eastAsia="黑体"/>
          <w:b w:val="0"/>
          <w:lang w:val="en-US" w:eastAsia="zh-CN"/>
        </w:rPr>
      </w:pPr>
    </w:p>
    <w:p>
      <w:pPr>
        <w:numPr>
          <w:ilvl w:val="0"/>
          <w:numId w:val="0"/>
        </w:numPr>
        <w:spacing w:line="600" w:lineRule="exact"/>
        <w:ind w:firstLine="1760" w:firstLineChars="400"/>
        <w:jc w:val="both"/>
        <w:outlineLvl w:val="9"/>
        <w:rPr>
          <w:rStyle w:val="15"/>
          <w:rFonts w:hint="eastAsia" w:ascii="黑体" w:hAnsi="黑体" w:eastAsia="黑体"/>
          <w:b w:val="0"/>
          <w:lang w:val="en-US" w:eastAsia="zh-CN"/>
        </w:rPr>
      </w:pPr>
    </w:p>
    <w:p>
      <w:pPr>
        <w:numPr>
          <w:ilvl w:val="0"/>
          <w:numId w:val="0"/>
        </w:numPr>
        <w:spacing w:line="600" w:lineRule="exact"/>
        <w:ind w:firstLine="1760" w:firstLineChars="400"/>
        <w:jc w:val="both"/>
        <w:outlineLvl w:val="9"/>
        <w:rPr>
          <w:rStyle w:val="15"/>
          <w:rFonts w:hint="eastAsia" w:ascii="黑体" w:hAnsi="黑体" w:eastAsia="黑体"/>
          <w:b w:val="0"/>
          <w:lang w:val="en-US" w:eastAsia="zh-CN"/>
        </w:rPr>
      </w:pPr>
    </w:p>
    <w:p>
      <w:pPr>
        <w:numPr>
          <w:ilvl w:val="0"/>
          <w:numId w:val="0"/>
        </w:numPr>
        <w:spacing w:line="600" w:lineRule="exact"/>
        <w:ind w:firstLine="1760" w:firstLineChars="400"/>
        <w:jc w:val="both"/>
        <w:outlineLvl w:val="9"/>
        <w:rPr>
          <w:rStyle w:val="15"/>
          <w:rFonts w:hint="eastAsia" w:ascii="黑体" w:hAnsi="黑体" w:eastAsia="黑体"/>
          <w:b w:val="0"/>
          <w:lang w:val="en-US" w:eastAsia="zh-CN"/>
        </w:rPr>
      </w:pPr>
    </w:p>
    <w:p>
      <w:pPr>
        <w:numPr>
          <w:ilvl w:val="0"/>
          <w:numId w:val="0"/>
        </w:numPr>
        <w:spacing w:line="600" w:lineRule="exact"/>
        <w:ind w:firstLine="1760" w:firstLineChars="400"/>
        <w:jc w:val="both"/>
        <w:outlineLvl w:val="9"/>
        <w:rPr>
          <w:rStyle w:val="15"/>
          <w:rFonts w:hint="eastAsia" w:ascii="黑体" w:hAnsi="黑体" w:eastAsia="黑体"/>
          <w:b w:val="0"/>
          <w:lang w:val="en-US" w:eastAsia="zh-CN"/>
        </w:rPr>
      </w:pPr>
    </w:p>
    <w:p>
      <w:pPr>
        <w:numPr>
          <w:ilvl w:val="0"/>
          <w:numId w:val="0"/>
        </w:numPr>
        <w:spacing w:line="600" w:lineRule="exact"/>
        <w:ind w:firstLine="1760" w:firstLineChars="400"/>
        <w:jc w:val="both"/>
        <w:outlineLvl w:val="9"/>
        <w:rPr>
          <w:rStyle w:val="15"/>
          <w:rFonts w:hint="eastAsia" w:ascii="黑体" w:hAnsi="黑体" w:eastAsia="黑体"/>
          <w:b w:val="0"/>
          <w:lang w:val="en-US" w:eastAsia="zh-CN"/>
        </w:rPr>
      </w:pPr>
    </w:p>
    <w:p>
      <w:pPr>
        <w:numPr>
          <w:ilvl w:val="0"/>
          <w:numId w:val="0"/>
        </w:numPr>
        <w:spacing w:line="600" w:lineRule="exact"/>
        <w:ind w:firstLine="1760" w:firstLineChars="400"/>
        <w:jc w:val="both"/>
        <w:outlineLvl w:val="9"/>
        <w:rPr>
          <w:rStyle w:val="15"/>
          <w:rFonts w:hint="eastAsia" w:ascii="黑体" w:hAnsi="黑体" w:eastAsia="黑体"/>
          <w:b w:val="0"/>
          <w:lang w:val="en-US" w:eastAsia="zh-CN"/>
        </w:rPr>
      </w:pPr>
    </w:p>
    <w:p>
      <w:pPr>
        <w:numPr>
          <w:ilvl w:val="0"/>
          <w:numId w:val="0"/>
        </w:numPr>
        <w:spacing w:line="600" w:lineRule="exact"/>
        <w:ind w:firstLine="1760" w:firstLineChars="400"/>
        <w:jc w:val="both"/>
        <w:outlineLvl w:val="9"/>
        <w:rPr>
          <w:rStyle w:val="15"/>
          <w:rFonts w:hint="eastAsia" w:ascii="黑体" w:hAnsi="黑体" w:eastAsia="黑体"/>
          <w:b w:val="0"/>
          <w:lang w:val="en-US" w:eastAsia="zh-CN"/>
        </w:rPr>
      </w:pPr>
    </w:p>
    <w:p>
      <w:pPr>
        <w:numPr>
          <w:ilvl w:val="0"/>
          <w:numId w:val="0"/>
        </w:numPr>
        <w:spacing w:line="600" w:lineRule="exact"/>
        <w:ind w:firstLine="1760" w:firstLineChars="400"/>
        <w:jc w:val="both"/>
        <w:outlineLvl w:val="9"/>
        <w:rPr>
          <w:rStyle w:val="15"/>
          <w:rFonts w:hint="eastAsia" w:ascii="黑体" w:hAnsi="黑体" w:eastAsia="黑体"/>
          <w:b w:val="0"/>
          <w:lang w:val="en-US" w:eastAsia="zh-CN"/>
        </w:rPr>
      </w:pPr>
    </w:p>
    <w:p>
      <w:pPr>
        <w:numPr>
          <w:ilvl w:val="0"/>
          <w:numId w:val="0"/>
        </w:numPr>
        <w:spacing w:line="600" w:lineRule="exact"/>
        <w:ind w:firstLine="1760" w:firstLineChars="400"/>
        <w:jc w:val="both"/>
        <w:outlineLvl w:val="9"/>
        <w:rPr>
          <w:rStyle w:val="15"/>
          <w:rFonts w:hint="eastAsia" w:ascii="黑体" w:hAnsi="黑体" w:eastAsia="黑体"/>
          <w:b w:val="0"/>
          <w:lang w:val="en-US" w:eastAsia="zh-CN"/>
        </w:rPr>
      </w:pPr>
    </w:p>
    <w:p>
      <w:pPr>
        <w:numPr>
          <w:ilvl w:val="0"/>
          <w:numId w:val="0"/>
        </w:numPr>
        <w:spacing w:line="600" w:lineRule="exact"/>
        <w:ind w:firstLine="1760" w:firstLineChars="400"/>
        <w:jc w:val="both"/>
        <w:outlineLvl w:val="0"/>
        <w:rPr>
          <w:rStyle w:val="15"/>
          <w:rFonts w:hint="eastAsia" w:ascii="黑体" w:hAnsi="黑体" w:eastAsia="黑体"/>
          <w:b w:val="0"/>
        </w:rPr>
      </w:pPr>
      <w:bookmarkStart w:id="105" w:name="_Toc22726"/>
      <w:r>
        <w:rPr>
          <w:rStyle w:val="15"/>
          <w:rFonts w:hint="eastAsia" w:ascii="黑体" w:hAnsi="黑体" w:eastAsia="黑体"/>
          <w:b w:val="0"/>
          <w:lang w:val="en-US" w:eastAsia="zh-CN"/>
        </w:rPr>
        <w:t xml:space="preserve">第五部分  </w:t>
      </w:r>
      <w:r>
        <w:rPr>
          <w:rStyle w:val="15"/>
          <w:rFonts w:hint="eastAsia" w:ascii="黑体" w:hAnsi="黑体" w:eastAsia="黑体"/>
          <w:b w:val="0"/>
        </w:rPr>
        <w:t>附表</w:t>
      </w:r>
      <w:bookmarkEnd w:id="100"/>
      <w:bookmarkEnd w:id="104"/>
      <w:bookmarkEnd w:id="105"/>
      <w:bookmarkStart w:id="106" w:name="_Toc15396619"/>
    </w:p>
    <w:bookmarkEnd w:id="106"/>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07" w:name="_Toc18860"/>
      <w:bookmarkStart w:id="108" w:name="_Toc30727"/>
      <w:r>
        <w:rPr>
          <w:rFonts w:hint="eastAsia" w:ascii="仿宋" w:hAnsi="仿宋" w:eastAsia="仿宋"/>
          <w:b w:val="0"/>
          <w:bCs/>
          <w:color w:val="000000"/>
        </w:rPr>
        <w:t>一、收</w:t>
      </w:r>
      <w:r>
        <w:rPr>
          <w:rStyle w:val="19"/>
          <w:rFonts w:hint="eastAsia" w:ascii="仿宋" w:hAnsi="仿宋" w:eastAsia="仿宋"/>
          <w:b w:val="0"/>
          <w:bCs/>
        </w:rPr>
        <w:t>入支出决算总表</w:t>
      </w:r>
      <w:bookmarkEnd w:id="107"/>
      <w:bookmarkEnd w:id="108"/>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09" w:name="_Toc6493"/>
      <w:bookmarkStart w:id="110" w:name="_Toc395"/>
      <w:bookmarkStart w:id="111" w:name="_Toc15396620"/>
      <w:r>
        <w:rPr>
          <w:rFonts w:hint="eastAsia" w:ascii="仿宋" w:hAnsi="仿宋" w:eastAsia="仿宋"/>
          <w:b w:val="0"/>
          <w:bCs/>
          <w:color w:val="000000"/>
        </w:rPr>
        <w:t>二、收</w:t>
      </w:r>
      <w:r>
        <w:rPr>
          <w:rStyle w:val="19"/>
          <w:rFonts w:hint="eastAsia" w:ascii="仿宋" w:hAnsi="仿宋" w:eastAsia="仿宋"/>
          <w:b w:val="0"/>
          <w:bCs/>
        </w:rPr>
        <w:t>入决算表</w:t>
      </w:r>
      <w:bookmarkEnd w:id="109"/>
      <w:bookmarkEnd w:id="110"/>
      <w:bookmarkEnd w:id="111"/>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12" w:name="_Toc13929"/>
      <w:bookmarkStart w:id="113" w:name="_Toc23752"/>
      <w:bookmarkStart w:id="114" w:name="_Toc15396621"/>
      <w:r>
        <w:rPr>
          <w:rStyle w:val="19"/>
          <w:rFonts w:hint="eastAsia" w:ascii="仿宋" w:hAnsi="仿宋" w:eastAsia="仿宋"/>
          <w:b w:val="0"/>
          <w:bCs/>
        </w:rPr>
        <w:t>三、</w:t>
      </w:r>
      <w:r>
        <w:rPr>
          <w:rFonts w:hint="eastAsia" w:ascii="仿宋" w:hAnsi="仿宋" w:eastAsia="仿宋"/>
          <w:b w:val="0"/>
          <w:bCs/>
          <w:color w:val="000000"/>
        </w:rPr>
        <w:t>支</w:t>
      </w:r>
      <w:r>
        <w:rPr>
          <w:rStyle w:val="19"/>
          <w:rFonts w:hint="eastAsia" w:ascii="仿宋" w:hAnsi="仿宋" w:eastAsia="仿宋"/>
          <w:b w:val="0"/>
          <w:bCs/>
        </w:rPr>
        <w:t>出决算表</w:t>
      </w:r>
      <w:bookmarkEnd w:id="112"/>
      <w:bookmarkEnd w:id="113"/>
      <w:bookmarkEnd w:id="114"/>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15" w:name="_Toc3504"/>
      <w:bookmarkStart w:id="116" w:name="_Toc15396622"/>
      <w:bookmarkStart w:id="117" w:name="_Toc19915"/>
      <w:r>
        <w:rPr>
          <w:rStyle w:val="19"/>
          <w:rFonts w:hint="eastAsia" w:ascii="仿宋" w:hAnsi="仿宋" w:eastAsia="仿宋"/>
          <w:b w:val="0"/>
          <w:bCs/>
        </w:rPr>
        <w:t>四、</w:t>
      </w:r>
      <w:r>
        <w:rPr>
          <w:rFonts w:hint="eastAsia" w:ascii="仿宋" w:hAnsi="仿宋" w:eastAsia="仿宋"/>
          <w:b w:val="0"/>
          <w:bCs/>
          <w:color w:val="000000"/>
        </w:rPr>
        <w:t>财</w:t>
      </w:r>
      <w:r>
        <w:rPr>
          <w:rStyle w:val="19"/>
          <w:rFonts w:hint="eastAsia" w:ascii="仿宋" w:hAnsi="仿宋" w:eastAsia="仿宋"/>
          <w:b w:val="0"/>
          <w:bCs/>
        </w:rPr>
        <w:t>政拨款收入支出决算总表</w:t>
      </w:r>
      <w:bookmarkEnd w:id="115"/>
      <w:bookmarkEnd w:id="116"/>
      <w:bookmarkEnd w:id="117"/>
    </w:p>
    <w:p>
      <w:pPr>
        <w:pStyle w:val="3"/>
        <w:keepNext/>
        <w:keepLines/>
        <w:pageBreakBefore w:val="0"/>
        <w:widowControl w:val="0"/>
        <w:kinsoku/>
        <w:wordWrap/>
        <w:overflowPunct/>
        <w:topLinePunct w:val="0"/>
        <w:autoSpaceDE/>
        <w:autoSpaceDN/>
        <w:bidi w:val="0"/>
        <w:adjustRightInd/>
        <w:snapToGrid/>
        <w:spacing w:line="580" w:lineRule="exact"/>
        <w:textAlignment w:val="auto"/>
        <w:rPr>
          <w:rStyle w:val="19"/>
          <w:rFonts w:ascii="仿宋" w:hAnsi="仿宋" w:eastAsia="仿宋"/>
          <w:b w:val="0"/>
          <w:bCs/>
        </w:rPr>
      </w:pPr>
      <w:bookmarkStart w:id="118" w:name="_Toc30002"/>
      <w:bookmarkStart w:id="119" w:name="_Toc17251"/>
      <w:bookmarkStart w:id="120" w:name="_Toc15396623"/>
      <w:r>
        <w:rPr>
          <w:rStyle w:val="19"/>
          <w:rFonts w:hint="eastAsia" w:ascii="仿宋" w:hAnsi="仿宋" w:eastAsia="仿宋"/>
          <w:b w:val="0"/>
          <w:bCs/>
        </w:rPr>
        <w:t>五、</w:t>
      </w:r>
      <w:r>
        <w:rPr>
          <w:rFonts w:hint="eastAsia" w:ascii="仿宋" w:hAnsi="仿宋" w:eastAsia="仿宋"/>
          <w:b w:val="0"/>
          <w:bCs/>
          <w:color w:val="000000"/>
        </w:rPr>
        <w:t>财</w:t>
      </w:r>
      <w:r>
        <w:rPr>
          <w:rStyle w:val="19"/>
          <w:rFonts w:hint="eastAsia" w:ascii="仿宋" w:hAnsi="仿宋" w:eastAsia="仿宋"/>
          <w:b w:val="0"/>
          <w:bCs/>
        </w:rPr>
        <w:t>政拨款支出决算明细表</w:t>
      </w:r>
      <w:bookmarkEnd w:id="118"/>
      <w:bookmarkEnd w:id="119"/>
      <w:bookmarkEnd w:id="120"/>
      <w:bookmarkStart w:id="121" w:name="_Toc15396624"/>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22" w:name="_Toc22099"/>
      <w:bookmarkStart w:id="123" w:name="_Toc19691"/>
      <w:r>
        <w:rPr>
          <w:rStyle w:val="19"/>
          <w:rFonts w:hint="eastAsia" w:ascii="仿宋" w:hAnsi="仿宋" w:eastAsia="仿宋"/>
          <w:b w:val="0"/>
          <w:bCs/>
        </w:rPr>
        <w:t>六、</w:t>
      </w:r>
      <w:r>
        <w:rPr>
          <w:rFonts w:hint="eastAsia" w:ascii="仿宋" w:hAnsi="仿宋" w:eastAsia="仿宋"/>
          <w:b w:val="0"/>
          <w:bCs/>
          <w:color w:val="000000"/>
        </w:rPr>
        <w:t>一</w:t>
      </w:r>
      <w:r>
        <w:rPr>
          <w:rStyle w:val="19"/>
          <w:rFonts w:hint="eastAsia" w:ascii="仿宋" w:hAnsi="仿宋" w:eastAsia="仿宋"/>
          <w:b w:val="0"/>
          <w:bCs/>
        </w:rPr>
        <w:t>般公共预算财政拨款支出决算表</w:t>
      </w:r>
      <w:bookmarkEnd w:id="121"/>
      <w:bookmarkEnd w:id="122"/>
      <w:bookmarkEnd w:id="123"/>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24" w:name="_Toc15396625"/>
      <w:bookmarkStart w:id="125" w:name="_Toc3466"/>
      <w:bookmarkStart w:id="126" w:name="_Toc25647"/>
      <w:r>
        <w:rPr>
          <w:rStyle w:val="19"/>
          <w:rFonts w:hint="eastAsia" w:ascii="仿宋" w:hAnsi="仿宋" w:eastAsia="仿宋"/>
          <w:b w:val="0"/>
          <w:bCs/>
        </w:rPr>
        <w:t>七、</w:t>
      </w:r>
      <w:r>
        <w:rPr>
          <w:rFonts w:hint="eastAsia" w:ascii="仿宋" w:hAnsi="仿宋" w:eastAsia="仿宋"/>
          <w:b w:val="0"/>
          <w:bCs/>
          <w:color w:val="000000"/>
        </w:rPr>
        <w:t>一</w:t>
      </w:r>
      <w:r>
        <w:rPr>
          <w:rStyle w:val="19"/>
          <w:rFonts w:hint="eastAsia" w:ascii="仿宋" w:hAnsi="仿宋" w:eastAsia="仿宋"/>
          <w:b w:val="0"/>
          <w:bCs/>
        </w:rPr>
        <w:t>般公共预算财政拨款支出决算明细表</w:t>
      </w:r>
      <w:bookmarkEnd w:id="124"/>
      <w:bookmarkEnd w:id="125"/>
      <w:bookmarkEnd w:id="126"/>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27" w:name="_Toc30277"/>
      <w:bookmarkStart w:id="128" w:name="_Toc15396626"/>
      <w:bookmarkStart w:id="129" w:name="_Toc10119"/>
      <w:r>
        <w:rPr>
          <w:rStyle w:val="19"/>
          <w:rFonts w:hint="eastAsia" w:ascii="仿宋" w:hAnsi="仿宋" w:eastAsia="仿宋"/>
          <w:b w:val="0"/>
          <w:bCs/>
        </w:rPr>
        <w:t>八、</w:t>
      </w:r>
      <w:r>
        <w:rPr>
          <w:rFonts w:hint="eastAsia" w:ascii="仿宋" w:hAnsi="仿宋" w:eastAsia="仿宋"/>
          <w:b w:val="0"/>
          <w:bCs/>
          <w:color w:val="000000"/>
        </w:rPr>
        <w:t>一</w:t>
      </w:r>
      <w:r>
        <w:rPr>
          <w:rStyle w:val="19"/>
          <w:rFonts w:hint="eastAsia" w:ascii="仿宋" w:hAnsi="仿宋" w:eastAsia="仿宋"/>
          <w:b w:val="0"/>
          <w:bCs/>
        </w:rPr>
        <w:t>般公共预算财政拨款基本支出决算表</w:t>
      </w:r>
      <w:bookmarkEnd w:id="127"/>
      <w:bookmarkEnd w:id="128"/>
      <w:bookmarkEnd w:id="129"/>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30" w:name="_Toc13727"/>
      <w:bookmarkStart w:id="131" w:name="_Toc21697"/>
      <w:bookmarkStart w:id="132" w:name="_Toc15396627"/>
      <w:r>
        <w:rPr>
          <w:rStyle w:val="19"/>
          <w:rFonts w:hint="eastAsia" w:ascii="仿宋" w:hAnsi="仿宋" w:eastAsia="仿宋"/>
          <w:b w:val="0"/>
          <w:bCs/>
        </w:rPr>
        <w:t>九、</w:t>
      </w:r>
      <w:r>
        <w:rPr>
          <w:rFonts w:hint="eastAsia" w:ascii="仿宋" w:hAnsi="仿宋" w:eastAsia="仿宋"/>
          <w:b w:val="0"/>
          <w:bCs/>
          <w:color w:val="000000"/>
        </w:rPr>
        <w:t>一</w:t>
      </w:r>
      <w:r>
        <w:rPr>
          <w:rStyle w:val="19"/>
          <w:rFonts w:hint="eastAsia" w:ascii="仿宋" w:hAnsi="仿宋" w:eastAsia="仿宋"/>
          <w:b w:val="0"/>
          <w:bCs/>
        </w:rPr>
        <w:t>般公共预算财政拨款项目支出决算表</w:t>
      </w:r>
      <w:bookmarkEnd w:id="130"/>
      <w:bookmarkEnd w:id="131"/>
      <w:bookmarkEnd w:id="132"/>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33" w:name="_Toc23773"/>
      <w:bookmarkStart w:id="134" w:name="_Toc28481"/>
      <w:bookmarkStart w:id="135" w:name="_Toc15396628"/>
      <w:r>
        <w:rPr>
          <w:rStyle w:val="19"/>
          <w:rFonts w:hint="eastAsia" w:ascii="仿宋" w:hAnsi="仿宋" w:eastAsia="仿宋"/>
          <w:b w:val="0"/>
          <w:bCs/>
        </w:rPr>
        <w:t>十、</w:t>
      </w:r>
      <w:r>
        <w:rPr>
          <w:rFonts w:hint="eastAsia" w:ascii="仿宋" w:hAnsi="仿宋" w:eastAsia="仿宋"/>
          <w:b w:val="0"/>
          <w:bCs/>
          <w:color w:val="000000"/>
        </w:rPr>
        <w:t>一</w:t>
      </w:r>
      <w:r>
        <w:rPr>
          <w:rStyle w:val="19"/>
          <w:rFonts w:hint="eastAsia" w:ascii="仿宋" w:hAnsi="仿宋" w:eastAsia="仿宋"/>
          <w:b w:val="0"/>
          <w:bCs/>
        </w:rPr>
        <w:t>般公共预算财政拨款“三公”经费支出决算表</w:t>
      </w:r>
      <w:bookmarkEnd w:id="133"/>
      <w:bookmarkEnd w:id="134"/>
      <w:bookmarkEnd w:id="135"/>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36" w:name="_Toc15396629"/>
      <w:bookmarkStart w:id="137" w:name="_Toc24938"/>
      <w:bookmarkStart w:id="138" w:name="_Toc366"/>
      <w:r>
        <w:rPr>
          <w:rStyle w:val="19"/>
          <w:rFonts w:hint="eastAsia" w:ascii="仿宋" w:hAnsi="仿宋" w:eastAsia="仿宋"/>
          <w:b w:val="0"/>
          <w:bCs/>
        </w:rPr>
        <w:t>十一、</w:t>
      </w:r>
      <w:r>
        <w:rPr>
          <w:rFonts w:hint="eastAsia" w:ascii="仿宋" w:hAnsi="仿宋" w:eastAsia="仿宋"/>
          <w:b w:val="0"/>
          <w:bCs/>
          <w:color w:val="000000"/>
        </w:rPr>
        <w:t>政</w:t>
      </w:r>
      <w:r>
        <w:rPr>
          <w:rStyle w:val="19"/>
          <w:rFonts w:hint="eastAsia" w:ascii="仿宋" w:hAnsi="仿宋" w:eastAsia="仿宋"/>
          <w:b w:val="0"/>
          <w:bCs/>
        </w:rPr>
        <w:t>府性基金预算财政拨款收入支出决算表</w:t>
      </w:r>
      <w:bookmarkEnd w:id="136"/>
      <w:bookmarkEnd w:id="137"/>
      <w:bookmarkEnd w:id="138"/>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39" w:name="_Toc15396630"/>
      <w:bookmarkStart w:id="140" w:name="_Toc9805"/>
      <w:bookmarkStart w:id="141" w:name="_Toc3423"/>
      <w:r>
        <w:rPr>
          <w:rStyle w:val="19"/>
          <w:rFonts w:hint="eastAsia" w:ascii="仿宋" w:hAnsi="仿宋" w:eastAsia="仿宋"/>
          <w:b w:val="0"/>
          <w:bCs/>
        </w:rPr>
        <w:t>十二、</w:t>
      </w:r>
      <w:r>
        <w:rPr>
          <w:rFonts w:hint="eastAsia" w:ascii="仿宋" w:hAnsi="仿宋" w:eastAsia="仿宋"/>
          <w:b w:val="0"/>
          <w:bCs/>
          <w:color w:val="000000"/>
        </w:rPr>
        <w:t>政</w:t>
      </w:r>
      <w:r>
        <w:rPr>
          <w:rStyle w:val="19"/>
          <w:rFonts w:hint="eastAsia" w:ascii="仿宋" w:hAnsi="仿宋" w:eastAsia="仿宋"/>
          <w:b w:val="0"/>
          <w:bCs/>
        </w:rPr>
        <w:t>府性基金预算财政拨款“三公”经费支出决算表</w:t>
      </w:r>
      <w:bookmarkEnd w:id="139"/>
      <w:bookmarkEnd w:id="140"/>
      <w:bookmarkEnd w:id="141"/>
    </w:p>
    <w:p>
      <w:pPr>
        <w:pStyle w:val="3"/>
        <w:keepNext/>
        <w:keepLines/>
        <w:pageBreakBefore w:val="0"/>
        <w:widowControl w:val="0"/>
        <w:kinsoku/>
        <w:wordWrap/>
        <w:overflowPunct/>
        <w:topLinePunct w:val="0"/>
        <w:autoSpaceDE/>
        <w:autoSpaceDN/>
        <w:bidi w:val="0"/>
        <w:adjustRightInd/>
        <w:snapToGrid/>
        <w:spacing w:line="580" w:lineRule="exact"/>
        <w:textAlignment w:val="auto"/>
        <w:rPr>
          <w:rStyle w:val="19"/>
          <w:rFonts w:ascii="仿宋" w:hAnsi="仿宋" w:eastAsia="仿宋"/>
          <w:b w:val="0"/>
          <w:bCs/>
        </w:rPr>
      </w:pPr>
      <w:bookmarkStart w:id="142" w:name="_Toc27620"/>
      <w:bookmarkStart w:id="143" w:name="_Toc15396631"/>
      <w:bookmarkStart w:id="144" w:name="_Toc7078"/>
      <w:r>
        <w:rPr>
          <w:rStyle w:val="19"/>
          <w:rFonts w:hint="eastAsia" w:ascii="仿宋" w:hAnsi="仿宋" w:eastAsia="仿宋"/>
          <w:b w:val="0"/>
          <w:bCs/>
        </w:rPr>
        <w:t>十三、</w:t>
      </w:r>
      <w:r>
        <w:rPr>
          <w:rFonts w:hint="eastAsia" w:ascii="仿宋" w:hAnsi="仿宋" w:eastAsia="仿宋"/>
          <w:b w:val="0"/>
          <w:bCs/>
          <w:color w:val="000000"/>
        </w:rPr>
        <w:t>国</w:t>
      </w:r>
      <w:r>
        <w:rPr>
          <w:rStyle w:val="19"/>
          <w:rFonts w:hint="eastAsia" w:ascii="仿宋" w:hAnsi="仿宋" w:eastAsia="仿宋"/>
          <w:b w:val="0"/>
          <w:bCs/>
        </w:rPr>
        <w:t>有资本经营预算财政拨款收入支出决算表</w:t>
      </w:r>
      <w:bookmarkEnd w:id="142"/>
      <w:bookmarkEnd w:id="143"/>
      <w:bookmarkEnd w:id="144"/>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45" w:name="_Toc11289"/>
      <w:bookmarkStart w:id="146" w:name="_Toc31912"/>
      <w:r>
        <w:rPr>
          <w:rStyle w:val="19"/>
          <w:rFonts w:hint="eastAsia" w:ascii="仿宋" w:hAnsi="仿宋" w:eastAsia="仿宋"/>
          <w:b w:val="0"/>
          <w:bCs/>
        </w:rPr>
        <w:t>十四、</w:t>
      </w:r>
      <w:r>
        <w:rPr>
          <w:rFonts w:hint="eastAsia" w:ascii="仿宋" w:hAnsi="仿宋" w:eastAsia="仿宋"/>
          <w:b w:val="0"/>
          <w:bCs/>
          <w:color w:val="000000"/>
        </w:rPr>
        <w:t>国</w:t>
      </w:r>
      <w:r>
        <w:rPr>
          <w:rStyle w:val="19"/>
          <w:rFonts w:hint="eastAsia" w:ascii="仿宋" w:hAnsi="仿宋" w:eastAsia="仿宋"/>
          <w:b w:val="0"/>
          <w:bCs/>
        </w:rPr>
        <w:t>有资本经营预算财政拨款支出决算表</w:t>
      </w:r>
      <w:bookmarkEnd w:id="145"/>
      <w:bookmarkEnd w:id="146"/>
    </w:p>
    <w:p>
      <w:pPr>
        <w:rPr>
          <w:rFonts w:hint="eastAsia" w:eastAsiaTheme="minorEastAsia"/>
          <w:lang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010C9D7"/>
    <w:multiLevelType w:val="singleLevel"/>
    <w:tmpl w:val="E010C9D7"/>
    <w:lvl w:ilvl="0" w:tentative="0">
      <w:start w:val="2"/>
      <w:numFmt w:val="decimal"/>
      <w:suff w:val="nothing"/>
      <w:lvlText w:val="%1．"/>
      <w:lvlJc w:val="left"/>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F7BBCEEB"/>
    <w:multiLevelType w:val="singleLevel"/>
    <w:tmpl w:val="F7BBCEEB"/>
    <w:lvl w:ilvl="0" w:tentative="0">
      <w:start w:val="2"/>
      <w:numFmt w:val="decimal"/>
      <w:suff w:val="nothing"/>
      <w:lvlText w:val="%1．"/>
      <w:lvlJc w:val="left"/>
    </w:lvl>
  </w:abstractNum>
  <w:abstractNum w:abstractNumId="4">
    <w:nsid w:val="FB9E574E"/>
    <w:multiLevelType w:val="singleLevel"/>
    <w:tmpl w:val="FB9E574E"/>
    <w:lvl w:ilvl="0" w:tentative="0">
      <w:start w:val="2"/>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6">
    <w:nsid w:val="26F0DB3F"/>
    <w:multiLevelType w:val="singleLevel"/>
    <w:tmpl w:val="26F0DB3F"/>
    <w:lvl w:ilvl="0" w:tentative="0">
      <w:start w:val="2"/>
      <w:numFmt w:val="chineseCounting"/>
      <w:suff w:val="nothing"/>
      <w:lvlText w:val="（%1）"/>
      <w:lvlJc w:val="left"/>
      <w:rPr>
        <w:rFonts w:hint="eastAsia"/>
      </w:rPr>
    </w:lvl>
  </w:abstractNum>
  <w:abstractNum w:abstractNumId="7">
    <w:nsid w:val="2DF79ECB"/>
    <w:multiLevelType w:val="singleLevel"/>
    <w:tmpl w:val="2DF79ECB"/>
    <w:lvl w:ilvl="0" w:tentative="0">
      <w:start w:val="2"/>
      <w:numFmt w:val="chineseCounting"/>
      <w:suff w:val="nothing"/>
      <w:lvlText w:val="（%1）"/>
      <w:lvlJc w:val="left"/>
      <w:rPr>
        <w:rFonts w:hint="eastAsia"/>
      </w:rPr>
    </w:lvl>
  </w:abstractNum>
  <w:num w:numId="1">
    <w:abstractNumId w:val="5"/>
  </w:num>
  <w:num w:numId="2">
    <w:abstractNumId w:val="0"/>
  </w:num>
  <w:num w:numId="3">
    <w:abstractNumId w:val="2"/>
  </w:num>
  <w:num w:numId="4">
    <w:abstractNumId w:val="6"/>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B66DB"/>
    <w:rsid w:val="00624AEE"/>
    <w:rsid w:val="00DF6ECF"/>
    <w:rsid w:val="010D2661"/>
    <w:rsid w:val="01B64868"/>
    <w:rsid w:val="01BC5869"/>
    <w:rsid w:val="01C11E30"/>
    <w:rsid w:val="01E3205D"/>
    <w:rsid w:val="02E065BA"/>
    <w:rsid w:val="02E93779"/>
    <w:rsid w:val="031E1D8E"/>
    <w:rsid w:val="03557094"/>
    <w:rsid w:val="03BC23B4"/>
    <w:rsid w:val="047D2B2F"/>
    <w:rsid w:val="04D12053"/>
    <w:rsid w:val="05287A32"/>
    <w:rsid w:val="052A6E74"/>
    <w:rsid w:val="05645302"/>
    <w:rsid w:val="058420F1"/>
    <w:rsid w:val="06951C7E"/>
    <w:rsid w:val="06977505"/>
    <w:rsid w:val="069A6762"/>
    <w:rsid w:val="06E55597"/>
    <w:rsid w:val="07604836"/>
    <w:rsid w:val="078D18E5"/>
    <w:rsid w:val="07CD3868"/>
    <w:rsid w:val="089844FD"/>
    <w:rsid w:val="089A28A1"/>
    <w:rsid w:val="08CC033C"/>
    <w:rsid w:val="09186640"/>
    <w:rsid w:val="09C430F7"/>
    <w:rsid w:val="09CB7031"/>
    <w:rsid w:val="09D407DB"/>
    <w:rsid w:val="09DE34B1"/>
    <w:rsid w:val="0A5510C7"/>
    <w:rsid w:val="0A8B345C"/>
    <w:rsid w:val="0B0D441B"/>
    <w:rsid w:val="0B0D49A2"/>
    <w:rsid w:val="0B225F17"/>
    <w:rsid w:val="0B482663"/>
    <w:rsid w:val="0BFC6B85"/>
    <w:rsid w:val="0C061E4E"/>
    <w:rsid w:val="0C285864"/>
    <w:rsid w:val="0C6F1C0B"/>
    <w:rsid w:val="0C8913FF"/>
    <w:rsid w:val="0C943154"/>
    <w:rsid w:val="0CBA7287"/>
    <w:rsid w:val="0D096AC0"/>
    <w:rsid w:val="0D511AC8"/>
    <w:rsid w:val="0D7063F4"/>
    <w:rsid w:val="0D717005"/>
    <w:rsid w:val="0E1413F1"/>
    <w:rsid w:val="0E9F0C06"/>
    <w:rsid w:val="0F646DBD"/>
    <w:rsid w:val="0F735599"/>
    <w:rsid w:val="0F96152D"/>
    <w:rsid w:val="0FF65D68"/>
    <w:rsid w:val="0FFF6BA1"/>
    <w:rsid w:val="104F5FF3"/>
    <w:rsid w:val="105967B7"/>
    <w:rsid w:val="1061082F"/>
    <w:rsid w:val="107172A0"/>
    <w:rsid w:val="10821F6B"/>
    <w:rsid w:val="10C30504"/>
    <w:rsid w:val="10F24AC0"/>
    <w:rsid w:val="112962C2"/>
    <w:rsid w:val="11383E35"/>
    <w:rsid w:val="118D3F5F"/>
    <w:rsid w:val="11A650B1"/>
    <w:rsid w:val="121050DF"/>
    <w:rsid w:val="13C14374"/>
    <w:rsid w:val="13D51776"/>
    <w:rsid w:val="13DB7C24"/>
    <w:rsid w:val="13E41CDB"/>
    <w:rsid w:val="141A66B9"/>
    <w:rsid w:val="144D0F77"/>
    <w:rsid w:val="14591C55"/>
    <w:rsid w:val="14B06E34"/>
    <w:rsid w:val="14B71A79"/>
    <w:rsid w:val="15316F8B"/>
    <w:rsid w:val="15441BB6"/>
    <w:rsid w:val="158B2B38"/>
    <w:rsid w:val="15DA618C"/>
    <w:rsid w:val="16385338"/>
    <w:rsid w:val="1639537D"/>
    <w:rsid w:val="16544B70"/>
    <w:rsid w:val="16665107"/>
    <w:rsid w:val="16AC0C91"/>
    <w:rsid w:val="17A5639C"/>
    <w:rsid w:val="17E0018E"/>
    <w:rsid w:val="17FE1A10"/>
    <w:rsid w:val="1887488F"/>
    <w:rsid w:val="18BF28B4"/>
    <w:rsid w:val="194046CD"/>
    <w:rsid w:val="19A509E8"/>
    <w:rsid w:val="19A87E02"/>
    <w:rsid w:val="19C079C5"/>
    <w:rsid w:val="19C42560"/>
    <w:rsid w:val="1AD35EA8"/>
    <w:rsid w:val="1AEC5330"/>
    <w:rsid w:val="1B6E3FD6"/>
    <w:rsid w:val="1B91706E"/>
    <w:rsid w:val="1C2365C6"/>
    <w:rsid w:val="1C5F54FD"/>
    <w:rsid w:val="1CB219C3"/>
    <w:rsid w:val="1D2A6AA0"/>
    <w:rsid w:val="1D6A1234"/>
    <w:rsid w:val="1D737AE6"/>
    <w:rsid w:val="1D8B46EB"/>
    <w:rsid w:val="1DD045F0"/>
    <w:rsid w:val="1DD51D3B"/>
    <w:rsid w:val="1DDF10B1"/>
    <w:rsid w:val="1DFA19C3"/>
    <w:rsid w:val="1E217132"/>
    <w:rsid w:val="1E421890"/>
    <w:rsid w:val="1EB7290A"/>
    <w:rsid w:val="1F91291C"/>
    <w:rsid w:val="201B24C0"/>
    <w:rsid w:val="202030ED"/>
    <w:rsid w:val="20482E83"/>
    <w:rsid w:val="213B5427"/>
    <w:rsid w:val="2167349A"/>
    <w:rsid w:val="21C54CAA"/>
    <w:rsid w:val="224D0AF4"/>
    <w:rsid w:val="22D85D2A"/>
    <w:rsid w:val="242A503B"/>
    <w:rsid w:val="24B1088C"/>
    <w:rsid w:val="24C877E1"/>
    <w:rsid w:val="25736D7C"/>
    <w:rsid w:val="2594492F"/>
    <w:rsid w:val="262D18FF"/>
    <w:rsid w:val="26A23B04"/>
    <w:rsid w:val="27071E7D"/>
    <w:rsid w:val="27267E43"/>
    <w:rsid w:val="27306953"/>
    <w:rsid w:val="278357EF"/>
    <w:rsid w:val="27D663C9"/>
    <w:rsid w:val="27EE54D6"/>
    <w:rsid w:val="281A68C5"/>
    <w:rsid w:val="28312D27"/>
    <w:rsid w:val="284E5E4B"/>
    <w:rsid w:val="28F30CB7"/>
    <w:rsid w:val="290415B0"/>
    <w:rsid w:val="290E2754"/>
    <w:rsid w:val="290F015E"/>
    <w:rsid w:val="293F3240"/>
    <w:rsid w:val="29653C54"/>
    <w:rsid w:val="296B3F4B"/>
    <w:rsid w:val="29DB7B33"/>
    <w:rsid w:val="2A412F8F"/>
    <w:rsid w:val="2A903862"/>
    <w:rsid w:val="2B2A381E"/>
    <w:rsid w:val="2B8B1F12"/>
    <w:rsid w:val="2B9A4747"/>
    <w:rsid w:val="2BBD3CB4"/>
    <w:rsid w:val="2BF911CC"/>
    <w:rsid w:val="2C0E0AA2"/>
    <w:rsid w:val="2C412B3E"/>
    <w:rsid w:val="2CAB3AC4"/>
    <w:rsid w:val="2CC92BF1"/>
    <w:rsid w:val="2CD24DD2"/>
    <w:rsid w:val="2CE324C0"/>
    <w:rsid w:val="2CF4284B"/>
    <w:rsid w:val="2CF97C5D"/>
    <w:rsid w:val="2D2456D1"/>
    <w:rsid w:val="2D4466DA"/>
    <w:rsid w:val="2DE36CBE"/>
    <w:rsid w:val="2E031422"/>
    <w:rsid w:val="2E154B85"/>
    <w:rsid w:val="2E9D416D"/>
    <w:rsid w:val="2F7D0C8C"/>
    <w:rsid w:val="2FD265B4"/>
    <w:rsid w:val="300517CD"/>
    <w:rsid w:val="30434438"/>
    <w:rsid w:val="309375FE"/>
    <w:rsid w:val="30AD22F7"/>
    <w:rsid w:val="30B1294E"/>
    <w:rsid w:val="30CF551D"/>
    <w:rsid w:val="30FF79F1"/>
    <w:rsid w:val="319C2B39"/>
    <w:rsid w:val="31AF05DF"/>
    <w:rsid w:val="32C01F73"/>
    <w:rsid w:val="32DE5329"/>
    <w:rsid w:val="332B5C89"/>
    <w:rsid w:val="3354624E"/>
    <w:rsid w:val="33C57E9A"/>
    <w:rsid w:val="340B49FB"/>
    <w:rsid w:val="3445531D"/>
    <w:rsid w:val="34895F9A"/>
    <w:rsid w:val="34F05427"/>
    <w:rsid w:val="34FC40CF"/>
    <w:rsid w:val="35801574"/>
    <w:rsid w:val="358062DE"/>
    <w:rsid w:val="358A6C92"/>
    <w:rsid w:val="35D5318A"/>
    <w:rsid w:val="36016D8D"/>
    <w:rsid w:val="3610072D"/>
    <w:rsid w:val="3619770F"/>
    <w:rsid w:val="36206041"/>
    <w:rsid w:val="368D3F86"/>
    <w:rsid w:val="36A848C1"/>
    <w:rsid w:val="36CA6C86"/>
    <w:rsid w:val="36FA134C"/>
    <w:rsid w:val="37206344"/>
    <w:rsid w:val="37694D62"/>
    <w:rsid w:val="37B92FD1"/>
    <w:rsid w:val="381B1E02"/>
    <w:rsid w:val="383276CB"/>
    <w:rsid w:val="386246B4"/>
    <w:rsid w:val="388D3D04"/>
    <w:rsid w:val="38F45326"/>
    <w:rsid w:val="38FF114B"/>
    <w:rsid w:val="39115282"/>
    <w:rsid w:val="392B51C6"/>
    <w:rsid w:val="39747D8D"/>
    <w:rsid w:val="39B03EBF"/>
    <w:rsid w:val="39EB0E26"/>
    <w:rsid w:val="39EF201E"/>
    <w:rsid w:val="39FC3F49"/>
    <w:rsid w:val="3A14361B"/>
    <w:rsid w:val="3A520D8A"/>
    <w:rsid w:val="3A994E53"/>
    <w:rsid w:val="3A9C74E9"/>
    <w:rsid w:val="3A9E6709"/>
    <w:rsid w:val="3AAB0341"/>
    <w:rsid w:val="3B25291B"/>
    <w:rsid w:val="3B2C76E6"/>
    <w:rsid w:val="3B453E63"/>
    <w:rsid w:val="3B5D7C61"/>
    <w:rsid w:val="3CA640CB"/>
    <w:rsid w:val="3D015B71"/>
    <w:rsid w:val="3DEE5631"/>
    <w:rsid w:val="3E213369"/>
    <w:rsid w:val="3E327B54"/>
    <w:rsid w:val="3F1B770F"/>
    <w:rsid w:val="3F313D50"/>
    <w:rsid w:val="3FCB3A13"/>
    <w:rsid w:val="3FEB2B0E"/>
    <w:rsid w:val="40194187"/>
    <w:rsid w:val="401A5546"/>
    <w:rsid w:val="40D22E6D"/>
    <w:rsid w:val="41AF3C3C"/>
    <w:rsid w:val="41B539F7"/>
    <w:rsid w:val="41CE67C7"/>
    <w:rsid w:val="421D161B"/>
    <w:rsid w:val="425809C0"/>
    <w:rsid w:val="42B816ED"/>
    <w:rsid w:val="431C0FD2"/>
    <w:rsid w:val="436D57D0"/>
    <w:rsid w:val="43B04E41"/>
    <w:rsid w:val="44417BA6"/>
    <w:rsid w:val="44ED29EA"/>
    <w:rsid w:val="44F14737"/>
    <w:rsid w:val="44F97A33"/>
    <w:rsid w:val="45180111"/>
    <w:rsid w:val="45A4657F"/>
    <w:rsid w:val="45E13E67"/>
    <w:rsid w:val="45E32B66"/>
    <w:rsid w:val="45F77353"/>
    <w:rsid w:val="462A775C"/>
    <w:rsid w:val="463F3AAF"/>
    <w:rsid w:val="46B25424"/>
    <w:rsid w:val="46BE316A"/>
    <w:rsid w:val="46CE3F78"/>
    <w:rsid w:val="47450513"/>
    <w:rsid w:val="47813CC2"/>
    <w:rsid w:val="47F8508E"/>
    <w:rsid w:val="48A71754"/>
    <w:rsid w:val="48A92B9B"/>
    <w:rsid w:val="48E56D2A"/>
    <w:rsid w:val="49003C66"/>
    <w:rsid w:val="490E3BA0"/>
    <w:rsid w:val="496A01DE"/>
    <w:rsid w:val="49FF3FB3"/>
    <w:rsid w:val="4A4A697E"/>
    <w:rsid w:val="4A840933"/>
    <w:rsid w:val="4B1E4CBE"/>
    <w:rsid w:val="4B3B6A1C"/>
    <w:rsid w:val="4B483A6B"/>
    <w:rsid w:val="4BC17A54"/>
    <w:rsid w:val="4BD82429"/>
    <w:rsid w:val="4BED3CEC"/>
    <w:rsid w:val="4C890010"/>
    <w:rsid w:val="4CB83F31"/>
    <w:rsid w:val="4CF878D5"/>
    <w:rsid w:val="4D605DC6"/>
    <w:rsid w:val="4D687FF9"/>
    <w:rsid w:val="4DA27727"/>
    <w:rsid w:val="4E7E138A"/>
    <w:rsid w:val="4E937E91"/>
    <w:rsid w:val="4F3B4450"/>
    <w:rsid w:val="4F654691"/>
    <w:rsid w:val="4F8708C6"/>
    <w:rsid w:val="50214B33"/>
    <w:rsid w:val="502335D3"/>
    <w:rsid w:val="507F49AE"/>
    <w:rsid w:val="50D949D3"/>
    <w:rsid w:val="50ED543A"/>
    <w:rsid w:val="5114508A"/>
    <w:rsid w:val="5138364D"/>
    <w:rsid w:val="51736AE0"/>
    <w:rsid w:val="51F27CA8"/>
    <w:rsid w:val="51FE6A78"/>
    <w:rsid w:val="52223986"/>
    <w:rsid w:val="523F04BA"/>
    <w:rsid w:val="526D72E2"/>
    <w:rsid w:val="528A52AB"/>
    <w:rsid w:val="529A0C32"/>
    <w:rsid w:val="52EE6179"/>
    <w:rsid w:val="53487391"/>
    <w:rsid w:val="53793167"/>
    <w:rsid w:val="541334FF"/>
    <w:rsid w:val="541C090B"/>
    <w:rsid w:val="54EB3532"/>
    <w:rsid w:val="54EE1A60"/>
    <w:rsid w:val="5502153E"/>
    <w:rsid w:val="565A7838"/>
    <w:rsid w:val="56974D41"/>
    <w:rsid w:val="56A56373"/>
    <w:rsid w:val="56AB3A5E"/>
    <w:rsid w:val="56D94A3F"/>
    <w:rsid w:val="56F9130E"/>
    <w:rsid w:val="570A602D"/>
    <w:rsid w:val="571346C3"/>
    <w:rsid w:val="574A3ACB"/>
    <w:rsid w:val="576E6004"/>
    <w:rsid w:val="57C45D42"/>
    <w:rsid w:val="586179DB"/>
    <w:rsid w:val="588538D5"/>
    <w:rsid w:val="58A747AE"/>
    <w:rsid w:val="59500426"/>
    <w:rsid w:val="596737E5"/>
    <w:rsid w:val="59BF27D2"/>
    <w:rsid w:val="59C40752"/>
    <w:rsid w:val="5B9260B6"/>
    <w:rsid w:val="5B9F511E"/>
    <w:rsid w:val="5BC31761"/>
    <w:rsid w:val="5BE572BC"/>
    <w:rsid w:val="5C6260BC"/>
    <w:rsid w:val="5D0E671C"/>
    <w:rsid w:val="5D305D26"/>
    <w:rsid w:val="5D3E4A7C"/>
    <w:rsid w:val="5D7040B8"/>
    <w:rsid w:val="5DB35D09"/>
    <w:rsid w:val="5DDA1BCF"/>
    <w:rsid w:val="5E1D2BD4"/>
    <w:rsid w:val="5E5B046B"/>
    <w:rsid w:val="5E654F36"/>
    <w:rsid w:val="5E7264B1"/>
    <w:rsid w:val="5F931B14"/>
    <w:rsid w:val="5F9547CF"/>
    <w:rsid w:val="5FD97134"/>
    <w:rsid w:val="5FE90DFC"/>
    <w:rsid w:val="606833B6"/>
    <w:rsid w:val="60987644"/>
    <w:rsid w:val="60D15139"/>
    <w:rsid w:val="60E3289B"/>
    <w:rsid w:val="611F6C92"/>
    <w:rsid w:val="6146457C"/>
    <w:rsid w:val="61626DF7"/>
    <w:rsid w:val="61D70DA1"/>
    <w:rsid w:val="61EE6B79"/>
    <w:rsid w:val="6225548C"/>
    <w:rsid w:val="62516F4D"/>
    <w:rsid w:val="62C9399D"/>
    <w:rsid w:val="62ED6C1F"/>
    <w:rsid w:val="63214156"/>
    <w:rsid w:val="632945F3"/>
    <w:rsid w:val="63D0089C"/>
    <w:rsid w:val="642037B7"/>
    <w:rsid w:val="646A3AF5"/>
    <w:rsid w:val="64D35C2C"/>
    <w:rsid w:val="65CF5A72"/>
    <w:rsid w:val="66027103"/>
    <w:rsid w:val="6603187B"/>
    <w:rsid w:val="66353A82"/>
    <w:rsid w:val="66646471"/>
    <w:rsid w:val="66B4327E"/>
    <w:rsid w:val="66BE27A7"/>
    <w:rsid w:val="670C2D8E"/>
    <w:rsid w:val="67262527"/>
    <w:rsid w:val="674856F1"/>
    <w:rsid w:val="67CC031E"/>
    <w:rsid w:val="67DD406C"/>
    <w:rsid w:val="68063136"/>
    <w:rsid w:val="685714B9"/>
    <w:rsid w:val="68BC3EA1"/>
    <w:rsid w:val="69416B39"/>
    <w:rsid w:val="69453A20"/>
    <w:rsid w:val="69C32BEC"/>
    <w:rsid w:val="69FD6115"/>
    <w:rsid w:val="6A2650B5"/>
    <w:rsid w:val="6A497906"/>
    <w:rsid w:val="6B511E04"/>
    <w:rsid w:val="6C153B7A"/>
    <w:rsid w:val="6C297CB8"/>
    <w:rsid w:val="6C4254F6"/>
    <w:rsid w:val="6C5253BE"/>
    <w:rsid w:val="6C8E0D31"/>
    <w:rsid w:val="6C906037"/>
    <w:rsid w:val="6C9C715A"/>
    <w:rsid w:val="6CB23495"/>
    <w:rsid w:val="6CD34F5C"/>
    <w:rsid w:val="6CD70E3C"/>
    <w:rsid w:val="6CF971EF"/>
    <w:rsid w:val="6D085172"/>
    <w:rsid w:val="6D396EC6"/>
    <w:rsid w:val="6D9D7B5F"/>
    <w:rsid w:val="6DC86816"/>
    <w:rsid w:val="6E1075D5"/>
    <w:rsid w:val="6E7E0683"/>
    <w:rsid w:val="6EBD3BE7"/>
    <w:rsid w:val="6F0A77C5"/>
    <w:rsid w:val="6F874265"/>
    <w:rsid w:val="6F941740"/>
    <w:rsid w:val="6FA01EF0"/>
    <w:rsid w:val="70971926"/>
    <w:rsid w:val="70E426BB"/>
    <w:rsid w:val="70F466ED"/>
    <w:rsid w:val="71040CFA"/>
    <w:rsid w:val="71741C3F"/>
    <w:rsid w:val="718F16A6"/>
    <w:rsid w:val="71BE5748"/>
    <w:rsid w:val="71F00D8A"/>
    <w:rsid w:val="72B96F51"/>
    <w:rsid w:val="736234E2"/>
    <w:rsid w:val="73905FA1"/>
    <w:rsid w:val="73943FE5"/>
    <w:rsid w:val="73EF49CC"/>
    <w:rsid w:val="7401533B"/>
    <w:rsid w:val="741371CB"/>
    <w:rsid w:val="742B0080"/>
    <w:rsid w:val="743823AB"/>
    <w:rsid w:val="744D5803"/>
    <w:rsid w:val="748B034D"/>
    <w:rsid w:val="74CD6D8F"/>
    <w:rsid w:val="74D14478"/>
    <w:rsid w:val="750F40FA"/>
    <w:rsid w:val="75290E51"/>
    <w:rsid w:val="753A0633"/>
    <w:rsid w:val="755F0101"/>
    <w:rsid w:val="755F43CF"/>
    <w:rsid w:val="75A50518"/>
    <w:rsid w:val="75BA4B9B"/>
    <w:rsid w:val="7612369C"/>
    <w:rsid w:val="76205F71"/>
    <w:rsid w:val="7700067C"/>
    <w:rsid w:val="77301B08"/>
    <w:rsid w:val="773D505A"/>
    <w:rsid w:val="776831DD"/>
    <w:rsid w:val="77A2095A"/>
    <w:rsid w:val="77EA5FE3"/>
    <w:rsid w:val="783160EF"/>
    <w:rsid w:val="78477399"/>
    <w:rsid w:val="784F0C6B"/>
    <w:rsid w:val="78672953"/>
    <w:rsid w:val="78F315F7"/>
    <w:rsid w:val="78F72856"/>
    <w:rsid w:val="78FD0927"/>
    <w:rsid w:val="791177E8"/>
    <w:rsid w:val="793574A5"/>
    <w:rsid w:val="79B770A8"/>
    <w:rsid w:val="79B949EC"/>
    <w:rsid w:val="7A6C528E"/>
    <w:rsid w:val="7AFB7C22"/>
    <w:rsid w:val="7B1E4DF2"/>
    <w:rsid w:val="7B2C0627"/>
    <w:rsid w:val="7B510A44"/>
    <w:rsid w:val="7B8A381D"/>
    <w:rsid w:val="7BE3590F"/>
    <w:rsid w:val="7C38495C"/>
    <w:rsid w:val="7C6B587A"/>
    <w:rsid w:val="7C7067B1"/>
    <w:rsid w:val="7CBE4CC0"/>
    <w:rsid w:val="7CE82EFC"/>
    <w:rsid w:val="7D5F2122"/>
    <w:rsid w:val="7D970A40"/>
    <w:rsid w:val="7E687550"/>
    <w:rsid w:val="7ECE5FCB"/>
    <w:rsid w:val="7EE951F5"/>
    <w:rsid w:val="7F574D58"/>
    <w:rsid w:val="7F60594E"/>
    <w:rsid w:val="7F884E25"/>
    <w:rsid w:val="7FA4052A"/>
    <w:rsid w:val="7FA94641"/>
    <w:rsid w:val="7FAF0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Cambria" w:hAnsi="Cambria"/>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24"/>
      <w:szCs w:val="20"/>
    </w:r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toc 2"/>
    <w:basedOn w:val="1"/>
    <w:next w:val="1"/>
    <w:unhideWhenUsed/>
    <w:qFormat/>
    <w:uiPriority w:val="39"/>
    <w:pPr>
      <w:tabs>
        <w:tab w:val="right" w:leader="dot" w:pos="8296"/>
      </w:tabs>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99"/>
    <w:rPr>
      <w:rFonts w:cs="Times New Roman"/>
      <w:b/>
    </w:rPr>
  </w:style>
  <w:style w:type="character" w:styleId="14">
    <w:name w:val="Hyperlink"/>
    <w:basedOn w:val="12"/>
    <w:unhideWhenUsed/>
    <w:qFormat/>
    <w:uiPriority w:val="99"/>
    <w:rPr>
      <w:rFonts w:cs="Times New Roman"/>
      <w:color w:val="0000FF"/>
      <w:u w:val="single"/>
    </w:rPr>
  </w:style>
  <w:style w:type="character" w:customStyle="1" w:styleId="15">
    <w:name w:val=" Char Char6"/>
    <w:basedOn w:val="12"/>
    <w:link w:val="2"/>
    <w:qFormat/>
    <w:locked/>
    <w:uiPriority w:val="9"/>
    <w:rPr>
      <w:b/>
      <w:bCs/>
      <w:kern w:val="44"/>
      <w:sz w:val="44"/>
      <w:szCs w:val="44"/>
    </w:rPr>
  </w:style>
  <w:style w:type="character" w:customStyle="1" w:styleId="16">
    <w:name w:val=" Char Char5"/>
    <w:basedOn w:val="12"/>
    <w:link w:val="3"/>
    <w:qFormat/>
    <w:locked/>
    <w:uiPriority w:val="9"/>
    <w:rPr>
      <w:rFonts w:ascii="Cambria" w:hAnsi="Cambria"/>
      <w:b/>
      <w:bCs/>
      <w:sz w:val="32"/>
      <w:szCs w:val="32"/>
    </w:rPr>
  </w:style>
  <w:style w:type="paragraph" w:customStyle="1" w:styleId="17">
    <w:name w:val="List Paragraph"/>
    <w:basedOn w:val="1"/>
    <w:qFormat/>
    <w:uiPriority w:val="34"/>
    <w:pPr>
      <w:ind w:firstLine="420" w:firstLineChars="200"/>
    </w:pPr>
  </w:style>
  <w:style w:type="paragraph" w:customStyle="1" w:styleId="18">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19">
    <w:name w:val="标题 2 字符"/>
    <w:link w:val="3"/>
    <w:qFormat/>
    <w:locked/>
    <w:uiPriority w:val="9"/>
    <w:rPr>
      <w:rFonts w:ascii="Cambria" w:hAnsi="Cambria" w:eastAsia="宋体" w:cs="Times New Roman"/>
      <w:b/>
      <w:bCs/>
      <w:kern w:val="2"/>
      <w:sz w:val="32"/>
      <w:szCs w:val="32"/>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 w:type="paragraph" w:customStyle="1" w:styleId="2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3748906386702"/>
          <c:y val="0.174131111111111"/>
          <c:w val="0.882069553805774"/>
          <c:h val="0.692801481481482"/>
        </c:manualLayout>
      </c:layout>
      <c:barChart>
        <c:barDir val="col"/>
        <c:grouping val="clustered"/>
        <c:varyColors val="0"/>
        <c:ser>
          <c:idx val="0"/>
          <c:order val="0"/>
          <c:tx>
            <c:strRef>
              <c:f>Sheet1!$B$1</c:f>
              <c:strCache>
                <c:ptCount val="1"/>
                <c:pt idx="0">
                  <c:v>收、支决算总计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2019年</c:v>
                </c:pt>
                <c:pt idx="1">
                  <c:v>2020年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354.02</c:v>
                </c:pt>
                <c:pt idx="1">
                  <c:v>363.71</c:v>
                </c:pt>
              </c:numCache>
            </c:numRef>
          </c:val>
        </c:ser>
        <c:ser>
          <c:idx val="1"/>
          <c:order val="1"/>
          <c:tx>
            <c:strRef>
              <c:f>Sheet1!$C$1</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2019年</c:v>
                </c:pt>
                <c:pt idx="1">
                  <c:v>2020年</c:v>
                </c:pt>
              </c:strCache>
            </c:strRef>
          </c:cat>
          <c:val>
            <c:numRef>
              <c:extLst>
                <c:ext xmlns:c15="http://schemas.microsoft.com/office/drawing/2012/chart" uri="{02D57815-91ED-43cb-92C2-25804820EDAC}">
                  <c15:fullRef>
                    <c15:sqref>Sheet1!$C$2:$C$5</c15:sqref>
                  </c15:fullRef>
                </c:ext>
              </c:extLst>
              <c:f>Sheet1!$C$2:$C$3</c:f>
              <c:numCache>
                <c:formatCode>General</c:formatCode>
                <c:ptCount val="2"/>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2019年</c:v>
                </c:pt>
                <c:pt idx="1">
                  <c:v>2020年</c:v>
                </c:pt>
              </c:strCache>
            </c:strRef>
          </c:cat>
          <c:val>
            <c:numRef>
              <c:extLst>
                <c:ext xmlns:c15="http://schemas.microsoft.com/office/drawing/2012/chart" uri="{02D57815-91ED-43cb-92C2-25804820EDAC}">
                  <c15:fullRef>
                    <c15:sqref>Sheet1!$D$2:$D$5</c15:sqref>
                  </c15:fullRef>
                </c:ext>
              </c:extLst>
              <c:f>Sheet1!$D$2:$D$3</c:f>
              <c:numCache>
                <c:formatCode>General</c:formatCode>
                <c:ptCount val="2"/>
              </c:numCache>
            </c:numRef>
          </c:val>
        </c:ser>
        <c:dLbls>
          <c:showLegendKey val="0"/>
          <c:showVal val="1"/>
          <c:showCatName val="0"/>
          <c:showSerName val="0"/>
          <c:showPercent val="0"/>
          <c:showBubbleSize val="0"/>
        </c:dLbls>
        <c:gapWidth val="219"/>
        <c:overlap val="-27"/>
        <c:axId val="876570379"/>
        <c:axId val="731084015"/>
      </c:barChart>
      <c:catAx>
        <c:axId val="8765703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1084015"/>
        <c:crosses val="autoZero"/>
        <c:auto val="1"/>
        <c:lblAlgn val="ctr"/>
        <c:lblOffset val="100"/>
        <c:noMultiLvlLbl val="0"/>
      </c:catAx>
      <c:valAx>
        <c:axId val="7310840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65703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363.68</c:v>
                </c:pt>
                <c:pt idx="1">
                  <c:v>0.03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348.23</c:v>
                </c:pt>
                <c:pt idx="1">
                  <c:v>15.48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69761904761904"/>
          <c:y val="0.0520209527005974"/>
          <c:w val="0.881952380952381"/>
          <c:h val="0.878571428571428"/>
        </c:manualLayout>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350.13</c:v>
                </c:pt>
                <c:pt idx="1">
                  <c:v>363.68</c:v>
                </c:pt>
              </c:numCache>
            </c:numRef>
          </c:val>
        </c:ser>
        <c:dLbls>
          <c:showLegendKey val="0"/>
          <c:showVal val="1"/>
          <c:showCatName val="0"/>
          <c:showSerName val="0"/>
          <c:showPercent val="0"/>
          <c:showBubbleSize val="0"/>
        </c:dLbls>
        <c:gapWidth val="219"/>
        <c:overlap val="-27"/>
        <c:axId val="292170353"/>
        <c:axId val="51845161"/>
      </c:barChart>
      <c:catAx>
        <c:axId val="29217035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845161"/>
        <c:crosses val="autoZero"/>
        <c:auto val="1"/>
        <c:lblAlgn val="ctr"/>
        <c:lblOffset val="100"/>
        <c:noMultiLvlLbl val="0"/>
      </c:catAx>
      <c:valAx>
        <c:axId val="518451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217035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350.13</c:v>
                </c:pt>
                <c:pt idx="1">
                  <c:v>363.68</c:v>
                </c:pt>
              </c:numCache>
            </c:numRef>
          </c:val>
        </c:ser>
        <c:dLbls>
          <c:showLegendKey val="0"/>
          <c:showVal val="1"/>
          <c:showCatName val="0"/>
          <c:showSerName val="0"/>
          <c:showPercent val="0"/>
          <c:showBubbleSize val="0"/>
        </c:dLbls>
        <c:gapWidth val="219"/>
        <c:overlap val="-27"/>
        <c:axId val="455322082"/>
        <c:axId val="984484302"/>
      </c:barChart>
      <c:catAx>
        <c:axId val="45532208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4484302"/>
        <c:crosses val="autoZero"/>
        <c:auto val="1"/>
        <c:lblAlgn val="ctr"/>
        <c:lblOffset val="100"/>
        <c:noMultiLvlLbl val="0"/>
      </c:catAx>
      <c:valAx>
        <c:axId val="98448430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532208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263.35</c:v>
                </c:pt>
                <c:pt idx="1">
                  <c:v>63.8</c:v>
                </c:pt>
                <c:pt idx="2">
                  <c:v>11.18</c:v>
                </c:pt>
                <c:pt idx="3">
                  <c:v>25.35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10377</Words>
  <Characters>10916</Characters>
  <Lines>0</Lines>
  <Paragraphs>0</Paragraphs>
  <TotalTime>19</TotalTime>
  <ScaleCrop>false</ScaleCrop>
  <LinksUpToDate>false</LinksUpToDate>
  <CharactersWithSpaces>10996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2021-09-17T15:06:00Z</dcterms:created>
  <dc:creator>cw</dc:creator>
  <cp:lastModifiedBy>Administrator</cp:lastModifiedBy>
  <dcterms:modified xsi:type="dcterms:W3CDTF">2021-09-30T05:52:34Z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89451A6A57C146D98048659D8AA882ED</vt:lpwstr>
  </property>
</Properties>
</file>