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宋体" w:hAnsi="宋体" w:eastAsia="宋体" w:cs="宋体"/>
          <w:color w:val="000000"/>
          <w:sz w:val="72"/>
          <w:szCs w:val="72"/>
        </w:rPr>
      </w:pPr>
      <w:bookmarkStart w:id="1" w:name="_Toc15377193"/>
      <w:bookmarkStart w:id="2" w:name="_Toc15377425"/>
      <w:bookmarkStart w:id="3" w:name="_Toc15396597"/>
      <w:bookmarkStart w:id="4" w:name="_Toc17261"/>
      <w:bookmarkStart w:id="5" w:name="_Toc15396475"/>
      <w:bookmarkStart w:id="6" w:name="_Toc15378441"/>
      <w:bookmarkStart w:id="7" w:name="_Toc16879"/>
      <w:bookmarkStart w:id="8" w:name="_Toc27427"/>
      <w:r>
        <w:rPr>
          <w:rFonts w:hint="eastAsia" w:ascii="宋体" w:hAnsi="宋体" w:eastAsia="宋体" w:cs="宋体"/>
          <w:color w:val="000000"/>
          <w:sz w:val="72"/>
          <w:szCs w:val="72"/>
        </w:rPr>
        <w:t>2020年度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宋体" w:hAnsi="宋体" w:eastAsia="宋体" w:cs="宋体"/>
          <w:color w:val="000000"/>
          <w:sz w:val="72"/>
          <w:szCs w:val="72"/>
        </w:rPr>
      </w:pPr>
      <w:bookmarkStart w:id="9" w:name="_Toc15396598"/>
      <w:bookmarkStart w:id="10" w:name="_Toc10149"/>
      <w:bookmarkStart w:id="11" w:name="_Toc18919"/>
      <w:bookmarkStart w:id="12" w:name="_Toc15396476"/>
      <w:bookmarkStart w:id="13" w:name="_Toc15377426"/>
      <w:bookmarkStart w:id="14" w:name="_Toc23151"/>
      <w:bookmarkStart w:id="15" w:name="_Toc15378442"/>
      <w:bookmarkStart w:id="16" w:name="_Toc15377194"/>
      <w:r>
        <w:rPr>
          <w:rFonts w:hint="eastAsia" w:ascii="宋体" w:hAnsi="宋体" w:eastAsia="宋体" w:cs="宋体"/>
          <w:color w:val="000000"/>
          <w:sz w:val="72"/>
          <w:szCs w:val="72"/>
        </w:rPr>
        <w:t>四川省</w:t>
      </w:r>
      <w:bookmarkEnd w:id="0"/>
      <w:bookmarkStart w:id="17" w:name="_Toc15306268"/>
      <w:r>
        <w:rPr>
          <w:rFonts w:hint="eastAsia" w:ascii="宋体" w:hAnsi="宋体" w:eastAsia="宋体" w:cs="宋体"/>
          <w:color w:val="000000"/>
          <w:sz w:val="72"/>
          <w:szCs w:val="72"/>
        </w:rPr>
        <w:t>乐山市五通桥区</w:t>
      </w:r>
    </w:p>
    <w:p>
      <w:pPr>
        <w:adjustRightInd w:val="0"/>
        <w:snapToGrid w:val="0"/>
        <w:spacing w:line="360" w:lineRule="auto"/>
        <w:jc w:val="center"/>
        <w:outlineLvl w:val="0"/>
        <w:rPr>
          <w:rFonts w:hint="eastAsia" w:ascii="宋体" w:hAnsi="宋体" w:eastAsia="宋体" w:cs="宋体"/>
          <w:color w:val="000000"/>
          <w:sz w:val="72"/>
          <w:szCs w:val="72"/>
        </w:rPr>
      </w:pPr>
      <w:r>
        <w:rPr>
          <w:rFonts w:hint="eastAsia" w:ascii="宋体" w:hAnsi="宋体" w:cs="宋体"/>
          <w:color w:val="000000"/>
          <w:sz w:val="72"/>
          <w:szCs w:val="72"/>
          <w:lang w:eastAsia="zh-CN"/>
        </w:rPr>
        <w:t>石麟镇石麟小学</w:t>
      </w:r>
      <w:r>
        <w:rPr>
          <w:rFonts w:hint="eastAsia" w:ascii="宋体" w:hAnsi="宋体" w:eastAsia="宋体" w:cs="宋体"/>
          <w:color w:val="000000"/>
          <w:sz w:val="72"/>
          <w:szCs w:val="72"/>
        </w:rPr>
        <w:t>部门决算</w:t>
      </w:r>
      <w:bookmarkEnd w:id="9"/>
      <w:bookmarkEnd w:id="10"/>
      <w:bookmarkEnd w:id="11"/>
      <w:bookmarkEnd w:id="12"/>
      <w:bookmarkEnd w:id="13"/>
      <w:bookmarkEnd w:id="14"/>
      <w:bookmarkEnd w:id="15"/>
      <w:bookmarkEnd w:id="16"/>
      <w:bookmarkEnd w:id="17"/>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 xml:space="preserve">年 </w:t>
      </w:r>
      <w:r>
        <w:rPr>
          <w:rFonts w:hint="eastAsia"/>
          <w:lang w:val="en-US" w:eastAsia="zh-CN"/>
        </w:rPr>
        <w:t>9</w:t>
      </w:r>
      <w:r>
        <w:rPr>
          <w:rFonts w:hint="eastAsia"/>
        </w:rPr>
        <w:t>月</w:t>
      </w:r>
      <w:r>
        <w:rPr>
          <w:rFonts w:hint="eastAsia"/>
          <w:lang w:val="en-US" w:eastAsia="zh-CN"/>
        </w:rPr>
        <w:t>28</w:t>
      </w:r>
      <w:r>
        <w:rPr>
          <w:rFonts w:hint="eastAsia"/>
        </w:rPr>
        <w:t>日</w:t>
      </w:r>
    </w:p>
    <w:p/>
    <w:sdt>
      <w:sdtPr>
        <w:rPr>
          <w:rFonts w:ascii="宋体" w:hAnsi="宋体" w:eastAsia="宋体" w:cs="Times New Roman"/>
          <w:kern w:val="2"/>
          <w:sz w:val="21"/>
          <w:szCs w:val="24"/>
          <w:lang w:val="en-US" w:eastAsia="zh-CN" w:bidi="ar-SA"/>
        </w:rPr>
        <w:id w:val="14745870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8" w:name="_Toc15377196"/>
          <w:bookmarkStart w:id="19" w:name="_Toc15396599"/>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TOC \o "1-3" \h \u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_Toc27427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2020年度</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_Toc27427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_Toc10149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四川省乐山市五通桥区</w:t>
          </w:r>
          <w:r>
            <w:rPr>
              <w:rFonts w:hint="eastAsia" w:asciiTheme="majorEastAsia" w:hAnsiTheme="majorEastAsia" w:eastAsiaTheme="majorEastAsia" w:cstheme="majorEastAsia"/>
              <w:sz w:val="30"/>
              <w:szCs w:val="30"/>
              <w:lang w:eastAsia="zh-CN"/>
            </w:rPr>
            <w:t>石麟镇石麟小学</w:t>
          </w:r>
          <w:r>
            <w:rPr>
              <w:rFonts w:hint="eastAsia" w:asciiTheme="majorEastAsia" w:hAnsiTheme="majorEastAsia" w:eastAsiaTheme="majorEastAsia" w:cstheme="majorEastAsia"/>
              <w:sz w:val="30"/>
              <w:szCs w:val="30"/>
            </w:rPr>
            <w:t>部门决算</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_Toc10149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_Toc24064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第一部分 </w:t>
          </w:r>
          <w:r>
            <w:rPr>
              <w:rFonts w:hint="eastAsia" w:asciiTheme="majorEastAsia" w:hAnsiTheme="majorEastAsia" w:eastAsiaTheme="majorEastAsia" w:cstheme="majorEastAsia"/>
              <w:bCs w:val="0"/>
              <w:sz w:val="30"/>
              <w:szCs w:val="30"/>
            </w:rPr>
            <w:t>部门概况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_Toc24064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_Toc23867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_Toc23867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_Toc1746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二、机</w:t>
          </w:r>
          <w:r>
            <w:rPr>
              <w:rFonts w:hint="eastAsia" w:asciiTheme="majorEastAsia" w:hAnsiTheme="majorEastAsia" w:eastAsiaTheme="majorEastAsia" w:cstheme="majorEastAsia"/>
              <w:bCs w:val="0"/>
              <w:sz w:val="30"/>
              <w:szCs w:val="30"/>
            </w:rPr>
            <w:t>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_Toc1746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_Toc10665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val="0"/>
              <w:sz w:val="30"/>
              <w:szCs w:val="30"/>
            </w:rPr>
            <w:t>第二部分 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_Toc10665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_Toc25087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_Toc25087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_Toc5979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_Toc5979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_Toc22879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_Toc22879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_Toc13691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_Toc13691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_Toc8539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_Toc8539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_Toc26901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_Toc26901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_Toc3081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_Toc3081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_Toc8240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_Toc8240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_Toc27232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_Toc27232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_Toc16082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_Toc16082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_Toc5034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_Toc5034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_Toc7435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_Toc7435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_Toc11740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附件1</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_Toc11740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_Toc26237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_Toc26237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_Toc25996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_Toc25996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_Toc28411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_Toc28411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_Toc31372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_Toc31372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_Toc27949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_Toc27949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_Toc28285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_Toc28285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_Toc21348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_Toc21348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_Toc19669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_Toc19669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_Toc2594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_Toc2594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_Toc1716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_Toc1716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_Toc21591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_Toc21591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_Toc10392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_Toc10392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_Toc7884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_Toc7884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end"/>
          </w:r>
        </w:p>
        <w:p>
          <w:pPr>
            <w:rPr>
              <w:rFonts w:hint="eastAsia" w:asciiTheme="majorEastAsia" w:hAnsiTheme="majorEastAsia" w:eastAsiaTheme="majorEastAsia" w:cstheme="majorEastAsia"/>
              <w:sz w:val="30"/>
              <w:szCs w:val="30"/>
            </w:rPr>
          </w:pPr>
        </w:p>
        <w:p>
          <w:pPr>
            <w:rPr>
              <w:rFonts w:ascii="仿宋" w:hAnsi="仿宋" w:eastAsia="仿宋"/>
              <w:bCs/>
              <w:kern w:val="44"/>
              <w:sz w:val="24"/>
            </w:rPr>
          </w:pPr>
        </w:p>
      </w:sdtContent>
    </w:sdt>
    <w:p>
      <w:pPr>
        <w:pStyle w:val="2"/>
        <w:jc w:val="center"/>
        <w:rPr>
          <w:rStyle w:val="14"/>
          <w:rFonts w:ascii="黑体" w:hAnsi="黑体" w:eastAsia="黑体"/>
          <w:b/>
          <w:bCs w:val="0"/>
        </w:rPr>
      </w:pPr>
      <w:bookmarkStart w:id="20" w:name="_Toc24064"/>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8"/>
      <w:bookmarkEnd w:id="19"/>
      <w:bookmarkEnd w:id="20"/>
    </w:p>
    <w:p>
      <w:pPr>
        <w:widowControl/>
        <w:jc w:val="left"/>
        <w:rPr>
          <w:rFonts w:ascii="黑体" w:eastAsia="黑体"/>
          <w:color w:val="000000"/>
          <w:sz w:val="32"/>
          <w:szCs w:val="32"/>
        </w:rPr>
      </w:pPr>
    </w:p>
    <w:p>
      <w:pPr>
        <w:pStyle w:val="3"/>
        <w:rPr>
          <w:rStyle w:val="15"/>
          <w:rFonts w:ascii="仿宋" w:hAnsi="仿宋" w:eastAsia="仿宋"/>
          <w:b w:val="0"/>
          <w:bCs w:val="0"/>
        </w:rPr>
      </w:pPr>
      <w:bookmarkStart w:id="21" w:name="_Toc23867"/>
      <w:bookmarkStart w:id="22" w:name="_Toc15396600"/>
      <w:bookmarkStart w:id="23" w:name="_Toc15377197"/>
      <w:r>
        <w:rPr>
          <w:rFonts w:hint="eastAsia" w:ascii="黑体" w:hAnsi="黑体" w:eastAsia="黑体"/>
          <w:b w:val="0"/>
          <w:color w:val="000000"/>
        </w:rPr>
        <w:t>一、基</w:t>
      </w:r>
      <w:r>
        <w:rPr>
          <w:rStyle w:val="15"/>
          <w:rFonts w:hint="eastAsia" w:ascii="黑体" w:hAnsi="黑体" w:eastAsia="黑体"/>
          <w:b w:val="0"/>
          <w:bCs w:val="0"/>
        </w:rPr>
        <w:t>本职能及主要工作</w:t>
      </w:r>
      <w:bookmarkEnd w:id="21"/>
      <w:bookmarkEnd w:id="22"/>
      <w:bookmarkEnd w:id="23"/>
    </w:p>
    <w:p>
      <w:pPr>
        <w:pStyle w:val="4"/>
        <w:adjustRightInd w:val="0"/>
        <w:snapToGrid w:val="0"/>
        <w:spacing w:before="93" w:line="600" w:lineRule="exact"/>
        <w:ind w:firstLine="672" w:firstLineChars="210"/>
        <w:outlineLvl w:val="9"/>
        <w:rPr>
          <w:rFonts w:hint="eastAsia" w:ascii="仿宋" w:hAnsi="仿宋" w:eastAsia="仿宋" w:cs="仿宋"/>
          <w:bCs/>
          <w:color w:val="000000"/>
          <w:sz w:val="32"/>
          <w:szCs w:val="32"/>
        </w:rPr>
      </w:pPr>
      <w:bookmarkStart w:id="24" w:name="_Toc15378445"/>
      <w:bookmarkStart w:id="25" w:name="_Toc15377198"/>
      <w:bookmarkStart w:id="26" w:name="_Toc2408"/>
      <w:r>
        <w:rPr>
          <w:rFonts w:hint="eastAsia" w:ascii="仿宋" w:hAnsi="仿宋" w:eastAsia="仿宋" w:cs="仿宋"/>
          <w:bCs/>
          <w:color w:val="000000"/>
          <w:sz w:val="32"/>
          <w:szCs w:val="32"/>
        </w:rPr>
        <w:t>（一）主要职能</w:t>
      </w:r>
      <w:bookmarkEnd w:id="24"/>
      <w:bookmarkEnd w:id="25"/>
      <w:bookmarkEnd w:id="26"/>
      <w:bookmarkStart w:id="27" w:name="_Toc15377199"/>
      <w:bookmarkStart w:id="28" w:name="_Toc15378446"/>
    </w:p>
    <w:p>
      <w:pPr>
        <w:pStyle w:val="4"/>
        <w:adjustRightInd w:val="0"/>
        <w:snapToGrid w:val="0"/>
        <w:spacing w:before="93" w:line="600" w:lineRule="exact"/>
        <w:ind w:firstLine="672" w:firstLineChars="210"/>
        <w:outlineLvl w:val="9"/>
        <w:rPr>
          <w:rFonts w:hint="eastAsia" w:ascii="仿宋" w:hAnsi="仿宋" w:eastAsia="仿宋" w:cs="仿宋"/>
          <w:bCs/>
          <w:color w:val="000000"/>
          <w:sz w:val="32"/>
          <w:szCs w:val="32"/>
        </w:rPr>
      </w:pPr>
      <w:r>
        <w:rPr>
          <w:rFonts w:hint="eastAsia" w:ascii="仿宋" w:hAnsi="仿宋" w:eastAsia="仿宋" w:cs="仿宋"/>
          <w:sz w:val="32"/>
          <w:szCs w:val="32"/>
          <w:lang w:eastAsia="zh-CN"/>
        </w:rPr>
        <w:t>乐山市五通桥区石麟镇石麟小学</w:t>
      </w:r>
      <w:r>
        <w:rPr>
          <w:rFonts w:hint="eastAsia" w:ascii="仿宋" w:hAnsi="仿宋" w:eastAsia="仿宋" w:cs="仿宋"/>
          <w:sz w:val="32"/>
          <w:szCs w:val="32"/>
        </w:rPr>
        <w:t>主要职能是实施小学义务教育，促进基础教育发展，小学学历教育。</w:t>
      </w:r>
    </w:p>
    <w:p>
      <w:pPr>
        <w:pStyle w:val="4"/>
        <w:adjustRightInd w:val="0"/>
        <w:snapToGrid w:val="0"/>
        <w:spacing w:before="93" w:line="600" w:lineRule="exact"/>
        <w:ind w:firstLine="672" w:firstLineChars="210"/>
        <w:outlineLvl w:val="9"/>
        <w:rPr>
          <w:rFonts w:hint="eastAsia" w:ascii="仿宋" w:hAnsi="仿宋" w:eastAsia="仿宋" w:cs="仿宋"/>
          <w:bCs/>
          <w:color w:val="000000"/>
          <w:sz w:val="32"/>
          <w:szCs w:val="32"/>
        </w:rPr>
      </w:pPr>
      <w:bookmarkStart w:id="29" w:name="_Toc345"/>
      <w:r>
        <w:rPr>
          <w:rFonts w:hint="eastAsia" w:ascii="仿宋" w:hAnsi="仿宋" w:eastAsia="仿宋" w:cs="仿宋"/>
          <w:bCs/>
          <w:color w:val="000000"/>
          <w:sz w:val="32"/>
          <w:szCs w:val="32"/>
        </w:rPr>
        <w:t>（二）2020年重点工作完成情况。</w:t>
      </w:r>
      <w:bookmarkEnd w:id="27"/>
      <w:bookmarkEnd w:id="28"/>
      <w:bookmarkEnd w:id="29"/>
    </w:p>
    <w:p>
      <w:pPr>
        <w:ind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）开展多元化德育活动，丰富德育内涵。</w:t>
      </w:r>
    </w:p>
    <w:p>
      <w:pPr>
        <w:ind w:firstLineChars="200"/>
        <w:rPr>
          <w:rFonts w:hint="eastAsia" w:ascii="仿宋" w:hAnsi="仿宋" w:eastAsia="仿宋" w:cs="仿宋"/>
          <w:sz w:val="32"/>
          <w:szCs w:val="32"/>
        </w:rPr>
      </w:pPr>
      <w:r>
        <w:rPr>
          <w:rFonts w:hint="eastAsia" w:ascii="仿宋" w:hAnsi="仿宋" w:eastAsia="仿宋" w:cs="仿宋"/>
          <w:sz w:val="32"/>
          <w:szCs w:val="32"/>
        </w:rPr>
        <w:t xml:space="preserve">以多元化活动为主线，不断完善我校德育工作，学校通过专题活动、集体晨会、国旗下讲话、班队活动、红领巾广播站等阵地对学生进行以社会主义核心价值观为主的德育教育。 </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树立德育为先理念，完善德育工作机制。为进一步提升我校德育工作的实效，形成分管校长——德育办——班主任德育管理网络。为确保学校德育工作有强有力的制度保证，在建立、健全规章制度的同时，狠抓制度的落实与执行，德育办在每期开学时制定学校学期德育工作计划，班主任制定班级工作计划，学校每学期不少于2次检查计划执行情况，要求相关人员期末认真做好工作总结。值周师生、学生每天对各班的日常行为、班风、学风进行检查评比，每周小结通报，每月汇总公布</w:t>
      </w:r>
      <w:r>
        <w:rPr>
          <w:rFonts w:hint="eastAsia" w:ascii="仿宋" w:hAnsi="仿宋" w:eastAsia="仿宋" w:cs="仿宋"/>
          <w:sz w:val="32"/>
          <w:szCs w:val="32"/>
          <w:lang w:eastAsia="zh-CN"/>
        </w:rPr>
        <w:t>，评选出文明班集体。</w:t>
      </w:r>
      <w:r>
        <w:rPr>
          <w:rFonts w:hint="eastAsia" w:ascii="仿宋" w:hAnsi="仿宋" w:eastAsia="仿宋" w:cs="仿宋"/>
          <w:sz w:val="32"/>
          <w:szCs w:val="32"/>
        </w:rPr>
        <w:t xml:space="preserve">把考核结果纳入班主任月评，并和绩效考核挂钩，收到了较好的效果。结合《中小学德育工作指南》、《中小学生守则》等，扎实抓好学生行为习惯的养成教育和社会主义核心价值观教育。 </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 xml:space="preserve">活动阵地两手抓，促进学生成长。本学年，围绕《新时代公民道德建设实施纲要》组织开展了形式多样的德育教育活动。如，培养学生审美能力的校园艺术节活动；育爱国主义情怀的“庆国庆”和观爱国主义电影活动；以法律进校园为主题的“宪法日”、“禁毒教育”、“护苗行动”等活动；以我们的节日为主题的“端午粽”、“包汤圆”等传统文化体验活动；以“双创”为主线的学生文明礼仪教育活动等，提高学生的思想素质，规范学生的道德品行，增强学生的实践能力。此外，积极开展校园文化建设，完善红领巾广播站、少先队宣传栏、少队室等相关内容，加强阵地建设，营造良好的育人氛围。 </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认真落实健康教育。以《中小学健康教育指导纲要》为指导，通过安全讲座、心理健康课程、生安课程</w:t>
      </w:r>
      <w:r>
        <w:rPr>
          <w:rFonts w:hint="eastAsia" w:ascii="仿宋" w:hAnsi="仿宋" w:eastAsia="仿宋" w:cs="仿宋"/>
          <w:sz w:val="32"/>
          <w:szCs w:val="32"/>
          <w:lang w:eastAsia="zh-CN"/>
        </w:rPr>
        <w:t>、家长学校</w:t>
      </w:r>
      <w:r>
        <w:rPr>
          <w:rFonts w:hint="eastAsia" w:ascii="仿宋" w:hAnsi="仿宋" w:eastAsia="仿宋" w:cs="仿宋"/>
          <w:sz w:val="32"/>
          <w:szCs w:val="32"/>
        </w:rPr>
        <w:t>等途径大力加强对学生的健康教育，培养学生的健康意识与公共卫生意识，掌握健康知识和技能，促进学生养成健康的行为和生活方式。建成心理辅导室1个，开展4次全校教师心理健康教育学习、培训，4人次共上心理健康研讨课6节。培育班主任兼职健康教育队伍，积极组织开展学生品格教育，对有心理健康问题倾向的学生及时辅导、干预，并采取有效措施促进学生健康成长。</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坚持学校、家庭相结合，形成教育合力。以家长学校为主线，常态化家校联系，本年度每班开展家庭教育专题讲座不低于</w:t>
      </w:r>
      <w:r>
        <w:rPr>
          <w:rFonts w:hint="eastAsia" w:ascii="仿宋" w:hAnsi="仿宋" w:eastAsia="仿宋" w:cs="仿宋"/>
          <w:sz w:val="32"/>
          <w:szCs w:val="32"/>
          <w:lang w:val="en-US" w:eastAsia="zh-CN"/>
        </w:rPr>
        <w:t>6</w:t>
      </w:r>
      <w:r>
        <w:rPr>
          <w:rFonts w:hint="eastAsia" w:ascii="仿宋" w:hAnsi="仿宋" w:eastAsia="仿宋" w:cs="仿宋"/>
          <w:sz w:val="32"/>
          <w:szCs w:val="32"/>
        </w:rPr>
        <w:t>次，向家长普及科学育儿知识。并通过家访、家长开放日等与学生家长沟通联系，及时交流情况，了解学生动向，认真听取家长对学校的意见和建议，关心支持学校教育。</w:t>
      </w:r>
    </w:p>
    <w:p>
      <w:pPr>
        <w:ind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）多点发力，努力提升教育教学质量。</w:t>
      </w:r>
    </w:p>
    <w:p>
      <w:pPr>
        <w:ind w:firstLineChars="200"/>
        <w:rPr>
          <w:rFonts w:hint="eastAsia" w:ascii="仿宋" w:hAnsi="仿宋" w:eastAsia="仿宋" w:cs="仿宋"/>
          <w:sz w:val="32"/>
          <w:szCs w:val="32"/>
        </w:rPr>
      </w:pPr>
      <w:r>
        <w:rPr>
          <w:rFonts w:hint="eastAsia" w:ascii="仿宋" w:hAnsi="仿宋" w:eastAsia="仿宋" w:cs="仿宋"/>
          <w:sz w:val="32"/>
          <w:szCs w:val="32"/>
        </w:rPr>
        <w:t>全面实施素质教育，努力提高教育质量，既是学校工作的基本点，也是最关键的部分。本年度，我校以抓教学常规管理为重点，以集团化办学为契机，全力以赴提升教育教学质量。</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严格常规管理。为规范管理教师备课、上课、作业布置与批改等，教导处严格按上级部门要求每期开展2—3次教学常规业务检查，并及时反馈情况，督查整改；每期组织召开1次质量分析会，并拟定提高质量措施；健全集体备课制度、听课制度、教研制度、结对帮扶制度、控辍保学制度，教导处每月开展督查，狠抓制度落实；校长、分管副校长和教学管理人员坚持“听课、评课、指导”，确保教师上好每一堂课，本年度各岗位人员均完成节数。</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以集团化办学为契机，提升学校教科研水平。本年度，我校合计参加集团教研活动14次，涵盖语、数、外、音、体、美6个科次，参与教师45人次。通过集团教研活动，提高了教师教科研水平，多人在论文评选中获奖。此外，通过“水手训练营”，帮助年轻教师迅速成长，教科研能力提升明显。</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强化艺体及实践课程教育工作，促进学生全面发展。严格按课程标准落实音乐、美术、体育、劳动实践等课程，结合地域特点形成特色校本课程，帮助每位学生学会1</w:t>
      </w:r>
      <w:r>
        <w:rPr>
          <w:rFonts w:hint="eastAsia" w:ascii="仿宋" w:hAnsi="仿宋" w:eastAsia="仿宋" w:cs="仿宋"/>
          <w:sz w:val="32"/>
          <w:szCs w:val="32"/>
          <w:lang w:eastAsia="zh-CN"/>
        </w:rPr>
        <w:t>项</w:t>
      </w:r>
      <w:r>
        <w:rPr>
          <w:rFonts w:hint="eastAsia" w:ascii="仿宋" w:hAnsi="仿宋" w:eastAsia="仿宋" w:cs="仿宋"/>
          <w:sz w:val="32"/>
          <w:szCs w:val="32"/>
        </w:rPr>
        <w:t>艺术技能和1项体育技能。本年度，面向全体学生组织开展艺术节活动1次，举办运动会2次。规范课后服务，因地制宜建立学生艺体社团6个，组织开展劳动实践活动8次，促进学生全面发展。</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严格落实义务教育相关法律法规，对不能到校的残疾儿童冯芮琦和周璇实施送教上门，并坚持每月送教4—6学时。</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教育技术装备工作</w:t>
      </w:r>
    </w:p>
    <w:p>
      <w:pPr>
        <w:ind w:firstLineChars="200"/>
        <w:rPr>
          <w:rFonts w:hint="eastAsia" w:ascii="仿宋" w:hAnsi="仿宋" w:eastAsia="仿宋" w:cs="仿宋"/>
          <w:sz w:val="32"/>
          <w:szCs w:val="32"/>
        </w:rPr>
      </w:pPr>
      <w:r>
        <w:rPr>
          <w:rFonts w:hint="eastAsia" w:ascii="仿宋" w:hAnsi="仿宋" w:eastAsia="仿宋" w:cs="仿宋"/>
          <w:sz w:val="32"/>
          <w:szCs w:val="32"/>
        </w:rPr>
        <w:t>本年度，我校提倡现代信息技术与课堂教学深度融合，提高课堂教学效率，合理管理使用各类设备设施，发挥其教学辅助作用，提升教育教学质量。</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健全机构，完善制度。本学年，我校坚持分管校长兼任装备管理机构负责人，并配专职管理员1人，各学科指定负责人三级管理体系。进一步完善《石麟小学图书室借还制度》、各功能室使用制度等，确保各教学辅助设施设备正常使用。2、加强巡查，规范管理。学校技装处每月开展巡查，规范各功能室教学、仪器设备、药品使用记录等，重点检查“危险化学品管理使用应急预案”和化学危险品使用登记册，详细记录使用等情况。要求科学实验室教学仪器设备按类别，分室、分柜、定位存放，危化药品做到“专柜存放”和“双人双锁” ，进出要有登记并严格执行领用手续。3、做好信息技术应用和培训提升工作。学校指定专人按时完成各项信息化系统的网络填报工作；认真按要求组织教师参加“课堂教学大比武”晒课活动</w:t>
      </w:r>
      <w:r>
        <w:rPr>
          <w:rFonts w:hint="eastAsia" w:ascii="仿宋" w:hAnsi="仿宋" w:eastAsia="仿宋" w:cs="仿宋"/>
          <w:sz w:val="32"/>
          <w:szCs w:val="32"/>
          <w:lang w:val="en-US" w:eastAsia="zh-CN"/>
        </w:rPr>
        <w:t>1</w:t>
      </w:r>
      <w:r>
        <w:rPr>
          <w:rFonts w:hint="eastAsia" w:ascii="仿宋" w:hAnsi="仿宋" w:eastAsia="仿宋" w:cs="仿宋"/>
          <w:sz w:val="32"/>
          <w:szCs w:val="32"/>
        </w:rPr>
        <w:t>次，共赛课</w:t>
      </w:r>
      <w:r>
        <w:rPr>
          <w:rFonts w:hint="eastAsia" w:ascii="仿宋" w:hAnsi="仿宋" w:eastAsia="仿宋" w:cs="仿宋"/>
          <w:sz w:val="32"/>
          <w:szCs w:val="32"/>
          <w:lang w:val="en-US" w:eastAsia="zh-CN"/>
        </w:rPr>
        <w:t>30</w:t>
      </w:r>
      <w:r>
        <w:rPr>
          <w:rFonts w:hint="eastAsia" w:ascii="仿宋" w:hAnsi="仿宋" w:eastAsia="仿宋" w:cs="仿宋"/>
          <w:sz w:val="32"/>
          <w:szCs w:val="32"/>
        </w:rPr>
        <w:t>节次，完成率</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6</w:t>
      </w:r>
      <w:r>
        <w:rPr>
          <w:rFonts w:hint="eastAsia" w:ascii="仿宋" w:hAnsi="仿宋" w:eastAsia="仿宋" w:cs="仿宋"/>
          <w:sz w:val="32"/>
          <w:szCs w:val="32"/>
        </w:rPr>
        <w:t>0%；积极组织教师参加信息技术与学科融合教学大赛、教师课件制作比赛、撰写发表教育技术应用</w:t>
      </w:r>
      <w:r>
        <w:rPr>
          <w:rFonts w:hint="eastAsia" w:ascii="仿宋" w:hAnsi="仿宋" w:eastAsia="仿宋" w:cs="仿宋"/>
          <w:sz w:val="32"/>
          <w:szCs w:val="32"/>
          <w:lang w:eastAsia="zh-CN"/>
        </w:rPr>
        <w:t>论文</w:t>
      </w:r>
      <w:r>
        <w:rPr>
          <w:rFonts w:hint="eastAsia" w:ascii="仿宋" w:hAnsi="仿宋" w:eastAsia="仿宋" w:cs="仿宋"/>
          <w:sz w:val="32"/>
          <w:szCs w:val="32"/>
        </w:rPr>
        <w:t>等活动，本年度组织教师参加各级教育技术装备业务会议、培训学习</w:t>
      </w:r>
      <w:r>
        <w:rPr>
          <w:rFonts w:hint="eastAsia" w:ascii="仿宋" w:hAnsi="仿宋" w:eastAsia="仿宋" w:cs="仿宋"/>
          <w:sz w:val="32"/>
          <w:szCs w:val="32"/>
          <w:lang w:val="en-US" w:eastAsia="zh-CN"/>
        </w:rPr>
        <w:t>2</w:t>
      </w:r>
      <w:r>
        <w:rPr>
          <w:rFonts w:hint="eastAsia" w:ascii="仿宋" w:hAnsi="仿宋" w:eastAsia="仿宋" w:cs="仿宋"/>
          <w:sz w:val="32"/>
          <w:szCs w:val="32"/>
        </w:rPr>
        <w:t>次；骨干教师承担在本校开展的信息技术与课堂教学深度融合教学展示活动6次。</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学校安全工作</w:t>
      </w:r>
    </w:p>
    <w:p>
      <w:pPr>
        <w:ind w:firstLineChars="200"/>
        <w:rPr>
          <w:rFonts w:hint="eastAsia" w:ascii="仿宋" w:hAnsi="仿宋" w:eastAsia="仿宋" w:cs="仿宋"/>
          <w:sz w:val="32"/>
          <w:szCs w:val="32"/>
        </w:rPr>
      </w:pPr>
      <w:r>
        <w:rPr>
          <w:rFonts w:hint="eastAsia" w:ascii="仿宋" w:hAnsi="仿宋" w:eastAsia="仿宋" w:cs="仿宋"/>
          <w:sz w:val="32"/>
          <w:szCs w:val="32"/>
        </w:rPr>
        <w:t>认真落实上级部门关于学校安全工作的系列指示精神和区教育局开学工作会精神，紧紧围绕 “平安校园”这一目标，以新冠病毒防控为重点，深入开展校舍设施安全、道路交通安全、消防安全、传染病流行病的防控等教育。</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完善机构，建立健全制度。本学年，我校根据实际情况，不断完善安全管理机构，落实岗位责任清单，签订</w:t>
      </w:r>
      <w:r>
        <w:rPr>
          <w:rFonts w:hint="eastAsia" w:ascii="仿宋" w:hAnsi="仿宋" w:eastAsia="仿宋" w:cs="仿宋"/>
          <w:sz w:val="32"/>
          <w:szCs w:val="32"/>
          <w:lang w:eastAsia="zh-CN"/>
        </w:rPr>
        <w:t>“一岗双责”</w:t>
      </w:r>
      <w:r>
        <w:rPr>
          <w:rFonts w:hint="eastAsia" w:ascii="仿宋" w:hAnsi="仿宋" w:eastAsia="仿宋" w:cs="仿宋"/>
          <w:sz w:val="32"/>
          <w:szCs w:val="32"/>
        </w:rPr>
        <w:t>安全</w:t>
      </w:r>
      <w:r>
        <w:rPr>
          <w:rFonts w:hint="eastAsia" w:ascii="仿宋" w:hAnsi="仿宋" w:eastAsia="仿宋" w:cs="仿宋"/>
          <w:sz w:val="32"/>
          <w:szCs w:val="32"/>
          <w:lang w:eastAsia="zh-CN"/>
        </w:rPr>
        <w:t>工作</w:t>
      </w:r>
      <w:r>
        <w:rPr>
          <w:rFonts w:hint="eastAsia" w:ascii="仿宋" w:hAnsi="仿宋" w:eastAsia="仿宋" w:cs="仿宋"/>
          <w:sz w:val="32"/>
          <w:szCs w:val="32"/>
        </w:rPr>
        <w:t>责任书54份，建立并不断完善“两案九制”、《石麟小学安全管理制度》等，夯实安全管理体系。</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加强安全宣传教育，提高安全意识。坚持“安全第一，预防为主”的方针，本学年我校通过朝会（每周一次）、安全专题教育（</w:t>
      </w:r>
      <w:r>
        <w:rPr>
          <w:rFonts w:hint="eastAsia" w:ascii="仿宋" w:hAnsi="仿宋" w:eastAsia="仿宋" w:cs="仿宋"/>
          <w:sz w:val="32"/>
          <w:szCs w:val="32"/>
          <w:lang w:val="en-US" w:eastAsia="zh-CN"/>
        </w:rPr>
        <w:t>9</w:t>
      </w:r>
      <w:r>
        <w:rPr>
          <w:rFonts w:hint="eastAsia" w:ascii="仿宋" w:hAnsi="仿宋" w:eastAsia="仿宋" w:cs="仿宋"/>
          <w:sz w:val="32"/>
          <w:szCs w:val="32"/>
        </w:rPr>
        <w:t>次）、安全主题班会（每班每月1次）、放学5分钟安全知识及生安课等对学生进行疫情防控、森林防灭火、防溺水等教育。并通过发放家校联系单（11次），收回回执</w:t>
      </w:r>
      <w:r>
        <w:rPr>
          <w:rFonts w:hint="eastAsia" w:ascii="仿宋" w:hAnsi="仿宋" w:eastAsia="仿宋" w:cs="仿宋"/>
          <w:sz w:val="32"/>
          <w:szCs w:val="32"/>
          <w:lang w:val="en-US" w:eastAsia="zh-CN"/>
        </w:rPr>
        <w:t>3500</w:t>
      </w:r>
      <w:r>
        <w:rPr>
          <w:rFonts w:hint="eastAsia" w:ascii="仿宋" w:hAnsi="仿宋" w:eastAsia="仿宋" w:cs="仿宋"/>
          <w:sz w:val="32"/>
          <w:szCs w:val="32"/>
        </w:rPr>
        <w:t>余份，强化安全提示。坚持使用乐山市安全教育平台、班级微信、QQ等常态化向学生、家长推送安全提醒，提高安全意识。</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注重安全演练。本年度，我校坚持每月开展一次演练，总计完成消防、防震等演练合计8次 ，并做好演练登记、影像资料留存、宣传总结及上传安全教育平台等工作；通过演练，完善了《石麟突发公共卫生事件应急演练方案》。</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加强安全隐患排查与整治，防患于未然。严格落实“日巡查、周检查、月排查”的安全制度，坚持开展校园校舍安全、食堂食品安全、消防设施设备安全、易燃易爆物品安全、校园道路交通及校车安全、预防地质灾害、校园及周边等安全隐患排查，并建立健全台帐记录。本年度共计排查隐患</w:t>
      </w:r>
      <w:r>
        <w:rPr>
          <w:rFonts w:hint="eastAsia" w:ascii="仿宋" w:hAnsi="仿宋" w:eastAsia="仿宋" w:cs="仿宋"/>
          <w:sz w:val="32"/>
          <w:szCs w:val="32"/>
          <w:lang w:val="en-US" w:eastAsia="zh-CN"/>
        </w:rPr>
        <w:t>2</w:t>
      </w:r>
      <w:r>
        <w:rPr>
          <w:rFonts w:hint="eastAsia" w:ascii="仿宋" w:hAnsi="仿宋" w:eastAsia="仿宋" w:cs="仿宋"/>
          <w:sz w:val="32"/>
          <w:szCs w:val="32"/>
        </w:rPr>
        <w:t>个，消除隐患</w:t>
      </w:r>
      <w:r>
        <w:rPr>
          <w:rFonts w:hint="eastAsia" w:ascii="仿宋" w:hAnsi="仿宋" w:eastAsia="仿宋" w:cs="仿宋"/>
          <w:sz w:val="32"/>
          <w:szCs w:val="32"/>
          <w:lang w:val="en-US" w:eastAsia="zh-CN"/>
        </w:rPr>
        <w:t>2</w:t>
      </w:r>
      <w:bookmarkStart w:id="139" w:name="_GoBack"/>
      <w:bookmarkEnd w:id="139"/>
      <w:r>
        <w:rPr>
          <w:rFonts w:hint="eastAsia" w:ascii="仿宋" w:hAnsi="仿宋" w:eastAsia="仿宋" w:cs="仿宋"/>
          <w:sz w:val="32"/>
          <w:szCs w:val="32"/>
        </w:rPr>
        <w:t>个。</w:t>
      </w:r>
    </w:p>
    <w:p>
      <w:pPr>
        <w:ind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⑤</w:t>
      </w:r>
      <w:r>
        <w:rPr>
          <w:rFonts w:hint="eastAsia" w:ascii="仿宋" w:hAnsi="仿宋" w:eastAsia="仿宋" w:cs="仿宋"/>
          <w:sz w:val="32"/>
          <w:szCs w:val="32"/>
        </w:rPr>
        <w:t>做好日常安全管理。按时上报各类资料，扎实开展各类专项治理，如扫黑除恶、校园欺凌等；严格落实值班值守制度，并做好相应记载</w:t>
      </w:r>
      <w:r>
        <w:rPr>
          <w:rFonts w:hint="eastAsia" w:ascii="仿宋" w:hAnsi="仿宋" w:eastAsia="仿宋" w:cs="仿宋"/>
          <w:sz w:val="32"/>
          <w:szCs w:val="32"/>
          <w:lang w:eastAsia="zh-CN"/>
        </w:rPr>
        <w:t>。</w:t>
      </w:r>
    </w:p>
    <w:p>
      <w:pPr>
        <w:ind w:firstLineChars="200"/>
        <w:rPr>
          <w:rFonts w:hint="eastAsia" w:ascii="仿宋" w:hAnsi="仿宋" w:eastAsia="仿宋"/>
          <w:bCs/>
          <w:color w:val="000000"/>
          <w:sz w:val="32"/>
          <w:szCs w:val="32"/>
        </w:rPr>
      </w:pPr>
    </w:p>
    <w:p>
      <w:pPr>
        <w:pStyle w:val="3"/>
        <w:rPr>
          <w:rStyle w:val="15"/>
          <w:b w:val="0"/>
          <w:bCs w:val="0"/>
        </w:rPr>
      </w:pPr>
      <w:bookmarkStart w:id="30" w:name="_Toc15396601"/>
      <w:bookmarkStart w:id="31" w:name="_Toc1746"/>
      <w:bookmarkStart w:id="32" w:name="_Toc15377200"/>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30"/>
      <w:bookmarkEnd w:id="31"/>
      <w:bookmarkEnd w:id="32"/>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乐山市五通桥区石麟镇石麟小学</w:t>
      </w:r>
      <w:r>
        <w:rPr>
          <w:rFonts w:hint="eastAsia" w:ascii="仿宋" w:hAnsi="仿宋" w:eastAsia="仿宋" w:cs="仿宋"/>
          <w:sz w:val="32"/>
          <w:szCs w:val="32"/>
          <w:lang w:val="en-US" w:eastAsia="zh-CN"/>
        </w:rPr>
        <w:t>一级预算单位，无下属二级单位</w:t>
      </w:r>
      <w:r>
        <w:rPr>
          <w:rFonts w:hint="eastAsia" w:ascii="仿宋" w:hAnsi="仿宋" w:eastAsia="仿宋" w:cs="仿宋"/>
          <w:sz w:val="32"/>
          <w:szCs w:val="32"/>
        </w:rPr>
        <w:t>。</w:t>
      </w:r>
      <w:r>
        <w:rPr>
          <w:rFonts w:hint="eastAsia" w:ascii="仿宋" w:hAnsi="仿宋" w:eastAsia="仿宋" w:cs="仿宋"/>
          <w:sz w:val="32"/>
          <w:szCs w:val="32"/>
          <w:lang w:eastAsia="zh-CN"/>
        </w:rPr>
        <w:t>乐山市五通桥区石麟镇石麟小学</w:t>
      </w:r>
      <w:r>
        <w:rPr>
          <w:rFonts w:hint="eastAsia" w:ascii="仿宋" w:hAnsi="仿宋" w:eastAsia="仿宋" w:cs="仿宋"/>
          <w:sz w:val="32"/>
          <w:szCs w:val="32"/>
          <w:lang w:val="en-US" w:eastAsia="zh-CN"/>
        </w:rPr>
        <w:t>截至 2020 年 12月31日，我单位编制人数 50 人 ， 较上年度增加 0 人 ， 年末实有人数 53 人</w:t>
      </w:r>
      <w:r>
        <w:rPr>
          <w:rFonts w:hint="eastAsia" w:ascii="仿宋" w:hAnsi="仿宋" w:eastAsia="仿宋" w:cs="仿宋"/>
          <w:sz w:val="32"/>
          <w:szCs w:val="32"/>
        </w:rPr>
        <w:t>。</w:t>
      </w:r>
      <w:bookmarkStart w:id="33" w:name="_Toc15377204"/>
      <w:bookmarkStart w:id="34" w:name="_Toc15396602"/>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880" w:firstLineChars="200"/>
        <w:jc w:val="left"/>
        <w:rPr>
          <w:rStyle w:val="14"/>
          <w:rFonts w:ascii="黑体" w:hAnsi="黑体" w:eastAsia="黑体"/>
          <w:b w:val="0"/>
          <w:bCs w:val="0"/>
        </w:rPr>
      </w:pPr>
      <w:bookmarkStart w:id="35" w:name="_Toc10665"/>
      <w:r>
        <w:rPr>
          <w:rStyle w:val="14"/>
          <w:rFonts w:hint="eastAsia" w:ascii="黑体" w:hAnsi="黑体" w:eastAsia="黑体"/>
          <w:b w:val="0"/>
          <w:bCs w:val="0"/>
        </w:rPr>
        <w:t>第二部分 2</w:t>
      </w:r>
      <w:r>
        <w:rPr>
          <w:rStyle w:val="14"/>
          <w:rFonts w:ascii="黑体" w:hAnsi="黑体" w:eastAsia="黑体"/>
          <w:b w:val="0"/>
          <w:bCs w:val="0"/>
        </w:rPr>
        <w:t>020</w:t>
      </w:r>
      <w:r>
        <w:rPr>
          <w:rStyle w:val="14"/>
          <w:rFonts w:hint="eastAsia" w:ascii="黑体" w:hAnsi="黑体" w:eastAsia="黑体"/>
          <w:b w:val="0"/>
          <w:bCs w:val="0"/>
        </w:rPr>
        <w:t>年度部门决算情况说明</w:t>
      </w:r>
      <w:bookmarkEnd w:id="33"/>
      <w:bookmarkEnd w:id="34"/>
    </w:p>
    <w:bookmarkEnd w:id="35"/>
    <w:p/>
    <w:p>
      <w:pPr>
        <w:pStyle w:val="16"/>
        <w:numPr>
          <w:ilvl w:val="0"/>
          <w:numId w:val="1"/>
        </w:numPr>
        <w:spacing w:line="600" w:lineRule="exact"/>
        <w:ind w:firstLineChars="0"/>
        <w:outlineLvl w:val="1"/>
        <w:rPr>
          <w:rStyle w:val="15"/>
          <w:rFonts w:ascii="黑体" w:hAnsi="黑体" w:eastAsia="黑体"/>
          <w:b w:val="0"/>
        </w:rPr>
      </w:pPr>
      <w:bookmarkStart w:id="36" w:name="_Toc25087"/>
      <w:bookmarkStart w:id="37" w:name="_Toc15377205"/>
      <w:bookmarkStart w:id="38" w:name="_Toc15396603"/>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6"/>
      <w:bookmarkEnd w:id="37"/>
      <w:bookmarkEnd w:id="38"/>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出总计973.5万元，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875.38万元，各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98.12万元，</w:t>
      </w:r>
      <w:r>
        <w:rPr>
          <w:rFonts w:hint="eastAsia" w:ascii="仿宋" w:hAnsi="仿宋" w:eastAsia="仿宋"/>
          <w:color w:val="000000" w:themeColor="text1"/>
          <w:sz w:val="32"/>
          <w:szCs w:val="32"/>
          <w14:textFill>
            <w14:solidFill>
              <w14:schemeClr w14:val="tx1"/>
            </w14:solidFill>
          </w14:textFill>
        </w:rPr>
        <w:t>增长</w:t>
      </w:r>
      <w:r>
        <w:rPr>
          <w:rFonts w:hint="eastAsia" w:ascii="仿宋" w:hAnsi="仿宋" w:eastAsia="仿宋"/>
          <w:color w:val="000000" w:themeColor="text1"/>
          <w:sz w:val="32"/>
          <w:szCs w:val="32"/>
          <w:lang w:val="en-US" w:eastAsia="zh-CN"/>
          <w14:textFill>
            <w14:solidFill>
              <w14:schemeClr w14:val="tx1"/>
            </w14:solidFill>
          </w14:textFill>
        </w:rPr>
        <w:t>11.21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-3513455</wp:posOffset>
            </wp:positionV>
            <wp:extent cx="5080000" cy="3810000"/>
            <wp:effectExtent l="4445" t="4445" r="8255" b="825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1600" w:firstLineChars="5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jc w:val="left"/>
        <w:rPr>
          <w:rFonts w:ascii="仿宋_GB2312" w:eastAsia="仿宋_GB2312"/>
          <w:color w:val="00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39" w:name="_Toc15396604"/>
      <w:bookmarkStart w:id="40" w:name="_Toc15377206"/>
      <w:bookmarkStart w:id="41" w:name="_Toc5979"/>
      <w:r>
        <w:rPr>
          <w:rFonts w:hint="eastAsia" w:ascii="黑体" w:hAnsi="黑体" w:eastAsia="黑体"/>
          <w:color w:val="000000"/>
          <w:sz w:val="32"/>
          <w:szCs w:val="32"/>
        </w:rPr>
        <w:t>收</w:t>
      </w:r>
      <w:r>
        <w:rPr>
          <w:rStyle w:val="15"/>
          <w:rFonts w:hint="eastAsia" w:ascii="黑体" w:hAnsi="黑体" w:eastAsia="黑体"/>
          <w:b w:val="0"/>
        </w:rPr>
        <w:t>入决算情况说明</w:t>
      </w:r>
      <w:bookmarkEnd w:id="39"/>
      <w:bookmarkEnd w:id="40"/>
      <w:bookmarkEnd w:id="41"/>
    </w:p>
    <w:p>
      <w:pPr>
        <w:spacing w:line="600" w:lineRule="exact"/>
        <w:ind w:firstLine="640" w:firstLineChars="200"/>
        <w:outlineLvl w:val="9"/>
        <w:rPr>
          <w:rFonts w:hint="eastAsia" w:ascii="仿宋" w:hAnsi="仿宋" w:eastAsia="仿宋"/>
          <w:color w:val="000000"/>
          <w:sz w:val="32"/>
          <w:szCs w:val="32"/>
          <w:lang w:eastAsia="zh-CN"/>
        </w:rPr>
      </w:pPr>
      <w:bookmarkStart w:id="42"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973.5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973.36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bookmarkEnd w:id="42"/>
    </w:p>
    <w:p>
      <w:pPr>
        <w:tabs>
          <w:tab w:val="left" w:pos="2797"/>
        </w:tabs>
        <w:spacing w:line="600" w:lineRule="exact"/>
        <w:outlineLvl w:val="9"/>
        <w:rPr>
          <w:rFonts w:hint="eastAsia" w:ascii="仿宋" w:hAnsi="仿宋" w:eastAsia="仿宋"/>
          <w:color w:val="000000"/>
          <w:sz w:val="32"/>
          <w:szCs w:val="32"/>
          <w:lang w:eastAsia="zh-CN"/>
        </w:rPr>
      </w:pPr>
    </w:p>
    <w:p>
      <w:pPr>
        <w:tabs>
          <w:tab w:val="left" w:pos="2797"/>
        </w:tabs>
        <w:spacing w:line="600" w:lineRule="exact"/>
        <w:outlineLvl w:val="9"/>
        <w:rPr>
          <w:rFonts w:hint="eastAsia" w:ascii="仿宋" w:hAnsi="仿宋" w:eastAsia="仿宋"/>
          <w:color w:val="000000"/>
          <w:sz w:val="32"/>
          <w:szCs w:val="32"/>
          <w:lang w:eastAsia="zh-CN"/>
        </w:rPr>
      </w:pPr>
    </w:p>
    <w:p>
      <w:pPr>
        <w:tabs>
          <w:tab w:val="left" w:pos="2797"/>
        </w:tabs>
        <w:spacing w:line="600" w:lineRule="exact"/>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251460</wp:posOffset>
            </wp:positionV>
            <wp:extent cx="5080000" cy="3792220"/>
            <wp:effectExtent l="4445" t="4445" r="20955" b="1333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tabs>
          <w:tab w:val="left" w:pos="2797"/>
        </w:tabs>
        <w:spacing w:line="600" w:lineRule="exact"/>
        <w:outlineLvl w:val="9"/>
        <w:rPr>
          <w:rFonts w:hint="eastAsia" w:ascii="仿宋" w:hAnsi="仿宋" w:eastAsia="仿宋"/>
          <w:color w:val="000000"/>
          <w:sz w:val="32"/>
          <w:szCs w:val="32"/>
        </w:rPr>
      </w:pPr>
    </w:p>
    <w:p>
      <w:pPr>
        <w:tabs>
          <w:tab w:val="left" w:pos="2797"/>
        </w:tabs>
        <w:spacing w:line="600" w:lineRule="exact"/>
        <w:outlineLvl w:val="9"/>
        <w:rPr>
          <w:rFonts w:hint="eastAsia" w:ascii="仿宋" w:hAnsi="仿宋" w:eastAsia="仿宋"/>
          <w:color w:val="000000"/>
          <w:sz w:val="32"/>
          <w:szCs w:val="32"/>
        </w:rPr>
      </w:pPr>
    </w:p>
    <w:p>
      <w:pPr>
        <w:tabs>
          <w:tab w:val="left" w:pos="2797"/>
        </w:tabs>
        <w:spacing w:line="600" w:lineRule="exact"/>
        <w:outlineLvl w:val="9"/>
        <w:rPr>
          <w:rFonts w:hint="eastAsia" w:ascii="仿宋" w:hAnsi="仿宋" w:eastAsia="仿宋"/>
          <w:color w:val="000000"/>
          <w:sz w:val="32"/>
          <w:szCs w:val="32"/>
        </w:rPr>
      </w:pPr>
    </w:p>
    <w:p>
      <w:pPr>
        <w:tabs>
          <w:tab w:val="left" w:pos="2797"/>
        </w:tabs>
        <w:spacing w:line="600" w:lineRule="exact"/>
        <w:outlineLvl w:val="9"/>
        <w:rPr>
          <w:rFonts w:hint="eastAsia" w:ascii="仿宋" w:hAnsi="仿宋" w:eastAsia="仿宋"/>
          <w:color w:val="000000"/>
          <w:sz w:val="32"/>
          <w:szCs w:val="32"/>
        </w:rPr>
      </w:pPr>
    </w:p>
    <w:p>
      <w:pPr>
        <w:tabs>
          <w:tab w:val="left" w:pos="2797"/>
        </w:tabs>
        <w:spacing w:line="600" w:lineRule="exact"/>
        <w:outlineLvl w:val="9"/>
        <w:rPr>
          <w:rFonts w:hint="eastAsia" w:ascii="仿宋" w:hAnsi="仿宋" w:eastAsia="仿宋"/>
          <w:color w:val="00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43" w:name="_Toc22879"/>
      <w:bookmarkStart w:id="44" w:name="_Toc15396605"/>
      <w:bookmarkStart w:id="45"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43"/>
      <w:bookmarkEnd w:id="44"/>
      <w:bookmarkEnd w:id="45"/>
    </w:p>
    <w:p>
      <w:pPr>
        <w:spacing w:line="600" w:lineRule="exact"/>
        <w:ind w:firstLine="640" w:firstLineChars="200"/>
        <w:outlineLvl w:val="9"/>
        <w:rPr>
          <w:rFonts w:ascii="仿宋" w:hAnsi="仿宋" w:eastAsia="仿宋"/>
          <w:color w:val="000000"/>
          <w:sz w:val="32"/>
          <w:szCs w:val="32"/>
          <w:shd w:val="pct10" w:color="auto" w:fill="FFFFFF"/>
        </w:rPr>
      </w:pPr>
      <w:bookmarkStart w:id="46" w:name="_Toc2949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eastAsia="zh-CN"/>
        </w:rPr>
        <w:t>973.</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万元，其中：基本支出</w:t>
      </w:r>
      <w:r>
        <w:rPr>
          <w:rFonts w:hint="eastAsia" w:ascii="仿宋" w:hAnsi="仿宋" w:eastAsia="仿宋"/>
          <w:color w:val="000000"/>
          <w:sz w:val="32"/>
          <w:szCs w:val="32"/>
          <w:lang w:eastAsia="zh-CN"/>
        </w:rPr>
        <w:t>785.74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80.71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eastAsia="zh-CN"/>
        </w:rPr>
        <w:t>187.7</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19.29</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46"/>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363220</wp:posOffset>
            </wp:positionH>
            <wp:positionV relativeFrom="paragraph">
              <wp:posOffset>244475</wp:posOffset>
            </wp:positionV>
            <wp:extent cx="4457700" cy="3695065"/>
            <wp:effectExtent l="4445" t="5080" r="14605" b="1460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rPr>
          <w:rFonts w:ascii="仿宋" w:hAnsi="仿宋" w:eastAsia="仿宋"/>
          <w:color w:val="000000"/>
          <w:sz w:val="32"/>
          <w:szCs w:val="32"/>
          <w:shd w:val="pct10" w:color="auto" w:fill="FFFFFF"/>
        </w:rPr>
      </w:pPr>
    </w:p>
    <w:p>
      <w:pPr>
        <w:spacing w:line="600" w:lineRule="exact"/>
        <w:ind w:firstLine="1929" w:firstLineChars="603"/>
        <w:rPr>
          <w:rFonts w:ascii="仿宋" w:hAnsi="仿宋" w:eastAsia="仿宋"/>
          <w:color w:val="000000"/>
          <w:sz w:val="32"/>
          <w:szCs w:val="32"/>
          <w:shd w:val="pct10" w:color="auto" w:fill="FFFFFF"/>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firstLineChars="200"/>
        <w:outlineLvl w:val="1"/>
        <w:rPr>
          <w:rStyle w:val="15"/>
          <w:rFonts w:ascii="黑体" w:hAnsi="黑体" w:eastAsia="黑体"/>
          <w:b w:val="0"/>
        </w:rPr>
      </w:pPr>
      <w:bookmarkStart w:id="47" w:name="_Toc15377208"/>
      <w:bookmarkStart w:id="48" w:name="_Toc13691"/>
      <w:bookmarkStart w:id="49" w:name="_Toc15396606"/>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7"/>
      <w:bookmarkEnd w:id="48"/>
      <w:bookmarkEnd w:id="49"/>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出总计973.35</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872.46万元，各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100.89万元，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11.56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rPr>
          <w:rFonts w:ascii="仿宋" w:hAnsi="仿宋" w:eastAsia="仿宋"/>
          <w:color w:val="000000"/>
          <w:sz w:val="32"/>
          <w:szCs w:val="32"/>
          <w:shd w:val="pct10" w:color="auto" w:fill="FFFFFF"/>
        </w:rPr>
      </w:pPr>
    </w:p>
    <w:p>
      <w:pPr>
        <w:spacing w:line="600" w:lineRule="exact"/>
        <w:rPr>
          <w:rFonts w:ascii="仿宋" w:hAnsi="仿宋" w:eastAsia="仿宋"/>
          <w:color w:val="000000"/>
          <w:sz w:val="32"/>
          <w:szCs w:val="32"/>
          <w:shd w:val="pct10" w:color="auto" w:fill="FFFFFF"/>
        </w:rPr>
      </w:pPr>
    </w:p>
    <w:p>
      <w:pPr>
        <w:spacing w:line="600" w:lineRule="exact"/>
        <w:rPr>
          <w:rFonts w:ascii="仿宋" w:hAnsi="仿宋" w:eastAsia="仿宋"/>
          <w:b/>
          <w:color w:val="00B05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213995</wp:posOffset>
            </wp:positionH>
            <wp:positionV relativeFrom="paragraph">
              <wp:posOffset>85090</wp:posOffset>
            </wp:positionV>
            <wp:extent cx="4972050" cy="3401695"/>
            <wp:effectExtent l="4445" t="4445" r="14605" b="2286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5"/>
          <w:rFonts w:ascii="黑体" w:hAnsi="黑体" w:eastAsia="黑体"/>
          <w:b w:val="0"/>
        </w:rPr>
      </w:pPr>
      <w:bookmarkStart w:id="50" w:name="_Toc15377209"/>
      <w:bookmarkStart w:id="51" w:name="_Toc8539"/>
      <w:bookmarkStart w:id="52"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50"/>
      <w:bookmarkEnd w:id="51"/>
      <w:bookmarkEnd w:id="52"/>
    </w:p>
    <w:p>
      <w:pPr>
        <w:spacing w:line="600" w:lineRule="exact"/>
        <w:ind w:firstLine="643" w:firstLineChars="200"/>
        <w:outlineLvl w:val="9"/>
        <w:rPr>
          <w:rFonts w:ascii="仿宋" w:hAnsi="仿宋" w:eastAsia="仿宋"/>
          <w:b/>
          <w:color w:val="000000"/>
          <w:sz w:val="32"/>
          <w:szCs w:val="32"/>
        </w:rPr>
      </w:pPr>
      <w:bookmarkStart w:id="53" w:name="_Toc15377210"/>
      <w:bookmarkStart w:id="54" w:name="_Toc20289"/>
      <w:r>
        <w:rPr>
          <w:rFonts w:hint="eastAsia" w:ascii="仿宋" w:hAnsi="仿宋" w:eastAsia="仿宋"/>
          <w:b/>
          <w:color w:val="000000"/>
          <w:sz w:val="32"/>
          <w:szCs w:val="32"/>
        </w:rPr>
        <w:t>（一）一般公共预算财政拨款支出决算总体情况</w:t>
      </w:r>
      <w:bookmarkEnd w:id="53"/>
      <w:bookmarkEnd w:id="54"/>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eastAsia="zh-CN"/>
        </w:rPr>
        <w:t>973.35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99.98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100.89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11.56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585470</wp:posOffset>
            </wp:positionH>
            <wp:positionV relativeFrom="paragraph">
              <wp:posOffset>71120</wp:posOffset>
            </wp:positionV>
            <wp:extent cx="4365625" cy="3978910"/>
            <wp:effectExtent l="5080" t="4445" r="10795" b="1714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960" w:firstLineChars="300"/>
        <w:rPr>
          <w:rFonts w:hint="eastAsia" w:ascii="仿宋" w:hAnsi="仿宋" w:eastAsia="仿宋"/>
          <w:color w:val="000000"/>
          <w:sz w:val="32"/>
          <w:szCs w:val="32"/>
        </w:rPr>
      </w:pP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960" w:firstLineChars="300"/>
        <w:rPr>
          <w:rFonts w:hint="eastAsia" w:ascii="仿宋" w:hAnsi="仿宋" w:eastAsia="仿宋"/>
          <w:color w:val="000000"/>
          <w:sz w:val="32"/>
          <w:szCs w:val="32"/>
        </w:rPr>
      </w:pPr>
    </w:p>
    <w:p>
      <w:pPr>
        <w:spacing w:line="600" w:lineRule="exact"/>
        <w:ind w:firstLine="960" w:firstLineChars="300"/>
        <w:rPr>
          <w:rFonts w:hint="eastAsia" w:ascii="仿宋" w:hAnsi="仿宋" w:eastAsia="仿宋"/>
          <w:color w:val="000000"/>
          <w:sz w:val="32"/>
          <w:szCs w:val="32"/>
        </w:rPr>
      </w:pPr>
    </w:p>
    <w:p>
      <w:pPr>
        <w:spacing w:line="600" w:lineRule="exact"/>
        <w:ind w:firstLine="643" w:firstLineChars="200"/>
        <w:outlineLvl w:val="9"/>
        <w:rPr>
          <w:rFonts w:ascii="仿宋" w:hAnsi="仿宋" w:eastAsia="仿宋"/>
          <w:b/>
          <w:color w:val="000000"/>
          <w:sz w:val="32"/>
          <w:szCs w:val="32"/>
        </w:rPr>
      </w:pPr>
      <w:bookmarkStart w:id="55" w:name="_Toc13117"/>
      <w:bookmarkStart w:id="56" w:name="_Toc15377211"/>
      <w:r>
        <w:rPr>
          <w:rFonts w:hint="eastAsia" w:ascii="仿宋" w:hAnsi="仿宋" w:eastAsia="仿宋"/>
          <w:b/>
          <w:color w:val="000000"/>
          <w:sz w:val="32"/>
          <w:szCs w:val="32"/>
        </w:rPr>
        <w:t>（二）一般公共预算财政拨款支出决算结构情况</w:t>
      </w:r>
      <w:bookmarkEnd w:id="55"/>
      <w:bookmarkEnd w:id="5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eastAsia="zh-CN"/>
        </w:rPr>
        <w:t>973.35</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735.83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153.25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15.74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25.92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2.66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58.35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553085</wp:posOffset>
            </wp:positionH>
            <wp:positionV relativeFrom="paragraph">
              <wp:posOffset>95885</wp:posOffset>
            </wp:positionV>
            <wp:extent cx="3949065" cy="3480435"/>
            <wp:effectExtent l="4445" t="4445" r="8890" b="2032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9"/>
        <w:rPr>
          <w:rFonts w:ascii="仿宋" w:hAnsi="仿宋" w:eastAsia="仿宋"/>
          <w:b/>
          <w:color w:val="000000"/>
          <w:sz w:val="32"/>
          <w:szCs w:val="32"/>
        </w:rPr>
      </w:pPr>
      <w:bookmarkStart w:id="57" w:name="_Toc16048"/>
      <w:bookmarkStart w:id="58" w:name="_Toc15377212"/>
      <w:r>
        <w:rPr>
          <w:rFonts w:hint="eastAsia" w:ascii="仿宋" w:hAnsi="仿宋" w:eastAsia="仿宋"/>
          <w:b/>
          <w:color w:val="000000"/>
          <w:sz w:val="32"/>
          <w:szCs w:val="32"/>
        </w:rPr>
        <w:t>（三）一般公共预算财政拨款支出决算具体情况</w:t>
      </w:r>
      <w:bookmarkEnd w:id="57"/>
      <w:bookmarkEnd w:id="58"/>
    </w:p>
    <w:p>
      <w:pPr>
        <w:spacing w:line="600" w:lineRule="exact"/>
        <w:ind w:firstLine="643" w:firstLineChars="200"/>
        <w:outlineLvl w:val="9"/>
        <w:rPr>
          <w:rFonts w:ascii="仿宋" w:hAnsi="仿宋" w:eastAsia="仿宋"/>
          <w:color w:val="FF0000"/>
          <w:sz w:val="32"/>
          <w:szCs w:val="32"/>
        </w:rPr>
      </w:pPr>
      <w:bookmarkStart w:id="59" w:name="_Toc15377444"/>
      <w:bookmarkStart w:id="60" w:name="_Toc28372"/>
      <w:bookmarkStart w:id="61" w:name="_Toc15377213"/>
      <w:bookmarkStart w:id="62"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eastAsia="zh-CN"/>
        </w:rPr>
        <w:t>973.35</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59"/>
      <w:bookmarkEnd w:id="60"/>
      <w:bookmarkEnd w:id="61"/>
      <w:bookmarkEnd w:id="62"/>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教育支出（类）普通教育（款）小学教育（项）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支出决算为586.24万元，完成预算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2</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教育支出（类）普通教育（款）学</w:t>
      </w:r>
      <w:r>
        <w:rPr>
          <w:rStyle w:val="12"/>
          <w:rFonts w:hint="eastAsia" w:ascii="仿宋" w:hAnsi="仿宋" w:eastAsia="仿宋"/>
          <w:bCs/>
          <w:color w:val="000000"/>
          <w:sz w:val="32"/>
          <w:szCs w:val="32"/>
          <w:lang w:eastAsia="zh-CN"/>
        </w:rPr>
        <w:t>前</w:t>
      </w:r>
      <w:r>
        <w:rPr>
          <w:rStyle w:val="12"/>
          <w:rFonts w:hint="eastAsia" w:ascii="仿宋" w:hAnsi="仿宋" w:eastAsia="仿宋"/>
          <w:bCs/>
          <w:color w:val="000000"/>
          <w:sz w:val="32"/>
          <w:szCs w:val="32"/>
        </w:rPr>
        <w:t>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支出决算为129万元，完成预算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3</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教育支出（类）教育费附加安排的支出（款）其他教育费附加安排的支出（项）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支出决算为20.59万元，完成预算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4</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社会保障和就业支出（类）行政事业单位养老支出（款）机关事业单位基本养老保险缴费支出（项）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支出决算为64.74万元，完成预算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5</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社会保障和就业支出（类）行政事业单位养老支出（款）机关事业单位职业年金缴费支出（项）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支出决算为32.39万元，完成预算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6</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社会保障和就业支出（类）行政事业单位养老支出（款）其他行政事业单位养老支出（项）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支出决算为56.12万元，完成预算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7</w:t>
      </w:r>
      <w:r>
        <w:rPr>
          <w:rStyle w:val="12"/>
          <w:rFonts w:ascii="仿宋" w:hAnsi="仿宋" w:eastAsia="仿宋"/>
          <w:bCs/>
          <w:color w:val="000000"/>
          <w:sz w:val="32"/>
          <w:szCs w:val="32"/>
        </w:rPr>
        <w:t>.</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（类）行政事业单位医疗（款）事业单位医疗（项）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支出决算为25.92万元，完成预算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8</w:t>
      </w:r>
      <w:r>
        <w:rPr>
          <w:rStyle w:val="12"/>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2"/>
          <w:rFonts w:hint="eastAsia" w:ascii="仿宋" w:hAnsi="仿宋" w:eastAsia="仿宋"/>
          <w:bCs/>
          <w:color w:val="000000"/>
          <w:sz w:val="32"/>
          <w:szCs w:val="32"/>
        </w:rPr>
        <w:t>（类）住房改革支出</w:t>
      </w:r>
      <w:r>
        <w:rPr>
          <w:rStyle w:val="12"/>
          <w:rFonts w:hint="eastAsia" w:ascii="仿宋" w:hAnsi="仿宋" w:eastAsia="仿宋"/>
          <w:bCs/>
          <w:color w:val="000000"/>
          <w:sz w:val="32"/>
          <w:szCs w:val="32"/>
          <w:lang w:eastAsia="zh-CN"/>
        </w:rPr>
        <w:t>（</w:t>
      </w:r>
      <w:r>
        <w:rPr>
          <w:rStyle w:val="12"/>
          <w:rFonts w:hint="eastAsia" w:ascii="仿宋" w:hAnsi="仿宋" w:eastAsia="仿宋"/>
          <w:bCs/>
          <w:color w:val="000000"/>
          <w:sz w:val="32"/>
          <w:szCs w:val="32"/>
        </w:rPr>
        <w:t>款）住房公积金（项）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支出决算为58.35万元，完成预算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0" w:firstLineChars="200"/>
        <w:rPr>
          <w:rStyle w:val="12"/>
          <w:rFonts w:hint="eastAsia" w:ascii="仿宋" w:hAnsi="仿宋" w:eastAsia="仿宋"/>
          <w:b w:val="0"/>
          <w:bCs/>
          <w:color w:val="000000"/>
          <w:sz w:val="32"/>
          <w:szCs w:val="32"/>
        </w:rPr>
      </w:pPr>
    </w:p>
    <w:p>
      <w:pPr>
        <w:tabs>
          <w:tab w:val="right" w:pos="8306"/>
        </w:tabs>
        <w:spacing w:line="600" w:lineRule="exact"/>
        <w:ind w:firstLine="640"/>
        <w:outlineLvl w:val="1"/>
        <w:rPr>
          <w:rStyle w:val="15"/>
        </w:rPr>
      </w:pPr>
      <w:bookmarkStart w:id="63" w:name="_Toc15377214"/>
      <w:bookmarkStart w:id="64" w:name="_Toc15396608"/>
      <w:bookmarkStart w:id="65" w:name="_Toc26901"/>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63"/>
      <w:bookmarkEnd w:id="64"/>
      <w:bookmarkEnd w:id="65"/>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785.74</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763.44</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、其他社会保障缴费、</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、抚恤金、抚恤金、</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22.3</w:t>
      </w:r>
      <w:r>
        <w:rPr>
          <w:rFonts w:hint="eastAsia" w:ascii="仿宋" w:hAnsi="仿宋" w:eastAsia="仿宋"/>
          <w:color w:val="000000"/>
          <w:sz w:val="32"/>
          <w:szCs w:val="32"/>
        </w:rPr>
        <w:t>万元，主要包括：工会经费、福利费等。</w:t>
      </w: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outlineLvl w:val="1"/>
        <w:rPr>
          <w:rStyle w:val="15"/>
          <w:rFonts w:ascii="黑体" w:hAnsi="黑体" w:eastAsia="黑体"/>
          <w:b w:val="0"/>
        </w:rPr>
      </w:pPr>
      <w:bookmarkStart w:id="66" w:name="_Toc15377215"/>
      <w:bookmarkStart w:id="67" w:name="_Toc3081"/>
      <w:bookmarkStart w:id="68" w:name="_Toc15396609"/>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6"/>
      <w:bookmarkEnd w:id="67"/>
      <w:bookmarkEnd w:id="68"/>
    </w:p>
    <w:p>
      <w:pPr>
        <w:spacing w:line="600" w:lineRule="exact"/>
        <w:ind w:firstLine="640"/>
        <w:outlineLvl w:val="9"/>
        <w:rPr>
          <w:rFonts w:ascii="仿宋" w:hAnsi="仿宋" w:eastAsia="仿宋"/>
          <w:b/>
          <w:color w:val="000000"/>
          <w:sz w:val="32"/>
          <w:szCs w:val="32"/>
        </w:rPr>
      </w:pPr>
      <w:bookmarkStart w:id="69" w:name="_Toc26822"/>
      <w:bookmarkStart w:id="70" w:name="_Toc15377216"/>
      <w:r>
        <w:rPr>
          <w:rFonts w:hint="eastAsia" w:ascii="仿宋" w:hAnsi="仿宋" w:eastAsia="仿宋"/>
          <w:b/>
          <w:color w:val="000000"/>
          <w:sz w:val="32"/>
          <w:szCs w:val="32"/>
        </w:rPr>
        <w:t>（一）“三公”经费财政拨款支出决算总体情况说明</w:t>
      </w:r>
      <w:bookmarkEnd w:id="69"/>
      <w:bookmarkEnd w:id="70"/>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9"/>
        <w:rPr>
          <w:rFonts w:ascii="仿宋" w:hAnsi="仿宋" w:eastAsia="仿宋"/>
          <w:b/>
          <w:color w:val="000000"/>
          <w:sz w:val="32"/>
          <w:szCs w:val="32"/>
        </w:rPr>
      </w:pPr>
      <w:bookmarkStart w:id="71" w:name="_Toc15377217"/>
      <w:bookmarkStart w:id="72" w:name="_Toc26414"/>
      <w:r>
        <w:rPr>
          <w:rFonts w:hint="eastAsia" w:ascii="仿宋" w:hAnsi="仿宋" w:eastAsia="仿宋"/>
          <w:b/>
          <w:color w:val="000000"/>
          <w:sz w:val="32"/>
          <w:szCs w:val="32"/>
        </w:rPr>
        <w:t>（二）“三公”经费财政拨款支出决算具体情况说明</w:t>
      </w:r>
      <w:bookmarkEnd w:id="71"/>
      <w:bookmarkEnd w:id="7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其中：</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万元，具体内容包括：</w:t>
      </w:r>
      <w:r>
        <w:rPr>
          <w:rFonts w:hint="eastAsia" w:ascii="仿宋" w:hAnsi="仿宋" w:eastAsia="仿宋" w:cs="仿宋"/>
          <w:color w:val="auto"/>
          <w:sz w:val="32"/>
          <w:szCs w:val="32"/>
          <w:lang w:val="en-US" w:eastAsia="zh-CN"/>
        </w:rPr>
        <w:t>用于接待上级领导视察并指导学校发展产生的住宿费、用餐费0万元。</w:t>
      </w:r>
    </w:p>
    <w:p>
      <w:pPr>
        <w:spacing w:line="600" w:lineRule="exact"/>
        <w:ind w:firstLine="640"/>
        <w:outlineLvl w:val="1"/>
        <w:rPr>
          <w:rStyle w:val="15"/>
          <w:rFonts w:ascii="黑体" w:hAnsi="黑体" w:eastAsia="黑体"/>
        </w:rPr>
      </w:pPr>
      <w:bookmarkStart w:id="73" w:name="_Toc15396610"/>
      <w:bookmarkStart w:id="74" w:name="_Toc8240"/>
      <w:bookmarkStart w:id="75" w:name="_Toc15377218"/>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73"/>
      <w:bookmarkEnd w:id="74"/>
      <w:bookmarkEnd w:id="75"/>
    </w:p>
    <w:p>
      <w:pPr>
        <w:spacing w:line="600" w:lineRule="exact"/>
        <w:ind w:firstLine="640"/>
        <w:rPr>
          <w:rFonts w:ascii="仿宋_GB2312" w:eastAsia="仿宋_GB2312"/>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2"/>
        </w:numPr>
        <w:spacing w:line="600" w:lineRule="exact"/>
        <w:ind w:firstLine="640"/>
        <w:outlineLvl w:val="1"/>
        <w:rPr>
          <w:rStyle w:val="15"/>
          <w:rFonts w:ascii="黑体" w:hAnsi="黑体" w:eastAsia="黑体"/>
          <w:b w:val="0"/>
        </w:rPr>
      </w:pPr>
      <w:bookmarkStart w:id="76" w:name="_Toc15396611"/>
      <w:bookmarkStart w:id="77" w:name="_Toc15377219"/>
      <w:bookmarkStart w:id="78" w:name="_Toc27232"/>
      <w:r>
        <w:rPr>
          <w:rStyle w:val="15"/>
          <w:rFonts w:hint="eastAsia" w:ascii="黑体" w:hAnsi="黑体" w:eastAsia="黑体"/>
          <w:b w:val="0"/>
        </w:rPr>
        <w:t>国有资本经营预算支出决算情况说明</w:t>
      </w:r>
      <w:bookmarkEnd w:id="76"/>
      <w:bookmarkEnd w:id="77"/>
      <w:bookmarkEnd w:id="78"/>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5"/>
          <w:rFonts w:ascii="黑体" w:hAnsi="黑体" w:eastAsia="黑体"/>
        </w:rPr>
      </w:pPr>
      <w:bookmarkStart w:id="79" w:name="_Toc15377221"/>
      <w:bookmarkStart w:id="80" w:name="_Toc15396612"/>
      <w:bookmarkStart w:id="81" w:name="_Toc16082"/>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79"/>
      <w:bookmarkEnd w:id="80"/>
      <w:bookmarkEnd w:id="81"/>
    </w:p>
    <w:p>
      <w:pPr>
        <w:spacing w:line="600" w:lineRule="exact"/>
        <w:ind w:firstLine="643" w:firstLineChars="200"/>
        <w:outlineLvl w:val="9"/>
        <w:rPr>
          <w:rFonts w:ascii="仿宋" w:hAnsi="仿宋" w:eastAsia="仿宋"/>
          <w:color w:val="000000"/>
          <w:sz w:val="32"/>
          <w:szCs w:val="32"/>
        </w:rPr>
      </w:pPr>
      <w:bookmarkStart w:id="82" w:name="_Toc15377222"/>
      <w:bookmarkStart w:id="83" w:name="_Toc23902"/>
      <w:r>
        <w:rPr>
          <w:rFonts w:hint="eastAsia" w:ascii="仿宋" w:hAnsi="仿宋" w:eastAsia="仿宋"/>
          <w:b/>
          <w:color w:val="000000"/>
          <w:sz w:val="32"/>
          <w:szCs w:val="32"/>
        </w:rPr>
        <w:t>（一）机关运行经费支出情况</w:t>
      </w:r>
      <w:bookmarkEnd w:id="82"/>
      <w:bookmarkEnd w:id="83"/>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石麟镇石麟小学</w:t>
      </w:r>
      <w:r>
        <w:rPr>
          <w:rFonts w:hint="eastAsia" w:ascii="仿宋" w:hAnsi="仿宋" w:eastAsia="仿宋" w:cs="仿宋"/>
          <w:color w:val="000000"/>
          <w:sz w:val="32"/>
          <w:szCs w:val="32"/>
        </w:rPr>
        <w:t>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4" w:name="_Toc29901"/>
      <w:bookmarkStart w:id="85" w:name="_Toc15377223"/>
      <w:r>
        <w:rPr>
          <w:rFonts w:hint="eastAsia" w:ascii="仿宋" w:hAnsi="仿宋" w:eastAsia="仿宋"/>
          <w:b/>
          <w:color w:val="000000"/>
          <w:sz w:val="32"/>
          <w:szCs w:val="32"/>
        </w:rPr>
        <w:t>（二）政府采购支出情况</w:t>
      </w:r>
      <w:bookmarkEnd w:id="84"/>
      <w:bookmarkEnd w:id="85"/>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石麟镇石麟小学</w:t>
      </w:r>
      <w:r>
        <w:rPr>
          <w:rFonts w:hint="eastAsia" w:ascii="仿宋" w:hAnsi="仿宋" w:eastAsia="仿宋" w:cs="仿宋"/>
          <w:color w:val="000000"/>
          <w:sz w:val="32"/>
          <w:szCs w:val="32"/>
        </w:rPr>
        <w:t>采购支出总额</w:t>
      </w:r>
      <w:r>
        <w:rPr>
          <w:rFonts w:hint="eastAsia" w:ascii="仿宋" w:hAnsi="仿宋" w:eastAsia="仿宋" w:cs="仿宋"/>
          <w:color w:val="000000"/>
          <w:sz w:val="32"/>
          <w:szCs w:val="32"/>
          <w:lang w:val="en-US" w:eastAsia="zh-CN"/>
        </w:rPr>
        <w:t>17.1</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17.1</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val="en-US" w:eastAsia="zh-CN"/>
        </w:rPr>
        <w:t>教师办公桌椅采购</w:t>
      </w:r>
      <w:r>
        <w:rPr>
          <w:rFonts w:hint="eastAsia" w:ascii="仿宋" w:hAnsi="仿宋" w:eastAsia="仿宋" w:cs="仿宋"/>
          <w:color w:val="000000"/>
          <w:sz w:val="32"/>
          <w:szCs w:val="32"/>
        </w:rPr>
        <w:t>。授予中小企业合同金额</w:t>
      </w:r>
      <w:r>
        <w:rPr>
          <w:rFonts w:hint="eastAsia" w:ascii="仿宋" w:hAnsi="仿宋" w:eastAsia="仿宋" w:cs="仿宋"/>
          <w:color w:val="000000"/>
          <w:sz w:val="32"/>
          <w:szCs w:val="32"/>
          <w:lang w:val="en-US" w:eastAsia="zh-CN"/>
        </w:rPr>
        <w:t>17.1</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17.1</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6" w:name="_Toc15377224"/>
      <w:bookmarkStart w:id="87" w:name="_Toc28062"/>
      <w:r>
        <w:rPr>
          <w:rFonts w:hint="eastAsia" w:ascii="仿宋" w:hAnsi="仿宋" w:eastAsia="仿宋"/>
          <w:b/>
          <w:color w:val="000000"/>
          <w:sz w:val="32"/>
          <w:szCs w:val="32"/>
        </w:rPr>
        <w:t>（三）国有资产占有使用情况</w:t>
      </w:r>
      <w:bookmarkEnd w:id="86"/>
      <w:bookmarkEnd w:id="87"/>
    </w:p>
    <w:p>
      <w:pPr>
        <w:autoSpaceDE w:val="0"/>
        <w:autoSpaceDN w:val="0"/>
        <w:adjustRightInd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截至2020年12月31日，四川省乐山市五通桥区</w:t>
      </w:r>
      <w:r>
        <w:rPr>
          <w:rFonts w:hint="eastAsia" w:ascii="仿宋" w:hAnsi="仿宋" w:eastAsia="仿宋" w:cs="仿宋"/>
          <w:color w:val="000000"/>
          <w:sz w:val="32"/>
          <w:szCs w:val="32"/>
          <w:lang w:eastAsia="zh-CN"/>
        </w:rPr>
        <w:t>石麟镇石麟小学</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8" w:name="_Toc8507"/>
      <w:r>
        <w:rPr>
          <w:rFonts w:hint="eastAsia" w:ascii="仿宋" w:hAnsi="仿宋" w:eastAsia="仿宋"/>
          <w:b/>
          <w:color w:val="000000"/>
          <w:sz w:val="32"/>
          <w:szCs w:val="32"/>
        </w:rPr>
        <w:t>（四）预算绩效管理情况。</w:t>
      </w:r>
      <w:bookmarkEnd w:id="88"/>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themeColor="text1"/>
          <w:sz w:val="32"/>
          <w:szCs w:val="32"/>
          <w:lang w:eastAsia="zh-CN"/>
          <w14:textFill>
            <w14:solidFill>
              <w14:schemeClr w14:val="tx1"/>
            </w14:solidFill>
          </w14:textFill>
        </w:rPr>
        <w:t>乐山市五通桥石麟镇石麟小学</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乐山市五通桥石麟镇石麟小学</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本部门</w:t>
      </w:r>
      <w:r>
        <w:rPr>
          <w:rFonts w:hint="eastAsia" w:ascii="仿宋" w:hAnsi="仿宋" w:eastAsia="仿宋" w:cs="仿宋"/>
          <w:sz w:val="32"/>
          <w:szCs w:val="32"/>
        </w:rPr>
        <w:t xml:space="preserve">在2020年度部门决算中反映“ </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”项目绩效目标实际完成情况。（本单位部门项目绩效目标个数</w:t>
      </w:r>
      <w:r>
        <w:rPr>
          <w:rFonts w:hint="eastAsia" w:ascii="仿宋" w:hAnsi="仿宋" w:eastAsia="仿宋" w:cs="仿宋"/>
          <w:sz w:val="32"/>
          <w:szCs w:val="32"/>
          <w:lang w:val="en-US" w:eastAsia="zh-CN"/>
        </w:rPr>
        <w:t>3</w:t>
      </w:r>
      <w:r>
        <w:rPr>
          <w:rFonts w:hint="eastAsia" w:ascii="仿宋" w:hAnsi="仿宋" w:eastAsia="仿宋" w:cs="仿宋"/>
          <w:sz w:val="32"/>
          <w:szCs w:val="32"/>
        </w:rPr>
        <w:t>个，选取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个项目进行公开，公开内容包括选取的全部项目完成情况综述和完成情况表）。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项目绩效目标完成情况综述。</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38.02</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38.02</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p>
      <w:pPr>
        <w:spacing w:line="580" w:lineRule="exact"/>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431"/>
        <w:gridCol w:w="1986"/>
        <w:gridCol w:w="2394"/>
        <w:gridCol w:w="2392"/>
      </w:tblGrid>
      <w:tr>
        <w:tblPrEx>
          <w:tblCellMar>
            <w:top w:w="0" w:type="dxa"/>
            <w:left w:w="0" w:type="dxa"/>
            <w:bottom w:w="0" w:type="dxa"/>
            <w:right w:w="0" w:type="dxa"/>
          </w:tblCellMar>
        </w:tblPrEx>
        <w:trPr>
          <w:trHeight w:val="963"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599" w:hRule="atLeast"/>
          <w:jc w:val="center"/>
        </w:trPr>
        <w:tc>
          <w:tcPr>
            <w:tcW w:w="31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67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生均公用经费</w:t>
            </w:r>
          </w:p>
        </w:tc>
      </w:tr>
      <w:tr>
        <w:tblPrEx>
          <w:tblCellMar>
            <w:top w:w="0" w:type="dxa"/>
            <w:left w:w="0" w:type="dxa"/>
            <w:bottom w:w="0" w:type="dxa"/>
            <w:right w:w="0" w:type="dxa"/>
          </w:tblCellMar>
        </w:tblPrEx>
        <w:trPr>
          <w:trHeight w:val="564" w:hRule="atLeast"/>
          <w:jc w:val="center"/>
        </w:trPr>
        <w:tc>
          <w:tcPr>
            <w:tcW w:w="31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67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rPr>
              <w:t>四川省乐山市五通桥区</w:t>
            </w:r>
            <w:r>
              <w:rPr>
                <w:rFonts w:hint="eastAsia" w:ascii="仿宋" w:hAnsi="仿宋" w:eastAsia="仿宋" w:cs="仿宋"/>
                <w:sz w:val="32"/>
                <w:szCs w:val="32"/>
                <w:lang w:eastAsia="zh-CN"/>
              </w:rPr>
              <w:t>石麟镇石麟小学</w:t>
            </w:r>
          </w:p>
        </w:tc>
      </w:tr>
      <w:tr>
        <w:tblPrEx>
          <w:tblCellMar>
            <w:top w:w="0" w:type="dxa"/>
            <w:left w:w="0" w:type="dxa"/>
            <w:bottom w:w="0" w:type="dxa"/>
            <w:right w:w="0" w:type="dxa"/>
          </w:tblCellMar>
        </w:tblPrEx>
        <w:trPr>
          <w:trHeight w:val="1214"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2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val="en-US" w:eastAsia="zh-CN"/>
              </w:rPr>
              <w:t>38.02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color w:val="auto"/>
                <w:sz w:val="32"/>
                <w:szCs w:val="32"/>
                <w:lang w:val="en-US" w:eastAsia="zh-CN"/>
              </w:rPr>
              <w:t>38.02</w:t>
            </w:r>
          </w:p>
        </w:tc>
      </w:tr>
      <w:tr>
        <w:tblPrEx>
          <w:tblCellMar>
            <w:top w:w="0" w:type="dxa"/>
            <w:left w:w="0" w:type="dxa"/>
            <w:bottom w:w="0" w:type="dxa"/>
            <w:right w:w="0" w:type="dxa"/>
          </w:tblCellMar>
        </w:tblPrEx>
        <w:trPr>
          <w:trHeight w:val="1118"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2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val="en-US" w:eastAsia="zh-CN"/>
              </w:rPr>
              <w:t>38.02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auto"/>
                <w:sz w:val="32"/>
                <w:szCs w:val="32"/>
                <w:lang w:val="en-US" w:eastAsia="zh-CN"/>
              </w:rPr>
              <w:t>38.02</w:t>
            </w:r>
          </w:p>
        </w:tc>
      </w:tr>
      <w:tr>
        <w:tblPrEx>
          <w:tblCellMar>
            <w:top w:w="0" w:type="dxa"/>
            <w:left w:w="0" w:type="dxa"/>
            <w:bottom w:w="0" w:type="dxa"/>
            <w:right w:w="0" w:type="dxa"/>
          </w:tblCellMar>
        </w:tblPrEx>
        <w:trPr>
          <w:trHeight w:val="992"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2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952"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3352"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预计投入38.02万，涉及1个项目，完成办公经费支出、学校维修、学校校园文化建设及学校正常运转，保障支教任务正常完成。</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全年投入38.02万元，涉及1个项目，完成了办公条件改善学校维修、校园文化建设及学校正常运转，保障了支教任务正常完成。</w:t>
            </w:r>
          </w:p>
        </w:tc>
      </w:tr>
      <w:tr>
        <w:tblPrEx>
          <w:tblCellMar>
            <w:top w:w="0" w:type="dxa"/>
            <w:left w:w="0" w:type="dxa"/>
            <w:bottom w:w="0" w:type="dxa"/>
            <w:right w:w="0" w:type="dxa"/>
          </w:tblCellMar>
        </w:tblPrEx>
        <w:trPr>
          <w:trHeight w:val="1437"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425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425</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项目预算成本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38.02</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640" w:firstLineChars="200"/>
              <w:jc w:val="both"/>
              <w:textAlignment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38.02</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105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ind w:firstLine="640" w:firstLineChars="200"/>
        <w:rPr>
          <w:rFonts w:hint="eastAsia" w:ascii="仿宋" w:hAnsi="仿宋" w:eastAsia="仿宋" w:cs="仿宋"/>
          <w:sz w:val="32"/>
          <w:szCs w:val="32"/>
        </w:rPr>
      </w:pPr>
      <w:bookmarkStart w:id="89" w:name="_Toc15396613"/>
      <w:bookmarkStart w:id="90" w:name="_Toc15377225"/>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本部门按要求对2020年部门整体支出绩效评价情况开展自评，《乐山市五通桥区</w:t>
      </w:r>
      <w:r>
        <w:rPr>
          <w:rFonts w:hint="eastAsia" w:ascii="仿宋" w:hAnsi="仿宋" w:eastAsia="仿宋" w:cs="仿宋"/>
          <w:sz w:val="32"/>
          <w:szCs w:val="32"/>
          <w:lang w:eastAsia="zh-CN"/>
        </w:rPr>
        <w:t>石麟镇石麟小学</w:t>
      </w:r>
      <w:r>
        <w:rPr>
          <w:rFonts w:hint="eastAsia" w:ascii="仿宋" w:hAnsi="仿宋" w:eastAsia="仿宋" w:cs="仿宋"/>
          <w:sz w:val="32"/>
          <w:szCs w:val="32"/>
        </w:rPr>
        <w:t>部门2020年部门整体支出绩效评价报告》见附件（附件1）。</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项目开展了绩效评价，《</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项目2020年绩效评价报告》见附件（附件2）。</w:t>
      </w: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rPr>
          <w:rFonts w:hint="eastAsia" w:ascii="仿宋" w:hAnsi="仿宋" w:eastAsia="仿宋" w:cs="仿宋"/>
          <w:sz w:val="32"/>
          <w:szCs w:val="32"/>
        </w:rPr>
      </w:pPr>
    </w:p>
    <w:p>
      <w:pPr>
        <w:spacing w:line="580" w:lineRule="exact"/>
        <w:rPr>
          <w:rFonts w:hint="eastAsia" w:ascii="仿宋" w:hAnsi="仿宋" w:eastAsia="仿宋" w:cs="仿宋"/>
          <w:sz w:val="32"/>
          <w:szCs w:val="32"/>
        </w:rPr>
      </w:pPr>
    </w:p>
    <w:p>
      <w:pPr>
        <w:numPr>
          <w:ilvl w:val="0"/>
          <w:numId w:val="3"/>
        </w:numPr>
        <w:spacing w:line="600" w:lineRule="exact"/>
        <w:ind w:firstLine="660" w:firstLineChars="150"/>
        <w:jc w:val="center"/>
        <w:outlineLvl w:val="0"/>
        <w:rPr>
          <w:rStyle w:val="14"/>
          <w:rFonts w:ascii="黑体" w:hAnsi="黑体" w:eastAsia="黑体"/>
          <w:b w:val="0"/>
        </w:rPr>
      </w:pPr>
      <w:bookmarkStart w:id="91" w:name="_Toc5034"/>
      <w:r>
        <w:rPr>
          <w:rFonts w:hint="eastAsia" w:ascii="黑体" w:hAnsi="黑体" w:eastAsia="黑体"/>
          <w:color w:val="000000"/>
          <w:sz w:val="44"/>
          <w:szCs w:val="44"/>
        </w:rPr>
        <w:t>名</w:t>
      </w:r>
      <w:r>
        <w:rPr>
          <w:rStyle w:val="14"/>
          <w:rFonts w:hint="eastAsia" w:ascii="黑体" w:hAnsi="黑体" w:eastAsia="黑体"/>
          <w:b w:val="0"/>
        </w:rPr>
        <w:t>词解释</w:t>
      </w:r>
      <w:bookmarkEnd w:id="89"/>
      <w:bookmarkEnd w:id="90"/>
      <w:bookmarkEnd w:id="91"/>
    </w:p>
    <w:p>
      <w:pPr>
        <w:spacing w:line="600" w:lineRule="exact"/>
        <w:jc w:val="left"/>
        <w:rPr>
          <w:rFonts w:ascii="宋体"/>
          <w:b/>
          <w:color w:val="000000"/>
          <w:sz w:val="44"/>
          <w:szCs w:val="44"/>
        </w:rPr>
      </w:pPr>
    </w:p>
    <w:p>
      <w:pPr>
        <w:pStyle w:val="17"/>
        <w:spacing w:line="560" w:lineRule="exact"/>
        <w:ind w:firstLine="640" w:firstLineChars="200"/>
        <w:rPr>
          <w:rFonts w:hint="eastAsia" w:ascii="仿宋" w:hAnsi="仿宋" w:eastAsia="仿宋" w:cs="仿宋"/>
          <w:sz w:val="32"/>
          <w:szCs w:val="32"/>
        </w:rPr>
      </w:pPr>
      <w:bookmarkStart w:id="92" w:name="_Toc15377226"/>
      <w:r>
        <w:rPr>
          <w:rFonts w:hint="eastAsia" w:ascii="仿宋" w:hAnsi="仿宋" w:eastAsia="仿宋" w:cs="仿宋"/>
          <w:sz w:val="32"/>
          <w:szCs w:val="32"/>
        </w:rPr>
        <w:t>1.财政拨款收入：指单位从同级财政部门取得的财政预算资金。</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.年初结转和结余：指以前年度尚未完成、结转到本年按有关规定继续使用的资金。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教育（类）普通教育（款）学前教育（项）：指反映各部门举办的学前教育支出。</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pacing w:val="0"/>
          <w:w w:val="100"/>
          <w:position w:val="0"/>
          <w:sz w:val="32"/>
          <w:szCs w:val="32"/>
          <w:lang w:val="en-US" w:eastAsia="zh-CN"/>
        </w:rPr>
        <w:t>8.</w:t>
      </w:r>
      <w:r>
        <w:rPr>
          <w:rFonts w:hint="eastAsia" w:ascii="仿宋" w:hAnsi="仿宋" w:eastAsia="仿宋" w:cs="仿宋"/>
          <w:b w:val="0"/>
          <w:bCs w:val="0"/>
          <w:color w:val="000000"/>
          <w:sz w:val="32"/>
          <w:szCs w:val="32"/>
        </w:rPr>
        <w:t>教育（类）普通教育（款）小学教育（项）：指反映各部门举办的小学教育支出。政府各部门对社会中介 组织等举办的小学的资助，如各类捐赠、补贴等，也在本科 目中反映。</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教育（类）教育费附加安排的支出（款）其他教育费附加安排的支出（项）：指反映除上述项目以外的教育费附加支出。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.社会保障和就业支出（类）行政事业单位养老支出（款）机关事业单位基本养老保险缴费支出（项）：指反映机关事业单位实施养老保险制度由单位缴纳的基本老保险费支出。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社会保障和就业支出（类）行政事业单位养老支出（款）机关事业单位职业年金缴费支出（项）：指反映机关事业单位实施养老保险制度由单位实际缴纳的业年金支出。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社会保障和就业支出（类）行政事业单位养老支出（款）其他行政事业单位养老支出（项）：指反映除上述项目以外其他用于行政事业单位养老方面的支出。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 w:hAnsi="仿宋" w:eastAsia="仿宋" w:cs="仿宋"/>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 w:hAnsi="仿宋" w:eastAsia="仿宋" w:cs="仿宋"/>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bookmarkStart w:id="93" w:name="_Toc15396614"/>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17</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0"/>
        <w:rPr>
          <w:rStyle w:val="14"/>
          <w:rFonts w:ascii="黑体" w:hAnsi="黑体" w:eastAsia="黑体"/>
          <w:b w:val="0"/>
        </w:rPr>
      </w:pPr>
      <w:bookmarkStart w:id="94" w:name="_Toc7435"/>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93"/>
      <w:bookmarkEnd w:id="94"/>
    </w:p>
    <w:p>
      <w:pPr>
        <w:spacing w:line="600" w:lineRule="exact"/>
        <w:jc w:val="left"/>
        <w:outlineLvl w:val="0"/>
        <w:rPr>
          <w:rFonts w:ascii="方正小标宋简体" w:hAnsi="方正小标宋简体" w:eastAsia="方正小标宋简体" w:cs="方正小标宋简体"/>
          <w:sz w:val="32"/>
          <w:szCs w:val="32"/>
        </w:rPr>
      </w:pPr>
      <w:bookmarkStart w:id="95" w:name="_Toc11740"/>
      <w:r>
        <w:rPr>
          <w:rFonts w:hint="eastAsia" w:ascii="黑体" w:hAnsi="黑体" w:eastAsia="黑体" w:cs="黑体"/>
          <w:sz w:val="32"/>
          <w:szCs w:val="32"/>
        </w:rPr>
        <w:t>附件</w:t>
      </w:r>
      <w:r>
        <w:rPr>
          <w:rFonts w:ascii="黑体" w:hAnsi="黑体" w:eastAsia="黑体" w:cs="黑体"/>
          <w:sz w:val="32"/>
          <w:szCs w:val="32"/>
        </w:rPr>
        <w:t>1</w:t>
      </w:r>
      <w:bookmarkEnd w:id="95"/>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四川省乐山市五通桥区</w:t>
      </w:r>
      <w:r>
        <w:rPr>
          <w:rFonts w:hint="eastAsia" w:ascii="方正小标宋简体" w:hAnsi="宋体" w:eastAsia="方正小标宋简体"/>
          <w:color w:val="000000"/>
          <w:kern w:val="0"/>
          <w:sz w:val="40"/>
          <w:szCs w:val="44"/>
          <w:lang w:eastAsia="zh-CN"/>
        </w:rPr>
        <w:t>石麟镇石麟小学</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ind w:firstLineChars="200"/>
        <w:rPr>
          <w:rFonts w:hint="eastAsia" w:ascii="仿宋_GB2312" w:eastAsia="仿宋_GB2312"/>
          <w:sz w:val="30"/>
          <w:szCs w:val="30"/>
        </w:rPr>
      </w:pPr>
      <w:r>
        <w:rPr>
          <w:rFonts w:hint="eastAsia" w:ascii="仿宋_GB2312" w:eastAsia="仿宋_GB2312"/>
          <w:sz w:val="30"/>
          <w:szCs w:val="30"/>
          <w:lang w:eastAsia="zh-CN"/>
        </w:rPr>
        <w:t>乐山市五通桥区石麟镇石麟小学</w:t>
      </w:r>
      <w:r>
        <w:rPr>
          <w:rFonts w:hint="eastAsia" w:ascii="仿宋_GB2312" w:eastAsia="仿宋_GB2312"/>
          <w:sz w:val="30"/>
          <w:szCs w:val="30"/>
          <w:lang w:val="en-US" w:eastAsia="zh-CN"/>
        </w:rPr>
        <w:t>一级预算单位，无下属二级单位</w:t>
      </w:r>
      <w:r>
        <w:rPr>
          <w:rFonts w:hint="eastAsia" w:ascii="仿宋_GB2312" w:eastAsia="仿宋_GB2312"/>
          <w:sz w:val="30"/>
          <w:szCs w:val="30"/>
        </w:rPr>
        <w:t>。</w:t>
      </w:r>
    </w:p>
    <w:p>
      <w:pPr>
        <w:widowControl/>
        <w:numPr>
          <w:ilvl w:val="0"/>
          <w:numId w:val="4"/>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ind w:firstLineChars="200"/>
        <w:rPr>
          <w:rFonts w:hint="eastAsia" w:ascii="仿宋" w:hAnsi="仿宋" w:eastAsia="仿宋" w:cs="仿宋"/>
          <w:color w:val="000000"/>
          <w:kern w:val="0"/>
          <w:sz w:val="32"/>
          <w:szCs w:val="32"/>
          <w:shd w:val="clear" w:color="auto" w:fill="FFFFFF"/>
          <w:lang w:val="zh-CN"/>
        </w:rPr>
      </w:pPr>
      <w:r>
        <w:rPr>
          <w:rFonts w:hint="eastAsia" w:ascii="仿宋_GB2312" w:eastAsia="仿宋_GB2312"/>
          <w:sz w:val="30"/>
          <w:szCs w:val="30"/>
          <w:lang w:eastAsia="zh-CN"/>
        </w:rPr>
        <w:t>乐山市五通桥区石麟镇石麟小学</w:t>
      </w:r>
      <w:r>
        <w:rPr>
          <w:rFonts w:hint="eastAsia" w:ascii="仿宋_GB2312" w:eastAsia="仿宋_GB2312"/>
          <w:sz w:val="30"/>
          <w:szCs w:val="30"/>
        </w:rPr>
        <w:t>主要职能是实施小学义务教育，促进基础教育发展，小学学历教育。认真贯彻执行党的路线、方针、政策和上级领导部门及学校党委、行政的各项指示、决定</w:t>
      </w:r>
      <w:r>
        <w:rPr>
          <w:rFonts w:hint="eastAsia" w:ascii="仿宋_GB2312" w:eastAsia="仿宋_GB2312"/>
          <w:sz w:val="30"/>
          <w:szCs w:val="30"/>
          <w:lang w:eastAsia="zh-CN"/>
        </w:rPr>
        <w:t>。</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ind w:firstLine="600" w:firstLineChars="200"/>
        <w:rPr>
          <w:rFonts w:hint="eastAsia" w:ascii="仿宋" w:hAnsi="仿宋" w:eastAsia="仿宋" w:cs="仿宋"/>
          <w:sz w:val="32"/>
          <w:szCs w:val="32"/>
          <w:lang w:val="zh-CN"/>
        </w:rPr>
      </w:pPr>
      <w:r>
        <w:rPr>
          <w:rFonts w:hint="eastAsia" w:ascii="仿宋_GB2312" w:eastAsia="仿宋_GB2312"/>
          <w:sz w:val="30"/>
          <w:szCs w:val="30"/>
          <w:lang w:eastAsia="zh-CN"/>
        </w:rPr>
        <w:t>乐山市五通桥区石麟镇石麟小学</w:t>
      </w:r>
      <w:r>
        <w:rPr>
          <w:rFonts w:hint="eastAsia" w:ascii="仿宋_GB2312" w:eastAsia="仿宋_GB2312"/>
          <w:sz w:val="30"/>
          <w:szCs w:val="30"/>
          <w:lang w:val="en-US" w:eastAsia="zh-CN"/>
        </w:rPr>
        <w:t>截至 2020 年 12月31日，我单位 编制人数 50 人 ， 较上年度增加 0 人 ， 年末实有人数 53 人，较上年度增加 0人</w:t>
      </w:r>
      <w:r>
        <w:rPr>
          <w:rFonts w:hint="eastAsia" w:ascii="仿宋_GB2312" w:eastAsia="仿宋_GB2312"/>
          <w:sz w:val="30"/>
          <w:szCs w:val="30"/>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spacing w:line="600" w:lineRule="exact"/>
        <w:ind w:firstLine="640"/>
        <w:rPr>
          <w:rFonts w:hint="eastAsia" w:ascii="仿宋" w:hAnsi="仿宋" w:eastAsia="仿宋"/>
          <w:color w:val="000000"/>
          <w:sz w:val="32"/>
          <w:szCs w:val="32"/>
          <w:lang w:val="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入973.35万元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100.89万元、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11.56</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olor w:val="000000"/>
          <w:sz w:val="32"/>
          <w:szCs w:val="32"/>
          <w:lang w:val="en-US" w:eastAsia="zh-CN"/>
        </w:rPr>
        <w:t>785.74</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olor w:val="000000"/>
          <w:sz w:val="32"/>
          <w:szCs w:val="32"/>
          <w:lang w:val="en-US" w:eastAsia="zh-CN"/>
        </w:rPr>
        <w:t>763.44</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olor w:val="000000"/>
          <w:sz w:val="32"/>
          <w:szCs w:val="32"/>
          <w:lang w:val="en-US" w:eastAsia="zh-CN"/>
        </w:rPr>
        <w:t>22.3</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187.61</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187.61</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四川省乐山市五通桥区</w:t>
      </w:r>
      <w:r>
        <w:rPr>
          <w:rFonts w:hint="eastAsia" w:ascii="仿宋" w:hAnsi="仿宋" w:eastAsia="仿宋" w:cs="仿宋"/>
          <w:sz w:val="32"/>
          <w:szCs w:val="32"/>
          <w:lang w:eastAsia="zh-CN"/>
        </w:rPr>
        <w:t>石麟镇石麟小学</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100</w:t>
      </w:r>
      <w:r>
        <w:rPr>
          <w:rFonts w:hint="eastAsia" w:ascii="仿宋" w:hAnsi="仿宋" w:eastAsia="仿宋" w:cs="仿宋"/>
          <w:i w:val="0"/>
          <w:iCs w:val="0"/>
          <w:caps w:val="0"/>
          <w:color w:val="333333"/>
          <w:spacing w:val="0"/>
          <w:sz w:val="32"/>
          <w:szCs w:val="32"/>
        </w:rPr>
        <w:t>分，总体评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leftChars="200" w:firstLine="320" w:firstLineChars="1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widowControl/>
        <w:numPr>
          <w:ilvl w:val="0"/>
          <w:numId w:val="0"/>
        </w:numPr>
        <w:adjustRightInd w:val="0"/>
        <w:snapToGrid w:val="0"/>
        <w:spacing w:line="580" w:lineRule="exact"/>
        <w:ind w:firstLine="1920" w:firstLineChars="6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无</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无</w:t>
      </w: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ind w:firstLine="1920" w:firstLineChars="600"/>
        <w:rPr>
          <w:rFonts w:hint="eastAsia" w:ascii="仿宋" w:hAnsi="仿宋" w:eastAsia="仿宋" w:cs="仿宋"/>
          <w:color w:val="000000"/>
          <w:kern w:val="0"/>
          <w:sz w:val="32"/>
          <w:szCs w:val="32"/>
          <w:shd w:val="clear" w:color="auto" w:fill="FFFFFF"/>
          <w:lang w:val="zh-CN"/>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eastAsia="zh-CN"/>
        </w:rPr>
      </w:pPr>
      <w:r>
        <w:rPr>
          <w:rFonts w:hint="eastAsia" w:ascii="方正小标宋简体" w:hAnsi="宋体" w:eastAsia="方正小标宋简体"/>
          <w:color w:val="000000"/>
          <w:kern w:val="0"/>
          <w:sz w:val="44"/>
          <w:szCs w:val="44"/>
        </w:rPr>
        <w:t>四川省乐山市五通桥区</w:t>
      </w:r>
      <w:r>
        <w:rPr>
          <w:rFonts w:hint="eastAsia" w:ascii="方正小标宋简体" w:hAnsi="宋体" w:eastAsia="方正小标宋简体"/>
          <w:color w:val="000000"/>
          <w:kern w:val="0"/>
          <w:sz w:val="44"/>
          <w:szCs w:val="44"/>
          <w:lang w:eastAsia="zh-CN"/>
        </w:rPr>
        <w:t>石麟镇石麟小学</w:t>
      </w:r>
      <w:r>
        <w:rPr>
          <w:rFonts w:hint="eastAsia" w:ascii="方正小标宋简体" w:hAnsi="宋体" w:eastAsia="方正小标宋简体"/>
          <w:color w:val="000000"/>
          <w:kern w:val="0"/>
          <w:sz w:val="44"/>
          <w:szCs w:val="44"/>
          <w:lang w:val="en-US" w:eastAsia="zh-CN"/>
        </w:rPr>
        <w:t>生均公用经费</w:t>
      </w:r>
      <w:r>
        <w:rPr>
          <w:rFonts w:hint="eastAsia" w:ascii="方正小标宋简体" w:hAnsi="宋体" w:eastAsia="方正小标宋简体"/>
          <w:color w:val="000000"/>
          <w:kern w:val="0"/>
          <w:sz w:val="44"/>
          <w:szCs w:val="44"/>
          <w:lang w:val="zh-CN" w:eastAsia="zh-CN"/>
        </w:rPr>
        <w:t>项目</w:t>
      </w:r>
      <w:r>
        <w:rPr>
          <w:rFonts w:hint="eastAsia" w:ascii="方正小标宋简体" w:hAnsi="宋体" w:eastAsia="方正小标宋简体"/>
          <w:color w:val="000000"/>
          <w:kern w:val="0"/>
          <w:sz w:val="44"/>
          <w:szCs w:val="44"/>
          <w:lang w:eastAsia="zh-CN"/>
        </w:rPr>
        <w:t>2020年</w:t>
      </w:r>
      <w:r>
        <w:rPr>
          <w:rFonts w:hint="eastAsia" w:ascii="方正小标宋简体" w:hAnsi="宋体" w:eastAsia="方正小标宋简体"/>
          <w:color w:val="000000"/>
          <w:kern w:val="0"/>
          <w:sz w:val="44"/>
          <w:szCs w:val="44"/>
          <w:lang w:val="zh-CN" w:eastAsia="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sz w:val="32"/>
          <w:szCs w:val="32"/>
        </w:rPr>
        <w:t>主要实施小学义务教育，促进基础教育发展。小学学历教育。贯彻执行学校党委的决定，服务领导、服务部门、服务基层，做好管理和服务的各项相关工作。认真贯彻执行党的路线、方针、政策和上级领导部门及学校党委、行政的各项指示、决定</w:t>
      </w:r>
      <w:r>
        <w:rPr>
          <w:rFonts w:hint="eastAsia" w:ascii="仿宋_GB2312" w:eastAsia="仿宋_GB2312"/>
          <w:sz w:val="32"/>
          <w:szCs w:val="32"/>
        </w:rPr>
        <w:t>。</w:t>
      </w:r>
    </w:p>
    <w:p>
      <w:pPr>
        <w:numPr>
          <w:ilvl w:val="0"/>
          <w:numId w:val="6"/>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项目立项、资金申报的依据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用于学校全</w:t>
      </w:r>
      <w:r>
        <w:rPr>
          <w:rFonts w:hint="eastAsia" w:ascii="仿宋" w:hAnsi="仿宋" w:eastAsia="仿宋" w:cs="仿宋"/>
          <w:sz w:val="32"/>
          <w:szCs w:val="32"/>
          <w:highlight w:val="none"/>
          <w:lang w:val="en-US" w:eastAsia="zh-CN"/>
        </w:rPr>
        <w:t>年教育教学正常运转支</w:t>
      </w:r>
      <w:r>
        <w:rPr>
          <w:rFonts w:hint="eastAsia" w:ascii="仿宋" w:hAnsi="仿宋" w:eastAsia="仿宋" w:cs="仿宋"/>
          <w:sz w:val="32"/>
          <w:szCs w:val="32"/>
          <w:lang w:val="en-US" w:eastAsia="zh-CN"/>
        </w:rPr>
        <w:t>出。</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adjustRightInd w:val="0"/>
        <w:snapToGrid w:val="0"/>
        <w:spacing w:line="600" w:lineRule="exact"/>
        <w:ind w:left="720" w:leftChars="0"/>
        <w:rPr>
          <w:rFonts w:hint="eastAsia" w:ascii="仿宋" w:hAnsi="仿宋" w:eastAsia="仿宋" w:cs="仿宋"/>
          <w:sz w:val="32"/>
          <w:szCs w:val="32"/>
          <w:lang w:val="zh-CN"/>
        </w:rPr>
      </w:pPr>
      <w:r>
        <w:rPr>
          <w:rFonts w:hint="eastAsia" w:ascii="仿宋" w:hAnsi="仿宋" w:eastAsia="仿宋" w:cs="仿宋"/>
          <w:sz w:val="32"/>
          <w:szCs w:val="32"/>
          <w:lang w:val="en-US" w:eastAsia="zh-CN"/>
        </w:rPr>
        <w:t>根据学校实际情况，在保运转基础上纳入年初预算。</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_GB2312" w:hAnsi="宋体" w:eastAsia="仿宋_GB2312"/>
          <w:sz w:val="32"/>
          <w:szCs w:val="32"/>
          <w:lang w:val="zh-CN"/>
        </w:rPr>
      </w:pPr>
      <w:r>
        <w:rPr>
          <w:rFonts w:hint="eastAsia" w:ascii="仿宋" w:hAnsi="仿宋" w:eastAsia="仿宋" w:cs="仿宋"/>
          <w:sz w:val="32"/>
          <w:szCs w:val="32"/>
          <w:lang w:val="en-US" w:eastAsia="zh-CN"/>
        </w:rPr>
        <w:t>该项目资金由区级配套财政资金及上级财政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cs="仿宋"/>
          <w:sz w:val="32"/>
          <w:szCs w:val="32"/>
          <w:lang w:val="en-US" w:eastAsia="zh-CN"/>
        </w:rPr>
        <w:t>2020年预计投入38.02万，涉及1个项目，用于学校正常教育教学任务。</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2020年五通桥区石麟镇石麟小学按照财政局下达的预算批复，对于商品及服务支出（日常公用经费）按照年初预算执行，实现内部报告审批制度，实时监控支出情况；对于项目支出的经费使用情况进行监督检查。</w:t>
      </w:r>
    </w:p>
    <w:p>
      <w:pPr>
        <w:numPr>
          <w:ilvl w:val="0"/>
          <w:numId w:val="7"/>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资金计划、到位及使用情况。</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_GB2312" w:hAnsi="宋体" w:eastAsia="仿宋_GB2312" w:cs="Times New Roman"/>
          <w:sz w:val="32"/>
          <w:szCs w:val="32"/>
          <w:lang w:val="zh-CN" w:eastAsia="zh-CN"/>
        </w:rPr>
        <w:t>1．</w:t>
      </w:r>
      <w:r>
        <w:rPr>
          <w:rFonts w:hint="eastAsia" w:ascii="仿宋" w:hAnsi="仿宋" w:eastAsia="仿宋" w:cs="仿宋"/>
          <w:sz w:val="32"/>
          <w:szCs w:val="32"/>
          <w:lang w:val="zh-CN" w:eastAsia="zh-CN"/>
        </w:rPr>
        <w:t>资金计划：该项目资金由区级配套财政资金划拨及上级财政资金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lang w:val="zh-CN" w:eastAsia="zh-CN"/>
        </w:rPr>
        <w:t>。</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lang w:val="zh-CN" w:eastAsia="zh-CN"/>
        </w:rPr>
        <w:t>2．资金到位：</w:t>
      </w:r>
      <w:r>
        <w:rPr>
          <w:rFonts w:hint="eastAsia" w:ascii="仿宋" w:hAnsi="仿宋" w:eastAsia="仿宋" w:cs="仿宋"/>
          <w:sz w:val="32"/>
          <w:szCs w:val="32"/>
          <w:highlight w:val="none"/>
          <w:lang w:val="zh-CN" w:eastAsia="zh-CN"/>
        </w:rPr>
        <w:t>截止评价时点该项目财政</w:t>
      </w:r>
      <w:r>
        <w:rPr>
          <w:rFonts w:hint="eastAsia" w:ascii="仿宋" w:hAnsi="仿宋" w:eastAsia="仿宋" w:cs="仿宋"/>
          <w:sz w:val="32"/>
          <w:szCs w:val="32"/>
          <w:highlight w:val="none"/>
          <w:lang w:val="en-US" w:eastAsia="zh-CN"/>
        </w:rPr>
        <w:t>拨付</w:t>
      </w:r>
      <w:r>
        <w:rPr>
          <w:rFonts w:hint="eastAsia" w:ascii="仿宋" w:hAnsi="仿宋" w:eastAsia="仿宋" w:cs="仿宋"/>
          <w:sz w:val="32"/>
          <w:szCs w:val="32"/>
          <w:highlight w:val="none"/>
          <w:lang w:val="zh-CN" w:eastAsia="zh-CN"/>
        </w:rPr>
        <w:t>项目资金</w:t>
      </w:r>
      <w:r>
        <w:rPr>
          <w:rFonts w:hint="eastAsia" w:ascii="仿宋" w:hAnsi="仿宋" w:eastAsia="仿宋" w:cs="仿宋"/>
          <w:sz w:val="32"/>
          <w:szCs w:val="32"/>
          <w:highlight w:val="none"/>
          <w:lang w:val="en-US" w:eastAsia="zh-CN"/>
        </w:rPr>
        <w:t>38.02</w:t>
      </w:r>
      <w:r>
        <w:rPr>
          <w:rFonts w:hint="eastAsia" w:ascii="仿宋" w:hAnsi="仿宋" w:eastAsia="仿宋" w:cs="仿宋"/>
          <w:sz w:val="32"/>
          <w:szCs w:val="32"/>
          <w:highlight w:val="none"/>
          <w:lang w:val="zh-CN" w:eastAsia="zh-CN"/>
        </w:rPr>
        <w:t>万元，预算资金到位</w:t>
      </w:r>
      <w:r>
        <w:rPr>
          <w:rFonts w:hint="eastAsia" w:ascii="仿宋" w:hAnsi="仿宋" w:eastAsia="仿宋" w:cs="仿宋"/>
          <w:sz w:val="32"/>
          <w:szCs w:val="32"/>
          <w:highlight w:val="none"/>
          <w:lang w:val="en-US" w:eastAsia="zh-CN"/>
        </w:rPr>
        <w:t>38.02</w:t>
      </w:r>
      <w:r>
        <w:rPr>
          <w:rFonts w:hint="eastAsia" w:ascii="仿宋" w:hAnsi="仿宋" w:eastAsia="仿宋" w:cs="仿宋"/>
          <w:sz w:val="32"/>
          <w:szCs w:val="32"/>
          <w:highlight w:val="none"/>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3．资金使用：该项资金用于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numPr>
          <w:ilvl w:val="0"/>
          <w:numId w:val="0"/>
        </w:num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仿宋" w:hAnsi="仿宋" w:eastAsia="仿宋" w:cs="仿宋"/>
          <w:b/>
          <w:sz w:val="32"/>
          <w:szCs w:val="32"/>
          <w:lang w:val="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五通桥区石麟镇石麟小学成立项目建设工作的领导小组，项目建设工作由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0"/>
        </w:numPr>
        <w:adjustRightInd w:val="0"/>
        <w:snapToGrid w:val="0"/>
        <w:spacing w:line="600" w:lineRule="exact"/>
        <w:ind w:left="720" w:leftChars="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w:t>
      </w:r>
      <w:r>
        <w:rPr>
          <w:rFonts w:hint="eastAsia" w:ascii="仿宋" w:hAnsi="仿宋" w:eastAsia="仿宋" w:cs="仿宋"/>
          <w:b/>
          <w:sz w:val="32"/>
          <w:szCs w:val="32"/>
          <w:lang w:val="zh-CN"/>
        </w:rPr>
        <w:t>一）项目完成情况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w:t>
      </w:r>
      <w:r>
        <w:rPr>
          <w:rFonts w:hint="eastAsia" w:ascii="仿宋" w:hAnsi="仿宋" w:eastAsia="仿宋" w:cs="仿宋"/>
          <w:sz w:val="32"/>
          <w:szCs w:val="32"/>
          <w:lang w:val="en-US" w:eastAsia="zh-CN"/>
        </w:rPr>
        <w:t>38.02</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ascii="楷体_GB2312" w:hAnsi="宋体" w:eastAsia="楷体_GB2312"/>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保障了学校师生正常的教育教学秩序，为师生提供了健康校园环境，师生及家长满意度高。</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100分，</w:t>
      </w:r>
      <w:r>
        <w:rPr>
          <w:rFonts w:hint="eastAsia" w:ascii="仿宋" w:hAnsi="仿宋" w:eastAsia="仿宋" w:cs="仿宋"/>
          <w:i w:val="0"/>
          <w:iCs w:val="0"/>
          <w:caps w:val="0"/>
          <w:color w:val="333333"/>
          <w:spacing w:val="0"/>
          <w:sz w:val="32"/>
          <w:szCs w:val="32"/>
        </w:rPr>
        <w:t>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1920" w:firstLineChars="600"/>
        <w:rPr>
          <w:rFonts w:hint="eastAsia" w:ascii="仿宋" w:hAnsi="仿宋" w:eastAsia="仿宋" w:cs="仿宋"/>
          <w:sz w:val="32"/>
          <w:szCs w:val="32"/>
          <w:lang w:val="zh-CN"/>
        </w:rPr>
      </w:pPr>
      <w:r>
        <w:rPr>
          <w:rFonts w:hint="eastAsia" w:ascii="仿宋_GB2312" w:hAnsi="宋体" w:eastAsia="仿宋_GB2312"/>
          <w:sz w:val="32"/>
          <w:szCs w:val="32"/>
          <w:lang w:val="en-US" w:eastAsia="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widowControl/>
        <w:ind w:firstLine="1920" w:firstLineChars="6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无</w:t>
      </w: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en-US" w:eastAsia="zh-CN"/>
        </w:rPr>
      </w:pPr>
    </w:p>
    <w:p>
      <w:pPr>
        <w:widowControl/>
        <w:ind w:firstLine="1920" w:firstLineChars="600"/>
        <w:jc w:val="left"/>
        <w:rPr>
          <w:rFonts w:hint="eastAsia" w:ascii="仿宋_GB2312" w:hAnsi="宋体" w:eastAsia="仿宋_GB2312"/>
          <w:sz w:val="32"/>
          <w:szCs w:val="32"/>
          <w:lang w:val="zh-CN" w:eastAsia="zh-CN"/>
        </w:rPr>
      </w:pPr>
    </w:p>
    <w:p>
      <w:pPr>
        <w:numPr>
          <w:ilvl w:val="0"/>
          <w:numId w:val="0"/>
        </w:numPr>
        <w:spacing w:line="600" w:lineRule="exact"/>
        <w:jc w:val="center"/>
        <w:outlineLvl w:val="0"/>
        <w:rPr>
          <w:rStyle w:val="14"/>
          <w:rFonts w:hint="eastAsia" w:ascii="黑体" w:hAnsi="黑体" w:eastAsia="黑体"/>
          <w:b w:val="0"/>
        </w:rPr>
      </w:pPr>
      <w:bookmarkStart w:id="96" w:name="_Toc26237"/>
      <w:bookmarkStart w:id="97" w:name="_Toc15396618"/>
      <w:r>
        <w:rPr>
          <w:rStyle w:val="14"/>
          <w:rFonts w:hint="eastAsia" w:ascii="黑体" w:hAnsi="黑体" w:eastAsia="黑体"/>
          <w:b w:val="0"/>
          <w:lang w:val="en-US" w:eastAsia="zh-CN"/>
        </w:rPr>
        <w:t xml:space="preserve">第五部分  </w:t>
      </w:r>
      <w:r>
        <w:rPr>
          <w:rStyle w:val="14"/>
          <w:rFonts w:hint="eastAsia" w:ascii="黑体" w:hAnsi="黑体" w:eastAsia="黑体"/>
          <w:b w:val="0"/>
        </w:rPr>
        <w:t>附表</w:t>
      </w:r>
      <w:bookmarkEnd w:id="92"/>
      <w:bookmarkEnd w:id="96"/>
      <w:bookmarkEnd w:id="97"/>
      <w:bookmarkStart w:id="98" w:name="_Toc15396619"/>
    </w:p>
    <w:bookmarkEnd w:id="98"/>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99" w:name="_Toc25996"/>
      <w:bookmarkStart w:id="100" w:name="_Toc30727"/>
      <w:r>
        <w:rPr>
          <w:rFonts w:hint="eastAsia" w:ascii="仿宋" w:hAnsi="仿宋" w:eastAsia="仿宋"/>
          <w:b w:val="0"/>
          <w:bCs/>
          <w:color w:val="000000"/>
        </w:rPr>
        <w:t>一、收</w:t>
      </w:r>
      <w:r>
        <w:rPr>
          <w:rStyle w:val="18"/>
          <w:rFonts w:hint="eastAsia" w:ascii="仿宋" w:hAnsi="仿宋" w:eastAsia="仿宋"/>
          <w:b w:val="0"/>
          <w:bCs/>
        </w:rPr>
        <w:t>入支出决算总表</w:t>
      </w:r>
      <w:bookmarkEnd w:id="99"/>
      <w:bookmarkEnd w:id="10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1" w:name="_Toc6493"/>
      <w:bookmarkStart w:id="102" w:name="_Toc28411"/>
      <w:bookmarkStart w:id="103" w:name="_Toc15396620"/>
      <w:r>
        <w:rPr>
          <w:rFonts w:hint="eastAsia" w:ascii="仿宋" w:hAnsi="仿宋" w:eastAsia="仿宋"/>
          <w:b w:val="0"/>
          <w:bCs/>
          <w:color w:val="000000"/>
        </w:rPr>
        <w:t>二、收</w:t>
      </w:r>
      <w:r>
        <w:rPr>
          <w:rStyle w:val="18"/>
          <w:rFonts w:hint="eastAsia" w:ascii="仿宋" w:hAnsi="仿宋" w:eastAsia="仿宋"/>
          <w:b w:val="0"/>
          <w:bCs/>
        </w:rPr>
        <w:t>入决算表</w:t>
      </w:r>
      <w:bookmarkEnd w:id="101"/>
      <w:bookmarkEnd w:id="102"/>
      <w:bookmarkEnd w:id="103"/>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4" w:name="_Toc15396621"/>
      <w:bookmarkStart w:id="105" w:name="_Toc23752"/>
      <w:bookmarkStart w:id="106" w:name="_Toc31372"/>
      <w:r>
        <w:rPr>
          <w:rStyle w:val="18"/>
          <w:rFonts w:hint="eastAsia" w:ascii="仿宋" w:hAnsi="仿宋" w:eastAsia="仿宋"/>
          <w:b w:val="0"/>
          <w:bCs/>
        </w:rPr>
        <w:t>三、</w:t>
      </w:r>
      <w:r>
        <w:rPr>
          <w:rFonts w:hint="eastAsia" w:ascii="仿宋" w:hAnsi="仿宋" w:eastAsia="仿宋"/>
          <w:b w:val="0"/>
          <w:bCs/>
          <w:color w:val="000000"/>
        </w:rPr>
        <w:t>支</w:t>
      </w:r>
      <w:r>
        <w:rPr>
          <w:rStyle w:val="18"/>
          <w:rFonts w:hint="eastAsia" w:ascii="仿宋" w:hAnsi="仿宋" w:eastAsia="仿宋"/>
          <w:b w:val="0"/>
          <w:bCs/>
        </w:rPr>
        <w:t>出决算表</w:t>
      </w:r>
      <w:bookmarkEnd w:id="104"/>
      <w:bookmarkEnd w:id="105"/>
      <w:bookmarkEnd w:id="10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7" w:name="_Toc27949"/>
      <w:bookmarkStart w:id="108" w:name="_Toc15396622"/>
      <w:bookmarkStart w:id="109" w:name="_Toc3504"/>
      <w:r>
        <w:rPr>
          <w:rStyle w:val="18"/>
          <w:rFonts w:hint="eastAsia" w:ascii="仿宋" w:hAnsi="仿宋" w:eastAsia="仿宋"/>
          <w:b w:val="0"/>
          <w:bCs/>
        </w:rPr>
        <w:t>四、</w:t>
      </w:r>
      <w:r>
        <w:rPr>
          <w:rFonts w:hint="eastAsia" w:ascii="仿宋" w:hAnsi="仿宋" w:eastAsia="仿宋"/>
          <w:b w:val="0"/>
          <w:bCs/>
          <w:color w:val="000000"/>
        </w:rPr>
        <w:t>财</w:t>
      </w:r>
      <w:r>
        <w:rPr>
          <w:rStyle w:val="18"/>
          <w:rFonts w:hint="eastAsia" w:ascii="仿宋" w:hAnsi="仿宋" w:eastAsia="仿宋"/>
          <w:b w:val="0"/>
          <w:bCs/>
        </w:rPr>
        <w:t>政拨款收入支出决算总表</w:t>
      </w:r>
      <w:bookmarkEnd w:id="107"/>
      <w:bookmarkEnd w:id="108"/>
      <w:bookmarkEnd w:id="109"/>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10" w:name="_Toc30002"/>
      <w:bookmarkStart w:id="111" w:name="_Toc15396623"/>
      <w:bookmarkStart w:id="112" w:name="_Toc28285"/>
      <w:r>
        <w:rPr>
          <w:rStyle w:val="18"/>
          <w:rFonts w:hint="eastAsia" w:ascii="仿宋" w:hAnsi="仿宋" w:eastAsia="仿宋"/>
          <w:b w:val="0"/>
          <w:bCs/>
        </w:rPr>
        <w:t>五、</w:t>
      </w:r>
      <w:r>
        <w:rPr>
          <w:rFonts w:hint="eastAsia" w:ascii="仿宋" w:hAnsi="仿宋" w:eastAsia="仿宋"/>
          <w:b w:val="0"/>
          <w:bCs/>
          <w:color w:val="000000"/>
        </w:rPr>
        <w:t>财</w:t>
      </w:r>
      <w:r>
        <w:rPr>
          <w:rStyle w:val="18"/>
          <w:rFonts w:hint="eastAsia" w:ascii="仿宋" w:hAnsi="仿宋" w:eastAsia="仿宋"/>
          <w:b w:val="0"/>
          <w:bCs/>
        </w:rPr>
        <w:t>政拨款支出决算明细表</w:t>
      </w:r>
      <w:bookmarkEnd w:id="110"/>
      <w:bookmarkEnd w:id="111"/>
      <w:bookmarkEnd w:id="112"/>
      <w:bookmarkStart w:id="113"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4" w:name="_Toc19691"/>
      <w:bookmarkStart w:id="115" w:name="_Toc21348"/>
      <w:r>
        <w:rPr>
          <w:rStyle w:val="18"/>
          <w:rFonts w:hint="eastAsia" w:ascii="仿宋" w:hAnsi="仿宋" w:eastAsia="仿宋"/>
          <w:b w:val="0"/>
          <w:bCs/>
        </w:rPr>
        <w:t>六、</w:t>
      </w:r>
      <w:r>
        <w:rPr>
          <w:rFonts w:hint="eastAsia" w:ascii="仿宋" w:hAnsi="仿宋" w:eastAsia="仿宋"/>
          <w:b w:val="0"/>
          <w:bCs/>
          <w:color w:val="000000"/>
        </w:rPr>
        <w:t>一</w:t>
      </w:r>
      <w:r>
        <w:rPr>
          <w:rStyle w:val="18"/>
          <w:rFonts w:hint="eastAsia" w:ascii="仿宋" w:hAnsi="仿宋" w:eastAsia="仿宋"/>
          <w:b w:val="0"/>
          <w:bCs/>
        </w:rPr>
        <w:t>般公共预算财政拨款支出决算表</w:t>
      </w:r>
      <w:bookmarkEnd w:id="113"/>
      <w:bookmarkEnd w:id="114"/>
      <w:bookmarkEnd w:id="11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6" w:name="_Toc19669"/>
      <w:bookmarkStart w:id="117" w:name="_Toc25647"/>
      <w:bookmarkStart w:id="118" w:name="_Toc15396625"/>
      <w:r>
        <w:rPr>
          <w:rStyle w:val="18"/>
          <w:rFonts w:hint="eastAsia" w:ascii="仿宋" w:hAnsi="仿宋" w:eastAsia="仿宋"/>
          <w:b w:val="0"/>
          <w:bCs/>
        </w:rPr>
        <w:t>七、</w:t>
      </w:r>
      <w:r>
        <w:rPr>
          <w:rFonts w:hint="eastAsia" w:ascii="仿宋" w:hAnsi="仿宋" w:eastAsia="仿宋"/>
          <w:b w:val="0"/>
          <w:bCs/>
          <w:color w:val="000000"/>
        </w:rPr>
        <w:t>一</w:t>
      </w:r>
      <w:r>
        <w:rPr>
          <w:rStyle w:val="18"/>
          <w:rFonts w:hint="eastAsia" w:ascii="仿宋" w:hAnsi="仿宋" w:eastAsia="仿宋"/>
          <w:b w:val="0"/>
          <w:bCs/>
        </w:rPr>
        <w:t>般公共预算财政拨款支出决算明细表</w:t>
      </w:r>
      <w:bookmarkEnd w:id="116"/>
      <w:bookmarkEnd w:id="117"/>
      <w:bookmarkEnd w:id="11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9" w:name="_Toc15396626"/>
      <w:bookmarkStart w:id="120" w:name="_Toc4"/>
      <w:bookmarkStart w:id="121" w:name="_Toc10119"/>
      <w:r>
        <w:rPr>
          <w:rStyle w:val="18"/>
          <w:rFonts w:hint="eastAsia" w:ascii="仿宋" w:hAnsi="仿宋" w:eastAsia="仿宋"/>
          <w:b w:val="0"/>
          <w:bCs/>
        </w:rPr>
        <w:t>八、</w:t>
      </w:r>
      <w:r>
        <w:rPr>
          <w:rFonts w:hint="eastAsia" w:ascii="仿宋" w:hAnsi="仿宋" w:eastAsia="仿宋"/>
          <w:b w:val="0"/>
          <w:bCs/>
          <w:color w:val="000000"/>
        </w:rPr>
        <w:t>一</w:t>
      </w:r>
      <w:r>
        <w:rPr>
          <w:rStyle w:val="18"/>
          <w:rFonts w:hint="eastAsia" w:ascii="仿宋" w:hAnsi="仿宋" w:eastAsia="仿宋"/>
          <w:b w:val="0"/>
          <w:bCs/>
        </w:rPr>
        <w:t>般公共预算财政拨款基本支出决算表</w:t>
      </w:r>
      <w:bookmarkEnd w:id="119"/>
      <w:bookmarkEnd w:id="120"/>
      <w:bookmarkEnd w:id="121"/>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2" w:name="_Toc15396627"/>
      <w:bookmarkStart w:id="123" w:name="_Toc38"/>
      <w:bookmarkStart w:id="124" w:name="_Toc21697"/>
      <w:r>
        <w:rPr>
          <w:rStyle w:val="18"/>
          <w:rFonts w:hint="eastAsia" w:ascii="仿宋" w:hAnsi="仿宋" w:eastAsia="仿宋"/>
          <w:b w:val="0"/>
          <w:bCs/>
        </w:rPr>
        <w:t>九、</w:t>
      </w:r>
      <w:r>
        <w:rPr>
          <w:rFonts w:hint="eastAsia" w:ascii="仿宋" w:hAnsi="仿宋" w:eastAsia="仿宋"/>
          <w:b w:val="0"/>
          <w:bCs/>
          <w:color w:val="000000"/>
        </w:rPr>
        <w:t>一</w:t>
      </w:r>
      <w:r>
        <w:rPr>
          <w:rStyle w:val="18"/>
          <w:rFonts w:hint="eastAsia" w:ascii="仿宋" w:hAnsi="仿宋" w:eastAsia="仿宋"/>
          <w:b w:val="0"/>
          <w:bCs/>
        </w:rPr>
        <w:t>般公共预算财政拨款项目支出决算表</w:t>
      </w:r>
      <w:bookmarkEnd w:id="122"/>
      <w:bookmarkEnd w:id="123"/>
      <w:bookmarkEnd w:id="1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5" w:name="_Toc15396628"/>
      <w:bookmarkStart w:id="126" w:name="_Toc2594"/>
      <w:bookmarkStart w:id="127" w:name="_Toc28481"/>
      <w:r>
        <w:rPr>
          <w:rStyle w:val="18"/>
          <w:rFonts w:hint="eastAsia" w:ascii="仿宋" w:hAnsi="仿宋" w:eastAsia="仿宋"/>
          <w:b w:val="0"/>
          <w:bCs/>
        </w:rPr>
        <w:t>十、</w:t>
      </w:r>
      <w:r>
        <w:rPr>
          <w:rFonts w:hint="eastAsia" w:ascii="仿宋" w:hAnsi="仿宋" w:eastAsia="仿宋"/>
          <w:b w:val="0"/>
          <w:bCs/>
          <w:color w:val="000000"/>
        </w:rPr>
        <w:t>一</w:t>
      </w:r>
      <w:r>
        <w:rPr>
          <w:rStyle w:val="18"/>
          <w:rFonts w:hint="eastAsia" w:ascii="仿宋" w:hAnsi="仿宋" w:eastAsia="仿宋"/>
          <w:b w:val="0"/>
          <w:bCs/>
        </w:rPr>
        <w:t>般公共预算财政拨款“三公”经费支出决算表</w:t>
      </w:r>
      <w:bookmarkEnd w:id="125"/>
      <w:bookmarkEnd w:id="126"/>
      <w:bookmarkEnd w:id="127"/>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8" w:name="_Toc1716"/>
      <w:bookmarkStart w:id="129" w:name="_Toc15396629"/>
      <w:bookmarkStart w:id="130" w:name="_Toc24938"/>
      <w:r>
        <w:rPr>
          <w:rStyle w:val="18"/>
          <w:rFonts w:hint="eastAsia" w:ascii="仿宋" w:hAnsi="仿宋" w:eastAsia="仿宋"/>
          <w:b w:val="0"/>
          <w:bCs/>
        </w:rPr>
        <w:t>十一、</w:t>
      </w:r>
      <w:r>
        <w:rPr>
          <w:rFonts w:hint="eastAsia" w:ascii="仿宋" w:hAnsi="仿宋" w:eastAsia="仿宋"/>
          <w:b w:val="0"/>
          <w:bCs/>
          <w:color w:val="000000"/>
        </w:rPr>
        <w:t>政</w:t>
      </w:r>
      <w:r>
        <w:rPr>
          <w:rStyle w:val="18"/>
          <w:rFonts w:hint="eastAsia" w:ascii="仿宋" w:hAnsi="仿宋" w:eastAsia="仿宋"/>
          <w:b w:val="0"/>
          <w:bCs/>
        </w:rPr>
        <w:t>府性基金预算财政拨款收入支出决算表</w:t>
      </w:r>
      <w:bookmarkEnd w:id="128"/>
      <w:bookmarkEnd w:id="129"/>
      <w:bookmarkEnd w:id="13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1" w:name="_Toc15396630"/>
      <w:bookmarkStart w:id="132" w:name="_Toc21591"/>
      <w:bookmarkStart w:id="133" w:name="_Toc3423"/>
      <w:r>
        <w:rPr>
          <w:rStyle w:val="18"/>
          <w:rFonts w:hint="eastAsia" w:ascii="仿宋" w:hAnsi="仿宋" w:eastAsia="仿宋"/>
          <w:b w:val="0"/>
          <w:bCs/>
        </w:rPr>
        <w:t>十二、</w:t>
      </w:r>
      <w:r>
        <w:rPr>
          <w:rFonts w:hint="eastAsia" w:ascii="仿宋" w:hAnsi="仿宋" w:eastAsia="仿宋"/>
          <w:b w:val="0"/>
          <w:bCs/>
          <w:color w:val="000000"/>
        </w:rPr>
        <w:t>政</w:t>
      </w:r>
      <w:r>
        <w:rPr>
          <w:rStyle w:val="18"/>
          <w:rFonts w:hint="eastAsia" w:ascii="仿宋" w:hAnsi="仿宋" w:eastAsia="仿宋"/>
          <w:b w:val="0"/>
          <w:bCs/>
        </w:rPr>
        <w:t>府性基金预算财政拨款“三公”经费支出决算表</w:t>
      </w:r>
      <w:bookmarkEnd w:id="131"/>
      <w:bookmarkEnd w:id="132"/>
      <w:bookmarkEnd w:id="133"/>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34" w:name="_Toc15396631"/>
      <w:bookmarkStart w:id="135" w:name="_Toc10392"/>
      <w:bookmarkStart w:id="136" w:name="_Toc27620"/>
      <w:r>
        <w:rPr>
          <w:rStyle w:val="18"/>
          <w:rFonts w:hint="eastAsia" w:ascii="仿宋" w:hAnsi="仿宋" w:eastAsia="仿宋"/>
          <w:b w:val="0"/>
          <w:bCs/>
        </w:rPr>
        <w:t>十三、</w:t>
      </w:r>
      <w:r>
        <w:rPr>
          <w:rFonts w:hint="eastAsia" w:ascii="仿宋" w:hAnsi="仿宋" w:eastAsia="仿宋"/>
          <w:b w:val="0"/>
          <w:bCs/>
          <w:color w:val="000000"/>
        </w:rPr>
        <w:t>国</w:t>
      </w:r>
      <w:r>
        <w:rPr>
          <w:rStyle w:val="18"/>
          <w:rFonts w:hint="eastAsia" w:ascii="仿宋" w:hAnsi="仿宋" w:eastAsia="仿宋"/>
          <w:b w:val="0"/>
          <w:bCs/>
        </w:rPr>
        <w:t>有资本经营预算财政拨款收入支出决算表</w:t>
      </w:r>
      <w:bookmarkEnd w:id="134"/>
      <w:bookmarkEnd w:id="135"/>
      <w:bookmarkEnd w:id="13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7" w:name="_Toc11289"/>
      <w:bookmarkStart w:id="138" w:name="_Toc7884"/>
      <w:r>
        <w:rPr>
          <w:rStyle w:val="18"/>
          <w:rFonts w:hint="eastAsia" w:ascii="仿宋" w:hAnsi="仿宋" w:eastAsia="仿宋"/>
          <w:b w:val="0"/>
          <w:bCs/>
        </w:rPr>
        <w:t>十四、</w:t>
      </w:r>
      <w:r>
        <w:rPr>
          <w:rFonts w:hint="eastAsia" w:ascii="仿宋" w:hAnsi="仿宋" w:eastAsia="仿宋"/>
          <w:b w:val="0"/>
          <w:bCs/>
          <w:color w:val="000000"/>
        </w:rPr>
        <w:t>国</w:t>
      </w:r>
      <w:r>
        <w:rPr>
          <w:rStyle w:val="18"/>
          <w:rFonts w:hint="eastAsia" w:ascii="仿宋" w:hAnsi="仿宋" w:eastAsia="仿宋"/>
          <w:b w:val="0"/>
          <w:bCs/>
        </w:rPr>
        <w:t>有资本经营预算财政拨款支出决算表</w:t>
      </w:r>
      <w:bookmarkEnd w:id="137"/>
      <w:bookmarkEnd w:id="138"/>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010C9D7"/>
    <w:multiLevelType w:val="singleLevel"/>
    <w:tmpl w:val="E010C9D7"/>
    <w:lvl w:ilvl="0" w:tentative="0">
      <w:start w:val="2"/>
      <w:numFmt w:val="decimal"/>
      <w:suff w:val="nothing"/>
      <w:lvlText w:val="%1．"/>
      <w:lvlJc w:val="left"/>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F6CC13E2"/>
    <w:multiLevelType w:val="singleLevel"/>
    <w:tmpl w:val="F6CC13E2"/>
    <w:lvl w:ilvl="0" w:tentative="0">
      <w:start w:val="2"/>
      <w:numFmt w:val="chineseCounting"/>
      <w:suff w:val="nothing"/>
      <w:lvlText w:val="（%1）"/>
      <w:lvlJc w:val="left"/>
      <w:rPr>
        <w:rFonts w:hint="eastAsia"/>
      </w:rPr>
    </w:lvl>
  </w:abstractNum>
  <w:abstractNum w:abstractNumId="4">
    <w:nsid w:val="F7BBCEEB"/>
    <w:multiLevelType w:val="singleLevel"/>
    <w:tmpl w:val="F7BBCEEB"/>
    <w:lvl w:ilvl="0" w:tentative="0">
      <w:start w:val="2"/>
      <w:numFmt w:val="decimal"/>
      <w:suff w:val="nothing"/>
      <w:lvlText w:val="%1．"/>
      <w:lvlJc w:val="left"/>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DA1CD08"/>
    <w:multiLevelType w:val="singleLevel"/>
    <w:tmpl w:val="1DA1CD08"/>
    <w:lvl w:ilvl="0" w:tentative="0">
      <w:start w:val="2"/>
      <w:numFmt w:val="chineseCounting"/>
      <w:suff w:val="nothing"/>
      <w:lvlText w:val="（%1）"/>
      <w:lvlJc w:val="left"/>
      <w:rPr>
        <w:rFonts w:hint="eastAsia"/>
      </w:rPr>
    </w:lvl>
  </w:abstractNum>
  <w:abstractNum w:abstractNumId="7">
    <w:nsid w:val="2DF79ECB"/>
    <w:multiLevelType w:val="singleLevel"/>
    <w:tmpl w:val="2DF79ECB"/>
    <w:lvl w:ilvl="0" w:tentative="0">
      <w:start w:val="2"/>
      <w:numFmt w:val="chineseCounting"/>
      <w:suff w:val="nothing"/>
      <w:lvlText w:val="（%1）"/>
      <w:lvlJc w:val="left"/>
      <w:rPr>
        <w:rFonts w:hint="eastAsia"/>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6DB"/>
    <w:rsid w:val="00624AEE"/>
    <w:rsid w:val="00DF6ECF"/>
    <w:rsid w:val="010D2661"/>
    <w:rsid w:val="01891B41"/>
    <w:rsid w:val="01B64868"/>
    <w:rsid w:val="01BC5869"/>
    <w:rsid w:val="01C11E30"/>
    <w:rsid w:val="01E3205D"/>
    <w:rsid w:val="02E065BA"/>
    <w:rsid w:val="02E93779"/>
    <w:rsid w:val="03557094"/>
    <w:rsid w:val="03BC23B4"/>
    <w:rsid w:val="047D2B2F"/>
    <w:rsid w:val="04D12053"/>
    <w:rsid w:val="05287A32"/>
    <w:rsid w:val="052A6E74"/>
    <w:rsid w:val="05645302"/>
    <w:rsid w:val="058420F1"/>
    <w:rsid w:val="05954892"/>
    <w:rsid w:val="06951C7E"/>
    <w:rsid w:val="06977505"/>
    <w:rsid w:val="069A6762"/>
    <w:rsid w:val="06CC5D40"/>
    <w:rsid w:val="06E55597"/>
    <w:rsid w:val="07604836"/>
    <w:rsid w:val="07CD3868"/>
    <w:rsid w:val="089844FD"/>
    <w:rsid w:val="089A28A1"/>
    <w:rsid w:val="08CC033C"/>
    <w:rsid w:val="09186640"/>
    <w:rsid w:val="09C430F7"/>
    <w:rsid w:val="09CB7031"/>
    <w:rsid w:val="09D407DB"/>
    <w:rsid w:val="0A5510C7"/>
    <w:rsid w:val="0A8B345C"/>
    <w:rsid w:val="0B0D441B"/>
    <w:rsid w:val="0B0D49A2"/>
    <w:rsid w:val="0B225F17"/>
    <w:rsid w:val="0B482663"/>
    <w:rsid w:val="0BFC6B85"/>
    <w:rsid w:val="0C285864"/>
    <w:rsid w:val="0C6F1C0B"/>
    <w:rsid w:val="0C8913FF"/>
    <w:rsid w:val="0C943154"/>
    <w:rsid w:val="0D511AC8"/>
    <w:rsid w:val="0D7063F4"/>
    <w:rsid w:val="0DEC28D1"/>
    <w:rsid w:val="0E9F0C06"/>
    <w:rsid w:val="0F0D4150"/>
    <w:rsid w:val="0F735599"/>
    <w:rsid w:val="0F96152D"/>
    <w:rsid w:val="0FCD27B1"/>
    <w:rsid w:val="0FFF6BA1"/>
    <w:rsid w:val="10350BC2"/>
    <w:rsid w:val="104F5FF3"/>
    <w:rsid w:val="105967B7"/>
    <w:rsid w:val="1061082F"/>
    <w:rsid w:val="107172A0"/>
    <w:rsid w:val="10C30504"/>
    <w:rsid w:val="10F24AC0"/>
    <w:rsid w:val="112962C2"/>
    <w:rsid w:val="11383E35"/>
    <w:rsid w:val="11702E5B"/>
    <w:rsid w:val="118D3F5F"/>
    <w:rsid w:val="11A650B1"/>
    <w:rsid w:val="13C14374"/>
    <w:rsid w:val="13D51776"/>
    <w:rsid w:val="13E41CDB"/>
    <w:rsid w:val="141A66B9"/>
    <w:rsid w:val="144D0F77"/>
    <w:rsid w:val="14591C55"/>
    <w:rsid w:val="14B06E34"/>
    <w:rsid w:val="15316F8B"/>
    <w:rsid w:val="15441BB6"/>
    <w:rsid w:val="158B2B38"/>
    <w:rsid w:val="15DA618C"/>
    <w:rsid w:val="16385338"/>
    <w:rsid w:val="1639537D"/>
    <w:rsid w:val="16544B70"/>
    <w:rsid w:val="16665107"/>
    <w:rsid w:val="16AC0C91"/>
    <w:rsid w:val="1732048A"/>
    <w:rsid w:val="17E0018E"/>
    <w:rsid w:val="17FE1A10"/>
    <w:rsid w:val="1887488F"/>
    <w:rsid w:val="193C6F8D"/>
    <w:rsid w:val="194046CD"/>
    <w:rsid w:val="19A509E8"/>
    <w:rsid w:val="19A87E02"/>
    <w:rsid w:val="19C42560"/>
    <w:rsid w:val="1A0D5C60"/>
    <w:rsid w:val="1AB215A9"/>
    <w:rsid w:val="1AD35EA8"/>
    <w:rsid w:val="1AEC5330"/>
    <w:rsid w:val="1B6E3FD6"/>
    <w:rsid w:val="1B91706E"/>
    <w:rsid w:val="1C2365C6"/>
    <w:rsid w:val="1CB219C3"/>
    <w:rsid w:val="1D2A6AA0"/>
    <w:rsid w:val="1D6A1234"/>
    <w:rsid w:val="1D737AE6"/>
    <w:rsid w:val="1D8B46EB"/>
    <w:rsid w:val="1DD045F0"/>
    <w:rsid w:val="1DD51D3B"/>
    <w:rsid w:val="1DDF10B1"/>
    <w:rsid w:val="1DFF4BFB"/>
    <w:rsid w:val="1E217132"/>
    <w:rsid w:val="1E421890"/>
    <w:rsid w:val="1F91291C"/>
    <w:rsid w:val="201B24C0"/>
    <w:rsid w:val="202030ED"/>
    <w:rsid w:val="20482E83"/>
    <w:rsid w:val="205572DB"/>
    <w:rsid w:val="213B5427"/>
    <w:rsid w:val="2167349A"/>
    <w:rsid w:val="21C54CAA"/>
    <w:rsid w:val="224D0AF4"/>
    <w:rsid w:val="22D85D2A"/>
    <w:rsid w:val="230376CB"/>
    <w:rsid w:val="237B1D6B"/>
    <w:rsid w:val="24B1088C"/>
    <w:rsid w:val="24C877E1"/>
    <w:rsid w:val="25736D7C"/>
    <w:rsid w:val="2594492F"/>
    <w:rsid w:val="259519A1"/>
    <w:rsid w:val="25A569D7"/>
    <w:rsid w:val="26A23B04"/>
    <w:rsid w:val="26CA55EF"/>
    <w:rsid w:val="27071E7D"/>
    <w:rsid w:val="27267E43"/>
    <w:rsid w:val="272C708D"/>
    <w:rsid w:val="27306953"/>
    <w:rsid w:val="27AF34A8"/>
    <w:rsid w:val="27EE54D6"/>
    <w:rsid w:val="281A68C5"/>
    <w:rsid w:val="28312D27"/>
    <w:rsid w:val="284E5E4B"/>
    <w:rsid w:val="288D5C5C"/>
    <w:rsid w:val="290415B0"/>
    <w:rsid w:val="290E2754"/>
    <w:rsid w:val="290F015E"/>
    <w:rsid w:val="293F3240"/>
    <w:rsid w:val="296B3F4B"/>
    <w:rsid w:val="29DB7B33"/>
    <w:rsid w:val="2A412F8F"/>
    <w:rsid w:val="2A903862"/>
    <w:rsid w:val="2B2A381E"/>
    <w:rsid w:val="2B322252"/>
    <w:rsid w:val="2B351EC2"/>
    <w:rsid w:val="2B9A4747"/>
    <w:rsid w:val="2BBD3CB4"/>
    <w:rsid w:val="2C0E0AA2"/>
    <w:rsid w:val="2C412B3E"/>
    <w:rsid w:val="2CAB3AC4"/>
    <w:rsid w:val="2CC92BF1"/>
    <w:rsid w:val="2CD24DD2"/>
    <w:rsid w:val="2CE324C0"/>
    <w:rsid w:val="2D2456D1"/>
    <w:rsid w:val="2D4466DA"/>
    <w:rsid w:val="2DE36CBE"/>
    <w:rsid w:val="2E154B85"/>
    <w:rsid w:val="2E9D416D"/>
    <w:rsid w:val="2E9E47A2"/>
    <w:rsid w:val="2F7D0C8C"/>
    <w:rsid w:val="2F861C69"/>
    <w:rsid w:val="300517CD"/>
    <w:rsid w:val="30434438"/>
    <w:rsid w:val="309375FE"/>
    <w:rsid w:val="30AD22F7"/>
    <w:rsid w:val="30B1294E"/>
    <w:rsid w:val="30CF551D"/>
    <w:rsid w:val="30EB15A9"/>
    <w:rsid w:val="30FA2D6B"/>
    <w:rsid w:val="30FF79F1"/>
    <w:rsid w:val="317A3AF8"/>
    <w:rsid w:val="319C2B39"/>
    <w:rsid w:val="31AF05DF"/>
    <w:rsid w:val="32C01F73"/>
    <w:rsid w:val="32DE5329"/>
    <w:rsid w:val="332B5C89"/>
    <w:rsid w:val="33C57E9A"/>
    <w:rsid w:val="340B49FB"/>
    <w:rsid w:val="34351892"/>
    <w:rsid w:val="3445531D"/>
    <w:rsid w:val="34895F9A"/>
    <w:rsid w:val="34F05427"/>
    <w:rsid w:val="34FC40CF"/>
    <w:rsid w:val="35801574"/>
    <w:rsid w:val="358062DE"/>
    <w:rsid w:val="358A6C92"/>
    <w:rsid w:val="359A6CD2"/>
    <w:rsid w:val="35D5318A"/>
    <w:rsid w:val="3610072D"/>
    <w:rsid w:val="3619770F"/>
    <w:rsid w:val="36206041"/>
    <w:rsid w:val="368D3F86"/>
    <w:rsid w:val="36CA6C86"/>
    <w:rsid w:val="36FA134C"/>
    <w:rsid w:val="37206344"/>
    <w:rsid w:val="37694D62"/>
    <w:rsid w:val="381B1E02"/>
    <w:rsid w:val="383276CB"/>
    <w:rsid w:val="386246B4"/>
    <w:rsid w:val="388D3D04"/>
    <w:rsid w:val="38F45326"/>
    <w:rsid w:val="39115282"/>
    <w:rsid w:val="392B51C6"/>
    <w:rsid w:val="39B03EBF"/>
    <w:rsid w:val="39EB0E26"/>
    <w:rsid w:val="39EF201E"/>
    <w:rsid w:val="39FC3F49"/>
    <w:rsid w:val="3A14361B"/>
    <w:rsid w:val="3A520D8A"/>
    <w:rsid w:val="3A994E53"/>
    <w:rsid w:val="3A9C74E9"/>
    <w:rsid w:val="3A9E6709"/>
    <w:rsid w:val="3AAB0341"/>
    <w:rsid w:val="3B25291B"/>
    <w:rsid w:val="3B2C76E6"/>
    <w:rsid w:val="3B377B04"/>
    <w:rsid w:val="3B453E63"/>
    <w:rsid w:val="3B5D7C61"/>
    <w:rsid w:val="3BBD6B54"/>
    <w:rsid w:val="3CA17F2D"/>
    <w:rsid w:val="3DEC312B"/>
    <w:rsid w:val="3DEE5631"/>
    <w:rsid w:val="3E213369"/>
    <w:rsid w:val="3E327B54"/>
    <w:rsid w:val="3F1B770F"/>
    <w:rsid w:val="3F313D50"/>
    <w:rsid w:val="3FCB3A13"/>
    <w:rsid w:val="40194187"/>
    <w:rsid w:val="401A5546"/>
    <w:rsid w:val="40224A3F"/>
    <w:rsid w:val="40D22E6D"/>
    <w:rsid w:val="41366FA4"/>
    <w:rsid w:val="41B539F7"/>
    <w:rsid w:val="41CE67C7"/>
    <w:rsid w:val="4213182F"/>
    <w:rsid w:val="421D161B"/>
    <w:rsid w:val="425809C0"/>
    <w:rsid w:val="42B816ED"/>
    <w:rsid w:val="431C0FD2"/>
    <w:rsid w:val="436D57D0"/>
    <w:rsid w:val="43B04E41"/>
    <w:rsid w:val="44417BA6"/>
    <w:rsid w:val="44ED29EA"/>
    <w:rsid w:val="44F14737"/>
    <w:rsid w:val="45180111"/>
    <w:rsid w:val="45A4657F"/>
    <w:rsid w:val="45E13E67"/>
    <w:rsid w:val="45E32B66"/>
    <w:rsid w:val="45F77353"/>
    <w:rsid w:val="462A775C"/>
    <w:rsid w:val="46B25424"/>
    <w:rsid w:val="46BE316A"/>
    <w:rsid w:val="46DB0222"/>
    <w:rsid w:val="47450513"/>
    <w:rsid w:val="47813CC2"/>
    <w:rsid w:val="47F8508E"/>
    <w:rsid w:val="48A71754"/>
    <w:rsid w:val="48E56D2A"/>
    <w:rsid w:val="49003C66"/>
    <w:rsid w:val="496A01DE"/>
    <w:rsid w:val="4A4A697E"/>
    <w:rsid w:val="4A840933"/>
    <w:rsid w:val="4B1E4CBE"/>
    <w:rsid w:val="4B3B6A1C"/>
    <w:rsid w:val="4BC17A54"/>
    <w:rsid w:val="4BD82429"/>
    <w:rsid w:val="4BED3CEC"/>
    <w:rsid w:val="4CB83F31"/>
    <w:rsid w:val="4D605DC6"/>
    <w:rsid w:val="4D687FF9"/>
    <w:rsid w:val="4DA27727"/>
    <w:rsid w:val="4E0F0117"/>
    <w:rsid w:val="4E7E138A"/>
    <w:rsid w:val="4E937E91"/>
    <w:rsid w:val="4F654691"/>
    <w:rsid w:val="4F8261D0"/>
    <w:rsid w:val="4F8708C6"/>
    <w:rsid w:val="50214B33"/>
    <w:rsid w:val="502335D3"/>
    <w:rsid w:val="507F49AE"/>
    <w:rsid w:val="50D949D3"/>
    <w:rsid w:val="50EC72A7"/>
    <w:rsid w:val="50ED543A"/>
    <w:rsid w:val="5114508A"/>
    <w:rsid w:val="5138364D"/>
    <w:rsid w:val="51736AE0"/>
    <w:rsid w:val="51C33377"/>
    <w:rsid w:val="51F27CA8"/>
    <w:rsid w:val="52223986"/>
    <w:rsid w:val="523F04BA"/>
    <w:rsid w:val="524401C3"/>
    <w:rsid w:val="526D72E2"/>
    <w:rsid w:val="528A52AB"/>
    <w:rsid w:val="529A0C32"/>
    <w:rsid w:val="52EE6179"/>
    <w:rsid w:val="53487391"/>
    <w:rsid w:val="53591899"/>
    <w:rsid w:val="53793167"/>
    <w:rsid w:val="537B4ADF"/>
    <w:rsid w:val="53A3472E"/>
    <w:rsid w:val="541334FF"/>
    <w:rsid w:val="541C090B"/>
    <w:rsid w:val="54EB3532"/>
    <w:rsid w:val="54EE1A60"/>
    <w:rsid w:val="5502153E"/>
    <w:rsid w:val="565A7838"/>
    <w:rsid w:val="56974D41"/>
    <w:rsid w:val="56AB3A5E"/>
    <w:rsid w:val="56D94A3F"/>
    <w:rsid w:val="56F9130E"/>
    <w:rsid w:val="570A602D"/>
    <w:rsid w:val="571346C3"/>
    <w:rsid w:val="574A3ACB"/>
    <w:rsid w:val="576E6004"/>
    <w:rsid w:val="586179DB"/>
    <w:rsid w:val="58812E9D"/>
    <w:rsid w:val="588538D5"/>
    <w:rsid w:val="58A747AE"/>
    <w:rsid w:val="59500426"/>
    <w:rsid w:val="596737E5"/>
    <w:rsid w:val="59BF27D2"/>
    <w:rsid w:val="59C40752"/>
    <w:rsid w:val="5B9260B6"/>
    <w:rsid w:val="5BC31761"/>
    <w:rsid w:val="5BE572BC"/>
    <w:rsid w:val="5D0E671C"/>
    <w:rsid w:val="5D305D26"/>
    <w:rsid w:val="5D3E4A7C"/>
    <w:rsid w:val="5DB35D09"/>
    <w:rsid w:val="5DDA1BCF"/>
    <w:rsid w:val="5E1D2BD4"/>
    <w:rsid w:val="5E654F36"/>
    <w:rsid w:val="5E7264B1"/>
    <w:rsid w:val="5F931B14"/>
    <w:rsid w:val="5F9547CF"/>
    <w:rsid w:val="5FD97134"/>
    <w:rsid w:val="5FE90DFC"/>
    <w:rsid w:val="602F61B1"/>
    <w:rsid w:val="606833B6"/>
    <w:rsid w:val="60D15139"/>
    <w:rsid w:val="60E3289B"/>
    <w:rsid w:val="611F6C92"/>
    <w:rsid w:val="6146457C"/>
    <w:rsid w:val="61626DF7"/>
    <w:rsid w:val="61D70DA1"/>
    <w:rsid w:val="61EE6B79"/>
    <w:rsid w:val="6225548C"/>
    <w:rsid w:val="62516F4D"/>
    <w:rsid w:val="62C9399D"/>
    <w:rsid w:val="62ED6C1F"/>
    <w:rsid w:val="631C1490"/>
    <w:rsid w:val="63214156"/>
    <w:rsid w:val="632945F3"/>
    <w:rsid w:val="63D0089C"/>
    <w:rsid w:val="642037B7"/>
    <w:rsid w:val="646A3AF5"/>
    <w:rsid w:val="64AC2DE0"/>
    <w:rsid w:val="64D35C2C"/>
    <w:rsid w:val="65CF5A72"/>
    <w:rsid w:val="65DF6929"/>
    <w:rsid w:val="66027103"/>
    <w:rsid w:val="6603187B"/>
    <w:rsid w:val="66B4327E"/>
    <w:rsid w:val="66BE27A7"/>
    <w:rsid w:val="670C2D8E"/>
    <w:rsid w:val="67CC031E"/>
    <w:rsid w:val="67DD406C"/>
    <w:rsid w:val="68063136"/>
    <w:rsid w:val="685714B9"/>
    <w:rsid w:val="68BC3EA1"/>
    <w:rsid w:val="69416B39"/>
    <w:rsid w:val="69453A20"/>
    <w:rsid w:val="698200BE"/>
    <w:rsid w:val="69C32BEC"/>
    <w:rsid w:val="69D93EFA"/>
    <w:rsid w:val="69FD6115"/>
    <w:rsid w:val="6A2650B5"/>
    <w:rsid w:val="6A497906"/>
    <w:rsid w:val="6B443DD8"/>
    <w:rsid w:val="6B511E04"/>
    <w:rsid w:val="6C297CB8"/>
    <w:rsid w:val="6C4254F6"/>
    <w:rsid w:val="6C5253BE"/>
    <w:rsid w:val="6C8E0D31"/>
    <w:rsid w:val="6C906037"/>
    <w:rsid w:val="6C9B452E"/>
    <w:rsid w:val="6C9C715A"/>
    <w:rsid w:val="6CB23495"/>
    <w:rsid w:val="6CD34F5C"/>
    <w:rsid w:val="6CE470BC"/>
    <w:rsid w:val="6CF971EF"/>
    <w:rsid w:val="6D085172"/>
    <w:rsid w:val="6D396EC6"/>
    <w:rsid w:val="6D512D49"/>
    <w:rsid w:val="6D942894"/>
    <w:rsid w:val="6D9D7B5F"/>
    <w:rsid w:val="6DC86816"/>
    <w:rsid w:val="6E1075D5"/>
    <w:rsid w:val="6E7E0683"/>
    <w:rsid w:val="6EBD3BE7"/>
    <w:rsid w:val="6F0A77C5"/>
    <w:rsid w:val="6F874265"/>
    <w:rsid w:val="6F941740"/>
    <w:rsid w:val="6FA01EF0"/>
    <w:rsid w:val="7087556A"/>
    <w:rsid w:val="70E426BB"/>
    <w:rsid w:val="70F466ED"/>
    <w:rsid w:val="715C1C2A"/>
    <w:rsid w:val="71741C3F"/>
    <w:rsid w:val="718F16A6"/>
    <w:rsid w:val="71BE5748"/>
    <w:rsid w:val="71F00D8A"/>
    <w:rsid w:val="72B96F51"/>
    <w:rsid w:val="736234E2"/>
    <w:rsid w:val="73646E96"/>
    <w:rsid w:val="73905FA1"/>
    <w:rsid w:val="73943FE5"/>
    <w:rsid w:val="7401533B"/>
    <w:rsid w:val="741371CB"/>
    <w:rsid w:val="742B0080"/>
    <w:rsid w:val="743823AB"/>
    <w:rsid w:val="744D5803"/>
    <w:rsid w:val="748B034D"/>
    <w:rsid w:val="74CD6D8F"/>
    <w:rsid w:val="74D14478"/>
    <w:rsid w:val="750F40FA"/>
    <w:rsid w:val="75290E51"/>
    <w:rsid w:val="753A0633"/>
    <w:rsid w:val="755F0101"/>
    <w:rsid w:val="755F43CF"/>
    <w:rsid w:val="75A50518"/>
    <w:rsid w:val="75BA4B9B"/>
    <w:rsid w:val="7612369C"/>
    <w:rsid w:val="76205F71"/>
    <w:rsid w:val="7700067C"/>
    <w:rsid w:val="77301B08"/>
    <w:rsid w:val="776831DD"/>
    <w:rsid w:val="77A2095A"/>
    <w:rsid w:val="77EA5FE3"/>
    <w:rsid w:val="783160EF"/>
    <w:rsid w:val="78477399"/>
    <w:rsid w:val="784F0C6B"/>
    <w:rsid w:val="78672953"/>
    <w:rsid w:val="78F315F7"/>
    <w:rsid w:val="78F72856"/>
    <w:rsid w:val="78FD0927"/>
    <w:rsid w:val="793574A5"/>
    <w:rsid w:val="796432FD"/>
    <w:rsid w:val="79B770A8"/>
    <w:rsid w:val="79B949EC"/>
    <w:rsid w:val="79CD7C5D"/>
    <w:rsid w:val="7A6C528E"/>
    <w:rsid w:val="7A6D644B"/>
    <w:rsid w:val="7B1E4DF2"/>
    <w:rsid w:val="7B2C0627"/>
    <w:rsid w:val="7B510A44"/>
    <w:rsid w:val="7B8A381D"/>
    <w:rsid w:val="7BE3590F"/>
    <w:rsid w:val="7C38495C"/>
    <w:rsid w:val="7C6B587A"/>
    <w:rsid w:val="7C7067B1"/>
    <w:rsid w:val="7CBE4CC0"/>
    <w:rsid w:val="7CE82EFC"/>
    <w:rsid w:val="7E687550"/>
    <w:rsid w:val="7ECE5FCB"/>
    <w:rsid w:val="7EE951F5"/>
    <w:rsid w:val="7F574D58"/>
    <w:rsid w:val="7F60594E"/>
    <w:rsid w:val="7F884E25"/>
    <w:rsid w:val="7FA4052A"/>
    <w:rsid w:val="7FA94641"/>
    <w:rsid w:val="7FAF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标题 2 字符"/>
    <w:link w:val="3"/>
    <w:qFormat/>
    <w:locked/>
    <w:uiPriority w:val="9"/>
    <w:rPr>
      <w:rFonts w:ascii="Cambria" w:hAnsi="Cambria" w:eastAsia="宋体" w:cs="Times New Roman"/>
      <w:b/>
      <w:bCs/>
      <w:kern w:val="2"/>
      <w:sz w:val="32"/>
      <w:szCs w:val="3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875.38</c:v>
                </c:pt>
                <c:pt idx="1">
                  <c:v>973.5</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其他收入</c:v>
                </c:pt>
              </c:strCache>
            </c:strRef>
          </c:cat>
          <c:val>
            <c:numRef>
              <c:f>Sheet1!$B$2:$B$3</c:f>
              <c:numCache>
                <c:formatCode>General</c:formatCode>
                <c:ptCount val="2"/>
                <c:pt idx="0">
                  <c:v>973.36</c:v>
                </c:pt>
                <c:pt idx="1">
                  <c:v>0.14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785.74</c:v>
                </c:pt>
                <c:pt idx="1">
                  <c:v>187.76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8467432950192"/>
          <c:y val="0.0609434061117169"/>
          <c:w val="0.881911764705882"/>
          <c:h val="0.856364689974889"/>
        </c:manualLayout>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872.46</c:v>
                </c:pt>
                <c:pt idx="1">
                  <c:v>973.35</c:v>
                </c:pt>
              </c:numCache>
            </c:numRef>
          </c:val>
        </c:ser>
        <c:dLbls>
          <c:showLegendKey val="0"/>
          <c:showVal val="1"/>
          <c:showCatName val="0"/>
          <c:showSerName val="0"/>
          <c:showPercent val="0"/>
          <c:showBubbleSize val="0"/>
        </c:dLbls>
        <c:gapWidth val="219"/>
        <c:overlap val="-27"/>
        <c:axId val="292170353"/>
        <c:axId val="51845161"/>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872.46</c:v>
                </c:pt>
                <c:pt idx="1">
                  <c:v>973.35</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151953690304"/>
          <c:y val="0.0928670223276032"/>
          <c:w val="0.629091493809294"/>
          <c:h val="0.773032997431338"/>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735.83</c:v>
                </c:pt>
                <c:pt idx="1">
                  <c:v>153.25</c:v>
                </c:pt>
                <c:pt idx="2">
                  <c:v>25.92</c:v>
                </c:pt>
                <c:pt idx="3">
                  <c:v>58.35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10204</Words>
  <Characters>10765</Characters>
  <Lines>0</Lines>
  <Paragraphs>0</Paragraphs>
  <TotalTime>49</TotalTime>
  <ScaleCrop>false</ScaleCrop>
  <LinksUpToDate>false</LinksUpToDate>
  <CharactersWithSpaces>10908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2</cp:lastModifiedBy>
  <cp:lastPrinted>2021-09-30T00:31:28Z</cp:lastPrinted>
  <dcterms:modified xsi:type="dcterms:W3CDTF">2021-09-30T01:18:15Z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D1A35B3DB791424B8DE8ADFBED7CB66E</vt:lpwstr>
  </property>
</Properties>
</file>