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方正小标宋简体" w:hAnsi="宋体" w:eastAsia="方正小标宋简体"/>
          <w:color w:val="000000"/>
          <w:sz w:val="30"/>
          <w:szCs w:val="30"/>
          <w:lang w:eastAsia="zh-CN"/>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宋体" w:hAnsi="宋体" w:eastAsia="宋体" w:cs="宋体"/>
          <w:b/>
          <w:bCs/>
          <w:color w:val="000000"/>
          <w:sz w:val="52"/>
          <w:szCs w:val="52"/>
        </w:rPr>
      </w:pPr>
      <w:bookmarkStart w:id="1" w:name="_Toc15377193"/>
      <w:bookmarkStart w:id="2" w:name="_Toc15396475"/>
      <w:bookmarkStart w:id="3" w:name="_Toc15377425"/>
      <w:bookmarkStart w:id="4" w:name="_Toc15378441"/>
      <w:bookmarkStart w:id="5" w:name="_Toc17261"/>
      <w:bookmarkStart w:id="6" w:name="_Toc15396597"/>
      <w:bookmarkStart w:id="7" w:name="_Toc18054"/>
      <w:bookmarkStart w:id="8" w:name="_Toc13372"/>
      <w:r>
        <w:rPr>
          <w:rFonts w:hint="eastAsia" w:ascii="宋体" w:hAnsi="宋体" w:eastAsia="宋体" w:cs="宋体"/>
          <w:b/>
          <w:bCs/>
          <w:color w:val="000000"/>
          <w:sz w:val="52"/>
          <w:szCs w:val="52"/>
        </w:rPr>
        <w:t>2020年度</w:t>
      </w:r>
      <w:bookmarkEnd w:id="1"/>
      <w:bookmarkEnd w:id="2"/>
      <w:bookmarkEnd w:id="3"/>
      <w:bookmarkEnd w:id="4"/>
      <w:bookmarkEnd w:id="5"/>
      <w:bookmarkEnd w:id="6"/>
      <w:bookmarkEnd w:id="7"/>
      <w:bookmarkEnd w:id="8"/>
    </w:p>
    <w:p>
      <w:pPr>
        <w:jc w:val="center"/>
        <w:rPr>
          <w:rFonts w:hint="eastAsia" w:ascii="宋体" w:hAnsi="宋体" w:eastAsia="宋体" w:cs="宋体"/>
          <w:b/>
          <w:sz w:val="52"/>
          <w:szCs w:val="52"/>
          <w:lang w:eastAsia="zh-CN"/>
        </w:rPr>
      </w:pPr>
      <w:bookmarkStart w:id="9" w:name="_Toc15378442"/>
      <w:bookmarkStart w:id="10" w:name="_Toc15377194"/>
      <w:bookmarkStart w:id="11" w:name="_Toc15396476"/>
      <w:bookmarkStart w:id="12" w:name="_Toc15396598"/>
      <w:bookmarkStart w:id="13" w:name="_Toc15377426"/>
      <w:bookmarkStart w:id="14" w:name="_Toc23151"/>
      <w:r>
        <w:rPr>
          <w:rFonts w:hint="eastAsia" w:ascii="宋体" w:hAnsi="宋体" w:eastAsia="宋体" w:cs="宋体"/>
          <w:b/>
          <w:bCs/>
          <w:color w:val="000000"/>
          <w:sz w:val="52"/>
          <w:szCs w:val="52"/>
        </w:rPr>
        <w:t>四川省</w:t>
      </w:r>
      <w:bookmarkEnd w:id="0"/>
      <w:bookmarkStart w:id="15" w:name="_Toc15306268"/>
      <w:r>
        <w:rPr>
          <w:rFonts w:hint="eastAsia" w:ascii="宋体" w:hAnsi="宋体" w:eastAsia="宋体" w:cs="宋体"/>
          <w:b/>
          <w:bCs/>
          <w:color w:val="000000"/>
          <w:sz w:val="52"/>
          <w:szCs w:val="52"/>
        </w:rPr>
        <w:t>乐山市五通桥区</w:t>
      </w:r>
      <w:r>
        <w:rPr>
          <w:rFonts w:hint="eastAsia" w:ascii="宋体" w:hAnsi="宋体" w:eastAsia="宋体" w:cs="宋体"/>
          <w:b/>
          <w:sz w:val="52"/>
          <w:szCs w:val="52"/>
          <w:lang w:eastAsia="zh-CN"/>
        </w:rPr>
        <w:t>西坝镇</w:t>
      </w:r>
    </w:p>
    <w:p>
      <w:pPr>
        <w:jc w:val="center"/>
        <w:rPr>
          <w:rFonts w:hint="eastAsia" w:ascii="宋体" w:hAnsi="宋体" w:eastAsia="宋体" w:cs="宋体"/>
          <w:b/>
          <w:bCs/>
          <w:color w:val="000000"/>
          <w:sz w:val="52"/>
          <w:szCs w:val="52"/>
        </w:rPr>
      </w:pPr>
      <w:r>
        <w:rPr>
          <w:rFonts w:hint="eastAsia" w:ascii="宋体" w:hAnsi="宋体" w:eastAsia="宋体" w:cs="宋体"/>
          <w:b/>
          <w:sz w:val="52"/>
          <w:szCs w:val="52"/>
          <w:lang w:eastAsia="zh-CN"/>
        </w:rPr>
        <w:t>西坝</w:t>
      </w:r>
      <w:r>
        <w:rPr>
          <w:rFonts w:hint="eastAsia" w:ascii="宋体" w:hAnsi="宋体" w:eastAsia="宋体" w:cs="宋体"/>
          <w:b/>
          <w:bCs/>
          <w:sz w:val="52"/>
          <w:szCs w:val="52"/>
          <w:lang w:eastAsia="zh-CN"/>
        </w:rPr>
        <w:t>初级中学</w:t>
      </w:r>
      <w:r>
        <w:rPr>
          <w:rFonts w:hint="eastAsia" w:ascii="宋体" w:hAnsi="宋体" w:eastAsia="宋体" w:cs="宋体"/>
          <w:b/>
          <w:bCs/>
          <w:color w:val="000000"/>
          <w:sz w:val="52"/>
          <w:szCs w:val="52"/>
        </w:rPr>
        <w:t>部门决算</w:t>
      </w:r>
      <w:bookmarkEnd w:id="9"/>
      <w:bookmarkEnd w:id="10"/>
      <w:bookmarkEnd w:id="11"/>
      <w:bookmarkEnd w:id="12"/>
      <w:bookmarkEnd w:id="13"/>
      <w:bookmarkEnd w:id="14"/>
      <w:bookmarkEnd w:id="15"/>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7"/>
      </w:pPr>
      <w:r>
        <w:rPr>
          <w:rFonts w:hint="eastAsia"/>
        </w:rPr>
        <w:t>公开时间：</w:t>
      </w:r>
      <w:r>
        <w:t>2021</w:t>
      </w:r>
      <w:r>
        <w:rPr>
          <w:rFonts w:hint="eastAsia"/>
        </w:rPr>
        <w:t>年</w:t>
      </w:r>
      <w:r>
        <w:rPr>
          <w:rFonts w:hint="eastAsia"/>
          <w:lang w:val="en-US" w:eastAsia="zh-CN"/>
        </w:rPr>
        <w:t>9</w:t>
      </w:r>
      <w:r>
        <w:rPr>
          <w:rFonts w:hint="eastAsia"/>
        </w:rPr>
        <w:t xml:space="preserve"> 月</w:t>
      </w:r>
      <w:r>
        <w:rPr>
          <w:rFonts w:hint="eastAsia"/>
          <w:lang w:val="en-US" w:eastAsia="zh-CN"/>
        </w:rPr>
        <w:t>28</w:t>
      </w:r>
      <w:r>
        <w:rPr>
          <w:rFonts w:hint="eastAsia"/>
        </w:rPr>
        <w:t>日</w:t>
      </w:r>
    </w:p>
    <w:p>
      <w:pPr>
        <w:rPr>
          <w:rFonts w:hint="eastAsia" w:asciiTheme="majorEastAsia" w:hAnsiTheme="majorEastAsia" w:eastAsiaTheme="majorEastAsia" w:cstheme="majorEastAsia"/>
          <w:sz w:val="30"/>
          <w:szCs w:val="30"/>
        </w:rPr>
      </w:pPr>
    </w:p>
    <w:sdt>
      <w:sdtPr>
        <w:rPr>
          <w:rFonts w:hint="eastAsia" w:asciiTheme="majorEastAsia" w:hAnsiTheme="majorEastAsia" w:eastAsiaTheme="majorEastAsia" w:cstheme="majorEastAsia"/>
          <w:kern w:val="2"/>
          <w:sz w:val="30"/>
          <w:szCs w:val="30"/>
          <w:lang w:val="en-US" w:eastAsia="zh-CN" w:bidi="ar-SA"/>
        </w:rPr>
        <w:id w:val="147458708"/>
        <w15:color w:val="DBDBDB"/>
        <w:docPartObj>
          <w:docPartGallery w:val="Table of Contents"/>
          <w:docPartUnique/>
        </w:docPartObj>
      </w:sdtPr>
      <w:sdtEndPr>
        <w:rPr>
          <w:rFonts w:hint="eastAsia"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Theme="majorEastAsia" w:hAnsiTheme="majorEastAsia" w:eastAsiaTheme="majorEastAsia" w:cstheme="majorEastAsia"/>
              <w:sz w:val="30"/>
              <w:szCs w:val="30"/>
            </w:rPr>
          </w:pPr>
          <w:bookmarkStart w:id="16" w:name="_Toc15396599"/>
          <w:bookmarkStart w:id="17" w:name="_Toc15377196"/>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TOC \o "1-3" \h \u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_Toc18054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2020年度</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_Toc18054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_Toc23309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 xml:space="preserve">第一部分 </w:t>
          </w:r>
          <w:r>
            <w:rPr>
              <w:rFonts w:hint="eastAsia" w:asciiTheme="majorEastAsia" w:hAnsiTheme="majorEastAsia" w:eastAsiaTheme="majorEastAsia" w:cstheme="majorEastAsia"/>
              <w:bCs w:val="0"/>
              <w:sz w:val="30"/>
              <w:szCs w:val="30"/>
            </w:rPr>
            <w:t>部门概况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_Toc23309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_Toc11079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val="0"/>
              <w:sz w:val="30"/>
              <w:szCs w:val="30"/>
            </w:rPr>
            <w:t xml:space="preserve">一、 </w:t>
          </w:r>
          <w:r>
            <w:rPr>
              <w:rFonts w:hint="eastAsia" w:asciiTheme="majorEastAsia" w:hAnsiTheme="majorEastAsia" w:eastAsiaTheme="majorEastAsia" w:cstheme="majorEastAsia"/>
              <w:sz w:val="30"/>
              <w:szCs w:val="30"/>
            </w:rPr>
            <w:t>基</w:t>
          </w:r>
          <w:r>
            <w:rPr>
              <w:rFonts w:hint="eastAsia" w:asciiTheme="majorEastAsia" w:hAnsiTheme="majorEastAsia" w:eastAsiaTheme="majorEastAsia" w:cstheme="majorEastAsia"/>
              <w:bCs w:val="0"/>
              <w:sz w:val="30"/>
              <w:szCs w:val="30"/>
            </w:rPr>
            <w:t>本职能及主要工作</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_Toc11079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_Toc22106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（一）主要职能</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_Toc22106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_Toc29259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二、机</w:t>
          </w:r>
          <w:r>
            <w:rPr>
              <w:rFonts w:hint="eastAsia" w:asciiTheme="majorEastAsia" w:hAnsiTheme="majorEastAsia" w:eastAsiaTheme="majorEastAsia" w:cstheme="majorEastAsia"/>
              <w:bCs w:val="0"/>
              <w:sz w:val="30"/>
              <w:szCs w:val="30"/>
            </w:rPr>
            <w:t>构设置</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_Toc29259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_Toc13733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 xml:space="preserve">第二部分 </w:t>
          </w:r>
          <w:r>
            <w:rPr>
              <w:rFonts w:hint="eastAsia" w:asciiTheme="majorEastAsia" w:hAnsiTheme="majorEastAsia" w:eastAsiaTheme="majorEastAsia" w:cstheme="majorEastAsia"/>
              <w:bCs w:val="0"/>
              <w:sz w:val="30"/>
              <w:szCs w:val="30"/>
            </w:rPr>
            <w:t>2020年度部门决算情况说明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_Toc13733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_Toc6660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 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_Toc6660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_Toc17875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 收入决算情况说明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_Toc17875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_Toc19213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三、 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_Toc19213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_Toc10015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四、财政拨款收入支出决算总体情况说明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_Toc10015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_Toc32411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五、一般公共预算财政拨款支出决算情况说明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_Toc32411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_Toc26686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六、一般公共预算财政拨款基本支出决算情况说明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_Toc26686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_Toc385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七、“三公”经费财政拨款支出决算情况说明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_Toc385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_Toc32742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八、政府性基金预算支出决算情况说明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_Toc32742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九、 国有资本经营预算支出决算情况说明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_Toc16243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十、其他重要事项的情况说明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_Toc16243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18</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_Toc27374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第三部分 名词解释</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_Toc27374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_Toc28597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第四部分 附件</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_Toc28597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_Toc16550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附件1</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_Toc16550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_Toc4400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lang w:val="en-US" w:eastAsia="zh-CN"/>
            </w:rPr>
            <w:t xml:space="preserve">第五部分  </w:t>
          </w:r>
          <w:r>
            <w:rPr>
              <w:rFonts w:hint="eastAsia" w:asciiTheme="majorEastAsia" w:hAnsiTheme="majorEastAsia" w:eastAsiaTheme="majorEastAsia" w:cstheme="majorEastAsia"/>
              <w:sz w:val="30"/>
              <w:szCs w:val="30"/>
            </w:rPr>
            <w:t>附表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_Toc4400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_Toc29167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一、收入支出决算总表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_Toc29167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_Toc17232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二、收入决算表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_Toc17232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_Toc29760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三、支出决算表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_Toc29760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_Toc12904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四、财政拨款收入支出决算总表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_Toc12904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_Toc1141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五、财政拨款支出决算明细表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_Toc1141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_Toc10866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六、一般公共预算财政拨款支出决算表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_Toc10866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_Toc24324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七、一般公共预算财政拨款支出决算明细表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_Toc24324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_Toc7390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八、一般公共预算财政拨款基本支出决算表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_Toc7390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_Toc8971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九、一般公共预算财政拨款项目支出决算表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_Toc8971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_Toc6662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十、一般公共预算财政拨款“三公”经费支出决算表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_Toc6662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_Toc32387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十一、政府性基金预算财政拨款收入支出决算表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_Toc32387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_Toc755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十二、政府性基金预算财政拨款“三公”经费支出决算表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_Toc755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_Toc30046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十三、国有资本经营预算财政拨款收入支出决算表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_Toc30046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_Toc7833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十四、国有资本经营预算财政拨款支出决算表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_Toc7833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end"/>
          </w:r>
        </w:p>
        <w:p>
          <w:pPr>
            <w:rPr>
              <w:rFonts w:ascii="仿宋" w:hAnsi="仿宋" w:eastAsia="仿宋"/>
              <w:bCs/>
              <w:kern w:val="44"/>
              <w:sz w:val="24"/>
            </w:rPr>
          </w:pPr>
        </w:p>
      </w:sdtContent>
    </w:sdt>
    <w:p>
      <w:pPr>
        <w:pStyle w:val="2"/>
        <w:jc w:val="center"/>
        <w:rPr>
          <w:rStyle w:val="14"/>
          <w:rFonts w:ascii="黑体" w:hAnsi="黑体" w:eastAsia="黑体"/>
          <w:b/>
          <w:bCs w:val="0"/>
        </w:rPr>
      </w:pPr>
      <w:bookmarkStart w:id="18" w:name="_Toc23309"/>
      <w:bookmarkStart w:id="19" w:name="_Toc199"/>
      <w:r>
        <w:rPr>
          <w:rFonts w:hint="eastAsia" w:ascii="黑体" w:hAnsi="黑体" w:eastAsia="黑体"/>
          <w:b w:val="0"/>
        </w:rPr>
        <w:t>第一部分</w:t>
      </w:r>
      <w:r>
        <w:rPr>
          <w:rFonts w:ascii="黑体" w:hAnsi="黑体" w:eastAsia="黑体"/>
          <w:b w:val="0"/>
        </w:rPr>
        <w:t xml:space="preserve"> </w:t>
      </w:r>
      <w:r>
        <w:rPr>
          <w:rStyle w:val="14"/>
          <w:rFonts w:hint="eastAsia" w:ascii="黑体" w:hAnsi="黑体" w:eastAsia="黑体"/>
          <w:b w:val="0"/>
          <w:bCs w:val="0"/>
        </w:rPr>
        <w:t>部门概况</w:t>
      </w:r>
      <w:bookmarkEnd w:id="16"/>
      <w:bookmarkEnd w:id="17"/>
      <w:bookmarkEnd w:id="18"/>
      <w:bookmarkEnd w:id="19"/>
    </w:p>
    <w:p>
      <w:pPr>
        <w:widowControl/>
        <w:jc w:val="left"/>
        <w:rPr>
          <w:rFonts w:ascii="黑体" w:eastAsia="黑体"/>
          <w:color w:val="000000"/>
          <w:sz w:val="32"/>
          <w:szCs w:val="32"/>
        </w:rPr>
      </w:pPr>
    </w:p>
    <w:p>
      <w:pPr>
        <w:pStyle w:val="3"/>
        <w:numPr>
          <w:ilvl w:val="0"/>
          <w:numId w:val="1"/>
        </w:numPr>
        <w:rPr>
          <w:rStyle w:val="15"/>
          <w:rFonts w:hint="eastAsia" w:ascii="黑体" w:hAnsi="黑体" w:eastAsia="黑体"/>
          <w:b w:val="0"/>
          <w:bCs w:val="0"/>
        </w:rPr>
      </w:pPr>
      <w:bookmarkStart w:id="20" w:name="_Toc31987"/>
      <w:bookmarkStart w:id="21" w:name="_Toc15377197"/>
      <w:bookmarkStart w:id="22" w:name="_Toc15396600"/>
      <w:bookmarkStart w:id="23" w:name="_Toc11079"/>
      <w:r>
        <w:rPr>
          <w:rFonts w:hint="eastAsia" w:ascii="黑体" w:hAnsi="黑体" w:eastAsia="黑体"/>
          <w:b w:val="0"/>
          <w:color w:val="000000"/>
        </w:rPr>
        <w:t>基</w:t>
      </w:r>
      <w:r>
        <w:rPr>
          <w:rStyle w:val="15"/>
          <w:rFonts w:hint="eastAsia" w:ascii="黑体" w:hAnsi="黑体" w:eastAsia="黑体"/>
          <w:b w:val="0"/>
          <w:bCs w:val="0"/>
        </w:rPr>
        <w:t>本职能及主要工作</w:t>
      </w:r>
      <w:bookmarkEnd w:id="20"/>
      <w:bookmarkEnd w:id="21"/>
      <w:bookmarkEnd w:id="22"/>
      <w:bookmarkEnd w:id="23"/>
      <w:bookmarkStart w:id="24" w:name="_Toc2408"/>
      <w:bookmarkStart w:id="25" w:name="_Toc15378445"/>
      <w:bookmarkStart w:id="26" w:name="_Toc15377198"/>
    </w:p>
    <w:p>
      <w:pPr>
        <w:pStyle w:val="3"/>
        <w:numPr>
          <w:ilvl w:val="0"/>
          <w:numId w:val="0"/>
        </w:numPr>
        <w:rPr>
          <w:rFonts w:hint="eastAsia" w:ascii="仿宋" w:hAnsi="仿宋" w:eastAsia="仿宋"/>
          <w:bCs/>
          <w:color w:val="000000"/>
          <w:sz w:val="32"/>
          <w:szCs w:val="32"/>
        </w:rPr>
      </w:pPr>
      <w:bookmarkStart w:id="27" w:name="_Toc22106"/>
      <w:r>
        <w:rPr>
          <w:rFonts w:hint="eastAsia" w:ascii="仿宋" w:hAnsi="仿宋" w:eastAsia="仿宋"/>
          <w:bCs/>
          <w:color w:val="000000"/>
          <w:sz w:val="32"/>
          <w:szCs w:val="32"/>
        </w:rPr>
        <w:t>（一）主要职能</w:t>
      </w:r>
      <w:bookmarkEnd w:id="24"/>
      <w:bookmarkEnd w:id="25"/>
      <w:bookmarkEnd w:id="26"/>
      <w:bookmarkEnd w:id="27"/>
      <w:bookmarkStart w:id="28" w:name="_Toc15377199"/>
      <w:bookmarkStart w:id="29" w:name="_Toc15378446"/>
    </w:p>
    <w:p>
      <w:pPr>
        <w:ind w:firstLineChars="200"/>
        <w:rPr>
          <w:rFonts w:hint="eastAsia" w:ascii="仿宋" w:hAnsi="仿宋" w:eastAsia="仿宋" w:cs="仿宋"/>
          <w:sz w:val="32"/>
          <w:szCs w:val="32"/>
          <w:highlight w:val="yellow"/>
          <w:lang w:eastAsia="zh-CN"/>
        </w:rPr>
      </w:pPr>
      <w:bookmarkStart w:id="30" w:name="_Toc345"/>
      <w:r>
        <w:rPr>
          <w:rFonts w:hint="eastAsia" w:ascii="仿宋" w:hAnsi="仿宋" w:eastAsia="仿宋" w:cs="仿宋"/>
          <w:sz w:val="32"/>
          <w:szCs w:val="32"/>
          <w:lang w:eastAsia="zh-CN"/>
        </w:rPr>
        <w:t>乐山市五通桥区西坝镇西坝初级中学</w:t>
      </w:r>
      <w:r>
        <w:rPr>
          <w:rFonts w:hint="eastAsia" w:ascii="仿宋" w:hAnsi="仿宋" w:eastAsia="仿宋" w:cs="仿宋"/>
          <w:sz w:val="32"/>
          <w:szCs w:val="32"/>
        </w:rPr>
        <w:t>是由五通区教育部门举办和管理的</w:t>
      </w:r>
      <w:r>
        <w:rPr>
          <w:rFonts w:hint="eastAsia" w:ascii="仿宋" w:hAnsi="仿宋" w:eastAsia="仿宋" w:cs="仿宋"/>
          <w:sz w:val="32"/>
          <w:szCs w:val="32"/>
          <w:lang w:eastAsia="zh-CN"/>
        </w:rPr>
        <w:t>初中</w:t>
      </w:r>
      <w:r>
        <w:rPr>
          <w:rFonts w:hint="eastAsia" w:ascii="仿宋" w:hAnsi="仿宋" w:eastAsia="仿宋" w:cs="仿宋"/>
          <w:sz w:val="32"/>
          <w:szCs w:val="32"/>
        </w:rPr>
        <w:t>义务教育学校</w:t>
      </w:r>
      <w:r>
        <w:rPr>
          <w:rFonts w:hint="eastAsia" w:ascii="仿宋" w:hAnsi="仿宋" w:eastAsia="仿宋" w:cs="仿宋"/>
          <w:sz w:val="32"/>
          <w:szCs w:val="32"/>
          <w:lang w:eastAsia="zh-CN"/>
        </w:rPr>
        <w:t>，</w:t>
      </w:r>
      <w:r>
        <w:rPr>
          <w:rFonts w:hint="eastAsia" w:ascii="仿宋" w:hAnsi="仿宋" w:eastAsia="仿宋" w:cs="仿宋"/>
          <w:sz w:val="32"/>
          <w:szCs w:val="32"/>
        </w:rPr>
        <w:t>其职能是实施初中义务教育，促进基础教育发展</w:t>
      </w:r>
      <w:r>
        <w:rPr>
          <w:rFonts w:hint="eastAsia" w:ascii="仿宋" w:hAnsi="仿宋" w:eastAsia="仿宋" w:cs="仿宋"/>
          <w:sz w:val="32"/>
          <w:szCs w:val="32"/>
          <w:lang w:eastAsia="zh-CN"/>
        </w:rPr>
        <w:t>，</w:t>
      </w:r>
      <w:r>
        <w:rPr>
          <w:rFonts w:hint="eastAsia" w:ascii="仿宋" w:hAnsi="仿宋" w:eastAsia="仿宋" w:cs="仿宋"/>
          <w:sz w:val="32"/>
          <w:szCs w:val="32"/>
          <w:highlight w:val="none"/>
          <w:lang w:eastAsia="zh-CN"/>
        </w:rPr>
        <w:t>积极稳妥地推进课堂教学改革，认真组织教育教学、学科研究活动。</w:t>
      </w:r>
    </w:p>
    <w:p>
      <w:pPr>
        <w:pStyle w:val="4"/>
        <w:adjustRightInd w:val="0"/>
        <w:snapToGrid w:val="0"/>
        <w:spacing w:before="93" w:line="600" w:lineRule="exact"/>
        <w:ind w:firstLine="672" w:firstLineChars="210"/>
        <w:outlineLvl w:val="9"/>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8"/>
      <w:bookmarkEnd w:id="29"/>
      <w:bookmarkEnd w:id="30"/>
    </w:p>
    <w:p>
      <w:pPr>
        <w:ind w:firstLineChars="200"/>
        <w:rPr>
          <w:rFonts w:hint="eastAsia" w:ascii="仿宋" w:hAnsi="仿宋" w:eastAsia="仿宋" w:cs="仿宋"/>
          <w:sz w:val="32"/>
          <w:szCs w:val="32"/>
        </w:rPr>
      </w:pPr>
      <w:bookmarkStart w:id="31" w:name="_Toc15396601"/>
      <w:bookmarkStart w:id="32" w:name="_Toc15377200"/>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党的建设工作</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党建责任履行到位。党支部书记认真履行抓党建第一责任人和党风廉政建设主体责任人职责，班子成员履行分管范围责任，按时对党员进行评议。</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组织制度落实</w:t>
      </w:r>
      <w:r>
        <w:rPr>
          <w:rFonts w:hint="eastAsia" w:ascii="仿宋" w:hAnsi="仿宋" w:eastAsia="仿宋" w:cs="仿宋"/>
          <w:sz w:val="32"/>
          <w:szCs w:val="32"/>
          <w:lang w:eastAsia="zh-CN"/>
        </w:rPr>
        <w:t>到位</w:t>
      </w:r>
      <w:r>
        <w:rPr>
          <w:rFonts w:hint="eastAsia" w:ascii="仿宋" w:hAnsi="仿宋" w:eastAsia="仿宋" w:cs="仿宋"/>
          <w:sz w:val="32"/>
          <w:szCs w:val="32"/>
        </w:rPr>
        <w:t>，制度健全、班子运行规范，能认真按照党组织运行规则和四张责任清单、每月党建工作清单开展工作，民主决策“三重一大”事项。年初有计划、年末有总结，书记述职评议反馈问题整改到位。党的“三会一课”、“主题党日”活动、民主评议党员、专题组织生活等基本制度按要求严格规范执行，支部会议记录完善，在各级检查中得到好评。</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党员队伍常抓不懈。持续巩固“不忘初心、牢记使命”主题教育成果，规范党务公开，落实党务干部培训，党员教师先锋模范作用发挥明显。</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作风建设持续加强。支部严格落实作风建设和廉洁纪律相关规定，发挥党风廉政建设主体责任，开展校内作风巡查，做好党风廉洁风险迹象记分管理，开展党风廉政风险点排查，防控到位。没有出现违纪违规行为。</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⑤</w:t>
      </w:r>
      <w:r>
        <w:rPr>
          <w:rFonts w:hint="eastAsia" w:ascii="仿宋" w:hAnsi="仿宋" w:eastAsia="仿宋" w:cs="仿宋"/>
          <w:sz w:val="32"/>
          <w:szCs w:val="32"/>
        </w:rPr>
        <w:t>学校党组织按照“有人管、有阵地、有经费、有载体、有活动、有氛围”的“六有”标准规范阵地建设，在支部的领导下，学校工会、共青团组织健全，活动开展有声有色。</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⑥</w:t>
      </w:r>
      <w:r>
        <w:rPr>
          <w:rFonts w:hint="eastAsia" w:ascii="仿宋" w:hAnsi="仿宋" w:eastAsia="仿宋" w:cs="仿宋"/>
          <w:sz w:val="32"/>
          <w:szCs w:val="32"/>
        </w:rPr>
        <w:t>牢牢掌握意识形态工作领导权。教职工增强了“四个意识”、坚定“四个自信”、做到“两个维护”，在政治上思想上行动上与党中央保持了高度一致。学校教育宣传工作组织机构健全，责任落实，重视网络舆情应对工作，严格执行信息审批制度。抓好学校以思想政治建设为重点的意识形态工作责任落实，按照五通区教育局制定的“学校意识形态工作任务分解图”(学校意识形态工作职责任务清单）的要求开展工作，没有出现任何负面影响。</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德育工作</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德育管理体系健全，学校德育工作有计划</w:t>
      </w:r>
      <w:r>
        <w:rPr>
          <w:rFonts w:hint="eastAsia" w:ascii="仿宋" w:hAnsi="仿宋" w:eastAsia="仿宋" w:cs="仿宋"/>
          <w:sz w:val="32"/>
          <w:szCs w:val="32"/>
          <w:lang w:eastAsia="zh-CN"/>
        </w:rPr>
        <w:t>、</w:t>
      </w:r>
      <w:r>
        <w:rPr>
          <w:rFonts w:hint="eastAsia" w:ascii="仿宋" w:hAnsi="仿宋" w:eastAsia="仿宋" w:cs="仿宋"/>
          <w:sz w:val="32"/>
          <w:szCs w:val="32"/>
        </w:rPr>
        <w:t>有总结</w:t>
      </w:r>
      <w:r>
        <w:rPr>
          <w:rFonts w:hint="eastAsia" w:ascii="仿宋" w:hAnsi="仿宋" w:eastAsia="仿宋" w:cs="仿宋"/>
          <w:sz w:val="32"/>
          <w:szCs w:val="32"/>
          <w:lang w:eastAsia="zh-CN"/>
        </w:rPr>
        <w:t>、</w:t>
      </w:r>
      <w:bookmarkStart w:id="141" w:name="_GoBack"/>
      <w:bookmarkEnd w:id="141"/>
      <w:r>
        <w:rPr>
          <w:rFonts w:hint="eastAsia" w:ascii="仿宋" w:hAnsi="仿宋" w:eastAsia="仿宋" w:cs="仿宋"/>
          <w:sz w:val="32"/>
          <w:szCs w:val="32"/>
        </w:rPr>
        <w:t>有落实。</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坚持立德树人理念，大力开展社会主义核心价值观、中华优秀传统文化、生态文明等教育。</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认真落实健康教育，学校加强健康教育工作，培养学生的健康意识与公共卫生意识，建立并充分发挥了心理辅导室的作用，对有心理健康问题倾向的学生及时进行辅导、干预，采取有效措施促进学生健康成长。</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认真开展安全教育，强化学生安全意识，按课程标准开齐开足《生命·生态·安全》教育课程，做到课时、课表、师资、评价“四落实”。消防、食品安全教育课时每学期不少于 4 课时。</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⑤</w:t>
      </w:r>
      <w:r>
        <w:rPr>
          <w:rFonts w:hint="eastAsia" w:ascii="仿宋" w:hAnsi="仿宋" w:eastAsia="仿宋" w:cs="仿宋"/>
          <w:sz w:val="32"/>
          <w:szCs w:val="32"/>
        </w:rPr>
        <w:t>加强社会主义核心价值观教育，广泛开展先进典型、英雄模范学习宣传活动，积极创建文明校园，已经通过验收。充分发挥共青团育人作用。做好关爱特殊群体学生工作。每周举行升国旗仪式，每学期举行开学、散学典礼和优秀学生表彰会，每年举行入团等仪式，组织学生观看爱国主义影视。积极参加各级各类德育活动。</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⑥</w:t>
      </w:r>
      <w:r>
        <w:rPr>
          <w:rFonts w:hint="eastAsia" w:ascii="仿宋" w:hAnsi="仿宋" w:eastAsia="仿宋" w:cs="仿宋"/>
          <w:sz w:val="32"/>
          <w:szCs w:val="32"/>
        </w:rPr>
        <w:t>开展了环保、禁毒防艾、疾病防治、交通安全等全校性讲座 。</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⑦</w:t>
      </w:r>
      <w:r>
        <w:rPr>
          <w:rFonts w:hint="eastAsia" w:ascii="仿宋" w:hAnsi="仿宋" w:eastAsia="仿宋" w:cs="仿宋"/>
          <w:sz w:val="32"/>
          <w:szCs w:val="32"/>
        </w:rPr>
        <w:t>强化法治宣传教育，认真开展“法律进学校”活动。进行了普法知识竞赛和师生学法用法考试。</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⑧</w:t>
      </w:r>
      <w:r>
        <w:rPr>
          <w:rFonts w:hint="eastAsia" w:ascii="仿宋" w:hAnsi="仿宋" w:eastAsia="仿宋" w:cs="仿宋"/>
          <w:sz w:val="32"/>
          <w:szCs w:val="32"/>
        </w:rPr>
        <w:t>学校有广播台、校宣传窗等宣传阵地。</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⑨</w:t>
      </w:r>
      <w:r>
        <w:rPr>
          <w:rFonts w:hint="eastAsia" w:ascii="仿宋" w:hAnsi="仿宋" w:eastAsia="仿宋" w:cs="仿宋"/>
          <w:sz w:val="32"/>
          <w:szCs w:val="32"/>
        </w:rPr>
        <w:t>每学期召开1-2次家长会，认真落实家访，每个教师有家访记录。学校于11月11日下午分班进行了集体家访。</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⑩</w:t>
      </w:r>
      <w:r>
        <w:rPr>
          <w:rFonts w:hint="eastAsia" w:ascii="仿宋" w:hAnsi="仿宋" w:eastAsia="仿宋" w:cs="仿宋"/>
          <w:sz w:val="32"/>
          <w:szCs w:val="32"/>
        </w:rPr>
        <w:t>做好控辍保学工作，严格实行学生学籍信息化管理，规范学籍建立和变动手续，健全辍学报告制度，按时完成学籍校正工作。</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教学工作</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制定有学期教学工作计划，学期结束时有各类工作总结，假期有告家长书。</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严格按要求开齐课程开足课时，严格执行课程表和作息时间表。</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加强常规管理。学校对教学“六认真”检查有记录；坚持集体备课，精准分析学情，重视差异化教学和个别化指导，注重作业质量，控制作业时间，没有惩罚性作业。</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加强教研工作。学校每期有公开课、探讨交流活动记录，行政、教师听课按要求完成。</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⑤</w:t>
      </w:r>
      <w:r>
        <w:rPr>
          <w:rFonts w:hint="eastAsia" w:ascii="仿宋" w:hAnsi="仿宋" w:eastAsia="仿宋" w:cs="仿宋"/>
          <w:sz w:val="32"/>
          <w:szCs w:val="32"/>
        </w:rPr>
        <w:t>精确扶学工作落实，学校送教下乡工作扎实，材料齐全，对学困生进行了个别谈话和个别辅导。针对半期考试情况，学校于12月召开了三个年级的个别学生座谈会和教师教学质量分析会，给学生鼓劲，要求教师有针对性开展帮扶工作，期末考试前进行了学困生座谈会和考前动员会。</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⑥</w:t>
      </w:r>
      <w:r>
        <w:rPr>
          <w:rFonts w:hint="eastAsia" w:ascii="仿宋" w:hAnsi="仿宋" w:eastAsia="仿宋" w:cs="仿宋"/>
          <w:sz w:val="32"/>
          <w:szCs w:val="32"/>
        </w:rPr>
        <w:t>注重青年教师和骨干教师的培养、管理、使用工作，本年全校安排了9位教师结对帮带，有互帮互带的安排和记录。骨干教师、学科带头人每期在学校上一节示范课，2位区骨干考核1人优秀，1人合格。</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安全教育工作：</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成立以校长为组长、分管副校长为副组长的安全管理工作领导小组，与派出所的联动联系机制畅通。</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校园三防建设到位。对专职保安人员，做到了持证上岗；保安值班有详细和完整的巡查记，做到了校园视频监控“全覆盖”。</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安全隐患排查到位。落实了校园校舍安全、食堂食品安全、消防</w:t>
      </w:r>
    </w:p>
    <w:p>
      <w:pPr>
        <w:ind w:firstLineChars="200"/>
        <w:rPr>
          <w:rFonts w:hint="eastAsia" w:ascii="仿宋" w:hAnsi="仿宋" w:eastAsia="仿宋" w:cs="仿宋"/>
          <w:sz w:val="32"/>
          <w:szCs w:val="32"/>
        </w:rPr>
      </w:pPr>
      <w:r>
        <w:rPr>
          <w:rFonts w:hint="eastAsia" w:ascii="仿宋" w:hAnsi="仿宋" w:eastAsia="仿宋" w:cs="仿宋"/>
          <w:sz w:val="32"/>
          <w:szCs w:val="32"/>
        </w:rPr>
        <w:t>设施设备安全、易燃易爆物品安全、校园道路交通、预防地质灾害、校园及周边等安全隐患排查，建立有台帐。</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学校对排查出的安全隐患整治及时进行了整改。</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⑤</w:t>
      </w:r>
      <w:r>
        <w:rPr>
          <w:rFonts w:hint="eastAsia" w:ascii="仿宋" w:hAnsi="仿宋" w:eastAsia="仿宋" w:cs="仿宋"/>
          <w:sz w:val="32"/>
          <w:szCs w:val="32"/>
        </w:rPr>
        <w:t>认真开展了每月的应急演练。做好了演练登记、影像资料留存、宣传总结及上传安全教育平台等工作。</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⑥</w:t>
      </w:r>
      <w:r>
        <w:rPr>
          <w:rFonts w:hint="eastAsia" w:ascii="仿宋" w:hAnsi="仿宋" w:eastAsia="仿宋" w:cs="仿宋"/>
          <w:sz w:val="32"/>
          <w:szCs w:val="32"/>
        </w:rPr>
        <w:t>学校年度安全工作有计划、工作总结。开展了校园欺凌综合防治，有方案、有计划、有组织领导、有排查、有处置流程、有总结。扫黑除恶专项工作也有方案、有计划、有组织领导、有排查、有处置流程、有总结。</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⑦</w:t>
      </w:r>
      <w:r>
        <w:rPr>
          <w:rFonts w:hint="eastAsia" w:ascii="仿宋" w:hAnsi="仿宋" w:eastAsia="仿宋" w:cs="仿宋"/>
          <w:sz w:val="32"/>
          <w:szCs w:val="32"/>
        </w:rPr>
        <w:t>值班责任落实。节假日有学校行政值班制度，有记录。</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⑧</w:t>
      </w:r>
      <w:r>
        <w:rPr>
          <w:rFonts w:hint="eastAsia" w:ascii="仿宋" w:hAnsi="仿宋" w:eastAsia="仿宋" w:cs="仿宋"/>
          <w:sz w:val="32"/>
          <w:szCs w:val="32"/>
        </w:rPr>
        <w:t>建立有校方责任、食品安全、体育运动等方面的责任保险机制。</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⑨</w:t>
      </w:r>
      <w:r>
        <w:rPr>
          <w:rFonts w:hint="eastAsia" w:ascii="仿宋" w:hAnsi="仿宋" w:eastAsia="仿宋" w:cs="仿宋"/>
          <w:sz w:val="32"/>
          <w:szCs w:val="32"/>
        </w:rPr>
        <w:t>学校卫生健康宣传教育落实，按规定开展晨检、午检和因病缺课学生追踪工作，全年未发生突发群体性公共卫生事件。</w:t>
      </w:r>
    </w:p>
    <w:p>
      <w:pPr>
        <w:ind w:firstLineChars="200"/>
        <w:rPr>
          <w:rFonts w:hint="eastAsia" w:ascii="仿宋" w:hAnsi="仿宋" w:eastAsia="仿宋" w:cs="仿宋"/>
          <w:sz w:val="32"/>
          <w:szCs w:val="32"/>
        </w:rPr>
      </w:pPr>
      <w:r>
        <w:rPr>
          <w:rFonts w:hint="eastAsia" w:ascii="仿宋" w:hAnsi="仿宋" w:eastAsia="仿宋" w:cs="仿宋"/>
          <w:sz w:val="32"/>
          <w:szCs w:val="32"/>
          <w:lang w:val="en-US" w:eastAsia="zh-CN"/>
        </w:rPr>
        <w:t>⑩</w:t>
      </w:r>
      <w:r>
        <w:rPr>
          <w:rFonts w:hint="eastAsia" w:ascii="仿宋" w:hAnsi="仿宋" w:eastAsia="仿宋" w:cs="仿宋"/>
          <w:sz w:val="32"/>
          <w:szCs w:val="32"/>
        </w:rPr>
        <w:t>学校食品安全责任落实，校长是食品安全第一责任人，建立健全了食品安全管理制度，落实索票索证制度，实行大宗食品集中采购，完善了“陪餐制”；学校食堂实行“明厨亮灶”，建立食品溯源和相关台账，全年未发生群体性食品安全事件。</w:t>
      </w:r>
    </w:p>
    <w:p>
      <w:pPr>
        <w:ind w:firstLineChars="200"/>
        <w:rPr>
          <w:rFonts w:hint="eastAsia" w:ascii="仿宋" w:hAnsi="仿宋" w:eastAsia="仿宋" w:cs="仿宋"/>
          <w:sz w:val="32"/>
          <w:szCs w:val="32"/>
        </w:rPr>
      </w:pPr>
      <w:r>
        <w:rPr>
          <w:rFonts w:hint="eastAsia" w:ascii="仿宋" w:hAnsi="仿宋" w:eastAsia="仿宋" w:cs="仿宋"/>
          <w:sz w:val="32"/>
          <w:szCs w:val="32"/>
        </w:rPr>
        <w:t>⑪加强对学生的心理健康教育和辅导。学校积极开展心理健康教育和心理问题咨询、辅导，学生能正确认识自我，增强了自我调控和承受挫折的能力，消除心理障碍，保障学生心理健康。教师关心爱护每一位学生，善于发现学生身上的闪光点，引导学生健康成长。同时，学校正在积极筹建心理咨询室。</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后勤工作：</w:t>
      </w:r>
    </w:p>
    <w:p>
      <w:pPr>
        <w:ind w:firstLineChars="200"/>
        <w:rPr>
          <w:rFonts w:hint="eastAsia" w:ascii="仿宋" w:hAnsi="仿宋" w:eastAsia="仿宋" w:cs="仿宋"/>
          <w:sz w:val="32"/>
          <w:szCs w:val="32"/>
        </w:rPr>
      </w:pPr>
      <w:r>
        <w:rPr>
          <w:rFonts w:hint="eastAsia" w:ascii="仿宋" w:hAnsi="仿宋" w:eastAsia="仿宋" w:cs="仿宋"/>
          <w:sz w:val="32"/>
          <w:szCs w:val="32"/>
        </w:rPr>
        <w:t>①增强服务意识。后勤人员也要认真履行岗位职责，要增强岗位的安全意识和全局意识，坚持安全第一思想，不断提高责任性和积极性，大力提倡敬业、合作、奉献精神。做到平时多做一点、干得实一点，对工作多想一点。</w:t>
      </w:r>
    </w:p>
    <w:p>
      <w:pPr>
        <w:ind w:firstLineChars="200"/>
        <w:rPr>
          <w:rFonts w:hint="eastAsia" w:ascii="仿宋" w:hAnsi="仿宋" w:eastAsia="仿宋" w:cs="仿宋"/>
          <w:sz w:val="32"/>
          <w:szCs w:val="32"/>
        </w:rPr>
      </w:pPr>
      <w:r>
        <w:rPr>
          <w:rFonts w:hint="eastAsia" w:ascii="仿宋" w:hAnsi="仿宋" w:eastAsia="仿宋" w:cs="仿宋"/>
          <w:sz w:val="32"/>
          <w:szCs w:val="32"/>
        </w:rPr>
        <w:t>②收费项目及标准等符合相关法律法规及政策规定；没有巧立名目、擅自调整收费标准及其他乱收费行为。没有私设小金库、公款私存等违规违纪行为。</w:t>
      </w:r>
    </w:p>
    <w:p>
      <w:pPr>
        <w:ind w:firstLineChars="200"/>
        <w:rPr>
          <w:rFonts w:hint="eastAsia" w:ascii="仿宋" w:hAnsi="仿宋" w:eastAsia="仿宋" w:cs="仿宋"/>
          <w:sz w:val="32"/>
          <w:szCs w:val="32"/>
        </w:rPr>
      </w:pPr>
      <w:r>
        <w:rPr>
          <w:rFonts w:hint="eastAsia" w:ascii="仿宋" w:hAnsi="仿宋" w:eastAsia="仿宋" w:cs="仿宋"/>
          <w:sz w:val="32"/>
          <w:szCs w:val="32"/>
        </w:rPr>
        <w:t>③严格执行财务公开制度，执行大宗食品定点采购制度。严格执行经费预决算管理要求。严格执行各级主管部门对各类经费使用的相关规定。</w:t>
      </w:r>
    </w:p>
    <w:p>
      <w:pPr>
        <w:ind w:firstLineChars="200"/>
        <w:rPr>
          <w:rFonts w:hint="eastAsia" w:ascii="仿宋" w:hAnsi="仿宋" w:eastAsia="仿宋" w:cs="仿宋"/>
          <w:sz w:val="32"/>
          <w:szCs w:val="32"/>
        </w:rPr>
      </w:pPr>
      <w:r>
        <w:rPr>
          <w:rFonts w:hint="eastAsia" w:ascii="仿宋" w:hAnsi="仿宋" w:eastAsia="仿宋" w:cs="仿宋"/>
          <w:sz w:val="32"/>
          <w:szCs w:val="32"/>
        </w:rPr>
        <w:t>④票据管理规范，及时报送各类收入与支出票据、转款凭证、国库及银行对账单。</w:t>
      </w:r>
    </w:p>
    <w:p>
      <w:pPr>
        <w:ind w:firstLineChars="200"/>
        <w:rPr>
          <w:rFonts w:hint="eastAsia" w:ascii="仿宋" w:hAnsi="仿宋" w:eastAsia="仿宋" w:cs="仿宋"/>
          <w:sz w:val="32"/>
          <w:szCs w:val="32"/>
        </w:rPr>
      </w:pPr>
      <w:r>
        <w:rPr>
          <w:rFonts w:hint="eastAsia" w:ascii="仿宋" w:hAnsi="仿宋" w:eastAsia="仿宋" w:cs="仿宋"/>
          <w:sz w:val="32"/>
          <w:szCs w:val="32"/>
        </w:rPr>
        <w:t>⑤建立有学校固定资产管理制度，落实固定资产管理责任，有固定资产管理台账，定期进行固定资产盘点，及时完成了每月资产月报工作。</w:t>
      </w:r>
    </w:p>
    <w:p>
      <w:pPr>
        <w:ind w:firstLineChars="200"/>
        <w:rPr>
          <w:rFonts w:hint="eastAsia" w:ascii="仿宋" w:hAnsi="仿宋" w:eastAsia="仿宋" w:cs="仿宋"/>
          <w:sz w:val="32"/>
          <w:szCs w:val="32"/>
        </w:rPr>
      </w:pPr>
      <w:r>
        <w:rPr>
          <w:rFonts w:hint="eastAsia" w:ascii="仿宋" w:hAnsi="仿宋" w:eastAsia="仿宋" w:cs="仿宋"/>
          <w:sz w:val="32"/>
          <w:szCs w:val="32"/>
        </w:rPr>
        <w:t>⑥积极宣传各项资助政策，按要求做好了家庭经济困难学生的申请、评议、审核和报批等困难学生认定及管理工作，及时规范上报各类学生资助材料。有规范的学生资助档案。</w:t>
      </w:r>
    </w:p>
    <w:p>
      <w:pPr>
        <w:ind w:firstLineChars="200"/>
        <w:rPr>
          <w:rFonts w:hint="eastAsia" w:ascii="仿宋" w:hAnsi="仿宋" w:eastAsia="仿宋" w:cs="仿宋"/>
          <w:sz w:val="32"/>
          <w:szCs w:val="32"/>
        </w:rPr>
      </w:pPr>
      <w:r>
        <w:rPr>
          <w:rFonts w:hint="eastAsia" w:ascii="仿宋" w:hAnsi="仿宋" w:eastAsia="仿宋" w:cs="仿宋"/>
          <w:sz w:val="32"/>
          <w:szCs w:val="32"/>
        </w:rPr>
        <w:t>⑦严格执行“三重一大”相关规定，学校开支由行政会、教代会讨论通过才能执行。学校食堂建立了“膳食委员会”，重大事项由“膳食委员会”讨论通过后执行。</w:t>
      </w:r>
    </w:p>
    <w:p>
      <w:pPr>
        <w:ind w:firstLineChars="200"/>
        <w:rPr>
          <w:rFonts w:hint="eastAsia" w:ascii="仿宋" w:hAnsi="仿宋" w:eastAsia="仿宋" w:cs="仿宋"/>
          <w:sz w:val="32"/>
          <w:szCs w:val="32"/>
        </w:rPr>
      </w:pPr>
      <w:r>
        <w:rPr>
          <w:rFonts w:hint="eastAsia" w:ascii="仿宋" w:hAnsi="仿宋" w:eastAsia="仿宋" w:cs="仿宋"/>
          <w:sz w:val="32"/>
          <w:szCs w:val="32"/>
        </w:rPr>
        <w:t>⑧及时完成各类数据采集与填报，按时保质完成各项既定工作任务。</w:t>
      </w:r>
    </w:p>
    <w:p>
      <w:pPr>
        <w:ind w:firstLineChars="200"/>
        <w:rPr>
          <w:rFonts w:hint="eastAsia" w:ascii="仿宋" w:hAnsi="仿宋" w:eastAsia="仿宋" w:cs="仿宋"/>
          <w:sz w:val="32"/>
          <w:szCs w:val="32"/>
        </w:rPr>
      </w:pPr>
    </w:p>
    <w:p>
      <w:pPr>
        <w:ind w:firstLineChars="200"/>
        <w:rPr>
          <w:rFonts w:hint="eastAsia" w:ascii="仿宋" w:hAnsi="仿宋" w:eastAsia="仿宋" w:cs="仿宋"/>
          <w:sz w:val="32"/>
          <w:szCs w:val="32"/>
        </w:rPr>
      </w:pPr>
    </w:p>
    <w:p>
      <w:pPr>
        <w:ind w:firstLineChars="200"/>
        <w:rPr>
          <w:rFonts w:hint="eastAsia" w:ascii="仿宋" w:hAnsi="仿宋" w:eastAsia="仿宋" w:cs="仿宋"/>
          <w:sz w:val="32"/>
          <w:szCs w:val="32"/>
        </w:rPr>
      </w:pPr>
    </w:p>
    <w:p>
      <w:pPr>
        <w:pStyle w:val="3"/>
        <w:rPr>
          <w:rStyle w:val="15"/>
          <w:b w:val="0"/>
          <w:bCs w:val="0"/>
        </w:rPr>
      </w:pPr>
      <w:bookmarkStart w:id="33" w:name="_Toc10877"/>
      <w:bookmarkStart w:id="34" w:name="_Toc29259"/>
      <w:r>
        <w:rPr>
          <w:rFonts w:hint="eastAsia" w:ascii="黑体" w:eastAsia="黑体"/>
          <w:b w:val="0"/>
          <w:color w:val="000000"/>
        </w:rPr>
        <w:t>二、</w:t>
      </w:r>
      <w:r>
        <w:rPr>
          <w:rFonts w:hint="eastAsia" w:ascii="黑体" w:hAnsi="黑体" w:eastAsia="黑体"/>
          <w:b w:val="0"/>
          <w:color w:val="000000"/>
        </w:rPr>
        <w:t>机</w:t>
      </w:r>
      <w:r>
        <w:rPr>
          <w:rStyle w:val="15"/>
          <w:rFonts w:hint="eastAsia" w:ascii="黑体" w:hAnsi="黑体" w:eastAsia="黑体"/>
          <w:b w:val="0"/>
          <w:bCs w:val="0"/>
        </w:rPr>
        <w:t>构设置</w:t>
      </w:r>
      <w:bookmarkEnd w:id="31"/>
      <w:bookmarkEnd w:id="32"/>
      <w:bookmarkEnd w:id="33"/>
      <w:bookmarkEnd w:id="34"/>
    </w:p>
    <w:p>
      <w:pPr>
        <w:ind w:firstLineChars="200"/>
        <w:rPr>
          <w:rFonts w:hint="eastAsia" w:ascii="仿宋" w:hAnsi="仿宋" w:eastAsia="仿宋" w:cs="仿宋"/>
          <w:sz w:val="32"/>
          <w:szCs w:val="32"/>
        </w:rPr>
      </w:pPr>
      <w:bookmarkStart w:id="35" w:name="_Toc15396602"/>
      <w:bookmarkStart w:id="36" w:name="_Toc15377204"/>
      <w:r>
        <w:rPr>
          <w:rFonts w:hint="eastAsia" w:ascii="仿宋" w:hAnsi="仿宋" w:eastAsia="仿宋" w:cs="仿宋"/>
          <w:sz w:val="32"/>
          <w:szCs w:val="32"/>
          <w:lang w:eastAsia="zh-CN"/>
        </w:rPr>
        <w:t>乐山市五通桥区西坝镇西坝初级中学</w:t>
      </w:r>
      <w:r>
        <w:rPr>
          <w:rFonts w:hint="eastAsia" w:ascii="仿宋" w:hAnsi="仿宋" w:eastAsia="仿宋" w:cs="仿宋"/>
          <w:sz w:val="32"/>
          <w:szCs w:val="32"/>
        </w:rPr>
        <w:t>一级预算单位，无下属二级单位。</w:t>
      </w:r>
      <w:r>
        <w:rPr>
          <w:rFonts w:hint="eastAsia" w:ascii="仿宋" w:hAnsi="仿宋" w:eastAsia="仿宋" w:cs="仿宋"/>
          <w:sz w:val="32"/>
          <w:szCs w:val="32"/>
          <w:lang w:eastAsia="zh-CN"/>
        </w:rPr>
        <w:t>乐山市五通桥区西坝镇西坝初级中学</w:t>
      </w:r>
      <w:r>
        <w:rPr>
          <w:rFonts w:hint="eastAsia" w:ascii="仿宋" w:hAnsi="仿宋" w:eastAsia="仿宋" w:cs="仿宋"/>
          <w:sz w:val="32"/>
          <w:szCs w:val="32"/>
        </w:rPr>
        <w:t xml:space="preserve"> 截至 2020 年 12月31日，我单位 编制人数 32 人 ， 较上年度增加 0 人 ， 年末实有人数 3</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人。</w:t>
      </w:r>
    </w:p>
    <w:p>
      <w:pPr>
        <w:ind w:firstLineChars="200"/>
        <w:rPr>
          <w:rFonts w:hint="eastAsia" w:ascii="仿宋" w:hAnsi="仿宋" w:eastAsia="仿宋" w:cs="仿宋"/>
          <w:sz w:val="32"/>
          <w:szCs w:val="32"/>
        </w:rPr>
      </w:pPr>
    </w:p>
    <w:p>
      <w:pPr>
        <w:ind w:firstLineChars="200"/>
        <w:rPr>
          <w:rFonts w:hint="eastAsia" w:ascii="仿宋" w:hAnsi="仿宋" w:eastAsia="仿宋" w:cs="仿宋"/>
          <w:sz w:val="32"/>
          <w:szCs w:val="32"/>
        </w:rPr>
      </w:pPr>
    </w:p>
    <w:p>
      <w:pPr>
        <w:ind w:firstLineChars="200"/>
        <w:rPr>
          <w:rFonts w:hint="eastAsia" w:ascii="仿宋" w:hAnsi="仿宋" w:eastAsia="仿宋" w:cs="仿宋"/>
          <w:sz w:val="32"/>
          <w:szCs w:val="32"/>
        </w:rPr>
      </w:pPr>
    </w:p>
    <w:p>
      <w:pPr>
        <w:ind w:firstLineChars="200"/>
        <w:rPr>
          <w:rFonts w:hint="eastAsia" w:ascii="仿宋" w:hAnsi="仿宋" w:eastAsia="仿宋" w:cs="仿宋"/>
          <w:sz w:val="32"/>
          <w:szCs w:val="32"/>
        </w:rPr>
      </w:pPr>
    </w:p>
    <w:p>
      <w:pPr>
        <w:ind w:firstLineChars="200"/>
        <w:rPr>
          <w:rFonts w:hint="eastAsia" w:ascii="仿宋" w:hAnsi="仿宋" w:eastAsia="仿宋" w:cs="仿宋"/>
          <w:sz w:val="32"/>
          <w:szCs w:val="32"/>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ind w:right="440"/>
        <w:jc w:val="right"/>
        <w:outlineLvl w:val="9"/>
        <w:rPr>
          <w:rFonts w:hint="eastAsia" w:ascii="黑体" w:hAnsi="黑体" w:eastAsia="黑体"/>
          <w:b w:val="0"/>
          <w:color w:val="000000"/>
        </w:rPr>
      </w:pPr>
    </w:p>
    <w:p>
      <w:pPr>
        <w:pStyle w:val="2"/>
        <w:ind w:right="440"/>
        <w:jc w:val="right"/>
        <w:rPr>
          <w:rStyle w:val="14"/>
          <w:rFonts w:ascii="黑体" w:hAnsi="黑体" w:eastAsia="黑体"/>
          <w:b w:val="0"/>
          <w:bCs w:val="0"/>
        </w:rPr>
      </w:pPr>
      <w:bookmarkStart w:id="37" w:name="_Toc13733"/>
      <w:r>
        <w:rPr>
          <w:rFonts w:hint="eastAsia" w:ascii="黑体" w:hAnsi="黑体" w:eastAsia="黑体"/>
          <w:b w:val="0"/>
          <w:color w:val="000000"/>
        </w:rPr>
        <w:t>第二部分</w:t>
      </w:r>
      <w:r>
        <w:rPr>
          <w:rFonts w:ascii="黑体" w:hAnsi="黑体" w:eastAsia="黑体"/>
          <w:color w:val="000000"/>
        </w:rPr>
        <w:t xml:space="preserve"> </w:t>
      </w:r>
      <w:r>
        <w:rPr>
          <w:rStyle w:val="14"/>
          <w:rFonts w:ascii="黑体" w:hAnsi="黑体" w:eastAsia="黑体"/>
          <w:b w:val="0"/>
          <w:bCs w:val="0"/>
        </w:rPr>
        <w:t>2020</w:t>
      </w:r>
      <w:r>
        <w:rPr>
          <w:rStyle w:val="14"/>
          <w:rFonts w:hint="eastAsia" w:ascii="黑体" w:hAnsi="黑体" w:eastAsia="黑体"/>
          <w:b w:val="0"/>
          <w:bCs w:val="0"/>
        </w:rPr>
        <w:t>年度部门决算情况说明</w:t>
      </w:r>
      <w:bookmarkEnd w:id="35"/>
      <w:bookmarkEnd w:id="36"/>
      <w:bookmarkEnd w:id="37"/>
    </w:p>
    <w:p/>
    <w:p>
      <w:pPr>
        <w:pStyle w:val="16"/>
        <w:numPr>
          <w:ilvl w:val="0"/>
          <w:numId w:val="2"/>
        </w:numPr>
        <w:spacing w:line="600" w:lineRule="exact"/>
        <w:ind w:firstLineChars="0"/>
        <w:outlineLvl w:val="1"/>
        <w:rPr>
          <w:rStyle w:val="15"/>
          <w:rFonts w:ascii="黑体" w:hAnsi="黑体" w:eastAsia="黑体"/>
          <w:b w:val="0"/>
        </w:rPr>
      </w:pPr>
      <w:bookmarkStart w:id="38" w:name="_Toc15396603"/>
      <w:bookmarkStart w:id="39" w:name="_Toc6660"/>
      <w:bookmarkStart w:id="40" w:name="_Toc15377205"/>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38"/>
      <w:bookmarkEnd w:id="39"/>
      <w:bookmarkEnd w:id="40"/>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出总计513.93万元，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577.43万元，各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63.5万元，</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10.99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eastAsia="zh-CN"/>
          <w14:textFill>
            <w14:solidFill>
              <w14:schemeClr w14:val="tx1"/>
            </w14:solidFill>
          </w14:textFill>
        </w:rPr>
        <w:t>项目投入减少。</w:t>
      </w: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572770</wp:posOffset>
            </wp:positionH>
            <wp:positionV relativeFrom="paragraph">
              <wp:posOffset>270510</wp:posOffset>
            </wp:positionV>
            <wp:extent cx="4879975" cy="3268345"/>
            <wp:effectExtent l="4445" t="4445" r="11430" b="22860"/>
            <wp:wrapSquare wrapText="bothSides"/>
            <wp:docPr id="7" name="图表 7" descr="7b0a202020202263686172745265734964223a2022343136373636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1600" w:firstLineChars="5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jc w:val="left"/>
        <w:rPr>
          <w:rFonts w:ascii="仿宋_GB2312" w:eastAsia="仿宋_GB2312"/>
          <w:color w:val="000000"/>
          <w:sz w:val="32"/>
          <w:szCs w:val="32"/>
        </w:rPr>
      </w:pPr>
    </w:p>
    <w:p>
      <w:pPr>
        <w:pStyle w:val="16"/>
        <w:numPr>
          <w:ilvl w:val="0"/>
          <w:numId w:val="2"/>
        </w:numPr>
        <w:spacing w:line="600" w:lineRule="exact"/>
        <w:ind w:firstLineChars="0"/>
        <w:outlineLvl w:val="1"/>
        <w:rPr>
          <w:rStyle w:val="15"/>
          <w:rFonts w:ascii="黑体" w:hAnsi="黑体" w:eastAsia="黑体"/>
          <w:b w:val="0"/>
        </w:rPr>
      </w:pPr>
      <w:bookmarkStart w:id="41" w:name="_Toc15396604"/>
      <w:bookmarkStart w:id="42" w:name="_Toc15377206"/>
      <w:bookmarkStart w:id="43" w:name="_Toc17875"/>
      <w:r>
        <w:rPr>
          <w:rFonts w:hint="eastAsia" w:ascii="黑体" w:hAnsi="黑体" w:eastAsia="黑体"/>
          <w:color w:val="000000"/>
          <w:sz w:val="32"/>
          <w:szCs w:val="32"/>
        </w:rPr>
        <w:t>收</w:t>
      </w:r>
      <w:r>
        <w:rPr>
          <w:rStyle w:val="15"/>
          <w:rFonts w:hint="eastAsia" w:ascii="黑体" w:hAnsi="黑体" w:eastAsia="黑体"/>
          <w:b w:val="0"/>
        </w:rPr>
        <w:t>入决算情况说明</w:t>
      </w:r>
      <w:bookmarkEnd w:id="41"/>
      <w:bookmarkEnd w:id="42"/>
      <w:bookmarkEnd w:id="43"/>
    </w:p>
    <w:p>
      <w:pPr>
        <w:spacing w:line="600" w:lineRule="exact"/>
        <w:ind w:firstLine="640" w:firstLineChars="200"/>
        <w:outlineLvl w:val="9"/>
        <w:rPr>
          <w:rFonts w:hint="eastAsia" w:ascii="仿宋" w:hAnsi="仿宋" w:eastAsia="仿宋"/>
          <w:color w:val="000000"/>
          <w:sz w:val="32"/>
          <w:szCs w:val="32"/>
          <w:lang w:eastAsia="zh-CN"/>
        </w:rPr>
      </w:pPr>
      <w:bookmarkStart w:id="44" w:name="_Toc7239"/>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513.93</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513.89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99.99</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0.04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0.01</w:t>
      </w:r>
      <w:r>
        <w:rPr>
          <w:rFonts w:ascii="仿宋" w:hAnsi="仿宋" w:eastAsia="仿宋"/>
          <w:color w:val="000000"/>
          <w:sz w:val="32"/>
          <w:szCs w:val="32"/>
        </w:rPr>
        <w:t>%</w:t>
      </w:r>
      <w:r>
        <w:rPr>
          <w:rFonts w:hint="eastAsia" w:ascii="仿宋" w:hAnsi="仿宋" w:eastAsia="仿宋"/>
          <w:color w:val="000000"/>
          <w:sz w:val="32"/>
          <w:szCs w:val="32"/>
        </w:rPr>
        <w:t>。</w:t>
      </w:r>
      <w:bookmarkEnd w:id="44"/>
    </w:p>
    <w:p>
      <w:pPr>
        <w:tabs>
          <w:tab w:val="left" w:pos="2797"/>
        </w:tabs>
        <w:spacing w:line="600" w:lineRule="exact"/>
        <w:outlineLvl w:val="9"/>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-43815</wp:posOffset>
            </wp:positionH>
            <wp:positionV relativeFrom="paragraph">
              <wp:posOffset>251460</wp:posOffset>
            </wp:positionV>
            <wp:extent cx="5080000" cy="2992755"/>
            <wp:effectExtent l="4445" t="4445" r="8255" b="1270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rPr>
          <w:rFonts w:ascii="仿宋_GB2312" w:eastAsia="仿宋_GB2312"/>
          <w:color w:val="FF0000"/>
          <w:sz w:val="32"/>
          <w:szCs w:val="32"/>
        </w:rPr>
      </w:pPr>
    </w:p>
    <w:p>
      <w:pPr>
        <w:pStyle w:val="16"/>
        <w:numPr>
          <w:ilvl w:val="0"/>
          <w:numId w:val="2"/>
        </w:numPr>
        <w:spacing w:line="600" w:lineRule="exact"/>
        <w:ind w:firstLineChars="0"/>
        <w:outlineLvl w:val="1"/>
        <w:rPr>
          <w:rStyle w:val="15"/>
          <w:rFonts w:ascii="黑体" w:hAnsi="黑体" w:eastAsia="黑体"/>
          <w:b w:val="0"/>
        </w:rPr>
      </w:pPr>
      <w:bookmarkStart w:id="45" w:name="_Toc19213"/>
      <w:bookmarkStart w:id="46" w:name="_Toc15396605"/>
      <w:bookmarkStart w:id="47" w:name="_Toc15377207"/>
      <w:r>
        <w:rPr>
          <w:rFonts w:hint="eastAsia" w:ascii="黑体" w:hAnsi="黑体" w:eastAsia="黑体"/>
          <w:color w:val="000000"/>
          <w:sz w:val="32"/>
          <w:szCs w:val="32"/>
        </w:rPr>
        <w:t>支</w:t>
      </w:r>
      <w:r>
        <w:rPr>
          <w:rStyle w:val="15"/>
          <w:rFonts w:hint="eastAsia" w:ascii="黑体" w:hAnsi="黑体" w:eastAsia="黑体"/>
          <w:b w:val="0"/>
        </w:rPr>
        <w:t>出决算情况说明</w:t>
      </w:r>
      <w:bookmarkEnd w:id="45"/>
      <w:bookmarkEnd w:id="46"/>
      <w:bookmarkEnd w:id="47"/>
    </w:p>
    <w:p>
      <w:pPr>
        <w:spacing w:line="600" w:lineRule="exact"/>
        <w:ind w:firstLine="640" w:firstLineChars="200"/>
        <w:outlineLvl w:val="9"/>
        <w:rPr>
          <w:rFonts w:hint="eastAsia" w:ascii="仿宋" w:hAnsi="仿宋" w:eastAsia="仿宋"/>
          <w:color w:val="000000"/>
          <w:sz w:val="32"/>
          <w:szCs w:val="32"/>
          <w:lang w:eastAsia="zh-CN"/>
        </w:rPr>
      </w:pPr>
      <w:bookmarkStart w:id="48" w:name="_Toc29496"/>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513.93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486.07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94.58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27.86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5.42</w:t>
      </w:r>
      <w:r>
        <w:rPr>
          <w:rFonts w:ascii="仿宋" w:hAnsi="仿宋" w:eastAsia="仿宋"/>
          <w:color w:val="000000"/>
          <w:sz w:val="32"/>
          <w:szCs w:val="32"/>
        </w:rPr>
        <w:t>%</w:t>
      </w:r>
      <w:r>
        <w:rPr>
          <w:rFonts w:hint="eastAsia" w:ascii="仿宋" w:hAnsi="仿宋" w:eastAsia="仿宋"/>
          <w:color w:val="000000"/>
          <w:sz w:val="32"/>
          <w:szCs w:val="32"/>
          <w:lang w:eastAsia="zh-CN"/>
        </w:rPr>
        <w:t>。</w:t>
      </w:r>
      <w:bookmarkEnd w:id="48"/>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lang w:eastAsia="zh-CN"/>
        </w:rPr>
        <w:drawing>
          <wp:anchor distT="0" distB="0" distL="114300" distR="114300" simplePos="0" relativeHeight="251661312" behindDoc="0" locked="0" layoutInCell="1" allowOverlap="1">
            <wp:simplePos x="0" y="0"/>
            <wp:positionH relativeFrom="column">
              <wp:posOffset>410845</wp:posOffset>
            </wp:positionH>
            <wp:positionV relativeFrom="paragraph">
              <wp:posOffset>49530</wp:posOffset>
            </wp:positionV>
            <wp:extent cx="4524375" cy="3676015"/>
            <wp:effectExtent l="4445" t="4445" r="5080" b="1524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rPr>
          <w:rFonts w:hint="eastAsia" w:ascii="仿宋" w:hAnsi="仿宋" w:eastAsia="仿宋"/>
          <w:color w:val="000000"/>
          <w:sz w:val="32"/>
          <w:szCs w:val="32"/>
          <w:shd w:val="pct10" w:color="auto" w:fill="FFFFFF"/>
          <w:lang w:eastAsia="zh-CN"/>
        </w:rPr>
      </w:pPr>
    </w:p>
    <w:p>
      <w:pPr>
        <w:spacing w:line="600" w:lineRule="exact"/>
        <w:ind w:firstLine="1600" w:firstLineChars="5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1280" w:firstLineChars="400"/>
        <w:rPr>
          <w:rFonts w:hint="eastAsia" w:ascii="仿宋" w:hAnsi="仿宋" w:eastAsia="仿宋"/>
          <w:color w:val="000000"/>
          <w:sz w:val="32"/>
          <w:szCs w:val="32"/>
        </w:rPr>
      </w:pPr>
    </w:p>
    <w:p>
      <w:pPr>
        <w:spacing w:line="600" w:lineRule="exact"/>
        <w:ind w:firstLine="640" w:firstLineChars="200"/>
        <w:outlineLvl w:val="1"/>
        <w:rPr>
          <w:rStyle w:val="15"/>
          <w:rFonts w:ascii="黑体" w:hAnsi="黑体" w:eastAsia="黑体"/>
          <w:b w:val="0"/>
        </w:rPr>
      </w:pPr>
      <w:bookmarkStart w:id="49" w:name="_Toc15396606"/>
      <w:bookmarkStart w:id="50" w:name="_Toc10015"/>
      <w:bookmarkStart w:id="51" w:name="_Toc15377208"/>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49"/>
      <w:bookmarkEnd w:id="50"/>
      <w:bookmarkEnd w:id="51"/>
    </w:p>
    <w:p>
      <w:pPr>
        <w:spacing w:line="600" w:lineRule="exact"/>
        <w:ind w:firstLine="640"/>
        <w:rPr>
          <w:rFonts w:hint="eastAsia" w:ascii="仿宋" w:hAnsi="仿宋" w:eastAsia="仿宋"/>
          <w:color w:val="000000"/>
          <w:sz w:val="32"/>
          <w:szCs w:val="32"/>
          <w:highlight w:val="none"/>
          <w:lang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出总计513.89</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577.42万元，各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63.53万元，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eastAsia="zh-CN"/>
          <w14:textFill>
            <w14:solidFill>
              <w14:schemeClr w14:val="tx1"/>
            </w14:solidFill>
          </w14:textFill>
        </w:rPr>
        <w:t>项目投入减少</w:t>
      </w:r>
      <w:r>
        <w:rPr>
          <w:rFonts w:hint="eastAsia" w:ascii="仿宋" w:hAnsi="仿宋" w:eastAsia="仿宋"/>
          <w:color w:val="000000"/>
          <w:sz w:val="32"/>
          <w:szCs w:val="32"/>
          <w:highlight w:val="none"/>
          <w:lang w:eastAsia="zh-CN"/>
        </w:rPr>
        <w:t>。</w:t>
      </w:r>
    </w:p>
    <w:p>
      <w:pPr>
        <w:spacing w:line="600" w:lineRule="exact"/>
        <w:rPr>
          <w:rFonts w:hint="eastAsia" w:ascii="仿宋" w:hAnsi="仿宋" w:eastAsia="仿宋"/>
          <w:color w:val="000000"/>
          <w:sz w:val="32"/>
          <w:szCs w:val="32"/>
          <w:highlight w:val="none"/>
          <w:lang w:eastAsia="zh-CN"/>
        </w:rPr>
      </w:pPr>
    </w:p>
    <w:p>
      <w:pPr>
        <w:spacing w:line="600" w:lineRule="exact"/>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184150</wp:posOffset>
            </wp:positionH>
            <wp:positionV relativeFrom="paragraph">
              <wp:posOffset>175895</wp:posOffset>
            </wp:positionV>
            <wp:extent cx="4776470" cy="3133090"/>
            <wp:effectExtent l="4445" t="4445" r="19685" b="571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960" w:firstLineChars="3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5"/>
          <w:rFonts w:ascii="黑体" w:hAnsi="黑体" w:eastAsia="黑体"/>
          <w:b w:val="0"/>
        </w:rPr>
      </w:pPr>
      <w:bookmarkStart w:id="52" w:name="_Toc32411"/>
      <w:bookmarkStart w:id="53" w:name="_Toc15377209"/>
      <w:bookmarkStart w:id="54"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52"/>
      <w:bookmarkEnd w:id="53"/>
      <w:bookmarkEnd w:id="54"/>
    </w:p>
    <w:p>
      <w:pPr>
        <w:spacing w:line="600" w:lineRule="exact"/>
        <w:ind w:firstLine="643" w:firstLineChars="200"/>
        <w:outlineLvl w:val="9"/>
        <w:rPr>
          <w:rFonts w:ascii="仿宋" w:hAnsi="仿宋" w:eastAsia="仿宋"/>
          <w:b/>
          <w:color w:val="000000"/>
          <w:sz w:val="32"/>
          <w:szCs w:val="32"/>
        </w:rPr>
      </w:pPr>
      <w:bookmarkStart w:id="55" w:name="_Toc15377210"/>
      <w:bookmarkStart w:id="56" w:name="_Toc20289"/>
      <w:r>
        <w:rPr>
          <w:rFonts w:hint="eastAsia" w:ascii="仿宋" w:hAnsi="仿宋" w:eastAsia="仿宋"/>
          <w:b/>
          <w:color w:val="000000"/>
          <w:sz w:val="32"/>
          <w:szCs w:val="32"/>
        </w:rPr>
        <w:t>（一）一般公共预算财政拨款支出决算总体情况</w:t>
      </w:r>
      <w:bookmarkEnd w:id="55"/>
      <w:bookmarkEnd w:id="56"/>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513.89</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99.99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63.53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 w:hAnsi="仿宋" w:eastAsia="仿宋"/>
          <w:color w:val="000000" w:themeColor="text1"/>
          <w:sz w:val="32"/>
          <w:szCs w:val="32"/>
          <w:highlight w:val="none"/>
          <w:lang w:eastAsia="zh-CN"/>
          <w14:textFill>
            <w14:solidFill>
              <w14:schemeClr w14:val="tx1"/>
            </w14:solidFill>
          </w14:textFill>
        </w:rPr>
        <w:t>项目</w:t>
      </w:r>
      <w:r>
        <w:rPr>
          <w:rFonts w:hint="eastAsia" w:ascii="仿宋" w:hAnsi="仿宋" w:eastAsia="仿宋"/>
          <w:color w:val="000000"/>
          <w:sz w:val="32"/>
          <w:szCs w:val="32"/>
          <w:highlight w:val="none"/>
          <w:lang w:eastAsia="zh-CN"/>
        </w:rPr>
        <w:t>投入减少。</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410845</wp:posOffset>
            </wp:positionH>
            <wp:positionV relativeFrom="paragraph">
              <wp:posOffset>367030</wp:posOffset>
            </wp:positionV>
            <wp:extent cx="4365625" cy="3295015"/>
            <wp:effectExtent l="4445" t="4445" r="11430" b="1524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9"/>
        <w:rPr>
          <w:rFonts w:ascii="仿宋" w:hAnsi="仿宋" w:eastAsia="仿宋"/>
          <w:b/>
          <w:color w:val="000000"/>
          <w:sz w:val="32"/>
          <w:szCs w:val="32"/>
        </w:rPr>
      </w:pPr>
      <w:bookmarkStart w:id="57" w:name="_Toc13117"/>
      <w:bookmarkStart w:id="58" w:name="_Toc15377211"/>
      <w:r>
        <w:rPr>
          <w:rFonts w:hint="eastAsia" w:ascii="仿宋" w:hAnsi="仿宋" w:eastAsia="仿宋"/>
          <w:b/>
          <w:color w:val="000000"/>
          <w:sz w:val="32"/>
          <w:szCs w:val="32"/>
        </w:rPr>
        <w:t>（二）一般公共预算财政拨款支出决算结构情况</w:t>
      </w:r>
      <w:bookmarkEnd w:id="57"/>
      <w:bookmarkEnd w:id="58"/>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513.89</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351.99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68.5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社会保障和就业支出（类）</w:t>
      </w:r>
      <w:r>
        <w:rPr>
          <w:rFonts w:hint="eastAsia" w:ascii="仿宋" w:hAnsi="仿宋" w:eastAsia="仿宋"/>
          <w:color w:val="000000"/>
          <w:sz w:val="32"/>
          <w:szCs w:val="32"/>
          <w:lang w:val="en-US" w:eastAsia="zh-CN"/>
        </w:rPr>
        <w:t>111.5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21.7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15.67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3.05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rPr>
        <w:t>住房保障</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34.73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6.75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5408" behindDoc="0" locked="0" layoutInCell="1" allowOverlap="1">
            <wp:simplePos x="0" y="0"/>
            <wp:positionH relativeFrom="column">
              <wp:posOffset>419100</wp:posOffset>
            </wp:positionH>
            <wp:positionV relativeFrom="paragraph">
              <wp:posOffset>-275590</wp:posOffset>
            </wp:positionV>
            <wp:extent cx="3921125" cy="2747010"/>
            <wp:effectExtent l="4445" t="4445" r="11430" b="1714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9"/>
        <w:rPr>
          <w:rFonts w:ascii="仿宋" w:hAnsi="仿宋" w:eastAsia="仿宋"/>
          <w:b/>
          <w:color w:val="000000"/>
          <w:sz w:val="32"/>
          <w:szCs w:val="32"/>
        </w:rPr>
      </w:pPr>
      <w:bookmarkStart w:id="59" w:name="_Toc15377212"/>
      <w:bookmarkStart w:id="60" w:name="_Toc16048"/>
      <w:r>
        <w:rPr>
          <w:rFonts w:hint="eastAsia" w:ascii="仿宋" w:hAnsi="仿宋" w:eastAsia="仿宋"/>
          <w:b/>
          <w:color w:val="000000"/>
          <w:sz w:val="32"/>
          <w:szCs w:val="32"/>
        </w:rPr>
        <w:t>（三）一般公共预算财政拨款支出决算具体情况</w:t>
      </w:r>
      <w:bookmarkEnd w:id="59"/>
      <w:bookmarkEnd w:id="60"/>
    </w:p>
    <w:p>
      <w:pPr>
        <w:spacing w:line="600" w:lineRule="exact"/>
        <w:ind w:firstLine="643" w:firstLineChars="200"/>
        <w:outlineLvl w:val="9"/>
        <w:rPr>
          <w:rFonts w:ascii="仿宋" w:hAnsi="仿宋" w:eastAsia="仿宋"/>
          <w:color w:val="FF0000"/>
          <w:sz w:val="32"/>
          <w:szCs w:val="32"/>
        </w:rPr>
      </w:pPr>
      <w:bookmarkStart w:id="61" w:name="_Toc15377213"/>
      <w:bookmarkStart w:id="62" w:name="_Toc15378460"/>
      <w:bookmarkStart w:id="63" w:name="_Toc15377444"/>
      <w:bookmarkStart w:id="64" w:name="_Toc28372"/>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lang w:val="en-US" w:eastAsia="zh-CN"/>
        </w:rPr>
        <w:t>513.89</w:t>
      </w:r>
      <w:r>
        <w:rPr>
          <w:rFonts w:hint="eastAsia" w:ascii="仿宋" w:hAnsi="仿宋" w:eastAsia="仿宋"/>
          <w:color w:val="000000"/>
          <w:sz w:val="32"/>
          <w:szCs w:val="32"/>
        </w:rPr>
        <w:t>，</w:t>
      </w:r>
      <w:r>
        <w:rPr>
          <w:rStyle w:val="12"/>
          <w:rFonts w:hint="eastAsia" w:ascii="仿宋" w:hAnsi="仿宋" w:eastAsia="仿宋"/>
          <w:bCs/>
          <w:color w:val="000000"/>
          <w:sz w:val="32"/>
          <w:szCs w:val="32"/>
        </w:rPr>
        <w:t>完成预算</w:t>
      </w:r>
      <w:r>
        <w:rPr>
          <w:rStyle w:val="12"/>
          <w:rFonts w:hint="eastAsia" w:ascii="仿宋" w:hAnsi="仿宋" w:eastAsia="仿宋"/>
          <w:bCs/>
          <w:color w:val="000000"/>
          <w:sz w:val="32"/>
          <w:szCs w:val="32"/>
          <w:lang w:val="en-US" w:eastAsia="zh-CN"/>
        </w:rPr>
        <w:t>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61"/>
      <w:bookmarkEnd w:id="62"/>
      <w:bookmarkEnd w:id="63"/>
      <w:bookmarkEnd w:id="64"/>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1.</w:t>
      </w:r>
      <w:r>
        <w:rPr>
          <w:rStyle w:val="12"/>
          <w:rFonts w:hint="eastAsia" w:ascii="仿宋" w:hAnsi="仿宋" w:eastAsia="仿宋"/>
          <w:bCs/>
          <w:color w:val="000000"/>
          <w:sz w:val="32"/>
          <w:szCs w:val="32"/>
        </w:rPr>
        <w:t>教育支出（类）普通教育（款）</w:t>
      </w:r>
      <w:r>
        <w:rPr>
          <w:rStyle w:val="12"/>
          <w:rFonts w:hint="eastAsia" w:ascii="仿宋" w:hAnsi="仿宋" w:eastAsia="仿宋"/>
          <w:bCs/>
          <w:color w:val="000000"/>
          <w:sz w:val="32"/>
          <w:szCs w:val="32"/>
          <w:lang w:eastAsia="zh-CN"/>
        </w:rPr>
        <w:t>初中</w:t>
      </w:r>
      <w:r>
        <w:rPr>
          <w:rStyle w:val="12"/>
          <w:rFonts w:hint="eastAsia" w:ascii="仿宋" w:hAnsi="仿宋" w:eastAsia="仿宋"/>
          <w:bCs/>
          <w:color w:val="000000"/>
          <w:sz w:val="32"/>
          <w:szCs w:val="32"/>
        </w:rPr>
        <w:t>教育（项）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340.26</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2.</w:t>
      </w:r>
      <w:r>
        <w:rPr>
          <w:rStyle w:val="12"/>
          <w:rFonts w:hint="eastAsia" w:ascii="仿宋" w:hAnsi="仿宋" w:eastAsia="仿宋"/>
          <w:bCs/>
          <w:color w:val="000000"/>
          <w:sz w:val="32"/>
          <w:szCs w:val="32"/>
        </w:rPr>
        <w:t>教育支出（类）教育费附加安排的支出（款）其他教育费附加安排的支出（项）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11.73</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3.</w:t>
      </w:r>
      <w:r>
        <w:rPr>
          <w:rStyle w:val="12"/>
          <w:rFonts w:hint="eastAsia" w:ascii="仿宋" w:hAnsi="仿宋" w:eastAsia="仿宋"/>
          <w:bCs/>
          <w:color w:val="000000"/>
          <w:sz w:val="32"/>
          <w:szCs w:val="32"/>
        </w:rPr>
        <w:t>社会保障和就业支出（类）行政事业单位养老支出（款）机关事业单位基本养老保险缴费支出（项）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39.89</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4.</w:t>
      </w:r>
      <w:r>
        <w:rPr>
          <w:rStyle w:val="12"/>
          <w:rFonts w:hint="eastAsia" w:ascii="仿宋" w:hAnsi="仿宋" w:eastAsia="仿宋"/>
          <w:bCs/>
          <w:color w:val="000000"/>
          <w:sz w:val="32"/>
          <w:szCs w:val="32"/>
        </w:rPr>
        <w:t>社会保障和就业支出（类）行政事业单位养老支出（款）机关事业单位职业年金缴费支出（项）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23.29</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5.</w:t>
      </w:r>
      <w:r>
        <w:rPr>
          <w:rStyle w:val="12"/>
          <w:rFonts w:hint="eastAsia" w:ascii="仿宋" w:hAnsi="仿宋" w:eastAsia="仿宋"/>
          <w:bCs/>
          <w:color w:val="000000"/>
          <w:sz w:val="32"/>
          <w:szCs w:val="32"/>
        </w:rPr>
        <w:t>社会保障和就业支出（类）行政事业单位养老支出（款）其他行政事业单位养老支出（项）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48.32</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Style w:val="12"/>
          <w:rFonts w:ascii="仿宋" w:hAnsi="仿宋" w:eastAsia="仿宋"/>
          <w:bCs/>
          <w:color w:val="000000"/>
          <w:sz w:val="32"/>
          <w:szCs w:val="32"/>
        </w:rPr>
        <w:t>6.</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（类）行政事业单位医疗（款）事业单位医疗（项）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15.67</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FF0000"/>
          <w:sz w:val="32"/>
          <w:szCs w:val="32"/>
        </w:rPr>
      </w:pPr>
      <w:r>
        <w:rPr>
          <w:rStyle w:val="12"/>
          <w:rFonts w:hint="eastAsia" w:ascii="仿宋" w:hAnsi="仿宋" w:eastAsia="仿宋"/>
          <w:bCs/>
          <w:color w:val="000000"/>
          <w:sz w:val="32"/>
          <w:szCs w:val="32"/>
          <w:lang w:val="en-US" w:eastAsia="zh-CN"/>
        </w:rPr>
        <w:t>7</w:t>
      </w:r>
      <w:r>
        <w:rPr>
          <w:rStyle w:val="12"/>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2"/>
          <w:rFonts w:hint="eastAsia" w:ascii="仿宋" w:hAnsi="仿宋" w:eastAsia="仿宋"/>
          <w:bCs/>
          <w:color w:val="000000"/>
          <w:sz w:val="32"/>
          <w:szCs w:val="32"/>
        </w:rPr>
        <w:t>（类）住房改革支出</w:t>
      </w:r>
      <w:r>
        <w:rPr>
          <w:rStyle w:val="12"/>
          <w:rFonts w:hint="eastAsia" w:ascii="仿宋" w:hAnsi="仿宋" w:eastAsia="仿宋"/>
          <w:bCs/>
          <w:color w:val="000000"/>
          <w:sz w:val="32"/>
          <w:szCs w:val="32"/>
          <w:lang w:eastAsia="zh-CN"/>
        </w:rPr>
        <w:t>（</w:t>
      </w:r>
      <w:r>
        <w:rPr>
          <w:rStyle w:val="12"/>
          <w:rFonts w:hint="eastAsia" w:ascii="仿宋" w:hAnsi="仿宋" w:eastAsia="仿宋"/>
          <w:bCs/>
          <w:color w:val="000000"/>
          <w:sz w:val="32"/>
          <w:szCs w:val="32"/>
        </w:rPr>
        <w:t>款）住房公积金（项）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w:t>
      </w:r>
      <w:r>
        <w:rPr>
          <w:rStyle w:val="12"/>
          <w:rFonts w:hint="eastAsia" w:ascii="仿宋" w:hAnsi="仿宋" w:eastAsia="仿宋"/>
          <w:b w:val="0"/>
          <w:bCs/>
          <w:color w:val="000000"/>
          <w:sz w:val="32"/>
          <w:szCs w:val="32"/>
          <w:lang w:val="en-US" w:eastAsia="zh-CN"/>
        </w:rPr>
        <w:t>34.73</w:t>
      </w:r>
      <w:r>
        <w:rPr>
          <w:rStyle w:val="12"/>
          <w:rFonts w:hint="eastAsia" w:ascii="仿宋" w:hAnsi="仿宋" w:eastAsia="仿宋"/>
          <w:b w:val="0"/>
          <w:bCs/>
          <w:color w:val="000000"/>
          <w:sz w:val="32"/>
          <w:szCs w:val="32"/>
        </w:rPr>
        <w:t>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tabs>
          <w:tab w:val="right" w:pos="8306"/>
        </w:tabs>
        <w:spacing w:line="600" w:lineRule="exact"/>
        <w:ind w:firstLine="640"/>
        <w:outlineLvl w:val="1"/>
        <w:rPr>
          <w:rStyle w:val="15"/>
        </w:rPr>
      </w:pPr>
      <w:bookmarkStart w:id="65" w:name="_Toc15396608"/>
      <w:bookmarkStart w:id="66" w:name="_Toc26686"/>
      <w:bookmarkStart w:id="6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65"/>
      <w:bookmarkEnd w:id="66"/>
      <w:bookmarkEnd w:id="67"/>
      <w:r>
        <w:rPr>
          <w:rStyle w:val="1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486.07</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479.12</w:t>
      </w:r>
      <w:r>
        <w:rPr>
          <w:rFonts w:hint="eastAsia" w:ascii="仿宋" w:hAnsi="仿宋" w:eastAsia="仿宋"/>
          <w:color w:val="000000"/>
          <w:sz w:val="32"/>
          <w:szCs w:val="32"/>
        </w:rPr>
        <w:t>万元，主要包括：基本工资、津贴补贴、绩效工资、机关事业单位基本养老保险缴费、职业年金缴费、职工基本医疗保险缴费</w:t>
      </w:r>
      <w:r>
        <w:rPr>
          <w:rFonts w:hint="eastAsia" w:ascii="仿宋" w:hAnsi="仿宋" w:eastAsia="仿宋"/>
          <w:color w:val="000000"/>
          <w:sz w:val="32"/>
          <w:szCs w:val="32"/>
          <w:lang w:eastAsia="zh-CN"/>
        </w:rPr>
        <w:t>、其他社会保障缴费、</w:t>
      </w:r>
      <w:r>
        <w:rPr>
          <w:rFonts w:hint="eastAsia" w:ascii="仿宋" w:hAnsi="仿宋" w:eastAsia="仿宋"/>
          <w:color w:val="000000"/>
          <w:sz w:val="32"/>
          <w:szCs w:val="32"/>
        </w:rPr>
        <w:t>住房公积金、其他工资福利支出</w:t>
      </w:r>
      <w:r>
        <w:rPr>
          <w:rFonts w:hint="eastAsia" w:ascii="仿宋" w:hAnsi="仿宋" w:eastAsia="仿宋"/>
          <w:color w:val="000000"/>
          <w:sz w:val="32"/>
          <w:szCs w:val="32"/>
          <w:lang w:eastAsia="zh-CN"/>
        </w:rPr>
        <w:t>、抚恤金、</w:t>
      </w:r>
      <w:r>
        <w:rPr>
          <w:rFonts w:hint="eastAsia" w:ascii="仿宋" w:hAnsi="仿宋" w:eastAsia="仿宋"/>
          <w:color w:val="000000"/>
          <w:sz w:val="32"/>
          <w:szCs w:val="32"/>
        </w:rPr>
        <w:t>生活补助等。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6.95</w:t>
      </w:r>
      <w:r>
        <w:rPr>
          <w:rFonts w:hint="eastAsia" w:ascii="仿宋" w:hAnsi="仿宋" w:eastAsia="仿宋"/>
          <w:color w:val="000000"/>
          <w:sz w:val="32"/>
          <w:szCs w:val="32"/>
        </w:rPr>
        <w:t>万元，主要包括：工会经费、福利费等。</w:t>
      </w:r>
    </w:p>
    <w:p>
      <w:pPr>
        <w:spacing w:line="600" w:lineRule="exact"/>
        <w:ind w:firstLine="640"/>
        <w:outlineLvl w:val="1"/>
        <w:rPr>
          <w:rStyle w:val="15"/>
          <w:rFonts w:ascii="黑体" w:hAnsi="黑体" w:eastAsia="黑体"/>
          <w:b w:val="0"/>
        </w:rPr>
      </w:pPr>
      <w:bookmarkStart w:id="68" w:name="_Toc15377215"/>
      <w:bookmarkStart w:id="69" w:name="_Toc385"/>
      <w:bookmarkStart w:id="70" w:name="_Toc15396609"/>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68"/>
      <w:bookmarkEnd w:id="69"/>
      <w:bookmarkEnd w:id="70"/>
    </w:p>
    <w:p>
      <w:pPr>
        <w:spacing w:line="600" w:lineRule="exact"/>
        <w:ind w:firstLine="640"/>
        <w:outlineLvl w:val="9"/>
        <w:rPr>
          <w:rFonts w:ascii="仿宋" w:hAnsi="仿宋" w:eastAsia="仿宋"/>
          <w:b/>
          <w:color w:val="000000"/>
          <w:sz w:val="32"/>
          <w:szCs w:val="32"/>
        </w:rPr>
      </w:pPr>
      <w:bookmarkStart w:id="71" w:name="_Toc15377216"/>
      <w:bookmarkStart w:id="72" w:name="_Toc26822"/>
      <w:r>
        <w:rPr>
          <w:rFonts w:hint="eastAsia" w:ascii="仿宋" w:hAnsi="仿宋" w:eastAsia="仿宋"/>
          <w:b/>
          <w:color w:val="000000"/>
          <w:sz w:val="32"/>
          <w:szCs w:val="32"/>
        </w:rPr>
        <w:t>（一）“三公”经费财政拨款支出决算总体情况说明</w:t>
      </w:r>
      <w:bookmarkEnd w:id="71"/>
      <w:bookmarkEnd w:id="72"/>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0万</w:t>
      </w:r>
      <w:r>
        <w:rPr>
          <w:rFonts w:hint="eastAsia" w:ascii="仿宋" w:hAnsi="仿宋" w:eastAsia="仿宋"/>
          <w:color w:val="000000"/>
          <w:sz w:val="32"/>
          <w:szCs w:val="32"/>
        </w:rPr>
        <w:t>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9"/>
        <w:rPr>
          <w:rFonts w:ascii="仿宋" w:hAnsi="仿宋" w:eastAsia="仿宋"/>
          <w:b/>
          <w:color w:val="000000"/>
          <w:sz w:val="32"/>
          <w:szCs w:val="32"/>
        </w:rPr>
      </w:pPr>
      <w:bookmarkStart w:id="73" w:name="_Toc26414"/>
      <w:bookmarkStart w:id="74" w:name="_Toc15377217"/>
      <w:r>
        <w:rPr>
          <w:rFonts w:hint="eastAsia" w:ascii="仿宋" w:hAnsi="仿宋" w:eastAsia="仿宋"/>
          <w:b/>
          <w:color w:val="000000"/>
          <w:sz w:val="32"/>
          <w:szCs w:val="32"/>
        </w:rPr>
        <w:t>（二）“三公”经费财政拨款支出决算具体情况说明</w:t>
      </w:r>
      <w:bookmarkEnd w:id="73"/>
      <w:bookmarkEnd w:id="74"/>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1.因公出国（境）经费支出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2.公务用车购置及运行维护费支出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b w:val="0"/>
          <w:bCs/>
          <w:color w:val="000000"/>
          <w:sz w:val="32"/>
          <w:szCs w:val="32"/>
          <w:lang w:val="en-US" w:eastAsia="zh-CN"/>
        </w:rPr>
        <w:t>0</w:t>
      </w:r>
      <w:r>
        <w:rPr>
          <w:rFonts w:hint="eastAsia" w:ascii="仿宋" w:hAnsi="仿宋" w:eastAsia="仿宋" w:cs="仿宋"/>
          <w:color w:val="000000"/>
          <w:sz w:val="32"/>
          <w:szCs w:val="32"/>
        </w:rPr>
        <w:t>万元，</w:t>
      </w:r>
      <w:r>
        <w:rPr>
          <w:rStyle w:val="12"/>
          <w:rFonts w:hint="eastAsia" w:ascii="仿宋" w:hAnsi="仿宋" w:eastAsia="仿宋" w:cs="仿宋"/>
          <w:b w:val="0"/>
          <w:bCs/>
          <w:color w:val="000000"/>
          <w:sz w:val="32"/>
          <w:szCs w:val="32"/>
        </w:rPr>
        <w:t>完成预算</w:t>
      </w:r>
      <w:r>
        <w:rPr>
          <w:rStyle w:val="12"/>
          <w:rFonts w:hint="eastAsia" w:ascii="仿宋" w:hAnsi="仿宋" w:eastAsia="仿宋" w:cs="仿宋"/>
          <w:b w:val="0"/>
          <w:bCs/>
          <w:color w:val="000000"/>
          <w:sz w:val="32"/>
          <w:szCs w:val="32"/>
          <w:lang w:val="en-US" w:eastAsia="zh-CN"/>
        </w:rPr>
        <w:t>0</w:t>
      </w:r>
      <w:r>
        <w:rPr>
          <w:rStyle w:val="12"/>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公务接待费支出决算比2019年减少</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其中：</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b/>
          <w:color w:val="000000"/>
          <w:sz w:val="32"/>
          <w:szCs w:val="32"/>
        </w:rPr>
        <w:t>国内公务接待支出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万元，主要用于执行公务、开展业务活动开支的交通费、住宿费、用餐费等。国内公务接待</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人次（不包括陪同人员），共计支出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万元，具体内容包括：</w:t>
      </w:r>
      <w:r>
        <w:rPr>
          <w:rFonts w:hint="eastAsia" w:ascii="仿宋" w:hAnsi="仿宋" w:eastAsia="仿宋" w:cs="仿宋"/>
          <w:color w:val="auto"/>
          <w:sz w:val="32"/>
          <w:szCs w:val="32"/>
          <w:lang w:val="en-US" w:eastAsia="zh-CN"/>
        </w:rPr>
        <w:t>用于接待上级领导视察并指导学校发展产生的住宿费、用餐费0万元。</w:t>
      </w:r>
    </w:p>
    <w:p>
      <w:pPr>
        <w:spacing w:line="600" w:lineRule="exact"/>
        <w:ind w:firstLine="640"/>
        <w:outlineLvl w:val="1"/>
        <w:rPr>
          <w:rStyle w:val="15"/>
          <w:rFonts w:ascii="黑体" w:hAnsi="黑体" w:eastAsia="黑体"/>
        </w:rPr>
      </w:pPr>
      <w:bookmarkStart w:id="75" w:name="_Toc15396610"/>
      <w:bookmarkStart w:id="76" w:name="_Toc15377218"/>
      <w:bookmarkStart w:id="77" w:name="_Toc32742"/>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75"/>
      <w:bookmarkEnd w:id="76"/>
      <w:bookmarkEnd w:id="77"/>
    </w:p>
    <w:p>
      <w:pPr>
        <w:spacing w:line="600" w:lineRule="exact"/>
        <w:ind w:firstLine="640"/>
        <w:rPr>
          <w:rFonts w:ascii="仿宋_GB2312" w:eastAsia="仿宋_GB2312"/>
          <w:color w:val="000000"/>
          <w:sz w:val="32"/>
          <w:szCs w:val="32"/>
        </w:rPr>
      </w:pPr>
      <w:r>
        <w:rPr>
          <w:rFonts w:hint="eastAsia" w:ascii="仿宋" w:hAnsi="仿宋" w:eastAsia="仿宋" w:cs="仿宋"/>
          <w:color w:val="000000"/>
          <w:sz w:val="32"/>
          <w:szCs w:val="32"/>
        </w:rPr>
        <w:t>2020年政府性基金预算拨款支出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numPr>
          <w:ilvl w:val="0"/>
          <w:numId w:val="3"/>
        </w:numPr>
        <w:spacing w:line="600" w:lineRule="exact"/>
        <w:ind w:firstLine="640"/>
        <w:outlineLvl w:val="1"/>
        <w:rPr>
          <w:rStyle w:val="15"/>
          <w:rFonts w:ascii="黑体" w:hAnsi="黑体" w:eastAsia="黑体"/>
          <w:b w:val="0"/>
        </w:rPr>
      </w:pPr>
      <w:bookmarkStart w:id="78" w:name="_Toc15377219"/>
      <w:bookmarkStart w:id="79" w:name="_Toc15396611"/>
      <w:bookmarkStart w:id="80" w:name="_Toc29"/>
      <w:r>
        <w:rPr>
          <w:rStyle w:val="15"/>
          <w:rFonts w:hint="eastAsia" w:ascii="黑体" w:hAnsi="黑体" w:eastAsia="黑体"/>
          <w:b w:val="0"/>
        </w:rPr>
        <w:t>国有资本经营预算支出决算情况说明</w:t>
      </w:r>
      <w:bookmarkEnd w:id="78"/>
      <w:bookmarkEnd w:id="79"/>
      <w:bookmarkEnd w:id="80"/>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s="仿宋"/>
          <w:color w:val="000000"/>
          <w:sz w:val="32"/>
          <w:szCs w:val="32"/>
        </w:rPr>
        <w:t>2020年国有资本经营预算拨款支出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800" w:firstLineChars="250"/>
        <w:outlineLvl w:val="1"/>
        <w:rPr>
          <w:rStyle w:val="15"/>
          <w:rFonts w:ascii="黑体" w:hAnsi="黑体" w:eastAsia="黑体"/>
        </w:rPr>
      </w:pPr>
      <w:bookmarkStart w:id="81" w:name="_Toc15377221"/>
      <w:bookmarkStart w:id="82" w:name="_Toc16243"/>
      <w:bookmarkStart w:id="83" w:name="_Toc15396612"/>
      <w:r>
        <w:rPr>
          <w:rFonts w:hint="eastAsia" w:ascii="黑体" w:hAnsi="黑体" w:eastAsia="黑体"/>
          <w:color w:val="000000"/>
          <w:sz w:val="32"/>
          <w:szCs w:val="32"/>
        </w:rPr>
        <w:t>十</w:t>
      </w:r>
      <w:r>
        <w:rPr>
          <w:rStyle w:val="15"/>
          <w:rFonts w:hint="eastAsia" w:ascii="黑体" w:hAnsi="黑体" w:eastAsia="黑体"/>
        </w:rPr>
        <w:t>、</w:t>
      </w:r>
      <w:r>
        <w:rPr>
          <w:rStyle w:val="15"/>
          <w:rFonts w:hint="eastAsia" w:ascii="黑体" w:hAnsi="黑体" w:eastAsia="黑体"/>
          <w:b w:val="0"/>
        </w:rPr>
        <w:t>其他重要事项的情况说明</w:t>
      </w:r>
      <w:bookmarkEnd w:id="81"/>
      <w:bookmarkEnd w:id="82"/>
      <w:bookmarkEnd w:id="83"/>
    </w:p>
    <w:p>
      <w:pPr>
        <w:spacing w:line="600" w:lineRule="exact"/>
        <w:ind w:firstLine="643" w:firstLineChars="200"/>
        <w:outlineLvl w:val="9"/>
        <w:rPr>
          <w:rFonts w:ascii="仿宋" w:hAnsi="仿宋" w:eastAsia="仿宋"/>
          <w:color w:val="000000"/>
          <w:sz w:val="32"/>
          <w:szCs w:val="32"/>
        </w:rPr>
      </w:pPr>
      <w:bookmarkStart w:id="84" w:name="_Toc23902"/>
      <w:bookmarkStart w:id="85" w:name="_Toc15377222"/>
      <w:r>
        <w:rPr>
          <w:rFonts w:hint="eastAsia" w:ascii="仿宋" w:hAnsi="仿宋" w:eastAsia="仿宋"/>
          <w:b/>
          <w:color w:val="000000"/>
          <w:sz w:val="32"/>
          <w:szCs w:val="32"/>
        </w:rPr>
        <w:t>（一）机关运行经费支出情况</w:t>
      </w:r>
      <w:bookmarkEnd w:id="84"/>
      <w:bookmarkEnd w:id="85"/>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2020年，四川省乐山市五通桥区西坝镇西坝初级中学运行经费支出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万元，与2019年决算数持平。</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6" w:name="_Toc15377223"/>
      <w:bookmarkStart w:id="87" w:name="_Toc29901"/>
      <w:r>
        <w:rPr>
          <w:rFonts w:hint="eastAsia" w:ascii="仿宋" w:hAnsi="仿宋" w:eastAsia="仿宋"/>
          <w:b/>
          <w:color w:val="000000"/>
          <w:sz w:val="32"/>
          <w:szCs w:val="32"/>
        </w:rPr>
        <w:t>（二）政府采购支出情况</w:t>
      </w:r>
      <w:bookmarkEnd w:id="86"/>
      <w:bookmarkEnd w:id="87"/>
    </w:p>
    <w:p>
      <w:pPr>
        <w:spacing w:line="600" w:lineRule="exact"/>
        <w:ind w:firstLine="640" w:firstLineChars="200"/>
        <w:rPr>
          <w:rFonts w:ascii="仿宋" w:hAnsi="仿宋" w:eastAsia="仿宋"/>
          <w:b/>
          <w:color w:val="FF0000"/>
          <w:sz w:val="32"/>
          <w:szCs w:val="32"/>
        </w:rPr>
      </w:pPr>
      <w:r>
        <w:rPr>
          <w:rFonts w:hint="eastAsia" w:ascii="仿宋" w:hAnsi="仿宋" w:eastAsia="仿宋" w:cs="仿宋"/>
          <w:color w:val="000000"/>
          <w:sz w:val="32"/>
          <w:szCs w:val="32"/>
        </w:rPr>
        <w:t>2020年，四川省乐山市五通桥区西坝镇西坝初级中学采购支出总额</w:t>
      </w:r>
      <w:r>
        <w:rPr>
          <w:rFonts w:hint="eastAsia" w:ascii="仿宋" w:hAnsi="仿宋" w:eastAsia="仿宋" w:cs="仿宋"/>
          <w:color w:val="000000"/>
          <w:sz w:val="32"/>
          <w:szCs w:val="32"/>
          <w:lang w:val="en-US" w:eastAsia="zh-CN"/>
        </w:rPr>
        <w:t>8.74</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8.74</w:t>
      </w:r>
      <w:r>
        <w:rPr>
          <w:rFonts w:hint="eastAsia" w:ascii="仿宋" w:hAnsi="仿宋" w:eastAsia="仿宋" w:cs="仿宋"/>
          <w:color w:val="000000"/>
          <w:sz w:val="32"/>
          <w:szCs w:val="32"/>
        </w:rPr>
        <w:t>万元、政府采购工程支出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万元、政府采购服务支出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w:t>
      </w:r>
      <w:r>
        <w:rPr>
          <w:rFonts w:hint="eastAsia" w:ascii="仿宋" w:hAnsi="仿宋" w:eastAsia="仿宋" w:cs="仿宋"/>
          <w:color w:val="000000"/>
          <w:sz w:val="32"/>
          <w:szCs w:val="32"/>
          <w:lang w:val="en-US" w:eastAsia="zh-CN"/>
        </w:rPr>
        <w:t>教师办公设备采购（平板电脑、笔记本电脑）</w:t>
      </w:r>
      <w:r>
        <w:rPr>
          <w:rFonts w:hint="eastAsia" w:ascii="仿宋" w:hAnsi="仿宋" w:eastAsia="仿宋" w:cs="仿宋"/>
          <w:color w:val="000000"/>
          <w:sz w:val="32"/>
          <w:szCs w:val="32"/>
        </w:rPr>
        <w:t>。授予中小企业合同金额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%，其中：授予小微企业合同金额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8" w:name="_Toc28062"/>
      <w:bookmarkStart w:id="89" w:name="_Toc15377224"/>
      <w:r>
        <w:rPr>
          <w:rFonts w:hint="eastAsia" w:ascii="仿宋" w:hAnsi="仿宋" w:eastAsia="仿宋"/>
          <w:b/>
          <w:color w:val="000000"/>
          <w:sz w:val="32"/>
          <w:szCs w:val="32"/>
        </w:rPr>
        <w:t>（三）国有资产占有使用情况</w:t>
      </w:r>
      <w:bookmarkEnd w:id="88"/>
      <w:bookmarkEnd w:id="89"/>
    </w:p>
    <w:p>
      <w:pPr>
        <w:autoSpaceDE w:val="0"/>
        <w:autoSpaceDN w:val="0"/>
        <w:adjustRightInd w:val="0"/>
        <w:spacing w:line="60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截至2020年12月31日，四川省乐山市五通桥区西坝镇西坝初级中学共有车辆</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辆。</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90" w:name="_Toc8507"/>
      <w:r>
        <w:rPr>
          <w:rFonts w:hint="eastAsia" w:ascii="仿宋" w:hAnsi="仿宋" w:eastAsia="仿宋"/>
          <w:b/>
          <w:color w:val="000000"/>
          <w:sz w:val="32"/>
          <w:szCs w:val="32"/>
        </w:rPr>
        <w:t>（四）预算绩效管理情况</w:t>
      </w:r>
      <w:bookmarkEnd w:id="90"/>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根据预算绩效管理要求，</w:t>
      </w:r>
      <w:r>
        <w:rPr>
          <w:rFonts w:hint="eastAsia" w:ascii="仿宋" w:hAnsi="仿宋" w:eastAsia="仿宋" w:cs="仿宋"/>
          <w:color w:val="000000" w:themeColor="text1"/>
          <w:sz w:val="32"/>
          <w:szCs w:val="32"/>
          <w:lang w:eastAsia="zh-CN"/>
          <w14:textFill>
            <w14:solidFill>
              <w14:schemeClr w14:val="tx1"/>
            </w14:solidFill>
          </w14:textFill>
        </w:rPr>
        <w:t>乐山市五通桥区西坝镇西坝初级中学</w:t>
      </w:r>
      <w:r>
        <w:rPr>
          <w:rFonts w:hint="eastAsia" w:ascii="仿宋" w:hAnsi="仿宋" w:eastAsia="仿宋" w:cs="仿宋"/>
          <w:color w:val="000000" w:themeColor="text1"/>
          <w:sz w:val="32"/>
          <w:szCs w:val="32"/>
          <w14:textFill>
            <w14:solidFill>
              <w14:schemeClr w14:val="tx1"/>
            </w14:solidFill>
          </w14:textFill>
        </w:rPr>
        <w:t>在年初预算编制阶段，组织对教育支出项目开展了预算事前绩效评估，对</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个项目编制了绩效目标，预算执行过程中，选取</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个项目开展绩效监控，年终执行完毕后，对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个项目开展了绩效目标完成情况自评。</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乐山市五通桥区西坝镇西坝初级中学</w:t>
      </w:r>
      <w:r>
        <w:rPr>
          <w:rFonts w:hint="eastAsia" w:ascii="仿宋" w:hAnsi="仿宋" w:eastAsia="仿宋" w:cs="仿宋"/>
          <w:color w:val="000000" w:themeColor="text1"/>
          <w:sz w:val="32"/>
          <w:szCs w:val="32"/>
          <w14:textFill>
            <w14:solidFill>
              <w14:schemeClr w14:val="tx1"/>
            </w14:solidFill>
          </w14:textFill>
        </w:rPr>
        <w:t>按要求对2020年部门整体支出开展绩效自评，</w:t>
      </w:r>
      <w:r>
        <w:rPr>
          <w:rFonts w:hint="eastAsia" w:ascii="仿宋" w:hAnsi="仿宋" w:eastAsia="仿宋" w:cs="仿宋"/>
          <w:color w:val="000000" w:themeColor="text1"/>
          <w:sz w:val="32"/>
          <w:szCs w:val="32"/>
          <w:lang w:eastAsia="zh-CN"/>
          <w14:textFill>
            <w14:solidFill>
              <w14:schemeClr w14:val="tx1"/>
            </w14:solidFill>
          </w14:textFill>
        </w:rPr>
        <w:t>基本完成年初绩效目标</w:t>
      </w:r>
      <w:r>
        <w:rPr>
          <w:rFonts w:hint="eastAsia" w:ascii="仿宋" w:hAnsi="仿宋" w:eastAsia="仿宋" w:cs="仿宋"/>
          <w:color w:val="000000" w:themeColor="text1"/>
          <w:sz w:val="32"/>
          <w:szCs w:val="32"/>
          <w14:textFill>
            <w14:solidFill>
              <w14:schemeClr w14:val="tx1"/>
            </w14:solidFill>
          </w14:textFill>
        </w:rPr>
        <w:t>。本部门还自行组织了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个项目支出绩效评价，从评价情况来看</w:t>
      </w:r>
      <w:r>
        <w:rPr>
          <w:rFonts w:hint="eastAsia" w:ascii="仿宋" w:hAnsi="仿宋" w:eastAsia="仿宋" w:cs="仿宋"/>
          <w:color w:val="000000" w:themeColor="text1"/>
          <w:sz w:val="32"/>
          <w:szCs w:val="32"/>
          <w:lang w:val="en-US" w:eastAsia="zh-CN"/>
          <w14:textFill>
            <w14:solidFill>
              <w14:schemeClr w14:val="tx1"/>
            </w14:solidFill>
          </w14:textFill>
        </w:rPr>
        <w:t>完成良好</w:t>
      </w:r>
      <w:r>
        <w:rPr>
          <w:rFonts w:hint="eastAsia" w:ascii="仿宋" w:hAnsi="仿宋" w:eastAsia="仿宋" w:cs="仿宋"/>
          <w:color w:val="000000" w:themeColor="text1"/>
          <w:sz w:val="32"/>
          <w:szCs w:val="32"/>
          <w14:textFill>
            <w14:solidFill>
              <w14:schemeClr w14:val="tx1"/>
            </w14:solidFill>
          </w14:textFill>
        </w:rPr>
        <w:t>。</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1.项目绩效目标完成情况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本部门</w:t>
      </w:r>
      <w:r>
        <w:rPr>
          <w:rFonts w:hint="eastAsia" w:ascii="仿宋" w:hAnsi="仿宋" w:eastAsia="仿宋" w:cs="仿宋"/>
          <w:sz w:val="32"/>
          <w:szCs w:val="32"/>
        </w:rPr>
        <w:t>在2020年度部门决算中反映“</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”项目绩效目标实际完成情况。（本单位部门项目绩效目标个数</w:t>
      </w:r>
      <w:r>
        <w:rPr>
          <w:rFonts w:hint="eastAsia" w:ascii="仿宋" w:hAnsi="仿宋" w:eastAsia="仿宋" w:cs="仿宋"/>
          <w:sz w:val="32"/>
          <w:szCs w:val="32"/>
          <w:lang w:val="en-US" w:eastAsia="zh-CN"/>
        </w:rPr>
        <w:t>2</w:t>
      </w:r>
      <w:r>
        <w:rPr>
          <w:rFonts w:hint="eastAsia" w:ascii="仿宋" w:hAnsi="仿宋" w:eastAsia="仿宋" w:cs="仿宋"/>
          <w:sz w:val="32"/>
          <w:szCs w:val="32"/>
        </w:rPr>
        <w:t>个，选取</w:t>
      </w:r>
      <w:r>
        <w:rPr>
          <w:rFonts w:hint="eastAsia" w:ascii="仿宋" w:hAnsi="仿宋" w:eastAsia="仿宋" w:cs="仿宋"/>
          <w:sz w:val="32"/>
          <w:szCs w:val="32"/>
          <w:lang w:val="en-US" w:eastAsia="zh-CN"/>
        </w:rPr>
        <w:t>1</w:t>
      </w:r>
      <w:r>
        <w:rPr>
          <w:rFonts w:hint="eastAsia" w:ascii="仿宋" w:hAnsi="仿宋" w:eastAsia="仿宋" w:cs="仿宋"/>
          <w:sz w:val="32"/>
          <w:szCs w:val="32"/>
        </w:rPr>
        <w:t>个项目进行公开，公开内容包括选取的全部项目完成情况综述和完成情况表）。</w:t>
      </w:r>
    </w:p>
    <w:p>
      <w:pPr>
        <w:spacing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项目绩效目标完成情况综述。</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项目全年预算数</w:t>
      </w:r>
      <w:r>
        <w:rPr>
          <w:rFonts w:hint="eastAsia" w:ascii="仿宋" w:hAnsi="仿宋" w:eastAsia="仿宋" w:cs="仿宋"/>
          <w:sz w:val="32"/>
          <w:szCs w:val="32"/>
          <w:lang w:val="en-US" w:eastAsia="zh-CN"/>
        </w:rPr>
        <w:t>16.09</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16.09</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w:t>
      </w:r>
      <w:r>
        <w:rPr>
          <w:rFonts w:hint="eastAsia" w:ascii="仿宋" w:hAnsi="仿宋" w:eastAsia="仿宋" w:cs="仿宋"/>
          <w:color w:val="000000"/>
          <w:sz w:val="32"/>
          <w:szCs w:val="32"/>
          <w:lang w:val="en-US" w:eastAsia="zh-CN"/>
        </w:rPr>
        <w:t>学校正常运转。</w:t>
      </w:r>
    </w:p>
    <w:p>
      <w:pPr>
        <w:spacing w:line="580" w:lineRule="exact"/>
        <w:ind w:firstLine="640" w:firstLineChars="200"/>
        <w:rPr>
          <w:rFonts w:hint="eastAsia" w:ascii="仿宋" w:hAnsi="仿宋" w:eastAsia="仿宋" w:cs="仿宋"/>
          <w:color w:val="000000"/>
          <w:sz w:val="32"/>
          <w:szCs w:val="32"/>
          <w:lang w:val="en-US" w:eastAsia="zh-CN"/>
        </w:rPr>
      </w:pPr>
    </w:p>
    <w:p>
      <w:pPr>
        <w:spacing w:line="580" w:lineRule="exact"/>
        <w:ind w:firstLine="640" w:firstLineChars="200"/>
        <w:rPr>
          <w:rFonts w:hint="eastAsia" w:ascii="仿宋" w:hAnsi="仿宋" w:eastAsia="仿宋" w:cs="仿宋"/>
          <w:color w:val="000000"/>
          <w:sz w:val="32"/>
          <w:szCs w:val="32"/>
          <w:lang w:val="en-US" w:eastAsia="zh-CN"/>
        </w:rPr>
      </w:pP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88"/>
        <w:gridCol w:w="969"/>
        <w:gridCol w:w="1025"/>
        <w:gridCol w:w="2392"/>
        <w:gridCol w:w="2394"/>
        <w:gridCol w:w="2392"/>
      </w:tblGrid>
      <w:tr>
        <w:tblPrEx>
          <w:tblCellMar>
            <w:top w:w="0" w:type="dxa"/>
            <w:left w:w="0" w:type="dxa"/>
            <w:bottom w:w="0" w:type="dxa"/>
            <w:right w:w="0" w:type="dxa"/>
          </w:tblCellMar>
        </w:tblPrEx>
        <w:trPr>
          <w:trHeight w:val="1308"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784"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生均公用经费</w:t>
            </w:r>
          </w:p>
        </w:tc>
      </w:tr>
      <w:tr>
        <w:tblPrEx>
          <w:tblCellMar>
            <w:top w:w="0" w:type="dxa"/>
            <w:left w:w="0" w:type="dxa"/>
            <w:bottom w:w="0" w:type="dxa"/>
            <w:right w:w="0" w:type="dxa"/>
          </w:tblCellMar>
        </w:tblPrEx>
        <w:trPr>
          <w:trHeight w:val="679"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rPr>
              <w:t>四川省乐山市五通桥区西坝镇西坝初级中学</w:t>
            </w:r>
          </w:p>
        </w:tc>
      </w:tr>
      <w:tr>
        <w:tblPrEx>
          <w:tblCellMar>
            <w:top w:w="0" w:type="dxa"/>
            <w:left w:w="0" w:type="dxa"/>
            <w:bottom w:w="0" w:type="dxa"/>
            <w:right w:w="0" w:type="dxa"/>
          </w:tblCellMar>
        </w:tblPrEx>
        <w:trPr>
          <w:trHeight w:val="1214"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预算执行情况(万元)</w:t>
            </w: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s="仿宋"/>
                <w:sz w:val="32"/>
                <w:szCs w:val="32"/>
                <w:lang w:val="en-US" w:eastAsia="zh-CN"/>
              </w:rPr>
              <w:t>16.09</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bCs/>
                <w:color w:val="000000"/>
                <w:sz w:val="32"/>
                <w:szCs w:val="32"/>
                <w:lang w:eastAsia="zh-CN"/>
              </w:rPr>
            </w:pPr>
            <w:r>
              <w:rPr>
                <w:rFonts w:hint="eastAsia" w:ascii="仿宋" w:hAnsi="仿宋" w:eastAsia="仿宋" w:cs="仿宋"/>
                <w:sz w:val="32"/>
                <w:szCs w:val="32"/>
                <w:lang w:val="en-US" w:eastAsia="zh-CN"/>
              </w:rPr>
              <w:t>16.09</w:t>
            </w:r>
          </w:p>
        </w:tc>
      </w:tr>
      <w:tr>
        <w:tblPrEx>
          <w:tblCellMar>
            <w:top w:w="0" w:type="dxa"/>
            <w:left w:w="0" w:type="dxa"/>
            <w:bottom w:w="0" w:type="dxa"/>
            <w:right w:w="0" w:type="dxa"/>
          </w:tblCellMar>
        </w:tblPrEx>
        <w:trPr>
          <w:trHeight w:val="1118"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s="仿宋"/>
                <w:sz w:val="32"/>
                <w:szCs w:val="32"/>
                <w:lang w:val="en-US" w:eastAsia="zh-CN"/>
              </w:rPr>
              <w:t>16.09</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sz w:val="32"/>
                <w:szCs w:val="32"/>
                <w:lang w:val="en-US" w:eastAsia="zh-CN"/>
              </w:rPr>
              <w:t>16.09</w:t>
            </w:r>
          </w:p>
        </w:tc>
      </w:tr>
      <w:tr>
        <w:tblPrEx>
          <w:tblCellMar>
            <w:top w:w="0" w:type="dxa"/>
            <w:left w:w="0" w:type="dxa"/>
            <w:bottom w:w="0" w:type="dxa"/>
            <w:right w:w="0" w:type="dxa"/>
          </w:tblCellMar>
        </w:tblPrEx>
        <w:trPr>
          <w:trHeight w:val="1227"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r>
      <w:tr>
        <w:tblPrEx>
          <w:tblCellMar>
            <w:top w:w="0" w:type="dxa"/>
            <w:left w:w="0" w:type="dxa"/>
            <w:bottom w:w="0" w:type="dxa"/>
            <w:right w:w="0" w:type="dxa"/>
          </w:tblCellMar>
        </w:tblPrEx>
        <w:trPr>
          <w:trHeight w:val="952"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年度目标完成情况</w:t>
            </w: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实际完成目标</w:t>
            </w:r>
          </w:p>
        </w:tc>
      </w:tr>
      <w:tr>
        <w:tblPrEx>
          <w:tblCellMar>
            <w:top w:w="0" w:type="dxa"/>
            <w:left w:w="0" w:type="dxa"/>
            <w:bottom w:w="0" w:type="dxa"/>
            <w:right w:w="0" w:type="dxa"/>
          </w:tblCellMar>
        </w:tblPrEx>
        <w:trPr>
          <w:trHeight w:val="1159"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预计投入</w:t>
            </w:r>
            <w:r>
              <w:rPr>
                <w:rFonts w:hint="eastAsia" w:ascii="仿宋" w:hAnsi="仿宋" w:eastAsia="仿宋" w:cs="仿宋"/>
                <w:sz w:val="32"/>
                <w:szCs w:val="32"/>
                <w:lang w:val="en-US" w:eastAsia="zh-CN"/>
              </w:rPr>
              <w:t>16.09</w:t>
            </w:r>
            <w:r>
              <w:rPr>
                <w:rFonts w:hint="eastAsia" w:ascii="仿宋" w:hAnsi="仿宋" w:eastAsia="仿宋" w:cs="仿宋"/>
                <w:color w:val="000000"/>
                <w:sz w:val="32"/>
                <w:szCs w:val="32"/>
                <w:lang w:val="en-US" w:eastAsia="zh-CN"/>
              </w:rPr>
              <w:t>万，涉及1个项目，按时完成学校正常教育教学任务</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全年执行</w:t>
            </w:r>
            <w:r>
              <w:rPr>
                <w:rFonts w:hint="eastAsia" w:ascii="仿宋" w:hAnsi="仿宋" w:eastAsia="仿宋" w:cs="仿宋"/>
                <w:sz w:val="32"/>
                <w:szCs w:val="32"/>
                <w:lang w:val="en-US" w:eastAsia="zh-CN"/>
              </w:rPr>
              <w:t>16.09</w:t>
            </w:r>
            <w:r>
              <w:rPr>
                <w:rFonts w:hint="eastAsia" w:ascii="仿宋" w:hAnsi="仿宋" w:eastAsia="仿宋" w:cs="仿宋"/>
                <w:color w:val="000000"/>
                <w:sz w:val="32"/>
                <w:szCs w:val="32"/>
                <w:lang w:val="en-US" w:eastAsia="zh-CN"/>
              </w:rPr>
              <w:t>万，涉及1个项目，顺利完成教育教学任务，学校办学条件有所提升。</w:t>
            </w:r>
          </w:p>
        </w:tc>
      </w:tr>
      <w:tr>
        <w:tblPrEx>
          <w:tblCellMar>
            <w:top w:w="0" w:type="dxa"/>
            <w:left w:w="0" w:type="dxa"/>
            <w:bottom w:w="0" w:type="dxa"/>
            <w:right w:w="0" w:type="dxa"/>
          </w:tblCellMar>
        </w:tblPrEx>
        <w:trPr>
          <w:trHeight w:val="1042" w:hRule="atLeast"/>
          <w:jc w:val="center"/>
        </w:trPr>
        <w:tc>
          <w:tcPr>
            <w:tcW w:w="78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绩效指标完成情况</w:t>
            </w: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产出指标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数量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在校学生人数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143   </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143 </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项目预算成本</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16.09</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960" w:firstLineChars="300"/>
              <w:jc w:val="both"/>
              <w:textAlignment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16.09</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校园安全率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100%</w:t>
            </w:r>
          </w:p>
        </w:tc>
      </w:tr>
      <w:tr>
        <w:tblPrEx>
          <w:tblCellMar>
            <w:top w:w="0" w:type="dxa"/>
            <w:left w:w="0" w:type="dxa"/>
            <w:bottom w:w="0" w:type="dxa"/>
            <w:right w:w="0" w:type="dxa"/>
          </w:tblCellMar>
        </w:tblPrEx>
        <w:trPr>
          <w:trHeight w:val="1055"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教师师资力量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持续提升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持续提升</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32"/>
                <w:szCs w:val="32"/>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项目完成是否在计划时间内</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是否能带来有力可持续影响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是</w:t>
            </w:r>
          </w:p>
        </w:tc>
      </w:tr>
      <w:tr>
        <w:tblPrEx>
          <w:tblCellMar>
            <w:top w:w="0" w:type="dxa"/>
            <w:left w:w="0" w:type="dxa"/>
            <w:bottom w:w="0" w:type="dxa"/>
            <w:right w:w="0" w:type="dxa"/>
          </w:tblCellMar>
        </w:tblPrEx>
        <w:trPr>
          <w:trHeight w:val="1050" w:hRule="atLeast"/>
          <w:jc w:val="center"/>
        </w:trPr>
        <w:tc>
          <w:tcPr>
            <w:tcW w:w="78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学生家长满意度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r>
    </w:tbl>
    <w:p>
      <w:pPr>
        <w:spacing w:line="580" w:lineRule="exact"/>
        <w:rPr>
          <w:rFonts w:hint="eastAsia" w:ascii="仿宋" w:hAnsi="仿宋" w:eastAsia="仿宋" w:cs="仿宋"/>
          <w:sz w:val="32"/>
          <w:szCs w:val="32"/>
        </w:rPr>
      </w:pPr>
      <w:r>
        <w:rPr>
          <w:rFonts w:hint="eastAsia" w:ascii="仿宋" w:hAnsi="仿宋" w:eastAsia="仿宋" w:cs="仿宋"/>
          <w:sz w:val="32"/>
          <w:szCs w:val="32"/>
        </w:rPr>
        <w:t>2.部门绩效评价结果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本部门按要求对2020年部门整体支出绩效评价情况开展自评，《乐山市五通桥区西坝镇西坝初级中学部门2020年部门整体支出绩效评价报告》见附件（附件1）。</w:t>
      </w:r>
    </w:p>
    <w:p>
      <w:pPr>
        <w:spacing w:line="580" w:lineRule="exact"/>
        <w:ind w:firstLine="640" w:firstLineChars="200"/>
        <w:rPr>
          <w:rFonts w:hint="eastAsia" w:ascii="仿宋" w:hAnsi="仿宋" w:eastAsia="仿宋" w:cs="仿宋"/>
          <w:b/>
          <w:color w:val="000000"/>
          <w:sz w:val="32"/>
          <w:szCs w:val="32"/>
        </w:rPr>
      </w:pPr>
      <w:r>
        <w:rPr>
          <w:rFonts w:hint="eastAsia" w:ascii="仿宋" w:hAnsi="仿宋" w:eastAsia="仿宋" w:cs="仿宋"/>
          <w:sz w:val="32"/>
          <w:szCs w:val="32"/>
        </w:rPr>
        <w:t>本部门自行组织对</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项目开展了绩效评价，《</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项目2020年绩效评价报告》见附件（附件2）。</w:t>
      </w:r>
    </w:p>
    <w:p>
      <w:pPr>
        <w:widowControl/>
        <w:jc w:val="left"/>
        <w:rPr>
          <w:rFonts w:ascii="仿宋_GB2312" w:eastAsia="仿宋_GB2312"/>
          <w:b/>
          <w:color w:val="000000"/>
          <w:sz w:val="32"/>
          <w:szCs w:val="32"/>
        </w:rPr>
      </w:pPr>
    </w:p>
    <w:p>
      <w:pPr>
        <w:numPr>
          <w:ilvl w:val="0"/>
          <w:numId w:val="4"/>
        </w:numPr>
        <w:spacing w:line="600" w:lineRule="exact"/>
        <w:ind w:firstLine="660" w:firstLineChars="150"/>
        <w:jc w:val="center"/>
        <w:outlineLvl w:val="0"/>
        <w:rPr>
          <w:rStyle w:val="14"/>
          <w:rFonts w:ascii="黑体" w:hAnsi="黑体" w:eastAsia="黑体"/>
          <w:b w:val="0"/>
        </w:rPr>
      </w:pPr>
      <w:bookmarkStart w:id="91" w:name="_Toc15396613"/>
      <w:bookmarkStart w:id="92" w:name="_Toc27374"/>
      <w:bookmarkStart w:id="93" w:name="_Toc15377225"/>
      <w:r>
        <w:rPr>
          <w:rFonts w:hint="eastAsia" w:ascii="黑体" w:hAnsi="黑体" w:eastAsia="黑体"/>
          <w:color w:val="000000"/>
          <w:sz w:val="44"/>
          <w:szCs w:val="44"/>
        </w:rPr>
        <w:t>名</w:t>
      </w:r>
      <w:r>
        <w:rPr>
          <w:rStyle w:val="14"/>
          <w:rFonts w:hint="eastAsia" w:ascii="黑体" w:hAnsi="黑体" w:eastAsia="黑体"/>
          <w:b w:val="0"/>
        </w:rPr>
        <w:t>词解释</w:t>
      </w:r>
      <w:bookmarkEnd w:id="91"/>
      <w:bookmarkEnd w:id="92"/>
      <w:bookmarkEnd w:id="93"/>
    </w:p>
    <w:p>
      <w:pPr>
        <w:spacing w:line="600" w:lineRule="exact"/>
        <w:jc w:val="left"/>
        <w:rPr>
          <w:rFonts w:ascii="宋体"/>
          <w:b/>
          <w:color w:val="000000"/>
          <w:sz w:val="44"/>
          <w:szCs w:val="44"/>
        </w:rPr>
      </w:pPr>
    </w:p>
    <w:p>
      <w:pPr>
        <w:pStyle w:val="17"/>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2</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val="en-US" w:eastAsia="zh-CN"/>
        </w:rPr>
        <w:t>利息收入</w:t>
      </w:r>
      <w:r>
        <w:rPr>
          <w:rFonts w:hint="eastAsia" w:ascii="仿宋" w:hAnsi="仿宋" w:eastAsia="仿宋" w:cs="仿宋"/>
          <w:sz w:val="32"/>
          <w:szCs w:val="32"/>
        </w:rPr>
        <w:t xml:space="preserve">等。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3</w:t>
      </w:r>
      <w:r>
        <w:rPr>
          <w:rFonts w:hint="eastAsia" w:ascii="仿宋" w:hAnsi="仿宋" w:eastAsia="仿宋" w:cs="仿宋"/>
          <w:sz w:val="32"/>
          <w:szCs w:val="32"/>
        </w:rPr>
        <w:t xml:space="preserve">.使用非财政拨款结余：指事业单位使用以前年度积累的非财政拨款结余弥补当年收支差额的金额。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4</w:t>
      </w:r>
      <w:r>
        <w:rPr>
          <w:rFonts w:hint="eastAsia" w:ascii="仿宋" w:hAnsi="仿宋" w:eastAsia="仿宋" w:cs="仿宋"/>
          <w:sz w:val="32"/>
          <w:szCs w:val="32"/>
        </w:rPr>
        <w:t xml:space="preserve">.年初结转和结余：指以前年度尚未完成、结转到本年按有关规定继续使用的资金。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5</w:t>
      </w:r>
      <w:r>
        <w:rPr>
          <w:rFonts w:hint="eastAsia" w:ascii="仿宋" w:hAnsi="仿宋" w:eastAsia="仿宋" w:cs="仿宋"/>
          <w:sz w:val="32"/>
          <w:szCs w:val="32"/>
        </w:rPr>
        <w:t>.结余分配：指事业单位按照会计制度规定缴纳的所得税、提取的专用结余以及转入非财政拨款结余的金额等。</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6</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b w:val="0"/>
          <w:bCs w:val="0"/>
          <w:color w:val="000000"/>
          <w:spacing w:val="0"/>
          <w:w w:val="100"/>
          <w:position w:val="0"/>
          <w:sz w:val="32"/>
          <w:szCs w:val="32"/>
        </w:rPr>
      </w:pPr>
      <w:bookmarkStart w:id="94" w:name="_Toc15396614"/>
      <w:bookmarkStart w:id="95" w:name="_Toc15377226"/>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rPr>
        <w:t>教育（类）普通教育（款）初中教育（项）：指</w:t>
      </w:r>
      <w:r>
        <w:rPr>
          <w:rFonts w:hint="eastAsia" w:ascii="仿宋" w:hAnsi="仿宋" w:eastAsia="仿宋" w:cs="仿宋"/>
          <w:b w:val="0"/>
          <w:bCs w:val="0"/>
          <w:color w:val="000000"/>
          <w:spacing w:val="0"/>
          <w:w w:val="100"/>
          <w:position w:val="0"/>
          <w:sz w:val="32"/>
          <w:szCs w:val="32"/>
        </w:rPr>
        <w:t>反映各部门举办的初中教育支出。政府各部门对社会中介 组织等举办的初中教育的资助，如捐赠、补贴等，也在本科 目中反映。</w:t>
      </w:r>
    </w:p>
    <w:p>
      <w:pPr>
        <w:ind w:firstLine="640" w:firstLineChars="200"/>
        <w:rPr>
          <w:rFonts w:hint="eastAsia" w:ascii="仿宋" w:hAnsi="仿宋" w:eastAsia="仿宋" w:cs="仿宋"/>
          <w:b w:val="0"/>
          <w:bCs w:val="0"/>
          <w:color w:val="000000"/>
          <w:sz w:val="32"/>
          <w:szCs w:val="32"/>
        </w:rPr>
      </w:pPr>
      <w:r>
        <w:rPr>
          <w:rFonts w:hint="eastAsia" w:ascii="仿宋_GB2312" w:eastAsia="仿宋_GB2312"/>
          <w:color w:val="000000"/>
          <w:sz w:val="32"/>
          <w:szCs w:val="32"/>
          <w:lang w:val="en-US" w:eastAsia="zh-CN"/>
        </w:rPr>
        <w:t>8</w:t>
      </w:r>
      <w:r>
        <w:rPr>
          <w:rFonts w:ascii="仿宋_GB2312" w:eastAsia="仿宋_GB2312"/>
          <w:color w:val="000000"/>
          <w:sz w:val="32"/>
          <w:szCs w:val="32"/>
        </w:rPr>
        <w:t>.</w:t>
      </w:r>
      <w:r>
        <w:rPr>
          <w:rFonts w:hint="eastAsia" w:ascii="仿宋" w:hAnsi="仿宋" w:eastAsia="仿宋" w:cs="仿宋"/>
          <w:b w:val="0"/>
          <w:bCs w:val="0"/>
          <w:color w:val="000000"/>
          <w:sz w:val="32"/>
          <w:szCs w:val="32"/>
        </w:rPr>
        <w:t>教育（类）教育费附加安排的支出（款）其他教育费附加安排的支出（项）：指反映除上述项目以外的教育费附加支出。</w:t>
      </w:r>
    </w:p>
    <w:p>
      <w:pPr>
        <w:ind w:firstLine="640" w:firstLineChars="200"/>
        <w:rPr>
          <w:rFonts w:hint="eastAsia" w:ascii="仿宋" w:hAnsi="仿宋" w:eastAsia="仿宋" w:cs="仿宋"/>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社会保障和就业支出（类）行政事业单位养老支出（款）机关事业单位基本养老保险缴费支出（项）：指反映机关事业单位实施养老保险制度由单位缴纳的基本老保险费支出。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社会保障和就业支出（类）行政事业单位养老支出（款）机关事业单位职业年金缴费支出（项）：指反映机关事业单位实施养老保险制度由单位实际缴纳的业年金支出。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社会保障和就业支出（类）行政事业单位养老支出（款）其他行政事业单位养老支出（项）：指反映除上述项目以外其他用于行政事业单位养老方面的支出。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 w:hAnsi="仿宋" w:eastAsia="仿宋" w:cs="仿宋"/>
          <w:color w:val="000000"/>
          <w:sz w:val="32"/>
          <w:szCs w:val="32"/>
        </w:rPr>
        <w:t>卫生健康支出（类）行政事业单位医疗（款）事业单位医疗（项）：指反映财政部门安排的事业单位基本医疗保险缴费经费，未 参加医疗保险的事业单位的公费医疗经费，按国家规定享受 离休人员待遇的医疗经费。</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 w:hAnsi="仿宋" w:eastAsia="仿宋" w:cs="仿宋"/>
          <w:color w:val="000000"/>
          <w:sz w:val="32"/>
          <w:szCs w:val="32"/>
        </w:rPr>
        <w:t>住房保障支出（类）住房改革支出（款）住房公积金（项）：指反映行政事业单位按人力资源和社会保障部、财政部规定 的基本工资和津贴补贴以及规定比例为职工缴纳的住房公 积金。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17"/>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hAnsi="仿宋" w:cs="仿宋"/>
          <w:sz w:val="32"/>
          <w:szCs w:val="32"/>
          <w:lang w:val="en-US" w:eastAsia="zh-CN"/>
        </w:rPr>
        <w:t>6</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9"/>
        <w:rPr>
          <w:rFonts w:hint="eastAsia" w:ascii="黑体" w:hAnsi="黑体" w:eastAsia="黑体"/>
          <w:color w:val="000000"/>
          <w:sz w:val="44"/>
          <w:szCs w:val="44"/>
        </w:rPr>
      </w:pPr>
    </w:p>
    <w:p>
      <w:pPr>
        <w:spacing w:line="600" w:lineRule="exact"/>
        <w:jc w:val="center"/>
        <w:outlineLvl w:val="0"/>
        <w:rPr>
          <w:rStyle w:val="14"/>
          <w:rFonts w:ascii="黑体" w:hAnsi="黑体" w:eastAsia="黑体"/>
          <w:b w:val="0"/>
        </w:rPr>
      </w:pPr>
      <w:bookmarkStart w:id="96" w:name="_Toc28597"/>
      <w:r>
        <w:rPr>
          <w:rFonts w:hint="eastAsia" w:ascii="黑体" w:hAnsi="黑体" w:eastAsia="黑体"/>
          <w:color w:val="000000"/>
          <w:sz w:val="44"/>
          <w:szCs w:val="44"/>
        </w:rPr>
        <w:t>第</w:t>
      </w:r>
      <w:r>
        <w:rPr>
          <w:rStyle w:val="14"/>
          <w:rFonts w:hint="eastAsia" w:ascii="黑体" w:hAnsi="黑体" w:eastAsia="黑体"/>
          <w:b w:val="0"/>
        </w:rPr>
        <w:t>四部分</w:t>
      </w:r>
      <w:r>
        <w:rPr>
          <w:rStyle w:val="14"/>
          <w:rFonts w:ascii="黑体" w:hAnsi="黑体" w:eastAsia="黑体"/>
          <w:b w:val="0"/>
        </w:rPr>
        <w:t xml:space="preserve"> </w:t>
      </w:r>
      <w:r>
        <w:rPr>
          <w:rStyle w:val="14"/>
          <w:rFonts w:hint="eastAsia" w:ascii="黑体" w:hAnsi="黑体" w:eastAsia="黑体"/>
          <w:b w:val="0"/>
        </w:rPr>
        <w:t>附件</w:t>
      </w:r>
      <w:bookmarkEnd w:id="94"/>
      <w:bookmarkEnd w:id="96"/>
    </w:p>
    <w:p>
      <w:pPr>
        <w:spacing w:line="600" w:lineRule="exact"/>
        <w:jc w:val="left"/>
        <w:outlineLvl w:val="0"/>
        <w:rPr>
          <w:rFonts w:ascii="方正小标宋简体" w:hAnsi="方正小标宋简体" w:eastAsia="方正小标宋简体" w:cs="方正小标宋简体"/>
          <w:sz w:val="32"/>
          <w:szCs w:val="32"/>
        </w:rPr>
      </w:pPr>
      <w:bookmarkStart w:id="97" w:name="_Toc16550"/>
      <w:r>
        <w:rPr>
          <w:rFonts w:hint="eastAsia" w:ascii="黑体" w:hAnsi="黑体" w:eastAsia="黑体" w:cs="黑体"/>
          <w:sz w:val="32"/>
          <w:szCs w:val="32"/>
        </w:rPr>
        <w:t>附件</w:t>
      </w:r>
      <w:r>
        <w:rPr>
          <w:rFonts w:ascii="黑体" w:hAnsi="黑体" w:eastAsia="黑体" w:cs="黑体"/>
          <w:sz w:val="32"/>
          <w:szCs w:val="32"/>
        </w:rPr>
        <w:t>1</w:t>
      </w:r>
      <w:bookmarkEnd w:id="97"/>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黑体" w:hAnsi="宋体" w:eastAsia="黑体" w:cs="宋体"/>
          <w:color w:val="000000"/>
          <w:kern w:val="0"/>
          <w:sz w:val="24"/>
          <w:szCs w:val="32"/>
          <w:shd w:val="clear" w:color="auto" w:fill="FFFFFF"/>
        </w:rPr>
      </w:pPr>
      <w:r>
        <w:rPr>
          <w:rFonts w:hint="eastAsia" w:ascii="方正小标宋简体" w:hAnsi="宋体" w:eastAsia="方正小标宋简体"/>
          <w:color w:val="000000"/>
          <w:kern w:val="0"/>
          <w:sz w:val="40"/>
          <w:szCs w:val="44"/>
        </w:rPr>
        <w:t>四川省乐山市五通桥区西坝镇西坝初级中学</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部门概况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乐山市五通桥区西坝镇西坝初级中学</w:t>
      </w:r>
      <w:r>
        <w:rPr>
          <w:rFonts w:hint="eastAsia" w:ascii="仿宋" w:hAnsi="仿宋" w:eastAsia="仿宋" w:cs="仿宋"/>
          <w:sz w:val="32"/>
          <w:szCs w:val="32"/>
        </w:rPr>
        <w:t>一级预算单位，无下属二级单位。</w:t>
      </w:r>
    </w:p>
    <w:p>
      <w:pPr>
        <w:widowControl/>
        <w:numPr>
          <w:ilvl w:val="0"/>
          <w:numId w:val="5"/>
        </w:numPr>
        <w:adjustRightInd w:val="0"/>
        <w:snapToGrid w:val="0"/>
        <w:spacing w:line="580" w:lineRule="exact"/>
        <w:ind w:left="-10" w:leftChars="0" w:firstLine="640" w:firstLineChars="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ind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乐山市五通桥区西坝镇西坝初级中学</w:t>
      </w:r>
      <w:r>
        <w:rPr>
          <w:rFonts w:hint="eastAsia" w:ascii="仿宋" w:hAnsi="仿宋" w:eastAsia="仿宋" w:cs="仿宋"/>
          <w:sz w:val="32"/>
          <w:szCs w:val="32"/>
        </w:rPr>
        <w:t>是由五通区教育部门举办和管理的</w:t>
      </w:r>
      <w:r>
        <w:rPr>
          <w:rFonts w:hint="eastAsia" w:ascii="仿宋" w:hAnsi="仿宋" w:eastAsia="仿宋" w:cs="仿宋"/>
          <w:sz w:val="32"/>
          <w:szCs w:val="32"/>
          <w:lang w:eastAsia="zh-CN"/>
        </w:rPr>
        <w:t>初中</w:t>
      </w:r>
      <w:r>
        <w:rPr>
          <w:rFonts w:hint="eastAsia" w:ascii="仿宋" w:hAnsi="仿宋" w:eastAsia="仿宋" w:cs="仿宋"/>
          <w:sz w:val="32"/>
          <w:szCs w:val="32"/>
        </w:rPr>
        <w:t>义务教育学校</w:t>
      </w:r>
      <w:r>
        <w:rPr>
          <w:rFonts w:hint="eastAsia" w:ascii="仿宋" w:hAnsi="仿宋" w:eastAsia="仿宋" w:cs="仿宋"/>
          <w:sz w:val="32"/>
          <w:szCs w:val="32"/>
          <w:lang w:eastAsia="zh-CN"/>
        </w:rPr>
        <w:t>，其主要职能是认真贯彻执行党和国家的教育方针、政策、法规。积极稳妥地推进课堂教学改革，认真组织教育教学、学科研究活动，学校特色和学生的个性得到了发展，教育教学质量不断提高。建立健全各项规章制度和岗位责任制，坚持教书育人、服务育人、环境育人方针。</w:t>
      </w:r>
    </w:p>
    <w:p>
      <w:pPr>
        <w:widowControl/>
        <w:numPr>
          <w:ilvl w:val="0"/>
          <w:numId w:val="5"/>
        </w:numPr>
        <w:adjustRightInd w:val="0"/>
        <w:snapToGrid w:val="0"/>
        <w:spacing w:line="580" w:lineRule="exact"/>
        <w:ind w:left="-10" w:leftChars="0" w:firstLine="640" w:firstLineChars="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人员概况</w:t>
      </w:r>
    </w:p>
    <w:p>
      <w:pPr>
        <w:widowControl/>
        <w:adjustRightInd w:val="0"/>
        <w:snapToGrid w:val="0"/>
        <w:spacing w:line="580" w:lineRule="exact"/>
        <w:ind w:firstLine="640" w:firstLineChars="200"/>
        <w:contextualSpacing/>
        <w:jc w:val="left"/>
        <w:rPr>
          <w:rFonts w:hint="eastAsia" w:ascii="仿宋" w:hAnsi="仿宋" w:eastAsia="仿宋" w:cs="仿宋"/>
          <w:sz w:val="32"/>
          <w:szCs w:val="32"/>
        </w:rPr>
      </w:pPr>
      <w:r>
        <w:rPr>
          <w:rFonts w:hint="eastAsia" w:ascii="仿宋" w:hAnsi="仿宋" w:eastAsia="仿宋" w:cs="仿宋"/>
          <w:sz w:val="32"/>
          <w:szCs w:val="32"/>
          <w:lang w:eastAsia="zh-CN"/>
        </w:rPr>
        <w:t>乐山市五通桥区西坝镇西坝初级中学</w:t>
      </w:r>
      <w:r>
        <w:rPr>
          <w:rFonts w:hint="eastAsia" w:ascii="仿宋" w:hAnsi="仿宋" w:eastAsia="仿宋" w:cs="仿宋"/>
          <w:sz w:val="32"/>
          <w:szCs w:val="32"/>
        </w:rPr>
        <w:t xml:space="preserve"> 截至 2020 年 12月31日，我单位 编制人数 32 人 ， 较上年度增加 0 人 ， 年末实有人数 3</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人。</w:t>
      </w: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spacing w:line="600" w:lineRule="exact"/>
        <w:ind w:firstLine="640"/>
        <w:rPr>
          <w:rFonts w:hint="eastAsia" w:ascii="仿宋_GB2312" w:hAnsi="宋体" w:eastAsia="仿宋_GB2312" w:cs="宋体"/>
          <w:color w:val="000000"/>
          <w:kern w:val="0"/>
          <w:sz w:val="32"/>
          <w:szCs w:val="32"/>
          <w:shd w:val="clear" w:color="auto" w:fill="FFFFFF"/>
          <w:lang w:val="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入513.89万元</w:t>
      </w:r>
      <w:r>
        <w:rPr>
          <w:rFonts w:hint="eastAsia" w:ascii="仿宋" w:hAnsi="仿宋" w:eastAsia="仿宋"/>
          <w:color w:val="000000"/>
          <w:sz w:val="32"/>
          <w:szCs w:val="32"/>
        </w:rPr>
        <w:t>。与</w:t>
      </w:r>
      <w:r>
        <w:rPr>
          <w:rFonts w:hint="eastAsia" w:ascii="仿宋" w:hAnsi="仿宋" w:eastAsia="仿宋"/>
          <w:color w:val="000000"/>
          <w:sz w:val="32"/>
          <w:szCs w:val="32"/>
          <w:lang w:eastAsia="zh-CN"/>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val="en-US" w:eastAsia="zh-CN"/>
        </w:rPr>
        <w:t>入减少63.53万元、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（二）部门财政资金支出情况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rPr>
        <w:t>基本支出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年1</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月止基本支出</w:t>
      </w:r>
      <w:r>
        <w:rPr>
          <w:rFonts w:hint="eastAsia" w:ascii="仿宋" w:hAnsi="仿宋" w:eastAsia="仿宋" w:cs="仿宋"/>
          <w:i w:val="0"/>
          <w:iCs w:val="0"/>
          <w:caps w:val="0"/>
          <w:color w:val="333333"/>
          <w:spacing w:val="0"/>
          <w:sz w:val="32"/>
          <w:szCs w:val="32"/>
          <w:lang w:val="en-US" w:eastAsia="zh-CN"/>
        </w:rPr>
        <w:t>486.07</w:t>
      </w:r>
      <w:r>
        <w:rPr>
          <w:rFonts w:hint="eastAsia" w:ascii="仿宋" w:hAnsi="仿宋" w:eastAsia="仿宋" w:cs="仿宋"/>
          <w:i w:val="0"/>
          <w:iCs w:val="0"/>
          <w:caps w:val="0"/>
          <w:color w:val="333333"/>
          <w:spacing w:val="0"/>
          <w:sz w:val="32"/>
          <w:szCs w:val="32"/>
        </w:rPr>
        <w:t>万元，其中：人员经费支出</w:t>
      </w:r>
      <w:r>
        <w:rPr>
          <w:rFonts w:hint="eastAsia" w:ascii="仿宋" w:hAnsi="仿宋" w:eastAsia="仿宋" w:cs="仿宋"/>
          <w:i w:val="0"/>
          <w:iCs w:val="0"/>
          <w:caps w:val="0"/>
          <w:color w:val="333333"/>
          <w:spacing w:val="0"/>
          <w:sz w:val="32"/>
          <w:szCs w:val="32"/>
          <w:lang w:val="en-US" w:eastAsia="zh-CN"/>
        </w:rPr>
        <w:t>479.12</w:t>
      </w:r>
      <w:r>
        <w:rPr>
          <w:rFonts w:hint="eastAsia" w:ascii="仿宋" w:hAnsi="仿宋" w:eastAsia="仿宋" w:cs="仿宋"/>
          <w:i w:val="0"/>
          <w:iCs w:val="0"/>
          <w:caps w:val="0"/>
          <w:color w:val="333333"/>
          <w:spacing w:val="0"/>
          <w:sz w:val="32"/>
          <w:szCs w:val="32"/>
        </w:rPr>
        <w:t>万元、商品和服务支出</w:t>
      </w:r>
      <w:r>
        <w:rPr>
          <w:rFonts w:hint="eastAsia" w:ascii="仿宋" w:hAnsi="仿宋" w:eastAsia="仿宋" w:cs="仿宋"/>
          <w:i w:val="0"/>
          <w:iCs w:val="0"/>
          <w:caps w:val="0"/>
          <w:color w:val="333333"/>
          <w:spacing w:val="0"/>
          <w:sz w:val="32"/>
          <w:szCs w:val="32"/>
          <w:lang w:val="en-US" w:eastAsia="zh-CN"/>
        </w:rPr>
        <w:t>6.95</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工会经费</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eastAsia="zh-CN"/>
        </w:rPr>
        <w:t>福利费</w:t>
      </w:r>
      <w:r>
        <w:rPr>
          <w:rFonts w:hint="eastAsia" w:ascii="仿宋" w:hAnsi="仿宋" w:eastAsia="仿宋" w:cs="仿宋"/>
          <w:i w:val="0"/>
          <w:iCs w:val="0"/>
          <w:caps w:val="0"/>
          <w:color w:val="333333"/>
          <w:spacing w:val="0"/>
          <w:sz w:val="32"/>
          <w:szCs w:val="32"/>
        </w:rPr>
        <w:t>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eastAsia" w:ascii="黑体" w:hAnsi="宋体" w:eastAsia="黑体" w:cs="宋体"/>
          <w:color w:val="000000"/>
          <w:kern w:val="0"/>
          <w:sz w:val="32"/>
          <w:szCs w:val="32"/>
          <w:shd w:val="clear" w:color="auto" w:fill="FFFFFF"/>
        </w:rPr>
      </w:pPr>
      <w:r>
        <w:rPr>
          <w:rFonts w:hint="eastAsia" w:ascii="仿宋" w:hAnsi="仿宋" w:eastAsia="仿宋" w:cs="仿宋"/>
          <w:i w:val="0"/>
          <w:iCs w:val="0"/>
          <w:caps w:val="0"/>
          <w:color w:val="333333"/>
          <w:spacing w:val="0"/>
          <w:sz w:val="32"/>
          <w:szCs w:val="32"/>
        </w:rPr>
        <w:t>专项支出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本年下拨专项资金</w:t>
      </w:r>
      <w:r>
        <w:rPr>
          <w:rFonts w:hint="eastAsia" w:ascii="仿宋" w:hAnsi="仿宋" w:eastAsia="仿宋" w:cs="仿宋"/>
          <w:i w:val="0"/>
          <w:iCs w:val="0"/>
          <w:caps w:val="0"/>
          <w:color w:val="333333"/>
          <w:spacing w:val="0"/>
          <w:sz w:val="32"/>
          <w:szCs w:val="32"/>
          <w:lang w:val="en-US" w:eastAsia="zh-CN"/>
        </w:rPr>
        <w:t>27.82</w:t>
      </w:r>
      <w:r>
        <w:rPr>
          <w:rFonts w:hint="eastAsia" w:ascii="仿宋" w:hAnsi="仿宋" w:eastAsia="仿宋" w:cs="仿宋"/>
          <w:i w:val="0"/>
          <w:iCs w:val="0"/>
          <w:caps w:val="0"/>
          <w:color w:val="333333"/>
          <w:spacing w:val="0"/>
          <w:sz w:val="32"/>
          <w:szCs w:val="32"/>
        </w:rPr>
        <w:t>万元，专项资金实行“专人管理、专线使用、专账核算”，按照《专项资金使用办法》、《专项资金管理制度》、《财务管理制度》等制度，该资金用于</w:t>
      </w:r>
      <w:r>
        <w:rPr>
          <w:rFonts w:hint="eastAsia" w:ascii="仿宋" w:hAnsi="仿宋" w:eastAsia="仿宋" w:cs="仿宋"/>
          <w:i w:val="0"/>
          <w:iCs w:val="0"/>
          <w:caps w:val="0"/>
          <w:color w:val="333333"/>
          <w:spacing w:val="0"/>
          <w:sz w:val="32"/>
          <w:szCs w:val="32"/>
          <w:lang w:eastAsia="zh-CN"/>
        </w:rPr>
        <w:t>学校正常运行</w:t>
      </w:r>
      <w:r>
        <w:rPr>
          <w:rFonts w:hint="eastAsia" w:ascii="仿宋" w:hAnsi="仿宋" w:eastAsia="仿宋" w:cs="仿宋"/>
          <w:i w:val="0"/>
          <w:iCs w:val="0"/>
          <w:caps w:val="0"/>
          <w:color w:val="333333"/>
          <w:spacing w:val="0"/>
          <w:sz w:val="32"/>
          <w:szCs w:val="32"/>
        </w:rPr>
        <w:t>。共投入资金</w:t>
      </w:r>
      <w:r>
        <w:rPr>
          <w:rFonts w:hint="eastAsia" w:ascii="仿宋" w:hAnsi="仿宋" w:eastAsia="仿宋" w:cs="仿宋"/>
          <w:i w:val="0"/>
          <w:iCs w:val="0"/>
          <w:caps w:val="0"/>
          <w:color w:val="333333"/>
          <w:spacing w:val="0"/>
          <w:sz w:val="32"/>
          <w:szCs w:val="32"/>
          <w:lang w:val="en-US" w:eastAsia="zh-CN"/>
        </w:rPr>
        <w:t>27.82</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21"/>
          <w:szCs w:val="21"/>
          <w:highlight w:val="none"/>
          <w:lang w:val="en-US" w:eastAsia="zh-CN"/>
        </w:rPr>
      </w:pPr>
      <w:r>
        <w:rPr>
          <w:rFonts w:hint="eastAsia" w:ascii="仿宋" w:hAnsi="仿宋" w:eastAsia="仿宋" w:cs="仿宋"/>
          <w:i w:val="0"/>
          <w:iCs w:val="0"/>
          <w:caps w:val="0"/>
          <w:color w:val="333333"/>
          <w:spacing w:val="0"/>
          <w:sz w:val="32"/>
          <w:szCs w:val="32"/>
        </w:rPr>
        <w:t>（一）</w:t>
      </w:r>
      <w:r>
        <w:rPr>
          <w:rFonts w:hint="eastAsia" w:ascii="仿宋" w:hAnsi="仿宋" w:eastAsia="仿宋" w:cs="仿宋"/>
          <w:i w:val="0"/>
          <w:iCs w:val="0"/>
          <w:caps w:val="0"/>
          <w:color w:val="333333"/>
          <w:spacing w:val="0"/>
          <w:sz w:val="32"/>
          <w:szCs w:val="32"/>
          <w:highlight w:val="none"/>
          <w:lang w:val="en-US" w:eastAsia="zh-CN"/>
        </w:rPr>
        <w:t>部门预算管理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w:t>
      </w:r>
      <w:r>
        <w:rPr>
          <w:rFonts w:hint="eastAsia" w:ascii="仿宋" w:hAnsi="仿宋" w:eastAsia="仿宋" w:cs="仿宋"/>
          <w:i w:val="0"/>
          <w:iCs w:val="0"/>
          <w:caps w:val="0"/>
          <w:color w:val="333333"/>
          <w:spacing w:val="0"/>
          <w:sz w:val="32"/>
          <w:szCs w:val="32"/>
          <w:lang w:eastAsia="zh-CN"/>
        </w:rPr>
        <w:t>四川省乐山市五通桥区西坝镇西坝初级中学</w:t>
      </w:r>
      <w:r>
        <w:rPr>
          <w:rFonts w:hint="eastAsia" w:ascii="仿宋" w:hAnsi="仿宋" w:eastAsia="仿宋" w:cs="仿宋"/>
          <w:i w:val="0"/>
          <w:iCs w:val="0"/>
          <w:caps w:val="0"/>
          <w:color w:val="333333"/>
          <w:spacing w:val="0"/>
          <w:sz w:val="32"/>
          <w:szCs w:val="32"/>
        </w:rPr>
        <w:t>整体支出按照财政局下达的预算批复，对于基本支出中的工资福利支出、对个人和家庭补助支出按照实际在职人员及进度均衡支付；对于商品及服务支出（日常公用经费）按照年初预算执行，实现内部报告审批制度，实时监控支出情况；对于项目支出的经费使用情况进行监督检查；严格遵循厉行节约的精神，按规定开支“三公”经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工作经费安排严格按照年初预算来执行，有效防止了超预算；认真学习财经法规，严格执行财经纪律，防止了违法违纪行为的发生。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32"/>
          <w:szCs w:val="32"/>
          <w:highlight w:val="none"/>
          <w:lang w:val="en-US" w:eastAsia="zh-CN"/>
        </w:rPr>
      </w:pPr>
      <w:r>
        <w:rPr>
          <w:rFonts w:hint="eastAsia" w:ascii="仿宋" w:hAnsi="仿宋" w:eastAsia="仿宋" w:cs="仿宋"/>
          <w:i w:val="0"/>
          <w:iCs w:val="0"/>
          <w:caps w:val="0"/>
          <w:color w:val="333333"/>
          <w:spacing w:val="0"/>
          <w:sz w:val="32"/>
          <w:szCs w:val="32"/>
        </w:rPr>
        <w:t>（二）</w:t>
      </w:r>
      <w:r>
        <w:rPr>
          <w:rFonts w:hint="eastAsia" w:ascii="仿宋" w:hAnsi="仿宋" w:eastAsia="仿宋" w:cs="仿宋"/>
          <w:i w:val="0"/>
          <w:iCs w:val="0"/>
          <w:caps w:val="0"/>
          <w:color w:val="333333"/>
          <w:spacing w:val="0"/>
          <w:sz w:val="32"/>
          <w:szCs w:val="32"/>
          <w:highlight w:val="none"/>
          <w:lang w:val="en-US" w:eastAsia="zh-CN"/>
        </w:rPr>
        <w:t>应用结果情况</w:t>
      </w:r>
    </w:p>
    <w:p>
      <w:r>
        <w:rPr>
          <w:rFonts w:hint="eastAsia" w:ascii="仿宋" w:hAnsi="仿宋" w:eastAsia="仿宋" w:cs="仿宋"/>
          <w:i w:val="0"/>
          <w:iCs w:val="0"/>
          <w:caps w:val="0"/>
          <w:color w:val="333333"/>
          <w:spacing w:val="0"/>
          <w:sz w:val="32"/>
          <w:szCs w:val="32"/>
        </w:rPr>
        <w:t>推进了专项工作落实</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财政监督检查、专项资金检查、违规发放津补贴的自查等多项管理工作，确保了专项资金在使用和管理上单独核算、专款专用</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保障了</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有效运转</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严格按照厉行节约的要求，精打细算，规范</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运转管理工作，进一步公务用车、公务接待等方面加强集中管理，提高服务质量，降低运行成本，合理配置，提高保障能力</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具备正确的办学理念并内化为行动习惯，规划科学的办学目标，特有的学校文化氛围，推陈出新的能力，科学管理理念与方法，学校队伍建设等的办学理念。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 w:hAnsi="仿宋" w:eastAsia="仿宋" w:cs="仿宋"/>
          <w:color w:val="000000"/>
          <w:kern w:val="0"/>
          <w:sz w:val="32"/>
          <w:szCs w:val="32"/>
          <w:shd w:val="clear" w:color="auto" w:fill="FFFFFF"/>
          <w:lang w:val="zh-CN"/>
        </w:rPr>
        <w:t>评价结论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1"/>
        <w:jc w:val="both"/>
        <w:rPr>
          <w:rFonts w:hint="eastAsia" w:ascii="仿宋" w:hAnsi="仿宋" w:eastAsia="仿宋" w:cs="仿宋"/>
          <w:i w:val="0"/>
          <w:iCs w:val="0"/>
          <w:caps w:val="0"/>
          <w:color w:val="333333"/>
          <w:spacing w:val="0"/>
          <w:sz w:val="32"/>
          <w:szCs w:val="32"/>
          <w:lang w:val="zh-CN"/>
        </w:rPr>
      </w:pPr>
      <w:r>
        <w:rPr>
          <w:rFonts w:hint="eastAsia" w:ascii="仿宋" w:hAnsi="仿宋" w:eastAsia="仿宋" w:cs="仿宋"/>
          <w:i w:val="0"/>
          <w:iCs w:val="0"/>
          <w:caps w:val="0"/>
          <w:color w:val="333333"/>
          <w:spacing w:val="0"/>
          <w:sz w:val="32"/>
          <w:szCs w:val="32"/>
        </w:rPr>
        <w:t>按照财政部门整体支出绩效评价指标细则，我</w:t>
      </w:r>
      <w:r>
        <w:rPr>
          <w:rFonts w:hint="eastAsia" w:ascii="仿宋" w:hAnsi="仿宋" w:eastAsia="仿宋" w:cs="仿宋"/>
          <w:i w:val="0"/>
          <w:iCs w:val="0"/>
          <w:caps w:val="0"/>
          <w:color w:val="333333"/>
          <w:spacing w:val="0"/>
          <w:sz w:val="32"/>
          <w:szCs w:val="32"/>
          <w:lang w:eastAsia="zh-CN"/>
        </w:rPr>
        <w:t>校</w:t>
      </w:r>
      <w:r>
        <w:rPr>
          <w:rFonts w:hint="eastAsia" w:ascii="仿宋" w:hAnsi="仿宋" w:eastAsia="仿宋" w:cs="仿宋"/>
          <w:i w:val="0"/>
          <w:iCs w:val="0"/>
          <w:caps w:val="0"/>
          <w:color w:val="333333"/>
          <w:spacing w:val="0"/>
          <w:sz w:val="32"/>
          <w:szCs w:val="32"/>
        </w:rPr>
        <w:t>自评得分</w:t>
      </w:r>
      <w:r>
        <w:rPr>
          <w:rFonts w:hint="eastAsia" w:ascii="仿宋" w:hAnsi="仿宋" w:eastAsia="仿宋" w:cs="仿宋"/>
          <w:i w:val="0"/>
          <w:iCs w:val="0"/>
          <w:caps w:val="0"/>
          <w:color w:val="333333"/>
          <w:spacing w:val="0"/>
          <w:sz w:val="32"/>
          <w:szCs w:val="32"/>
          <w:highlight w:val="none"/>
          <w:lang w:val="en-US" w:eastAsia="zh-CN"/>
        </w:rPr>
        <w:t>99</w:t>
      </w:r>
      <w:r>
        <w:rPr>
          <w:rFonts w:hint="eastAsia" w:ascii="仿宋" w:hAnsi="仿宋" w:eastAsia="仿宋" w:cs="仿宋"/>
          <w:i w:val="0"/>
          <w:iCs w:val="0"/>
          <w:caps w:val="0"/>
          <w:color w:val="333333"/>
          <w:spacing w:val="0"/>
          <w:sz w:val="32"/>
          <w:szCs w:val="32"/>
        </w:rPr>
        <w:t>分，总体评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i w:val="0"/>
          <w:iCs w:val="0"/>
          <w:caps w:val="0"/>
          <w:color w:val="333333"/>
          <w:spacing w:val="0"/>
          <w:sz w:val="32"/>
          <w:szCs w:val="32"/>
        </w:rPr>
        <w:t>。</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en-US" w:eastAsia="zh-CN"/>
        </w:rPr>
        <w:t>(二)</w:t>
      </w:r>
      <w:r>
        <w:rPr>
          <w:rFonts w:hint="eastAsia" w:ascii="仿宋" w:hAnsi="仿宋" w:eastAsia="仿宋" w:cs="仿宋"/>
          <w:color w:val="000000"/>
          <w:kern w:val="0"/>
          <w:sz w:val="32"/>
          <w:szCs w:val="32"/>
          <w:shd w:val="clear" w:color="auto" w:fill="FFFFFF"/>
          <w:lang w:val="zh-CN"/>
        </w:rPr>
        <w:t>存在问题</w:t>
      </w:r>
    </w:p>
    <w:p>
      <w:pPr>
        <w:widowControl/>
        <w:numPr>
          <w:ilvl w:val="0"/>
          <w:numId w:val="0"/>
        </w:numPr>
        <w:adjustRightInd w:val="0"/>
        <w:snapToGrid w:val="0"/>
        <w:spacing w:line="580" w:lineRule="exact"/>
        <w:ind w:leftChars="1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财务管理制度的科学性应进一步加强。</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w:t>
      </w:r>
      <w:r>
        <w:rPr>
          <w:rFonts w:hint="eastAsia" w:ascii="仿宋" w:hAnsi="仿宋" w:eastAsia="仿宋" w:cs="仿宋"/>
          <w:color w:val="000000"/>
          <w:kern w:val="0"/>
          <w:sz w:val="32"/>
          <w:szCs w:val="32"/>
          <w:shd w:val="clear" w:color="auto" w:fill="FFFFFF"/>
          <w:lang w:val="zh-CN"/>
        </w:rPr>
        <w:t>改进建议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加强财务人员的业务培训和能力提高，借鉴现代财务管理制度，加强学校内部控制工作，依法、规范、科学健全学校财务制度。</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四川省乐山市五通桥区西坝镇西坝初级中学</w:t>
      </w:r>
      <w:r>
        <w:rPr>
          <w:rFonts w:hint="eastAsia" w:ascii="方正小标宋简体" w:hAnsi="宋体" w:eastAsia="方正小标宋简体"/>
          <w:color w:val="000000"/>
          <w:kern w:val="0"/>
          <w:sz w:val="44"/>
          <w:szCs w:val="44"/>
          <w:lang w:val="en-US" w:eastAsia="zh-CN"/>
        </w:rPr>
        <w:t>生均公用经费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项目基本情况</w:t>
      </w:r>
    </w:p>
    <w:p>
      <w:pPr>
        <w:adjustRightInd w:val="0"/>
        <w:snapToGrid w:val="0"/>
        <w:spacing w:line="600" w:lineRule="exact"/>
        <w:ind w:firstLine="720"/>
        <w:rPr>
          <w:rFonts w:hint="eastAsia" w:ascii="仿宋" w:hAnsi="仿宋" w:eastAsia="仿宋" w:cs="仿宋"/>
          <w:color w:val="000000"/>
          <w:kern w:val="0"/>
          <w:sz w:val="32"/>
          <w:szCs w:val="32"/>
          <w:shd w:val="clear" w:color="auto" w:fill="FFFFFF"/>
          <w:lang w:val="en-US"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color w:val="000000"/>
          <w:kern w:val="0"/>
          <w:sz w:val="32"/>
          <w:szCs w:val="32"/>
          <w:shd w:val="clear" w:color="auto" w:fill="FFFFFF"/>
          <w:lang w:val="en-US" w:eastAsia="zh-CN"/>
        </w:rPr>
        <w:t>项目职能：</w:t>
      </w:r>
    </w:p>
    <w:p>
      <w:pPr>
        <w:ind w:firstLineChars="200"/>
        <w:rPr>
          <w:rFonts w:hint="eastAsia" w:ascii="仿宋" w:hAnsi="仿宋" w:eastAsia="仿宋" w:cs="仿宋"/>
          <w:sz w:val="32"/>
          <w:szCs w:val="32"/>
          <w:lang w:val="zh-CN"/>
        </w:rPr>
      </w:pPr>
      <w:r>
        <w:rPr>
          <w:rFonts w:hint="eastAsia" w:ascii="仿宋" w:hAnsi="仿宋" w:eastAsia="仿宋" w:cs="仿宋"/>
          <w:sz w:val="32"/>
          <w:szCs w:val="32"/>
        </w:rPr>
        <w:t>坚持“依法治校，以人为本，培养基础性、发展性人才”的办学理念，狠抓外树形象，内提质量工程，积极推进素质教育，着力纯正校风学风，其教育教学质量居区中上水平。认真贯彻执行党的路线、方针、政策和上级领导部门及学校党委、行政的各项指示、决定。</w:t>
      </w:r>
      <w:r>
        <w:rPr>
          <w:rFonts w:hint="eastAsia" w:ascii="仿宋" w:hAnsi="仿宋" w:eastAsia="仿宋" w:cs="仿宋"/>
          <w:sz w:val="32"/>
          <w:szCs w:val="32"/>
          <w:lang w:eastAsia="zh-CN"/>
        </w:rPr>
        <w:t>用于</w:t>
      </w:r>
      <w:r>
        <w:rPr>
          <w:rFonts w:hint="eastAsia" w:ascii="仿宋" w:hAnsi="仿宋" w:eastAsia="仿宋" w:cs="仿宋"/>
          <w:sz w:val="32"/>
          <w:szCs w:val="32"/>
          <w:lang w:val="zh-CN"/>
        </w:rPr>
        <w:t>义务教育阶段的中央省区级公用经费、义务教育学校随班就读学生公用经费。</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2．项目立项、资金申报的依据</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用于学校全</w:t>
      </w:r>
      <w:r>
        <w:rPr>
          <w:rFonts w:hint="eastAsia" w:ascii="仿宋" w:hAnsi="仿宋" w:eastAsia="仿宋" w:cs="仿宋"/>
          <w:sz w:val="32"/>
          <w:szCs w:val="32"/>
          <w:highlight w:val="none"/>
          <w:lang w:val="en-US" w:eastAsia="zh-CN"/>
        </w:rPr>
        <w:t>年教育教学正常运转支</w:t>
      </w:r>
      <w:r>
        <w:rPr>
          <w:rFonts w:hint="eastAsia" w:ascii="仿宋" w:hAnsi="仿宋" w:eastAsia="仿宋" w:cs="仿宋"/>
          <w:sz w:val="32"/>
          <w:szCs w:val="32"/>
          <w:lang w:val="en-US" w:eastAsia="zh-CN"/>
        </w:rPr>
        <w:t>出。</w:t>
      </w:r>
    </w:p>
    <w:p>
      <w:pPr>
        <w:numPr>
          <w:ilvl w:val="0"/>
          <w:numId w:val="6"/>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资金管理办法制定情况，资金支持具体项目的条件、范围与支持方式概况。</w:t>
      </w:r>
    </w:p>
    <w:p>
      <w:pPr>
        <w:numPr>
          <w:ilvl w:val="0"/>
          <w:numId w:val="0"/>
        </w:numPr>
        <w:spacing w:line="560" w:lineRule="exact"/>
        <w:ind w:leftChars="200"/>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 xml:space="preserve"> 根据学校实际情况，在保运转基础上纳入年初预算</w:t>
      </w:r>
      <w:r>
        <w:rPr>
          <w:rFonts w:hint="eastAsia" w:ascii="仿宋_GB2312" w:eastAsia="仿宋_GB2312"/>
          <w:sz w:val="32"/>
          <w:szCs w:val="32"/>
          <w:lang w:val="en-US" w:eastAsia="zh-CN"/>
        </w:rPr>
        <w:t>。</w:t>
      </w:r>
    </w:p>
    <w:p>
      <w:pPr>
        <w:numPr>
          <w:ilvl w:val="0"/>
          <w:numId w:val="6"/>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资金分配的原则及考虑因素</w:t>
      </w:r>
    </w:p>
    <w:p>
      <w:pPr>
        <w:numPr>
          <w:ilvl w:val="0"/>
          <w:numId w:val="0"/>
        </w:numPr>
        <w:adjustRightInd w:val="0"/>
        <w:snapToGrid w:val="0"/>
        <w:spacing w:line="600" w:lineRule="exact"/>
        <w:ind w:left="7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该项目资金由区级配套财政资金及上级财政</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w:t>
      </w:r>
    </w:p>
    <w:p>
      <w:pPr>
        <w:numPr>
          <w:ilvl w:val="0"/>
          <w:numId w:val="0"/>
        </w:numPr>
        <w:adjustRightInd w:val="0"/>
        <w:snapToGrid w:val="0"/>
        <w:spacing w:line="600" w:lineRule="exact"/>
        <w:ind w:left="720" w:leftChars="0"/>
        <w:rPr>
          <w:rFonts w:hint="eastAsia" w:ascii="仿宋" w:hAnsi="仿宋" w:eastAsia="仿宋" w:cs="仿宋"/>
          <w:sz w:val="32"/>
          <w:szCs w:val="32"/>
          <w:lang w:val="zh-CN" w:eastAsia="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项目绩效目标</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sz w:val="32"/>
          <w:szCs w:val="32"/>
          <w:lang w:val="zh-CN"/>
        </w:rPr>
        <w:t>项目主要内容</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2020年预计投入16.09万，涉及1个项目，用于学校正常教育教学任务。</w:t>
      </w:r>
    </w:p>
    <w:p>
      <w:pPr>
        <w:numPr>
          <w:ilvl w:val="0"/>
          <w:numId w:val="7"/>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项目应实现的具体绩效目标，包括目标的量化、细化情况以及项目实施进度计划等。</w:t>
      </w:r>
    </w:p>
    <w:p>
      <w:pPr>
        <w:numPr>
          <w:ilvl w:val="0"/>
          <w:numId w:val="0"/>
        </w:numPr>
        <w:adjustRightInd w:val="0"/>
        <w:snapToGrid w:val="0"/>
        <w:spacing w:line="600" w:lineRule="exact"/>
        <w:rPr>
          <w:rFonts w:hint="eastAsia" w:ascii="仿宋" w:hAnsi="仿宋" w:eastAsia="仿宋" w:cs="仿宋"/>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
          <w:sz w:val="32"/>
          <w:szCs w:val="32"/>
          <w:lang w:val="en-US" w:eastAsia="zh-CN"/>
        </w:rPr>
        <w:t xml:space="preserve">  2020年五通桥区西坝镇西坝初级中学按照财政局下达的预算批复，对于商品及服务支出（日常公用经费）按照年初预算执行，实现内部报告审批制度，实时监控支出情况；对于项目支出的经费使用情况进行监督检查。</w:t>
      </w:r>
    </w:p>
    <w:p>
      <w:pPr>
        <w:numPr>
          <w:ilvl w:val="0"/>
          <w:numId w:val="7"/>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经绩效自评表分析，申报内容与实际相符，申报目标合理可行。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项目自评步骤及方法</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
          <w:sz w:val="32"/>
          <w:szCs w:val="32"/>
          <w:lang w:val="en-US" w:eastAsia="zh-CN"/>
        </w:rPr>
        <w:t xml:space="preserve"> 项目绩效自评采用资金执行进度和项目执行进度相结合办法组织实施，通过项目主管部门相关监督和考核科室对项目各项具体绩效目标完成情况进行分析研判得出项目执行总体执行情况。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年初预算县级配套财政拨款资金，经财政“一上”、“二上”审核通过后进行项目资金划拨，根据单位实际支出情况，调整预算，保障学校生均公用经费正常运行。</w:t>
      </w:r>
    </w:p>
    <w:p>
      <w:pPr>
        <w:adjustRightInd w:val="0"/>
        <w:snapToGrid w:val="0"/>
        <w:spacing w:line="600" w:lineRule="exact"/>
        <w:ind w:firstLine="720"/>
        <w:rPr>
          <w:rFonts w:hint="eastAsia" w:ascii="仿宋" w:hAnsi="仿宋" w:eastAsia="仿宋" w:cs="仿宋"/>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资金计划、到位及使用情况</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_GB2312" w:hAnsi="宋体" w:eastAsia="仿宋_GB2312" w:cs="Times New Roman"/>
          <w:sz w:val="32"/>
          <w:szCs w:val="32"/>
          <w:lang w:val="zh-CN" w:eastAsia="zh-CN"/>
        </w:rPr>
        <w:t>1．</w:t>
      </w:r>
      <w:r>
        <w:rPr>
          <w:rFonts w:hint="eastAsia" w:ascii="仿宋" w:hAnsi="仿宋" w:eastAsia="仿宋" w:cs="仿宋"/>
          <w:sz w:val="32"/>
          <w:szCs w:val="32"/>
          <w:lang w:val="zh-CN" w:eastAsia="zh-CN"/>
        </w:rPr>
        <w:t>资金计划：该项目资金由区级配套财政资金划拨及上级财政</w:t>
      </w:r>
      <w:r>
        <w:rPr>
          <w:rFonts w:hint="eastAsia" w:ascii="仿宋" w:hAnsi="仿宋" w:eastAsia="仿宋" w:cs="仿宋"/>
          <w:sz w:val="32"/>
          <w:szCs w:val="32"/>
          <w:highlight w:val="none"/>
          <w:lang w:val="zh-CN" w:eastAsia="zh-CN"/>
        </w:rPr>
        <w:t>资金</w:t>
      </w:r>
      <w:r>
        <w:rPr>
          <w:rFonts w:hint="eastAsia" w:ascii="仿宋" w:hAnsi="仿宋" w:eastAsia="仿宋" w:cs="仿宋"/>
          <w:sz w:val="32"/>
          <w:szCs w:val="32"/>
          <w:highlight w:val="none"/>
          <w:lang w:val="en-US" w:eastAsia="zh-CN"/>
        </w:rPr>
        <w:t>纳入年初预算</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2．资金到位：截止评价时点该项目财政拨付项目资金</w:t>
      </w:r>
      <w:r>
        <w:rPr>
          <w:rFonts w:hint="eastAsia" w:ascii="仿宋" w:hAnsi="仿宋" w:eastAsia="仿宋" w:cs="仿宋"/>
          <w:sz w:val="32"/>
          <w:szCs w:val="32"/>
          <w:lang w:val="en-US" w:eastAsia="zh-CN"/>
        </w:rPr>
        <w:t>16.09</w:t>
      </w:r>
      <w:r>
        <w:rPr>
          <w:rFonts w:hint="eastAsia" w:ascii="仿宋" w:hAnsi="仿宋" w:eastAsia="仿宋" w:cs="仿宋"/>
          <w:sz w:val="32"/>
          <w:szCs w:val="32"/>
          <w:lang w:val="zh-CN" w:eastAsia="zh-CN"/>
        </w:rPr>
        <w:t>万元</w:t>
      </w:r>
      <w:r>
        <w:rPr>
          <w:rFonts w:hint="eastAsia" w:ascii="仿宋" w:hAnsi="仿宋" w:eastAsia="仿宋" w:cs="仿宋"/>
          <w:sz w:val="32"/>
          <w:szCs w:val="32"/>
          <w:lang w:val="en-US" w:eastAsia="zh-CN"/>
        </w:rPr>
        <w:t>,</w:t>
      </w:r>
      <w:r>
        <w:rPr>
          <w:rFonts w:hint="eastAsia" w:ascii="仿宋" w:hAnsi="仿宋" w:eastAsia="仿宋" w:cs="仿宋"/>
          <w:sz w:val="32"/>
          <w:szCs w:val="32"/>
          <w:lang w:val="zh-CN" w:eastAsia="zh-CN"/>
        </w:rPr>
        <w:t>预算资金到位</w:t>
      </w:r>
      <w:r>
        <w:rPr>
          <w:rFonts w:hint="eastAsia" w:ascii="仿宋" w:hAnsi="仿宋" w:eastAsia="仿宋" w:cs="仿宋"/>
          <w:sz w:val="32"/>
          <w:szCs w:val="32"/>
          <w:lang w:val="en-US" w:eastAsia="zh-CN"/>
        </w:rPr>
        <w:t>16.09</w:t>
      </w:r>
      <w:r>
        <w:rPr>
          <w:rFonts w:hint="eastAsia" w:ascii="仿宋" w:hAnsi="仿宋" w:eastAsia="仿宋" w:cs="仿宋"/>
          <w:sz w:val="32"/>
          <w:szCs w:val="32"/>
          <w:lang w:val="zh-CN" w:eastAsia="zh-CN"/>
        </w:rPr>
        <w:t>万元，到位率100%。</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lang w:val="zh-CN" w:eastAsia="zh-CN"/>
        </w:rPr>
        <w:t>3．资金使用：该项资金</w:t>
      </w:r>
      <w:r>
        <w:rPr>
          <w:rFonts w:hint="eastAsia" w:ascii="仿宋" w:hAnsi="仿宋" w:eastAsia="仿宋" w:cs="仿宋"/>
          <w:sz w:val="32"/>
          <w:szCs w:val="32"/>
          <w:highlight w:val="none"/>
          <w:lang w:val="zh-CN" w:eastAsia="zh-CN"/>
        </w:rPr>
        <w:t>用于</w:t>
      </w:r>
      <w:r>
        <w:rPr>
          <w:rFonts w:hint="eastAsia" w:ascii="仿宋" w:hAnsi="仿宋" w:eastAsia="仿宋" w:cs="仿宋"/>
          <w:sz w:val="32"/>
          <w:szCs w:val="32"/>
          <w:highlight w:val="none"/>
          <w:lang w:val="en-US" w:eastAsia="zh-CN"/>
        </w:rPr>
        <w:t>保障学校正常教育教学秩序开展，严格按财经制度及主管部门相关要求进行每笔支出</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hint="eastAsia" w:ascii="仿宋" w:hAnsi="仿宋" w:eastAsia="仿宋" w:cs="仿宋"/>
          <w:b/>
          <w:sz w:val="32"/>
          <w:szCs w:val="32"/>
          <w:highlight w:val="none"/>
          <w:lang w:val="zh-CN"/>
        </w:rPr>
      </w:pPr>
      <w:r>
        <w:rPr>
          <w:rFonts w:hint="eastAsia" w:ascii="楷体_GB2312" w:hAnsi="宋体" w:eastAsia="楷体_GB2312"/>
          <w:b/>
          <w:sz w:val="32"/>
          <w:szCs w:val="32"/>
          <w:highlight w:val="none"/>
          <w:lang w:val="zh-CN"/>
        </w:rPr>
        <w:t>（三）</w:t>
      </w:r>
      <w:r>
        <w:rPr>
          <w:rFonts w:hint="eastAsia" w:ascii="仿宋" w:hAnsi="仿宋" w:eastAsia="仿宋" w:cs="仿宋"/>
          <w:b/>
          <w:sz w:val="32"/>
          <w:szCs w:val="32"/>
          <w:highlight w:val="none"/>
          <w:lang w:val="zh-CN"/>
        </w:rPr>
        <w:t>项目财务管理情况</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该项目财务管理制度健全，严格执行财务管理制度，账务处理及时，会计核算规范等。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项目组织架构及实施流程</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五通桥区西坝镇西坝初级中学成立项目建设工作的领导小组，项目建设工作由</w:t>
      </w:r>
      <w:r>
        <w:rPr>
          <w:rFonts w:hint="eastAsia" w:ascii="仿宋" w:hAnsi="仿宋" w:eastAsia="仿宋" w:cs="仿宋"/>
          <w:sz w:val="32"/>
          <w:szCs w:val="32"/>
          <w:highlight w:val="none"/>
          <w:lang w:val="zh-CN"/>
        </w:rPr>
        <w:t>党委会集体</w:t>
      </w:r>
      <w:r>
        <w:rPr>
          <w:rFonts w:hint="eastAsia" w:ascii="仿宋" w:hAnsi="仿宋" w:eastAsia="仿宋" w:cs="仿宋"/>
          <w:sz w:val="32"/>
          <w:szCs w:val="32"/>
          <w:lang w:val="zh-CN"/>
        </w:rPr>
        <w:t>研究决定，由分管领导具体负责实施。</w:t>
      </w:r>
    </w:p>
    <w:p>
      <w:pPr>
        <w:numPr>
          <w:ilvl w:val="0"/>
          <w:numId w:val="8"/>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项目管理情况</w:t>
      </w:r>
    </w:p>
    <w:p>
      <w:pPr>
        <w:numPr>
          <w:ilvl w:val="0"/>
          <w:numId w:val="0"/>
        </w:numPr>
        <w:adjustRightInd w:val="0"/>
        <w:snapToGrid w:val="0"/>
        <w:spacing w:line="600" w:lineRule="exact"/>
        <w:ind w:firstLine="640" w:firstLineChars="20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加强对项目的监督管理，采取事前、事中、事后相结合，日常监督和专项监督相结合的方式，对项目财务行为实施全过程监督管理。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项目完成情况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全年执行1</w:t>
      </w:r>
      <w:r>
        <w:rPr>
          <w:rFonts w:hint="eastAsia" w:ascii="仿宋" w:hAnsi="仿宋" w:eastAsia="仿宋" w:cs="仿宋"/>
          <w:sz w:val="32"/>
          <w:szCs w:val="32"/>
          <w:lang w:val="en-US" w:eastAsia="zh-CN"/>
        </w:rPr>
        <w:t>6</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09</w:t>
      </w:r>
      <w:r>
        <w:rPr>
          <w:rFonts w:hint="eastAsia" w:ascii="仿宋" w:hAnsi="仿宋" w:eastAsia="仿宋" w:cs="仿宋"/>
          <w:sz w:val="32"/>
          <w:szCs w:val="32"/>
          <w:lang w:val="zh-CN"/>
        </w:rPr>
        <w:t>万，涉及1个项目，顺利完成教育教学任务，学校办学条件有所提升。</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项目效益情况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圆满完成教育教学任务，学校办学条件提高，家长和师生满意度显著提高。</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评价结论</w:t>
      </w:r>
    </w:p>
    <w:p>
      <w:pPr>
        <w:adjustRightInd w:val="0"/>
        <w:snapToGrid w:val="0"/>
        <w:spacing w:line="600" w:lineRule="exact"/>
        <w:ind w:firstLine="640" w:firstLineChars="200"/>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按照财政部门整体支出绩效评价指标细则，我校自评得分</w:t>
      </w:r>
      <w:r>
        <w:rPr>
          <w:rFonts w:hint="eastAsia" w:ascii="仿宋" w:hAnsi="仿宋" w:eastAsia="仿宋" w:cs="仿宋"/>
          <w:sz w:val="32"/>
          <w:szCs w:val="32"/>
          <w:lang w:val="en-US" w:eastAsia="zh-CN"/>
        </w:rPr>
        <w:t>100分，</w:t>
      </w:r>
      <w:r>
        <w:rPr>
          <w:rFonts w:hint="eastAsia" w:ascii="仿宋" w:hAnsi="仿宋" w:eastAsia="仿宋" w:cs="仿宋"/>
          <w:i w:val="0"/>
          <w:iCs w:val="0"/>
          <w:caps w:val="0"/>
          <w:color w:val="333333"/>
          <w:spacing w:val="0"/>
          <w:sz w:val="32"/>
          <w:szCs w:val="32"/>
        </w:rPr>
        <w:t>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sz w:val="32"/>
          <w:szCs w:val="32"/>
          <w:lang w:val="en-US" w:eastAsia="zh-CN"/>
        </w:rPr>
        <w:t>。</w:t>
      </w:r>
    </w:p>
    <w:p>
      <w:pPr>
        <w:adjustRightInd w:val="0"/>
        <w:snapToGrid w:val="0"/>
        <w:spacing w:line="600" w:lineRule="exact"/>
        <w:ind w:firstLine="643" w:firstLineChars="200"/>
        <w:rPr>
          <w:rFonts w:hint="eastAsia" w:ascii="仿宋" w:hAnsi="仿宋" w:eastAsia="仿宋" w:cs="仿宋"/>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存在的问题</w:t>
      </w:r>
    </w:p>
    <w:p>
      <w:pPr>
        <w:adjustRightInd w:val="0"/>
        <w:snapToGrid w:val="0"/>
        <w:spacing w:line="600" w:lineRule="exact"/>
        <w:ind w:firstLine="1920" w:firstLineChars="600"/>
        <w:rPr>
          <w:rFonts w:hint="eastAsia" w:ascii="仿宋" w:hAnsi="仿宋" w:eastAsia="仿宋" w:cs="仿宋"/>
          <w:sz w:val="32"/>
          <w:szCs w:val="32"/>
          <w:lang w:val="zh-CN"/>
        </w:rPr>
      </w:pPr>
      <w:r>
        <w:rPr>
          <w:rFonts w:hint="eastAsia" w:ascii="仿宋" w:hAnsi="仿宋" w:eastAsia="仿宋" w:cs="仿宋"/>
          <w:sz w:val="32"/>
          <w:szCs w:val="32"/>
          <w:lang w:val="zh-CN"/>
        </w:rPr>
        <w:t>无</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相关建议</w:t>
      </w:r>
    </w:p>
    <w:p>
      <w:pPr>
        <w:widowControl/>
        <w:ind w:firstLine="1920" w:firstLineChars="600"/>
        <w:jc w:val="left"/>
        <w:rPr>
          <w:rStyle w:val="14"/>
          <w:rFonts w:ascii="黑体" w:hAnsi="黑体" w:eastAsia="黑体"/>
          <w:b w:val="0"/>
        </w:rPr>
      </w:pPr>
      <w:r>
        <w:rPr>
          <w:rFonts w:hint="eastAsia" w:ascii="仿宋" w:hAnsi="仿宋" w:eastAsia="仿宋" w:cs="仿宋"/>
          <w:sz w:val="32"/>
          <w:szCs w:val="32"/>
          <w:lang w:val="zh-CN"/>
        </w:rPr>
        <w:t>无</w:t>
      </w:r>
    </w:p>
    <w:p>
      <w:pPr>
        <w:widowControl/>
        <w:jc w:val="left"/>
        <w:rPr>
          <w:rStyle w:val="14"/>
          <w:rFonts w:ascii="黑体" w:hAnsi="黑体" w:eastAsia="黑体"/>
          <w:b w:val="0"/>
        </w:rPr>
      </w:pPr>
    </w:p>
    <w:p>
      <w:pPr>
        <w:widowControl/>
        <w:jc w:val="left"/>
        <w:rPr>
          <w:rStyle w:val="14"/>
          <w:rFonts w:ascii="黑体" w:hAnsi="黑体" w:eastAsia="黑体"/>
          <w:b w:val="0"/>
        </w:rPr>
      </w:pPr>
    </w:p>
    <w:p>
      <w:pPr>
        <w:numPr>
          <w:ilvl w:val="0"/>
          <w:numId w:val="0"/>
        </w:numPr>
        <w:spacing w:line="600" w:lineRule="exact"/>
        <w:jc w:val="both"/>
        <w:outlineLvl w:val="0"/>
        <w:rPr>
          <w:rStyle w:val="14"/>
          <w:rFonts w:hint="eastAsia" w:ascii="黑体" w:hAnsi="黑体" w:eastAsia="黑体"/>
          <w:b w:val="0"/>
          <w:lang w:val="en-US" w:eastAsia="zh-CN"/>
        </w:rPr>
      </w:pPr>
      <w:bookmarkStart w:id="98" w:name="_Toc15396618"/>
    </w:p>
    <w:p>
      <w:pPr>
        <w:numPr>
          <w:ilvl w:val="0"/>
          <w:numId w:val="0"/>
        </w:numPr>
        <w:spacing w:line="600" w:lineRule="exact"/>
        <w:jc w:val="both"/>
        <w:outlineLvl w:val="0"/>
        <w:rPr>
          <w:rStyle w:val="14"/>
          <w:rFonts w:hint="eastAsia" w:ascii="黑体" w:hAnsi="黑体" w:eastAsia="黑体"/>
          <w:b w:val="0"/>
          <w:lang w:val="en-US" w:eastAsia="zh-CN"/>
        </w:rPr>
      </w:pPr>
    </w:p>
    <w:p>
      <w:pPr>
        <w:numPr>
          <w:ilvl w:val="0"/>
          <w:numId w:val="0"/>
        </w:numPr>
        <w:spacing w:line="600" w:lineRule="exact"/>
        <w:jc w:val="both"/>
        <w:outlineLvl w:val="0"/>
        <w:rPr>
          <w:rStyle w:val="14"/>
          <w:rFonts w:hint="eastAsia" w:ascii="黑体" w:hAnsi="黑体" w:eastAsia="黑体"/>
          <w:b w:val="0"/>
          <w:lang w:val="en-US" w:eastAsia="zh-CN"/>
        </w:rPr>
      </w:pPr>
    </w:p>
    <w:p>
      <w:pPr>
        <w:numPr>
          <w:ilvl w:val="0"/>
          <w:numId w:val="0"/>
        </w:numPr>
        <w:spacing w:line="600" w:lineRule="exact"/>
        <w:jc w:val="both"/>
        <w:outlineLvl w:val="0"/>
        <w:rPr>
          <w:rStyle w:val="14"/>
          <w:rFonts w:hint="eastAsia" w:ascii="黑体" w:hAnsi="黑体" w:eastAsia="黑体"/>
          <w:b w:val="0"/>
          <w:lang w:val="en-US" w:eastAsia="zh-CN"/>
        </w:rPr>
      </w:pPr>
    </w:p>
    <w:p>
      <w:pPr>
        <w:numPr>
          <w:ilvl w:val="0"/>
          <w:numId w:val="0"/>
        </w:numPr>
        <w:spacing w:line="600" w:lineRule="exact"/>
        <w:jc w:val="both"/>
        <w:outlineLvl w:val="0"/>
        <w:rPr>
          <w:rStyle w:val="14"/>
          <w:rFonts w:hint="eastAsia" w:ascii="黑体" w:hAnsi="黑体" w:eastAsia="黑体"/>
          <w:b w:val="0"/>
          <w:lang w:val="en-US" w:eastAsia="zh-CN"/>
        </w:rPr>
      </w:pPr>
    </w:p>
    <w:p>
      <w:pPr>
        <w:numPr>
          <w:ilvl w:val="0"/>
          <w:numId w:val="0"/>
        </w:numPr>
        <w:spacing w:line="600" w:lineRule="exact"/>
        <w:jc w:val="both"/>
        <w:outlineLvl w:val="0"/>
        <w:rPr>
          <w:rStyle w:val="14"/>
          <w:rFonts w:hint="eastAsia" w:ascii="黑体" w:hAnsi="黑体" w:eastAsia="黑体"/>
          <w:b w:val="0"/>
          <w:lang w:val="en-US" w:eastAsia="zh-CN"/>
        </w:rPr>
      </w:pPr>
    </w:p>
    <w:p>
      <w:pPr>
        <w:numPr>
          <w:ilvl w:val="0"/>
          <w:numId w:val="0"/>
        </w:numPr>
        <w:spacing w:line="600" w:lineRule="exact"/>
        <w:jc w:val="both"/>
        <w:outlineLvl w:val="0"/>
        <w:rPr>
          <w:rStyle w:val="14"/>
          <w:rFonts w:hint="eastAsia" w:ascii="黑体" w:hAnsi="黑体" w:eastAsia="黑体"/>
          <w:b w:val="0"/>
          <w:lang w:val="en-US" w:eastAsia="zh-CN"/>
        </w:rPr>
      </w:pPr>
    </w:p>
    <w:p>
      <w:pPr>
        <w:numPr>
          <w:ilvl w:val="0"/>
          <w:numId w:val="0"/>
        </w:numPr>
        <w:spacing w:line="600" w:lineRule="exact"/>
        <w:jc w:val="both"/>
        <w:outlineLvl w:val="0"/>
        <w:rPr>
          <w:rStyle w:val="14"/>
          <w:rFonts w:hint="eastAsia" w:ascii="黑体" w:hAnsi="黑体" w:eastAsia="黑体"/>
          <w:b w:val="0"/>
          <w:lang w:val="en-US" w:eastAsia="zh-CN"/>
        </w:rPr>
      </w:pPr>
    </w:p>
    <w:p>
      <w:pPr>
        <w:numPr>
          <w:ilvl w:val="0"/>
          <w:numId w:val="0"/>
        </w:numPr>
        <w:spacing w:line="600" w:lineRule="exact"/>
        <w:jc w:val="center"/>
        <w:outlineLvl w:val="0"/>
        <w:rPr>
          <w:rStyle w:val="14"/>
          <w:rFonts w:hint="eastAsia" w:ascii="黑体" w:hAnsi="黑体" w:eastAsia="黑体"/>
          <w:b w:val="0"/>
        </w:rPr>
      </w:pPr>
      <w:bookmarkStart w:id="99" w:name="_Toc4400"/>
      <w:r>
        <w:rPr>
          <w:rStyle w:val="14"/>
          <w:rFonts w:hint="eastAsia" w:ascii="黑体" w:hAnsi="黑体" w:eastAsia="黑体"/>
          <w:b w:val="0"/>
          <w:lang w:val="en-US" w:eastAsia="zh-CN"/>
        </w:rPr>
        <w:t xml:space="preserve">第五部分  </w:t>
      </w:r>
      <w:r>
        <w:rPr>
          <w:rStyle w:val="14"/>
          <w:rFonts w:hint="eastAsia" w:ascii="黑体" w:hAnsi="黑体" w:eastAsia="黑体"/>
          <w:b w:val="0"/>
        </w:rPr>
        <w:t>附表</w:t>
      </w:r>
      <w:bookmarkEnd w:id="95"/>
      <w:bookmarkEnd w:id="98"/>
      <w:bookmarkEnd w:id="99"/>
      <w:bookmarkStart w:id="100" w:name="_Toc15396619"/>
    </w:p>
    <w:bookmarkEnd w:id="100"/>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1" w:name="_Toc30727"/>
      <w:bookmarkStart w:id="102" w:name="_Toc29167"/>
      <w:r>
        <w:rPr>
          <w:rFonts w:hint="eastAsia" w:ascii="仿宋" w:hAnsi="仿宋" w:eastAsia="仿宋"/>
          <w:b w:val="0"/>
          <w:bCs/>
          <w:color w:val="000000"/>
        </w:rPr>
        <w:t>一、收</w:t>
      </w:r>
      <w:r>
        <w:rPr>
          <w:rStyle w:val="18"/>
          <w:rFonts w:hint="eastAsia" w:ascii="仿宋" w:hAnsi="仿宋" w:eastAsia="仿宋"/>
          <w:b w:val="0"/>
          <w:bCs/>
        </w:rPr>
        <w:t>入支出决算总表</w:t>
      </w:r>
      <w:bookmarkEnd w:id="101"/>
      <w:bookmarkEnd w:id="102"/>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3" w:name="_Toc17232"/>
      <w:bookmarkStart w:id="104" w:name="_Toc15396620"/>
      <w:bookmarkStart w:id="105" w:name="_Toc6493"/>
      <w:r>
        <w:rPr>
          <w:rFonts w:hint="eastAsia" w:ascii="仿宋" w:hAnsi="仿宋" w:eastAsia="仿宋"/>
          <w:b w:val="0"/>
          <w:bCs/>
          <w:color w:val="000000"/>
        </w:rPr>
        <w:t>二、收</w:t>
      </w:r>
      <w:r>
        <w:rPr>
          <w:rStyle w:val="18"/>
          <w:rFonts w:hint="eastAsia" w:ascii="仿宋" w:hAnsi="仿宋" w:eastAsia="仿宋"/>
          <w:b w:val="0"/>
          <w:bCs/>
        </w:rPr>
        <w:t>入决算表</w:t>
      </w:r>
      <w:bookmarkEnd w:id="103"/>
      <w:bookmarkEnd w:id="104"/>
      <w:bookmarkEnd w:id="105"/>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6" w:name="_Toc29760"/>
      <w:bookmarkStart w:id="107" w:name="_Toc15396621"/>
      <w:bookmarkStart w:id="108" w:name="_Toc23752"/>
      <w:r>
        <w:rPr>
          <w:rStyle w:val="18"/>
          <w:rFonts w:hint="eastAsia" w:ascii="仿宋" w:hAnsi="仿宋" w:eastAsia="仿宋"/>
          <w:b w:val="0"/>
          <w:bCs/>
        </w:rPr>
        <w:t>三、</w:t>
      </w:r>
      <w:r>
        <w:rPr>
          <w:rFonts w:hint="eastAsia" w:ascii="仿宋" w:hAnsi="仿宋" w:eastAsia="仿宋"/>
          <w:b w:val="0"/>
          <w:bCs/>
          <w:color w:val="000000"/>
        </w:rPr>
        <w:t>支</w:t>
      </w:r>
      <w:r>
        <w:rPr>
          <w:rStyle w:val="18"/>
          <w:rFonts w:hint="eastAsia" w:ascii="仿宋" w:hAnsi="仿宋" w:eastAsia="仿宋"/>
          <w:b w:val="0"/>
          <w:bCs/>
        </w:rPr>
        <w:t>出决算表</w:t>
      </w:r>
      <w:bookmarkEnd w:id="106"/>
      <w:bookmarkEnd w:id="107"/>
      <w:bookmarkEnd w:id="108"/>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9" w:name="_Toc15396622"/>
      <w:bookmarkStart w:id="110" w:name="_Toc3504"/>
      <w:bookmarkStart w:id="111" w:name="_Toc12904"/>
      <w:r>
        <w:rPr>
          <w:rStyle w:val="18"/>
          <w:rFonts w:hint="eastAsia" w:ascii="仿宋" w:hAnsi="仿宋" w:eastAsia="仿宋"/>
          <w:b w:val="0"/>
          <w:bCs/>
        </w:rPr>
        <w:t>四、</w:t>
      </w:r>
      <w:r>
        <w:rPr>
          <w:rFonts w:hint="eastAsia" w:ascii="仿宋" w:hAnsi="仿宋" w:eastAsia="仿宋"/>
          <w:b w:val="0"/>
          <w:bCs/>
          <w:color w:val="000000"/>
        </w:rPr>
        <w:t>财</w:t>
      </w:r>
      <w:r>
        <w:rPr>
          <w:rStyle w:val="18"/>
          <w:rFonts w:hint="eastAsia" w:ascii="仿宋" w:hAnsi="仿宋" w:eastAsia="仿宋"/>
          <w:b w:val="0"/>
          <w:bCs/>
        </w:rPr>
        <w:t>政拨款收入支出决算总表</w:t>
      </w:r>
      <w:bookmarkEnd w:id="109"/>
      <w:bookmarkEnd w:id="110"/>
      <w:bookmarkEnd w:id="111"/>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12" w:name="_Toc30002"/>
      <w:bookmarkStart w:id="113" w:name="_Toc15396623"/>
      <w:bookmarkStart w:id="114" w:name="_Toc1141"/>
      <w:r>
        <w:rPr>
          <w:rStyle w:val="18"/>
          <w:rFonts w:hint="eastAsia" w:ascii="仿宋" w:hAnsi="仿宋" w:eastAsia="仿宋"/>
          <w:b w:val="0"/>
          <w:bCs/>
        </w:rPr>
        <w:t>五、</w:t>
      </w:r>
      <w:r>
        <w:rPr>
          <w:rFonts w:hint="eastAsia" w:ascii="仿宋" w:hAnsi="仿宋" w:eastAsia="仿宋"/>
          <w:b w:val="0"/>
          <w:bCs/>
          <w:color w:val="000000"/>
        </w:rPr>
        <w:t>财</w:t>
      </w:r>
      <w:r>
        <w:rPr>
          <w:rStyle w:val="18"/>
          <w:rFonts w:hint="eastAsia" w:ascii="仿宋" w:hAnsi="仿宋" w:eastAsia="仿宋"/>
          <w:b w:val="0"/>
          <w:bCs/>
        </w:rPr>
        <w:t>政拨款支出决算明细表</w:t>
      </w:r>
      <w:bookmarkEnd w:id="112"/>
      <w:bookmarkEnd w:id="113"/>
      <w:bookmarkEnd w:id="114"/>
      <w:bookmarkStart w:id="115" w:name="_Toc153966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6" w:name="_Toc10866"/>
      <w:bookmarkStart w:id="117" w:name="_Toc19691"/>
      <w:r>
        <w:rPr>
          <w:rStyle w:val="18"/>
          <w:rFonts w:hint="eastAsia" w:ascii="仿宋" w:hAnsi="仿宋" w:eastAsia="仿宋"/>
          <w:b w:val="0"/>
          <w:bCs/>
        </w:rPr>
        <w:t>六、</w:t>
      </w:r>
      <w:r>
        <w:rPr>
          <w:rFonts w:hint="eastAsia" w:ascii="仿宋" w:hAnsi="仿宋" w:eastAsia="仿宋"/>
          <w:b w:val="0"/>
          <w:bCs/>
          <w:color w:val="000000"/>
        </w:rPr>
        <w:t>一</w:t>
      </w:r>
      <w:r>
        <w:rPr>
          <w:rStyle w:val="18"/>
          <w:rFonts w:hint="eastAsia" w:ascii="仿宋" w:hAnsi="仿宋" w:eastAsia="仿宋"/>
          <w:b w:val="0"/>
          <w:bCs/>
        </w:rPr>
        <w:t>般公共预算财政拨款支出决算表</w:t>
      </w:r>
      <w:bookmarkEnd w:id="115"/>
      <w:bookmarkEnd w:id="116"/>
      <w:bookmarkEnd w:id="117"/>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8" w:name="_Toc25647"/>
      <w:bookmarkStart w:id="119" w:name="_Toc15396625"/>
      <w:bookmarkStart w:id="120" w:name="_Toc24324"/>
      <w:r>
        <w:rPr>
          <w:rStyle w:val="18"/>
          <w:rFonts w:hint="eastAsia" w:ascii="仿宋" w:hAnsi="仿宋" w:eastAsia="仿宋"/>
          <w:b w:val="0"/>
          <w:bCs/>
        </w:rPr>
        <w:t>七、</w:t>
      </w:r>
      <w:r>
        <w:rPr>
          <w:rFonts w:hint="eastAsia" w:ascii="仿宋" w:hAnsi="仿宋" w:eastAsia="仿宋"/>
          <w:b w:val="0"/>
          <w:bCs/>
          <w:color w:val="000000"/>
        </w:rPr>
        <w:t>一</w:t>
      </w:r>
      <w:r>
        <w:rPr>
          <w:rStyle w:val="18"/>
          <w:rFonts w:hint="eastAsia" w:ascii="仿宋" w:hAnsi="仿宋" w:eastAsia="仿宋"/>
          <w:b w:val="0"/>
          <w:bCs/>
        </w:rPr>
        <w:t>般公共预算财政拨款支出决算明细表</w:t>
      </w:r>
      <w:bookmarkEnd w:id="118"/>
      <w:bookmarkEnd w:id="119"/>
      <w:bookmarkEnd w:id="120"/>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1" w:name="_Toc15396626"/>
      <w:bookmarkStart w:id="122" w:name="_Toc10119"/>
      <w:bookmarkStart w:id="123" w:name="_Toc7390"/>
      <w:r>
        <w:rPr>
          <w:rStyle w:val="18"/>
          <w:rFonts w:hint="eastAsia" w:ascii="仿宋" w:hAnsi="仿宋" w:eastAsia="仿宋"/>
          <w:b w:val="0"/>
          <w:bCs/>
        </w:rPr>
        <w:t>八、</w:t>
      </w:r>
      <w:r>
        <w:rPr>
          <w:rFonts w:hint="eastAsia" w:ascii="仿宋" w:hAnsi="仿宋" w:eastAsia="仿宋"/>
          <w:b w:val="0"/>
          <w:bCs/>
          <w:color w:val="000000"/>
        </w:rPr>
        <w:t>一</w:t>
      </w:r>
      <w:r>
        <w:rPr>
          <w:rStyle w:val="18"/>
          <w:rFonts w:hint="eastAsia" w:ascii="仿宋" w:hAnsi="仿宋" w:eastAsia="仿宋"/>
          <w:b w:val="0"/>
          <w:bCs/>
        </w:rPr>
        <w:t>般公共预算财政拨款基本支出决算表</w:t>
      </w:r>
      <w:bookmarkEnd w:id="121"/>
      <w:bookmarkEnd w:id="122"/>
      <w:bookmarkEnd w:id="123"/>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4" w:name="_Toc21697"/>
      <w:bookmarkStart w:id="125" w:name="_Toc15396627"/>
      <w:bookmarkStart w:id="126" w:name="_Toc8971"/>
      <w:r>
        <w:rPr>
          <w:rStyle w:val="18"/>
          <w:rFonts w:hint="eastAsia" w:ascii="仿宋" w:hAnsi="仿宋" w:eastAsia="仿宋"/>
          <w:b w:val="0"/>
          <w:bCs/>
        </w:rPr>
        <w:t>九、</w:t>
      </w:r>
      <w:r>
        <w:rPr>
          <w:rFonts w:hint="eastAsia" w:ascii="仿宋" w:hAnsi="仿宋" w:eastAsia="仿宋"/>
          <w:b w:val="0"/>
          <w:bCs/>
          <w:color w:val="000000"/>
        </w:rPr>
        <w:t>一</w:t>
      </w:r>
      <w:r>
        <w:rPr>
          <w:rStyle w:val="18"/>
          <w:rFonts w:hint="eastAsia" w:ascii="仿宋" w:hAnsi="仿宋" w:eastAsia="仿宋"/>
          <w:b w:val="0"/>
          <w:bCs/>
        </w:rPr>
        <w:t>般公共预算财政拨款项目支出决算表</w:t>
      </w:r>
      <w:bookmarkEnd w:id="124"/>
      <w:bookmarkEnd w:id="125"/>
      <w:bookmarkEnd w:id="126"/>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7" w:name="_Toc15396628"/>
      <w:bookmarkStart w:id="128" w:name="_Toc6662"/>
      <w:bookmarkStart w:id="129" w:name="_Toc28481"/>
      <w:r>
        <w:rPr>
          <w:rStyle w:val="18"/>
          <w:rFonts w:hint="eastAsia" w:ascii="仿宋" w:hAnsi="仿宋" w:eastAsia="仿宋"/>
          <w:b w:val="0"/>
          <w:bCs/>
        </w:rPr>
        <w:t>十、</w:t>
      </w:r>
      <w:r>
        <w:rPr>
          <w:rFonts w:hint="eastAsia" w:ascii="仿宋" w:hAnsi="仿宋" w:eastAsia="仿宋"/>
          <w:b w:val="0"/>
          <w:bCs/>
          <w:color w:val="000000"/>
        </w:rPr>
        <w:t>一</w:t>
      </w:r>
      <w:r>
        <w:rPr>
          <w:rStyle w:val="18"/>
          <w:rFonts w:hint="eastAsia" w:ascii="仿宋" w:hAnsi="仿宋" w:eastAsia="仿宋"/>
          <w:b w:val="0"/>
          <w:bCs/>
        </w:rPr>
        <w:t>般公共预算财政拨款“三公”经费支出决算表</w:t>
      </w:r>
      <w:bookmarkEnd w:id="127"/>
      <w:bookmarkEnd w:id="128"/>
      <w:bookmarkEnd w:id="129"/>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0" w:name="_Toc15396629"/>
      <w:bookmarkStart w:id="131" w:name="_Toc32387"/>
      <w:bookmarkStart w:id="132" w:name="_Toc24938"/>
      <w:r>
        <w:rPr>
          <w:rStyle w:val="18"/>
          <w:rFonts w:hint="eastAsia" w:ascii="仿宋" w:hAnsi="仿宋" w:eastAsia="仿宋"/>
          <w:b w:val="0"/>
          <w:bCs/>
        </w:rPr>
        <w:t>十一、</w:t>
      </w:r>
      <w:r>
        <w:rPr>
          <w:rFonts w:hint="eastAsia" w:ascii="仿宋" w:hAnsi="仿宋" w:eastAsia="仿宋"/>
          <w:b w:val="0"/>
          <w:bCs/>
          <w:color w:val="000000"/>
        </w:rPr>
        <w:t>政</w:t>
      </w:r>
      <w:r>
        <w:rPr>
          <w:rStyle w:val="18"/>
          <w:rFonts w:hint="eastAsia" w:ascii="仿宋" w:hAnsi="仿宋" w:eastAsia="仿宋"/>
          <w:b w:val="0"/>
          <w:bCs/>
        </w:rPr>
        <w:t>府性基金预算财政拨款收入支出决算表</w:t>
      </w:r>
      <w:bookmarkEnd w:id="130"/>
      <w:bookmarkEnd w:id="131"/>
      <w:bookmarkEnd w:id="132"/>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3" w:name="_Toc755"/>
      <w:bookmarkStart w:id="134" w:name="_Toc15396630"/>
      <w:bookmarkStart w:id="135" w:name="_Toc3423"/>
      <w:r>
        <w:rPr>
          <w:rStyle w:val="18"/>
          <w:rFonts w:hint="eastAsia" w:ascii="仿宋" w:hAnsi="仿宋" w:eastAsia="仿宋"/>
          <w:b w:val="0"/>
          <w:bCs/>
        </w:rPr>
        <w:t>十二、</w:t>
      </w:r>
      <w:r>
        <w:rPr>
          <w:rFonts w:hint="eastAsia" w:ascii="仿宋" w:hAnsi="仿宋" w:eastAsia="仿宋"/>
          <w:b w:val="0"/>
          <w:bCs/>
          <w:color w:val="000000"/>
        </w:rPr>
        <w:t>政</w:t>
      </w:r>
      <w:r>
        <w:rPr>
          <w:rStyle w:val="18"/>
          <w:rFonts w:hint="eastAsia" w:ascii="仿宋" w:hAnsi="仿宋" w:eastAsia="仿宋"/>
          <w:b w:val="0"/>
          <w:bCs/>
        </w:rPr>
        <w:t>府性基金预算财政拨款“三公”经费支出决算表</w:t>
      </w:r>
      <w:bookmarkEnd w:id="133"/>
      <w:bookmarkEnd w:id="134"/>
      <w:bookmarkEnd w:id="135"/>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36" w:name="_Toc15396631"/>
      <w:bookmarkStart w:id="137" w:name="_Toc27620"/>
      <w:bookmarkStart w:id="138" w:name="_Toc30046"/>
      <w:r>
        <w:rPr>
          <w:rStyle w:val="18"/>
          <w:rFonts w:hint="eastAsia" w:ascii="仿宋" w:hAnsi="仿宋" w:eastAsia="仿宋"/>
          <w:b w:val="0"/>
          <w:bCs/>
        </w:rPr>
        <w:t>十三、</w:t>
      </w:r>
      <w:r>
        <w:rPr>
          <w:rFonts w:hint="eastAsia" w:ascii="仿宋" w:hAnsi="仿宋" w:eastAsia="仿宋"/>
          <w:b w:val="0"/>
          <w:bCs/>
          <w:color w:val="000000"/>
        </w:rPr>
        <w:t>国</w:t>
      </w:r>
      <w:r>
        <w:rPr>
          <w:rStyle w:val="18"/>
          <w:rFonts w:hint="eastAsia" w:ascii="仿宋" w:hAnsi="仿宋" w:eastAsia="仿宋"/>
          <w:b w:val="0"/>
          <w:bCs/>
        </w:rPr>
        <w:t>有资本经营预算财政拨款收入支出决算表</w:t>
      </w:r>
      <w:bookmarkEnd w:id="136"/>
      <w:bookmarkEnd w:id="137"/>
      <w:bookmarkEnd w:id="138"/>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9" w:name="_Toc7833"/>
      <w:bookmarkStart w:id="140" w:name="_Toc11289"/>
      <w:r>
        <w:rPr>
          <w:rStyle w:val="18"/>
          <w:rFonts w:hint="eastAsia" w:ascii="仿宋" w:hAnsi="仿宋" w:eastAsia="仿宋"/>
          <w:b w:val="0"/>
          <w:bCs/>
        </w:rPr>
        <w:t>十四、</w:t>
      </w:r>
      <w:r>
        <w:rPr>
          <w:rFonts w:hint="eastAsia" w:ascii="仿宋" w:hAnsi="仿宋" w:eastAsia="仿宋"/>
          <w:b w:val="0"/>
          <w:bCs/>
          <w:color w:val="000000"/>
        </w:rPr>
        <w:t>国</w:t>
      </w:r>
      <w:r>
        <w:rPr>
          <w:rStyle w:val="18"/>
          <w:rFonts w:hint="eastAsia" w:ascii="仿宋" w:hAnsi="仿宋" w:eastAsia="仿宋"/>
          <w:b w:val="0"/>
          <w:bCs/>
        </w:rPr>
        <w:t>有资本经营预算财政拨款支出决算表</w:t>
      </w:r>
      <w:bookmarkEnd w:id="139"/>
      <w:bookmarkEnd w:id="140"/>
    </w:p>
    <w:p>
      <w:pPr>
        <w:rPr>
          <w:rFonts w:hint="eastAsia" w:eastAsiaTheme="minorEastAsia"/>
          <w:lang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1EA98A"/>
    <w:multiLevelType w:val="singleLevel"/>
    <w:tmpl w:val="AA1EA98A"/>
    <w:lvl w:ilvl="0" w:tentative="0">
      <w:start w:val="3"/>
      <w:numFmt w:val="decimal"/>
      <w:suff w:val="nothing"/>
      <w:lvlText w:val="%1．"/>
      <w:lvlJc w:val="left"/>
    </w:lvl>
  </w:abstractNum>
  <w:abstractNum w:abstractNumId="1">
    <w:nsid w:val="BDD8C250"/>
    <w:multiLevelType w:val="singleLevel"/>
    <w:tmpl w:val="BDD8C250"/>
    <w:lvl w:ilvl="0" w:tentative="0">
      <w:start w:val="2"/>
      <w:numFmt w:val="chineseCounting"/>
      <w:suff w:val="nothing"/>
      <w:lvlText w:val="（%1）"/>
      <w:lvlJc w:val="left"/>
      <w:pPr>
        <w:ind w:left="-10"/>
      </w:pPr>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138DA923"/>
    <w:multiLevelType w:val="singleLevel"/>
    <w:tmpl w:val="138DA923"/>
    <w:lvl w:ilvl="0" w:tentative="0">
      <w:start w:val="2"/>
      <w:numFmt w:val="chineseCounting"/>
      <w:suff w:val="nothing"/>
      <w:lvlText w:val="（%1）"/>
      <w:lvlJc w:val="left"/>
      <w:rPr>
        <w:rFonts w:hint="eastAsia"/>
      </w:rPr>
    </w:lvl>
  </w:abstractNum>
  <w:abstractNum w:abstractNumId="6">
    <w:nsid w:val="53B2876F"/>
    <w:multiLevelType w:val="singleLevel"/>
    <w:tmpl w:val="53B2876F"/>
    <w:lvl w:ilvl="0" w:tentative="0">
      <w:start w:val="1"/>
      <w:numFmt w:val="chineseCounting"/>
      <w:suff w:val="nothing"/>
      <w:lvlText w:val="%1、"/>
      <w:lvlJc w:val="left"/>
      <w:rPr>
        <w:rFonts w:hint="eastAsia"/>
      </w:rPr>
    </w:lvl>
  </w:abstractNum>
  <w:abstractNum w:abstractNumId="7">
    <w:nsid w:val="65B2F012"/>
    <w:multiLevelType w:val="singleLevel"/>
    <w:tmpl w:val="65B2F012"/>
    <w:lvl w:ilvl="0" w:tentative="0">
      <w:start w:val="2"/>
      <w:numFmt w:val="decimal"/>
      <w:suff w:val="nothing"/>
      <w:lvlText w:val="%1．"/>
      <w:lvlJc w:val="left"/>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B66DB"/>
    <w:rsid w:val="00624AEE"/>
    <w:rsid w:val="00B26018"/>
    <w:rsid w:val="00DF6ECF"/>
    <w:rsid w:val="010D2661"/>
    <w:rsid w:val="01B64868"/>
    <w:rsid w:val="01BC5869"/>
    <w:rsid w:val="01C11E30"/>
    <w:rsid w:val="01E3205D"/>
    <w:rsid w:val="02E065BA"/>
    <w:rsid w:val="02E93779"/>
    <w:rsid w:val="03BC23B4"/>
    <w:rsid w:val="047D2B2F"/>
    <w:rsid w:val="04D12053"/>
    <w:rsid w:val="05287A32"/>
    <w:rsid w:val="052A6E74"/>
    <w:rsid w:val="058420F1"/>
    <w:rsid w:val="0612567A"/>
    <w:rsid w:val="0670301F"/>
    <w:rsid w:val="06951C7E"/>
    <w:rsid w:val="069A6762"/>
    <w:rsid w:val="06E55597"/>
    <w:rsid w:val="074B32FE"/>
    <w:rsid w:val="07580381"/>
    <w:rsid w:val="07604836"/>
    <w:rsid w:val="07721D91"/>
    <w:rsid w:val="07802879"/>
    <w:rsid w:val="07A662F0"/>
    <w:rsid w:val="07CD7C0C"/>
    <w:rsid w:val="089844FD"/>
    <w:rsid w:val="089A28A1"/>
    <w:rsid w:val="08CC033C"/>
    <w:rsid w:val="09186640"/>
    <w:rsid w:val="09C430F7"/>
    <w:rsid w:val="09CB7031"/>
    <w:rsid w:val="09D407DB"/>
    <w:rsid w:val="0A5510C7"/>
    <w:rsid w:val="0A6321D4"/>
    <w:rsid w:val="0B0D441B"/>
    <w:rsid w:val="0B0D49A2"/>
    <w:rsid w:val="0B225F17"/>
    <w:rsid w:val="0B2267BB"/>
    <w:rsid w:val="0B705F08"/>
    <w:rsid w:val="0BFC6B85"/>
    <w:rsid w:val="0C285864"/>
    <w:rsid w:val="0C6F1C0B"/>
    <w:rsid w:val="0C7869F8"/>
    <w:rsid w:val="0C8913FF"/>
    <w:rsid w:val="0C943154"/>
    <w:rsid w:val="0D511AC8"/>
    <w:rsid w:val="0D7063F4"/>
    <w:rsid w:val="0E8C02B3"/>
    <w:rsid w:val="0E9F0C06"/>
    <w:rsid w:val="0EB547B9"/>
    <w:rsid w:val="0F40628C"/>
    <w:rsid w:val="0F735599"/>
    <w:rsid w:val="0F96152D"/>
    <w:rsid w:val="0FDF1EDE"/>
    <w:rsid w:val="10252E57"/>
    <w:rsid w:val="104F5FF3"/>
    <w:rsid w:val="105967B7"/>
    <w:rsid w:val="1061082F"/>
    <w:rsid w:val="107172A0"/>
    <w:rsid w:val="10C30504"/>
    <w:rsid w:val="10F24AC0"/>
    <w:rsid w:val="112962C2"/>
    <w:rsid w:val="11383E35"/>
    <w:rsid w:val="118D3F5F"/>
    <w:rsid w:val="11A650B1"/>
    <w:rsid w:val="120C4F8F"/>
    <w:rsid w:val="13046523"/>
    <w:rsid w:val="13C14374"/>
    <w:rsid w:val="13D51776"/>
    <w:rsid w:val="13E41CDB"/>
    <w:rsid w:val="141A66B9"/>
    <w:rsid w:val="145D2CCD"/>
    <w:rsid w:val="149E0F5C"/>
    <w:rsid w:val="14B06E34"/>
    <w:rsid w:val="15185A01"/>
    <w:rsid w:val="15316F8B"/>
    <w:rsid w:val="15441BB6"/>
    <w:rsid w:val="158B2B38"/>
    <w:rsid w:val="15DA618C"/>
    <w:rsid w:val="16385338"/>
    <w:rsid w:val="1639537D"/>
    <w:rsid w:val="16544B70"/>
    <w:rsid w:val="16665107"/>
    <w:rsid w:val="16AC0C91"/>
    <w:rsid w:val="16B74ABF"/>
    <w:rsid w:val="172214AF"/>
    <w:rsid w:val="17974FB0"/>
    <w:rsid w:val="17E0018E"/>
    <w:rsid w:val="17FE1A10"/>
    <w:rsid w:val="1887488F"/>
    <w:rsid w:val="194046CD"/>
    <w:rsid w:val="19A509E8"/>
    <w:rsid w:val="19A87E02"/>
    <w:rsid w:val="19C42560"/>
    <w:rsid w:val="1AD35EA8"/>
    <w:rsid w:val="1AEC5330"/>
    <w:rsid w:val="1B466AD6"/>
    <w:rsid w:val="1B91706E"/>
    <w:rsid w:val="1C2365C6"/>
    <w:rsid w:val="1C995A79"/>
    <w:rsid w:val="1CB219C3"/>
    <w:rsid w:val="1D2A6AA0"/>
    <w:rsid w:val="1D8B46EB"/>
    <w:rsid w:val="1DD045F0"/>
    <w:rsid w:val="1DD51D3B"/>
    <w:rsid w:val="1DDF10B1"/>
    <w:rsid w:val="1E217132"/>
    <w:rsid w:val="1E421890"/>
    <w:rsid w:val="1ECE0F03"/>
    <w:rsid w:val="1F91291C"/>
    <w:rsid w:val="201B24C0"/>
    <w:rsid w:val="202030ED"/>
    <w:rsid w:val="20482E83"/>
    <w:rsid w:val="2167349A"/>
    <w:rsid w:val="21C54CAA"/>
    <w:rsid w:val="220E1D61"/>
    <w:rsid w:val="224D0AF4"/>
    <w:rsid w:val="24B1088C"/>
    <w:rsid w:val="24C877E1"/>
    <w:rsid w:val="25736D7C"/>
    <w:rsid w:val="258940D8"/>
    <w:rsid w:val="27065C97"/>
    <w:rsid w:val="27267E43"/>
    <w:rsid w:val="27306953"/>
    <w:rsid w:val="27EE54D6"/>
    <w:rsid w:val="281A68C5"/>
    <w:rsid w:val="28312D27"/>
    <w:rsid w:val="284E5E4B"/>
    <w:rsid w:val="290415B0"/>
    <w:rsid w:val="290E2754"/>
    <w:rsid w:val="290F015E"/>
    <w:rsid w:val="293F3240"/>
    <w:rsid w:val="296B3F4B"/>
    <w:rsid w:val="29DB7B33"/>
    <w:rsid w:val="2A412F8F"/>
    <w:rsid w:val="2A903862"/>
    <w:rsid w:val="2B2A381E"/>
    <w:rsid w:val="2B9A4747"/>
    <w:rsid w:val="2BBD3CB4"/>
    <w:rsid w:val="2C412B3E"/>
    <w:rsid w:val="2C9B3BBE"/>
    <w:rsid w:val="2CC92BF1"/>
    <w:rsid w:val="2CD202A6"/>
    <w:rsid w:val="2CD24DD2"/>
    <w:rsid w:val="2CE324C0"/>
    <w:rsid w:val="2D4466DA"/>
    <w:rsid w:val="2D700FEE"/>
    <w:rsid w:val="2DE36CBE"/>
    <w:rsid w:val="2E154B85"/>
    <w:rsid w:val="2E9D416D"/>
    <w:rsid w:val="2EF60FD6"/>
    <w:rsid w:val="300517CD"/>
    <w:rsid w:val="30434438"/>
    <w:rsid w:val="309375FE"/>
    <w:rsid w:val="30AD22F7"/>
    <w:rsid w:val="30B1294E"/>
    <w:rsid w:val="30CF551D"/>
    <w:rsid w:val="31AF05DF"/>
    <w:rsid w:val="321E1D5B"/>
    <w:rsid w:val="327D7A45"/>
    <w:rsid w:val="32C01F73"/>
    <w:rsid w:val="32DE5329"/>
    <w:rsid w:val="33361DB0"/>
    <w:rsid w:val="33C57E9A"/>
    <w:rsid w:val="3445531D"/>
    <w:rsid w:val="34895F9A"/>
    <w:rsid w:val="34FC40CF"/>
    <w:rsid w:val="35801574"/>
    <w:rsid w:val="358062DE"/>
    <w:rsid w:val="358A6C92"/>
    <w:rsid w:val="35D5318A"/>
    <w:rsid w:val="3619770F"/>
    <w:rsid w:val="36206041"/>
    <w:rsid w:val="363353C1"/>
    <w:rsid w:val="368D3F86"/>
    <w:rsid w:val="36CA6C86"/>
    <w:rsid w:val="36F36EFF"/>
    <w:rsid w:val="37206344"/>
    <w:rsid w:val="37694D62"/>
    <w:rsid w:val="37880EF2"/>
    <w:rsid w:val="381B1E02"/>
    <w:rsid w:val="383276CB"/>
    <w:rsid w:val="386246B4"/>
    <w:rsid w:val="388D3D04"/>
    <w:rsid w:val="38F45326"/>
    <w:rsid w:val="39115282"/>
    <w:rsid w:val="392B51C6"/>
    <w:rsid w:val="3951677D"/>
    <w:rsid w:val="39B03EBF"/>
    <w:rsid w:val="39EB0E26"/>
    <w:rsid w:val="39EF201E"/>
    <w:rsid w:val="39FC3F49"/>
    <w:rsid w:val="3A14361B"/>
    <w:rsid w:val="3A520D8A"/>
    <w:rsid w:val="3A584D11"/>
    <w:rsid w:val="3A994E53"/>
    <w:rsid w:val="3A9C74E9"/>
    <w:rsid w:val="3A9E6709"/>
    <w:rsid w:val="3AAB0341"/>
    <w:rsid w:val="3AD9415E"/>
    <w:rsid w:val="3B25291B"/>
    <w:rsid w:val="3B453E63"/>
    <w:rsid w:val="3B820957"/>
    <w:rsid w:val="3DA272E9"/>
    <w:rsid w:val="3DB561B4"/>
    <w:rsid w:val="3DEE5631"/>
    <w:rsid w:val="3E213369"/>
    <w:rsid w:val="3E327B54"/>
    <w:rsid w:val="3F1B770F"/>
    <w:rsid w:val="3F313D50"/>
    <w:rsid w:val="3F84194E"/>
    <w:rsid w:val="3FCB3A13"/>
    <w:rsid w:val="40194187"/>
    <w:rsid w:val="401A5546"/>
    <w:rsid w:val="401B63A3"/>
    <w:rsid w:val="40586F72"/>
    <w:rsid w:val="40D22E6D"/>
    <w:rsid w:val="41CE67C7"/>
    <w:rsid w:val="421D161B"/>
    <w:rsid w:val="425809C0"/>
    <w:rsid w:val="42737A05"/>
    <w:rsid w:val="42B816ED"/>
    <w:rsid w:val="42EE1F04"/>
    <w:rsid w:val="42F158BA"/>
    <w:rsid w:val="431C0FD2"/>
    <w:rsid w:val="434729AB"/>
    <w:rsid w:val="436D57D0"/>
    <w:rsid w:val="43B04E41"/>
    <w:rsid w:val="43F40EC3"/>
    <w:rsid w:val="44417BA6"/>
    <w:rsid w:val="4467570E"/>
    <w:rsid w:val="44D74BA0"/>
    <w:rsid w:val="44D90662"/>
    <w:rsid w:val="44F14737"/>
    <w:rsid w:val="45130843"/>
    <w:rsid w:val="45A4657F"/>
    <w:rsid w:val="45E13E67"/>
    <w:rsid w:val="45E32B66"/>
    <w:rsid w:val="45F77353"/>
    <w:rsid w:val="461871EF"/>
    <w:rsid w:val="462A775C"/>
    <w:rsid w:val="46B25424"/>
    <w:rsid w:val="47450513"/>
    <w:rsid w:val="47813CC2"/>
    <w:rsid w:val="48A71754"/>
    <w:rsid w:val="48B358FF"/>
    <w:rsid w:val="48E56D2A"/>
    <w:rsid w:val="49003C66"/>
    <w:rsid w:val="496A01DE"/>
    <w:rsid w:val="4A4A697E"/>
    <w:rsid w:val="4A840933"/>
    <w:rsid w:val="4B1E4CBE"/>
    <w:rsid w:val="4B3B6A1C"/>
    <w:rsid w:val="4BD82429"/>
    <w:rsid w:val="4BED3CEC"/>
    <w:rsid w:val="4CB83F31"/>
    <w:rsid w:val="4CCC2262"/>
    <w:rsid w:val="4D605DC6"/>
    <w:rsid w:val="4D687FF9"/>
    <w:rsid w:val="4DA27727"/>
    <w:rsid w:val="4E7E138A"/>
    <w:rsid w:val="4E937E91"/>
    <w:rsid w:val="4F654691"/>
    <w:rsid w:val="4F8708C6"/>
    <w:rsid w:val="502335D3"/>
    <w:rsid w:val="507F49AE"/>
    <w:rsid w:val="50D949D3"/>
    <w:rsid w:val="50ED543A"/>
    <w:rsid w:val="5114508A"/>
    <w:rsid w:val="5138364D"/>
    <w:rsid w:val="51736AE0"/>
    <w:rsid w:val="51F27CA8"/>
    <w:rsid w:val="52223986"/>
    <w:rsid w:val="522472FA"/>
    <w:rsid w:val="526D72E2"/>
    <w:rsid w:val="528A52AB"/>
    <w:rsid w:val="529A0C32"/>
    <w:rsid w:val="53487391"/>
    <w:rsid w:val="534C0289"/>
    <w:rsid w:val="53793167"/>
    <w:rsid w:val="53B22A58"/>
    <w:rsid w:val="541334FF"/>
    <w:rsid w:val="54195455"/>
    <w:rsid w:val="541C090B"/>
    <w:rsid w:val="54EE1A60"/>
    <w:rsid w:val="55A90FB7"/>
    <w:rsid w:val="565A7838"/>
    <w:rsid w:val="56974D41"/>
    <w:rsid w:val="56AB3A5E"/>
    <w:rsid w:val="56D94A3F"/>
    <w:rsid w:val="56F9130E"/>
    <w:rsid w:val="574A3ACB"/>
    <w:rsid w:val="576E6004"/>
    <w:rsid w:val="58035B26"/>
    <w:rsid w:val="586179DB"/>
    <w:rsid w:val="588538D5"/>
    <w:rsid w:val="58A747AE"/>
    <w:rsid w:val="594B68C7"/>
    <w:rsid w:val="596737E5"/>
    <w:rsid w:val="59BF27D2"/>
    <w:rsid w:val="59C40752"/>
    <w:rsid w:val="5AB173A5"/>
    <w:rsid w:val="5B9260B6"/>
    <w:rsid w:val="5BC31761"/>
    <w:rsid w:val="5BE572BC"/>
    <w:rsid w:val="5C575077"/>
    <w:rsid w:val="5C727176"/>
    <w:rsid w:val="5C9516E9"/>
    <w:rsid w:val="5C9D01B4"/>
    <w:rsid w:val="5D0E671C"/>
    <w:rsid w:val="5D305D26"/>
    <w:rsid w:val="5D3E4A7C"/>
    <w:rsid w:val="5DB35D09"/>
    <w:rsid w:val="5DDA1BCF"/>
    <w:rsid w:val="5E1D2BD4"/>
    <w:rsid w:val="5E654F36"/>
    <w:rsid w:val="5E7264B1"/>
    <w:rsid w:val="5F9547CF"/>
    <w:rsid w:val="5FB058A7"/>
    <w:rsid w:val="5FD97134"/>
    <w:rsid w:val="5FEA5DB4"/>
    <w:rsid w:val="606833B6"/>
    <w:rsid w:val="60D15139"/>
    <w:rsid w:val="60E3289B"/>
    <w:rsid w:val="611F6C92"/>
    <w:rsid w:val="6146457C"/>
    <w:rsid w:val="61626DF7"/>
    <w:rsid w:val="61D70DA1"/>
    <w:rsid w:val="61EE6B79"/>
    <w:rsid w:val="620571AE"/>
    <w:rsid w:val="62162BCE"/>
    <w:rsid w:val="6225548C"/>
    <w:rsid w:val="62306F97"/>
    <w:rsid w:val="62516F4D"/>
    <w:rsid w:val="62ED6C1F"/>
    <w:rsid w:val="632945F3"/>
    <w:rsid w:val="63B2738B"/>
    <w:rsid w:val="63D0089C"/>
    <w:rsid w:val="642037B7"/>
    <w:rsid w:val="645012F1"/>
    <w:rsid w:val="64CB46E0"/>
    <w:rsid w:val="64D35C2C"/>
    <w:rsid w:val="66027103"/>
    <w:rsid w:val="6603187B"/>
    <w:rsid w:val="66B4327E"/>
    <w:rsid w:val="66BE27A7"/>
    <w:rsid w:val="670C2D8E"/>
    <w:rsid w:val="67CC031E"/>
    <w:rsid w:val="67DD406C"/>
    <w:rsid w:val="68063136"/>
    <w:rsid w:val="685714B9"/>
    <w:rsid w:val="685D75BF"/>
    <w:rsid w:val="68875EE9"/>
    <w:rsid w:val="68DD0BCA"/>
    <w:rsid w:val="69416B39"/>
    <w:rsid w:val="69453A20"/>
    <w:rsid w:val="695735C6"/>
    <w:rsid w:val="69C32BEC"/>
    <w:rsid w:val="69FA5251"/>
    <w:rsid w:val="69FD6115"/>
    <w:rsid w:val="6A195FD9"/>
    <w:rsid w:val="6B511E04"/>
    <w:rsid w:val="6BF84F85"/>
    <w:rsid w:val="6C297CB8"/>
    <w:rsid w:val="6C5253BE"/>
    <w:rsid w:val="6C8E0D31"/>
    <w:rsid w:val="6C906037"/>
    <w:rsid w:val="6C921329"/>
    <w:rsid w:val="6C9C715A"/>
    <w:rsid w:val="6CB23495"/>
    <w:rsid w:val="6CF971EF"/>
    <w:rsid w:val="6D085172"/>
    <w:rsid w:val="6D9D7B5F"/>
    <w:rsid w:val="6DC86816"/>
    <w:rsid w:val="6E1075D5"/>
    <w:rsid w:val="6E453EF3"/>
    <w:rsid w:val="6E7E0683"/>
    <w:rsid w:val="6F0B67DB"/>
    <w:rsid w:val="6F3408C7"/>
    <w:rsid w:val="6F874265"/>
    <w:rsid w:val="6F941740"/>
    <w:rsid w:val="6FA01EF0"/>
    <w:rsid w:val="70F466ED"/>
    <w:rsid w:val="718F16A6"/>
    <w:rsid w:val="71BE5748"/>
    <w:rsid w:val="72461A15"/>
    <w:rsid w:val="729A6FB0"/>
    <w:rsid w:val="72B96F51"/>
    <w:rsid w:val="72FA21F6"/>
    <w:rsid w:val="73905FA1"/>
    <w:rsid w:val="73943FE5"/>
    <w:rsid w:val="73AC30F8"/>
    <w:rsid w:val="7401533B"/>
    <w:rsid w:val="741371CB"/>
    <w:rsid w:val="742B0080"/>
    <w:rsid w:val="743823AB"/>
    <w:rsid w:val="744D5803"/>
    <w:rsid w:val="74CD6D8F"/>
    <w:rsid w:val="74D14478"/>
    <w:rsid w:val="74D22C28"/>
    <w:rsid w:val="750F40FA"/>
    <w:rsid w:val="75290E51"/>
    <w:rsid w:val="753A0633"/>
    <w:rsid w:val="755F0101"/>
    <w:rsid w:val="755F43CF"/>
    <w:rsid w:val="75A50518"/>
    <w:rsid w:val="75BA4B9B"/>
    <w:rsid w:val="76205F71"/>
    <w:rsid w:val="7700067C"/>
    <w:rsid w:val="77301B08"/>
    <w:rsid w:val="77A2095A"/>
    <w:rsid w:val="77E44AC2"/>
    <w:rsid w:val="77EA5FE3"/>
    <w:rsid w:val="783160EF"/>
    <w:rsid w:val="78477399"/>
    <w:rsid w:val="78492F51"/>
    <w:rsid w:val="784F0C6B"/>
    <w:rsid w:val="78672953"/>
    <w:rsid w:val="78F315F7"/>
    <w:rsid w:val="78FD0927"/>
    <w:rsid w:val="79B770A8"/>
    <w:rsid w:val="79B949EC"/>
    <w:rsid w:val="7A3F618B"/>
    <w:rsid w:val="7A6C528E"/>
    <w:rsid w:val="7AA80E13"/>
    <w:rsid w:val="7AC916E0"/>
    <w:rsid w:val="7B1E4DF2"/>
    <w:rsid w:val="7B8A381D"/>
    <w:rsid w:val="7BE3590F"/>
    <w:rsid w:val="7BE47B2B"/>
    <w:rsid w:val="7C38495C"/>
    <w:rsid w:val="7C7067B1"/>
    <w:rsid w:val="7CBE4CC0"/>
    <w:rsid w:val="7CE82EFC"/>
    <w:rsid w:val="7D052EBA"/>
    <w:rsid w:val="7E494F36"/>
    <w:rsid w:val="7E687550"/>
    <w:rsid w:val="7F574D58"/>
    <w:rsid w:val="7F5C4AF8"/>
    <w:rsid w:val="7F884E25"/>
    <w:rsid w:val="7FA94641"/>
    <w:rsid w:val="7FAB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99"/>
    <w:rPr>
      <w:rFonts w:cs="Times New Roman"/>
      <w:b/>
    </w:rPr>
  </w:style>
  <w:style w:type="character" w:styleId="13">
    <w:name w:val="Hyperlink"/>
    <w:basedOn w:val="11"/>
    <w:unhideWhenUsed/>
    <w:qFormat/>
    <w:uiPriority w:val="99"/>
    <w:rPr>
      <w:rFonts w:cs="Times New Roman"/>
      <w:color w:val="0000FF"/>
      <w:u w:val="single"/>
    </w:rPr>
  </w:style>
  <w:style w:type="character" w:customStyle="1" w:styleId="14">
    <w:name w:val=" Char Char6"/>
    <w:basedOn w:val="11"/>
    <w:link w:val="2"/>
    <w:qFormat/>
    <w:locked/>
    <w:uiPriority w:val="9"/>
    <w:rPr>
      <w:b/>
      <w:bCs/>
      <w:kern w:val="44"/>
      <w:sz w:val="44"/>
      <w:szCs w:val="44"/>
    </w:rPr>
  </w:style>
  <w:style w:type="character" w:customStyle="1" w:styleId="15">
    <w:name w:val=" Char Char5"/>
    <w:basedOn w:val="11"/>
    <w:link w:val="3"/>
    <w:qFormat/>
    <w:locked/>
    <w:uiPriority w:val="9"/>
    <w:rPr>
      <w:rFonts w:ascii="Cambria" w:hAnsi="Cambria"/>
      <w:b/>
      <w:bCs/>
      <w:sz w:val="32"/>
      <w:szCs w:val="32"/>
    </w:rPr>
  </w:style>
  <w:style w:type="paragraph" w:customStyle="1"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8">
    <w:name w:val="标题 2 字符"/>
    <w:link w:val="3"/>
    <w:qFormat/>
    <w:locked/>
    <w:uiPriority w:val="9"/>
    <w:rPr>
      <w:rFonts w:ascii="Cambria" w:hAnsi="Cambria" w:eastAsia="宋体" w:cs="Times New Roman"/>
      <w:b/>
      <w:bCs/>
      <w:kern w:val="2"/>
      <w:sz w:val="32"/>
      <w:szCs w:val="32"/>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3748906386702"/>
          <c:y val="0.174131111111111"/>
          <c:w val="0.882069553805774"/>
          <c:h val="0.692801481481482"/>
        </c:manualLayout>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577.43</c:v>
                </c:pt>
                <c:pt idx="1">
                  <c:v>513.93</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Sheet1!$C$2:$C$5</c15:sqref>
                  </c15:fullRef>
                </c:ext>
              </c:extLst>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Sheet1!$D$2:$D$5</c15:sqref>
                  </c15:fullRef>
                </c:ext>
              </c:extLst>
              <c:f>Sheet1!$D$2:$D$3</c:f>
              <c:numCache>
                <c:formatCode>General</c:formatCode>
                <c:ptCount val="2"/>
              </c:numCache>
            </c:numRef>
          </c:val>
        </c:ser>
        <c:dLbls>
          <c:showLegendKey val="0"/>
          <c:showVal val="1"/>
          <c:showCatName val="0"/>
          <c:showSerName val="0"/>
          <c:showPercent val="0"/>
          <c:showBubbleSize val="0"/>
        </c:dLbls>
        <c:gapWidth val="219"/>
        <c:overlap val="-27"/>
        <c:axId val="876570379"/>
        <c:axId val="731084015"/>
      </c:barChart>
      <c:catAx>
        <c:axId val="8765703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084015"/>
        <c:crosses val="autoZero"/>
        <c:auto val="1"/>
        <c:lblAlgn val="ctr"/>
        <c:lblOffset val="100"/>
        <c:noMultiLvlLbl val="0"/>
      </c:catAx>
      <c:valAx>
        <c:axId val="731084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5703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其他收入</c:v>
                </c:pt>
              </c:strCache>
            </c:strRef>
          </c:cat>
          <c:val>
            <c:numRef>
              <c:f>Sheet1!$B$2:$B$3</c:f>
              <c:numCache>
                <c:formatCode>General</c:formatCode>
                <c:ptCount val="2"/>
                <c:pt idx="0">
                  <c:v>513.89</c:v>
                </c:pt>
                <c:pt idx="1">
                  <c:v>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486.07</c:v>
                </c:pt>
                <c:pt idx="1">
                  <c:v>27.86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856952938048391"/>
          <c:y val="0.0983333333333333"/>
          <c:w val="0.887051316139325"/>
          <c:h val="0.79247619047619"/>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577.42</c:v>
                </c:pt>
                <c:pt idx="1">
                  <c:v>513.89</c:v>
                </c:pt>
              </c:numCache>
            </c:numRef>
          </c:val>
        </c:ser>
        <c:dLbls>
          <c:showLegendKey val="0"/>
          <c:showVal val="1"/>
          <c:showCatName val="0"/>
          <c:showSerName val="0"/>
          <c:showPercent val="0"/>
          <c:showBubbleSize val="0"/>
        </c:dLbls>
        <c:gapWidth val="219"/>
        <c:overlap val="-27"/>
        <c:axId val="292170353"/>
        <c:axId val="51845161"/>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Sheet1!$C$2:$C$5</c15:sqref>
                        </c15:fullRef>
                        <c15:formulaRef>
                          <c15:sqref>Sheet1!$C$2:$C$3</c15:sqref>
                        </c15:formulaRef>
                      </c:ext>
                    </c:extLst>
                    <c:numCache>
                      <c:formatCode>General</c:formatCode>
                      <c:ptCount val="2"/>
                    </c:numCache>
                  </c:numRef>
                </c:val>
              </c15:ser>
            </c15:filteredBarSeries>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Sheet1!$A$2:$A$5</c15:sqref>
                        </c15:fullRef>
                        <c15:formulaRef>
                          <c15:sqref>Sheet1!$A$2:$A$3</c15:sqref>
                        </c15:formulaRef>
                      </c:ext>
                    </c:extLst>
                    <c:strCache>
                      <c:ptCount val="2"/>
                      <c:pt idx="0">
                        <c:v>2019年</c:v>
                      </c:pt>
                      <c:pt idx="1">
                        <c:v>2020年</c:v>
                      </c:pt>
                    </c:strCache>
                  </c:strRef>
                </c:cat>
                <c:val>
                  <c:numRef>
                    <c:extLst>
                      <c:ext uri="{02D57815-91ED-43cb-92C2-25804820EDAC}">
                        <c15:fullRef>
                          <c15:sqref>Sheet1!$D$2:$D$5</c15:sqref>
                        </c15:fullRef>
                        <c15:formulaRef>
                          <c15:sqref>Sheet1!$D$2:$D$3</c15:sqref>
                        </c15:formulaRef>
                      </c:ext>
                    </c:extLst>
                    <c:numCache>
                      <c:formatCode>General</c:formatCode>
                      <c:ptCount val="2"/>
                    </c:numCache>
                  </c:numRef>
                </c:val>
              </c15:ser>
            </c15:filteredBarSeries>
          </c:ext>
        </c:extLst>
      </c:barChart>
      <c:catAx>
        <c:axId val="2921703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45161"/>
        <c:crosses val="autoZero"/>
        <c:auto val="1"/>
        <c:lblAlgn val="ctr"/>
        <c:lblOffset val="100"/>
        <c:noMultiLvlLbl val="0"/>
      </c:catAx>
      <c:valAx>
        <c:axId val="518451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1703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3418181818182"/>
          <c:y val="0.101849969505997"/>
          <c:w val="0.889658181818182"/>
          <c:h val="0.81406789997967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577.42</c:v>
                </c:pt>
                <c:pt idx="1">
                  <c:v>513.89</c:v>
                </c:pt>
              </c:numCache>
            </c:numRef>
          </c:val>
        </c:ser>
        <c:dLbls>
          <c:showLegendKey val="0"/>
          <c:showVal val="1"/>
          <c:showCatName val="0"/>
          <c:showSerName val="0"/>
          <c:showPercent val="0"/>
          <c:showBubbleSize val="0"/>
        </c:dLbls>
        <c:gapWidth val="219"/>
        <c:overlap val="-27"/>
        <c:axId val="455322082"/>
        <c:axId val="984484302"/>
      </c:barChart>
      <c:catAx>
        <c:axId val="4553220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484302"/>
        <c:crosses val="autoZero"/>
        <c:auto val="1"/>
        <c:lblAlgn val="ctr"/>
        <c:lblOffset val="100"/>
        <c:noMultiLvlLbl val="0"/>
      </c:catAx>
      <c:valAx>
        <c:axId val="984484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3220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351.99</c:v>
                </c:pt>
                <c:pt idx="1">
                  <c:v>111.5</c:v>
                </c:pt>
                <c:pt idx="2">
                  <c:v>15.67</c:v>
                </c:pt>
                <c:pt idx="3">
                  <c:v>34.73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10453</Words>
  <Characters>10974</Characters>
  <Lines>0</Lines>
  <Paragraphs>0</Paragraphs>
  <TotalTime>18</TotalTime>
  <ScaleCrop>false</ScaleCrop>
  <LinksUpToDate>false</LinksUpToDate>
  <CharactersWithSpaces>11128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2021-09-17T15:06:00Z</dcterms:created>
  <dc:creator>cw</dc:creator>
  <cp:lastModifiedBy>15</cp:lastModifiedBy>
  <dcterms:modified xsi:type="dcterms:W3CDTF">2021-10-11T02:03:17Z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D1A35B3DB791424B8DE8ADFBED7CB66E</vt:lpwstr>
  </property>
</Properties>
</file>