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colors3.xml" ContentType="application/vnd.ms-office.chartcolorstyle+xml"/>
  <Override PartName="/word/charts/colors4.xml" ContentType="application/vnd.ms-office.chartcolorstyle+xml"/>
  <Override PartName="/word/charts/colors5.xml" ContentType="application/vnd.ms-office.chartcolorstyle+xml"/>
  <Override PartName="/word/charts/colors6.xml" ContentType="application/vnd.ms-office.chartcolorstyle+xml"/>
  <Override PartName="/word/charts/colors7.xml" ContentType="application/vnd.ms-office.chartcolorstyle+xml"/>
  <Override PartName="/word/charts/style1.xml" ContentType="application/vnd.ms-office.chartstyle+xml"/>
  <Override PartName="/word/charts/style2.xml" ContentType="application/vnd.ms-office.chartstyle+xml"/>
  <Override PartName="/word/charts/style3.xml" ContentType="application/vnd.ms-office.chartstyle+xml"/>
  <Override PartName="/word/charts/style4.xml" ContentType="application/vnd.ms-office.chartstyle+xml"/>
  <Override PartName="/word/charts/style5.xml" ContentType="application/vnd.ms-office.chartstyle+xml"/>
  <Override PartName="/word/charts/style6.xml" ContentType="application/vnd.ms-office.chartstyle+xml"/>
  <Override PartName="/word/charts/style7.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left"/>
        <w:outlineLvl w:val="0"/>
        <w:rPr>
          <w:rFonts w:ascii="方正小标宋简体" w:hAnsi="宋体" w:eastAsia="方正小标宋简体"/>
          <w:color w:val="auto"/>
          <w:sz w:val="21"/>
          <w:szCs w:val="21"/>
          <w:highlight w:val="none"/>
        </w:rPr>
      </w:pPr>
      <w:bookmarkStart w:id="0" w:name="_Toc15306267"/>
    </w:p>
    <w:p>
      <w:pPr>
        <w:spacing w:line="600" w:lineRule="exact"/>
        <w:jc w:val="center"/>
        <w:outlineLvl w:val="0"/>
        <w:rPr>
          <w:rFonts w:ascii="方正小标宋简体" w:hAnsi="宋体" w:eastAsia="方正小标宋简体"/>
          <w:color w:val="auto"/>
          <w:sz w:val="72"/>
          <w:szCs w:val="72"/>
          <w:highlight w:val="none"/>
        </w:rPr>
      </w:pPr>
    </w:p>
    <w:p>
      <w:pPr>
        <w:spacing w:line="600" w:lineRule="exact"/>
        <w:jc w:val="center"/>
        <w:outlineLvl w:val="0"/>
        <w:rPr>
          <w:rFonts w:ascii="方正小标宋简体" w:hAnsi="宋体" w:eastAsia="方正小标宋简体"/>
          <w:color w:val="auto"/>
          <w:sz w:val="72"/>
          <w:szCs w:val="72"/>
          <w:highlight w:val="none"/>
        </w:rPr>
      </w:pPr>
    </w:p>
    <w:p>
      <w:pPr>
        <w:adjustRightInd w:val="0"/>
        <w:snapToGrid w:val="0"/>
        <w:spacing w:line="360" w:lineRule="auto"/>
        <w:jc w:val="center"/>
        <w:outlineLvl w:val="0"/>
        <w:rPr>
          <w:rFonts w:hint="eastAsia" w:ascii="方正小标宋简体" w:hAnsi="方正小标宋简体" w:eastAsia="方正小标宋简体" w:cs="方正小标宋简体"/>
          <w:color w:val="auto"/>
          <w:sz w:val="72"/>
          <w:szCs w:val="72"/>
          <w:highlight w:val="none"/>
        </w:rPr>
      </w:pPr>
      <w:bookmarkStart w:id="1" w:name="_Toc15377193"/>
      <w:bookmarkStart w:id="2" w:name="_Toc15396597"/>
      <w:bookmarkStart w:id="3" w:name="_Toc15378441"/>
      <w:bookmarkStart w:id="4" w:name="_Toc15377425"/>
      <w:bookmarkStart w:id="5" w:name="_Toc15396475"/>
      <w:r>
        <w:rPr>
          <w:rFonts w:hint="eastAsia" w:ascii="方正小标宋简体" w:hAnsi="方正小标宋简体" w:eastAsia="方正小标宋简体" w:cs="方正小标宋简体"/>
          <w:color w:val="auto"/>
          <w:sz w:val="72"/>
          <w:szCs w:val="72"/>
          <w:highlight w:val="none"/>
        </w:rPr>
        <w:t>20</w:t>
      </w:r>
      <w:r>
        <w:rPr>
          <w:rFonts w:hint="eastAsia" w:ascii="方正小标宋简体" w:hAnsi="方正小标宋简体" w:eastAsia="方正小标宋简体" w:cs="方正小标宋简体"/>
          <w:color w:val="auto"/>
          <w:sz w:val="72"/>
          <w:szCs w:val="72"/>
          <w:highlight w:val="none"/>
          <w:lang w:val="en-US" w:eastAsia="zh-CN"/>
        </w:rPr>
        <w:t>22</w:t>
      </w:r>
      <w:r>
        <w:rPr>
          <w:rFonts w:hint="eastAsia" w:ascii="方正小标宋简体" w:hAnsi="方正小标宋简体" w:eastAsia="方正小标宋简体" w:cs="方正小标宋简体"/>
          <w:color w:val="auto"/>
          <w:sz w:val="72"/>
          <w:szCs w:val="72"/>
          <w:highlight w:val="none"/>
        </w:rPr>
        <w:t>年度</w:t>
      </w:r>
      <w:bookmarkEnd w:id="1"/>
      <w:bookmarkEnd w:id="2"/>
      <w:bookmarkEnd w:id="3"/>
      <w:bookmarkEnd w:id="4"/>
      <w:bookmarkEnd w:id="5"/>
    </w:p>
    <w:bookmarkEnd w:id="0"/>
    <w:p>
      <w:pPr>
        <w:adjustRightInd w:val="0"/>
        <w:snapToGrid w:val="0"/>
        <w:spacing w:line="360" w:lineRule="auto"/>
        <w:jc w:val="center"/>
        <w:outlineLvl w:val="0"/>
        <w:rPr>
          <w:rFonts w:hint="eastAsia" w:ascii="方正小标宋简体" w:hAnsi="方正小标宋简体" w:eastAsia="方正小标宋简体"/>
          <w:kern w:val="2"/>
          <w:sz w:val="72"/>
          <w:szCs w:val="24"/>
          <w:lang w:val="en-US" w:eastAsia="zh-CN"/>
        </w:rPr>
      </w:pPr>
      <w:bookmarkStart w:id="6" w:name="_Toc15377194"/>
      <w:bookmarkStart w:id="7" w:name="_Toc15378442"/>
      <w:bookmarkStart w:id="8" w:name="_Toc15396476"/>
      <w:bookmarkStart w:id="9" w:name="_Toc15377426"/>
      <w:bookmarkStart w:id="10" w:name="_Toc15396598"/>
      <w:bookmarkStart w:id="11" w:name="_Toc15306268"/>
      <w:r>
        <w:rPr>
          <w:rFonts w:hint="eastAsia" w:ascii="方正小标宋简体" w:hAnsi="方正小标宋简体" w:eastAsia="方正小标宋简体"/>
          <w:kern w:val="2"/>
          <w:sz w:val="72"/>
          <w:szCs w:val="24"/>
          <w:lang w:val="zh-CN"/>
        </w:rPr>
        <w:t>四川省乐山市五通桥区委</w:t>
      </w:r>
      <w:r>
        <w:rPr>
          <w:rFonts w:hint="eastAsia" w:ascii="方正小标宋简体" w:hAnsi="方正小标宋简体" w:eastAsia="方正小标宋简体"/>
          <w:kern w:val="2"/>
          <w:sz w:val="72"/>
          <w:szCs w:val="24"/>
          <w:lang w:val="en-US" w:eastAsia="zh-CN"/>
        </w:rPr>
        <w:t>机构编制委员会办公室</w:t>
      </w:r>
    </w:p>
    <w:p>
      <w:pPr>
        <w:adjustRightInd w:val="0"/>
        <w:snapToGrid w:val="0"/>
        <w:spacing w:line="360" w:lineRule="auto"/>
        <w:jc w:val="center"/>
        <w:outlineLvl w:val="0"/>
        <w:rPr>
          <w:rFonts w:hint="eastAsia" w:ascii="方正小标宋简体" w:hAnsi="方正小标宋简体" w:eastAsia="方正小标宋简体" w:cs="方正小标宋简体"/>
          <w:color w:val="auto"/>
          <w:sz w:val="72"/>
          <w:szCs w:val="72"/>
          <w:highlight w:val="none"/>
        </w:rPr>
      </w:pPr>
      <w:r>
        <w:rPr>
          <w:rFonts w:hint="eastAsia" w:ascii="方正小标宋简体" w:hAnsi="方正小标宋简体" w:eastAsia="方正小标宋简体" w:cs="方正小标宋简体"/>
          <w:color w:val="auto"/>
          <w:sz w:val="72"/>
          <w:szCs w:val="72"/>
          <w:highlight w:val="none"/>
          <w:lang w:eastAsia="zh-CN"/>
        </w:rPr>
        <w:t>单位</w:t>
      </w:r>
      <w:r>
        <w:rPr>
          <w:rFonts w:hint="eastAsia" w:ascii="方正小标宋简体" w:hAnsi="方正小标宋简体" w:eastAsia="方正小标宋简体" w:cs="方正小标宋简体"/>
          <w:color w:val="auto"/>
          <w:sz w:val="72"/>
          <w:szCs w:val="72"/>
          <w:highlight w:val="none"/>
        </w:rPr>
        <w:t>决算</w:t>
      </w:r>
      <w:bookmarkEnd w:id="6"/>
      <w:bookmarkEnd w:id="7"/>
      <w:bookmarkEnd w:id="8"/>
      <w:bookmarkEnd w:id="9"/>
      <w:bookmarkEnd w:id="10"/>
      <w:bookmarkEnd w:id="11"/>
    </w:p>
    <w:p>
      <w:pPr>
        <w:widowControl/>
        <w:jc w:val="center"/>
        <w:rPr>
          <w:rFonts w:ascii="黑体" w:hAnsi="黑体" w:eastAsia="黑体"/>
          <w:color w:val="auto"/>
          <w:sz w:val="48"/>
          <w:szCs w:val="48"/>
          <w:highlight w:val="none"/>
        </w:rPr>
      </w:pPr>
      <w:r>
        <w:rPr>
          <w:rFonts w:ascii="方正小标宋简体" w:hAnsi="宋体" w:eastAsia="方正小标宋简体"/>
          <w:color w:val="auto"/>
          <w:sz w:val="36"/>
          <w:szCs w:val="36"/>
          <w:highlight w:val="none"/>
        </w:rPr>
        <w:br w:type="page"/>
      </w:r>
      <w:r>
        <w:rPr>
          <w:rFonts w:hint="eastAsia" w:ascii="黑体" w:hAnsi="黑体" w:eastAsia="黑体"/>
          <w:color w:val="auto"/>
          <w:sz w:val="48"/>
          <w:szCs w:val="48"/>
          <w:highlight w:val="none"/>
        </w:rPr>
        <w:t>目录</w:t>
      </w:r>
    </w:p>
    <w:p>
      <w:pPr>
        <w:widowControl/>
        <w:jc w:val="center"/>
        <w:rPr>
          <w:rFonts w:ascii="黑体" w:hAnsi="黑体" w:eastAsia="黑体" w:cstheme="minorBidi"/>
          <w:color w:val="auto"/>
          <w:sz w:val="28"/>
          <w:szCs w:val="28"/>
          <w:highlight w:val="none"/>
        </w:rPr>
      </w:pPr>
    </w:p>
    <w:p>
      <w:pPr>
        <w:pStyle w:val="12"/>
        <w:rPr>
          <w:color w:val="auto"/>
          <w:highlight w:val="none"/>
        </w:rPr>
      </w:pPr>
      <w:r>
        <w:rPr>
          <w:rFonts w:hint="eastAsia"/>
          <w:color w:val="auto"/>
          <w:highlight w:val="none"/>
        </w:rPr>
        <w:t>公开时间：20</w:t>
      </w:r>
      <w:r>
        <w:rPr>
          <w:rFonts w:hint="eastAsia"/>
          <w:color w:val="auto"/>
          <w:highlight w:val="none"/>
          <w:lang w:val="en-US" w:eastAsia="zh-CN"/>
        </w:rPr>
        <w:t>23</w:t>
      </w:r>
      <w:r>
        <w:rPr>
          <w:rFonts w:hint="eastAsia"/>
          <w:color w:val="auto"/>
          <w:highlight w:val="none"/>
        </w:rPr>
        <w:t>年</w:t>
      </w:r>
      <w:r>
        <w:rPr>
          <w:rFonts w:hint="eastAsia"/>
          <w:color w:val="auto"/>
          <w:highlight w:val="none"/>
          <w:lang w:val="en-US" w:eastAsia="zh-CN"/>
        </w:rPr>
        <w:t>12</w:t>
      </w:r>
      <w:r>
        <w:rPr>
          <w:rFonts w:hint="eastAsia"/>
          <w:color w:val="auto"/>
          <w:highlight w:val="none"/>
        </w:rPr>
        <w:t>月</w:t>
      </w:r>
      <w:r>
        <w:rPr>
          <w:rFonts w:hint="eastAsia"/>
          <w:color w:val="auto"/>
          <w:highlight w:val="none"/>
          <w:lang w:val="en-US" w:eastAsia="zh-CN"/>
        </w:rPr>
        <w:t>18</w:t>
      </w:r>
      <w:r>
        <w:rPr>
          <w:rFonts w:hint="eastAsia"/>
          <w:color w:val="auto"/>
          <w:highlight w:val="none"/>
        </w:rPr>
        <w:t>日</w:t>
      </w:r>
    </w:p>
    <w:p>
      <w:pPr>
        <w:rPr>
          <w:color w:val="auto"/>
          <w:highlight w:val="none"/>
        </w:rPr>
      </w:pPr>
    </w:p>
    <w:p>
      <w:pPr>
        <w:pStyle w:val="12"/>
        <w:adjustRightInd w:val="0"/>
        <w:snapToGrid w:val="0"/>
        <w:spacing w:before="0" w:line="440" w:lineRule="exact"/>
        <w:jc w:val="left"/>
        <w:rPr>
          <w:rFonts w:cstheme="minorBidi"/>
          <w:color w:val="auto"/>
          <w:sz w:val="24"/>
          <w:szCs w:val="24"/>
          <w:highlight w:val="none"/>
        </w:rPr>
      </w:pPr>
      <w:r>
        <w:rPr>
          <w:rFonts w:hint="eastAsia"/>
          <w:color w:val="auto"/>
          <w:sz w:val="24"/>
          <w:highlight w:val="none"/>
        </w:rPr>
        <w:t>第一部分</w:t>
      </w:r>
      <w:r>
        <w:rPr>
          <w:color w:val="auto"/>
          <w:sz w:val="24"/>
          <w:highlight w:val="none"/>
        </w:rPr>
        <w:t xml:space="preserve"> </w:t>
      </w:r>
      <w:r>
        <w:rPr>
          <w:rFonts w:hint="eastAsia"/>
          <w:color w:val="auto"/>
          <w:sz w:val="24"/>
          <w:highlight w:val="none"/>
          <w:lang w:eastAsia="zh-CN"/>
        </w:rPr>
        <w:t>单位</w:t>
      </w:r>
      <w:r>
        <w:rPr>
          <w:rFonts w:hint="eastAsia"/>
          <w:color w:val="auto"/>
          <w:sz w:val="24"/>
          <w:highlight w:val="none"/>
        </w:rPr>
        <w:t>概况</w:t>
      </w:r>
    </w:p>
    <w:p>
      <w:pPr>
        <w:pStyle w:val="13"/>
        <w:adjustRightInd w:val="0"/>
        <w:snapToGrid w:val="0"/>
        <w:spacing w:line="440" w:lineRule="exact"/>
        <w:jc w:val="left"/>
        <w:rPr>
          <w:rFonts w:hint="eastAsia" w:eastAsia="宋体"/>
          <w:color w:val="auto"/>
          <w:sz w:val="24"/>
          <w:highlight w:val="none"/>
          <w:lang w:eastAsia="zh-CN"/>
        </w:rPr>
      </w:pPr>
      <w:r>
        <w:rPr>
          <w:rFonts w:hint="eastAsia"/>
          <w:color w:val="auto"/>
          <w:sz w:val="24"/>
          <w:highlight w:val="none"/>
        </w:rPr>
        <w:t>一、</w:t>
      </w:r>
      <w:r>
        <w:rPr>
          <w:rFonts w:hint="eastAsia"/>
          <w:color w:val="auto"/>
          <w:sz w:val="24"/>
          <w:highlight w:val="none"/>
          <w:lang w:eastAsia="zh-CN"/>
        </w:rPr>
        <w:t>主要职责</w:t>
      </w:r>
    </w:p>
    <w:p>
      <w:pPr>
        <w:pStyle w:val="13"/>
        <w:adjustRightInd w:val="0"/>
        <w:snapToGrid w:val="0"/>
        <w:spacing w:line="440" w:lineRule="exact"/>
        <w:jc w:val="left"/>
        <w:rPr>
          <w:rFonts w:hint="eastAsia" w:eastAsia="宋体"/>
          <w:color w:val="auto"/>
          <w:lang w:eastAsia="zh-CN"/>
        </w:rPr>
      </w:pPr>
      <w:r>
        <w:rPr>
          <w:rFonts w:hint="eastAsia"/>
          <w:color w:val="auto"/>
          <w:sz w:val="24"/>
          <w:highlight w:val="none"/>
          <w:lang w:eastAsia="zh-CN"/>
        </w:rPr>
        <w:t>二</w:t>
      </w:r>
      <w:r>
        <w:rPr>
          <w:rFonts w:hint="eastAsia"/>
          <w:color w:val="auto"/>
          <w:sz w:val="24"/>
          <w:highlight w:val="none"/>
        </w:rPr>
        <w:t>、</w:t>
      </w:r>
      <w:r>
        <w:rPr>
          <w:rFonts w:hint="eastAsia"/>
          <w:color w:val="auto"/>
          <w:sz w:val="24"/>
          <w:highlight w:val="none"/>
          <w:lang w:eastAsia="zh-CN"/>
        </w:rPr>
        <w:t>机构设置</w:t>
      </w:r>
    </w:p>
    <w:p>
      <w:pPr>
        <w:pStyle w:val="12"/>
        <w:adjustRightInd w:val="0"/>
        <w:snapToGrid w:val="0"/>
        <w:spacing w:before="0" w:line="440" w:lineRule="exact"/>
        <w:jc w:val="left"/>
        <w:rPr>
          <w:color w:val="auto"/>
          <w:sz w:val="24"/>
          <w:szCs w:val="24"/>
          <w:highlight w:val="none"/>
        </w:rPr>
      </w:pPr>
      <w:r>
        <w:rPr>
          <w:rFonts w:hint="eastAsia"/>
          <w:color w:val="auto"/>
          <w:sz w:val="24"/>
          <w:highlight w:val="none"/>
        </w:rPr>
        <w:t>第二部分</w:t>
      </w:r>
      <w:r>
        <w:rPr>
          <w:rFonts w:hint="eastAsia"/>
          <w:color w:val="auto"/>
          <w:sz w:val="24"/>
          <w:highlight w:val="none"/>
          <w:lang w:val="en-US" w:eastAsia="zh-CN"/>
        </w:rPr>
        <w:t xml:space="preserve"> 2022年度</w:t>
      </w:r>
      <w:r>
        <w:rPr>
          <w:rFonts w:hint="eastAsia"/>
          <w:color w:val="auto"/>
          <w:sz w:val="24"/>
          <w:highlight w:val="none"/>
          <w:lang w:eastAsia="zh-CN"/>
        </w:rPr>
        <w:t>单位</w:t>
      </w:r>
      <w:r>
        <w:rPr>
          <w:rFonts w:hint="eastAsia"/>
          <w:color w:val="auto"/>
          <w:sz w:val="24"/>
          <w:highlight w:val="none"/>
        </w:rPr>
        <w:t>决算情况说明</w:t>
      </w:r>
    </w:p>
    <w:p>
      <w:pPr>
        <w:pStyle w:val="13"/>
        <w:adjustRightInd w:val="0"/>
        <w:snapToGrid w:val="0"/>
        <w:spacing w:line="440" w:lineRule="exact"/>
        <w:jc w:val="left"/>
        <w:rPr>
          <w:rFonts w:ascii="仿宋" w:hAnsi="仿宋" w:eastAsia="仿宋" w:cstheme="minorBidi"/>
          <w:color w:val="auto"/>
          <w:sz w:val="24"/>
          <w:highlight w:val="none"/>
        </w:rPr>
      </w:pPr>
      <w:r>
        <w:rPr>
          <w:rFonts w:hint="eastAsia"/>
          <w:color w:val="auto"/>
          <w:sz w:val="24"/>
          <w:highlight w:val="none"/>
        </w:rPr>
        <w:t>一、收入支出决算总体情况说明</w:t>
      </w:r>
    </w:p>
    <w:p>
      <w:pPr>
        <w:pStyle w:val="13"/>
        <w:adjustRightInd w:val="0"/>
        <w:snapToGrid w:val="0"/>
        <w:spacing w:line="440" w:lineRule="exact"/>
        <w:jc w:val="left"/>
        <w:rPr>
          <w:rFonts w:ascii="仿宋" w:hAnsi="仿宋" w:eastAsia="仿宋" w:cstheme="minorBidi"/>
          <w:color w:val="auto"/>
          <w:sz w:val="24"/>
          <w:highlight w:val="none"/>
        </w:rPr>
      </w:pPr>
      <w:r>
        <w:rPr>
          <w:rFonts w:hint="eastAsia"/>
          <w:color w:val="auto"/>
          <w:sz w:val="24"/>
          <w:highlight w:val="none"/>
        </w:rPr>
        <w:t>二、收入决算情况说明</w:t>
      </w:r>
    </w:p>
    <w:p>
      <w:pPr>
        <w:pStyle w:val="13"/>
        <w:adjustRightInd w:val="0"/>
        <w:snapToGrid w:val="0"/>
        <w:spacing w:line="440" w:lineRule="exact"/>
        <w:jc w:val="left"/>
        <w:rPr>
          <w:rFonts w:ascii="仿宋" w:hAnsi="仿宋" w:eastAsia="仿宋" w:cstheme="minorBidi"/>
          <w:color w:val="auto"/>
          <w:sz w:val="24"/>
          <w:highlight w:val="none"/>
        </w:rPr>
      </w:pPr>
      <w:r>
        <w:rPr>
          <w:rFonts w:hint="eastAsia"/>
          <w:color w:val="auto"/>
          <w:sz w:val="24"/>
          <w:highlight w:val="none"/>
        </w:rPr>
        <w:t>三、支出决算情况说明</w:t>
      </w:r>
    </w:p>
    <w:p>
      <w:pPr>
        <w:pStyle w:val="13"/>
        <w:adjustRightInd w:val="0"/>
        <w:snapToGrid w:val="0"/>
        <w:spacing w:line="440" w:lineRule="exact"/>
        <w:jc w:val="left"/>
        <w:rPr>
          <w:rFonts w:ascii="仿宋" w:hAnsi="仿宋" w:eastAsia="仿宋" w:cstheme="minorBidi"/>
          <w:color w:val="auto"/>
          <w:sz w:val="24"/>
          <w:highlight w:val="none"/>
        </w:rPr>
      </w:pPr>
      <w:r>
        <w:rPr>
          <w:rFonts w:hint="eastAsia"/>
          <w:color w:val="auto"/>
          <w:sz w:val="24"/>
          <w:highlight w:val="none"/>
        </w:rPr>
        <w:t>四、财政拨款收入支出决算总体情况说明</w:t>
      </w:r>
    </w:p>
    <w:p>
      <w:pPr>
        <w:pStyle w:val="13"/>
        <w:adjustRightInd w:val="0"/>
        <w:snapToGrid w:val="0"/>
        <w:spacing w:line="440" w:lineRule="exact"/>
        <w:jc w:val="left"/>
        <w:rPr>
          <w:rFonts w:ascii="仿宋" w:hAnsi="仿宋" w:eastAsia="仿宋" w:cstheme="minorBidi"/>
          <w:color w:val="auto"/>
          <w:sz w:val="24"/>
          <w:highlight w:val="none"/>
        </w:rPr>
      </w:pPr>
      <w:r>
        <w:rPr>
          <w:rFonts w:hint="eastAsia"/>
          <w:color w:val="auto"/>
          <w:sz w:val="24"/>
          <w:highlight w:val="none"/>
        </w:rPr>
        <w:t>五、一般公共预算财政拨款支出决算情况说明</w:t>
      </w:r>
    </w:p>
    <w:p>
      <w:pPr>
        <w:pStyle w:val="13"/>
        <w:adjustRightInd w:val="0"/>
        <w:snapToGrid w:val="0"/>
        <w:spacing w:line="440" w:lineRule="exact"/>
        <w:jc w:val="left"/>
        <w:rPr>
          <w:rFonts w:ascii="仿宋" w:hAnsi="仿宋" w:eastAsia="仿宋" w:cstheme="minorBidi"/>
          <w:color w:val="auto"/>
          <w:sz w:val="24"/>
          <w:highlight w:val="none"/>
        </w:rPr>
      </w:pPr>
      <w:r>
        <w:rPr>
          <w:rFonts w:hint="eastAsia"/>
          <w:color w:val="auto"/>
          <w:sz w:val="24"/>
          <w:highlight w:val="none"/>
        </w:rPr>
        <w:t>六、一般公共预算财政拨款基本支出决算情况说明</w:t>
      </w:r>
    </w:p>
    <w:p>
      <w:pPr>
        <w:pStyle w:val="13"/>
        <w:adjustRightInd w:val="0"/>
        <w:snapToGrid w:val="0"/>
        <w:spacing w:line="440" w:lineRule="exact"/>
        <w:jc w:val="left"/>
        <w:rPr>
          <w:rFonts w:ascii="仿宋" w:hAnsi="仿宋" w:eastAsia="仿宋" w:cstheme="minorBidi"/>
          <w:color w:val="auto"/>
          <w:sz w:val="24"/>
          <w:highlight w:val="none"/>
        </w:rPr>
      </w:pPr>
      <w:r>
        <w:rPr>
          <w:rFonts w:hint="eastAsia"/>
          <w:color w:val="auto"/>
          <w:sz w:val="24"/>
          <w:highlight w:val="none"/>
        </w:rPr>
        <w:t>七、财政拨款</w:t>
      </w:r>
      <w:r>
        <w:rPr>
          <w:rFonts w:hint="eastAsia"/>
          <w:color w:val="auto"/>
          <w:sz w:val="24"/>
          <w:highlight w:val="none"/>
          <w:lang w:eastAsia="zh-CN"/>
        </w:rPr>
        <w:t>“</w:t>
      </w:r>
      <w:r>
        <w:rPr>
          <w:rFonts w:hint="eastAsia"/>
          <w:color w:val="auto"/>
          <w:sz w:val="24"/>
          <w:highlight w:val="none"/>
        </w:rPr>
        <w:t>三公”经费支出决算情况说明</w:t>
      </w:r>
    </w:p>
    <w:p>
      <w:pPr>
        <w:pStyle w:val="13"/>
        <w:adjustRightInd w:val="0"/>
        <w:snapToGrid w:val="0"/>
        <w:spacing w:line="440" w:lineRule="exact"/>
        <w:jc w:val="left"/>
        <w:rPr>
          <w:rFonts w:ascii="仿宋" w:hAnsi="仿宋" w:eastAsia="仿宋" w:cstheme="minorBidi"/>
          <w:color w:val="auto"/>
          <w:sz w:val="24"/>
          <w:highlight w:val="none"/>
        </w:rPr>
      </w:pPr>
      <w:r>
        <w:rPr>
          <w:rFonts w:hint="eastAsia"/>
          <w:color w:val="auto"/>
          <w:sz w:val="24"/>
          <w:highlight w:val="none"/>
        </w:rPr>
        <w:t>八、政府性基金预算支出决算情况说明</w:t>
      </w:r>
    </w:p>
    <w:p>
      <w:pPr>
        <w:pStyle w:val="13"/>
        <w:adjustRightInd w:val="0"/>
        <w:snapToGrid w:val="0"/>
        <w:spacing w:line="440" w:lineRule="exact"/>
        <w:jc w:val="left"/>
        <w:rPr>
          <w:rFonts w:hint="eastAsia"/>
          <w:color w:val="auto"/>
          <w:sz w:val="24"/>
          <w:highlight w:val="none"/>
        </w:rPr>
      </w:pPr>
      <w:r>
        <w:rPr>
          <w:rFonts w:hint="eastAsia"/>
          <w:color w:val="auto"/>
          <w:sz w:val="24"/>
          <w:highlight w:val="none"/>
        </w:rPr>
        <w:t>九、国有资本经营预算支出决算情况说明</w:t>
      </w:r>
    </w:p>
    <w:p>
      <w:pPr>
        <w:pStyle w:val="13"/>
        <w:adjustRightInd w:val="0"/>
        <w:snapToGrid w:val="0"/>
        <w:spacing w:line="440" w:lineRule="exact"/>
        <w:jc w:val="left"/>
        <w:rPr>
          <w:rFonts w:hint="eastAsia"/>
          <w:color w:val="auto"/>
          <w:sz w:val="24"/>
          <w:highlight w:val="none"/>
          <w:lang w:eastAsia="zh-CN"/>
        </w:rPr>
      </w:pPr>
      <w:r>
        <w:rPr>
          <w:rFonts w:hint="eastAsia"/>
          <w:color w:val="auto"/>
          <w:sz w:val="24"/>
          <w:highlight w:val="none"/>
        </w:rPr>
        <w:t>十、其他重要事项的情况说明</w:t>
      </w:r>
    </w:p>
    <w:p>
      <w:pPr>
        <w:pStyle w:val="12"/>
        <w:adjustRightInd w:val="0"/>
        <w:snapToGrid w:val="0"/>
        <w:spacing w:before="0" w:line="440" w:lineRule="exact"/>
        <w:jc w:val="left"/>
        <w:rPr>
          <w:rFonts w:cstheme="minorBidi"/>
          <w:color w:val="auto"/>
          <w:sz w:val="24"/>
          <w:szCs w:val="24"/>
          <w:highlight w:val="none"/>
        </w:rPr>
      </w:pPr>
      <w:r>
        <w:rPr>
          <w:rFonts w:hint="eastAsia"/>
          <w:color w:val="auto"/>
          <w:sz w:val="24"/>
          <w:highlight w:val="none"/>
        </w:rPr>
        <w:t>第三部分</w:t>
      </w:r>
      <w:r>
        <w:rPr>
          <w:color w:val="auto"/>
          <w:sz w:val="24"/>
          <w:highlight w:val="none"/>
        </w:rPr>
        <w:t xml:space="preserve"> </w:t>
      </w:r>
      <w:r>
        <w:rPr>
          <w:rFonts w:hint="eastAsia"/>
          <w:color w:val="auto"/>
          <w:sz w:val="24"/>
          <w:highlight w:val="none"/>
        </w:rPr>
        <w:t>名词解释</w:t>
      </w:r>
    </w:p>
    <w:p>
      <w:pPr>
        <w:pStyle w:val="12"/>
        <w:adjustRightInd w:val="0"/>
        <w:snapToGrid w:val="0"/>
        <w:spacing w:before="0" w:line="440" w:lineRule="exact"/>
        <w:jc w:val="left"/>
        <w:rPr>
          <w:rFonts w:cstheme="minorBidi"/>
          <w:color w:val="auto"/>
          <w:sz w:val="24"/>
          <w:szCs w:val="24"/>
          <w:highlight w:val="none"/>
        </w:rPr>
      </w:pPr>
      <w:r>
        <w:rPr>
          <w:rFonts w:hint="eastAsia"/>
          <w:color w:val="auto"/>
          <w:sz w:val="24"/>
          <w:highlight w:val="none"/>
        </w:rPr>
        <w:t>第四部分</w:t>
      </w:r>
      <w:r>
        <w:rPr>
          <w:color w:val="auto"/>
          <w:sz w:val="24"/>
          <w:highlight w:val="none"/>
        </w:rPr>
        <w:t xml:space="preserve"> </w:t>
      </w:r>
      <w:r>
        <w:rPr>
          <w:rFonts w:hint="eastAsia"/>
          <w:color w:val="auto"/>
          <w:sz w:val="24"/>
          <w:highlight w:val="none"/>
        </w:rPr>
        <w:t>附件</w:t>
      </w:r>
    </w:p>
    <w:p>
      <w:pPr>
        <w:pStyle w:val="12"/>
        <w:adjustRightInd w:val="0"/>
        <w:snapToGrid w:val="0"/>
        <w:spacing w:before="0" w:line="440" w:lineRule="exact"/>
        <w:jc w:val="left"/>
        <w:rPr>
          <w:rFonts w:cstheme="minorBidi"/>
          <w:color w:val="auto"/>
          <w:sz w:val="24"/>
          <w:szCs w:val="24"/>
          <w:highlight w:val="none"/>
        </w:rPr>
      </w:pPr>
      <w:r>
        <w:rPr>
          <w:rFonts w:hint="eastAsia"/>
          <w:color w:val="auto"/>
          <w:sz w:val="24"/>
          <w:highlight w:val="none"/>
        </w:rPr>
        <w:t>第五部分</w:t>
      </w:r>
      <w:r>
        <w:rPr>
          <w:color w:val="auto"/>
          <w:sz w:val="24"/>
          <w:highlight w:val="none"/>
        </w:rPr>
        <w:t xml:space="preserve"> </w:t>
      </w:r>
      <w:r>
        <w:rPr>
          <w:rFonts w:hint="eastAsia"/>
          <w:color w:val="auto"/>
          <w:sz w:val="24"/>
          <w:highlight w:val="none"/>
        </w:rPr>
        <w:t>附表</w:t>
      </w:r>
    </w:p>
    <w:p>
      <w:pPr>
        <w:pStyle w:val="13"/>
        <w:adjustRightInd w:val="0"/>
        <w:snapToGrid w:val="0"/>
        <w:spacing w:line="440" w:lineRule="exact"/>
        <w:jc w:val="left"/>
        <w:rPr>
          <w:rFonts w:hint="eastAsia"/>
          <w:color w:val="auto"/>
          <w:sz w:val="24"/>
          <w:highlight w:val="none"/>
        </w:rPr>
      </w:pPr>
      <w:r>
        <w:rPr>
          <w:rFonts w:hint="eastAsia"/>
          <w:color w:val="auto"/>
          <w:sz w:val="24"/>
          <w:highlight w:val="none"/>
        </w:rPr>
        <w:t>一、收入支出决算总表</w:t>
      </w:r>
    </w:p>
    <w:p>
      <w:pPr>
        <w:pStyle w:val="13"/>
        <w:adjustRightInd w:val="0"/>
        <w:snapToGrid w:val="0"/>
        <w:spacing w:line="440" w:lineRule="exact"/>
        <w:jc w:val="left"/>
        <w:rPr>
          <w:rFonts w:hint="eastAsia"/>
          <w:color w:val="auto"/>
          <w:sz w:val="24"/>
          <w:highlight w:val="none"/>
        </w:rPr>
      </w:pPr>
      <w:r>
        <w:rPr>
          <w:rFonts w:hint="eastAsia"/>
          <w:color w:val="auto"/>
          <w:sz w:val="24"/>
          <w:highlight w:val="none"/>
        </w:rPr>
        <w:t>二、收入决算表</w:t>
      </w:r>
    </w:p>
    <w:p>
      <w:pPr>
        <w:pStyle w:val="13"/>
        <w:adjustRightInd w:val="0"/>
        <w:snapToGrid w:val="0"/>
        <w:spacing w:line="440" w:lineRule="exact"/>
        <w:jc w:val="left"/>
        <w:rPr>
          <w:rFonts w:hint="eastAsia"/>
          <w:color w:val="auto"/>
          <w:sz w:val="24"/>
          <w:highlight w:val="none"/>
        </w:rPr>
      </w:pPr>
      <w:r>
        <w:rPr>
          <w:rFonts w:hint="eastAsia"/>
          <w:color w:val="auto"/>
          <w:sz w:val="24"/>
          <w:highlight w:val="none"/>
        </w:rPr>
        <w:t>三、支出决算表</w:t>
      </w:r>
    </w:p>
    <w:p>
      <w:pPr>
        <w:pStyle w:val="13"/>
        <w:adjustRightInd w:val="0"/>
        <w:snapToGrid w:val="0"/>
        <w:spacing w:line="440" w:lineRule="exact"/>
        <w:jc w:val="left"/>
        <w:rPr>
          <w:rFonts w:hint="eastAsia"/>
          <w:color w:val="auto"/>
          <w:sz w:val="24"/>
          <w:highlight w:val="none"/>
        </w:rPr>
      </w:pPr>
      <w:r>
        <w:rPr>
          <w:rFonts w:hint="eastAsia"/>
          <w:color w:val="auto"/>
          <w:sz w:val="24"/>
          <w:highlight w:val="none"/>
        </w:rPr>
        <w:t>四、财政拨款收入支出决算总表</w:t>
      </w:r>
    </w:p>
    <w:p>
      <w:pPr>
        <w:pStyle w:val="13"/>
        <w:adjustRightInd w:val="0"/>
        <w:snapToGrid w:val="0"/>
        <w:spacing w:line="440" w:lineRule="exact"/>
        <w:jc w:val="left"/>
        <w:rPr>
          <w:rFonts w:hint="eastAsia"/>
          <w:color w:val="auto"/>
          <w:sz w:val="24"/>
          <w:highlight w:val="none"/>
        </w:rPr>
      </w:pPr>
      <w:r>
        <w:rPr>
          <w:rFonts w:hint="eastAsia"/>
          <w:color w:val="auto"/>
          <w:sz w:val="24"/>
          <w:highlight w:val="none"/>
        </w:rPr>
        <w:t>五、财政拨款支出决算明细表</w:t>
      </w:r>
    </w:p>
    <w:p>
      <w:pPr>
        <w:pStyle w:val="13"/>
        <w:adjustRightInd w:val="0"/>
        <w:snapToGrid w:val="0"/>
        <w:spacing w:line="440" w:lineRule="exact"/>
        <w:jc w:val="left"/>
        <w:rPr>
          <w:rFonts w:hint="eastAsia"/>
          <w:color w:val="auto"/>
          <w:sz w:val="24"/>
          <w:highlight w:val="none"/>
        </w:rPr>
      </w:pPr>
      <w:r>
        <w:rPr>
          <w:rFonts w:hint="eastAsia"/>
          <w:color w:val="auto"/>
          <w:sz w:val="24"/>
          <w:highlight w:val="none"/>
        </w:rPr>
        <w:t>六、一般公共预算财政拨款支出决算表</w:t>
      </w:r>
    </w:p>
    <w:p>
      <w:pPr>
        <w:pStyle w:val="13"/>
        <w:adjustRightInd w:val="0"/>
        <w:snapToGrid w:val="0"/>
        <w:spacing w:line="440" w:lineRule="exact"/>
        <w:jc w:val="left"/>
        <w:rPr>
          <w:rFonts w:hint="eastAsia"/>
          <w:color w:val="auto"/>
          <w:sz w:val="24"/>
          <w:highlight w:val="none"/>
        </w:rPr>
      </w:pPr>
      <w:r>
        <w:rPr>
          <w:rFonts w:hint="eastAsia"/>
          <w:color w:val="auto"/>
          <w:sz w:val="24"/>
          <w:highlight w:val="none"/>
        </w:rPr>
        <w:t>七、一般公共预算财政拨款支出决算明细表</w:t>
      </w:r>
    </w:p>
    <w:p>
      <w:pPr>
        <w:pStyle w:val="13"/>
        <w:adjustRightInd w:val="0"/>
        <w:snapToGrid w:val="0"/>
        <w:spacing w:line="440" w:lineRule="exact"/>
        <w:jc w:val="left"/>
        <w:rPr>
          <w:rFonts w:hint="eastAsia"/>
          <w:color w:val="auto"/>
          <w:sz w:val="24"/>
          <w:highlight w:val="none"/>
        </w:rPr>
      </w:pPr>
      <w:r>
        <w:rPr>
          <w:rFonts w:hint="eastAsia"/>
          <w:color w:val="auto"/>
          <w:sz w:val="24"/>
          <w:highlight w:val="none"/>
        </w:rPr>
        <w:t>八、一般公共预算财政拨款基本支出决算</w:t>
      </w:r>
      <w:r>
        <w:rPr>
          <w:rFonts w:hint="eastAsia"/>
          <w:color w:val="auto"/>
          <w:sz w:val="24"/>
          <w:highlight w:val="none"/>
          <w:lang w:eastAsia="zh-CN"/>
        </w:rPr>
        <w:t>明细</w:t>
      </w:r>
      <w:r>
        <w:rPr>
          <w:rFonts w:hint="eastAsia"/>
          <w:color w:val="auto"/>
          <w:sz w:val="24"/>
          <w:highlight w:val="none"/>
        </w:rPr>
        <w:t>表</w:t>
      </w:r>
    </w:p>
    <w:p>
      <w:pPr>
        <w:pStyle w:val="13"/>
        <w:adjustRightInd w:val="0"/>
        <w:snapToGrid w:val="0"/>
        <w:spacing w:line="440" w:lineRule="exact"/>
        <w:jc w:val="left"/>
        <w:rPr>
          <w:rFonts w:hint="eastAsia"/>
          <w:color w:val="auto"/>
          <w:sz w:val="24"/>
          <w:highlight w:val="none"/>
        </w:rPr>
      </w:pPr>
      <w:r>
        <w:rPr>
          <w:rFonts w:hint="eastAsia"/>
          <w:color w:val="auto"/>
          <w:sz w:val="24"/>
          <w:highlight w:val="none"/>
        </w:rPr>
        <w:t>九、一般公共预算财政拨款项目支出决算表</w:t>
      </w:r>
    </w:p>
    <w:p>
      <w:pPr>
        <w:pStyle w:val="13"/>
        <w:adjustRightInd w:val="0"/>
        <w:snapToGrid w:val="0"/>
        <w:spacing w:line="440" w:lineRule="exact"/>
        <w:jc w:val="left"/>
        <w:rPr>
          <w:rFonts w:hint="eastAsia"/>
          <w:color w:val="auto"/>
          <w:sz w:val="24"/>
          <w:highlight w:val="none"/>
        </w:rPr>
      </w:pPr>
      <w:r>
        <w:rPr>
          <w:rFonts w:hint="eastAsia"/>
          <w:color w:val="auto"/>
          <w:sz w:val="24"/>
          <w:highlight w:val="none"/>
        </w:rPr>
        <w:t>十、政府性基金预算财政拨款收入支出决算表</w:t>
      </w:r>
    </w:p>
    <w:p>
      <w:pPr>
        <w:pStyle w:val="13"/>
        <w:adjustRightInd w:val="0"/>
        <w:snapToGrid w:val="0"/>
        <w:spacing w:line="440" w:lineRule="exact"/>
        <w:jc w:val="left"/>
        <w:rPr>
          <w:rFonts w:hint="eastAsia"/>
          <w:color w:val="auto"/>
          <w:sz w:val="24"/>
          <w:highlight w:val="none"/>
        </w:rPr>
      </w:pPr>
      <w:r>
        <w:rPr>
          <w:rFonts w:hint="eastAsia"/>
          <w:color w:val="auto"/>
          <w:sz w:val="24"/>
          <w:highlight w:val="none"/>
        </w:rPr>
        <w:t>十一、国有资本经营预算财政拨款收入支出决算表</w:t>
      </w:r>
    </w:p>
    <w:p>
      <w:pPr>
        <w:pStyle w:val="13"/>
        <w:adjustRightInd w:val="0"/>
        <w:snapToGrid w:val="0"/>
        <w:spacing w:line="440" w:lineRule="exact"/>
        <w:jc w:val="left"/>
        <w:rPr>
          <w:rFonts w:hint="eastAsia"/>
          <w:color w:val="auto"/>
          <w:sz w:val="24"/>
          <w:highlight w:val="none"/>
        </w:rPr>
      </w:pPr>
      <w:r>
        <w:rPr>
          <w:rFonts w:hint="eastAsia"/>
          <w:color w:val="auto"/>
          <w:sz w:val="24"/>
          <w:highlight w:val="none"/>
        </w:rPr>
        <w:t>十二、</w:t>
      </w:r>
      <w:r>
        <w:rPr>
          <w:rFonts w:hint="eastAsia"/>
          <w:color w:val="auto"/>
          <w:sz w:val="24"/>
          <w:highlight w:val="none"/>
          <w:lang w:val="en-US" w:eastAsia="zh-CN"/>
        </w:rPr>
        <w:t>国有资本经营预算财政拨款支出决算表</w:t>
      </w:r>
    </w:p>
    <w:p>
      <w:pPr>
        <w:pStyle w:val="13"/>
        <w:adjustRightInd w:val="0"/>
        <w:snapToGrid w:val="0"/>
        <w:spacing w:line="440" w:lineRule="exact"/>
        <w:jc w:val="left"/>
        <w:rPr>
          <w:rFonts w:hint="eastAsia"/>
          <w:color w:val="auto"/>
          <w:sz w:val="24"/>
          <w:highlight w:val="none"/>
        </w:rPr>
      </w:pPr>
      <w:r>
        <w:rPr>
          <w:rFonts w:hint="eastAsia"/>
          <w:color w:val="auto"/>
          <w:sz w:val="24"/>
          <w:highlight w:val="none"/>
        </w:rPr>
        <w:t>十三、财政拨款“三公”经费支出决算表</w:t>
      </w:r>
    </w:p>
    <w:p>
      <w:pPr>
        <w:widowControl/>
        <w:adjustRightInd w:val="0"/>
        <w:snapToGrid w:val="0"/>
        <w:spacing w:line="440" w:lineRule="exact"/>
        <w:ind w:firstLine="1320" w:firstLineChars="550"/>
        <w:jc w:val="left"/>
        <w:rPr>
          <w:rFonts w:ascii="仿宋" w:hAnsi="仿宋" w:eastAsia="仿宋"/>
          <w:color w:val="auto"/>
          <w:sz w:val="24"/>
          <w:highlight w:val="red"/>
        </w:rPr>
      </w:pPr>
      <w:r>
        <w:rPr>
          <w:rFonts w:ascii="仿宋" w:hAnsi="仿宋" w:eastAsia="仿宋"/>
          <w:color w:val="auto"/>
          <w:sz w:val="24"/>
          <w:highlight w:val="red"/>
        </w:rPr>
        <w:t>(注：</w:t>
      </w:r>
      <w:r>
        <w:rPr>
          <w:rFonts w:hint="eastAsia" w:ascii="仿宋" w:hAnsi="仿宋" w:eastAsia="仿宋"/>
          <w:color w:val="auto"/>
          <w:sz w:val="24"/>
          <w:highlight w:val="red"/>
        </w:rPr>
        <w:t>请</w:t>
      </w:r>
      <w:r>
        <w:rPr>
          <w:rFonts w:hint="eastAsia" w:ascii="仿宋" w:hAnsi="仿宋" w:eastAsia="仿宋"/>
          <w:color w:val="auto"/>
          <w:sz w:val="24"/>
          <w:highlight w:val="red"/>
          <w:lang w:eastAsia="zh-CN"/>
        </w:rPr>
        <w:t>单位</w:t>
      </w:r>
      <w:r>
        <w:rPr>
          <w:rFonts w:hint="eastAsia" w:ascii="仿宋" w:hAnsi="仿宋" w:eastAsia="仿宋"/>
          <w:color w:val="auto"/>
          <w:sz w:val="24"/>
          <w:highlight w:val="red"/>
        </w:rPr>
        <w:t>根据实际注明页码</w:t>
      </w:r>
      <w:r>
        <w:rPr>
          <w:rFonts w:ascii="仿宋" w:hAnsi="仿宋" w:eastAsia="仿宋"/>
          <w:color w:val="auto"/>
          <w:sz w:val="24"/>
          <w:highlight w:val="red"/>
        </w:rPr>
        <w:t>)</w:t>
      </w:r>
    </w:p>
    <w:p>
      <w:pPr>
        <w:widowControl/>
        <w:spacing w:line="440" w:lineRule="exact"/>
        <w:jc w:val="left"/>
        <w:rPr>
          <w:rFonts w:ascii="仿宋" w:hAnsi="仿宋" w:eastAsia="仿宋"/>
          <w:bCs/>
          <w:color w:val="auto"/>
          <w:kern w:val="44"/>
          <w:sz w:val="24"/>
          <w:highlight w:val="none"/>
        </w:rPr>
      </w:pPr>
      <w:bookmarkStart w:id="12" w:name="_Toc15396599"/>
      <w:bookmarkStart w:id="13" w:name="_Toc15377196"/>
      <w:r>
        <w:rPr>
          <w:rFonts w:ascii="仿宋" w:hAnsi="仿宋" w:eastAsia="仿宋"/>
          <w:b/>
          <w:color w:val="auto"/>
          <w:sz w:val="24"/>
          <w:highlight w:val="none"/>
        </w:rPr>
        <w:br w:type="page"/>
      </w:r>
    </w:p>
    <w:p>
      <w:pPr>
        <w:pStyle w:val="4"/>
        <w:jc w:val="center"/>
        <w:rPr>
          <w:rStyle w:val="26"/>
          <w:rFonts w:ascii="黑体" w:hAnsi="黑体" w:eastAsia="黑体"/>
          <w:b/>
          <w:bCs w:val="0"/>
          <w:color w:val="auto"/>
          <w:highlight w:val="none"/>
        </w:rPr>
      </w:pPr>
      <w:r>
        <w:rPr>
          <w:rFonts w:hint="eastAsia" w:ascii="黑体" w:hAnsi="黑体" w:eastAsia="黑体"/>
          <w:b w:val="0"/>
          <w:color w:val="auto"/>
          <w:highlight w:val="none"/>
        </w:rPr>
        <w:t xml:space="preserve">第一部分 </w:t>
      </w:r>
      <w:r>
        <w:rPr>
          <w:rFonts w:hint="eastAsia" w:ascii="黑体" w:hAnsi="黑体" w:eastAsia="黑体"/>
          <w:b w:val="0"/>
          <w:color w:val="auto"/>
          <w:highlight w:val="none"/>
          <w:lang w:eastAsia="zh-CN"/>
        </w:rPr>
        <w:t>单位</w:t>
      </w:r>
      <w:r>
        <w:rPr>
          <w:rStyle w:val="26"/>
          <w:rFonts w:hint="eastAsia" w:ascii="黑体" w:hAnsi="黑体" w:eastAsia="黑体"/>
          <w:b w:val="0"/>
          <w:bCs w:val="0"/>
          <w:color w:val="auto"/>
          <w:highlight w:val="none"/>
        </w:rPr>
        <w:t>概况</w:t>
      </w:r>
      <w:bookmarkEnd w:id="12"/>
      <w:bookmarkEnd w:id="13"/>
    </w:p>
    <w:p>
      <w:pPr>
        <w:widowControl/>
        <w:jc w:val="left"/>
        <w:rPr>
          <w:rFonts w:ascii="黑体" w:eastAsia="黑体"/>
          <w:color w:val="auto"/>
          <w:sz w:val="32"/>
          <w:szCs w:val="32"/>
          <w:highlight w:val="none"/>
        </w:rPr>
      </w:pPr>
    </w:p>
    <w:p>
      <w:pPr>
        <w:pStyle w:val="5"/>
        <w:numPr>
          <w:ilvl w:val="0"/>
          <w:numId w:val="1"/>
        </w:numPr>
        <w:ind w:left="630" w:leftChars="0" w:firstLineChars="0"/>
        <w:rPr>
          <w:rStyle w:val="27"/>
          <w:rFonts w:hint="eastAsia" w:ascii="黑体" w:hAnsi="黑体" w:eastAsia="黑体"/>
          <w:b w:val="0"/>
          <w:bCs w:val="0"/>
          <w:color w:val="auto"/>
          <w:highlight w:val="none"/>
          <w:lang w:eastAsia="zh-CN"/>
        </w:rPr>
      </w:pPr>
      <w:bookmarkStart w:id="14" w:name="_Toc15377197"/>
      <w:bookmarkStart w:id="15" w:name="_Toc15396600"/>
      <w:r>
        <w:rPr>
          <w:rStyle w:val="27"/>
          <w:rFonts w:hint="eastAsia" w:ascii="黑体" w:hAnsi="黑体" w:eastAsia="黑体"/>
          <w:b w:val="0"/>
          <w:bCs w:val="0"/>
          <w:color w:val="auto"/>
          <w:highlight w:val="none"/>
          <w:lang w:eastAsia="zh-CN"/>
        </w:rPr>
        <w:t>主要职责</w:t>
      </w:r>
    </w:p>
    <w:p>
      <w:pPr>
        <w:snapToGrid w:val="0"/>
        <w:spacing w:line="520" w:lineRule="exact"/>
        <w:ind w:firstLine="640" w:firstLineChars="200"/>
        <w:rPr>
          <w:rFonts w:hint="eastAsia" w:ascii="仿宋" w:hAnsi="仿宋" w:eastAsia="仿宋" w:cs="仿宋"/>
          <w:b w:val="0"/>
          <w:bCs w:val="0"/>
          <w:sz w:val="32"/>
          <w:lang w:val="en-US" w:eastAsia="zh-CN"/>
        </w:rPr>
      </w:pPr>
      <w:r>
        <w:rPr>
          <w:rFonts w:hint="eastAsia" w:ascii="仿宋" w:hAnsi="仿宋" w:eastAsia="仿宋" w:cs="仿宋"/>
          <w:b w:val="0"/>
          <w:bCs w:val="0"/>
          <w:sz w:val="32"/>
          <w:lang w:val="en-US" w:eastAsia="zh-CN"/>
        </w:rPr>
        <w:t>(1)贯彻执行中央和省、市关于机构编制工作的方针政策、法律法规等，组织草拟规范性文件并监督实施。</w:t>
      </w:r>
    </w:p>
    <w:p>
      <w:pPr>
        <w:snapToGrid w:val="0"/>
        <w:spacing w:line="520" w:lineRule="exact"/>
        <w:ind w:firstLine="640" w:firstLineChars="200"/>
        <w:rPr>
          <w:rFonts w:hint="eastAsia" w:ascii="仿宋" w:hAnsi="仿宋" w:eastAsia="仿宋" w:cs="仿宋"/>
          <w:b w:val="0"/>
          <w:bCs w:val="0"/>
          <w:sz w:val="32"/>
          <w:lang w:val="en-US" w:eastAsia="zh-CN"/>
        </w:rPr>
      </w:pPr>
      <w:r>
        <w:rPr>
          <w:rFonts w:hint="eastAsia" w:ascii="仿宋" w:hAnsi="仿宋" w:eastAsia="仿宋" w:cs="仿宋"/>
          <w:b w:val="0"/>
          <w:bCs w:val="0"/>
          <w:sz w:val="32"/>
          <w:lang w:val="en-US" w:eastAsia="zh-CN"/>
        </w:rPr>
        <w:t>(2)研究拟订改革方案，审核部门“三定”规定和乡镇机构改革方案，并评估改革效果。参与行政审批制度改革和行政区划调整有关工作。</w:t>
      </w:r>
    </w:p>
    <w:p>
      <w:pPr>
        <w:snapToGrid w:val="0"/>
        <w:spacing w:line="520" w:lineRule="exact"/>
        <w:ind w:firstLine="640" w:firstLineChars="200"/>
        <w:rPr>
          <w:rFonts w:hint="eastAsia" w:ascii="仿宋" w:hAnsi="仿宋" w:eastAsia="仿宋" w:cs="仿宋"/>
          <w:b w:val="0"/>
          <w:bCs w:val="0"/>
          <w:sz w:val="32"/>
          <w:lang w:val="en-US" w:eastAsia="zh-CN"/>
        </w:rPr>
      </w:pPr>
      <w:r>
        <w:rPr>
          <w:rFonts w:hint="eastAsia" w:ascii="仿宋" w:hAnsi="仿宋" w:eastAsia="仿宋" w:cs="仿宋"/>
          <w:b w:val="0"/>
          <w:bCs w:val="0"/>
          <w:sz w:val="32"/>
          <w:lang w:val="en-US" w:eastAsia="zh-CN"/>
        </w:rPr>
        <w:t>(3)拟订全区行政事业编制分配方案，上报跨层级调整编制事项。负责实名制管理，对区级机关事业单位使用空缺编制情况进行核批。</w:t>
      </w:r>
    </w:p>
    <w:p>
      <w:pPr>
        <w:snapToGrid w:val="0"/>
        <w:spacing w:line="520" w:lineRule="exact"/>
        <w:ind w:firstLine="640" w:firstLineChars="200"/>
        <w:rPr>
          <w:rFonts w:hint="eastAsia" w:ascii="仿宋" w:hAnsi="仿宋" w:eastAsia="仿宋" w:cs="仿宋"/>
          <w:b w:val="0"/>
          <w:bCs w:val="0"/>
          <w:sz w:val="32"/>
          <w:lang w:val="en-US" w:eastAsia="zh-CN"/>
        </w:rPr>
      </w:pPr>
      <w:r>
        <w:rPr>
          <w:rFonts w:hint="eastAsia" w:ascii="仿宋" w:hAnsi="仿宋" w:eastAsia="仿宋" w:cs="仿宋"/>
          <w:b w:val="0"/>
          <w:bCs w:val="0"/>
          <w:sz w:val="32"/>
          <w:lang w:val="en-US" w:eastAsia="zh-CN"/>
        </w:rPr>
        <w:t>(4)负责全区机构编制管理工作、审核部门内设机构设置和调整。监督检查全区机构改革及机构编制规定执行情况，开展考核评估，会同有关部门查处机构编制违法违纪行为。</w:t>
      </w:r>
    </w:p>
    <w:p>
      <w:pPr>
        <w:snapToGrid w:val="0"/>
        <w:spacing w:line="520" w:lineRule="exact"/>
        <w:ind w:firstLine="640" w:firstLineChars="200"/>
        <w:rPr>
          <w:rFonts w:hint="eastAsia" w:ascii="仿宋" w:hAnsi="仿宋" w:eastAsia="仿宋" w:cs="仿宋"/>
          <w:b w:val="0"/>
          <w:bCs w:val="0"/>
          <w:sz w:val="32"/>
          <w:lang w:val="en-US" w:eastAsia="zh-CN"/>
        </w:rPr>
      </w:pPr>
      <w:r>
        <w:rPr>
          <w:rFonts w:hint="eastAsia" w:ascii="仿宋" w:hAnsi="仿宋" w:eastAsia="仿宋" w:cs="仿宋"/>
          <w:b w:val="0"/>
          <w:bCs w:val="0"/>
          <w:sz w:val="32"/>
          <w:lang w:val="en-US" w:eastAsia="zh-CN"/>
        </w:rPr>
        <w:t>(5)研究拟订全区事业单位改革方案、负责事业单位机构编制管理。</w:t>
      </w:r>
    </w:p>
    <w:p>
      <w:pPr>
        <w:snapToGrid w:val="0"/>
        <w:spacing w:line="520" w:lineRule="exact"/>
        <w:ind w:firstLine="640" w:firstLineChars="200"/>
        <w:rPr>
          <w:rFonts w:hint="eastAsia" w:ascii="仿宋" w:hAnsi="仿宋" w:eastAsia="仿宋" w:cs="仿宋"/>
          <w:b w:val="0"/>
          <w:bCs w:val="0"/>
          <w:sz w:val="32"/>
          <w:lang w:val="en-US" w:eastAsia="zh-CN"/>
        </w:rPr>
      </w:pPr>
      <w:r>
        <w:rPr>
          <w:rFonts w:hint="eastAsia" w:ascii="仿宋" w:hAnsi="仿宋" w:eastAsia="仿宋" w:cs="仿宋"/>
          <w:b w:val="0"/>
          <w:bCs w:val="0"/>
          <w:sz w:val="32"/>
          <w:lang w:val="en-US" w:eastAsia="zh-CN"/>
        </w:rPr>
        <w:t>(6)负责全区事业单位登记管理、党政群机关事业单位政务和公益中文域名管理、统一社会信用代码赋码颁证工作。</w:t>
      </w:r>
    </w:p>
    <w:p>
      <w:pPr>
        <w:snapToGrid w:val="0"/>
        <w:spacing w:line="520" w:lineRule="exact"/>
        <w:ind w:firstLine="640" w:firstLineChars="200"/>
        <w:rPr>
          <w:rFonts w:hint="eastAsia" w:ascii="仿宋" w:hAnsi="仿宋" w:eastAsia="仿宋" w:cs="仿宋"/>
          <w:b w:val="0"/>
          <w:bCs w:val="0"/>
          <w:sz w:val="32"/>
          <w:lang w:val="en-US" w:eastAsia="zh-CN"/>
        </w:rPr>
      </w:pPr>
      <w:r>
        <w:rPr>
          <w:rFonts w:hint="eastAsia" w:ascii="仿宋" w:hAnsi="仿宋" w:eastAsia="仿宋" w:cs="仿宋"/>
          <w:b w:val="0"/>
          <w:bCs w:val="0"/>
          <w:sz w:val="32"/>
          <w:lang w:val="en-US" w:eastAsia="zh-CN"/>
        </w:rPr>
        <w:t>(7)负责职责范围内的安全生产和职业健康、生态环境保护等工作。</w:t>
      </w:r>
    </w:p>
    <w:p>
      <w:pPr>
        <w:snapToGrid w:val="0"/>
        <w:spacing w:line="520" w:lineRule="exact"/>
        <w:ind w:firstLine="640" w:firstLineChars="200"/>
        <w:rPr>
          <w:rFonts w:hint="eastAsia" w:ascii="仿宋" w:hAnsi="仿宋" w:eastAsia="仿宋" w:cs="仿宋"/>
          <w:b w:val="0"/>
          <w:bCs w:val="0"/>
          <w:sz w:val="32"/>
          <w:lang w:val="en-US" w:eastAsia="zh-CN"/>
        </w:rPr>
      </w:pPr>
      <w:r>
        <w:rPr>
          <w:rFonts w:hint="eastAsia" w:ascii="仿宋" w:hAnsi="仿宋" w:eastAsia="仿宋" w:cs="仿宋"/>
          <w:b w:val="0"/>
          <w:bCs w:val="0"/>
          <w:sz w:val="32"/>
          <w:lang w:val="en-US" w:eastAsia="zh-CN"/>
        </w:rPr>
        <w:t>(8)完成区委交办的其他工作。</w:t>
      </w:r>
    </w:p>
    <w:p>
      <w:pPr>
        <w:snapToGrid w:val="0"/>
        <w:spacing w:line="520" w:lineRule="exact"/>
        <w:ind w:firstLine="640" w:firstLineChars="200"/>
        <w:rPr>
          <w:rFonts w:hint="eastAsia" w:ascii="仿宋_GB2312" w:hAnsi="仿宋" w:eastAsia="仿宋_GB2312"/>
          <w:sz w:val="32"/>
          <w:szCs w:val="32"/>
        </w:rPr>
      </w:pPr>
    </w:p>
    <w:p>
      <w:pPr>
        <w:rPr>
          <w:rFonts w:hint="eastAsia"/>
          <w:lang w:eastAsia="zh-CN"/>
        </w:rPr>
      </w:pPr>
    </w:p>
    <w:p>
      <w:pPr>
        <w:rPr>
          <w:rFonts w:hint="eastAsia"/>
          <w:lang w:eastAsia="zh-CN"/>
        </w:rPr>
      </w:pPr>
    </w:p>
    <w:p>
      <w:pPr>
        <w:pStyle w:val="5"/>
        <w:numPr>
          <w:ilvl w:val="0"/>
          <w:numId w:val="1"/>
        </w:numPr>
        <w:ind w:left="630" w:leftChars="0" w:firstLine="0" w:firstLineChars="0"/>
        <w:rPr>
          <w:rFonts w:hint="eastAsia" w:ascii="黑体" w:hAnsi="黑体" w:eastAsia="黑体"/>
          <w:b w:val="0"/>
          <w:color w:val="auto"/>
          <w:highlight w:val="none"/>
          <w:lang w:val="en-US" w:eastAsia="zh-CN"/>
        </w:rPr>
      </w:pPr>
      <w:r>
        <w:rPr>
          <w:rFonts w:hint="eastAsia" w:ascii="黑体" w:hAnsi="黑体" w:eastAsia="黑体"/>
          <w:b w:val="0"/>
          <w:color w:val="auto"/>
          <w:highlight w:val="none"/>
          <w:lang w:val="en-US" w:eastAsia="zh-CN"/>
        </w:rPr>
        <w:t>机构设置</w:t>
      </w:r>
    </w:p>
    <w:p>
      <w:pPr>
        <w:numPr>
          <w:ilvl w:val="0"/>
          <w:numId w:val="0"/>
        </w:numPr>
        <w:ind w:left="630" w:leftChars="0"/>
        <w:rPr>
          <w:rFonts w:hint="eastAsia" w:ascii="仿宋" w:hAnsi="仿宋" w:eastAsia="仿宋" w:cs="仿宋"/>
          <w:b w:val="0"/>
          <w:bCs w:val="0"/>
          <w:sz w:val="32"/>
          <w:lang w:val="en-US" w:eastAsia="zh-CN"/>
        </w:rPr>
      </w:pPr>
      <w:r>
        <w:rPr>
          <w:rFonts w:hint="eastAsia" w:ascii="仿宋" w:hAnsi="仿宋" w:eastAsia="仿宋" w:cs="仿宋"/>
          <w:b w:val="0"/>
          <w:bCs w:val="0"/>
          <w:sz w:val="32"/>
          <w:lang w:val="en-US" w:eastAsia="zh-CN"/>
        </w:rPr>
        <w:t>区委编办下设3个内设机构，综合股、机构编制管理股、</w:t>
      </w:r>
    </w:p>
    <w:p>
      <w:pPr>
        <w:numPr>
          <w:ilvl w:val="0"/>
          <w:numId w:val="0"/>
        </w:numPr>
        <w:rPr>
          <w:rFonts w:hint="default"/>
          <w:lang w:val="en-US" w:eastAsia="zh-CN"/>
        </w:rPr>
      </w:pPr>
      <w:r>
        <w:rPr>
          <w:rFonts w:hint="eastAsia" w:ascii="仿宋" w:hAnsi="仿宋" w:eastAsia="仿宋" w:cs="仿宋"/>
          <w:b w:val="0"/>
          <w:bCs w:val="0"/>
          <w:sz w:val="32"/>
          <w:lang w:val="en-US" w:eastAsia="zh-CN"/>
        </w:rPr>
        <w:t>事业单位登记管理局。</w:t>
      </w:r>
    </w:p>
    <w:bookmarkEnd w:id="14"/>
    <w:bookmarkEnd w:id="15"/>
    <w:p>
      <w:pPr>
        <w:widowControl/>
        <w:jc w:val="left"/>
        <w:rPr>
          <w:rFonts w:ascii="仿宋" w:hAnsi="仿宋" w:eastAsia="仿宋"/>
          <w:color w:val="auto"/>
          <w:kern w:val="0"/>
          <w:sz w:val="32"/>
          <w:szCs w:val="32"/>
          <w:highlight w:val="none"/>
        </w:rPr>
      </w:pPr>
      <w:r>
        <w:rPr>
          <w:rFonts w:hint="eastAsia" w:ascii="仿宋" w:hAnsi="仿宋" w:eastAsia="仿宋"/>
          <w:color w:val="auto"/>
          <w:sz w:val="32"/>
          <w:szCs w:val="32"/>
          <w:highlight w:val="none"/>
          <w:lang w:val="en-US" w:eastAsia="zh-CN"/>
        </w:rPr>
        <w:t xml:space="preserve">    </w:t>
      </w:r>
      <w:r>
        <w:rPr>
          <w:rFonts w:ascii="仿宋" w:hAnsi="仿宋" w:eastAsia="仿宋"/>
          <w:color w:val="auto"/>
          <w:sz w:val="32"/>
          <w:szCs w:val="32"/>
          <w:highlight w:val="none"/>
        </w:rPr>
        <w:br w:type="page"/>
      </w:r>
    </w:p>
    <w:p>
      <w:pPr>
        <w:pStyle w:val="4"/>
        <w:ind w:right="440"/>
        <w:jc w:val="center"/>
        <w:rPr>
          <w:rStyle w:val="26"/>
          <w:rFonts w:ascii="黑体" w:hAnsi="黑体" w:eastAsia="黑体"/>
          <w:b w:val="0"/>
          <w:bCs/>
          <w:color w:val="auto"/>
          <w:highlight w:val="none"/>
        </w:rPr>
      </w:pPr>
      <w:bookmarkStart w:id="16" w:name="_Toc15377204"/>
      <w:bookmarkStart w:id="17" w:name="_Toc15396602"/>
      <w:r>
        <w:rPr>
          <w:rFonts w:hint="eastAsia" w:ascii="黑体" w:hAnsi="黑体" w:eastAsia="黑体"/>
          <w:b w:val="0"/>
          <w:bCs/>
          <w:color w:val="auto"/>
          <w:highlight w:val="none"/>
        </w:rPr>
        <w:t xml:space="preserve">第二部分 </w:t>
      </w:r>
      <w:r>
        <w:rPr>
          <w:rFonts w:hint="eastAsia" w:ascii="黑体" w:hAnsi="黑体" w:eastAsia="黑体"/>
          <w:b w:val="0"/>
          <w:bCs/>
          <w:color w:val="auto"/>
          <w:highlight w:val="none"/>
          <w:lang w:val="en-US" w:eastAsia="zh-CN"/>
        </w:rPr>
        <w:t>2022年度</w:t>
      </w:r>
      <w:r>
        <w:rPr>
          <w:rStyle w:val="26"/>
          <w:rFonts w:hint="eastAsia" w:ascii="黑体" w:hAnsi="黑体" w:eastAsia="黑体"/>
          <w:b w:val="0"/>
          <w:bCs/>
          <w:color w:val="auto"/>
          <w:highlight w:val="none"/>
          <w:lang w:eastAsia="zh-CN"/>
        </w:rPr>
        <w:t>单位</w:t>
      </w:r>
      <w:r>
        <w:rPr>
          <w:rStyle w:val="26"/>
          <w:rFonts w:hint="eastAsia" w:ascii="黑体" w:hAnsi="黑体" w:eastAsia="黑体"/>
          <w:b w:val="0"/>
          <w:bCs/>
          <w:color w:val="auto"/>
          <w:highlight w:val="none"/>
        </w:rPr>
        <w:t>决算情况说明</w:t>
      </w:r>
      <w:bookmarkEnd w:id="16"/>
      <w:bookmarkEnd w:id="17"/>
    </w:p>
    <w:p>
      <w:pPr>
        <w:rPr>
          <w:color w:val="auto"/>
          <w:highlight w:val="none"/>
        </w:rPr>
      </w:pPr>
    </w:p>
    <w:p>
      <w:pPr>
        <w:pStyle w:val="25"/>
        <w:numPr>
          <w:ilvl w:val="0"/>
          <w:numId w:val="2"/>
        </w:numPr>
        <w:spacing w:line="600" w:lineRule="exact"/>
        <w:ind w:firstLineChars="0"/>
        <w:outlineLvl w:val="1"/>
        <w:rPr>
          <w:rStyle w:val="27"/>
          <w:rFonts w:ascii="黑体" w:hAnsi="黑体" w:eastAsia="黑体"/>
          <w:b w:val="0"/>
          <w:color w:val="auto"/>
          <w:highlight w:val="none"/>
        </w:rPr>
      </w:pPr>
      <w:bookmarkStart w:id="18" w:name="_Toc15377205"/>
      <w:bookmarkStart w:id="19" w:name="_Toc15396603"/>
      <w:r>
        <w:rPr>
          <w:rFonts w:hint="eastAsia" w:ascii="黑体" w:hAnsi="黑体" w:eastAsia="黑体"/>
          <w:color w:val="auto"/>
          <w:sz w:val="32"/>
          <w:szCs w:val="32"/>
          <w:highlight w:val="none"/>
        </w:rPr>
        <w:t>收</w:t>
      </w:r>
      <w:r>
        <w:rPr>
          <w:rStyle w:val="27"/>
          <w:rFonts w:hint="eastAsia" w:ascii="黑体" w:hAnsi="黑体" w:eastAsia="黑体"/>
          <w:b w:val="0"/>
          <w:color w:val="auto"/>
          <w:highlight w:val="none"/>
        </w:rPr>
        <w:t>入支出决算总体情况说明</w:t>
      </w:r>
      <w:bookmarkEnd w:id="18"/>
      <w:bookmarkEnd w:id="19"/>
    </w:p>
    <w:p>
      <w:pPr>
        <w:spacing w:line="600" w:lineRule="exact"/>
        <w:ind w:firstLine="640" w:firstLineChars="200"/>
        <w:rPr>
          <w:rFonts w:hint="eastAsia" w:ascii="仿宋" w:hAnsi="仿宋" w:eastAsia="仿宋"/>
          <w:color w:val="auto"/>
          <w:sz w:val="32"/>
          <w:szCs w:val="32"/>
          <w:highlight w:val="none"/>
          <w:lang w:val="en-US" w:eastAsia="zh-CN"/>
        </w:rPr>
      </w:pPr>
      <w:r>
        <w:rPr>
          <w:rFonts w:hint="eastAsia" w:ascii="仿宋" w:hAnsi="仿宋" w:eastAsia="仿宋"/>
          <w:color w:val="auto"/>
          <w:sz w:val="32"/>
          <w:szCs w:val="32"/>
          <w:highlight w:val="none"/>
        </w:rPr>
        <w:t>20</w:t>
      </w:r>
      <w:r>
        <w:rPr>
          <w:rFonts w:hint="eastAsia" w:ascii="仿宋" w:hAnsi="仿宋" w:eastAsia="仿宋"/>
          <w:color w:val="auto"/>
          <w:sz w:val="32"/>
          <w:szCs w:val="32"/>
          <w:highlight w:val="none"/>
          <w:lang w:val="en-US" w:eastAsia="zh-CN"/>
        </w:rPr>
        <w:t>22</w:t>
      </w:r>
      <w:r>
        <w:rPr>
          <w:rFonts w:hint="eastAsia" w:ascii="仿宋" w:hAnsi="仿宋" w:eastAsia="仿宋"/>
          <w:color w:val="auto"/>
          <w:sz w:val="32"/>
          <w:szCs w:val="32"/>
          <w:highlight w:val="none"/>
        </w:rPr>
        <w:t>年度收、支总计</w:t>
      </w:r>
      <w:r>
        <w:rPr>
          <w:rFonts w:hint="eastAsia" w:ascii="仿宋" w:hAnsi="仿宋" w:eastAsia="仿宋"/>
          <w:color w:val="auto"/>
          <w:sz w:val="32"/>
          <w:szCs w:val="32"/>
          <w:highlight w:val="none"/>
          <w:lang w:val="en-US" w:eastAsia="zh-CN"/>
        </w:rPr>
        <w:t>144.77</w:t>
      </w:r>
      <w:r>
        <w:rPr>
          <w:rFonts w:hint="eastAsia" w:ascii="仿宋" w:hAnsi="仿宋" w:eastAsia="仿宋"/>
          <w:color w:val="auto"/>
          <w:sz w:val="32"/>
          <w:szCs w:val="32"/>
          <w:highlight w:val="none"/>
        </w:rPr>
        <w:t>万元。与20</w:t>
      </w:r>
      <w:r>
        <w:rPr>
          <w:rFonts w:hint="eastAsia" w:ascii="仿宋" w:hAnsi="仿宋" w:eastAsia="仿宋"/>
          <w:color w:val="auto"/>
          <w:sz w:val="32"/>
          <w:szCs w:val="32"/>
          <w:highlight w:val="none"/>
          <w:lang w:val="en-US" w:eastAsia="zh-CN"/>
        </w:rPr>
        <w:t>21</w:t>
      </w:r>
      <w:r>
        <w:rPr>
          <w:rFonts w:hint="eastAsia" w:ascii="仿宋" w:hAnsi="仿宋" w:eastAsia="仿宋"/>
          <w:color w:val="auto"/>
          <w:sz w:val="32"/>
          <w:szCs w:val="32"/>
          <w:highlight w:val="none"/>
        </w:rPr>
        <w:t>年相比，收、支总计各增加</w:t>
      </w:r>
      <w:r>
        <w:rPr>
          <w:rFonts w:hint="eastAsia" w:ascii="仿宋" w:hAnsi="仿宋" w:eastAsia="仿宋"/>
          <w:color w:val="auto"/>
          <w:sz w:val="32"/>
          <w:szCs w:val="32"/>
          <w:highlight w:val="none"/>
          <w:lang w:val="en-US" w:eastAsia="zh-CN"/>
        </w:rPr>
        <w:t>20.46</w:t>
      </w:r>
      <w:r>
        <w:rPr>
          <w:rFonts w:hint="eastAsia" w:ascii="仿宋" w:hAnsi="仿宋" w:eastAsia="仿宋"/>
          <w:color w:val="auto"/>
          <w:sz w:val="32"/>
          <w:szCs w:val="32"/>
          <w:highlight w:val="none"/>
        </w:rPr>
        <w:t>万元，增长</w:t>
      </w:r>
      <w:r>
        <w:rPr>
          <w:rFonts w:hint="eastAsia" w:ascii="仿宋" w:hAnsi="仿宋" w:eastAsia="仿宋"/>
          <w:color w:val="auto"/>
          <w:sz w:val="32"/>
          <w:szCs w:val="32"/>
          <w:highlight w:val="none"/>
          <w:lang w:val="en-US" w:eastAsia="zh-CN"/>
        </w:rPr>
        <w:t>16.46</w:t>
      </w:r>
      <w:r>
        <w:rPr>
          <w:rFonts w:ascii="仿宋" w:hAnsi="仿宋" w:eastAsia="仿宋"/>
          <w:color w:val="auto"/>
          <w:sz w:val="32"/>
          <w:szCs w:val="32"/>
          <w:highlight w:val="none"/>
        </w:rPr>
        <w:t>%</w:t>
      </w:r>
      <w:r>
        <w:rPr>
          <w:rFonts w:hint="eastAsia" w:ascii="仿宋" w:hAnsi="仿宋" w:eastAsia="仿宋"/>
          <w:color w:val="auto"/>
          <w:sz w:val="32"/>
          <w:szCs w:val="32"/>
          <w:highlight w:val="none"/>
        </w:rPr>
        <w:t>。主要变动原因是</w:t>
      </w:r>
      <w:r>
        <w:rPr>
          <w:rFonts w:hint="eastAsia" w:ascii="仿宋" w:hAnsi="仿宋" w:eastAsia="仿宋"/>
          <w:color w:val="auto"/>
          <w:sz w:val="32"/>
          <w:szCs w:val="32"/>
          <w:highlight w:val="none"/>
          <w:lang w:val="en-US" w:eastAsia="zh-CN"/>
        </w:rPr>
        <w:t>人</w:t>
      </w:r>
    </w:p>
    <w:p>
      <w:pPr>
        <w:spacing w:line="600" w:lineRule="exact"/>
        <w:rPr>
          <w:rFonts w:hint="eastAsia" w:ascii="仿宋" w:hAnsi="仿宋" w:eastAsia="仿宋"/>
          <w:color w:val="auto"/>
          <w:sz w:val="32"/>
          <w:szCs w:val="32"/>
          <w:highlight w:val="none"/>
          <w:lang w:eastAsia="zh-CN"/>
        </w:rPr>
      </w:pPr>
      <w:r>
        <w:rPr>
          <w:rFonts w:hint="eastAsia" w:ascii="仿宋" w:hAnsi="仿宋" w:eastAsia="仿宋"/>
          <w:color w:val="auto"/>
          <w:sz w:val="32"/>
          <w:szCs w:val="32"/>
          <w:highlight w:val="none"/>
          <w:lang w:val="en-US" w:eastAsia="zh-CN"/>
        </w:rPr>
        <w:t>员经费正常增加</w:t>
      </w:r>
      <w:r>
        <w:rPr>
          <w:rFonts w:hint="eastAsia" w:ascii="仿宋" w:hAnsi="仿宋" w:eastAsia="仿宋"/>
          <w:color w:val="auto"/>
          <w:sz w:val="32"/>
          <w:szCs w:val="32"/>
          <w:highlight w:val="none"/>
          <w:lang w:eastAsia="zh-CN"/>
        </w:rPr>
        <w:t>。</w:t>
      </w:r>
    </w:p>
    <w:p>
      <w:pPr>
        <w:pStyle w:val="2"/>
        <w:rPr>
          <w:rFonts w:hint="eastAsia" w:ascii="仿宋" w:hAnsi="仿宋" w:eastAsia="仿宋"/>
          <w:color w:val="auto"/>
          <w:sz w:val="32"/>
          <w:szCs w:val="32"/>
          <w:highlight w:val="none"/>
        </w:rPr>
      </w:pPr>
      <w:r>
        <w:rPr>
          <w:rFonts w:hint="eastAsia" w:ascii="仿宋_GB2312" w:eastAsia="仿宋_GB2312"/>
          <w:sz w:val="32"/>
          <w:szCs w:val="32"/>
          <w:lang w:eastAsia="zh-CN"/>
        </w:rPr>
        <w:drawing>
          <wp:anchor distT="0" distB="0" distL="114300" distR="114300" simplePos="0" relativeHeight="251659264" behindDoc="0" locked="0" layoutInCell="1" allowOverlap="1">
            <wp:simplePos x="0" y="0"/>
            <wp:positionH relativeFrom="column">
              <wp:posOffset>-13335</wp:posOffset>
            </wp:positionH>
            <wp:positionV relativeFrom="paragraph">
              <wp:posOffset>132080</wp:posOffset>
            </wp:positionV>
            <wp:extent cx="5072380" cy="3178175"/>
            <wp:effectExtent l="4445" t="4445" r="9525" b="17780"/>
            <wp:wrapNone/>
            <wp:docPr id="7" name="图表 7"/>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anchor>
        </w:drawing>
      </w:r>
    </w:p>
    <w:p>
      <w:pPr>
        <w:pStyle w:val="2"/>
        <w:rPr>
          <w:rFonts w:hint="eastAsia" w:ascii="仿宋" w:hAnsi="仿宋" w:eastAsia="仿宋"/>
          <w:color w:val="auto"/>
          <w:sz w:val="32"/>
          <w:szCs w:val="32"/>
          <w:highlight w:val="none"/>
        </w:rPr>
      </w:pPr>
    </w:p>
    <w:p>
      <w:pPr>
        <w:pStyle w:val="2"/>
        <w:rPr>
          <w:rFonts w:hint="eastAsia" w:ascii="仿宋" w:hAnsi="仿宋" w:eastAsia="仿宋"/>
          <w:color w:val="auto"/>
          <w:sz w:val="32"/>
          <w:szCs w:val="32"/>
          <w:highlight w:val="none"/>
          <w:lang w:eastAsia="zh-CN"/>
        </w:rPr>
      </w:pPr>
    </w:p>
    <w:p>
      <w:pPr>
        <w:pStyle w:val="2"/>
        <w:ind w:left="0" w:leftChars="0" w:firstLine="0" w:firstLineChars="0"/>
        <w:rPr>
          <w:rFonts w:hint="eastAsia" w:ascii="仿宋" w:hAnsi="仿宋" w:eastAsia="仿宋"/>
          <w:color w:val="auto"/>
          <w:sz w:val="32"/>
          <w:szCs w:val="32"/>
          <w:highlight w:val="none"/>
          <w:lang w:eastAsia="zh-CN"/>
        </w:rPr>
      </w:pPr>
    </w:p>
    <w:p>
      <w:pPr>
        <w:pStyle w:val="2"/>
        <w:ind w:left="0" w:leftChars="0" w:firstLine="0" w:firstLineChars="0"/>
        <w:rPr>
          <w:rFonts w:hint="eastAsia" w:ascii="仿宋" w:hAnsi="仿宋" w:eastAsia="仿宋"/>
          <w:color w:val="auto"/>
          <w:sz w:val="32"/>
          <w:szCs w:val="32"/>
          <w:highlight w:val="none"/>
          <w:lang w:eastAsia="zh-CN"/>
        </w:rPr>
      </w:pPr>
    </w:p>
    <w:p>
      <w:pPr>
        <w:pStyle w:val="2"/>
        <w:ind w:left="0" w:leftChars="0" w:firstLine="0" w:firstLineChars="0"/>
        <w:rPr>
          <w:rFonts w:hint="eastAsia" w:ascii="仿宋" w:hAnsi="仿宋" w:eastAsia="仿宋"/>
          <w:color w:val="auto"/>
          <w:sz w:val="32"/>
          <w:szCs w:val="32"/>
          <w:highlight w:val="none"/>
          <w:lang w:eastAsia="zh-CN"/>
        </w:rPr>
      </w:pPr>
    </w:p>
    <w:p>
      <w:pPr>
        <w:pStyle w:val="2"/>
        <w:ind w:left="0" w:leftChars="0" w:firstLine="0" w:firstLineChars="0"/>
        <w:rPr>
          <w:rFonts w:hint="eastAsia" w:ascii="仿宋" w:hAnsi="仿宋" w:eastAsia="仿宋"/>
          <w:color w:val="auto"/>
          <w:sz w:val="32"/>
          <w:szCs w:val="32"/>
          <w:highlight w:val="none"/>
          <w:lang w:eastAsia="zh-CN"/>
        </w:rPr>
      </w:pPr>
    </w:p>
    <w:p>
      <w:pPr>
        <w:pStyle w:val="2"/>
        <w:ind w:left="0" w:leftChars="0" w:firstLine="0" w:firstLineChars="0"/>
        <w:rPr>
          <w:rFonts w:hint="eastAsia" w:ascii="仿宋" w:hAnsi="仿宋" w:eastAsia="仿宋"/>
          <w:color w:val="auto"/>
          <w:sz w:val="32"/>
          <w:szCs w:val="32"/>
          <w:highlight w:val="none"/>
          <w:lang w:eastAsia="zh-CN"/>
        </w:rPr>
      </w:pPr>
    </w:p>
    <w:p>
      <w:pPr>
        <w:pStyle w:val="2"/>
        <w:rPr>
          <w:rFonts w:hint="eastAsia" w:ascii="仿宋" w:hAnsi="仿宋" w:eastAsia="仿宋"/>
          <w:color w:val="auto"/>
          <w:sz w:val="32"/>
          <w:szCs w:val="32"/>
          <w:highlight w:val="none"/>
          <w:lang w:eastAsia="zh-CN"/>
        </w:rPr>
      </w:pPr>
    </w:p>
    <w:p>
      <w:pPr>
        <w:pStyle w:val="2"/>
        <w:rPr>
          <w:rFonts w:hint="eastAsia" w:ascii="仿宋" w:hAnsi="仿宋" w:eastAsia="仿宋"/>
          <w:color w:val="auto"/>
          <w:sz w:val="32"/>
          <w:szCs w:val="32"/>
          <w:highlight w:val="none"/>
          <w:lang w:eastAsia="zh-CN"/>
        </w:rPr>
      </w:pPr>
    </w:p>
    <w:p>
      <w:pPr>
        <w:pStyle w:val="2"/>
        <w:rPr>
          <w:rFonts w:hint="eastAsia" w:ascii="仿宋" w:hAnsi="仿宋" w:eastAsia="仿宋"/>
          <w:color w:val="auto"/>
          <w:sz w:val="32"/>
          <w:szCs w:val="32"/>
          <w:highlight w:val="none"/>
          <w:lang w:eastAsia="zh-CN"/>
        </w:rPr>
      </w:pPr>
    </w:p>
    <w:p>
      <w:pPr>
        <w:pStyle w:val="2"/>
        <w:rPr>
          <w:rFonts w:hint="eastAsia" w:ascii="仿宋" w:hAnsi="仿宋" w:eastAsia="仿宋"/>
          <w:color w:val="auto"/>
          <w:sz w:val="32"/>
          <w:szCs w:val="32"/>
          <w:highlight w:val="none"/>
          <w:lang w:eastAsia="zh-CN"/>
        </w:rPr>
      </w:pPr>
    </w:p>
    <w:p>
      <w:pPr>
        <w:pStyle w:val="2"/>
        <w:rPr>
          <w:rFonts w:hint="eastAsia" w:ascii="仿宋" w:hAnsi="仿宋" w:eastAsia="仿宋"/>
          <w:color w:val="auto"/>
          <w:sz w:val="32"/>
          <w:szCs w:val="32"/>
          <w:highlight w:val="none"/>
          <w:lang w:eastAsia="zh-CN"/>
        </w:rPr>
      </w:pPr>
    </w:p>
    <w:p>
      <w:pPr>
        <w:pStyle w:val="2"/>
        <w:rPr>
          <w:rFonts w:hint="eastAsia" w:ascii="仿宋" w:hAnsi="仿宋" w:eastAsia="仿宋"/>
          <w:color w:val="auto"/>
          <w:sz w:val="32"/>
          <w:szCs w:val="32"/>
          <w:highlight w:val="none"/>
          <w:lang w:eastAsia="zh-CN"/>
        </w:rPr>
      </w:pPr>
    </w:p>
    <w:p>
      <w:pPr>
        <w:pStyle w:val="2"/>
        <w:rPr>
          <w:rFonts w:hint="eastAsia" w:ascii="仿宋" w:hAnsi="仿宋" w:eastAsia="仿宋"/>
          <w:color w:val="auto"/>
          <w:sz w:val="32"/>
          <w:szCs w:val="32"/>
          <w:highlight w:val="none"/>
          <w:lang w:eastAsia="zh-CN"/>
        </w:rPr>
      </w:pPr>
    </w:p>
    <w:p>
      <w:pPr>
        <w:pStyle w:val="2"/>
        <w:rPr>
          <w:rFonts w:hint="eastAsia" w:ascii="仿宋" w:hAnsi="仿宋" w:eastAsia="仿宋"/>
          <w:color w:val="auto"/>
          <w:sz w:val="32"/>
          <w:szCs w:val="32"/>
          <w:highlight w:val="none"/>
          <w:lang w:eastAsia="zh-CN"/>
        </w:rPr>
      </w:pPr>
    </w:p>
    <w:p>
      <w:pPr>
        <w:pStyle w:val="2"/>
        <w:rPr>
          <w:rFonts w:hint="eastAsia" w:ascii="仿宋" w:hAnsi="仿宋" w:eastAsia="仿宋"/>
          <w:color w:val="auto"/>
          <w:sz w:val="32"/>
          <w:szCs w:val="32"/>
          <w:highlight w:val="none"/>
          <w:lang w:eastAsia="zh-CN"/>
        </w:rPr>
      </w:pPr>
    </w:p>
    <w:p>
      <w:pPr>
        <w:pStyle w:val="2"/>
        <w:ind w:left="0" w:leftChars="0" w:firstLine="0" w:firstLineChars="0"/>
        <w:rPr>
          <w:rFonts w:hint="eastAsia" w:ascii="仿宋" w:hAnsi="仿宋" w:eastAsia="仿宋"/>
          <w:color w:val="auto"/>
          <w:sz w:val="32"/>
          <w:szCs w:val="32"/>
          <w:highlight w:val="none"/>
          <w:lang w:eastAsia="zh-CN"/>
        </w:rPr>
      </w:pPr>
    </w:p>
    <w:p>
      <w:pPr>
        <w:pStyle w:val="25"/>
        <w:numPr>
          <w:ilvl w:val="0"/>
          <w:numId w:val="2"/>
        </w:numPr>
        <w:spacing w:line="600" w:lineRule="exact"/>
        <w:ind w:firstLineChars="0"/>
        <w:outlineLvl w:val="1"/>
        <w:rPr>
          <w:rStyle w:val="27"/>
          <w:rFonts w:ascii="黑体" w:hAnsi="黑体" w:eastAsia="黑体"/>
          <w:b w:val="0"/>
          <w:color w:val="auto"/>
          <w:highlight w:val="none"/>
        </w:rPr>
      </w:pPr>
      <w:bookmarkStart w:id="20" w:name="_Toc15377206"/>
      <w:bookmarkStart w:id="21" w:name="_Toc15396604"/>
      <w:r>
        <w:rPr>
          <w:rFonts w:hint="eastAsia" w:ascii="黑体" w:hAnsi="黑体" w:eastAsia="黑体"/>
          <w:color w:val="auto"/>
          <w:sz w:val="32"/>
          <w:szCs w:val="32"/>
          <w:highlight w:val="none"/>
        </w:rPr>
        <w:t>收</w:t>
      </w:r>
      <w:r>
        <w:rPr>
          <w:rStyle w:val="27"/>
          <w:rFonts w:hint="eastAsia" w:ascii="黑体" w:hAnsi="黑体" w:eastAsia="黑体"/>
          <w:b w:val="0"/>
          <w:color w:val="auto"/>
          <w:highlight w:val="none"/>
        </w:rPr>
        <w:t>入决算情况说明</w:t>
      </w:r>
      <w:bookmarkEnd w:id="20"/>
      <w:bookmarkEnd w:id="21"/>
    </w:p>
    <w:p>
      <w:pPr>
        <w:spacing w:line="600" w:lineRule="exact"/>
        <w:ind w:firstLine="640" w:firstLineChars="200"/>
        <w:outlineLvl w:val="1"/>
        <w:rPr>
          <w:rFonts w:ascii="仿宋" w:hAnsi="仿宋" w:eastAsia="仿宋"/>
          <w:color w:val="auto"/>
          <w:sz w:val="32"/>
          <w:szCs w:val="32"/>
          <w:highlight w:val="none"/>
        </w:rPr>
      </w:pPr>
      <w:r>
        <w:rPr>
          <w:rFonts w:ascii="仿宋" w:hAnsi="仿宋" w:eastAsia="仿宋"/>
          <w:color w:val="auto"/>
          <w:sz w:val="32"/>
          <w:szCs w:val="32"/>
          <w:highlight w:val="none"/>
        </w:rPr>
        <w:t>20</w:t>
      </w:r>
      <w:r>
        <w:rPr>
          <w:rFonts w:hint="eastAsia" w:ascii="仿宋" w:hAnsi="仿宋" w:eastAsia="仿宋"/>
          <w:color w:val="auto"/>
          <w:sz w:val="32"/>
          <w:szCs w:val="32"/>
          <w:highlight w:val="none"/>
          <w:lang w:val="en-US" w:eastAsia="zh-CN"/>
        </w:rPr>
        <w:t>22</w:t>
      </w:r>
      <w:r>
        <w:rPr>
          <w:rFonts w:hint="eastAsia" w:ascii="仿宋" w:hAnsi="仿宋" w:eastAsia="仿宋"/>
          <w:color w:val="auto"/>
          <w:sz w:val="32"/>
          <w:szCs w:val="32"/>
          <w:highlight w:val="none"/>
        </w:rPr>
        <w:t>年本年收入合计</w:t>
      </w:r>
      <w:r>
        <w:rPr>
          <w:rFonts w:hint="eastAsia" w:ascii="仿宋" w:hAnsi="仿宋" w:eastAsia="仿宋"/>
          <w:color w:val="auto"/>
          <w:sz w:val="32"/>
          <w:szCs w:val="32"/>
          <w:highlight w:val="none"/>
          <w:lang w:val="en-US" w:eastAsia="zh-CN"/>
        </w:rPr>
        <w:t>144.77</w:t>
      </w:r>
      <w:r>
        <w:rPr>
          <w:rFonts w:hint="eastAsia" w:ascii="仿宋" w:hAnsi="仿宋" w:eastAsia="仿宋"/>
          <w:color w:val="auto"/>
          <w:sz w:val="32"/>
          <w:szCs w:val="32"/>
          <w:highlight w:val="none"/>
        </w:rPr>
        <w:t>万元，其中：一般公共预算财政拨款收入</w:t>
      </w:r>
      <w:r>
        <w:rPr>
          <w:rFonts w:hint="eastAsia" w:ascii="仿宋" w:hAnsi="仿宋" w:eastAsia="仿宋"/>
          <w:color w:val="auto"/>
          <w:sz w:val="32"/>
          <w:szCs w:val="32"/>
          <w:highlight w:val="none"/>
          <w:lang w:val="en-US" w:eastAsia="zh-CN"/>
        </w:rPr>
        <w:t>144.77</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100</w:t>
      </w:r>
      <w:r>
        <w:rPr>
          <w:rFonts w:ascii="仿宋" w:hAnsi="仿宋" w:eastAsia="仿宋"/>
          <w:color w:val="auto"/>
          <w:sz w:val="32"/>
          <w:szCs w:val="32"/>
          <w:highlight w:val="none"/>
        </w:rPr>
        <w:t>%</w:t>
      </w:r>
      <w:r>
        <w:rPr>
          <w:rFonts w:hint="eastAsia" w:ascii="仿宋" w:hAnsi="仿宋" w:eastAsia="仿宋"/>
          <w:color w:val="auto"/>
          <w:sz w:val="32"/>
          <w:szCs w:val="32"/>
          <w:highlight w:val="none"/>
        </w:rPr>
        <w:t>；政府性基金预算财政拨款收入</w:t>
      </w:r>
      <w:r>
        <w:rPr>
          <w:rFonts w:hint="eastAsia" w:ascii="仿宋" w:hAnsi="仿宋" w:eastAsia="仿宋"/>
          <w:color w:val="auto"/>
          <w:sz w:val="32"/>
          <w:szCs w:val="32"/>
          <w:highlight w:val="none"/>
          <w:lang w:val="en-US" w:eastAsia="zh-CN"/>
        </w:rPr>
        <w:t>0</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0</w:t>
      </w:r>
      <w:r>
        <w:rPr>
          <w:rFonts w:ascii="仿宋" w:hAnsi="仿宋" w:eastAsia="仿宋"/>
          <w:color w:val="auto"/>
          <w:sz w:val="32"/>
          <w:szCs w:val="32"/>
          <w:highlight w:val="none"/>
        </w:rPr>
        <w:t>%</w:t>
      </w:r>
      <w:r>
        <w:rPr>
          <w:rFonts w:hint="eastAsia" w:ascii="仿宋" w:hAnsi="仿宋" w:eastAsia="仿宋"/>
          <w:color w:val="auto"/>
          <w:sz w:val="32"/>
          <w:szCs w:val="32"/>
          <w:highlight w:val="none"/>
        </w:rPr>
        <w:t>；</w:t>
      </w:r>
      <w:r>
        <w:rPr>
          <w:rFonts w:hint="eastAsia" w:ascii="仿宋" w:hAnsi="仿宋" w:eastAsia="仿宋"/>
          <w:color w:val="auto"/>
          <w:sz w:val="32"/>
          <w:szCs w:val="32"/>
          <w:highlight w:val="none"/>
          <w:lang w:eastAsia="zh-CN"/>
        </w:rPr>
        <w:t>国有资本经营预算财政拨款收入0</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eastAsia="zh-CN"/>
        </w:rPr>
        <w:t>0</w:t>
      </w:r>
      <w:r>
        <w:rPr>
          <w:rFonts w:ascii="仿宋" w:hAnsi="仿宋" w:eastAsia="仿宋"/>
          <w:color w:val="auto"/>
          <w:sz w:val="32"/>
          <w:szCs w:val="32"/>
          <w:highlight w:val="none"/>
        </w:rPr>
        <w:t>%</w:t>
      </w:r>
      <w:r>
        <w:rPr>
          <w:rFonts w:hint="eastAsia" w:ascii="仿宋" w:hAnsi="仿宋" w:eastAsia="仿宋"/>
          <w:color w:val="auto"/>
          <w:sz w:val="32"/>
          <w:szCs w:val="32"/>
          <w:highlight w:val="none"/>
        </w:rPr>
        <w:t>；上级补助收入</w:t>
      </w:r>
      <w:r>
        <w:rPr>
          <w:rFonts w:hint="eastAsia" w:ascii="仿宋" w:hAnsi="仿宋" w:eastAsia="仿宋"/>
          <w:color w:val="auto"/>
          <w:sz w:val="32"/>
          <w:szCs w:val="32"/>
          <w:highlight w:val="none"/>
          <w:lang w:eastAsia="zh-CN"/>
        </w:rPr>
        <w:t>0</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eastAsia="zh-CN"/>
        </w:rPr>
        <w:t>0</w:t>
      </w:r>
      <w:r>
        <w:rPr>
          <w:rFonts w:ascii="仿宋" w:hAnsi="仿宋" w:eastAsia="仿宋"/>
          <w:color w:val="auto"/>
          <w:sz w:val="32"/>
          <w:szCs w:val="32"/>
          <w:highlight w:val="none"/>
        </w:rPr>
        <w:t>%</w:t>
      </w:r>
      <w:r>
        <w:rPr>
          <w:rFonts w:hint="eastAsia" w:ascii="仿宋" w:hAnsi="仿宋" w:eastAsia="仿宋"/>
          <w:color w:val="auto"/>
          <w:sz w:val="32"/>
          <w:szCs w:val="32"/>
          <w:highlight w:val="none"/>
        </w:rPr>
        <w:t>；事业收入</w:t>
      </w:r>
      <w:r>
        <w:rPr>
          <w:rFonts w:hint="eastAsia" w:ascii="仿宋" w:hAnsi="仿宋" w:eastAsia="仿宋"/>
          <w:color w:val="auto"/>
          <w:sz w:val="32"/>
          <w:szCs w:val="32"/>
          <w:highlight w:val="none"/>
          <w:lang w:eastAsia="zh-CN"/>
        </w:rPr>
        <w:t>0</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eastAsia="zh-CN"/>
        </w:rPr>
        <w:t>0</w:t>
      </w:r>
      <w:r>
        <w:rPr>
          <w:rFonts w:ascii="仿宋" w:hAnsi="仿宋" w:eastAsia="仿宋"/>
          <w:color w:val="auto"/>
          <w:sz w:val="32"/>
          <w:szCs w:val="32"/>
          <w:highlight w:val="none"/>
        </w:rPr>
        <w:t>%</w:t>
      </w:r>
      <w:r>
        <w:rPr>
          <w:rFonts w:hint="eastAsia" w:ascii="仿宋" w:hAnsi="仿宋" w:eastAsia="仿宋"/>
          <w:color w:val="auto"/>
          <w:sz w:val="32"/>
          <w:szCs w:val="32"/>
          <w:highlight w:val="none"/>
        </w:rPr>
        <w:t>；经营收入</w:t>
      </w:r>
      <w:r>
        <w:rPr>
          <w:rFonts w:hint="eastAsia" w:ascii="仿宋" w:hAnsi="仿宋" w:eastAsia="仿宋"/>
          <w:color w:val="auto"/>
          <w:sz w:val="32"/>
          <w:szCs w:val="32"/>
          <w:highlight w:val="none"/>
          <w:lang w:eastAsia="zh-CN"/>
        </w:rPr>
        <w:t>0</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eastAsia="zh-CN"/>
        </w:rPr>
        <w:t>0</w:t>
      </w:r>
      <w:r>
        <w:rPr>
          <w:rFonts w:ascii="仿宋" w:hAnsi="仿宋" w:eastAsia="仿宋"/>
          <w:color w:val="auto"/>
          <w:sz w:val="32"/>
          <w:szCs w:val="32"/>
          <w:highlight w:val="none"/>
        </w:rPr>
        <w:t>%</w:t>
      </w:r>
      <w:r>
        <w:rPr>
          <w:rFonts w:hint="eastAsia" w:ascii="仿宋" w:hAnsi="仿宋" w:eastAsia="仿宋"/>
          <w:color w:val="auto"/>
          <w:sz w:val="32"/>
          <w:szCs w:val="32"/>
          <w:highlight w:val="none"/>
        </w:rPr>
        <w:t>；附属单位上缴收入</w:t>
      </w:r>
      <w:r>
        <w:rPr>
          <w:rFonts w:hint="eastAsia" w:ascii="仿宋" w:hAnsi="仿宋" w:eastAsia="仿宋"/>
          <w:color w:val="auto"/>
          <w:sz w:val="32"/>
          <w:szCs w:val="32"/>
          <w:highlight w:val="none"/>
          <w:lang w:eastAsia="zh-CN"/>
        </w:rPr>
        <w:t>0</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eastAsia="zh-CN"/>
        </w:rPr>
        <w:t>0</w:t>
      </w:r>
      <w:r>
        <w:rPr>
          <w:rFonts w:ascii="仿宋" w:hAnsi="仿宋" w:eastAsia="仿宋"/>
          <w:color w:val="auto"/>
          <w:sz w:val="32"/>
          <w:szCs w:val="32"/>
          <w:highlight w:val="none"/>
        </w:rPr>
        <w:t>%</w:t>
      </w:r>
      <w:r>
        <w:rPr>
          <w:rFonts w:hint="eastAsia" w:ascii="仿宋" w:hAnsi="仿宋" w:eastAsia="仿宋"/>
          <w:color w:val="auto"/>
          <w:sz w:val="32"/>
          <w:szCs w:val="32"/>
          <w:highlight w:val="none"/>
        </w:rPr>
        <w:t>；其他收入</w:t>
      </w:r>
      <w:r>
        <w:rPr>
          <w:rFonts w:hint="eastAsia" w:ascii="仿宋" w:hAnsi="仿宋" w:eastAsia="仿宋"/>
          <w:color w:val="auto"/>
          <w:sz w:val="32"/>
          <w:szCs w:val="32"/>
          <w:highlight w:val="none"/>
          <w:lang w:eastAsia="zh-CN"/>
        </w:rPr>
        <w:t>0</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eastAsia="zh-CN"/>
        </w:rPr>
        <w:t>0</w:t>
      </w:r>
      <w:r>
        <w:rPr>
          <w:rFonts w:ascii="仿宋" w:hAnsi="仿宋" w:eastAsia="仿宋"/>
          <w:color w:val="auto"/>
          <w:sz w:val="32"/>
          <w:szCs w:val="32"/>
          <w:highlight w:val="none"/>
        </w:rPr>
        <w:t>%</w:t>
      </w:r>
      <w:r>
        <w:rPr>
          <w:rFonts w:hint="eastAsia" w:ascii="仿宋" w:hAnsi="仿宋" w:eastAsia="仿宋"/>
          <w:color w:val="auto"/>
          <w:sz w:val="32"/>
          <w:szCs w:val="32"/>
          <w:highlight w:val="none"/>
        </w:rPr>
        <w:t>。</w:t>
      </w:r>
    </w:p>
    <w:p>
      <w:pPr>
        <w:pStyle w:val="2"/>
        <w:rPr>
          <w:rFonts w:hint="eastAsia" w:ascii="仿宋" w:hAnsi="仿宋" w:eastAsia="仿宋"/>
          <w:color w:val="auto"/>
          <w:sz w:val="32"/>
          <w:szCs w:val="32"/>
          <w:highlight w:val="none"/>
        </w:rPr>
      </w:pPr>
      <w:r>
        <w:rPr>
          <w:rFonts w:hint="eastAsia"/>
          <w:lang w:eastAsia="zh-CN"/>
        </w:rPr>
        <w:drawing>
          <wp:anchor distT="0" distB="0" distL="114300" distR="114300" simplePos="0" relativeHeight="251660288" behindDoc="0" locked="0" layoutInCell="1" allowOverlap="1">
            <wp:simplePos x="0" y="0"/>
            <wp:positionH relativeFrom="column">
              <wp:posOffset>49530</wp:posOffset>
            </wp:positionH>
            <wp:positionV relativeFrom="paragraph">
              <wp:posOffset>263525</wp:posOffset>
            </wp:positionV>
            <wp:extent cx="5080000" cy="3810000"/>
            <wp:effectExtent l="4445" t="4445" r="20955" b="14605"/>
            <wp:wrapNone/>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anchor>
        </w:drawing>
      </w:r>
    </w:p>
    <w:p>
      <w:pPr>
        <w:pStyle w:val="2"/>
        <w:rPr>
          <w:rFonts w:hint="eastAsia" w:ascii="仿宋" w:hAnsi="仿宋" w:eastAsia="仿宋"/>
          <w:color w:val="auto"/>
          <w:sz w:val="32"/>
          <w:szCs w:val="32"/>
          <w:highlight w:val="none"/>
        </w:rPr>
      </w:pPr>
    </w:p>
    <w:p>
      <w:pPr>
        <w:pStyle w:val="2"/>
        <w:rPr>
          <w:rFonts w:hint="eastAsia" w:ascii="仿宋" w:hAnsi="仿宋" w:eastAsia="仿宋"/>
          <w:color w:val="auto"/>
          <w:sz w:val="32"/>
          <w:szCs w:val="32"/>
          <w:highlight w:val="none"/>
        </w:rPr>
      </w:pPr>
    </w:p>
    <w:p>
      <w:pPr>
        <w:pStyle w:val="2"/>
        <w:rPr>
          <w:rFonts w:hint="eastAsia" w:ascii="仿宋" w:hAnsi="仿宋" w:eastAsia="仿宋"/>
          <w:color w:val="auto"/>
          <w:sz w:val="32"/>
          <w:szCs w:val="32"/>
          <w:highlight w:val="none"/>
        </w:rPr>
      </w:pPr>
    </w:p>
    <w:p>
      <w:pPr>
        <w:pStyle w:val="2"/>
        <w:rPr>
          <w:rFonts w:hint="eastAsia" w:ascii="仿宋" w:hAnsi="仿宋" w:eastAsia="仿宋"/>
          <w:color w:val="auto"/>
          <w:sz w:val="32"/>
          <w:szCs w:val="32"/>
          <w:highlight w:val="none"/>
        </w:rPr>
      </w:pPr>
    </w:p>
    <w:p>
      <w:pPr>
        <w:pStyle w:val="2"/>
        <w:rPr>
          <w:rFonts w:hint="eastAsia" w:ascii="仿宋" w:hAnsi="仿宋" w:eastAsia="仿宋"/>
          <w:color w:val="auto"/>
          <w:sz w:val="32"/>
          <w:szCs w:val="32"/>
          <w:highlight w:val="none"/>
        </w:rPr>
      </w:pPr>
    </w:p>
    <w:p>
      <w:pPr>
        <w:pStyle w:val="2"/>
        <w:rPr>
          <w:rFonts w:hint="eastAsia" w:ascii="仿宋" w:hAnsi="仿宋" w:eastAsia="仿宋"/>
          <w:color w:val="auto"/>
          <w:sz w:val="32"/>
          <w:szCs w:val="32"/>
          <w:highlight w:val="none"/>
        </w:rPr>
      </w:pPr>
    </w:p>
    <w:p>
      <w:pPr>
        <w:pStyle w:val="2"/>
        <w:rPr>
          <w:rFonts w:hint="eastAsia" w:ascii="仿宋" w:hAnsi="仿宋" w:eastAsia="仿宋"/>
          <w:color w:val="auto"/>
          <w:sz w:val="32"/>
          <w:szCs w:val="32"/>
          <w:highlight w:val="none"/>
        </w:rPr>
      </w:pPr>
    </w:p>
    <w:p>
      <w:pPr>
        <w:pStyle w:val="2"/>
        <w:rPr>
          <w:rFonts w:hint="eastAsia" w:ascii="仿宋" w:hAnsi="仿宋" w:eastAsia="仿宋"/>
          <w:color w:val="auto"/>
          <w:sz w:val="32"/>
          <w:szCs w:val="32"/>
          <w:highlight w:val="none"/>
        </w:rPr>
      </w:pPr>
    </w:p>
    <w:p>
      <w:pPr>
        <w:pStyle w:val="2"/>
        <w:rPr>
          <w:rFonts w:hint="eastAsia" w:ascii="仿宋" w:hAnsi="仿宋" w:eastAsia="仿宋"/>
          <w:color w:val="auto"/>
          <w:sz w:val="32"/>
          <w:szCs w:val="32"/>
          <w:highlight w:val="none"/>
        </w:rPr>
      </w:pPr>
    </w:p>
    <w:p>
      <w:pPr>
        <w:spacing w:line="600" w:lineRule="exact"/>
        <w:ind w:firstLine="640" w:firstLineChars="200"/>
        <w:rPr>
          <w:rFonts w:ascii="仿宋_GB2312" w:eastAsia="仿宋_GB2312"/>
          <w:color w:val="auto"/>
          <w:sz w:val="32"/>
          <w:szCs w:val="32"/>
          <w:highlight w:val="none"/>
        </w:rPr>
      </w:pPr>
    </w:p>
    <w:p>
      <w:pPr>
        <w:pStyle w:val="2"/>
        <w:rPr>
          <w:rFonts w:ascii="仿宋_GB2312" w:eastAsia="仿宋_GB2312"/>
          <w:color w:val="auto"/>
          <w:sz w:val="32"/>
          <w:szCs w:val="32"/>
          <w:highlight w:val="none"/>
        </w:rPr>
      </w:pPr>
    </w:p>
    <w:p>
      <w:pPr>
        <w:pStyle w:val="2"/>
        <w:rPr>
          <w:rFonts w:ascii="仿宋_GB2312" w:eastAsia="仿宋_GB2312"/>
          <w:color w:val="auto"/>
          <w:sz w:val="32"/>
          <w:szCs w:val="32"/>
          <w:highlight w:val="none"/>
        </w:rPr>
      </w:pPr>
    </w:p>
    <w:p>
      <w:pPr>
        <w:pStyle w:val="25"/>
        <w:numPr>
          <w:ilvl w:val="0"/>
          <w:numId w:val="2"/>
        </w:numPr>
        <w:spacing w:line="600" w:lineRule="exact"/>
        <w:ind w:firstLineChars="0"/>
        <w:outlineLvl w:val="1"/>
        <w:rPr>
          <w:rStyle w:val="27"/>
          <w:rFonts w:ascii="黑体" w:hAnsi="黑体" w:eastAsia="黑体"/>
          <w:b w:val="0"/>
          <w:color w:val="auto"/>
          <w:highlight w:val="none"/>
        </w:rPr>
      </w:pPr>
      <w:bookmarkStart w:id="22" w:name="_Toc15396605"/>
      <w:bookmarkStart w:id="23" w:name="_Toc15377207"/>
      <w:r>
        <w:rPr>
          <w:rFonts w:hint="eastAsia" w:ascii="黑体" w:hAnsi="黑体" w:eastAsia="黑体"/>
          <w:color w:val="auto"/>
          <w:sz w:val="32"/>
          <w:szCs w:val="32"/>
          <w:highlight w:val="none"/>
        </w:rPr>
        <w:t>支</w:t>
      </w:r>
      <w:r>
        <w:rPr>
          <w:rStyle w:val="27"/>
          <w:rFonts w:hint="eastAsia" w:ascii="黑体" w:hAnsi="黑体" w:eastAsia="黑体"/>
          <w:b w:val="0"/>
          <w:color w:val="auto"/>
          <w:highlight w:val="none"/>
        </w:rPr>
        <w:t>出决算情况说明</w:t>
      </w:r>
      <w:bookmarkEnd w:id="22"/>
      <w:bookmarkEnd w:id="23"/>
    </w:p>
    <w:p>
      <w:pPr>
        <w:spacing w:line="600" w:lineRule="exact"/>
        <w:ind w:firstLine="640" w:firstLineChars="200"/>
        <w:outlineLvl w:val="1"/>
        <w:rPr>
          <w:rFonts w:ascii="仿宋" w:hAnsi="仿宋" w:eastAsia="仿宋"/>
          <w:color w:val="auto"/>
          <w:sz w:val="32"/>
          <w:szCs w:val="32"/>
          <w:highlight w:val="none"/>
          <w:shd w:val="pct10" w:color="auto" w:fill="FFFFFF"/>
        </w:rPr>
      </w:pPr>
      <w:r>
        <w:rPr>
          <w:rFonts w:ascii="仿宋" w:hAnsi="仿宋" w:eastAsia="仿宋"/>
          <w:color w:val="auto"/>
          <w:sz w:val="32"/>
          <w:szCs w:val="32"/>
          <w:highlight w:val="none"/>
        </w:rPr>
        <w:t>20</w:t>
      </w:r>
      <w:r>
        <w:rPr>
          <w:rFonts w:hint="eastAsia" w:ascii="仿宋" w:hAnsi="仿宋" w:eastAsia="仿宋"/>
          <w:color w:val="auto"/>
          <w:sz w:val="32"/>
          <w:szCs w:val="32"/>
          <w:highlight w:val="none"/>
          <w:lang w:val="en-US" w:eastAsia="zh-CN"/>
        </w:rPr>
        <w:t>22</w:t>
      </w:r>
      <w:r>
        <w:rPr>
          <w:rFonts w:hint="eastAsia" w:ascii="仿宋" w:hAnsi="仿宋" w:eastAsia="仿宋"/>
          <w:color w:val="auto"/>
          <w:sz w:val="32"/>
          <w:szCs w:val="32"/>
          <w:highlight w:val="none"/>
        </w:rPr>
        <w:t>年本年支出合计</w:t>
      </w:r>
      <w:r>
        <w:rPr>
          <w:rFonts w:hint="eastAsia" w:ascii="仿宋" w:hAnsi="仿宋" w:eastAsia="仿宋"/>
          <w:color w:val="auto"/>
          <w:sz w:val="32"/>
          <w:szCs w:val="32"/>
          <w:highlight w:val="none"/>
          <w:lang w:val="en-US" w:eastAsia="zh-CN"/>
        </w:rPr>
        <w:t>144.77</w:t>
      </w:r>
      <w:r>
        <w:rPr>
          <w:rFonts w:hint="eastAsia" w:ascii="仿宋" w:hAnsi="仿宋" w:eastAsia="仿宋"/>
          <w:color w:val="auto"/>
          <w:sz w:val="32"/>
          <w:szCs w:val="32"/>
          <w:highlight w:val="none"/>
        </w:rPr>
        <w:t>万元，其中：基本支出</w:t>
      </w:r>
      <w:r>
        <w:rPr>
          <w:rFonts w:hint="eastAsia" w:ascii="仿宋" w:hAnsi="仿宋" w:eastAsia="仿宋"/>
          <w:color w:val="auto"/>
          <w:sz w:val="32"/>
          <w:szCs w:val="32"/>
          <w:highlight w:val="none"/>
          <w:lang w:val="en-US" w:eastAsia="zh-CN"/>
        </w:rPr>
        <w:t>130.8</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90.4</w:t>
      </w:r>
      <w:r>
        <w:rPr>
          <w:rFonts w:ascii="仿宋" w:hAnsi="仿宋" w:eastAsia="仿宋"/>
          <w:color w:val="auto"/>
          <w:sz w:val="32"/>
          <w:szCs w:val="32"/>
          <w:highlight w:val="none"/>
        </w:rPr>
        <w:t>%</w:t>
      </w:r>
      <w:r>
        <w:rPr>
          <w:rFonts w:hint="eastAsia" w:ascii="仿宋" w:hAnsi="仿宋" w:eastAsia="仿宋"/>
          <w:color w:val="auto"/>
          <w:sz w:val="32"/>
          <w:szCs w:val="32"/>
          <w:highlight w:val="none"/>
        </w:rPr>
        <w:t>；项目支出</w:t>
      </w:r>
      <w:r>
        <w:rPr>
          <w:rFonts w:hint="eastAsia" w:ascii="仿宋" w:hAnsi="仿宋" w:eastAsia="仿宋"/>
          <w:color w:val="auto"/>
          <w:sz w:val="32"/>
          <w:szCs w:val="32"/>
          <w:highlight w:val="none"/>
          <w:lang w:val="en-US" w:eastAsia="zh-CN"/>
        </w:rPr>
        <w:t>13.97</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9.6</w:t>
      </w:r>
      <w:r>
        <w:rPr>
          <w:rFonts w:ascii="仿宋" w:hAnsi="仿宋" w:eastAsia="仿宋"/>
          <w:color w:val="auto"/>
          <w:sz w:val="32"/>
          <w:szCs w:val="32"/>
          <w:highlight w:val="none"/>
        </w:rPr>
        <w:t>%</w:t>
      </w:r>
      <w:r>
        <w:rPr>
          <w:rFonts w:hint="eastAsia" w:ascii="仿宋" w:hAnsi="仿宋" w:eastAsia="仿宋"/>
          <w:color w:val="auto"/>
          <w:sz w:val="32"/>
          <w:szCs w:val="32"/>
          <w:highlight w:val="none"/>
        </w:rPr>
        <w:t>；上缴上级支出</w:t>
      </w:r>
      <w:r>
        <w:rPr>
          <w:rFonts w:hint="eastAsia" w:ascii="仿宋" w:hAnsi="仿宋" w:eastAsia="仿宋"/>
          <w:color w:val="auto"/>
          <w:sz w:val="32"/>
          <w:szCs w:val="32"/>
          <w:highlight w:val="none"/>
          <w:lang w:eastAsia="zh-CN"/>
        </w:rPr>
        <w:t>0</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eastAsia="zh-CN"/>
        </w:rPr>
        <w:t>0</w:t>
      </w:r>
      <w:r>
        <w:rPr>
          <w:rFonts w:ascii="仿宋" w:hAnsi="仿宋" w:eastAsia="仿宋"/>
          <w:color w:val="auto"/>
          <w:sz w:val="32"/>
          <w:szCs w:val="32"/>
          <w:highlight w:val="none"/>
        </w:rPr>
        <w:t>%</w:t>
      </w:r>
      <w:r>
        <w:rPr>
          <w:rFonts w:hint="eastAsia" w:ascii="仿宋" w:hAnsi="仿宋" w:eastAsia="仿宋"/>
          <w:color w:val="auto"/>
          <w:sz w:val="32"/>
          <w:szCs w:val="32"/>
          <w:highlight w:val="none"/>
        </w:rPr>
        <w:t>；经营支出</w:t>
      </w:r>
      <w:r>
        <w:rPr>
          <w:rFonts w:hint="eastAsia" w:ascii="仿宋" w:hAnsi="仿宋" w:eastAsia="仿宋"/>
          <w:color w:val="auto"/>
          <w:sz w:val="32"/>
          <w:szCs w:val="32"/>
          <w:highlight w:val="none"/>
          <w:lang w:eastAsia="zh-CN"/>
        </w:rPr>
        <w:t>0</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eastAsia="zh-CN"/>
        </w:rPr>
        <w:t>0</w:t>
      </w:r>
      <w:r>
        <w:rPr>
          <w:rFonts w:ascii="仿宋" w:hAnsi="仿宋" w:eastAsia="仿宋"/>
          <w:color w:val="auto"/>
          <w:sz w:val="32"/>
          <w:szCs w:val="32"/>
          <w:highlight w:val="none"/>
        </w:rPr>
        <w:t>%</w:t>
      </w:r>
      <w:r>
        <w:rPr>
          <w:rFonts w:hint="eastAsia" w:ascii="仿宋" w:hAnsi="仿宋" w:eastAsia="仿宋"/>
          <w:color w:val="auto"/>
          <w:sz w:val="32"/>
          <w:szCs w:val="32"/>
          <w:highlight w:val="none"/>
        </w:rPr>
        <w:t>；对附属单位补助支出</w:t>
      </w:r>
      <w:r>
        <w:rPr>
          <w:rFonts w:hint="eastAsia" w:ascii="仿宋" w:hAnsi="仿宋" w:eastAsia="仿宋"/>
          <w:color w:val="auto"/>
          <w:sz w:val="32"/>
          <w:szCs w:val="32"/>
          <w:highlight w:val="none"/>
          <w:lang w:eastAsia="zh-CN"/>
        </w:rPr>
        <w:t>0</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eastAsia="zh-CN"/>
        </w:rPr>
        <w:t>0</w:t>
      </w:r>
      <w:r>
        <w:rPr>
          <w:rFonts w:ascii="仿宋" w:hAnsi="仿宋" w:eastAsia="仿宋"/>
          <w:color w:val="auto"/>
          <w:sz w:val="32"/>
          <w:szCs w:val="32"/>
          <w:highlight w:val="none"/>
        </w:rPr>
        <w:t>%</w:t>
      </w:r>
      <w:r>
        <w:rPr>
          <w:rFonts w:hint="eastAsia" w:ascii="仿宋" w:hAnsi="仿宋" w:eastAsia="仿宋"/>
          <w:color w:val="auto"/>
          <w:sz w:val="32"/>
          <w:szCs w:val="32"/>
          <w:highlight w:val="none"/>
        </w:rPr>
        <w:t>。</w:t>
      </w:r>
    </w:p>
    <w:p>
      <w:pPr>
        <w:spacing w:line="600" w:lineRule="exact"/>
        <w:ind w:firstLine="640" w:firstLineChars="200"/>
        <w:rPr>
          <w:rFonts w:ascii="仿宋_GB2312" w:eastAsia="仿宋_GB2312"/>
          <w:color w:val="auto"/>
          <w:sz w:val="32"/>
          <w:szCs w:val="32"/>
          <w:highlight w:val="none"/>
        </w:rPr>
      </w:pPr>
      <w:r>
        <w:rPr>
          <w:rFonts w:hint="eastAsia" w:ascii="仿宋_GB2312" w:eastAsia="仿宋_GB2312"/>
          <w:sz w:val="32"/>
          <w:szCs w:val="32"/>
          <w:lang w:eastAsia="zh-CN"/>
        </w:rPr>
        <w:drawing>
          <wp:anchor distT="0" distB="0" distL="114300" distR="114300" simplePos="0" relativeHeight="251661312" behindDoc="0" locked="0" layoutInCell="1" allowOverlap="1">
            <wp:simplePos x="0" y="0"/>
            <wp:positionH relativeFrom="column">
              <wp:posOffset>186055</wp:posOffset>
            </wp:positionH>
            <wp:positionV relativeFrom="paragraph">
              <wp:posOffset>231140</wp:posOffset>
            </wp:positionV>
            <wp:extent cx="5080000" cy="2839720"/>
            <wp:effectExtent l="4445" t="4445" r="20955" b="13335"/>
            <wp:wrapNone/>
            <wp:docPr id="5"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anchor>
        </w:drawing>
      </w:r>
    </w:p>
    <w:p>
      <w:pPr>
        <w:pStyle w:val="2"/>
        <w:rPr>
          <w:rFonts w:ascii="仿宋_GB2312" w:eastAsia="仿宋_GB2312"/>
          <w:color w:val="auto"/>
          <w:sz w:val="32"/>
          <w:szCs w:val="32"/>
          <w:highlight w:val="none"/>
        </w:rPr>
      </w:pPr>
    </w:p>
    <w:p>
      <w:pPr>
        <w:pStyle w:val="2"/>
        <w:rPr>
          <w:rFonts w:ascii="仿宋_GB2312" w:eastAsia="仿宋_GB2312"/>
          <w:color w:val="auto"/>
          <w:sz w:val="32"/>
          <w:szCs w:val="32"/>
          <w:highlight w:val="none"/>
        </w:rPr>
      </w:pPr>
    </w:p>
    <w:p>
      <w:pPr>
        <w:pStyle w:val="2"/>
        <w:rPr>
          <w:rFonts w:ascii="仿宋_GB2312" w:eastAsia="仿宋_GB2312"/>
          <w:color w:val="auto"/>
          <w:sz w:val="32"/>
          <w:szCs w:val="32"/>
          <w:highlight w:val="none"/>
        </w:rPr>
      </w:pPr>
    </w:p>
    <w:p>
      <w:pPr>
        <w:pStyle w:val="2"/>
        <w:rPr>
          <w:rFonts w:ascii="仿宋_GB2312" w:eastAsia="仿宋_GB2312"/>
          <w:color w:val="auto"/>
          <w:sz w:val="32"/>
          <w:szCs w:val="32"/>
          <w:highlight w:val="none"/>
        </w:rPr>
      </w:pPr>
    </w:p>
    <w:p>
      <w:pPr>
        <w:pStyle w:val="2"/>
        <w:rPr>
          <w:rFonts w:ascii="仿宋_GB2312" w:eastAsia="仿宋_GB2312"/>
          <w:color w:val="auto"/>
          <w:sz w:val="32"/>
          <w:szCs w:val="32"/>
          <w:highlight w:val="none"/>
        </w:rPr>
      </w:pPr>
    </w:p>
    <w:p>
      <w:pPr>
        <w:pStyle w:val="2"/>
        <w:rPr>
          <w:rFonts w:ascii="仿宋_GB2312" w:eastAsia="仿宋_GB2312"/>
          <w:color w:val="auto"/>
          <w:sz w:val="32"/>
          <w:szCs w:val="32"/>
          <w:highlight w:val="none"/>
        </w:rPr>
      </w:pPr>
    </w:p>
    <w:p>
      <w:pPr>
        <w:pStyle w:val="2"/>
        <w:rPr>
          <w:rFonts w:ascii="仿宋_GB2312" w:eastAsia="仿宋_GB2312"/>
          <w:color w:val="auto"/>
          <w:sz w:val="32"/>
          <w:szCs w:val="32"/>
          <w:highlight w:val="none"/>
        </w:rPr>
      </w:pPr>
    </w:p>
    <w:p>
      <w:pPr>
        <w:pStyle w:val="2"/>
        <w:rPr>
          <w:rFonts w:ascii="仿宋_GB2312" w:eastAsia="仿宋_GB2312"/>
          <w:color w:val="auto"/>
          <w:sz w:val="32"/>
          <w:szCs w:val="32"/>
          <w:highlight w:val="none"/>
        </w:rPr>
      </w:pPr>
    </w:p>
    <w:p>
      <w:pPr>
        <w:pStyle w:val="2"/>
        <w:rPr>
          <w:rFonts w:ascii="仿宋_GB2312" w:eastAsia="仿宋_GB2312"/>
          <w:color w:val="auto"/>
          <w:sz w:val="32"/>
          <w:szCs w:val="32"/>
          <w:highlight w:val="none"/>
        </w:rPr>
      </w:pPr>
    </w:p>
    <w:p>
      <w:pPr>
        <w:spacing w:line="600" w:lineRule="exact"/>
        <w:ind w:firstLine="640" w:firstLineChars="200"/>
        <w:outlineLvl w:val="1"/>
        <w:rPr>
          <w:rStyle w:val="27"/>
          <w:rFonts w:ascii="黑体" w:hAnsi="黑体" w:eastAsia="黑体"/>
          <w:b w:val="0"/>
          <w:color w:val="auto"/>
          <w:highlight w:val="none"/>
        </w:rPr>
      </w:pPr>
      <w:bookmarkStart w:id="24" w:name="_Toc15377208"/>
      <w:bookmarkStart w:id="25" w:name="_Toc15396606"/>
      <w:r>
        <w:rPr>
          <w:rFonts w:hint="eastAsia" w:ascii="黑体" w:hAnsi="黑体" w:eastAsia="黑体"/>
          <w:color w:val="auto"/>
          <w:sz w:val="32"/>
          <w:szCs w:val="32"/>
          <w:highlight w:val="none"/>
        </w:rPr>
        <w:t>四、财</w:t>
      </w:r>
      <w:r>
        <w:rPr>
          <w:rStyle w:val="27"/>
          <w:rFonts w:hint="eastAsia" w:ascii="黑体" w:hAnsi="黑体" w:eastAsia="黑体"/>
          <w:b w:val="0"/>
          <w:color w:val="auto"/>
          <w:highlight w:val="none"/>
        </w:rPr>
        <w:t>政拨款收入支出决算总体情况说明</w:t>
      </w:r>
      <w:bookmarkEnd w:id="24"/>
      <w:bookmarkEnd w:id="25"/>
    </w:p>
    <w:p>
      <w:pPr>
        <w:spacing w:line="600" w:lineRule="exact"/>
        <w:ind w:firstLine="640" w:firstLineChars="200"/>
        <w:rPr>
          <w:rFonts w:hint="eastAsia" w:ascii="仿宋" w:hAnsi="仿宋" w:eastAsia="仿宋"/>
          <w:color w:val="auto"/>
          <w:sz w:val="32"/>
          <w:szCs w:val="32"/>
          <w:highlight w:val="none"/>
          <w:lang w:eastAsia="zh-CN"/>
        </w:rPr>
      </w:pPr>
      <w:r>
        <w:rPr>
          <w:rFonts w:ascii="仿宋" w:hAnsi="仿宋" w:eastAsia="仿宋"/>
          <w:color w:val="auto"/>
          <w:sz w:val="32"/>
          <w:szCs w:val="32"/>
          <w:highlight w:val="none"/>
        </w:rPr>
        <w:t>20</w:t>
      </w:r>
      <w:r>
        <w:rPr>
          <w:rFonts w:hint="eastAsia" w:ascii="仿宋" w:hAnsi="仿宋" w:eastAsia="仿宋"/>
          <w:color w:val="auto"/>
          <w:sz w:val="32"/>
          <w:szCs w:val="32"/>
          <w:highlight w:val="none"/>
          <w:lang w:val="en-US" w:eastAsia="zh-CN"/>
        </w:rPr>
        <w:t>22</w:t>
      </w:r>
      <w:r>
        <w:rPr>
          <w:rFonts w:hint="eastAsia" w:ascii="仿宋" w:hAnsi="仿宋" w:eastAsia="仿宋"/>
          <w:color w:val="auto"/>
          <w:sz w:val="32"/>
          <w:szCs w:val="32"/>
          <w:highlight w:val="none"/>
        </w:rPr>
        <w:t>年财政拨款收、支总计</w:t>
      </w:r>
      <w:r>
        <w:rPr>
          <w:rFonts w:hint="eastAsia" w:ascii="仿宋" w:hAnsi="仿宋" w:eastAsia="仿宋"/>
          <w:color w:val="auto"/>
          <w:sz w:val="32"/>
          <w:szCs w:val="32"/>
          <w:highlight w:val="none"/>
          <w:lang w:val="en-US" w:eastAsia="zh-CN"/>
        </w:rPr>
        <w:t>144.77</w:t>
      </w:r>
      <w:r>
        <w:rPr>
          <w:rFonts w:hint="eastAsia" w:ascii="仿宋" w:hAnsi="仿宋" w:eastAsia="仿宋"/>
          <w:color w:val="auto"/>
          <w:sz w:val="32"/>
          <w:szCs w:val="32"/>
          <w:highlight w:val="none"/>
        </w:rPr>
        <w:t>万元。与</w:t>
      </w:r>
      <w:r>
        <w:rPr>
          <w:rFonts w:ascii="仿宋" w:hAnsi="仿宋" w:eastAsia="仿宋"/>
          <w:color w:val="auto"/>
          <w:sz w:val="32"/>
          <w:szCs w:val="32"/>
          <w:highlight w:val="none"/>
        </w:rPr>
        <w:t>20</w:t>
      </w:r>
      <w:r>
        <w:rPr>
          <w:rFonts w:hint="eastAsia" w:ascii="仿宋" w:hAnsi="仿宋" w:eastAsia="仿宋"/>
          <w:color w:val="auto"/>
          <w:sz w:val="32"/>
          <w:szCs w:val="32"/>
          <w:highlight w:val="none"/>
          <w:lang w:val="en-US" w:eastAsia="zh-CN"/>
        </w:rPr>
        <w:t>21</w:t>
      </w:r>
      <w:r>
        <w:rPr>
          <w:rFonts w:hint="eastAsia" w:ascii="仿宋" w:hAnsi="仿宋" w:eastAsia="仿宋"/>
          <w:color w:val="auto"/>
          <w:sz w:val="32"/>
          <w:szCs w:val="32"/>
          <w:highlight w:val="none"/>
        </w:rPr>
        <w:t>年相比，财政拨款收、支总计各增加</w:t>
      </w:r>
      <w:r>
        <w:rPr>
          <w:rFonts w:hint="eastAsia" w:ascii="仿宋" w:hAnsi="仿宋" w:eastAsia="仿宋"/>
          <w:color w:val="auto"/>
          <w:sz w:val="32"/>
          <w:szCs w:val="32"/>
          <w:highlight w:val="none"/>
          <w:lang w:val="en-US" w:eastAsia="zh-CN"/>
        </w:rPr>
        <w:t>20.46</w:t>
      </w:r>
      <w:r>
        <w:rPr>
          <w:rFonts w:hint="eastAsia" w:ascii="仿宋" w:hAnsi="仿宋" w:eastAsia="仿宋"/>
          <w:color w:val="auto"/>
          <w:sz w:val="32"/>
          <w:szCs w:val="32"/>
          <w:highlight w:val="none"/>
        </w:rPr>
        <w:t>万元，增长</w:t>
      </w:r>
      <w:r>
        <w:rPr>
          <w:rFonts w:hint="eastAsia" w:ascii="仿宋" w:hAnsi="仿宋" w:eastAsia="仿宋"/>
          <w:color w:val="auto"/>
          <w:sz w:val="32"/>
          <w:szCs w:val="32"/>
          <w:highlight w:val="none"/>
          <w:lang w:val="en-US" w:eastAsia="zh-CN"/>
        </w:rPr>
        <w:t>16.46</w:t>
      </w:r>
      <w:r>
        <w:rPr>
          <w:rFonts w:ascii="仿宋" w:hAnsi="仿宋" w:eastAsia="仿宋"/>
          <w:color w:val="auto"/>
          <w:sz w:val="32"/>
          <w:szCs w:val="32"/>
          <w:highlight w:val="none"/>
        </w:rPr>
        <w:t>%</w:t>
      </w:r>
      <w:r>
        <w:rPr>
          <w:rFonts w:hint="eastAsia" w:ascii="仿宋" w:hAnsi="仿宋" w:eastAsia="仿宋"/>
          <w:color w:val="auto"/>
          <w:sz w:val="32"/>
          <w:szCs w:val="32"/>
          <w:highlight w:val="none"/>
        </w:rPr>
        <w:t>。主要变动原因是</w:t>
      </w:r>
      <w:r>
        <w:rPr>
          <w:rFonts w:hint="eastAsia" w:ascii="仿宋" w:hAnsi="仿宋" w:eastAsia="仿宋"/>
          <w:color w:val="auto"/>
          <w:sz w:val="32"/>
          <w:szCs w:val="32"/>
          <w:highlight w:val="none"/>
          <w:lang w:val="en-US" w:eastAsia="zh-CN"/>
        </w:rPr>
        <w:t>人员经费正常增加</w:t>
      </w:r>
      <w:r>
        <w:rPr>
          <w:rFonts w:hint="eastAsia" w:ascii="仿宋" w:hAnsi="仿宋" w:eastAsia="仿宋"/>
          <w:color w:val="auto"/>
          <w:sz w:val="32"/>
          <w:szCs w:val="32"/>
          <w:highlight w:val="none"/>
          <w:lang w:eastAsia="zh-CN"/>
        </w:rPr>
        <w:t>。</w:t>
      </w:r>
    </w:p>
    <w:p>
      <w:pPr>
        <w:spacing w:line="600" w:lineRule="exact"/>
        <w:ind w:firstLine="640" w:firstLineChars="2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图4：财政拨款收、支决算总计变动情况</w:t>
      </w:r>
    </w:p>
    <w:p>
      <w:pPr>
        <w:spacing w:line="600" w:lineRule="exact"/>
        <w:ind w:firstLine="640"/>
        <w:rPr>
          <w:rFonts w:ascii="仿宋" w:hAnsi="仿宋" w:eastAsia="仿宋"/>
          <w:b/>
          <w:color w:val="auto"/>
          <w:sz w:val="32"/>
          <w:szCs w:val="32"/>
          <w:highlight w:val="none"/>
        </w:rPr>
      </w:pPr>
      <w:r>
        <w:rPr>
          <w:rFonts w:hint="eastAsia" w:ascii="仿宋_GB2312" w:eastAsia="仿宋_GB2312"/>
          <w:sz w:val="32"/>
          <w:szCs w:val="32"/>
          <w:lang w:eastAsia="zh-CN"/>
        </w:rPr>
        <w:drawing>
          <wp:anchor distT="0" distB="0" distL="114300" distR="114300" simplePos="0" relativeHeight="251662336" behindDoc="0" locked="0" layoutInCell="1" allowOverlap="1">
            <wp:simplePos x="0" y="0"/>
            <wp:positionH relativeFrom="column">
              <wp:posOffset>313690</wp:posOffset>
            </wp:positionH>
            <wp:positionV relativeFrom="paragraph">
              <wp:posOffset>107950</wp:posOffset>
            </wp:positionV>
            <wp:extent cx="5072380" cy="3178175"/>
            <wp:effectExtent l="4445" t="4445" r="9525" b="17780"/>
            <wp:wrapNone/>
            <wp:docPr id="8" name="图表 8"/>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p>
    <w:p>
      <w:pPr>
        <w:pStyle w:val="2"/>
        <w:rPr>
          <w:rFonts w:ascii="仿宋" w:hAnsi="仿宋" w:eastAsia="仿宋"/>
          <w:b/>
          <w:color w:val="auto"/>
          <w:sz w:val="32"/>
          <w:szCs w:val="32"/>
          <w:highlight w:val="none"/>
        </w:rPr>
      </w:pPr>
    </w:p>
    <w:p>
      <w:pPr>
        <w:pStyle w:val="2"/>
        <w:rPr>
          <w:rFonts w:ascii="仿宋" w:hAnsi="仿宋" w:eastAsia="仿宋"/>
          <w:b/>
          <w:color w:val="auto"/>
          <w:sz w:val="32"/>
          <w:szCs w:val="32"/>
          <w:highlight w:val="none"/>
        </w:rPr>
      </w:pPr>
    </w:p>
    <w:p>
      <w:pPr>
        <w:pStyle w:val="2"/>
        <w:rPr>
          <w:rFonts w:ascii="仿宋" w:hAnsi="仿宋" w:eastAsia="仿宋"/>
          <w:b/>
          <w:color w:val="auto"/>
          <w:sz w:val="32"/>
          <w:szCs w:val="32"/>
          <w:highlight w:val="none"/>
        </w:rPr>
      </w:pPr>
    </w:p>
    <w:p>
      <w:pPr>
        <w:pStyle w:val="2"/>
        <w:rPr>
          <w:rFonts w:ascii="仿宋" w:hAnsi="仿宋" w:eastAsia="仿宋"/>
          <w:b/>
          <w:color w:val="auto"/>
          <w:sz w:val="32"/>
          <w:szCs w:val="32"/>
          <w:highlight w:val="none"/>
        </w:rPr>
      </w:pPr>
    </w:p>
    <w:p>
      <w:pPr>
        <w:pStyle w:val="2"/>
        <w:rPr>
          <w:rFonts w:ascii="仿宋" w:hAnsi="仿宋" w:eastAsia="仿宋"/>
          <w:b/>
          <w:color w:val="auto"/>
          <w:sz w:val="32"/>
          <w:szCs w:val="32"/>
          <w:highlight w:val="none"/>
        </w:rPr>
      </w:pPr>
    </w:p>
    <w:p>
      <w:pPr>
        <w:pStyle w:val="2"/>
        <w:rPr>
          <w:rFonts w:ascii="仿宋" w:hAnsi="仿宋" w:eastAsia="仿宋"/>
          <w:b/>
          <w:color w:val="auto"/>
          <w:sz w:val="32"/>
          <w:szCs w:val="32"/>
          <w:highlight w:val="none"/>
        </w:rPr>
      </w:pPr>
    </w:p>
    <w:p>
      <w:pPr>
        <w:pStyle w:val="2"/>
        <w:rPr>
          <w:rFonts w:ascii="仿宋" w:hAnsi="仿宋" w:eastAsia="仿宋"/>
          <w:b/>
          <w:color w:val="auto"/>
          <w:sz w:val="32"/>
          <w:szCs w:val="32"/>
          <w:highlight w:val="none"/>
        </w:rPr>
      </w:pPr>
    </w:p>
    <w:p>
      <w:pPr>
        <w:pStyle w:val="2"/>
        <w:rPr>
          <w:rFonts w:ascii="仿宋" w:hAnsi="仿宋" w:eastAsia="仿宋"/>
          <w:b/>
          <w:color w:val="auto"/>
          <w:sz w:val="32"/>
          <w:szCs w:val="32"/>
          <w:highlight w:val="none"/>
        </w:rPr>
      </w:pPr>
    </w:p>
    <w:p>
      <w:pPr>
        <w:pStyle w:val="2"/>
        <w:rPr>
          <w:rFonts w:ascii="仿宋" w:hAnsi="仿宋" w:eastAsia="仿宋"/>
          <w:b/>
          <w:color w:val="auto"/>
          <w:sz w:val="32"/>
          <w:szCs w:val="32"/>
          <w:highlight w:val="none"/>
        </w:rPr>
      </w:pPr>
    </w:p>
    <w:p>
      <w:pPr>
        <w:spacing w:line="600" w:lineRule="exact"/>
        <w:ind w:firstLine="640" w:firstLineChars="200"/>
        <w:outlineLvl w:val="1"/>
        <w:rPr>
          <w:rStyle w:val="27"/>
          <w:rFonts w:ascii="黑体" w:hAnsi="黑体" w:eastAsia="黑体"/>
          <w:b w:val="0"/>
          <w:color w:val="auto"/>
          <w:highlight w:val="none"/>
        </w:rPr>
      </w:pPr>
      <w:bookmarkStart w:id="26" w:name="_Toc15396607"/>
      <w:bookmarkStart w:id="27" w:name="_Toc15377209"/>
      <w:r>
        <w:rPr>
          <w:rFonts w:hint="eastAsia" w:ascii="黑体" w:hAnsi="黑体" w:eastAsia="黑体"/>
          <w:color w:val="auto"/>
          <w:sz w:val="32"/>
          <w:szCs w:val="32"/>
          <w:highlight w:val="none"/>
        </w:rPr>
        <w:t>五、</w:t>
      </w:r>
      <w:r>
        <w:rPr>
          <w:rFonts w:hint="eastAsia" w:ascii="黑体" w:hAnsi="黑体" w:eastAsia="黑体"/>
          <w:b/>
          <w:color w:val="auto"/>
          <w:sz w:val="32"/>
          <w:szCs w:val="32"/>
          <w:highlight w:val="none"/>
        </w:rPr>
        <w:t>一</w:t>
      </w:r>
      <w:r>
        <w:rPr>
          <w:rStyle w:val="27"/>
          <w:rFonts w:hint="eastAsia" w:ascii="黑体" w:hAnsi="黑体" w:eastAsia="黑体"/>
          <w:b w:val="0"/>
          <w:color w:val="auto"/>
          <w:highlight w:val="none"/>
        </w:rPr>
        <w:t>般公共预算财政拨款支出决算情况说明</w:t>
      </w:r>
      <w:bookmarkEnd w:id="26"/>
      <w:bookmarkEnd w:id="27"/>
    </w:p>
    <w:p>
      <w:pPr>
        <w:spacing w:line="600" w:lineRule="exact"/>
        <w:ind w:firstLine="643" w:firstLineChars="200"/>
        <w:outlineLvl w:val="2"/>
        <w:rPr>
          <w:rFonts w:ascii="仿宋" w:hAnsi="仿宋" w:eastAsia="仿宋"/>
          <w:b/>
          <w:color w:val="auto"/>
          <w:sz w:val="32"/>
          <w:szCs w:val="32"/>
          <w:highlight w:val="none"/>
        </w:rPr>
      </w:pPr>
      <w:bookmarkStart w:id="28" w:name="_Toc15377210"/>
      <w:r>
        <w:rPr>
          <w:rFonts w:hint="eastAsia" w:ascii="仿宋" w:hAnsi="仿宋" w:eastAsia="仿宋"/>
          <w:b/>
          <w:color w:val="auto"/>
          <w:sz w:val="32"/>
          <w:szCs w:val="32"/>
          <w:highlight w:val="none"/>
        </w:rPr>
        <w:t>（一）一般公共预算财政拨款支出决算总体情况</w:t>
      </w:r>
      <w:bookmarkEnd w:id="28"/>
    </w:p>
    <w:p>
      <w:pPr>
        <w:spacing w:line="600" w:lineRule="exact"/>
        <w:ind w:firstLine="640" w:firstLineChars="200"/>
        <w:rPr>
          <w:rFonts w:ascii="仿宋" w:hAnsi="仿宋" w:eastAsia="仿宋"/>
          <w:color w:val="auto"/>
          <w:sz w:val="32"/>
          <w:szCs w:val="32"/>
          <w:highlight w:val="none"/>
        </w:rPr>
      </w:pPr>
      <w:r>
        <w:rPr>
          <w:rFonts w:ascii="仿宋" w:hAnsi="仿宋" w:eastAsia="仿宋"/>
          <w:color w:val="auto"/>
          <w:sz w:val="32"/>
          <w:szCs w:val="32"/>
          <w:highlight w:val="none"/>
        </w:rPr>
        <w:t>20</w:t>
      </w:r>
      <w:r>
        <w:rPr>
          <w:rFonts w:hint="eastAsia" w:ascii="仿宋" w:hAnsi="仿宋" w:eastAsia="仿宋"/>
          <w:color w:val="auto"/>
          <w:sz w:val="32"/>
          <w:szCs w:val="32"/>
          <w:highlight w:val="none"/>
          <w:lang w:val="en-US" w:eastAsia="zh-CN"/>
        </w:rPr>
        <w:t>22</w:t>
      </w:r>
      <w:r>
        <w:rPr>
          <w:rFonts w:hint="eastAsia" w:ascii="仿宋" w:hAnsi="仿宋" w:eastAsia="仿宋"/>
          <w:color w:val="auto"/>
          <w:sz w:val="32"/>
          <w:szCs w:val="32"/>
          <w:highlight w:val="none"/>
        </w:rPr>
        <w:t>年一般公共预算财政拨款支出</w:t>
      </w:r>
      <w:r>
        <w:rPr>
          <w:rFonts w:hint="eastAsia" w:ascii="仿宋" w:hAnsi="仿宋" w:eastAsia="仿宋"/>
          <w:color w:val="auto"/>
          <w:sz w:val="32"/>
          <w:szCs w:val="32"/>
          <w:highlight w:val="none"/>
          <w:lang w:val="en-US" w:eastAsia="zh-CN"/>
        </w:rPr>
        <w:t>144.77</w:t>
      </w:r>
      <w:r>
        <w:rPr>
          <w:rFonts w:hint="eastAsia" w:ascii="仿宋" w:hAnsi="仿宋" w:eastAsia="仿宋"/>
          <w:color w:val="auto"/>
          <w:sz w:val="32"/>
          <w:szCs w:val="32"/>
          <w:highlight w:val="none"/>
        </w:rPr>
        <w:t>万元，占本年支出合计的</w:t>
      </w:r>
      <w:r>
        <w:rPr>
          <w:rFonts w:hint="eastAsia" w:ascii="仿宋" w:hAnsi="仿宋" w:eastAsia="仿宋"/>
          <w:color w:val="auto"/>
          <w:sz w:val="32"/>
          <w:szCs w:val="32"/>
          <w:highlight w:val="none"/>
          <w:lang w:val="en-US" w:eastAsia="zh-CN"/>
        </w:rPr>
        <w:t>100</w:t>
      </w:r>
      <w:r>
        <w:rPr>
          <w:rFonts w:ascii="仿宋" w:hAnsi="仿宋" w:eastAsia="仿宋"/>
          <w:color w:val="auto"/>
          <w:sz w:val="32"/>
          <w:szCs w:val="32"/>
          <w:highlight w:val="none"/>
        </w:rPr>
        <w:t>%</w:t>
      </w:r>
      <w:r>
        <w:rPr>
          <w:rFonts w:hint="eastAsia" w:ascii="仿宋" w:hAnsi="仿宋" w:eastAsia="仿宋"/>
          <w:color w:val="auto"/>
          <w:sz w:val="32"/>
          <w:szCs w:val="32"/>
          <w:highlight w:val="none"/>
        </w:rPr>
        <w:t>。与</w:t>
      </w:r>
      <w:r>
        <w:rPr>
          <w:rFonts w:ascii="仿宋" w:hAnsi="仿宋" w:eastAsia="仿宋"/>
          <w:color w:val="auto"/>
          <w:sz w:val="32"/>
          <w:szCs w:val="32"/>
          <w:highlight w:val="none"/>
        </w:rPr>
        <w:t>20</w:t>
      </w:r>
      <w:r>
        <w:rPr>
          <w:rFonts w:hint="eastAsia" w:ascii="仿宋" w:hAnsi="仿宋" w:eastAsia="仿宋"/>
          <w:color w:val="auto"/>
          <w:sz w:val="32"/>
          <w:szCs w:val="32"/>
          <w:highlight w:val="none"/>
          <w:lang w:val="en-US" w:eastAsia="zh-CN"/>
        </w:rPr>
        <w:t>21</w:t>
      </w:r>
      <w:r>
        <w:rPr>
          <w:rFonts w:hint="eastAsia" w:ascii="仿宋" w:hAnsi="仿宋" w:eastAsia="仿宋"/>
          <w:color w:val="auto"/>
          <w:sz w:val="32"/>
          <w:szCs w:val="32"/>
          <w:highlight w:val="none"/>
        </w:rPr>
        <w:t>年相比，一般公共预算财政拨款</w:t>
      </w:r>
      <w:r>
        <w:rPr>
          <w:rFonts w:hint="eastAsia" w:ascii="仿宋" w:hAnsi="仿宋" w:eastAsia="仿宋"/>
          <w:color w:val="auto"/>
          <w:sz w:val="32"/>
          <w:szCs w:val="32"/>
          <w:highlight w:val="none"/>
          <w:lang w:eastAsia="zh-CN"/>
        </w:rPr>
        <w:t>支出</w:t>
      </w:r>
      <w:r>
        <w:rPr>
          <w:rFonts w:hint="eastAsia" w:ascii="仿宋" w:hAnsi="仿宋" w:eastAsia="仿宋"/>
          <w:color w:val="auto"/>
          <w:sz w:val="32"/>
          <w:szCs w:val="32"/>
          <w:highlight w:val="none"/>
        </w:rPr>
        <w:t>增加</w:t>
      </w:r>
      <w:r>
        <w:rPr>
          <w:rFonts w:hint="eastAsia" w:ascii="仿宋" w:hAnsi="仿宋" w:eastAsia="仿宋"/>
          <w:color w:val="auto"/>
          <w:sz w:val="32"/>
          <w:szCs w:val="32"/>
          <w:highlight w:val="none"/>
          <w:lang w:val="en-US" w:eastAsia="zh-CN"/>
        </w:rPr>
        <w:t>20.46</w:t>
      </w:r>
      <w:r>
        <w:rPr>
          <w:rFonts w:hint="eastAsia" w:ascii="仿宋" w:hAnsi="仿宋" w:eastAsia="仿宋"/>
          <w:color w:val="auto"/>
          <w:sz w:val="32"/>
          <w:szCs w:val="32"/>
          <w:highlight w:val="none"/>
        </w:rPr>
        <w:t>万元，增长</w:t>
      </w:r>
      <w:r>
        <w:rPr>
          <w:rFonts w:hint="eastAsia" w:ascii="仿宋" w:hAnsi="仿宋" w:eastAsia="仿宋"/>
          <w:color w:val="auto"/>
          <w:sz w:val="32"/>
          <w:szCs w:val="32"/>
          <w:highlight w:val="none"/>
          <w:lang w:val="en-US" w:eastAsia="zh-CN"/>
        </w:rPr>
        <w:t>16.46</w:t>
      </w:r>
      <w:r>
        <w:rPr>
          <w:rFonts w:ascii="仿宋" w:hAnsi="仿宋" w:eastAsia="仿宋"/>
          <w:color w:val="auto"/>
          <w:sz w:val="32"/>
          <w:szCs w:val="32"/>
          <w:highlight w:val="none"/>
        </w:rPr>
        <w:t>%</w:t>
      </w:r>
      <w:r>
        <w:rPr>
          <w:rFonts w:hint="eastAsia" w:ascii="仿宋" w:hAnsi="仿宋" w:eastAsia="仿宋"/>
          <w:color w:val="auto"/>
          <w:sz w:val="32"/>
          <w:szCs w:val="32"/>
          <w:highlight w:val="none"/>
        </w:rPr>
        <w:t>。主要变动原因是</w:t>
      </w:r>
      <w:r>
        <w:rPr>
          <w:rFonts w:hint="eastAsia" w:ascii="仿宋" w:hAnsi="仿宋" w:eastAsia="仿宋"/>
          <w:color w:val="auto"/>
          <w:sz w:val="32"/>
          <w:szCs w:val="32"/>
          <w:highlight w:val="none"/>
          <w:lang w:val="en-US" w:eastAsia="zh-CN"/>
        </w:rPr>
        <w:t>人员经费正常增加</w:t>
      </w:r>
      <w:r>
        <w:rPr>
          <w:rFonts w:hint="eastAsia" w:ascii="仿宋" w:hAnsi="仿宋" w:eastAsia="仿宋"/>
          <w:color w:val="auto"/>
          <w:sz w:val="32"/>
          <w:szCs w:val="32"/>
          <w:highlight w:val="none"/>
          <w:lang w:eastAsia="zh-CN"/>
        </w:rPr>
        <w:t>。</w:t>
      </w:r>
    </w:p>
    <w:p>
      <w:pPr>
        <w:spacing w:line="600" w:lineRule="exact"/>
        <w:ind w:firstLine="640" w:firstLineChars="2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w:t>
      </w:r>
    </w:p>
    <w:p>
      <w:pPr>
        <w:pStyle w:val="2"/>
        <w:rPr>
          <w:rFonts w:hint="eastAsia" w:ascii="仿宋" w:hAnsi="仿宋" w:eastAsia="仿宋"/>
          <w:color w:val="auto"/>
          <w:sz w:val="32"/>
          <w:szCs w:val="32"/>
          <w:highlight w:val="none"/>
        </w:rPr>
      </w:pPr>
    </w:p>
    <w:p>
      <w:pPr>
        <w:pStyle w:val="2"/>
        <w:rPr>
          <w:rFonts w:hint="eastAsia" w:ascii="仿宋" w:hAnsi="仿宋" w:eastAsia="仿宋"/>
          <w:color w:val="auto"/>
          <w:sz w:val="32"/>
          <w:szCs w:val="32"/>
          <w:highlight w:val="none"/>
        </w:rPr>
      </w:pPr>
    </w:p>
    <w:p>
      <w:pPr>
        <w:pStyle w:val="2"/>
        <w:rPr>
          <w:rFonts w:hint="eastAsia" w:ascii="仿宋" w:hAnsi="仿宋" w:eastAsia="仿宋"/>
          <w:color w:val="auto"/>
          <w:sz w:val="32"/>
          <w:szCs w:val="32"/>
          <w:highlight w:val="none"/>
        </w:rPr>
      </w:pPr>
    </w:p>
    <w:p>
      <w:pPr>
        <w:pStyle w:val="2"/>
        <w:rPr>
          <w:rFonts w:hint="eastAsia" w:ascii="仿宋" w:hAnsi="仿宋" w:eastAsia="仿宋"/>
          <w:color w:val="auto"/>
          <w:sz w:val="32"/>
          <w:szCs w:val="32"/>
          <w:highlight w:val="none"/>
        </w:rPr>
      </w:pPr>
    </w:p>
    <w:p>
      <w:pPr>
        <w:pStyle w:val="2"/>
        <w:rPr>
          <w:rFonts w:hint="eastAsia" w:ascii="仿宋" w:hAnsi="仿宋" w:eastAsia="仿宋"/>
          <w:color w:val="auto"/>
          <w:sz w:val="32"/>
          <w:szCs w:val="32"/>
          <w:highlight w:val="none"/>
        </w:rPr>
      </w:pPr>
    </w:p>
    <w:p>
      <w:pPr>
        <w:pStyle w:val="2"/>
        <w:rPr>
          <w:rFonts w:hint="eastAsia" w:ascii="仿宋" w:hAnsi="仿宋" w:eastAsia="仿宋"/>
          <w:color w:val="auto"/>
          <w:sz w:val="32"/>
          <w:szCs w:val="32"/>
          <w:highlight w:val="none"/>
        </w:rPr>
      </w:pPr>
    </w:p>
    <w:p>
      <w:pPr>
        <w:pStyle w:val="2"/>
        <w:rPr>
          <w:rFonts w:hint="eastAsia" w:ascii="仿宋" w:hAnsi="仿宋" w:eastAsia="仿宋"/>
          <w:color w:val="auto"/>
          <w:sz w:val="32"/>
          <w:szCs w:val="32"/>
          <w:highlight w:val="none"/>
        </w:rPr>
      </w:pPr>
      <w:r>
        <w:rPr>
          <w:rFonts w:hint="eastAsia" w:ascii="仿宋" w:hAnsi="仿宋" w:eastAsia="仿宋"/>
          <w:b/>
          <w:sz w:val="32"/>
          <w:szCs w:val="32"/>
          <w:lang w:eastAsia="zh-CN"/>
        </w:rPr>
        <w:drawing>
          <wp:anchor distT="0" distB="0" distL="114300" distR="114300" simplePos="0" relativeHeight="251663360" behindDoc="0" locked="0" layoutInCell="1" allowOverlap="1">
            <wp:simplePos x="0" y="0"/>
            <wp:positionH relativeFrom="column">
              <wp:posOffset>410845</wp:posOffset>
            </wp:positionH>
            <wp:positionV relativeFrom="paragraph">
              <wp:posOffset>-2312035</wp:posOffset>
            </wp:positionV>
            <wp:extent cx="5080000" cy="2573020"/>
            <wp:effectExtent l="4445" t="4445" r="20955" b="13335"/>
            <wp:wrapNone/>
            <wp:docPr id="9" name="图表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p>
    <w:p>
      <w:pPr>
        <w:spacing w:line="600" w:lineRule="exact"/>
        <w:ind w:firstLine="640" w:firstLineChars="200"/>
        <w:rPr>
          <w:rFonts w:ascii="仿宋" w:hAnsi="仿宋" w:eastAsia="仿宋"/>
          <w:color w:val="auto"/>
          <w:sz w:val="32"/>
          <w:szCs w:val="32"/>
          <w:highlight w:val="none"/>
        </w:rPr>
      </w:pPr>
    </w:p>
    <w:p>
      <w:pPr>
        <w:spacing w:line="600" w:lineRule="exact"/>
        <w:ind w:firstLine="643" w:firstLineChars="200"/>
        <w:outlineLvl w:val="2"/>
        <w:rPr>
          <w:rFonts w:ascii="仿宋" w:hAnsi="仿宋" w:eastAsia="仿宋"/>
          <w:b/>
          <w:color w:val="auto"/>
          <w:sz w:val="32"/>
          <w:szCs w:val="32"/>
          <w:highlight w:val="none"/>
        </w:rPr>
      </w:pPr>
      <w:bookmarkStart w:id="29" w:name="_Toc15377211"/>
      <w:r>
        <w:rPr>
          <w:rFonts w:hint="eastAsia" w:ascii="仿宋" w:hAnsi="仿宋" w:eastAsia="仿宋"/>
          <w:b/>
          <w:color w:val="auto"/>
          <w:sz w:val="32"/>
          <w:szCs w:val="32"/>
          <w:highlight w:val="none"/>
        </w:rPr>
        <w:t>（二）一般公共预算财政拨款支出决算结构情况</w:t>
      </w:r>
      <w:bookmarkEnd w:id="29"/>
    </w:p>
    <w:p>
      <w:pPr>
        <w:spacing w:line="600" w:lineRule="exact"/>
        <w:ind w:firstLine="640"/>
        <w:rPr>
          <w:rFonts w:hint="eastAsia" w:ascii="仿宋" w:hAnsi="仿宋" w:eastAsia="仿宋"/>
          <w:b/>
          <w:color w:val="auto"/>
          <w:sz w:val="32"/>
          <w:szCs w:val="32"/>
          <w:highlight w:val="none"/>
        </w:rPr>
      </w:pPr>
      <w:r>
        <w:rPr>
          <w:rFonts w:ascii="仿宋" w:hAnsi="仿宋" w:eastAsia="仿宋"/>
          <w:color w:val="auto"/>
          <w:sz w:val="32"/>
          <w:szCs w:val="32"/>
          <w:highlight w:val="none"/>
        </w:rPr>
        <w:t>20</w:t>
      </w:r>
      <w:r>
        <w:rPr>
          <w:rFonts w:hint="eastAsia" w:ascii="仿宋" w:hAnsi="仿宋" w:eastAsia="仿宋"/>
          <w:color w:val="auto"/>
          <w:sz w:val="32"/>
          <w:szCs w:val="32"/>
          <w:highlight w:val="none"/>
          <w:lang w:val="en-US" w:eastAsia="zh-CN"/>
        </w:rPr>
        <w:t>22</w:t>
      </w:r>
      <w:r>
        <w:rPr>
          <w:rFonts w:hint="eastAsia" w:ascii="仿宋" w:hAnsi="仿宋" w:eastAsia="仿宋"/>
          <w:color w:val="auto"/>
          <w:sz w:val="32"/>
          <w:szCs w:val="32"/>
          <w:highlight w:val="none"/>
        </w:rPr>
        <w:t>年一般公共预算财政拨款支出</w:t>
      </w:r>
      <w:r>
        <w:rPr>
          <w:rFonts w:hint="eastAsia" w:ascii="仿宋" w:hAnsi="仿宋" w:eastAsia="仿宋"/>
          <w:color w:val="auto"/>
          <w:sz w:val="32"/>
          <w:szCs w:val="32"/>
          <w:highlight w:val="none"/>
          <w:lang w:val="en-US" w:eastAsia="zh-CN"/>
        </w:rPr>
        <w:t>144.77</w:t>
      </w:r>
      <w:r>
        <w:rPr>
          <w:rFonts w:hint="eastAsia" w:ascii="仿宋" w:hAnsi="仿宋" w:eastAsia="仿宋"/>
          <w:color w:val="auto"/>
          <w:sz w:val="32"/>
          <w:szCs w:val="32"/>
          <w:highlight w:val="none"/>
        </w:rPr>
        <w:t>万元，主要用于以下方面</w:t>
      </w:r>
      <w:r>
        <w:rPr>
          <w:rFonts w:ascii="仿宋" w:hAnsi="仿宋" w:eastAsia="仿宋"/>
          <w:color w:val="auto"/>
          <w:sz w:val="32"/>
          <w:szCs w:val="32"/>
          <w:highlight w:val="none"/>
        </w:rPr>
        <w:t>:</w:t>
      </w:r>
      <w:r>
        <w:rPr>
          <w:rFonts w:hint="eastAsia" w:ascii="仿宋" w:hAnsi="仿宋" w:eastAsia="仿宋"/>
          <w:b/>
          <w:color w:val="auto"/>
          <w:sz w:val="32"/>
          <w:szCs w:val="32"/>
          <w:highlight w:val="none"/>
        </w:rPr>
        <w:t>一般公共服务</w:t>
      </w:r>
      <w:r>
        <w:rPr>
          <w:rFonts w:hint="eastAsia" w:ascii="仿宋" w:hAnsi="仿宋" w:eastAsia="仿宋"/>
          <w:b/>
          <w:bCs/>
          <w:color w:val="auto"/>
          <w:sz w:val="32"/>
          <w:szCs w:val="32"/>
          <w:highlight w:val="none"/>
        </w:rPr>
        <w:t>支出</w:t>
      </w:r>
      <w:r>
        <w:rPr>
          <w:rFonts w:hint="eastAsia" w:ascii="仿宋" w:hAnsi="仿宋" w:eastAsia="仿宋"/>
          <w:color w:val="auto"/>
          <w:sz w:val="32"/>
          <w:szCs w:val="32"/>
          <w:highlight w:val="none"/>
          <w:lang w:val="en-US" w:eastAsia="zh-CN"/>
        </w:rPr>
        <w:t>118.57</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81.9</w:t>
      </w:r>
      <w:r>
        <w:rPr>
          <w:rFonts w:ascii="仿宋" w:hAnsi="仿宋" w:eastAsia="仿宋"/>
          <w:color w:val="auto"/>
          <w:sz w:val="32"/>
          <w:szCs w:val="32"/>
          <w:highlight w:val="none"/>
        </w:rPr>
        <w:t>%</w:t>
      </w:r>
      <w:r>
        <w:rPr>
          <w:rFonts w:hint="eastAsia" w:ascii="仿宋" w:hAnsi="仿宋" w:eastAsia="仿宋"/>
          <w:color w:val="auto"/>
          <w:sz w:val="32"/>
          <w:szCs w:val="32"/>
          <w:highlight w:val="none"/>
        </w:rPr>
        <w:t>；</w:t>
      </w:r>
      <w:r>
        <w:rPr>
          <w:rFonts w:hint="eastAsia" w:ascii="仿宋" w:hAnsi="仿宋" w:eastAsia="仿宋"/>
          <w:b/>
          <w:color w:val="auto"/>
          <w:sz w:val="32"/>
          <w:szCs w:val="32"/>
          <w:highlight w:val="none"/>
        </w:rPr>
        <w:t>教育支出</w:t>
      </w:r>
      <w:r>
        <w:rPr>
          <w:rFonts w:hint="eastAsia" w:ascii="仿宋" w:hAnsi="仿宋" w:eastAsia="仿宋"/>
          <w:color w:val="auto"/>
          <w:sz w:val="32"/>
          <w:szCs w:val="32"/>
          <w:highlight w:val="none"/>
          <w:lang w:eastAsia="zh-CN"/>
        </w:rPr>
        <w:t>0</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eastAsia="zh-CN"/>
        </w:rPr>
        <w:t>0</w:t>
      </w:r>
      <w:r>
        <w:rPr>
          <w:rFonts w:ascii="仿宋" w:hAnsi="仿宋" w:eastAsia="仿宋"/>
          <w:color w:val="auto"/>
          <w:sz w:val="32"/>
          <w:szCs w:val="32"/>
          <w:highlight w:val="none"/>
        </w:rPr>
        <w:t>%</w:t>
      </w:r>
      <w:r>
        <w:rPr>
          <w:rFonts w:hint="eastAsia" w:ascii="仿宋" w:hAnsi="仿宋" w:eastAsia="仿宋"/>
          <w:color w:val="auto"/>
          <w:sz w:val="32"/>
          <w:szCs w:val="32"/>
          <w:highlight w:val="none"/>
        </w:rPr>
        <w:t>；</w:t>
      </w:r>
      <w:r>
        <w:rPr>
          <w:rFonts w:hint="eastAsia" w:ascii="仿宋" w:hAnsi="仿宋" w:eastAsia="仿宋"/>
          <w:b/>
          <w:color w:val="auto"/>
          <w:sz w:val="32"/>
          <w:szCs w:val="32"/>
          <w:highlight w:val="none"/>
        </w:rPr>
        <w:t>科学技术</w:t>
      </w:r>
      <w:r>
        <w:rPr>
          <w:rFonts w:hint="eastAsia" w:ascii="仿宋" w:hAnsi="仿宋" w:eastAsia="仿宋"/>
          <w:b/>
          <w:bCs/>
          <w:color w:val="auto"/>
          <w:sz w:val="32"/>
          <w:szCs w:val="32"/>
          <w:highlight w:val="none"/>
        </w:rPr>
        <w:t>支出</w:t>
      </w:r>
      <w:r>
        <w:rPr>
          <w:rFonts w:hint="eastAsia" w:ascii="仿宋" w:hAnsi="仿宋" w:eastAsia="仿宋"/>
          <w:color w:val="auto"/>
          <w:sz w:val="32"/>
          <w:szCs w:val="32"/>
          <w:highlight w:val="none"/>
          <w:lang w:eastAsia="zh-CN"/>
        </w:rPr>
        <w:t>0</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eastAsia="zh-CN"/>
        </w:rPr>
        <w:t>0</w:t>
      </w:r>
      <w:r>
        <w:rPr>
          <w:rFonts w:ascii="仿宋" w:hAnsi="仿宋" w:eastAsia="仿宋"/>
          <w:color w:val="auto"/>
          <w:sz w:val="32"/>
          <w:szCs w:val="32"/>
          <w:highlight w:val="none"/>
        </w:rPr>
        <w:t>%</w:t>
      </w:r>
      <w:r>
        <w:rPr>
          <w:rFonts w:hint="eastAsia" w:ascii="仿宋" w:hAnsi="仿宋" w:eastAsia="仿宋"/>
          <w:color w:val="auto"/>
          <w:sz w:val="32"/>
          <w:szCs w:val="32"/>
          <w:highlight w:val="none"/>
        </w:rPr>
        <w:t>；</w:t>
      </w:r>
      <w:r>
        <w:rPr>
          <w:rFonts w:hint="eastAsia" w:ascii="仿宋" w:hAnsi="仿宋" w:eastAsia="仿宋"/>
          <w:b/>
          <w:bCs/>
          <w:color w:val="auto"/>
          <w:sz w:val="32"/>
          <w:szCs w:val="32"/>
          <w:highlight w:val="none"/>
        </w:rPr>
        <w:t>文化旅游体育与传媒支出</w:t>
      </w:r>
      <w:r>
        <w:rPr>
          <w:rFonts w:hint="eastAsia" w:ascii="仿宋" w:hAnsi="仿宋" w:eastAsia="仿宋"/>
          <w:b/>
          <w:bCs/>
          <w:color w:val="auto"/>
          <w:sz w:val="32"/>
          <w:szCs w:val="32"/>
          <w:highlight w:val="none"/>
          <w:lang w:eastAsia="zh-CN"/>
        </w:rPr>
        <w:t>0</w:t>
      </w:r>
      <w:r>
        <w:rPr>
          <w:rFonts w:hint="eastAsia" w:ascii="仿宋" w:hAnsi="仿宋" w:eastAsia="仿宋"/>
          <w:b/>
          <w:bCs/>
          <w:color w:val="auto"/>
          <w:sz w:val="32"/>
          <w:szCs w:val="32"/>
          <w:highlight w:val="none"/>
        </w:rPr>
        <w:t>万元，占</w:t>
      </w:r>
      <w:r>
        <w:rPr>
          <w:rFonts w:hint="eastAsia" w:ascii="仿宋" w:hAnsi="仿宋" w:eastAsia="仿宋"/>
          <w:b/>
          <w:bCs/>
          <w:color w:val="auto"/>
          <w:sz w:val="32"/>
          <w:szCs w:val="32"/>
          <w:highlight w:val="none"/>
          <w:lang w:eastAsia="zh-CN"/>
        </w:rPr>
        <w:t>0</w:t>
      </w:r>
      <w:r>
        <w:rPr>
          <w:rFonts w:ascii="仿宋" w:hAnsi="仿宋" w:eastAsia="仿宋"/>
          <w:b/>
          <w:bCs/>
          <w:color w:val="auto"/>
          <w:sz w:val="32"/>
          <w:szCs w:val="32"/>
          <w:highlight w:val="none"/>
        </w:rPr>
        <w:t>%</w:t>
      </w:r>
      <w:r>
        <w:rPr>
          <w:rFonts w:hint="eastAsia" w:ascii="仿宋" w:hAnsi="仿宋" w:eastAsia="仿宋"/>
          <w:color w:val="auto"/>
          <w:sz w:val="32"/>
          <w:szCs w:val="32"/>
          <w:highlight w:val="none"/>
        </w:rPr>
        <w:t>；</w:t>
      </w:r>
      <w:r>
        <w:rPr>
          <w:rFonts w:hint="eastAsia" w:ascii="仿宋" w:hAnsi="仿宋" w:eastAsia="仿宋"/>
          <w:b/>
          <w:color w:val="auto"/>
          <w:sz w:val="32"/>
          <w:szCs w:val="32"/>
          <w:highlight w:val="none"/>
        </w:rPr>
        <w:t>社会保障和就业</w:t>
      </w:r>
      <w:r>
        <w:rPr>
          <w:rFonts w:hint="eastAsia" w:ascii="仿宋" w:hAnsi="仿宋" w:eastAsia="仿宋"/>
          <w:b/>
          <w:bCs/>
          <w:color w:val="auto"/>
          <w:sz w:val="32"/>
          <w:szCs w:val="32"/>
          <w:highlight w:val="none"/>
        </w:rPr>
        <w:t>支出</w:t>
      </w:r>
      <w:r>
        <w:rPr>
          <w:rFonts w:hint="eastAsia" w:ascii="仿宋" w:hAnsi="仿宋" w:eastAsia="仿宋"/>
          <w:color w:val="auto"/>
          <w:sz w:val="32"/>
          <w:szCs w:val="32"/>
          <w:highlight w:val="none"/>
          <w:lang w:val="en-US" w:eastAsia="zh-CN"/>
        </w:rPr>
        <w:t>12.39</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8.6</w:t>
      </w:r>
      <w:r>
        <w:rPr>
          <w:rFonts w:ascii="仿宋" w:hAnsi="仿宋" w:eastAsia="仿宋"/>
          <w:color w:val="auto"/>
          <w:sz w:val="32"/>
          <w:szCs w:val="32"/>
          <w:highlight w:val="none"/>
        </w:rPr>
        <w:t>%</w:t>
      </w:r>
      <w:r>
        <w:rPr>
          <w:rFonts w:hint="eastAsia" w:ascii="仿宋" w:hAnsi="仿宋" w:eastAsia="仿宋"/>
          <w:color w:val="auto"/>
          <w:sz w:val="32"/>
          <w:szCs w:val="32"/>
          <w:highlight w:val="none"/>
        </w:rPr>
        <w:t>；</w:t>
      </w:r>
      <w:r>
        <w:rPr>
          <w:rFonts w:hint="eastAsia" w:ascii="仿宋" w:hAnsi="仿宋" w:eastAsia="仿宋"/>
          <w:b/>
          <w:bCs/>
          <w:color w:val="auto"/>
          <w:sz w:val="32"/>
          <w:szCs w:val="32"/>
          <w:highlight w:val="none"/>
        </w:rPr>
        <w:t>卫生健康支出</w:t>
      </w:r>
      <w:r>
        <w:rPr>
          <w:rFonts w:hint="eastAsia" w:ascii="仿宋" w:hAnsi="仿宋" w:eastAsia="仿宋"/>
          <w:color w:val="auto"/>
          <w:sz w:val="32"/>
          <w:szCs w:val="32"/>
          <w:highlight w:val="none"/>
          <w:lang w:val="en-US" w:eastAsia="zh-CN"/>
        </w:rPr>
        <w:t>3.53</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2.4</w:t>
      </w:r>
      <w:r>
        <w:rPr>
          <w:rFonts w:ascii="仿宋" w:hAnsi="仿宋" w:eastAsia="仿宋"/>
          <w:color w:val="auto"/>
          <w:sz w:val="32"/>
          <w:szCs w:val="32"/>
          <w:highlight w:val="none"/>
        </w:rPr>
        <w:t>%</w:t>
      </w:r>
      <w:r>
        <w:rPr>
          <w:rFonts w:hint="eastAsia" w:ascii="仿宋" w:hAnsi="仿宋" w:eastAsia="仿宋"/>
          <w:color w:val="auto"/>
          <w:sz w:val="32"/>
          <w:szCs w:val="32"/>
          <w:highlight w:val="none"/>
        </w:rPr>
        <w:t>；</w:t>
      </w:r>
      <w:r>
        <w:rPr>
          <w:rFonts w:hint="eastAsia" w:ascii="仿宋" w:hAnsi="仿宋" w:eastAsia="仿宋"/>
          <w:b/>
          <w:bCs/>
          <w:color w:val="auto"/>
          <w:sz w:val="32"/>
          <w:szCs w:val="32"/>
          <w:highlight w:val="none"/>
        </w:rPr>
        <w:t>住房保障支出</w:t>
      </w:r>
      <w:r>
        <w:rPr>
          <w:rFonts w:hint="eastAsia" w:ascii="仿宋" w:hAnsi="仿宋" w:eastAsia="仿宋"/>
          <w:color w:val="auto"/>
          <w:sz w:val="32"/>
          <w:szCs w:val="32"/>
          <w:highlight w:val="none"/>
          <w:lang w:val="en-US" w:eastAsia="zh-CN"/>
        </w:rPr>
        <w:t>10.28</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7.1</w:t>
      </w:r>
      <w:r>
        <w:rPr>
          <w:rFonts w:ascii="仿宋" w:hAnsi="仿宋" w:eastAsia="仿宋"/>
          <w:color w:val="auto"/>
          <w:sz w:val="32"/>
          <w:szCs w:val="32"/>
          <w:highlight w:val="none"/>
        </w:rPr>
        <w:t>%</w:t>
      </w:r>
      <w:r>
        <w:rPr>
          <w:rFonts w:hint="eastAsia" w:ascii="仿宋" w:hAnsi="仿宋" w:eastAsia="仿宋"/>
          <w:color w:val="auto"/>
          <w:sz w:val="32"/>
          <w:szCs w:val="32"/>
          <w:highlight w:val="none"/>
        </w:rPr>
        <w:t>。</w:t>
      </w:r>
    </w:p>
    <w:p>
      <w:pPr>
        <w:pStyle w:val="2"/>
        <w:rPr>
          <w:rFonts w:hint="eastAsia" w:ascii="仿宋" w:hAnsi="仿宋" w:eastAsia="仿宋"/>
          <w:color w:val="auto"/>
          <w:sz w:val="32"/>
          <w:szCs w:val="32"/>
          <w:highlight w:val="none"/>
        </w:rPr>
      </w:pPr>
      <w:r>
        <w:rPr>
          <w:rFonts w:hint="eastAsia" w:ascii="仿宋" w:hAnsi="仿宋" w:eastAsia="仿宋"/>
          <w:sz w:val="32"/>
          <w:szCs w:val="32"/>
          <w:lang w:eastAsia="zh-CN"/>
        </w:rPr>
        <w:drawing>
          <wp:anchor distT="0" distB="0" distL="114300" distR="114300" simplePos="0" relativeHeight="251664384" behindDoc="0" locked="0" layoutInCell="1" allowOverlap="1">
            <wp:simplePos x="0" y="0"/>
            <wp:positionH relativeFrom="column">
              <wp:posOffset>343535</wp:posOffset>
            </wp:positionH>
            <wp:positionV relativeFrom="paragraph">
              <wp:posOffset>35560</wp:posOffset>
            </wp:positionV>
            <wp:extent cx="5080000" cy="3212465"/>
            <wp:effectExtent l="4445" t="4445" r="20955" b="21590"/>
            <wp:wrapNone/>
            <wp:docPr id="10" name="图表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p>
    <w:p>
      <w:pPr>
        <w:pStyle w:val="2"/>
        <w:rPr>
          <w:rFonts w:hint="eastAsia" w:ascii="仿宋" w:hAnsi="仿宋" w:eastAsia="仿宋"/>
          <w:color w:val="auto"/>
          <w:sz w:val="32"/>
          <w:szCs w:val="32"/>
          <w:highlight w:val="none"/>
        </w:rPr>
      </w:pPr>
    </w:p>
    <w:p>
      <w:pPr>
        <w:pStyle w:val="2"/>
        <w:rPr>
          <w:rFonts w:hint="eastAsia" w:ascii="仿宋" w:hAnsi="仿宋" w:eastAsia="仿宋"/>
          <w:color w:val="auto"/>
          <w:sz w:val="32"/>
          <w:szCs w:val="32"/>
          <w:highlight w:val="none"/>
        </w:rPr>
      </w:pPr>
    </w:p>
    <w:p>
      <w:pPr>
        <w:pStyle w:val="2"/>
        <w:rPr>
          <w:rFonts w:hint="eastAsia" w:ascii="仿宋" w:hAnsi="仿宋" w:eastAsia="仿宋"/>
          <w:color w:val="auto"/>
          <w:sz w:val="32"/>
          <w:szCs w:val="32"/>
          <w:highlight w:val="none"/>
        </w:rPr>
      </w:pPr>
    </w:p>
    <w:p>
      <w:pPr>
        <w:pStyle w:val="2"/>
        <w:rPr>
          <w:rFonts w:hint="eastAsia" w:ascii="仿宋" w:hAnsi="仿宋" w:eastAsia="仿宋"/>
          <w:color w:val="auto"/>
          <w:sz w:val="32"/>
          <w:szCs w:val="32"/>
          <w:highlight w:val="none"/>
        </w:rPr>
      </w:pPr>
    </w:p>
    <w:p>
      <w:pPr>
        <w:pStyle w:val="2"/>
        <w:rPr>
          <w:rFonts w:hint="eastAsia" w:ascii="仿宋" w:hAnsi="仿宋" w:eastAsia="仿宋"/>
          <w:color w:val="auto"/>
          <w:sz w:val="32"/>
          <w:szCs w:val="32"/>
          <w:highlight w:val="none"/>
        </w:rPr>
      </w:pPr>
    </w:p>
    <w:p>
      <w:pPr>
        <w:pStyle w:val="2"/>
        <w:rPr>
          <w:rFonts w:hint="eastAsia" w:ascii="仿宋" w:hAnsi="仿宋" w:eastAsia="仿宋"/>
          <w:color w:val="auto"/>
          <w:sz w:val="32"/>
          <w:szCs w:val="32"/>
          <w:highlight w:val="none"/>
        </w:rPr>
      </w:pPr>
    </w:p>
    <w:p>
      <w:pPr>
        <w:pStyle w:val="2"/>
        <w:rPr>
          <w:rFonts w:hint="eastAsia" w:ascii="仿宋" w:hAnsi="仿宋" w:eastAsia="仿宋"/>
          <w:color w:val="auto"/>
          <w:sz w:val="32"/>
          <w:szCs w:val="32"/>
          <w:highlight w:val="none"/>
        </w:rPr>
      </w:pPr>
    </w:p>
    <w:p>
      <w:pPr>
        <w:pStyle w:val="2"/>
        <w:rPr>
          <w:rFonts w:hint="eastAsia" w:ascii="仿宋" w:hAnsi="仿宋" w:eastAsia="仿宋"/>
          <w:color w:val="auto"/>
          <w:sz w:val="32"/>
          <w:szCs w:val="32"/>
          <w:highlight w:val="none"/>
        </w:rPr>
      </w:pPr>
    </w:p>
    <w:p>
      <w:pPr>
        <w:spacing w:line="600" w:lineRule="exact"/>
        <w:rPr>
          <w:rFonts w:ascii="仿宋" w:hAnsi="仿宋" w:eastAsia="仿宋"/>
          <w:color w:val="auto"/>
          <w:sz w:val="32"/>
          <w:szCs w:val="32"/>
          <w:highlight w:val="none"/>
        </w:rPr>
      </w:pPr>
    </w:p>
    <w:p>
      <w:pPr>
        <w:spacing w:line="600" w:lineRule="exact"/>
        <w:ind w:firstLine="643" w:firstLineChars="200"/>
        <w:outlineLvl w:val="2"/>
        <w:rPr>
          <w:rFonts w:ascii="仿宋" w:hAnsi="仿宋" w:eastAsia="仿宋"/>
          <w:b/>
          <w:color w:val="auto"/>
          <w:sz w:val="32"/>
          <w:szCs w:val="32"/>
          <w:highlight w:val="none"/>
        </w:rPr>
      </w:pPr>
      <w:bookmarkStart w:id="30" w:name="_Toc15377212"/>
      <w:r>
        <w:rPr>
          <w:rFonts w:hint="eastAsia" w:ascii="仿宋" w:hAnsi="仿宋" w:eastAsia="仿宋"/>
          <w:b/>
          <w:color w:val="auto"/>
          <w:sz w:val="32"/>
          <w:szCs w:val="32"/>
          <w:highlight w:val="none"/>
        </w:rPr>
        <w:t>（三）一般公共预算财政拨款支出决算具体情况</w:t>
      </w:r>
      <w:bookmarkEnd w:id="30"/>
    </w:p>
    <w:p>
      <w:pPr>
        <w:spacing w:line="600" w:lineRule="exact"/>
        <w:ind w:firstLine="643" w:firstLineChars="200"/>
        <w:outlineLvl w:val="2"/>
        <w:rPr>
          <w:rFonts w:ascii="仿宋" w:hAnsi="仿宋" w:eastAsia="仿宋"/>
          <w:color w:val="auto"/>
          <w:sz w:val="32"/>
          <w:szCs w:val="32"/>
          <w:highlight w:val="none"/>
        </w:rPr>
      </w:pPr>
      <w:bookmarkStart w:id="31" w:name="_Toc15377444"/>
      <w:bookmarkStart w:id="32" w:name="_Toc15378460"/>
      <w:bookmarkStart w:id="33" w:name="_Toc15377213"/>
      <w:r>
        <w:rPr>
          <w:rFonts w:hint="eastAsia" w:ascii="仿宋" w:hAnsi="仿宋" w:eastAsia="仿宋"/>
          <w:b/>
          <w:color w:val="auto"/>
          <w:sz w:val="32"/>
          <w:szCs w:val="32"/>
          <w:highlight w:val="none"/>
        </w:rPr>
        <w:t>20</w:t>
      </w:r>
      <w:r>
        <w:rPr>
          <w:rFonts w:hint="eastAsia" w:ascii="仿宋" w:hAnsi="仿宋" w:eastAsia="仿宋"/>
          <w:b/>
          <w:color w:val="auto"/>
          <w:sz w:val="32"/>
          <w:szCs w:val="32"/>
          <w:highlight w:val="none"/>
          <w:lang w:val="en-US" w:eastAsia="zh-CN"/>
        </w:rPr>
        <w:t>22</w:t>
      </w:r>
      <w:r>
        <w:rPr>
          <w:rFonts w:hint="eastAsia" w:ascii="仿宋" w:hAnsi="仿宋" w:eastAsia="仿宋"/>
          <w:b/>
          <w:color w:val="auto"/>
          <w:sz w:val="32"/>
          <w:szCs w:val="32"/>
          <w:highlight w:val="none"/>
        </w:rPr>
        <w:t>年</w:t>
      </w:r>
      <w:r>
        <w:rPr>
          <w:rFonts w:hint="eastAsia" w:ascii="仿宋" w:hAnsi="仿宋" w:eastAsia="仿宋"/>
          <w:b/>
          <w:color w:val="auto"/>
          <w:sz w:val="32"/>
          <w:szCs w:val="32"/>
          <w:highlight w:val="none"/>
          <w:lang w:eastAsia="zh-CN"/>
        </w:rPr>
        <w:t>一</w:t>
      </w:r>
      <w:r>
        <w:rPr>
          <w:rFonts w:hint="eastAsia" w:ascii="仿宋" w:hAnsi="仿宋" w:eastAsia="仿宋"/>
          <w:b/>
          <w:color w:val="auto"/>
          <w:sz w:val="32"/>
          <w:szCs w:val="32"/>
          <w:highlight w:val="none"/>
        </w:rPr>
        <w:t>般公共预算支出决算数为</w:t>
      </w:r>
      <w:r>
        <w:rPr>
          <w:rFonts w:hint="eastAsia" w:ascii="仿宋" w:hAnsi="仿宋" w:eastAsia="仿宋"/>
          <w:b/>
          <w:color w:val="auto"/>
          <w:sz w:val="32"/>
          <w:szCs w:val="32"/>
          <w:highlight w:val="none"/>
          <w:lang w:val="en-US" w:eastAsia="zh-CN"/>
        </w:rPr>
        <w:t>144.77万元</w:t>
      </w:r>
      <w:r>
        <w:rPr>
          <w:rFonts w:hint="eastAsia" w:ascii="仿宋" w:hAnsi="仿宋" w:eastAsia="仿宋"/>
          <w:color w:val="auto"/>
          <w:sz w:val="32"/>
          <w:szCs w:val="32"/>
          <w:highlight w:val="none"/>
        </w:rPr>
        <w:t>，</w:t>
      </w:r>
      <w:r>
        <w:rPr>
          <w:rStyle w:val="16"/>
          <w:rFonts w:hint="eastAsia" w:ascii="仿宋" w:hAnsi="仿宋" w:eastAsia="仿宋"/>
          <w:bCs/>
          <w:color w:val="auto"/>
          <w:sz w:val="32"/>
          <w:szCs w:val="32"/>
          <w:highlight w:val="none"/>
        </w:rPr>
        <w:t>完成预算</w:t>
      </w:r>
      <w:r>
        <w:rPr>
          <w:rStyle w:val="16"/>
          <w:rFonts w:hint="eastAsia" w:ascii="仿宋" w:hAnsi="仿宋" w:eastAsia="仿宋"/>
          <w:bCs/>
          <w:color w:val="auto"/>
          <w:sz w:val="32"/>
          <w:szCs w:val="32"/>
          <w:highlight w:val="none"/>
          <w:lang w:val="en-US" w:eastAsia="zh-CN"/>
        </w:rPr>
        <w:t>100</w:t>
      </w:r>
      <w:r>
        <w:rPr>
          <w:rStyle w:val="16"/>
          <w:rFonts w:ascii="仿宋" w:hAnsi="仿宋" w:eastAsia="仿宋"/>
          <w:bCs/>
          <w:color w:val="auto"/>
          <w:sz w:val="32"/>
          <w:szCs w:val="32"/>
          <w:highlight w:val="none"/>
        </w:rPr>
        <w:t>%</w:t>
      </w:r>
      <w:r>
        <w:rPr>
          <w:rStyle w:val="16"/>
          <w:rFonts w:hint="eastAsia" w:ascii="仿宋" w:hAnsi="仿宋" w:eastAsia="仿宋"/>
          <w:bCs/>
          <w:color w:val="auto"/>
          <w:sz w:val="32"/>
          <w:szCs w:val="32"/>
          <w:highlight w:val="none"/>
        </w:rPr>
        <w:t>。其中：</w:t>
      </w:r>
      <w:bookmarkEnd w:id="31"/>
      <w:bookmarkEnd w:id="32"/>
      <w:bookmarkEnd w:id="33"/>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rPr>
          <w:rStyle w:val="16"/>
          <w:rFonts w:hint="eastAsia" w:ascii="仿宋" w:hAnsi="仿宋" w:eastAsia="仿宋"/>
          <w:b w:val="0"/>
          <w:bCs/>
          <w:sz w:val="32"/>
          <w:szCs w:val="32"/>
        </w:rPr>
      </w:pPr>
      <w:r>
        <w:rPr>
          <w:rFonts w:hint="eastAsia" w:ascii="仿宋_GB2312" w:hAnsi="仿宋_GB2312" w:eastAsia="仿宋_GB2312" w:cs="仿宋_GB2312"/>
          <w:b/>
          <w:bCs w:val="0"/>
          <w:color w:val="000000"/>
          <w:sz w:val="32"/>
          <w:szCs w:val="32"/>
          <w:lang w:val="en-US" w:eastAsia="zh-CN"/>
        </w:rPr>
        <w:t>1.一般公共服务支出（类）组织事务（款）行政运行（项）</w:t>
      </w:r>
      <w:r>
        <w:rPr>
          <w:rStyle w:val="16"/>
          <w:rFonts w:ascii="仿宋" w:hAnsi="仿宋" w:eastAsia="仿宋"/>
          <w:bCs/>
          <w:sz w:val="32"/>
          <w:szCs w:val="32"/>
        </w:rPr>
        <w:t>:</w:t>
      </w:r>
      <w:r>
        <w:rPr>
          <w:rStyle w:val="16"/>
          <w:rFonts w:ascii="仿宋" w:hAnsi="仿宋" w:eastAsia="仿宋"/>
          <w:b w:val="0"/>
          <w:bCs/>
          <w:sz w:val="32"/>
          <w:szCs w:val="32"/>
        </w:rPr>
        <w:t xml:space="preserve"> </w:t>
      </w:r>
      <w:r>
        <w:rPr>
          <w:rStyle w:val="16"/>
          <w:rFonts w:hint="eastAsia" w:ascii="仿宋" w:hAnsi="仿宋" w:eastAsia="仿宋"/>
          <w:b w:val="0"/>
          <w:bCs/>
          <w:sz w:val="32"/>
          <w:szCs w:val="32"/>
        </w:rPr>
        <w:t>支出决算为</w:t>
      </w:r>
      <w:r>
        <w:rPr>
          <w:rStyle w:val="16"/>
          <w:rFonts w:hint="eastAsia" w:ascii="仿宋" w:hAnsi="仿宋" w:eastAsia="仿宋"/>
          <w:b w:val="0"/>
          <w:bCs/>
          <w:sz w:val="32"/>
          <w:szCs w:val="32"/>
          <w:lang w:val="en-US" w:eastAsia="zh-CN"/>
        </w:rPr>
        <w:t>104.6</w:t>
      </w:r>
      <w:r>
        <w:rPr>
          <w:rStyle w:val="16"/>
          <w:rFonts w:hint="eastAsia" w:ascii="仿宋" w:hAnsi="仿宋" w:eastAsia="仿宋"/>
          <w:b w:val="0"/>
          <w:bCs/>
          <w:sz w:val="32"/>
          <w:szCs w:val="32"/>
        </w:rPr>
        <w:t>万元，完成预算</w:t>
      </w:r>
      <w:r>
        <w:rPr>
          <w:rStyle w:val="16"/>
          <w:rFonts w:hint="eastAsia" w:ascii="仿宋" w:hAnsi="仿宋" w:eastAsia="仿宋"/>
          <w:b w:val="0"/>
          <w:bCs/>
          <w:sz w:val="32"/>
          <w:szCs w:val="32"/>
          <w:lang w:val="en-US" w:eastAsia="zh-CN"/>
        </w:rPr>
        <w:t>100</w:t>
      </w:r>
      <w:r>
        <w:rPr>
          <w:rStyle w:val="16"/>
          <w:rFonts w:ascii="仿宋" w:hAnsi="仿宋" w:eastAsia="仿宋"/>
          <w:b w:val="0"/>
          <w:bCs/>
          <w:sz w:val="32"/>
          <w:szCs w:val="32"/>
        </w:rPr>
        <w:t>%</w:t>
      </w:r>
      <w:r>
        <w:rPr>
          <w:rStyle w:val="16"/>
          <w:rFonts w:hint="eastAsia" w:ascii="仿宋" w:hAnsi="仿宋" w:eastAsia="仿宋"/>
          <w:b w:val="0"/>
          <w:bCs/>
          <w:sz w:val="32"/>
          <w:szCs w:val="32"/>
        </w:rPr>
        <w:t>，决算数</w:t>
      </w:r>
      <w:r>
        <w:rPr>
          <w:rStyle w:val="16"/>
          <w:rFonts w:hint="eastAsia" w:ascii="仿宋" w:hAnsi="仿宋" w:eastAsia="仿宋"/>
          <w:b w:val="0"/>
          <w:bCs/>
          <w:sz w:val="32"/>
          <w:szCs w:val="32"/>
          <w:lang w:val="en-US" w:eastAsia="zh-CN"/>
        </w:rPr>
        <w:t>与</w:t>
      </w:r>
      <w:r>
        <w:rPr>
          <w:rStyle w:val="16"/>
          <w:rFonts w:hint="eastAsia" w:ascii="仿宋" w:hAnsi="仿宋" w:eastAsia="仿宋"/>
          <w:b w:val="0"/>
          <w:bCs/>
          <w:sz w:val="32"/>
          <w:szCs w:val="32"/>
        </w:rPr>
        <w:t>预算数</w:t>
      </w:r>
      <w:r>
        <w:rPr>
          <w:rStyle w:val="16"/>
          <w:rFonts w:hint="eastAsia" w:ascii="仿宋" w:hAnsi="仿宋" w:eastAsia="仿宋"/>
          <w:b w:val="0"/>
          <w:bCs/>
          <w:sz w:val="32"/>
          <w:szCs w:val="32"/>
          <w:lang w:val="en-US" w:eastAsia="zh-CN"/>
        </w:rPr>
        <w:t>持平</w:t>
      </w:r>
      <w:r>
        <w:rPr>
          <w:rStyle w:val="16"/>
          <w:rFonts w:hint="eastAsia" w:ascii="仿宋" w:hAnsi="仿宋" w:eastAsia="仿宋"/>
          <w:b w:val="0"/>
          <w:bCs/>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rPr>
          <w:rStyle w:val="16"/>
          <w:rFonts w:hint="eastAsia" w:ascii="仿宋" w:hAnsi="仿宋" w:eastAsia="仿宋"/>
          <w:b w:val="0"/>
          <w:bCs/>
          <w:sz w:val="32"/>
          <w:szCs w:val="32"/>
        </w:rPr>
      </w:pPr>
      <w:r>
        <w:rPr>
          <w:rFonts w:hint="eastAsia" w:ascii="仿宋_GB2312" w:hAnsi="仿宋_GB2312" w:eastAsia="仿宋_GB2312" w:cs="仿宋_GB2312"/>
          <w:b/>
          <w:bCs w:val="0"/>
          <w:color w:val="000000"/>
          <w:sz w:val="32"/>
          <w:szCs w:val="32"/>
          <w:lang w:val="en-US" w:eastAsia="zh-CN"/>
        </w:rPr>
        <w:t>2.一般公共服务支出（类）组织事务（款）机关服务（项）</w:t>
      </w:r>
      <w:r>
        <w:rPr>
          <w:rFonts w:hint="eastAsia" w:hAnsi="仿宋_GB2312" w:cs="仿宋_GB2312"/>
          <w:b/>
          <w:bCs w:val="0"/>
          <w:color w:val="000000"/>
          <w:sz w:val="32"/>
          <w:szCs w:val="32"/>
          <w:lang w:val="en-US" w:eastAsia="zh-CN"/>
        </w:rPr>
        <w:t>：</w:t>
      </w:r>
      <w:r>
        <w:rPr>
          <w:rStyle w:val="16"/>
          <w:rFonts w:hint="eastAsia" w:ascii="仿宋" w:hAnsi="仿宋" w:eastAsia="仿宋"/>
          <w:b w:val="0"/>
          <w:bCs/>
          <w:sz w:val="32"/>
          <w:szCs w:val="32"/>
        </w:rPr>
        <w:t>支出决算为</w:t>
      </w:r>
      <w:r>
        <w:rPr>
          <w:rStyle w:val="16"/>
          <w:rFonts w:hint="eastAsia" w:ascii="仿宋" w:hAnsi="仿宋" w:eastAsia="仿宋"/>
          <w:b w:val="0"/>
          <w:bCs/>
          <w:sz w:val="32"/>
          <w:szCs w:val="32"/>
          <w:lang w:val="en-US" w:eastAsia="zh-CN"/>
        </w:rPr>
        <w:t>12</w:t>
      </w:r>
      <w:r>
        <w:rPr>
          <w:rStyle w:val="16"/>
          <w:rFonts w:hint="eastAsia" w:ascii="仿宋" w:hAnsi="仿宋" w:eastAsia="仿宋"/>
          <w:b w:val="0"/>
          <w:bCs/>
          <w:sz w:val="32"/>
          <w:szCs w:val="32"/>
        </w:rPr>
        <w:t>万元，完成预算</w:t>
      </w:r>
      <w:r>
        <w:rPr>
          <w:rStyle w:val="16"/>
          <w:rFonts w:hint="eastAsia" w:ascii="仿宋" w:hAnsi="仿宋" w:eastAsia="仿宋"/>
          <w:b w:val="0"/>
          <w:bCs/>
          <w:sz w:val="32"/>
          <w:szCs w:val="32"/>
          <w:lang w:val="en-US" w:eastAsia="zh-CN"/>
        </w:rPr>
        <w:t>100</w:t>
      </w:r>
      <w:r>
        <w:rPr>
          <w:rStyle w:val="16"/>
          <w:rFonts w:ascii="仿宋" w:hAnsi="仿宋" w:eastAsia="仿宋"/>
          <w:b w:val="0"/>
          <w:bCs/>
          <w:sz w:val="32"/>
          <w:szCs w:val="32"/>
        </w:rPr>
        <w:t>%</w:t>
      </w:r>
      <w:r>
        <w:rPr>
          <w:rStyle w:val="16"/>
          <w:rFonts w:hint="eastAsia" w:ascii="仿宋" w:hAnsi="仿宋" w:eastAsia="仿宋"/>
          <w:b w:val="0"/>
          <w:bCs/>
          <w:sz w:val="32"/>
          <w:szCs w:val="32"/>
        </w:rPr>
        <w:t>，决算数</w:t>
      </w:r>
      <w:r>
        <w:rPr>
          <w:rStyle w:val="16"/>
          <w:rFonts w:hint="eastAsia" w:ascii="仿宋" w:hAnsi="仿宋" w:eastAsia="仿宋"/>
          <w:b w:val="0"/>
          <w:bCs/>
          <w:sz w:val="32"/>
          <w:szCs w:val="32"/>
          <w:lang w:val="en-US" w:eastAsia="zh-CN"/>
        </w:rPr>
        <w:t>与</w:t>
      </w:r>
      <w:r>
        <w:rPr>
          <w:rStyle w:val="16"/>
          <w:rFonts w:hint="eastAsia" w:ascii="仿宋" w:hAnsi="仿宋" w:eastAsia="仿宋"/>
          <w:b w:val="0"/>
          <w:bCs/>
          <w:sz w:val="32"/>
          <w:szCs w:val="32"/>
        </w:rPr>
        <w:t>预算数</w:t>
      </w:r>
      <w:r>
        <w:rPr>
          <w:rStyle w:val="16"/>
          <w:rFonts w:hint="eastAsia" w:ascii="仿宋" w:hAnsi="仿宋" w:eastAsia="仿宋"/>
          <w:b w:val="0"/>
          <w:bCs/>
          <w:sz w:val="32"/>
          <w:szCs w:val="32"/>
          <w:lang w:val="en-US" w:eastAsia="zh-CN"/>
        </w:rPr>
        <w:t>持平</w:t>
      </w:r>
      <w:r>
        <w:rPr>
          <w:rStyle w:val="16"/>
          <w:rFonts w:hint="eastAsia" w:ascii="仿宋" w:hAnsi="仿宋" w:eastAsia="仿宋"/>
          <w:b w:val="0"/>
          <w:bCs/>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rPr>
          <w:rFonts w:ascii="仿宋" w:hAnsi="仿宋" w:eastAsia="仿宋"/>
          <w:b/>
          <w:sz w:val="32"/>
          <w:szCs w:val="32"/>
        </w:rPr>
      </w:pPr>
      <w:r>
        <w:rPr>
          <w:rStyle w:val="16"/>
          <w:rFonts w:hint="eastAsia" w:ascii="仿宋" w:hAnsi="仿宋" w:eastAsia="仿宋"/>
          <w:bCs/>
          <w:sz w:val="32"/>
          <w:szCs w:val="32"/>
          <w:lang w:val="en-US" w:eastAsia="zh-CN"/>
        </w:rPr>
        <w:t>3</w:t>
      </w:r>
      <w:r>
        <w:rPr>
          <w:rStyle w:val="16"/>
          <w:rFonts w:ascii="仿宋" w:hAnsi="仿宋" w:eastAsia="仿宋"/>
          <w:bCs/>
          <w:sz w:val="32"/>
          <w:szCs w:val="32"/>
        </w:rPr>
        <w:t>.</w:t>
      </w:r>
      <w:r>
        <w:rPr>
          <w:rFonts w:hint="eastAsia" w:ascii="仿宋_GB2312" w:hAnsi="仿宋_GB2312" w:eastAsia="仿宋_GB2312" w:cs="仿宋_GB2312"/>
          <w:b/>
          <w:bCs w:val="0"/>
          <w:color w:val="000000"/>
          <w:sz w:val="32"/>
          <w:szCs w:val="32"/>
          <w:lang w:val="en-US" w:eastAsia="zh-CN"/>
        </w:rPr>
        <w:t>一般公共服务支出（类）组织事务（款）其他组织事务支出（项）</w:t>
      </w:r>
      <w:r>
        <w:rPr>
          <w:rFonts w:hint="eastAsia" w:hAnsi="仿宋_GB2312" w:cs="仿宋_GB2312"/>
          <w:b/>
          <w:bCs w:val="0"/>
          <w:color w:val="000000"/>
          <w:sz w:val="32"/>
          <w:szCs w:val="32"/>
          <w:lang w:val="en-US" w:eastAsia="zh-CN"/>
        </w:rPr>
        <w:t>：</w:t>
      </w:r>
      <w:r>
        <w:rPr>
          <w:rStyle w:val="16"/>
          <w:rFonts w:hint="eastAsia" w:ascii="仿宋" w:hAnsi="仿宋" w:eastAsia="仿宋"/>
          <w:b w:val="0"/>
          <w:bCs/>
          <w:sz w:val="32"/>
          <w:szCs w:val="32"/>
        </w:rPr>
        <w:t>支出决算为</w:t>
      </w:r>
      <w:r>
        <w:rPr>
          <w:rStyle w:val="16"/>
          <w:rFonts w:hint="eastAsia" w:ascii="仿宋" w:hAnsi="仿宋" w:eastAsia="仿宋"/>
          <w:b w:val="0"/>
          <w:bCs/>
          <w:sz w:val="32"/>
          <w:szCs w:val="32"/>
          <w:lang w:val="en-US" w:eastAsia="zh-CN"/>
        </w:rPr>
        <w:t>1.97</w:t>
      </w:r>
      <w:r>
        <w:rPr>
          <w:rStyle w:val="16"/>
          <w:rFonts w:hint="eastAsia" w:ascii="仿宋" w:hAnsi="仿宋" w:eastAsia="仿宋"/>
          <w:b w:val="0"/>
          <w:bCs/>
          <w:sz w:val="32"/>
          <w:szCs w:val="32"/>
        </w:rPr>
        <w:t>万元，完成预算</w:t>
      </w:r>
      <w:r>
        <w:rPr>
          <w:rStyle w:val="16"/>
          <w:rFonts w:hint="eastAsia" w:ascii="仿宋" w:hAnsi="仿宋" w:eastAsia="仿宋"/>
          <w:b w:val="0"/>
          <w:bCs/>
          <w:sz w:val="32"/>
          <w:szCs w:val="32"/>
          <w:lang w:val="en-US" w:eastAsia="zh-CN"/>
        </w:rPr>
        <w:t>100</w:t>
      </w:r>
      <w:r>
        <w:rPr>
          <w:rStyle w:val="16"/>
          <w:rFonts w:ascii="仿宋" w:hAnsi="仿宋" w:eastAsia="仿宋"/>
          <w:b w:val="0"/>
          <w:bCs/>
          <w:sz w:val="32"/>
          <w:szCs w:val="32"/>
        </w:rPr>
        <w:t>%</w:t>
      </w:r>
      <w:r>
        <w:rPr>
          <w:rStyle w:val="16"/>
          <w:rFonts w:hint="eastAsia" w:ascii="仿宋" w:hAnsi="仿宋" w:eastAsia="仿宋"/>
          <w:b w:val="0"/>
          <w:bCs/>
          <w:sz w:val="32"/>
          <w:szCs w:val="32"/>
        </w:rPr>
        <w:t>，决算数</w:t>
      </w:r>
      <w:r>
        <w:rPr>
          <w:rStyle w:val="16"/>
          <w:rFonts w:hint="eastAsia" w:ascii="仿宋" w:hAnsi="仿宋" w:eastAsia="仿宋"/>
          <w:b w:val="0"/>
          <w:bCs/>
          <w:sz w:val="32"/>
          <w:szCs w:val="32"/>
          <w:lang w:val="en-US" w:eastAsia="zh-CN"/>
        </w:rPr>
        <w:t>与</w:t>
      </w:r>
      <w:r>
        <w:rPr>
          <w:rStyle w:val="16"/>
          <w:rFonts w:hint="eastAsia" w:ascii="仿宋" w:hAnsi="仿宋" w:eastAsia="仿宋"/>
          <w:b w:val="0"/>
          <w:bCs/>
          <w:sz w:val="32"/>
          <w:szCs w:val="32"/>
        </w:rPr>
        <w:t>预算数</w:t>
      </w:r>
      <w:r>
        <w:rPr>
          <w:rStyle w:val="16"/>
          <w:rFonts w:hint="eastAsia" w:ascii="仿宋" w:hAnsi="仿宋" w:eastAsia="仿宋"/>
          <w:b w:val="0"/>
          <w:bCs/>
          <w:sz w:val="32"/>
          <w:szCs w:val="32"/>
          <w:lang w:val="en-US" w:eastAsia="zh-CN"/>
        </w:rPr>
        <w:t>持平</w:t>
      </w:r>
      <w:r>
        <w:rPr>
          <w:rStyle w:val="16"/>
          <w:rFonts w:hint="eastAsia" w:ascii="仿宋" w:hAnsi="仿宋" w:eastAsia="仿宋"/>
          <w:b w:val="0"/>
          <w:bCs/>
          <w:sz w:val="32"/>
          <w:szCs w:val="32"/>
        </w:rPr>
        <w:t>。</w:t>
      </w:r>
    </w:p>
    <w:p>
      <w:pPr>
        <w:spacing w:line="600" w:lineRule="exact"/>
        <w:ind w:firstLine="643" w:firstLineChars="200"/>
        <w:rPr>
          <w:rStyle w:val="16"/>
          <w:rFonts w:hint="eastAsia" w:ascii="仿宋" w:hAnsi="仿宋" w:eastAsia="仿宋"/>
          <w:b w:val="0"/>
          <w:bCs/>
          <w:sz w:val="32"/>
          <w:szCs w:val="32"/>
        </w:rPr>
      </w:pPr>
      <w:r>
        <w:rPr>
          <w:rStyle w:val="16"/>
          <w:rFonts w:hint="eastAsia" w:ascii="仿宋" w:hAnsi="仿宋" w:eastAsia="仿宋"/>
          <w:bCs/>
          <w:sz w:val="32"/>
          <w:szCs w:val="32"/>
          <w:lang w:val="en-US" w:eastAsia="zh-CN"/>
        </w:rPr>
        <w:t>4</w:t>
      </w:r>
      <w:r>
        <w:rPr>
          <w:rStyle w:val="16"/>
          <w:rFonts w:ascii="仿宋" w:hAnsi="仿宋" w:eastAsia="仿宋"/>
          <w:bCs/>
          <w:sz w:val="32"/>
          <w:szCs w:val="32"/>
        </w:rPr>
        <w:t>.</w:t>
      </w:r>
      <w:r>
        <w:rPr>
          <w:rFonts w:hint="eastAsia" w:ascii="仿宋_GB2312" w:hAnsi="仿宋_GB2312" w:eastAsia="仿宋_GB2312" w:cs="仿宋_GB2312"/>
          <w:b/>
          <w:bCs w:val="0"/>
          <w:color w:val="000000"/>
          <w:sz w:val="32"/>
          <w:szCs w:val="32"/>
          <w:lang w:val="en-US" w:eastAsia="zh-CN"/>
        </w:rPr>
        <w:t>社会保障和就业支出（类）行政事业单位养老支出（款）机关事业单位基本养老保险缴费支出（项）</w:t>
      </w:r>
      <w:r>
        <w:rPr>
          <w:rStyle w:val="16"/>
          <w:rFonts w:ascii="仿宋" w:hAnsi="仿宋" w:eastAsia="仿宋"/>
          <w:bCs/>
          <w:sz w:val="32"/>
          <w:szCs w:val="32"/>
        </w:rPr>
        <w:t>:</w:t>
      </w:r>
      <w:r>
        <w:rPr>
          <w:rStyle w:val="16"/>
          <w:rFonts w:ascii="仿宋" w:hAnsi="仿宋" w:eastAsia="仿宋"/>
          <w:b w:val="0"/>
          <w:bCs/>
          <w:sz w:val="32"/>
          <w:szCs w:val="32"/>
        </w:rPr>
        <w:t xml:space="preserve"> </w:t>
      </w:r>
      <w:r>
        <w:rPr>
          <w:rStyle w:val="16"/>
          <w:rFonts w:hint="eastAsia" w:ascii="仿宋" w:hAnsi="仿宋" w:eastAsia="仿宋"/>
          <w:b w:val="0"/>
          <w:bCs/>
          <w:sz w:val="32"/>
          <w:szCs w:val="32"/>
        </w:rPr>
        <w:t>支出决算为</w:t>
      </w:r>
      <w:r>
        <w:rPr>
          <w:rStyle w:val="16"/>
          <w:rFonts w:hint="eastAsia" w:ascii="仿宋" w:hAnsi="仿宋" w:eastAsia="仿宋"/>
          <w:b w:val="0"/>
          <w:bCs/>
          <w:sz w:val="32"/>
          <w:szCs w:val="32"/>
          <w:lang w:val="en-US" w:eastAsia="zh-CN"/>
        </w:rPr>
        <w:t>8.26</w:t>
      </w:r>
      <w:r>
        <w:rPr>
          <w:rStyle w:val="16"/>
          <w:rFonts w:hint="eastAsia" w:ascii="仿宋" w:hAnsi="仿宋" w:eastAsia="仿宋"/>
          <w:b w:val="0"/>
          <w:bCs/>
          <w:sz w:val="32"/>
          <w:szCs w:val="32"/>
        </w:rPr>
        <w:t>万元，完成预算</w:t>
      </w:r>
      <w:r>
        <w:rPr>
          <w:rStyle w:val="16"/>
          <w:rFonts w:hint="eastAsia" w:ascii="仿宋" w:hAnsi="仿宋" w:eastAsia="仿宋"/>
          <w:b w:val="0"/>
          <w:bCs/>
          <w:sz w:val="32"/>
          <w:szCs w:val="32"/>
          <w:lang w:val="en-US" w:eastAsia="zh-CN"/>
        </w:rPr>
        <w:t>100</w:t>
      </w:r>
      <w:r>
        <w:rPr>
          <w:rStyle w:val="16"/>
          <w:rFonts w:ascii="仿宋" w:hAnsi="仿宋" w:eastAsia="仿宋"/>
          <w:b w:val="0"/>
          <w:bCs/>
          <w:sz w:val="32"/>
          <w:szCs w:val="32"/>
        </w:rPr>
        <w:t>%</w:t>
      </w:r>
      <w:r>
        <w:rPr>
          <w:rStyle w:val="16"/>
          <w:rFonts w:hint="eastAsia" w:ascii="仿宋" w:hAnsi="仿宋" w:eastAsia="仿宋"/>
          <w:b w:val="0"/>
          <w:bCs/>
          <w:sz w:val="32"/>
          <w:szCs w:val="32"/>
        </w:rPr>
        <w:t>，决算数</w:t>
      </w:r>
      <w:r>
        <w:rPr>
          <w:rStyle w:val="16"/>
          <w:rFonts w:hint="eastAsia" w:ascii="仿宋" w:hAnsi="仿宋" w:eastAsia="仿宋"/>
          <w:b w:val="0"/>
          <w:bCs/>
          <w:sz w:val="32"/>
          <w:szCs w:val="32"/>
          <w:lang w:val="en-US" w:eastAsia="zh-CN"/>
        </w:rPr>
        <w:t>与</w:t>
      </w:r>
      <w:r>
        <w:rPr>
          <w:rStyle w:val="16"/>
          <w:rFonts w:hint="eastAsia" w:ascii="仿宋" w:hAnsi="仿宋" w:eastAsia="仿宋"/>
          <w:b w:val="0"/>
          <w:bCs/>
          <w:sz w:val="32"/>
          <w:szCs w:val="32"/>
        </w:rPr>
        <w:t>预算数</w:t>
      </w:r>
      <w:r>
        <w:rPr>
          <w:rStyle w:val="16"/>
          <w:rFonts w:hint="eastAsia" w:ascii="仿宋" w:hAnsi="仿宋" w:eastAsia="仿宋"/>
          <w:b w:val="0"/>
          <w:bCs/>
          <w:sz w:val="32"/>
          <w:szCs w:val="32"/>
          <w:lang w:val="en-US" w:eastAsia="zh-CN"/>
        </w:rPr>
        <w:t>持平</w:t>
      </w:r>
      <w:r>
        <w:rPr>
          <w:rStyle w:val="16"/>
          <w:rFonts w:hint="eastAsia" w:ascii="仿宋" w:hAnsi="仿宋" w:eastAsia="仿宋"/>
          <w:b w:val="0"/>
          <w:bCs/>
          <w:sz w:val="32"/>
          <w:szCs w:val="32"/>
        </w:rPr>
        <w:t>。</w:t>
      </w:r>
    </w:p>
    <w:p>
      <w:pPr>
        <w:pStyle w:val="7"/>
        <w:ind w:firstLine="643" w:firstLineChars="200"/>
        <w:rPr>
          <w:rStyle w:val="16"/>
          <w:rFonts w:hint="eastAsia" w:ascii="仿宋" w:hAnsi="仿宋" w:eastAsia="仿宋"/>
          <w:b w:val="0"/>
          <w:bCs/>
          <w:sz w:val="32"/>
          <w:szCs w:val="32"/>
        </w:rPr>
      </w:pPr>
      <w:r>
        <w:rPr>
          <w:rFonts w:hint="eastAsia" w:hAnsi="仿宋_GB2312" w:cs="仿宋_GB2312"/>
          <w:b/>
          <w:bCs w:val="0"/>
          <w:color w:val="000000"/>
          <w:sz w:val="32"/>
          <w:szCs w:val="32"/>
          <w:lang w:val="en-US" w:eastAsia="zh-CN"/>
        </w:rPr>
        <w:t>5</w:t>
      </w:r>
      <w:r>
        <w:rPr>
          <w:rFonts w:hint="eastAsia" w:ascii="仿宋_GB2312" w:hAnsi="仿宋_GB2312" w:eastAsia="仿宋_GB2312" w:cs="仿宋_GB2312"/>
          <w:b/>
          <w:bCs w:val="0"/>
          <w:color w:val="000000"/>
          <w:sz w:val="32"/>
          <w:szCs w:val="32"/>
          <w:lang w:val="en-US" w:eastAsia="zh-CN"/>
        </w:rPr>
        <w:t>.社会保障和就业支出（类）行政事业单位养老支出（款）机关事业单位职业年金缴费支出（项）</w:t>
      </w:r>
      <w:r>
        <w:rPr>
          <w:rFonts w:hint="eastAsia" w:hAnsi="仿宋_GB2312" w:cs="仿宋_GB2312"/>
          <w:b/>
          <w:bCs w:val="0"/>
          <w:color w:val="000000"/>
          <w:sz w:val="32"/>
          <w:szCs w:val="32"/>
          <w:lang w:val="en-US" w:eastAsia="zh-CN"/>
        </w:rPr>
        <w:t>：</w:t>
      </w:r>
      <w:r>
        <w:rPr>
          <w:rStyle w:val="16"/>
          <w:rFonts w:hint="eastAsia" w:ascii="仿宋" w:hAnsi="仿宋" w:eastAsia="仿宋"/>
          <w:b w:val="0"/>
          <w:bCs/>
          <w:sz w:val="32"/>
          <w:szCs w:val="32"/>
        </w:rPr>
        <w:t>支出决算为</w:t>
      </w:r>
      <w:r>
        <w:rPr>
          <w:rStyle w:val="16"/>
          <w:rFonts w:hint="eastAsia" w:ascii="仿宋" w:hAnsi="仿宋" w:eastAsia="仿宋"/>
          <w:b w:val="0"/>
          <w:bCs/>
          <w:sz w:val="32"/>
          <w:szCs w:val="32"/>
          <w:lang w:val="en-US" w:eastAsia="zh-CN"/>
        </w:rPr>
        <w:t>:4.13</w:t>
      </w:r>
      <w:r>
        <w:rPr>
          <w:rStyle w:val="16"/>
          <w:rFonts w:hint="eastAsia" w:ascii="仿宋" w:hAnsi="仿宋" w:eastAsia="仿宋"/>
          <w:b w:val="0"/>
          <w:bCs/>
          <w:sz w:val="32"/>
          <w:szCs w:val="32"/>
        </w:rPr>
        <w:t>万元，完成预算</w:t>
      </w:r>
      <w:r>
        <w:rPr>
          <w:rStyle w:val="16"/>
          <w:rFonts w:hint="eastAsia" w:ascii="仿宋" w:hAnsi="仿宋" w:eastAsia="仿宋"/>
          <w:b w:val="0"/>
          <w:bCs/>
          <w:sz w:val="32"/>
          <w:szCs w:val="32"/>
          <w:lang w:val="en-US" w:eastAsia="zh-CN"/>
        </w:rPr>
        <w:t>100</w:t>
      </w:r>
      <w:r>
        <w:rPr>
          <w:rStyle w:val="16"/>
          <w:rFonts w:ascii="仿宋" w:hAnsi="仿宋" w:eastAsia="仿宋"/>
          <w:b w:val="0"/>
          <w:bCs/>
          <w:sz w:val="32"/>
          <w:szCs w:val="32"/>
        </w:rPr>
        <w:t>%</w:t>
      </w:r>
      <w:r>
        <w:rPr>
          <w:rStyle w:val="16"/>
          <w:rFonts w:hint="eastAsia" w:ascii="仿宋" w:hAnsi="仿宋" w:eastAsia="仿宋"/>
          <w:b w:val="0"/>
          <w:bCs/>
          <w:sz w:val="32"/>
          <w:szCs w:val="32"/>
        </w:rPr>
        <w:t>，决算数</w:t>
      </w:r>
      <w:r>
        <w:rPr>
          <w:rStyle w:val="16"/>
          <w:rFonts w:hint="eastAsia" w:ascii="仿宋" w:hAnsi="仿宋" w:eastAsia="仿宋"/>
          <w:b w:val="0"/>
          <w:bCs/>
          <w:sz w:val="32"/>
          <w:szCs w:val="32"/>
          <w:lang w:val="en-US" w:eastAsia="zh-CN"/>
        </w:rPr>
        <w:t>与</w:t>
      </w:r>
      <w:r>
        <w:rPr>
          <w:rStyle w:val="16"/>
          <w:rFonts w:hint="eastAsia" w:ascii="仿宋" w:hAnsi="仿宋" w:eastAsia="仿宋"/>
          <w:b w:val="0"/>
          <w:bCs/>
          <w:sz w:val="32"/>
          <w:szCs w:val="32"/>
        </w:rPr>
        <w:t>预算数</w:t>
      </w:r>
      <w:r>
        <w:rPr>
          <w:rStyle w:val="16"/>
          <w:rFonts w:hint="eastAsia" w:ascii="仿宋" w:hAnsi="仿宋" w:eastAsia="仿宋"/>
          <w:b w:val="0"/>
          <w:bCs/>
          <w:sz w:val="32"/>
          <w:szCs w:val="32"/>
          <w:lang w:val="en-US" w:eastAsia="zh-CN"/>
        </w:rPr>
        <w:t>持平</w:t>
      </w:r>
      <w:r>
        <w:rPr>
          <w:rStyle w:val="16"/>
          <w:rFonts w:hint="eastAsia" w:ascii="仿宋" w:hAnsi="仿宋" w:eastAsia="仿宋"/>
          <w:b w:val="0"/>
          <w:bCs/>
          <w:sz w:val="32"/>
          <w:szCs w:val="32"/>
        </w:rPr>
        <w:t>。</w:t>
      </w:r>
    </w:p>
    <w:p>
      <w:pPr>
        <w:spacing w:line="600" w:lineRule="exact"/>
        <w:ind w:firstLine="643" w:firstLineChars="200"/>
        <w:rPr>
          <w:rStyle w:val="16"/>
          <w:rFonts w:hint="eastAsia" w:ascii="仿宋" w:hAnsi="仿宋" w:eastAsia="仿宋"/>
          <w:b w:val="0"/>
          <w:bCs/>
          <w:sz w:val="32"/>
          <w:szCs w:val="32"/>
        </w:rPr>
      </w:pPr>
      <w:r>
        <w:rPr>
          <w:rStyle w:val="16"/>
          <w:rFonts w:hint="eastAsia" w:ascii="仿宋" w:hAnsi="仿宋" w:eastAsia="仿宋"/>
          <w:bCs/>
          <w:sz w:val="32"/>
          <w:szCs w:val="32"/>
          <w:lang w:val="en-US" w:eastAsia="zh-CN"/>
        </w:rPr>
        <w:t>6</w:t>
      </w:r>
      <w:r>
        <w:rPr>
          <w:rStyle w:val="16"/>
          <w:rFonts w:ascii="仿宋" w:hAnsi="仿宋" w:eastAsia="仿宋"/>
          <w:bCs/>
          <w:sz w:val="32"/>
          <w:szCs w:val="32"/>
        </w:rPr>
        <w:t>.</w:t>
      </w:r>
      <w:r>
        <w:rPr>
          <w:rFonts w:hint="eastAsia" w:ascii="仿宋_GB2312" w:hAnsi="仿宋_GB2312" w:eastAsia="仿宋_GB2312" w:cs="仿宋_GB2312"/>
          <w:b/>
          <w:bCs w:val="0"/>
          <w:color w:val="000000"/>
          <w:sz w:val="32"/>
          <w:szCs w:val="32"/>
          <w:lang w:val="en-US" w:eastAsia="zh-CN"/>
        </w:rPr>
        <w:t>卫生健康支出（类）行政事业单位医疗（款）行政单位医疗（项）:</w:t>
      </w:r>
      <w:r>
        <w:rPr>
          <w:rStyle w:val="16"/>
          <w:rFonts w:hint="eastAsia" w:ascii="仿宋" w:hAnsi="仿宋" w:eastAsia="仿宋"/>
          <w:b w:val="0"/>
          <w:bCs/>
          <w:sz w:val="32"/>
          <w:szCs w:val="32"/>
        </w:rPr>
        <w:t>支出决算为</w:t>
      </w:r>
      <w:r>
        <w:rPr>
          <w:rStyle w:val="16"/>
          <w:rFonts w:hint="eastAsia" w:ascii="仿宋" w:hAnsi="仿宋" w:eastAsia="仿宋"/>
          <w:b w:val="0"/>
          <w:bCs/>
          <w:sz w:val="32"/>
          <w:szCs w:val="32"/>
          <w:lang w:val="en-US" w:eastAsia="zh-CN"/>
        </w:rPr>
        <w:t>:2.83</w:t>
      </w:r>
      <w:r>
        <w:rPr>
          <w:rStyle w:val="16"/>
          <w:rFonts w:hint="eastAsia" w:ascii="仿宋" w:hAnsi="仿宋" w:eastAsia="仿宋"/>
          <w:b w:val="0"/>
          <w:bCs/>
          <w:sz w:val="32"/>
          <w:szCs w:val="32"/>
        </w:rPr>
        <w:t>万元，完成预算</w:t>
      </w:r>
      <w:r>
        <w:rPr>
          <w:rStyle w:val="16"/>
          <w:rFonts w:hint="eastAsia" w:ascii="仿宋" w:hAnsi="仿宋" w:eastAsia="仿宋"/>
          <w:b w:val="0"/>
          <w:bCs/>
          <w:sz w:val="32"/>
          <w:szCs w:val="32"/>
          <w:lang w:val="en-US" w:eastAsia="zh-CN"/>
        </w:rPr>
        <w:t>100</w:t>
      </w:r>
      <w:r>
        <w:rPr>
          <w:rStyle w:val="16"/>
          <w:rFonts w:ascii="仿宋" w:hAnsi="仿宋" w:eastAsia="仿宋"/>
          <w:b w:val="0"/>
          <w:bCs/>
          <w:sz w:val="32"/>
          <w:szCs w:val="32"/>
        </w:rPr>
        <w:t>%</w:t>
      </w:r>
      <w:r>
        <w:rPr>
          <w:rStyle w:val="16"/>
          <w:rFonts w:hint="eastAsia" w:ascii="仿宋" w:hAnsi="仿宋" w:eastAsia="仿宋"/>
          <w:b w:val="0"/>
          <w:bCs/>
          <w:sz w:val="32"/>
          <w:szCs w:val="32"/>
        </w:rPr>
        <w:t>，决算数</w:t>
      </w:r>
      <w:r>
        <w:rPr>
          <w:rStyle w:val="16"/>
          <w:rFonts w:hint="eastAsia" w:ascii="仿宋" w:hAnsi="仿宋" w:eastAsia="仿宋"/>
          <w:b w:val="0"/>
          <w:bCs/>
          <w:sz w:val="32"/>
          <w:szCs w:val="32"/>
          <w:lang w:val="en-US" w:eastAsia="zh-CN"/>
        </w:rPr>
        <w:t>与</w:t>
      </w:r>
      <w:r>
        <w:rPr>
          <w:rStyle w:val="16"/>
          <w:rFonts w:hint="eastAsia" w:ascii="仿宋" w:hAnsi="仿宋" w:eastAsia="仿宋"/>
          <w:b w:val="0"/>
          <w:bCs/>
          <w:sz w:val="32"/>
          <w:szCs w:val="32"/>
        </w:rPr>
        <w:t>预算数</w:t>
      </w:r>
      <w:r>
        <w:rPr>
          <w:rStyle w:val="16"/>
          <w:rFonts w:hint="eastAsia" w:ascii="仿宋" w:hAnsi="仿宋" w:eastAsia="仿宋"/>
          <w:b w:val="0"/>
          <w:bCs/>
          <w:sz w:val="32"/>
          <w:szCs w:val="32"/>
          <w:lang w:val="en-US" w:eastAsia="zh-CN"/>
        </w:rPr>
        <w:t>持平</w:t>
      </w:r>
      <w:r>
        <w:rPr>
          <w:rStyle w:val="16"/>
          <w:rFonts w:hint="eastAsia" w:ascii="仿宋" w:hAnsi="仿宋" w:eastAsia="仿宋"/>
          <w:b w:val="0"/>
          <w:bCs/>
          <w:sz w:val="32"/>
          <w:szCs w:val="32"/>
        </w:rPr>
        <w:t>。</w:t>
      </w:r>
    </w:p>
    <w:p>
      <w:pPr>
        <w:spacing w:line="600" w:lineRule="exact"/>
        <w:ind w:firstLine="643" w:firstLineChars="200"/>
      </w:pPr>
      <w:r>
        <w:rPr>
          <w:rStyle w:val="16"/>
          <w:rFonts w:hint="eastAsia" w:ascii="仿宋" w:hAnsi="仿宋" w:eastAsia="仿宋"/>
          <w:bCs/>
          <w:sz w:val="32"/>
          <w:szCs w:val="32"/>
          <w:lang w:val="en-US" w:eastAsia="zh-CN"/>
        </w:rPr>
        <w:t>7</w:t>
      </w:r>
      <w:r>
        <w:rPr>
          <w:rStyle w:val="16"/>
          <w:rFonts w:ascii="仿宋" w:hAnsi="仿宋" w:eastAsia="仿宋"/>
          <w:bCs/>
          <w:sz w:val="32"/>
          <w:szCs w:val="32"/>
        </w:rPr>
        <w:t>.</w:t>
      </w:r>
      <w:r>
        <w:rPr>
          <w:rFonts w:hint="eastAsia" w:ascii="仿宋_GB2312" w:hAnsi="仿宋_GB2312" w:eastAsia="仿宋_GB2312" w:cs="仿宋_GB2312"/>
          <w:b/>
          <w:bCs w:val="0"/>
          <w:color w:val="000000"/>
          <w:sz w:val="32"/>
          <w:szCs w:val="32"/>
          <w:lang w:val="en-US" w:eastAsia="zh-CN"/>
        </w:rPr>
        <w:t>卫生健康支出（类）行政事业单位医疗（款）公务员医疗补助（项）:</w:t>
      </w:r>
      <w:r>
        <w:rPr>
          <w:rStyle w:val="16"/>
          <w:rFonts w:hint="eastAsia" w:ascii="仿宋" w:hAnsi="仿宋" w:eastAsia="仿宋"/>
          <w:b w:val="0"/>
          <w:bCs/>
          <w:sz w:val="32"/>
          <w:szCs w:val="32"/>
        </w:rPr>
        <w:t>支出决算为</w:t>
      </w:r>
      <w:r>
        <w:rPr>
          <w:rStyle w:val="16"/>
          <w:rFonts w:hint="eastAsia" w:ascii="仿宋" w:hAnsi="仿宋" w:eastAsia="仿宋"/>
          <w:b w:val="0"/>
          <w:bCs/>
          <w:sz w:val="32"/>
          <w:szCs w:val="32"/>
          <w:lang w:val="en-US" w:eastAsia="zh-CN"/>
        </w:rPr>
        <w:t>:0.7</w:t>
      </w:r>
      <w:r>
        <w:rPr>
          <w:rStyle w:val="16"/>
          <w:rFonts w:hint="eastAsia" w:ascii="仿宋" w:hAnsi="仿宋" w:eastAsia="仿宋"/>
          <w:b w:val="0"/>
          <w:bCs/>
          <w:sz w:val="32"/>
          <w:szCs w:val="32"/>
        </w:rPr>
        <w:t>万元，完成预算</w:t>
      </w:r>
      <w:r>
        <w:rPr>
          <w:rStyle w:val="16"/>
          <w:rFonts w:hint="eastAsia" w:ascii="仿宋" w:hAnsi="仿宋" w:eastAsia="仿宋"/>
          <w:b w:val="0"/>
          <w:bCs/>
          <w:sz w:val="32"/>
          <w:szCs w:val="32"/>
          <w:lang w:val="en-US" w:eastAsia="zh-CN"/>
        </w:rPr>
        <w:t>100</w:t>
      </w:r>
      <w:r>
        <w:rPr>
          <w:rStyle w:val="16"/>
          <w:rFonts w:ascii="仿宋" w:hAnsi="仿宋" w:eastAsia="仿宋"/>
          <w:b w:val="0"/>
          <w:bCs/>
          <w:sz w:val="32"/>
          <w:szCs w:val="32"/>
        </w:rPr>
        <w:t>%</w:t>
      </w:r>
      <w:r>
        <w:rPr>
          <w:rStyle w:val="16"/>
          <w:rFonts w:hint="eastAsia" w:ascii="仿宋" w:hAnsi="仿宋" w:eastAsia="仿宋"/>
          <w:b w:val="0"/>
          <w:bCs/>
          <w:sz w:val="32"/>
          <w:szCs w:val="32"/>
        </w:rPr>
        <w:t>，决算数</w:t>
      </w:r>
      <w:r>
        <w:rPr>
          <w:rStyle w:val="16"/>
          <w:rFonts w:hint="eastAsia" w:ascii="仿宋" w:hAnsi="仿宋" w:eastAsia="仿宋"/>
          <w:b w:val="0"/>
          <w:bCs/>
          <w:sz w:val="32"/>
          <w:szCs w:val="32"/>
          <w:lang w:val="en-US" w:eastAsia="zh-CN"/>
        </w:rPr>
        <w:t>与</w:t>
      </w:r>
      <w:r>
        <w:rPr>
          <w:rStyle w:val="16"/>
          <w:rFonts w:hint="eastAsia" w:ascii="仿宋" w:hAnsi="仿宋" w:eastAsia="仿宋"/>
          <w:b w:val="0"/>
          <w:bCs/>
          <w:sz w:val="32"/>
          <w:szCs w:val="32"/>
        </w:rPr>
        <w:t>预算数</w:t>
      </w:r>
      <w:r>
        <w:rPr>
          <w:rStyle w:val="16"/>
          <w:rFonts w:hint="eastAsia" w:ascii="仿宋" w:hAnsi="仿宋" w:eastAsia="仿宋"/>
          <w:b w:val="0"/>
          <w:bCs/>
          <w:sz w:val="32"/>
          <w:szCs w:val="32"/>
          <w:lang w:val="en-US" w:eastAsia="zh-CN"/>
        </w:rPr>
        <w:t>持平</w:t>
      </w:r>
      <w:r>
        <w:rPr>
          <w:rStyle w:val="16"/>
          <w:rFonts w:hint="eastAsia" w:ascii="仿宋" w:hAnsi="仿宋" w:eastAsia="仿宋"/>
          <w:b w:val="0"/>
          <w:bCs/>
          <w:sz w:val="32"/>
          <w:szCs w:val="32"/>
        </w:rPr>
        <w:t>。</w:t>
      </w:r>
    </w:p>
    <w:p>
      <w:pPr>
        <w:spacing w:line="600" w:lineRule="exact"/>
        <w:ind w:firstLine="643" w:firstLineChars="200"/>
        <w:rPr>
          <w:rFonts w:hint="eastAsia" w:ascii="仿宋" w:hAnsi="仿宋" w:eastAsia="仿宋"/>
          <w:b/>
          <w:sz w:val="32"/>
          <w:szCs w:val="32"/>
        </w:rPr>
      </w:pPr>
      <w:r>
        <w:rPr>
          <w:rFonts w:hint="eastAsia" w:ascii="仿宋_GB2312" w:hAnsi="仿宋_GB2312" w:eastAsia="仿宋_GB2312" w:cs="仿宋_GB2312"/>
          <w:b/>
          <w:bCs w:val="0"/>
          <w:color w:val="000000"/>
          <w:sz w:val="32"/>
          <w:szCs w:val="32"/>
          <w:lang w:val="en-US" w:eastAsia="zh-CN"/>
        </w:rPr>
        <w:t>8.住房保障支出（类）住房改革支出（款）住房公积金（项）:</w:t>
      </w:r>
      <w:r>
        <w:rPr>
          <w:rStyle w:val="16"/>
          <w:rFonts w:hint="eastAsia" w:ascii="仿宋" w:hAnsi="仿宋" w:eastAsia="仿宋"/>
          <w:b w:val="0"/>
          <w:bCs/>
          <w:sz w:val="32"/>
          <w:szCs w:val="32"/>
        </w:rPr>
        <w:t>支出决算为</w:t>
      </w:r>
      <w:r>
        <w:rPr>
          <w:rStyle w:val="16"/>
          <w:rFonts w:hint="eastAsia" w:ascii="仿宋" w:hAnsi="仿宋" w:eastAsia="仿宋"/>
          <w:b w:val="0"/>
          <w:bCs/>
          <w:sz w:val="32"/>
          <w:szCs w:val="32"/>
          <w:lang w:val="en-US" w:eastAsia="zh-CN"/>
        </w:rPr>
        <w:t>:10.28</w:t>
      </w:r>
      <w:r>
        <w:rPr>
          <w:rStyle w:val="16"/>
          <w:rFonts w:hint="eastAsia" w:ascii="仿宋" w:hAnsi="仿宋" w:eastAsia="仿宋"/>
          <w:b w:val="0"/>
          <w:bCs/>
          <w:sz w:val="32"/>
          <w:szCs w:val="32"/>
        </w:rPr>
        <w:t>万元，完成预算</w:t>
      </w:r>
      <w:r>
        <w:rPr>
          <w:rStyle w:val="16"/>
          <w:rFonts w:hint="eastAsia" w:ascii="仿宋" w:hAnsi="仿宋" w:eastAsia="仿宋"/>
          <w:b w:val="0"/>
          <w:bCs/>
          <w:sz w:val="32"/>
          <w:szCs w:val="32"/>
          <w:lang w:val="en-US" w:eastAsia="zh-CN"/>
        </w:rPr>
        <w:t>100</w:t>
      </w:r>
      <w:r>
        <w:rPr>
          <w:rStyle w:val="16"/>
          <w:rFonts w:ascii="仿宋" w:hAnsi="仿宋" w:eastAsia="仿宋"/>
          <w:b w:val="0"/>
          <w:bCs/>
          <w:sz w:val="32"/>
          <w:szCs w:val="32"/>
        </w:rPr>
        <w:t>%</w:t>
      </w:r>
      <w:r>
        <w:rPr>
          <w:rStyle w:val="16"/>
          <w:rFonts w:hint="eastAsia" w:ascii="仿宋" w:hAnsi="仿宋" w:eastAsia="仿宋"/>
          <w:b w:val="0"/>
          <w:bCs/>
          <w:sz w:val="32"/>
          <w:szCs w:val="32"/>
        </w:rPr>
        <w:t>，决算数</w:t>
      </w:r>
      <w:r>
        <w:rPr>
          <w:rStyle w:val="16"/>
          <w:rFonts w:hint="eastAsia" w:ascii="仿宋" w:hAnsi="仿宋" w:eastAsia="仿宋"/>
          <w:b w:val="0"/>
          <w:bCs/>
          <w:sz w:val="32"/>
          <w:szCs w:val="32"/>
          <w:lang w:val="en-US" w:eastAsia="zh-CN"/>
        </w:rPr>
        <w:t>与</w:t>
      </w:r>
      <w:r>
        <w:rPr>
          <w:rStyle w:val="16"/>
          <w:rFonts w:hint="eastAsia" w:ascii="仿宋" w:hAnsi="仿宋" w:eastAsia="仿宋"/>
          <w:b w:val="0"/>
          <w:bCs/>
          <w:sz w:val="32"/>
          <w:szCs w:val="32"/>
        </w:rPr>
        <w:t>预算数</w:t>
      </w:r>
      <w:r>
        <w:rPr>
          <w:rStyle w:val="16"/>
          <w:rFonts w:hint="eastAsia" w:ascii="仿宋" w:hAnsi="仿宋" w:eastAsia="仿宋"/>
          <w:b w:val="0"/>
          <w:bCs/>
          <w:sz w:val="32"/>
          <w:szCs w:val="32"/>
          <w:lang w:val="en-US" w:eastAsia="zh-CN"/>
        </w:rPr>
        <w:t>持平</w:t>
      </w:r>
      <w:r>
        <w:rPr>
          <w:rStyle w:val="16"/>
          <w:rFonts w:hint="eastAsia" w:ascii="仿宋" w:hAnsi="仿宋" w:eastAsia="仿宋"/>
          <w:b w:val="0"/>
          <w:bCs/>
          <w:sz w:val="32"/>
          <w:szCs w:val="32"/>
        </w:rPr>
        <w:t>。</w:t>
      </w:r>
    </w:p>
    <w:p>
      <w:pPr>
        <w:tabs>
          <w:tab w:val="right" w:pos="8306"/>
        </w:tabs>
        <w:spacing w:line="600" w:lineRule="exact"/>
        <w:ind w:firstLine="640"/>
        <w:outlineLvl w:val="1"/>
        <w:rPr>
          <w:rStyle w:val="27"/>
          <w:color w:val="auto"/>
          <w:highlight w:val="none"/>
        </w:rPr>
      </w:pPr>
      <w:bookmarkStart w:id="34" w:name="_Toc15396608"/>
      <w:bookmarkStart w:id="35" w:name="_Toc15377214"/>
      <w:r>
        <w:rPr>
          <w:rFonts w:hint="eastAsia" w:ascii="黑体" w:eastAsia="黑体"/>
          <w:color w:val="auto"/>
          <w:sz w:val="32"/>
          <w:szCs w:val="32"/>
          <w:highlight w:val="none"/>
        </w:rPr>
        <w:t>六</w:t>
      </w:r>
      <w:r>
        <w:rPr>
          <w:rFonts w:hint="eastAsia" w:ascii="黑体" w:eastAsia="黑体"/>
          <w:b/>
          <w:color w:val="auto"/>
          <w:sz w:val="32"/>
          <w:szCs w:val="32"/>
          <w:highlight w:val="none"/>
        </w:rPr>
        <w:t>、</w:t>
      </w:r>
      <w:r>
        <w:rPr>
          <w:rFonts w:hint="eastAsia" w:ascii="黑体" w:hAnsi="黑体" w:eastAsia="黑体"/>
          <w:b/>
          <w:color w:val="auto"/>
          <w:sz w:val="32"/>
          <w:szCs w:val="32"/>
          <w:highlight w:val="none"/>
        </w:rPr>
        <w:t>一</w:t>
      </w:r>
      <w:r>
        <w:rPr>
          <w:rStyle w:val="27"/>
          <w:rFonts w:hint="eastAsia" w:ascii="黑体" w:hAnsi="黑体" w:eastAsia="黑体"/>
          <w:b w:val="0"/>
          <w:color w:val="auto"/>
          <w:highlight w:val="none"/>
        </w:rPr>
        <w:t>般公共预算财政拨款基本支出决算情况说明</w:t>
      </w:r>
      <w:bookmarkEnd w:id="34"/>
      <w:bookmarkEnd w:id="35"/>
      <w:r>
        <w:rPr>
          <w:rStyle w:val="27"/>
          <w:rFonts w:ascii="黑体" w:hAnsi="黑体" w:eastAsia="黑体"/>
          <w:b w:val="0"/>
          <w:color w:val="auto"/>
          <w:highlight w:val="none"/>
        </w:rPr>
        <w:tab/>
      </w:r>
    </w:p>
    <w:p>
      <w:pPr>
        <w:spacing w:line="600" w:lineRule="exact"/>
        <w:ind w:firstLine="645"/>
        <w:rPr>
          <w:rFonts w:ascii="仿宋" w:hAnsi="仿宋" w:eastAsia="仿宋"/>
          <w:color w:val="auto"/>
          <w:sz w:val="32"/>
          <w:szCs w:val="32"/>
          <w:highlight w:val="none"/>
        </w:rPr>
      </w:pPr>
      <w:r>
        <w:rPr>
          <w:rFonts w:ascii="仿宋" w:hAnsi="仿宋" w:eastAsia="仿宋"/>
          <w:color w:val="auto"/>
          <w:sz w:val="32"/>
          <w:szCs w:val="32"/>
          <w:highlight w:val="none"/>
        </w:rPr>
        <w:t>20</w:t>
      </w:r>
      <w:r>
        <w:rPr>
          <w:rFonts w:hint="eastAsia" w:ascii="仿宋" w:hAnsi="仿宋" w:eastAsia="仿宋"/>
          <w:color w:val="auto"/>
          <w:sz w:val="32"/>
          <w:szCs w:val="32"/>
          <w:highlight w:val="none"/>
          <w:lang w:val="en-US" w:eastAsia="zh-CN"/>
        </w:rPr>
        <w:t>22</w:t>
      </w:r>
      <w:r>
        <w:rPr>
          <w:rFonts w:hint="eastAsia" w:ascii="仿宋" w:hAnsi="仿宋" w:eastAsia="仿宋"/>
          <w:color w:val="auto"/>
          <w:sz w:val="32"/>
          <w:szCs w:val="32"/>
          <w:highlight w:val="none"/>
        </w:rPr>
        <w:t>年一般公共预算财政拨款基本支出</w:t>
      </w:r>
      <w:r>
        <w:rPr>
          <w:rFonts w:hint="eastAsia" w:ascii="仿宋" w:hAnsi="仿宋" w:eastAsia="仿宋"/>
          <w:color w:val="auto"/>
          <w:sz w:val="32"/>
          <w:szCs w:val="32"/>
          <w:highlight w:val="none"/>
          <w:lang w:val="en-US" w:eastAsia="zh-CN"/>
        </w:rPr>
        <w:t>130.8</w:t>
      </w:r>
      <w:r>
        <w:rPr>
          <w:rFonts w:hint="eastAsia" w:ascii="仿宋" w:hAnsi="仿宋" w:eastAsia="仿宋"/>
          <w:color w:val="auto"/>
          <w:sz w:val="32"/>
          <w:szCs w:val="32"/>
          <w:highlight w:val="none"/>
        </w:rPr>
        <w:t>万元，其中：</w:t>
      </w:r>
    </w:p>
    <w:p>
      <w:pPr>
        <w:spacing w:line="600" w:lineRule="exact"/>
        <w:ind w:firstLine="645"/>
        <w:rPr>
          <w:rFonts w:ascii="仿宋" w:hAnsi="仿宋" w:eastAsia="仿宋"/>
          <w:b/>
          <w:color w:val="auto"/>
          <w:sz w:val="32"/>
          <w:szCs w:val="32"/>
          <w:highlight w:val="none"/>
        </w:rPr>
      </w:pPr>
      <w:r>
        <w:rPr>
          <w:rFonts w:hint="eastAsia" w:ascii="仿宋" w:hAnsi="仿宋" w:eastAsia="仿宋"/>
          <w:color w:val="auto"/>
          <w:sz w:val="32"/>
          <w:szCs w:val="32"/>
          <w:highlight w:val="none"/>
        </w:rPr>
        <w:t>人员经费</w:t>
      </w:r>
      <w:r>
        <w:rPr>
          <w:rFonts w:hint="eastAsia" w:ascii="仿宋" w:hAnsi="仿宋" w:eastAsia="仿宋"/>
          <w:color w:val="auto"/>
          <w:sz w:val="32"/>
          <w:szCs w:val="32"/>
          <w:highlight w:val="none"/>
          <w:lang w:val="en-US" w:eastAsia="zh-CN"/>
        </w:rPr>
        <w:t>119.67</w:t>
      </w:r>
      <w:r>
        <w:rPr>
          <w:rFonts w:hint="eastAsia" w:ascii="仿宋" w:hAnsi="仿宋" w:eastAsia="仿宋"/>
          <w:color w:val="auto"/>
          <w:sz w:val="32"/>
          <w:szCs w:val="32"/>
          <w:highlight w:val="none"/>
        </w:rPr>
        <w:t>万元，主要包括：基本工资、津贴补贴、奖金、伙食补助费、绩效工资、机关事业单位基本养老保险缴费、职业年金缴费、其他社会保障缴费</w:t>
      </w:r>
      <w:r>
        <w:rPr>
          <w:rFonts w:hint="eastAsia" w:ascii="仿宋" w:hAnsi="仿宋" w:eastAsia="仿宋"/>
          <w:color w:val="auto"/>
          <w:sz w:val="32"/>
          <w:szCs w:val="32"/>
          <w:highlight w:val="none"/>
          <w:lang w:eastAsia="zh-CN"/>
        </w:rPr>
        <w:t>、</w:t>
      </w:r>
      <w:r>
        <w:rPr>
          <w:rFonts w:hint="eastAsia" w:ascii="仿宋" w:hAnsi="仿宋" w:eastAsia="仿宋"/>
          <w:color w:val="auto"/>
          <w:sz w:val="32"/>
          <w:szCs w:val="32"/>
          <w:highlight w:val="none"/>
        </w:rPr>
        <w:t>医疗费补助、住房公积金等。</w:t>
      </w:r>
      <w:r>
        <w:rPr>
          <w:rFonts w:ascii="仿宋" w:hAnsi="仿宋" w:eastAsia="仿宋"/>
          <w:color w:val="auto"/>
          <w:sz w:val="32"/>
          <w:szCs w:val="32"/>
          <w:highlight w:val="none"/>
        </w:rPr>
        <w:br w:type="textWrapping"/>
      </w:r>
      <w:r>
        <w:rPr>
          <w:rFonts w:hint="eastAsia" w:ascii="仿宋" w:hAnsi="仿宋" w:eastAsia="仿宋"/>
          <w:color w:val="auto"/>
          <w:sz w:val="32"/>
          <w:szCs w:val="32"/>
          <w:highlight w:val="none"/>
        </w:rPr>
        <w:t>　　公用经费</w:t>
      </w:r>
      <w:r>
        <w:rPr>
          <w:rFonts w:hint="eastAsia" w:ascii="仿宋" w:hAnsi="仿宋" w:eastAsia="仿宋"/>
          <w:color w:val="auto"/>
          <w:sz w:val="32"/>
          <w:szCs w:val="32"/>
          <w:highlight w:val="none"/>
          <w:lang w:val="en-US" w:eastAsia="zh-CN"/>
        </w:rPr>
        <w:t>11.13</w:t>
      </w:r>
      <w:r>
        <w:rPr>
          <w:rFonts w:hint="eastAsia" w:ascii="仿宋" w:hAnsi="仿宋" w:eastAsia="仿宋"/>
          <w:color w:val="auto"/>
          <w:sz w:val="32"/>
          <w:szCs w:val="32"/>
          <w:highlight w:val="none"/>
        </w:rPr>
        <w:t>万元，主要包括：办公费、印刷费、水费、电费、邮电费、差旅费、维修（护）费、会议费、培训费、公务接待费、劳务费、委托业务费、工会经费、福利费、办公设备购置等。</w:t>
      </w:r>
    </w:p>
    <w:p>
      <w:pPr>
        <w:spacing w:line="600" w:lineRule="exact"/>
        <w:ind w:firstLine="640"/>
        <w:outlineLvl w:val="1"/>
        <w:rPr>
          <w:rStyle w:val="27"/>
          <w:rFonts w:ascii="黑体" w:hAnsi="黑体" w:eastAsia="黑体"/>
          <w:b w:val="0"/>
          <w:color w:val="auto"/>
          <w:highlight w:val="none"/>
        </w:rPr>
      </w:pPr>
      <w:bookmarkStart w:id="36" w:name="_Toc15377215"/>
      <w:bookmarkStart w:id="37" w:name="_Toc15396609"/>
      <w:r>
        <w:rPr>
          <w:rFonts w:hint="eastAsia" w:ascii="黑体" w:eastAsia="黑体"/>
          <w:color w:val="auto"/>
          <w:sz w:val="32"/>
          <w:szCs w:val="32"/>
          <w:highlight w:val="none"/>
        </w:rPr>
        <w:t>七、</w:t>
      </w:r>
      <w:r>
        <w:rPr>
          <w:rStyle w:val="27"/>
          <w:rFonts w:hint="eastAsia" w:ascii="黑体" w:hAnsi="黑体" w:eastAsia="黑体"/>
          <w:b w:val="0"/>
          <w:color w:val="auto"/>
          <w:highlight w:val="none"/>
        </w:rPr>
        <w:t>财政拨款</w:t>
      </w:r>
      <w:r>
        <w:rPr>
          <w:rStyle w:val="27"/>
          <w:rFonts w:hint="eastAsia" w:ascii="黑体" w:hAnsi="黑体" w:eastAsia="黑体"/>
          <w:color w:val="auto"/>
          <w:highlight w:val="none"/>
        </w:rPr>
        <w:t>“</w:t>
      </w:r>
      <w:r>
        <w:rPr>
          <w:rStyle w:val="27"/>
          <w:rFonts w:hint="eastAsia" w:ascii="黑体" w:hAnsi="黑体" w:eastAsia="黑体"/>
          <w:b w:val="0"/>
          <w:color w:val="auto"/>
          <w:highlight w:val="none"/>
        </w:rPr>
        <w:t>三公”经费支出决算情况说明</w:t>
      </w:r>
      <w:bookmarkEnd w:id="36"/>
      <w:bookmarkEnd w:id="37"/>
    </w:p>
    <w:p>
      <w:pPr>
        <w:spacing w:line="600" w:lineRule="exact"/>
        <w:ind w:firstLine="640"/>
        <w:outlineLvl w:val="2"/>
        <w:rPr>
          <w:rFonts w:ascii="仿宋" w:hAnsi="仿宋" w:eastAsia="仿宋"/>
          <w:b/>
          <w:color w:val="auto"/>
          <w:sz w:val="32"/>
          <w:szCs w:val="32"/>
          <w:highlight w:val="none"/>
        </w:rPr>
      </w:pPr>
      <w:bookmarkStart w:id="38" w:name="_Toc15377216"/>
      <w:r>
        <w:rPr>
          <w:rFonts w:hint="eastAsia" w:ascii="仿宋" w:hAnsi="仿宋" w:eastAsia="仿宋"/>
          <w:b/>
          <w:color w:val="auto"/>
          <w:sz w:val="32"/>
          <w:szCs w:val="32"/>
          <w:highlight w:val="none"/>
        </w:rPr>
        <w:t>（一）“三公”经费财政拨款支出决算总体情况说明</w:t>
      </w:r>
      <w:bookmarkEnd w:id="38"/>
    </w:p>
    <w:p>
      <w:pPr>
        <w:spacing w:line="600" w:lineRule="exact"/>
        <w:ind w:firstLine="640"/>
        <w:rPr>
          <w:rFonts w:ascii="仿宋" w:hAnsi="仿宋" w:eastAsia="仿宋"/>
          <w:color w:val="auto"/>
          <w:sz w:val="32"/>
          <w:szCs w:val="32"/>
          <w:highlight w:val="none"/>
        </w:rPr>
      </w:pPr>
      <w:r>
        <w:rPr>
          <w:rFonts w:ascii="仿宋" w:hAnsi="仿宋" w:eastAsia="仿宋"/>
          <w:color w:val="auto"/>
          <w:sz w:val="32"/>
          <w:szCs w:val="32"/>
          <w:highlight w:val="none"/>
        </w:rPr>
        <w:t>20</w:t>
      </w:r>
      <w:r>
        <w:rPr>
          <w:rFonts w:hint="eastAsia" w:ascii="仿宋" w:hAnsi="仿宋" w:eastAsia="仿宋"/>
          <w:color w:val="auto"/>
          <w:sz w:val="32"/>
          <w:szCs w:val="32"/>
          <w:highlight w:val="none"/>
          <w:lang w:val="en-US" w:eastAsia="zh-CN"/>
        </w:rPr>
        <w:t>22</w:t>
      </w:r>
      <w:r>
        <w:rPr>
          <w:rFonts w:hint="eastAsia" w:ascii="仿宋" w:hAnsi="仿宋" w:eastAsia="仿宋"/>
          <w:color w:val="auto"/>
          <w:sz w:val="32"/>
          <w:szCs w:val="32"/>
          <w:highlight w:val="none"/>
        </w:rPr>
        <w:t>年“三公”经费财政拨款支出决算为</w:t>
      </w:r>
      <w:r>
        <w:rPr>
          <w:rFonts w:hint="eastAsia" w:ascii="仿宋" w:hAnsi="仿宋" w:eastAsia="仿宋"/>
          <w:color w:val="auto"/>
          <w:sz w:val="32"/>
          <w:szCs w:val="32"/>
          <w:highlight w:val="none"/>
          <w:lang w:eastAsia="zh-CN"/>
        </w:rPr>
        <w:t>0</w:t>
      </w:r>
      <w:r>
        <w:rPr>
          <w:rFonts w:hint="eastAsia" w:ascii="仿宋" w:hAnsi="仿宋" w:eastAsia="仿宋"/>
          <w:color w:val="auto"/>
          <w:sz w:val="32"/>
          <w:szCs w:val="32"/>
          <w:highlight w:val="none"/>
          <w:lang w:val="en-US" w:eastAsia="zh-CN"/>
        </w:rPr>
        <w:t>.15</w:t>
      </w:r>
      <w:r>
        <w:rPr>
          <w:rFonts w:hint="eastAsia" w:ascii="仿宋" w:hAnsi="仿宋" w:eastAsia="仿宋"/>
          <w:color w:val="auto"/>
          <w:sz w:val="32"/>
          <w:szCs w:val="32"/>
          <w:highlight w:val="none"/>
        </w:rPr>
        <w:t>万元，完成预算</w:t>
      </w:r>
      <w:r>
        <w:rPr>
          <w:rFonts w:hint="eastAsia" w:ascii="仿宋" w:hAnsi="仿宋" w:eastAsia="仿宋"/>
          <w:color w:val="auto"/>
          <w:sz w:val="32"/>
          <w:szCs w:val="32"/>
          <w:highlight w:val="none"/>
          <w:lang w:val="en-US" w:eastAsia="zh-CN"/>
        </w:rPr>
        <w:t>100</w:t>
      </w:r>
      <w:r>
        <w:rPr>
          <w:rFonts w:ascii="仿宋" w:hAnsi="仿宋" w:eastAsia="仿宋"/>
          <w:color w:val="auto"/>
          <w:sz w:val="32"/>
          <w:szCs w:val="32"/>
          <w:highlight w:val="none"/>
        </w:rPr>
        <w:t>%</w:t>
      </w:r>
      <w:r>
        <w:rPr>
          <w:rFonts w:hint="eastAsia" w:ascii="仿宋" w:hAnsi="仿宋" w:eastAsia="仿宋"/>
          <w:color w:val="auto"/>
          <w:sz w:val="32"/>
          <w:szCs w:val="32"/>
          <w:highlight w:val="none"/>
        </w:rPr>
        <w:t>，</w:t>
      </w:r>
      <w:r>
        <w:rPr>
          <w:rFonts w:hint="eastAsia" w:ascii="仿宋" w:hAnsi="仿宋" w:eastAsia="仿宋"/>
          <w:color w:val="auto"/>
          <w:sz w:val="32"/>
          <w:szCs w:val="32"/>
          <w:highlight w:val="none"/>
          <w:lang w:eastAsia="zh-CN"/>
        </w:rPr>
        <w:t>较上年增加</w:t>
      </w:r>
      <w:r>
        <w:rPr>
          <w:rFonts w:hint="eastAsia" w:ascii="仿宋" w:hAnsi="仿宋" w:eastAsia="仿宋"/>
          <w:color w:val="auto"/>
          <w:sz w:val="32"/>
          <w:szCs w:val="32"/>
          <w:highlight w:val="none"/>
          <w:lang w:val="en-US" w:eastAsia="zh-CN"/>
        </w:rPr>
        <w:t>0.09万元，增长150%。</w:t>
      </w:r>
      <w:r>
        <w:rPr>
          <w:rFonts w:hint="eastAsia" w:ascii="仿宋" w:hAnsi="仿宋" w:eastAsia="仿宋"/>
          <w:color w:val="auto"/>
          <w:sz w:val="32"/>
          <w:szCs w:val="32"/>
          <w:highlight w:val="none"/>
        </w:rPr>
        <w:t>决算数与预算数持平。</w:t>
      </w:r>
    </w:p>
    <w:p>
      <w:pPr>
        <w:spacing w:line="600" w:lineRule="exact"/>
        <w:ind w:firstLine="640"/>
        <w:outlineLvl w:val="2"/>
        <w:rPr>
          <w:rFonts w:ascii="仿宋" w:hAnsi="仿宋" w:eastAsia="仿宋"/>
          <w:b/>
          <w:color w:val="auto"/>
          <w:sz w:val="32"/>
          <w:szCs w:val="32"/>
          <w:highlight w:val="none"/>
        </w:rPr>
      </w:pPr>
      <w:bookmarkStart w:id="39" w:name="_Toc15377217"/>
      <w:r>
        <w:rPr>
          <w:rFonts w:hint="eastAsia" w:ascii="仿宋" w:hAnsi="仿宋" w:eastAsia="仿宋"/>
          <w:b/>
          <w:color w:val="auto"/>
          <w:sz w:val="32"/>
          <w:szCs w:val="32"/>
          <w:highlight w:val="none"/>
        </w:rPr>
        <w:t>（二）“三公”经费财政拨款支出决算具体情况说明</w:t>
      </w:r>
      <w:bookmarkEnd w:id="39"/>
    </w:p>
    <w:p>
      <w:pPr>
        <w:spacing w:line="600" w:lineRule="exact"/>
        <w:ind w:firstLine="640"/>
        <w:rPr>
          <w:rFonts w:ascii="仿宋" w:hAnsi="仿宋" w:eastAsia="仿宋"/>
          <w:color w:val="auto"/>
          <w:sz w:val="32"/>
          <w:szCs w:val="32"/>
          <w:highlight w:val="none"/>
        </w:rPr>
      </w:pPr>
      <w:r>
        <w:rPr>
          <w:rFonts w:ascii="仿宋" w:hAnsi="仿宋" w:eastAsia="仿宋"/>
          <w:color w:val="auto"/>
          <w:sz w:val="32"/>
          <w:szCs w:val="32"/>
          <w:highlight w:val="none"/>
        </w:rPr>
        <w:t>20</w:t>
      </w:r>
      <w:r>
        <w:rPr>
          <w:rFonts w:hint="eastAsia" w:ascii="仿宋" w:hAnsi="仿宋" w:eastAsia="仿宋"/>
          <w:color w:val="auto"/>
          <w:sz w:val="32"/>
          <w:szCs w:val="32"/>
          <w:highlight w:val="none"/>
          <w:lang w:val="en-US" w:eastAsia="zh-CN"/>
        </w:rPr>
        <w:t>22</w:t>
      </w:r>
      <w:r>
        <w:rPr>
          <w:rFonts w:hint="eastAsia" w:ascii="仿宋" w:hAnsi="仿宋" w:eastAsia="仿宋"/>
          <w:color w:val="auto"/>
          <w:sz w:val="32"/>
          <w:szCs w:val="32"/>
          <w:highlight w:val="none"/>
        </w:rPr>
        <w:t>年“三公”经费财政拨款支出决算中，因公出国（境）费支出决算</w:t>
      </w:r>
      <w:r>
        <w:rPr>
          <w:rFonts w:hint="eastAsia" w:ascii="仿宋" w:hAnsi="仿宋" w:eastAsia="仿宋"/>
          <w:color w:val="auto"/>
          <w:sz w:val="32"/>
          <w:szCs w:val="32"/>
          <w:highlight w:val="none"/>
          <w:lang w:eastAsia="zh-CN"/>
        </w:rPr>
        <w:t>0</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eastAsia="zh-CN"/>
        </w:rPr>
        <w:t>0</w:t>
      </w:r>
      <w:r>
        <w:rPr>
          <w:rFonts w:ascii="仿宋" w:hAnsi="仿宋" w:eastAsia="仿宋"/>
          <w:color w:val="auto"/>
          <w:sz w:val="32"/>
          <w:szCs w:val="32"/>
          <w:highlight w:val="none"/>
        </w:rPr>
        <w:t>%</w:t>
      </w:r>
      <w:r>
        <w:rPr>
          <w:rFonts w:hint="eastAsia" w:ascii="仿宋" w:hAnsi="仿宋" w:eastAsia="仿宋"/>
          <w:color w:val="auto"/>
          <w:sz w:val="32"/>
          <w:szCs w:val="32"/>
          <w:highlight w:val="none"/>
        </w:rPr>
        <w:t>；公务用车购置及运行维护费支出决算</w:t>
      </w:r>
      <w:r>
        <w:rPr>
          <w:rFonts w:hint="eastAsia" w:ascii="仿宋" w:hAnsi="仿宋" w:eastAsia="仿宋"/>
          <w:color w:val="auto"/>
          <w:sz w:val="32"/>
          <w:szCs w:val="32"/>
          <w:highlight w:val="none"/>
          <w:lang w:eastAsia="zh-CN"/>
        </w:rPr>
        <w:t>0</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eastAsia="zh-CN"/>
        </w:rPr>
        <w:t>0</w:t>
      </w:r>
      <w:r>
        <w:rPr>
          <w:rFonts w:ascii="仿宋" w:hAnsi="仿宋" w:eastAsia="仿宋"/>
          <w:color w:val="auto"/>
          <w:sz w:val="32"/>
          <w:szCs w:val="32"/>
          <w:highlight w:val="none"/>
        </w:rPr>
        <w:t>%</w:t>
      </w:r>
      <w:r>
        <w:rPr>
          <w:rFonts w:hint="eastAsia" w:ascii="仿宋" w:hAnsi="仿宋" w:eastAsia="仿宋"/>
          <w:color w:val="auto"/>
          <w:sz w:val="32"/>
          <w:szCs w:val="32"/>
          <w:highlight w:val="none"/>
        </w:rPr>
        <w:t>；公务接待费支出决算</w:t>
      </w:r>
      <w:r>
        <w:rPr>
          <w:rFonts w:hint="eastAsia" w:ascii="仿宋" w:hAnsi="仿宋" w:eastAsia="仿宋"/>
          <w:color w:val="auto"/>
          <w:sz w:val="32"/>
          <w:szCs w:val="32"/>
          <w:highlight w:val="none"/>
          <w:lang w:val="en-US" w:eastAsia="zh-CN"/>
        </w:rPr>
        <w:t>0.15</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100</w:t>
      </w:r>
      <w:r>
        <w:rPr>
          <w:rFonts w:ascii="仿宋" w:hAnsi="仿宋" w:eastAsia="仿宋"/>
          <w:color w:val="auto"/>
          <w:sz w:val="32"/>
          <w:szCs w:val="32"/>
          <w:highlight w:val="none"/>
        </w:rPr>
        <w:t>%</w:t>
      </w:r>
      <w:r>
        <w:rPr>
          <w:rFonts w:hint="eastAsia" w:ascii="仿宋" w:hAnsi="仿宋" w:eastAsia="仿宋"/>
          <w:color w:val="auto"/>
          <w:sz w:val="32"/>
          <w:szCs w:val="32"/>
          <w:highlight w:val="none"/>
        </w:rPr>
        <w:t>。具体情况如下：</w:t>
      </w:r>
    </w:p>
    <w:p>
      <w:pPr>
        <w:pStyle w:val="2"/>
        <w:ind w:left="0" w:leftChars="0" w:firstLine="0" w:firstLineChars="0"/>
        <w:rPr>
          <w:rFonts w:hint="eastAsia" w:ascii="仿宋" w:hAnsi="仿宋" w:eastAsia="仿宋"/>
          <w:color w:val="auto"/>
          <w:sz w:val="32"/>
          <w:szCs w:val="32"/>
          <w:highlight w:val="none"/>
        </w:rPr>
      </w:pPr>
      <w:r>
        <w:rPr>
          <w:rFonts w:hint="eastAsia" w:ascii="仿宋" w:hAnsi="仿宋" w:eastAsia="仿宋"/>
          <w:sz w:val="32"/>
          <w:szCs w:val="32"/>
          <w:lang w:eastAsia="zh-CN"/>
        </w:rPr>
        <w:drawing>
          <wp:anchor distT="0" distB="0" distL="114300" distR="114300" simplePos="0" relativeHeight="251665408" behindDoc="0" locked="0" layoutInCell="1" allowOverlap="1">
            <wp:simplePos x="0" y="0"/>
            <wp:positionH relativeFrom="column">
              <wp:posOffset>409575</wp:posOffset>
            </wp:positionH>
            <wp:positionV relativeFrom="paragraph">
              <wp:posOffset>238760</wp:posOffset>
            </wp:positionV>
            <wp:extent cx="4651375" cy="2944495"/>
            <wp:effectExtent l="4445" t="4445" r="11430" b="22860"/>
            <wp:wrapNone/>
            <wp:docPr id="11" name="图表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anchor>
        </w:drawing>
      </w:r>
    </w:p>
    <w:p>
      <w:pPr>
        <w:pStyle w:val="2"/>
        <w:rPr>
          <w:rFonts w:hint="eastAsia" w:ascii="仿宋" w:hAnsi="仿宋" w:eastAsia="仿宋"/>
          <w:color w:val="auto"/>
          <w:sz w:val="32"/>
          <w:szCs w:val="32"/>
          <w:highlight w:val="none"/>
        </w:rPr>
      </w:pPr>
    </w:p>
    <w:p>
      <w:pPr>
        <w:pStyle w:val="2"/>
        <w:rPr>
          <w:rFonts w:hint="eastAsia" w:ascii="仿宋" w:hAnsi="仿宋" w:eastAsia="仿宋"/>
          <w:color w:val="auto"/>
          <w:sz w:val="32"/>
          <w:szCs w:val="32"/>
          <w:highlight w:val="none"/>
        </w:rPr>
      </w:pPr>
    </w:p>
    <w:p>
      <w:pPr>
        <w:pStyle w:val="2"/>
        <w:rPr>
          <w:rFonts w:hint="eastAsia" w:ascii="仿宋" w:hAnsi="仿宋" w:eastAsia="仿宋"/>
          <w:color w:val="auto"/>
          <w:sz w:val="32"/>
          <w:szCs w:val="32"/>
          <w:highlight w:val="none"/>
        </w:rPr>
      </w:pPr>
    </w:p>
    <w:p>
      <w:pPr>
        <w:pStyle w:val="2"/>
        <w:rPr>
          <w:rFonts w:hint="eastAsia" w:ascii="仿宋" w:hAnsi="仿宋" w:eastAsia="仿宋"/>
          <w:color w:val="auto"/>
          <w:sz w:val="32"/>
          <w:szCs w:val="32"/>
          <w:highlight w:val="none"/>
        </w:rPr>
      </w:pPr>
    </w:p>
    <w:p>
      <w:pPr>
        <w:pStyle w:val="2"/>
        <w:rPr>
          <w:rFonts w:hint="eastAsia" w:ascii="仿宋" w:hAnsi="仿宋" w:eastAsia="仿宋"/>
          <w:color w:val="auto"/>
          <w:sz w:val="32"/>
          <w:szCs w:val="32"/>
          <w:highlight w:val="none"/>
        </w:rPr>
      </w:pPr>
    </w:p>
    <w:p>
      <w:pPr>
        <w:pStyle w:val="2"/>
        <w:rPr>
          <w:rFonts w:hint="eastAsia" w:ascii="仿宋" w:hAnsi="仿宋" w:eastAsia="仿宋"/>
          <w:color w:val="auto"/>
          <w:sz w:val="32"/>
          <w:szCs w:val="32"/>
          <w:highlight w:val="none"/>
        </w:rPr>
      </w:pPr>
    </w:p>
    <w:p>
      <w:pPr>
        <w:pStyle w:val="2"/>
        <w:rPr>
          <w:rFonts w:hint="eastAsia" w:ascii="仿宋" w:hAnsi="仿宋" w:eastAsia="仿宋"/>
          <w:color w:val="auto"/>
          <w:sz w:val="32"/>
          <w:szCs w:val="32"/>
          <w:highlight w:val="none"/>
        </w:rPr>
      </w:pPr>
    </w:p>
    <w:p>
      <w:pPr>
        <w:pStyle w:val="2"/>
        <w:rPr>
          <w:rFonts w:hint="eastAsia" w:ascii="仿宋" w:hAnsi="仿宋" w:eastAsia="仿宋"/>
          <w:color w:val="auto"/>
          <w:sz w:val="32"/>
          <w:szCs w:val="32"/>
          <w:highlight w:val="none"/>
        </w:rPr>
      </w:pPr>
    </w:p>
    <w:p>
      <w:pPr>
        <w:numPr>
          <w:ilvl w:val="0"/>
          <w:numId w:val="3"/>
        </w:numPr>
        <w:spacing w:line="600" w:lineRule="exact"/>
        <w:ind w:firstLine="640"/>
        <w:rPr>
          <w:rFonts w:hint="eastAsia" w:ascii="仿宋_GB2312" w:eastAsia="仿宋_GB2312"/>
          <w:color w:val="auto"/>
          <w:sz w:val="32"/>
          <w:szCs w:val="32"/>
          <w:highlight w:val="none"/>
        </w:rPr>
      </w:pPr>
      <w:r>
        <w:rPr>
          <w:rFonts w:hint="eastAsia" w:ascii="仿宋_GB2312" w:eastAsia="仿宋_GB2312"/>
          <w:b/>
          <w:color w:val="auto"/>
          <w:sz w:val="32"/>
          <w:szCs w:val="32"/>
          <w:highlight w:val="none"/>
        </w:rPr>
        <w:t>因公出国（境）经费支出</w:t>
      </w:r>
      <w:r>
        <w:rPr>
          <w:rFonts w:hint="eastAsia" w:ascii="仿宋_GB2312" w:eastAsia="仿宋_GB2312"/>
          <w:color w:val="auto"/>
          <w:sz w:val="32"/>
          <w:szCs w:val="32"/>
          <w:highlight w:val="none"/>
          <w:lang w:eastAsia="zh-CN"/>
        </w:rPr>
        <w:t>0</w:t>
      </w:r>
      <w:r>
        <w:rPr>
          <w:rFonts w:hint="eastAsia" w:ascii="仿宋_GB2312" w:eastAsia="仿宋_GB2312"/>
          <w:color w:val="auto"/>
          <w:sz w:val="32"/>
          <w:szCs w:val="32"/>
          <w:highlight w:val="none"/>
        </w:rPr>
        <w:t>万元，</w:t>
      </w:r>
      <w:r>
        <w:rPr>
          <w:rStyle w:val="16"/>
          <w:rFonts w:hint="eastAsia" w:ascii="仿宋" w:hAnsi="仿宋" w:eastAsia="仿宋"/>
          <w:b w:val="0"/>
          <w:bCs/>
          <w:color w:val="auto"/>
          <w:sz w:val="32"/>
          <w:szCs w:val="32"/>
          <w:highlight w:val="none"/>
        </w:rPr>
        <w:t>完成预算</w:t>
      </w:r>
      <w:r>
        <w:rPr>
          <w:rStyle w:val="16"/>
          <w:rFonts w:hint="eastAsia" w:ascii="仿宋" w:hAnsi="仿宋" w:eastAsia="仿宋"/>
          <w:b w:val="0"/>
          <w:bCs/>
          <w:color w:val="auto"/>
          <w:sz w:val="32"/>
          <w:szCs w:val="32"/>
          <w:highlight w:val="none"/>
          <w:lang w:eastAsia="zh-CN"/>
        </w:rPr>
        <w:t>0</w:t>
      </w:r>
      <w:r>
        <w:rPr>
          <w:rStyle w:val="16"/>
          <w:rFonts w:ascii="仿宋" w:hAnsi="仿宋" w:eastAsia="仿宋"/>
          <w:b w:val="0"/>
          <w:bCs/>
          <w:color w:val="auto"/>
          <w:sz w:val="32"/>
          <w:szCs w:val="32"/>
          <w:highlight w:val="none"/>
        </w:rPr>
        <w:t>%</w:t>
      </w:r>
      <w:r>
        <w:rPr>
          <w:rStyle w:val="16"/>
          <w:rFonts w:hint="eastAsia" w:ascii="仿宋" w:hAnsi="仿宋" w:eastAsia="仿宋"/>
          <w:b w:val="0"/>
          <w:bCs/>
          <w:color w:val="auto"/>
          <w:sz w:val="32"/>
          <w:szCs w:val="32"/>
          <w:highlight w:val="none"/>
        </w:rPr>
        <w:t>。</w:t>
      </w:r>
      <w:r>
        <w:rPr>
          <w:rFonts w:hint="eastAsia" w:ascii="仿宋_GB2312" w:eastAsia="仿宋_GB2312"/>
          <w:color w:val="auto"/>
          <w:sz w:val="32"/>
          <w:szCs w:val="32"/>
          <w:highlight w:val="none"/>
        </w:rPr>
        <w:t>全年安排因公出国（境）团组</w:t>
      </w:r>
      <w:r>
        <w:rPr>
          <w:rFonts w:hint="eastAsia" w:ascii="仿宋_GB2312" w:eastAsia="仿宋_GB2312"/>
          <w:color w:val="auto"/>
          <w:sz w:val="32"/>
          <w:szCs w:val="32"/>
          <w:highlight w:val="none"/>
          <w:lang w:eastAsia="zh-CN"/>
        </w:rPr>
        <w:t>0</w:t>
      </w:r>
      <w:r>
        <w:rPr>
          <w:rFonts w:hint="eastAsia" w:ascii="仿宋_GB2312" w:eastAsia="仿宋_GB2312"/>
          <w:color w:val="auto"/>
          <w:sz w:val="32"/>
          <w:szCs w:val="32"/>
          <w:highlight w:val="none"/>
        </w:rPr>
        <w:t>次，出国（境）</w:t>
      </w:r>
      <w:r>
        <w:rPr>
          <w:rFonts w:hint="eastAsia" w:ascii="仿宋_GB2312" w:eastAsia="仿宋_GB2312"/>
          <w:color w:val="auto"/>
          <w:sz w:val="32"/>
          <w:szCs w:val="32"/>
          <w:highlight w:val="none"/>
          <w:lang w:eastAsia="zh-CN"/>
        </w:rPr>
        <w:t>0</w:t>
      </w:r>
      <w:r>
        <w:rPr>
          <w:rFonts w:hint="eastAsia" w:ascii="仿宋_GB2312" w:eastAsia="仿宋_GB2312"/>
          <w:color w:val="auto"/>
          <w:sz w:val="32"/>
          <w:szCs w:val="32"/>
          <w:highlight w:val="none"/>
        </w:rPr>
        <w:t>人。</w:t>
      </w:r>
    </w:p>
    <w:p>
      <w:pPr>
        <w:numPr>
          <w:ilvl w:val="0"/>
          <w:numId w:val="0"/>
        </w:numPr>
        <w:spacing w:line="600" w:lineRule="exact"/>
        <w:ind w:firstLine="643" w:firstLineChars="200"/>
        <w:rPr>
          <w:rFonts w:ascii="仿宋_GB2312" w:eastAsia="仿宋_GB2312"/>
          <w:b/>
          <w:color w:val="auto"/>
          <w:sz w:val="32"/>
          <w:szCs w:val="32"/>
          <w:highlight w:val="none"/>
        </w:rPr>
      </w:pPr>
      <w:r>
        <w:rPr>
          <w:rFonts w:ascii="仿宋_GB2312" w:eastAsia="仿宋_GB2312"/>
          <w:b/>
          <w:color w:val="auto"/>
          <w:sz w:val="32"/>
          <w:szCs w:val="32"/>
          <w:highlight w:val="none"/>
        </w:rPr>
        <w:t>2.</w:t>
      </w:r>
      <w:r>
        <w:rPr>
          <w:rFonts w:hint="eastAsia" w:ascii="仿宋_GB2312" w:eastAsia="仿宋_GB2312"/>
          <w:b/>
          <w:color w:val="auto"/>
          <w:sz w:val="32"/>
          <w:szCs w:val="32"/>
          <w:highlight w:val="none"/>
        </w:rPr>
        <w:t>公务用车购置及运行维护费支出</w:t>
      </w:r>
      <w:r>
        <w:rPr>
          <w:rFonts w:hint="eastAsia" w:ascii="仿宋_GB2312" w:eastAsia="仿宋_GB2312"/>
          <w:color w:val="auto"/>
          <w:sz w:val="32"/>
          <w:szCs w:val="32"/>
          <w:highlight w:val="none"/>
          <w:lang w:eastAsia="zh-CN"/>
        </w:rPr>
        <w:t>0</w:t>
      </w:r>
      <w:r>
        <w:rPr>
          <w:rFonts w:hint="eastAsia" w:ascii="仿宋_GB2312" w:eastAsia="仿宋_GB2312"/>
          <w:color w:val="auto"/>
          <w:sz w:val="32"/>
          <w:szCs w:val="32"/>
          <w:highlight w:val="none"/>
        </w:rPr>
        <w:t>万元,</w:t>
      </w:r>
      <w:r>
        <w:rPr>
          <w:rStyle w:val="16"/>
          <w:rFonts w:hint="eastAsia" w:ascii="仿宋" w:hAnsi="仿宋" w:eastAsia="仿宋"/>
          <w:b w:val="0"/>
          <w:bCs/>
          <w:color w:val="auto"/>
          <w:sz w:val="32"/>
          <w:szCs w:val="32"/>
          <w:highlight w:val="none"/>
        </w:rPr>
        <w:t>完成预算</w:t>
      </w:r>
      <w:r>
        <w:rPr>
          <w:rStyle w:val="16"/>
          <w:rFonts w:hint="eastAsia" w:ascii="仿宋" w:hAnsi="仿宋" w:eastAsia="仿宋"/>
          <w:b w:val="0"/>
          <w:bCs/>
          <w:color w:val="auto"/>
          <w:sz w:val="32"/>
          <w:szCs w:val="32"/>
          <w:highlight w:val="none"/>
          <w:lang w:eastAsia="zh-CN"/>
        </w:rPr>
        <w:t>0</w:t>
      </w:r>
      <w:r>
        <w:rPr>
          <w:rStyle w:val="16"/>
          <w:rFonts w:ascii="仿宋" w:hAnsi="仿宋" w:eastAsia="仿宋"/>
          <w:b w:val="0"/>
          <w:bCs/>
          <w:color w:val="auto"/>
          <w:sz w:val="32"/>
          <w:szCs w:val="32"/>
          <w:highlight w:val="none"/>
        </w:rPr>
        <w:t>%</w:t>
      </w:r>
      <w:r>
        <w:rPr>
          <w:rStyle w:val="16"/>
          <w:rFonts w:hint="eastAsia" w:ascii="仿宋" w:hAnsi="仿宋" w:eastAsia="仿宋"/>
          <w:b w:val="0"/>
          <w:bCs/>
          <w:color w:val="auto"/>
          <w:sz w:val="32"/>
          <w:szCs w:val="32"/>
          <w:highlight w:val="none"/>
        </w:rPr>
        <w:t>。</w:t>
      </w:r>
      <w:r>
        <w:rPr>
          <w:rFonts w:hint="eastAsia" w:ascii="仿宋_GB2312" w:eastAsia="仿宋_GB2312"/>
          <w:color w:val="auto"/>
          <w:sz w:val="32"/>
          <w:szCs w:val="32"/>
          <w:highlight w:val="none"/>
        </w:rPr>
        <w:t>公务用车购置及运行维护费支出决算</w:t>
      </w:r>
      <w:r>
        <w:rPr>
          <w:rFonts w:hint="eastAsia" w:ascii="仿宋_GB2312" w:eastAsia="仿宋_GB2312"/>
          <w:color w:val="auto"/>
          <w:sz w:val="32"/>
          <w:szCs w:val="32"/>
          <w:highlight w:val="none"/>
          <w:lang w:val="en-US" w:eastAsia="zh-CN"/>
        </w:rPr>
        <w:t>与</w:t>
      </w:r>
      <w:r>
        <w:rPr>
          <w:rFonts w:ascii="仿宋_GB2312" w:eastAsia="仿宋_GB2312"/>
          <w:color w:val="auto"/>
          <w:sz w:val="32"/>
          <w:szCs w:val="32"/>
          <w:highlight w:val="none"/>
        </w:rPr>
        <w:t>20</w:t>
      </w:r>
      <w:r>
        <w:rPr>
          <w:rFonts w:hint="eastAsia" w:ascii="仿宋_GB2312" w:eastAsia="仿宋_GB2312"/>
          <w:color w:val="auto"/>
          <w:sz w:val="32"/>
          <w:szCs w:val="32"/>
          <w:highlight w:val="none"/>
          <w:lang w:val="en-US" w:eastAsia="zh-CN"/>
        </w:rPr>
        <w:t>21</w:t>
      </w:r>
      <w:r>
        <w:rPr>
          <w:rFonts w:hint="eastAsia" w:ascii="仿宋_GB2312" w:eastAsia="仿宋_GB2312"/>
          <w:color w:val="auto"/>
          <w:sz w:val="32"/>
          <w:szCs w:val="32"/>
          <w:highlight w:val="none"/>
        </w:rPr>
        <w:t>年</w:t>
      </w:r>
      <w:r>
        <w:rPr>
          <w:rFonts w:hint="eastAsia" w:ascii="仿宋_GB2312" w:eastAsia="仿宋_GB2312"/>
          <w:color w:val="auto"/>
          <w:sz w:val="32"/>
          <w:szCs w:val="32"/>
          <w:highlight w:val="none"/>
          <w:lang w:val="en-US" w:eastAsia="zh-CN"/>
        </w:rPr>
        <w:t>相比持平</w:t>
      </w:r>
      <w:r>
        <w:rPr>
          <w:rFonts w:hint="eastAsia" w:ascii="仿宋_GB2312" w:eastAsia="仿宋_GB2312"/>
          <w:color w:val="auto"/>
          <w:sz w:val="32"/>
          <w:szCs w:val="32"/>
          <w:highlight w:val="none"/>
        </w:rPr>
        <w:t>。</w:t>
      </w:r>
    </w:p>
    <w:p>
      <w:pPr>
        <w:spacing w:line="600" w:lineRule="exact"/>
        <w:ind w:firstLine="640" w:firstLineChars="200"/>
        <w:rPr>
          <w:rFonts w:ascii="仿宋_GB2312" w:eastAsia="仿宋_GB2312"/>
          <w:b/>
          <w:color w:val="auto"/>
          <w:sz w:val="32"/>
          <w:szCs w:val="32"/>
          <w:highlight w:val="none"/>
        </w:rPr>
      </w:pPr>
      <w:r>
        <w:rPr>
          <w:rFonts w:hint="eastAsia" w:ascii="仿宋_GB2312" w:eastAsia="仿宋_GB2312"/>
          <w:color w:val="auto"/>
          <w:sz w:val="32"/>
          <w:szCs w:val="32"/>
          <w:highlight w:val="none"/>
        </w:rPr>
        <w:t>其中：</w:t>
      </w:r>
      <w:r>
        <w:rPr>
          <w:rFonts w:hint="eastAsia" w:ascii="仿宋_GB2312" w:eastAsia="仿宋_GB2312"/>
          <w:b/>
          <w:color w:val="auto"/>
          <w:sz w:val="32"/>
          <w:szCs w:val="32"/>
          <w:highlight w:val="none"/>
        </w:rPr>
        <w:t>公务用车购置支出</w:t>
      </w:r>
      <w:r>
        <w:rPr>
          <w:rFonts w:hint="eastAsia" w:ascii="仿宋_GB2312" w:eastAsia="仿宋_GB2312"/>
          <w:color w:val="auto"/>
          <w:sz w:val="32"/>
          <w:szCs w:val="32"/>
          <w:highlight w:val="none"/>
          <w:lang w:eastAsia="zh-CN"/>
        </w:rPr>
        <w:t>0</w:t>
      </w:r>
      <w:r>
        <w:rPr>
          <w:rFonts w:hint="eastAsia" w:ascii="仿宋_GB2312" w:eastAsia="仿宋_GB2312"/>
          <w:color w:val="auto"/>
          <w:sz w:val="32"/>
          <w:szCs w:val="32"/>
          <w:highlight w:val="none"/>
        </w:rPr>
        <w:t>万元。全年按规定更新购置公务用车</w:t>
      </w:r>
      <w:r>
        <w:rPr>
          <w:rFonts w:hint="eastAsia" w:ascii="仿宋_GB2312" w:eastAsia="仿宋_GB2312"/>
          <w:color w:val="auto"/>
          <w:sz w:val="32"/>
          <w:szCs w:val="32"/>
          <w:highlight w:val="none"/>
          <w:lang w:eastAsia="zh-CN"/>
        </w:rPr>
        <w:t>0</w:t>
      </w:r>
      <w:r>
        <w:rPr>
          <w:rFonts w:hint="eastAsia" w:ascii="仿宋_GB2312" w:eastAsia="仿宋_GB2312"/>
          <w:color w:val="auto"/>
          <w:sz w:val="32"/>
          <w:szCs w:val="32"/>
          <w:highlight w:val="none"/>
        </w:rPr>
        <w:t>辆，其中：轿车</w:t>
      </w:r>
      <w:r>
        <w:rPr>
          <w:rFonts w:hint="eastAsia" w:ascii="仿宋_GB2312" w:eastAsia="仿宋_GB2312"/>
          <w:color w:val="auto"/>
          <w:sz w:val="32"/>
          <w:szCs w:val="32"/>
          <w:highlight w:val="none"/>
          <w:lang w:eastAsia="zh-CN"/>
        </w:rPr>
        <w:t>0</w:t>
      </w:r>
      <w:r>
        <w:rPr>
          <w:rFonts w:hint="eastAsia" w:ascii="仿宋_GB2312" w:eastAsia="仿宋_GB2312"/>
          <w:color w:val="auto"/>
          <w:sz w:val="32"/>
          <w:szCs w:val="32"/>
          <w:highlight w:val="none"/>
        </w:rPr>
        <w:t>辆、金额</w:t>
      </w:r>
      <w:r>
        <w:rPr>
          <w:rFonts w:hint="eastAsia" w:ascii="仿宋_GB2312" w:eastAsia="仿宋_GB2312"/>
          <w:color w:val="auto"/>
          <w:sz w:val="32"/>
          <w:szCs w:val="32"/>
          <w:highlight w:val="none"/>
          <w:lang w:eastAsia="zh-CN"/>
        </w:rPr>
        <w:t>0</w:t>
      </w:r>
      <w:r>
        <w:rPr>
          <w:rFonts w:hint="eastAsia" w:ascii="仿宋_GB2312" w:eastAsia="仿宋_GB2312"/>
          <w:color w:val="auto"/>
          <w:sz w:val="32"/>
          <w:szCs w:val="32"/>
          <w:highlight w:val="none"/>
        </w:rPr>
        <w:t>万元，越野车</w:t>
      </w:r>
      <w:r>
        <w:rPr>
          <w:rFonts w:hint="eastAsia" w:ascii="仿宋_GB2312" w:eastAsia="仿宋_GB2312"/>
          <w:color w:val="auto"/>
          <w:sz w:val="32"/>
          <w:szCs w:val="32"/>
          <w:highlight w:val="none"/>
          <w:lang w:eastAsia="zh-CN"/>
        </w:rPr>
        <w:t>0</w:t>
      </w:r>
      <w:r>
        <w:rPr>
          <w:rFonts w:hint="eastAsia" w:ascii="仿宋_GB2312" w:eastAsia="仿宋_GB2312"/>
          <w:color w:val="auto"/>
          <w:sz w:val="32"/>
          <w:szCs w:val="32"/>
          <w:highlight w:val="none"/>
        </w:rPr>
        <w:t>辆、金额</w:t>
      </w:r>
      <w:r>
        <w:rPr>
          <w:rFonts w:hint="eastAsia" w:ascii="仿宋_GB2312" w:eastAsia="仿宋_GB2312"/>
          <w:color w:val="auto"/>
          <w:sz w:val="32"/>
          <w:szCs w:val="32"/>
          <w:highlight w:val="none"/>
          <w:lang w:eastAsia="zh-CN"/>
        </w:rPr>
        <w:t>0</w:t>
      </w:r>
      <w:r>
        <w:rPr>
          <w:rFonts w:hint="eastAsia" w:ascii="仿宋_GB2312" w:eastAsia="仿宋_GB2312"/>
          <w:color w:val="auto"/>
          <w:sz w:val="32"/>
          <w:szCs w:val="32"/>
          <w:highlight w:val="none"/>
        </w:rPr>
        <w:t>万元，载客汽车</w:t>
      </w:r>
      <w:r>
        <w:rPr>
          <w:rFonts w:hint="eastAsia" w:ascii="仿宋_GB2312" w:eastAsia="仿宋_GB2312"/>
          <w:color w:val="auto"/>
          <w:sz w:val="32"/>
          <w:szCs w:val="32"/>
          <w:highlight w:val="none"/>
          <w:lang w:eastAsia="zh-CN"/>
        </w:rPr>
        <w:t>0</w:t>
      </w:r>
      <w:r>
        <w:rPr>
          <w:rFonts w:hint="eastAsia" w:ascii="仿宋_GB2312" w:eastAsia="仿宋_GB2312"/>
          <w:color w:val="auto"/>
          <w:sz w:val="32"/>
          <w:szCs w:val="32"/>
          <w:highlight w:val="none"/>
        </w:rPr>
        <w:t>辆、金额</w:t>
      </w:r>
      <w:r>
        <w:rPr>
          <w:rFonts w:hint="eastAsia" w:ascii="仿宋_GB2312" w:eastAsia="仿宋_GB2312"/>
          <w:color w:val="auto"/>
          <w:sz w:val="32"/>
          <w:szCs w:val="32"/>
          <w:highlight w:val="none"/>
          <w:lang w:eastAsia="zh-CN"/>
        </w:rPr>
        <w:t>0</w:t>
      </w:r>
      <w:r>
        <w:rPr>
          <w:rFonts w:hint="eastAsia" w:ascii="仿宋_GB2312" w:eastAsia="仿宋_GB2312"/>
          <w:color w:val="auto"/>
          <w:sz w:val="32"/>
          <w:szCs w:val="32"/>
          <w:highlight w:val="none"/>
        </w:rPr>
        <w:t>万元，主要用于…。截至</w:t>
      </w:r>
      <w:r>
        <w:rPr>
          <w:rFonts w:ascii="仿宋_GB2312" w:eastAsia="仿宋_GB2312"/>
          <w:color w:val="auto"/>
          <w:sz w:val="32"/>
          <w:szCs w:val="32"/>
          <w:highlight w:val="none"/>
        </w:rPr>
        <w:t>20</w:t>
      </w:r>
      <w:r>
        <w:rPr>
          <w:rFonts w:hint="eastAsia" w:ascii="仿宋_GB2312" w:eastAsia="仿宋_GB2312"/>
          <w:color w:val="auto"/>
          <w:sz w:val="32"/>
          <w:szCs w:val="32"/>
          <w:highlight w:val="none"/>
          <w:lang w:val="en-US" w:eastAsia="zh-CN"/>
        </w:rPr>
        <w:t>22</w:t>
      </w:r>
      <w:r>
        <w:rPr>
          <w:rFonts w:hint="eastAsia" w:ascii="仿宋_GB2312" w:eastAsia="仿宋_GB2312"/>
          <w:color w:val="auto"/>
          <w:sz w:val="32"/>
          <w:szCs w:val="32"/>
          <w:highlight w:val="none"/>
        </w:rPr>
        <w:t>年</w:t>
      </w:r>
      <w:r>
        <w:rPr>
          <w:rFonts w:ascii="仿宋_GB2312" w:eastAsia="仿宋_GB2312"/>
          <w:color w:val="auto"/>
          <w:sz w:val="32"/>
          <w:szCs w:val="32"/>
          <w:highlight w:val="none"/>
        </w:rPr>
        <w:t>12</w:t>
      </w:r>
      <w:r>
        <w:rPr>
          <w:rFonts w:hint="eastAsia" w:ascii="仿宋_GB2312" w:eastAsia="仿宋_GB2312"/>
          <w:color w:val="auto"/>
          <w:sz w:val="32"/>
          <w:szCs w:val="32"/>
          <w:highlight w:val="none"/>
        </w:rPr>
        <w:t>月底，单位共有公务用车</w:t>
      </w:r>
      <w:r>
        <w:rPr>
          <w:rFonts w:hint="eastAsia" w:ascii="仿宋_GB2312" w:eastAsia="仿宋_GB2312"/>
          <w:color w:val="auto"/>
          <w:sz w:val="32"/>
          <w:szCs w:val="32"/>
          <w:highlight w:val="none"/>
          <w:lang w:eastAsia="zh-CN"/>
        </w:rPr>
        <w:t>0</w:t>
      </w:r>
      <w:r>
        <w:rPr>
          <w:rFonts w:hint="eastAsia" w:ascii="仿宋_GB2312" w:eastAsia="仿宋_GB2312"/>
          <w:color w:val="auto"/>
          <w:sz w:val="32"/>
          <w:szCs w:val="32"/>
          <w:highlight w:val="none"/>
        </w:rPr>
        <w:t>辆，其中：轿车</w:t>
      </w:r>
      <w:r>
        <w:rPr>
          <w:rFonts w:hint="eastAsia" w:ascii="仿宋_GB2312" w:eastAsia="仿宋_GB2312"/>
          <w:color w:val="auto"/>
          <w:sz w:val="32"/>
          <w:szCs w:val="32"/>
          <w:highlight w:val="none"/>
          <w:lang w:eastAsia="zh-CN"/>
        </w:rPr>
        <w:t>0</w:t>
      </w:r>
      <w:r>
        <w:rPr>
          <w:rFonts w:hint="eastAsia" w:ascii="仿宋_GB2312" w:eastAsia="仿宋_GB2312"/>
          <w:color w:val="auto"/>
          <w:sz w:val="32"/>
          <w:szCs w:val="32"/>
          <w:highlight w:val="none"/>
        </w:rPr>
        <w:t>辆、越野车</w:t>
      </w:r>
      <w:r>
        <w:rPr>
          <w:rFonts w:hint="eastAsia" w:ascii="仿宋_GB2312" w:eastAsia="仿宋_GB2312"/>
          <w:color w:val="auto"/>
          <w:sz w:val="32"/>
          <w:szCs w:val="32"/>
          <w:highlight w:val="none"/>
          <w:lang w:eastAsia="zh-CN"/>
        </w:rPr>
        <w:t>0</w:t>
      </w:r>
      <w:r>
        <w:rPr>
          <w:rFonts w:hint="eastAsia" w:ascii="仿宋_GB2312" w:eastAsia="仿宋_GB2312"/>
          <w:color w:val="auto"/>
          <w:sz w:val="32"/>
          <w:szCs w:val="32"/>
          <w:highlight w:val="none"/>
        </w:rPr>
        <w:t>辆、载客汽车</w:t>
      </w:r>
      <w:r>
        <w:rPr>
          <w:rFonts w:hint="eastAsia" w:ascii="仿宋_GB2312" w:eastAsia="仿宋_GB2312"/>
          <w:color w:val="auto"/>
          <w:sz w:val="32"/>
          <w:szCs w:val="32"/>
          <w:highlight w:val="none"/>
          <w:lang w:eastAsia="zh-CN"/>
        </w:rPr>
        <w:t>0</w:t>
      </w:r>
      <w:r>
        <w:rPr>
          <w:rFonts w:hint="eastAsia" w:ascii="仿宋_GB2312" w:eastAsia="仿宋_GB2312"/>
          <w:color w:val="auto"/>
          <w:sz w:val="32"/>
          <w:szCs w:val="32"/>
          <w:highlight w:val="none"/>
        </w:rPr>
        <w:t>辆。</w:t>
      </w:r>
    </w:p>
    <w:p>
      <w:pPr>
        <w:spacing w:line="600" w:lineRule="exact"/>
        <w:ind w:firstLine="640"/>
        <w:rPr>
          <w:rFonts w:hint="eastAsia" w:ascii="仿宋_GB2312" w:eastAsia="仿宋_GB2312"/>
          <w:color w:val="auto"/>
          <w:sz w:val="32"/>
          <w:szCs w:val="32"/>
          <w:highlight w:val="none"/>
        </w:rPr>
      </w:pPr>
      <w:r>
        <w:rPr>
          <w:rFonts w:hint="eastAsia" w:ascii="仿宋_GB2312" w:eastAsia="仿宋_GB2312"/>
          <w:b/>
          <w:color w:val="auto"/>
          <w:sz w:val="32"/>
          <w:szCs w:val="32"/>
          <w:highlight w:val="none"/>
        </w:rPr>
        <w:t>公务用车运行维护费支出</w:t>
      </w:r>
      <w:r>
        <w:rPr>
          <w:rFonts w:hint="eastAsia" w:ascii="仿宋_GB2312" w:eastAsia="仿宋_GB2312"/>
          <w:color w:val="auto"/>
          <w:sz w:val="32"/>
          <w:szCs w:val="32"/>
          <w:highlight w:val="none"/>
          <w:lang w:eastAsia="zh-CN"/>
        </w:rPr>
        <w:t>0</w:t>
      </w:r>
      <w:r>
        <w:rPr>
          <w:rFonts w:hint="eastAsia" w:ascii="仿宋_GB2312" w:eastAsia="仿宋_GB2312"/>
          <w:color w:val="auto"/>
          <w:sz w:val="32"/>
          <w:szCs w:val="32"/>
          <w:highlight w:val="none"/>
        </w:rPr>
        <w:t>万元。</w:t>
      </w:r>
    </w:p>
    <w:p>
      <w:pPr>
        <w:spacing w:line="600" w:lineRule="exact"/>
        <w:ind w:firstLine="640"/>
        <w:rPr>
          <w:rFonts w:ascii="仿宋_GB2312" w:eastAsia="仿宋_GB2312"/>
          <w:color w:val="0000FF"/>
          <w:sz w:val="32"/>
          <w:szCs w:val="32"/>
          <w:highlight w:val="none"/>
        </w:rPr>
      </w:pPr>
      <w:r>
        <w:rPr>
          <w:rFonts w:ascii="仿宋_GB2312" w:eastAsia="仿宋_GB2312"/>
          <w:b/>
          <w:color w:val="auto"/>
          <w:sz w:val="32"/>
          <w:szCs w:val="32"/>
          <w:highlight w:val="none"/>
        </w:rPr>
        <w:t>3.</w:t>
      </w:r>
      <w:r>
        <w:rPr>
          <w:rFonts w:hint="eastAsia" w:ascii="仿宋_GB2312" w:eastAsia="仿宋_GB2312"/>
          <w:b/>
          <w:color w:val="auto"/>
          <w:sz w:val="32"/>
          <w:szCs w:val="32"/>
          <w:highlight w:val="none"/>
        </w:rPr>
        <w:t>公务接待费支出</w:t>
      </w:r>
      <w:r>
        <w:rPr>
          <w:rFonts w:hint="eastAsia" w:ascii="仿宋_GB2312" w:eastAsia="仿宋_GB2312"/>
          <w:color w:val="auto"/>
          <w:sz w:val="32"/>
          <w:szCs w:val="32"/>
          <w:highlight w:val="none"/>
          <w:lang w:eastAsia="zh-CN"/>
        </w:rPr>
        <w:t>0</w:t>
      </w:r>
      <w:r>
        <w:rPr>
          <w:rFonts w:hint="eastAsia" w:ascii="仿宋_GB2312" w:eastAsia="仿宋_GB2312"/>
          <w:color w:val="auto"/>
          <w:sz w:val="32"/>
          <w:szCs w:val="32"/>
          <w:highlight w:val="none"/>
          <w:lang w:val="en-US" w:eastAsia="zh-CN"/>
        </w:rPr>
        <w:t>.15</w:t>
      </w:r>
      <w:r>
        <w:rPr>
          <w:rFonts w:hint="eastAsia" w:ascii="仿宋_GB2312" w:eastAsia="仿宋_GB2312"/>
          <w:color w:val="auto"/>
          <w:sz w:val="32"/>
          <w:szCs w:val="32"/>
          <w:highlight w:val="none"/>
        </w:rPr>
        <w:t>万元，</w:t>
      </w:r>
      <w:r>
        <w:rPr>
          <w:rStyle w:val="16"/>
          <w:rFonts w:hint="eastAsia" w:ascii="仿宋" w:hAnsi="仿宋" w:eastAsia="仿宋"/>
          <w:b w:val="0"/>
          <w:bCs/>
          <w:color w:val="auto"/>
          <w:sz w:val="32"/>
          <w:szCs w:val="32"/>
          <w:highlight w:val="none"/>
        </w:rPr>
        <w:t>完成预算</w:t>
      </w:r>
      <w:r>
        <w:rPr>
          <w:rStyle w:val="16"/>
          <w:rFonts w:hint="eastAsia" w:ascii="仿宋" w:hAnsi="仿宋" w:eastAsia="仿宋"/>
          <w:b w:val="0"/>
          <w:bCs/>
          <w:color w:val="auto"/>
          <w:sz w:val="32"/>
          <w:szCs w:val="32"/>
          <w:highlight w:val="none"/>
          <w:lang w:val="en-US" w:eastAsia="zh-CN"/>
        </w:rPr>
        <w:t>10</w:t>
      </w:r>
      <w:r>
        <w:rPr>
          <w:rStyle w:val="16"/>
          <w:rFonts w:hint="eastAsia" w:ascii="仿宋" w:hAnsi="仿宋" w:eastAsia="仿宋"/>
          <w:b w:val="0"/>
          <w:bCs/>
          <w:color w:val="auto"/>
          <w:sz w:val="32"/>
          <w:szCs w:val="32"/>
          <w:highlight w:val="none"/>
          <w:lang w:eastAsia="zh-CN"/>
        </w:rPr>
        <w:t>0</w:t>
      </w:r>
      <w:r>
        <w:rPr>
          <w:rStyle w:val="16"/>
          <w:rFonts w:ascii="仿宋" w:hAnsi="仿宋" w:eastAsia="仿宋"/>
          <w:b w:val="0"/>
          <w:bCs/>
          <w:color w:val="auto"/>
          <w:sz w:val="32"/>
          <w:szCs w:val="32"/>
          <w:highlight w:val="none"/>
        </w:rPr>
        <w:t>%</w:t>
      </w:r>
      <w:r>
        <w:rPr>
          <w:rStyle w:val="16"/>
          <w:rFonts w:hint="eastAsia" w:ascii="仿宋" w:hAnsi="仿宋" w:eastAsia="仿宋"/>
          <w:b w:val="0"/>
          <w:bCs/>
          <w:color w:val="auto"/>
          <w:sz w:val="32"/>
          <w:szCs w:val="32"/>
          <w:highlight w:val="none"/>
        </w:rPr>
        <w:t>。</w:t>
      </w:r>
      <w:r>
        <w:rPr>
          <w:rFonts w:hint="eastAsia" w:ascii="仿宋_GB2312" w:eastAsia="仿宋_GB2312"/>
          <w:color w:val="auto"/>
          <w:sz w:val="32"/>
          <w:szCs w:val="32"/>
          <w:highlight w:val="none"/>
        </w:rPr>
        <w:t>公务接待费支出决算比</w:t>
      </w:r>
      <w:r>
        <w:rPr>
          <w:rFonts w:ascii="仿宋_GB2312" w:eastAsia="仿宋_GB2312"/>
          <w:color w:val="auto"/>
          <w:sz w:val="32"/>
          <w:szCs w:val="32"/>
          <w:highlight w:val="none"/>
        </w:rPr>
        <w:t>20</w:t>
      </w:r>
      <w:r>
        <w:rPr>
          <w:rFonts w:hint="eastAsia" w:ascii="仿宋_GB2312" w:eastAsia="仿宋_GB2312"/>
          <w:color w:val="auto"/>
          <w:sz w:val="32"/>
          <w:szCs w:val="32"/>
          <w:highlight w:val="none"/>
          <w:lang w:val="en-US" w:eastAsia="zh-CN"/>
        </w:rPr>
        <w:t>21</w:t>
      </w:r>
      <w:r>
        <w:rPr>
          <w:rFonts w:hint="eastAsia" w:ascii="仿宋_GB2312" w:eastAsia="仿宋_GB2312"/>
          <w:color w:val="auto"/>
          <w:sz w:val="32"/>
          <w:szCs w:val="32"/>
          <w:highlight w:val="none"/>
        </w:rPr>
        <w:t>年增加</w:t>
      </w:r>
      <w:r>
        <w:rPr>
          <w:rFonts w:hint="eastAsia" w:ascii="仿宋_GB2312" w:eastAsia="仿宋_GB2312"/>
          <w:color w:val="auto"/>
          <w:sz w:val="32"/>
          <w:szCs w:val="32"/>
          <w:highlight w:val="none"/>
          <w:lang w:val="en-US" w:eastAsia="zh-CN"/>
        </w:rPr>
        <w:t>0.09</w:t>
      </w:r>
      <w:r>
        <w:rPr>
          <w:rFonts w:hint="eastAsia" w:ascii="仿宋_GB2312" w:eastAsia="仿宋_GB2312"/>
          <w:color w:val="auto"/>
          <w:sz w:val="32"/>
          <w:szCs w:val="32"/>
          <w:highlight w:val="none"/>
        </w:rPr>
        <w:t>万元，增长</w:t>
      </w:r>
      <w:r>
        <w:rPr>
          <w:rFonts w:hint="eastAsia" w:ascii="仿宋_GB2312" w:eastAsia="仿宋_GB2312"/>
          <w:color w:val="auto"/>
          <w:sz w:val="32"/>
          <w:szCs w:val="32"/>
          <w:highlight w:val="none"/>
          <w:lang w:val="en-US" w:eastAsia="zh-CN"/>
        </w:rPr>
        <w:t>150</w:t>
      </w:r>
      <w:r>
        <w:rPr>
          <w:rFonts w:ascii="仿宋_GB2312" w:eastAsia="仿宋_GB2312"/>
          <w:color w:val="auto"/>
          <w:sz w:val="32"/>
          <w:szCs w:val="32"/>
          <w:highlight w:val="none"/>
        </w:rPr>
        <w:t>%</w:t>
      </w:r>
      <w:r>
        <w:rPr>
          <w:rFonts w:hint="eastAsia" w:ascii="仿宋_GB2312" w:eastAsia="仿宋_GB2312"/>
          <w:color w:val="auto"/>
          <w:sz w:val="32"/>
          <w:szCs w:val="32"/>
          <w:highlight w:val="none"/>
        </w:rPr>
        <w:t>。主要原因是</w:t>
      </w:r>
      <w:r>
        <w:rPr>
          <w:rFonts w:hint="eastAsia" w:ascii="仿宋_GB2312" w:eastAsia="仿宋_GB2312"/>
          <w:color w:val="auto"/>
          <w:sz w:val="32"/>
          <w:szCs w:val="32"/>
          <w:highlight w:val="none"/>
          <w:lang w:val="en-US" w:eastAsia="zh-CN"/>
        </w:rPr>
        <w:t>上级部门和其他区县来桥调研增加</w:t>
      </w:r>
      <w:r>
        <w:rPr>
          <w:rFonts w:hint="eastAsia" w:ascii="仿宋_GB2312" w:eastAsia="仿宋_GB2312"/>
          <w:color w:val="auto"/>
          <w:sz w:val="32"/>
          <w:szCs w:val="32"/>
          <w:highlight w:val="none"/>
        </w:rPr>
        <w:t>。</w:t>
      </w:r>
      <w:r>
        <w:rPr>
          <w:rFonts w:hint="eastAsia" w:ascii="仿宋_GB2312" w:eastAsia="仿宋_GB2312"/>
          <w:color w:val="0000FF"/>
          <w:sz w:val="32"/>
          <w:szCs w:val="32"/>
          <w:highlight w:val="none"/>
        </w:rPr>
        <w:t>其中：</w:t>
      </w:r>
    </w:p>
    <w:p>
      <w:pPr>
        <w:spacing w:line="600" w:lineRule="exact"/>
        <w:ind w:firstLine="640"/>
        <w:rPr>
          <w:rFonts w:hint="default" w:ascii="仿宋_GB2312" w:eastAsia="仿宋_GB2312"/>
          <w:color w:val="0000FF"/>
          <w:sz w:val="32"/>
          <w:szCs w:val="32"/>
          <w:highlight w:val="none"/>
          <w:lang w:val="en-US"/>
        </w:rPr>
      </w:pPr>
      <w:r>
        <w:rPr>
          <w:rFonts w:hint="eastAsia" w:ascii="仿宋" w:hAnsi="仿宋" w:eastAsia="仿宋"/>
          <w:b/>
          <w:color w:val="0000FF"/>
          <w:sz w:val="32"/>
          <w:szCs w:val="32"/>
          <w:highlight w:val="none"/>
        </w:rPr>
        <w:t>国内公务接待支出</w:t>
      </w:r>
      <w:r>
        <w:rPr>
          <w:rFonts w:hint="eastAsia" w:ascii="仿宋" w:hAnsi="仿宋" w:eastAsia="仿宋"/>
          <w:color w:val="0000FF"/>
          <w:sz w:val="32"/>
          <w:szCs w:val="32"/>
          <w:highlight w:val="none"/>
          <w:lang w:val="en-US" w:eastAsia="zh-CN"/>
        </w:rPr>
        <w:t>0.15</w:t>
      </w:r>
      <w:r>
        <w:rPr>
          <w:rFonts w:hint="eastAsia" w:ascii="仿宋_GB2312" w:eastAsia="仿宋_GB2312"/>
          <w:color w:val="0000FF"/>
          <w:sz w:val="32"/>
          <w:szCs w:val="32"/>
          <w:highlight w:val="none"/>
        </w:rPr>
        <w:t>万元，主要用于</w:t>
      </w:r>
      <w:r>
        <w:rPr>
          <w:rFonts w:hint="eastAsia" w:ascii="仿宋_GB2312" w:eastAsia="仿宋_GB2312"/>
          <w:color w:val="0000FF"/>
          <w:sz w:val="32"/>
          <w:szCs w:val="32"/>
          <w:highlight w:val="none"/>
          <w:lang w:eastAsia="zh-CN"/>
        </w:rPr>
        <w:t>用餐费</w:t>
      </w:r>
      <w:r>
        <w:rPr>
          <w:rFonts w:hint="eastAsia" w:ascii="仿宋_GB2312" w:eastAsia="仿宋_GB2312"/>
          <w:color w:val="0000FF"/>
          <w:sz w:val="32"/>
          <w:szCs w:val="32"/>
          <w:highlight w:val="none"/>
        </w:rPr>
        <w:t>。国内公务接待</w:t>
      </w:r>
      <w:r>
        <w:rPr>
          <w:rFonts w:hint="eastAsia" w:ascii="仿宋_GB2312" w:eastAsia="仿宋_GB2312"/>
          <w:color w:val="0000FF"/>
          <w:sz w:val="32"/>
          <w:szCs w:val="32"/>
          <w:highlight w:val="none"/>
          <w:lang w:val="en-US" w:eastAsia="zh-CN"/>
        </w:rPr>
        <w:t>2</w:t>
      </w:r>
      <w:r>
        <w:rPr>
          <w:rFonts w:hint="eastAsia" w:ascii="仿宋_GB2312" w:eastAsia="仿宋_GB2312"/>
          <w:color w:val="0000FF"/>
          <w:sz w:val="32"/>
          <w:szCs w:val="32"/>
          <w:highlight w:val="none"/>
        </w:rPr>
        <w:t>批次，</w:t>
      </w:r>
      <w:r>
        <w:rPr>
          <w:rFonts w:hint="eastAsia" w:ascii="仿宋_GB2312" w:eastAsia="仿宋_GB2312"/>
          <w:color w:val="0000FF"/>
          <w:sz w:val="32"/>
          <w:szCs w:val="32"/>
          <w:highlight w:val="none"/>
          <w:lang w:val="en-US" w:eastAsia="zh-CN"/>
        </w:rPr>
        <w:t>14</w:t>
      </w:r>
      <w:r>
        <w:rPr>
          <w:rFonts w:hint="eastAsia" w:ascii="仿宋_GB2312" w:eastAsia="仿宋_GB2312"/>
          <w:color w:val="0000FF"/>
          <w:sz w:val="32"/>
          <w:szCs w:val="32"/>
          <w:highlight w:val="none"/>
        </w:rPr>
        <w:t>人次，共计支出</w:t>
      </w:r>
      <w:r>
        <w:rPr>
          <w:rFonts w:hint="eastAsia" w:ascii="仿宋_GB2312" w:eastAsia="仿宋_GB2312"/>
          <w:color w:val="0000FF"/>
          <w:sz w:val="32"/>
          <w:szCs w:val="32"/>
          <w:highlight w:val="none"/>
          <w:lang w:val="en-US" w:eastAsia="zh-CN"/>
        </w:rPr>
        <w:t>0.15</w:t>
      </w:r>
      <w:r>
        <w:rPr>
          <w:rFonts w:hint="eastAsia" w:ascii="仿宋_GB2312" w:eastAsia="仿宋_GB2312"/>
          <w:color w:val="0000FF"/>
          <w:sz w:val="32"/>
          <w:szCs w:val="32"/>
          <w:highlight w:val="none"/>
        </w:rPr>
        <w:t>万元，具体内容包括：</w:t>
      </w:r>
      <w:r>
        <w:rPr>
          <w:rFonts w:hint="eastAsia" w:ascii="仿宋_GB2312" w:eastAsia="仿宋_GB2312"/>
          <w:color w:val="0000FF"/>
          <w:sz w:val="32"/>
          <w:szCs w:val="32"/>
          <w:highlight w:val="none"/>
          <w:lang w:eastAsia="zh-CN"/>
        </w:rPr>
        <w:t>接待市委编办赴我区开展以乡村国土空间规划引领县域内片区高质量发展和深化两项改革“后半篇”文章调研，支出</w:t>
      </w:r>
      <w:r>
        <w:rPr>
          <w:rFonts w:hint="eastAsia" w:ascii="仿宋_GB2312" w:eastAsia="仿宋_GB2312"/>
          <w:color w:val="0000FF"/>
          <w:sz w:val="32"/>
          <w:szCs w:val="32"/>
          <w:highlight w:val="none"/>
          <w:lang w:val="en-US" w:eastAsia="zh-CN"/>
        </w:rPr>
        <w:t>0.07万元；接待沙湾区委编办、沐川县委编办赴五通桥区开展事业单位法人公示信息抽查，支出0.08万元。</w:t>
      </w:r>
    </w:p>
    <w:p>
      <w:pPr>
        <w:spacing w:line="600" w:lineRule="exact"/>
        <w:ind w:firstLine="640"/>
        <w:outlineLvl w:val="1"/>
        <w:rPr>
          <w:rStyle w:val="27"/>
          <w:rFonts w:ascii="黑体" w:hAnsi="黑体" w:eastAsia="黑体"/>
          <w:color w:val="auto"/>
          <w:highlight w:val="none"/>
        </w:rPr>
      </w:pPr>
      <w:bookmarkStart w:id="40" w:name="_Toc15396610"/>
      <w:bookmarkStart w:id="41" w:name="_Toc15377218"/>
      <w:r>
        <w:rPr>
          <w:rFonts w:hint="eastAsia" w:ascii="黑体" w:eastAsia="黑体"/>
          <w:color w:val="auto"/>
          <w:sz w:val="32"/>
          <w:szCs w:val="32"/>
          <w:highlight w:val="none"/>
        </w:rPr>
        <w:t>八、</w:t>
      </w:r>
      <w:r>
        <w:rPr>
          <w:rStyle w:val="27"/>
          <w:rFonts w:hint="eastAsia" w:ascii="黑体" w:hAnsi="黑体" w:eastAsia="黑体"/>
          <w:b w:val="0"/>
          <w:color w:val="auto"/>
          <w:highlight w:val="none"/>
        </w:rPr>
        <w:t>政府性基金预算支出决算情况说明</w:t>
      </w:r>
      <w:bookmarkEnd w:id="40"/>
      <w:bookmarkEnd w:id="41"/>
    </w:p>
    <w:p>
      <w:pPr>
        <w:spacing w:line="600" w:lineRule="exact"/>
        <w:ind w:firstLine="640"/>
        <w:rPr>
          <w:rFonts w:ascii="仿宋_GB2312" w:eastAsia="仿宋_GB2312"/>
          <w:color w:val="auto"/>
          <w:sz w:val="32"/>
          <w:szCs w:val="32"/>
          <w:highlight w:val="none"/>
        </w:rPr>
      </w:pPr>
      <w:r>
        <w:rPr>
          <w:rFonts w:ascii="仿宋_GB2312" w:eastAsia="仿宋_GB2312"/>
          <w:color w:val="auto"/>
          <w:sz w:val="32"/>
          <w:szCs w:val="32"/>
          <w:highlight w:val="none"/>
        </w:rPr>
        <w:t>20</w:t>
      </w:r>
      <w:r>
        <w:rPr>
          <w:rFonts w:hint="eastAsia" w:ascii="仿宋_GB2312" w:eastAsia="仿宋_GB2312"/>
          <w:color w:val="auto"/>
          <w:sz w:val="32"/>
          <w:szCs w:val="32"/>
          <w:highlight w:val="none"/>
          <w:lang w:val="en-US" w:eastAsia="zh-CN"/>
        </w:rPr>
        <w:t>22</w:t>
      </w:r>
      <w:r>
        <w:rPr>
          <w:rFonts w:hint="eastAsia" w:ascii="仿宋_GB2312" w:eastAsia="仿宋_GB2312"/>
          <w:color w:val="auto"/>
          <w:sz w:val="32"/>
          <w:szCs w:val="32"/>
          <w:highlight w:val="none"/>
        </w:rPr>
        <w:t>年政府性基金预算</w:t>
      </w:r>
      <w:r>
        <w:rPr>
          <w:rFonts w:hint="eastAsia" w:ascii="仿宋_GB2312" w:eastAsia="仿宋_GB2312"/>
          <w:color w:val="auto"/>
          <w:sz w:val="32"/>
          <w:szCs w:val="32"/>
          <w:highlight w:val="none"/>
          <w:lang w:eastAsia="zh-CN"/>
        </w:rPr>
        <w:t>财政</w:t>
      </w:r>
      <w:r>
        <w:rPr>
          <w:rFonts w:hint="eastAsia" w:ascii="仿宋_GB2312" w:eastAsia="仿宋_GB2312"/>
          <w:color w:val="auto"/>
          <w:sz w:val="32"/>
          <w:szCs w:val="32"/>
          <w:highlight w:val="none"/>
        </w:rPr>
        <w:t>拨款支出</w:t>
      </w:r>
      <w:r>
        <w:rPr>
          <w:rFonts w:hint="eastAsia" w:ascii="仿宋_GB2312" w:eastAsia="仿宋_GB2312"/>
          <w:color w:val="auto"/>
          <w:sz w:val="32"/>
          <w:szCs w:val="32"/>
          <w:highlight w:val="none"/>
          <w:lang w:eastAsia="zh-CN"/>
        </w:rPr>
        <w:t>0</w:t>
      </w:r>
      <w:r>
        <w:rPr>
          <w:rFonts w:hint="eastAsia" w:ascii="仿宋_GB2312" w:eastAsia="仿宋_GB2312"/>
          <w:color w:val="auto"/>
          <w:sz w:val="32"/>
          <w:szCs w:val="32"/>
          <w:highlight w:val="none"/>
        </w:rPr>
        <w:t>万元。</w:t>
      </w:r>
    </w:p>
    <w:p>
      <w:pPr>
        <w:numPr>
          <w:ilvl w:val="0"/>
          <w:numId w:val="4"/>
        </w:numPr>
        <w:spacing w:line="600" w:lineRule="exact"/>
        <w:ind w:firstLine="640"/>
        <w:outlineLvl w:val="1"/>
        <w:rPr>
          <w:rStyle w:val="27"/>
          <w:rFonts w:ascii="黑体" w:hAnsi="黑体" w:eastAsia="黑体"/>
          <w:b w:val="0"/>
          <w:color w:val="auto"/>
          <w:highlight w:val="none"/>
        </w:rPr>
      </w:pPr>
      <w:bookmarkStart w:id="42" w:name="_Toc15377219"/>
      <w:bookmarkStart w:id="43" w:name="_Toc15396611"/>
      <w:r>
        <w:rPr>
          <w:rStyle w:val="27"/>
          <w:rFonts w:hint="eastAsia" w:ascii="黑体" w:hAnsi="黑体" w:eastAsia="黑体"/>
          <w:b w:val="0"/>
          <w:color w:val="auto"/>
          <w:highlight w:val="none"/>
        </w:rPr>
        <w:t>国有资本经营预算支出决算情况说明</w:t>
      </w:r>
      <w:bookmarkEnd w:id="42"/>
      <w:bookmarkEnd w:id="43"/>
    </w:p>
    <w:p>
      <w:pPr>
        <w:spacing w:line="600" w:lineRule="exact"/>
        <w:ind w:firstLine="640"/>
        <w:rPr>
          <w:rFonts w:ascii="方正小标宋简体" w:hAnsi="方正小标宋简体" w:eastAsia="方正小标宋简体" w:cs="方正小标宋简体"/>
          <w:color w:val="auto"/>
          <w:sz w:val="44"/>
          <w:szCs w:val="44"/>
          <w:highlight w:val="none"/>
        </w:rPr>
      </w:pPr>
      <w:r>
        <w:rPr>
          <w:rFonts w:ascii="仿宋_GB2312" w:eastAsia="仿宋_GB2312"/>
          <w:color w:val="auto"/>
          <w:sz w:val="32"/>
          <w:szCs w:val="32"/>
          <w:highlight w:val="none"/>
        </w:rPr>
        <w:t>20</w:t>
      </w:r>
      <w:r>
        <w:rPr>
          <w:rFonts w:hint="eastAsia" w:ascii="仿宋_GB2312" w:eastAsia="仿宋_GB2312"/>
          <w:color w:val="auto"/>
          <w:sz w:val="32"/>
          <w:szCs w:val="32"/>
          <w:highlight w:val="none"/>
          <w:lang w:val="en-US" w:eastAsia="zh-CN"/>
        </w:rPr>
        <w:t>22</w:t>
      </w:r>
      <w:r>
        <w:rPr>
          <w:rFonts w:hint="eastAsia" w:ascii="仿宋_GB2312" w:eastAsia="仿宋_GB2312"/>
          <w:color w:val="auto"/>
          <w:sz w:val="32"/>
          <w:szCs w:val="32"/>
          <w:highlight w:val="none"/>
        </w:rPr>
        <w:t>年国有资本经营预算</w:t>
      </w:r>
      <w:r>
        <w:rPr>
          <w:rFonts w:hint="eastAsia" w:ascii="仿宋_GB2312" w:eastAsia="仿宋_GB2312"/>
          <w:color w:val="auto"/>
          <w:sz w:val="32"/>
          <w:szCs w:val="32"/>
          <w:highlight w:val="none"/>
          <w:lang w:eastAsia="zh-CN"/>
        </w:rPr>
        <w:t>财政</w:t>
      </w:r>
      <w:r>
        <w:rPr>
          <w:rFonts w:hint="eastAsia" w:ascii="仿宋_GB2312" w:eastAsia="仿宋_GB2312"/>
          <w:color w:val="auto"/>
          <w:sz w:val="32"/>
          <w:szCs w:val="32"/>
          <w:highlight w:val="none"/>
        </w:rPr>
        <w:t>拨款支出</w:t>
      </w:r>
      <w:r>
        <w:rPr>
          <w:rFonts w:hint="eastAsia" w:ascii="仿宋_GB2312" w:eastAsia="仿宋_GB2312"/>
          <w:color w:val="auto"/>
          <w:sz w:val="32"/>
          <w:szCs w:val="32"/>
          <w:highlight w:val="none"/>
          <w:lang w:eastAsia="zh-CN"/>
        </w:rPr>
        <w:t>0</w:t>
      </w:r>
      <w:r>
        <w:rPr>
          <w:rFonts w:hint="eastAsia" w:ascii="仿宋_GB2312" w:eastAsia="仿宋_GB2312"/>
          <w:color w:val="auto"/>
          <w:sz w:val="32"/>
          <w:szCs w:val="32"/>
          <w:highlight w:val="none"/>
        </w:rPr>
        <w:t>万元。</w:t>
      </w:r>
    </w:p>
    <w:p>
      <w:pPr>
        <w:numPr>
          <w:ilvl w:val="0"/>
          <w:numId w:val="4"/>
        </w:numPr>
        <w:spacing w:line="600" w:lineRule="exact"/>
        <w:ind w:firstLine="640"/>
        <w:outlineLvl w:val="1"/>
        <w:rPr>
          <w:rStyle w:val="27"/>
          <w:rFonts w:hint="eastAsia" w:ascii="黑体" w:hAnsi="黑体" w:eastAsia="黑体"/>
          <w:b w:val="0"/>
          <w:color w:val="auto"/>
          <w:highlight w:val="none"/>
        </w:rPr>
      </w:pPr>
      <w:bookmarkStart w:id="44" w:name="_Toc15377221"/>
      <w:bookmarkStart w:id="45" w:name="_Toc15396612"/>
      <w:r>
        <w:rPr>
          <w:rStyle w:val="27"/>
          <w:rFonts w:hint="eastAsia" w:ascii="黑体" w:hAnsi="黑体" w:eastAsia="黑体"/>
          <w:b w:val="0"/>
          <w:color w:val="auto"/>
          <w:highlight w:val="none"/>
        </w:rPr>
        <w:t>其他重要事项的情况说明</w:t>
      </w:r>
      <w:bookmarkEnd w:id="44"/>
      <w:bookmarkEnd w:id="45"/>
    </w:p>
    <w:p>
      <w:pPr>
        <w:spacing w:line="600" w:lineRule="exact"/>
        <w:ind w:firstLine="643" w:firstLineChars="200"/>
        <w:outlineLvl w:val="2"/>
        <w:rPr>
          <w:rFonts w:ascii="仿宋" w:hAnsi="仿宋" w:eastAsia="仿宋"/>
          <w:color w:val="auto"/>
          <w:sz w:val="32"/>
          <w:szCs w:val="32"/>
          <w:highlight w:val="none"/>
        </w:rPr>
      </w:pPr>
      <w:bookmarkStart w:id="46" w:name="_Toc15377222"/>
      <w:r>
        <w:rPr>
          <w:rFonts w:hint="eastAsia" w:ascii="仿宋" w:hAnsi="仿宋" w:eastAsia="仿宋"/>
          <w:b/>
          <w:color w:val="auto"/>
          <w:sz w:val="32"/>
          <w:szCs w:val="32"/>
          <w:highlight w:val="none"/>
        </w:rPr>
        <w:t>（一）机关运行经费支出情况</w:t>
      </w:r>
      <w:bookmarkEnd w:id="46"/>
    </w:p>
    <w:p>
      <w:pPr>
        <w:spacing w:line="600" w:lineRule="exact"/>
        <w:ind w:firstLine="640" w:firstLineChars="200"/>
        <w:rPr>
          <w:rFonts w:hint="default" w:ascii="仿宋_GB2312" w:eastAsia="仿宋_GB2312"/>
          <w:color w:val="auto"/>
          <w:sz w:val="32"/>
          <w:szCs w:val="32"/>
          <w:highlight w:val="none"/>
          <w:lang w:val="en-US" w:eastAsia="zh-CN"/>
        </w:rPr>
      </w:pPr>
      <w:r>
        <w:rPr>
          <w:rFonts w:ascii="仿宋_GB2312" w:eastAsia="仿宋_GB2312"/>
          <w:color w:val="auto"/>
          <w:sz w:val="32"/>
          <w:szCs w:val="32"/>
          <w:highlight w:val="none"/>
        </w:rPr>
        <w:t>20</w:t>
      </w:r>
      <w:r>
        <w:rPr>
          <w:rFonts w:hint="eastAsia" w:ascii="仿宋_GB2312" w:eastAsia="仿宋_GB2312"/>
          <w:color w:val="auto"/>
          <w:sz w:val="32"/>
          <w:szCs w:val="32"/>
          <w:highlight w:val="none"/>
          <w:lang w:val="en-US" w:eastAsia="zh-CN"/>
        </w:rPr>
        <w:t>22</w:t>
      </w:r>
      <w:r>
        <w:rPr>
          <w:rFonts w:hint="eastAsia" w:ascii="仿宋_GB2312" w:eastAsia="仿宋_GB2312"/>
          <w:color w:val="auto"/>
          <w:sz w:val="32"/>
          <w:szCs w:val="32"/>
          <w:highlight w:val="none"/>
        </w:rPr>
        <w:t>年，</w:t>
      </w:r>
      <w:r>
        <w:rPr>
          <w:rFonts w:hint="eastAsia" w:ascii="仿宋_GB2312" w:eastAsia="仿宋_GB2312"/>
          <w:color w:val="auto"/>
          <w:sz w:val="32"/>
          <w:szCs w:val="32"/>
          <w:highlight w:val="none"/>
          <w:lang w:val="en-US" w:eastAsia="zh-CN"/>
        </w:rPr>
        <w:t>中共乐山市五通桥区委机构编制委员会办公室</w:t>
      </w:r>
      <w:r>
        <w:rPr>
          <w:rFonts w:hint="eastAsia" w:ascii="仿宋_GB2312" w:eastAsia="仿宋_GB2312"/>
          <w:color w:val="auto"/>
          <w:sz w:val="32"/>
          <w:szCs w:val="32"/>
          <w:highlight w:val="none"/>
        </w:rPr>
        <w:t>机关运行经费支出</w:t>
      </w:r>
      <w:r>
        <w:rPr>
          <w:rFonts w:hint="eastAsia" w:ascii="仿宋_GB2312" w:eastAsia="仿宋_GB2312"/>
          <w:color w:val="auto"/>
          <w:sz w:val="32"/>
          <w:szCs w:val="32"/>
          <w:highlight w:val="none"/>
          <w:lang w:val="en-US" w:eastAsia="zh-CN"/>
        </w:rPr>
        <w:t>11.13</w:t>
      </w:r>
      <w:r>
        <w:rPr>
          <w:rFonts w:hint="eastAsia" w:ascii="仿宋_GB2312" w:eastAsia="仿宋_GB2312"/>
          <w:color w:val="auto"/>
          <w:sz w:val="32"/>
          <w:szCs w:val="32"/>
          <w:highlight w:val="none"/>
        </w:rPr>
        <w:t>万元，比</w:t>
      </w:r>
      <w:r>
        <w:rPr>
          <w:rFonts w:ascii="仿宋_GB2312" w:eastAsia="仿宋_GB2312"/>
          <w:color w:val="auto"/>
          <w:sz w:val="32"/>
          <w:szCs w:val="32"/>
          <w:highlight w:val="none"/>
        </w:rPr>
        <w:t>20</w:t>
      </w:r>
      <w:r>
        <w:rPr>
          <w:rFonts w:hint="eastAsia" w:ascii="仿宋_GB2312" w:eastAsia="仿宋_GB2312"/>
          <w:color w:val="auto"/>
          <w:sz w:val="32"/>
          <w:szCs w:val="32"/>
          <w:highlight w:val="none"/>
          <w:lang w:val="en-US" w:eastAsia="zh-CN"/>
        </w:rPr>
        <w:t>21</w:t>
      </w:r>
      <w:r>
        <w:rPr>
          <w:rFonts w:hint="eastAsia" w:ascii="仿宋_GB2312" w:eastAsia="仿宋_GB2312"/>
          <w:color w:val="auto"/>
          <w:sz w:val="32"/>
          <w:szCs w:val="32"/>
          <w:highlight w:val="none"/>
        </w:rPr>
        <w:t>年增加</w:t>
      </w:r>
      <w:r>
        <w:rPr>
          <w:rFonts w:hint="eastAsia" w:ascii="仿宋_GB2312" w:eastAsia="仿宋_GB2312"/>
          <w:color w:val="auto"/>
          <w:sz w:val="32"/>
          <w:szCs w:val="32"/>
          <w:highlight w:val="none"/>
          <w:lang w:val="en-US" w:eastAsia="zh-CN"/>
        </w:rPr>
        <w:t>2.04</w:t>
      </w:r>
      <w:r>
        <w:rPr>
          <w:rFonts w:hint="eastAsia" w:ascii="仿宋_GB2312" w:eastAsia="仿宋_GB2312"/>
          <w:color w:val="auto"/>
          <w:sz w:val="32"/>
          <w:szCs w:val="32"/>
          <w:highlight w:val="none"/>
        </w:rPr>
        <w:t>万元，增长</w:t>
      </w:r>
      <w:r>
        <w:rPr>
          <w:rFonts w:hint="eastAsia" w:ascii="仿宋_GB2312" w:eastAsia="仿宋_GB2312"/>
          <w:color w:val="auto"/>
          <w:sz w:val="32"/>
          <w:szCs w:val="32"/>
          <w:highlight w:val="none"/>
          <w:lang w:val="en-US" w:eastAsia="zh-CN"/>
        </w:rPr>
        <w:t>22.44</w:t>
      </w:r>
      <w:r>
        <w:rPr>
          <w:rFonts w:ascii="仿宋_GB2312" w:eastAsia="仿宋_GB2312"/>
          <w:color w:val="auto"/>
          <w:sz w:val="32"/>
          <w:szCs w:val="32"/>
          <w:highlight w:val="none"/>
        </w:rPr>
        <w:t>%</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主要原因是</w:t>
      </w:r>
      <w:r>
        <w:rPr>
          <w:rFonts w:hint="eastAsia" w:ascii="仿宋_GB2312" w:eastAsia="仿宋_GB2312"/>
          <w:color w:val="auto"/>
          <w:sz w:val="32"/>
          <w:szCs w:val="32"/>
          <w:highlight w:val="none"/>
          <w:lang w:val="en-US" w:eastAsia="zh-CN"/>
        </w:rPr>
        <w:t>人员增加，办公场所搬迁。</w:t>
      </w:r>
      <w:bookmarkStart w:id="67" w:name="_GoBack"/>
      <w:bookmarkEnd w:id="67"/>
    </w:p>
    <w:p>
      <w:pPr>
        <w:autoSpaceDE w:val="0"/>
        <w:autoSpaceDN w:val="0"/>
        <w:adjustRightInd w:val="0"/>
        <w:spacing w:line="600" w:lineRule="exact"/>
        <w:ind w:firstLine="643" w:firstLineChars="200"/>
        <w:jc w:val="left"/>
        <w:outlineLvl w:val="2"/>
        <w:rPr>
          <w:rFonts w:ascii="仿宋" w:hAnsi="仿宋" w:eastAsia="仿宋"/>
          <w:b/>
          <w:color w:val="auto"/>
          <w:sz w:val="32"/>
          <w:szCs w:val="32"/>
          <w:highlight w:val="none"/>
        </w:rPr>
      </w:pPr>
      <w:bookmarkStart w:id="47" w:name="_Toc15377223"/>
      <w:r>
        <w:rPr>
          <w:rFonts w:hint="eastAsia" w:ascii="仿宋" w:hAnsi="仿宋" w:eastAsia="仿宋"/>
          <w:b/>
          <w:color w:val="auto"/>
          <w:sz w:val="32"/>
          <w:szCs w:val="32"/>
          <w:highlight w:val="none"/>
        </w:rPr>
        <w:t>（二）政府采购支出情况</w:t>
      </w:r>
      <w:bookmarkEnd w:id="47"/>
    </w:p>
    <w:p>
      <w:pPr>
        <w:spacing w:line="600" w:lineRule="exact"/>
        <w:ind w:firstLine="640" w:firstLineChars="200"/>
        <w:rPr>
          <w:rFonts w:ascii="仿宋_GB2312" w:eastAsia="仿宋_GB2312"/>
          <w:color w:val="auto"/>
          <w:sz w:val="32"/>
          <w:szCs w:val="32"/>
          <w:highlight w:val="none"/>
        </w:rPr>
      </w:pPr>
      <w:r>
        <w:rPr>
          <w:rFonts w:ascii="仿宋_GB2312" w:eastAsia="仿宋_GB2312"/>
          <w:color w:val="auto"/>
          <w:sz w:val="32"/>
          <w:szCs w:val="32"/>
          <w:highlight w:val="none"/>
        </w:rPr>
        <w:t>20</w:t>
      </w:r>
      <w:r>
        <w:rPr>
          <w:rFonts w:hint="eastAsia" w:ascii="仿宋_GB2312" w:eastAsia="仿宋_GB2312"/>
          <w:color w:val="auto"/>
          <w:sz w:val="32"/>
          <w:szCs w:val="32"/>
          <w:highlight w:val="none"/>
          <w:lang w:val="en-US" w:eastAsia="zh-CN"/>
        </w:rPr>
        <w:t>22</w:t>
      </w:r>
      <w:r>
        <w:rPr>
          <w:rFonts w:hint="eastAsia" w:ascii="仿宋_GB2312" w:eastAsia="仿宋_GB2312"/>
          <w:color w:val="auto"/>
          <w:sz w:val="32"/>
          <w:szCs w:val="32"/>
          <w:highlight w:val="none"/>
        </w:rPr>
        <w:t>年，</w:t>
      </w:r>
      <w:r>
        <w:rPr>
          <w:rFonts w:hint="eastAsia" w:ascii="仿宋_GB2312" w:eastAsia="仿宋_GB2312"/>
          <w:color w:val="auto"/>
          <w:sz w:val="32"/>
          <w:szCs w:val="32"/>
          <w:highlight w:val="none"/>
          <w:lang w:val="en-US" w:eastAsia="zh-CN"/>
        </w:rPr>
        <w:t>中共乐山市五通桥区委机构编制委员会办公室</w:t>
      </w:r>
      <w:r>
        <w:rPr>
          <w:rFonts w:hint="eastAsia" w:ascii="仿宋_GB2312" w:eastAsia="仿宋_GB2312"/>
          <w:color w:val="auto"/>
          <w:sz w:val="32"/>
          <w:szCs w:val="32"/>
          <w:highlight w:val="none"/>
        </w:rPr>
        <w:t>政府采购支出总额</w:t>
      </w:r>
      <w:r>
        <w:rPr>
          <w:rFonts w:hint="eastAsia" w:ascii="仿宋_GB2312" w:eastAsia="仿宋_GB2312"/>
          <w:color w:val="auto"/>
          <w:sz w:val="32"/>
          <w:szCs w:val="32"/>
          <w:highlight w:val="none"/>
          <w:lang w:eastAsia="zh-CN"/>
        </w:rPr>
        <w:t>0</w:t>
      </w:r>
      <w:r>
        <w:rPr>
          <w:rFonts w:hint="eastAsia" w:ascii="仿宋_GB2312" w:eastAsia="仿宋_GB2312"/>
          <w:color w:val="auto"/>
          <w:sz w:val="32"/>
          <w:szCs w:val="32"/>
          <w:highlight w:val="none"/>
        </w:rPr>
        <w:t>万元，其中：政府采购货物支出</w:t>
      </w:r>
      <w:r>
        <w:rPr>
          <w:rFonts w:hint="eastAsia" w:ascii="仿宋_GB2312" w:eastAsia="仿宋_GB2312"/>
          <w:color w:val="auto"/>
          <w:sz w:val="32"/>
          <w:szCs w:val="32"/>
          <w:highlight w:val="none"/>
          <w:lang w:eastAsia="zh-CN"/>
        </w:rPr>
        <w:t>0</w:t>
      </w:r>
      <w:r>
        <w:rPr>
          <w:rFonts w:hint="eastAsia" w:ascii="仿宋_GB2312" w:eastAsia="仿宋_GB2312"/>
          <w:color w:val="auto"/>
          <w:sz w:val="32"/>
          <w:szCs w:val="32"/>
          <w:highlight w:val="none"/>
        </w:rPr>
        <w:t>万元、政府采购工程支出</w:t>
      </w:r>
      <w:r>
        <w:rPr>
          <w:rFonts w:hint="eastAsia" w:ascii="仿宋_GB2312" w:eastAsia="仿宋_GB2312"/>
          <w:color w:val="auto"/>
          <w:sz w:val="32"/>
          <w:szCs w:val="32"/>
          <w:highlight w:val="none"/>
          <w:lang w:eastAsia="zh-CN"/>
        </w:rPr>
        <w:t>0</w:t>
      </w:r>
      <w:r>
        <w:rPr>
          <w:rFonts w:hint="eastAsia" w:ascii="仿宋_GB2312" w:eastAsia="仿宋_GB2312"/>
          <w:color w:val="auto"/>
          <w:sz w:val="32"/>
          <w:szCs w:val="32"/>
          <w:highlight w:val="none"/>
        </w:rPr>
        <w:t>万元、政府采购服务支出</w:t>
      </w:r>
      <w:r>
        <w:rPr>
          <w:rFonts w:hint="eastAsia" w:ascii="仿宋_GB2312" w:eastAsia="仿宋_GB2312"/>
          <w:color w:val="auto"/>
          <w:sz w:val="32"/>
          <w:szCs w:val="32"/>
          <w:highlight w:val="none"/>
          <w:lang w:eastAsia="zh-CN"/>
        </w:rPr>
        <w:t>0</w:t>
      </w:r>
      <w:r>
        <w:rPr>
          <w:rFonts w:hint="eastAsia" w:ascii="仿宋_GB2312" w:eastAsia="仿宋_GB2312"/>
          <w:color w:val="auto"/>
          <w:sz w:val="32"/>
          <w:szCs w:val="32"/>
          <w:highlight w:val="none"/>
        </w:rPr>
        <w:t>万元。授予中小企业合同金额</w:t>
      </w:r>
      <w:r>
        <w:rPr>
          <w:rFonts w:hint="eastAsia" w:ascii="仿宋_GB2312" w:eastAsia="仿宋_GB2312"/>
          <w:color w:val="auto"/>
          <w:sz w:val="32"/>
          <w:szCs w:val="32"/>
          <w:highlight w:val="none"/>
          <w:lang w:eastAsia="zh-CN"/>
        </w:rPr>
        <w:t>0</w:t>
      </w:r>
      <w:r>
        <w:rPr>
          <w:rFonts w:hint="eastAsia" w:ascii="仿宋_GB2312" w:eastAsia="仿宋_GB2312"/>
          <w:color w:val="auto"/>
          <w:sz w:val="32"/>
          <w:szCs w:val="32"/>
          <w:highlight w:val="none"/>
        </w:rPr>
        <w:t>万元，占政府采购支出总额的</w:t>
      </w:r>
      <w:r>
        <w:rPr>
          <w:rFonts w:hint="eastAsia" w:ascii="仿宋_GB2312" w:eastAsia="仿宋_GB2312"/>
          <w:color w:val="auto"/>
          <w:sz w:val="32"/>
          <w:szCs w:val="32"/>
          <w:highlight w:val="none"/>
          <w:lang w:eastAsia="zh-CN"/>
        </w:rPr>
        <w:t>0</w:t>
      </w:r>
      <w:r>
        <w:rPr>
          <w:rFonts w:ascii="仿宋_GB2312" w:eastAsia="仿宋_GB2312"/>
          <w:color w:val="auto"/>
          <w:sz w:val="32"/>
          <w:szCs w:val="32"/>
          <w:highlight w:val="none"/>
        </w:rPr>
        <w:t>%</w:t>
      </w:r>
      <w:r>
        <w:rPr>
          <w:rFonts w:hint="eastAsia" w:ascii="仿宋_GB2312" w:eastAsia="仿宋_GB2312"/>
          <w:color w:val="auto"/>
          <w:sz w:val="32"/>
          <w:szCs w:val="32"/>
          <w:highlight w:val="none"/>
        </w:rPr>
        <w:t>，其中：授予小微企业合同金额</w:t>
      </w:r>
      <w:r>
        <w:rPr>
          <w:rFonts w:hint="eastAsia" w:ascii="仿宋_GB2312" w:eastAsia="仿宋_GB2312"/>
          <w:color w:val="auto"/>
          <w:sz w:val="32"/>
          <w:szCs w:val="32"/>
          <w:highlight w:val="none"/>
          <w:lang w:eastAsia="zh-CN"/>
        </w:rPr>
        <w:t>0</w:t>
      </w:r>
      <w:r>
        <w:rPr>
          <w:rFonts w:hint="eastAsia" w:ascii="仿宋_GB2312" w:eastAsia="仿宋_GB2312"/>
          <w:color w:val="auto"/>
          <w:sz w:val="32"/>
          <w:szCs w:val="32"/>
          <w:highlight w:val="none"/>
        </w:rPr>
        <w:t>万元，占政府采购支出总额的</w:t>
      </w:r>
      <w:r>
        <w:rPr>
          <w:rFonts w:hint="eastAsia" w:ascii="仿宋_GB2312" w:eastAsia="仿宋_GB2312"/>
          <w:color w:val="auto"/>
          <w:sz w:val="32"/>
          <w:szCs w:val="32"/>
          <w:highlight w:val="none"/>
          <w:lang w:eastAsia="zh-CN"/>
        </w:rPr>
        <w:t>0</w:t>
      </w:r>
      <w:r>
        <w:rPr>
          <w:rFonts w:ascii="仿宋_GB2312" w:eastAsia="仿宋_GB2312"/>
          <w:color w:val="auto"/>
          <w:sz w:val="32"/>
          <w:szCs w:val="32"/>
          <w:highlight w:val="none"/>
        </w:rPr>
        <w:t>%</w:t>
      </w:r>
      <w:r>
        <w:rPr>
          <w:rFonts w:hint="eastAsia" w:ascii="仿宋_GB2312" w:eastAsia="仿宋_GB2312"/>
          <w:color w:val="auto"/>
          <w:sz w:val="32"/>
          <w:szCs w:val="32"/>
          <w:highlight w:val="none"/>
        </w:rPr>
        <w:t>。</w:t>
      </w:r>
    </w:p>
    <w:p>
      <w:pPr>
        <w:autoSpaceDE w:val="0"/>
        <w:autoSpaceDN w:val="0"/>
        <w:adjustRightInd w:val="0"/>
        <w:spacing w:line="600" w:lineRule="exact"/>
        <w:ind w:firstLine="643" w:firstLineChars="200"/>
        <w:jc w:val="left"/>
        <w:outlineLvl w:val="2"/>
        <w:rPr>
          <w:rFonts w:ascii="仿宋" w:hAnsi="仿宋" w:eastAsia="仿宋"/>
          <w:b/>
          <w:color w:val="auto"/>
          <w:sz w:val="32"/>
          <w:szCs w:val="32"/>
          <w:highlight w:val="none"/>
        </w:rPr>
      </w:pPr>
      <w:bookmarkStart w:id="48" w:name="_Toc15377224"/>
      <w:r>
        <w:rPr>
          <w:rFonts w:hint="eastAsia" w:ascii="仿宋" w:hAnsi="仿宋" w:eastAsia="仿宋"/>
          <w:b/>
          <w:color w:val="auto"/>
          <w:sz w:val="32"/>
          <w:szCs w:val="32"/>
          <w:highlight w:val="none"/>
        </w:rPr>
        <w:t>（三）国有资产占有使用情况</w:t>
      </w:r>
      <w:bookmarkEnd w:id="48"/>
    </w:p>
    <w:p>
      <w:pPr>
        <w:autoSpaceDE w:val="0"/>
        <w:autoSpaceDN w:val="0"/>
        <w:adjustRightInd w:val="0"/>
        <w:spacing w:line="600" w:lineRule="exact"/>
        <w:ind w:firstLine="640" w:firstLineChars="200"/>
        <w:jc w:val="left"/>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截至</w:t>
      </w:r>
      <w:r>
        <w:rPr>
          <w:rFonts w:ascii="仿宋_GB2312" w:eastAsia="仿宋_GB2312"/>
          <w:color w:val="auto"/>
          <w:sz w:val="32"/>
          <w:szCs w:val="32"/>
          <w:highlight w:val="none"/>
        </w:rPr>
        <w:t>20</w:t>
      </w:r>
      <w:r>
        <w:rPr>
          <w:rFonts w:hint="eastAsia" w:ascii="仿宋_GB2312" w:eastAsia="仿宋_GB2312"/>
          <w:color w:val="auto"/>
          <w:sz w:val="32"/>
          <w:szCs w:val="32"/>
          <w:highlight w:val="none"/>
          <w:lang w:val="en-US" w:eastAsia="zh-CN"/>
        </w:rPr>
        <w:t>22</w:t>
      </w:r>
      <w:r>
        <w:rPr>
          <w:rFonts w:hint="eastAsia" w:ascii="仿宋_GB2312" w:eastAsia="仿宋_GB2312"/>
          <w:color w:val="auto"/>
          <w:sz w:val="32"/>
          <w:szCs w:val="32"/>
          <w:highlight w:val="none"/>
        </w:rPr>
        <w:t>年</w:t>
      </w:r>
      <w:r>
        <w:rPr>
          <w:rFonts w:ascii="仿宋_GB2312" w:eastAsia="仿宋_GB2312"/>
          <w:color w:val="auto"/>
          <w:sz w:val="32"/>
          <w:szCs w:val="32"/>
          <w:highlight w:val="none"/>
        </w:rPr>
        <w:t>12</w:t>
      </w:r>
      <w:r>
        <w:rPr>
          <w:rFonts w:hint="eastAsia" w:ascii="仿宋_GB2312" w:eastAsia="仿宋_GB2312"/>
          <w:color w:val="auto"/>
          <w:sz w:val="32"/>
          <w:szCs w:val="32"/>
          <w:highlight w:val="none"/>
        </w:rPr>
        <w:t>月</w:t>
      </w:r>
      <w:r>
        <w:rPr>
          <w:rFonts w:ascii="仿宋_GB2312" w:eastAsia="仿宋_GB2312"/>
          <w:color w:val="auto"/>
          <w:sz w:val="32"/>
          <w:szCs w:val="32"/>
          <w:highlight w:val="none"/>
        </w:rPr>
        <w:t>31</w:t>
      </w:r>
      <w:r>
        <w:rPr>
          <w:rFonts w:hint="eastAsia" w:ascii="仿宋_GB2312" w:eastAsia="仿宋_GB2312"/>
          <w:color w:val="auto"/>
          <w:sz w:val="32"/>
          <w:szCs w:val="32"/>
          <w:highlight w:val="none"/>
        </w:rPr>
        <w:t>日，</w:t>
      </w:r>
      <w:r>
        <w:rPr>
          <w:rFonts w:hint="eastAsia" w:ascii="仿宋_GB2312" w:eastAsia="仿宋_GB2312"/>
          <w:color w:val="auto"/>
          <w:sz w:val="32"/>
          <w:szCs w:val="32"/>
          <w:highlight w:val="none"/>
          <w:lang w:val="en-US" w:eastAsia="zh-CN"/>
        </w:rPr>
        <w:t>中共乐山市五通桥区委机构编制委员会办公室</w:t>
      </w:r>
      <w:r>
        <w:rPr>
          <w:rFonts w:hint="eastAsia" w:ascii="仿宋_GB2312" w:eastAsia="仿宋_GB2312"/>
          <w:color w:val="auto"/>
          <w:sz w:val="32"/>
          <w:szCs w:val="32"/>
          <w:highlight w:val="none"/>
        </w:rPr>
        <w:t>共有车辆</w:t>
      </w:r>
      <w:r>
        <w:rPr>
          <w:rFonts w:hint="eastAsia" w:ascii="仿宋_GB2312" w:eastAsia="仿宋_GB2312"/>
          <w:color w:val="auto"/>
          <w:sz w:val="32"/>
          <w:szCs w:val="32"/>
          <w:highlight w:val="none"/>
          <w:lang w:eastAsia="zh-CN"/>
        </w:rPr>
        <w:t>0</w:t>
      </w:r>
      <w:r>
        <w:rPr>
          <w:rFonts w:hint="eastAsia" w:ascii="仿宋_GB2312" w:eastAsia="仿宋_GB2312"/>
          <w:color w:val="auto"/>
          <w:sz w:val="32"/>
          <w:szCs w:val="32"/>
          <w:highlight w:val="none"/>
        </w:rPr>
        <w:t>辆，其中：主要领导干部用车</w:t>
      </w:r>
      <w:r>
        <w:rPr>
          <w:rFonts w:hint="eastAsia" w:ascii="仿宋_GB2312" w:eastAsia="仿宋_GB2312"/>
          <w:color w:val="auto"/>
          <w:sz w:val="32"/>
          <w:szCs w:val="32"/>
          <w:highlight w:val="none"/>
          <w:lang w:eastAsia="zh-CN"/>
        </w:rPr>
        <w:t>0</w:t>
      </w:r>
      <w:r>
        <w:rPr>
          <w:rFonts w:hint="eastAsia" w:ascii="仿宋_GB2312" w:eastAsia="仿宋_GB2312"/>
          <w:color w:val="auto"/>
          <w:sz w:val="32"/>
          <w:szCs w:val="32"/>
          <w:highlight w:val="none"/>
        </w:rPr>
        <w:t>辆、机要通信用车</w:t>
      </w:r>
      <w:r>
        <w:rPr>
          <w:rFonts w:hint="eastAsia" w:ascii="仿宋_GB2312" w:eastAsia="仿宋_GB2312"/>
          <w:color w:val="auto"/>
          <w:sz w:val="32"/>
          <w:szCs w:val="32"/>
          <w:highlight w:val="none"/>
          <w:lang w:eastAsia="zh-CN"/>
        </w:rPr>
        <w:t>0</w:t>
      </w:r>
      <w:r>
        <w:rPr>
          <w:rFonts w:hint="eastAsia" w:ascii="仿宋_GB2312" w:eastAsia="仿宋_GB2312"/>
          <w:color w:val="auto"/>
          <w:sz w:val="32"/>
          <w:szCs w:val="32"/>
          <w:highlight w:val="none"/>
        </w:rPr>
        <w:t>辆、应急保障用车</w:t>
      </w:r>
      <w:r>
        <w:rPr>
          <w:rFonts w:hint="eastAsia" w:ascii="仿宋_GB2312" w:eastAsia="仿宋_GB2312"/>
          <w:color w:val="auto"/>
          <w:sz w:val="32"/>
          <w:szCs w:val="32"/>
          <w:highlight w:val="none"/>
          <w:lang w:eastAsia="zh-CN"/>
        </w:rPr>
        <w:t>0</w:t>
      </w:r>
      <w:r>
        <w:rPr>
          <w:rFonts w:hint="eastAsia" w:ascii="仿宋_GB2312" w:eastAsia="仿宋_GB2312"/>
          <w:color w:val="auto"/>
          <w:sz w:val="32"/>
          <w:szCs w:val="32"/>
          <w:highlight w:val="none"/>
        </w:rPr>
        <w:t>辆、其他用车</w:t>
      </w:r>
      <w:r>
        <w:rPr>
          <w:rFonts w:hint="eastAsia" w:ascii="仿宋_GB2312" w:eastAsia="仿宋_GB2312"/>
          <w:color w:val="auto"/>
          <w:sz w:val="32"/>
          <w:szCs w:val="32"/>
          <w:highlight w:val="none"/>
          <w:lang w:eastAsia="zh-CN"/>
        </w:rPr>
        <w:t>0</w:t>
      </w:r>
      <w:r>
        <w:rPr>
          <w:rFonts w:hint="eastAsia" w:ascii="仿宋_GB2312" w:eastAsia="仿宋_GB2312"/>
          <w:color w:val="auto"/>
          <w:sz w:val="32"/>
          <w:szCs w:val="32"/>
          <w:highlight w:val="none"/>
        </w:rPr>
        <w:t>辆</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单价</w:t>
      </w:r>
      <w:r>
        <w:rPr>
          <w:rFonts w:ascii="仿宋_GB2312" w:eastAsia="仿宋_GB2312"/>
          <w:color w:val="auto"/>
          <w:sz w:val="32"/>
          <w:szCs w:val="32"/>
          <w:highlight w:val="none"/>
        </w:rPr>
        <w:t>100</w:t>
      </w:r>
      <w:r>
        <w:rPr>
          <w:rFonts w:hint="eastAsia" w:ascii="仿宋_GB2312" w:eastAsia="仿宋_GB2312"/>
          <w:color w:val="auto"/>
          <w:sz w:val="32"/>
          <w:szCs w:val="32"/>
          <w:highlight w:val="none"/>
        </w:rPr>
        <w:t>万元以上专用设备</w:t>
      </w:r>
      <w:r>
        <w:rPr>
          <w:rFonts w:hint="eastAsia" w:ascii="仿宋_GB2312" w:eastAsia="仿宋_GB2312"/>
          <w:color w:val="auto"/>
          <w:sz w:val="32"/>
          <w:szCs w:val="32"/>
          <w:highlight w:val="none"/>
          <w:lang w:eastAsia="zh-CN"/>
        </w:rPr>
        <w:t>0</w:t>
      </w:r>
      <w:r>
        <w:rPr>
          <w:rFonts w:hint="eastAsia" w:ascii="仿宋_GB2312" w:eastAsia="仿宋_GB2312"/>
          <w:color w:val="auto"/>
          <w:sz w:val="32"/>
          <w:szCs w:val="32"/>
          <w:highlight w:val="none"/>
        </w:rPr>
        <w:t>台（套）。</w:t>
      </w:r>
    </w:p>
    <w:p>
      <w:pPr>
        <w:autoSpaceDE w:val="0"/>
        <w:autoSpaceDN w:val="0"/>
        <w:adjustRightInd w:val="0"/>
        <w:spacing w:line="600" w:lineRule="exact"/>
        <w:ind w:firstLine="643" w:firstLineChars="200"/>
        <w:jc w:val="left"/>
        <w:outlineLvl w:val="2"/>
        <w:rPr>
          <w:rFonts w:hint="eastAsia" w:ascii="仿宋" w:hAnsi="仿宋" w:eastAsia="仿宋"/>
          <w:b/>
          <w:color w:val="auto"/>
          <w:sz w:val="32"/>
          <w:szCs w:val="32"/>
          <w:highlight w:val="none"/>
          <w:lang w:eastAsia="zh-CN"/>
        </w:rPr>
      </w:pPr>
      <w:r>
        <w:rPr>
          <w:rFonts w:hint="eastAsia" w:ascii="仿宋" w:hAnsi="仿宋" w:eastAsia="仿宋"/>
          <w:b/>
          <w:color w:val="auto"/>
          <w:sz w:val="32"/>
          <w:szCs w:val="32"/>
          <w:highlight w:val="none"/>
        </w:rPr>
        <w:t>（四）预算绩效管理情况</w:t>
      </w:r>
    </w:p>
    <w:p>
      <w:pPr>
        <w:pStyle w:val="7"/>
        <w:ind w:firstLine="640" w:firstLineChars="200"/>
        <w:rPr>
          <w:color w:val="auto"/>
          <w:highlight w:val="yellow"/>
        </w:rPr>
      </w:pPr>
      <w:r>
        <w:rPr>
          <w:rFonts w:hint="eastAsia" w:ascii="仿宋_GB2312" w:hAnsi="仿宋_GB2312" w:eastAsia="仿宋_GB2312" w:cs="仿宋_GB2312"/>
          <w:color w:val="auto"/>
          <w:sz w:val="32"/>
          <w:szCs w:val="32"/>
          <w:highlight w:val="none"/>
        </w:rPr>
        <w:t>根据预算绩效管理要求，本单位在202</w:t>
      </w:r>
      <w:r>
        <w:rPr>
          <w:rFonts w:hint="eastAsia" w:hAnsi="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年度预算编制阶段，组织对</w:t>
      </w:r>
      <w:r>
        <w:rPr>
          <w:rFonts w:hint="eastAsia" w:hAnsi="仿宋_GB2312" w:cs="仿宋_GB2312"/>
          <w:color w:val="auto"/>
          <w:sz w:val="32"/>
          <w:szCs w:val="32"/>
          <w:highlight w:val="none"/>
          <w:lang w:eastAsia="zh-CN"/>
        </w:rPr>
        <w:t>编办事务管理</w:t>
      </w:r>
      <w:r>
        <w:rPr>
          <w:rFonts w:hint="eastAsia" w:ascii="仿宋_GB2312" w:hAnsi="仿宋_GB2312" w:eastAsia="仿宋_GB2312" w:cs="仿宋_GB2312"/>
          <w:color w:val="auto"/>
          <w:sz w:val="32"/>
          <w:szCs w:val="32"/>
          <w:highlight w:val="none"/>
        </w:rPr>
        <w:t>等</w:t>
      </w:r>
      <w:r>
        <w:rPr>
          <w:rFonts w:hint="eastAsia" w:hAnsi="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个项目开展了预算事前绩效评估，对</w:t>
      </w:r>
      <w:r>
        <w:rPr>
          <w:rFonts w:hint="eastAsia" w:hAnsi="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个项目编制了绩效目标，预算执行过程中，选取</w:t>
      </w:r>
      <w:r>
        <w:rPr>
          <w:rFonts w:hint="eastAsia" w:hAnsi="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个项目开展绩效监控，组织对</w:t>
      </w:r>
      <w:r>
        <w:rPr>
          <w:rFonts w:hint="eastAsia" w:hAnsi="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个项目开展绩效自评，绩效自评表详见</w:t>
      </w:r>
      <w:r>
        <w:rPr>
          <w:rFonts w:hint="eastAsia" w:hAnsi="仿宋_GB2312" w:cs="仿宋_GB2312"/>
          <w:color w:val="auto"/>
          <w:sz w:val="32"/>
          <w:szCs w:val="32"/>
          <w:highlight w:val="none"/>
          <w:lang w:eastAsia="zh-CN"/>
        </w:rPr>
        <w:t>第四部分</w:t>
      </w:r>
      <w:r>
        <w:rPr>
          <w:rFonts w:hint="eastAsia" w:ascii="仿宋_GB2312" w:hAnsi="仿宋_GB2312" w:eastAsia="仿宋_GB2312" w:cs="仿宋_GB2312"/>
          <w:color w:val="auto"/>
          <w:sz w:val="32"/>
          <w:szCs w:val="32"/>
          <w:highlight w:val="none"/>
        </w:rPr>
        <w:t>附件。</w:t>
      </w:r>
    </w:p>
    <w:p>
      <w:pPr>
        <w:widowControl/>
        <w:jc w:val="left"/>
        <w:rPr>
          <w:rFonts w:ascii="仿宋_GB2312" w:eastAsia="仿宋_GB2312"/>
          <w:b/>
          <w:color w:val="auto"/>
          <w:sz w:val="32"/>
          <w:szCs w:val="32"/>
          <w:highlight w:val="none"/>
        </w:rPr>
      </w:pPr>
      <w:r>
        <w:rPr>
          <w:rFonts w:ascii="仿宋_GB2312" w:eastAsia="仿宋_GB2312"/>
          <w:b/>
          <w:color w:val="auto"/>
          <w:sz w:val="32"/>
          <w:szCs w:val="32"/>
          <w:highlight w:val="none"/>
        </w:rPr>
        <w:br w:type="page"/>
      </w:r>
    </w:p>
    <w:p>
      <w:pPr>
        <w:numPr>
          <w:ilvl w:val="0"/>
          <w:numId w:val="5"/>
        </w:numPr>
        <w:spacing w:line="600" w:lineRule="exact"/>
        <w:ind w:firstLine="660" w:firstLineChars="150"/>
        <w:jc w:val="center"/>
        <w:outlineLvl w:val="0"/>
        <w:rPr>
          <w:rStyle w:val="26"/>
          <w:rFonts w:ascii="黑体" w:hAnsi="黑体" w:eastAsia="黑体"/>
          <w:b w:val="0"/>
          <w:color w:val="auto"/>
          <w:highlight w:val="none"/>
        </w:rPr>
      </w:pPr>
      <w:bookmarkStart w:id="49" w:name="_Toc15377225"/>
      <w:bookmarkStart w:id="50" w:name="_Toc15396613"/>
      <w:r>
        <w:rPr>
          <w:rFonts w:hint="eastAsia" w:ascii="黑体" w:hAnsi="黑体" w:eastAsia="黑体"/>
          <w:color w:val="auto"/>
          <w:sz w:val="44"/>
          <w:szCs w:val="44"/>
          <w:highlight w:val="none"/>
        </w:rPr>
        <w:t>名</w:t>
      </w:r>
      <w:r>
        <w:rPr>
          <w:rStyle w:val="26"/>
          <w:rFonts w:hint="eastAsia" w:ascii="黑体" w:hAnsi="黑体" w:eastAsia="黑体"/>
          <w:b w:val="0"/>
          <w:color w:val="auto"/>
          <w:highlight w:val="none"/>
        </w:rPr>
        <w:t>词解释</w:t>
      </w:r>
      <w:bookmarkEnd w:id="49"/>
      <w:bookmarkEnd w:id="50"/>
    </w:p>
    <w:p>
      <w:pPr>
        <w:spacing w:line="600" w:lineRule="exact"/>
        <w:jc w:val="left"/>
        <w:rPr>
          <w:rFonts w:ascii="宋体"/>
          <w:b/>
          <w:color w:val="auto"/>
          <w:sz w:val="44"/>
          <w:szCs w:val="44"/>
          <w:highlight w:val="none"/>
        </w:rPr>
      </w:pPr>
    </w:p>
    <w:p>
      <w:pPr>
        <w:pStyle w:val="24"/>
        <w:spacing w:line="560" w:lineRule="exact"/>
        <w:ind w:firstLine="640" w:firstLineChars="200"/>
        <w:rPr>
          <w:rFonts w:ascii="仿宋_GB2312" w:eastAsia="仿宋_GB2312"/>
          <w:color w:val="auto"/>
          <w:sz w:val="32"/>
          <w:szCs w:val="32"/>
          <w:highlight w:val="none"/>
        </w:rPr>
      </w:pPr>
      <w:bookmarkStart w:id="51" w:name="_Toc15377226"/>
      <w:r>
        <w:rPr>
          <w:rFonts w:ascii="仿宋_GB2312" w:eastAsia="仿宋_GB2312"/>
          <w:color w:val="auto"/>
          <w:sz w:val="32"/>
          <w:szCs w:val="32"/>
          <w:highlight w:val="none"/>
        </w:rPr>
        <w:t>1.</w:t>
      </w:r>
      <w:r>
        <w:rPr>
          <w:rFonts w:hint="eastAsia" w:ascii="仿宋_GB2312" w:eastAsia="仿宋_GB2312"/>
          <w:color w:val="auto"/>
          <w:sz w:val="32"/>
          <w:szCs w:val="32"/>
          <w:highlight w:val="none"/>
        </w:rPr>
        <w:t>财政拨款收入：指单位从同级财政部门取得的财政预算资金。</w:t>
      </w:r>
    </w:p>
    <w:p>
      <w:pPr>
        <w:pStyle w:val="24"/>
        <w:spacing w:line="560" w:lineRule="exact"/>
        <w:ind w:firstLine="640" w:firstLineChars="200"/>
        <w:rPr>
          <w:rFonts w:ascii="仿宋_GB2312" w:eastAsia="仿宋_GB2312"/>
          <w:color w:val="auto"/>
          <w:sz w:val="32"/>
          <w:szCs w:val="32"/>
          <w:highlight w:val="none"/>
        </w:rPr>
      </w:pPr>
      <w:r>
        <w:rPr>
          <w:rFonts w:ascii="仿宋_GB2312" w:eastAsia="仿宋_GB2312"/>
          <w:color w:val="auto"/>
          <w:sz w:val="32"/>
          <w:szCs w:val="32"/>
          <w:highlight w:val="none"/>
        </w:rPr>
        <w:t>2.</w:t>
      </w:r>
      <w:r>
        <w:rPr>
          <w:rFonts w:hint="eastAsia" w:ascii="仿宋_GB2312" w:eastAsia="仿宋_GB2312"/>
          <w:color w:val="auto"/>
          <w:sz w:val="32"/>
          <w:szCs w:val="32"/>
          <w:highlight w:val="none"/>
        </w:rPr>
        <w:t>事业收入：指事业单位开展专业业务活动及辅助活动取得的收入。</w:t>
      </w:r>
    </w:p>
    <w:p>
      <w:pPr>
        <w:pStyle w:val="24"/>
        <w:spacing w:line="560" w:lineRule="exact"/>
        <w:ind w:firstLine="640" w:firstLineChars="200"/>
        <w:rPr>
          <w:rFonts w:hint="eastAsia" w:ascii="仿宋_GB2312" w:eastAsia="仿宋_GB2312"/>
          <w:color w:val="auto"/>
          <w:sz w:val="32"/>
          <w:szCs w:val="32"/>
          <w:highlight w:val="none"/>
        </w:rPr>
      </w:pPr>
      <w:r>
        <w:rPr>
          <w:rFonts w:ascii="仿宋_GB2312" w:eastAsia="仿宋_GB2312"/>
          <w:color w:val="auto"/>
          <w:sz w:val="32"/>
          <w:szCs w:val="32"/>
          <w:highlight w:val="none"/>
        </w:rPr>
        <w:t>3.</w:t>
      </w:r>
      <w:r>
        <w:rPr>
          <w:rFonts w:hint="eastAsia" w:ascii="仿宋_GB2312" w:eastAsia="仿宋_GB2312"/>
          <w:color w:val="auto"/>
          <w:sz w:val="32"/>
          <w:szCs w:val="32"/>
          <w:highlight w:val="none"/>
        </w:rPr>
        <w:t>经营收入：指事业单位在专业业务活动及其辅助活动之外开展非独立核算经营活动取得的收入。</w:t>
      </w:r>
    </w:p>
    <w:p>
      <w:pPr>
        <w:pStyle w:val="24"/>
        <w:spacing w:line="560" w:lineRule="exact"/>
        <w:ind w:firstLine="640" w:firstLineChars="200"/>
        <w:rPr>
          <w:rFonts w:ascii="仿宋_GB2312" w:eastAsia="仿宋_GB2312"/>
          <w:color w:val="auto"/>
          <w:sz w:val="32"/>
          <w:szCs w:val="32"/>
          <w:highlight w:val="none"/>
        </w:rPr>
      </w:pPr>
      <w:r>
        <w:rPr>
          <w:rFonts w:ascii="仿宋_GB2312" w:eastAsia="仿宋_GB2312"/>
          <w:color w:val="auto"/>
          <w:sz w:val="32"/>
          <w:szCs w:val="32"/>
          <w:highlight w:val="none"/>
        </w:rPr>
        <w:t>4.</w:t>
      </w:r>
      <w:r>
        <w:rPr>
          <w:rFonts w:hint="eastAsia" w:ascii="仿宋_GB2312" w:eastAsia="仿宋_GB2312"/>
          <w:color w:val="auto"/>
          <w:sz w:val="32"/>
          <w:szCs w:val="32"/>
          <w:highlight w:val="none"/>
        </w:rPr>
        <w:t>其他收入：指单位取得的除上述收入以外的各项收入。</w:t>
      </w:r>
      <w:r>
        <w:rPr>
          <w:rFonts w:ascii="仿宋_GB2312" w:eastAsia="仿宋_GB2312"/>
          <w:color w:val="auto"/>
          <w:sz w:val="32"/>
          <w:szCs w:val="32"/>
          <w:highlight w:val="none"/>
        </w:rPr>
        <w:t xml:space="preserve"> </w:t>
      </w:r>
    </w:p>
    <w:p>
      <w:pPr>
        <w:pStyle w:val="24"/>
        <w:spacing w:line="560" w:lineRule="exact"/>
        <w:ind w:firstLine="640" w:firstLineChars="200"/>
        <w:rPr>
          <w:rFonts w:ascii="仿宋_GB2312" w:eastAsia="仿宋_GB2312"/>
          <w:color w:val="auto"/>
          <w:sz w:val="32"/>
          <w:szCs w:val="32"/>
          <w:highlight w:val="none"/>
        </w:rPr>
      </w:pPr>
      <w:r>
        <w:rPr>
          <w:rFonts w:ascii="仿宋_GB2312" w:eastAsia="仿宋_GB2312"/>
          <w:color w:val="auto"/>
          <w:sz w:val="32"/>
          <w:szCs w:val="32"/>
          <w:highlight w:val="none"/>
        </w:rPr>
        <w:t>5.</w:t>
      </w:r>
      <w:r>
        <w:rPr>
          <w:rFonts w:hint="eastAsia" w:ascii="仿宋_GB2312" w:eastAsia="仿宋_GB2312"/>
          <w:color w:val="auto"/>
          <w:sz w:val="32"/>
          <w:szCs w:val="32"/>
          <w:highlight w:val="none"/>
          <w:lang w:eastAsia="zh-CN"/>
        </w:rPr>
        <w:t>使用非财政拨款结余</w:t>
      </w:r>
      <w:r>
        <w:rPr>
          <w:rFonts w:hint="eastAsia" w:ascii="仿宋_GB2312" w:eastAsia="仿宋_GB2312"/>
          <w:color w:val="auto"/>
          <w:sz w:val="32"/>
          <w:szCs w:val="32"/>
          <w:highlight w:val="none"/>
        </w:rPr>
        <w:t>：指事业单位</w:t>
      </w:r>
      <w:r>
        <w:rPr>
          <w:rFonts w:hint="eastAsia" w:ascii="仿宋_GB2312" w:eastAsia="仿宋_GB2312"/>
          <w:color w:val="auto"/>
          <w:sz w:val="32"/>
          <w:szCs w:val="32"/>
          <w:highlight w:val="none"/>
          <w:lang w:eastAsia="zh-CN"/>
        </w:rPr>
        <w:t>使用以前年度积累的非财政拨款结余弥补当年收支差额的金额。</w:t>
      </w:r>
      <w:r>
        <w:rPr>
          <w:rFonts w:ascii="仿宋_GB2312" w:eastAsia="仿宋_GB2312"/>
          <w:color w:val="auto"/>
          <w:sz w:val="32"/>
          <w:szCs w:val="32"/>
          <w:highlight w:val="none"/>
        </w:rPr>
        <w:t xml:space="preserve"> </w:t>
      </w:r>
    </w:p>
    <w:p>
      <w:pPr>
        <w:pStyle w:val="24"/>
        <w:spacing w:line="560" w:lineRule="exact"/>
        <w:ind w:firstLine="640" w:firstLineChars="200"/>
        <w:rPr>
          <w:rFonts w:ascii="仿宋_GB2312" w:eastAsia="仿宋_GB2312"/>
          <w:color w:val="auto"/>
          <w:sz w:val="32"/>
          <w:szCs w:val="32"/>
          <w:highlight w:val="none"/>
        </w:rPr>
      </w:pPr>
      <w:r>
        <w:rPr>
          <w:rFonts w:ascii="仿宋_GB2312" w:eastAsia="仿宋_GB2312"/>
          <w:color w:val="auto"/>
          <w:sz w:val="32"/>
          <w:szCs w:val="32"/>
          <w:highlight w:val="none"/>
        </w:rPr>
        <w:t>6.</w:t>
      </w:r>
      <w:r>
        <w:rPr>
          <w:rFonts w:hint="eastAsia" w:ascii="仿宋_GB2312" w:eastAsia="仿宋_GB2312"/>
          <w:color w:val="auto"/>
          <w:sz w:val="32"/>
          <w:szCs w:val="32"/>
          <w:highlight w:val="none"/>
        </w:rPr>
        <w:t>年初结转和结余：指以前年度尚未完成、结转到本年按有关规定继续使用的资金。</w:t>
      </w:r>
      <w:r>
        <w:rPr>
          <w:rFonts w:ascii="仿宋_GB2312" w:eastAsia="仿宋_GB2312"/>
          <w:color w:val="auto"/>
          <w:sz w:val="32"/>
          <w:szCs w:val="32"/>
          <w:highlight w:val="none"/>
        </w:rPr>
        <w:t xml:space="preserve"> </w:t>
      </w:r>
    </w:p>
    <w:p>
      <w:pPr>
        <w:pStyle w:val="24"/>
        <w:spacing w:line="560" w:lineRule="exact"/>
        <w:ind w:firstLine="640" w:firstLineChars="200"/>
        <w:rPr>
          <w:rFonts w:ascii="仿宋_GB2312" w:eastAsia="仿宋_GB2312"/>
          <w:color w:val="auto"/>
          <w:sz w:val="32"/>
          <w:szCs w:val="32"/>
          <w:highlight w:val="none"/>
        </w:rPr>
      </w:pPr>
      <w:r>
        <w:rPr>
          <w:rFonts w:ascii="仿宋_GB2312" w:eastAsia="仿宋_GB2312"/>
          <w:color w:val="auto"/>
          <w:sz w:val="32"/>
          <w:szCs w:val="32"/>
          <w:highlight w:val="none"/>
        </w:rPr>
        <w:t>7.</w:t>
      </w:r>
      <w:r>
        <w:rPr>
          <w:rFonts w:hint="eastAsia" w:ascii="仿宋_GB2312" w:eastAsia="仿宋_GB2312"/>
          <w:color w:val="auto"/>
          <w:sz w:val="32"/>
          <w:szCs w:val="32"/>
          <w:highlight w:val="none"/>
        </w:rPr>
        <w:t>结余分配：指事业单位按照会计制度规定</w:t>
      </w:r>
      <w:r>
        <w:rPr>
          <w:rFonts w:hint="eastAsia" w:ascii="仿宋_GB2312" w:eastAsia="仿宋_GB2312"/>
          <w:color w:val="auto"/>
          <w:sz w:val="32"/>
          <w:szCs w:val="32"/>
          <w:highlight w:val="none"/>
          <w:lang w:eastAsia="zh-CN"/>
        </w:rPr>
        <w:t>缴纳的所得税、提取的专用结余以及转入非财政拨款结余的金额</w:t>
      </w:r>
      <w:r>
        <w:rPr>
          <w:rFonts w:hint="eastAsia" w:ascii="仿宋_GB2312" w:eastAsia="仿宋_GB2312"/>
          <w:color w:val="auto"/>
          <w:sz w:val="32"/>
          <w:szCs w:val="32"/>
          <w:highlight w:val="none"/>
        </w:rPr>
        <w:t>等。</w:t>
      </w:r>
    </w:p>
    <w:p>
      <w:pPr>
        <w:pStyle w:val="24"/>
        <w:spacing w:line="560" w:lineRule="exact"/>
        <w:ind w:firstLine="640" w:firstLineChars="200"/>
        <w:rPr>
          <w:rFonts w:ascii="仿宋_GB2312" w:eastAsia="仿宋_GB2312"/>
          <w:color w:val="auto"/>
          <w:sz w:val="32"/>
          <w:szCs w:val="32"/>
          <w:highlight w:val="none"/>
        </w:rPr>
      </w:pPr>
      <w:r>
        <w:rPr>
          <w:rFonts w:ascii="仿宋_GB2312" w:eastAsia="仿宋_GB2312"/>
          <w:color w:val="auto"/>
          <w:sz w:val="32"/>
          <w:szCs w:val="32"/>
          <w:highlight w:val="none"/>
        </w:rPr>
        <w:t>8</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rPr>
        <w:t>年末结转和结余：指单位按有关规定结转到下年或以后年度继续使用的资金。</w:t>
      </w:r>
    </w:p>
    <w:p>
      <w:pPr>
        <w:pStyle w:val="24"/>
        <w:spacing w:line="56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lang w:val="en-US" w:eastAsia="zh-CN"/>
        </w:rPr>
        <w:t>9</w:t>
      </w:r>
      <w:r>
        <w:rPr>
          <w:rFonts w:hint="eastAsia" w:ascii="仿宋_GB2312" w:eastAsia="仿宋_GB2312"/>
          <w:color w:val="auto"/>
          <w:sz w:val="32"/>
          <w:szCs w:val="32"/>
        </w:rPr>
        <w:t>．一般公共服务（</w:t>
      </w:r>
      <w:r>
        <w:rPr>
          <w:rFonts w:hint="eastAsia" w:ascii="仿宋_GB2312" w:eastAsia="仿宋_GB2312"/>
          <w:color w:val="auto"/>
          <w:sz w:val="32"/>
          <w:szCs w:val="32"/>
          <w:lang w:val="en-US" w:eastAsia="zh-CN"/>
        </w:rPr>
        <w:t>201</w:t>
      </w:r>
      <w:r>
        <w:rPr>
          <w:rFonts w:hint="eastAsia" w:ascii="仿宋_GB2312" w:eastAsia="仿宋_GB2312"/>
          <w:color w:val="auto"/>
          <w:sz w:val="32"/>
          <w:szCs w:val="32"/>
        </w:rPr>
        <w:t>类）党委办公厅（室）及相关机构事务（</w:t>
      </w:r>
      <w:r>
        <w:rPr>
          <w:rFonts w:hint="eastAsia" w:ascii="仿宋_GB2312" w:eastAsia="仿宋_GB2312"/>
          <w:color w:val="auto"/>
          <w:sz w:val="32"/>
          <w:szCs w:val="32"/>
          <w:lang w:val="en-US" w:eastAsia="zh-CN"/>
        </w:rPr>
        <w:t>31</w:t>
      </w:r>
      <w:r>
        <w:rPr>
          <w:rFonts w:hint="eastAsia" w:ascii="仿宋_GB2312" w:eastAsia="仿宋_GB2312"/>
          <w:color w:val="auto"/>
          <w:sz w:val="32"/>
          <w:szCs w:val="32"/>
        </w:rPr>
        <w:t>款）一般行政管理事务（</w:t>
      </w:r>
      <w:r>
        <w:rPr>
          <w:rFonts w:hint="eastAsia" w:ascii="仿宋_GB2312" w:eastAsia="仿宋_GB2312"/>
          <w:color w:val="auto"/>
          <w:sz w:val="32"/>
          <w:szCs w:val="32"/>
          <w:lang w:val="en-US" w:eastAsia="zh-CN"/>
        </w:rPr>
        <w:t>02</w:t>
      </w:r>
      <w:r>
        <w:rPr>
          <w:rFonts w:hint="eastAsia" w:ascii="仿宋_GB2312" w:eastAsia="仿宋_GB2312"/>
          <w:color w:val="auto"/>
          <w:sz w:val="32"/>
          <w:szCs w:val="32"/>
        </w:rPr>
        <w:t>项）：反映行政单位（包括实行公务员管理的事业单位）未单独设置项级科目的其他项目支出。</w:t>
      </w:r>
    </w:p>
    <w:p>
      <w:pPr>
        <w:pStyle w:val="24"/>
        <w:spacing w:line="56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lang w:val="en-US" w:eastAsia="zh-CN"/>
        </w:rPr>
        <w:t>10</w:t>
      </w:r>
      <w:r>
        <w:rPr>
          <w:rFonts w:hint="eastAsia" w:ascii="仿宋_GB2312" w:eastAsia="仿宋_GB2312"/>
          <w:color w:val="auto"/>
          <w:sz w:val="32"/>
          <w:szCs w:val="32"/>
        </w:rPr>
        <w:t>．一般公共服务（</w:t>
      </w:r>
      <w:r>
        <w:rPr>
          <w:rFonts w:hint="eastAsia" w:ascii="仿宋_GB2312" w:eastAsia="仿宋_GB2312"/>
          <w:color w:val="auto"/>
          <w:sz w:val="32"/>
          <w:szCs w:val="32"/>
          <w:lang w:val="en-US" w:eastAsia="zh-CN"/>
        </w:rPr>
        <w:t>201</w:t>
      </w:r>
      <w:r>
        <w:rPr>
          <w:rFonts w:hint="eastAsia" w:ascii="仿宋_GB2312" w:eastAsia="仿宋_GB2312"/>
          <w:color w:val="auto"/>
          <w:sz w:val="32"/>
          <w:szCs w:val="32"/>
        </w:rPr>
        <w:t>类）宣传事务（</w:t>
      </w:r>
      <w:r>
        <w:rPr>
          <w:rFonts w:hint="eastAsia" w:ascii="仿宋_GB2312" w:eastAsia="仿宋_GB2312"/>
          <w:color w:val="auto"/>
          <w:sz w:val="32"/>
          <w:szCs w:val="32"/>
          <w:lang w:val="en-US" w:eastAsia="zh-CN"/>
        </w:rPr>
        <w:t>33</w:t>
      </w:r>
      <w:r>
        <w:rPr>
          <w:rFonts w:hint="eastAsia" w:ascii="仿宋_GB2312" w:eastAsia="仿宋_GB2312"/>
          <w:color w:val="auto"/>
          <w:sz w:val="32"/>
          <w:szCs w:val="32"/>
        </w:rPr>
        <w:t>款）一般行政管理事务（</w:t>
      </w:r>
      <w:r>
        <w:rPr>
          <w:rFonts w:hint="eastAsia" w:ascii="仿宋_GB2312" w:eastAsia="仿宋_GB2312"/>
          <w:color w:val="auto"/>
          <w:sz w:val="32"/>
          <w:szCs w:val="32"/>
          <w:lang w:val="en-US" w:eastAsia="zh-CN"/>
        </w:rPr>
        <w:t>02</w:t>
      </w:r>
      <w:r>
        <w:rPr>
          <w:rFonts w:hint="eastAsia" w:ascii="仿宋_GB2312" w:eastAsia="仿宋_GB2312"/>
          <w:color w:val="auto"/>
          <w:sz w:val="32"/>
          <w:szCs w:val="32"/>
        </w:rPr>
        <w:t>项）：反映行政单位（包括实行公务员管理的事业单位）未单独设置项级科目的其他项目支出。</w:t>
      </w:r>
    </w:p>
    <w:p>
      <w:pPr>
        <w:pStyle w:val="24"/>
        <w:spacing w:line="56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lang w:val="en-US" w:eastAsia="zh-CN"/>
        </w:rPr>
        <w:t>11</w:t>
      </w:r>
      <w:r>
        <w:rPr>
          <w:rFonts w:hint="eastAsia" w:ascii="仿宋_GB2312" w:eastAsia="仿宋_GB2312"/>
          <w:color w:val="auto"/>
          <w:sz w:val="32"/>
          <w:szCs w:val="32"/>
        </w:rPr>
        <w:t>．社会保障和就业（208类）行政事业单位养老支出（05款）机关事业单位基本养老保险缴费支出（05项）：指反映机关事业单位实施养老保险制度由单位缴纳的基本养老保险费支出。</w:t>
      </w:r>
    </w:p>
    <w:p>
      <w:pPr>
        <w:pStyle w:val="24"/>
        <w:spacing w:line="56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lang w:val="en-US" w:eastAsia="zh-CN"/>
        </w:rPr>
        <w:t>12</w:t>
      </w:r>
      <w:r>
        <w:rPr>
          <w:rFonts w:hint="eastAsia" w:ascii="仿宋_GB2312" w:eastAsia="仿宋_GB2312"/>
          <w:color w:val="auto"/>
          <w:sz w:val="32"/>
          <w:szCs w:val="32"/>
        </w:rPr>
        <w:t>．社会保障和就业（208类）行政事业单位养老支出（05款）机关事业单位职业年金缴费支出（06项）：指指反映机关事业单位实施养老保险制度由单位实际缴纳的职业年金支出。</w:t>
      </w:r>
    </w:p>
    <w:p>
      <w:pPr>
        <w:pStyle w:val="24"/>
        <w:spacing w:line="56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1</w:t>
      </w:r>
      <w:r>
        <w:rPr>
          <w:rFonts w:hint="eastAsia" w:ascii="仿宋_GB2312" w:eastAsia="仿宋_GB2312"/>
          <w:color w:val="auto"/>
          <w:sz w:val="32"/>
          <w:szCs w:val="32"/>
          <w:lang w:val="en-US" w:eastAsia="zh-CN"/>
        </w:rPr>
        <w:t>3</w:t>
      </w:r>
      <w:r>
        <w:rPr>
          <w:rFonts w:hint="eastAsia" w:ascii="仿宋_GB2312" w:eastAsia="仿宋_GB2312"/>
          <w:color w:val="auto"/>
          <w:sz w:val="32"/>
          <w:szCs w:val="32"/>
        </w:rPr>
        <w:t>．社会保障和就业（208类）行政事业单位养老支出（05款）其他行政事业单位养老支出（99项）：指反映除上述项目以外，其他用于行政事业单位养老方面的支出。</w:t>
      </w:r>
    </w:p>
    <w:p>
      <w:pPr>
        <w:pStyle w:val="24"/>
        <w:spacing w:line="56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1</w:t>
      </w:r>
      <w:r>
        <w:rPr>
          <w:rFonts w:hint="eastAsia" w:ascii="仿宋_GB2312" w:eastAsia="仿宋_GB2312"/>
          <w:color w:val="auto"/>
          <w:sz w:val="32"/>
          <w:szCs w:val="32"/>
          <w:lang w:val="en-US" w:eastAsia="zh-CN"/>
        </w:rPr>
        <w:t>4</w:t>
      </w:r>
      <w:r>
        <w:rPr>
          <w:rFonts w:hint="eastAsia" w:ascii="仿宋_GB2312" w:eastAsia="仿宋_GB2312"/>
          <w:color w:val="auto"/>
          <w:sz w:val="32"/>
          <w:szCs w:val="32"/>
        </w:rPr>
        <w:t>．卫生健康支出（210类）行政事业单位医疗（11款）行政单位医疗（01款）：指反映财政部门安排的行政单位（包括实施公务员管理的事业单位）基本医疗保险缴费经费，未参加医疗保险的行政单位的公费医疗经费。</w:t>
      </w:r>
    </w:p>
    <w:p>
      <w:pPr>
        <w:pStyle w:val="24"/>
        <w:spacing w:line="560" w:lineRule="exact"/>
        <w:ind w:firstLine="640" w:firstLineChars="200"/>
        <w:rPr>
          <w:rFonts w:ascii="仿宋" w:hAnsi="仿宋" w:eastAsia="仿宋"/>
          <w:b/>
          <w:color w:val="auto"/>
          <w:sz w:val="32"/>
          <w:szCs w:val="32"/>
          <w:highlight w:val="none"/>
        </w:rPr>
      </w:pPr>
      <w:r>
        <w:rPr>
          <w:rFonts w:hint="eastAsia" w:ascii="仿宋_GB2312" w:eastAsia="仿宋_GB2312"/>
          <w:color w:val="auto"/>
          <w:sz w:val="32"/>
          <w:szCs w:val="32"/>
        </w:rPr>
        <w:t>1</w:t>
      </w:r>
      <w:r>
        <w:rPr>
          <w:rFonts w:hint="eastAsia" w:ascii="仿宋_GB2312" w:eastAsia="仿宋_GB2312"/>
          <w:color w:val="auto"/>
          <w:sz w:val="32"/>
          <w:szCs w:val="32"/>
          <w:lang w:val="en-US" w:eastAsia="zh-CN"/>
        </w:rPr>
        <w:t>5</w:t>
      </w:r>
      <w:r>
        <w:rPr>
          <w:rFonts w:hint="eastAsia" w:ascii="仿宋_GB2312" w:eastAsia="仿宋_GB2312"/>
          <w:color w:val="auto"/>
          <w:sz w:val="32"/>
          <w:szCs w:val="32"/>
        </w:rPr>
        <w:t>．住房保障支出（221类）住房改革支出（02款）住房公积金（01款）：指反映行政事业单位按人力资源和社会保障部、财政部规定的基本工资和津贴补贴以及规定比例为职工缴纳的住房公积金。</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16</w:t>
      </w:r>
      <w:r>
        <w:rPr>
          <w:rFonts w:ascii="仿宋_GB2312" w:eastAsia="仿宋_GB2312"/>
          <w:color w:val="auto"/>
          <w:sz w:val="32"/>
          <w:szCs w:val="32"/>
          <w:highlight w:val="none"/>
        </w:rPr>
        <w:t>.</w:t>
      </w:r>
      <w:r>
        <w:rPr>
          <w:rFonts w:hint="eastAsia" w:ascii="仿宋_GB2312" w:eastAsia="仿宋_GB2312"/>
          <w:color w:val="auto"/>
          <w:sz w:val="32"/>
          <w:szCs w:val="32"/>
          <w:highlight w:val="none"/>
        </w:rPr>
        <w:t>基本支出：指为保障机构正常运转、完成日常工作任务而发生的人员支出和公用支出。</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17</w:t>
      </w:r>
      <w:r>
        <w:rPr>
          <w:rFonts w:ascii="仿宋_GB2312" w:eastAsia="仿宋_GB2312"/>
          <w:color w:val="auto"/>
          <w:sz w:val="32"/>
          <w:szCs w:val="32"/>
          <w:highlight w:val="none"/>
        </w:rPr>
        <w:t>.</w:t>
      </w:r>
      <w:r>
        <w:rPr>
          <w:rFonts w:hint="eastAsia" w:ascii="仿宋_GB2312" w:eastAsia="仿宋_GB2312"/>
          <w:color w:val="auto"/>
          <w:sz w:val="32"/>
          <w:szCs w:val="32"/>
          <w:highlight w:val="none"/>
        </w:rPr>
        <w:t>项目支出：指在基本支出之外为完成特定行政任务和事业发展目标所发生的支出。</w:t>
      </w:r>
      <w:r>
        <w:rPr>
          <w:rFonts w:ascii="仿宋_GB2312" w:eastAsia="仿宋_GB2312"/>
          <w:color w:val="auto"/>
          <w:sz w:val="32"/>
          <w:szCs w:val="32"/>
          <w:highlight w:val="none"/>
        </w:rPr>
        <w:t xml:space="preserve"> </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18</w:t>
      </w:r>
      <w:r>
        <w:rPr>
          <w:rFonts w:ascii="仿宋_GB2312" w:eastAsia="仿宋_GB2312"/>
          <w:color w:val="auto"/>
          <w:sz w:val="32"/>
          <w:szCs w:val="32"/>
          <w:highlight w:val="none"/>
        </w:rPr>
        <w:t>.</w:t>
      </w:r>
      <w:r>
        <w:rPr>
          <w:rFonts w:hint="eastAsia" w:ascii="仿宋_GB2312" w:eastAsia="仿宋_GB2312"/>
          <w:color w:val="auto"/>
          <w:sz w:val="32"/>
          <w:szCs w:val="32"/>
          <w:highlight w:val="none"/>
        </w:rPr>
        <w:t>经营支出：指事业单位在专业业务活动及其辅助活动之外开展非独立核算经营活动发生的支出。</w:t>
      </w:r>
    </w:p>
    <w:p>
      <w:pPr>
        <w:pStyle w:val="24"/>
        <w:spacing w:line="560" w:lineRule="exact"/>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19</w:t>
      </w:r>
      <w:r>
        <w:rPr>
          <w:rFonts w:ascii="仿宋_GB2312" w:eastAsia="仿宋_GB2312"/>
          <w:color w:val="auto"/>
          <w:sz w:val="32"/>
          <w:szCs w:val="32"/>
          <w:highlight w:val="none"/>
        </w:rPr>
        <w:t>.</w:t>
      </w:r>
      <w:r>
        <w:rPr>
          <w:rFonts w:hint="eastAsia" w:ascii="仿宋_GB2312" w:eastAsia="仿宋_GB2312"/>
          <w:color w:val="auto"/>
          <w:sz w:val="32"/>
          <w:szCs w:val="32"/>
          <w:highlight w:val="none"/>
        </w:rPr>
        <w:t>“三公”经费：指</w:t>
      </w:r>
      <w:r>
        <w:rPr>
          <w:rFonts w:hint="eastAsia" w:ascii="仿宋_GB2312" w:eastAsia="仿宋_GB2312"/>
          <w:color w:val="auto"/>
          <w:sz w:val="32"/>
          <w:szCs w:val="32"/>
          <w:highlight w:val="none"/>
          <w:lang w:eastAsia="zh-CN"/>
        </w:rPr>
        <w:t>单位</w:t>
      </w:r>
      <w:r>
        <w:rPr>
          <w:rFonts w:hint="eastAsia" w:ascii="仿宋_GB2312" w:eastAsia="仿宋_GB2312"/>
          <w:color w:val="auto"/>
          <w:sz w:val="32"/>
          <w:szCs w:val="32"/>
          <w:highlight w:val="none"/>
        </w:rPr>
        <w:t>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pStyle w:val="24"/>
        <w:spacing w:line="560" w:lineRule="exact"/>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20</w:t>
      </w:r>
      <w:r>
        <w:rPr>
          <w:rFonts w:ascii="仿宋_GB2312" w:eastAsia="仿宋_GB2312"/>
          <w:color w:val="auto"/>
          <w:sz w:val="32"/>
          <w:szCs w:val="32"/>
          <w:highlight w:val="none"/>
        </w:rPr>
        <w:t>.</w:t>
      </w:r>
      <w:r>
        <w:rPr>
          <w:rFonts w:hint="eastAsia" w:ascii="仿宋_GB2312" w:eastAsia="仿宋_GB2312"/>
          <w:color w:val="auto"/>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600" w:lineRule="exact"/>
        <w:jc w:val="center"/>
        <w:outlineLvl w:val="0"/>
        <w:rPr>
          <w:rStyle w:val="26"/>
          <w:rFonts w:ascii="黑体" w:hAnsi="黑体" w:eastAsia="黑体"/>
          <w:b w:val="0"/>
          <w:color w:val="auto"/>
          <w:highlight w:val="none"/>
        </w:rPr>
      </w:pPr>
      <w:r>
        <w:rPr>
          <w:rFonts w:ascii="宋体"/>
          <w:b/>
          <w:color w:val="auto"/>
          <w:sz w:val="44"/>
          <w:szCs w:val="44"/>
          <w:highlight w:val="none"/>
        </w:rPr>
        <w:br w:type="page"/>
      </w:r>
      <w:bookmarkStart w:id="52" w:name="_Toc15396614"/>
      <w:r>
        <w:rPr>
          <w:rFonts w:hint="eastAsia" w:ascii="黑体" w:hAnsi="黑体" w:eastAsia="黑体"/>
          <w:color w:val="auto"/>
          <w:sz w:val="44"/>
          <w:szCs w:val="44"/>
          <w:highlight w:val="none"/>
        </w:rPr>
        <w:t>第</w:t>
      </w:r>
      <w:r>
        <w:rPr>
          <w:rStyle w:val="26"/>
          <w:rFonts w:hint="eastAsia" w:ascii="黑体" w:hAnsi="黑体" w:eastAsia="黑体"/>
          <w:b w:val="0"/>
          <w:color w:val="auto"/>
          <w:highlight w:val="none"/>
        </w:rPr>
        <w:t>四部分 附件</w:t>
      </w:r>
      <w:bookmarkEnd w:id="52"/>
    </w:p>
    <w:p>
      <w:pPr>
        <w:keepNext w:val="0"/>
        <w:keepLines w:val="0"/>
        <w:pageBreakBefore w:val="0"/>
        <w:kinsoku/>
        <w:wordWrap/>
        <w:overflowPunct/>
        <w:topLinePunct w:val="0"/>
        <w:autoSpaceDE/>
        <w:autoSpaceDN/>
        <w:bidi w:val="0"/>
        <w:spacing w:line="572" w:lineRule="exact"/>
        <w:jc w:val="left"/>
        <w:textAlignment w:val="auto"/>
        <w:outlineLvl w:val="0"/>
        <w:rPr>
          <w:rFonts w:ascii="仿宋_GB2312" w:hAnsi="仿宋_GB2312" w:eastAsia="仿宋_GB2312" w:cs="仿宋_GB2312"/>
          <w:color w:val="auto"/>
          <w:sz w:val="32"/>
          <w:szCs w:val="32"/>
          <w:highlight w:val="none"/>
        </w:rPr>
      </w:pPr>
    </w:p>
    <w:p>
      <w:pPr>
        <w:spacing w:line="600" w:lineRule="exact"/>
        <w:jc w:val="center"/>
        <w:outlineLvl w:val="0"/>
        <w:rPr>
          <w:rFonts w:hint="eastAsia" w:ascii="宋体" w:hAnsi="宋体" w:eastAsia="宋体" w:cs="宋体"/>
          <w:color w:val="auto"/>
          <w:kern w:val="0"/>
          <w:sz w:val="32"/>
          <w:szCs w:val="32"/>
          <w:highlight w:val="none"/>
          <w:lang w:val="en-US" w:eastAsia="zh-CN" w:bidi="ar-SA"/>
        </w:rPr>
      </w:pPr>
      <w:bookmarkStart w:id="53" w:name="_Toc15396618"/>
      <w:r>
        <w:rPr>
          <w:rFonts w:hint="eastAsia" w:ascii="宋体" w:hAnsi="宋体" w:eastAsia="宋体" w:cs="宋体"/>
          <w:color w:val="auto"/>
          <w:kern w:val="0"/>
          <w:sz w:val="32"/>
          <w:szCs w:val="32"/>
          <w:highlight w:val="none"/>
          <w:lang w:val="en-US" w:eastAsia="zh-CN" w:bidi="ar-SA"/>
        </w:rPr>
        <w:t>部门预算项目支出绩效自评表（2022年度）</w:t>
      </w:r>
    </w:p>
    <w:p>
      <w:pPr>
        <w:spacing w:line="600" w:lineRule="exact"/>
        <w:jc w:val="left"/>
        <w:outlineLvl w:val="0"/>
        <w:rPr>
          <w:rFonts w:hint="eastAsia" w:ascii="仿宋_GB2312" w:hAnsi="Calibri" w:eastAsia="仿宋_GB2312" w:cs="仿宋"/>
          <w:color w:val="auto"/>
          <w:kern w:val="0"/>
          <w:sz w:val="32"/>
          <w:szCs w:val="32"/>
          <w:highlight w:val="none"/>
          <w:lang w:val="en-US" w:eastAsia="zh-CN" w:bidi="ar-SA"/>
        </w:rPr>
      </w:pPr>
    </w:p>
    <w:p>
      <w:pPr>
        <w:spacing w:line="600" w:lineRule="exact"/>
        <w:ind w:firstLine="640" w:firstLineChars="200"/>
        <w:jc w:val="left"/>
        <w:outlineLvl w:val="0"/>
        <w:rPr>
          <w:rFonts w:hint="eastAsia" w:ascii="仿宋_GB2312" w:hAnsi="Calibri" w:eastAsia="仿宋_GB2312" w:cs="仿宋"/>
          <w:color w:val="auto"/>
          <w:kern w:val="0"/>
          <w:sz w:val="32"/>
          <w:szCs w:val="32"/>
          <w:highlight w:val="none"/>
          <w:lang w:val="en-US" w:eastAsia="zh-CN" w:bidi="ar-SA"/>
        </w:rPr>
      </w:pPr>
      <w:r>
        <w:rPr>
          <w:rFonts w:hint="eastAsia" w:ascii="仿宋_GB2312" w:hAnsi="Calibri" w:eastAsia="仿宋_GB2312" w:cs="仿宋"/>
          <w:color w:val="auto"/>
          <w:kern w:val="0"/>
          <w:sz w:val="32"/>
          <w:szCs w:val="32"/>
          <w:highlight w:val="none"/>
          <w:lang w:val="en-US" w:eastAsia="zh-CN" w:bidi="ar-SA"/>
        </w:rPr>
        <w:t>（备注：按照绩效自评工作安排，各单位可在预算管理一体化系统—综合报表查询—预算绩效报表模块中下载本单位“部门预算项目支出绩效自评表（2022年度）”，该表格应作为附件予以公开。）</w:t>
      </w:r>
    </w:p>
    <w:p>
      <w:pPr>
        <w:pStyle w:val="7"/>
        <w:rPr>
          <w:rFonts w:hint="eastAsia" w:ascii="仿宋_GB2312" w:hAnsi="Calibri" w:eastAsia="仿宋_GB2312" w:cs="仿宋"/>
          <w:color w:val="auto"/>
          <w:kern w:val="0"/>
          <w:sz w:val="32"/>
          <w:szCs w:val="32"/>
          <w:highlight w:val="none"/>
          <w:lang w:val="en-US" w:eastAsia="zh-CN" w:bidi="ar-SA"/>
        </w:rPr>
      </w:pPr>
    </w:p>
    <w:p>
      <w:pPr>
        <w:pStyle w:val="7"/>
        <w:rPr>
          <w:rFonts w:hint="eastAsia" w:ascii="仿宋_GB2312" w:hAnsi="Calibri" w:eastAsia="仿宋_GB2312" w:cs="仿宋"/>
          <w:color w:val="auto"/>
          <w:kern w:val="0"/>
          <w:sz w:val="32"/>
          <w:szCs w:val="32"/>
          <w:highlight w:val="none"/>
          <w:lang w:val="en-US" w:eastAsia="zh-CN" w:bidi="ar-SA"/>
        </w:rPr>
      </w:pPr>
    </w:p>
    <w:p>
      <w:pPr>
        <w:pStyle w:val="7"/>
        <w:rPr>
          <w:rFonts w:hint="eastAsia" w:ascii="仿宋_GB2312" w:hAnsi="Calibri" w:eastAsia="仿宋_GB2312" w:cs="仿宋"/>
          <w:color w:val="auto"/>
          <w:kern w:val="0"/>
          <w:sz w:val="32"/>
          <w:szCs w:val="32"/>
          <w:highlight w:val="none"/>
          <w:lang w:val="en-US" w:eastAsia="zh-CN" w:bidi="ar-SA"/>
        </w:rPr>
      </w:pPr>
    </w:p>
    <w:p>
      <w:pPr>
        <w:pStyle w:val="7"/>
        <w:rPr>
          <w:rFonts w:hint="eastAsia" w:ascii="仿宋_GB2312" w:hAnsi="Calibri" w:eastAsia="仿宋_GB2312" w:cs="仿宋"/>
          <w:color w:val="auto"/>
          <w:kern w:val="0"/>
          <w:sz w:val="32"/>
          <w:szCs w:val="32"/>
          <w:highlight w:val="none"/>
          <w:lang w:val="en-US" w:eastAsia="zh-CN" w:bidi="ar-SA"/>
        </w:rPr>
      </w:pPr>
    </w:p>
    <w:p>
      <w:pPr>
        <w:pStyle w:val="7"/>
        <w:rPr>
          <w:rFonts w:hint="eastAsia" w:ascii="仿宋_GB2312" w:hAnsi="Calibri" w:eastAsia="仿宋_GB2312" w:cs="仿宋"/>
          <w:color w:val="auto"/>
          <w:kern w:val="0"/>
          <w:sz w:val="32"/>
          <w:szCs w:val="32"/>
          <w:highlight w:val="none"/>
          <w:lang w:val="en-US" w:eastAsia="zh-CN" w:bidi="ar-SA"/>
        </w:rPr>
      </w:pPr>
    </w:p>
    <w:p>
      <w:pPr>
        <w:pStyle w:val="7"/>
        <w:rPr>
          <w:rFonts w:hint="eastAsia" w:ascii="仿宋_GB2312" w:hAnsi="Calibri" w:eastAsia="仿宋_GB2312" w:cs="仿宋"/>
          <w:color w:val="auto"/>
          <w:kern w:val="0"/>
          <w:sz w:val="32"/>
          <w:szCs w:val="32"/>
          <w:highlight w:val="none"/>
          <w:lang w:val="en-US" w:eastAsia="zh-CN" w:bidi="ar-SA"/>
        </w:rPr>
      </w:pPr>
    </w:p>
    <w:p>
      <w:pPr>
        <w:pStyle w:val="7"/>
        <w:rPr>
          <w:rFonts w:hint="eastAsia" w:ascii="仿宋_GB2312" w:hAnsi="Calibri" w:eastAsia="仿宋_GB2312" w:cs="仿宋"/>
          <w:color w:val="auto"/>
          <w:kern w:val="0"/>
          <w:sz w:val="32"/>
          <w:szCs w:val="32"/>
          <w:highlight w:val="none"/>
          <w:lang w:val="en-US" w:eastAsia="zh-CN" w:bidi="ar-SA"/>
        </w:rPr>
      </w:pPr>
    </w:p>
    <w:p>
      <w:pPr>
        <w:pStyle w:val="7"/>
        <w:rPr>
          <w:rFonts w:hint="eastAsia" w:ascii="仿宋_GB2312" w:hAnsi="Calibri" w:eastAsia="仿宋_GB2312" w:cs="仿宋"/>
          <w:color w:val="auto"/>
          <w:kern w:val="0"/>
          <w:sz w:val="32"/>
          <w:szCs w:val="32"/>
          <w:highlight w:val="none"/>
          <w:lang w:val="en-US" w:eastAsia="zh-CN" w:bidi="ar-SA"/>
        </w:rPr>
      </w:pPr>
    </w:p>
    <w:p>
      <w:pPr>
        <w:pStyle w:val="7"/>
        <w:rPr>
          <w:rFonts w:hint="eastAsia" w:ascii="仿宋_GB2312" w:hAnsi="Calibri" w:eastAsia="仿宋_GB2312" w:cs="仿宋"/>
          <w:color w:val="auto"/>
          <w:kern w:val="0"/>
          <w:sz w:val="32"/>
          <w:szCs w:val="32"/>
          <w:highlight w:val="none"/>
          <w:lang w:val="en-US" w:eastAsia="zh-CN" w:bidi="ar-SA"/>
        </w:rPr>
      </w:pPr>
    </w:p>
    <w:p>
      <w:pPr>
        <w:pStyle w:val="7"/>
        <w:rPr>
          <w:rFonts w:hint="eastAsia" w:ascii="仿宋_GB2312" w:hAnsi="Calibri" w:eastAsia="仿宋_GB2312" w:cs="仿宋"/>
          <w:color w:val="auto"/>
          <w:kern w:val="0"/>
          <w:sz w:val="32"/>
          <w:szCs w:val="32"/>
          <w:highlight w:val="none"/>
          <w:lang w:val="en-US" w:eastAsia="zh-CN" w:bidi="ar-SA"/>
        </w:rPr>
      </w:pPr>
    </w:p>
    <w:p>
      <w:pPr>
        <w:pStyle w:val="7"/>
        <w:rPr>
          <w:rFonts w:hint="eastAsia" w:ascii="仿宋_GB2312" w:hAnsi="Calibri" w:eastAsia="仿宋_GB2312" w:cs="仿宋"/>
          <w:color w:val="auto"/>
          <w:kern w:val="0"/>
          <w:sz w:val="32"/>
          <w:szCs w:val="32"/>
          <w:highlight w:val="none"/>
          <w:lang w:val="en-US" w:eastAsia="zh-CN" w:bidi="ar-SA"/>
        </w:rPr>
      </w:pPr>
    </w:p>
    <w:p>
      <w:pPr>
        <w:pStyle w:val="7"/>
        <w:rPr>
          <w:rFonts w:hint="eastAsia" w:ascii="仿宋_GB2312" w:hAnsi="Calibri" w:eastAsia="仿宋_GB2312" w:cs="仿宋"/>
          <w:color w:val="auto"/>
          <w:kern w:val="0"/>
          <w:sz w:val="32"/>
          <w:szCs w:val="32"/>
          <w:highlight w:val="none"/>
          <w:lang w:val="en-US" w:eastAsia="zh-CN" w:bidi="ar-SA"/>
        </w:rPr>
      </w:pPr>
    </w:p>
    <w:p>
      <w:pPr>
        <w:spacing w:line="600" w:lineRule="exact"/>
        <w:jc w:val="center"/>
        <w:outlineLvl w:val="0"/>
        <w:rPr>
          <w:rFonts w:hint="eastAsia" w:ascii="仿宋" w:hAnsi="仿宋" w:eastAsia="仿宋"/>
          <w:b w:val="0"/>
          <w:color w:val="auto"/>
          <w:highlight w:val="none"/>
        </w:rPr>
      </w:pPr>
      <w:r>
        <w:rPr>
          <w:rFonts w:hint="eastAsia" w:ascii="黑体" w:hAnsi="黑体" w:eastAsia="黑体"/>
          <w:color w:val="auto"/>
          <w:sz w:val="44"/>
          <w:szCs w:val="44"/>
          <w:highlight w:val="none"/>
        </w:rPr>
        <w:t>第</w:t>
      </w:r>
      <w:r>
        <w:rPr>
          <w:rStyle w:val="26"/>
          <w:rFonts w:hint="eastAsia" w:ascii="黑体" w:hAnsi="黑体" w:eastAsia="黑体"/>
          <w:b w:val="0"/>
          <w:color w:val="auto"/>
          <w:highlight w:val="none"/>
        </w:rPr>
        <w:t>五部分 附表</w:t>
      </w:r>
      <w:bookmarkEnd w:id="51"/>
      <w:bookmarkEnd w:id="53"/>
      <w:bookmarkStart w:id="54" w:name="_Toc15396619"/>
    </w:p>
    <w:p>
      <w:pPr>
        <w:pStyle w:val="5"/>
        <w:rPr>
          <w:rFonts w:ascii="仿宋" w:hAnsi="仿宋" w:eastAsia="仿宋"/>
          <w:color w:val="auto"/>
          <w:highlight w:val="none"/>
        </w:rPr>
      </w:pPr>
      <w:r>
        <w:rPr>
          <w:rFonts w:hint="eastAsia" w:ascii="仿宋" w:hAnsi="仿宋" w:eastAsia="仿宋"/>
          <w:b w:val="0"/>
          <w:color w:val="auto"/>
          <w:highlight w:val="none"/>
        </w:rPr>
        <w:t>一、收</w:t>
      </w:r>
      <w:r>
        <w:rPr>
          <w:rStyle w:val="27"/>
          <w:rFonts w:hint="eastAsia" w:ascii="仿宋" w:hAnsi="仿宋" w:eastAsia="仿宋"/>
          <w:b w:val="0"/>
          <w:bCs w:val="0"/>
          <w:color w:val="auto"/>
          <w:highlight w:val="none"/>
        </w:rPr>
        <w:t>入支出决算总表</w:t>
      </w:r>
      <w:bookmarkEnd w:id="54"/>
    </w:p>
    <w:p>
      <w:pPr>
        <w:pStyle w:val="5"/>
        <w:rPr>
          <w:rFonts w:ascii="仿宋" w:hAnsi="仿宋" w:eastAsia="仿宋"/>
          <w:color w:val="auto"/>
          <w:highlight w:val="none"/>
        </w:rPr>
      </w:pPr>
      <w:bookmarkStart w:id="55" w:name="_Toc15396620"/>
      <w:r>
        <w:rPr>
          <w:rFonts w:hint="eastAsia" w:ascii="仿宋" w:hAnsi="仿宋" w:eastAsia="仿宋"/>
          <w:b w:val="0"/>
          <w:color w:val="auto"/>
          <w:highlight w:val="none"/>
        </w:rPr>
        <w:t>二、收</w:t>
      </w:r>
      <w:r>
        <w:rPr>
          <w:rStyle w:val="27"/>
          <w:rFonts w:hint="eastAsia" w:ascii="仿宋" w:hAnsi="仿宋" w:eastAsia="仿宋"/>
          <w:b w:val="0"/>
          <w:bCs w:val="0"/>
          <w:color w:val="auto"/>
          <w:highlight w:val="none"/>
        </w:rPr>
        <w:t>入决算表</w:t>
      </w:r>
      <w:bookmarkEnd w:id="55"/>
    </w:p>
    <w:p>
      <w:pPr>
        <w:pStyle w:val="5"/>
        <w:rPr>
          <w:rFonts w:ascii="仿宋" w:hAnsi="仿宋" w:eastAsia="仿宋"/>
          <w:color w:val="auto"/>
          <w:highlight w:val="none"/>
        </w:rPr>
      </w:pPr>
      <w:bookmarkStart w:id="56" w:name="_Toc15396621"/>
      <w:r>
        <w:rPr>
          <w:rStyle w:val="27"/>
          <w:rFonts w:hint="eastAsia" w:ascii="仿宋" w:hAnsi="仿宋" w:eastAsia="仿宋"/>
          <w:b w:val="0"/>
          <w:bCs w:val="0"/>
          <w:color w:val="auto"/>
          <w:highlight w:val="none"/>
        </w:rPr>
        <w:t>三、</w:t>
      </w:r>
      <w:r>
        <w:rPr>
          <w:rFonts w:hint="eastAsia" w:ascii="仿宋" w:hAnsi="仿宋" w:eastAsia="仿宋"/>
          <w:b w:val="0"/>
          <w:color w:val="auto"/>
          <w:highlight w:val="none"/>
        </w:rPr>
        <w:t>支</w:t>
      </w:r>
      <w:r>
        <w:rPr>
          <w:rStyle w:val="27"/>
          <w:rFonts w:hint="eastAsia" w:ascii="仿宋" w:hAnsi="仿宋" w:eastAsia="仿宋"/>
          <w:b w:val="0"/>
          <w:bCs w:val="0"/>
          <w:color w:val="auto"/>
          <w:highlight w:val="none"/>
        </w:rPr>
        <w:t>出决算表</w:t>
      </w:r>
      <w:bookmarkEnd w:id="56"/>
    </w:p>
    <w:p>
      <w:pPr>
        <w:pStyle w:val="5"/>
        <w:rPr>
          <w:rFonts w:ascii="仿宋" w:hAnsi="仿宋" w:eastAsia="仿宋"/>
          <w:b w:val="0"/>
          <w:color w:val="auto"/>
          <w:highlight w:val="none"/>
        </w:rPr>
      </w:pPr>
      <w:bookmarkStart w:id="57" w:name="_Toc15396622"/>
      <w:r>
        <w:rPr>
          <w:rStyle w:val="27"/>
          <w:rFonts w:hint="eastAsia" w:ascii="仿宋" w:hAnsi="仿宋" w:eastAsia="仿宋"/>
          <w:b w:val="0"/>
          <w:bCs w:val="0"/>
          <w:color w:val="auto"/>
          <w:highlight w:val="none"/>
        </w:rPr>
        <w:t>四、</w:t>
      </w:r>
      <w:r>
        <w:rPr>
          <w:rFonts w:hint="eastAsia" w:ascii="仿宋" w:hAnsi="仿宋" w:eastAsia="仿宋"/>
          <w:b w:val="0"/>
          <w:color w:val="auto"/>
          <w:highlight w:val="none"/>
        </w:rPr>
        <w:t>财</w:t>
      </w:r>
      <w:r>
        <w:rPr>
          <w:rStyle w:val="27"/>
          <w:rFonts w:hint="eastAsia" w:ascii="仿宋" w:hAnsi="仿宋" w:eastAsia="仿宋"/>
          <w:b w:val="0"/>
          <w:bCs w:val="0"/>
          <w:color w:val="auto"/>
          <w:highlight w:val="none"/>
        </w:rPr>
        <w:t>政拨款收入支出决算总表</w:t>
      </w:r>
      <w:bookmarkEnd w:id="57"/>
    </w:p>
    <w:p>
      <w:pPr>
        <w:pStyle w:val="5"/>
        <w:rPr>
          <w:rStyle w:val="27"/>
          <w:rFonts w:ascii="仿宋" w:hAnsi="仿宋" w:eastAsia="仿宋"/>
          <w:b w:val="0"/>
          <w:bCs w:val="0"/>
          <w:color w:val="auto"/>
          <w:highlight w:val="none"/>
        </w:rPr>
      </w:pPr>
      <w:bookmarkStart w:id="58" w:name="_Toc15396623"/>
      <w:r>
        <w:rPr>
          <w:rStyle w:val="27"/>
          <w:rFonts w:hint="eastAsia" w:ascii="仿宋" w:hAnsi="仿宋" w:eastAsia="仿宋"/>
          <w:b w:val="0"/>
          <w:bCs w:val="0"/>
          <w:color w:val="auto"/>
          <w:highlight w:val="none"/>
        </w:rPr>
        <w:t>五、</w:t>
      </w:r>
      <w:r>
        <w:rPr>
          <w:rFonts w:hint="eastAsia" w:ascii="仿宋" w:hAnsi="仿宋" w:eastAsia="仿宋"/>
          <w:b w:val="0"/>
          <w:color w:val="auto"/>
          <w:highlight w:val="none"/>
        </w:rPr>
        <w:t>财</w:t>
      </w:r>
      <w:r>
        <w:rPr>
          <w:rStyle w:val="27"/>
          <w:rFonts w:hint="eastAsia" w:ascii="仿宋" w:hAnsi="仿宋" w:eastAsia="仿宋"/>
          <w:b w:val="0"/>
          <w:bCs w:val="0"/>
          <w:color w:val="auto"/>
          <w:highlight w:val="none"/>
        </w:rPr>
        <w:t>政拨款支出决算明细表</w:t>
      </w:r>
      <w:bookmarkEnd w:id="58"/>
      <w:bookmarkStart w:id="59" w:name="_Toc15396624"/>
    </w:p>
    <w:p>
      <w:pPr>
        <w:pStyle w:val="5"/>
        <w:rPr>
          <w:rFonts w:ascii="仿宋" w:hAnsi="仿宋" w:eastAsia="仿宋"/>
          <w:color w:val="auto"/>
          <w:highlight w:val="none"/>
        </w:rPr>
      </w:pPr>
      <w:r>
        <w:rPr>
          <w:rStyle w:val="27"/>
          <w:rFonts w:hint="eastAsia" w:ascii="仿宋" w:hAnsi="仿宋" w:eastAsia="仿宋"/>
          <w:b w:val="0"/>
          <w:bCs w:val="0"/>
          <w:color w:val="auto"/>
          <w:highlight w:val="none"/>
        </w:rPr>
        <w:t>六、</w:t>
      </w:r>
      <w:r>
        <w:rPr>
          <w:rFonts w:hint="eastAsia" w:ascii="仿宋" w:hAnsi="仿宋" w:eastAsia="仿宋"/>
          <w:b w:val="0"/>
          <w:color w:val="auto"/>
          <w:highlight w:val="none"/>
        </w:rPr>
        <w:t>一</w:t>
      </w:r>
      <w:r>
        <w:rPr>
          <w:rStyle w:val="27"/>
          <w:rFonts w:hint="eastAsia" w:ascii="仿宋" w:hAnsi="仿宋" w:eastAsia="仿宋"/>
          <w:b w:val="0"/>
          <w:bCs w:val="0"/>
          <w:color w:val="auto"/>
          <w:highlight w:val="none"/>
        </w:rPr>
        <w:t>般公共预算财政拨款支出决算表</w:t>
      </w:r>
      <w:bookmarkEnd w:id="59"/>
    </w:p>
    <w:p>
      <w:pPr>
        <w:pStyle w:val="5"/>
        <w:rPr>
          <w:rFonts w:ascii="仿宋" w:hAnsi="仿宋" w:eastAsia="仿宋"/>
          <w:color w:val="auto"/>
          <w:highlight w:val="none"/>
        </w:rPr>
      </w:pPr>
      <w:bookmarkStart w:id="60" w:name="_Toc15396625"/>
      <w:r>
        <w:rPr>
          <w:rStyle w:val="27"/>
          <w:rFonts w:hint="eastAsia" w:ascii="仿宋" w:hAnsi="仿宋" w:eastAsia="仿宋"/>
          <w:b w:val="0"/>
          <w:bCs w:val="0"/>
          <w:color w:val="auto"/>
          <w:highlight w:val="none"/>
        </w:rPr>
        <w:t>七、</w:t>
      </w:r>
      <w:r>
        <w:rPr>
          <w:rFonts w:hint="eastAsia" w:ascii="仿宋" w:hAnsi="仿宋" w:eastAsia="仿宋"/>
          <w:b w:val="0"/>
          <w:color w:val="auto"/>
          <w:highlight w:val="none"/>
        </w:rPr>
        <w:t>一</w:t>
      </w:r>
      <w:r>
        <w:rPr>
          <w:rStyle w:val="27"/>
          <w:rFonts w:hint="eastAsia" w:ascii="仿宋" w:hAnsi="仿宋" w:eastAsia="仿宋"/>
          <w:b w:val="0"/>
          <w:bCs w:val="0"/>
          <w:color w:val="auto"/>
          <w:highlight w:val="none"/>
        </w:rPr>
        <w:t>般公共预算财政拨款支出决算明细表</w:t>
      </w:r>
      <w:bookmarkEnd w:id="60"/>
    </w:p>
    <w:p>
      <w:pPr>
        <w:pStyle w:val="5"/>
        <w:rPr>
          <w:rFonts w:ascii="仿宋" w:hAnsi="仿宋" w:eastAsia="仿宋"/>
          <w:color w:val="auto"/>
          <w:highlight w:val="none"/>
        </w:rPr>
      </w:pPr>
      <w:bookmarkStart w:id="61" w:name="_Toc15396626"/>
      <w:r>
        <w:rPr>
          <w:rStyle w:val="27"/>
          <w:rFonts w:hint="eastAsia" w:ascii="仿宋" w:hAnsi="仿宋" w:eastAsia="仿宋"/>
          <w:b w:val="0"/>
          <w:bCs w:val="0"/>
          <w:color w:val="auto"/>
          <w:highlight w:val="none"/>
        </w:rPr>
        <w:t>八、</w:t>
      </w:r>
      <w:r>
        <w:rPr>
          <w:rFonts w:hint="eastAsia" w:ascii="仿宋" w:hAnsi="仿宋" w:eastAsia="仿宋"/>
          <w:b w:val="0"/>
          <w:color w:val="auto"/>
          <w:highlight w:val="none"/>
        </w:rPr>
        <w:t>一</w:t>
      </w:r>
      <w:r>
        <w:rPr>
          <w:rStyle w:val="27"/>
          <w:rFonts w:hint="eastAsia" w:ascii="仿宋" w:hAnsi="仿宋" w:eastAsia="仿宋"/>
          <w:b w:val="0"/>
          <w:bCs w:val="0"/>
          <w:color w:val="auto"/>
          <w:highlight w:val="none"/>
        </w:rPr>
        <w:t>般公共预算财政拨款基本支出决算表</w:t>
      </w:r>
      <w:bookmarkEnd w:id="61"/>
    </w:p>
    <w:p>
      <w:pPr>
        <w:pStyle w:val="5"/>
        <w:rPr>
          <w:rFonts w:ascii="仿宋" w:hAnsi="仿宋" w:eastAsia="仿宋"/>
          <w:color w:val="auto"/>
          <w:highlight w:val="none"/>
        </w:rPr>
      </w:pPr>
      <w:bookmarkStart w:id="62" w:name="_Toc15396627"/>
      <w:r>
        <w:rPr>
          <w:rStyle w:val="27"/>
          <w:rFonts w:hint="eastAsia" w:ascii="仿宋" w:hAnsi="仿宋" w:eastAsia="仿宋"/>
          <w:b w:val="0"/>
          <w:bCs w:val="0"/>
          <w:color w:val="auto"/>
          <w:highlight w:val="none"/>
        </w:rPr>
        <w:t>九、</w:t>
      </w:r>
      <w:r>
        <w:rPr>
          <w:rFonts w:hint="eastAsia" w:ascii="仿宋" w:hAnsi="仿宋" w:eastAsia="仿宋"/>
          <w:b w:val="0"/>
          <w:color w:val="auto"/>
          <w:highlight w:val="none"/>
        </w:rPr>
        <w:t>一</w:t>
      </w:r>
      <w:r>
        <w:rPr>
          <w:rStyle w:val="27"/>
          <w:rFonts w:hint="eastAsia" w:ascii="仿宋" w:hAnsi="仿宋" w:eastAsia="仿宋"/>
          <w:b w:val="0"/>
          <w:bCs w:val="0"/>
          <w:color w:val="auto"/>
          <w:highlight w:val="none"/>
        </w:rPr>
        <w:t>般公共预算财政拨款项目支出决算表</w:t>
      </w:r>
      <w:bookmarkEnd w:id="62"/>
    </w:p>
    <w:p>
      <w:pPr>
        <w:pStyle w:val="5"/>
        <w:rPr>
          <w:rFonts w:ascii="仿宋" w:hAnsi="仿宋" w:eastAsia="仿宋"/>
          <w:color w:val="auto"/>
          <w:highlight w:val="none"/>
        </w:rPr>
      </w:pPr>
      <w:bookmarkStart w:id="63" w:name="_Toc15396628"/>
      <w:r>
        <w:rPr>
          <w:rStyle w:val="27"/>
          <w:rFonts w:hint="eastAsia" w:ascii="仿宋" w:hAnsi="仿宋" w:eastAsia="仿宋"/>
          <w:b w:val="0"/>
          <w:bCs w:val="0"/>
          <w:color w:val="auto"/>
          <w:highlight w:val="none"/>
        </w:rPr>
        <w:t>十、</w:t>
      </w:r>
      <w:bookmarkEnd w:id="63"/>
      <w:r>
        <w:rPr>
          <w:rFonts w:hint="eastAsia" w:ascii="仿宋" w:hAnsi="仿宋" w:eastAsia="仿宋"/>
          <w:b w:val="0"/>
          <w:color w:val="auto"/>
          <w:highlight w:val="none"/>
        </w:rPr>
        <w:t>政</w:t>
      </w:r>
      <w:r>
        <w:rPr>
          <w:rStyle w:val="27"/>
          <w:rFonts w:hint="eastAsia" w:ascii="仿宋" w:hAnsi="仿宋" w:eastAsia="仿宋"/>
          <w:b w:val="0"/>
          <w:bCs w:val="0"/>
          <w:color w:val="auto"/>
          <w:highlight w:val="none"/>
        </w:rPr>
        <w:t>府性基金预算财政拨款收入支出决算表</w:t>
      </w:r>
    </w:p>
    <w:p>
      <w:pPr>
        <w:pStyle w:val="5"/>
        <w:rPr>
          <w:rFonts w:ascii="仿宋" w:hAnsi="仿宋" w:eastAsia="仿宋"/>
          <w:color w:val="auto"/>
          <w:highlight w:val="none"/>
        </w:rPr>
      </w:pPr>
      <w:bookmarkStart w:id="64" w:name="_Toc15396629"/>
      <w:r>
        <w:rPr>
          <w:rStyle w:val="27"/>
          <w:rFonts w:hint="eastAsia" w:ascii="仿宋" w:hAnsi="仿宋" w:eastAsia="仿宋"/>
          <w:b w:val="0"/>
          <w:bCs w:val="0"/>
          <w:color w:val="auto"/>
          <w:highlight w:val="none"/>
        </w:rPr>
        <w:t>十一、</w:t>
      </w:r>
      <w:bookmarkEnd w:id="64"/>
      <w:r>
        <w:rPr>
          <w:rFonts w:hint="eastAsia" w:ascii="仿宋" w:hAnsi="仿宋" w:eastAsia="仿宋"/>
          <w:b w:val="0"/>
          <w:color w:val="auto"/>
          <w:highlight w:val="none"/>
        </w:rPr>
        <w:t>国</w:t>
      </w:r>
      <w:r>
        <w:rPr>
          <w:rStyle w:val="27"/>
          <w:rFonts w:hint="eastAsia" w:ascii="仿宋" w:hAnsi="仿宋" w:eastAsia="仿宋"/>
          <w:b w:val="0"/>
          <w:bCs w:val="0"/>
          <w:color w:val="auto"/>
          <w:highlight w:val="none"/>
        </w:rPr>
        <w:t>有资本经营预算</w:t>
      </w:r>
      <w:r>
        <w:rPr>
          <w:rStyle w:val="27"/>
          <w:rFonts w:hint="eastAsia" w:ascii="仿宋" w:hAnsi="仿宋" w:eastAsia="仿宋"/>
          <w:b w:val="0"/>
          <w:bCs w:val="0"/>
          <w:color w:val="auto"/>
          <w:highlight w:val="none"/>
          <w:lang w:eastAsia="zh-CN"/>
        </w:rPr>
        <w:t>财政拨款收入</w:t>
      </w:r>
      <w:r>
        <w:rPr>
          <w:rStyle w:val="27"/>
          <w:rFonts w:hint="eastAsia" w:ascii="仿宋" w:hAnsi="仿宋" w:eastAsia="仿宋"/>
          <w:b w:val="0"/>
          <w:bCs w:val="0"/>
          <w:color w:val="auto"/>
          <w:highlight w:val="none"/>
        </w:rPr>
        <w:t>支出决算表</w:t>
      </w:r>
    </w:p>
    <w:p>
      <w:pPr>
        <w:pStyle w:val="5"/>
        <w:rPr>
          <w:rFonts w:ascii="仿宋" w:hAnsi="仿宋" w:eastAsia="仿宋"/>
          <w:color w:val="auto"/>
          <w:highlight w:val="none"/>
        </w:rPr>
      </w:pPr>
      <w:bookmarkStart w:id="65" w:name="_Toc15396630"/>
      <w:r>
        <w:rPr>
          <w:rStyle w:val="27"/>
          <w:rFonts w:hint="eastAsia" w:ascii="仿宋" w:hAnsi="仿宋" w:eastAsia="仿宋"/>
          <w:b w:val="0"/>
          <w:bCs w:val="0"/>
          <w:color w:val="auto"/>
          <w:highlight w:val="none"/>
        </w:rPr>
        <w:t>十二、</w:t>
      </w:r>
      <w:bookmarkEnd w:id="65"/>
      <w:r>
        <w:rPr>
          <w:rStyle w:val="27"/>
          <w:rFonts w:hint="eastAsia" w:ascii="仿宋" w:hAnsi="仿宋" w:eastAsia="仿宋"/>
          <w:b w:val="0"/>
          <w:bCs w:val="0"/>
          <w:color w:val="auto"/>
          <w:highlight w:val="none"/>
          <w:lang w:eastAsia="zh-CN"/>
        </w:rPr>
        <w:t>国有资本经营预算财政拨款支出决算表</w:t>
      </w:r>
    </w:p>
    <w:p>
      <w:pPr>
        <w:pStyle w:val="5"/>
        <w:rPr>
          <w:rFonts w:hint="eastAsia" w:eastAsia="仿宋"/>
          <w:color w:val="auto"/>
          <w:highlight w:val="none"/>
          <w:lang w:eastAsia="zh-CN"/>
        </w:rPr>
      </w:pPr>
      <w:bookmarkStart w:id="66" w:name="_Toc15396631"/>
      <w:r>
        <w:rPr>
          <w:rStyle w:val="27"/>
          <w:rFonts w:hint="eastAsia" w:ascii="仿宋" w:hAnsi="仿宋" w:eastAsia="仿宋"/>
          <w:b w:val="0"/>
          <w:bCs w:val="0"/>
          <w:color w:val="auto"/>
          <w:highlight w:val="none"/>
        </w:rPr>
        <w:t>十三、</w:t>
      </w:r>
      <w:bookmarkEnd w:id="66"/>
      <w:r>
        <w:rPr>
          <w:rStyle w:val="27"/>
          <w:rFonts w:hint="eastAsia" w:ascii="仿宋" w:hAnsi="仿宋" w:eastAsia="仿宋"/>
          <w:b w:val="0"/>
          <w:bCs w:val="0"/>
          <w:color w:val="auto"/>
          <w:highlight w:val="none"/>
          <w:lang w:eastAsia="zh-CN"/>
        </w:rPr>
        <w:t>财政拨款“三公”经费支出决算表</w:t>
      </w:r>
    </w:p>
    <w:sectPr>
      <w:headerReference r:id="rId3" w:type="default"/>
      <w:footerReference r:id="rId4" w:type="default"/>
      <w:pgSz w:w="11906" w:h="16838"/>
      <w:pgMar w:top="1440" w:right="1800" w:bottom="1440" w:left="1800" w:header="851" w:footer="992" w:gutter="0"/>
      <w:pgNumType w:start="1"/>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2000000000000000000"/>
    <w:charset w:val="86"/>
    <w:family w:val="script"/>
    <w:pitch w:val="default"/>
    <w:sig w:usb0="00000000" w:usb1="00000000"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94781956"/>
    </w:sdtPr>
    <w:sdtContent>
      <w:p>
        <w:pPr>
          <w:pStyle w:val="10"/>
          <w:jc w:val="center"/>
        </w:pPr>
        <w:r>
          <w:fldChar w:fldCharType="begin"/>
        </w:r>
        <w:r>
          <w:instrText xml:space="preserve">PAGE   \* MERGEFORMAT</w:instrText>
        </w:r>
        <w:r>
          <w:fldChar w:fldCharType="separate"/>
        </w:r>
        <w:r>
          <w:rPr>
            <w:lang w:val="zh-CN"/>
          </w:rPr>
          <w:t>8</w:t>
        </w:r>
        <w:r>
          <w:fldChar w:fldCharType="end"/>
        </w:r>
      </w:p>
    </w:sdtContent>
  </w:sdt>
  <w:p>
    <w:pPr>
      <w:pStyle w:val="1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11FB64D"/>
    <w:multiLevelType w:val="singleLevel"/>
    <w:tmpl w:val="A11FB64D"/>
    <w:lvl w:ilvl="0" w:tentative="0">
      <w:start w:val="1"/>
      <w:numFmt w:val="decimal"/>
      <w:lvlText w:val="%1."/>
      <w:lvlJc w:val="left"/>
      <w:pPr>
        <w:tabs>
          <w:tab w:val="left" w:pos="312"/>
        </w:tabs>
      </w:pPr>
    </w:lvl>
  </w:abstractNum>
  <w:abstractNum w:abstractNumId="1">
    <w:nsid w:val="CF652CEC"/>
    <w:multiLevelType w:val="singleLevel"/>
    <w:tmpl w:val="CF652CEC"/>
    <w:lvl w:ilvl="0" w:tentative="0">
      <w:start w:val="9"/>
      <w:numFmt w:val="chineseCounting"/>
      <w:suff w:val="nothing"/>
      <w:lvlText w:val="%1、"/>
      <w:lvlJc w:val="left"/>
      <w:rPr>
        <w:rFonts w:hint="eastAsia"/>
      </w:rPr>
    </w:lvl>
  </w:abstractNum>
  <w:abstractNum w:abstractNumId="2">
    <w:nsid w:val="E2FA047D"/>
    <w:multiLevelType w:val="singleLevel"/>
    <w:tmpl w:val="E2FA047D"/>
    <w:lvl w:ilvl="0" w:tentative="0">
      <w:start w:val="3"/>
      <w:numFmt w:val="chineseCounting"/>
      <w:suff w:val="space"/>
      <w:lvlText w:val="第%1部分"/>
      <w:lvlJc w:val="left"/>
      <w:rPr>
        <w:rFonts w:hint="eastAsia" w:ascii="黑体" w:hAnsi="黑体" w:eastAsia="黑体" w:cs="黑体"/>
        <w:sz w:val="44"/>
        <w:szCs w:val="44"/>
      </w:rPr>
    </w:lvl>
  </w:abstractNum>
  <w:abstractNum w:abstractNumId="3">
    <w:nsid w:val="1272550B"/>
    <w:multiLevelType w:val="multilevel"/>
    <w:tmpl w:val="1272550B"/>
    <w:lvl w:ilvl="0" w:tentative="0">
      <w:start w:val="1"/>
      <w:numFmt w:val="japaneseCounting"/>
      <w:lvlText w:val="%1、"/>
      <w:lvlJc w:val="left"/>
      <w:pPr>
        <w:ind w:left="1360" w:hanging="720"/>
      </w:pPr>
      <w:rPr>
        <w:rFonts w:hint="default"/>
        <w:b w:val="0"/>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4">
    <w:nsid w:val="3818A09A"/>
    <w:multiLevelType w:val="singleLevel"/>
    <w:tmpl w:val="3818A09A"/>
    <w:lvl w:ilvl="0" w:tentative="0">
      <w:start w:val="1"/>
      <w:numFmt w:val="chineseCounting"/>
      <w:suff w:val="nothing"/>
      <w:lvlText w:val="%1、"/>
      <w:lvlJc w:val="left"/>
      <w:pPr>
        <w:ind w:left="630"/>
      </w:pPr>
      <w:rPr>
        <w:rFonts w:hint="eastAsia"/>
      </w:rPr>
    </w:lvl>
  </w:abstractNum>
  <w:num w:numId="1">
    <w:abstractNumId w:val="4"/>
  </w:num>
  <w:num w:numId="2">
    <w:abstractNumId w:val="3"/>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361C"/>
    <w:rsid w:val="000222C6"/>
    <w:rsid w:val="0002549F"/>
    <w:rsid w:val="000468DB"/>
    <w:rsid w:val="0006487A"/>
    <w:rsid w:val="00065F8F"/>
    <w:rsid w:val="00070A43"/>
    <w:rsid w:val="000768F2"/>
    <w:rsid w:val="0009184B"/>
    <w:rsid w:val="00094236"/>
    <w:rsid w:val="0009593C"/>
    <w:rsid w:val="00097322"/>
    <w:rsid w:val="000A6A92"/>
    <w:rsid w:val="000B047F"/>
    <w:rsid w:val="000B5923"/>
    <w:rsid w:val="000B5A48"/>
    <w:rsid w:val="000B6FF3"/>
    <w:rsid w:val="000C3467"/>
    <w:rsid w:val="000C3CA6"/>
    <w:rsid w:val="000D1267"/>
    <w:rsid w:val="000D1D50"/>
    <w:rsid w:val="000D5782"/>
    <w:rsid w:val="000E6613"/>
    <w:rsid w:val="000E7119"/>
    <w:rsid w:val="00114E9B"/>
    <w:rsid w:val="00142216"/>
    <w:rsid w:val="00144D6A"/>
    <w:rsid w:val="0014729F"/>
    <w:rsid w:val="00157BAB"/>
    <w:rsid w:val="001654D1"/>
    <w:rsid w:val="00174518"/>
    <w:rsid w:val="0018106D"/>
    <w:rsid w:val="001877A7"/>
    <w:rsid w:val="00191536"/>
    <w:rsid w:val="00196687"/>
    <w:rsid w:val="001C0962"/>
    <w:rsid w:val="001D7531"/>
    <w:rsid w:val="001E737D"/>
    <w:rsid w:val="001F0592"/>
    <w:rsid w:val="001F7506"/>
    <w:rsid w:val="002006CD"/>
    <w:rsid w:val="00202B36"/>
    <w:rsid w:val="00204B7A"/>
    <w:rsid w:val="00204CDE"/>
    <w:rsid w:val="0021101A"/>
    <w:rsid w:val="00220536"/>
    <w:rsid w:val="00235629"/>
    <w:rsid w:val="00260C38"/>
    <w:rsid w:val="002616C0"/>
    <w:rsid w:val="00265372"/>
    <w:rsid w:val="002662AA"/>
    <w:rsid w:val="00280496"/>
    <w:rsid w:val="00294DC9"/>
    <w:rsid w:val="00295495"/>
    <w:rsid w:val="002A31DE"/>
    <w:rsid w:val="002B2613"/>
    <w:rsid w:val="002D6D05"/>
    <w:rsid w:val="002F1818"/>
    <w:rsid w:val="002F567B"/>
    <w:rsid w:val="003216A9"/>
    <w:rsid w:val="00335A74"/>
    <w:rsid w:val="0036561B"/>
    <w:rsid w:val="0037013F"/>
    <w:rsid w:val="00380C92"/>
    <w:rsid w:val="003A484F"/>
    <w:rsid w:val="003A4883"/>
    <w:rsid w:val="003B0BE0"/>
    <w:rsid w:val="003B0C1B"/>
    <w:rsid w:val="003B688C"/>
    <w:rsid w:val="003C0291"/>
    <w:rsid w:val="003C39AE"/>
    <w:rsid w:val="003C7B60"/>
    <w:rsid w:val="003D0C0F"/>
    <w:rsid w:val="003D1FB2"/>
    <w:rsid w:val="003D66DA"/>
    <w:rsid w:val="003E1310"/>
    <w:rsid w:val="003E6F55"/>
    <w:rsid w:val="00406254"/>
    <w:rsid w:val="004223DE"/>
    <w:rsid w:val="00434489"/>
    <w:rsid w:val="00437085"/>
    <w:rsid w:val="00443880"/>
    <w:rsid w:val="004464F4"/>
    <w:rsid w:val="00471401"/>
    <w:rsid w:val="00473F31"/>
    <w:rsid w:val="0048263A"/>
    <w:rsid w:val="00487E5D"/>
    <w:rsid w:val="004A711F"/>
    <w:rsid w:val="004B199D"/>
    <w:rsid w:val="004B4690"/>
    <w:rsid w:val="004E0A2D"/>
    <w:rsid w:val="004E206B"/>
    <w:rsid w:val="004E6DF7"/>
    <w:rsid w:val="004F0FBD"/>
    <w:rsid w:val="00505A47"/>
    <w:rsid w:val="00512FDA"/>
    <w:rsid w:val="00520DA0"/>
    <w:rsid w:val="005664BB"/>
    <w:rsid w:val="00566FFA"/>
    <w:rsid w:val="0057481D"/>
    <w:rsid w:val="0058486E"/>
    <w:rsid w:val="00585B33"/>
    <w:rsid w:val="0059014D"/>
    <w:rsid w:val="005B5C64"/>
    <w:rsid w:val="005C5337"/>
    <w:rsid w:val="005C6BD0"/>
    <w:rsid w:val="005D1C8B"/>
    <w:rsid w:val="005D468D"/>
    <w:rsid w:val="005D5CED"/>
    <w:rsid w:val="005F1A4C"/>
    <w:rsid w:val="00605688"/>
    <w:rsid w:val="006070AF"/>
    <w:rsid w:val="00607E6C"/>
    <w:rsid w:val="006101B1"/>
    <w:rsid w:val="00614E44"/>
    <w:rsid w:val="0062270A"/>
    <w:rsid w:val="00622830"/>
    <w:rsid w:val="00623DA0"/>
    <w:rsid w:val="00630AEF"/>
    <w:rsid w:val="006325F8"/>
    <w:rsid w:val="00633463"/>
    <w:rsid w:val="00634C9A"/>
    <w:rsid w:val="006440E4"/>
    <w:rsid w:val="0066343B"/>
    <w:rsid w:val="00664777"/>
    <w:rsid w:val="006748A4"/>
    <w:rsid w:val="00681A31"/>
    <w:rsid w:val="00683E73"/>
    <w:rsid w:val="006A3141"/>
    <w:rsid w:val="006A5E34"/>
    <w:rsid w:val="006B2422"/>
    <w:rsid w:val="006B2B9A"/>
    <w:rsid w:val="006C1937"/>
    <w:rsid w:val="006F020C"/>
    <w:rsid w:val="007127B7"/>
    <w:rsid w:val="0071798E"/>
    <w:rsid w:val="007416B6"/>
    <w:rsid w:val="00746F48"/>
    <w:rsid w:val="0075404D"/>
    <w:rsid w:val="0076182A"/>
    <w:rsid w:val="00767B7E"/>
    <w:rsid w:val="007770C3"/>
    <w:rsid w:val="00784D24"/>
    <w:rsid w:val="00785FBA"/>
    <w:rsid w:val="00786E4A"/>
    <w:rsid w:val="007875EB"/>
    <w:rsid w:val="0079426B"/>
    <w:rsid w:val="007D1682"/>
    <w:rsid w:val="007D312A"/>
    <w:rsid w:val="007D3F19"/>
    <w:rsid w:val="007E23B0"/>
    <w:rsid w:val="007E23E5"/>
    <w:rsid w:val="007F1991"/>
    <w:rsid w:val="007F2C2F"/>
    <w:rsid w:val="007F55FC"/>
    <w:rsid w:val="007F5665"/>
    <w:rsid w:val="00800112"/>
    <w:rsid w:val="00813348"/>
    <w:rsid w:val="008253BB"/>
    <w:rsid w:val="0083706E"/>
    <w:rsid w:val="008408F6"/>
    <w:rsid w:val="008423A5"/>
    <w:rsid w:val="00850625"/>
    <w:rsid w:val="00853718"/>
    <w:rsid w:val="00855221"/>
    <w:rsid w:val="00860645"/>
    <w:rsid w:val="00871F71"/>
    <w:rsid w:val="00872FD8"/>
    <w:rsid w:val="00885AF4"/>
    <w:rsid w:val="008939CD"/>
    <w:rsid w:val="008B768C"/>
    <w:rsid w:val="008C4DB1"/>
    <w:rsid w:val="008C4EAF"/>
    <w:rsid w:val="008C5176"/>
    <w:rsid w:val="008C7FD0"/>
    <w:rsid w:val="008E1DE7"/>
    <w:rsid w:val="008E707C"/>
    <w:rsid w:val="00900B08"/>
    <w:rsid w:val="00902155"/>
    <w:rsid w:val="00902FA3"/>
    <w:rsid w:val="00923564"/>
    <w:rsid w:val="0092392E"/>
    <w:rsid w:val="009315F9"/>
    <w:rsid w:val="00933499"/>
    <w:rsid w:val="00935C98"/>
    <w:rsid w:val="00946945"/>
    <w:rsid w:val="00951248"/>
    <w:rsid w:val="0095152F"/>
    <w:rsid w:val="00954C49"/>
    <w:rsid w:val="00955E37"/>
    <w:rsid w:val="0097099F"/>
    <w:rsid w:val="00971997"/>
    <w:rsid w:val="00971FFC"/>
    <w:rsid w:val="0098660A"/>
    <w:rsid w:val="009931C3"/>
    <w:rsid w:val="009B2C43"/>
    <w:rsid w:val="009B4EAE"/>
    <w:rsid w:val="009B7573"/>
    <w:rsid w:val="009C22F4"/>
    <w:rsid w:val="009C2A4B"/>
    <w:rsid w:val="009C2E98"/>
    <w:rsid w:val="009D3447"/>
    <w:rsid w:val="009D4711"/>
    <w:rsid w:val="009F1185"/>
    <w:rsid w:val="009F18CD"/>
    <w:rsid w:val="009F2A13"/>
    <w:rsid w:val="009F7527"/>
    <w:rsid w:val="00A04EB0"/>
    <w:rsid w:val="00A13CC1"/>
    <w:rsid w:val="00A16847"/>
    <w:rsid w:val="00A237D8"/>
    <w:rsid w:val="00A268C4"/>
    <w:rsid w:val="00A307CD"/>
    <w:rsid w:val="00A331C8"/>
    <w:rsid w:val="00A40A00"/>
    <w:rsid w:val="00A4142F"/>
    <w:rsid w:val="00A422EB"/>
    <w:rsid w:val="00A45BB7"/>
    <w:rsid w:val="00A56DF2"/>
    <w:rsid w:val="00A56E6E"/>
    <w:rsid w:val="00A67AB5"/>
    <w:rsid w:val="00A733B2"/>
    <w:rsid w:val="00A741C2"/>
    <w:rsid w:val="00A91760"/>
    <w:rsid w:val="00A93B00"/>
    <w:rsid w:val="00A93C21"/>
    <w:rsid w:val="00AB64C9"/>
    <w:rsid w:val="00AC3C6A"/>
    <w:rsid w:val="00AD5620"/>
    <w:rsid w:val="00AD656B"/>
    <w:rsid w:val="00AD7C1B"/>
    <w:rsid w:val="00AE16BA"/>
    <w:rsid w:val="00AE1EBE"/>
    <w:rsid w:val="00B03C9D"/>
    <w:rsid w:val="00B060AE"/>
    <w:rsid w:val="00B10517"/>
    <w:rsid w:val="00B14E76"/>
    <w:rsid w:val="00B161B8"/>
    <w:rsid w:val="00B2048C"/>
    <w:rsid w:val="00B310B9"/>
    <w:rsid w:val="00B35F3F"/>
    <w:rsid w:val="00B36CBB"/>
    <w:rsid w:val="00B425E0"/>
    <w:rsid w:val="00B440AA"/>
    <w:rsid w:val="00B44B70"/>
    <w:rsid w:val="00B53C56"/>
    <w:rsid w:val="00B57DAF"/>
    <w:rsid w:val="00B77EA6"/>
    <w:rsid w:val="00B81598"/>
    <w:rsid w:val="00B841F1"/>
    <w:rsid w:val="00B944D6"/>
    <w:rsid w:val="00BB4DF0"/>
    <w:rsid w:val="00BC289F"/>
    <w:rsid w:val="00BC2D50"/>
    <w:rsid w:val="00BC5361"/>
    <w:rsid w:val="00BC5460"/>
    <w:rsid w:val="00BC6B50"/>
    <w:rsid w:val="00BD0E25"/>
    <w:rsid w:val="00BF5BD6"/>
    <w:rsid w:val="00C03E31"/>
    <w:rsid w:val="00C33E72"/>
    <w:rsid w:val="00C354B2"/>
    <w:rsid w:val="00C35554"/>
    <w:rsid w:val="00C42709"/>
    <w:rsid w:val="00C533CC"/>
    <w:rsid w:val="00C5751C"/>
    <w:rsid w:val="00C61BFC"/>
    <w:rsid w:val="00C62B85"/>
    <w:rsid w:val="00C65438"/>
    <w:rsid w:val="00C87FD8"/>
    <w:rsid w:val="00C91381"/>
    <w:rsid w:val="00C91CBB"/>
    <w:rsid w:val="00CB4E70"/>
    <w:rsid w:val="00CC09B6"/>
    <w:rsid w:val="00CC666F"/>
    <w:rsid w:val="00CD1E3F"/>
    <w:rsid w:val="00CE44F6"/>
    <w:rsid w:val="00CE49DA"/>
    <w:rsid w:val="00CE7B61"/>
    <w:rsid w:val="00D00095"/>
    <w:rsid w:val="00D114F0"/>
    <w:rsid w:val="00D20620"/>
    <w:rsid w:val="00D254F7"/>
    <w:rsid w:val="00D26091"/>
    <w:rsid w:val="00D2685C"/>
    <w:rsid w:val="00D34E7C"/>
    <w:rsid w:val="00D35489"/>
    <w:rsid w:val="00D36AFE"/>
    <w:rsid w:val="00D51276"/>
    <w:rsid w:val="00D7035F"/>
    <w:rsid w:val="00DA634F"/>
    <w:rsid w:val="00DA65AC"/>
    <w:rsid w:val="00DB1913"/>
    <w:rsid w:val="00DC410D"/>
    <w:rsid w:val="00DC5A81"/>
    <w:rsid w:val="00DC68CA"/>
    <w:rsid w:val="00DC7CBA"/>
    <w:rsid w:val="00DD73B7"/>
    <w:rsid w:val="00DF28BC"/>
    <w:rsid w:val="00DF34B9"/>
    <w:rsid w:val="00E01053"/>
    <w:rsid w:val="00E07ACF"/>
    <w:rsid w:val="00E331A1"/>
    <w:rsid w:val="00E33202"/>
    <w:rsid w:val="00E336A9"/>
    <w:rsid w:val="00E472B1"/>
    <w:rsid w:val="00E50624"/>
    <w:rsid w:val="00E568DF"/>
    <w:rsid w:val="00E64269"/>
    <w:rsid w:val="00E82267"/>
    <w:rsid w:val="00E853CE"/>
    <w:rsid w:val="00E867B6"/>
    <w:rsid w:val="00EA010F"/>
    <w:rsid w:val="00ED1B63"/>
    <w:rsid w:val="00ED3C1F"/>
    <w:rsid w:val="00ED4085"/>
    <w:rsid w:val="00ED420E"/>
    <w:rsid w:val="00ED6FBE"/>
    <w:rsid w:val="00EE2F57"/>
    <w:rsid w:val="00EF4C34"/>
    <w:rsid w:val="00EF77C6"/>
    <w:rsid w:val="00F05438"/>
    <w:rsid w:val="00F1361C"/>
    <w:rsid w:val="00F156F0"/>
    <w:rsid w:val="00F160C7"/>
    <w:rsid w:val="00F2408F"/>
    <w:rsid w:val="00F240E9"/>
    <w:rsid w:val="00F36D8F"/>
    <w:rsid w:val="00F417B1"/>
    <w:rsid w:val="00F45853"/>
    <w:rsid w:val="00F602DF"/>
    <w:rsid w:val="00F754A1"/>
    <w:rsid w:val="00F81FD9"/>
    <w:rsid w:val="00F841AA"/>
    <w:rsid w:val="00F84A94"/>
    <w:rsid w:val="00F87E96"/>
    <w:rsid w:val="00FA23E8"/>
    <w:rsid w:val="00FD3CC1"/>
    <w:rsid w:val="00FF1E02"/>
    <w:rsid w:val="00FF30B4"/>
    <w:rsid w:val="053A62B5"/>
    <w:rsid w:val="0A2032A3"/>
    <w:rsid w:val="0B8A37D8"/>
    <w:rsid w:val="10C055FF"/>
    <w:rsid w:val="118107EC"/>
    <w:rsid w:val="11DD6519"/>
    <w:rsid w:val="16BB723D"/>
    <w:rsid w:val="18015F3F"/>
    <w:rsid w:val="1BE8440E"/>
    <w:rsid w:val="1D155CEE"/>
    <w:rsid w:val="20F57F95"/>
    <w:rsid w:val="240371BF"/>
    <w:rsid w:val="25711CC6"/>
    <w:rsid w:val="25C741E6"/>
    <w:rsid w:val="26D50051"/>
    <w:rsid w:val="27842671"/>
    <w:rsid w:val="29086FE6"/>
    <w:rsid w:val="29FD04D3"/>
    <w:rsid w:val="2ABE7A3E"/>
    <w:rsid w:val="2CA234A8"/>
    <w:rsid w:val="2E4504DC"/>
    <w:rsid w:val="2EFA178C"/>
    <w:rsid w:val="30B46D73"/>
    <w:rsid w:val="312773D1"/>
    <w:rsid w:val="31960A45"/>
    <w:rsid w:val="319F7F4E"/>
    <w:rsid w:val="33FC2DFB"/>
    <w:rsid w:val="383D272C"/>
    <w:rsid w:val="38F23F66"/>
    <w:rsid w:val="39AE70AB"/>
    <w:rsid w:val="3C0C0783"/>
    <w:rsid w:val="3F9F3A96"/>
    <w:rsid w:val="48BF60AB"/>
    <w:rsid w:val="493C27E9"/>
    <w:rsid w:val="496F39ED"/>
    <w:rsid w:val="49FF41D3"/>
    <w:rsid w:val="4BE068DB"/>
    <w:rsid w:val="4BF6002B"/>
    <w:rsid w:val="4ECE2238"/>
    <w:rsid w:val="51DB4B86"/>
    <w:rsid w:val="55333C3E"/>
    <w:rsid w:val="64CA39A1"/>
    <w:rsid w:val="69630ADE"/>
    <w:rsid w:val="6C4A05C8"/>
    <w:rsid w:val="6D3B1A89"/>
    <w:rsid w:val="71BF4EC2"/>
    <w:rsid w:val="72734D90"/>
    <w:rsid w:val="7412278C"/>
    <w:rsid w:val="79E7B28D"/>
    <w:rsid w:val="7D5E49CC"/>
    <w:rsid w:val="7F9F20EE"/>
    <w:rsid w:val="7FD6124F"/>
    <w:rsid w:val="9E3A10E2"/>
    <w:rsid w:val="F2E1F9D4"/>
    <w:rsid w:val="F788081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26"/>
    <w:qFormat/>
    <w:uiPriority w:val="9"/>
    <w:pPr>
      <w:keepNext/>
      <w:keepLines/>
      <w:spacing w:before="340" w:after="330" w:line="578" w:lineRule="auto"/>
      <w:outlineLvl w:val="0"/>
    </w:pPr>
    <w:rPr>
      <w:b/>
      <w:bCs/>
      <w:kern w:val="44"/>
      <w:sz w:val="44"/>
      <w:szCs w:val="44"/>
    </w:rPr>
  </w:style>
  <w:style w:type="paragraph" w:styleId="5">
    <w:name w:val="heading 2"/>
    <w:basedOn w:val="1"/>
    <w:next w:val="1"/>
    <w:link w:val="27"/>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6">
    <w:name w:val="heading 3"/>
    <w:basedOn w:val="1"/>
    <w:next w:val="1"/>
    <w:link w:val="30"/>
    <w:unhideWhenUsed/>
    <w:qFormat/>
    <w:uiPriority w:val="9"/>
    <w:pPr>
      <w:keepNext/>
      <w:keepLines/>
      <w:spacing w:before="260" w:after="260" w:line="416" w:lineRule="auto"/>
      <w:outlineLvl w:val="2"/>
    </w:pPr>
    <w:rPr>
      <w:b/>
      <w:bCs/>
      <w:sz w:val="32"/>
      <w:szCs w:val="32"/>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tabs>
        <w:tab w:val="left" w:pos="960"/>
      </w:tabs>
      <w:ind w:firstLine="420" w:firstLineChars="200"/>
    </w:pPr>
  </w:style>
  <w:style w:type="paragraph" w:styleId="3">
    <w:name w:val="Body Text Indent"/>
    <w:basedOn w:val="1"/>
    <w:qFormat/>
    <w:uiPriority w:val="0"/>
    <w:pPr>
      <w:tabs>
        <w:tab w:val="left" w:pos="960"/>
      </w:tabs>
      <w:spacing w:line="540" w:lineRule="exact"/>
      <w:ind w:firstLine="5440" w:firstLineChars="1700"/>
    </w:pPr>
    <w:rPr>
      <w:sz w:val="32"/>
      <w:szCs w:val="32"/>
    </w:rPr>
  </w:style>
  <w:style w:type="paragraph" w:styleId="7">
    <w:name w:val="Body Text"/>
    <w:basedOn w:val="1"/>
    <w:link w:val="23"/>
    <w:qFormat/>
    <w:uiPriority w:val="99"/>
    <w:pPr>
      <w:spacing w:beforeLines="30"/>
    </w:pPr>
    <w:rPr>
      <w:rFonts w:ascii="仿宋_GB2312" w:eastAsia="仿宋_GB2312"/>
      <w:kern w:val="0"/>
      <w:sz w:val="30"/>
    </w:rPr>
  </w:style>
  <w:style w:type="paragraph" w:styleId="8">
    <w:name w:val="toc 3"/>
    <w:basedOn w:val="1"/>
    <w:next w:val="1"/>
    <w:unhideWhenUsed/>
    <w:qFormat/>
    <w:uiPriority w:val="39"/>
    <w:pPr>
      <w:tabs>
        <w:tab w:val="right" w:leader="dot" w:pos="8296"/>
      </w:tabs>
      <w:ind w:left="840" w:leftChars="400"/>
    </w:pPr>
  </w:style>
  <w:style w:type="paragraph" w:styleId="9">
    <w:name w:val="Balloon Text"/>
    <w:basedOn w:val="1"/>
    <w:link w:val="29"/>
    <w:semiHidden/>
    <w:unhideWhenUsed/>
    <w:qFormat/>
    <w:uiPriority w:val="99"/>
    <w:rPr>
      <w:sz w:val="18"/>
      <w:szCs w:val="18"/>
    </w:rPr>
  </w:style>
  <w:style w:type="paragraph" w:styleId="10">
    <w:name w:val="footer"/>
    <w:basedOn w:val="1"/>
    <w:link w:val="21"/>
    <w:qFormat/>
    <w:uiPriority w:val="99"/>
    <w:pPr>
      <w:tabs>
        <w:tab w:val="center" w:pos="4153"/>
        <w:tab w:val="right" w:pos="8306"/>
      </w:tabs>
      <w:snapToGrid w:val="0"/>
      <w:jc w:val="left"/>
    </w:pPr>
    <w:rPr>
      <w:rFonts w:ascii="Calibri" w:hAnsi="Calibri"/>
      <w:kern w:val="0"/>
      <w:sz w:val="18"/>
      <w:szCs w:val="18"/>
    </w:rPr>
  </w:style>
  <w:style w:type="paragraph" w:styleId="11">
    <w:name w:val="header"/>
    <w:basedOn w:val="1"/>
    <w:link w:val="19"/>
    <w:semiHidden/>
    <w:qFormat/>
    <w:uiPriority w:val="99"/>
    <w:pPr>
      <w:pBdr>
        <w:bottom w:val="single" w:color="auto" w:sz="6" w:space="1"/>
      </w:pBdr>
      <w:tabs>
        <w:tab w:val="center" w:pos="4153"/>
        <w:tab w:val="right" w:pos="8306"/>
      </w:tabs>
      <w:snapToGrid w:val="0"/>
      <w:jc w:val="center"/>
    </w:pPr>
    <w:rPr>
      <w:rFonts w:ascii="Calibri" w:hAnsi="Calibri"/>
      <w:kern w:val="0"/>
      <w:sz w:val="18"/>
      <w:szCs w:val="18"/>
    </w:rPr>
  </w:style>
  <w:style w:type="paragraph" w:styleId="12">
    <w:name w:val="toc 1"/>
    <w:basedOn w:val="1"/>
    <w:next w:val="1"/>
    <w:unhideWhenUsed/>
    <w:qFormat/>
    <w:uiPriority w:val="39"/>
    <w:pPr>
      <w:tabs>
        <w:tab w:val="right" w:leader="dot" w:pos="8296"/>
      </w:tabs>
      <w:spacing w:before="93"/>
      <w:jc w:val="center"/>
    </w:pPr>
    <w:rPr>
      <w:rFonts w:ascii="仿宋" w:hAnsi="仿宋" w:eastAsia="仿宋"/>
      <w:sz w:val="28"/>
      <w:szCs w:val="28"/>
    </w:rPr>
  </w:style>
  <w:style w:type="paragraph" w:styleId="13">
    <w:name w:val="toc 2"/>
    <w:basedOn w:val="1"/>
    <w:next w:val="1"/>
    <w:unhideWhenUsed/>
    <w:qFormat/>
    <w:uiPriority w:val="39"/>
    <w:pPr>
      <w:tabs>
        <w:tab w:val="right" w:leader="dot" w:pos="8296"/>
      </w:tabs>
      <w:ind w:left="420" w:leftChars="200"/>
    </w:pPr>
  </w:style>
  <w:style w:type="character" w:styleId="16">
    <w:name w:val="Strong"/>
    <w:basedOn w:val="15"/>
    <w:qFormat/>
    <w:uiPriority w:val="99"/>
    <w:rPr>
      <w:b/>
    </w:rPr>
  </w:style>
  <w:style w:type="character" w:styleId="17">
    <w:name w:val="Hyperlink"/>
    <w:basedOn w:val="15"/>
    <w:unhideWhenUsed/>
    <w:qFormat/>
    <w:uiPriority w:val="99"/>
    <w:rPr>
      <w:color w:val="0000FF" w:themeColor="hyperlink"/>
      <w:u w:val="single"/>
      <w14:textFill>
        <w14:solidFill>
          <w14:schemeClr w14:val="hlink"/>
        </w14:solidFill>
      </w14:textFill>
    </w:rPr>
  </w:style>
  <w:style w:type="character" w:customStyle="1" w:styleId="18">
    <w:name w:val="Header Char"/>
    <w:basedOn w:val="15"/>
    <w:semiHidden/>
    <w:qFormat/>
    <w:uiPriority w:val="99"/>
    <w:rPr>
      <w:rFonts w:ascii="Times New Roman" w:hAnsi="Times New Roman"/>
      <w:sz w:val="18"/>
      <w:szCs w:val="18"/>
    </w:rPr>
  </w:style>
  <w:style w:type="character" w:customStyle="1" w:styleId="19">
    <w:name w:val="页眉 Char"/>
    <w:link w:val="11"/>
    <w:semiHidden/>
    <w:qFormat/>
    <w:locked/>
    <w:uiPriority w:val="99"/>
    <w:rPr>
      <w:sz w:val="18"/>
    </w:rPr>
  </w:style>
  <w:style w:type="character" w:customStyle="1" w:styleId="20">
    <w:name w:val="Footer Char"/>
    <w:basedOn w:val="15"/>
    <w:semiHidden/>
    <w:qFormat/>
    <w:uiPriority w:val="99"/>
    <w:rPr>
      <w:rFonts w:ascii="Times New Roman" w:hAnsi="Times New Roman"/>
      <w:sz w:val="18"/>
      <w:szCs w:val="18"/>
    </w:rPr>
  </w:style>
  <w:style w:type="character" w:customStyle="1" w:styleId="21">
    <w:name w:val="页脚 Char"/>
    <w:link w:val="10"/>
    <w:qFormat/>
    <w:locked/>
    <w:uiPriority w:val="99"/>
    <w:rPr>
      <w:sz w:val="18"/>
    </w:rPr>
  </w:style>
  <w:style w:type="character" w:customStyle="1" w:styleId="22">
    <w:name w:val="Body Text Char"/>
    <w:basedOn w:val="15"/>
    <w:semiHidden/>
    <w:qFormat/>
    <w:uiPriority w:val="99"/>
    <w:rPr>
      <w:rFonts w:ascii="Times New Roman" w:hAnsi="Times New Roman"/>
      <w:szCs w:val="24"/>
    </w:rPr>
  </w:style>
  <w:style w:type="character" w:customStyle="1" w:styleId="23">
    <w:name w:val="正文文本 Char"/>
    <w:link w:val="7"/>
    <w:qFormat/>
    <w:locked/>
    <w:uiPriority w:val="99"/>
    <w:rPr>
      <w:rFonts w:ascii="仿宋_GB2312" w:hAnsi="Times New Roman" w:eastAsia="仿宋_GB2312"/>
      <w:sz w:val="24"/>
    </w:rPr>
  </w:style>
  <w:style w:type="paragraph" w:customStyle="1" w:styleId="24">
    <w:name w:val="Default"/>
    <w:qFormat/>
    <w:uiPriority w:val="99"/>
    <w:pPr>
      <w:widowControl w:val="0"/>
      <w:autoSpaceDE w:val="0"/>
      <w:autoSpaceDN w:val="0"/>
      <w:adjustRightInd w:val="0"/>
    </w:pPr>
    <w:rPr>
      <w:rFonts w:ascii="仿宋" w:hAnsi="Calibri" w:eastAsia="仿宋" w:cs="仿宋"/>
      <w:color w:val="000000"/>
      <w:sz w:val="24"/>
      <w:szCs w:val="24"/>
      <w:lang w:val="en-US" w:eastAsia="zh-CN" w:bidi="ar-SA"/>
    </w:rPr>
  </w:style>
  <w:style w:type="paragraph" w:styleId="25">
    <w:name w:val="List Paragraph"/>
    <w:basedOn w:val="1"/>
    <w:qFormat/>
    <w:uiPriority w:val="34"/>
    <w:pPr>
      <w:ind w:firstLine="420" w:firstLineChars="200"/>
    </w:pPr>
  </w:style>
  <w:style w:type="character" w:customStyle="1" w:styleId="26">
    <w:name w:val="标题 1 Char"/>
    <w:basedOn w:val="15"/>
    <w:link w:val="4"/>
    <w:qFormat/>
    <w:uiPriority w:val="9"/>
    <w:rPr>
      <w:rFonts w:ascii="Times New Roman" w:hAnsi="Times New Roman"/>
      <w:b/>
      <w:bCs/>
      <w:kern w:val="44"/>
      <w:sz w:val="44"/>
      <w:szCs w:val="44"/>
    </w:rPr>
  </w:style>
  <w:style w:type="character" w:customStyle="1" w:styleId="27">
    <w:name w:val="标题 2 Char"/>
    <w:basedOn w:val="15"/>
    <w:link w:val="5"/>
    <w:qFormat/>
    <w:uiPriority w:val="9"/>
    <w:rPr>
      <w:rFonts w:asciiTheme="majorHAnsi" w:hAnsiTheme="majorHAnsi" w:eastAsiaTheme="majorEastAsia" w:cstheme="majorBidi"/>
      <w:b/>
      <w:bCs/>
      <w:kern w:val="2"/>
      <w:sz w:val="32"/>
      <w:szCs w:val="32"/>
    </w:rPr>
  </w:style>
  <w:style w:type="paragraph" w:customStyle="1" w:styleId="28">
    <w:name w:val="TOC 标题1"/>
    <w:basedOn w:val="4"/>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29">
    <w:name w:val="批注框文本 Char"/>
    <w:basedOn w:val="15"/>
    <w:link w:val="9"/>
    <w:semiHidden/>
    <w:qFormat/>
    <w:uiPriority w:val="99"/>
    <w:rPr>
      <w:rFonts w:ascii="Times New Roman" w:hAnsi="Times New Roman"/>
      <w:kern w:val="2"/>
      <w:sz w:val="18"/>
      <w:szCs w:val="18"/>
    </w:rPr>
  </w:style>
  <w:style w:type="character" w:customStyle="1" w:styleId="30">
    <w:name w:val="标题 3 Char"/>
    <w:basedOn w:val="15"/>
    <w:link w:val="6"/>
    <w:qFormat/>
    <w:uiPriority w:val="9"/>
    <w:rPr>
      <w:rFonts w:ascii="Times New Roman" w:hAnsi="Times New Roman"/>
      <w:b/>
      <w:bCs/>
      <w:kern w:val="2"/>
      <w:sz w:val="32"/>
      <w:szCs w:val="32"/>
    </w:rPr>
  </w:style>
  <w:style w:type="paragraph" w:customStyle="1" w:styleId="31">
    <w:name w:val="TOC Heading"/>
    <w:basedOn w:val="4"/>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chart" Target="charts/chart4.xml"/><Relationship Id="rId8" Type="http://schemas.openxmlformats.org/officeDocument/2006/relationships/chart" Target="charts/chart3.xml"/><Relationship Id="rId7" Type="http://schemas.openxmlformats.org/officeDocument/2006/relationships/chart" Target="charts/chart2.xml"/><Relationship Id="rId6" Type="http://schemas.openxmlformats.org/officeDocument/2006/relationships/chart" Target="charts/chart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chart" Target="charts/chart7.xml"/><Relationship Id="rId11" Type="http://schemas.openxmlformats.org/officeDocument/2006/relationships/chart" Target="charts/chart6.xml"/><Relationship Id="rId10" Type="http://schemas.openxmlformats.org/officeDocument/2006/relationships/chart" Target="charts/chart5.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4.xml"/><Relationship Id="rId2" Type="http://schemas.microsoft.com/office/2011/relationships/chartStyle" Target="style4.xml"/><Relationship Id="rId1" Type="http://schemas.openxmlformats.org/officeDocument/2006/relationships/package" Target="../embeddings/Workbook4.xlsx"/></Relationships>
</file>

<file path=word/charts/_rels/chart2.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_rels/chart3.xml.rels><?xml version="1.0" encoding="UTF-8" standalone="yes"?>
<Relationships xmlns="http://schemas.openxmlformats.org/package/2006/relationships"><Relationship Id="rId3" Type="http://schemas.microsoft.com/office/2011/relationships/chartColorStyle" Target="colors3.xml"/><Relationship Id="rId2" Type="http://schemas.microsoft.com/office/2011/relationships/chartStyle" Target="style3.xml"/><Relationship Id="rId1" Type="http://schemas.openxmlformats.org/officeDocument/2006/relationships/package" Target="../embeddings/Workbook3.xlsx"/></Relationships>
</file>

<file path=word/charts/_rels/chart4.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package" Target="../embeddings/Workbook2.xlsx"/></Relationships>
</file>

<file path=word/charts/_rels/chart5.xml.rels><?xml version="1.0" encoding="UTF-8" standalone="yes"?>
<Relationships xmlns="http://schemas.openxmlformats.org/package/2006/relationships"><Relationship Id="rId3" Type="http://schemas.microsoft.com/office/2011/relationships/chartColorStyle" Target="colors5.xml"/><Relationship Id="rId2" Type="http://schemas.microsoft.com/office/2011/relationships/chartStyle" Target="style5.xml"/><Relationship Id="rId1" Type="http://schemas.openxmlformats.org/officeDocument/2006/relationships/package" Target="../embeddings/Workbook5.xlsx"/></Relationships>
</file>

<file path=word/charts/_rels/chart6.xml.rels><?xml version="1.0" encoding="UTF-8" standalone="yes"?>
<Relationships xmlns="http://schemas.openxmlformats.org/package/2006/relationships"><Relationship Id="rId3" Type="http://schemas.microsoft.com/office/2011/relationships/chartColorStyle" Target="colors7.xml"/><Relationship Id="rId2" Type="http://schemas.microsoft.com/office/2011/relationships/chartStyle" Target="style7.xml"/><Relationship Id="rId1" Type="http://schemas.openxmlformats.org/officeDocument/2006/relationships/package" Target="../embeddings/Workbook7.xlsx"/></Relationships>
</file>

<file path=word/charts/_rels/chart7.xml.rels><?xml version="1.0" encoding="UTF-8" standalone="yes"?>
<Relationships xmlns="http://schemas.openxmlformats.org/package/2006/relationships"><Relationship Id="rId3" Type="http://schemas.microsoft.com/office/2011/relationships/chartColorStyle" Target="colors6.xml"/><Relationship Id="rId2" Type="http://schemas.microsoft.com/office/2011/relationships/chartStyle" Target="style6.xml"/><Relationship Id="rId1" Type="http://schemas.openxmlformats.org/officeDocument/2006/relationships/package" Target="../embeddings/Workbook6.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05595"/>
          <c:y val="0.0463536463536464"/>
          <c:w val="0.91655"/>
          <c:h val="0.768511488511489"/>
        </c:manualLayout>
      </c:layout>
      <c:barChart>
        <c:barDir val="col"/>
        <c:grouping val="clustered"/>
        <c:varyColors val="0"/>
        <c:ser>
          <c:idx val="0"/>
          <c:order val="0"/>
          <c:tx>
            <c:strRef>
              <c:f>Sheet1!$B$1</c:f>
              <c:strCache>
                <c:ptCount val="1"/>
                <c:pt idx="0">
                  <c:v>2021年</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c:f>
              <c:strCache>
                <c:ptCount val="1"/>
                <c:pt idx="0">
                  <c:v>图1：收、支决算总计变动情况图（单位：万元）</c:v>
                </c:pt>
              </c:strCache>
            </c:strRef>
          </c:cat>
          <c:val>
            <c:numRef>
              <c:f>Sheet1!$B$2</c:f>
              <c:numCache>
                <c:formatCode>General</c:formatCode>
                <c:ptCount val="1"/>
                <c:pt idx="0">
                  <c:v>124.31</c:v>
                </c:pt>
              </c:numCache>
            </c:numRef>
          </c:val>
        </c:ser>
        <c:ser>
          <c:idx val="1"/>
          <c:order val="1"/>
          <c:tx>
            <c:strRef>
              <c:f>Sheet1!$C$1</c:f>
              <c:strCache>
                <c:ptCount val="1"/>
                <c:pt idx="0">
                  <c:v>2022年</c:v>
                </c:pt>
              </c:strCache>
            </c:strRef>
          </c:tx>
          <c:spPr>
            <a:solidFill>
              <a:schemeClr val="accent2"/>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c:f>
              <c:strCache>
                <c:ptCount val="1"/>
                <c:pt idx="0">
                  <c:v>图1：收、支决算总计变动情况图（单位：万元）</c:v>
                </c:pt>
              </c:strCache>
            </c:strRef>
          </c:cat>
          <c:val>
            <c:numRef>
              <c:f>Sheet1!$C$2</c:f>
              <c:numCache>
                <c:formatCode>General</c:formatCode>
                <c:ptCount val="1"/>
                <c:pt idx="0">
                  <c:v>144.77</c:v>
                </c:pt>
              </c:numCache>
            </c:numRef>
          </c:val>
        </c:ser>
        <c:dLbls>
          <c:showLegendKey val="0"/>
          <c:showVal val="0"/>
          <c:showCatName val="0"/>
          <c:showSerName val="0"/>
          <c:showPercent val="0"/>
          <c:showBubbleSize val="0"/>
        </c:dLbls>
        <c:gapWidth val="219"/>
        <c:overlap val="-27"/>
        <c:axId val="165817978"/>
        <c:axId val="747309194"/>
        <c:extLst>
          <c:ext xmlns:c15="http://schemas.microsoft.com/office/drawing/2012/chart" uri="{02D57815-91ED-43cb-92C2-25804820EDAC}">
            <c15:filteredBarSeries>
              <c15:ser>
                <c:idx val="2"/>
                <c:order val="2"/>
                <c:tx>
                  <c:strRef>
                    <c:extLst>
                      <c:ext uri="{02D57815-91ED-43cb-92C2-25804820EDAC}">
                        <c15:formulaRef>
                          <c15:sqref>Sheet1!#REF!</c15:sqref>
                        </c15:formulaRef>
                      </c:ext>
                    </c:extLst>
                    <c:strCache>
                      <c:ptCount val="1"/>
                      <c:pt idx="0">
                        <c:v/>
                      </c:pt>
                    </c:strCache>
                  </c:strRef>
                </c:tx>
                <c:spPr>
                  <a:solidFill>
                    <a:schemeClr val="accent3"/>
                  </a:solidFill>
                  <a:ln>
                    <a:noFill/>
                  </a:ln>
                  <a:effectLst/>
                </c:spPr>
                <c:invertIfNegative val="0"/>
                <c:dLbls>
                  <c:delete val="1"/>
                </c:dLbls>
                <c:cat>
                  <c:strRef>
                    <c:extLst>
                      <c:ext uri="{02D57815-91ED-43cb-92C2-25804820EDAC}">
                        <c15:fullRef>
                          <c15:sqref/>
                        </c15:fullRef>
                        <c15:formulaRef>
                          <c15:sqref>Sheet1!$A$2</c15:sqref>
                        </c15:formulaRef>
                      </c:ext>
                    </c:extLst>
                    <c:strCache>
                      <c:ptCount val="1"/>
                      <c:pt idx="0">
                        <c:v>图1：收、支决算总计变动情况图（单位：万元）</c:v>
                      </c:pt>
                    </c:strCache>
                  </c:strRef>
                </c:cat>
                <c:val>
                  <c:numRef>
                    <c:extLst>
                      <c:ext uri="{02D57815-91ED-43cb-92C2-25804820EDAC}">
                        <c15:formulaRef>
                          <c15:sqref>Sheet1!#REF!</c15:sqref>
                        </c15:formulaRef>
                      </c:ext>
                    </c:extLst>
                    <c:numCache>
                      <c:formatCode>General</c:formatCode>
                      <c:ptCount val="1"/>
                      <c:pt idx="0">
                        <c:v>1</c:v>
                      </c:pt>
                    </c:numCache>
                  </c:numRef>
                </c:val>
              </c15:ser>
            </c15:filteredBarSeries>
          </c:ext>
        </c:extLst>
      </c:barChart>
      <c:catAx>
        <c:axId val="165817978"/>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747309194"/>
        <c:crosses val="autoZero"/>
        <c:auto val="1"/>
        <c:lblAlgn val="ctr"/>
        <c:lblOffset val="100"/>
        <c:noMultiLvlLbl val="0"/>
      </c:catAx>
      <c:valAx>
        <c:axId val="74730919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65817978"/>
        <c:crosses val="autoZero"/>
        <c:crossBetween val="between"/>
      </c:valAx>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pieChart>
        <c:varyColors val="1"/>
        <c:ser>
          <c:idx val="0"/>
          <c:order val="0"/>
          <c:tx>
            <c:strRef>
              <c:f>Sheet1!$B$1</c:f>
              <c:strCache>
                <c:ptCount val="1"/>
                <c:pt idx="0">
                  <c:v>图2：收入决算结构图</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Lbls>
            <c:delete val="1"/>
          </c:dLbls>
          <c:cat>
            <c:numRef>
              <c:f>Sheet1!$A$2:$A$5</c:f>
              <c:numCache>
                <c:formatCode>General</c:formatCode>
                <c:ptCount val="4"/>
              </c:numCache>
            </c:numRef>
          </c:cat>
          <c:val>
            <c:numRef>
              <c:f>Sheet1!$B$2:$B$5</c:f>
              <c:numCache>
                <c:formatCode>0%</c:formatCode>
                <c:ptCount val="4"/>
                <c:pt idx="0">
                  <c:v>1</c:v>
                </c:pt>
              </c:numCache>
            </c:numRef>
          </c:val>
        </c:ser>
        <c:dLbls>
          <c:showLegendKey val="0"/>
          <c:showVal val="0"/>
          <c:showCatName val="0"/>
          <c:showSerName val="0"/>
          <c:showPercent val="0"/>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pieChart>
        <c:varyColors val="1"/>
        <c:ser>
          <c:idx val="0"/>
          <c:order val="0"/>
          <c:tx>
            <c:strRef>
              <c:f>Sheet1!$B$1</c:f>
              <c:strCache>
                <c:ptCount val="1"/>
                <c:pt idx="0">
                  <c:v>图3：支出决算结构图</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dLbl>
              <c:idx val="1"/>
              <c:layout/>
              <c:dLblPos val="bestFit"/>
              <c:showLegendKey val="0"/>
              <c:showVal val="1"/>
              <c:showCatName val="0"/>
              <c:showSerName val="0"/>
              <c:showPercent val="0"/>
              <c:showBubbleSize val="0"/>
              <c:extLst>
                <c:ext xmlns:c15="http://schemas.microsoft.com/office/drawing/2012/chart" uri="{CE6537A1-D6FC-4f65-9D91-7224C49458BB}">
                  <c15:layout>
                    <c:manualLayout>
                      <c:w val="0.0675"/>
                      <c:h val="0.0621645796064401"/>
                    </c:manualLayout>
                  </c15:layout>
                </c:ext>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extLst>
                <c:ext xmlns:c15="http://schemas.microsoft.com/office/drawing/2012/chart" uri="{02D57815-91ED-43cb-92C2-25804820EDAC}">
                  <c15:fullRef>
                    <c15:sqref>Sheet1!$A$2:$A$5</c15:sqref>
                  </c15:fullRef>
                </c:ext>
              </c:extLst>
              <c:f>Sheet1!$A$2:$A$3</c:f>
              <c:strCache>
                <c:ptCount val="2"/>
                <c:pt idx="0">
                  <c:v>基本支出</c:v>
                </c:pt>
                <c:pt idx="1">
                  <c:v>项目支出</c:v>
                </c:pt>
              </c:strCache>
            </c:strRef>
          </c:cat>
          <c:val>
            <c:numRef>
              <c:extLst>
                <c:ext xmlns:c15="http://schemas.microsoft.com/office/drawing/2012/chart" uri="{02D57815-91ED-43cb-92C2-25804820EDAC}">
                  <c15:fullRef>
                    <c15:sqref>Sheet1!$B$2:$B$5</c15:sqref>
                  </c15:fullRef>
                </c:ext>
              </c:extLst>
              <c:f>Sheet1!$B$2:$B$3</c:f>
              <c:numCache>
                <c:formatCode>0.00%</c:formatCode>
                <c:ptCount val="2"/>
                <c:pt idx="0">
                  <c:v>0.904</c:v>
                </c:pt>
                <c:pt idx="1">
                  <c:v>0.096</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layout>
        <c:manualLayout>
          <c:xMode val="edge"/>
          <c:yMode val="edge"/>
          <c:x val="0.2524375"/>
          <c:y val="0.9395"/>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05595"/>
          <c:y val="0.0463536463536464"/>
          <c:w val="0.91655"/>
          <c:h val="0.768511488511489"/>
        </c:manualLayout>
      </c:layout>
      <c:barChart>
        <c:barDir val="col"/>
        <c:grouping val="clustered"/>
        <c:varyColors val="0"/>
        <c:ser>
          <c:idx val="0"/>
          <c:order val="0"/>
          <c:tx>
            <c:strRef>
              <c:f>Sheet1!$B$1</c:f>
              <c:strCache>
                <c:ptCount val="1"/>
                <c:pt idx="0">
                  <c:v>2021年</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c:f>
              <c:strCache>
                <c:ptCount val="1"/>
                <c:pt idx="0">
                  <c:v>图4：财政拨款收、支决算总计变动情况（单位：万元）</c:v>
                </c:pt>
              </c:strCache>
            </c:strRef>
          </c:cat>
          <c:val>
            <c:numRef>
              <c:f>Sheet1!$B$2</c:f>
              <c:numCache>
                <c:formatCode>General</c:formatCode>
                <c:ptCount val="1"/>
                <c:pt idx="0">
                  <c:v>124.31</c:v>
                </c:pt>
              </c:numCache>
            </c:numRef>
          </c:val>
        </c:ser>
        <c:ser>
          <c:idx val="1"/>
          <c:order val="1"/>
          <c:tx>
            <c:strRef>
              <c:f>Sheet1!$C$1</c:f>
              <c:strCache>
                <c:ptCount val="1"/>
                <c:pt idx="0">
                  <c:v>2022年</c:v>
                </c:pt>
              </c:strCache>
            </c:strRef>
          </c:tx>
          <c:spPr>
            <a:solidFill>
              <a:schemeClr val="accent2"/>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c:f>
              <c:strCache>
                <c:ptCount val="1"/>
                <c:pt idx="0">
                  <c:v>图4：财政拨款收、支决算总计变动情况（单位：万元）</c:v>
                </c:pt>
              </c:strCache>
            </c:strRef>
          </c:cat>
          <c:val>
            <c:numRef>
              <c:f>Sheet1!$C$2</c:f>
              <c:numCache>
                <c:formatCode>General</c:formatCode>
                <c:ptCount val="1"/>
                <c:pt idx="0">
                  <c:v>144.77</c:v>
                </c:pt>
              </c:numCache>
            </c:numRef>
          </c:val>
        </c:ser>
        <c:dLbls>
          <c:showLegendKey val="0"/>
          <c:showVal val="0"/>
          <c:showCatName val="0"/>
          <c:showSerName val="0"/>
          <c:showPercent val="0"/>
          <c:showBubbleSize val="0"/>
        </c:dLbls>
        <c:gapWidth val="219"/>
        <c:overlap val="-27"/>
        <c:axId val="165817978"/>
        <c:axId val="747309194"/>
        <c:extLst>
          <c:ext xmlns:c15="http://schemas.microsoft.com/office/drawing/2012/chart" uri="{02D57815-91ED-43cb-92C2-25804820EDAC}">
            <c15:filteredBarSeries>
              <c15:ser>
                <c:idx val="2"/>
                <c:order val="2"/>
                <c:tx>
                  <c:strRef>
                    <c:extLst>
                      <c:ext uri="{02D57815-91ED-43cb-92C2-25804820EDAC}">
                        <c15:formulaRef>
                          <c15:sqref>Sheet1!#REF!</c15:sqref>
                        </c15:formulaRef>
                      </c:ext>
                    </c:extLst>
                    <c:strCache>
                      <c:ptCount val="1"/>
                      <c:pt idx="0">
                        <c:v/>
                      </c:pt>
                    </c:strCache>
                  </c:strRef>
                </c:tx>
                <c:spPr>
                  <a:solidFill>
                    <a:schemeClr val="accent3"/>
                  </a:solidFill>
                  <a:ln>
                    <a:noFill/>
                  </a:ln>
                  <a:effectLst/>
                </c:spPr>
                <c:invertIfNegative val="0"/>
                <c:dLbls>
                  <c:delete val="1"/>
                </c:dLbls>
                <c:cat>
                  <c:strRef>
                    <c:extLst>
                      <c:ext uri="{02D57815-91ED-43cb-92C2-25804820EDAC}">
                        <c15:fullRef>
                          <c15:sqref/>
                        </c15:fullRef>
                        <c15:formulaRef>
                          <c15:sqref>Sheet1!$A$2</c15:sqref>
                        </c15:formulaRef>
                      </c:ext>
                    </c:extLst>
                    <c:strCache>
                      <c:ptCount val="1"/>
                      <c:pt idx="0">
                        <c:v>图4：财政拨款收、支决算总计变动情况（单位：万元）</c:v>
                      </c:pt>
                    </c:strCache>
                  </c:strRef>
                </c:cat>
                <c:val>
                  <c:numRef>
                    <c:extLst>
                      <c:ext uri="{02D57815-91ED-43cb-92C2-25804820EDAC}">
                        <c15:formulaRef>
                          <c15:sqref>Sheet1!#REF!</c15:sqref>
                        </c15:formulaRef>
                      </c:ext>
                    </c:extLst>
                    <c:numCache>
                      <c:formatCode>General</c:formatCode>
                      <c:ptCount val="1"/>
                      <c:pt idx="0">
                        <c:v>1</c:v>
                      </c:pt>
                    </c:numCache>
                  </c:numRef>
                </c:val>
              </c15:ser>
            </c15:filteredBarSeries>
          </c:ext>
        </c:extLst>
      </c:barChart>
      <c:catAx>
        <c:axId val="165817978"/>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747309194"/>
        <c:crosses val="autoZero"/>
        <c:auto val="1"/>
        <c:lblAlgn val="ctr"/>
        <c:lblOffset val="100"/>
        <c:noMultiLvlLbl val="0"/>
      </c:catAx>
      <c:valAx>
        <c:axId val="74730919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65817978"/>
        <c:crosses val="autoZero"/>
        <c:crossBetween val="between"/>
      </c:valAx>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Sheet1!$B$1</c:f>
              <c:strCache>
                <c:ptCount val="1"/>
                <c:pt idx="0">
                  <c:v>2021年</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c:f>
              <c:strCache>
                <c:ptCount val="1"/>
                <c:pt idx="0">
                  <c:v>图5：一般公共预算财政拨款支出决算变动情况（单位：万元）</c:v>
                </c:pt>
              </c:strCache>
            </c:strRef>
          </c:cat>
          <c:val>
            <c:numRef>
              <c:f>Sheet1!$B$2</c:f>
              <c:numCache>
                <c:formatCode>General</c:formatCode>
                <c:ptCount val="1"/>
                <c:pt idx="0">
                  <c:v>124.31</c:v>
                </c:pt>
              </c:numCache>
            </c:numRef>
          </c:val>
        </c:ser>
        <c:ser>
          <c:idx val="1"/>
          <c:order val="1"/>
          <c:tx>
            <c:strRef>
              <c:f>Sheet1!$C$1</c:f>
              <c:strCache>
                <c:ptCount val="1"/>
                <c:pt idx="0">
                  <c:v>2022年</c:v>
                </c:pt>
              </c:strCache>
            </c:strRef>
          </c:tx>
          <c:spPr>
            <a:solidFill>
              <a:schemeClr val="accent2"/>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c:f>
              <c:strCache>
                <c:ptCount val="1"/>
                <c:pt idx="0">
                  <c:v>图5：一般公共预算财政拨款支出决算变动情况（单位：万元）</c:v>
                </c:pt>
              </c:strCache>
            </c:strRef>
          </c:cat>
          <c:val>
            <c:numRef>
              <c:f>Sheet1!$C$2</c:f>
              <c:numCache>
                <c:formatCode>General</c:formatCode>
                <c:ptCount val="1"/>
                <c:pt idx="0">
                  <c:v>144.77</c:v>
                </c:pt>
              </c:numCache>
            </c:numRef>
          </c:val>
        </c:ser>
        <c:ser>
          <c:idx val="2"/>
          <c:order val="2"/>
          <c:tx>
            <c:strRef>
              <c:f>Sheet1!$D$1</c:f>
              <c:strCache>
                <c:ptCount val="1"/>
                <c:pt idx="0">
                  <c:v/>
                </c:pt>
              </c:strCache>
            </c:strRef>
          </c:tx>
          <c:spPr>
            <a:solidFill>
              <a:schemeClr val="accent3"/>
            </a:solidFill>
            <a:ln>
              <a:noFill/>
            </a:ln>
            <a:effectLst/>
          </c:spPr>
          <c:invertIfNegative val="0"/>
          <c:dLbls>
            <c:delete val="1"/>
          </c:dLbls>
          <c:cat>
            <c:strRef>
              <c:f>Sheet1!$A$2</c:f>
              <c:strCache>
                <c:ptCount val="1"/>
                <c:pt idx="0">
                  <c:v>图5：一般公共预算财政拨款支出决算变动情况（单位：万元）</c:v>
                </c:pt>
              </c:strCache>
            </c:strRef>
          </c:cat>
          <c:val>
            <c:numRef>
              <c:f>Sheet1!$D$2</c:f>
              <c:numCache>
                <c:formatCode>General</c:formatCode>
                <c:ptCount val="1"/>
              </c:numCache>
            </c:numRef>
          </c:val>
        </c:ser>
        <c:dLbls>
          <c:showLegendKey val="0"/>
          <c:showVal val="0"/>
          <c:showCatName val="0"/>
          <c:showSerName val="0"/>
          <c:showPercent val="0"/>
          <c:showBubbleSize val="0"/>
        </c:dLbls>
        <c:gapWidth val="219"/>
        <c:overlap val="-27"/>
        <c:axId val="853367356"/>
        <c:axId val="774359185"/>
      </c:barChart>
      <c:catAx>
        <c:axId val="853367356"/>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774359185"/>
        <c:crosses val="autoZero"/>
        <c:auto val="1"/>
        <c:lblAlgn val="ctr"/>
        <c:lblOffset val="100"/>
        <c:noMultiLvlLbl val="0"/>
      </c:catAx>
      <c:valAx>
        <c:axId val="774359185"/>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853367356"/>
        <c:crosses val="autoZero"/>
        <c:crossBetween val="between"/>
      </c:valAx>
      <c:spPr>
        <a:noFill/>
        <a:ln>
          <a:noFill/>
        </a:ln>
        <a:effectLst/>
      </c:spPr>
    </c:plotArea>
    <c:legend>
      <c:legendPos val="b"/>
      <c:layout>
        <c:manualLayout>
          <c:xMode val="edge"/>
          <c:yMode val="edge"/>
          <c:x val="0.386"/>
          <c:y val="0.912322540019567"/>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pieChart>
        <c:varyColors val="1"/>
        <c:ser>
          <c:idx val="0"/>
          <c:order val="0"/>
          <c:tx>
            <c:strRef>
              <c:f>Sheet1!$B$1</c:f>
              <c:strCache>
                <c:ptCount val="1"/>
                <c:pt idx="0">
                  <c:v>图6：一般公共预算财政拨款支出决算结构</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一般公共服务（类）</c:v>
                </c:pt>
                <c:pt idx="1">
                  <c:v>社会保障和就业（类）</c:v>
                </c:pt>
                <c:pt idx="2">
                  <c:v>卫生健康支出</c:v>
                </c:pt>
                <c:pt idx="3">
                  <c:v>住房保障支出</c:v>
                </c:pt>
              </c:strCache>
            </c:strRef>
          </c:cat>
          <c:val>
            <c:numRef>
              <c:f>Sheet1!$B$2:$B$5</c:f>
              <c:numCache>
                <c:formatCode>0.00%</c:formatCode>
                <c:ptCount val="4"/>
                <c:pt idx="0">
                  <c:v>0.819</c:v>
                </c:pt>
                <c:pt idx="1">
                  <c:v>0.086</c:v>
                </c:pt>
                <c:pt idx="2">
                  <c:v>0.024</c:v>
                </c:pt>
                <c:pt idx="3">
                  <c:v>0.071</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manualLayout>
          <c:xMode val="edge"/>
          <c:yMode val="edge"/>
          <c:x val="0.088875"/>
          <c:y val="0.910456611978652"/>
          <c:w val="0.822375"/>
          <c:h val="0.0318244712393754"/>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pieChart>
        <c:varyColors val="1"/>
        <c:ser>
          <c:idx val="0"/>
          <c:order val="0"/>
          <c:tx>
            <c:strRef>
              <c:f>Sheet1!$B$1</c:f>
              <c:strCache>
                <c:ptCount val="1"/>
                <c:pt idx="0">
                  <c:v>图7：“三公”经费财政拨款支出结构</c:v>
                </c:pt>
              </c:strCache>
            </c:strRef>
          </c:tx>
          <c:spPr/>
          <c:explosion val="0"/>
          <c:dPt>
            <c:idx val="0"/>
            <c:bubble3D val="0"/>
            <c:spPr>
              <a:solidFill>
                <a:schemeClr val="accent1"/>
              </a:solidFill>
              <a:ln w="19050">
                <a:solidFill>
                  <a:schemeClr val="lt1"/>
                </a:solidFill>
              </a:ln>
              <a:effectLst/>
            </c:spPr>
          </c:dPt>
          <c:dLbls>
            <c:dLbl>
              <c:idx val="0"/>
              <c:layout/>
              <c:dLblPos val="bestFi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0"/>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c:f>
              <c:strCache>
                <c:ptCount val="1"/>
                <c:pt idx="0">
                  <c:v>公务接待费支出决算</c:v>
                </c:pt>
              </c:strCache>
            </c:strRef>
          </c:cat>
          <c:val>
            <c:numRef>
              <c:f>Sheet1!$B$2</c:f>
              <c:numCache>
                <c:formatCode>0%</c:formatCode>
                <c:ptCount val="1"/>
                <c:pt idx="0">
                  <c:v>1</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四川省财政厅</Company>
  <Pages>24</Pages>
  <Words>1299</Words>
  <Characters>7410</Characters>
  <Lines>61</Lines>
  <Paragraphs>17</Paragraphs>
  <TotalTime>11</TotalTime>
  <ScaleCrop>false</ScaleCrop>
  <LinksUpToDate>false</LinksUpToDate>
  <CharactersWithSpaces>8692</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2020-08-05T01:49:00Z</dcterms:created>
  <dc:creator>曹颖</dc:creator>
  <cp:lastModifiedBy>Administrator</cp:lastModifiedBy>
  <cp:lastPrinted>2023-07-31T02:35:00Z</cp:lastPrinted>
  <dcterms:modified xsi:type="dcterms:W3CDTF">2023-12-25T08:36:32Z</dcterms:modified>
  <dc:title>四川省***</dc:title>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y fmtid="{D5CDD505-2E9C-101B-9397-08002B2CF9AE}" pid="3" name="ICV">
    <vt:lpwstr>6E576776407349F29E1F23F8A45CEF67</vt:lpwstr>
  </property>
</Properties>
</file>