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bidi w:val="0"/>
        <w:spacing w:line="600" w:lineRule="exact"/>
        <w:ind w:left="0" w:leftChars="0" w:right="0"/>
        <w:jc w:val="center"/>
        <w:textAlignment w:val="auto"/>
        <w:outlineLvl w:val="9"/>
        <w:rPr>
          <w:rFonts w:ascii="方正小标宋简体" w:hAnsi="宋体" w:eastAsia="方正小标宋简体"/>
          <w:color w:val="auto"/>
          <w:sz w:val="72"/>
          <w:szCs w:val="72"/>
          <w:highlight w:val="none"/>
        </w:rPr>
      </w:pPr>
      <w:bookmarkStart w:id="0" w:name="_Toc15377425"/>
      <w:bookmarkStart w:id="1" w:name="_Toc15378441"/>
      <w:bookmarkStart w:id="2" w:name="_Toc15396597"/>
      <w:bookmarkStart w:id="3" w:name="_Toc15377193"/>
      <w:bookmarkStart w:id="4" w:name="_Toc15396475"/>
      <w:bookmarkStart w:id="5" w:name="_Toc15306267"/>
    </w:p>
    <w:p>
      <w:pPr>
        <w:pageBreakBefore w:val="0"/>
        <w:kinsoku/>
        <w:wordWrap/>
        <w:overflowPunct/>
        <w:topLinePunct w:val="0"/>
        <w:bidi w:val="0"/>
        <w:spacing w:line="600" w:lineRule="exact"/>
        <w:ind w:left="0" w:leftChars="0" w:right="0"/>
        <w:jc w:val="center"/>
        <w:textAlignment w:val="auto"/>
        <w:outlineLvl w:val="9"/>
        <w:rPr>
          <w:rFonts w:ascii="方正小标宋简体" w:hAnsi="宋体" w:eastAsia="方正小标宋简体"/>
          <w:color w:val="auto"/>
          <w:sz w:val="72"/>
          <w:szCs w:val="72"/>
          <w:highlight w:val="none"/>
        </w:rPr>
      </w:pPr>
    </w:p>
    <w:p>
      <w:pPr>
        <w:pageBreakBefore w:val="0"/>
        <w:kinsoku/>
        <w:wordWrap/>
        <w:overflowPunct/>
        <w:topLinePunct w:val="0"/>
        <w:bidi w:val="0"/>
        <w:spacing w:line="600" w:lineRule="exact"/>
        <w:ind w:left="0" w:leftChars="0" w:right="0"/>
        <w:jc w:val="center"/>
        <w:textAlignment w:val="auto"/>
        <w:outlineLvl w:val="9"/>
        <w:rPr>
          <w:rFonts w:ascii="方正小标宋简体" w:hAnsi="宋体" w:eastAsia="方正小标宋简体"/>
          <w:color w:val="auto"/>
          <w:sz w:val="72"/>
          <w:szCs w:val="72"/>
          <w:highlight w:val="none"/>
        </w:rPr>
      </w:pPr>
    </w:p>
    <w:p>
      <w:pPr>
        <w:pageBreakBefore w:val="0"/>
        <w:kinsoku/>
        <w:wordWrap/>
        <w:overflowPunct/>
        <w:topLinePunct w:val="0"/>
        <w:bidi w:val="0"/>
        <w:adjustRightInd w:val="0"/>
        <w:snapToGrid w:val="0"/>
        <w:spacing w:line="360" w:lineRule="auto"/>
        <w:ind w:left="0" w:leftChars="0" w:right="0"/>
        <w:jc w:val="center"/>
        <w:textAlignment w:val="auto"/>
        <w:outlineLvl w:val="0"/>
        <w:rPr>
          <w:rFonts w:hint="eastAsia" w:ascii="方正小标宋简体" w:hAnsi="方正小标宋简体" w:eastAsia="方正小标宋简体" w:cs="方正小标宋简体"/>
          <w:color w:val="auto"/>
          <w:sz w:val="72"/>
          <w:szCs w:val="72"/>
          <w:highlight w:val="none"/>
        </w:rPr>
      </w:pPr>
      <w:bookmarkStart w:id="6" w:name="_Toc28389"/>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0"/>
      <w:bookmarkEnd w:id="1"/>
      <w:bookmarkEnd w:id="2"/>
      <w:bookmarkEnd w:id="3"/>
      <w:bookmarkEnd w:id="4"/>
      <w:bookmarkEnd w:id="6"/>
    </w:p>
    <w:p>
      <w:pPr>
        <w:pageBreakBefore w:val="0"/>
        <w:kinsoku/>
        <w:wordWrap/>
        <w:overflowPunct/>
        <w:topLinePunct w:val="0"/>
        <w:bidi w:val="0"/>
        <w:adjustRightInd w:val="0"/>
        <w:snapToGrid w:val="0"/>
        <w:spacing w:line="360" w:lineRule="auto"/>
        <w:ind w:left="0" w:leftChars="0" w:right="0"/>
        <w:jc w:val="center"/>
        <w:textAlignment w:val="auto"/>
        <w:outlineLvl w:val="0"/>
        <w:rPr>
          <w:rFonts w:hint="eastAsia" w:ascii="方正小标宋简体" w:hAnsi="方正小标宋简体" w:eastAsia="方正小标宋简体" w:cs="方正小标宋简体"/>
          <w:color w:val="auto"/>
          <w:sz w:val="72"/>
          <w:szCs w:val="72"/>
          <w:highlight w:val="none"/>
        </w:rPr>
      </w:pPr>
      <w:bookmarkStart w:id="7" w:name="_Toc15377194"/>
      <w:bookmarkStart w:id="8" w:name="_Toc15396476"/>
      <w:bookmarkStart w:id="9" w:name="_Toc15396598"/>
      <w:bookmarkStart w:id="10" w:name="_Toc15378442"/>
      <w:bookmarkStart w:id="11" w:name="_Toc15377426"/>
      <w:r>
        <w:rPr>
          <w:rFonts w:hint="eastAsia" w:ascii="方正小标宋简体" w:hAnsi="方正小标宋简体" w:eastAsia="方正小标宋简体" w:cs="方正小标宋简体"/>
          <w:color w:val="auto"/>
          <w:sz w:val="72"/>
          <w:szCs w:val="72"/>
          <w:highlight w:val="none"/>
        </w:rPr>
        <w:t>四川省</w:t>
      </w:r>
      <w:bookmarkEnd w:id="5"/>
      <w:bookmarkStart w:id="12" w:name="_Toc15306268"/>
      <w:r>
        <w:rPr>
          <w:rFonts w:hint="eastAsia" w:ascii="方正小标宋简体" w:hAnsi="方正小标宋简体" w:eastAsia="方正小标宋简体" w:cs="方正小标宋简体"/>
          <w:color w:val="auto"/>
          <w:sz w:val="72"/>
          <w:szCs w:val="72"/>
          <w:highlight w:val="none"/>
          <w:lang w:eastAsia="zh-CN"/>
        </w:rPr>
        <w:t>乐山市公安局五通桥区分局</w:t>
      </w:r>
      <w:r>
        <w:rPr>
          <w:rFonts w:hint="eastAsia" w:ascii="方正小标宋简体" w:hAnsi="方正小标宋简体" w:eastAsia="方正小标宋简体" w:cs="方正小标宋简体"/>
          <w:color w:val="auto"/>
          <w:sz w:val="72"/>
          <w:szCs w:val="72"/>
          <w:highlight w:val="none"/>
        </w:rPr>
        <w:t>部门决算</w:t>
      </w:r>
      <w:bookmarkEnd w:id="7"/>
      <w:bookmarkEnd w:id="8"/>
      <w:bookmarkEnd w:id="9"/>
      <w:bookmarkEnd w:id="10"/>
      <w:bookmarkEnd w:id="11"/>
      <w:bookmarkEnd w:id="12"/>
    </w:p>
    <w:p>
      <w:pPr>
        <w:pageBreakBefore w:val="0"/>
        <w:widowControl/>
        <w:kinsoku/>
        <w:wordWrap/>
        <w:overflowPunct/>
        <w:topLinePunct w:val="0"/>
        <w:bidi w:val="0"/>
        <w:ind w:left="0" w:leftChars="0" w:right="0"/>
        <w:jc w:val="center"/>
        <w:textAlignment w:val="auto"/>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1"/>
        <w:pageBreakBefore w:val="0"/>
        <w:kinsoku/>
        <w:wordWrap/>
        <w:overflowPunct/>
        <w:topLinePunct w:val="0"/>
        <w:bidi w:val="0"/>
        <w:spacing w:before="0"/>
        <w:ind w:left="0" w:leftChars="0" w:right="0"/>
        <w:textAlignment w:val="auto"/>
        <w:outlineLvl w:val="0"/>
        <w:rPr>
          <w:color w:val="auto"/>
          <w:highlight w:val="none"/>
        </w:rPr>
      </w:pPr>
      <w:bookmarkStart w:id="13" w:name="_Toc16118"/>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12</w:t>
      </w:r>
      <w:r>
        <w:rPr>
          <w:rFonts w:hint="eastAsia"/>
          <w:color w:val="auto"/>
          <w:highlight w:val="none"/>
        </w:rPr>
        <w:t>月</w:t>
      </w:r>
      <w:r>
        <w:rPr>
          <w:rFonts w:hint="eastAsia"/>
          <w:color w:val="auto"/>
          <w:highlight w:val="none"/>
          <w:lang w:val="en-US" w:eastAsia="zh-CN"/>
        </w:rPr>
        <w:t>11</w:t>
      </w:r>
      <w:r>
        <w:rPr>
          <w:rFonts w:hint="eastAsia"/>
          <w:color w:val="auto"/>
          <w:highlight w:val="none"/>
        </w:rPr>
        <w:t>日</w:t>
      </w:r>
      <w:bookmarkEnd w:id="13"/>
    </w:p>
    <w:p>
      <w:pPr>
        <w:pageBreakBefore w:val="0"/>
        <w:kinsoku/>
        <w:wordWrap/>
        <w:overflowPunct/>
        <w:topLinePunct w:val="0"/>
        <w:bidi w:val="0"/>
        <w:ind w:left="0" w:leftChars="0" w:right="0"/>
        <w:textAlignment w:val="auto"/>
        <w:rPr>
          <w:color w:val="auto"/>
          <w:highlight w:val="none"/>
        </w:rPr>
      </w:pPr>
    </w:p>
    <w:p>
      <w:pPr>
        <w:pStyle w:val="11"/>
        <w:keepNext w:val="0"/>
        <w:keepLines w:val="0"/>
        <w:pageBreakBefore w:val="0"/>
        <w:widowControl w:val="0"/>
        <w:kinsoku/>
        <w:wordWrap/>
        <w:overflowPunct/>
        <w:topLinePunct w:val="0"/>
        <w:autoSpaceDE/>
        <w:autoSpaceDN/>
        <w:bidi w:val="0"/>
        <w:adjustRightInd w:val="0"/>
        <w:snapToGrid w:val="0"/>
        <w:spacing w:before="0" w:line="560" w:lineRule="exact"/>
        <w:ind w:left="0" w:leftChars="0" w:right="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方正小标宋简体" w:hAnsi="方正小标宋简体" w:eastAsia="方正小标宋简体" w:cs="方正小标宋简体"/>
          <w:color w:val="auto"/>
          <w:sz w:val="32"/>
          <w:szCs w:val="32"/>
          <w:highlight w:val="none"/>
        </w:rPr>
        <w:t>第一部分 部门概况</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highlight w:val="none"/>
          <w:lang w:val="en-US" w:eastAsia="zh-CN"/>
        </w:rPr>
        <w:t>4</w:t>
      </w:r>
    </w:p>
    <w:p>
      <w:pPr>
        <w:pStyle w:val="12"/>
        <w:keepNext w:val="0"/>
        <w:keepLines w:val="0"/>
        <w:pageBreakBefore w:val="0"/>
        <w:widowControl w:val="0"/>
        <w:kinsoku/>
        <w:wordWrap/>
        <w:overflowPunct/>
        <w:topLinePunct w:val="0"/>
        <w:autoSpaceDE/>
        <w:autoSpaceDN/>
        <w:bidi w:val="0"/>
        <w:adjustRightInd w:val="0"/>
        <w:snapToGrid w:val="0"/>
        <w:spacing w:line="560" w:lineRule="exact"/>
        <w:ind w:left="0" w:leftChars="0" w:right="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一、</w:t>
      </w:r>
      <w:r>
        <w:rPr>
          <w:rFonts w:hint="eastAsia" w:ascii="仿宋_GB2312" w:hAnsi="仿宋_GB2312" w:eastAsia="仿宋_GB2312" w:cs="仿宋_GB2312"/>
          <w:color w:val="auto"/>
          <w:sz w:val="32"/>
          <w:szCs w:val="32"/>
          <w:highlight w:val="none"/>
          <w:lang w:eastAsia="zh-CN"/>
        </w:rPr>
        <w:t>部门职责</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highlight w:val="none"/>
          <w:lang w:val="en-US" w:eastAsia="zh-CN"/>
        </w:rPr>
        <w:t>4</w:t>
      </w:r>
    </w:p>
    <w:p>
      <w:pPr>
        <w:pStyle w:val="12"/>
        <w:keepNext w:val="0"/>
        <w:keepLines w:val="0"/>
        <w:pageBreakBefore w:val="0"/>
        <w:widowControl w:val="0"/>
        <w:kinsoku/>
        <w:wordWrap/>
        <w:overflowPunct/>
        <w:topLinePunct w:val="0"/>
        <w:autoSpaceDE/>
        <w:autoSpaceDN/>
        <w:bidi w:val="0"/>
        <w:adjustRightInd w:val="0"/>
        <w:snapToGrid w:val="0"/>
        <w:spacing w:line="560" w:lineRule="exact"/>
        <w:ind w:left="0" w:leftChars="0" w:right="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二、机构设置</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lang w:val="en-US" w:eastAsia="zh-CN"/>
        </w:rPr>
        <w:t>5</w:t>
      </w:r>
    </w:p>
    <w:p>
      <w:pPr>
        <w:pStyle w:val="11"/>
        <w:keepNext w:val="0"/>
        <w:keepLines w:val="0"/>
        <w:pageBreakBefore w:val="0"/>
        <w:widowControl w:val="0"/>
        <w:kinsoku/>
        <w:wordWrap/>
        <w:overflowPunct/>
        <w:topLinePunct w:val="0"/>
        <w:autoSpaceDE/>
        <w:autoSpaceDN/>
        <w:bidi w:val="0"/>
        <w:adjustRightInd w:val="0"/>
        <w:snapToGrid w:val="0"/>
        <w:spacing w:before="0" w:line="560" w:lineRule="exact"/>
        <w:ind w:left="0" w:leftChars="0" w:right="0"/>
        <w:jc w:val="left"/>
        <w:textAlignment w:val="auto"/>
        <w:rPr>
          <w:rFonts w:hint="eastAsia" w:ascii="仿宋_GB2312" w:hAnsi="仿宋_GB2312" w:eastAsia="仿宋_GB2312" w:cs="仿宋_GB2312"/>
          <w:color w:val="auto"/>
          <w:kern w:val="2"/>
          <w:sz w:val="32"/>
          <w:szCs w:val="32"/>
          <w:lang w:val="en-US" w:eastAsia="zh-CN" w:bidi="ar-SA"/>
        </w:rPr>
      </w:pPr>
      <w:r>
        <w:rPr>
          <w:rFonts w:hint="eastAsia" w:ascii="方正小标宋简体" w:hAnsi="方正小标宋简体" w:eastAsia="方正小标宋简体" w:cs="方正小标宋简体"/>
          <w:color w:val="auto"/>
          <w:sz w:val="32"/>
          <w:szCs w:val="32"/>
          <w:highlight w:val="none"/>
        </w:rPr>
        <w:t>第二部分</w:t>
      </w:r>
      <w:r>
        <w:rPr>
          <w:rFonts w:hint="eastAsia" w:ascii="方正小标宋简体" w:hAnsi="方正小标宋简体" w:eastAsia="方正小标宋简体" w:cs="方正小标宋简体"/>
          <w:color w:val="auto"/>
          <w:sz w:val="32"/>
          <w:szCs w:val="32"/>
          <w:highlight w:val="none"/>
          <w:lang w:val="en-US" w:eastAsia="zh-CN"/>
        </w:rPr>
        <w:t xml:space="preserve"> 2022年度</w:t>
      </w:r>
      <w:r>
        <w:rPr>
          <w:rFonts w:hint="eastAsia" w:ascii="方正小标宋简体" w:hAnsi="方正小标宋简体" w:eastAsia="方正小标宋简体" w:cs="方正小标宋简体"/>
          <w:color w:val="auto"/>
          <w:sz w:val="32"/>
          <w:szCs w:val="32"/>
          <w:highlight w:val="none"/>
        </w:rPr>
        <w:t>部门决算情况说明</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kern w:val="2"/>
          <w:sz w:val="32"/>
          <w:szCs w:val="32"/>
          <w:lang w:val="en-US" w:eastAsia="zh-CN" w:bidi="ar-SA"/>
        </w:rPr>
        <w:t>6</w:t>
      </w:r>
    </w:p>
    <w:p>
      <w:pPr>
        <w:pStyle w:val="12"/>
        <w:keepNext w:val="0"/>
        <w:keepLines w:val="0"/>
        <w:pageBreakBefore w:val="0"/>
        <w:widowControl w:val="0"/>
        <w:kinsoku/>
        <w:wordWrap/>
        <w:overflowPunct/>
        <w:topLinePunct w:val="0"/>
        <w:autoSpaceDE/>
        <w:autoSpaceDN/>
        <w:bidi w:val="0"/>
        <w:adjustRightInd w:val="0"/>
        <w:snapToGrid w:val="0"/>
        <w:spacing w:line="560" w:lineRule="exact"/>
        <w:ind w:left="0" w:leftChars="0" w:right="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一、收入支出决算总体情况说明</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lang w:val="en-US" w:eastAsia="zh-CN"/>
        </w:rPr>
        <w:t>6</w:t>
      </w:r>
    </w:p>
    <w:p>
      <w:pPr>
        <w:pStyle w:val="12"/>
        <w:keepNext w:val="0"/>
        <w:keepLines w:val="0"/>
        <w:pageBreakBefore w:val="0"/>
        <w:widowControl w:val="0"/>
        <w:kinsoku/>
        <w:wordWrap/>
        <w:overflowPunct/>
        <w:topLinePunct w:val="0"/>
        <w:autoSpaceDE/>
        <w:autoSpaceDN/>
        <w:bidi w:val="0"/>
        <w:adjustRightInd w:val="0"/>
        <w:snapToGrid w:val="0"/>
        <w:spacing w:line="560" w:lineRule="exact"/>
        <w:ind w:left="0" w:leftChars="0" w:right="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二、收入决算情况说明</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lang w:val="en-US" w:eastAsia="zh-CN"/>
        </w:rPr>
        <w:t>6</w:t>
      </w:r>
    </w:p>
    <w:p>
      <w:pPr>
        <w:pStyle w:val="12"/>
        <w:keepNext w:val="0"/>
        <w:keepLines w:val="0"/>
        <w:pageBreakBefore w:val="0"/>
        <w:widowControl w:val="0"/>
        <w:kinsoku/>
        <w:wordWrap/>
        <w:overflowPunct/>
        <w:topLinePunct w:val="0"/>
        <w:autoSpaceDE/>
        <w:autoSpaceDN/>
        <w:bidi w:val="0"/>
        <w:adjustRightInd w:val="0"/>
        <w:snapToGrid w:val="0"/>
        <w:spacing w:line="560" w:lineRule="exact"/>
        <w:ind w:left="0" w:leftChars="0" w:right="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三、支出决算情况说明</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lang w:val="en-US" w:eastAsia="zh-CN"/>
        </w:rPr>
        <w:t>7</w:t>
      </w:r>
    </w:p>
    <w:p>
      <w:pPr>
        <w:pStyle w:val="12"/>
        <w:keepNext w:val="0"/>
        <w:keepLines w:val="0"/>
        <w:pageBreakBefore w:val="0"/>
        <w:widowControl w:val="0"/>
        <w:kinsoku/>
        <w:wordWrap/>
        <w:overflowPunct/>
        <w:topLinePunct w:val="0"/>
        <w:autoSpaceDE/>
        <w:autoSpaceDN/>
        <w:bidi w:val="0"/>
        <w:adjustRightInd w:val="0"/>
        <w:snapToGrid w:val="0"/>
        <w:spacing w:line="560" w:lineRule="exact"/>
        <w:ind w:left="0" w:leftChars="0" w:right="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四、财政拨款收入支出决算总体情况说明</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lang w:val="en-US" w:eastAsia="zh-CN"/>
        </w:rPr>
        <w:t>7</w:t>
      </w:r>
    </w:p>
    <w:p>
      <w:pPr>
        <w:pStyle w:val="12"/>
        <w:keepNext w:val="0"/>
        <w:keepLines w:val="0"/>
        <w:pageBreakBefore w:val="0"/>
        <w:widowControl w:val="0"/>
        <w:kinsoku/>
        <w:wordWrap/>
        <w:overflowPunct/>
        <w:topLinePunct w:val="0"/>
        <w:autoSpaceDE/>
        <w:autoSpaceDN/>
        <w:bidi w:val="0"/>
        <w:adjustRightInd w:val="0"/>
        <w:snapToGrid w:val="0"/>
        <w:spacing w:line="560" w:lineRule="exact"/>
        <w:ind w:left="0" w:leftChars="0" w:right="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五、一般公共预算财政拨款支出决算情况说明</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lang w:val="en-US" w:eastAsia="zh-CN"/>
        </w:rPr>
        <w:t>7</w:t>
      </w:r>
    </w:p>
    <w:p>
      <w:pPr>
        <w:pStyle w:val="12"/>
        <w:keepNext w:val="0"/>
        <w:keepLines w:val="0"/>
        <w:pageBreakBefore w:val="0"/>
        <w:widowControl w:val="0"/>
        <w:kinsoku/>
        <w:wordWrap/>
        <w:overflowPunct/>
        <w:topLinePunct w:val="0"/>
        <w:autoSpaceDE/>
        <w:autoSpaceDN/>
        <w:bidi w:val="0"/>
        <w:adjustRightInd w:val="0"/>
        <w:snapToGrid w:val="0"/>
        <w:spacing w:line="560" w:lineRule="exact"/>
        <w:ind w:left="0" w:leftChars="0" w:right="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六、一般公共预算财政拨款基本支出决算情况说明</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lang w:val="en-US" w:eastAsia="zh-CN"/>
        </w:rPr>
        <w:t>11</w:t>
      </w:r>
    </w:p>
    <w:p>
      <w:pPr>
        <w:pStyle w:val="12"/>
        <w:keepNext w:val="0"/>
        <w:keepLines w:val="0"/>
        <w:pageBreakBefore w:val="0"/>
        <w:widowControl w:val="0"/>
        <w:kinsoku/>
        <w:wordWrap/>
        <w:overflowPunct/>
        <w:topLinePunct w:val="0"/>
        <w:autoSpaceDE/>
        <w:autoSpaceDN/>
        <w:bidi w:val="0"/>
        <w:adjustRightInd w:val="0"/>
        <w:snapToGrid w:val="0"/>
        <w:spacing w:line="560" w:lineRule="exact"/>
        <w:ind w:left="0" w:leftChars="0" w:right="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七、财政拨款</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三公”经费支出决算情况说明</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lang w:val="en-US" w:eastAsia="zh-CN"/>
        </w:rPr>
        <w:t>12</w:t>
      </w:r>
    </w:p>
    <w:p>
      <w:pPr>
        <w:pStyle w:val="12"/>
        <w:keepNext w:val="0"/>
        <w:keepLines w:val="0"/>
        <w:pageBreakBefore w:val="0"/>
        <w:widowControl w:val="0"/>
        <w:kinsoku/>
        <w:wordWrap/>
        <w:overflowPunct/>
        <w:topLinePunct w:val="0"/>
        <w:autoSpaceDE/>
        <w:autoSpaceDN/>
        <w:bidi w:val="0"/>
        <w:adjustRightInd w:val="0"/>
        <w:snapToGrid w:val="0"/>
        <w:spacing w:line="560" w:lineRule="exact"/>
        <w:ind w:left="0" w:leftChars="0" w:right="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八、政府性基金预算支出决算情况说明</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lang w:val="en-US" w:eastAsia="zh-CN"/>
        </w:rPr>
        <w:t>13</w:t>
      </w:r>
    </w:p>
    <w:p>
      <w:pPr>
        <w:pStyle w:val="12"/>
        <w:keepNext w:val="0"/>
        <w:keepLines w:val="0"/>
        <w:pageBreakBefore w:val="0"/>
        <w:widowControl w:val="0"/>
        <w:kinsoku/>
        <w:wordWrap/>
        <w:overflowPunct/>
        <w:topLinePunct w:val="0"/>
        <w:autoSpaceDE/>
        <w:autoSpaceDN/>
        <w:bidi w:val="0"/>
        <w:adjustRightInd w:val="0"/>
        <w:snapToGrid w:val="0"/>
        <w:spacing w:line="560" w:lineRule="exact"/>
        <w:ind w:left="0" w:leftChars="0" w:right="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highlight w:val="none"/>
        </w:rPr>
        <w:t>九、</w:t>
      </w:r>
      <w:r>
        <w:rPr>
          <w:rFonts w:hint="eastAsia" w:ascii="仿宋_GB2312" w:hAnsi="仿宋_GB2312" w:eastAsia="仿宋_GB2312" w:cs="仿宋_GB2312"/>
          <w:color w:val="auto"/>
          <w:sz w:val="32"/>
          <w:szCs w:val="32"/>
          <w:highlight w:val="none"/>
          <w:lang w:eastAsia="zh-CN"/>
        </w:rPr>
        <w:t>国</w:t>
      </w:r>
      <w:r>
        <w:rPr>
          <w:rFonts w:hint="eastAsia" w:ascii="仿宋_GB2312" w:hAnsi="仿宋_GB2312" w:eastAsia="仿宋_GB2312" w:cs="仿宋_GB2312"/>
          <w:color w:val="auto"/>
          <w:sz w:val="32"/>
          <w:szCs w:val="32"/>
          <w:highlight w:val="none"/>
        </w:rPr>
        <w:t>有资本经营预算支出决算情况说明</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lang w:val="en-US" w:eastAsia="zh-CN"/>
        </w:rPr>
        <w:t>13</w:t>
      </w:r>
    </w:p>
    <w:p>
      <w:pPr>
        <w:pStyle w:val="12"/>
        <w:keepNext w:val="0"/>
        <w:keepLines w:val="0"/>
        <w:pageBreakBefore w:val="0"/>
        <w:widowControl w:val="0"/>
        <w:kinsoku/>
        <w:wordWrap/>
        <w:overflowPunct/>
        <w:topLinePunct w:val="0"/>
        <w:autoSpaceDE/>
        <w:autoSpaceDN/>
        <w:bidi w:val="0"/>
        <w:adjustRightInd w:val="0"/>
        <w:snapToGrid w:val="0"/>
        <w:spacing w:line="560" w:lineRule="exact"/>
        <w:ind w:left="0" w:leftChars="0" w:right="0"/>
        <w:jc w:val="left"/>
        <w:textAlignment w:val="auto"/>
        <w:rPr>
          <w:rFonts w:hint="eastAsia" w:ascii="仿宋_GB2312" w:hAnsi="仿宋_GB2312" w:eastAsia="仿宋_GB2312" w:cs="仿宋_GB2312"/>
          <w:color w:val="auto"/>
          <w:sz w:val="32"/>
          <w:szCs w:val="32"/>
          <w:highlight w:val="none"/>
          <w:lang w:val="en-US" w:eastAsia="zh-CN"/>
        </w:rPr>
      </w:pPr>
      <w:r>
        <w:rPr>
          <w:rStyle w:val="19"/>
          <w:rFonts w:hint="eastAsia" w:ascii="仿宋_GB2312" w:hAnsi="仿宋_GB2312" w:eastAsia="仿宋_GB2312" w:cs="仿宋_GB2312"/>
          <w:color w:val="auto"/>
          <w:sz w:val="32"/>
          <w:szCs w:val="32"/>
          <w:highlight w:val="none"/>
          <w:u w:val="none"/>
          <w:lang w:eastAsia="zh-CN"/>
        </w:rPr>
        <w:t>十</w:t>
      </w:r>
      <w:r>
        <w:rPr>
          <w:rStyle w:val="19"/>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rPr>
        <w:t>其他重要事项的情况说明</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lang w:val="en-US" w:eastAsia="zh-CN"/>
        </w:rPr>
        <w:t>13</w:t>
      </w:r>
    </w:p>
    <w:p>
      <w:pPr>
        <w:pStyle w:val="11"/>
        <w:keepNext w:val="0"/>
        <w:keepLines w:val="0"/>
        <w:pageBreakBefore w:val="0"/>
        <w:widowControl w:val="0"/>
        <w:kinsoku/>
        <w:wordWrap/>
        <w:overflowPunct/>
        <w:topLinePunct w:val="0"/>
        <w:autoSpaceDE/>
        <w:autoSpaceDN/>
        <w:bidi w:val="0"/>
        <w:adjustRightInd w:val="0"/>
        <w:snapToGrid w:val="0"/>
        <w:spacing w:before="0" w:line="560" w:lineRule="exact"/>
        <w:ind w:left="0" w:leftChars="0" w:right="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方正小标宋简体" w:hAnsi="方正小标宋简体" w:eastAsia="方正小标宋简体" w:cs="方正小标宋简体"/>
          <w:color w:val="auto"/>
          <w:sz w:val="32"/>
          <w:szCs w:val="32"/>
          <w:highlight w:val="none"/>
        </w:rPr>
        <w:t>第三部分 名词解释</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kern w:val="2"/>
          <w:sz w:val="32"/>
          <w:szCs w:val="32"/>
          <w:lang w:val="en-US" w:eastAsia="zh-CN" w:bidi="ar-SA"/>
        </w:rPr>
        <w:t>17</w:t>
      </w:r>
    </w:p>
    <w:p>
      <w:pPr>
        <w:pStyle w:val="11"/>
        <w:keepNext w:val="0"/>
        <w:keepLines w:val="0"/>
        <w:pageBreakBefore w:val="0"/>
        <w:widowControl w:val="0"/>
        <w:kinsoku/>
        <w:wordWrap/>
        <w:overflowPunct/>
        <w:topLinePunct w:val="0"/>
        <w:autoSpaceDE/>
        <w:autoSpaceDN/>
        <w:bidi w:val="0"/>
        <w:adjustRightInd w:val="0"/>
        <w:snapToGrid w:val="0"/>
        <w:spacing w:before="0" w:line="560" w:lineRule="exact"/>
        <w:ind w:left="0" w:leftChars="0" w:right="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方正小标宋简体" w:hAnsi="方正小标宋简体" w:eastAsia="方正小标宋简体" w:cs="方正小标宋简体"/>
          <w:color w:val="auto"/>
          <w:sz w:val="32"/>
          <w:szCs w:val="32"/>
          <w:highlight w:val="none"/>
        </w:rPr>
        <w:t>第四部分 附件</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kern w:val="2"/>
          <w:sz w:val="32"/>
          <w:szCs w:val="32"/>
          <w:lang w:val="en-US" w:eastAsia="zh-CN" w:bidi="ar-SA"/>
        </w:rPr>
        <w:t>20</w:t>
      </w:r>
    </w:p>
    <w:p>
      <w:pPr>
        <w:pStyle w:val="11"/>
        <w:keepNext w:val="0"/>
        <w:keepLines w:val="0"/>
        <w:pageBreakBefore w:val="0"/>
        <w:widowControl w:val="0"/>
        <w:kinsoku/>
        <w:wordWrap/>
        <w:overflowPunct/>
        <w:topLinePunct w:val="0"/>
        <w:autoSpaceDE/>
        <w:autoSpaceDN/>
        <w:bidi w:val="0"/>
        <w:adjustRightInd w:val="0"/>
        <w:snapToGrid w:val="0"/>
        <w:spacing w:before="0" w:line="560" w:lineRule="exact"/>
        <w:ind w:left="0" w:leftChars="0" w:right="0"/>
        <w:jc w:val="left"/>
        <w:textAlignment w:val="auto"/>
        <w:rPr>
          <w:rFonts w:hint="eastAsia" w:ascii="仿宋_GB2312" w:hAnsi="仿宋_GB2312" w:eastAsia="仿宋_GB2312" w:cs="仿宋_GB2312"/>
          <w:color w:val="auto"/>
          <w:kern w:val="2"/>
          <w:sz w:val="32"/>
          <w:szCs w:val="32"/>
          <w:lang w:val="en-US" w:eastAsia="zh-CN" w:bidi="ar-SA"/>
        </w:rPr>
      </w:pPr>
      <w:r>
        <w:rPr>
          <w:rFonts w:hint="eastAsia" w:ascii="方正小标宋简体" w:hAnsi="方正小标宋简体" w:eastAsia="方正小标宋简体" w:cs="方正小标宋简体"/>
          <w:color w:val="auto"/>
          <w:sz w:val="32"/>
          <w:szCs w:val="32"/>
          <w:highlight w:val="none"/>
        </w:rPr>
        <w:t>第五部分 附表</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kern w:val="2"/>
          <w:sz w:val="32"/>
          <w:szCs w:val="32"/>
          <w:lang w:val="en-US" w:eastAsia="zh-CN" w:bidi="ar-SA"/>
        </w:rPr>
        <w:t>27</w:t>
      </w:r>
    </w:p>
    <w:p>
      <w:pPr>
        <w:pStyle w:val="12"/>
        <w:keepNext w:val="0"/>
        <w:keepLines w:val="0"/>
        <w:pageBreakBefore w:val="0"/>
        <w:widowControl w:val="0"/>
        <w:kinsoku/>
        <w:wordWrap/>
        <w:overflowPunct/>
        <w:topLinePunct w:val="0"/>
        <w:autoSpaceDE/>
        <w:autoSpaceDN/>
        <w:bidi w:val="0"/>
        <w:adjustRightInd w:val="0"/>
        <w:snapToGrid w:val="0"/>
        <w:spacing w:line="560" w:lineRule="exact"/>
        <w:ind w:left="0" w:leftChars="0" w:right="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一、收入支出决算总表</w:t>
      </w:r>
    </w:p>
    <w:p>
      <w:pPr>
        <w:pStyle w:val="12"/>
        <w:keepNext w:val="0"/>
        <w:keepLines w:val="0"/>
        <w:pageBreakBefore w:val="0"/>
        <w:widowControl w:val="0"/>
        <w:kinsoku/>
        <w:wordWrap/>
        <w:overflowPunct/>
        <w:topLinePunct w:val="0"/>
        <w:autoSpaceDE/>
        <w:autoSpaceDN/>
        <w:bidi w:val="0"/>
        <w:adjustRightInd w:val="0"/>
        <w:snapToGrid w:val="0"/>
        <w:spacing w:line="560" w:lineRule="exact"/>
        <w:ind w:left="0" w:leftChars="0" w:right="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二、收入决算表</w:t>
      </w:r>
    </w:p>
    <w:p>
      <w:pPr>
        <w:pStyle w:val="12"/>
        <w:keepNext w:val="0"/>
        <w:keepLines w:val="0"/>
        <w:pageBreakBefore w:val="0"/>
        <w:widowControl w:val="0"/>
        <w:kinsoku/>
        <w:wordWrap/>
        <w:overflowPunct/>
        <w:topLinePunct w:val="0"/>
        <w:autoSpaceDE/>
        <w:autoSpaceDN/>
        <w:bidi w:val="0"/>
        <w:adjustRightInd w:val="0"/>
        <w:snapToGrid w:val="0"/>
        <w:spacing w:line="560" w:lineRule="exact"/>
        <w:ind w:left="0" w:leftChars="0" w:right="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三、支出决算表</w:t>
      </w:r>
    </w:p>
    <w:p>
      <w:pPr>
        <w:pStyle w:val="12"/>
        <w:keepNext w:val="0"/>
        <w:keepLines w:val="0"/>
        <w:pageBreakBefore w:val="0"/>
        <w:widowControl w:val="0"/>
        <w:kinsoku/>
        <w:wordWrap/>
        <w:overflowPunct/>
        <w:topLinePunct w:val="0"/>
        <w:autoSpaceDE/>
        <w:autoSpaceDN/>
        <w:bidi w:val="0"/>
        <w:adjustRightInd w:val="0"/>
        <w:snapToGrid w:val="0"/>
        <w:spacing w:line="560" w:lineRule="exact"/>
        <w:ind w:left="0" w:leftChars="0" w:right="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四、财政拨款收入支出决算总表</w:t>
      </w:r>
    </w:p>
    <w:p>
      <w:pPr>
        <w:pStyle w:val="12"/>
        <w:keepNext w:val="0"/>
        <w:keepLines w:val="0"/>
        <w:pageBreakBefore w:val="0"/>
        <w:widowControl w:val="0"/>
        <w:kinsoku/>
        <w:wordWrap/>
        <w:overflowPunct/>
        <w:topLinePunct w:val="0"/>
        <w:autoSpaceDE/>
        <w:autoSpaceDN/>
        <w:bidi w:val="0"/>
        <w:adjustRightInd w:val="0"/>
        <w:snapToGrid w:val="0"/>
        <w:spacing w:line="560" w:lineRule="exact"/>
        <w:ind w:left="0" w:leftChars="0" w:right="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五、财政拨款支出决算明细表</w:t>
      </w:r>
    </w:p>
    <w:p>
      <w:pPr>
        <w:pStyle w:val="12"/>
        <w:keepNext w:val="0"/>
        <w:keepLines w:val="0"/>
        <w:pageBreakBefore w:val="0"/>
        <w:widowControl w:val="0"/>
        <w:kinsoku/>
        <w:wordWrap/>
        <w:overflowPunct/>
        <w:topLinePunct w:val="0"/>
        <w:autoSpaceDE/>
        <w:autoSpaceDN/>
        <w:bidi w:val="0"/>
        <w:adjustRightInd w:val="0"/>
        <w:snapToGrid w:val="0"/>
        <w:spacing w:line="560" w:lineRule="exact"/>
        <w:ind w:left="0" w:leftChars="0" w:right="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六、一般公共预算财政拨款支出决算表</w:t>
      </w:r>
    </w:p>
    <w:p>
      <w:pPr>
        <w:pStyle w:val="12"/>
        <w:keepNext w:val="0"/>
        <w:keepLines w:val="0"/>
        <w:pageBreakBefore w:val="0"/>
        <w:widowControl w:val="0"/>
        <w:kinsoku/>
        <w:wordWrap/>
        <w:overflowPunct/>
        <w:topLinePunct w:val="0"/>
        <w:autoSpaceDE/>
        <w:autoSpaceDN/>
        <w:bidi w:val="0"/>
        <w:adjustRightInd w:val="0"/>
        <w:snapToGrid w:val="0"/>
        <w:spacing w:line="560" w:lineRule="exact"/>
        <w:ind w:left="0" w:leftChars="0" w:right="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七、一般公共预算财政拨款支出决算明细表</w:t>
      </w:r>
    </w:p>
    <w:p>
      <w:pPr>
        <w:pStyle w:val="12"/>
        <w:keepNext w:val="0"/>
        <w:keepLines w:val="0"/>
        <w:pageBreakBefore w:val="0"/>
        <w:widowControl w:val="0"/>
        <w:kinsoku/>
        <w:wordWrap/>
        <w:overflowPunct/>
        <w:topLinePunct w:val="0"/>
        <w:autoSpaceDE/>
        <w:autoSpaceDN/>
        <w:bidi w:val="0"/>
        <w:adjustRightInd w:val="0"/>
        <w:snapToGrid w:val="0"/>
        <w:spacing w:line="560" w:lineRule="exact"/>
        <w:ind w:left="0" w:leftChars="0" w:right="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八、一般公共预算财政拨款基本支出决算</w:t>
      </w:r>
      <w:r>
        <w:rPr>
          <w:rFonts w:hint="eastAsia" w:ascii="仿宋_GB2312" w:hAnsi="仿宋_GB2312" w:eastAsia="仿宋_GB2312" w:cs="仿宋_GB2312"/>
          <w:color w:val="auto"/>
          <w:sz w:val="32"/>
          <w:szCs w:val="32"/>
          <w:highlight w:val="none"/>
          <w:lang w:eastAsia="zh-CN"/>
        </w:rPr>
        <w:t>明细</w:t>
      </w:r>
      <w:r>
        <w:rPr>
          <w:rFonts w:hint="eastAsia" w:ascii="仿宋_GB2312" w:hAnsi="仿宋_GB2312" w:eastAsia="仿宋_GB2312" w:cs="仿宋_GB2312"/>
          <w:color w:val="auto"/>
          <w:sz w:val="32"/>
          <w:szCs w:val="32"/>
          <w:highlight w:val="none"/>
        </w:rPr>
        <w:t>表</w:t>
      </w:r>
    </w:p>
    <w:p>
      <w:pPr>
        <w:pStyle w:val="12"/>
        <w:keepNext w:val="0"/>
        <w:keepLines w:val="0"/>
        <w:pageBreakBefore w:val="0"/>
        <w:widowControl w:val="0"/>
        <w:kinsoku/>
        <w:wordWrap/>
        <w:overflowPunct/>
        <w:topLinePunct w:val="0"/>
        <w:autoSpaceDE/>
        <w:autoSpaceDN/>
        <w:bidi w:val="0"/>
        <w:adjustRightInd w:val="0"/>
        <w:snapToGrid w:val="0"/>
        <w:spacing w:line="560" w:lineRule="exact"/>
        <w:ind w:left="0" w:leftChars="0" w:right="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九、一般公共预算财政拨款项目支出决算表</w:t>
      </w:r>
    </w:p>
    <w:p>
      <w:pPr>
        <w:pStyle w:val="12"/>
        <w:keepNext w:val="0"/>
        <w:keepLines w:val="0"/>
        <w:pageBreakBefore w:val="0"/>
        <w:widowControl w:val="0"/>
        <w:kinsoku/>
        <w:wordWrap/>
        <w:overflowPunct/>
        <w:topLinePunct w:val="0"/>
        <w:autoSpaceDE/>
        <w:autoSpaceDN/>
        <w:bidi w:val="0"/>
        <w:adjustRightInd w:val="0"/>
        <w:snapToGrid w:val="0"/>
        <w:spacing w:line="560" w:lineRule="exact"/>
        <w:ind w:left="0" w:leftChars="0" w:right="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十、政府性基金预算财政拨款收入支出决算表</w:t>
      </w:r>
    </w:p>
    <w:p>
      <w:pPr>
        <w:pStyle w:val="12"/>
        <w:keepNext w:val="0"/>
        <w:keepLines w:val="0"/>
        <w:pageBreakBefore w:val="0"/>
        <w:widowControl w:val="0"/>
        <w:kinsoku/>
        <w:wordWrap/>
        <w:overflowPunct/>
        <w:topLinePunct w:val="0"/>
        <w:autoSpaceDE/>
        <w:autoSpaceDN/>
        <w:bidi w:val="0"/>
        <w:adjustRightInd w:val="0"/>
        <w:snapToGrid w:val="0"/>
        <w:spacing w:line="560" w:lineRule="exact"/>
        <w:ind w:left="0" w:leftChars="0" w:right="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十一、国有资本经营预算财政拨款收入支出决算表</w:t>
      </w:r>
    </w:p>
    <w:p>
      <w:pPr>
        <w:pStyle w:val="12"/>
        <w:keepNext w:val="0"/>
        <w:keepLines w:val="0"/>
        <w:pageBreakBefore w:val="0"/>
        <w:widowControl w:val="0"/>
        <w:kinsoku/>
        <w:wordWrap/>
        <w:overflowPunct/>
        <w:topLinePunct w:val="0"/>
        <w:autoSpaceDE/>
        <w:autoSpaceDN/>
        <w:bidi w:val="0"/>
        <w:adjustRightInd w:val="0"/>
        <w:snapToGrid w:val="0"/>
        <w:spacing w:line="560" w:lineRule="exact"/>
        <w:ind w:left="0" w:leftChars="0" w:right="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w:t>
      </w:r>
      <w:r>
        <w:rPr>
          <w:rFonts w:hint="eastAsia" w:ascii="仿宋_GB2312" w:hAnsi="仿宋_GB2312" w:eastAsia="仿宋_GB2312" w:cs="仿宋_GB2312"/>
          <w:color w:val="auto"/>
          <w:sz w:val="32"/>
          <w:szCs w:val="32"/>
          <w:highlight w:val="none"/>
          <w:lang w:val="en-US" w:eastAsia="zh-CN"/>
        </w:rPr>
        <w:t>国有资本经营预算财政拨款支出决算表</w:t>
      </w:r>
    </w:p>
    <w:p>
      <w:pPr>
        <w:pStyle w:val="12"/>
        <w:keepNext w:val="0"/>
        <w:keepLines w:val="0"/>
        <w:pageBreakBefore w:val="0"/>
        <w:widowControl w:val="0"/>
        <w:kinsoku/>
        <w:wordWrap/>
        <w:overflowPunct/>
        <w:topLinePunct w:val="0"/>
        <w:autoSpaceDE/>
        <w:autoSpaceDN/>
        <w:bidi w:val="0"/>
        <w:adjustRightInd w:val="0"/>
        <w:snapToGrid w:val="0"/>
        <w:spacing w:line="560" w:lineRule="exact"/>
        <w:ind w:left="0" w:leftChars="0" w:right="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十三、财政拨款“三公”经费支出决算表</w:t>
      </w:r>
    </w:p>
    <w:p>
      <w:pPr>
        <w:keepNext w:val="0"/>
        <w:keepLines w:val="0"/>
        <w:pageBreakBefore w:val="0"/>
        <w:widowControl/>
        <w:kinsoku/>
        <w:wordWrap/>
        <w:overflowPunct/>
        <w:topLinePunct w:val="0"/>
        <w:autoSpaceDE/>
        <w:autoSpaceDN/>
        <w:bidi w:val="0"/>
        <w:spacing w:line="560" w:lineRule="exact"/>
        <w:ind w:left="0" w:leftChars="0" w:right="0"/>
        <w:jc w:val="left"/>
        <w:textAlignment w:val="auto"/>
        <w:rPr>
          <w:rFonts w:ascii="仿宋" w:hAnsi="仿宋" w:eastAsia="仿宋"/>
          <w:bCs/>
          <w:color w:val="auto"/>
          <w:kern w:val="44"/>
          <w:sz w:val="32"/>
          <w:szCs w:val="32"/>
          <w:highlight w:val="none"/>
        </w:rPr>
      </w:pPr>
      <w:bookmarkStart w:id="14" w:name="_Toc15377196"/>
      <w:bookmarkStart w:id="15" w:name="_Toc15396599"/>
      <w:r>
        <w:rPr>
          <w:rFonts w:ascii="仿宋" w:hAnsi="仿宋" w:eastAsia="仿宋"/>
          <w:b/>
          <w:color w:val="auto"/>
          <w:sz w:val="32"/>
          <w:szCs w:val="32"/>
          <w:highlight w:val="none"/>
        </w:rPr>
        <w:br w:type="page"/>
      </w:r>
    </w:p>
    <w:p>
      <w:pPr>
        <w:pStyle w:val="3"/>
        <w:pageBreakBefore w:val="0"/>
        <w:kinsoku/>
        <w:wordWrap/>
        <w:overflowPunct/>
        <w:topLinePunct w:val="0"/>
        <w:bidi w:val="0"/>
        <w:spacing w:before="0" w:after="0" w:line="240" w:lineRule="auto"/>
        <w:ind w:left="0" w:leftChars="0" w:right="0"/>
        <w:jc w:val="center"/>
        <w:textAlignment w:val="auto"/>
        <w:rPr>
          <w:rStyle w:val="29"/>
          <w:rFonts w:ascii="黑体" w:hAnsi="黑体" w:eastAsia="黑体"/>
          <w:b/>
          <w:bCs w:val="0"/>
          <w:color w:val="auto"/>
          <w:highlight w:val="none"/>
        </w:rPr>
      </w:pPr>
      <w:bookmarkStart w:id="16" w:name="_Toc19039"/>
      <w:r>
        <w:rPr>
          <w:rFonts w:hint="eastAsia" w:ascii="黑体" w:hAnsi="黑体" w:eastAsia="黑体"/>
          <w:b w:val="0"/>
          <w:color w:val="auto"/>
          <w:highlight w:val="none"/>
        </w:rPr>
        <w:t xml:space="preserve">第一部分 </w:t>
      </w:r>
      <w:r>
        <w:rPr>
          <w:rStyle w:val="29"/>
          <w:rFonts w:hint="eastAsia" w:ascii="黑体" w:hAnsi="黑体" w:eastAsia="黑体"/>
          <w:b w:val="0"/>
          <w:bCs w:val="0"/>
          <w:color w:val="auto"/>
          <w:highlight w:val="none"/>
        </w:rPr>
        <w:t>部门概况</w:t>
      </w:r>
      <w:bookmarkEnd w:id="14"/>
      <w:bookmarkEnd w:id="15"/>
      <w:bookmarkEnd w:id="16"/>
    </w:p>
    <w:p>
      <w:pPr>
        <w:pStyle w:val="4"/>
        <w:pageBreakBefore w:val="0"/>
        <w:kinsoku/>
        <w:wordWrap/>
        <w:overflowPunct/>
        <w:topLinePunct w:val="0"/>
        <w:bidi w:val="0"/>
        <w:spacing w:before="0" w:after="0" w:line="240" w:lineRule="auto"/>
        <w:ind w:left="0" w:leftChars="0" w:right="0" w:firstLine="838" w:firstLineChars="262"/>
        <w:textAlignment w:val="auto"/>
        <w:rPr>
          <w:rFonts w:hint="eastAsia" w:ascii="黑体" w:hAnsi="黑体" w:eastAsia="黑体"/>
          <w:b w:val="0"/>
          <w:color w:val="auto"/>
          <w:highlight w:val="none"/>
          <w:lang w:eastAsia="zh-CN"/>
        </w:rPr>
      </w:pPr>
      <w:bookmarkStart w:id="17" w:name="_Toc15377197"/>
      <w:bookmarkStart w:id="18" w:name="_Toc15396600"/>
      <w:r>
        <w:rPr>
          <w:rFonts w:hint="eastAsia" w:ascii="黑体" w:hAnsi="黑体" w:eastAsia="黑体"/>
          <w:b w:val="0"/>
          <w:color w:val="auto"/>
          <w:highlight w:val="none"/>
        </w:rPr>
        <w:t>一、</w:t>
      </w:r>
      <w:bookmarkEnd w:id="17"/>
      <w:bookmarkEnd w:id="18"/>
      <w:r>
        <w:rPr>
          <w:rFonts w:hint="eastAsia" w:ascii="黑体" w:hAnsi="黑体" w:eastAsia="黑体"/>
          <w:b w:val="0"/>
          <w:color w:val="auto"/>
          <w:highlight w:val="none"/>
          <w:lang w:eastAsia="zh-CN"/>
        </w:rPr>
        <w:t>部门职责</w:t>
      </w:r>
    </w:p>
    <w:p>
      <w:pPr>
        <w:keepNext w:val="0"/>
        <w:keepLines w:val="0"/>
        <w:pageBreakBefore w:val="0"/>
        <w:widowControl w:val="0"/>
        <w:kinsoku/>
        <w:wordWrap/>
        <w:overflowPunct/>
        <w:topLinePunct w:val="0"/>
        <w:autoSpaceDE/>
        <w:autoSpaceDN/>
        <w:bidi w:val="0"/>
        <w:adjustRightInd/>
        <w:snapToGrid/>
        <w:spacing w:line="240" w:lineRule="auto"/>
        <w:ind w:left="0" w:leftChars="0" w:right="0" w:firstLine="640" w:firstLineChars="200"/>
        <w:textAlignment w:val="auto"/>
        <w:rPr>
          <w:rFonts w:hint="eastAsia" w:ascii="仿宋" w:hAnsi="仿宋" w:eastAsia="仿宋"/>
          <w:color w:val="auto"/>
          <w:sz w:val="32"/>
          <w:szCs w:val="32"/>
          <w:highlight w:val="none"/>
        </w:rPr>
      </w:pPr>
      <w:r>
        <w:rPr>
          <w:rFonts w:hint="eastAsia" w:ascii="仿宋" w:hAnsi="仿宋" w:eastAsia="仿宋"/>
          <w:color w:val="auto"/>
          <w:sz w:val="32"/>
          <w:szCs w:val="32"/>
          <w:highlight w:val="none"/>
        </w:rPr>
        <w:t>（一）贯彻执行公安工作方针、政策、法律、法规、规章；组织领导、检查、监督全区公安工作。（二）收集、掌握影响稳定、危害国内安全和社会治安方面的重要情况，分析形势，研究改革开放中公安工作出现的新情况、新问题，为区委、区政府和上级公安机关提供信息，制定对策。（三）分析全区公安队伍状况，组织和指导全区公安队伍建设、民警教育训练和公安宣传工作；按规定权限管理干部。（四）组织、指导全区公安侦查工作，协调处理重大案件、治安灾害事故、骚乱和群体突发事件，协调处置恐怖暴力事件，组织实施重大活动的安全保卫工作。（五）参与草拟地方性公安规范性文件；指导全区公安</w:t>
      </w:r>
      <w:r>
        <w:rPr>
          <w:rFonts w:hint="eastAsia" w:ascii="仿宋" w:hAnsi="仿宋" w:eastAsia="仿宋"/>
          <w:color w:val="auto"/>
          <w:sz w:val="32"/>
          <w:szCs w:val="32"/>
          <w:highlight w:val="none"/>
          <w:lang w:eastAsia="zh-CN"/>
        </w:rPr>
        <w:t>法治</w:t>
      </w:r>
      <w:r>
        <w:rPr>
          <w:rFonts w:hint="eastAsia" w:ascii="仿宋" w:hAnsi="仿宋" w:eastAsia="仿宋"/>
          <w:color w:val="auto"/>
          <w:sz w:val="32"/>
          <w:szCs w:val="32"/>
          <w:highlight w:val="none"/>
        </w:rPr>
        <w:t>建设，按管辖办理行政诉讼和行政复议案件。（六）指导、监督全区公安机关查处危害社会治安秩序行为；依法管理户口、居民身份证、枪支弹药、危险物品、特种行业等；依法管理集会、游行、示威活动；依法管理国籍、口岸签证、出境入境和外国人在中国境内居留、旅行的有关工作。（七）组织指导全区消防监督、水灾预防和扑救工作；对易燃易爆物品的消防安全进行检查监督。（八）指导全区公安机关依法监督管理机关、团体、企事业单位和重点建设工程的安全保卫工作；指导企事业单位保卫组织的建设和业务培训；指导治保会、保安等群众性组织开展治安防范工作。（九）指导监督区看守所的监管教育工作；负责对区看守所进行管理。（十）指导全区公安警卫业务工作、组织实施对党和国家领导人及重要外宾来五通桥的安全警卫。（十一）指导、监督全区公安机关维护道路交通安全、交通秩序；组织、协调处置重特大交通事故；依法管理机动车辆和驾驶员。（十二）规划和组织全区公安装备现代化建设和后勤保障工作；组织、实施全区公安科学技术工作；指导、监督全区公安信息网络的安全监察工作；规划全区公安信息技术、刑事技术和行动技术建设。（十三）指导全区公安机关纪检监察和警务督察工作；对全区公安机关及其人民警察的执法情况进行监督；按规定权限对干部实施监督；查处和督办重大违纪案件。（十四）指导区内铁路、交通、林业等专业公安机关的业务工作。（十五）承办区委、区政府和上级公安机关交办的其他工作事项。</w:t>
      </w:r>
    </w:p>
    <w:p>
      <w:pPr>
        <w:pStyle w:val="4"/>
        <w:pageBreakBefore w:val="0"/>
        <w:kinsoku/>
        <w:wordWrap/>
        <w:overflowPunct/>
        <w:topLinePunct w:val="0"/>
        <w:bidi w:val="0"/>
        <w:spacing w:before="0" w:after="0" w:line="240" w:lineRule="auto"/>
        <w:ind w:left="0" w:leftChars="0" w:right="0" w:firstLine="838" w:firstLineChars="262"/>
        <w:textAlignment w:val="auto"/>
        <w:rPr>
          <w:rStyle w:val="30"/>
          <w:b w:val="0"/>
          <w:bCs w:val="0"/>
          <w:color w:val="auto"/>
          <w:highlight w:val="none"/>
        </w:rPr>
      </w:pPr>
      <w:bookmarkStart w:id="19" w:name="_Toc15377200"/>
      <w:bookmarkStart w:id="20" w:name="_Toc15396601"/>
      <w:r>
        <w:rPr>
          <w:rFonts w:hint="eastAsia" w:ascii="黑体" w:eastAsia="黑体"/>
          <w:b w:val="0"/>
          <w:color w:val="auto"/>
          <w:highlight w:val="none"/>
        </w:rPr>
        <w:t>二、</w:t>
      </w:r>
      <w:r>
        <w:rPr>
          <w:rFonts w:hint="eastAsia" w:ascii="黑体" w:hAnsi="黑体" w:eastAsia="黑体"/>
          <w:b w:val="0"/>
          <w:color w:val="auto"/>
          <w:highlight w:val="none"/>
        </w:rPr>
        <w:t>机</w:t>
      </w:r>
      <w:r>
        <w:rPr>
          <w:rStyle w:val="30"/>
          <w:rFonts w:hint="eastAsia" w:ascii="黑体" w:hAnsi="黑体" w:eastAsia="黑体"/>
          <w:b w:val="0"/>
          <w:bCs w:val="0"/>
          <w:color w:val="auto"/>
          <w:highlight w:val="none"/>
        </w:rPr>
        <w:t>构设置</w:t>
      </w:r>
      <w:bookmarkEnd w:id="19"/>
      <w:bookmarkEnd w:id="20"/>
    </w:p>
    <w:p>
      <w:pPr>
        <w:pageBreakBefore w:val="0"/>
        <w:kinsoku/>
        <w:wordWrap/>
        <w:overflowPunct/>
        <w:topLinePunct w:val="0"/>
        <w:bidi w:val="0"/>
        <w:spacing w:line="240" w:lineRule="auto"/>
        <w:ind w:left="0" w:leftChars="0" w:right="0" w:firstLine="800" w:firstLineChars="250"/>
        <w:textAlignment w:val="auto"/>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乐山市公安局五通桥区分局</w:t>
      </w:r>
      <w:r>
        <w:rPr>
          <w:rFonts w:hint="eastAsia" w:ascii="仿宋" w:hAnsi="仿宋" w:eastAsia="仿宋"/>
          <w:color w:val="auto"/>
          <w:sz w:val="32"/>
          <w:szCs w:val="32"/>
          <w:highlight w:val="none"/>
        </w:rPr>
        <w:t>下属二级</w:t>
      </w:r>
      <w:r>
        <w:rPr>
          <w:rFonts w:hint="eastAsia" w:ascii="仿宋" w:hAnsi="仿宋" w:eastAsia="仿宋"/>
          <w:color w:val="auto"/>
          <w:sz w:val="32"/>
          <w:szCs w:val="32"/>
          <w:highlight w:val="none"/>
          <w:lang w:eastAsia="zh-CN"/>
        </w:rPr>
        <w:t>预算</w:t>
      </w:r>
      <w:r>
        <w:rPr>
          <w:rFonts w:hint="eastAsia" w:ascii="仿宋" w:hAnsi="仿宋" w:eastAsia="仿宋"/>
          <w:color w:val="auto"/>
          <w:sz w:val="32"/>
          <w:szCs w:val="32"/>
          <w:highlight w:val="none"/>
        </w:rPr>
        <w:t>单位</w:t>
      </w: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rPr>
        <w:t>个，其中行政单位</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个，参照公务员法管理的事业单位</w:t>
      </w:r>
      <w:r>
        <w:rPr>
          <w:rFonts w:hint="eastAsia" w:ascii="仿宋" w:hAnsi="仿宋" w:eastAsia="仿宋"/>
          <w:bCs/>
          <w:color w:val="auto"/>
          <w:sz w:val="32"/>
          <w:szCs w:val="32"/>
          <w:highlight w:val="none"/>
          <w:lang w:val="en-US" w:eastAsia="zh-CN"/>
        </w:rPr>
        <w:t>0</w:t>
      </w:r>
      <w:r>
        <w:rPr>
          <w:rFonts w:hint="eastAsia" w:ascii="仿宋" w:hAnsi="仿宋" w:eastAsia="仿宋"/>
          <w:color w:val="auto"/>
          <w:sz w:val="32"/>
          <w:szCs w:val="32"/>
          <w:highlight w:val="none"/>
        </w:rPr>
        <w:t>个，其他事业单位</w:t>
      </w: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rPr>
        <w:t>个。</w:t>
      </w:r>
    </w:p>
    <w:p>
      <w:pPr>
        <w:pStyle w:val="2"/>
        <w:pageBreakBefore w:val="0"/>
        <w:kinsoku/>
        <w:wordWrap/>
        <w:overflowPunct/>
        <w:topLinePunct w:val="0"/>
        <w:bidi w:val="0"/>
        <w:adjustRightInd w:val="0"/>
        <w:snapToGrid w:val="0"/>
        <w:spacing w:beforeLines="0" w:line="240" w:lineRule="auto"/>
        <w:ind w:left="0" w:leftChars="0" w:right="0" w:firstLine="672" w:firstLineChars="210"/>
        <w:textAlignment w:val="auto"/>
        <w:rPr>
          <w:rFonts w:ascii="仿宋" w:hAnsi="仿宋" w:eastAsia="仿宋"/>
          <w:color w:val="auto"/>
          <w:sz w:val="32"/>
          <w:szCs w:val="32"/>
          <w:highlight w:val="none"/>
        </w:rPr>
      </w:pPr>
      <w:r>
        <w:rPr>
          <w:rFonts w:hint="eastAsia" w:ascii="仿宋" w:hAnsi="仿宋" w:eastAsia="仿宋"/>
          <w:color w:val="auto"/>
          <w:sz w:val="32"/>
          <w:szCs w:val="32"/>
          <w:highlight w:val="none"/>
        </w:rPr>
        <w:t>纳入</w:t>
      </w:r>
      <w:r>
        <w:rPr>
          <w:rFonts w:hint="eastAsia" w:ascii="仿宋" w:hAnsi="仿宋" w:eastAsia="仿宋"/>
          <w:color w:val="auto"/>
          <w:sz w:val="32"/>
          <w:szCs w:val="32"/>
          <w:highlight w:val="none"/>
          <w:lang w:eastAsia="zh-CN"/>
        </w:rPr>
        <w:t>乐山市公安局五通桥区分局</w:t>
      </w: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年度部门决算编制范围的二级预算单位包括：</w:t>
      </w:r>
    </w:p>
    <w:p>
      <w:pPr>
        <w:pStyle w:val="2"/>
        <w:pageBreakBefore w:val="0"/>
        <w:kinsoku/>
        <w:wordWrap/>
        <w:overflowPunct/>
        <w:topLinePunct w:val="0"/>
        <w:bidi w:val="0"/>
        <w:adjustRightInd w:val="0"/>
        <w:snapToGrid w:val="0"/>
        <w:spacing w:beforeLines="0" w:line="240" w:lineRule="auto"/>
        <w:ind w:left="0" w:leftChars="0" w:right="0" w:firstLine="672" w:firstLineChars="210"/>
        <w:textAlignment w:val="auto"/>
        <w:rPr>
          <w:rFonts w:hint="eastAsia" w:ascii="仿宋" w:hAnsi="仿宋" w:eastAsia="仿宋"/>
          <w:color w:val="auto"/>
          <w:sz w:val="32"/>
          <w:szCs w:val="32"/>
          <w:highlight w:val="none"/>
          <w:lang w:val="en-US" w:eastAsia="zh-CN"/>
        </w:rPr>
      </w:pPr>
      <w:bookmarkStart w:id="21" w:name="_Toc15306276"/>
      <w:bookmarkStart w:id="22" w:name="_Toc15377433"/>
      <w:bookmarkStart w:id="23" w:name="_Toc15378449"/>
      <w:bookmarkStart w:id="24" w:name="_Toc15377202"/>
      <w:r>
        <w:rPr>
          <w:rFonts w:hint="eastAsia" w:ascii="仿宋" w:hAnsi="仿宋" w:eastAsia="仿宋"/>
          <w:color w:val="auto"/>
          <w:sz w:val="32"/>
          <w:szCs w:val="32"/>
          <w:highlight w:val="none"/>
          <w:lang w:val="en-US" w:eastAsia="zh-CN"/>
        </w:rPr>
        <w:t>乐山市公安局五通桥区分局110指挥中心</w:t>
      </w:r>
      <w:bookmarkEnd w:id="21"/>
      <w:bookmarkEnd w:id="22"/>
      <w:bookmarkEnd w:id="23"/>
      <w:bookmarkEnd w:id="24"/>
    </w:p>
    <w:p>
      <w:pPr>
        <w:pStyle w:val="2"/>
        <w:pageBreakBefore w:val="0"/>
        <w:kinsoku/>
        <w:wordWrap/>
        <w:overflowPunct/>
        <w:topLinePunct w:val="0"/>
        <w:bidi w:val="0"/>
        <w:adjustRightInd w:val="0"/>
        <w:snapToGrid w:val="0"/>
        <w:spacing w:beforeLines="0" w:line="240" w:lineRule="auto"/>
        <w:ind w:left="0" w:leftChars="0" w:right="0" w:firstLine="672" w:firstLineChars="210"/>
        <w:textAlignment w:val="auto"/>
        <w:rPr>
          <w:rFonts w:hint="eastAsia" w:ascii="仿宋" w:hAnsi="仿宋" w:eastAsia="仿宋"/>
          <w:color w:val="auto"/>
          <w:sz w:val="32"/>
          <w:szCs w:val="32"/>
          <w:highlight w:val="none"/>
          <w:lang w:val="en-US" w:eastAsia="zh-CN"/>
        </w:rPr>
      </w:pPr>
    </w:p>
    <w:p>
      <w:pPr>
        <w:pStyle w:val="3"/>
        <w:pageBreakBefore w:val="0"/>
        <w:kinsoku/>
        <w:wordWrap/>
        <w:overflowPunct/>
        <w:topLinePunct w:val="0"/>
        <w:bidi w:val="0"/>
        <w:spacing w:before="0" w:after="0" w:line="240" w:lineRule="auto"/>
        <w:ind w:left="0" w:leftChars="0" w:right="0"/>
        <w:jc w:val="center"/>
        <w:textAlignment w:val="auto"/>
        <w:rPr>
          <w:rFonts w:hint="eastAsia" w:ascii="黑体" w:hAnsi="黑体" w:eastAsia="黑体"/>
          <w:b w:val="0"/>
          <w:bCs/>
          <w:color w:val="auto"/>
          <w:highlight w:val="none"/>
        </w:rPr>
      </w:pPr>
      <w:bookmarkStart w:id="25" w:name="_Toc15396602"/>
      <w:bookmarkStart w:id="26" w:name="_Toc15377204"/>
    </w:p>
    <w:p>
      <w:pPr>
        <w:pStyle w:val="3"/>
        <w:pageBreakBefore w:val="0"/>
        <w:kinsoku/>
        <w:wordWrap/>
        <w:overflowPunct/>
        <w:topLinePunct w:val="0"/>
        <w:bidi w:val="0"/>
        <w:spacing w:before="0" w:after="0" w:line="240" w:lineRule="auto"/>
        <w:ind w:left="0" w:leftChars="0" w:right="0"/>
        <w:jc w:val="center"/>
        <w:textAlignment w:val="auto"/>
        <w:rPr>
          <w:rStyle w:val="29"/>
          <w:rFonts w:ascii="黑体" w:hAnsi="黑体" w:eastAsia="黑体"/>
          <w:b w:val="0"/>
          <w:bCs/>
          <w:color w:val="auto"/>
          <w:highlight w:val="none"/>
        </w:rPr>
      </w:pPr>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29"/>
          <w:rFonts w:hint="eastAsia" w:ascii="黑体" w:hAnsi="黑体" w:eastAsia="黑体"/>
          <w:b w:val="0"/>
          <w:bCs/>
          <w:color w:val="auto"/>
          <w:highlight w:val="none"/>
        </w:rPr>
        <w:t>部门决算情况说明</w:t>
      </w:r>
      <w:bookmarkEnd w:id="25"/>
      <w:bookmarkEnd w:id="26"/>
    </w:p>
    <w:p>
      <w:pPr>
        <w:pageBreakBefore w:val="0"/>
        <w:kinsoku/>
        <w:wordWrap/>
        <w:overflowPunct/>
        <w:topLinePunct w:val="0"/>
        <w:bidi w:val="0"/>
        <w:spacing w:line="240" w:lineRule="auto"/>
        <w:ind w:left="0" w:leftChars="0" w:right="0"/>
        <w:textAlignment w:val="auto"/>
        <w:rPr>
          <w:color w:val="auto"/>
          <w:highlight w:val="none"/>
        </w:rPr>
      </w:pPr>
    </w:p>
    <w:p>
      <w:pPr>
        <w:pStyle w:val="28"/>
        <w:pageBreakBefore w:val="0"/>
        <w:numPr>
          <w:ilvl w:val="0"/>
          <w:numId w:val="0"/>
        </w:numPr>
        <w:kinsoku/>
        <w:wordWrap/>
        <w:overflowPunct/>
        <w:topLinePunct w:val="0"/>
        <w:bidi w:val="0"/>
        <w:spacing w:line="240" w:lineRule="auto"/>
        <w:ind w:left="0" w:leftChars="0" w:right="0" w:rightChars="0" w:firstLine="640" w:firstLineChars="200"/>
        <w:textAlignment w:val="auto"/>
        <w:outlineLvl w:val="1"/>
        <w:rPr>
          <w:rStyle w:val="30"/>
          <w:rFonts w:ascii="黑体" w:hAnsi="黑体" w:eastAsia="黑体"/>
          <w:b w:val="0"/>
          <w:color w:val="auto"/>
          <w:highlight w:val="none"/>
        </w:rPr>
      </w:pPr>
      <w:bookmarkStart w:id="27" w:name="_Toc15377205"/>
      <w:bookmarkStart w:id="28" w:name="_Toc15396603"/>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收</w:t>
      </w:r>
      <w:r>
        <w:rPr>
          <w:rStyle w:val="30"/>
          <w:rFonts w:hint="eastAsia" w:ascii="黑体" w:hAnsi="黑体" w:eastAsia="黑体"/>
          <w:b w:val="0"/>
          <w:color w:val="auto"/>
          <w:highlight w:val="none"/>
        </w:rPr>
        <w:t>入支出决算总体情况说明</w:t>
      </w:r>
      <w:bookmarkEnd w:id="27"/>
      <w:bookmarkEnd w:id="28"/>
    </w:p>
    <w:p>
      <w:pPr>
        <w:pageBreakBefore w:val="0"/>
        <w:kinsoku/>
        <w:wordWrap/>
        <w:overflowPunct/>
        <w:topLinePunct w:val="0"/>
        <w:bidi w:val="0"/>
        <w:spacing w:line="240" w:lineRule="auto"/>
        <w:ind w:left="0" w:leftChars="0" w:right="0" w:firstLine="640" w:firstLineChars="200"/>
        <w:textAlignment w:val="auto"/>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_GB2312" w:hAnsi="仿宋_GB2312" w:eastAsia="仿宋_GB2312"/>
          <w:color w:val="auto"/>
          <w:kern w:val="2"/>
          <w:sz w:val="32"/>
          <w:lang w:val="zh-CN"/>
        </w:rPr>
        <w:t>8584.77</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年相比，收、支总计各增加</w:t>
      </w:r>
      <w:r>
        <w:rPr>
          <w:rFonts w:hint="eastAsia" w:ascii="仿宋" w:hAnsi="仿宋" w:eastAsia="仿宋"/>
          <w:color w:val="auto"/>
          <w:sz w:val="32"/>
          <w:szCs w:val="32"/>
          <w:highlight w:val="none"/>
          <w:lang w:val="en-US" w:eastAsia="zh-CN"/>
        </w:rPr>
        <w:t>1580.74</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22.57%</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人员经费、项目类预算</w:t>
      </w:r>
      <w:r>
        <w:rPr>
          <w:rFonts w:hint="eastAsia" w:ascii="仿宋" w:hAnsi="仿宋" w:eastAsia="仿宋"/>
          <w:color w:val="auto"/>
          <w:sz w:val="32"/>
          <w:szCs w:val="32"/>
          <w:lang w:eastAsia="zh-CN"/>
        </w:rPr>
        <w:t>增加经费</w:t>
      </w:r>
      <w:r>
        <w:rPr>
          <w:rFonts w:hint="eastAsia" w:ascii="仿宋" w:hAnsi="仿宋" w:eastAsia="仿宋"/>
          <w:color w:val="auto"/>
          <w:sz w:val="32"/>
          <w:szCs w:val="32"/>
          <w:highlight w:val="none"/>
          <w:lang w:eastAsia="zh-CN"/>
        </w:rPr>
        <w:t>。</w:t>
      </w:r>
    </w:p>
    <w:p>
      <w:pPr>
        <w:pageBreakBefore w:val="0"/>
        <w:kinsoku/>
        <w:wordWrap/>
        <w:overflowPunct/>
        <w:topLinePunct w:val="0"/>
        <w:bidi w:val="0"/>
        <w:spacing w:line="240" w:lineRule="auto"/>
        <w:ind w:left="0" w:leftChars="0" w:right="0" w:firstLine="640" w:firstLineChars="200"/>
        <w:textAlignment w:val="auto"/>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anchor distT="0" distB="0" distL="114300" distR="114300" simplePos="0" relativeHeight="251659264" behindDoc="0" locked="0" layoutInCell="1" allowOverlap="1">
            <wp:simplePos x="0" y="0"/>
            <wp:positionH relativeFrom="column">
              <wp:posOffset>93980</wp:posOffset>
            </wp:positionH>
            <wp:positionV relativeFrom="paragraph">
              <wp:posOffset>87630</wp:posOffset>
            </wp:positionV>
            <wp:extent cx="3173095" cy="2012950"/>
            <wp:effectExtent l="0" t="0" r="8255" b="6350"/>
            <wp:wrapSquare wrapText="bothSides"/>
            <wp:docPr id="2"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1"/>
                    <pic:cNvPicPr>
                      <a:picLocks noChangeAspect="1"/>
                    </pic:cNvPicPr>
                  </pic:nvPicPr>
                  <pic:blipFill>
                    <a:blip r:embed="rId6"/>
                    <a:stretch>
                      <a:fillRect/>
                    </a:stretch>
                  </pic:blipFill>
                  <pic:spPr>
                    <a:xfrm>
                      <a:off x="0" y="0"/>
                      <a:ext cx="3173095" cy="2012950"/>
                    </a:xfrm>
                    <a:prstGeom prst="rect">
                      <a:avLst/>
                    </a:prstGeom>
                  </pic:spPr>
                </pic:pic>
              </a:graphicData>
            </a:graphic>
          </wp:anchor>
        </w:drawing>
      </w:r>
    </w:p>
    <w:p>
      <w:pPr>
        <w:pageBreakBefore w:val="0"/>
        <w:kinsoku/>
        <w:wordWrap/>
        <w:overflowPunct/>
        <w:topLinePunct w:val="0"/>
        <w:bidi w:val="0"/>
        <w:spacing w:line="240" w:lineRule="auto"/>
        <w:ind w:left="0" w:leftChars="0" w:right="0" w:firstLine="640" w:firstLineChars="200"/>
        <w:textAlignment w:val="auto"/>
        <w:rPr>
          <w:rFonts w:ascii="仿宋" w:hAnsi="仿宋" w:eastAsia="仿宋"/>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：收、支决算总计变动情况图）（柱状图）</w:t>
      </w:r>
    </w:p>
    <w:p>
      <w:pPr>
        <w:pStyle w:val="28"/>
        <w:pageBreakBefore w:val="0"/>
        <w:numPr>
          <w:ilvl w:val="0"/>
          <w:numId w:val="0"/>
        </w:numPr>
        <w:kinsoku/>
        <w:wordWrap/>
        <w:overflowPunct/>
        <w:topLinePunct w:val="0"/>
        <w:bidi w:val="0"/>
        <w:spacing w:line="240" w:lineRule="auto"/>
        <w:ind w:left="0" w:right="0" w:rightChars="0"/>
        <w:textAlignment w:val="auto"/>
        <w:outlineLvl w:val="9"/>
        <w:rPr>
          <w:rStyle w:val="30"/>
          <w:rFonts w:ascii="黑体" w:hAnsi="黑体" w:eastAsia="黑体"/>
          <w:b w:val="0"/>
          <w:color w:val="auto"/>
          <w:highlight w:val="none"/>
        </w:rPr>
      </w:pPr>
      <w:bookmarkStart w:id="29" w:name="_Toc15377206"/>
      <w:bookmarkStart w:id="30" w:name="_Toc15396604"/>
    </w:p>
    <w:p>
      <w:pPr>
        <w:pStyle w:val="28"/>
        <w:pageBreakBefore w:val="0"/>
        <w:numPr>
          <w:ilvl w:val="0"/>
          <w:numId w:val="0"/>
        </w:numPr>
        <w:kinsoku/>
        <w:wordWrap/>
        <w:overflowPunct/>
        <w:topLinePunct w:val="0"/>
        <w:bidi w:val="0"/>
        <w:spacing w:line="240" w:lineRule="auto"/>
        <w:ind w:left="0" w:right="0" w:rightChars="0"/>
        <w:textAlignment w:val="auto"/>
        <w:outlineLvl w:val="9"/>
        <w:rPr>
          <w:rStyle w:val="30"/>
          <w:rFonts w:ascii="黑体" w:hAnsi="黑体" w:eastAsia="黑体"/>
          <w:b w:val="0"/>
          <w:color w:val="auto"/>
          <w:highlight w:val="none"/>
        </w:rPr>
      </w:pPr>
    </w:p>
    <w:p>
      <w:pPr>
        <w:pStyle w:val="28"/>
        <w:pageBreakBefore w:val="0"/>
        <w:numPr>
          <w:ilvl w:val="0"/>
          <w:numId w:val="0"/>
        </w:numPr>
        <w:kinsoku/>
        <w:wordWrap/>
        <w:overflowPunct/>
        <w:topLinePunct w:val="0"/>
        <w:bidi w:val="0"/>
        <w:spacing w:line="240" w:lineRule="auto"/>
        <w:ind w:left="0" w:leftChars="0" w:right="0" w:rightChars="0" w:firstLine="640" w:firstLineChars="200"/>
        <w:textAlignment w:val="auto"/>
        <w:outlineLvl w:val="1"/>
        <w:rPr>
          <w:rStyle w:val="30"/>
          <w:rFonts w:ascii="黑体" w:hAnsi="黑体" w:eastAsia="黑体"/>
          <w:b w:val="0"/>
          <w:color w:val="auto"/>
          <w:highlight w:val="none"/>
        </w:rPr>
      </w:pPr>
      <w:r>
        <w:rPr>
          <w:rFonts w:hint="eastAsia" w:ascii="黑体" w:hAnsi="黑体" w:eastAsia="黑体"/>
          <w:color w:val="auto"/>
          <w:sz w:val="32"/>
          <w:szCs w:val="32"/>
          <w:highlight w:val="none"/>
          <w:lang w:eastAsia="zh-CN"/>
        </w:rPr>
        <w:t>二、</w:t>
      </w:r>
      <w:r>
        <w:rPr>
          <w:rFonts w:hint="eastAsia" w:ascii="黑体" w:hAnsi="黑体" w:eastAsia="黑体"/>
          <w:color w:val="auto"/>
          <w:sz w:val="32"/>
          <w:szCs w:val="32"/>
          <w:highlight w:val="none"/>
        </w:rPr>
        <w:t>收</w:t>
      </w:r>
      <w:r>
        <w:rPr>
          <w:rStyle w:val="30"/>
          <w:rFonts w:hint="eastAsia" w:ascii="黑体" w:hAnsi="黑体" w:eastAsia="黑体"/>
          <w:b w:val="0"/>
          <w:color w:val="auto"/>
          <w:highlight w:val="none"/>
        </w:rPr>
        <w:t>入决算情况说明</w:t>
      </w:r>
      <w:bookmarkEnd w:id="29"/>
      <w:bookmarkEnd w:id="30"/>
    </w:p>
    <w:p>
      <w:pPr>
        <w:pageBreakBefore w:val="0"/>
        <w:kinsoku/>
        <w:wordWrap/>
        <w:overflowPunct/>
        <w:topLinePunct w:val="0"/>
        <w:bidi w:val="0"/>
        <w:spacing w:line="240" w:lineRule="auto"/>
        <w:ind w:left="0" w:leftChars="0" w:right="0" w:firstLine="640" w:firstLineChars="200"/>
        <w:textAlignment w:val="auto"/>
        <w:outlineLvl w:val="1"/>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_GB2312" w:hAnsi="仿宋_GB2312" w:eastAsia="仿宋_GB2312"/>
          <w:color w:val="auto"/>
          <w:kern w:val="2"/>
          <w:sz w:val="32"/>
          <w:lang w:val="zh-CN"/>
        </w:rPr>
        <w:t>8584.77</w:t>
      </w:r>
      <w:r>
        <w:rPr>
          <w:rFonts w:hint="eastAsia" w:ascii="仿宋" w:hAnsi="仿宋" w:eastAsia="仿宋"/>
          <w:color w:val="auto"/>
          <w:sz w:val="32"/>
          <w:szCs w:val="32"/>
          <w:highlight w:val="none"/>
        </w:rPr>
        <w:t>万元，其中：一般公共预算财政拨款收入</w:t>
      </w:r>
      <w:r>
        <w:rPr>
          <w:rFonts w:hint="eastAsia" w:ascii="仿宋_GB2312" w:hAnsi="仿宋_GB2312" w:eastAsia="仿宋_GB2312"/>
          <w:color w:val="auto"/>
          <w:kern w:val="2"/>
          <w:sz w:val="32"/>
          <w:lang w:val="zh-CN"/>
        </w:rPr>
        <w:t>8584.77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pageBreakBefore w:val="0"/>
        <w:kinsoku/>
        <w:wordWrap/>
        <w:overflowPunct/>
        <w:topLinePunct w:val="0"/>
        <w:bidi w:val="0"/>
        <w:spacing w:line="240" w:lineRule="auto"/>
        <w:ind w:left="0" w:leftChars="0" w:right="0" w:firstLine="640" w:firstLineChars="200"/>
        <w:textAlignment w:val="auto"/>
        <w:outlineLvl w:val="9"/>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anchor distT="0" distB="0" distL="114300" distR="114300" simplePos="0" relativeHeight="251660288" behindDoc="0" locked="0" layoutInCell="1" allowOverlap="1">
            <wp:simplePos x="0" y="0"/>
            <wp:positionH relativeFrom="column">
              <wp:posOffset>63500</wp:posOffset>
            </wp:positionH>
            <wp:positionV relativeFrom="paragraph">
              <wp:posOffset>213995</wp:posOffset>
            </wp:positionV>
            <wp:extent cx="3060065" cy="1821180"/>
            <wp:effectExtent l="0" t="0" r="6985" b="7620"/>
            <wp:wrapSquare wrapText="bothSides"/>
            <wp:docPr id="3" name="图片 3"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2"/>
                    <pic:cNvPicPr>
                      <a:picLocks noChangeAspect="1"/>
                    </pic:cNvPicPr>
                  </pic:nvPicPr>
                  <pic:blipFill>
                    <a:blip r:embed="rId7"/>
                    <a:stretch>
                      <a:fillRect/>
                    </a:stretch>
                  </pic:blipFill>
                  <pic:spPr>
                    <a:xfrm>
                      <a:off x="0" y="0"/>
                      <a:ext cx="3060065" cy="1821180"/>
                    </a:xfrm>
                    <a:prstGeom prst="rect">
                      <a:avLst/>
                    </a:prstGeom>
                  </pic:spPr>
                </pic:pic>
              </a:graphicData>
            </a:graphic>
          </wp:anchor>
        </w:drawing>
      </w:r>
    </w:p>
    <w:p>
      <w:pPr>
        <w:pStyle w:val="2"/>
        <w:pageBreakBefore w:val="0"/>
        <w:kinsoku/>
        <w:wordWrap/>
        <w:overflowPunct/>
        <w:topLinePunct w:val="0"/>
        <w:bidi w:val="0"/>
        <w:spacing w:beforeLines="0" w:line="240" w:lineRule="auto"/>
        <w:ind w:left="0"/>
        <w:textAlignment w:val="auto"/>
        <w:rPr>
          <w:rFonts w:ascii="仿宋" w:hAnsi="仿宋" w:eastAsia="仿宋"/>
          <w:color w:val="auto"/>
          <w:sz w:val="32"/>
          <w:szCs w:val="32"/>
          <w:highlight w:val="none"/>
        </w:rPr>
      </w:pPr>
    </w:p>
    <w:p>
      <w:pPr>
        <w:pageBreakBefore w:val="0"/>
        <w:kinsoku/>
        <w:wordWrap/>
        <w:overflowPunct/>
        <w:topLinePunct w:val="0"/>
        <w:bidi w:val="0"/>
        <w:spacing w:line="240" w:lineRule="auto"/>
        <w:ind w:left="0" w:right="0"/>
        <w:textAlignment w:val="auto"/>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（图2：收入决算结构图）（饼状图）</w:t>
      </w:r>
    </w:p>
    <w:p>
      <w:pPr>
        <w:pageBreakBefore w:val="0"/>
        <w:kinsoku/>
        <w:wordWrap/>
        <w:overflowPunct/>
        <w:topLinePunct w:val="0"/>
        <w:bidi w:val="0"/>
        <w:spacing w:line="240" w:lineRule="auto"/>
        <w:ind w:left="0" w:leftChars="0" w:right="0" w:firstLine="640" w:firstLineChars="200"/>
        <w:textAlignment w:val="auto"/>
        <w:rPr>
          <w:rFonts w:ascii="仿宋_GB2312" w:eastAsia="仿宋_GB2312"/>
          <w:color w:val="auto"/>
          <w:sz w:val="32"/>
          <w:szCs w:val="32"/>
          <w:highlight w:val="none"/>
        </w:rPr>
      </w:pPr>
    </w:p>
    <w:p>
      <w:pPr>
        <w:pStyle w:val="2"/>
        <w:pageBreakBefore w:val="0"/>
        <w:kinsoku/>
        <w:wordWrap/>
        <w:overflowPunct/>
        <w:topLinePunct w:val="0"/>
        <w:bidi w:val="0"/>
        <w:spacing w:beforeLines="0" w:line="240" w:lineRule="auto"/>
        <w:ind w:left="0"/>
        <w:textAlignment w:val="auto"/>
        <w:rPr>
          <w:color w:val="auto"/>
        </w:rPr>
      </w:pPr>
    </w:p>
    <w:p>
      <w:pPr>
        <w:pStyle w:val="28"/>
        <w:pageBreakBefore w:val="0"/>
        <w:numPr>
          <w:ilvl w:val="0"/>
          <w:numId w:val="0"/>
        </w:numPr>
        <w:kinsoku/>
        <w:wordWrap/>
        <w:overflowPunct/>
        <w:topLinePunct w:val="0"/>
        <w:bidi w:val="0"/>
        <w:spacing w:line="240" w:lineRule="auto"/>
        <w:ind w:left="0" w:leftChars="0" w:right="0" w:rightChars="0" w:firstLine="640" w:firstLineChars="200"/>
        <w:textAlignment w:val="auto"/>
        <w:outlineLvl w:val="1"/>
        <w:rPr>
          <w:rStyle w:val="30"/>
          <w:rFonts w:ascii="黑体" w:hAnsi="黑体" w:eastAsia="黑体"/>
          <w:b w:val="0"/>
          <w:color w:val="auto"/>
          <w:highlight w:val="none"/>
        </w:rPr>
      </w:pPr>
      <w:bookmarkStart w:id="31" w:name="_Toc15396605"/>
      <w:bookmarkStart w:id="32" w:name="_Toc15377207"/>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30"/>
          <w:rFonts w:hint="eastAsia" w:ascii="黑体" w:hAnsi="黑体" w:eastAsia="黑体"/>
          <w:b w:val="0"/>
          <w:color w:val="auto"/>
          <w:highlight w:val="none"/>
        </w:rPr>
        <w:t>出决算情况说明</w:t>
      </w:r>
      <w:bookmarkEnd w:id="31"/>
      <w:bookmarkEnd w:id="32"/>
    </w:p>
    <w:p>
      <w:pPr>
        <w:keepNext/>
        <w:keepLines/>
        <w:pageBreakBefore w:val="0"/>
        <w:kinsoku/>
        <w:wordWrap/>
        <w:overflowPunct/>
        <w:topLinePunct w:val="0"/>
        <w:bidi w:val="0"/>
        <w:spacing w:line="240" w:lineRule="auto"/>
        <w:ind w:left="0" w:firstLine="640"/>
        <w:jc w:val="both"/>
        <w:textAlignment w:val="auto"/>
        <w:rPr>
          <w:rFonts w:hint="eastAsia" w:ascii="仿宋_GB2312" w:hAnsi="仿宋_GB2312" w:eastAsia="仿宋_GB2312"/>
          <w:color w:val="auto"/>
          <w:kern w:val="2"/>
          <w:sz w:val="32"/>
          <w:lang w:val="zh-CN"/>
        </w:rPr>
      </w:pPr>
      <w:r>
        <w:rPr>
          <w:rFonts w:hint="eastAsia" w:ascii="仿宋_GB2312" w:hAnsi="仿宋_GB2312" w:eastAsia="仿宋_GB2312"/>
          <w:color w:val="auto"/>
          <w:kern w:val="2"/>
          <w:sz w:val="32"/>
          <w:lang w:val="zh-CN"/>
        </w:rPr>
        <w:t>2022年本年支出合计8584.77万元，其中：基本支出6543.82万元，占76.2</w:t>
      </w:r>
      <w:r>
        <w:rPr>
          <w:rFonts w:hint="eastAsia" w:ascii="仿宋_GB2312" w:hAnsi="仿宋_GB2312" w:eastAsia="仿宋_GB2312"/>
          <w:color w:val="auto"/>
          <w:kern w:val="2"/>
          <w:sz w:val="32"/>
          <w:lang w:val="en-US" w:eastAsia="zh-CN"/>
        </w:rPr>
        <w:t>3</w:t>
      </w:r>
      <w:r>
        <w:rPr>
          <w:rFonts w:hint="eastAsia" w:ascii="仿宋_GB2312" w:hAnsi="仿宋_GB2312" w:eastAsia="仿宋_GB2312"/>
          <w:color w:val="auto"/>
          <w:kern w:val="2"/>
          <w:sz w:val="32"/>
          <w:lang w:val="zh-CN"/>
        </w:rPr>
        <w:t>%；项目支出2040.95万元，占23.</w:t>
      </w:r>
      <w:r>
        <w:rPr>
          <w:rFonts w:hint="eastAsia" w:ascii="仿宋_GB2312" w:hAnsi="仿宋_GB2312" w:eastAsia="仿宋_GB2312"/>
          <w:color w:val="auto"/>
          <w:kern w:val="2"/>
          <w:sz w:val="32"/>
          <w:lang w:val="en-US" w:eastAsia="zh-CN"/>
        </w:rPr>
        <w:t>77</w:t>
      </w:r>
      <w:r>
        <w:rPr>
          <w:rFonts w:hint="eastAsia" w:ascii="仿宋_GB2312" w:hAnsi="仿宋_GB2312" w:eastAsia="仿宋_GB2312"/>
          <w:color w:val="auto"/>
          <w:kern w:val="2"/>
          <w:sz w:val="32"/>
          <w:lang w:val="zh-CN"/>
        </w:rPr>
        <w:t>%。</w:t>
      </w:r>
    </w:p>
    <w:p>
      <w:pPr>
        <w:pageBreakBefore w:val="0"/>
        <w:kinsoku/>
        <w:wordWrap/>
        <w:overflowPunct/>
        <w:topLinePunct w:val="0"/>
        <w:bidi w:val="0"/>
        <w:spacing w:line="240" w:lineRule="auto"/>
        <w:ind w:left="0" w:leftChars="0" w:right="0" w:firstLine="643" w:firstLineChars="200"/>
        <w:textAlignment w:val="auto"/>
        <w:outlineLvl w:val="9"/>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lang w:eastAsia="zh-CN"/>
        </w:rPr>
        <w:drawing>
          <wp:anchor distT="0" distB="0" distL="114300" distR="114300" simplePos="0" relativeHeight="251661312" behindDoc="0" locked="0" layoutInCell="1" allowOverlap="1">
            <wp:simplePos x="0" y="0"/>
            <wp:positionH relativeFrom="column">
              <wp:posOffset>134620</wp:posOffset>
            </wp:positionH>
            <wp:positionV relativeFrom="paragraph">
              <wp:posOffset>88900</wp:posOffset>
            </wp:positionV>
            <wp:extent cx="3071495" cy="2057400"/>
            <wp:effectExtent l="0" t="0" r="14605" b="0"/>
            <wp:wrapSquare wrapText="bothSides"/>
            <wp:docPr id="4" name="图片 4"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3"/>
                    <pic:cNvPicPr>
                      <a:picLocks noChangeAspect="1"/>
                    </pic:cNvPicPr>
                  </pic:nvPicPr>
                  <pic:blipFill>
                    <a:blip r:embed="rId8"/>
                    <a:stretch>
                      <a:fillRect/>
                    </a:stretch>
                  </pic:blipFill>
                  <pic:spPr>
                    <a:xfrm>
                      <a:off x="0" y="0"/>
                      <a:ext cx="3071495" cy="2057400"/>
                    </a:xfrm>
                    <a:prstGeom prst="rect">
                      <a:avLst/>
                    </a:prstGeom>
                  </pic:spPr>
                </pic:pic>
              </a:graphicData>
            </a:graphic>
          </wp:anchor>
        </w:drawing>
      </w:r>
    </w:p>
    <w:p>
      <w:pPr>
        <w:pageBreakBefore w:val="0"/>
        <w:kinsoku/>
        <w:wordWrap/>
        <w:overflowPunct/>
        <w:topLinePunct w:val="0"/>
        <w:bidi w:val="0"/>
        <w:spacing w:line="240" w:lineRule="auto"/>
        <w:ind w:left="0" w:leftChars="0" w:right="0" w:firstLine="640" w:firstLineChars="200"/>
        <w:textAlignment w:val="auto"/>
        <w:rPr>
          <w:rFonts w:hint="eastAsia" w:ascii="仿宋" w:hAnsi="仿宋" w:eastAsia="仿宋"/>
          <w:color w:val="auto"/>
          <w:sz w:val="32"/>
          <w:szCs w:val="32"/>
          <w:highlight w:val="none"/>
        </w:rPr>
      </w:pPr>
    </w:p>
    <w:p>
      <w:pPr>
        <w:pageBreakBefore w:val="0"/>
        <w:kinsoku/>
        <w:wordWrap/>
        <w:overflowPunct/>
        <w:topLinePunct w:val="0"/>
        <w:bidi w:val="0"/>
        <w:spacing w:line="240" w:lineRule="auto"/>
        <w:ind w:left="0" w:leftChars="0" w:right="0" w:firstLine="640" w:firstLineChars="200"/>
        <w:textAlignment w:val="auto"/>
        <w:rPr>
          <w:rFonts w:hint="eastAsia" w:ascii="仿宋" w:hAnsi="仿宋" w:eastAsia="仿宋"/>
          <w:color w:val="auto"/>
          <w:sz w:val="32"/>
          <w:szCs w:val="32"/>
          <w:highlight w:val="none"/>
        </w:rPr>
      </w:pPr>
    </w:p>
    <w:p>
      <w:pPr>
        <w:pageBreakBefore w:val="0"/>
        <w:kinsoku/>
        <w:wordWrap/>
        <w:overflowPunct/>
        <w:topLinePunct w:val="0"/>
        <w:bidi w:val="0"/>
        <w:spacing w:line="240" w:lineRule="auto"/>
        <w:ind w:left="0" w:right="0"/>
        <w:textAlignment w:val="auto"/>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（图3：支出决算结构图）（饼状图）</w:t>
      </w:r>
      <w:bookmarkStart w:id="33" w:name="_Toc15377208"/>
      <w:bookmarkStart w:id="34" w:name="_Toc15396606"/>
    </w:p>
    <w:p>
      <w:pPr>
        <w:pStyle w:val="2"/>
        <w:pageBreakBefore w:val="0"/>
        <w:kinsoku/>
        <w:wordWrap/>
        <w:overflowPunct/>
        <w:topLinePunct w:val="0"/>
        <w:bidi w:val="0"/>
        <w:spacing w:beforeLines="0" w:line="240" w:lineRule="auto"/>
        <w:ind w:left="0"/>
        <w:textAlignment w:val="auto"/>
        <w:rPr>
          <w:rFonts w:hint="eastAsia"/>
          <w:color w:val="auto"/>
        </w:rPr>
      </w:pPr>
    </w:p>
    <w:p>
      <w:pPr>
        <w:pageBreakBefore w:val="0"/>
        <w:kinsoku/>
        <w:wordWrap/>
        <w:overflowPunct/>
        <w:topLinePunct w:val="0"/>
        <w:bidi w:val="0"/>
        <w:spacing w:line="240" w:lineRule="auto"/>
        <w:ind w:left="0" w:leftChars="0" w:right="0" w:firstLine="640" w:firstLineChars="200"/>
        <w:textAlignment w:val="auto"/>
        <w:rPr>
          <w:rStyle w:val="30"/>
          <w:rFonts w:ascii="黑体" w:hAnsi="黑体" w:eastAsia="黑体"/>
          <w:b w:val="0"/>
          <w:color w:val="auto"/>
          <w:highlight w:val="none"/>
        </w:rPr>
      </w:pPr>
      <w:r>
        <w:rPr>
          <w:rFonts w:hint="eastAsia" w:ascii="黑体" w:hAnsi="黑体" w:eastAsia="黑体"/>
          <w:color w:val="auto"/>
          <w:sz w:val="32"/>
          <w:szCs w:val="32"/>
          <w:highlight w:val="none"/>
        </w:rPr>
        <w:t>四、财</w:t>
      </w:r>
      <w:r>
        <w:rPr>
          <w:rStyle w:val="30"/>
          <w:rFonts w:hint="eastAsia" w:ascii="黑体" w:hAnsi="黑体" w:eastAsia="黑体"/>
          <w:b w:val="0"/>
          <w:color w:val="auto"/>
          <w:highlight w:val="none"/>
        </w:rPr>
        <w:t>政拨款收入支出决算总体情况说明</w:t>
      </w:r>
      <w:bookmarkEnd w:id="33"/>
      <w:bookmarkEnd w:id="34"/>
    </w:p>
    <w:p>
      <w:pPr>
        <w:pageBreakBefore w:val="0"/>
        <w:kinsoku/>
        <w:wordWrap/>
        <w:overflowPunct/>
        <w:topLinePunct w:val="0"/>
        <w:bidi w:val="0"/>
        <w:spacing w:line="240" w:lineRule="auto"/>
        <w:ind w:left="0" w:leftChars="0" w:right="0" w:firstLine="640" w:firstLineChars="200"/>
        <w:textAlignment w:val="auto"/>
        <w:rPr>
          <w:rFonts w:hint="eastAsia" w:ascii="仿宋" w:hAnsi="仿宋" w:eastAsia="仿宋"/>
          <w:color w:val="auto"/>
          <w:sz w:val="32"/>
          <w:szCs w:val="32"/>
          <w:highlight w:val="none"/>
          <w:lang w:eastAsia="zh-CN"/>
        </w:rPr>
      </w:pPr>
      <w:r>
        <w:rPr>
          <w:rFonts w:hint="eastAsia" w:ascii="仿宋_GB2312" w:hAnsi="仿宋_GB2312" w:eastAsia="仿宋_GB2312"/>
          <w:color w:val="auto"/>
          <w:kern w:val="2"/>
          <w:sz w:val="32"/>
          <w:lang w:val="zh-CN"/>
        </w:rPr>
        <w:t>2022年财政拨款收、支总计8584.77万元。与2021年相比，财政拨款收、支总计各增加</w:t>
      </w:r>
      <w:r>
        <w:rPr>
          <w:rFonts w:hint="eastAsia" w:ascii="仿宋" w:hAnsi="仿宋" w:eastAsia="仿宋" w:cs="仿宋"/>
          <w:i w:val="0"/>
          <w:color w:val="auto"/>
          <w:kern w:val="0"/>
          <w:sz w:val="28"/>
          <w:szCs w:val="28"/>
          <w:u w:val="none"/>
          <w:lang w:val="en-US" w:eastAsia="zh-CN" w:bidi="ar"/>
        </w:rPr>
        <w:t>1580.74</w:t>
      </w:r>
      <w:r>
        <w:rPr>
          <w:rFonts w:hint="eastAsia" w:ascii="仿宋_GB2312" w:hAnsi="仿宋_GB2312" w:eastAsia="仿宋_GB2312"/>
          <w:color w:val="auto"/>
          <w:kern w:val="2"/>
          <w:sz w:val="32"/>
          <w:lang w:val="zh-CN"/>
        </w:rPr>
        <w:t>万元，增长</w:t>
      </w:r>
      <w:r>
        <w:rPr>
          <w:rFonts w:hint="eastAsia" w:ascii="仿宋" w:hAnsi="仿宋" w:eastAsia="仿宋" w:cs="仿宋"/>
          <w:i w:val="0"/>
          <w:color w:val="auto"/>
          <w:kern w:val="0"/>
          <w:sz w:val="28"/>
          <w:szCs w:val="28"/>
          <w:u w:val="none"/>
          <w:lang w:val="en-US" w:eastAsia="zh-CN" w:bidi="ar"/>
        </w:rPr>
        <w:t>22.57%</w:t>
      </w:r>
      <w:r>
        <w:rPr>
          <w:rFonts w:hint="eastAsia" w:ascii="仿宋_GB2312" w:hAnsi="仿宋_GB2312" w:eastAsia="仿宋_GB2312"/>
          <w:color w:val="auto"/>
          <w:kern w:val="2"/>
          <w:sz w:val="32"/>
          <w:lang w:val="zh-CN"/>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人员经费、项目类预算</w:t>
      </w:r>
      <w:r>
        <w:rPr>
          <w:rFonts w:hint="eastAsia" w:ascii="仿宋" w:hAnsi="仿宋" w:eastAsia="仿宋"/>
          <w:color w:val="auto"/>
          <w:sz w:val="32"/>
          <w:szCs w:val="32"/>
          <w:lang w:eastAsia="zh-CN"/>
        </w:rPr>
        <w:t>增加经费</w:t>
      </w:r>
      <w:r>
        <w:rPr>
          <w:rFonts w:hint="eastAsia" w:ascii="仿宋" w:hAnsi="仿宋" w:eastAsia="仿宋"/>
          <w:color w:val="auto"/>
          <w:sz w:val="32"/>
          <w:szCs w:val="32"/>
          <w:highlight w:val="none"/>
          <w:lang w:eastAsia="zh-CN"/>
        </w:rPr>
        <w:t>。</w:t>
      </w:r>
    </w:p>
    <w:p>
      <w:pPr>
        <w:pageBreakBefore w:val="0"/>
        <w:kinsoku/>
        <w:wordWrap/>
        <w:overflowPunct/>
        <w:topLinePunct w:val="0"/>
        <w:bidi w:val="0"/>
        <w:spacing w:line="240" w:lineRule="auto"/>
        <w:ind w:left="0" w:leftChars="0" w:right="0" w:firstLine="640"/>
        <w:textAlignment w:val="auto"/>
        <w:rPr>
          <w:rFonts w:ascii="仿宋" w:hAnsi="仿宋" w:eastAsia="仿宋"/>
          <w:b/>
          <w:color w:val="auto"/>
          <w:sz w:val="32"/>
          <w:szCs w:val="32"/>
          <w:highlight w:val="none"/>
        </w:rPr>
      </w:pPr>
      <w:r>
        <w:rPr>
          <w:rFonts w:hint="eastAsia" w:ascii="仿宋" w:hAnsi="仿宋" w:eastAsia="仿宋"/>
          <w:color w:val="auto"/>
          <w:sz w:val="32"/>
          <w:szCs w:val="32"/>
          <w:highlight w:val="none"/>
          <w:lang w:eastAsia="zh-CN"/>
        </w:rPr>
        <w:drawing>
          <wp:anchor distT="0" distB="0" distL="114300" distR="114300" simplePos="0" relativeHeight="251662336" behindDoc="0" locked="0" layoutInCell="1" allowOverlap="1">
            <wp:simplePos x="0" y="0"/>
            <wp:positionH relativeFrom="column">
              <wp:posOffset>111760</wp:posOffset>
            </wp:positionH>
            <wp:positionV relativeFrom="paragraph">
              <wp:posOffset>487680</wp:posOffset>
            </wp:positionV>
            <wp:extent cx="2839085" cy="1877060"/>
            <wp:effectExtent l="0" t="0" r="18415" b="8890"/>
            <wp:wrapSquare wrapText="bothSides"/>
            <wp:docPr id="6" name="图片 6"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片4"/>
                    <pic:cNvPicPr>
                      <a:picLocks noChangeAspect="1"/>
                    </pic:cNvPicPr>
                  </pic:nvPicPr>
                  <pic:blipFill>
                    <a:blip r:embed="rId9"/>
                    <a:stretch>
                      <a:fillRect/>
                    </a:stretch>
                  </pic:blipFill>
                  <pic:spPr>
                    <a:xfrm>
                      <a:off x="0" y="0"/>
                      <a:ext cx="2839085" cy="1877060"/>
                    </a:xfrm>
                    <a:prstGeom prst="rect">
                      <a:avLst/>
                    </a:prstGeom>
                  </pic:spPr>
                </pic:pic>
              </a:graphicData>
            </a:graphic>
          </wp:anchor>
        </w:drawing>
      </w:r>
      <w:r>
        <w:rPr>
          <w:rFonts w:hint="eastAsia" w:ascii="仿宋" w:hAnsi="仿宋" w:eastAsia="仿宋"/>
          <w:b/>
          <w:color w:val="auto"/>
          <w:sz w:val="32"/>
          <w:szCs w:val="32"/>
          <w:highlight w:val="none"/>
        </w:rPr>
        <w:t>（注：数据来源于财决</w:t>
      </w:r>
      <w:r>
        <w:rPr>
          <w:rFonts w:ascii="仿宋" w:hAnsi="仿宋" w:eastAsia="仿宋"/>
          <w:b/>
          <w:color w:val="auto"/>
          <w:sz w:val="32"/>
          <w:szCs w:val="32"/>
          <w:highlight w:val="none"/>
        </w:rPr>
        <w:t>01-1</w:t>
      </w:r>
      <w:r>
        <w:rPr>
          <w:rFonts w:hint="eastAsia" w:ascii="仿宋" w:hAnsi="仿宋" w:eastAsia="仿宋"/>
          <w:b/>
          <w:color w:val="auto"/>
          <w:sz w:val="32"/>
          <w:szCs w:val="32"/>
          <w:highlight w:val="none"/>
        </w:rPr>
        <w:t>表</w:t>
      </w:r>
      <w:r>
        <w:rPr>
          <w:rFonts w:ascii="仿宋" w:hAnsi="仿宋" w:eastAsia="仿宋"/>
          <w:b/>
          <w:color w:val="auto"/>
          <w:sz w:val="32"/>
          <w:szCs w:val="32"/>
          <w:highlight w:val="none"/>
        </w:rPr>
        <w:t>）</w:t>
      </w:r>
    </w:p>
    <w:p>
      <w:pPr>
        <w:pageBreakBefore w:val="0"/>
        <w:kinsoku/>
        <w:wordWrap/>
        <w:overflowPunct/>
        <w:topLinePunct w:val="0"/>
        <w:bidi w:val="0"/>
        <w:spacing w:line="240" w:lineRule="auto"/>
        <w:ind w:left="0" w:right="0"/>
        <w:textAlignment w:val="auto"/>
        <w:rPr>
          <w:rFonts w:hint="eastAsia" w:ascii="仿宋" w:hAnsi="仿宋" w:eastAsia="仿宋"/>
          <w:color w:val="auto"/>
          <w:sz w:val="32"/>
          <w:szCs w:val="32"/>
          <w:highlight w:val="none"/>
          <w:lang w:eastAsia="zh-CN"/>
        </w:rPr>
      </w:pPr>
    </w:p>
    <w:p>
      <w:pPr>
        <w:pageBreakBefore w:val="0"/>
        <w:kinsoku/>
        <w:wordWrap/>
        <w:overflowPunct/>
        <w:topLinePunct w:val="0"/>
        <w:bidi w:val="0"/>
        <w:spacing w:line="240" w:lineRule="auto"/>
        <w:ind w:left="0" w:right="0"/>
        <w:textAlignment w:val="auto"/>
        <w:rPr>
          <w:rFonts w:hint="eastAsia" w:ascii="仿宋" w:hAnsi="仿宋" w:eastAsia="仿宋"/>
          <w:color w:val="auto"/>
          <w:sz w:val="32"/>
          <w:szCs w:val="32"/>
          <w:highlight w:val="none"/>
        </w:rPr>
      </w:pPr>
    </w:p>
    <w:p>
      <w:pPr>
        <w:pageBreakBefore w:val="0"/>
        <w:kinsoku/>
        <w:wordWrap/>
        <w:overflowPunct/>
        <w:topLinePunct w:val="0"/>
        <w:bidi w:val="0"/>
        <w:spacing w:line="240" w:lineRule="auto"/>
        <w:ind w:left="0" w:right="0"/>
        <w:textAlignment w:val="auto"/>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图4：财政拨款收、支决算总计变动情况）（柱状图）</w:t>
      </w:r>
    </w:p>
    <w:p>
      <w:pPr>
        <w:pageBreakBefore w:val="0"/>
        <w:kinsoku/>
        <w:wordWrap/>
        <w:overflowPunct/>
        <w:topLinePunct w:val="0"/>
        <w:bidi w:val="0"/>
        <w:spacing w:line="240" w:lineRule="auto"/>
        <w:ind w:left="0" w:leftChars="0" w:right="0" w:firstLine="640" w:firstLineChars="200"/>
        <w:textAlignment w:val="auto"/>
        <w:outlineLvl w:val="1"/>
        <w:rPr>
          <w:rStyle w:val="30"/>
          <w:rFonts w:ascii="黑体" w:hAnsi="黑体" w:eastAsia="黑体"/>
          <w:b w:val="0"/>
          <w:color w:val="auto"/>
          <w:highlight w:val="none"/>
        </w:rPr>
      </w:pPr>
      <w:bookmarkStart w:id="35" w:name="_Toc15377209"/>
      <w:bookmarkStart w:id="36" w:name="_Toc1539660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30"/>
          <w:rFonts w:hint="eastAsia" w:ascii="黑体" w:hAnsi="黑体" w:eastAsia="黑体"/>
          <w:b w:val="0"/>
          <w:color w:val="auto"/>
          <w:highlight w:val="none"/>
        </w:rPr>
        <w:t>般公共预算财政拨款支出决算情况说明</w:t>
      </w:r>
      <w:bookmarkEnd w:id="35"/>
      <w:bookmarkEnd w:id="36"/>
    </w:p>
    <w:p>
      <w:pPr>
        <w:pageBreakBefore w:val="0"/>
        <w:kinsoku/>
        <w:wordWrap/>
        <w:overflowPunct/>
        <w:topLinePunct w:val="0"/>
        <w:bidi w:val="0"/>
        <w:spacing w:line="240" w:lineRule="auto"/>
        <w:ind w:left="0" w:leftChars="0" w:right="0" w:firstLine="643" w:firstLineChars="200"/>
        <w:textAlignment w:val="auto"/>
        <w:outlineLvl w:val="2"/>
        <w:rPr>
          <w:rFonts w:ascii="仿宋" w:hAnsi="仿宋" w:eastAsia="仿宋"/>
          <w:b/>
          <w:color w:val="auto"/>
          <w:sz w:val="32"/>
          <w:szCs w:val="32"/>
          <w:highlight w:val="none"/>
        </w:rPr>
      </w:pPr>
      <w:bookmarkStart w:id="37" w:name="_Toc15377210"/>
      <w:r>
        <w:rPr>
          <w:rFonts w:hint="eastAsia" w:ascii="仿宋" w:hAnsi="仿宋" w:eastAsia="仿宋"/>
          <w:b/>
          <w:color w:val="auto"/>
          <w:sz w:val="32"/>
          <w:szCs w:val="32"/>
          <w:highlight w:val="none"/>
        </w:rPr>
        <w:t>（一）一般公共预算财政拨款支出决算总体情况</w:t>
      </w:r>
      <w:bookmarkEnd w:id="37"/>
    </w:p>
    <w:p>
      <w:pPr>
        <w:pageBreakBefore w:val="0"/>
        <w:kinsoku/>
        <w:wordWrap/>
        <w:overflowPunct/>
        <w:topLinePunct w:val="0"/>
        <w:bidi w:val="0"/>
        <w:spacing w:line="240" w:lineRule="auto"/>
        <w:ind w:left="0" w:leftChars="0" w:right="0" w:firstLine="640" w:firstLineChars="200"/>
        <w:textAlignment w:val="auto"/>
        <w:rPr>
          <w:rFonts w:hint="eastAsia" w:ascii="仿宋" w:hAnsi="仿宋" w:eastAsia="仿宋"/>
          <w:color w:val="auto"/>
          <w:sz w:val="32"/>
          <w:szCs w:val="32"/>
          <w:highlight w:val="none"/>
          <w:lang w:eastAsia="zh-CN"/>
        </w:rPr>
      </w:pPr>
      <w:r>
        <w:rPr>
          <w:rFonts w:hint="eastAsia" w:ascii="仿宋_GB2312" w:hAnsi="仿宋_GB2312" w:eastAsia="仿宋_GB2312"/>
          <w:color w:val="auto"/>
          <w:kern w:val="2"/>
          <w:sz w:val="32"/>
          <w:lang w:val="zh-CN"/>
        </w:rPr>
        <w:t>2022年一般公共预算财政拨款支出8584.77万元，占本年支出合计的100%。与2021年相比，一般公共预算财政拨款支出增加</w:t>
      </w:r>
      <w:r>
        <w:rPr>
          <w:rFonts w:hint="eastAsia" w:ascii="仿宋" w:hAnsi="仿宋" w:eastAsia="仿宋" w:cs="仿宋"/>
          <w:i w:val="0"/>
          <w:color w:val="auto"/>
          <w:kern w:val="0"/>
          <w:sz w:val="28"/>
          <w:szCs w:val="28"/>
          <w:u w:val="none"/>
          <w:lang w:val="en-US" w:eastAsia="zh-CN" w:bidi="ar"/>
        </w:rPr>
        <w:t>1580.74</w:t>
      </w:r>
      <w:r>
        <w:rPr>
          <w:rFonts w:hint="eastAsia" w:ascii="仿宋_GB2312" w:hAnsi="仿宋_GB2312" w:eastAsia="仿宋_GB2312"/>
          <w:color w:val="auto"/>
          <w:kern w:val="2"/>
          <w:sz w:val="32"/>
          <w:lang w:val="zh-CN"/>
        </w:rPr>
        <w:t>万元，增长</w:t>
      </w:r>
      <w:r>
        <w:rPr>
          <w:rFonts w:hint="eastAsia" w:ascii="仿宋" w:hAnsi="仿宋" w:eastAsia="仿宋" w:cs="仿宋"/>
          <w:i w:val="0"/>
          <w:color w:val="auto"/>
          <w:kern w:val="0"/>
          <w:sz w:val="28"/>
          <w:szCs w:val="28"/>
          <w:u w:val="none"/>
          <w:lang w:val="en-US" w:eastAsia="zh-CN" w:bidi="ar"/>
        </w:rPr>
        <w:t>22.57%</w:t>
      </w:r>
      <w:r>
        <w:rPr>
          <w:rFonts w:hint="eastAsia" w:ascii="仿宋_GB2312" w:hAnsi="仿宋_GB2312" w:eastAsia="仿宋_GB2312"/>
          <w:color w:val="auto"/>
          <w:kern w:val="2"/>
          <w:sz w:val="32"/>
          <w:lang w:val="zh-CN"/>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人员经费、项目类预算</w:t>
      </w:r>
      <w:r>
        <w:rPr>
          <w:rFonts w:hint="eastAsia" w:ascii="仿宋" w:hAnsi="仿宋" w:eastAsia="仿宋"/>
          <w:color w:val="auto"/>
          <w:sz w:val="32"/>
          <w:szCs w:val="32"/>
          <w:lang w:eastAsia="zh-CN"/>
        </w:rPr>
        <w:t>增加经费</w:t>
      </w:r>
      <w:r>
        <w:rPr>
          <w:rFonts w:hint="eastAsia" w:ascii="仿宋" w:hAnsi="仿宋" w:eastAsia="仿宋"/>
          <w:color w:val="auto"/>
          <w:sz w:val="32"/>
          <w:szCs w:val="32"/>
          <w:highlight w:val="none"/>
          <w:lang w:eastAsia="zh-CN"/>
        </w:rPr>
        <w:t>。</w:t>
      </w:r>
    </w:p>
    <w:p>
      <w:pPr>
        <w:pageBreakBefore w:val="0"/>
        <w:kinsoku/>
        <w:wordWrap/>
        <w:overflowPunct/>
        <w:topLinePunct w:val="0"/>
        <w:bidi w:val="0"/>
        <w:spacing w:line="240" w:lineRule="auto"/>
        <w:ind w:left="0" w:leftChars="0" w:right="0" w:firstLine="640" w:firstLineChars="200"/>
        <w:textAlignment w:val="auto"/>
        <w:rPr>
          <w:rFonts w:hint="eastAsia" w:ascii="仿宋" w:hAnsi="仿宋" w:eastAsia="仿宋"/>
          <w:color w:val="auto"/>
          <w:sz w:val="32"/>
          <w:szCs w:val="32"/>
          <w:highlight w:val="none"/>
          <w:lang w:eastAsia="zh-CN"/>
        </w:rPr>
      </w:pPr>
    </w:p>
    <w:p>
      <w:pPr>
        <w:keepNext/>
        <w:keepLines/>
        <w:pageBreakBefore w:val="0"/>
        <w:kinsoku/>
        <w:wordWrap/>
        <w:overflowPunct/>
        <w:topLinePunct w:val="0"/>
        <w:bidi w:val="0"/>
        <w:spacing w:line="240" w:lineRule="auto"/>
        <w:ind w:left="0" w:firstLine="640"/>
        <w:jc w:val="both"/>
        <w:textAlignment w:val="auto"/>
        <w:rPr>
          <w:rFonts w:hint="eastAsia" w:ascii="仿宋" w:hAnsi="仿宋" w:eastAsia="仿宋"/>
          <w:color w:val="auto"/>
          <w:sz w:val="32"/>
          <w:szCs w:val="32"/>
          <w:highlight w:val="none"/>
        </w:rPr>
      </w:pPr>
      <w:r>
        <w:rPr>
          <w:rFonts w:hint="eastAsia" w:ascii="仿宋" w:hAnsi="仿宋" w:eastAsia="仿宋"/>
          <w:color w:val="auto"/>
          <w:sz w:val="32"/>
          <w:szCs w:val="32"/>
          <w:highlight w:val="none"/>
        </w:rPr>
        <w:drawing>
          <wp:anchor distT="0" distB="0" distL="114300" distR="114300" simplePos="0" relativeHeight="251663360" behindDoc="0" locked="0" layoutInCell="1" allowOverlap="1">
            <wp:simplePos x="0" y="0"/>
            <wp:positionH relativeFrom="column">
              <wp:posOffset>29210</wp:posOffset>
            </wp:positionH>
            <wp:positionV relativeFrom="paragraph">
              <wp:posOffset>44450</wp:posOffset>
            </wp:positionV>
            <wp:extent cx="2733675" cy="1829435"/>
            <wp:effectExtent l="0" t="0" r="9525" b="18415"/>
            <wp:wrapSquare wrapText="bothSides"/>
            <wp:docPr id="9" name="图片 9" descr="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片5"/>
                    <pic:cNvPicPr>
                      <a:picLocks noChangeAspect="1"/>
                    </pic:cNvPicPr>
                  </pic:nvPicPr>
                  <pic:blipFill>
                    <a:blip r:embed="rId10"/>
                    <a:stretch>
                      <a:fillRect/>
                    </a:stretch>
                  </pic:blipFill>
                  <pic:spPr>
                    <a:xfrm>
                      <a:off x="0" y="0"/>
                      <a:ext cx="2733675" cy="1829435"/>
                    </a:xfrm>
                    <a:prstGeom prst="rect">
                      <a:avLst/>
                    </a:prstGeom>
                  </pic:spPr>
                </pic:pic>
              </a:graphicData>
            </a:graphic>
          </wp:anchor>
        </w:drawing>
      </w:r>
    </w:p>
    <w:p>
      <w:pPr>
        <w:keepNext/>
        <w:keepLines/>
        <w:pageBreakBefore w:val="0"/>
        <w:kinsoku/>
        <w:wordWrap/>
        <w:overflowPunct/>
        <w:topLinePunct w:val="0"/>
        <w:bidi w:val="0"/>
        <w:spacing w:line="240" w:lineRule="auto"/>
        <w:ind w:left="0"/>
        <w:jc w:val="both"/>
        <w:textAlignment w:val="auto"/>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（图5：一般公共预算财政拨款支出决算变动情况）（柱状图）</w:t>
      </w:r>
    </w:p>
    <w:p>
      <w:pPr>
        <w:pStyle w:val="2"/>
        <w:pageBreakBefore w:val="0"/>
        <w:kinsoku/>
        <w:wordWrap/>
        <w:overflowPunct/>
        <w:topLinePunct w:val="0"/>
        <w:bidi w:val="0"/>
        <w:spacing w:beforeLines="0" w:line="240" w:lineRule="auto"/>
        <w:ind w:left="0"/>
        <w:textAlignment w:val="auto"/>
        <w:rPr>
          <w:rFonts w:ascii="仿宋" w:hAnsi="仿宋" w:eastAsia="仿宋"/>
          <w:color w:val="auto"/>
          <w:sz w:val="32"/>
          <w:szCs w:val="32"/>
          <w:highlight w:val="none"/>
        </w:rPr>
      </w:pPr>
    </w:p>
    <w:p>
      <w:pPr>
        <w:pageBreakBefore w:val="0"/>
        <w:kinsoku/>
        <w:wordWrap/>
        <w:overflowPunct/>
        <w:topLinePunct w:val="0"/>
        <w:bidi w:val="0"/>
        <w:spacing w:line="240" w:lineRule="auto"/>
        <w:ind w:left="0" w:leftChars="0" w:right="0" w:firstLine="643" w:firstLineChars="200"/>
        <w:textAlignment w:val="auto"/>
        <w:outlineLvl w:val="2"/>
        <w:rPr>
          <w:rFonts w:ascii="仿宋" w:hAnsi="仿宋" w:eastAsia="仿宋"/>
          <w:b/>
          <w:color w:val="auto"/>
          <w:sz w:val="32"/>
          <w:szCs w:val="32"/>
          <w:highlight w:val="none"/>
        </w:rPr>
      </w:pPr>
      <w:bookmarkStart w:id="38" w:name="_Toc15377211"/>
      <w:r>
        <w:rPr>
          <w:rFonts w:hint="eastAsia" w:ascii="仿宋" w:hAnsi="仿宋" w:eastAsia="仿宋"/>
          <w:b/>
          <w:color w:val="auto"/>
          <w:sz w:val="32"/>
          <w:szCs w:val="32"/>
          <w:highlight w:val="none"/>
        </w:rPr>
        <w:t>（二）一般公共预算财政拨款支出决算结构情况</w:t>
      </w:r>
      <w:bookmarkEnd w:id="38"/>
    </w:p>
    <w:p>
      <w:pPr>
        <w:pageBreakBefore w:val="0"/>
        <w:kinsoku/>
        <w:wordWrap/>
        <w:overflowPunct/>
        <w:topLinePunct w:val="0"/>
        <w:bidi w:val="0"/>
        <w:spacing w:line="240" w:lineRule="auto"/>
        <w:ind w:left="0" w:leftChars="0" w:right="0" w:firstLine="640"/>
        <w:textAlignment w:val="auto"/>
        <w:rPr>
          <w:rFonts w:hint="eastAsia" w:ascii="仿宋" w:hAnsi="仿宋" w:eastAsia="仿宋"/>
          <w:b/>
          <w:color w:val="auto"/>
          <w:sz w:val="32"/>
          <w:szCs w:val="32"/>
          <w:highlight w:val="none"/>
        </w:rPr>
      </w:pPr>
      <w:r>
        <w:rPr>
          <w:rFonts w:hint="eastAsia" w:ascii="仿宋_GB2312" w:hAnsi="仿宋_GB2312" w:eastAsia="仿宋_GB2312"/>
          <w:color w:val="auto"/>
          <w:kern w:val="2"/>
          <w:sz w:val="32"/>
          <w:lang w:val="zh-CN"/>
        </w:rPr>
        <w:t>2022年一般公共预算财政拨款支出8584.77万元，主要用于以下方面: 公共安全支出7575.53万元，占88.2</w:t>
      </w:r>
      <w:r>
        <w:rPr>
          <w:rFonts w:hint="eastAsia" w:ascii="仿宋_GB2312" w:hAnsi="仿宋_GB2312" w:eastAsia="仿宋_GB2312"/>
          <w:color w:val="auto"/>
          <w:kern w:val="2"/>
          <w:sz w:val="32"/>
          <w:lang w:val="en-US" w:eastAsia="zh-CN"/>
        </w:rPr>
        <w:t>4</w:t>
      </w:r>
      <w:r>
        <w:rPr>
          <w:rFonts w:hint="eastAsia" w:ascii="仿宋_GB2312" w:hAnsi="仿宋_GB2312" w:eastAsia="仿宋_GB2312"/>
          <w:color w:val="auto"/>
          <w:kern w:val="2"/>
          <w:sz w:val="32"/>
          <w:lang w:val="zh-CN"/>
        </w:rPr>
        <w:t>%；社会保障和就业支出526</w:t>
      </w:r>
      <w:r>
        <w:rPr>
          <w:rFonts w:hint="eastAsia" w:ascii="仿宋_GB2312" w:hAnsi="仿宋_GB2312" w:eastAsia="仿宋_GB2312"/>
          <w:color w:val="auto"/>
          <w:kern w:val="2"/>
          <w:sz w:val="32"/>
          <w:lang w:val="en-US" w:eastAsia="zh-CN"/>
        </w:rPr>
        <w:t>.</w:t>
      </w:r>
      <w:r>
        <w:rPr>
          <w:rFonts w:hint="eastAsia" w:ascii="仿宋_GB2312" w:hAnsi="仿宋_GB2312" w:eastAsia="仿宋_GB2312"/>
          <w:color w:val="auto"/>
          <w:kern w:val="2"/>
          <w:sz w:val="32"/>
          <w:lang w:val="zh-CN"/>
        </w:rPr>
        <w:t>91万元，占6.1</w:t>
      </w:r>
      <w:r>
        <w:rPr>
          <w:rFonts w:hint="eastAsia" w:ascii="仿宋_GB2312" w:hAnsi="仿宋_GB2312" w:eastAsia="仿宋_GB2312"/>
          <w:color w:val="auto"/>
          <w:kern w:val="2"/>
          <w:sz w:val="32"/>
          <w:lang w:val="en-US" w:eastAsia="zh-CN"/>
        </w:rPr>
        <w:t>4</w:t>
      </w:r>
      <w:r>
        <w:rPr>
          <w:rFonts w:hint="eastAsia" w:ascii="仿宋_GB2312" w:hAnsi="仿宋_GB2312" w:eastAsia="仿宋_GB2312"/>
          <w:color w:val="auto"/>
          <w:kern w:val="2"/>
          <w:sz w:val="32"/>
          <w:lang w:val="zh-CN"/>
        </w:rPr>
        <w:t>%；卫生健康支出143.64万元，占1.</w:t>
      </w:r>
      <w:r>
        <w:rPr>
          <w:rFonts w:hint="eastAsia" w:ascii="仿宋_GB2312" w:hAnsi="仿宋_GB2312" w:eastAsia="仿宋_GB2312"/>
          <w:color w:val="auto"/>
          <w:kern w:val="2"/>
          <w:sz w:val="32"/>
          <w:lang w:val="en-US" w:eastAsia="zh-CN"/>
        </w:rPr>
        <w:t>6</w:t>
      </w:r>
      <w:r>
        <w:rPr>
          <w:rFonts w:hint="eastAsia" w:ascii="仿宋_GB2312" w:hAnsi="仿宋_GB2312" w:eastAsia="仿宋_GB2312"/>
          <w:color w:val="auto"/>
          <w:kern w:val="2"/>
          <w:sz w:val="32"/>
          <w:lang w:val="zh-CN"/>
        </w:rPr>
        <w:t>7%；住房保障支出338.69万元，占3.9</w:t>
      </w:r>
      <w:r>
        <w:rPr>
          <w:rFonts w:hint="eastAsia" w:ascii="仿宋_GB2312" w:hAnsi="仿宋_GB2312" w:eastAsia="仿宋_GB2312"/>
          <w:color w:val="auto"/>
          <w:kern w:val="2"/>
          <w:sz w:val="32"/>
          <w:lang w:val="en-US" w:eastAsia="zh-CN"/>
        </w:rPr>
        <w:t>5</w:t>
      </w:r>
      <w:r>
        <w:rPr>
          <w:rFonts w:hint="eastAsia" w:ascii="仿宋_GB2312" w:hAnsi="仿宋_GB2312" w:eastAsia="仿宋_GB2312"/>
          <w:color w:val="auto"/>
          <w:kern w:val="2"/>
          <w:sz w:val="32"/>
          <w:lang w:val="zh-CN"/>
        </w:rPr>
        <w:t>%。</w:t>
      </w:r>
      <w:r>
        <w:rPr>
          <w:rFonts w:hint="eastAsia" w:ascii="仿宋" w:hAnsi="仿宋" w:eastAsia="仿宋"/>
          <w:b/>
          <w:color w:val="auto"/>
          <w:sz w:val="32"/>
          <w:szCs w:val="32"/>
          <w:highlight w:val="none"/>
        </w:rPr>
        <w:t>（</w:t>
      </w:r>
      <w:r>
        <w:rPr>
          <w:rFonts w:hint="eastAsia" w:ascii="仿宋" w:hAnsi="仿宋" w:eastAsia="仿宋"/>
          <w:b/>
          <w:color w:val="auto"/>
          <w:sz w:val="32"/>
          <w:szCs w:val="32"/>
          <w:highlight w:val="none"/>
          <w:lang w:eastAsia="zh-CN"/>
        </w:rPr>
        <w:t>注：数据来源于财决</w:t>
      </w:r>
      <w:r>
        <w:rPr>
          <w:rFonts w:hint="eastAsia" w:ascii="仿宋" w:hAnsi="仿宋" w:eastAsia="仿宋"/>
          <w:b/>
          <w:color w:val="auto"/>
          <w:sz w:val="32"/>
          <w:szCs w:val="32"/>
          <w:highlight w:val="none"/>
          <w:lang w:val="en-US" w:eastAsia="zh-CN"/>
        </w:rPr>
        <w:t>01-1表，仅</w:t>
      </w:r>
      <w:r>
        <w:rPr>
          <w:rFonts w:hint="eastAsia" w:ascii="仿宋" w:hAnsi="仿宋" w:eastAsia="仿宋"/>
          <w:b/>
          <w:color w:val="auto"/>
          <w:sz w:val="32"/>
          <w:szCs w:val="32"/>
          <w:highlight w:val="none"/>
        </w:rPr>
        <w:t>罗列</w:t>
      </w:r>
      <w:r>
        <w:rPr>
          <w:rFonts w:hint="eastAsia" w:ascii="仿宋" w:hAnsi="仿宋" w:eastAsia="仿宋"/>
          <w:b/>
          <w:color w:val="auto"/>
          <w:sz w:val="32"/>
          <w:szCs w:val="32"/>
          <w:highlight w:val="none"/>
          <w:lang w:eastAsia="zh-CN"/>
        </w:rPr>
        <w:t>本部门涉及的全部</w:t>
      </w:r>
      <w:r>
        <w:rPr>
          <w:rFonts w:hint="eastAsia" w:ascii="仿宋" w:hAnsi="仿宋" w:eastAsia="仿宋"/>
          <w:b/>
          <w:color w:val="auto"/>
          <w:sz w:val="32"/>
          <w:szCs w:val="32"/>
          <w:highlight w:val="none"/>
        </w:rPr>
        <w:t>功能分类科目，至类级。）</w:t>
      </w:r>
    </w:p>
    <w:p>
      <w:pPr>
        <w:pStyle w:val="2"/>
        <w:pageBreakBefore w:val="0"/>
        <w:kinsoku/>
        <w:wordWrap/>
        <w:overflowPunct/>
        <w:topLinePunct w:val="0"/>
        <w:bidi w:val="0"/>
        <w:spacing w:beforeLines="0" w:line="240" w:lineRule="auto"/>
        <w:ind w:left="0"/>
        <w:textAlignment w:val="auto"/>
        <w:rPr>
          <w:rFonts w:hint="eastAsia" w:eastAsia="仿宋"/>
          <w:color w:val="auto"/>
          <w:lang w:eastAsia="zh-CN"/>
        </w:rPr>
      </w:pPr>
      <w:r>
        <w:rPr>
          <w:rFonts w:hint="eastAsia" w:eastAsia="仿宋"/>
          <w:color w:val="auto"/>
          <w:lang w:eastAsia="zh-CN"/>
        </w:rPr>
        <w:drawing>
          <wp:anchor distT="0" distB="0" distL="114300" distR="114300" simplePos="0" relativeHeight="251664384" behindDoc="0" locked="0" layoutInCell="1" allowOverlap="1">
            <wp:simplePos x="0" y="0"/>
            <wp:positionH relativeFrom="column">
              <wp:posOffset>13335</wp:posOffset>
            </wp:positionH>
            <wp:positionV relativeFrom="paragraph">
              <wp:posOffset>191770</wp:posOffset>
            </wp:positionV>
            <wp:extent cx="3141980" cy="2007235"/>
            <wp:effectExtent l="0" t="0" r="1270" b="12065"/>
            <wp:wrapSquare wrapText="bothSides"/>
            <wp:docPr id="10" name="图片 10" descr="图片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片6"/>
                    <pic:cNvPicPr>
                      <a:picLocks noChangeAspect="1"/>
                    </pic:cNvPicPr>
                  </pic:nvPicPr>
                  <pic:blipFill>
                    <a:blip r:embed="rId11"/>
                    <a:stretch>
                      <a:fillRect/>
                    </a:stretch>
                  </pic:blipFill>
                  <pic:spPr>
                    <a:xfrm>
                      <a:off x="0" y="0"/>
                      <a:ext cx="3141980" cy="2007235"/>
                    </a:xfrm>
                    <a:prstGeom prst="rect">
                      <a:avLst/>
                    </a:prstGeom>
                  </pic:spPr>
                </pic:pic>
              </a:graphicData>
            </a:graphic>
          </wp:anchor>
        </w:drawing>
      </w:r>
    </w:p>
    <w:p>
      <w:pPr>
        <w:pageBreakBefore w:val="0"/>
        <w:kinsoku/>
        <w:wordWrap/>
        <w:overflowPunct/>
        <w:topLinePunct w:val="0"/>
        <w:bidi w:val="0"/>
        <w:spacing w:line="240" w:lineRule="auto"/>
        <w:ind w:left="0" w:right="0"/>
        <w:textAlignment w:val="auto"/>
        <w:rPr>
          <w:rFonts w:hint="eastAsia" w:ascii="仿宋" w:hAnsi="仿宋" w:eastAsia="仿宋"/>
          <w:color w:val="auto"/>
          <w:sz w:val="32"/>
          <w:szCs w:val="32"/>
          <w:highlight w:val="none"/>
        </w:rPr>
      </w:pPr>
    </w:p>
    <w:p>
      <w:pPr>
        <w:pageBreakBefore w:val="0"/>
        <w:kinsoku/>
        <w:wordWrap/>
        <w:overflowPunct/>
        <w:topLinePunct w:val="0"/>
        <w:bidi w:val="0"/>
        <w:spacing w:line="240" w:lineRule="auto"/>
        <w:ind w:left="0" w:right="0"/>
        <w:textAlignment w:val="auto"/>
        <w:rPr>
          <w:rFonts w:hint="eastAsia" w:ascii="仿宋" w:hAnsi="仿宋" w:eastAsia="仿宋"/>
          <w:b/>
          <w:color w:val="auto"/>
          <w:sz w:val="32"/>
          <w:szCs w:val="32"/>
          <w:highlight w:val="none"/>
        </w:rPr>
      </w:pPr>
      <w:r>
        <w:rPr>
          <w:rFonts w:hint="eastAsia" w:ascii="仿宋" w:hAnsi="仿宋" w:eastAsia="仿宋"/>
          <w:color w:val="auto"/>
          <w:sz w:val="32"/>
          <w:szCs w:val="32"/>
          <w:highlight w:val="none"/>
        </w:rPr>
        <w:t>（图6：一般公共预算财政拨款支出决算结构）（饼状图）</w:t>
      </w:r>
      <w:bookmarkStart w:id="39" w:name="_Toc15377212"/>
    </w:p>
    <w:p>
      <w:pPr>
        <w:pageBreakBefore w:val="0"/>
        <w:kinsoku/>
        <w:wordWrap/>
        <w:overflowPunct/>
        <w:topLinePunct w:val="0"/>
        <w:bidi w:val="0"/>
        <w:spacing w:line="240" w:lineRule="auto"/>
        <w:ind w:left="0" w:leftChars="0" w:right="0" w:firstLine="643" w:firstLineChars="200"/>
        <w:textAlignment w:val="auto"/>
        <w:outlineLvl w:val="9"/>
        <w:rPr>
          <w:rFonts w:hint="eastAsia" w:ascii="仿宋" w:hAnsi="仿宋" w:eastAsia="仿宋"/>
          <w:b/>
          <w:color w:val="auto"/>
          <w:sz w:val="32"/>
          <w:szCs w:val="32"/>
          <w:highlight w:val="none"/>
        </w:rPr>
      </w:pPr>
    </w:p>
    <w:p>
      <w:pPr>
        <w:pageBreakBefore w:val="0"/>
        <w:kinsoku/>
        <w:wordWrap/>
        <w:overflowPunct/>
        <w:topLinePunct w:val="0"/>
        <w:bidi w:val="0"/>
        <w:spacing w:line="240" w:lineRule="auto"/>
        <w:ind w:left="0" w:leftChars="0" w:right="0" w:firstLine="643" w:firstLineChars="200"/>
        <w:textAlignment w:val="auto"/>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（三）一般公共预算财政拨款支出决算具体情况</w:t>
      </w:r>
      <w:bookmarkEnd w:id="39"/>
    </w:p>
    <w:p>
      <w:pPr>
        <w:keepNext/>
        <w:keepLines/>
        <w:pageBreakBefore w:val="0"/>
        <w:widowControl w:val="0"/>
        <w:kinsoku/>
        <w:wordWrap/>
        <w:overflowPunct/>
        <w:topLinePunct w:val="0"/>
        <w:autoSpaceDE/>
        <w:autoSpaceDN/>
        <w:bidi w:val="0"/>
        <w:adjustRightInd/>
        <w:snapToGrid/>
        <w:spacing w:line="240" w:lineRule="auto"/>
        <w:ind w:left="0" w:firstLine="643"/>
        <w:jc w:val="both"/>
        <w:textAlignment w:val="auto"/>
        <w:rPr>
          <w:rFonts w:hint="eastAsia" w:ascii="仿宋_GB2312" w:hAnsi="仿宋_GB2312" w:eastAsia="仿宋_GB2312"/>
          <w:b/>
          <w:color w:val="auto"/>
          <w:kern w:val="2"/>
          <w:sz w:val="32"/>
          <w:lang w:val="zh-CN"/>
        </w:rPr>
      </w:pPr>
      <w:r>
        <w:rPr>
          <w:rFonts w:hint="eastAsia" w:ascii="仿宋_GB2312" w:hAnsi="仿宋_GB2312" w:eastAsia="仿宋_GB2312"/>
          <w:b/>
          <w:color w:val="auto"/>
          <w:kern w:val="2"/>
          <w:sz w:val="32"/>
          <w:lang w:val="zh-CN"/>
        </w:rPr>
        <w:t>2022年一般公共预算支出决算数为8584.77万元</w:t>
      </w:r>
      <w:r>
        <w:rPr>
          <w:rFonts w:hint="eastAsia" w:ascii="仿宋_GB2312" w:hAnsi="仿宋_GB2312" w:eastAsia="仿宋_GB2312"/>
          <w:color w:val="auto"/>
          <w:kern w:val="2"/>
          <w:sz w:val="32"/>
          <w:lang w:val="zh-CN"/>
        </w:rPr>
        <w:t>，</w:t>
      </w:r>
      <w:r>
        <w:rPr>
          <w:rFonts w:hint="eastAsia" w:ascii="仿宋_GB2312" w:hAnsi="仿宋_GB2312" w:eastAsia="仿宋_GB2312"/>
          <w:b/>
          <w:color w:val="auto"/>
          <w:kern w:val="2"/>
          <w:sz w:val="32"/>
          <w:lang w:val="zh-CN"/>
        </w:rPr>
        <w:t>完成预算100%。其中：</w:t>
      </w:r>
    </w:p>
    <w:p>
      <w:pPr>
        <w:pageBreakBefore w:val="0"/>
        <w:widowControl w:val="0"/>
        <w:kinsoku/>
        <w:wordWrap/>
        <w:overflowPunct/>
        <w:topLinePunct w:val="0"/>
        <w:autoSpaceDE/>
        <w:autoSpaceDN/>
        <w:bidi w:val="0"/>
        <w:adjustRightInd/>
        <w:snapToGrid/>
        <w:spacing w:line="240" w:lineRule="auto"/>
        <w:ind w:left="0" w:leftChars="0" w:right="0" w:firstLine="643" w:firstLineChars="200"/>
        <w:textAlignment w:val="auto"/>
        <w:rPr>
          <w:rFonts w:ascii="仿宋" w:hAnsi="仿宋" w:eastAsia="仿宋"/>
          <w:b/>
          <w:color w:val="auto"/>
          <w:sz w:val="32"/>
          <w:szCs w:val="32"/>
          <w:highlight w:val="none"/>
        </w:rPr>
      </w:pPr>
      <w:r>
        <w:rPr>
          <w:rStyle w:val="18"/>
          <w:rFonts w:ascii="仿宋" w:hAnsi="仿宋" w:eastAsia="仿宋"/>
          <w:bCs/>
          <w:color w:val="auto"/>
          <w:sz w:val="32"/>
          <w:szCs w:val="32"/>
          <w:highlight w:val="none"/>
        </w:rPr>
        <w:t>1.</w:t>
      </w:r>
      <w:r>
        <w:rPr>
          <w:rStyle w:val="18"/>
          <w:rFonts w:hint="eastAsia" w:ascii="仿宋" w:hAnsi="仿宋" w:eastAsia="仿宋"/>
          <w:bCs/>
          <w:color w:val="auto"/>
          <w:sz w:val="32"/>
          <w:szCs w:val="32"/>
          <w:highlight w:val="none"/>
        </w:rPr>
        <w:t>公共安全支出（类）</w:t>
      </w:r>
      <w:r>
        <w:rPr>
          <w:rStyle w:val="18"/>
          <w:rFonts w:hint="eastAsia" w:ascii="仿宋" w:hAnsi="仿宋" w:eastAsia="仿宋"/>
          <w:bCs/>
          <w:color w:val="auto"/>
          <w:sz w:val="32"/>
          <w:szCs w:val="32"/>
          <w:highlight w:val="none"/>
          <w:lang w:eastAsia="zh-CN"/>
        </w:rPr>
        <w:t>公安</w:t>
      </w:r>
      <w:r>
        <w:rPr>
          <w:rStyle w:val="18"/>
          <w:rFonts w:hint="eastAsia" w:ascii="仿宋" w:hAnsi="仿宋" w:eastAsia="仿宋"/>
          <w:bCs/>
          <w:color w:val="auto"/>
          <w:sz w:val="32"/>
          <w:szCs w:val="32"/>
          <w:highlight w:val="none"/>
        </w:rPr>
        <w:t>（款）行政运行（项）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4426.14</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，决算数</w:t>
      </w:r>
      <w:r>
        <w:rPr>
          <w:rStyle w:val="18"/>
          <w:rFonts w:hint="eastAsia" w:ascii="仿宋" w:hAnsi="仿宋" w:eastAsia="仿宋"/>
          <w:b w:val="0"/>
          <w:bCs/>
          <w:color w:val="auto"/>
          <w:sz w:val="32"/>
          <w:szCs w:val="32"/>
          <w:highlight w:val="none"/>
          <w:lang w:eastAsia="zh-CN"/>
        </w:rPr>
        <w:t>与</w:t>
      </w:r>
      <w:r>
        <w:rPr>
          <w:rStyle w:val="18"/>
          <w:rFonts w:hint="eastAsia" w:ascii="仿宋" w:hAnsi="仿宋" w:eastAsia="仿宋"/>
          <w:b w:val="0"/>
          <w:bCs/>
          <w:color w:val="auto"/>
          <w:sz w:val="32"/>
          <w:szCs w:val="32"/>
          <w:highlight w:val="none"/>
        </w:rPr>
        <w:t>预算数</w:t>
      </w:r>
      <w:r>
        <w:rPr>
          <w:rStyle w:val="18"/>
          <w:rFonts w:hint="eastAsia" w:ascii="仿宋" w:hAnsi="仿宋" w:eastAsia="仿宋"/>
          <w:b w:val="0"/>
          <w:bCs/>
          <w:color w:val="auto"/>
          <w:sz w:val="32"/>
          <w:szCs w:val="32"/>
          <w:highlight w:val="none"/>
          <w:lang w:eastAsia="zh-CN"/>
        </w:rPr>
        <w:t>持平</w:t>
      </w:r>
      <w:r>
        <w:rPr>
          <w:rStyle w:val="18"/>
          <w:rFonts w:hint="eastAsia" w:ascii="仿宋" w:hAnsi="仿宋" w:eastAsia="仿宋"/>
          <w:b w:val="0"/>
          <w:bCs/>
          <w:color w:val="auto"/>
          <w:sz w:val="32"/>
          <w:szCs w:val="32"/>
          <w:highlight w:val="none"/>
        </w:rPr>
        <w:t>。</w:t>
      </w:r>
    </w:p>
    <w:p>
      <w:pPr>
        <w:pageBreakBefore w:val="0"/>
        <w:widowControl w:val="0"/>
        <w:kinsoku/>
        <w:wordWrap/>
        <w:overflowPunct/>
        <w:topLinePunct w:val="0"/>
        <w:autoSpaceDE/>
        <w:autoSpaceDN/>
        <w:bidi w:val="0"/>
        <w:adjustRightInd/>
        <w:snapToGrid/>
        <w:spacing w:line="240" w:lineRule="auto"/>
        <w:ind w:left="0" w:leftChars="0" w:right="0" w:firstLine="643" w:firstLineChars="200"/>
        <w:textAlignment w:val="auto"/>
        <w:rPr>
          <w:rFonts w:ascii="仿宋" w:hAnsi="仿宋" w:eastAsia="仿宋"/>
          <w:b/>
          <w:color w:val="auto"/>
          <w:sz w:val="32"/>
          <w:szCs w:val="32"/>
          <w:highlight w:val="none"/>
        </w:rPr>
      </w:pPr>
      <w:r>
        <w:rPr>
          <w:rStyle w:val="18"/>
          <w:rFonts w:ascii="仿宋" w:hAnsi="仿宋" w:eastAsia="仿宋"/>
          <w:bCs/>
          <w:color w:val="auto"/>
          <w:sz w:val="32"/>
          <w:szCs w:val="32"/>
          <w:highlight w:val="none"/>
        </w:rPr>
        <w:t>2.</w:t>
      </w:r>
      <w:r>
        <w:rPr>
          <w:rStyle w:val="18"/>
          <w:rFonts w:hint="eastAsia" w:ascii="仿宋" w:hAnsi="仿宋" w:eastAsia="仿宋"/>
          <w:bCs/>
          <w:color w:val="auto"/>
          <w:sz w:val="32"/>
          <w:szCs w:val="32"/>
          <w:highlight w:val="none"/>
        </w:rPr>
        <w:t>公共安全支出（类）</w:t>
      </w:r>
      <w:r>
        <w:rPr>
          <w:rStyle w:val="18"/>
          <w:rFonts w:hint="eastAsia" w:ascii="仿宋" w:hAnsi="仿宋" w:eastAsia="仿宋"/>
          <w:bCs/>
          <w:color w:val="auto"/>
          <w:sz w:val="32"/>
          <w:szCs w:val="32"/>
          <w:highlight w:val="none"/>
          <w:lang w:eastAsia="zh-CN"/>
        </w:rPr>
        <w:t>公安</w:t>
      </w:r>
      <w:r>
        <w:rPr>
          <w:rStyle w:val="18"/>
          <w:rFonts w:hint="eastAsia" w:ascii="仿宋" w:hAnsi="仿宋" w:eastAsia="仿宋"/>
          <w:bCs/>
          <w:color w:val="auto"/>
          <w:sz w:val="32"/>
          <w:szCs w:val="32"/>
          <w:highlight w:val="none"/>
        </w:rPr>
        <w:t>（款）一般行政管理事务（项）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535</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，决算数</w:t>
      </w:r>
      <w:r>
        <w:rPr>
          <w:rStyle w:val="18"/>
          <w:rFonts w:hint="eastAsia" w:ascii="仿宋" w:hAnsi="仿宋" w:eastAsia="仿宋"/>
          <w:b w:val="0"/>
          <w:bCs/>
          <w:color w:val="auto"/>
          <w:sz w:val="32"/>
          <w:szCs w:val="32"/>
          <w:highlight w:val="none"/>
          <w:lang w:eastAsia="zh-CN"/>
        </w:rPr>
        <w:t>与</w:t>
      </w:r>
      <w:r>
        <w:rPr>
          <w:rStyle w:val="18"/>
          <w:rFonts w:hint="eastAsia" w:ascii="仿宋" w:hAnsi="仿宋" w:eastAsia="仿宋"/>
          <w:b w:val="0"/>
          <w:bCs/>
          <w:color w:val="auto"/>
          <w:sz w:val="32"/>
          <w:szCs w:val="32"/>
          <w:highlight w:val="none"/>
        </w:rPr>
        <w:t>预算数</w:t>
      </w:r>
      <w:r>
        <w:rPr>
          <w:rStyle w:val="18"/>
          <w:rFonts w:hint="eastAsia" w:ascii="仿宋" w:hAnsi="仿宋" w:eastAsia="仿宋"/>
          <w:b w:val="0"/>
          <w:bCs/>
          <w:color w:val="auto"/>
          <w:sz w:val="32"/>
          <w:szCs w:val="32"/>
          <w:highlight w:val="none"/>
          <w:lang w:eastAsia="zh-CN"/>
        </w:rPr>
        <w:t>持平</w:t>
      </w:r>
      <w:r>
        <w:rPr>
          <w:rStyle w:val="18"/>
          <w:rFonts w:hint="eastAsia" w:ascii="仿宋" w:hAnsi="仿宋" w:eastAsia="仿宋"/>
          <w:b w:val="0"/>
          <w:bCs/>
          <w:color w:val="auto"/>
          <w:sz w:val="32"/>
          <w:szCs w:val="32"/>
          <w:highlight w:val="none"/>
        </w:rPr>
        <w:t>。</w:t>
      </w:r>
    </w:p>
    <w:p>
      <w:pPr>
        <w:pageBreakBefore w:val="0"/>
        <w:widowControl w:val="0"/>
        <w:kinsoku/>
        <w:wordWrap/>
        <w:overflowPunct/>
        <w:topLinePunct w:val="0"/>
        <w:autoSpaceDE/>
        <w:autoSpaceDN/>
        <w:bidi w:val="0"/>
        <w:adjustRightInd/>
        <w:snapToGrid/>
        <w:spacing w:line="240" w:lineRule="auto"/>
        <w:ind w:left="0" w:leftChars="0" w:right="0" w:firstLine="643" w:firstLineChars="200"/>
        <w:textAlignment w:val="auto"/>
        <w:rPr>
          <w:rFonts w:ascii="仿宋" w:hAnsi="仿宋" w:eastAsia="仿宋"/>
          <w:b/>
          <w:color w:val="auto"/>
          <w:sz w:val="32"/>
          <w:szCs w:val="32"/>
          <w:highlight w:val="none"/>
        </w:rPr>
      </w:pPr>
      <w:r>
        <w:rPr>
          <w:rStyle w:val="18"/>
          <w:rFonts w:ascii="仿宋" w:hAnsi="仿宋" w:eastAsia="仿宋"/>
          <w:bCs/>
          <w:color w:val="auto"/>
          <w:sz w:val="32"/>
          <w:szCs w:val="32"/>
          <w:highlight w:val="none"/>
        </w:rPr>
        <w:t>3.</w:t>
      </w:r>
      <w:r>
        <w:rPr>
          <w:rStyle w:val="18"/>
          <w:rFonts w:hint="eastAsia" w:ascii="仿宋" w:hAnsi="仿宋" w:eastAsia="仿宋"/>
          <w:bCs/>
          <w:color w:val="auto"/>
          <w:sz w:val="32"/>
          <w:szCs w:val="32"/>
          <w:highlight w:val="none"/>
        </w:rPr>
        <w:t>公共安全支出（类）</w:t>
      </w:r>
      <w:r>
        <w:rPr>
          <w:rStyle w:val="18"/>
          <w:rFonts w:hint="eastAsia" w:ascii="仿宋" w:hAnsi="仿宋" w:eastAsia="仿宋"/>
          <w:bCs/>
          <w:color w:val="auto"/>
          <w:sz w:val="32"/>
          <w:szCs w:val="32"/>
          <w:highlight w:val="none"/>
          <w:lang w:eastAsia="zh-CN"/>
        </w:rPr>
        <w:t>公安</w:t>
      </w:r>
      <w:r>
        <w:rPr>
          <w:rStyle w:val="18"/>
          <w:rFonts w:hint="eastAsia" w:ascii="仿宋" w:hAnsi="仿宋" w:eastAsia="仿宋"/>
          <w:bCs/>
          <w:color w:val="auto"/>
          <w:sz w:val="32"/>
          <w:szCs w:val="32"/>
          <w:highlight w:val="none"/>
        </w:rPr>
        <w:t>（款）信息化建设（项）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595.45</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，决算数</w:t>
      </w:r>
      <w:r>
        <w:rPr>
          <w:rStyle w:val="18"/>
          <w:rFonts w:hint="eastAsia" w:ascii="仿宋" w:hAnsi="仿宋" w:eastAsia="仿宋"/>
          <w:b w:val="0"/>
          <w:bCs/>
          <w:color w:val="auto"/>
          <w:sz w:val="32"/>
          <w:szCs w:val="32"/>
          <w:highlight w:val="none"/>
          <w:lang w:eastAsia="zh-CN"/>
        </w:rPr>
        <w:t>与</w:t>
      </w:r>
      <w:r>
        <w:rPr>
          <w:rStyle w:val="18"/>
          <w:rFonts w:hint="eastAsia" w:ascii="仿宋" w:hAnsi="仿宋" w:eastAsia="仿宋"/>
          <w:b w:val="0"/>
          <w:bCs/>
          <w:color w:val="auto"/>
          <w:sz w:val="32"/>
          <w:szCs w:val="32"/>
          <w:highlight w:val="none"/>
        </w:rPr>
        <w:t>预算数</w:t>
      </w:r>
      <w:r>
        <w:rPr>
          <w:rStyle w:val="18"/>
          <w:rFonts w:hint="eastAsia" w:ascii="仿宋" w:hAnsi="仿宋" w:eastAsia="仿宋"/>
          <w:b w:val="0"/>
          <w:bCs/>
          <w:color w:val="auto"/>
          <w:sz w:val="32"/>
          <w:szCs w:val="32"/>
          <w:highlight w:val="none"/>
          <w:lang w:eastAsia="zh-CN"/>
        </w:rPr>
        <w:t>持平</w:t>
      </w:r>
      <w:r>
        <w:rPr>
          <w:rStyle w:val="18"/>
          <w:rFonts w:hint="eastAsia" w:ascii="仿宋" w:hAnsi="仿宋" w:eastAsia="仿宋"/>
          <w:b w:val="0"/>
          <w:bCs/>
          <w:color w:val="auto"/>
          <w:sz w:val="32"/>
          <w:szCs w:val="32"/>
          <w:highlight w:val="none"/>
        </w:rPr>
        <w:t>。</w:t>
      </w:r>
    </w:p>
    <w:p>
      <w:pPr>
        <w:pageBreakBefore w:val="0"/>
        <w:widowControl w:val="0"/>
        <w:kinsoku/>
        <w:wordWrap/>
        <w:overflowPunct/>
        <w:topLinePunct w:val="0"/>
        <w:autoSpaceDE/>
        <w:autoSpaceDN/>
        <w:bidi w:val="0"/>
        <w:adjustRightInd/>
        <w:snapToGrid/>
        <w:spacing w:line="240" w:lineRule="auto"/>
        <w:ind w:left="0" w:leftChars="0" w:right="0" w:firstLine="643" w:firstLineChars="200"/>
        <w:textAlignment w:val="auto"/>
        <w:rPr>
          <w:rStyle w:val="18"/>
          <w:rFonts w:hint="eastAsia" w:ascii="仿宋" w:hAnsi="仿宋" w:eastAsia="仿宋"/>
          <w:b w:val="0"/>
          <w:bCs/>
          <w:color w:val="auto"/>
          <w:sz w:val="32"/>
          <w:szCs w:val="32"/>
          <w:highlight w:val="none"/>
        </w:rPr>
      </w:pPr>
      <w:r>
        <w:rPr>
          <w:rStyle w:val="18"/>
          <w:rFonts w:ascii="仿宋" w:hAnsi="仿宋" w:eastAsia="仿宋"/>
          <w:bCs/>
          <w:color w:val="auto"/>
          <w:sz w:val="32"/>
          <w:szCs w:val="32"/>
          <w:highlight w:val="none"/>
        </w:rPr>
        <w:t>4.</w:t>
      </w:r>
      <w:r>
        <w:rPr>
          <w:rStyle w:val="18"/>
          <w:rFonts w:hint="eastAsia" w:ascii="仿宋" w:hAnsi="仿宋" w:eastAsia="仿宋"/>
          <w:bCs/>
          <w:color w:val="auto"/>
          <w:sz w:val="32"/>
          <w:szCs w:val="32"/>
          <w:highlight w:val="none"/>
        </w:rPr>
        <w:t>公共安全支出（类）</w:t>
      </w:r>
      <w:r>
        <w:rPr>
          <w:rStyle w:val="18"/>
          <w:rFonts w:hint="eastAsia" w:ascii="仿宋" w:hAnsi="仿宋" w:eastAsia="仿宋"/>
          <w:bCs/>
          <w:color w:val="auto"/>
          <w:sz w:val="32"/>
          <w:szCs w:val="32"/>
          <w:highlight w:val="none"/>
          <w:lang w:eastAsia="zh-CN"/>
        </w:rPr>
        <w:t>公安</w:t>
      </w:r>
      <w:r>
        <w:rPr>
          <w:rStyle w:val="18"/>
          <w:rFonts w:hint="eastAsia" w:ascii="仿宋" w:hAnsi="仿宋" w:eastAsia="仿宋"/>
          <w:bCs/>
          <w:color w:val="auto"/>
          <w:sz w:val="32"/>
          <w:szCs w:val="32"/>
          <w:highlight w:val="none"/>
        </w:rPr>
        <w:t>（款）执法办案（项）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170</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，决算数</w:t>
      </w:r>
      <w:r>
        <w:rPr>
          <w:rStyle w:val="18"/>
          <w:rFonts w:hint="eastAsia" w:ascii="仿宋" w:hAnsi="仿宋" w:eastAsia="仿宋"/>
          <w:b w:val="0"/>
          <w:bCs/>
          <w:color w:val="auto"/>
          <w:sz w:val="32"/>
          <w:szCs w:val="32"/>
          <w:highlight w:val="none"/>
          <w:lang w:eastAsia="zh-CN"/>
        </w:rPr>
        <w:t>与</w:t>
      </w:r>
      <w:r>
        <w:rPr>
          <w:rStyle w:val="18"/>
          <w:rFonts w:hint="eastAsia" w:ascii="仿宋" w:hAnsi="仿宋" w:eastAsia="仿宋"/>
          <w:b w:val="0"/>
          <w:bCs/>
          <w:color w:val="auto"/>
          <w:sz w:val="32"/>
          <w:szCs w:val="32"/>
          <w:highlight w:val="none"/>
        </w:rPr>
        <w:t>预算数</w:t>
      </w:r>
      <w:r>
        <w:rPr>
          <w:rStyle w:val="18"/>
          <w:rFonts w:hint="eastAsia" w:ascii="仿宋" w:hAnsi="仿宋" w:eastAsia="仿宋"/>
          <w:b w:val="0"/>
          <w:bCs/>
          <w:color w:val="auto"/>
          <w:sz w:val="32"/>
          <w:szCs w:val="32"/>
          <w:highlight w:val="none"/>
          <w:lang w:eastAsia="zh-CN"/>
        </w:rPr>
        <w:t>持平</w:t>
      </w:r>
      <w:r>
        <w:rPr>
          <w:rStyle w:val="18"/>
          <w:rFonts w:hint="eastAsia" w:ascii="仿宋" w:hAnsi="仿宋" w:eastAsia="仿宋"/>
          <w:b w:val="0"/>
          <w:bCs/>
          <w:color w:val="auto"/>
          <w:sz w:val="32"/>
          <w:szCs w:val="32"/>
          <w:highlight w:val="none"/>
        </w:rPr>
        <w:t>。</w:t>
      </w:r>
    </w:p>
    <w:p>
      <w:pPr>
        <w:pageBreakBefore w:val="0"/>
        <w:widowControl w:val="0"/>
        <w:kinsoku/>
        <w:wordWrap/>
        <w:overflowPunct/>
        <w:topLinePunct w:val="0"/>
        <w:autoSpaceDE/>
        <w:autoSpaceDN/>
        <w:bidi w:val="0"/>
        <w:adjustRightInd/>
        <w:snapToGrid/>
        <w:spacing w:line="240" w:lineRule="auto"/>
        <w:ind w:left="0" w:leftChars="0" w:right="0" w:firstLine="643" w:firstLineChars="200"/>
        <w:textAlignment w:val="auto"/>
        <w:rPr>
          <w:rFonts w:hint="default" w:eastAsia="仿宋"/>
          <w:color w:val="auto"/>
          <w:lang w:val="en-US" w:eastAsia="zh-CN"/>
        </w:rPr>
      </w:pPr>
      <w:r>
        <w:rPr>
          <w:rStyle w:val="18"/>
          <w:rFonts w:hint="eastAsia" w:ascii="仿宋" w:hAnsi="仿宋" w:eastAsia="仿宋"/>
          <w:bCs/>
          <w:color w:val="auto"/>
          <w:sz w:val="32"/>
          <w:szCs w:val="32"/>
          <w:highlight w:val="none"/>
          <w:lang w:val="en-US" w:eastAsia="zh-CN"/>
        </w:rPr>
        <w:t>5</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公共安全支出（类）</w:t>
      </w:r>
      <w:r>
        <w:rPr>
          <w:rStyle w:val="18"/>
          <w:rFonts w:hint="eastAsia" w:ascii="仿宋" w:hAnsi="仿宋" w:eastAsia="仿宋"/>
          <w:bCs/>
          <w:color w:val="auto"/>
          <w:sz w:val="32"/>
          <w:szCs w:val="32"/>
          <w:highlight w:val="none"/>
          <w:lang w:eastAsia="zh-CN"/>
        </w:rPr>
        <w:t>公安</w:t>
      </w:r>
      <w:r>
        <w:rPr>
          <w:rStyle w:val="18"/>
          <w:rFonts w:hint="eastAsia" w:ascii="仿宋" w:hAnsi="仿宋" w:eastAsia="仿宋"/>
          <w:bCs/>
          <w:color w:val="auto"/>
          <w:sz w:val="32"/>
          <w:szCs w:val="32"/>
          <w:highlight w:val="none"/>
        </w:rPr>
        <w:t>（款）特勤业务（项）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9</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，决算数</w:t>
      </w:r>
      <w:r>
        <w:rPr>
          <w:rStyle w:val="18"/>
          <w:rFonts w:hint="eastAsia" w:ascii="仿宋" w:hAnsi="仿宋" w:eastAsia="仿宋"/>
          <w:b w:val="0"/>
          <w:bCs/>
          <w:color w:val="auto"/>
          <w:sz w:val="32"/>
          <w:szCs w:val="32"/>
          <w:highlight w:val="none"/>
          <w:lang w:eastAsia="zh-CN"/>
        </w:rPr>
        <w:t>与</w:t>
      </w:r>
      <w:r>
        <w:rPr>
          <w:rStyle w:val="18"/>
          <w:rFonts w:hint="eastAsia" w:ascii="仿宋" w:hAnsi="仿宋" w:eastAsia="仿宋"/>
          <w:b w:val="0"/>
          <w:bCs/>
          <w:color w:val="auto"/>
          <w:sz w:val="32"/>
          <w:szCs w:val="32"/>
          <w:highlight w:val="none"/>
        </w:rPr>
        <w:t>预算数</w:t>
      </w:r>
      <w:r>
        <w:rPr>
          <w:rStyle w:val="18"/>
          <w:rFonts w:hint="eastAsia" w:ascii="仿宋" w:hAnsi="仿宋" w:eastAsia="仿宋"/>
          <w:b w:val="0"/>
          <w:bCs/>
          <w:color w:val="auto"/>
          <w:sz w:val="32"/>
          <w:szCs w:val="32"/>
          <w:highlight w:val="none"/>
          <w:lang w:eastAsia="zh-CN"/>
        </w:rPr>
        <w:t>持平</w:t>
      </w:r>
      <w:r>
        <w:rPr>
          <w:rStyle w:val="18"/>
          <w:rFonts w:hint="eastAsia" w:ascii="仿宋" w:hAnsi="仿宋" w:eastAsia="仿宋"/>
          <w:b w:val="0"/>
          <w:bCs/>
          <w:color w:val="auto"/>
          <w:sz w:val="32"/>
          <w:szCs w:val="32"/>
          <w:highlight w:val="none"/>
        </w:rPr>
        <w:t>。</w:t>
      </w:r>
    </w:p>
    <w:p>
      <w:pPr>
        <w:pStyle w:val="2"/>
        <w:pageBreakBefore w:val="0"/>
        <w:widowControl w:val="0"/>
        <w:kinsoku/>
        <w:wordWrap/>
        <w:overflowPunct/>
        <w:topLinePunct w:val="0"/>
        <w:autoSpaceDE/>
        <w:autoSpaceDN/>
        <w:bidi w:val="0"/>
        <w:adjustRightInd/>
        <w:snapToGrid/>
        <w:spacing w:beforeLines="0" w:line="240" w:lineRule="auto"/>
        <w:ind w:left="0" w:leftChars="0" w:firstLine="643" w:firstLineChars="200"/>
        <w:textAlignment w:val="auto"/>
        <w:rPr>
          <w:rStyle w:val="18"/>
          <w:rFonts w:hint="eastAsia" w:ascii="仿宋" w:hAnsi="仿宋" w:eastAsia="仿宋"/>
          <w:b w:val="0"/>
          <w:bCs/>
          <w:color w:val="auto"/>
          <w:sz w:val="32"/>
          <w:szCs w:val="32"/>
          <w:highlight w:val="none"/>
        </w:rPr>
      </w:pPr>
      <w:r>
        <w:rPr>
          <w:rStyle w:val="18"/>
          <w:rFonts w:hint="eastAsia" w:ascii="仿宋" w:hAnsi="仿宋" w:eastAsia="仿宋"/>
          <w:bCs/>
          <w:color w:val="auto"/>
          <w:sz w:val="32"/>
          <w:szCs w:val="32"/>
          <w:highlight w:val="none"/>
          <w:lang w:val="en-US" w:eastAsia="zh-CN"/>
        </w:rPr>
        <w:t>6</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公共安全支出（类）</w:t>
      </w:r>
      <w:r>
        <w:rPr>
          <w:rStyle w:val="18"/>
          <w:rFonts w:hint="eastAsia" w:ascii="仿宋" w:hAnsi="仿宋" w:eastAsia="仿宋"/>
          <w:bCs/>
          <w:color w:val="auto"/>
          <w:sz w:val="32"/>
          <w:szCs w:val="32"/>
          <w:highlight w:val="none"/>
          <w:lang w:eastAsia="zh-CN"/>
        </w:rPr>
        <w:t>公安</w:t>
      </w:r>
      <w:r>
        <w:rPr>
          <w:rStyle w:val="18"/>
          <w:rFonts w:hint="eastAsia" w:ascii="仿宋" w:hAnsi="仿宋" w:eastAsia="仿宋"/>
          <w:bCs/>
          <w:color w:val="auto"/>
          <w:sz w:val="32"/>
          <w:szCs w:val="32"/>
          <w:highlight w:val="none"/>
        </w:rPr>
        <w:t>（款）事业运行（项）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87.62</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，决算数</w:t>
      </w:r>
      <w:r>
        <w:rPr>
          <w:rStyle w:val="18"/>
          <w:rFonts w:hint="eastAsia" w:ascii="仿宋" w:hAnsi="仿宋" w:eastAsia="仿宋"/>
          <w:b w:val="0"/>
          <w:bCs/>
          <w:color w:val="auto"/>
          <w:sz w:val="32"/>
          <w:szCs w:val="32"/>
          <w:highlight w:val="none"/>
          <w:lang w:eastAsia="zh-CN"/>
        </w:rPr>
        <w:t>与</w:t>
      </w:r>
      <w:r>
        <w:rPr>
          <w:rStyle w:val="18"/>
          <w:rFonts w:hint="eastAsia" w:ascii="仿宋" w:hAnsi="仿宋" w:eastAsia="仿宋"/>
          <w:b w:val="0"/>
          <w:bCs/>
          <w:color w:val="auto"/>
          <w:sz w:val="32"/>
          <w:szCs w:val="32"/>
          <w:highlight w:val="none"/>
        </w:rPr>
        <w:t>预算数</w:t>
      </w:r>
      <w:r>
        <w:rPr>
          <w:rStyle w:val="18"/>
          <w:rFonts w:hint="eastAsia" w:ascii="仿宋" w:hAnsi="仿宋" w:eastAsia="仿宋"/>
          <w:b w:val="0"/>
          <w:bCs/>
          <w:color w:val="auto"/>
          <w:sz w:val="32"/>
          <w:szCs w:val="32"/>
          <w:highlight w:val="none"/>
          <w:lang w:eastAsia="zh-CN"/>
        </w:rPr>
        <w:t>持平</w:t>
      </w:r>
      <w:r>
        <w:rPr>
          <w:rStyle w:val="18"/>
          <w:rFonts w:hint="eastAsia" w:ascii="仿宋" w:hAnsi="仿宋" w:eastAsia="仿宋"/>
          <w:b w:val="0"/>
          <w:bCs/>
          <w:color w:val="auto"/>
          <w:sz w:val="32"/>
          <w:szCs w:val="32"/>
          <w:highlight w:val="none"/>
        </w:rPr>
        <w:t>。</w:t>
      </w:r>
    </w:p>
    <w:p>
      <w:pPr>
        <w:pStyle w:val="2"/>
        <w:pageBreakBefore w:val="0"/>
        <w:widowControl w:val="0"/>
        <w:kinsoku/>
        <w:wordWrap/>
        <w:overflowPunct/>
        <w:topLinePunct w:val="0"/>
        <w:autoSpaceDE/>
        <w:autoSpaceDN/>
        <w:bidi w:val="0"/>
        <w:adjustRightInd/>
        <w:snapToGrid/>
        <w:spacing w:beforeLines="0" w:line="240" w:lineRule="auto"/>
        <w:ind w:left="0" w:leftChars="0" w:firstLine="643" w:firstLineChars="200"/>
        <w:textAlignment w:val="auto"/>
        <w:rPr>
          <w:rStyle w:val="18"/>
          <w:rFonts w:hint="eastAsia" w:ascii="仿宋" w:hAnsi="仿宋" w:eastAsia="仿宋"/>
          <w:b w:val="0"/>
          <w:bCs/>
          <w:color w:val="auto"/>
          <w:sz w:val="32"/>
          <w:szCs w:val="32"/>
          <w:highlight w:val="none"/>
        </w:rPr>
      </w:pPr>
      <w:r>
        <w:rPr>
          <w:rStyle w:val="18"/>
          <w:rFonts w:hint="eastAsia" w:ascii="仿宋" w:hAnsi="仿宋" w:eastAsia="仿宋"/>
          <w:bCs/>
          <w:color w:val="auto"/>
          <w:sz w:val="32"/>
          <w:szCs w:val="32"/>
          <w:highlight w:val="none"/>
          <w:lang w:val="en-US" w:eastAsia="zh-CN"/>
        </w:rPr>
        <w:t>7</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公共安全支出（类）</w:t>
      </w:r>
      <w:r>
        <w:rPr>
          <w:rStyle w:val="18"/>
          <w:rFonts w:hint="eastAsia" w:ascii="仿宋" w:hAnsi="仿宋" w:eastAsia="仿宋"/>
          <w:bCs/>
          <w:color w:val="auto"/>
          <w:sz w:val="32"/>
          <w:szCs w:val="32"/>
          <w:highlight w:val="none"/>
          <w:lang w:eastAsia="zh-CN"/>
        </w:rPr>
        <w:t>公安</w:t>
      </w:r>
      <w:r>
        <w:rPr>
          <w:rStyle w:val="18"/>
          <w:rFonts w:hint="eastAsia" w:ascii="仿宋" w:hAnsi="仿宋" w:eastAsia="仿宋"/>
          <w:bCs/>
          <w:color w:val="auto"/>
          <w:sz w:val="32"/>
          <w:szCs w:val="32"/>
          <w:highlight w:val="none"/>
        </w:rPr>
        <w:t>（款）其他公安支出（项）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1752.33</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，决算数</w:t>
      </w:r>
      <w:r>
        <w:rPr>
          <w:rStyle w:val="18"/>
          <w:rFonts w:hint="eastAsia" w:ascii="仿宋" w:hAnsi="仿宋" w:eastAsia="仿宋"/>
          <w:b w:val="0"/>
          <w:bCs/>
          <w:color w:val="auto"/>
          <w:sz w:val="32"/>
          <w:szCs w:val="32"/>
          <w:highlight w:val="none"/>
          <w:lang w:eastAsia="zh-CN"/>
        </w:rPr>
        <w:t>与</w:t>
      </w:r>
      <w:r>
        <w:rPr>
          <w:rStyle w:val="18"/>
          <w:rFonts w:hint="eastAsia" w:ascii="仿宋" w:hAnsi="仿宋" w:eastAsia="仿宋"/>
          <w:b w:val="0"/>
          <w:bCs/>
          <w:color w:val="auto"/>
          <w:sz w:val="32"/>
          <w:szCs w:val="32"/>
          <w:highlight w:val="none"/>
        </w:rPr>
        <w:t>预算数</w:t>
      </w:r>
      <w:r>
        <w:rPr>
          <w:rStyle w:val="18"/>
          <w:rFonts w:hint="eastAsia" w:ascii="仿宋" w:hAnsi="仿宋" w:eastAsia="仿宋"/>
          <w:b w:val="0"/>
          <w:bCs/>
          <w:color w:val="auto"/>
          <w:sz w:val="32"/>
          <w:szCs w:val="32"/>
          <w:highlight w:val="none"/>
          <w:lang w:eastAsia="zh-CN"/>
        </w:rPr>
        <w:t>持平</w:t>
      </w:r>
      <w:r>
        <w:rPr>
          <w:rStyle w:val="18"/>
          <w:rFonts w:hint="eastAsia" w:ascii="仿宋" w:hAnsi="仿宋" w:eastAsia="仿宋"/>
          <w:b w:val="0"/>
          <w:bCs/>
          <w:color w:val="auto"/>
          <w:sz w:val="32"/>
          <w:szCs w:val="32"/>
          <w:highlight w:val="none"/>
        </w:rPr>
        <w:t>。</w:t>
      </w:r>
    </w:p>
    <w:p>
      <w:pPr>
        <w:pStyle w:val="2"/>
        <w:pageBreakBefore w:val="0"/>
        <w:widowControl w:val="0"/>
        <w:kinsoku/>
        <w:wordWrap/>
        <w:overflowPunct/>
        <w:topLinePunct w:val="0"/>
        <w:autoSpaceDE/>
        <w:autoSpaceDN/>
        <w:bidi w:val="0"/>
        <w:adjustRightInd/>
        <w:snapToGrid/>
        <w:spacing w:beforeLines="0" w:line="240" w:lineRule="auto"/>
        <w:ind w:left="0" w:leftChars="0" w:firstLine="643" w:firstLineChars="200"/>
        <w:textAlignment w:val="auto"/>
        <w:rPr>
          <w:rStyle w:val="18"/>
          <w:rFonts w:hint="eastAsia" w:ascii="仿宋" w:hAnsi="仿宋" w:eastAsia="仿宋"/>
          <w:b w:val="0"/>
          <w:bCs/>
          <w:color w:val="auto"/>
          <w:sz w:val="32"/>
          <w:szCs w:val="32"/>
          <w:highlight w:val="none"/>
        </w:rPr>
      </w:pPr>
      <w:r>
        <w:rPr>
          <w:rStyle w:val="18"/>
          <w:rFonts w:hint="eastAsia" w:ascii="仿宋" w:hAnsi="仿宋" w:eastAsia="仿宋"/>
          <w:bCs/>
          <w:color w:val="auto"/>
          <w:sz w:val="32"/>
          <w:szCs w:val="32"/>
          <w:highlight w:val="none"/>
          <w:lang w:val="en-US" w:eastAsia="zh-CN"/>
        </w:rPr>
        <w:t>8</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社会保障和就业（类）行政事业单位养老支出（款）机关事业单位基本养老保险缴费支出（项）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285.5</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，决算数</w:t>
      </w:r>
      <w:r>
        <w:rPr>
          <w:rStyle w:val="18"/>
          <w:rFonts w:hint="eastAsia" w:ascii="仿宋" w:hAnsi="仿宋" w:eastAsia="仿宋"/>
          <w:b w:val="0"/>
          <w:bCs/>
          <w:color w:val="auto"/>
          <w:sz w:val="32"/>
          <w:szCs w:val="32"/>
          <w:highlight w:val="none"/>
          <w:lang w:eastAsia="zh-CN"/>
        </w:rPr>
        <w:t>与</w:t>
      </w:r>
      <w:r>
        <w:rPr>
          <w:rStyle w:val="18"/>
          <w:rFonts w:hint="eastAsia" w:ascii="仿宋" w:hAnsi="仿宋" w:eastAsia="仿宋"/>
          <w:b w:val="0"/>
          <w:bCs/>
          <w:color w:val="auto"/>
          <w:sz w:val="32"/>
          <w:szCs w:val="32"/>
          <w:highlight w:val="none"/>
        </w:rPr>
        <w:t>预算数</w:t>
      </w:r>
      <w:r>
        <w:rPr>
          <w:rStyle w:val="18"/>
          <w:rFonts w:hint="eastAsia" w:ascii="仿宋" w:hAnsi="仿宋" w:eastAsia="仿宋"/>
          <w:b w:val="0"/>
          <w:bCs/>
          <w:color w:val="auto"/>
          <w:sz w:val="32"/>
          <w:szCs w:val="32"/>
          <w:highlight w:val="none"/>
          <w:lang w:eastAsia="zh-CN"/>
        </w:rPr>
        <w:t>持平</w:t>
      </w:r>
      <w:r>
        <w:rPr>
          <w:rStyle w:val="18"/>
          <w:rFonts w:hint="eastAsia" w:ascii="仿宋" w:hAnsi="仿宋" w:eastAsia="仿宋"/>
          <w:b w:val="0"/>
          <w:bCs/>
          <w:color w:val="auto"/>
          <w:sz w:val="32"/>
          <w:szCs w:val="32"/>
          <w:highlight w:val="none"/>
        </w:rPr>
        <w:t>。</w:t>
      </w:r>
    </w:p>
    <w:p>
      <w:pPr>
        <w:pStyle w:val="2"/>
        <w:pageBreakBefore w:val="0"/>
        <w:widowControl w:val="0"/>
        <w:kinsoku/>
        <w:wordWrap/>
        <w:overflowPunct/>
        <w:topLinePunct w:val="0"/>
        <w:autoSpaceDE/>
        <w:autoSpaceDN/>
        <w:bidi w:val="0"/>
        <w:adjustRightInd/>
        <w:snapToGrid/>
        <w:spacing w:beforeLines="0" w:line="240" w:lineRule="auto"/>
        <w:ind w:left="0" w:leftChars="0" w:firstLine="643" w:firstLineChars="200"/>
        <w:textAlignment w:val="auto"/>
        <w:rPr>
          <w:rStyle w:val="18"/>
          <w:rFonts w:hint="eastAsia" w:ascii="仿宋" w:hAnsi="仿宋" w:eastAsia="仿宋"/>
          <w:b w:val="0"/>
          <w:bCs/>
          <w:color w:val="auto"/>
          <w:sz w:val="32"/>
          <w:szCs w:val="32"/>
          <w:highlight w:val="none"/>
        </w:rPr>
      </w:pPr>
      <w:r>
        <w:rPr>
          <w:rStyle w:val="18"/>
          <w:rFonts w:hint="eastAsia" w:ascii="仿宋" w:hAnsi="仿宋" w:eastAsia="仿宋"/>
          <w:bCs/>
          <w:color w:val="auto"/>
          <w:sz w:val="32"/>
          <w:szCs w:val="32"/>
          <w:highlight w:val="none"/>
          <w:lang w:val="en-US" w:eastAsia="zh-CN"/>
        </w:rPr>
        <w:t>9.</w:t>
      </w:r>
      <w:r>
        <w:rPr>
          <w:rStyle w:val="18"/>
          <w:rFonts w:hint="eastAsia" w:ascii="仿宋" w:hAnsi="仿宋" w:eastAsia="仿宋"/>
          <w:bCs/>
          <w:color w:val="auto"/>
          <w:sz w:val="32"/>
          <w:szCs w:val="32"/>
          <w:highlight w:val="none"/>
        </w:rPr>
        <w:t>社会保障和就业（类）行政事业单位养老支出（款）机关事业单位职业年金缴费支出（项）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147.2</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，决算数</w:t>
      </w:r>
      <w:r>
        <w:rPr>
          <w:rStyle w:val="18"/>
          <w:rFonts w:hint="eastAsia" w:ascii="仿宋" w:hAnsi="仿宋" w:eastAsia="仿宋"/>
          <w:b w:val="0"/>
          <w:bCs/>
          <w:color w:val="auto"/>
          <w:sz w:val="32"/>
          <w:szCs w:val="32"/>
          <w:highlight w:val="none"/>
          <w:lang w:eastAsia="zh-CN"/>
        </w:rPr>
        <w:t>与</w:t>
      </w:r>
      <w:r>
        <w:rPr>
          <w:rStyle w:val="18"/>
          <w:rFonts w:hint="eastAsia" w:ascii="仿宋" w:hAnsi="仿宋" w:eastAsia="仿宋"/>
          <w:b w:val="0"/>
          <w:bCs/>
          <w:color w:val="auto"/>
          <w:sz w:val="32"/>
          <w:szCs w:val="32"/>
          <w:highlight w:val="none"/>
        </w:rPr>
        <w:t>预算数</w:t>
      </w:r>
      <w:r>
        <w:rPr>
          <w:rStyle w:val="18"/>
          <w:rFonts w:hint="eastAsia" w:ascii="仿宋" w:hAnsi="仿宋" w:eastAsia="仿宋"/>
          <w:b w:val="0"/>
          <w:bCs/>
          <w:color w:val="auto"/>
          <w:sz w:val="32"/>
          <w:szCs w:val="32"/>
          <w:highlight w:val="none"/>
          <w:lang w:eastAsia="zh-CN"/>
        </w:rPr>
        <w:t>持平</w:t>
      </w:r>
      <w:r>
        <w:rPr>
          <w:rStyle w:val="18"/>
          <w:rFonts w:hint="eastAsia" w:ascii="仿宋" w:hAnsi="仿宋" w:eastAsia="仿宋"/>
          <w:b w:val="0"/>
          <w:bCs/>
          <w:color w:val="auto"/>
          <w:sz w:val="32"/>
          <w:szCs w:val="32"/>
          <w:highlight w:val="none"/>
        </w:rPr>
        <w:t>。</w:t>
      </w:r>
    </w:p>
    <w:p>
      <w:pPr>
        <w:pStyle w:val="2"/>
        <w:pageBreakBefore w:val="0"/>
        <w:widowControl w:val="0"/>
        <w:kinsoku/>
        <w:wordWrap/>
        <w:overflowPunct/>
        <w:topLinePunct w:val="0"/>
        <w:autoSpaceDE/>
        <w:autoSpaceDN/>
        <w:bidi w:val="0"/>
        <w:adjustRightInd/>
        <w:snapToGrid/>
        <w:spacing w:beforeLines="0" w:line="240" w:lineRule="auto"/>
        <w:ind w:left="0" w:leftChars="0" w:firstLine="643" w:firstLineChars="200"/>
        <w:textAlignment w:val="auto"/>
        <w:rPr>
          <w:rStyle w:val="18"/>
          <w:rFonts w:hint="eastAsia" w:ascii="仿宋" w:hAnsi="仿宋" w:eastAsia="仿宋"/>
          <w:b w:val="0"/>
          <w:bCs/>
          <w:color w:val="auto"/>
          <w:sz w:val="32"/>
          <w:szCs w:val="32"/>
          <w:highlight w:val="none"/>
        </w:rPr>
      </w:pPr>
      <w:r>
        <w:rPr>
          <w:rStyle w:val="18"/>
          <w:rFonts w:hint="eastAsia" w:ascii="仿宋" w:hAnsi="仿宋" w:eastAsia="仿宋"/>
          <w:bCs/>
          <w:color w:val="auto"/>
          <w:sz w:val="32"/>
          <w:szCs w:val="32"/>
          <w:highlight w:val="none"/>
          <w:lang w:val="en-US" w:eastAsia="zh-CN"/>
        </w:rPr>
        <w:t>10.</w:t>
      </w:r>
      <w:r>
        <w:rPr>
          <w:rStyle w:val="18"/>
          <w:rFonts w:hint="eastAsia" w:ascii="仿宋" w:hAnsi="仿宋" w:eastAsia="仿宋"/>
          <w:bCs/>
          <w:color w:val="auto"/>
          <w:sz w:val="32"/>
          <w:szCs w:val="32"/>
          <w:highlight w:val="none"/>
        </w:rPr>
        <w:t>社会保障和就业（类）行政事业单位养老支出（款）其他行政事业单位养老支出（项）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94.21</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，决算数</w:t>
      </w:r>
      <w:r>
        <w:rPr>
          <w:rStyle w:val="18"/>
          <w:rFonts w:hint="eastAsia" w:ascii="仿宋" w:hAnsi="仿宋" w:eastAsia="仿宋"/>
          <w:b w:val="0"/>
          <w:bCs/>
          <w:color w:val="auto"/>
          <w:sz w:val="32"/>
          <w:szCs w:val="32"/>
          <w:highlight w:val="none"/>
          <w:lang w:eastAsia="zh-CN"/>
        </w:rPr>
        <w:t>与</w:t>
      </w:r>
      <w:r>
        <w:rPr>
          <w:rStyle w:val="18"/>
          <w:rFonts w:hint="eastAsia" w:ascii="仿宋" w:hAnsi="仿宋" w:eastAsia="仿宋"/>
          <w:b w:val="0"/>
          <w:bCs/>
          <w:color w:val="auto"/>
          <w:sz w:val="32"/>
          <w:szCs w:val="32"/>
          <w:highlight w:val="none"/>
        </w:rPr>
        <w:t>预算数</w:t>
      </w:r>
      <w:r>
        <w:rPr>
          <w:rStyle w:val="18"/>
          <w:rFonts w:hint="eastAsia" w:ascii="仿宋" w:hAnsi="仿宋" w:eastAsia="仿宋"/>
          <w:b w:val="0"/>
          <w:bCs/>
          <w:color w:val="auto"/>
          <w:sz w:val="32"/>
          <w:szCs w:val="32"/>
          <w:highlight w:val="none"/>
          <w:lang w:eastAsia="zh-CN"/>
        </w:rPr>
        <w:t>持平</w:t>
      </w:r>
      <w:r>
        <w:rPr>
          <w:rStyle w:val="18"/>
          <w:rFonts w:hint="eastAsia" w:ascii="仿宋" w:hAnsi="仿宋" w:eastAsia="仿宋"/>
          <w:b w:val="0"/>
          <w:bCs/>
          <w:color w:val="auto"/>
          <w:sz w:val="32"/>
          <w:szCs w:val="32"/>
          <w:highlight w:val="none"/>
        </w:rPr>
        <w:t>。</w:t>
      </w:r>
    </w:p>
    <w:p>
      <w:pPr>
        <w:pageBreakBefore w:val="0"/>
        <w:widowControl w:val="0"/>
        <w:kinsoku/>
        <w:wordWrap/>
        <w:overflowPunct/>
        <w:topLinePunct w:val="0"/>
        <w:autoSpaceDE/>
        <w:autoSpaceDN/>
        <w:bidi w:val="0"/>
        <w:adjustRightInd/>
        <w:snapToGrid/>
        <w:spacing w:line="240" w:lineRule="auto"/>
        <w:ind w:left="0" w:leftChars="0" w:right="0" w:firstLine="643" w:firstLineChars="200"/>
        <w:textAlignment w:val="auto"/>
        <w:rPr>
          <w:rFonts w:ascii="仿宋" w:hAnsi="仿宋" w:eastAsia="仿宋"/>
          <w:b/>
          <w:color w:val="auto"/>
          <w:sz w:val="32"/>
          <w:szCs w:val="32"/>
          <w:highlight w:val="none"/>
        </w:rPr>
      </w:pPr>
      <w:r>
        <w:rPr>
          <w:rStyle w:val="18"/>
          <w:rFonts w:hint="eastAsia" w:ascii="仿宋" w:hAnsi="仿宋" w:eastAsia="仿宋"/>
          <w:bCs/>
          <w:color w:val="auto"/>
          <w:sz w:val="32"/>
          <w:szCs w:val="32"/>
          <w:highlight w:val="none"/>
          <w:lang w:val="en-US" w:eastAsia="zh-CN"/>
        </w:rPr>
        <w:t>11</w:t>
      </w:r>
      <w:r>
        <w:rPr>
          <w:rStyle w:val="18"/>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18"/>
          <w:rFonts w:hint="eastAsia" w:ascii="仿宋" w:hAnsi="仿宋" w:eastAsia="仿宋"/>
          <w:bCs/>
          <w:color w:val="auto"/>
          <w:sz w:val="32"/>
          <w:szCs w:val="32"/>
          <w:highlight w:val="none"/>
        </w:rPr>
        <w:t>（类）公共卫生（款）重大公共卫生服务（项）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1</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，决算数</w:t>
      </w:r>
      <w:r>
        <w:rPr>
          <w:rStyle w:val="18"/>
          <w:rFonts w:hint="eastAsia" w:ascii="仿宋" w:hAnsi="仿宋" w:eastAsia="仿宋"/>
          <w:b w:val="0"/>
          <w:bCs/>
          <w:color w:val="auto"/>
          <w:sz w:val="32"/>
          <w:szCs w:val="32"/>
          <w:highlight w:val="none"/>
          <w:lang w:eastAsia="zh-CN"/>
        </w:rPr>
        <w:t>与</w:t>
      </w:r>
      <w:r>
        <w:rPr>
          <w:rStyle w:val="18"/>
          <w:rFonts w:hint="eastAsia" w:ascii="仿宋" w:hAnsi="仿宋" w:eastAsia="仿宋"/>
          <w:b w:val="0"/>
          <w:bCs/>
          <w:color w:val="auto"/>
          <w:sz w:val="32"/>
          <w:szCs w:val="32"/>
          <w:highlight w:val="none"/>
        </w:rPr>
        <w:t>预算数</w:t>
      </w:r>
      <w:r>
        <w:rPr>
          <w:rStyle w:val="18"/>
          <w:rFonts w:hint="eastAsia" w:ascii="仿宋" w:hAnsi="仿宋" w:eastAsia="仿宋"/>
          <w:b w:val="0"/>
          <w:bCs/>
          <w:color w:val="auto"/>
          <w:sz w:val="32"/>
          <w:szCs w:val="32"/>
          <w:highlight w:val="none"/>
          <w:lang w:eastAsia="zh-CN"/>
        </w:rPr>
        <w:t>持平</w:t>
      </w:r>
      <w:r>
        <w:rPr>
          <w:rStyle w:val="18"/>
          <w:rFonts w:hint="eastAsia" w:ascii="仿宋" w:hAnsi="仿宋" w:eastAsia="仿宋"/>
          <w:b w:val="0"/>
          <w:bCs/>
          <w:color w:val="auto"/>
          <w:sz w:val="32"/>
          <w:szCs w:val="32"/>
          <w:highlight w:val="none"/>
        </w:rPr>
        <w:t>。</w:t>
      </w:r>
    </w:p>
    <w:p>
      <w:pPr>
        <w:pageBreakBefore w:val="0"/>
        <w:widowControl w:val="0"/>
        <w:kinsoku/>
        <w:wordWrap/>
        <w:overflowPunct/>
        <w:topLinePunct w:val="0"/>
        <w:autoSpaceDE/>
        <w:autoSpaceDN/>
        <w:bidi w:val="0"/>
        <w:adjustRightInd/>
        <w:snapToGrid/>
        <w:spacing w:line="240" w:lineRule="auto"/>
        <w:ind w:left="0" w:leftChars="0" w:right="0" w:firstLine="643" w:firstLineChars="200"/>
        <w:textAlignment w:val="auto"/>
        <w:rPr>
          <w:rFonts w:hint="eastAsia" w:ascii="仿宋" w:hAnsi="仿宋" w:eastAsia="仿宋"/>
          <w:color w:val="auto"/>
          <w:sz w:val="32"/>
          <w:szCs w:val="32"/>
          <w:highlight w:val="none"/>
        </w:rPr>
      </w:pPr>
      <w:r>
        <w:rPr>
          <w:rFonts w:hint="eastAsia" w:ascii="仿宋" w:hAnsi="仿宋" w:eastAsia="仿宋"/>
          <w:b/>
          <w:bCs/>
          <w:color w:val="auto"/>
          <w:sz w:val="32"/>
          <w:szCs w:val="32"/>
          <w:highlight w:val="none"/>
          <w:lang w:val="en-US" w:eastAsia="zh-CN"/>
        </w:rPr>
        <w:t>12.</w:t>
      </w:r>
      <w:r>
        <w:rPr>
          <w:rFonts w:hint="eastAsia" w:ascii="仿宋" w:hAnsi="仿宋" w:eastAsia="仿宋"/>
          <w:b/>
          <w:bCs/>
          <w:color w:val="auto"/>
          <w:sz w:val="32"/>
          <w:szCs w:val="32"/>
          <w:highlight w:val="none"/>
        </w:rPr>
        <w:t>卫生健康</w:t>
      </w:r>
      <w:r>
        <w:rPr>
          <w:rStyle w:val="18"/>
          <w:rFonts w:hint="eastAsia" w:ascii="仿宋" w:hAnsi="仿宋" w:eastAsia="仿宋"/>
          <w:bCs/>
          <w:color w:val="auto"/>
          <w:sz w:val="32"/>
          <w:szCs w:val="32"/>
          <w:highlight w:val="none"/>
        </w:rPr>
        <w:t>（类）公共卫生（款）其他公共卫生支出（项）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5</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，决算数</w:t>
      </w:r>
      <w:r>
        <w:rPr>
          <w:rStyle w:val="18"/>
          <w:rFonts w:hint="eastAsia" w:ascii="仿宋" w:hAnsi="仿宋" w:eastAsia="仿宋"/>
          <w:b w:val="0"/>
          <w:bCs/>
          <w:color w:val="auto"/>
          <w:sz w:val="32"/>
          <w:szCs w:val="32"/>
          <w:highlight w:val="none"/>
          <w:lang w:eastAsia="zh-CN"/>
        </w:rPr>
        <w:t>与</w:t>
      </w:r>
      <w:r>
        <w:rPr>
          <w:rStyle w:val="18"/>
          <w:rFonts w:hint="eastAsia" w:ascii="仿宋" w:hAnsi="仿宋" w:eastAsia="仿宋"/>
          <w:b w:val="0"/>
          <w:bCs/>
          <w:color w:val="auto"/>
          <w:sz w:val="32"/>
          <w:szCs w:val="32"/>
          <w:highlight w:val="none"/>
        </w:rPr>
        <w:t>预算数</w:t>
      </w:r>
      <w:r>
        <w:rPr>
          <w:rStyle w:val="18"/>
          <w:rFonts w:hint="eastAsia" w:ascii="仿宋" w:hAnsi="仿宋" w:eastAsia="仿宋"/>
          <w:b w:val="0"/>
          <w:bCs/>
          <w:color w:val="auto"/>
          <w:sz w:val="32"/>
          <w:szCs w:val="32"/>
          <w:highlight w:val="none"/>
          <w:lang w:eastAsia="zh-CN"/>
        </w:rPr>
        <w:t>持平</w:t>
      </w:r>
      <w:r>
        <w:rPr>
          <w:rStyle w:val="18"/>
          <w:rFonts w:hint="eastAsia" w:ascii="仿宋" w:hAnsi="仿宋" w:eastAsia="仿宋"/>
          <w:b w:val="0"/>
          <w:bCs/>
          <w:color w:val="auto"/>
          <w:sz w:val="32"/>
          <w:szCs w:val="32"/>
          <w:highlight w:val="none"/>
        </w:rPr>
        <w:t>。</w:t>
      </w:r>
    </w:p>
    <w:p>
      <w:pPr>
        <w:pageBreakBefore w:val="0"/>
        <w:widowControl w:val="0"/>
        <w:kinsoku/>
        <w:wordWrap/>
        <w:overflowPunct/>
        <w:topLinePunct w:val="0"/>
        <w:autoSpaceDE/>
        <w:autoSpaceDN/>
        <w:bidi w:val="0"/>
        <w:adjustRightInd/>
        <w:snapToGrid/>
        <w:spacing w:line="240" w:lineRule="auto"/>
        <w:ind w:left="0" w:leftChars="0" w:right="0" w:firstLine="643" w:firstLineChars="200"/>
        <w:textAlignment w:val="auto"/>
        <w:rPr>
          <w:rFonts w:hint="eastAsia" w:ascii="仿宋" w:hAnsi="仿宋" w:eastAsia="仿宋"/>
          <w:color w:val="auto"/>
          <w:sz w:val="32"/>
          <w:szCs w:val="32"/>
          <w:highlight w:val="none"/>
        </w:rPr>
      </w:pPr>
      <w:r>
        <w:rPr>
          <w:rFonts w:hint="eastAsia" w:ascii="仿宋" w:hAnsi="仿宋" w:eastAsia="仿宋"/>
          <w:b/>
          <w:bCs/>
          <w:color w:val="auto"/>
          <w:sz w:val="32"/>
          <w:szCs w:val="32"/>
          <w:highlight w:val="none"/>
          <w:lang w:val="en-US" w:eastAsia="zh-CN"/>
        </w:rPr>
        <w:t>13.</w:t>
      </w:r>
      <w:r>
        <w:rPr>
          <w:rFonts w:hint="eastAsia" w:ascii="仿宋" w:hAnsi="仿宋" w:eastAsia="仿宋"/>
          <w:b/>
          <w:bCs/>
          <w:color w:val="auto"/>
          <w:sz w:val="32"/>
          <w:szCs w:val="32"/>
          <w:highlight w:val="none"/>
        </w:rPr>
        <w:t>卫生健康</w:t>
      </w:r>
      <w:r>
        <w:rPr>
          <w:rStyle w:val="18"/>
          <w:rFonts w:hint="eastAsia" w:ascii="仿宋" w:hAnsi="仿宋" w:eastAsia="仿宋"/>
          <w:bCs/>
          <w:color w:val="auto"/>
          <w:sz w:val="32"/>
          <w:szCs w:val="32"/>
          <w:highlight w:val="none"/>
        </w:rPr>
        <w:t>（类）行政事业单位医疗（款）行政单位医疗（项）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104.61</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，决算数</w:t>
      </w:r>
      <w:r>
        <w:rPr>
          <w:rStyle w:val="18"/>
          <w:rFonts w:hint="eastAsia" w:ascii="仿宋" w:hAnsi="仿宋" w:eastAsia="仿宋"/>
          <w:b w:val="0"/>
          <w:bCs/>
          <w:color w:val="auto"/>
          <w:sz w:val="32"/>
          <w:szCs w:val="32"/>
          <w:highlight w:val="none"/>
          <w:lang w:eastAsia="zh-CN"/>
        </w:rPr>
        <w:t>与</w:t>
      </w:r>
      <w:r>
        <w:rPr>
          <w:rStyle w:val="18"/>
          <w:rFonts w:hint="eastAsia" w:ascii="仿宋" w:hAnsi="仿宋" w:eastAsia="仿宋"/>
          <w:b w:val="0"/>
          <w:bCs/>
          <w:color w:val="auto"/>
          <w:sz w:val="32"/>
          <w:szCs w:val="32"/>
          <w:highlight w:val="none"/>
        </w:rPr>
        <w:t>预算数</w:t>
      </w:r>
      <w:r>
        <w:rPr>
          <w:rStyle w:val="18"/>
          <w:rFonts w:hint="eastAsia" w:ascii="仿宋" w:hAnsi="仿宋" w:eastAsia="仿宋"/>
          <w:b w:val="0"/>
          <w:bCs/>
          <w:color w:val="auto"/>
          <w:sz w:val="32"/>
          <w:szCs w:val="32"/>
          <w:highlight w:val="none"/>
          <w:lang w:eastAsia="zh-CN"/>
        </w:rPr>
        <w:t>持平</w:t>
      </w:r>
      <w:r>
        <w:rPr>
          <w:rStyle w:val="18"/>
          <w:rFonts w:hint="eastAsia" w:ascii="仿宋" w:hAnsi="仿宋" w:eastAsia="仿宋"/>
          <w:b w:val="0"/>
          <w:bCs/>
          <w:color w:val="auto"/>
          <w:sz w:val="32"/>
          <w:szCs w:val="32"/>
          <w:highlight w:val="none"/>
        </w:rPr>
        <w:t>。</w:t>
      </w:r>
    </w:p>
    <w:p>
      <w:pPr>
        <w:pageBreakBefore w:val="0"/>
        <w:widowControl w:val="0"/>
        <w:kinsoku/>
        <w:wordWrap/>
        <w:overflowPunct/>
        <w:topLinePunct w:val="0"/>
        <w:autoSpaceDE/>
        <w:autoSpaceDN/>
        <w:bidi w:val="0"/>
        <w:adjustRightInd/>
        <w:snapToGrid/>
        <w:spacing w:line="240" w:lineRule="auto"/>
        <w:ind w:left="0" w:leftChars="0" w:right="0" w:firstLine="643" w:firstLineChars="200"/>
        <w:textAlignment w:val="auto"/>
        <w:rPr>
          <w:rFonts w:hint="eastAsia" w:ascii="仿宋" w:hAnsi="仿宋" w:eastAsia="仿宋"/>
          <w:color w:val="auto"/>
          <w:sz w:val="32"/>
          <w:szCs w:val="32"/>
          <w:highlight w:val="none"/>
        </w:rPr>
      </w:pPr>
      <w:r>
        <w:rPr>
          <w:rFonts w:hint="eastAsia" w:ascii="仿宋" w:hAnsi="仿宋" w:eastAsia="仿宋"/>
          <w:b/>
          <w:bCs/>
          <w:color w:val="auto"/>
          <w:sz w:val="32"/>
          <w:szCs w:val="32"/>
          <w:highlight w:val="none"/>
          <w:lang w:val="en-US" w:eastAsia="zh-CN"/>
        </w:rPr>
        <w:t>14.</w:t>
      </w:r>
      <w:r>
        <w:rPr>
          <w:rFonts w:hint="eastAsia" w:ascii="仿宋" w:hAnsi="仿宋" w:eastAsia="仿宋"/>
          <w:b/>
          <w:bCs/>
          <w:color w:val="auto"/>
          <w:sz w:val="32"/>
          <w:szCs w:val="32"/>
          <w:highlight w:val="none"/>
        </w:rPr>
        <w:t>卫生健康</w:t>
      </w:r>
      <w:r>
        <w:rPr>
          <w:rStyle w:val="18"/>
          <w:rFonts w:hint="eastAsia" w:ascii="仿宋" w:hAnsi="仿宋" w:eastAsia="仿宋"/>
          <w:bCs/>
          <w:color w:val="auto"/>
          <w:sz w:val="32"/>
          <w:szCs w:val="32"/>
          <w:highlight w:val="none"/>
        </w:rPr>
        <w:t>（类）行政事业单位医疗（款）事业单位医疗（项）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2.63</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，决算数</w:t>
      </w:r>
      <w:r>
        <w:rPr>
          <w:rStyle w:val="18"/>
          <w:rFonts w:hint="eastAsia" w:ascii="仿宋" w:hAnsi="仿宋" w:eastAsia="仿宋"/>
          <w:b w:val="0"/>
          <w:bCs/>
          <w:color w:val="auto"/>
          <w:sz w:val="32"/>
          <w:szCs w:val="32"/>
          <w:highlight w:val="none"/>
          <w:lang w:eastAsia="zh-CN"/>
        </w:rPr>
        <w:t>与</w:t>
      </w:r>
      <w:r>
        <w:rPr>
          <w:rStyle w:val="18"/>
          <w:rFonts w:hint="eastAsia" w:ascii="仿宋" w:hAnsi="仿宋" w:eastAsia="仿宋"/>
          <w:b w:val="0"/>
          <w:bCs/>
          <w:color w:val="auto"/>
          <w:sz w:val="32"/>
          <w:szCs w:val="32"/>
          <w:highlight w:val="none"/>
        </w:rPr>
        <w:t>预算数</w:t>
      </w:r>
      <w:r>
        <w:rPr>
          <w:rStyle w:val="18"/>
          <w:rFonts w:hint="eastAsia" w:ascii="仿宋" w:hAnsi="仿宋" w:eastAsia="仿宋"/>
          <w:b w:val="0"/>
          <w:bCs/>
          <w:color w:val="auto"/>
          <w:sz w:val="32"/>
          <w:szCs w:val="32"/>
          <w:highlight w:val="none"/>
          <w:lang w:eastAsia="zh-CN"/>
        </w:rPr>
        <w:t>持平</w:t>
      </w:r>
      <w:r>
        <w:rPr>
          <w:rStyle w:val="18"/>
          <w:rFonts w:hint="eastAsia" w:ascii="仿宋" w:hAnsi="仿宋" w:eastAsia="仿宋"/>
          <w:b w:val="0"/>
          <w:bCs/>
          <w:color w:val="auto"/>
          <w:sz w:val="32"/>
          <w:szCs w:val="32"/>
          <w:highlight w:val="none"/>
        </w:rPr>
        <w:t>。</w:t>
      </w:r>
    </w:p>
    <w:p>
      <w:pPr>
        <w:pageBreakBefore w:val="0"/>
        <w:widowControl w:val="0"/>
        <w:kinsoku/>
        <w:wordWrap/>
        <w:overflowPunct/>
        <w:topLinePunct w:val="0"/>
        <w:autoSpaceDE/>
        <w:autoSpaceDN/>
        <w:bidi w:val="0"/>
        <w:adjustRightInd/>
        <w:snapToGrid/>
        <w:spacing w:line="240" w:lineRule="auto"/>
        <w:ind w:left="0" w:leftChars="0" w:right="0" w:firstLine="643" w:firstLineChars="200"/>
        <w:textAlignment w:val="auto"/>
        <w:rPr>
          <w:rFonts w:hint="eastAsia" w:ascii="仿宋" w:hAnsi="仿宋" w:eastAsia="仿宋"/>
          <w:color w:val="auto"/>
          <w:sz w:val="32"/>
          <w:szCs w:val="32"/>
          <w:highlight w:val="none"/>
        </w:rPr>
      </w:pPr>
      <w:r>
        <w:rPr>
          <w:rFonts w:hint="eastAsia" w:ascii="仿宋" w:hAnsi="仿宋" w:eastAsia="仿宋"/>
          <w:b/>
          <w:bCs/>
          <w:color w:val="auto"/>
          <w:sz w:val="32"/>
          <w:szCs w:val="32"/>
          <w:highlight w:val="none"/>
          <w:lang w:val="en-US" w:eastAsia="zh-CN"/>
        </w:rPr>
        <w:t>15.</w:t>
      </w:r>
      <w:r>
        <w:rPr>
          <w:rFonts w:hint="eastAsia" w:ascii="仿宋" w:hAnsi="仿宋" w:eastAsia="仿宋"/>
          <w:b/>
          <w:bCs/>
          <w:color w:val="auto"/>
          <w:sz w:val="32"/>
          <w:szCs w:val="32"/>
          <w:highlight w:val="none"/>
        </w:rPr>
        <w:t>卫生健康</w:t>
      </w:r>
      <w:r>
        <w:rPr>
          <w:rStyle w:val="18"/>
          <w:rFonts w:hint="eastAsia" w:ascii="仿宋" w:hAnsi="仿宋" w:eastAsia="仿宋"/>
          <w:bCs/>
          <w:color w:val="auto"/>
          <w:sz w:val="32"/>
          <w:szCs w:val="32"/>
          <w:highlight w:val="none"/>
        </w:rPr>
        <w:t>（类）行政事业单位医疗（款）公务员医疗补助（项）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30.4</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，决算数</w:t>
      </w:r>
      <w:r>
        <w:rPr>
          <w:rStyle w:val="18"/>
          <w:rFonts w:hint="eastAsia" w:ascii="仿宋" w:hAnsi="仿宋" w:eastAsia="仿宋"/>
          <w:b w:val="0"/>
          <w:bCs/>
          <w:color w:val="auto"/>
          <w:sz w:val="32"/>
          <w:szCs w:val="32"/>
          <w:highlight w:val="none"/>
          <w:lang w:eastAsia="zh-CN"/>
        </w:rPr>
        <w:t>与</w:t>
      </w:r>
      <w:r>
        <w:rPr>
          <w:rStyle w:val="18"/>
          <w:rFonts w:hint="eastAsia" w:ascii="仿宋" w:hAnsi="仿宋" w:eastAsia="仿宋"/>
          <w:b w:val="0"/>
          <w:bCs/>
          <w:color w:val="auto"/>
          <w:sz w:val="32"/>
          <w:szCs w:val="32"/>
          <w:highlight w:val="none"/>
        </w:rPr>
        <w:t>预算数</w:t>
      </w:r>
      <w:r>
        <w:rPr>
          <w:rStyle w:val="18"/>
          <w:rFonts w:hint="eastAsia" w:ascii="仿宋" w:hAnsi="仿宋" w:eastAsia="仿宋"/>
          <w:b w:val="0"/>
          <w:bCs/>
          <w:color w:val="auto"/>
          <w:sz w:val="32"/>
          <w:szCs w:val="32"/>
          <w:highlight w:val="none"/>
          <w:lang w:eastAsia="zh-CN"/>
        </w:rPr>
        <w:t>持平</w:t>
      </w:r>
      <w:r>
        <w:rPr>
          <w:rStyle w:val="18"/>
          <w:rFonts w:hint="eastAsia" w:ascii="仿宋" w:hAnsi="仿宋" w:eastAsia="仿宋"/>
          <w:b w:val="0"/>
          <w:bCs/>
          <w:color w:val="auto"/>
          <w:sz w:val="32"/>
          <w:szCs w:val="32"/>
          <w:highlight w:val="none"/>
        </w:rPr>
        <w:t>。</w:t>
      </w:r>
    </w:p>
    <w:p>
      <w:pPr>
        <w:pageBreakBefore w:val="0"/>
        <w:widowControl w:val="0"/>
        <w:kinsoku/>
        <w:wordWrap/>
        <w:overflowPunct/>
        <w:topLinePunct w:val="0"/>
        <w:autoSpaceDE/>
        <w:autoSpaceDN/>
        <w:bidi w:val="0"/>
        <w:adjustRightInd/>
        <w:snapToGrid/>
        <w:spacing w:line="240" w:lineRule="auto"/>
        <w:ind w:left="0" w:leftChars="0" w:right="0" w:firstLine="640" w:firstLineChars="200"/>
        <w:textAlignment w:val="auto"/>
        <w:rPr>
          <w:rFonts w:hint="default"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16.</w:t>
      </w:r>
      <w:r>
        <w:rPr>
          <w:rFonts w:hint="eastAsia" w:ascii="仿宋" w:hAnsi="仿宋" w:eastAsia="仿宋"/>
          <w:b/>
          <w:bCs/>
          <w:color w:val="auto"/>
          <w:sz w:val="32"/>
          <w:szCs w:val="32"/>
          <w:highlight w:val="none"/>
        </w:rPr>
        <w:t>住房保障支出</w:t>
      </w:r>
      <w:r>
        <w:rPr>
          <w:rStyle w:val="18"/>
          <w:rFonts w:hint="eastAsia" w:ascii="仿宋" w:hAnsi="仿宋" w:eastAsia="仿宋"/>
          <w:bCs/>
          <w:color w:val="auto"/>
          <w:sz w:val="32"/>
          <w:szCs w:val="32"/>
          <w:highlight w:val="none"/>
        </w:rPr>
        <w:t>（类）住房改革支出（款）住房公积金（项）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338.69</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，决算数</w:t>
      </w:r>
      <w:r>
        <w:rPr>
          <w:rStyle w:val="18"/>
          <w:rFonts w:hint="eastAsia" w:ascii="仿宋" w:hAnsi="仿宋" w:eastAsia="仿宋"/>
          <w:b w:val="0"/>
          <w:bCs/>
          <w:color w:val="auto"/>
          <w:sz w:val="32"/>
          <w:szCs w:val="32"/>
          <w:highlight w:val="none"/>
          <w:lang w:eastAsia="zh-CN"/>
        </w:rPr>
        <w:t>与</w:t>
      </w:r>
      <w:r>
        <w:rPr>
          <w:rStyle w:val="18"/>
          <w:rFonts w:hint="eastAsia" w:ascii="仿宋" w:hAnsi="仿宋" w:eastAsia="仿宋"/>
          <w:b w:val="0"/>
          <w:bCs/>
          <w:color w:val="auto"/>
          <w:sz w:val="32"/>
          <w:szCs w:val="32"/>
          <w:highlight w:val="none"/>
        </w:rPr>
        <w:t>预算数</w:t>
      </w:r>
      <w:r>
        <w:rPr>
          <w:rStyle w:val="18"/>
          <w:rFonts w:hint="eastAsia" w:ascii="仿宋" w:hAnsi="仿宋" w:eastAsia="仿宋"/>
          <w:b w:val="0"/>
          <w:bCs/>
          <w:color w:val="auto"/>
          <w:sz w:val="32"/>
          <w:szCs w:val="32"/>
          <w:highlight w:val="none"/>
          <w:lang w:eastAsia="zh-CN"/>
        </w:rPr>
        <w:t>持平</w:t>
      </w:r>
      <w:r>
        <w:rPr>
          <w:rStyle w:val="18"/>
          <w:rFonts w:hint="eastAsia" w:ascii="仿宋" w:hAnsi="仿宋" w:eastAsia="仿宋"/>
          <w:b w:val="0"/>
          <w:bCs/>
          <w:color w:val="auto"/>
          <w:sz w:val="32"/>
          <w:szCs w:val="32"/>
          <w:highlight w:val="none"/>
        </w:rPr>
        <w:t>。</w:t>
      </w:r>
    </w:p>
    <w:p>
      <w:pPr>
        <w:pageBreakBefore w:val="0"/>
        <w:kinsoku/>
        <w:wordWrap/>
        <w:overflowPunct/>
        <w:topLinePunct w:val="0"/>
        <w:bidi w:val="0"/>
        <w:spacing w:line="240" w:lineRule="auto"/>
        <w:ind w:left="0" w:leftChars="0" w:right="0" w:firstLine="643" w:firstLineChars="200"/>
        <w:textAlignment w:val="auto"/>
        <w:rPr>
          <w:rFonts w:ascii="仿宋" w:hAnsi="仿宋" w:eastAsia="仿宋"/>
          <w:b/>
          <w:color w:val="auto"/>
          <w:sz w:val="32"/>
          <w:szCs w:val="32"/>
          <w:highlight w:val="none"/>
        </w:rPr>
      </w:pPr>
      <w:r>
        <w:rPr>
          <w:rFonts w:hint="eastAsia" w:ascii="仿宋" w:hAnsi="仿宋" w:eastAsia="仿宋"/>
          <w:b/>
          <w:color w:val="auto"/>
          <w:sz w:val="32"/>
          <w:szCs w:val="32"/>
          <w:highlight w:val="none"/>
        </w:rPr>
        <w:t>（注：数据来源于财决</w:t>
      </w:r>
      <w:r>
        <w:rPr>
          <w:rFonts w:ascii="仿宋" w:hAnsi="仿宋" w:eastAsia="仿宋"/>
          <w:b/>
          <w:color w:val="auto"/>
          <w:sz w:val="32"/>
          <w:szCs w:val="32"/>
          <w:highlight w:val="none"/>
        </w:rPr>
        <w:t>0</w:t>
      </w:r>
      <w:r>
        <w:rPr>
          <w:rFonts w:hint="eastAsia" w:ascii="仿宋" w:hAnsi="仿宋" w:eastAsia="仿宋"/>
          <w:b/>
          <w:color w:val="auto"/>
          <w:sz w:val="32"/>
          <w:szCs w:val="32"/>
          <w:highlight w:val="none"/>
        </w:rPr>
        <w:t>1-1表</w:t>
      </w:r>
      <w:r>
        <w:rPr>
          <w:rFonts w:hint="eastAsia" w:ascii="仿宋" w:hAnsi="仿宋" w:eastAsia="仿宋"/>
          <w:b/>
          <w:color w:val="auto"/>
          <w:sz w:val="32"/>
          <w:szCs w:val="32"/>
          <w:highlight w:val="none"/>
          <w:lang w:eastAsia="zh-CN"/>
        </w:rPr>
        <w:t>和财决</w:t>
      </w:r>
      <w:r>
        <w:rPr>
          <w:rFonts w:hint="eastAsia" w:ascii="仿宋" w:hAnsi="仿宋" w:eastAsia="仿宋"/>
          <w:b/>
          <w:color w:val="auto"/>
          <w:sz w:val="32"/>
          <w:szCs w:val="32"/>
          <w:highlight w:val="none"/>
          <w:lang w:val="en-US" w:eastAsia="zh-CN"/>
        </w:rPr>
        <w:t>08表</w:t>
      </w:r>
      <w:r>
        <w:rPr>
          <w:rFonts w:hint="eastAsia" w:ascii="仿宋" w:hAnsi="仿宋" w:eastAsia="仿宋"/>
          <w:b/>
          <w:color w:val="auto"/>
          <w:sz w:val="32"/>
          <w:szCs w:val="32"/>
          <w:highlight w:val="none"/>
        </w:rPr>
        <w:t>，</w:t>
      </w:r>
      <w:r>
        <w:rPr>
          <w:rFonts w:hint="eastAsia" w:ascii="仿宋" w:hAnsi="仿宋" w:eastAsia="仿宋"/>
          <w:b/>
          <w:color w:val="auto"/>
          <w:sz w:val="32"/>
          <w:szCs w:val="32"/>
          <w:highlight w:val="none"/>
          <w:lang w:eastAsia="zh-CN"/>
        </w:rPr>
        <w:t>仅</w:t>
      </w:r>
      <w:r>
        <w:rPr>
          <w:rFonts w:hint="eastAsia" w:ascii="仿宋" w:hAnsi="仿宋" w:eastAsia="仿宋"/>
          <w:b/>
          <w:color w:val="auto"/>
          <w:sz w:val="32"/>
          <w:szCs w:val="32"/>
          <w:highlight w:val="none"/>
        </w:rPr>
        <w:t>罗列</w:t>
      </w:r>
      <w:r>
        <w:rPr>
          <w:rFonts w:hint="eastAsia" w:ascii="仿宋" w:hAnsi="仿宋" w:eastAsia="仿宋"/>
          <w:b/>
          <w:color w:val="auto"/>
          <w:sz w:val="32"/>
          <w:szCs w:val="32"/>
          <w:highlight w:val="none"/>
          <w:lang w:eastAsia="zh-CN"/>
        </w:rPr>
        <w:t>本部门涉及的</w:t>
      </w:r>
      <w:r>
        <w:rPr>
          <w:rFonts w:hint="eastAsia" w:ascii="仿宋" w:hAnsi="仿宋" w:eastAsia="仿宋"/>
          <w:b/>
          <w:color w:val="auto"/>
          <w:sz w:val="32"/>
          <w:szCs w:val="32"/>
          <w:highlight w:val="none"/>
        </w:rPr>
        <w:t>全部功能分类科目</w:t>
      </w:r>
      <w:r>
        <w:rPr>
          <w:rFonts w:hint="eastAsia" w:ascii="仿宋" w:hAnsi="仿宋" w:eastAsia="仿宋"/>
          <w:b/>
          <w:color w:val="auto"/>
          <w:sz w:val="32"/>
          <w:szCs w:val="32"/>
          <w:highlight w:val="none"/>
          <w:lang w:eastAsia="zh-CN"/>
        </w:rPr>
        <w:t>，</w:t>
      </w:r>
      <w:r>
        <w:rPr>
          <w:rFonts w:hint="eastAsia" w:ascii="仿宋" w:hAnsi="仿宋" w:eastAsia="仿宋"/>
          <w:b/>
          <w:color w:val="auto"/>
          <w:sz w:val="32"/>
          <w:szCs w:val="32"/>
          <w:highlight w:val="none"/>
        </w:rPr>
        <w:t>至项级。上述“预算”口径为</w:t>
      </w:r>
      <w:r>
        <w:rPr>
          <w:rFonts w:hint="eastAsia" w:ascii="仿宋" w:hAnsi="仿宋" w:eastAsia="仿宋"/>
          <w:b/>
          <w:color w:val="auto"/>
          <w:sz w:val="32"/>
          <w:szCs w:val="32"/>
          <w:highlight w:val="none"/>
          <w:lang w:eastAsia="zh-CN"/>
        </w:rPr>
        <w:t>全年预算</w:t>
      </w:r>
      <w:r>
        <w:rPr>
          <w:rFonts w:hint="eastAsia" w:ascii="仿宋" w:hAnsi="仿宋" w:eastAsia="仿宋"/>
          <w:b/>
          <w:color w:val="auto"/>
          <w:sz w:val="32"/>
          <w:szCs w:val="32"/>
          <w:highlight w:val="none"/>
        </w:rPr>
        <w:t>数。增减变动原因为决算数</w:t>
      </w:r>
      <w:r>
        <w:rPr>
          <w:rFonts w:ascii="仿宋" w:hAnsi="仿宋" w:eastAsia="仿宋"/>
          <w:b/>
          <w:color w:val="auto"/>
          <w:sz w:val="32"/>
          <w:szCs w:val="32"/>
          <w:highlight w:val="none"/>
        </w:rPr>
        <w:t>&lt;</w:t>
      </w:r>
      <w:r>
        <w:rPr>
          <w:rFonts w:hint="eastAsia" w:ascii="仿宋" w:hAnsi="仿宋" w:eastAsia="仿宋"/>
          <w:b/>
          <w:color w:val="auto"/>
          <w:sz w:val="32"/>
          <w:szCs w:val="32"/>
          <w:highlight w:val="none"/>
        </w:rPr>
        <w:t>项级</w:t>
      </w:r>
      <w:r>
        <w:rPr>
          <w:rFonts w:ascii="仿宋" w:hAnsi="仿宋" w:eastAsia="仿宋"/>
          <w:b/>
          <w:color w:val="auto"/>
          <w:sz w:val="32"/>
          <w:szCs w:val="32"/>
          <w:highlight w:val="none"/>
        </w:rPr>
        <w:t>&gt;</w:t>
      </w:r>
      <w:r>
        <w:rPr>
          <w:rFonts w:hint="eastAsia" w:ascii="仿宋" w:hAnsi="仿宋" w:eastAsia="仿宋"/>
          <w:b/>
          <w:color w:val="auto"/>
          <w:sz w:val="32"/>
          <w:szCs w:val="32"/>
          <w:highlight w:val="none"/>
        </w:rPr>
        <w:t>和</w:t>
      </w:r>
      <w:r>
        <w:rPr>
          <w:rFonts w:hint="eastAsia" w:ascii="仿宋" w:hAnsi="仿宋" w:eastAsia="仿宋"/>
          <w:b/>
          <w:color w:val="auto"/>
          <w:sz w:val="32"/>
          <w:szCs w:val="32"/>
          <w:highlight w:val="none"/>
          <w:lang w:eastAsia="zh-CN"/>
        </w:rPr>
        <w:t>全年预算</w:t>
      </w:r>
      <w:r>
        <w:rPr>
          <w:rFonts w:hint="eastAsia" w:ascii="仿宋" w:hAnsi="仿宋" w:eastAsia="仿宋"/>
          <w:b/>
          <w:color w:val="auto"/>
          <w:sz w:val="32"/>
          <w:szCs w:val="32"/>
          <w:highlight w:val="none"/>
        </w:rPr>
        <w:t>数</w:t>
      </w:r>
      <w:r>
        <w:rPr>
          <w:rFonts w:ascii="仿宋" w:hAnsi="仿宋" w:eastAsia="仿宋"/>
          <w:b/>
          <w:color w:val="auto"/>
          <w:sz w:val="32"/>
          <w:szCs w:val="32"/>
          <w:highlight w:val="none"/>
        </w:rPr>
        <w:t>&lt;</w:t>
      </w:r>
      <w:r>
        <w:rPr>
          <w:rFonts w:hint="eastAsia" w:ascii="仿宋" w:hAnsi="仿宋" w:eastAsia="仿宋"/>
          <w:b/>
          <w:color w:val="auto"/>
          <w:sz w:val="32"/>
          <w:szCs w:val="32"/>
          <w:highlight w:val="none"/>
        </w:rPr>
        <w:t>项级</w:t>
      </w:r>
      <w:r>
        <w:rPr>
          <w:rFonts w:ascii="仿宋" w:hAnsi="仿宋" w:eastAsia="仿宋"/>
          <w:b/>
          <w:color w:val="auto"/>
          <w:sz w:val="32"/>
          <w:szCs w:val="32"/>
          <w:highlight w:val="none"/>
        </w:rPr>
        <w:t>&gt;</w:t>
      </w:r>
      <w:r>
        <w:rPr>
          <w:rFonts w:hint="eastAsia" w:ascii="仿宋" w:hAnsi="仿宋" w:eastAsia="仿宋"/>
          <w:b/>
          <w:color w:val="auto"/>
          <w:sz w:val="32"/>
          <w:szCs w:val="32"/>
          <w:highlight w:val="none"/>
        </w:rPr>
        <w:t>比较，与预算数持平可以不写原因。）</w:t>
      </w:r>
    </w:p>
    <w:p>
      <w:pPr>
        <w:pageBreakBefore w:val="0"/>
        <w:tabs>
          <w:tab w:val="right" w:pos="8306"/>
        </w:tabs>
        <w:kinsoku/>
        <w:wordWrap/>
        <w:overflowPunct/>
        <w:topLinePunct w:val="0"/>
        <w:bidi w:val="0"/>
        <w:spacing w:line="240" w:lineRule="auto"/>
        <w:ind w:left="0" w:leftChars="0" w:right="0" w:firstLine="640"/>
        <w:textAlignment w:val="auto"/>
        <w:outlineLvl w:val="1"/>
        <w:rPr>
          <w:rStyle w:val="30"/>
          <w:color w:val="auto"/>
          <w:highlight w:val="none"/>
        </w:rPr>
      </w:pPr>
      <w:bookmarkStart w:id="40" w:name="_Toc15396608"/>
      <w:bookmarkStart w:id="41"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30"/>
          <w:rFonts w:hint="eastAsia" w:ascii="黑体" w:hAnsi="黑体" w:eastAsia="黑体"/>
          <w:b w:val="0"/>
          <w:color w:val="auto"/>
          <w:highlight w:val="none"/>
        </w:rPr>
        <w:t>般公共预算财政拨款基本支出决算情况说明</w:t>
      </w:r>
      <w:bookmarkEnd w:id="40"/>
      <w:bookmarkEnd w:id="41"/>
      <w:r>
        <w:rPr>
          <w:rStyle w:val="30"/>
          <w:rFonts w:ascii="黑体" w:hAnsi="黑体" w:eastAsia="黑体"/>
          <w:b w:val="0"/>
          <w:color w:val="auto"/>
          <w:highlight w:val="none"/>
        </w:rPr>
        <w:tab/>
      </w:r>
    </w:p>
    <w:p>
      <w:pPr>
        <w:pageBreakBefore w:val="0"/>
        <w:kinsoku/>
        <w:wordWrap/>
        <w:overflowPunct/>
        <w:topLinePunct w:val="0"/>
        <w:bidi w:val="0"/>
        <w:spacing w:line="240" w:lineRule="auto"/>
        <w:ind w:left="0" w:firstLine="640"/>
        <w:jc w:val="both"/>
        <w:textAlignment w:val="auto"/>
        <w:rPr>
          <w:rFonts w:hint="eastAsia" w:ascii="仿宋_GB2312" w:hAnsi="仿宋_GB2312" w:eastAsia="仿宋_GB2312"/>
          <w:color w:val="auto"/>
          <w:kern w:val="2"/>
          <w:sz w:val="32"/>
          <w:lang w:val="zh-CN"/>
        </w:rPr>
      </w:pPr>
      <w:r>
        <w:rPr>
          <w:rFonts w:hint="eastAsia" w:ascii="仿宋_GB2312" w:hAnsi="仿宋_GB2312" w:eastAsia="仿宋_GB2312"/>
          <w:color w:val="auto"/>
          <w:kern w:val="2"/>
          <w:sz w:val="32"/>
          <w:lang w:val="zh-CN"/>
        </w:rPr>
        <w:t>2022年一般公共预算财政拨款基本支出6543.82万元，其中：</w:t>
      </w:r>
    </w:p>
    <w:p>
      <w:pPr>
        <w:pageBreakBefore w:val="0"/>
        <w:kinsoku/>
        <w:wordWrap/>
        <w:overflowPunct/>
        <w:topLinePunct w:val="0"/>
        <w:bidi w:val="0"/>
        <w:spacing w:line="240" w:lineRule="auto"/>
        <w:ind w:left="0" w:firstLine="643"/>
        <w:jc w:val="both"/>
        <w:textAlignment w:val="auto"/>
        <w:rPr>
          <w:rFonts w:hint="eastAsia" w:ascii="仿宋_GB2312" w:hAnsi="仿宋_GB2312" w:eastAsia="仿宋_GB2312"/>
          <w:color w:val="auto"/>
          <w:kern w:val="2"/>
          <w:sz w:val="32"/>
          <w:lang w:val="zh-CN"/>
        </w:rPr>
      </w:pPr>
      <w:r>
        <w:rPr>
          <w:rFonts w:hint="eastAsia" w:ascii="仿宋_GB2312" w:hAnsi="仿宋_GB2312" w:eastAsia="仿宋_GB2312"/>
          <w:b/>
          <w:color w:val="auto"/>
          <w:kern w:val="2"/>
          <w:sz w:val="32"/>
          <w:lang w:val="zh-CN"/>
        </w:rPr>
        <w:t>人员经费</w:t>
      </w:r>
      <w:r>
        <w:rPr>
          <w:rFonts w:hint="eastAsia" w:ascii="仿宋_GB2312" w:hAnsi="仿宋_GB2312" w:eastAsia="仿宋_GB2312"/>
          <w:color w:val="auto"/>
          <w:kern w:val="2"/>
          <w:sz w:val="32"/>
          <w:lang w:val="zh-CN"/>
        </w:rPr>
        <w:t>3573.24万元，主要包括：</w:t>
      </w:r>
      <w:r>
        <w:rPr>
          <w:rFonts w:hint="eastAsia" w:ascii="仿宋" w:hAnsi="仿宋" w:eastAsia="仿宋"/>
          <w:color w:val="auto"/>
          <w:kern w:val="2"/>
          <w:sz w:val="32"/>
          <w:lang w:val="en-US"/>
        </w:rPr>
        <w:t>基本工资、津贴补贴、奖金、机关事业单位基本养老保险缴费、职业年金缴费、职工基本医疗保险缴费、公务员医疗补助缴费、其他社会保障缴费、住房公积金、其他工资福利支出、对个人和家庭的补助等</w:t>
      </w:r>
      <w:r>
        <w:rPr>
          <w:rFonts w:hint="eastAsia" w:ascii="仿宋_GB2312" w:hAnsi="仿宋_GB2312" w:eastAsia="仿宋_GB2312"/>
          <w:color w:val="auto"/>
          <w:kern w:val="2"/>
          <w:sz w:val="32"/>
          <w:lang w:val="zh-CN"/>
        </w:rPr>
        <w:t>。</w:t>
      </w:r>
    </w:p>
    <w:p>
      <w:pPr>
        <w:pageBreakBefore w:val="0"/>
        <w:kinsoku/>
        <w:wordWrap/>
        <w:overflowPunct/>
        <w:topLinePunct w:val="0"/>
        <w:bidi w:val="0"/>
        <w:spacing w:line="240" w:lineRule="auto"/>
        <w:ind w:left="0" w:firstLine="643"/>
        <w:jc w:val="both"/>
        <w:textAlignment w:val="auto"/>
        <w:rPr>
          <w:rFonts w:hint="eastAsia" w:ascii="仿宋_GB2312" w:hAnsi="仿宋_GB2312" w:eastAsia="仿宋_GB2312"/>
          <w:color w:val="auto"/>
          <w:kern w:val="2"/>
          <w:sz w:val="32"/>
          <w:lang w:val="zh-CN"/>
        </w:rPr>
      </w:pPr>
      <w:r>
        <w:rPr>
          <w:rFonts w:hint="eastAsia" w:ascii="仿宋_GB2312" w:hAnsi="仿宋_GB2312" w:eastAsia="仿宋_GB2312"/>
          <w:b/>
          <w:color w:val="auto"/>
          <w:kern w:val="2"/>
          <w:sz w:val="32"/>
          <w:lang w:val="zh-CN"/>
        </w:rPr>
        <w:t>公用经费</w:t>
      </w:r>
      <w:r>
        <w:rPr>
          <w:rFonts w:hint="eastAsia" w:ascii="仿宋_GB2312" w:hAnsi="仿宋_GB2312" w:eastAsia="仿宋_GB2312"/>
          <w:color w:val="auto"/>
          <w:kern w:val="2"/>
          <w:sz w:val="32"/>
          <w:lang w:val="zh-CN"/>
        </w:rPr>
        <w:t>2970.58万元，主要包括：</w:t>
      </w:r>
      <w:r>
        <w:rPr>
          <w:rFonts w:hint="eastAsia" w:ascii="仿宋" w:hAnsi="仿宋" w:eastAsia="仿宋"/>
          <w:color w:val="auto"/>
          <w:kern w:val="2"/>
          <w:sz w:val="32"/>
          <w:lang w:val="en-US"/>
        </w:rPr>
        <w:t>办公费、印刷费、水费、电费、邮电费、差旅费、维修（护）费、会议费、培训费、劳务费、工会经费、福利费、公务用车运行维护费、其他交通费用、其他商品和服务支出等</w:t>
      </w:r>
      <w:r>
        <w:rPr>
          <w:rFonts w:hint="eastAsia" w:ascii="仿宋_GB2312" w:hAnsi="仿宋_GB2312" w:eastAsia="仿宋_GB2312"/>
          <w:color w:val="auto"/>
          <w:kern w:val="2"/>
          <w:sz w:val="32"/>
          <w:lang w:val="zh-CN"/>
        </w:rPr>
        <w:t>。</w:t>
      </w:r>
    </w:p>
    <w:p>
      <w:pPr>
        <w:pageBreakBefore w:val="0"/>
        <w:kinsoku/>
        <w:wordWrap/>
        <w:overflowPunct/>
        <w:topLinePunct w:val="0"/>
        <w:bidi w:val="0"/>
        <w:spacing w:line="240" w:lineRule="auto"/>
        <w:ind w:left="0" w:leftChars="0" w:right="0" w:firstLine="645"/>
        <w:textAlignment w:val="auto"/>
        <w:rPr>
          <w:rFonts w:ascii="仿宋" w:hAnsi="仿宋" w:eastAsia="仿宋"/>
          <w:b/>
          <w:color w:val="auto"/>
          <w:sz w:val="32"/>
          <w:szCs w:val="32"/>
          <w:highlight w:val="none"/>
        </w:rPr>
      </w:pPr>
      <w:r>
        <w:rPr>
          <w:rFonts w:hint="eastAsia" w:ascii="仿宋" w:hAnsi="仿宋" w:eastAsia="仿宋"/>
          <w:b/>
          <w:color w:val="auto"/>
          <w:sz w:val="32"/>
          <w:szCs w:val="32"/>
          <w:highlight w:val="none"/>
        </w:rPr>
        <w:t>（注：数据来源于财决</w:t>
      </w:r>
      <w:r>
        <w:rPr>
          <w:rFonts w:ascii="仿宋" w:hAnsi="仿宋" w:eastAsia="仿宋"/>
          <w:b/>
          <w:color w:val="auto"/>
          <w:sz w:val="32"/>
          <w:szCs w:val="32"/>
          <w:highlight w:val="none"/>
        </w:rPr>
        <w:t>0</w:t>
      </w:r>
      <w:r>
        <w:rPr>
          <w:rFonts w:hint="eastAsia" w:ascii="仿宋" w:hAnsi="仿宋" w:eastAsia="仿宋"/>
          <w:b/>
          <w:color w:val="auto"/>
          <w:sz w:val="32"/>
          <w:szCs w:val="32"/>
          <w:highlight w:val="none"/>
        </w:rPr>
        <w:t>7表</w:t>
      </w:r>
      <w:r>
        <w:rPr>
          <w:rFonts w:hint="eastAsia" w:ascii="仿宋" w:hAnsi="仿宋" w:eastAsia="仿宋"/>
          <w:b/>
          <w:color w:val="auto"/>
          <w:sz w:val="32"/>
          <w:szCs w:val="32"/>
          <w:highlight w:val="none"/>
          <w:lang w:eastAsia="zh-CN"/>
        </w:rPr>
        <w:t>和财决</w:t>
      </w:r>
      <w:r>
        <w:rPr>
          <w:rFonts w:hint="eastAsia" w:ascii="仿宋" w:hAnsi="仿宋" w:eastAsia="仿宋"/>
          <w:b/>
          <w:color w:val="auto"/>
          <w:sz w:val="32"/>
          <w:szCs w:val="32"/>
          <w:highlight w:val="none"/>
          <w:lang w:val="en-US" w:eastAsia="zh-CN"/>
        </w:rPr>
        <w:t>08-1表</w:t>
      </w:r>
      <w:r>
        <w:rPr>
          <w:rFonts w:hint="eastAsia" w:ascii="仿宋" w:hAnsi="仿宋" w:eastAsia="仿宋"/>
          <w:b/>
          <w:color w:val="auto"/>
          <w:sz w:val="32"/>
          <w:szCs w:val="32"/>
          <w:highlight w:val="none"/>
        </w:rPr>
        <w:t>，</w:t>
      </w:r>
      <w:r>
        <w:rPr>
          <w:rFonts w:hint="eastAsia" w:ascii="仿宋" w:hAnsi="仿宋" w:eastAsia="仿宋"/>
          <w:b/>
          <w:color w:val="auto"/>
          <w:sz w:val="32"/>
          <w:szCs w:val="32"/>
          <w:highlight w:val="none"/>
          <w:lang w:eastAsia="zh-CN"/>
        </w:rPr>
        <w:t>仅罗列</w:t>
      </w:r>
      <w:r>
        <w:rPr>
          <w:rFonts w:hint="eastAsia" w:ascii="仿宋" w:hAnsi="仿宋" w:eastAsia="仿宋"/>
          <w:b/>
          <w:color w:val="auto"/>
          <w:sz w:val="32"/>
          <w:szCs w:val="32"/>
          <w:highlight w:val="none"/>
        </w:rPr>
        <w:t>本部门实际支出</w:t>
      </w:r>
      <w:r>
        <w:rPr>
          <w:rFonts w:hint="eastAsia" w:ascii="仿宋" w:hAnsi="仿宋" w:eastAsia="仿宋"/>
          <w:b/>
          <w:color w:val="auto"/>
          <w:sz w:val="32"/>
          <w:szCs w:val="32"/>
          <w:highlight w:val="none"/>
          <w:lang w:eastAsia="zh-CN"/>
        </w:rPr>
        <w:t>涉及的</w:t>
      </w:r>
      <w:r>
        <w:rPr>
          <w:rFonts w:hint="eastAsia" w:ascii="仿宋" w:hAnsi="仿宋" w:eastAsia="仿宋"/>
          <w:b/>
          <w:color w:val="auto"/>
          <w:sz w:val="32"/>
          <w:szCs w:val="32"/>
          <w:highlight w:val="none"/>
        </w:rPr>
        <w:t>经济分类科目。）</w:t>
      </w:r>
    </w:p>
    <w:p>
      <w:pPr>
        <w:pageBreakBefore w:val="0"/>
        <w:kinsoku/>
        <w:wordWrap/>
        <w:overflowPunct/>
        <w:topLinePunct w:val="0"/>
        <w:bidi w:val="0"/>
        <w:spacing w:line="240" w:lineRule="auto"/>
        <w:ind w:left="0" w:leftChars="0" w:right="0" w:firstLine="640"/>
        <w:textAlignment w:val="auto"/>
        <w:outlineLvl w:val="1"/>
        <w:rPr>
          <w:rStyle w:val="30"/>
          <w:rFonts w:ascii="黑体" w:hAnsi="黑体" w:eastAsia="黑体"/>
          <w:b w:val="0"/>
          <w:color w:val="auto"/>
          <w:highlight w:val="none"/>
        </w:rPr>
      </w:pPr>
      <w:bookmarkStart w:id="42" w:name="_Toc15377215"/>
      <w:bookmarkStart w:id="43" w:name="_Toc15396609"/>
      <w:r>
        <w:rPr>
          <w:rFonts w:hint="eastAsia" w:ascii="黑体" w:eastAsia="黑体"/>
          <w:color w:val="auto"/>
          <w:sz w:val="32"/>
          <w:szCs w:val="32"/>
          <w:highlight w:val="none"/>
        </w:rPr>
        <w:t>七、</w:t>
      </w:r>
      <w:r>
        <w:rPr>
          <w:rStyle w:val="30"/>
          <w:rFonts w:hint="eastAsia" w:ascii="黑体" w:hAnsi="黑体" w:eastAsia="黑体"/>
          <w:b w:val="0"/>
          <w:color w:val="auto"/>
          <w:highlight w:val="none"/>
        </w:rPr>
        <w:t>财政拨款</w:t>
      </w:r>
      <w:r>
        <w:rPr>
          <w:rStyle w:val="30"/>
          <w:rFonts w:hint="eastAsia" w:ascii="黑体" w:hAnsi="黑体" w:eastAsia="黑体"/>
          <w:color w:val="auto"/>
          <w:highlight w:val="none"/>
        </w:rPr>
        <w:t>“</w:t>
      </w:r>
      <w:r>
        <w:rPr>
          <w:rStyle w:val="30"/>
          <w:rFonts w:hint="eastAsia" w:ascii="黑体" w:hAnsi="黑体" w:eastAsia="黑体"/>
          <w:b w:val="0"/>
          <w:color w:val="auto"/>
          <w:highlight w:val="none"/>
        </w:rPr>
        <w:t>三公”经费支出决算情况说明</w:t>
      </w:r>
      <w:bookmarkEnd w:id="42"/>
      <w:bookmarkEnd w:id="43"/>
    </w:p>
    <w:p>
      <w:pPr>
        <w:pageBreakBefore w:val="0"/>
        <w:kinsoku/>
        <w:wordWrap/>
        <w:overflowPunct/>
        <w:topLinePunct w:val="0"/>
        <w:bidi w:val="0"/>
        <w:spacing w:line="240" w:lineRule="auto"/>
        <w:ind w:left="0" w:leftChars="0" w:right="0" w:firstLine="640"/>
        <w:textAlignment w:val="auto"/>
        <w:outlineLvl w:val="2"/>
        <w:rPr>
          <w:rFonts w:ascii="仿宋" w:hAnsi="仿宋" w:eastAsia="仿宋"/>
          <w:b/>
          <w:color w:val="auto"/>
          <w:sz w:val="32"/>
          <w:szCs w:val="32"/>
          <w:highlight w:val="none"/>
        </w:rPr>
      </w:pPr>
      <w:bookmarkStart w:id="44" w:name="_Toc15377216"/>
      <w:r>
        <w:rPr>
          <w:rFonts w:hint="eastAsia" w:ascii="仿宋" w:hAnsi="仿宋" w:eastAsia="仿宋"/>
          <w:b/>
          <w:color w:val="auto"/>
          <w:sz w:val="32"/>
          <w:szCs w:val="32"/>
          <w:highlight w:val="none"/>
        </w:rPr>
        <w:t>（一）“三公”经费财政拨款支出决算总体情况说明</w:t>
      </w:r>
      <w:bookmarkEnd w:id="44"/>
    </w:p>
    <w:p>
      <w:pPr>
        <w:pageBreakBefore w:val="0"/>
        <w:kinsoku/>
        <w:wordWrap/>
        <w:overflowPunct/>
        <w:topLinePunct w:val="0"/>
        <w:bidi w:val="0"/>
        <w:spacing w:line="240" w:lineRule="auto"/>
        <w:ind w:left="0" w:leftChars="0" w:right="0" w:firstLine="640"/>
        <w:textAlignment w:val="auto"/>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90</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较上年持平，</w:t>
      </w:r>
      <w:r>
        <w:rPr>
          <w:rFonts w:hint="eastAsia" w:ascii="仿宋" w:hAnsi="仿宋" w:eastAsia="仿宋"/>
          <w:color w:val="auto"/>
          <w:sz w:val="32"/>
          <w:szCs w:val="32"/>
          <w:highlight w:val="none"/>
        </w:rPr>
        <w:t>完成预算</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rPr>
        <w:t>决算数与预算数持平。</w:t>
      </w:r>
    </w:p>
    <w:p>
      <w:pPr>
        <w:pageBreakBefore w:val="0"/>
        <w:kinsoku/>
        <w:wordWrap/>
        <w:overflowPunct/>
        <w:topLinePunct w:val="0"/>
        <w:bidi w:val="0"/>
        <w:spacing w:line="240" w:lineRule="auto"/>
        <w:ind w:left="0" w:leftChars="0" w:right="0" w:firstLine="640"/>
        <w:textAlignment w:val="auto"/>
        <w:rPr>
          <w:rFonts w:ascii="仿宋" w:hAnsi="仿宋" w:eastAsia="仿宋"/>
          <w:b/>
          <w:color w:val="auto"/>
          <w:sz w:val="32"/>
          <w:szCs w:val="32"/>
          <w:highlight w:val="none"/>
        </w:rPr>
      </w:pPr>
      <w:r>
        <w:rPr>
          <w:rFonts w:hint="eastAsia" w:ascii="仿宋" w:hAnsi="仿宋" w:eastAsia="仿宋"/>
          <w:b/>
          <w:color w:val="auto"/>
          <w:sz w:val="32"/>
          <w:szCs w:val="32"/>
          <w:highlight w:val="none"/>
        </w:rPr>
        <w:t>（注：上述“预算”口径为</w:t>
      </w:r>
      <w:r>
        <w:rPr>
          <w:rFonts w:hint="eastAsia" w:ascii="仿宋" w:hAnsi="仿宋" w:eastAsia="仿宋"/>
          <w:b/>
          <w:color w:val="auto"/>
          <w:sz w:val="32"/>
          <w:szCs w:val="32"/>
          <w:highlight w:val="none"/>
          <w:lang w:eastAsia="zh-CN"/>
        </w:rPr>
        <w:t>全年预算</w:t>
      </w:r>
      <w:r>
        <w:rPr>
          <w:rFonts w:hint="eastAsia" w:ascii="仿宋" w:hAnsi="仿宋" w:eastAsia="仿宋"/>
          <w:b/>
          <w:color w:val="auto"/>
          <w:sz w:val="32"/>
          <w:szCs w:val="32"/>
          <w:highlight w:val="none"/>
        </w:rPr>
        <w:t>数，包括</w:t>
      </w:r>
      <w:r>
        <w:rPr>
          <w:rFonts w:hint="eastAsia" w:ascii="仿宋" w:hAnsi="仿宋" w:eastAsia="仿宋"/>
          <w:b/>
          <w:color w:val="auto"/>
          <w:sz w:val="32"/>
          <w:szCs w:val="32"/>
          <w:highlight w:val="none"/>
          <w:lang w:eastAsia="zh-CN"/>
        </w:rPr>
        <w:t>一般公共预算和</w:t>
      </w:r>
      <w:r>
        <w:rPr>
          <w:rFonts w:hint="eastAsia" w:ascii="仿宋" w:hAnsi="仿宋" w:eastAsia="仿宋"/>
          <w:b/>
          <w:color w:val="auto"/>
          <w:sz w:val="32"/>
          <w:szCs w:val="32"/>
          <w:highlight w:val="none"/>
        </w:rPr>
        <w:t>政府性基金</w:t>
      </w:r>
      <w:r>
        <w:rPr>
          <w:rFonts w:hint="eastAsia" w:ascii="仿宋" w:hAnsi="仿宋" w:eastAsia="仿宋"/>
          <w:b/>
          <w:color w:val="auto"/>
          <w:sz w:val="32"/>
          <w:szCs w:val="32"/>
          <w:highlight w:val="none"/>
          <w:lang w:eastAsia="zh-CN"/>
        </w:rPr>
        <w:t>预算财政拨款</w:t>
      </w:r>
      <w:r>
        <w:rPr>
          <w:rFonts w:hint="eastAsia" w:ascii="仿宋" w:hAnsi="仿宋" w:eastAsia="仿宋"/>
          <w:b/>
          <w:color w:val="auto"/>
          <w:sz w:val="32"/>
          <w:szCs w:val="32"/>
          <w:highlight w:val="none"/>
        </w:rPr>
        <w:t>支出决算情况。）</w:t>
      </w:r>
    </w:p>
    <w:p>
      <w:pPr>
        <w:pageBreakBefore w:val="0"/>
        <w:kinsoku/>
        <w:wordWrap/>
        <w:overflowPunct/>
        <w:topLinePunct w:val="0"/>
        <w:bidi w:val="0"/>
        <w:spacing w:line="240" w:lineRule="auto"/>
        <w:ind w:left="0" w:leftChars="0" w:right="0" w:firstLine="640"/>
        <w:textAlignment w:val="auto"/>
        <w:outlineLvl w:val="2"/>
        <w:rPr>
          <w:rFonts w:ascii="仿宋" w:hAnsi="仿宋" w:eastAsia="仿宋"/>
          <w:b/>
          <w:color w:val="auto"/>
          <w:sz w:val="32"/>
          <w:szCs w:val="32"/>
          <w:highlight w:val="none"/>
        </w:rPr>
      </w:pPr>
      <w:bookmarkStart w:id="45" w:name="_Toc15377217"/>
      <w:r>
        <w:rPr>
          <w:rFonts w:hint="eastAsia" w:ascii="仿宋" w:hAnsi="仿宋" w:eastAsia="仿宋"/>
          <w:b/>
          <w:color w:val="auto"/>
          <w:sz w:val="32"/>
          <w:szCs w:val="32"/>
          <w:highlight w:val="none"/>
        </w:rPr>
        <w:t>（二）“三公”经费财政拨款支出决算具体情况说明</w:t>
      </w:r>
      <w:bookmarkEnd w:id="45"/>
    </w:p>
    <w:p>
      <w:pPr>
        <w:pageBreakBefore w:val="0"/>
        <w:kinsoku/>
        <w:wordWrap/>
        <w:overflowPunct/>
        <w:topLinePunct w:val="0"/>
        <w:bidi w:val="0"/>
        <w:spacing w:line="240" w:lineRule="auto"/>
        <w:ind w:left="0" w:leftChars="0" w:right="0" w:firstLine="640"/>
        <w:textAlignment w:val="auto"/>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90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pStyle w:val="2"/>
        <w:pageBreakBefore w:val="0"/>
        <w:kinsoku/>
        <w:wordWrap/>
        <w:overflowPunct/>
        <w:topLinePunct w:val="0"/>
        <w:bidi w:val="0"/>
        <w:spacing w:beforeLines="0" w:line="240" w:lineRule="auto"/>
        <w:ind w:left="0"/>
        <w:textAlignment w:val="auto"/>
        <w:rPr>
          <w:rFonts w:hint="eastAsia" w:eastAsia="仿宋"/>
          <w:color w:val="auto"/>
          <w:lang w:eastAsia="zh-CN"/>
        </w:rPr>
      </w:pPr>
      <w:r>
        <w:rPr>
          <w:rFonts w:hint="eastAsia" w:eastAsia="仿宋"/>
          <w:color w:val="auto"/>
          <w:lang w:eastAsia="zh-CN"/>
        </w:rPr>
        <w:drawing>
          <wp:anchor distT="0" distB="0" distL="114300" distR="114300" simplePos="0" relativeHeight="251665408" behindDoc="0" locked="0" layoutInCell="1" allowOverlap="1">
            <wp:simplePos x="0" y="0"/>
            <wp:positionH relativeFrom="column">
              <wp:posOffset>119380</wp:posOffset>
            </wp:positionH>
            <wp:positionV relativeFrom="paragraph">
              <wp:posOffset>29210</wp:posOffset>
            </wp:positionV>
            <wp:extent cx="2638425" cy="1751965"/>
            <wp:effectExtent l="0" t="0" r="9525" b="635"/>
            <wp:wrapSquare wrapText="bothSides"/>
            <wp:docPr id="11" name="图片 11" descr="图片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7"/>
                    <pic:cNvPicPr>
                      <a:picLocks noChangeAspect="1"/>
                    </pic:cNvPicPr>
                  </pic:nvPicPr>
                  <pic:blipFill>
                    <a:blip r:embed="rId12"/>
                    <a:stretch>
                      <a:fillRect/>
                    </a:stretch>
                  </pic:blipFill>
                  <pic:spPr>
                    <a:xfrm>
                      <a:off x="0" y="0"/>
                      <a:ext cx="2638425" cy="1751965"/>
                    </a:xfrm>
                    <a:prstGeom prst="rect">
                      <a:avLst/>
                    </a:prstGeom>
                  </pic:spPr>
                </pic:pic>
              </a:graphicData>
            </a:graphic>
          </wp:anchor>
        </w:drawing>
      </w:r>
    </w:p>
    <w:p>
      <w:pPr>
        <w:pageBreakBefore w:val="0"/>
        <w:kinsoku/>
        <w:wordWrap/>
        <w:overflowPunct/>
        <w:topLinePunct w:val="0"/>
        <w:bidi w:val="0"/>
        <w:spacing w:line="240" w:lineRule="auto"/>
        <w:ind w:left="0" w:right="0"/>
        <w:textAlignment w:val="auto"/>
        <w:rPr>
          <w:rFonts w:hint="eastAsia" w:ascii="仿宋" w:hAnsi="仿宋" w:eastAsia="仿宋"/>
          <w:color w:val="auto"/>
          <w:sz w:val="32"/>
          <w:szCs w:val="32"/>
          <w:highlight w:val="none"/>
        </w:rPr>
      </w:pPr>
    </w:p>
    <w:p>
      <w:pPr>
        <w:pageBreakBefore w:val="0"/>
        <w:kinsoku/>
        <w:wordWrap/>
        <w:overflowPunct/>
        <w:topLinePunct w:val="0"/>
        <w:bidi w:val="0"/>
        <w:spacing w:line="240" w:lineRule="auto"/>
        <w:ind w:left="0" w:right="0"/>
        <w:textAlignment w:val="auto"/>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（图7：“三公”经费财政拨款支出结构）（饼状图）</w:t>
      </w:r>
    </w:p>
    <w:p>
      <w:pPr>
        <w:pageBreakBefore w:val="0"/>
        <w:kinsoku/>
        <w:wordWrap/>
        <w:overflowPunct/>
        <w:topLinePunct w:val="0"/>
        <w:bidi w:val="0"/>
        <w:spacing w:line="240" w:lineRule="auto"/>
        <w:ind w:left="0" w:leftChars="0" w:right="0" w:firstLine="640"/>
        <w:textAlignment w:val="auto"/>
        <w:rPr>
          <w:rFonts w:ascii="仿宋_GB2312" w:eastAsia="仿宋_GB2312"/>
          <w:b/>
          <w:color w:val="auto"/>
          <w:sz w:val="32"/>
          <w:szCs w:val="32"/>
          <w:highlight w:val="none"/>
        </w:rPr>
      </w:pPr>
    </w:p>
    <w:p>
      <w:pPr>
        <w:pStyle w:val="2"/>
        <w:pageBreakBefore w:val="0"/>
        <w:kinsoku/>
        <w:wordWrap/>
        <w:overflowPunct/>
        <w:topLinePunct w:val="0"/>
        <w:bidi w:val="0"/>
        <w:spacing w:beforeLines="0" w:line="240" w:lineRule="auto"/>
        <w:ind w:left="0" w:leftChars="0" w:firstLine="643" w:firstLineChars="200"/>
        <w:textAlignment w:val="auto"/>
        <w:rPr>
          <w:color w:val="auto"/>
        </w:rPr>
      </w:pPr>
      <w:r>
        <w:rPr>
          <w:rFonts w:hint="eastAsia"/>
          <w:b/>
          <w:color w:val="auto"/>
          <w:sz w:val="32"/>
          <w:szCs w:val="32"/>
          <w:highlight w:val="none"/>
          <w:lang w:val="en-US" w:eastAsia="zh-CN"/>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8"/>
          <w:rFonts w:hint="eastAsia" w:ascii="仿宋" w:hAnsi="仿宋" w:eastAsia="仿宋"/>
          <w:b w:val="0"/>
          <w:bCs/>
          <w:color w:val="auto"/>
          <w:sz w:val="32"/>
          <w:szCs w:val="32"/>
          <w:highlight w:val="none"/>
        </w:rPr>
        <w:t>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r>
        <w:rPr>
          <w:rFonts w:hint="eastAsia" w:ascii="仿宋_GB2312" w:hAnsi="仿宋_GB2312" w:eastAsia="仿宋_GB2312"/>
          <w:color w:val="auto"/>
          <w:kern w:val="2"/>
          <w:sz w:val="32"/>
          <w:lang w:val="zh-CN"/>
        </w:rPr>
        <w:t>全年安排因公出国（境）团组0个，出国（境）0人。因公出国（境）支出决算</w:t>
      </w:r>
      <w:r>
        <w:rPr>
          <w:rFonts w:hint="eastAsia" w:hAnsi="仿宋_GB2312"/>
          <w:color w:val="auto"/>
          <w:kern w:val="2"/>
          <w:sz w:val="32"/>
          <w:lang w:val="zh-CN"/>
        </w:rPr>
        <w:t>与</w:t>
      </w:r>
      <w:r>
        <w:rPr>
          <w:rFonts w:hint="eastAsia" w:ascii="仿宋_GB2312" w:hAnsi="仿宋_GB2312" w:eastAsia="仿宋_GB2312"/>
          <w:color w:val="auto"/>
          <w:kern w:val="2"/>
          <w:sz w:val="32"/>
          <w:lang w:val="zh-CN"/>
        </w:rPr>
        <w:t>2021年</w:t>
      </w:r>
      <w:r>
        <w:rPr>
          <w:rFonts w:hint="eastAsia" w:hAnsi="仿宋_GB2312"/>
          <w:color w:val="auto"/>
          <w:kern w:val="2"/>
          <w:sz w:val="32"/>
          <w:lang w:val="zh-CN"/>
        </w:rPr>
        <w:t>持平、</w:t>
      </w:r>
    </w:p>
    <w:p>
      <w:pPr>
        <w:pageBreakBefore w:val="0"/>
        <w:kinsoku/>
        <w:wordWrap/>
        <w:overflowPunct/>
        <w:topLinePunct w:val="0"/>
        <w:bidi w:val="0"/>
        <w:spacing w:line="240" w:lineRule="auto"/>
        <w:ind w:left="0" w:leftChars="0" w:right="0" w:firstLine="640"/>
        <w:textAlignment w:val="auto"/>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90</w:t>
      </w:r>
      <w:r>
        <w:rPr>
          <w:rFonts w:hint="eastAsia" w:ascii="仿宋_GB2312" w:eastAsia="仿宋_GB2312"/>
          <w:color w:val="auto"/>
          <w:sz w:val="32"/>
          <w:szCs w:val="32"/>
          <w:highlight w:val="none"/>
        </w:rPr>
        <w:t>万元,</w:t>
      </w:r>
      <w:r>
        <w:rPr>
          <w:rStyle w:val="18"/>
          <w:rFonts w:hint="eastAsia" w:ascii="仿宋" w:hAnsi="仿宋" w:eastAsia="仿宋"/>
          <w:b w:val="0"/>
          <w:bCs/>
          <w:color w:val="auto"/>
          <w:sz w:val="32"/>
          <w:szCs w:val="32"/>
          <w:highlight w:val="none"/>
        </w:rPr>
        <w:t>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w:t>
      </w:r>
      <w:r>
        <w:rPr>
          <w:rFonts w:hint="eastAsia" w:ascii="仿宋_GB2312" w:eastAsia="仿宋_GB2312"/>
          <w:color w:val="auto"/>
          <w:sz w:val="32"/>
          <w:szCs w:val="32"/>
          <w:highlight w:val="none"/>
          <w:lang w:eastAsia="zh-CN"/>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持平</w:t>
      </w:r>
      <w:r>
        <w:rPr>
          <w:rFonts w:hint="eastAsia" w:ascii="仿宋_GB2312" w:eastAsia="仿宋_GB2312"/>
          <w:color w:val="auto"/>
          <w:sz w:val="32"/>
          <w:szCs w:val="32"/>
          <w:highlight w:val="none"/>
        </w:rPr>
        <w:t>。</w:t>
      </w:r>
    </w:p>
    <w:p>
      <w:pPr>
        <w:pageBreakBefore w:val="0"/>
        <w:kinsoku/>
        <w:wordWrap/>
        <w:overflowPunct/>
        <w:topLinePunct w:val="0"/>
        <w:bidi w:val="0"/>
        <w:spacing w:line="240" w:lineRule="auto"/>
        <w:ind w:left="0" w:leftChars="0" w:right="0" w:firstLine="640" w:firstLineChars="200"/>
        <w:textAlignment w:val="auto"/>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万元。全年按规定</w:t>
      </w:r>
      <w:r>
        <w:rPr>
          <w:rFonts w:hint="eastAsia" w:ascii="仿宋_GB2312" w:eastAsia="仿宋_GB2312"/>
          <w:color w:val="auto"/>
          <w:sz w:val="32"/>
          <w:szCs w:val="32"/>
          <w:highlight w:val="none"/>
          <w:lang w:eastAsia="zh-CN"/>
        </w:rPr>
        <w:t>未更新购置公务用车辆</w:t>
      </w: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月底，单位共有公务用车</w:t>
      </w:r>
      <w:r>
        <w:rPr>
          <w:rFonts w:hint="eastAsia" w:ascii="仿宋_GB2312" w:eastAsia="仿宋_GB2312"/>
          <w:color w:val="auto"/>
          <w:sz w:val="32"/>
          <w:szCs w:val="32"/>
          <w:highlight w:val="none"/>
          <w:lang w:val="en-US" w:eastAsia="zh-CN"/>
        </w:rPr>
        <w:t>44</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（其中执法执勤车辆</w:t>
      </w:r>
      <w:r>
        <w:rPr>
          <w:rFonts w:hint="eastAsia" w:ascii="仿宋_GB2312" w:eastAsia="仿宋_GB2312"/>
          <w:color w:val="auto"/>
          <w:sz w:val="32"/>
          <w:szCs w:val="32"/>
          <w:highlight w:val="none"/>
          <w:lang w:val="en-US" w:eastAsia="zh-CN"/>
        </w:rPr>
        <w:t>43辆，其他用车1辆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，其中：轿车</w:t>
      </w:r>
      <w:r>
        <w:rPr>
          <w:rFonts w:hint="eastAsia" w:ascii="仿宋_GB2312" w:eastAsia="仿宋_GB2312"/>
          <w:color w:val="auto"/>
          <w:sz w:val="32"/>
          <w:szCs w:val="32"/>
          <w:highlight w:val="none"/>
          <w:lang w:val="en-US" w:eastAsia="zh-CN"/>
        </w:rPr>
        <w:t>39</w:t>
      </w:r>
      <w:r>
        <w:rPr>
          <w:rFonts w:hint="eastAsia" w:ascii="仿宋_GB2312" w:eastAsia="仿宋_GB2312"/>
          <w:color w:val="auto"/>
          <w:sz w:val="32"/>
          <w:szCs w:val="32"/>
          <w:highlight w:val="none"/>
        </w:rPr>
        <w:t>辆、越野车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其他</w:t>
      </w:r>
      <w:r>
        <w:rPr>
          <w:rFonts w:hint="eastAsia" w:ascii="仿宋_GB2312" w:eastAsia="仿宋_GB2312"/>
          <w:color w:val="auto"/>
          <w:sz w:val="32"/>
          <w:szCs w:val="32"/>
          <w:highlight w:val="none"/>
        </w:rPr>
        <w:t>载客汽车</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辆。</w:t>
      </w:r>
    </w:p>
    <w:p>
      <w:pPr>
        <w:pageBreakBefore w:val="0"/>
        <w:kinsoku/>
        <w:wordWrap/>
        <w:overflowPunct/>
        <w:topLinePunct w:val="0"/>
        <w:bidi w:val="0"/>
        <w:spacing w:line="240" w:lineRule="auto"/>
        <w:ind w:left="0" w:leftChars="0" w:right="0" w:firstLine="640"/>
        <w:textAlignment w:val="auto"/>
        <w:rPr>
          <w:rFonts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90</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eastAsia="zh-CN"/>
        </w:rPr>
        <w:t>执法办案、安保维稳、处突防爆、基层基础</w:t>
      </w:r>
      <w:r>
        <w:rPr>
          <w:rFonts w:hint="eastAsia" w:ascii="仿宋_GB2312" w:eastAsia="仿宋_GB2312"/>
          <w:color w:val="auto"/>
          <w:sz w:val="32"/>
          <w:szCs w:val="32"/>
          <w:highlight w:val="none"/>
        </w:rPr>
        <w:t>等</w:t>
      </w:r>
      <w:r>
        <w:rPr>
          <w:rFonts w:hint="eastAsia" w:ascii="仿宋_GB2312" w:eastAsia="仿宋_GB2312"/>
          <w:color w:val="auto"/>
          <w:sz w:val="32"/>
          <w:szCs w:val="32"/>
          <w:highlight w:val="none"/>
          <w:lang w:eastAsia="zh-CN"/>
        </w:rPr>
        <w:t>公安业务工作</w:t>
      </w:r>
      <w:r>
        <w:rPr>
          <w:rFonts w:hint="eastAsia" w:ascii="仿宋_GB2312" w:eastAsia="仿宋_GB2312"/>
          <w:color w:val="auto"/>
          <w:sz w:val="32"/>
          <w:szCs w:val="32"/>
          <w:highlight w:val="none"/>
        </w:rPr>
        <w:t>所需的公务用车燃料费、维修费、过路过桥费、保险费等支出。</w:t>
      </w:r>
    </w:p>
    <w:p>
      <w:pPr>
        <w:pageBreakBefore w:val="0"/>
        <w:kinsoku/>
        <w:wordWrap/>
        <w:overflowPunct/>
        <w:topLinePunct w:val="0"/>
        <w:bidi w:val="0"/>
        <w:spacing w:line="240" w:lineRule="auto"/>
        <w:ind w:left="0" w:leftChars="0" w:right="0" w:firstLine="640"/>
        <w:textAlignment w:val="auto"/>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8"/>
          <w:rFonts w:hint="eastAsia" w:ascii="仿宋" w:hAnsi="仿宋" w:eastAsia="仿宋"/>
          <w:b w:val="0"/>
          <w:bCs/>
          <w:color w:val="auto"/>
          <w:sz w:val="32"/>
          <w:szCs w:val="32"/>
          <w:highlight w:val="none"/>
        </w:rPr>
        <w:t>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w:t>
      </w:r>
      <w:r>
        <w:rPr>
          <w:rFonts w:hint="eastAsia" w:ascii="仿宋_GB2312" w:eastAsia="仿宋_GB2312"/>
          <w:color w:val="auto"/>
          <w:sz w:val="32"/>
          <w:szCs w:val="32"/>
          <w:highlight w:val="none"/>
          <w:lang w:eastAsia="zh-CN"/>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持平</w:t>
      </w:r>
      <w:r>
        <w:rPr>
          <w:rFonts w:hint="eastAsia" w:ascii="仿宋_GB2312" w:eastAsia="仿宋_GB2312"/>
          <w:color w:val="auto"/>
          <w:sz w:val="32"/>
          <w:szCs w:val="32"/>
          <w:highlight w:val="none"/>
        </w:rPr>
        <w:t>。其中：</w:t>
      </w:r>
    </w:p>
    <w:p>
      <w:pPr>
        <w:pageBreakBefore w:val="0"/>
        <w:kinsoku/>
        <w:wordWrap/>
        <w:overflowPunct/>
        <w:topLinePunct w:val="0"/>
        <w:bidi w:val="0"/>
        <w:spacing w:line="240" w:lineRule="auto"/>
        <w:ind w:left="0" w:leftChars="0" w:right="0" w:firstLine="640"/>
        <w:textAlignment w:val="auto"/>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p>
    <w:p>
      <w:pPr>
        <w:pageBreakBefore w:val="0"/>
        <w:kinsoku/>
        <w:wordWrap/>
        <w:overflowPunct/>
        <w:topLinePunct w:val="0"/>
        <w:bidi w:val="0"/>
        <w:spacing w:line="240" w:lineRule="auto"/>
        <w:ind w:left="0" w:leftChars="0" w:right="0" w:firstLine="643" w:firstLineChars="200"/>
        <w:textAlignment w:val="auto"/>
        <w:rPr>
          <w:rFonts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pPr>
        <w:pageBreakBefore w:val="0"/>
        <w:kinsoku/>
        <w:wordWrap/>
        <w:overflowPunct/>
        <w:topLinePunct w:val="0"/>
        <w:bidi w:val="0"/>
        <w:spacing w:line="240" w:lineRule="auto"/>
        <w:ind w:left="0" w:leftChars="0" w:right="0" w:firstLine="640"/>
        <w:textAlignment w:val="auto"/>
        <w:outlineLvl w:val="1"/>
        <w:rPr>
          <w:rStyle w:val="30"/>
          <w:rFonts w:ascii="黑体" w:hAnsi="黑体" w:eastAsia="黑体"/>
          <w:color w:val="auto"/>
          <w:highlight w:val="none"/>
        </w:rPr>
      </w:pPr>
      <w:bookmarkStart w:id="46" w:name="_Toc15396610"/>
      <w:bookmarkStart w:id="47" w:name="_Toc15377218"/>
      <w:r>
        <w:rPr>
          <w:rFonts w:hint="eastAsia" w:ascii="黑体" w:eastAsia="黑体"/>
          <w:color w:val="auto"/>
          <w:sz w:val="32"/>
          <w:szCs w:val="32"/>
          <w:highlight w:val="none"/>
        </w:rPr>
        <w:t>八、</w:t>
      </w:r>
      <w:r>
        <w:rPr>
          <w:rStyle w:val="30"/>
          <w:rFonts w:hint="eastAsia" w:ascii="黑体" w:hAnsi="黑体" w:eastAsia="黑体"/>
          <w:b w:val="0"/>
          <w:color w:val="auto"/>
          <w:highlight w:val="none"/>
        </w:rPr>
        <w:t>政府性基金预算支出决算情况说明</w:t>
      </w:r>
      <w:bookmarkEnd w:id="46"/>
      <w:bookmarkEnd w:id="47"/>
    </w:p>
    <w:p>
      <w:pPr>
        <w:pageBreakBefore w:val="0"/>
        <w:kinsoku/>
        <w:wordWrap/>
        <w:overflowPunct/>
        <w:topLinePunct w:val="0"/>
        <w:bidi w:val="0"/>
        <w:spacing w:line="240" w:lineRule="auto"/>
        <w:ind w:left="0" w:leftChars="0" w:right="0" w:firstLine="640"/>
        <w:textAlignment w:val="auto"/>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pageBreakBefore w:val="0"/>
        <w:numPr>
          <w:ilvl w:val="0"/>
          <w:numId w:val="1"/>
        </w:numPr>
        <w:kinsoku/>
        <w:wordWrap/>
        <w:overflowPunct/>
        <w:topLinePunct w:val="0"/>
        <w:bidi w:val="0"/>
        <w:spacing w:line="240" w:lineRule="auto"/>
        <w:ind w:left="0" w:leftChars="0" w:right="0" w:firstLine="640"/>
        <w:textAlignment w:val="auto"/>
        <w:outlineLvl w:val="1"/>
        <w:rPr>
          <w:rStyle w:val="30"/>
          <w:rFonts w:ascii="黑体" w:hAnsi="黑体" w:eastAsia="黑体"/>
          <w:b w:val="0"/>
          <w:color w:val="auto"/>
          <w:highlight w:val="none"/>
        </w:rPr>
      </w:pPr>
      <w:bookmarkStart w:id="48" w:name="_Toc15377219"/>
      <w:bookmarkStart w:id="49" w:name="_Toc15396611"/>
      <w:r>
        <w:rPr>
          <w:rStyle w:val="30"/>
          <w:rFonts w:hint="eastAsia" w:ascii="黑体" w:hAnsi="黑体" w:eastAsia="黑体"/>
          <w:b w:val="0"/>
          <w:color w:val="auto"/>
          <w:highlight w:val="none"/>
        </w:rPr>
        <w:t>国有资本经营预算支出决算情况说明</w:t>
      </w:r>
      <w:bookmarkEnd w:id="48"/>
      <w:bookmarkEnd w:id="49"/>
    </w:p>
    <w:p>
      <w:pPr>
        <w:pageBreakBefore w:val="0"/>
        <w:kinsoku/>
        <w:wordWrap/>
        <w:overflowPunct/>
        <w:topLinePunct w:val="0"/>
        <w:bidi w:val="0"/>
        <w:spacing w:line="240" w:lineRule="auto"/>
        <w:ind w:left="0" w:leftChars="0" w:right="0" w:firstLine="640"/>
        <w:textAlignment w:val="auto"/>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pageBreakBefore w:val="0"/>
        <w:numPr>
          <w:ilvl w:val="0"/>
          <w:numId w:val="1"/>
        </w:numPr>
        <w:kinsoku/>
        <w:wordWrap/>
        <w:overflowPunct/>
        <w:topLinePunct w:val="0"/>
        <w:bidi w:val="0"/>
        <w:spacing w:line="240" w:lineRule="auto"/>
        <w:ind w:left="0" w:leftChars="0" w:right="0" w:firstLine="640"/>
        <w:textAlignment w:val="auto"/>
        <w:outlineLvl w:val="1"/>
        <w:rPr>
          <w:rStyle w:val="30"/>
          <w:rFonts w:hint="eastAsia" w:ascii="黑体" w:hAnsi="黑体" w:eastAsia="黑体"/>
          <w:b w:val="0"/>
          <w:color w:val="auto"/>
          <w:highlight w:val="none"/>
        </w:rPr>
      </w:pPr>
      <w:bookmarkStart w:id="50" w:name="_Toc15396612"/>
      <w:bookmarkStart w:id="51" w:name="_Toc15377221"/>
      <w:r>
        <w:rPr>
          <w:rStyle w:val="30"/>
          <w:rFonts w:hint="eastAsia" w:ascii="黑体" w:hAnsi="黑体" w:eastAsia="黑体"/>
          <w:b w:val="0"/>
          <w:color w:val="auto"/>
          <w:highlight w:val="none"/>
        </w:rPr>
        <w:t>其他重要事项的情况说明</w:t>
      </w:r>
      <w:bookmarkEnd w:id="50"/>
      <w:bookmarkEnd w:id="51"/>
    </w:p>
    <w:p>
      <w:pPr>
        <w:pageBreakBefore w:val="0"/>
        <w:kinsoku/>
        <w:wordWrap/>
        <w:overflowPunct/>
        <w:topLinePunct w:val="0"/>
        <w:bidi w:val="0"/>
        <w:spacing w:line="240" w:lineRule="auto"/>
        <w:ind w:left="0" w:leftChars="0" w:right="0" w:firstLine="643" w:firstLineChars="200"/>
        <w:textAlignment w:val="auto"/>
        <w:outlineLvl w:val="2"/>
        <w:rPr>
          <w:rFonts w:ascii="仿宋" w:hAnsi="仿宋" w:eastAsia="仿宋"/>
          <w:color w:val="auto"/>
          <w:sz w:val="32"/>
          <w:szCs w:val="32"/>
          <w:highlight w:val="none"/>
        </w:rPr>
      </w:pPr>
      <w:bookmarkStart w:id="52" w:name="_Toc15377222"/>
      <w:r>
        <w:rPr>
          <w:rFonts w:hint="eastAsia" w:ascii="仿宋" w:hAnsi="仿宋" w:eastAsia="仿宋"/>
          <w:b/>
          <w:color w:val="auto"/>
          <w:sz w:val="32"/>
          <w:szCs w:val="32"/>
          <w:highlight w:val="none"/>
        </w:rPr>
        <w:t>（一）机关运行经费支出情况</w:t>
      </w:r>
      <w:bookmarkEnd w:id="52"/>
    </w:p>
    <w:p>
      <w:pPr>
        <w:pageBreakBefore w:val="0"/>
        <w:kinsoku/>
        <w:wordWrap/>
        <w:overflowPunct/>
        <w:topLinePunct w:val="0"/>
        <w:bidi w:val="0"/>
        <w:spacing w:line="240" w:lineRule="auto"/>
        <w:ind w:left="0" w:firstLine="640" w:firstLineChars="200"/>
        <w:textAlignment w:val="auto"/>
        <w:rPr>
          <w:rFonts w:hint="eastAsia" w:ascii="仿宋_GB2312" w:eastAsia="仿宋_GB2312"/>
          <w:color w:val="auto"/>
          <w:sz w:val="32"/>
          <w:szCs w:val="32"/>
          <w:highlight w:val="none"/>
          <w:lang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乐山市公安局五通桥区分局</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zh-CN"/>
        </w:rPr>
        <w:t>2970.58</w:t>
      </w:r>
      <w:r>
        <w:rPr>
          <w:rFonts w:hint="eastAsia" w:ascii="仿宋_GB2312" w:eastAsia="仿宋_GB2312"/>
          <w:color w:val="auto"/>
          <w:sz w:val="32"/>
          <w:szCs w:val="32"/>
          <w:highlight w:val="none"/>
        </w:rPr>
        <w:t>万元，比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年增加</w:t>
      </w:r>
      <w:r>
        <w:rPr>
          <w:rFonts w:hint="eastAsia" w:ascii="仿宋_GB2312" w:eastAsia="仿宋_GB2312"/>
          <w:color w:val="auto"/>
          <w:sz w:val="32"/>
          <w:szCs w:val="32"/>
          <w:highlight w:val="none"/>
          <w:lang w:val="en-US" w:eastAsia="zh-CN"/>
        </w:rPr>
        <w:t>748.73</w:t>
      </w:r>
      <w:r>
        <w:rPr>
          <w:rFonts w:hint="eastAsia" w:ascii="仿宋_GB2312" w:eastAsia="仿宋_GB2312"/>
          <w:color w:val="auto"/>
          <w:sz w:val="32"/>
          <w:szCs w:val="32"/>
          <w:highlight w:val="none"/>
        </w:rPr>
        <w:t>万元，增长</w:t>
      </w:r>
      <w:r>
        <w:rPr>
          <w:rFonts w:hint="eastAsia" w:ascii="仿宋_GB2312" w:eastAsia="仿宋_GB2312"/>
          <w:color w:val="auto"/>
          <w:sz w:val="32"/>
          <w:szCs w:val="32"/>
          <w:highlight w:val="none"/>
          <w:lang w:val="en-US" w:eastAsia="zh-CN"/>
        </w:rPr>
        <w:t>33.70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r>
        <w:rPr>
          <w:rFonts w:hint="eastAsia" w:ascii="仿宋_GB2312" w:eastAsia="仿宋_GB2312"/>
          <w:color w:val="auto"/>
          <w:sz w:val="32"/>
          <w:szCs w:val="32"/>
        </w:rPr>
        <w:t>主要原因是日常运维增加等原因</w:t>
      </w:r>
      <w:r>
        <w:rPr>
          <w:rFonts w:hint="eastAsia" w:ascii="仿宋_GB2312" w:eastAsia="仿宋_GB2312"/>
          <w:color w:val="auto"/>
          <w:sz w:val="32"/>
          <w:szCs w:val="32"/>
          <w:highlight w:val="none"/>
          <w:lang w:eastAsia="zh-CN"/>
        </w:rPr>
        <w:t>。</w:t>
      </w:r>
    </w:p>
    <w:p>
      <w:pPr>
        <w:pageBreakBefore w:val="0"/>
        <w:kinsoku/>
        <w:wordWrap/>
        <w:overflowPunct/>
        <w:topLinePunct w:val="0"/>
        <w:bidi w:val="0"/>
        <w:spacing w:line="240" w:lineRule="auto"/>
        <w:ind w:left="0" w:leftChars="0" w:right="0" w:firstLine="643" w:firstLineChars="200"/>
        <w:textAlignment w:val="auto"/>
        <w:rPr>
          <w:rFonts w:ascii="仿宋" w:hAnsi="仿宋" w:eastAsia="仿宋"/>
          <w:b/>
          <w:color w:val="auto"/>
          <w:sz w:val="32"/>
          <w:szCs w:val="32"/>
          <w:highlight w:val="none"/>
        </w:rPr>
      </w:pPr>
      <w:r>
        <w:rPr>
          <w:rFonts w:hint="eastAsia" w:ascii="仿宋" w:hAnsi="仿宋" w:eastAsia="仿宋"/>
          <w:b/>
          <w:color w:val="auto"/>
          <w:sz w:val="32"/>
          <w:szCs w:val="32"/>
          <w:highlight w:val="none"/>
        </w:rPr>
        <w:t>（注：数据来源于财决附</w:t>
      </w:r>
      <w:r>
        <w:rPr>
          <w:rFonts w:ascii="仿宋" w:hAnsi="仿宋" w:eastAsia="仿宋"/>
          <w:b/>
          <w:color w:val="auto"/>
          <w:sz w:val="32"/>
          <w:szCs w:val="32"/>
          <w:highlight w:val="none"/>
        </w:rPr>
        <w:t>03</w:t>
      </w:r>
      <w:r>
        <w:rPr>
          <w:rFonts w:hint="eastAsia" w:ascii="仿宋" w:hAnsi="仿宋" w:eastAsia="仿宋"/>
          <w:b/>
          <w:color w:val="auto"/>
          <w:sz w:val="32"/>
          <w:szCs w:val="32"/>
          <w:highlight w:val="none"/>
        </w:rPr>
        <w:t>表）</w:t>
      </w:r>
    </w:p>
    <w:p>
      <w:pPr>
        <w:pageBreakBefore w:val="0"/>
        <w:kinsoku/>
        <w:wordWrap/>
        <w:overflowPunct/>
        <w:topLinePunct w:val="0"/>
        <w:autoSpaceDE w:val="0"/>
        <w:autoSpaceDN w:val="0"/>
        <w:bidi w:val="0"/>
        <w:adjustRightInd w:val="0"/>
        <w:spacing w:line="240" w:lineRule="auto"/>
        <w:ind w:left="0" w:leftChars="0" w:right="0" w:firstLine="643" w:firstLineChars="200"/>
        <w:jc w:val="left"/>
        <w:textAlignment w:val="auto"/>
        <w:outlineLvl w:val="2"/>
        <w:rPr>
          <w:rFonts w:ascii="仿宋" w:hAnsi="仿宋" w:eastAsia="仿宋"/>
          <w:b/>
          <w:color w:val="auto"/>
          <w:sz w:val="32"/>
          <w:szCs w:val="32"/>
          <w:highlight w:val="none"/>
        </w:rPr>
      </w:pPr>
      <w:bookmarkStart w:id="53" w:name="_Toc15377223"/>
      <w:r>
        <w:rPr>
          <w:rFonts w:hint="eastAsia" w:ascii="仿宋" w:hAnsi="仿宋" w:eastAsia="仿宋"/>
          <w:b/>
          <w:color w:val="auto"/>
          <w:sz w:val="32"/>
          <w:szCs w:val="32"/>
          <w:highlight w:val="none"/>
        </w:rPr>
        <w:t>（二）政府采购支出情况</w:t>
      </w:r>
      <w:bookmarkEnd w:id="53"/>
    </w:p>
    <w:p>
      <w:pPr>
        <w:pageBreakBefore w:val="0"/>
        <w:kinsoku/>
        <w:wordWrap/>
        <w:overflowPunct/>
        <w:topLinePunct w:val="0"/>
        <w:bidi w:val="0"/>
        <w:spacing w:line="240" w:lineRule="auto"/>
        <w:ind w:left="0" w:leftChars="0" w:right="0" w:firstLine="640" w:firstLineChars="200"/>
        <w:textAlignment w:val="auto"/>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乐山市公安局五通桥区分局</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万元、政府采购工程支出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pPr>
        <w:pageBreakBefore w:val="0"/>
        <w:kinsoku/>
        <w:wordWrap/>
        <w:overflowPunct/>
        <w:topLinePunct w:val="0"/>
        <w:bidi w:val="0"/>
        <w:spacing w:line="240" w:lineRule="auto"/>
        <w:ind w:left="0" w:leftChars="0" w:right="0" w:firstLine="643" w:firstLineChars="200"/>
        <w:textAlignment w:val="auto"/>
        <w:rPr>
          <w:rFonts w:ascii="仿宋" w:hAnsi="仿宋" w:eastAsia="仿宋"/>
          <w:b/>
          <w:color w:val="auto"/>
          <w:sz w:val="32"/>
          <w:szCs w:val="32"/>
          <w:highlight w:val="none"/>
        </w:rPr>
      </w:pPr>
      <w:r>
        <w:rPr>
          <w:rFonts w:hint="eastAsia" w:ascii="仿宋" w:hAnsi="仿宋" w:eastAsia="仿宋"/>
          <w:b/>
          <w:color w:val="auto"/>
          <w:sz w:val="32"/>
          <w:szCs w:val="32"/>
          <w:highlight w:val="none"/>
        </w:rPr>
        <w:t>（注：数据来源于财决附</w:t>
      </w:r>
      <w:r>
        <w:rPr>
          <w:rFonts w:ascii="仿宋" w:hAnsi="仿宋" w:eastAsia="仿宋"/>
          <w:b/>
          <w:color w:val="auto"/>
          <w:sz w:val="32"/>
          <w:szCs w:val="32"/>
          <w:highlight w:val="none"/>
        </w:rPr>
        <w:t>03</w:t>
      </w:r>
      <w:r>
        <w:rPr>
          <w:rFonts w:hint="eastAsia" w:ascii="仿宋" w:hAnsi="仿宋" w:eastAsia="仿宋"/>
          <w:b/>
          <w:color w:val="auto"/>
          <w:sz w:val="32"/>
          <w:szCs w:val="32"/>
          <w:highlight w:val="none"/>
        </w:rPr>
        <w:t>表）</w:t>
      </w:r>
    </w:p>
    <w:p>
      <w:pPr>
        <w:pageBreakBefore w:val="0"/>
        <w:kinsoku/>
        <w:wordWrap/>
        <w:overflowPunct/>
        <w:topLinePunct w:val="0"/>
        <w:autoSpaceDE w:val="0"/>
        <w:autoSpaceDN w:val="0"/>
        <w:bidi w:val="0"/>
        <w:adjustRightInd w:val="0"/>
        <w:spacing w:line="240" w:lineRule="auto"/>
        <w:ind w:left="0" w:leftChars="0" w:right="0" w:firstLine="643" w:firstLineChars="200"/>
        <w:jc w:val="left"/>
        <w:textAlignment w:val="auto"/>
        <w:outlineLvl w:val="2"/>
        <w:rPr>
          <w:rFonts w:ascii="仿宋" w:hAnsi="仿宋" w:eastAsia="仿宋"/>
          <w:b/>
          <w:color w:val="auto"/>
          <w:sz w:val="32"/>
          <w:szCs w:val="32"/>
          <w:highlight w:val="none"/>
        </w:rPr>
      </w:pPr>
      <w:bookmarkStart w:id="54" w:name="_Toc15377224"/>
      <w:r>
        <w:rPr>
          <w:rFonts w:hint="eastAsia" w:ascii="仿宋" w:hAnsi="仿宋" w:eastAsia="仿宋"/>
          <w:b/>
          <w:color w:val="auto"/>
          <w:sz w:val="32"/>
          <w:szCs w:val="32"/>
          <w:highlight w:val="none"/>
        </w:rPr>
        <w:t>（三）国有资产占有使用情况</w:t>
      </w:r>
      <w:bookmarkEnd w:id="54"/>
    </w:p>
    <w:p>
      <w:pPr>
        <w:pageBreakBefore w:val="0"/>
        <w:kinsoku/>
        <w:wordWrap/>
        <w:overflowPunct/>
        <w:topLinePunct w:val="0"/>
        <w:autoSpaceDE w:val="0"/>
        <w:autoSpaceDN w:val="0"/>
        <w:bidi w:val="0"/>
        <w:adjustRightInd w:val="0"/>
        <w:spacing w:line="240" w:lineRule="auto"/>
        <w:ind w:left="0" w:firstLine="640" w:firstLineChars="200"/>
        <w:jc w:val="left"/>
        <w:textAlignment w:val="auto"/>
        <w:rPr>
          <w:rFonts w:ascii="仿宋_GB2312" w:eastAsia="仿宋_GB2312"/>
          <w:color w:val="auto"/>
          <w:sz w:val="32"/>
          <w:szCs w:val="32"/>
        </w:rPr>
      </w:pPr>
      <w:r>
        <w:rPr>
          <w:rFonts w:hint="eastAsia" w:ascii="仿宋_GB2312" w:eastAsia="仿宋_GB2312"/>
          <w:color w:val="auto"/>
          <w:sz w:val="32"/>
          <w:szCs w:val="32"/>
        </w:rPr>
        <w:t>截至</w:t>
      </w:r>
      <w:r>
        <w:rPr>
          <w:rFonts w:ascii="仿宋_GB2312" w:eastAsia="仿宋_GB2312"/>
          <w:color w:val="auto"/>
          <w:sz w:val="32"/>
          <w:szCs w:val="32"/>
        </w:rPr>
        <w:t>20</w:t>
      </w:r>
      <w:r>
        <w:rPr>
          <w:rFonts w:hint="eastAsia" w:ascii="仿宋_GB2312" w:eastAsia="仿宋_GB2312"/>
          <w:color w:val="auto"/>
          <w:sz w:val="32"/>
          <w:szCs w:val="32"/>
        </w:rPr>
        <w:t>21年</w:t>
      </w:r>
      <w:r>
        <w:rPr>
          <w:rFonts w:ascii="仿宋_GB2312" w:eastAsia="仿宋_GB2312"/>
          <w:color w:val="auto"/>
          <w:sz w:val="32"/>
          <w:szCs w:val="32"/>
        </w:rPr>
        <w:t>12</w:t>
      </w:r>
      <w:r>
        <w:rPr>
          <w:rFonts w:hint="eastAsia" w:ascii="仿宋_GB2312" w:eastAsia="仿宋_GB2312"/>
          <w:color w:val="auto"/>
          <w:sz w:val="32"/>
          <w:szCs w:val="32"/>
        </w:rPr>
        <w:t>月</w:t>
      </w:r>
      <w:r>
        <w:rPr>
          <w:rFonts w:ascii="仿宋_GB2312" w:eastAsia="仿宋_GB2312"/>
          <w:color w:val="auto"/>
          <w:sz w:val="32"/>
          <w:szCs w:val="32"/>
        </w:rPr>
        <w:t>31</w:t>
      </w:r>
      <w:r>
        <w:rPr>
          <w:rFonts w:hint="eastAsia" w:ascii="仿宋_GB2312" w:eastAsia="仿宋_GB2312"/>
          <w:color w:val="auto"/>
          <w:sz w:val="32"/>
          <w:szCs w:val="32"/>
        </w:rPr>
        <w:t>日，乐山市公安局五通桥区分局共有车辆44辆，其中：执法执勤用车37辆、特种专业技术用车6辆，其他用车1辆，其他用车为公务用车，主要用于日常办公用车。单价</w:t>
      </w:r>
      <w:r>
        <w:rPr>
          <w:rFonts w:ascii="仿宋_GB2312" w:eastAsia="仿宋_GB2312"/>
          <w:color w:val="auto"/>
          <w:sz w:val="32"/>
          <w:szCs w:val="32"/>
        </w:rPr>
        <w:t>50</w:t>
      </w:r>
      <w:r>
        <w:rPr>
          <w:rFonts w:hint="eastAsia" w:ascii="仿宋_GB2312" w:eastAsia="仿宋_GB2312"/>
          <w:color w:val="auto"/>
          <w:sz w:val="32"/>
          <w:szCs w:val="32"/>
        </w:rPr>
        <w:t>万元以上通用设备2台（套），单价</w:t>
      </w:r>
      <w:r>
        <w:rPr>
          <w:rFonts w:ascii="仿宋_GB2312" w:eastAsia="仿宋_GB2312"/>
          <w:color w:val="auto"/>
          <w:sz w:val="32"/>
          <w:szCs w:val="32"/>
        </w:rPr>
        <w:t>100</w:t>
      </w:r>
      <w:r>
        <w:rPr>
          <w:rFonts w:hint="eastAsia" w:ascii="仿宋_GB2312" w:eastAsia="仿宋_GB2312"/>
          <w:color w:val="auto"/>
          <w:sz w:val="32"/>
          <w:szCs w:val="32"/>
        </w:rPr>
        <w:t>万元以上专用设备0台（套）。</w:t>
      </w:r>
    </w:p>
    <w:p>
      <w:pPr>
        <w:pageBreakBefore w:val="0"/>
        <w:kinsoku/>
        <w:wordWrap/>
        <w:overflowPunct/>
        <w:topLinePunct w:val="0"/>
        <w:autoSpaceDE w:val="0"/>
        <w:autoSpaceDN w:val="0"/>
        <w:bidi w:val="0"/>
        <w:adjustRightInd w:val="0"/>
        <w:spacing w:line="240" w:lineRule="auto"/>
        <w:ind w:left="0" w:leftChars="0" w:right="0" w:firstLine="643" w:firstLineChars="200"/>
        <w:jc w:val="left"/>
        <w:textAlignment w:val="auto"/>
        <w:rPr>
          <w:rFonts w:ascii="仿宋" w:hAnsi="仿宋" w:eastAsia="仿宋"/>
          <w:b/>
          <w:color w:val="auto"/>
          <w:sz w:val="32"/>
          <w:szCs w:val="32"/>
          <w:highlight w:val="none"/>
        </w:rPr>
      </w:pPr>
      <w:r>
        <w:rPr>
          <w:rFonts w:hint="eastAsia" w:ascii="仿宋" w:hAnsi="仿宋" w:eastAsia="仿宋"/>
          <w:b/>
          <w:color w:val="auto"/>
          <w:sz w:val="32"/>
          <w:szCs w:val="32"/>
          <w:highlight w:val="none"/>
        </w:rPr>
        <w:t>（注：数据来源</w:t>
      </w:r>
      <w:r>
        <w:rPr>
          <w:rFonts w:hint="eastAsia" w:ascii="仿宋" w:hAnsi="仿宋" w:eastAsia="仿宋"/>
          <w:b/>
          <w:color w:val="auto"/>
          <w:sz w:val="32"/>
          <w:szCs w:val="32"/>
          <w:highlight w:val="none"/>
          <w:lang w:eastAsia="zh-CN"/>
        </w:rPr>
        <w:t>于</w:t>
      </w:r>
      <w:r>
        <w:rPr>
          <w:rFonts w:hint="eastAsia" w:ascii="仿宋" w:hAnsi="仿宋" w:eastAsia="仿宋"/>
          <w:b/>
          <w:color w:val="auto"/>
          <w:sz w:val="32"/>
          <w:szCs w:val="32"/>
          <w:highlight w:val="none"/>
        </w:rPr>
        <w:t>财决附</w:t>
      </w:r>
      <w:r>
        <w:rPr>
          <w:rFonts w:ascii="仿宋" w:hAnsi="仿宋" w:eastAsia="仿宋"/>
          <w:b/>
          <w:color w:val="auto"/>
          <w:sz w:val="32"/>
          <w:szCs w:val="32"/>
          <w:highlight w:val="none"/>
        </w:rPr>
        <w:t>03</w:t>
      </w:r>
      <w:r>
        <w:rPr>
          <w:rFonts w:hint="eastAsia" w:ascii="仿宋" w:hAnsi="仿宋" w:eastAsia="仿宋"/>
          <w:b/>
          <w:color w:val="auto"/>
          <w:sz w:val="32"/>
          <w:szCs w:val="32"/>
          <w:highlight w:val="none"/>
        </w:rPr>
        <w:t>表，按部门决算报表填报数据罗列车辆情况。）</w:t>
      </w:r>
    </w:p>
    <w:p>
      <w:pPr>
        <w:pageBreakBefore w:val="0"/>
        <w:kinsoku/>
        <w:wordWrap/>
        <w:overflowPunct/>
        <w:topLinePunct w:val="0"/>
        <w:autoSpaceDE w:val="0"/>
        <w:autoSpaceDN w:val="0"/>
        <w:bidi w:val="0"/>
        <w:adjustRightInd w:val="0"/>
        <w:spacing w:line="240" w:lineRule="auto"/>
        <w:ind w:left="0" w:leftChars="0" w:right="0" w:firstLine="643" w:firstLineChars="200"/>
        <w:jc w:val="left"/>
        <w:textAlignment w:val="auto"/>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（四）预算绩效管理情况</w:t>
      </w:r>
    </w:p>
    <w:p>
      <w:pPr>
        <w:pageBreakBefore w:val="0"/>
        <w:widowControl/>
        <w:kinsoku/>
        <w:wordWrap/>
        <w:overflowPunct/>
        <w:topLinePunct w:val="0"/>
        <w:bidi w:val="0"/>
        <w:spacing w:line="240" w:lineRule="auto"/>
        <w:ind w:left="0" w:leftChars="0" w:right="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w:t>
      </w:r>
      <w:r>
        <w:rPr>
          <w:rFonts w:hint="eastAsia" w:ascii="仿宋_GB2312" w:hAnsi="仿宋_GB2312" w:eastAsia="仿宋_GB2312" w:cs="仿宋_GB2312"/>
          <w:color w:val="auto"/>
          <w:sz w:val="32"/>
          <w:szCs w:val="32"/>
          <w:highlight w:val="none"/>
          <w:lang w:eastAsia="zh-CN"/>
        </w:rPr>
        <w:t>和绩效编报</w:t>
      </w:r>
      <w:r>
        <w:rPr>
          <w:rFonts w:hint="eastAsia" w:ascii="仿宋_GB2312" w:hAnsi="仿宋_GB2312" w:eastAsia="仿宋_GB2312" w:cs="仿宋_GB2312"/>
          <w:color w:val="auto"/>
          <w:sz w:val="32"/>
          <w:szCs w:val="32"/>
          <w:highlight w:val="none"/>
        </w:rPr>
        <w:t>要求，本部门</w:t>
      </w:r>
      <w:r>
        <w:rPr>
          <w:rFonts w:hint="eastAsia" w:ascii="仿宋_GB2312" w:hAnsi="仿宋_GB2312" w:eastAsia="仿宋_GB2312" w:cs="仿宋_GB2312"/>
          <w:color w:val="auto"/>
          <w:sz w:val="32"/>
          <w:szCs w:val="32"/>
          <w:highlight w:val="none"/>
          <w:lang w:eastAsia="zh-CN"/>
        </w:rPr>
        <w:t>申请年度预算时，强化主体责任，按照公安工作要求，</w:t>
      </w:r>
      <w:r>
        <w:rPr>
          <w:rFonts w:hint="eastAsia" w:ascii="仿宋_GB2312" w:hAnsi="仿宋_GB2312" w:eastAsia="仿宋_GB2312" w:cs="仿宋_GB2312"/>
          <w:color w:val="auto"/>
          <w:sz w:val="32"/>
          <w:szCs w:val="32"/>
          <w:highlight w:val="none"/>
        </w:rPr>
        <w:t>在202</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ascii="仿宋_GB2312" w:hAnsi="仿宋_GB2312" w:eastAsia="仿宋_GB2312" w:cs="仿宋_GB2312"/>
          <w:color w:val="auto"/>
          <w:sz w:val="32"/>
          <w:szCs w:val="32"/>
        </w:rPr>
        <w:t>公安应急物资装备到期更换项目</w:t>
      </w:r>
      <w:r>
        <w:rPr>
          <w:rFonts w:hint="eastAsia" w:ascii="仿宋_GB2312" w:hAnsi="仿宋_GB2312" w:eastAsia="仿宋_GB2312" w:cs="仿宋_GB2312"/>
          <w:color w:val="auto"/>
          <w:sz w:val="32"/>
          <w:szCs w:val="32"/>
          <w:highlight w:val="none"/>
        </w:rPr>
        <w:t>等</w:t>
      </w:r>
      <w:r>
        <w:rPr>
          <w:rFonts w:hint="eastAsia" w:ascii="仿宋_GB2312" w:hAnsi="仿宋_GB2312" w:eastAsia="仿宋_GB2312" w:cs="仿宋_GB2312"/>
          <w:color w:val="auto"/>
          <w:sz w:val="32"/>
          <w:szCs w:val="32"/>
          <w:highlight w:val="none"/>
          <w:lang w:val="en-US" w:eastAsia="zh-CN"/>
        </w:rPr>
        <w:t>12</w:t>
      </w:r>
      <w:r>
        <w:rPr>
          <w:rFonts w:hint="eastAsia" w:ascii="仿宋_GB2312" w:hAnsi="仿宋_GB2312" w:eastAsia="仿宋_GB2312" w:cs="仿宋_GB2312"/>
          <w:color w:val="auto"/>
          <w:sz w:val="32"/>
          <w:szCs w:val="32"/>
          <w:highlight w:val="none"/>
        </w:rPr>
        <w:t>个项目开展了预算事前绩效评估，对</w:t>
      </w:r>
      <w:r>
        <w:rPr>
          <w:rFonts w:hint="eastAsia" w:ascii="仿宋_GB2312" w:hAnsi="仿宋_GB2312" w:eastAsia="仿宋_GB2312" w:cs="仿宋_GB2312"/>
          <w:color w:val="auto"/>
          <w:sz w:val="32"/>
          <w:szCs w:val="32"/>
          <w:highlight w:val="none"/>
          <w:lang w:val="en-US" w:eastAsia="zh-CN"/>
        </w:rPr>
        <w:t>12</w:t>
      </w:r>
      <w:r>
        <w:rPr>
          <w:rFonts w:hint="eastAsia" w:ascii="仿宋_GB2312" w:hAnsi="仿宋_GB2312" w:eastAsia="仿宋_GB2312" w:cs="仿宋_GB2312"/>
          <w:color w:val="auto"/>
          <w:sz w:val="32"/>
          <w:szCs w:val="32"/>
          <w:highlight w:val="none"/>
        </w:rPr>
        <w:t>个项目编制了绩效目标，预算执行过程中，选取</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个项目开展绩效监控</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rPr>
        <w:t>年终执行完毕后，对2个项目开展了绩效自评</w:t>
      </w:r>
      <w:r>
        <w:rPr>
          <w:rFonts w:hint="eastAsia" w:ascii="仿宋_GB2312" w:hAnsi="仿宋_GB2312" w:eastAsia="仿宋_GB2312" w:cs="仿宋_GB2312"/>
          <w:b/>
          <w:color w:val="auto"/>
          <w:sz w:val="32"/>
          <w:szCs w:val="32"/>
        </w:rPr>
        <w:t>（公安应急物资装备到期更换项目等</w:t>
      </w:r>
      <w:r>
        <w:rPr>
          <w:rFonts w:hint="eastAsia" w:ascii="仿宋_GB2312" w:hAnsi="仿宋_GB2312" w:eastAsia="仿宋_GB2312" w:cs="仿宋_GB2312"/>
          <w:b/>
          <w:color w:val="auto"/>
          <w:sz w:val="32"/>
          <w:szCs w:val="32"/>
          <w:lang w:val="en-US" w:eastAsia="zh-CN"/>
        </w:rPr>
        <w:t>12</w:t>
      </w:r>
      <w:r>
        <w:rPr>
          <w:rFonts w:hint="eastAsia" w:ascii="仿宋_GB2312" w:hAnsi="仿宋_GB2312" w:eastAsia="仿宋_GB2312" w:cs="仿宋_GB2312"/>
          <w:b/>
          <w:color w:val="auto"/>
          <w:sz w:val="32"/>
          <w:szCs w:val="32"/>
        </w:rPr>
        <w:t>个项目均涉及公安工作秘密，按照公安机关保密工作相关要求，公安预算项目均不予公开）</w:t>
      </w:r>
      <w:r>
        <w:rPr>
          <w:rFonts w:hint="eastAsia" w:ascii="仿宋_GB2312" w:hAnsi="仿宋_GB2312" w:eastAsia="仿宋_GB2312" w:cs="仿宋_GB2312"/>
          <w:color w:val="auto"/>
          <w:sz w:val="32"/>
          <w:szCs w:val="32"/>
          <w:highlight w:val="none"/>
        </w:rPr>
        <w:t>。</w:t>
      </w:r>
    </w:p>
    <w:p>
      <w:pPr>
        <w:pageBreakBefore w:val="0"/>
        <w:widowControl/>
        <w:kinsoku/>
        <w:wordWrap/>
        <w:overflowPunct/>
        <w:topLinePunct w:val="0"/>
        <w:bidi w:val="0"/>
        <w:spacing w:line="240" w:lineRule="auto"/>
        <w:ind w:left="0" w:leftChars="0" w:right="0" w:firstLine="640" w:firstLineChars="200"/>
        <w:jc w:val="left"/>
        <w:textAlignment w:val="auto"/>
        <w:rPr>
          <w:rFonts w:hint="eastAsia" w:ascii="仿宋_GB2312" w:hAnsi="宋体"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highlight w:val="none"/>
        </w:rPr>
        <w:t>组织对2022年度一般公共预算、政府性基金预算、国有资本经营预算、社会保险基金预算以及资本资产、债券资金等全面开展绩效自评，形成</w:t>
      </w:r>
      <w:r>
        <w:rPr>
          <w:rFonts w:hint="eastAsia" w:ascii="仿宋_GB2312" w:hAnsi="仿宋_GB2312" w:eastAsia="仿宋_GB2312" w:cs="仿宋_GB2312"/>
          <w:color w:val="auto"/>
          <w:sz w:val="32"/>
          <w:szCs w:val="32"/>
          <w:highlight w:val="none"/>
          <w:lang w:eastAsia="zh-CN"/>
        </w:rPr>
        <w:t>乐山市公安局五通桥区分局</w:t>
      </w:r>
      <w:r>
        <w:rPr>
          <w:rFonts w:hint="eastAsia" w:ascii="仿宋_GB2312" w:hAnsi="仿宋_GB2312" w:eastAsia="仿宋_GB2312" w:cs="仿宋_GB2312"/>
          <w:color w:val="auto"/>
          <w:sz w:val="32"/>
          <w:szCs w:val="32"/>
          <w:highlight w:val="none"/>
        </w:rPr>
        <w:t>部门整体绩效自评报告，部门整体绩效</w:t>
      </w:r>
      <w:bookmarkStart w:id="73" w:name="_GoBack"/>
      <w:bookmarkEnd w:id="73"/>
      <w:r>
        <w:rPr>
          <w:rFonts w:hint="eastAsia" w:ascii="仿宋_GB2312" w:hAnsi="仿宋_GB2312" w:eastAsia="仿宋_GB2312" w:cs="仿宋_GB2312"/>
          <w:color w:val="auto"/>
          <w:sz w:val="32"/>
          <w:szCs w:val="32"/>
          <w:highlight w:val="none"/>
        </w:rPr>
        <w:t>自评得分为</w:t>
      </w:r>
      <w:r>
        <w:rPr>
          <w:rFonts w:hint="eastAsia" w:ascii="仿宋_GB2312" w:hAnsi="仿宋_GB2312" w:eastAsia="仿宋_GB2312" w:cs="仿宋_GB2312"/>
          <w:color w:val="auto"/>
          <w:sz w:val="32"/>
          <w:szCs w:val="32"/>
          <w:highlight w:val="none"/>
          <w:lang w:val="en-US" w:eastAsia="zh-CN"/>
        </w:rPr>
        <w:t>92</w:t>
      </w:r>
      <w:r>
        <w:rPr>
          <w:rFonts w:hint="eastAsia" w:ascii="仿宋_GB2312" w:hAnsi="仿宋_GB2312" w:eastAsia="仿宋_GB2312" w:cs="仿宋_GB2312"/>
          <w:color w:val="auto"/>
          <w:sz w:val="32"/>
          <w:szCs w:val="32"/>
          <w:highlight w:val="none"/>
        </w:rPr>
        <w:t>分，绩效自评综述：</w:t>
      </w:r>
      <w:r>
        <w:rPr>
          <w:rFonts w:hint="eastAsia" w:ascii="仿宋_GB2312" w:hAnsi="宋体" w:eastAsia="仿宋_GB2312" w:cs="仿宋_GB2312"/>
          <w:color w:val="auto"/>
          <w:sz w:val="32"/>
          <w:szCs w:val="32"/>
          <w:shd w:val="clear" w:color="auto" w:fill="FFFFFF"/>
        </w:rPr>
        <w:t>乐山市公安局五通桥区分局设内设机构13个</w:t>
      </w:r>
      <w:r>
        <w:rPr>
          <w:rFonts w:hint="eastAsia" w:ascii="仿宋_GB2312" w:hAnsi="宋体" w:eastAsia="仿宋_GB2312" w:cs="仿宋_GB2312"/>
          <w:color w:val="auto"/>
          <w:sz w:val="32"/>
          <w:szCs w:val="32"/>
          <w:shd w:val="clear" w:color="auto" w:fill="FFFFFF"/>
          <w:lang w:eastAsia="zh-CN"/>
        </w:rPr>
        <w:t>、</w:t>
      </w:r>
      <w:r>
        <w:rPr>
          <w:rFonts w:hint="eastAsia" w:ascii="仿宋_GB2312" w:hAnsi="宋体" w:eastAsia="仿宋_GB2312" w:cs="仿宋_GB2312"/>
          <w:color w:val="auto"/>
          <w:sz w:val="32"/>
          <w:szCs w:val="32"/>
          <w:shd w:val="clear" w:color="auto" w:fill="FFFFFF"/>
        </w:rPr>
        <w:t>派出所机构8个</w:t>
      </w:r>
      <w:r>
        <w:rPr>
          <w:rFonts w:hint="eastAsia" w:ascii="仿宋_GB2312" w:hAnsi="宋体" w:eastAsia="仿宋_GB2312" w:cs="仿宋_GB2312"/>
          <w:color w:val="auto"/>
          <w:sz w:val="32"/>
          <w:szCs w:val="32"/>
          <w:shd w:val="clear" w:color="auto" w:fill="FFFFFF"/>
          <w:lang w:eastAsia="zh-CN"/>
        </w:rPr>
        <w:t>、</w:t>
      </w:r>
      <w:r>
        <w:rPr>
          <w:rFonts w:hint="eastAsia" w:ascii="仿宋_GB2312" w:hAnsi="宋体" w:eastAsia="仿宋_GB2312" w:cs="仿宋_GB2312"/>
          <w:color w:val="auto"/>
          <w:sz w:val="32"/>
          <w:szCs w:val="32"/>
          <w:shd w:val="clear" w:color="auto" w:fill="FFFFFF"/>
        </w:rPr>
        <w:t>看守所1个</w:t>
      </w:r>
      <w:r>
        <w:rPr>
          <w:rFonts w:hint="eastAsia" w:ascii="仿宋_GB2312" w:hAnsi="宋体" w:eastAsia="仿宋_GB2312" w:cs="仿宋_GB2312"/>
          <w:color w:val="auto"/>
          <w:sz w:val="32"/>
          <w:szCs w:val="32"/>
          <w:shd w:val="clear" w:color="auto" w:fill="FFFFFF"/>
          <w:lang w:eastAsia="zh-CN"/>
        </w:rPr>
        <w:t>，下属二级单位</w:t>
      </w:r>
      <w:r>
        <w:rPr>
          <w:rFonts w:hint="eastAsia" w:ascii="仿宋_GB2312" w:hAnsi="宋体" w:eastAsia="仿宋_GB2312" w:cs="仿宋_GB2312"/>
          <w:color w:val="auto"/>
          <w:sz w:val="32"/>
          <w:szCs w:val="32"/>
          <w:shd w:val="clear" w:color="auto" w:fill="FFFFFF"/>
          <w:lang w:val="en-US" w:eastAsia="zh-CN"/>
        </w:rPr>
        <w:t>1个</w:t>
      </w:r>
      <w:r>
        <w:rPr>
          <w:rFonts w:hint="eastAsia" w:ascii="仿宋_GB2312" w:hAnsi="宋体" w:eastAsia="仿宋_GB2312" w:cs="仿宋_GB2312"/>
          <w:color w:val="auto"/>
          <w:sz w:val="32"/>
          <w:szCs w:val="32"/>
          <w:shd w:val="clear" w:color="auto" w:fill="FFFFFF"/>
        </w:rPr>
        <w:t>。含政法委总编制21</w:t>
      </w:r>
      <w:r>
        <w:rPr>
          <w:rFonts w:hint="eastAsia" w:ascii="仿宋_GB2312" w:hAnsi="宋体" w:eastAsia="仿宋_GB2312" w:cs="仿宋_GB2312"/>
          <w:color w:val="auto"/>
          <w:sz w:val="32"/>
          <w:szCs w:val="32"/>
          <w:shd w:val="clear" w:color="auto" w:fill="FFFFFF"/>
          <w:lang w:val="en-US" w:eastAsia="zh-CN"/>
        </w:rPr>
        <w:t>5</w:t>
      </w:r>
      <w:r>
        <w:rPr>
          <w:rFonts w:hint="eastAsia" w:ascii="仿宋_GB2312" w:hAnsi="宋体" w:eastAsia="仿宋_GB2312" w:cs="仿宋_GB2312"/>
          <w:color w:val="auto"/>
          <w:sz w:val="32"/>
          <w:szCs w:val="32"/>
          <w:shd w:val="clear" w:color="auto" w:fill="FFFFFF"/>
        </w:rPr>
        <w:t>人，其中行政政法编制207人（行政编制204人，工勤编制3人）、事业编制8人。截止202</w:t>
      </w:r>
      <w:r>
        <w:rPr>
          <w:rFonts w:hint="eastAsia" w:ascii="仿宋_GB2312" w:hAnsi="宋体" w:eastAsia="仿宋_GB2312" w:cs="仿宋_GB2312"/>
          <w:color w:val="auto"/>
          <w:sz w:val="32"/>
          <w:szCs w:val="32"/>
          <w:shd w:val="clear" w:color="auto" w:fill="FFFFFF"/>
          <w:lang w:val="en-US" w:eastAsia="zh-CN"/>
        </w:rPr>
        <w:t>2</w:t>
      </w:r>
      <w:r>
        <w:rPr>
          <w:rFonts w:hint="eastAsia" w:ascii="仿宋_GB2312" w:hAnsi="宋体" w:eastAsia="仿宋_GB2312" w:cs="仿宋_GB2312"/>
          <w:color w:val="auto"/>
          <w:sz w:val="32"/>
          <w:szCs w:val="32"/>
          <w:shd w:val="clear" w:color="auto" w:fill="FFFFFF"/>
        </w:rPr>
        <w:t>年末，实有在职人员</w:t>
      </w:r>
      <w:r>
        <w:rPr>
          <w:rFonts w:hint="eastAsia" w:ascii="仿宋_GB2312" w:hAnsi="宋体" w:eastAsia="仿宋_GB2312" w:cs="仿宋_GB2312"/>
          <w:color w:val="auto"/>
          <w:sz w:val="32"/>
          <w:szCs w:val="32"/>
          <w:shd w:val="clear" w:color="auto" w:fill="FFFFFF"/>
          <w:lang w:val="en-US" w:eastAsia="zh-CN"/>
        </w:rPr>
        <w:t>216</w:t>
      </w:r>
      <w:r>
        <w:rPr>
          <w:rFonts w:hint="eastAsia" w:ascii="仿宋_GB2312" w:hAnsi="宋体" w:eastAsia="仿宋_GB2312" w:cs="仿宋_GB2312"/>
          <w:color w:val="auto"/>
          <w:sz w:val="32"/>
          <w:szCs w:val="32"/>
          <w:shd w:val="clear" w:color="auto" w:fill="FFFFFF"/>
        </w:rPr>
        <w:t>人，其中政法机关编制人员</w:t>
      </w:r>
      <w:r>
        <w:rPr>
          <w:rFonts w:hint="eastAsia" w:ascii="仿宋_GB2312" w:hAnsi="宋体" w:eastAsia="仿宋_GB2312" w:cs="仿宋_GB2312"/>
          <w:color w:val="auto"/>
          <w:sz w:val="32"/>
          <w:szCs w:val="32"/>
          <w:shd w:val="clear" w:color="auto" w:fill="FFFFFF"/>
          <w:lang w:val="en-US" w:eastAsia="zh-CN"/>
        </w:rPr>
        <w:t>206</w:t>
      </w:r>
      <w:r>
        <w:rPr>
          <w:rFonts w:hint="eastAsia" w:ascii="仿宋_GB2312" w:hAnsi="宋体" w:eastAsia="仿宋_GB2312" w:cs="仿宋_GB2312"/>
          <w:color w:val="auto"/>
          <w:sz w:val="32"/>
          <w:szCs w:val="32"/>
          <w:shd w:val="clear" w:color="auto" w:fill="FFFFFF"/>
        </w:rPr>
        <w:t>人、工勤人员</w:t>
      </w:r>
      <w:r>
        <w:rPr>
          <w:rFonts w:hint="eastAsia" w:ascii="仿宋_GB2312" w:hAnsi="宋体" w:eastAsia="仿宋_GB2312" w:cs="仿宋_GB2312"/>
          <w:color w:val="auto"/>
          <w:sz w:val="32"/>
          <w:szCs w:val="32"/>
          <w:shd w:val="clear" w:color="auto" w:fill="FFFFFF"/>
          <w:lang w:val="en-US" w:eastAsia="zh-CN"/>
        </w:rPr>
        <w:t>3</w:t>
      </w:r>
      <w:r>
        <w:rPr>
          <w:rFonts w:hint="eastAsia" w:ascii="仿宋_GB2312" w:hAnsi="宋体" w:eastAsia="仿宋_GB2312" w:cs="仿宋_GB2312"/>
          <w:color w:val="auto"/>
          <w:sz w:val="32"/>
          <w:szCs w:val="32"/>
          <w:shd w:val="clear" w:color="auto" w:fill="FFFFFF"/>
        </w:rPr>
        <w:t>人、事业7人；警务辅助人员191人。202</w:t>
      </w:r>
      <w:r>
        <w:rPr>
          <w:rFonts w:hint="eastAsia" w:ascii="仿宋_GB2312" w:hAnsi="宋体" w:eastAsia="仿宋_GB2312" w:cs="仿宋_GB2312"/>
          <w:color w:val="auto"/>
          <w:sz w:val="32"/>
          <w:szCs w:val="32"/>
          <w:shd w:val="clear" w:color="auto" w:fill="FFFFFF"/>
          <w:lang w:val="en-US" w:eastAsia="zh-CN"/>
        </w:rPr>
        <w:t>2</w:t>
      </w:r>
      <w:r>
        <w:rPr>
          <w:rFonts w:hint="eastAsia" w:ascii="仿宋_GB2312" w:hAnsi="宋体" w:eastAsia="仿宋_GB2312" w:cs="仿宋_GB2312"/>
          <w:color w:val="auto"/>
          <w:sz w:val="32"/>
          <w:szCs w:val="32"/>
          <w:shd w:val="clear" w:color="auto" w:fill="FFFFFF"/>
        </w:rPr>
        <w:t>年财政拨款收入合计8584.77万元，一般公共预算财政拨款收入8584.77万元，占100%。其中：</w:t>
      </w:r>
      <w:r>
        <w:rPr>
          <w:rFonts w:hint="eastAsia" w:ascii="仿宋_GB2312" w:hAnsi="仿宋_GB2312" w:eastAsia="仿宋_GB2312"/>
          <w:color w:val="auto"/>
          <w:kern w:val="2"/>
          <w:sz w:val="32"/>
          <w:lang w:val="zh-CN"/>
        </w:rPr>
        <w:t>公共安全支出7575.53万元，占88.2</w:t>
      </w:r>
      <w:r>
        <w:rPr>
          <w:rFonts w:hint="eastAsia" w:ascii="仿宋_GB2312" w:hAnsi="仿宋_GB2312" w:eastAsia="仿宋_GB2312"/>
          <w:color w:val="auto"/>
          <w:kern w:val="2"/>
          <w:sz w:val="32"/>
          <w:lang w:val="en-US" w:eastAsia="zh-CN"/>
        </w:rPr>
        <w:t>4</w:t>
      </w:r>
      <w:r>
        <w:rPr>
          <w:rFonts w:hint="eastAsia" w:ascii="仿宋_GB2312" w:hAnsi="仿宋_GB2312" w:eastAsia="仿宋_GB2312"/>
          <w:color w:val="auto"/>
          <w:kern w:val="2"/>
          <w:sz w:val="32"/>
          <w:lang w:val="zh-CN"/>
        </w:rPr>
        <w:t>%；社会保障和就业支出526</w:t>
      </w:r>
      <w:r>
        <w:rPr>
          <w:rFonts w:hint="eastAsia" w:ascii="仿宋_GB2312" w:hAnsi="仿宋_GB2312" w:eastAsia="仿宋_GB2312"/>
          <w:color w:val="auto"/>
          <w:kern w:val="2"/>
          <w:sz w:val="32"/>
          <w:lang w:val="en-US" w:eastAsia="zh-CN"/>
        </w:rPr>
        <w:t>.</w:t>
      </w:r>
      <w:r>
        <w:rPr>
          <w:rFonts w:hint="eastAsia" w:ascii="仿宋_GB2312" w:hAnsi="仿宋_GB2312" w:eastAsia="仿宋_GB2312"/>
          <w:color w:val="auto"/>
          <w:kern w:val="2"/>
          <w:sz w:val="32"/>
          <w:lang w:val="zh-CN"/>
        </w:rPr>
        <w:t>91万元，占6.1</w:t>
      </w:r>
      <w:r>
        <w:rPr>
          <w:rFonts w:hint="eastAsia" w:ascii="仿宋_GB2312" w:hAnsi="仿宋_GB2312" w:eastAsia="仿宋_GB2312"/>
          <w:color w:val="auto"/>
          <w:kern w:val="2"/>
          <w:sz w:val="32"/>
          <w:lang w:val="en-US" w:eastAsia="zh-CN"/>
        </w:rPr>
        <w:t>4</w:t>
      </w:r>
      <w:r>
        <w:rPr>
          <w:rFonts w:hint="eastAsia" w:ascii="仿宋_GB2312" w:hAnsi="仿宋_GB2312" w:eastAsia="仿宋_GB2312"/>
          <w:color w:val="auto"/>
          <w:kern w:val="2"/>
          <w:sz w:val="32"/>
          <w:lang w:val="zh-CN"/>
        </w:rPr>
        <w:t>%；卫生健康支出143.64万元，占1.</w:t>
      </w:r>
      <w:r>
        <w:rPr>
          <w:rFonts w:hint="eastAsia" w:ascii="仿宋_GB2312" w:hAnsi="仿宋_GB2312" w:eastAsia="仿宋_GB2312"/>
          <w:color w:val="auto"/>
          <w:kern w:val="2"/>
          <w:sz w:val="32"/>
          <w:lang w:val="en-US" w:eastAsia="zh-CN"/>
        </w:rPr>
        <w:t>6</w:t>
      </w:r>
      <w:r>
        <w:rPr>
          <w:rFonts w:hint="eastAsia" w:ascii="仿宋_GB2312" w:hAnsi="仿宋_GB2312" w:eastAsia="仿宋_GB2312"/>
          <w:color w:val="auto"/>
          <w:kern w:val="2"/>
          <w:sz w:val="32"/>
          <w:lang w:val="zh-CN"/>
        </w:rPr>
        <w:t>7%；住房保障支出338.69万元，占3.9</w:t>
      </w:r>
      <w:r>
        <w:rPr>
          <w:rFonts w:hint="eastAsia" w:ascii="仿宋_GB2312" w:hAnsi="仿宋_GB2312" w:eastAsia="仿宋_GB2312"/>
          <w:color w:val="auto"/>
          <w:kern w:val="2"/>
          <w:sz w:val="32"/>
          <w:lang w:val="en-US" w:eastAsia="zh-CN"/>
        </w:rPr>
        <w:t>5</w:t>
      </w:r>
      <w:r>
        <w:rPr>
          <w:rFonts w:hint="eastAsia" w:ascii="仿宋_GB2312" w:hAnsi="仿宋_GB2312" w:eastAsia="仿宋_GB2312"/>
          <w:color w:val="auto"/>
          <w:kern w:val="2"/>
          <w:sz w:val="32"/>
          <w:lang w:val="zh-CN"/>
        </w:rPr>
        <w:t>%。</w:t>
      </w:r>
      <w:r>
        <w:rPr>
          <w:rFonts w:hint="eastAsia" w:ascii="仿宋_GB2312" w:hAnsi="宋体" w:eastAsia="仿宋_GB2312" w:cs="仿宋_GB2312"/>
          <w:color w:val="auto"/>
          <w:sz w:val="32"/>
          <w:szCs w:val="32"/>
          <w:shd w:val="clear" w:color="auto" w:fill="FFFFFF"/>
        </w:rPr>
        <w:t>202</w:t>
      </w:r>
      <w:r>
        <w:rPr>
          <w:rFonts w:hint="eastAsia" w:ascii="仿宋_GB2312" w:hAnsi="宋体" w:eastAsia="仿宋_GB2312" w:cs="仿宋_GB2312"/>
          <w:color w:val="auto"/>
          <w:sz w:val="32"/>
          <w:szCs w:val="32"/>
          <w:shd w:val="clear" w:color="auto" w:fill="FFFFFF"/>
          <w:lang w:val="en-US" w:eastAsia="zh-CN"/>
        </w:rPr>
        <w:t>2</w:t>
      </w:r>
      <w:r>
        <w:rPr>
          <w:rFonts w:hint="eastAsia" w:ascii="仿宋_GB2312" w:hAnsi="宋体" w:eastAsia="仿宋_GB2312" w:cs="仿宋_GB2312"/>
          <w:color w:val="auto"/>
          <w:sz w:val="32"/>
          <w:szCs w:val="32"/>
          <w:shd w:val="clear" w:color="auto" w:fill="FFFFFF"/>
        </w:rPr>
        <w:t>年财政拨款支出合计8584.77万元，其中：</w:t>
      </w:r>
      <w:r>
        <w:rPr>
          <w:rFonts w:hint="eastAsia" w:ascii="仿宋_GB2312" w:hAnsi="仿宋_GB2312" w:eastAsia="仿宋_GB2312"/>
          <w:color w:val="auto"/>
          <w:kern w:val="2"/>
          <w:sz w:val="32"/>
          <w:lang w:val="zh-CN"/>
        </w:rPr>
        <w:t>基本支出6543.82万元，占76.2</w:t>
      </w:r>
      <w:r>
        <w:rPr>
          <w:rFonts w:hint="eastAsia" w:ascii="仿宋_GB2312" w:hAnsi="仿宋_GB2312" w:eastAsia="仿宋_GB2312"/>
          <w:color w:val="auto"/>
          <w:kern w:val="2"/>
          <w:sz w:val="32"/>
          <w:lang w:val="en-US" w:eastAsia="zh-CN"/>
        </w:rPr>
        <w:t>3</w:t>
      </w:r>
      <w:r>
        <w:rPr>
          <w:rFonts w:hint="eastAsia" w:ascii="仿宋_GB2312" w:hAnsi="仿宋_GB2312" w:eastAsia="仿宋_GB2312"/>
          <w:color w:val="auto"/>
          <w:kern w:val="2"/>
          <w:sz w:val="32"/>
          <w:lang w:val="zh-CN"/>
        </w:rPr>
        <w:t>%；项目支出2040.95万元，占23.</w:t>
      </w:r>
      <w:r>
        <w:rPr>
          <w:rFonts w:hint="eastAsia" w:ascii="仿宋_GB2312" w:hAnsi="仿宋_GB2312" w:eastAsia="仿宋_GB2312"/>
          <w:color w:val="auto"/>
          <w:kern w:val="2"/>
          <w:sz w:val="32"/>
          <w:lang w:val="en-US" w:eastAsia="zh-CN"/>
        </w:rPr>
        <w:t>77</w:t>
      </w:r>
      <w:r>
        <w:rPr>
          <w:rFonts w:hint="eastAsia" w:ascii="仿宋_GB2312" w:hAnsi="仿宋_GB2312" w:eastAsia="仿宋_GB2312"/>
          <w:color w:val="auto"/>
          <w:kern w:val="2"/>
          <w:sz w:val="32"/>
          <w:lang w:val="zh-CN"/>
        </w:rPr>
        <w:t>%</w:t>
      </w:r>
      <w:r>
        <w:rPr>
          <w:rFonts w:hint="eastAsia" w:ascii="仿宋_GB2312" w:hAnsi="宋体" w:eastAsia="仿宋_GB2312" w:cs="仿宋_GB2312"/>
          <w:color w:val="auto"/>
          <w:sz w:val="32"/>
          <w:szCs w:val="32"/>
          <w:shd w:val="clear" w:color="auto" w:fill="FFFFFF"/>
        </w:rPr>
        <w:t>，各项财政拨款支出情况为：</w:t>
      </w:r>
      <w:r>
        <w:rPr>
          <w:rFonts w:hint="eastAsia" w:ascii="仿宋_GB2312" w:hAnsi="仿宋_GB2312" w:eastAsia="仿宋_GB2312"/>
          <w:color w:val="auto"/>
          <w:kern w:val="2"/>
          <w:sz w:val="32"/>
          <w:lang w:val="zh-CN"/>
        </w:rPr>
        <w:t>公共安全支出7575.53万元，占88.2</w:t>
      </w:r>
      <w:r>
        <w:rPr>
          <w:rFonts w:hint="eastAsia" w:ascii="仿宋_GB2312" w:hAnsi="仿宋_GB2312" w:eastAsia="仿宋_GB2312"/>
          <w:color w:val="auto"/>
          <w:kern w:val="2"/>
          <w:sz w:val="32"/>
          <w:lang w:val="en-US" w:eastAsia="zh-CN"/>
        </w:rPr>
        <w:t>4</w:t>
      </w:r>
      <w:r>
        <w:rPr>
          <w:rFonts w:hint="eastAsia" w:ascii="仿宋_GB2312" w:hAnsi="仿宋_GB2312" w:eastAsia="仿宋_GB2312"/>
          <w:color w:val="auto"/>
          <w:kern w:val="2"/>
          <w:sz w:val="32"/>
          <w:lang w:val="zh-CN"/>
        </w:rPr>
        <w:t>%；社会保障和就业支出526</w:t>
      </w:r>
      <w:r>
        <w:rPr>
          <w:rFonts w:hint="eastAsia" w:ascii="仿宋_GB2312" w:hAnsi="仿宋_GB2312" w:eastAsia="仿宋_GB2312"/>
          <w:color w:val="auto"/>
          <w:kern w:val="2"/>
          <w:sz w:val="32"/>
          <w:lang w:val="en-US" w:eastAsia="zh-CN"/>
        </w:rPr>
        <w:t>.</w:t>
      </w:r>
      <w:r>
        <w:rPr>
          <w:rFonts w:hint="eastAsia" w:ascii="仿宋_GB2312" w:hAnsi="仿宋_GB2312" w:eastAsia="仿宋_GB2312"/>
          <w:color w:val="auto"/>
          <w:kern w:val="2"/>
          <w:sz w:val="32"/>
          <w:lang w:val="zh-CN"/>
        </w:rPr>
        <w:t>91万元，占6.1</w:t>
      </w:r>
      <w:r>
        <w:rPr>
          <w:rFonts w:hint="eastAsia" w:ascii="仿宋_GB2312" w:hAnsi="仿宋_GB2312" w:eastAsia="仿宋_GB2312"/>
          <w:color w:val="auto"/>
          <w:kern w:val="2"/>
          <w:sz w:val="32"/>
          <w:lang w:val="en-US" w:eastAsia="zh-CN"/>
        </w:rPr>
        <w:t>4</w:t>
      </w:r>
      <w:r>
        <w:rPr>
          <w:rFonts w:hint="eastAsia" w:ascii="仿宋_GB2312" w:hAnsi="仿宋_GB2312" w:eastAsia="仿宋_GB2312"/>
          <w:color w:val="auto"/>
          <w:kern w:val="2"/>
          <w:sz w:val="32"/>
          <w:lang w:val="zh-CN"/>
        </w:rPr>
        <w:t>%；卫生健康支出143.64万元，占1.</w:t>
      </w:r>
      <w:r>
        <w:rPr>
          <w:rFonts w:hint="eastAsia" w:ascii="仿宋_GB2312" w:hAnsi="仿宋_GB2312" w:eastAsia="仿宋_GB2312"/>
          <w:color w:val="auto"/>
          <w:kern w:val="2"/>
          <w:sz w:val="32"/>
          <w:lang w:val="en-US" w:eastAsia="zh-CN"/>
        </w:rPr>
        <w:t>6</w:t>
      </w:r>
      <w:r>
        <w:rPr>
          <w:rFonts w:hint="eastAsia" w:ascii="仿宋_GB2312" w:hAnsi="仿宋_GB2312" w:eastAsia="仿宋_GB2312"/>
          <w:color w:val="auto"/>
          <w:kern w:val="2"/>
          <w:sz w:val="32"/>
          <w:lang w:val="zh-CN"/>
        </w:rPr>
        <w:t>7%；住房保障支出338.69万元，占3.9</w:t>
      </w:r>
      <w:r>
        <w:rPr>
          <w:rFonts w:hint="eastAsia" w:ascii="仿宋_GB2312" w:hAnsi="仿宋_GB2312" w:eastAsia="仿宋_GB2312"/>
          <w:color w:val="auto"/>
          <w:kern w:val="2"/>
          <w:sz w:val="32"/>
          <w:lang w:val="en-US" w:eastAsia="zh-CN"/>
        </w:rPr>
        <w:t>5</w:t>
      </w:r>
      <w:r>
        <w:rPr>
          <w:rFonts w:hint="eastAsia" w:ascii="仿宋_GB2312" w:hAnsi="仿宋_GB2312" w:eastAsia="仿宋_GB2312"/>
          <w:color w:val="auto"/>
          <w:kern w:val="2"/>
          <w:sz w:val="32"/>
          <w:lang w:val="zh-CN"/>
        </w:rPr>
        <w:t>%。</w:t>
      </w:r>
      <w:r>
        <w:rPr>
          <w:rFonts w:hint="eastAsia" w:ascii="仿宋_GB2312" w:hAnsi="宋体" w:eastAsia="仿宋_GB2312" w:cs="仿宋_GB2312"/>
          <w:color w:val="auto"/>
          <w:sz w:val="32"/>
          <w:szCs w:val="32"/>
          <w:shd w:val="clear" w:color="auto" w:fill="FFFFFF"/>
        </w:rPr>
        <w:t>202</w:t>
      </w:r>
      <w:r>
        <w:rPr>
          <w:rFonts w:hint="eastAsia" w:ascii="仿宋_GB2312" w:hAnsi="宋体" w:eastAsia="仿宋_GB2312" w:cs="仿宋_GB2312"/>
          <w:color w:val="auto"/>
          <w:sz w:val="32"/>
          <w:szCs w:val="32"/>
          <w:shd w:val="clear" w:color="auto" w:fill="FFFFFF"/>
          <w:lang w:val="en-US" w:eastAsia="zh-CN"/>
        </w:rPr>
        <w:t>2</w:t>
      </w:r>
      <w:r>
        <w:rPr>
          <w:rFonts w:hint="eastAsia" w:ascii="仿宋_GB2312" w:hAnsi="宋体" w:eastAsia="仿宋_GB2312" w:cs="仿宋_GB2312"/>
          <w:color w:val="auto"/>
          <w:sz w:val="32"/>
          <w:szCs w:val="32"/>
          <w:shd w:val="clear" w:color="auto" w:fill="FFFFFF"/>
        </w:rPr>
        <w:t>年“三公”经费收入支出90万元，其中公务用车购置及运行维护费支出90万元。主要原因是严格车辆使用和运行管理，</w:t>
      </w:r>
      <w:r>
        <w:rPr>
          <w:rFonts w:hint="eastAsia" w:ascii="仿宋_GB2312" w:hAnsi="宋体" w:eastAsia="仿宋_GB2312" w:cs="仿宋_GB2312"/>
          <w:color w:val="auto"/>
          <w:sz w:val="32"/>
          <w:szCs w:val="32"/>
          <w:shd w:val="clear" w:color="auto" w:fill="FFFFFF"/>
          <w:lang w:eastAsia="zh-CN"/>
        </w:rPr>
        <w:t>严格控制</w:t>
      </w:r>
      <w:r>
        <w:rPr>
          <w:rFonts w:hint="eastAsia" w:ascii="仿宋_GB2312" w:hAnsi="宋体" w:eastAsia="仿宋_GB2312" w:cs="仿宋_GB2312"/>
          <w:color w:val="auto"/>
          <w:sz w:val="32"/>
          <w:szCs w:val="32"/>
          <w:shd w:val="clear" w:color="auto" w:fill="FFFFFF"/>
        </w:rPr>
        <w:t>车辆燃油和维修</w:t>
      </w:r>
      <w:r>
        <w:rPr>
          <w:rFonts w:hint="eastAsia" w:ascii="仿宋_GB2312" w:hAnsi="宋体" w:eastAsia="仿宋_GB2312" w:cs="仿宋_GB2312"/>
          <w:color w:val="auto"/>
          <w:sz w:val="32"/>
          <w:szCs w:val="32"/>
          <w:shd w:val="clear" w:color="auto" w:fill="FFFFFF"/>
          <w:lang w:eastAsia="zh-CN"/>
        </w:rPr>
        <w:t>等</w:t>
      </w:r>
      <w:r>
        <w:rPr>
          <w:rFonts w:hint="eastAsia" w:ascii="仿宋_GB2312" w:hAnsi="宋体" w:eastAsia="仿宋_GB2312" w:cs="仿宋_GB2312"/>
          <w:color w:val="auto"/>
          <w:sz w:val="32"/>
          <w:szCs w:val="32"/>
          <w:shd w:val="clear" w:color="auto" w:fill="FFFFFF"/>
        </w:rPr>
        <w:t>费用。</w:t>
      </w:r>
      <w:r>
        <w:rPr>
          <w:rFonts w:hint="eastAsia" w:ascii="仿宋_GB2312" w:hAnsi="宋体" w:eastAsia="仿宋_GB2312" w:cs="仿宋_GB2312"/>
          <w:color w:val="auto"/>
          <w:sz w:val="32"/>
          <w:szCs w:val="32"/>
          <w:shd w:val="clear" w:color="auto" w:fill="FFFFFF"/>
          <w:lang w:val="en-US" w:eastAsia="zh-CN"/>
        </w:rPr>
        <w:t>乐山市公安局五通桥区分局</w:t>
      </w:r>
      <w:r>
        <w:rPr>
          <w:rFonts w:hint="eastAsia" w:ascii="仿宋_GB2312" w:hAnsi="宋体" w:eastAsia="仿宋_GB2312" w:cs="仿宋_GB2312"/>
          <w:color w:val="auto"/>
          <w:sz w:val="32"/>
          <w:szCs w:val="32"/>
          <w:shd w:val="clear" w:color="auto" w:fill="FFFFFF"/>
        </w:rPr>
        <w:t>高度重视</w:t>
      </w:r>
      <w:r>
        <w:rPr>
          <w:rFonts w:hint="eastAsia" w:ascii="仿宋_GB2312" w:hAnsi="宋体" w:eastAsia="仿宋_GB2312" w:cs="仿宋_GB2312"/>
          <w:color w:val="auto"/>
          <w:sz w:val="32"/>
          <w:szCs w:val="32"/>
          <w:shd w:val="clear" w:color="auto" w:fill="FFFFFF"/>
          <w:lang w:val="en-US" w:eastAsia="zh-CN"/>
        </w:rPr>
        <w:t>2022年</w:t>
      </w:r>
      <w:r>
        <w:rPr>
          <w:rFonts w:hint="eastAsia" w:ascii="仿宋_GB2312" w:hAnsi="宋体" w:eastAsia="仿宋_GB2312" w:cs="仿宋_GB2312"/>
          <w:color w:val="auto"/>
          <w:sz w:val="32"/>
          <w:szCs w:val="32"/>
          <w:shd w:val="clear" w:color="auto" w:fill="FFFFFF"/>
          <w:lang w:eastAsia="zh-CN"/>
        </w:rPr>
        <w:t>预算编制</w:t>
      </w:r>
      <w:r>
        <w:rPr>
          <w:rFonts w:hint="eastAsia" w:ascii="仿宋_GB2312" w:hAnsi="宋体" w:eastAsia="仿宋_GB2312" w:cs="仿宋_GB2312"/>
          <w:color w:val="auto"/>
          <w:sz w:val="32"/>
          <w:szCs w:val="32"/>
          <w:shd w:val="clear" w:color="auto" w:fill="FFFFFF"/>
        </w:rPr>
        <w:t>，严格按照财政局要求，认真务实地编制单位预决算。做到了绩效目标合理设置、预算编制准确、专项预算提前细化和结余结转资金认真管理。</w:t>
      </w:r>
      <w:r>
        <w:rPr>
          <w:rFonts w:hint="eastAsia" w:ascii="仿宋_GB2312" w:hAnsi="宋体" w:eastAsia="仿宋_GB2312" w:cs="仿宋_GB2312"/>
          <w:color w:val="auto"/>
          <w:sz w:val="32"/>
          <w:szCs w:val="32"/>
          <w:shd w:val="clear" w:color="auto" w:fill="FFFFFF"/>
          <w:lang w:eastAsia="zh-CN"/>
        </w:rPr>
        <w:t>在</w:t>
      </w:r>
      <w:r>
        <w:rPr>
          <w:rFonts w:hint="eastAsia" w:ascii="仿宋_GB2312" w:hAnsi="宋体" w:eastAsia="仿宋_GB2312" w:cs="仿宋_GB2312"/>
          <w:color w:val="auto"/>
          <w:sz w:val="32"/>
          <w:szCs w:val="32"/>
          <w:shd w:val="clear" w:color="auto" w:fill="FFFFFF"/>
        </w:rPr>
        <w:t>完善各项管理办法的同时，保障各项事务正常运转，相关人员在工作过程中严格执行规定，相互监督，保证了会计工作的真实性、完整性以及单位财产的安全。项目资金支出均严格按照财务管理制度执行，按照谁申报谁负责的方式，对项目资金使用及中长期规划等进行了有效管理</w:t>
      </w:r>
      <w:r>
        <w:rPr>
          <w:rFonts w:hint="eastAsia" w:ascii="仿宋_GB2312" w:hAnsi="宋体" w:eastAsia="仿宋_GB2312" w:cs="仿宋_GB2312"/>
          <w:color w:val="auto"/>
          <w:sz w:val="32"/>
          <w:szCs w:val="32"/>
          <w:shd w:val="clear" w:color="auto" w:fill="FFFFFF"/>
          <w:lang w:eastAsia="zh-CN"/>
        </w:rPr>
        <w:t>，</w:t>
      </w:r>
      <w:r>
        <w:rPr>
          <w:rFonts w:hint="eastAsia" w:ascii="仿宋_GB2312" w:hAnsi="宋体" w:eastAsia="仿宋_GB2312" w:cs="仿宋_GB2312"/>
          <w:color w:val="auto"/>
          <w:sz w:val="32"/>
          <w:szCs w:val="32"/>
          <w:shd w:val="clear" w:color="auto" w:fill="FFFFFF"/>
        </w:rPr>
        <w:t>项目实施完成后均达到了预期经济和社会效益等绩效目标</w:t>
      </w:r>
      <w:r>
        <w:rPr>
          <w:rFonts w:hint="eastAsia" w:ascii="仿宋_GB2312" w:hAnsi="宋体" w:eastAsia="仿宋_GB2312" w:cs="仿宋_GB2312"/>
          <w:color w:val="auto"/>
          <w:sz w:val="32"/>
          <w:szCs w:val="32"/>
          <w:shd w:val="clear" w:color="auto" w:fill="FFFFFF"/>
          <w:lang w:eastAsia="zh-CN"/>
        </w:rPr>
        <w:t>。</w:t>
      </w:r>
      <w:r>
        <w:rPr>
          <w:rFonts w:hint="eastAsia" w:ascii="仿宋_GB2312" w:hAnsi="宋体" w:eastAsia="仿宋_GB2312" w:cs="仿宋_GB2312"/>
          <w:color w:val="auto"/>
          <w:sz w:val="32"/>
          <w:szCs w:val="32"/>
          <w:shd w:val="clear" w:color="auto" w:fill="FFFFFF"/>
        </w:rPr>
        <w:t>全年执行进度、中期评估较好。202</w:t>
      </w:r>
      <w:r>
        <w:rPr>
          <w:rFonts w:hint="eastAsia" w:ascii="仿宋_GB2312" w:hAnsi="宋体" w:eastAsia="仿宋_GB2312" w:cs="仿宋_GB2312"/>
          <w:color w:val="auto"/>
          <w:sz w:val="32"/>
          <w:szCs w:val="32"/>
          <w:shd w:val="clear" w:color="auto" w:fill="FFFFFF"/>
          <w:lang w:val="en-US" w:eastAsia="zh-CN"/>
        </w:rPr>
        <w:t>2</w:t>
      </w:r>
      <w:r>
        <w:rPr>
          <w:rFonts w:hint="eastAsia" w:ascii="仿宋_GB2312" w:hAnsi="宋体" w:eastAsia="仿宋_GB2312" w:cs="仿宋_GB2312"/>
          <w:color w:val="auto"/>
          <w:sz w:val="32"/>
          <w:szCs w:val="32"/>
          <w:shd w:val="clear" w:color="auto" w:fill="FFFFFF"/>
        </w:rPr>
        <w:t>年度，乐山市公安局五通桥区分局部门预算和项目实施情况良好，年度绩效目标得到完整实现。经统计分析， 202</w:t>
      </w:r>
      <w:r>
        <w:rPr>
          <w:rFonts w:hint="eastAsia" w:ascii="仿宋_GB2312" w:hAnsi="宋体" w:eastAsia="仿宋_GB2312" w:cs="仿宋_GB2312"/>
          <w:color w:val="auto"/>
          <w:sz w:val="32"/>
          <w:szCs w:val="32"/>
          <w:shd w:val="clear" w:color="auto" w:fill="FFFFFF"/>
          <w:lang w:val="en-US" w:eastAsia="zh-CN"/>
        </w:rPr>
        <w:t>2</w:t>
      </w:r>
      <w:r>
        <w:rPr>
          <w:rFonts w:hint="eastAsia" w:ascii="仿宋_GB2312" w:hAnsi="宋体" w:eastAsia="仿宋_GB2312" w:cs="仿宋_GB2312"/>
          <w:color w:val="auto"/>
          <w:sz w:val="32"/>
          <w:szCs w:val="32"/>
          <w:shd w:val="clear" w:color="auto" w:fill="FFFFFF"/>
        </w:rPr>
        <w:t>年度部门整体支出绩效评价综合得分为</w:t>
      </w:r>
      <w:r>
        <w:rPr>
          <w:rFonts w:hint="eastAsia" w:ascii="仿宋_GB2312" w:hAnsi="宋体" w:eastAsia="仿宋_GB2312" w:cs="仿宋_GB2312"/>
          <w:color w:val="auto"/>
          <w:sz w:val="32"/>
          <w:szCs w:val="32"/>
          <w:shd w:val="clear" w:color="auto" w:fill="FFFFFF"/>
          <w:lang w:val="en-US" w:eastAsia="zh-CN"/>
        </w:rPr>
        <w:t>92</w:t>
      </w:r>
      <w:r>
        <w:rPr>
          <w:rFonts w:hint="eastAsia" w:ascii="仿宋_GB2312" w:hAnsi="宋体" w:eastAsia="仿宋_GB2312" w:cs="仿宋_GB2312"/>
          <w:color w:val="auto"/>
          <w:sz w:val="32"/>
          <w:szCs w:val="32"/>
          <w:shd w:val="clear" w:color="auto" w:fill="FFFFFF"/>
        </w:rPr>
        <w:t>分。</w:t>
      </w:r>
    </w:p>
    <w:p>
      <w:pPr>
        <w:pageBreakBefore w:val="0"/>
        <w:widowControl/>
        <w:kinsoku/>
        <w:wordWrap/>
        <w:overflowPunct/>
        <w:topLinePunct w:val="0"/>
        <w:bidi w:val="0"/>
        <w:spacing w:line="240" w:lineRule="auto"/>
        <w:ind w:left="0" w:leftChars="0" w:right="0" w:firstLine="640" w:firstLineChars="200"/>
        <w:jc w:val="left"/>
        <w:textAlignment w:val="auto"/>
        <w:rPr>
          <w:rFonts w:ascii="仿宋_GB2312" w:eastAsia="仿宋_GB2312"/>
          <w:b/>
          <w:color w:val="auto"/>
          <w:sz w:val="32"/>
          <w:szCs w:val="32"/>
          <w:highlight w:val="none"/>
        </w:rPr>
      </w:pPr>
      <w:r>
        <w:rPr>
          <w:rFonts w:hint="eastAsia" w:ascii="仿宋_GB2312" w:hAnsi="仿宋_GB2312" w:eastAsia="仿宋_GB2312"/>
          <w:color w:val="auto"/>
          <w:kern w:val="2"/>
          <w:sz w:val="32"/>
          <w:lang w:val="en-US"/>
        </w:rPr>
        <w:t>绩效自评报告详见附件</w:t>
      </w:r>
      <w:r>
        <w:rPr>
          <w:rFonts w:hint="eastAsia" w:ascii="仿宋_GB2312" w:hAnsi="仿宋_GB2312" w:eastAsia="仿宋_GB2312"/>
          <w:color w:val="auto"/>
          <w:kern w:val="2"/>
          <w:sz w:val="32"/>
          <w:lang w:val="en-US" w:eastAsia="zh-CN"/>
        </w:rPr>
        <w:t>（第四部分）</w:t>
      </w:r>
      <w:r>
        <w:rPr>
          <w:rFonts w:ascii="仿宋_GB2312" w:eastAsia="仿宋_GB2312"/>
          <w:b/>
          <w:color w:val="auto"/>
          <w:sz w:val="32"/>
          <w:szCs w:val="32"/>
          <w:highlight w:val="none"/>
        </w:rPr>
        <w:br w:type="page"/>
      </w:r>
    </w:p>
    <w:p>
      <w:pPr>
        <w:pageBreakBefore w:val="0"/>
        <w:numPr>
          <w:ilvl w:val="0"/>
          <w:numId w:val="2"/>
        </w:numPr>
        <w:kinsoku/>
        <w:wordWrap/>
        <w:overflowPunct/>
        <w:topLinePunct w:val="0"/>
        <w:bidi w:val="0"/>
        <w:spacing w:line="240" w:lineRule="auto"/>
        <w:ind w:left="0" w:leftChars="0" w:right="0" w:firstLine="660" w:firstLineChars="150"/>
        <w:jc w:val="center"/>
        <w:textAlignment w:val="auto"/>
        <w:outlineLvl w:val="0"/>
        <w:rPr>
          <w:rStyle w:val="29"/>
          <w:rFonts w:ascii="黑体" w:hAnsi="黑体" w:eastAsia="黑体"/>
          <w:b w:val="0"/>
          <w:color w:val="auto"/>
          <w:highlight w:val="none"/>
        </w:rPr>
      </w:pPr>
      <w:bookmarkStart w:id="55" w:name="_Toc15396613"/>
      <w:bookmarkStart w:id="56" w:name="_Toc15377225"/>
      <w:r>
        <w:rPr>
          <w:rFonts w:hint="eastAsia" w:ascii="黑体" w:hAnsi="黑体" w:eastAsia="黑体"/>
          <w:color w:val="auto"/>
          <w:sz w:val="44"/>
          <w:szCs w:val="44"/>
          <w:highlight w:val="none"/>
        </w:rPr>
        <w:t>名</w:t>
      </w:r>
      <w:r>
        <w:rPr>
          <w:rStyle w:val="29"/>
          <w:rFonts w:hint="eastAsia" w:ascii="黑体" w:hAnsi="黑体" w:eastAsia="黑体"/>
          <w:b w:val="0"/>
          <w:color w:val="auto"/>
          <w:highlight w:val="none"/>
        </w:rPr>
        <w:t>词解释</w:t>
      </w:r>
      <w:bookmarkEnd w:id="55"/>
      <w:bookmarkEnd w:id="56"/>
    </w:p>
    <w:p>
      <w:pPr>
        <w:pageBreakBefore w:val="0"/>
        <w:kinsoku/>
        <w:wordWrap/>
        <w:overflowPunct/>
        <w:topLinePunct w:val="0"/>
        <w:bidi w:val="0"/>
        <w:spacing w:line="240" w:lineRule="auto"/>
        <w:ind w:left="0" w:leftChars="0" w:right="0"/>
        <w:jc w:val="left"/>
        <w:textAlignment w:val="auto"/>
        <w:rPr>
          <w:rFonts w:ascii="宋体"/>
          <w:b/>
          <w:color w:val="auto"/>
          <w:sz w:val="44"/>
          <w:szCs w:val="44"/>
          <w:highlight w:val="none"/>
        </w:rPr>
      </w:pPr>
    </w:p>
    <w:p>
      <w:pPr>
        <w:pageBreakBefore w:val="0"/>
        <w:kinsoku/>
        <w:wordWrap/>
        <w:overflowPunct/>
        <w:topLinePunct w:val="0"/>
        <w:bidi w:val="0"/>
        <w:spacing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1．财政拨款收支情况：是指一般公共预算、政府性基金预算、国有资本经营预算拨款收支情况。</w:t>
      </w:r>
    </w:p>
    <w:p>
      <w:pPr>
        <w:pageBreakBefore w:val="0"/>
        <w:kinsoku/>
        <w:wordWrap/>
        <w:overflowPunct/>
        <w:topLinePunct w:val="0"/>
        <w:bidi w:val="0"/>
        <w:spacing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2．一般公共预算拨款收入：指区级财政当年拨付的资金。</w:t>
      </w:r>
    </w:p>
    <w:p>
      <w:pPr>
        <w:pageBreakBefore w:val="0"/>
        <w:kinsoku/>
        <w:wordWrap/>
        <w:overflowPunct/>
        <w:topLinePunct w:val="0"/>
        <w:bidi w:val="0"/>
        <w:spacing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3．事业收入：指事业单位开展专业业务活动及辅助活动所取得的收入。</w:t>
      </w:r>
    </w:p>
    <w:p>
      <w:pPr>
        <w:pageBreakBefore w:val="0"/>
        <w:kinsoku/>
        <w:wordWrap/>
        <w:overflowPunct/>
        <w:topLinePunct w:val="0"/>
        <w:bidi w:val="0"/>
        <w:spacing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4．事业单位经营收入：指事业单位在专业业务活动及其辅助活动之外开展非独立核算经营活动取得的收入。</w:t>
      </w:r>
    </w:p>
    <w:p>
      <w:pPr>
        <w:pageBreakBefore w:val="0"/>
        <w:kinsoku/>
        <w:wordWrap/>
        <w:overflowPunct/>
        <w:topLinePunct w:val="0"/>
        <w:bidi w:val="0"/>
        <w:spacing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5．其他收入：指除上述“一般公共预算拨款收入”、“事业收入”、“事业单位经营收入”等以外的收入。主要是利息收入、国有资产出租收入等。</w:t>
      </w:r>
    </w:p>
    <w:p>
      <w:pPr>
        <w:pageBreakBefore w:val="0"/>
        <w:kinsoku/>
        <w:wordWrap/>
        <w:overflowPunct/>
        <w:topLinePunct w:val="0"/>
        <w:bidi w:val="0"/>
        <w:spacing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6．上年结转：指以前年度尚未完成，结转到本年仍按原规定用途继续使用的资金。</w:t>
      </w:r>
    </w:p>
    <w:p>
      <w:pPr>
        <w:pageBreakBefore w:val="0"/>
        <w:kinsoku/>
        <w:wordWrap/>
        <w:overflowPunct/>
        <w:topLinePunct w:val="0"/>
        <w:bidi w:val="0"/>
        <w:spacing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7．社会保障和就业（类）行政事业单位离退休（款）事业单位离退休（项）：指离退休人员的支出。</w:t>
      </w:r>
    </w:p>
    <w:p>
      <w:pPr>
        <w:pageBreakBefore w:val="0"/>
        <w:kinsoku/>
        <w:wordWrap/>
        <w:overflowPunct/>
        <w:topLinePunct w:val="0"/>
        <w:bidi w:val="0"/>
        <w:spacing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8．社会保障和就业（类）行政事业单位离退休（款）未归口管理的行政单位离退休（项）：指离退休人员的支出。</w:t>
      </w:r>
    </w:p>
    <w:p>
      <w:pPr>
        <w:pageBreakBefore w:val="0"/>
        <w:kinsoku/>
        <w:wordWrap/>
        <w:overflowPunct/>
        <w:topLinePunct w:val="0"/>
        <w:bidi w:val="0"/>
        <w:spacing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9．社会保障和就业（类）行政事业单位离退休（款）机关事业单位基本养老保险缴费支出（项）：指部门实施养老保险制度由单位缴纳的养老保险费的支出。</w:t>
      </w:r>
    </w:p>
    <w:p>
      <w:pPr>
        <w:pageBreakBefore w:val="0"/>
        <w:kinsoku/>
        <w:wordWrap/>
        <w:overflowPunct/>
        <w:topLinePunct w:val="0"/>
        <w:bidi w:val="0"/>
        <w:spacing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10．社会保障和就业（类）行政事业单位离退休（款）机关事业单位职业年金缴费支出（项）：指部门实施养老保险制度由单位缴纳的职业年金的支出。</w:t>
      </w:r>
    </w:p>
    <w:p>
      <w:pPr>
        <w:pageBreakBefore w:val="0"/>
        <w:kinsoku/>
        <w:wordWrap/>
        <w:overflowPunct/>
        <w:topLinePunct w:val="0"/>
        <w:bidi w:val="0"/>
        <w:spacing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11．社会保障和就业（类）其他社会保障和就业（款）其他社会保障和就业支出（项）：指除上述项目外，其他用于行政事业单位离退休方面的支出。</w:t>
      </w:r>
    </w:p>
    <w:p>
      <w:pPr>
        <w:pageBreakBefore w:val="0"/>
        <w:kinsoku/>
        <w:wordWrap/>
        <w:overflowPunct/>
        <w:topLinePunct w:val="0"/>
        <w:bidi w:val="0"/>
        <w:spacing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12．医疗卫生与计划生育（类）行政事业单位医疗（款）行政单位医疗（项）：指行政单位及参公管理事业单位用于缴纳单位基本医疗保险支出。</w:t>
      </w:r>
    </w:p>
    <w:p>
      <w:pPr>
        <w:pageBreakBefore w:val="0"/>
        <w:kinsoku/>
        <w:wordWrap/>
        <w:overflowPunct/>
        <w:topLinePunct w:val="0"/>
        <w:bidi w:val="0"/>
        <w:spacing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13．医疗卫生与计划生育（类）行政事业单位医疗（款）事业单位医疗（项）：指事业单位用于缴纳单位基本医疗保险支出。</w:t>
      </w:r>
    </w:p>
    <w:p>
      <w:pPr>
        <w:pageBreakBefore w:val="0"/>
        <w:kinsoku/>
        <w:wordWrap/>
        <w:overflowPunct/>
        <w:topLinePunct w:val="0"/>
        <w:bidi w:val="0"/>
        <w:spacing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14．医疗卫生与计划生育（类）行政事业单位医疗（款）公务员医疗补助（项）：指行政单位及参公管理事业单位用于集中缴纳公务员医疗补助支出。</w:t>
      </w:r>
    </w:p>
    <w:p>
      <w:pPr>
        <w:pageBreakBefore w:val="0"/>
        <w:kinsoku/>
        <w:wordWrap/>
        <w:overflowPunct/>
        <w:topLinePunct w:val="0"/>
        <w:bidi w:val="0"/>
        <w:spacing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15．住房保障（类）住房改革支出（款）住房公积金（项）：指由单位及其在职职工按规定缴存的住房公积金支出。</w:t>
      </w:r>
    </w:p>
    <w:p>
      <w:pPr>
        <w:pageBreakBefore w:val="0"/>
        <w:kinsoku/>
        <w:wordWrap/>
        <w:overflowPunct/>
        <w:topLinePunct w:val="0"/>
        <w:bidi w:val="0"/>
        <w:spacing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16．基本支出：指为保证机构正常运转，完成日常工作任务而发生的人员支出和公用支出。</w:t>
      </w:r>
    </w:p>
    <w:p>
      <w:pPr>
        <w:pageBreakBefore w:val="0"/>
        <w:kinsoku/>
        <w:wordWrap/>
        <w:overflowPunct/>
        <w:topLinePunct w:val="0"/>
        <w:bidi w:val="0"/>
        <w:spacing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17．项目支出：指在基本支出之外为完成特定行政任务和事业发展目标所发生的支出。</w:t>
      </w:r>
    </w:p>
    <w:p>
      <w:pPr>
        <w:pageBreakBefore w:val="0"/>
        <w:kinsoku/>
        <w:wordWrap/>
        <w:overflowPunct/>
        <w:topLinePunct w:val="0"/>
        <w:bidi w:val="0"/>
        <w:spacing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18．“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ageBreakBefore w:val="0"/>
        <w:kinsoku/>
        <w:wordWrap/>
        <w:overflowPunct/>
        <w:topLinePunct w:val="0"/>
        <w:bidi w:val="0"/>
        <w:spacing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19．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ageBreakBefore w:val="0"/>
        <w:kinsoku/>
        <w:wordWrap/>
        <w:overflowPunct/>
        <w:topLinePunct w:val="0"/>
        <w:bidi w:val="0"/>
        <w:spacing w:line="240" w:lineRule="auto"/>
        <w:ind w:left="0" w:leftChars="0" w:right="0" w:firstLine="640"/>
        <w:textAlignment w:val="auto"/>
        <w:rPr>
          <w:rFonts w:ascii="仿宋" w:hAnsi="仿宋" w:eastAsia="仿宋"/>
          <w:b/>
          <w:color w:val="auto"/>
          <w:sz w:val="32"/>
          <w:szCs w:val="32"/>
          <w:highlight w:val="none"/>
        </w:rPr>
      </w:pPr>
      <w:r>
        <w:rPr>
          <w:rFonts w:hint="eastAsia" w:ascii="仿宋" w:hAnsi="仿宋" w:eastAsia="仿宋"/>
          <w:b/>
          <w:color w:val="auto"/>
          <w:sz w:val="32"/>
          <w:szCs w:val="32"/>
          <w:highlight w:val="none"/>
        </w:rPr>
        <w:t>（解释本部门决算报表中</w:t>
      </w:r>
      <w:r>
        <w:rPr>
          <w:rFonts w:hint="eastAsia" w:ascii="仿宋" w:hAnsi="仿宋" w:eastAsia="仿宋"/>
          <w:b/>
          <w:color w:val="auto"/>
          <w:sz w:val="32"/>
          <w:szCs w:val="32"/>
          <w:highlight w:val="none"/>
          <w:lang w:eastAsia="zh-CN"/>
        </w:rPr>
        <w:t>涉及的</w:t>
      </w:r>
      <w:r>
        <w:rPr>
          <w:rFonts w:hint="eastAsia" w:ascii="仿宋" w:hAnsi="仿宋" w:eastAsia="仿宋"/>
          <w:b/>
          <w:color w:val="auto"/>
          <w:sz w:val="32"/>
          <w:szCs w:val="32"/>
          <w:highlight w:val="none"/>
        </w:rPr>
        <w:t>全部功能分类科目至项级，</w:t>
      </w:r>
      <w:r>
        <w:rPr>
          <w:rFonts w:hint="eastAsia" w:ascii="仿宋" w:hAnsi="仿宋" w:eastAsia="仿宋"/>
          <w:b/>
          <w:color w:val="auto"/>
          <w:sz w:val="32"/>
          <w:szCs w:val="32"/>
          <w:highlight w:val="none"/>
          <w:lang w:eastAsia="zh-CN"/>
        </w:rPr>
        <w:t>不涉及的科目请自行删除。</w:t>
      </w:r>
      <w:r>
        <w:rPr>
          <w:rFonts w:hint="eastAsia" w:ascii="仿宋" w:hAnsi="仿宋" w:eastAsia="仿宋"/>
          <w:b/>
          <w:color w:val="auto"/>
          <w:sz w:val="32"/>
          <w:szCs w:val="32"/>
          <w:highlight w:val="none"/>
        </w:rPr>
        <w:t>请参照《</w:t>
      </w:r>
      <w:r>
        <w:rPr>
          <w:rFonts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年政府收支分类科目》增减内容。）</w:t>
      </w:r>
    </w:p>
    <w:p>
      <w:pPr>
        <w:pageBreakBefore w:val="0"/>
        <w:kinsoku/>
        <w:wordWrap/>
        <w:overflowPunct/>
        <w:topLinePunct w:val="0"/>
        <w:bidi w:val="0"/>
        <w:spacing w:line="240" w:lineRule="auto"/>
        <w:ind w:left="0" w:leftChars="0" w:right="0" w:firstLine="643" w:firstLineChars="200"/>
        <w:textAlignment w:val="auto"/>
        <w:rPr>
          <w:rFonts w:ascii="仿宋" w:hAnsi="仿宋" w:eastAsia="仿宋"/>
          <w:b/>
          <w:color w:val="auto"/>
          <w:sz w:val="32"/>
          <w:szCs w:val="32"/>
          <w:highlight w:val="none"/>
        </w:rPr>
      </w:pPr>
      <w:r>
        <w:rPr>
          <w:rFonts w:hint="eastAsia" w:ascii="仿宋" w:hAnsi="仿宋" w:eastAsia="仿宋"/>
          <w:b/>
          <w:color w:val="auto"/>
          <w:sz w:val="32"/>
          <w:szCs w:val="32"/>
          <w:highlight w:val="none"/>
        </w:rPr>
        <w:t>（名词解释部分请根据各部门实际列支情况罗列，并根据本部门职责职能增减名词解释内容。）</w:t>
      </w:r>
    </w:p>
    <w:p>
      <w:pPr>
        <w:pageBreakBefore w:val="0"/>
        <w:kinsoku/>
        <w:wordWrap/>
        <w:overflowPunct/>
        <w:topLinePunct w:val="0"/>
        <w:bidi w:val="0"/>
        <w:spacing w:line="240" w:lineRule="auto"/>
        <w:ind w:left="0" w:leftChars="0" w:right="0"/>
        <w:jc w:val="center"/>
        <w:textAlignment w:val="auto"/>
        <w:outlineLvl w:val="0"/>
        <w:rPr>
          <w:rStyle w:val="29"/>
          <w:rFonts w:hint="eastAsia" w:ascii="黑体" w:hAnsi="黑体" w:eastAsia="黑体"/>
          <w:b w:val="0"/>
          <w:color w:val="auto"/>
          <w:highlight w:val="none"/>
          <w:lang w:eastAsia="zh-CN"/>
        </w:rPr>
      </w:pPr>
      <w:bookmarkStart w:id="57" w:name="_Toc15377226"/>
      <w:r>
        <w:rPr>
          <w:rFonts w:ascii="宋体"/>
          <w:b/>
          <w:color w:val="auto"/>
          <w:sz w:val="44"/>
          <w:szCs w:val="44"/>
          <w:highlight w:val="none"/>
        </w:rPr>
        <w:br w:type="page"/>
      </w:r>
      <w:bookmarkStart w:id="58" w:name="_Toc15396614"/>
      <w:r>
        <w:rPr>
          <w:rFonts w:hint="eastAsia" w:ascii="黑体" w:hAnsi="黑体" w:eastAsia="黑体"/>
          <w:color w:val="auto"/>
          <w:sz w:val="44"/>
          <w:szCs w:val="44"/>
          <w:highlight w:val="none"/>
        </w:rPr>
        <w:t>第</w:t>
      </w:r>
      <w:r>
        <w:rPr>
          <w:rStyle w:val="29"/>
          <w:rFonts w:hint="eastAsia" w:ascii="黑体" w:hAnsi="黑体" w:eastAsia="黑体"/>
          <w:b w:val="0"/>
          <w:color w:val="auto"/>
          <w:highlight w:val="none"/>
        </w:rPr>
        <w:t>四部分 附件</w:t>
      </w:r>
      <w:bookmarkEnd w:id="58"/>
    </w:p>
    <w:p>
      <w:pPr>
        <w:keepNext w:val="0"/>
        <w:keepLines w:val="0"/>
        <w:pageBreakBefore w:val="0"/>
        <w:kinsoku/>
        <w:wordWrap/>
        <w:overflowPunct/>
        <w:topLinePunct w:val="0"/>
        <w:autoSpaceDE/>
        <w:autoSpaceDN/>
        <w:bidi w:val="0"/>
        <w:spacing w:line="240" w:lineRule="auto"/>
        <w:ind w:left="0" w:leftChars="0" w:right="0"/>
        <w:jc w:val="left"/>
        <w:textAlignment w:val="auto"/>
        <w:outlineLvl w:val="0"/>
        <w:rPr>
          <w:rFonts w:ascii="方正小标宋简体" w:hAnsi="方正小标宋简体" w:eastAsia="方正小标宋简体" w:cs="方正小标宋简体"/>
          <w:color w:val="auto"/>
          <w:sz w:val="44"/>
          <w:szCs w:val="44"/>
          <w:highlight w:val="none"/>
        </w:rPr>
      </w:pPr>
      <w:r>
        <w:rPr>
          <w:rFonts w:hint="eastAsia" w:ascii="黑体" w:hAnsi="黑体" w:eastAsia="黑体" w:cs="黑体"/>
          <w:color w:val="auto"/>
          <w:sz w:val="32"/>
          <w:szCs w:val="32"/>
          <w:highlight w:val="none"/>
        </w:rPr>
        <w:t>附件</w:t>
      </w:r>
    </w:p>
    <w:p>
      <w:pPr>
        <w:pStyle w:val="3"/>
        <w:pageBreakBefore w:val="0"/>
        <w:widowControl/>
        <w:shd w:val="clear" w:color="auto" w:fill="FFFFFF"/>
        <w:kinsoku/>
        <w:wordWrap/>
        <w:overflowPunct/>
        <w:topLinePunct w:val="0"/>
        <w:autoSpaceDE/>
        <w:autoSpaceDN/>
        <w:bidi w:val="0"/>
        <w:spacing w:before="0" w:beforeAutospacing="0" w:after="0" w:afterAutospacing="0" w:line="240" w:lineRule="auto"/>
        <w:ind w:left="0"/>
        <w:jc w:val="center"/>
        <w:textAlignment w:val="auto"/>
        <w:rPr>
          <w:rFonts w:ascii="黑体" w:hAnsi="微软雅黑" w:eastAsia="黑体" w:cs="微软雅黑"/>
          <w:b w:val="0"/>
          <w:bCs w:val="0"/>
          <w:color w:val="auto"/>
          <w:sz w:val="44"/>
          <w:szCs w:val="44"/>
          <w:shd w:val="clear" w:color="auto" w:fill="FFFFFF"/>
        </w:rPr>
      </w:pPr>
      <w:r>
        <w:rPr>
          <w:rFonts w:ascii="黑体" w:hAnsi="微软雅黑" w:eastAsia="黑体" w:cs="微软雅黑"/>
          <w:b w:val="0"/>
          <w:bCs w:val="0"/>
          <w:color w:val="auto"/>
          <w:sz w:val="44"/>
          <w:szCs w:val="44"/>
          <w:shd w:val="clear" w:color="auto" w:fill="FFFFFF"/>
        </w:rPr>
        <w:t>五通桥区公安分局</w:t>
      </w:r>
    </w:p>
    <w:p>
      <w:pPr>
        <w:pStyle w:val="3"/>
        <w:pageBreakBefore w:val="0"/>
        <w:widowControl/>
        <w:shd w:val="clear" w:color="auto" w:fill="FFFFFF"/>
        <w:kinsoku/>
        <w:wordWrap/>
        <w:overflowPunct/>
        <w:topLinePunct w:val="0"/>
        <w:autoSpaceDE/>
        <w:autoSpaceDN/>
        <w:bidi w:val="0"/>
        <w:spacing w:before="0" w:beforeAutospacing="0" w:after="0" w:afterAutospacing="0" w:line="240" w:lineRule="auto"/>
        <w:ind w:left="0"/>
        <w:jc w:val="center"/>
        <w:textAlignment w:val="auto"/>
        <w:rPr>
          <w:rFonts w:ascii="黑体" w:hAnsi="微软雅黑" w:eastAsia="黑体" w:cs="微软雅黑"/>
          <w:b w:val="0"/>
          <w:bCs w:val="0"/>
          <w:color w:val="auto"/>
          <w:sz w:val="44"/>
          <w:szCs w:val="44"/>
          <w:shd w:val="clear" w:color="auto" w:fill="FFFFFF"/>
        </w:rPr>
      </w:pPr>
      <w:r>
        <w:rPr>
          <w:rFonts w:ascii="黑体" w:hAnsi="微软雅黑" w:eastAsia="黑体" w:cs="微软雅黑"/>
          <w:b w:val="0"/>
          <w:bCs w:val="0"/>
          <w:color w:val="auto"/>
          <w:sz w:val="44"/>
          <w:szCs w:val="44"/>
          <w:shd w:val="clear" w:color="auto" w:fill="FFFFFF"/>
        </w:rPr>
        <w:t>202</w:t>
      </w:r>
      <w:r>
        <w:rPr>
          <w:rFonts w:hint="eastAsia" w:ascii="黑体" w:hAnsi="微软雅黑" w:eastAsia="黑体" w:cs="微软雅黑"/>
          <w:b w:val="0"/>
          <w:bCs w:val="0"/>
          <w:color w:val="auto"/>
          <w:sz w:val="44"/>
          <w:szCs w:val="44"/>
          <w:shd w:val="clear" w:color="auto" w:fill="FFFFFF"/>
          <w:lang w:val="en-US" w:eastAsia="zh-CN"/>
        </w:rPr>
        <w:t>2</w:t>
      </w:r>
      <w:r>
        <w:rPr>
          <w:rFonts w:ascii="黑体" w:hAnsi="微软雅黑" w:eastAsia="黑体" w:cs="微软雅黑"/>
          <w:b w:val="0"/>
          <w:bCs w:val="0"/>
          <w:color w:val="auto"/>
          <w:sz w:val="44"/>
          <w:szCs w:val="44"/>
          <w:shd w:val="clear" w:color="auto" w:fill="FFFFFF"/>
        </w:rPr>
        <w:t>年度部门整体支出绩效自评报告</w:t>
      </w:r>
    </w:p>
    <w:p>
      <w:pPr>
        <w:pageBreakBefore w:val="0"/>
        <w:kinsoku/>
        <w:wordWrap/>
        <w:overflowPunct/>
        <w:topLinePunct w:val="0"/>
        <w:autoSpaceDE/>
        <w:autoSpaceDN/>
        <w:bidi w:val="0"/>
        <w:spacing w:line="240" w:lineRule="auto"/>
        <w:ind w:left="0"/>
        <w:textAlignment w:val="auto"/>
        <w:rPr>
          <w:color w:val="auto"/>
        </w:rPr>
      </w:pPr>
    </w:p>
    <w:p>
      <w:pPr>
        <w:pStyle w:val="13"/>
        <w:keepNext w:val="0"/>
        <w:keepLines w:val="0"/>
        <w:pageBreakBefore w:val="0"/>
        <w:widowControl/>
        <w:shd w:val="clear" w:color="auto" w:fill="FFFFFF"/>
        <w:kinsoku/>
        <w:wordWrap/>
        <w:overflowPunct/>
        <w:topLinePunct w:val="0"/>
        <w:autoSpaceDE/>
        <w:autoSpaceDN/>
        <w:bidi w:val="0"/>
        <w:spacing w:beforeAutospacing="0" w:afterAutospacing="0" w:line="240" w:lineRule="auto"/>
        <w:ind w:left="0" w:firstLine="640" w:firstLineChars="200"/>
        <w:textAlignment w:val="auto"/>
        <w:rPr>
          <w:rFonts w:hint="eastAsia" w:ascii="仿宋_GB2312"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为进一步加强部门预算绩效管理，提高财政资金使用效益，根据区财政局《关于开展2022 年部门整体、项目支出绩效评价的通知》（〔202</w:t>
      </w:r>
      <w:r>
        <w:rPr>
          <w:rFonts w:hint="eastAsia" w:ascii="仿宋_GB2312" w:hAnsi="宋体" w:eastAsia="仿宋_GB2312" w:cs="仿宋_GB2312"/>
          <w:color w:val="auto"/>
          <w:sz w:val="32"/>
          <w:szCs w:val="32"/>
          <w:shd w:val="clear" w:color="auto" w:fill="FFFFFF"/>
          <w:lang w:val="en-US" w:eastAsia="zh-CN"/>
        </w:rPr>
        <w:t>2</w:t>
      </w:r>
      <w:r>
        <w:rPr>
          <w:rFonts w:hint="eastAsia" w:ascii="仿宋_GB2312" w:hAnsi="宋体" w:eastAsia="仿宋_GB2312" w:cs="仿宋_GB2312"/>
          <w:color w:val="auto"/>
          <w:sz w:val="32"/>
          <w:szCs w:val="32"/>
          <w:shd w:val="clear" w:color="auto" w:fill="FFFFFF"/>
        </w:rPr>
        <w:t>〕-6）文件精神，认真组织开展了202</w:t>
      </w:r>
      <w:r>
        <w:rPr>
          <w:rFonts w:hint="eastAsia" w:ascii="仿宋_GB2312" w:hAnsi="宋体" w:eastAsia="仿宋_GB2312" w:cs="仿宋_GB2312"/>
          <w:color w:val="auto"/>
          <w:sz w:val="32"/>
          <w:szCs w:val="32"/>
          <w:shd w:val="clear" w:color="auto" w:fill="FFFFFF"/>
          <w:lang w:val="en-US" w:eastAsia="zh-CN"/>
        </w:rPr>
        <w:t>2</w:t>
      </w:r>
      <w:r>
        <w:rPr>
          <w:rFonts w:hint="eastAsia" w:ascii="仿宋_GB2312" w:hAnsi="宋体" w:eastAsia="仿宋_GB2312" w:cs="仿宋_GB2312"/>
          <w:color w:val="auto"/>
          <w:sz w:val="32"/>
          <w:szCs w:val="32"/>
          <w:shd w:val="clear" w:color="auto" w:fill="FFFFFF"/>
        </w:rPr>
        <w:t>年度部门整体支出绩效评价</w:t>
      </w:r>
      <w:r>
        <w:rPr>
          <w:rFonts w:hint="eastAsia" w:ascii="仿宋_GB2312" w:eastAsia="仿宋_GB2312" w:cs="仿宋_GB2312"/>
          <w:color w:val="auto"/>
          <w:sz w:val="32"/>
          <w:szCs w:val="32"/>
          <w:shd w:val="clear" w:color="auto" w:fill="FFFFFF"/>
        </w:rPr>
        <w:t>工作。</w:t>
      </w:r>
    </w:p>
    <w:p>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left="0" w:leftChars="0" w:right="0" w:rightChars="0" w:firstLine="643" w:firstLineChars="200"/>
        <w:contextualSpacing/>
        <w:jc w:val="left"/>
        <w:textAlignment w:val="auto"/>
        <w:rPr>
          <w:rFonts w:hint="eastAsia" w:ascii="仿宋_GB2312" w:eastAsia="仿宋_GB2312"/>
          <w:color w:val="auto"/>
          <w:sz w:val="32"/>
          <w:szCs w:val="32"/>
        </w:rPr>
      </w:pPr>
      <w:r>
        <w:rPr>
          <w:rFonts w:hint="eastAsia" w:ascii="仿宋_GB2312" w:hAnsi="宋体" w:eastAsia="仿宋_GB2312" w:cs="仿宋_GB2312"/>
          <w:b/>
          <w:bCs/>
          <w:color w:val="auto"/>
          <w:sz w:val="32"/>
          <w:szCs w:val="32"/>
          <w:shd w:val="clear" w:color="auto" w:fill="FFFFFF"/>
        </w:rPr>
        <w:t>一、</w:t>
      </w:r>
      <w:r>
        <w:rPr>
          <w:rFonts w:hint="eastAsia" w:ascii="黑体" w:hAnsi="宋体" w:eastAsia="黑体" w:cs="宋体"/>
          <w:color w:val="auto"/>
          <w:kern w:val="0"/>
          <w:sz w:val="32"/>
          <w:szCs w:val="32"/>
          <w:highlight w:val="none"/>
          <w:shd w:val="clear" w:color="auto" w:fill="FFFFFF"/>
          <w:lang w:val="zh-CN"/>
        </w:rPr>
        <w:t>部门（单位）基本情况</w:t>
      </w:r>
    </w:p>
    <w:p>
      <w:pPr>
        <w:pStyle w:val="13"/>
        <w:keepNext w:val="0"/>
        <w:keepLines w:val="0"/>
        <w:pageBreakBefore w:val="0"/>
        <w:widowControl/>
        <w:shd w:val="clear" w:color="auto" w:fill="FFFFFF"/>
        <w:kinsoku/>
        <w:wordWrap/>
        <w:overflowPunct/>
        <w:topLinePunct w:val="0"/>
        <w:autoSpaceDE/>
        <w:autoSpaceDN/>
        <w:bidi w:val="0"/>
        <w:spacing w:beforeAutospacing="0" w:afterAutospacing="0"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一）机构组成。乐山市公安局五通桥区分局设13个内设机构，分别为办公室、政工监督室、警务督察大队、警务保障室、法制大队、政治保卫大队、网络安全保卫大队、刑事侦查大队、巡警大队、森林警察大队、经济犯罪侦查大队、禁毒大队、治安管理大队；设派出所机构8个，分别为竹根所、牛华所、冠英所、蔡金所、西坝所、石麟所、金山所、金粟所；设看守所1个。</w:t>
      </w:r>
    </w:p>
    <w:p>
      <w:pPr>
        <w:pStyle w:val="13"/>
        <w:keepNext w:val="0"/>
        <w:keepLines w:val="0"/>
        <w:pageBreakBefore w:val="0"/>
        <w:widowControl/>
        <w:shd w:val="clear" w:color="auto" w:fill="FFFFFF"/>
        <w:kinsoku/>
        <w:wordWrap/>
        <w:overflowPunct/>
        <w:topLinePunct w:val="0"/>
        <w:autoSpaceDE/>
        <w:autoSpaceDN/>
        <w:bidi w:val="0"/>
        <w:spacing w:beforeAutospacing="0" w:after="0" w:afterAutospacing="0" w:line="240" w:lineRule="auto"/>
        <w:ind w:left="0" w:firstLine="640" w:firstLineChars="200"/>
        <w:textAlignment w:val="auto"/>
        <w:rPr>
          <w:rFonts w:hint="eastAsia" w:ascii="仿宋_GB2312" w:hAnsi="宋体" w:eastAsia="仿宋_GB2312" w:cs="仿宋_GB2312"/>
          <w:bCs/>
          <w:color w:val="auto"/>
          <w:sz w:val="32"/>
          <w:szCs w:val="32"/>
          <w:shd w:val="clear" w:color="auto" w:fill="FFFFFF"/>
        </w:rPr>
      </w:pPr>
      <w:r>
        <w:rPr>
          <w:rFonts w:hint="eastAsia" w:ascii="仿宋_GB2312" w:hAnsi="宋体" w:eastAsia="仿宋_GB2312" w:cs="仿宋_GB2312"/>
          <w:color w:val="auto"/>
          <w:sz w:val="32"/>
          <w:szCs w:val="32"/>
          <w:shd w:val="clear" w:color="auto" w:fill="FFFFFF"/>
        </w:rPr>
        <w:t>（二）机构职能。组织领导全区公安工作,搜集、掌握、处理影响和危害国家安全、社会政治稳定、社会治安方面的情报信息,开展侦察、控制、打击处理工作;组织和指导全区公安队伍建设、民警教育训练和公安宣传工作;组织、指导全区公安侦查工作,协调处置重大案件、治安灾害事故、骚</w:t>
      </w:r>
      <w:r>
        <w:rPr>
          <w:rFonts w:hint="eastAsia" w:ascii="仿宋_GB2312" w:hAnsi="宋体" w:eastAsia="仿宋_GB2312" w:cs="仿宋_GB2312"/>
          <w:bCs/>
          <w:color w:val="auto"/>
          <w:sz w:val="32"/>
          <w:szCs w:val="32"/>
          <w:shd w:val="clear" w:color="auto" w:fill="FFFFFF"/>
        </w:rPr>
        <w:t>乱和群体性突发事件,防范、打击严重暴力性犯罪、恐怖活动,组织实施重大活动的安全保卫工作;组织和指导全区公安</w:t>
      </w:r>
      <w:r>
        <w:rPr>
          <w:rFonts w:hint="eastAsia" w:ascii="仿宋_GB2312" w:hAnsi="宋体" w:eastAsia="仿宋_GB2312" w:cs="仿宋_GB2312"/>
          <w:bCs/>
          <w:color w:val="auto"/>
          <w:sz w:val="32"/>
          <w:szCs w:val="32"/>
          <w:shd w:val="clear" w:color="auto" w:fill="FFFFFF"/>
          <w:lang w:eastAsia="zh-CN"/>
        </w:rPr>
        <w:t>法治</w:t>
      </w:r>
      <w:r>
        <w:rPr>
          <w:rFonts w:hint="eastAsia" w:ascii="仿宋_GB2312" w:hAnsi="宋体" w:eastAsia="仿宋_GB2312" w:cs="仿宋_GB2312"/>
          <w:bCs/>
          <w:color w:val="auto"/>
          <w:sz w:val="32"/>
          <w:szCs w:val="32"/>
          <w:shd w:val="clear" w:color="auto" w:fill="FFFFFF"/>
        </w:rPr>
        <w:t>建设,办理听证、行政复议、国家赔偿案件、机关行政和刑事案件的审核、审批;指导、监督全区公安机关查处危害社会治安秩序行为和治安管理、交通管理和出入境管理工作;组织、指导全区侦办森林、野生动植物资源和森林火灾案件，开展森林重点区域巡护；指导监督全区看守所、行政拘留所的监管教育管理等工作；承担区政府公布的有关行政审批事项，承办党委、政府和市公安局交办的其他事项。</w:t>
      </w:r>
    </w:p>
    <w:p>
      <w:pPr>
        <w:pStyle w:val="13"/>
        <w:keepNext w:val="0"/>
        <w:keepLines w:val="0"/>
        <w:pageBreakBefore w:val="0"/>
        <w:widowControl/>
        <w:shd w:val="clear" w:color="auto" w:fill="FFFFFF"/>
        <w:kinsoku/>
        <w:wordWrap/>
        <w:overflowPunct/>
        <w:topLinePunct w:val="0"/>
        <w:autoSpaceDE/>
        <w:autoSpaceDN/>
        <w:bidi w:val="0"/>
        <w:spacing w:beforeAutospacing="0" w:after="0" w:afterAutospacing="0"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（三）人员概况。乐山市公安局五通桥区分局（含政法委）总编制21</w:t>
      </w:r>
      <w:r>
        <w:rPr>
          <w:rFonts w:hint="eastAsia" w:ascii="仿宋_GB2312" w:hAnsi="宋体" w:eastAsia="仿宋_GB2312" w:cs="仿宋_GB2312"/>
          <w:color w:val="auto"/>
          <w:sz w:val="32"/>
          <w:szCs w:val="32"/>
          <w:shd w:val="clear" w:color="auto" w:fill="FFFFFF"/>
          <w:lang w:val="en-US" w:eastAsia="zh-CN"/>
        </w:rPr>
        <w:t>5</w:t>
      </w:r>
      <w:r>
        <w:rPr>
          <w:rFonts w:hint="eastAsia" w:ascii="仿宋_GB2312" w:hAnsi="宋体" w:eastAsia="仿宋_GB2312" w:cs="仿宋_GB2312"/>
          <w:color w:val="auto"/>
          <w:sz w:val="32"/>
          <w:szCs w:val="32"/>
          <w:shd w:val="clear" w:color="auto" w:fill="FFFFFF"/>
        </w:rPr>
        <w:t>人，其中行政政法编制207人（行政编制204人，工勤编制3人）、事业编制8人。截止202</w:t>
      </w:r>
      <w:r>
        <w:rPr>
          <w:rFonts w:hint="eastAsia" w:ascii="仿宋_GB2312" w:hAnsi="宋体" w:eastAsia="仿宋_GB2312" w:cs="仿宋_GB2312"/>
          <w:color w:val="auto"/>
          <w:sz w:val="32"/>
          <w:szCs w:val="32"/>
          <w:shd w:val="clear" w:color="auto" w:fill="FFFFFF"/>
          <w:lang w:val="en-US" w:eastAsia="zh-CN"/>
        </w:rPr>
        <w:t>2</w:t>
      </w:r>
      <w:r>
        <w:rPr>
          <w:rFonts w:hint="eastAsia" w:ascii="仿宋_GB2312" w:hAnsi="宋体" w:eastAsia="仿宋_GB2312" w:cs="仿宋_GB2312"/>
          <w:color w:val="auto"/>
          <w:sz w:val="32"/>
          <w:szCs w:val="32"/>
          <w:shd w:val="clear" w:color="auto" w:fill="FFFFFF"/>
        </w:rPr>
        <w:t>年末，乐山市公安局五通桥区分局（含政法委）实有在职人员</w:t>
      </w:r>
      <w:r>
        <w:rPr>
          <w:rFonts w:hint="eastAsia" w:ascii="仿宋_GB2312" w:hAnsi="宋体" w:eastAsia="仿宋_GB2312" w:cs="仿宋_GB2312"/>
          <w:color w:val="auto"/>
          <w:sz w:val="32"/>
          <w:szCs w:val="32"/>
          <w:shd w:val="clear" w:color="auto" w:fill="FFFFFF"/>
          <w:lang w:val="en-US" w:eastAsia="zh-CN"/>
        </w:rPr>
        <w:t>216</w:t>
      </w:r>
      <w:r>
        <w:rPr>
          <w:rFonts w:hint="eastAsia" w:ascii="仿宋_GB2312" w:hAnsi="宋体" w:eastAsia="仿宋_GB2312" w:cs="仿宋_GB2312"/>
          <w:color w:val="auto"/>
          <w:sz w:val="32"/>
          <w:szCs w:val="32"/>
          <w:shd w:val="clear" w:color="auto" w:fill="FFFFFF"/>
        </w:rPr>
        <w:t>人，其中政法机关编制人员</w:t>
      </w:r>
      <w:r>
        <w:rPr>
          <w:rFonts w:hint="eastAsia" w:ascii="仿宋_GB2312" w:hAnsi="宋体" w:eastAsia="仿宋_GB2312" w:cs="仿宋_GB2312"/>
          <w:color w:val="auto"/>
          <w:sz w:val="32"/>
          <w:szCs w:val="32"/>
          <w:shd w:val="clear" w:color="auto" w:fill="FFFFFF"/>
          <w:lang w:val="en-US" w:eastAsia="zh-CN"/>
        </w:rPr>
        <w:t>206</w:t>
      </w:r>
      <w:r>
        <w:rPr>
          <w:rFonts w:hint="eastAsia" w:ascii="仿宋_GB2312" w:hAnsi="宋体" w:eastAsia="仿宋_GB2312" w:cs="仿宋_GB2312"/>
          <w:color w:val="auto"/>
          <w:sz w:val="32"/>
          <w:szCs w:val="32"/>
          <w:shd w:val="clear" w:color="auto" w:fill="FFFFFF"/>
        </w:rPr>
        <w:t>人、工勤人员</w:t>
      </w:r>
      <w:r>
        <w:rPr>
          <w:rFonts w:hint="eastAsia" w:ascii="仿宋_GB2312" w:hAnsi="宋体" w:eastAsia="仿宋_GB2312" w:cs="仿宋_GB2312"/>
          <w:color w:val="auto"/>
          <w:sz w:val="32"/>
          <w:szCs w:val="32"/>
          <w:shd w:val="clear" w:color="auto" w:fill="FFFFFF"/>
          <w:lang w:val="en-US" w:eastAsia="zh-CN"/>
        </w:rPr>
        <w:t>3</w:t>
      </w:r>
      <w:r>
        <w:rPr>
          <w:rFonts w:hint="eastAsia" w:ascii="仿宋_GB2312" w:hAnsi="宋体" w:eastAsia="仿宋_GB2312" w:cs="仿宋_GB2312"/>
          <w:color w:val="auto"/>
          <w:sz w:val="32"/>
          <w:szCs w:val="32"/>
          <w:shd w:val="clear" w:color="auto" w:fill="FFFFFF"/>
        </w:rPr>
        <w:t>人、事业7人；警务辅助人员191人。人员变动原因是人员调动、退休、离职等。</w:t>
      </w:r>
    </w:p>
    <w:p>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643" w:firstLineChars="200"/>
        <w:contextualSpacing/>
        <w:jc w:val="left"/>
        <w:textAlignment w:val="auto"/>
        <w:rPr>
          <w:rFonts w:hint="eastAsia" w:ascii="楷体_GB2312" w:hAnsi="楷体_GB2312" w:eastAsia="楷体_GB2312" w:cs="楷体_GB2312"/>
          <w:b/>
          <w:bCs/>
          <w:color w:val="auto"/>
          <w:kern w:val="0"/>
          <w:sz w:val="32"/>
          <w:szCs w:val="32"/>
          <w:highlight w:val="none"/>
          <w:shd w:val="clear" w:color="auto" w:fill="FFFFFF"/>
          <w:lang w:val="zh-CN"/>
        </w:rPr>
      </w:pPr>
      <w:r>
        <w:rPr>
          <w:rFonts w:hint="eastAsia" w:ascii="楷体_GB2312" w:hAnsi="楷体_GB2312" w:eastAsia="楷体_GB2312" w:cs="楷体_GB2312"/>
          <w:b/>
          <w:bCs/>
          <w:color w:val="auto"/>
          <w:kern w:val="0"/>
          <w:sz w:val="32"/>
          <w:szCs w:val="32"/>
          <w:highlight w:val="none"/>
          <w:shd w:val="clear" w:color="auto" w:fill="FFFFFF"/>
          <w:lang w:val="zh-CN"/>
        </w:rPr>
        <w:t>（三）年度主要工作任务。</w:t>
      </w:r>
    </w:p>
    <w:p>
      <w:pPr>
        <w:keepNext w:val="0"/>
        <w:keepLines w:val="0"/>
        <w:pageBreakBefore w:val="0"/>
        <w:kinsoku/>
        <w:wordWrap/>
        <w:overflowPunct/>
        <w:topLinePunct w:val="0"/>
        <w:autoSpaceDE/>
        <w:autoSpaceDN/>
        <w:bidi w:val="0"/>
        <w:spacing w:line="240" w:lineRule="auto"/>
        <w:ind w:left="0" w:firstLine="640" w:firstLineChars="200"/>
        <w:textAlignment w:val="auto"/>
        <w:rPr>
          <w:rFonts w:ascii="仿宋_GB2312" w:eastAsia="仿宋_GB2312"/>
          <w:color w:val="auto"/>
          <w:sz w:val="32"/>
          <w:szCs w:val="32"/>
        </w:rPr>
      </w:pPr>
      <w:r>
        <w:rPr>
          <w:rFonts w:hint="eastAsia" w:ascii="仿宋_GB2312" w:hAnsi="Calibri" w:eastAsia="仿宋_GB2312"/>
          <w:color w:val="auto"/>
          <w:sz w:val="32"/>
          <w:szCs w:val="32"/>
        </w:rPr>
        <w:t>2022年，全区公安机关将紧紧围绕四川公安“1357”发展战略、</w:t>
      </w:r>
      <w:r>
        <w:rPr>
          <w:rFonts w:hint="eastAsia" w:ascii="仿宋_GB2312" w:eastAsia="仿宋_GB2312"/>
          <w:color w:val="auto"/>
          <w:sz w:val="32"/>
          <w:szCs w:val="32"/>
        </w:rPr>
        <w:t>市委“3</w:t>
      </w:r>
      <w:r>
        <w:rPr>
          <w:rFonts w:ascii="仿宋_GB2312" w:eastAsia="仿宋_GB2312"/>
          <w:color w:val="auto"/>
          <w:sz w:val="32"/>
          <w:szCs w:val="32"/>
        </w:rPr>
        <w:t>45</w:t>
      </w:r>
      <w:r>
        <w:rPr>
          <w:rFonts w:hint="eastAsia" w:ascii="仿宋_GB2312" w:eastAsia="仿宋_GB2312"/>
          <w:color w:val="auto"/>
          <w:sz w:val="32"/>
          <w:szCs w:val="32"/>
        </w:rPr>
        <w:t>”工作思路、乐山公安“12345”工作思路，以实施“工业强区、城市更新、绿色发展”为战略，锚定建设“绿色大硅谷、美丽小西湖、幸福五通桥”三大目标，明确“安保维稳” 工作</w:t>
      </w:r>
      <w:r>
        <w:rPr>
          <w:rFonts w:ascii="仿宋_GB2312" w:eastAsia="仿宋_GB2312"/>
          <w:color w:val="auto"/>
          <w:sz w:val="32"/>
          <w:szCs w:val="32"/>
        </w:rPr>
        <w:t>主线</w:t>
      </w:r>
      <w:r>
        <w:rPr>
          <w:rFonts w:hint="eastAsia" w:ascii="仿宋_GB2312" w:eastAsia="仿宋_GB2312"/>
          <w:color w:val="auto"/>
          <w:sz w:val="32"/>
          <w:szCs w:val="32"/>
        </w:rPr>
        <w:t>、抓住“主责主业、长足发展”两大重点、树立“目标导向、基层基础、护航“中国绿色硅谷”三个导向、强化“党建引领、规范管理、考评激励、保障支撑”四项支撑，夯基础、强主业、保安全、优服务、树形象，为党的二十大召开创造安全稳定的政治社会环境。</w:t>
      </w:r>
    </w:p>
    <w:p>
      <w:pPr>
        <w:keepNext w:val="0"/>
        <w:keepLines w:val="0"/>
        <w:pageBreakBefore w:val="0"/>
        <w:widowControl/>
        <w:kinsoku/>
        <w:wordWrap/>
        <w:overflowPunct/>
        <w:topLinePunct w:val="0"/>
        <w:autoSpaceDE/>
        <w:autoSpaceDN/>
        <w:bidi w:val="0"/>
        <w:adjustRightInd w:val="0"/>
        <w:snapToGrid w:val="0"/>
        <w:spacing w:line="240" w:lineRule="auto"/>
        <w:ind w:left="0" w:leftChars="0" w:right="0" w:firstLine="643" w:firstLineChars="200"/>
        <w:contextualSpacing/>
        <w:jc w:val="left"/>
        <w:textAlignment w:val="auto"/>
        <w:rPr>
          <w:rFonts w:hint="eastAsia" w:ascii="楷体_GB2312" w:hAnsi="楷体_GB2312" w:eastAsia="楷体_GB2312" w:cs="楷体_GB2312"/>
          <w:b/>
          <w:bCs/>
          <w:color w:val="auto"/>
          <w:kern w:val="0"/>
          <w:sz w:val="32"/>
          <w:szCs w:val="32"/>
          <w:highlight w:val="none"/>
          <w:shd w:val="clear" w:color="auto" w:fill="FFFFFF"/>
          <w:lang w:val="zh-CN"/>
        </w:rPr>
      </w:pPr>
      <w:r>
        <w:rPr>
          <w:rFonts w:hint="eastAsia" w:ascii="楷体_GB2312" w:hAnsi="楷体_GB2312" w:eastAsia="楷体_GB2312" w:cs="楷体_GB2312"/>
          <w:b/>
          <w:bCs/>
          <w:color w:val="auto"/>
          <w:kern w:val="0"/>
          <w:sz w:val="32"/>
          <w:szCs w:val="32"/>
          <w:highlight w:val="none"/>
          <w:shd w:val="clear" w:color="auto" w:fill="FFFFFF"/>
          <w:lang w:val="zh-CN"/>
        </w:rPr>
        <w:t>（四）部门整体支出绩效目标完成情况。</w:t>
      </w:r>
    </w:p>
    <w:p>
      <w:pPr>
        <w:keepNext w:val="0"/>
        <w:keepLines w:val="0"/>
        <w:pageBreakBefore w:val="0"/>
        <w:kinsoku/>
        <w:wordWrap/>
        <w:overflowPunct/>
        <w:topLinePunct w:val="0"/>
        <w:autoSpaceDE/>
        <w:autoSpaceDN/>
        <w:bidi w:val="0"/>
        <w:spacing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eastAsia="仿宋_GB2312"/>
          <w:color w:val="auto"/>
          <w:sz w:val="32"/>
          <w:szCs w:val="32"/>
          <w:lang w:val="en-US" w:eastAsia="zh-CN"/>
        </w:rPr>
        <w:t>2022年共破刑事案件165起，办结行政案件1575起；刑事拘留79人、执行逮捕49人、依法移送审查起诉248人、行政拘留748人、强制隔离戒毒88人。查处黄赌违法犯罪56起214人，破毒品案件22起311人，全年缴获毒品13.21克，冰毒8.94克。破获2006年命案积案、川砂集团铸润建材有限公司砂金被盗案、许某威等人出售公民个人信息案、张某等人非法采矿案等典型案件。配合乐山禁毒缉毒支队联合云南瑞丽警方破获特大运输毒品案，缴获毒品52公斤。</w:t>
      </w:r>
    </w:p>
    <w:p>
      <w:pPr>
        <w:pStyle w:val="13"/>
        <w:keepNext w:val="0"/>
        <w:keepLines w:val="0"/>
        <w:pageBreakBefore w:val="0"/>
        <w:widowControl/>
        <w:shd w:val="clear" w:color="auto" w:fill="FFFFFF"/>
        <w:kinsoku/>
        <w:wordWrap/>
        <w:overflowPunct/>
        <w:topLinePunct w:val="0"/>
        <w:autoSpaceDE/>
        <w:autoSpaceDN/>
        <w:bidi w:val="0"/>
        <w:spacing w:beforeAutospacing="0" w:after="0" w:afterAutospacing="0" w:line="240" w:lineRule="auto"/>
        <w:ind w:left="0" w:firstLine="643" w:firstLineChars="200"/>
        <w:textAlignment w:val="auto"/>
        <w:rPr>
          <w:rFonts w:hint="eastAsia" w:ascii="仿宋_GB2312" w:hAnsi="宋体" w:eastAsia="仿宋_GB2312" w:cs="仿宋_GB2312"/>
          <w:b/>
          <w:bCs/>
          <w:color w:val="auto"/>
          <w:sz w:val="32"/>
          <w:szCs w:val="32"/>
          <w:shd w:val="clear" w:color="auto" w:fill="FFFFFF"/>
        </w:rPr>
      </w:pPr>
      <w:r>
        <w:rPr>
          <w:rFonts w:hint="eastAsia" w:ascii="仿宋_GB2312" w:hAnsi="宋体" w:eastAsia="仿宋_GB2312" w:cs="仿宋_GB2312"/>
          <w:b/>
          <w:bCs/>
          <w:color w:val="auto"/>
          <w:sz w:val="32"/>
          <w:szCs w:val="32"/>
          <w:shd w:val="clear" w:color="auto" w:fill="FFFFFF"/>
        </w:rPr>
        <w:t>二、部门财政资金收支情况</w:t>
      </w:r>
    </w:p>
    <w:p>
      <w:pPr>
        <w:pStyle w:val="13"/>
        <w:keepNext w:val="0"/>
        <w:keepLines w:val="0"/>
        <w:pageBreakBefore w:val="0"/>
        <w:widowControl/>
        <w:shd w:val="clear" w:color="auto" w:fill="FFFFFF"/>
        <w:kinsoku/>
        <w:wordWrap/>
        <w:overflowPunct/>
        <w:topLinePunct w:val="0"/>
        <w:autoSpaceDE/>
        <w:autoSpaceDN/>
        <w:bidi w:val="0"/>
        <w:spacing w:beforeAutospacing="0" w:after="0" w:afterAutospacing="0"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（一）部门财政资金收入情况。</w:t>
      </w:r>
    </w:p>
    <w:p>
      <w:pPr>
        <w:pStyle w:val="13"/>
        <w:keepNext w:val="0"/>
        <w:keepLines w:val="0"/>
        <w:pageBreakBefore w:val="0"/>
        <w:widowControl/>
        <w:shd w:val="clear" w:color="auto" w:fill="FFFFFF"/>
        <w:kinsoku/>
        <w:wordWrap/>
        <w:overflowPunct/>
        <w:topLinePunct w:val="0"/>
        <w:autoSpaceDE/>
        <w:autoSpaceDN/>
        <w:bidi w:val="0"/>
        <w:spacing w:beforeAutospacing="0" w:after="0" w:afterAutospacing="0"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202</w:t>
      </w:r>
      <w:r>
        <w:rPr>
          <w:rFonts w:hint="eastAsia" w:ascii="仿宋_GB2312" w:hAnsi="宋体" w:eastAsia="仿宋_GB2312" w:cs="仿宋_GB2312"/>
          <w:color w:val="auto"/>
          <w:sz w:val="32"/>
          <w:szCs w:val="32"/>
          <w:shd w:val="clear" w:color="auto" w:fill="FFFFFF"/>
          <w:lang w:val="en-US" w:eastAsia="zh-CN"/>
        </w:rPr>
        <w:t>2</w:t>
      </w:r>
      <w:r>
        <w:rPr>
          <w:rFonts w:hint="eastAsia" w:ascii="仿宋_GB2312" w:hAnsi="宋体" w:eastAsia="仿宋_GB2312" w:cs="仿宋_GB2312"/>
          <w:color w:val="auto"/>
          <w:sz w:val="32"/>
          <w:szCs w:val="32"/>
          <w:shd w:val="clear" w:color="auto" w:fill="FFFFFF"/>
        </w:rPr>
        <w:t>年财政拨款收入合计8584.77万元，一般公共预算财政拨款收入8584.77万元，占100%。其中：</w:t>
      </w:r>
      <w:r>
        <w:rPr>
          <w:rFonts w:hint="eastAsia" w:ascii="仿宋_GB2312" w:hAnsi="仿宋_GB2312" w:eastAsia="仿宋_GB2312"/>
          <w:color w:val="auto"/>
          <w:kern w:val="2"/>
          <w:sz w:val="32"/>
          <w:szCs w:val="32"/>
          <w:lang w:val="zh-CN"/>
        </w:rPr>
        <w:t>公共安全支出7575.53万元，占88.2</w:t>
      </w:r>
      <w:r>
        <w:rPr>
          <w:rFonts w:hint="eastAsia" w:ascii="仿宋_GB2312" w:hAnsi="仿宋_GB2312" w:eastAsia="仿宋_GB2312"/>
          <w:color w:val="auto"/>
          <w:kern w:val="2"/>
          <w:sz w:val="32"/>
          <w:szCs w:val="32"/>
          <w:lang w:val="en-US" w:eastAsia="zh-CN"/>
        </w:rPr>
        <w:t>4</w:t>
      </w:r>
      <w:r>
        <w:rPr>
          <w:rFonts w:hint="eastAsia" w:ascii="仿宋_GB2312" w:hAnsi="仿宋_GB2312" w:eastAsia="仿宋_GB2312"/>
          <w:color w:val="auto"/>
          <w:kern w:val="2"/>
          <w:sz w:val="32"/>
          <w:szCs w:val="32"/>
          <w:lang w:val="zh-CN"/>
        </w:rPr>
        <w:t>%；社会保障和就业支出526</w:t>
      </w:r>
      <w:r>
        <w:rPr>
          <w:rFonts w:hint="eastAsia" w:ascii="仿宋_GB2312" w:hAnsi="仿宋_GB2312" w:eastAsia="仿宋_GB2312"/>
          <w:color w:val="auto"/>
          <w:kern w:val="2"/>
          <w:sz w:val="32"/>
          <w:szCs w:val="32"/>
          <w:lang w:val="en-US" w:eastAsia="zh-CN"/>
        </w:rPr>
        <w:t>.</w:t>
      </w:r>
      <w:r>
        <w:rPr>
          <w:rFonts w:hint="eastAsia" w:ascii="仿宋_GB2312" w:hAnsi="仿宋_GB2312" w:eastAsia="仿宋_GB2312"/>
          <w:color w:val="auto"/>
          <w:kern w:val="2"/>
          <w:sz w:val="32"/>
          <w:szCs w:val="32"/>
          <w:lang w:val="zh-CN"/>
        </w:rPr>
        <w:t>91万元，占6.1</w:t>
      </w:r>
      <w:r>
        <w:rPr>
          <w:rFonts w:hint="eastAsia" w:ascii="仿宋_GB2312" w:hAnsi="仿宋_GB2312" w:eastAsia="仿宋_GB2312"/>
          <w:color w:val="auto"/>
          <w:kern w:val="2"/>
          <w:sz w:val="32"/>
          <w:szCs w:val="32"/>
          <w:lang w:val="en-US" w:eastAsia="zh-CN"/>
        </w:rPr>
        <w:t>4</w:t>
      </w:r>
      <w:r>
        <w:rPr>
          <w:rFonts w:hint="eastAsia" w:ascii="仿宋_GB2312" w:hAnsi="仿宋_GB2312" w:eastAsia="仿宋_GB2312"/>
          <w:color w:val="auto"/>
          <w:kern w:val="2"/>
          <w:sz w:val="32"/>
          <w:szCs w:val="32"/>
          <w:lang w:val="zh-CN"/>
        </w:rPr>
        <w:t>%；卫生健康支出143.64万元，占1.</w:t>
      </w:r>
      <w:r>
        <w:rPr>
          <w:rFonts w:hint="eastAsia" w:ascii="仿宋_GB2312" w:hAnsi="仿宋_GB2312" w:eastAsia="仿宋_GB2312"/>
          <w:color w:val="auto"/>
          <w:kern w:val="2"/>
          <w:sz w:val="32"/>
          <w:szCs w:val="32"/>
          <w:lang w:val="en-US" w:eastAsia="zh-CN"/>
        </w:rPr>
        <w:t>6</w:t>
      </w:r>
      <w:r>
        <w:rPr>
          <w:rFonts w:hint="eastAsia" w:ascii="仿宋_GB2312" w:hAnsi="仿宋_GB2312" w:eastAsia="仿宋_GB2312"/>
          <w:color w:val="auto"/>
          <w:kern w:val="2"/>
          <w:sz w:val="32"/>
          <w:szCs w:val="32"/>
          <w:lang w:val="zh-CN"/>
        </w:rPr>
        <w:t>7%；住房保障支出338.69万元，占3.9</w:t>
      </w:r>
      <w:r>
        <w:rPr>
          <w:rFonts w:hint="eastAsia" w:ascii="仿宋_GB2312" w:hAnsi="仿宋_GB2312" w:eastAsia="仿宋_GB2312"/>
          <w:color w:val="auto"/>
          <w:kern w:val="2"/>
          <w:sz w:val="32"/>
          <w:szCs w:val="32"/>
          <w:lang w:val="en-US" w:eastAsia="zh-CN"/>
        </w:rPr>
        <w:t>5</w:t>
      </w:r>
      <w:r>
        <w:rPr>
          <w:rFonts w:hint="eastAsia" w:ascii="仿宋_GB2312" w:hAnsi="仿宋_GB2312" w:eastAsia="仿宋_GB2312"/>
          <w:color w:val="auto"/>
          <w:kern w:val="2"/>
          <w:sz w:val="32"/>
          <w:szCs w:val="32"/>
          <w:lang w:val="zh-CN"/>
        </w:rPr>
        <w:t>%。</w:t>
      </w:r>
    </w:p>
    <w:p>
      <w:pPr>
        <w:pStyle w:val="13"/>
        <w:keepNext w:val="0"/>
        <w:keepLines w:val="0"/>
        <w:pageBreakBefore w:val="0"/>
        <w:widowControl/>
        <w:shd w:val="clear" w:color="auto" w:fill="FFFFFF"/>
        <w:kinsoku/>
        <w:wordWrap/>
        <w:overflowPunct/>
        <w:topLinePunct w:val="0"/>
        <w:autoSpaceDE/>
        <w:autoSpaceDN/>
        <w:bidi w:val="0"/>
        <w:spacing w:beforeAutospacing="0" w:after="0" w:afterAutospacing="0"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（二）部门财政资金支出情况。</w:t>
      </w:r>
    </w:p>
    <w:p>
      <w:pPr>
        <w:pStyle w:val="13"/>
        <w:keepNext w:val="0"/>
        <w:keepLines w:val="0"/>
        <w:pageBreakBefore w:val="0"/>
        <w:widowControl/>
        <w:shd w:val="clear" w:color="auto" w:fill="FFFFFF"/>
        <w:kinsoku/>
        <w:wordWrap/>
        <w:overflowPunct/>
        <w:topLinePunct w:val="0"/>
        <w:autoSpaceDE/>
        <w:autoSpaceDN/>
        <w:bidi w:val="0"/>
        <w:spacing w:beforeAutospacing="0" w:after="0" w:afterAutospacing="0"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202</w:t>
      </w:r>
      <w:r>
        <w:rPr>
          <w:rFonts w:hint="eastAsia" w:ascii="仿宋_GB2312" w:hAnsi="宋体" w:eastAsia="仿宋_GB2312" w:cs="仿宋_GB2312"/>
          <w:color w:val="auto"/>
          <w:sz w:val="32"/>
          <w:szCs w:val="32"/>
          <w:shd w:val="clear" w:color="auto" w:fill="FFFFFF"/>
          <w:lang w:val="en-US" w:eastAsia="zh-CN"/>
        </w:rPr>
        <w:t>2</w:t>
      </w:r>
      <w:r>
        <w:rPr>
          <w:rFonts w:hint="eastAsia" w:ascii="仿宋_GB2312" w:hAnsi="宋体" w:eastAsia="仿宋_GB2312" w:cs="仿宋_GB2312"/>
          <w:color w:val="auto"/>
          <w:sz w:val="32"/>
          <w:szCs w:val="32"/>
          <w:shd w:val="clear" w:color="auto" w:fill="FFFFFF"/>
        </w:rPr>
        <w:t>年，乐山市公安局五通桥区分局财政拨款支出合计8584.77万元，其中：</w:t>
      </w:r>
      <w:r>
        <w:rPr>
          <w:rFonts w:hint="eastAsia" w:ascii="仿宋_GB2312" w:hAnsi="仿宋_GB2312" w:eastAsia="仿宋_GB2312"/>
          <w:color w:val="auto"/>
          <w:kern w:val="2"/>
          <w:sz w:val="32"/>
          <w:szCs w:val="32"/>
          <w:lang w:val="zh-CN"/>
        </w:rPr>
        <w:t>基本支出6543.82万元，占76.2</w:t>
      </w:r>
      <w:r>
        <w:rPr>
          <w:rFonts w:hint="eastAsia" w:ascii="仿宋_GB2312" w:hAnsi="仿宋_GB2312" w:eastAsia="仿宋_GB2312"/>
          <w:color w:val="auto"/>
          <w:kern w:val="2"/>
          <w:sz w:val="32"/>
          <w:szCs w:val="32"/>
          <w:lang w:val="en-US" w:eastAsia="zh-CN"/>
        </w:rPr>
        <w:t>3</w:t>
      </w:r>
      <w:r>
        <w:rPr>
          <w:rFonts w:hint="eastAsia" w:ascii="仿宋_GB2312" w:hAnsi="仿宋_GB2312" w:eastAsia="仿宋_GB2312"/>
          <w:color w:val="auto"/>
          <w:kern w:val="2"/>
          <w:sz w:val="32"/>
          <w:szCs w:val="32"/>
          <w:lang w:val="zh-CN"/>
        </w:rPr>
        <w:t>%；项目支出2040.95万元，占23.</w:t>
      </w:r>
      <w:r>
        <w:rPr>
          <w:rFonts w:hint="eastAsia" w:ascii="仿宋_GB2312" w:hAnsi="仿宋_GB2312" w:eastAsia="仿宋_GB2312"/>
          <w:color w:val="auto"/>
          <w:kern w:val="2"/>
          <w:sz w:val="32"/>
          <w:szCs w:val="32"/>
          <w:lang w:val="en-US" w:eastAsia="zh-CN"/>
        </w:rPr>
        <w:t>77</w:t>
      </w:r>
      <w:r>
        <w:rPr>
          <w:rFonts w:hint="eastAsia" w:ascii="仿宋_GB2312" w:hAnsi="仿宋_GB2312" w:eastAsia="仿宋_GB2312"/>
          <w:color w:val="auto"/>
          <w:kern w:val="2"/>
          <w:sz w:val="32"/>
          <w:szCs w:val="32"/>
          <w:lang w:val="zh-CN"/>
        </w:rPr>
        <w:t>%</w:t>
      </w:r>
      <w:r>
        <w:rPr>
          <w:rFonts w:hint="eastAsia" w:ascii="仿宋_GB2312" w:hAnsi="宋体" w:eastAsia="仿宋_GB2312" w:cs="仿宋_GB2312"/>
          <w:color w:val="auto"/>
          <w:sz w:val="32"/>
          <w:szCs w:val="32"/>
          <w:shd w:val="clear" w:color="auto" w:fill="FFFFFF"/>
        </w:rPr>
        <w:t>，各项财政拨款支出情况为：</w:t>
      </w:r>
      <w:r>
        <w:rPr>
          <w:rFonts w:hint="eastAsia" w:ascii="仿宋_GB2312" w:hAnsi="仿宋_GB2312" w:eastAsia="仿宋_GB2312"/>
          <w:color w:val="auto"/>
          <w:kern w:val="2"/>
          <w:sz w:val="32"/>
          <w:szCs w:val="32"/>
          <w:lang w:val="zh-CN"/>
        </w:rPr>
        <w:t>公共安全支出7575.53万元，占88.2</w:t>
      </w:r>
      <w:r>
        <w:rPr>
          <w:rFonts w:hint="eastAsia" w:ascii="仿宋_GB2312" w:hAnsi="仿宋_GB2312" w:eastAsia="仿宋_GB2312"/>
          <w:color w:val="auto"/>
          <w:kern w:val="2"/>
          <w:sz w:val="32"/>
          <w:szCs w:val="32"/>
          <w:lang w:val="en-US" w:eastAsia="zh-CN"/>
        </w:rPr>
        <w:t>4</w:t>
      </w:r>
      <w:r>
        <w:rPr>
          <w:rFonts w:hint="eastAsia" w:ascii="仿宋_GB2312" w:hAnsi="仿宋_GB2312" w:eastAsia="仿宋_GB2312"/>
          <w:color w:val="auto"/>
          <w:kern w:val="2"/>
          <w:sz w:val="32"/>
          <w:szCs w:val="32"/>
          <w:lang w:val="zh-CN"/>
        </w:rPr>
        <w:t>%；社会保障和就业支出526</w:t>
      </w:r>
      <w:r>
        <w:rPr>
          <w:rFonts w:hint="eastAsia" w:ascii="仿宋_GB2312" w:hAnsi="仿宋_GB2312" w:eastAsia="仿宋_GB2312"/>
          <w:color w:val="auto"/>
          <w:kern w:val="2"/>
          <w:sz w:val="32"/>
          <w:szCs w:val="32"/>
          <w:lang w:val="en-US" w:eastAsia="zh-CN"/>
        </w:rPr>
        <w:t>.</w:t>
      </w:r>
      <w:r>
        <w:rPr>
          <w:rFonts w:hint="eastAsia" w:ascii="仿宋_GB2312" w:hAnsi="仿宋_GB2312" w:eastAsia="仿宋_GB2312"/>
          <w:color w:val="auto"/>
          <w:kern w:val="2"/>
          <w:sz w:val="32"/>
          <w:szCs w:val="32"/>
          <w:lang w:val="zh-CN"/>
        </w:rPr>
        <w:t>91万元，占6.1</w:t>
      </w:r>
      <w:r>
        <w:rPr>
          <w:rFonts w:hint="eastAsia" w:ascii="仿宋_GB2312" w:hAnsi="仿宋_GB2312" w:eastAsia="仿宋_GB2312"/>
          <w:color w:val="auto"/>
          <w:kern w:val="2"/>
          <w:sz w:val="32"/>
          <w:szCs w:val="32"/>
          <w:lang w:val="en-US" w:eastAsia="zh-CN"/>
        </w:rPr>
        <w:t>4</w:t>
      </w:r>
      <w:r>
        <w:rPr>
          <w:rFonts w:hint="eastAsia" w:ascii="仿宋_GB2312" w:hAnsi="仿宋_GB2312" w:eastAsia="仿宋_GB2312"/>
          <w:color w:val="auto"/>
          <w:kern w:val="2"/>
          <w:sz w:val="32"/>
          <w:szCs w:val="32"/>
          <w:lang w:val="zh-CN"/>
        </w:rPr>
        <w:t>%；卫生健康支出143.64万元，占1.</w:t>
      </w:r>
      <w:r>
        <w:rPr>
          <w:rFonts w:hint="eastAsia" w:ascii="仿宋_GB2312" w:hAnsi="仿宋_GB2312" w:eastAsia="仿宋_GB2312"/>
          <w:color w:val="auto"/>
          <w:kern w:val="2"/>
          <w:sz w:val="32"/>
          <w:szCs w:val="32"/>
          <w:lang w:val="en-US" w:eastAsia="zh-CN"/>
        </w:rPr>
        <w:t>6</w:t>
      </w:r>
      <w:r>
        <w:rPr>
          <w:rFonts w:hint="eastAsia" w:ascii="仿宋_GB2312" w:hAnsi="仿宋_GB2312" w:eastAsia="仿宋_GB2312"/>
          <w:color w:val="auto"/>
          <w:kern w:val="2"/>
          <w:sz w:val="32"/>
          <w:szCs w:val="32"/>
          <w:lang w:val="zh-CN"/>
        </w:rPr>
        <w:t>7%；住房保障支出338.69万元，占3.9</w:t>
      </w:r>
      <w:r>
        <w:rPr>
          <w:rFonts w:hint="eastAsia" w:ascii="仿宋_GB2312" w:hAnsi="仿宋_GB2312" w:eastAsia="仿宋_GB2312"/>
          <w:color w:val="auto"/>
          <w:kern w:val="2"/>
          <w:sz w:val="32"/>
          <w:szCs w:val="32"/>
          <w:lang w:val="en-US" w:eastAsia="zh-CN"/>
        </w:rPr>
        <w:t>5</w:t>
      </w:r>
      <w:r>
        <w:rPr>
          <w:rFonts w:hint="eastAsia" w:ascii="仿宋_GB2312" w:hAnsi="仿宋_GB2312" w:eastAsia="仿宋_GB2312"/>
          <w:color w:val="auto"/>
          <w:kern w:val="2"/>
          <w:sz w:val="32"/>
          <w:szCs w:val="32"/>
          <w:lang w:val="zh-CN"/>
        </w:rPr>
        <w:t>%。</w:t>
      </w:r>
    </w:p>
    <w:p>
      <w:pPr>
        <w:pStyle w:val="13"/>
        <w:keepNext w:val="0"/>
        <w:keepLines w:val="0"/>
        <w:pageBreakBefore w:val="0"/>
        <w:widowControl/>
        <w:shd w:val="clear" w:color="auto" w:fill="FFFFFF"/>
        <w:kinsoku/>
        <w:wordWrap/>
        <w:overflowPunct/>
        <w:topLinePunct w:val="0"/>
        <w:autoSpaceDE/>
        <w:autoSpaceDN/>
        <w:bidi w:val="0"/>
        <w:spacing w:beforeAutospacing="0" w:after="0" w:afterAutospacing="0" w:line="240" w:lineRule="auto"/>
        <w:ind w:left="0" w:firstLine="640" w:firstLineChars="200"/>
        <w:textAlignment w:val="auto"/>
        <w:rPr>
          <w:rFonts w:hint="eastAsia" w:ascii="仿宋_GB2312" w:hAnsi="宋体" w:eastAsia="仿宋_GB2312" w:cs="仿宋_GB2312"/>
          <w:b/>
          <w:bCs/>
          <w:color w:val="auto"/>
          <w:sz w:val="32"/>
          <w:szCs w:val="32"/>
          <w:shd w:val="clear" w:color="auto" w:fill="FFFFFF"/>
        </w:rPr>
      </w:pPr>
      <w:r>
        <w:rPr>
          <w:rFonts w:hint="eastAsia" w:ascii="黑体" w:hAnsi="宋体" w:eastAsia="黑体" w:cs="宋体"/>
          <w:color w:val="auto"/>
          <w:kern w:val="0"/>
          <w:sz w:val="32"/>
          <w:szCs w:val="32"/>
          <w:highlight w:val="none"/>
          <w:shd w:val="clear" w:color="auto" w:fill="FFFFFF"/>
        </w:rPr>
        <w:t>三、</w:t>
      </w:r>
      <w:r>
        <w:rPr>
          <w:rFonts w:hint="eastAsia" w:ascii="黑体" w:hAnsi="宋体" w:eastAsia="黑体" w:cs="宋体"/>
          <w:color w:val="auto"/>
          <w:kern w:val="0"/>
          <w:sz w:val="32"/>
          <w:szCs w:val="32"/>
          <w:highlight w:val="none"/>
          <w:u w:val="none"/>
          <w:shd w:val="clear" w:color="auto" w:fill="FFFFFF"/>
        </w:rPr>
        <w:t>部门整体绩效</w:t>
      </w:r>
      <w:r>
        <w:rPr>
          <w:rFonts w:hint="eastAsia" w:ascii="黑体" w:hAnsi="宋体" w:eastAsia="黑体" w:cs="宋体"/>
          <w:color w:val="auto"/>
          <w:kern w:val="0"/>
          <w:sz w:val="32"/>
          <w:szCs w:val="32"/>
          <w:highlight w:val="none"/>
          <w:u w:val="none"/>
          <w:shd w:val="clear" w:color="auto" w:fill="FFFFFF"/>
          <w:lang w:eastAsia="zh-CN"/>
        </w:rPr>
        <w:t>分析</w:t>
      </w:r>
    </w:p>
    <w:p>
      <w:pPr>
        <w:pStyle w:val="13"/>
        <w:keepNext w:val="0"/>
        <w:keepLines w:val="0"/>
        <w:pageBreakBefore w:val="0"/>
        <w:widowControl/>
        <w:shd w:val="clear" w:color="auto" w:fill="FFFFFF"/>
        <w:kinsoku/>
        <w:wordWrap/>
        <w:overflowPunct/>
        <w:topLinePunct w:val="0"/>
        <w:autoSpaceDE/>
        <w:autoSpaceDN/>
        <w:bidi w:val="0"/>
        <w:spacing w:beforeAutospacing="0" w:after="0" w:afterAutospacing="0"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（一）部门预算管理</w:t>
      </w:r>
    </w:p>
    <w:p>
      <w:pPr>
        <w:pStyle w:val="13"/>
        <w:keepNext w:val="0"/>
        <w:keepLines w:val="0"/>
        <w:pageBreakBefore w:val="0"/>
        <w:widowControl/>
        <w:shd w:val="clear" w:color="auto" w:fill="FFFFFF"/>
        <w:kinsoku/>
        <w:wordWrap/>
        <w:overflowPunct/>
        <w:topLinePunct w:val="0"/>
        <w:autoSpaceDE/>
        <w:autoSpaceDN/>
        <w:bidi w:val="0"/>
        <w:spacing w:beforeAutospacing="0" w:after="0" w:afterAutospacing="0"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１、预决算编制情况</w:t>
      </w:r>
    </w:p>
    <w:p>
      <w:pPr>
        <w:pStyle w:val="13"/>
        <w:keepNext w:val="0"/>
        <w:keepLines w:val="0"/>
        <w:pageBreakBefore w:val="0"/>
        <w:widowControl/>
        <w:shd w:val="clear" w:color="auto" w:fill="FFFFFF"/>
        <w:kinsoku/>
        <w:wordWrap/>
        <w:overflowPunct/>
        <w:topLinePunct w:val="0"/>
        <w:autoSpaceDE/>
        <w:autoSpaceDN/>
        <w:bidi w:val="0"/>
        <w:spacing w:beforeAutospacing="0" w:after="0" w:afterAutospacing="0"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lang w:eastAsia="zh-CN"/>
        </w:rPr>
        <w:t>乐山市公安局五通桥区分局</w:t>
      </w:r>
      <w:r>
        <w:rPr>
          <w:rFonts w:hint="eastAsia" w:ascii="仿宋_GB2312" w:hAnsi="宋体" w:eastAsia="仿宋_GB2312" w:cs="仿宋_GB2312"/>
          <w:color w:val="auto"/>
          <w:sz w:val="32"/>
          <w:szCs w:val="32"/>
          <w:shd w:val="clear" w:color="auto" w:fill="FFFFFF"/>
        </w:rPr>
        <w:t>高度重视</w:t>
      </w:r>
      <w:r>
        <w:rPr>
          <w:rFonts w:hint="eastAsia" w:ascii="仿宋_GB2312" w:hAnsi="宋体" w:eastAsia="仿宋_GB2312" w:cs="仿宋_GB2312"/>
          <w:color w:val="auto"/>
          <w:sz w:val="32"/>
          <w:szCs w:val="32"/>
          <w:shd w:val="clear" w:color="auto" w:fill="FFFFFF"/>
          <w:lang w:val="en-US" w:eastAsia="zh-CN"/>
        </w:rPr>
        <w:t>2022年度预算</w:t>
      </w:r>
      <w:r>
        <w:rPr>
          <w:rFonts w:hint="eastAsia" w:ascii="仿宋_GB2312" w:hAnsi="宋体" w:eastAsia="仿宋_GB2312" w:cs="仿宋_GB2312"/>
          <w:color w:val="auto"/>
          <w:sz w:val="32"/>
          <w:szCs w:val="32"/>
          <w:shd w:val="clear" w:color="auto" w:fill="FFFFFF"/>
        </w:rPr>
        <w:t>，严格按照财政局要求，认真务实地编制单位预决算。做到了绩效目标合理设置、预算编制准确、专项预算提前细化和结余结转资金认真管理。</w:t>
      </w:r>
    </w:p>
    <w:p>
      <w:pPr>
        <w:pStyle w:val="13"/>
        <w:keepNext w:val="0"/>
        <w:keepLines w:val="0"/>
        <w:pageBreakBefore w:val="0"/>
        <w:widowControl/>
        <w:shd w:val="clear" w:color="auto" w:fill="FFFFFF"/>
        <w:kinsoku/>
        <w:wordWrap/>
        <w:overflowPunct/>
        <w:topLinePunct w:val="0"/>
        <w:autoSpaceDE/>
        <w:autoSpaceDN/>
        <w:bidi w:val="0"/>
        <w:spacing w:beforeAutospacing="0" w:after="0" w:afterAutospacing="0"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２、执行进度情况。</w:t>
      </w:r>
    </w:p>
    <w:p>
      <w:pPr>
        <w:pStyle w:val="13"/>
        <w:keepNext w:val="0"/>
        <w:keepLines w:val="0"/>
        <w:pageBreakBefore w:val="0"/>
        <w:widowControl/>
        <w:shd w:val="clear" w:color="auto" w:fill="FFFFFF"/>
        <w:kinsoku/>
        <w:wordWrap/>
        <w:overflowPunct/>
        <w:topLinePunct w:val="0"/>
        <w:autoSpaceDE/>
        <w:autoSpaceDN/>
        <w:bidi w:val="0"/>
        <w:spacing w:beforeAutospacing="0" w:after="0" w:afterAutospacing="0"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全年执行进度、中期评估较好。</w:t>
      </w:r>
    </w:p>
    <w:p>
      <w:pPr>
        <w:pStyle w:val="13"/>
        <w:keepNext w:val="0"/>
        <w:keepLines w:val="0"/>
        <w:pageBreakBefore w:val="0"/>
        <w:widowControl/>
        <w:shd w:val="clear" w:color="auto" w:fill="FFFFFF"/>
        <w:kinsoku/>
        <w:wordWrap/>
        <w:overflowPunct/>
        <w:topLinePunct w:val="0"/>
        <w:autoSpaceDE/>
        <w:autoSpaceDN/>
        <w:bidi w:val="0"/>
        <w:spacing w:beforeAutospacing="0" w:after="0" w:afterAutospacing="0"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３、部门支出绩效。</w:t>
      </w:r>
    </w:p>
    <w:p>
      <w:pPr>
        <w:pStyle w:val="13"/>
        <w:keepNext w:val="0"/>
        <w:keepLines w:val="0"/>
        <w:pageBreakBefore w:val="0"/>
        <w:widowControl/>
        <w:shd w:val="clear" w:color="auto" w:fill="FFFFFF"/>
        <w:kinsoku/>
        <w:wordWrap/>
        <w:overflowPunct/>
        <w:topLinePunct w:val="0"/>
        <w:autoSpaceDE/>
        <w:autoSpaceDN/>
        <w:bidi w:val="0"/>
        <w:spacing w:beforeAutospacing="0" w:after="0" w:afterAutospacing="0"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（1）行政运转保障。</w:t>
      </w:r>
    </w:p>
    <w:p>
      <w:pPr>
        <w:pStyle w:val="13"/>
        <w:keepNext w:val="0"/>
        <w:keepLines w:val="0"/>
        <w:pageBreakBefore w:val="0"/>
        <w:widowControl/>
        <w:shd w:val="clear" w:color="auto" w:fill="FFFFFF"/>
        <w:kinsoku/>
        <w:wordWrap/>
        <w:overflowPunct/>
        <w:topLinePunct w:val="0"/>
        <w:autoSpaceDE/>
        <w:autoSpaceDN/>
        <w:bidi w:val="0"/>
        <w:spacing w:beforeAutospacing="0" w:after="0" w:afterAutospacing="0"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我局完善各项管理办法的同时，保障各项事务正常运转，相关人员在工作过程中严格执行规定，相互监督，保证了会计工作的真实性、完整性以及单位财产的安全。</w:t>
      </w:r>
    </w:p>
    <w:p>
      <w:pPr>
        <w:pStyle w:val="13"/>
        <w:keepNext w:val="0"/>
        <w:keepLines w:val="0"/>
        <w:pageBreakBefore w:val="0"/>
        <w:widowControl/>
        <w:shd w:val="clear" w:color="auto" w:fill="FFFFFF"/>
        <w:kinsoku/>
        <w:wordWrap/>
        <w:overflowPunct/>
        <w:topLinePunct w:val="0"/>
        <w:autoSpaceDE/>
        <w:autoSpaceDN/>
        <w:bidi w:val="0"/>
        <w:spacing w:beforeAutospacing="0" w:after="0" w:afterAutospacing="0"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（2）机关厉行节约。</w:t>
      </w:r>
    </w:p>
    <w:p>
      <w:pPr>
        <w:pStyle w:val="13"/>
        <w:keepNext w:val="0"/>
        <w:keepLines w:val="0"/>
        <w:pageBreakBefore w:val="0"/>
        <w:widowControl/>
        <w:shd w:val="clear" w:color="auto" w:fill="FFFFFF"/>
        <w:kinsoku/>
        <w:wordWrap/>
        <w:overflowPunct/>
        <w:topLinePunct w:val="0"/>
        <w:autoSpaceDE/>
        <w:autoSpaceDN/>
        <w:bidi w:val="0"/>
        <w:spacing w:beforeAutospacing="0" w:after="0" w:afterAutospacing="0"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我局无因公出国（境）费用，会议、培训及公务接待经费控制较好。</w:t>
      </w:r>
    </w:p>
    <w:p>
      <w:pPr>
        <w:pStyle w:val="13"/>
        <w:keepNext w:val="0"/>
        <w:keepLines w:val="0"/>
        <w:pageBreakBefore w:val="0"/>
        <w:widowControl/>
        <w:shd w:val="clear" w:color="auto" w:fill="FFFFFF"/>
        <w:kinsoku/>
        <w:wordWrap/>
        <w:overflowPunct/>
        <w:topLinePunct w:val="0"/>
        <w:autoSpaceDE/>
        <w:autoSpaceDN/>
        <w:bidi w:val="0"/>
        <w:spacing w:beforeAutospacing="0" w:after="0" w:afterAutospacing="0"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机关因公出国（境）费用、会议费、车辆购置及运行费用和公务接待经费控制压缩等情况如下：</w:t>
      </w:r>
    </w:p>
    <w:p>
      <w:pPr>
        <w:pStyle w:val="13"/>
        <w:keepNext w:val="0"/>
        <w:keepLines w:val="0"/>
        <w:pageBreakBefore w:val="0"/>
        <w:widowControl/>
        <w:shd w:val="clear" w:color="auto" w:fill="FFFFFF"/>
        <w:kinsoku/>
        <w:wordWrap/>
        <w:overflowPunct/>
        <w:topLinePunct w:val="0"/>
        <w:autoSpaceDE/>
        <w:autoSpaceDN/>
        <w:bidi w:val="0"/>
        <w:spacing w:beforeAutospacing="0" w:after="0" w:afterAutospacing="0"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 xml:space="preserve"> 202</w:t>
      </w:r>
      <w:r>
        <w:rPr>
          <w:rFonts w:hint="eastAsia" w:ascii="仿宋_GB2312" w:hAnsi="宋体" w:eastAsia="仿宋_GB2312" w:cs="仿宋_GB2312"/>
          <w:color w:val="auto"/>
          <w:sz w:val="32"/>
          <w:szCs w:val="32"/>
          <w:shd w:val="clear" w:color="auto" w:fill="FFFFFF"/>
          <w:lang w:val="en-US" w:eastAsia="zh-CN"/>
        </w:rPr>
        <w:t>2</w:t>
      </w:r>
      <w:r>
        <w:rPr>
          <w:rFonts w:hint="eastAsia" w:ascii="仿宋_GB2312" w:hAnsi="宋体" w:eastAsia="仿宋_GB2312" w:cs="仿宋_GB2312"/>
          <w:color w:val="auto"/>
          <w:sz w:val="32"/>
          <w:szCs w:val="32"/>
          <w:shd w:val="clear" w:color="auto" w:fill="FFFFFF"/>
        </w:rPr>
        <w:t>年“三公”经费收入支出90万元，其中公务用车购置及运行维护费支出90万元。主要原因是严格车辆使用和运行管理，</w:t>
      </w:r>
      <w:r>
        <w:rPr>
          <w:rFonts w:hint="eastAsia" w:ascii="仿宋_GB2312" w:hAnsi="宋体" w:eastAsia="仿宋_GB2312" w:cs="仿宋_GB2312"/>
          <w:color w:val="auto"/>
          <w:sz w:val="32"/>
          <w:szCs w:val="32"/>
          <w:shd w:val="clear" w:color="auto" w:fill="FFFFFF"/>
          <w:lang w:eastAsia="zh-CN"/>
        </w:rPr>
        <w:t>严格控制</w:t>
      </w:r>
      <w:r>
        <w:rPr>
          <w:rFonts w:hint="eastAsia" w:ascii="仿宋_GB2312" w:hAnsi="宋体" w:eastAsia="仿宋_GB2312" w:cs="仿宋_GB2312"/>
          <w:color w:val="auto"/>
          <w:sz w:val="32"/>
          <w:szCs w:val="32"/>
          <w:shd w:val="clear" w:color="auto" w:fill="FFFFFF"/>
        </w:rPr>
        <w:t>车辆燃油和维修</w:t>
      </w:r>
      <w:r>
        <w:rPr>
          <w:rFonts w:hint="eastAsia" w:ascii="仿宋_GB2312" w:hAnsi="宋体" w:eastAsia="仿宋_GB2312" w:cs="仿宋_GB2312"/>
          <w:color w:val="auto"/>
          <w:sz w:val="32"/>
          <w:szCs w:val="32"/>
          <w:shd w:val="clear" w:color="auto" w:fill="FFFFFF"/>
          <w:lang w:eastAsia="zh-CN"/>
        </w:rPr>
        <w:t>等</w:t>
      </w:r>
      <w:r>
        <w:rPr>
          <w:rFonts w:hint="eastAsia" w:ascii="仿宋_GB2312" w:hAnsi="宋体" w:eastAsia="仿宋_GB2312" w:cs="仿宋_GB2312"/>
          <w:color w:val="auto"/>
          <w:sz w:val="32"/>
          <w:szCs w:val="32"/>
          <w:shd w:val="clear" w:color="auto" w:fill="FFFFFF"/>
        </w:rPr>
        <w:t>费用。</w:t>
      </w:r>
    </w:p>
    <w:p>
      <w:pPr>
        <w:pStyle w:val="13"/>
        <w:keepNext w:val="0"/>
        <w:keepLines w:val="0"/>
        <w:pageBreakBefore w:val="0"/>
        <w:widowControl/>
        <w:shd w:val="clear" w:color="auto" w:fill="FFFFFF"/>
        <w:kinsoku/>
        <w:wordWrap/>
        <w:overflowPunct/>
        <w:topLinePunct w:val="0"/>
        <w:autoSpaceDE/>
        <w:autoSpaceDN/>
        <w:bidi w:val="0"/>
        <w:spacing w:beforeAutospacing="0" w:after="0" w:afterAutospacing="0"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（3）机关节能降耗。</w:t>
      </w:r>
    </w:p>
    <w:p>
      <w:pPr>
        <w:pStyle w:val="13"/>
        <w:keepNext w:val="0"/>
        <w:keepLines w:val="0"/>
        <w:pageBreakBefore w:val="0"/>
        <w:widowControl/>
        <w:shd w:val="clear" w:color="auto" w:fill="FFFFFF"/>
        <w:kinsoku/>
        <w:wordWrap/>
        <w:overflowPunct/>
        <w:topLinePunct w:val="0"/>
        <w:autoSpaceDE/>
        <w:autoSpaceDN/>
        <w:bidi w:val="0"/>
        <w:spacing w:beforeAutospacing="0" w:after="0" w:afterAutospacing="0"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开展节约型机关创建活动后，分局机关水、电、气费用均比202</w:t>
      </w:r>
      <w:r>
        <w:rPr>
          <w:rFonts w:hint="eastAsia" w:ascii="仿宋_GB2312" w:hAnsi="宋体" w:eastAsia="仿宋_GB2312" w:cs="仿宋_GB2312"/>
          <w:color w:val="auto"/>
          <w:sz w:val="32"/>
          <w:szCs w:val="32"/>
          <w:shd w:val="clear" w:color="auto" w:fill="FFFFFF"/>
          <w:lang w:val="en-US" w:eastAsia="zh-CN"/>
        </w:rPr>
        <w:t>1</w:t>
      </w:r>
      <w:r>
        <w:rPr>
          <w:rFonts w:hint="eastAsia" w:ascii="仿宋_GB2312" w:hAnsi="宋体" w:eastAsia="仿宋_GB2312" w:cs="仿宋_GB2312"/>
          <w:color w:val="auto"/>
          <w:sz w:val="32"/>
          <w:szCs w:val="32"/>
          <w:shd w:val="clear" w:color="auto" w:fill="FFFFFF"/>
        </w:rPr>
        <w:t>年下降，节能降耗情况较好,</w:t>
      </w:r>
      <w:r>
        <w:rPr>
          <w:rFonts w:hint="eastAsia" w:ascii="仿宋_GB2312" w:hAnsi="宋体" w:eastAsia="仿宋_GB2312" w:cs="仿宋_GB2312"/>
          <w:color w:val="auto"/>
          <w:sz w:val="32"/>
          <w:szCs w:val="32"/>
          <w:shd w:val="clear" w:color="auto" w:fill="FFFFFF"/>
          <w:lang w:eastAsia="zh-CN"/>
        </w:rPr>
        <w:t>荣获</w:t>
      </w:r>
      <w:r>
        <w:rPr>
          <w:rFonts w:hint="eastAsia" w:ascii="仿宋_GB2312" w:hAnsi="宋体" w:eastAsia="仿宋_GB2312" w:cs="仿宋_GB2312"/>
          <w:color w:val="auto"/>
          <w:sz w:val="32"/>
          <w:szCs w:val="32"/>
          <w:shd w:val="clear" w:color="auto" w:fill="FFFFFF"/>
        </w:rPr>
        <w:t>国家机关事务管理局、中共中央直属机关事务管理局、国家发展和改革委员会、财政部联合授予“节约型机关”殊荣。</w:t>
      </w:r>
    </w:p>
    <w:p>
      <w:pPr>
        <w:pStyle w:val="13"/>
        <w:keepNext w:val="0"/>
        <w:keepLines w:val="0"/>
        <w:pageBreakBefore w:val="0"/>
        <w:widowControl/>
        <w:shd w:val="clear" w:color="auto" w:fill="FFFFFF"/>
        <w:kinsoku/>
        <w:wordWrap/>
        <w:overflowPunct/>
        <w:topLinePunct w:val="0"/>
        <w:autoSpaceDE/>
        <w:autoSpaceDN/>
        <w:bidi w:val="0"/>
        <w:spacing w:beforeAutospacing="0" w:after="0" w:afterAutospacing="0" w:line="240" w:lineRule="auto"/>
        <w:ind w:left="0" w:firstLine="640" w:firstLineChars="200"/>
        <w:textAlignment w:val="auto"/>
        <w:rPr>
          <w:rFonts w:hint="eastAsia" w:ascii="仿宋_GB2312" w:hAnsi="宋体" w:eastAsia="仿宋_GB2312" w:cs="宋体"/>
          <w:color w:val="auto"/>
          <w:sz w:val="32"/>
          <w:szCs w:val="32"/>
          <w:shd w:val="clear" w:color="auto" w:fill="FFFFFF"/>
          <w:lang w:val="zh-CN"/>
        </w:rPr>
      </w:pPr>
      <w:r>
        <w:rPr>
          <w:rFonts w:hint="eastAsia" w:ascii="仿宋_GB2312" w:hAnsi="宋体" w:eastAsia="仿宋_GB2312" w:cs="宋体"/>
          <w:color w:val="auto"/>
          <w:sz w:val="32"/>
          <w:szCs w:val="32"/>
          <w:shd w:val="clear" w:color="auto" w:fill="FFFFFF"/>
          <w:lang w:val="zh-CN"/>
        </w:rPr>
        <w:t>（二）项目预算管理</w:t>
      </w:r>
    </w:p>
    <w:p>
      <w:pPr>
        <w:pStyle w:val="13"/>
        <w:keepNext w:val="0"/>
        <w:keepLines w:val="0"/>
        <w:pageBreakBefore w:val="0"/>
        <w:widowControl/>
        <w:shd w:val="clear" w:color="auto" w:fill="FFFFFF"/>
        <w:kinsoku/>
        <w:wordWrap/>
        <w:overflowPunct/>
        <w:topLinePunct w:val="0"/>
        <w:autoSpaceDE/>
        <w:autoSpaceDN/>
        <w:bidi w:val="0"/>
        <w:spacing w:beforeAutospacing="0" w:after="0" w:afterAutospacing="0"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1、资金绩效分配情况。</w:t>
      </w:r>
    </w:p>
    <w:p>
      <w:pPr>
        <w:pStyle w:val="13"/>
        <w:keepNext w:val="0"/>
        <w:keepLines w:val="0"/>
        <w:pageBreakBefore w:val="0"/>
        <w:widowControl/>
        <w:shd w:val="clear" w:color="auto" w:fill="FFFFFF"/>
        <w:kinsoku/>
        <w:wordWrap/>
        <w:overflowPunct/>
        <w:topLinePunct w:val="0"/>
        <w:autoSpaceDE/>
        <w:autoSpaceDN/>
        <w:bidi w:val="0"/>
        <w:spacing w:beforeAutospacing="0" w:after="0" w:afterAutospacing="0"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按照《四川省省级财政专项资金绩效分配管理暂行办法》、各警种工作开展实际需求实施绩效分配。</w:t>
      </w:r>
    </w:p>
    <w:p>
      <w:pPr>
        <w:pStyle w:val="13"/>
        <w:keepNext w:val="0"/>
        <w:keepLines w:val="0"/>
        <w:pageBreakBefore w:val="0"/>
        <w:widowControl/>
        <w:shd w:val="clear" w:color="auto" w:fill="FFFFFF"/>
        <w:kinsoku/>
        <w:wordWrap/>
        <w:overflowPunct/>
        <w:topLinePunct w:val="0"/>
        <w:autoSpaceDE/>
        <w:autoSpaceDN/>
        <w:bidi w:val="0"/>
        <w:spacing w:beforeAutospacing="0" w:after="0" w:afterAutospacing="0"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2、项目资金管理情况。</w:t>
      </w:r>
    </w:p>
    <w:p>
      <w:pPr>
        <w:pStyle w:val="13"/>
        <w:keepNext w:val="0"/>
        <w:keepLines w:val="0"/>
        <w:pageBreakBefore w:val="0"/>
        <w:widowControl/>
        <w:shd w:val="clear" w:color="auto" w:fill="FFFFFF"/>
        <w:kinsoku/>
        <w:wordWrap/>
        <w:overflowPunct/>
        <w:topLinePunct w:val="0"/>
        <w:autoSpaceDE/>
        <w:autoSpaceDN/>
        <w:bidi w:val="0"/>
        <w:spacing w:beforeAutospacing="0" w:after="0" w:afterAutospacing="0"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我局项目资金支出均严格按照财务管理制度执行，按照谁申报谁负责的方式，对项目资金使用及中长期规划等进行了有效管理。</w:t>
      </w:r>
    </w:p>
    <w:p>
      <w:pPr>
        <w:pStyle w:val="13"/>
        <w:keepNext w:val="0"/>
        <w:keepLines w:val="0"/>
        <w:pageBreakBefore w:val="0"/>
        <w:widowControl/>
        <w:shd w:val="clear" w:color="auto" w:fill="FFFFFF"/>
        <w:kinsoku/>
        <w:wordWrap/>
        <w:overflowPunct/>
        <w:topLinePunct w:val="0"/>
        <w:autoSpaceDE/>
        <w:autoSpaceDN/>
        <w:bidi w:val="0"/>
        <w:spacing w:beforeAutospacing="0" w:after="0" w:afterAutospacing="0"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3、绩效目标完成情况。</w:t>
      </w:r>
    </w:p>
    <w:p>
      <w:pPr>
        <w:pStyle w:val="13"/>
        <w:keepNext w:val="0"/>
        <w:keepLines w:val="0"/>
        <w:pageBreakBefore w:val="0"/>
        <w:widowControl/>
        <w:shd w:val="clear" w:color="auto" w:fill="FFFFFF"/>
        <w:kinsoku/>
        <w:wordWrap/>
        <w:overflowPunct/>
        <w:topLinePunct w:val="0"/>
        <w:autoSpaceDE/>
        <w:autoSpaceDN/>
        <w:bidi w:val="0"/>
        <w:spacing w:beforeAutospacing="0" w:after="0" w:afterAutospacing="0"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项目实施完成后均达到了预期经济和社会效益等绩效目标。</w:t>
      </w:r>
    </w:p>
    <w:p>
      <w:pPr>
        <w:pStyle w:val="13"/>
        <w:keepNext w:val="0"/>
        <w:keepLines w:val="0"/>
        <w:pageBreakBefore w:val="0"/>
        <w:widowControl/>
        <w:shd w:val="clear" w:color="auto" w:fill="FFFFFF"/>
        <w:kinsoku/>
        <w:wordWrap/>
        <w:overflowPunct/>
        <w:topLinePunct w:val="0"/>
        <w:autoSpaceDE/>
        <w:autoSpaceDN/>
        <w:bidi w:val="0"/>
        <w:spacing w:beforeAutospacing="0" w:after="0" w:afterAutospacing="0"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（三）结果应用情况</w:t>
      </w:r>
    </w:p>
    <w:p>
      <w:pPr>
        <w:pStyle w:val="13"/>
        <w:keepNext w:val="0"/>
        <w:keepLines w:val="0"/>
        <w:pageBreakBefore w:val="0"/>
        <w:widowControl/>
        <w:shd w:val="clear" w:color="auto" w:fill="FFFFFF"/>
        <w:kinsoku/>
        <w:wordWrap/>
        <w:overflowPunct/>
        <w:topLinePunct w:val="0"/>
        <w:autoSpaceDE/>
        <w:autoSpaceDN/>
        <w:bidi w:val="0"/>
        <w:spacing w:beforeAutospacing="0" w:after="0" w:afterAutospacing="0"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我局认真开展自评工作，绩效结果应用自评质量良好，绩效目标随同预决算及时向社会公开，收支管理严格按照财务管理制度和相关文件执行，评价结果及时报告、并针对工作中的不足予以改进。</w:t>
      </w:r>
    </w:p>
    <w:p>
      <w:pPr>
        <w:pStyle w:val="13"/>
        <w:keepNext w:val="0"/>
        <w:keepLines w:val="0"/>
        <w:pageBreakBefore w:val="0"/>
        <w:widowControl/>
        <w:shd w:val="clear" w:color="auto" w:fill="FFFFFF"/>
        <w:kinsoku/>
        <w:wordWrap/>
        <w:overflowPunct/>
        <w:topLinePunct w:val="0"/>
        <w:autoSpaceDE/>
        <w:autoSpaceDN/>
        <w:bidi w:val="0"/>
        <w:spacing w:beforeAutospacing="0" w:after="0" w:afterAutospacing="0" w:line="240" w:lineRule="auto"/>
        <w:ind w:left="0" w:firstLine="643" w:firstLineChars="200"/>
        <w:textAlignment w:val="auto"/>
        <w:rPr>
          <w:rFonts w:hint="eastAsia" w:ascii="仿宋_GB2312" w:hAnsi="宋体" w:eastAsia="仿宋_GB2312" w:cs="仿宋_GB2312"/>
          <w:b/>
          <w:bCs/>
          <w:color w:val="auto"/>
          <w:sz w:val="32"/>
          <w:szCs w:val="32"/>
          <w:shd w:val="clear" w:color="auto" w:fill="FFFFFF"/>
        </w:rPr>
      </w:pPr>
      <w:r>
        <w:rPr>
          <w:rFonts w:hint="eastAsia" w:ascii="仿宋_GB2312" w:hAnsi="宋体" w:eastAsia="仿宋_GB2312" w:cs="仿宋_GB2312"/>
          <w:b/>
          <w:bCs/>
          <w:color w:val="auto"/>
          <w:sz w:val="32"/>
          <w:szCs w:val="32"/>
          <w:shd w:val="clear" w:color="auto" w:fill="FFFFFF"/>
        </w:rPr>
        <w:t>四、评价结论及建议</w:t>
      </w:r>
    </w:p>
    <w:p>
      <w:pPr>
        <w:keepNext w:val="0"/>
        <w:keepLines w:val="0"/>
        <w:pageBreakBefore w:val="0"/>
        <w:kinsoku/>
        <w:wordWrap/>
        <w:overflowPunct/>
        <w:topLinePunct w:val="0"/>
        <w:autoSpaceDE/>
        <w:autoSpaceDN/>
        <w:bidi w:val="0"/>
        <w:spacing w:line="240" w:lineRule="auto"/>
        <w:ind w:left="0"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rPr>
        <w:t>（一）评价结论</w:t>
      </w:r>
    </w:p>
    <w:p>
      <w:pPr>
        <w:keepNext w:val="0"/>
        <w:keepLines w:val="0"/>
        <w:pageBreakBefore w:val="0"/>
        <w:kinsoku/>
        <w:wordWrap/>
        <w:overflowPunct/>
        <w:topLinePunct w:val="0"/>
        <w:autoSpaceDE/>
        <w:autoSpaceDN/>
        <w:bidi w:val="0"/>
        <w:spacing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202</w:t>
      </w:r>
      <w:r>
        <w:rPr>
          <w:rFonts w:hint="eastAsia" w:ascii="仿宋_GB2312" w:hAnsi="宋体" w:eastAsia="仿宋_GB2312" w:cs="仿宋_GB2312"/>
          <w:color w:val="auto"/>
          <w:sz w:val="32"/>
          <w:szCs w:val="32"/>
          <w:shd w:val="clear" w:color="auto" w:fill="FFFFFF"/>
          <w:lang w:val="en-US" w:eastAsia="zh-CN"/>
        </w:rPr>
        <w:t>2</w:t>
      </w:r>
      <w:r>
        <w:rPr>
          <w:rFonts w:hint="eastAsia" w:ascii="仿宋_GB2312" w:hAnsi="宋体" w:eastAsia="仿宋_GB2312" w:cs="仿宋_GB2312"/>
          <w:color w:val="auto"/>
          <w:sz w:val="32"/>
          <w:szCs w:val="32"/>
          <w:shd w:val="clear" w:color="auto" w:fill="FFFFFF"/>
        </w:rPr>
        <w:t>年度，乐山市公安局五通桥区分局部门预算和项目实施情况良好，年度绩效目标得到完整实现。经统计分析， 202</w:t>
      </w:r>
      <w:r>
        <w:rPr>
          <w:rFonts w:hint="eastAsia" w:ascii="仿宋_GB2312" w:hAnsi="宋体" w:eastAsia="仿宋_GB2312" w:cs="仿宋_GB2312"/>
          <w:color w:val="auto"/>
          <w:sz w:val="32"/>
          <w:szCs w:val="32"/>
          <w:shd w:val="clear" w:color="auto" w:fill="FFFFFF"/>
          <w:lang w:val="en-US" w:eastAsia="zh-CN"/>
        </w:rPr>
        <w:t>2</w:t>
      </w:r>
      <w:r>
        <w:rPr>
          <w:rFonts w:hint="eastAsia" w:ascii="仿宋_GB2312" w:hAnsi="宋体" w:eastAsia="仿宋_GB2312" w:cs="仿宋_GB2312"/>
          <w:color w:val="auto"/>
          <w:sz w:val="32"/>
          <w:szCs w:val="32"/>
          <w:shd w:val="clear" w:color="auto" w:fill="FFFFFF"/>
        </w:rPr>
        <w:t>年度部门整体支出绩效评价综合得分为</w:t>
      </w:r>
      <w:r>
        <w:rPr>
          <w:rFonts w:hint="eastAsia" w:ascii="仿宋_GB2312" w:hAnsi="宋体" w:eastAsia="仿宋_GB2312" w:cs="仿宋_GB2312"/>
          <w:color w:val="auto"/>
          <w:sz w:val="32"/>
          <w:szCs w:val="32"/>
          <w:shd w:val="clear" w:color="auto" w:fill="FFFFFF"/>
          <w:lang w:val="en-US" w:eastAsia="zh-CN"/>
        </w:rPr>
        <w:t>92</w:t>
      </w:r>
      <w:r>
        <w:rPr>
          <w:rFonts w:hint="eastAsia" w:ascii="仿宋_GB2312" w:hAnsi="宋体" w:eastAsia="仿宋_GB2312" w:cs="仿宋_GB2312"/>
          <w:color w:val="auto"/>
          <w:sz w:val="32"/>
          <w:szCs w:val="32"/>
          <w:shd w:val="clear" w:color="auto" w:fill="FFFFFF"/>
        </w:rPr>
        <w:t>分。</w:t>
      </w:r>
    </w:p>
    <w:p>
      <w:pPr>
        <w:keepNext w:val="0"/>
        <w:keepLines w:val="0"/>
        <w:pageBreakBefore w:val="0"/>
        <w:kinsoku/>
        <w:wordWrap/>
        <w:overflowPunct/>
        <w:topLinePunct w:val="0"/>
        <w:autoSpaceDE/>
        <w:autoSpaceDN/>
        <w:bidi w:val="0"/>
        <w:spacing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1、部门预算项目绩效管理（满分70分，自评得分65分）。其中：制度管理（6分）自评得分6分，目标管理（30分）自评得分28分，动态调整（14分）自评得分12分，完成结果（20分）自评得分19分；</w:t>
      </w:r>
    </w:p>
    <w:p>
      <w:pPr>
        <w:keepNext w:val="0"/>
        <w:keepLines w:val="0"/>
        <w:pageBreakBefore w:val="0"/>
        <w:kinsoku/>
        <w:wordWrap/>
        <w:overflowPunct/>
        <w:topLinePunct w:val="0"/>
        <w:autoSpaceDE/>
        <w:autoSpaceDN/>
        <w:bidi w:val="0"/>
        <w:spacing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2、绩效结果应用（满分20分，自评得分18分）。其中：内部应用（6分）自评得分5分；信息公开（4分) 自评得分4分；整改反馈（10分）自评得分9分。</w:t>
      </w:r>
    </w:p>
    <w:p>
      <w:pPr>
        <w:keepNext w:val="0"/>
        <w:keepLines w:val="0"/>
        <w:pageBreakBefore w:val="0"/>
        <w:kinsoku/>
        <w:wordWrap/>
        <w:overflowPunct/>
        <w:topLinePunct w:val="0"/>
        <w:autoSpaceDE/>
        <w:autoSpaceDN/>
        <w:bidi w:val="0"/>
        <w:spacing w:line="240" w:lineRule="auto"/>
        <w:ind w:left="0" w:firstLine="640" w:firstLineChars="200"/>
        <w:textAlignment w:val="auto"/>
        <w:rPr>
          <w:rFonts w:hint="eastAsia" w:ascii="仿宋_GB2312" w:hAnsi="宋体" w:eastAsia="仿宋_GB2312" w:cs="仿宋_GB2312"/>
          <w:color w:val="auto"/>
          <w:sz w:val="32"/>
          <w:szCs w:val="32"/>
          <w:shd w:val="clear" w:color="auto" w:fill="FFFFFF"/>
        </w:rPr>
      </w:pPr>
      <w:r>
        <w:rPr>
          <w:rFonts w:hint="eastAsia" w:ascii="仿宋_GB2312" w:hAnsi="宋体" w:eastAsia="仿宋_GB2312" w:cs="仿宋_GB2312"/>
          <w:color w:val="auto"/>
          <w:sz w:val="32"/>
          <w:szCs w:val="32"/>
          <w:shd w:val="clear" w:color="auto" w:fill="FFFFFF"/>
        </w:rPr>
        <w:t>3、自评质量（满分10分，自评得分</w:t>
      </w:r>
      <w:r>
        <w:rPr>
          <w:rFonts w:hint="eastAsia" w:ascii="仿宋_GB2312" w:hAnsi="宋体" w:eastAsia="仿宋_GB2312" w:cs="仿宋_GB2312"/>
          <w:color w:val="auto"/>
          <w:sz w:val="32"/>
          <w:szCs w:val="32"/>
          <w:shd w:val="clear" w:color="auto" w:fill="FFFFFF"/>
          <w:lang w:val="en-US" w:eastAsia="zh-CN"/>
        </w:rPr>
        <w:t>9</w:t>
      </w:r>
      <w:r>
        <w:rPr>
          <w:rFonts w:hint="eastAsia" w:ascii="仿宋_GB2312" w:hAnsi="宋体" w:eastAsia="仿宋_GB2312" w:cs="仿宋_GB2312"/>
          <w:color w:val="auto"/>
          <w:sz w:val="32"/>
          <w:szCs w:val="32"/>
          <w:shd w:val="clear" w:color="auto" w:fill="FFFFFF"/>
        </w:rPr>
        <w:t>分）。</w:t>
      </w:r>
    </w:p>
    <w:p>
      <w:pPr>
        <w:keepNext w:val="0"/>
        <w:keepLines w:val="0"/>
        <w:pageBreakBefore w:val="0"/>
        <w:kinsoku/>
        <w:wordWrap/>
        <w:overflowPunct/>
        <w:topLinePunct w:val="0"/>
        <w:autoSpaceDE/>
        <w:autoSpaceDN/>
        <w:bidi w:val="0"/>
        <w:spacing w:line="240" w:lineRule="auto"/>
        <w:ind w:left="0"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rPr>
        <w:t>（二）存在问题</w:t>
      </w:r>
    </w:p>
    <w:p>
      <w:pPr>
        <w:keepNext w:val="0"/>
        <w:keepLines w:val="0"/>
        <w:pageBreakBefore w:val="0"/>
        <w:kinsoku/>
        <w:wordWrap/>
        <w:overflowPunct/>
        <w:topLinePunct w:val="0"/>
        <w:autoSpaceDE/>
        <w:autoSpaceDN/>
        <w:bidi w:val="0"/>
        <w:spacing w:line="240" w:lineRule="auto"/>
        <w:ind w:left="0" w:firstLine="640" w:firstLineChars="200"/>
        <w:textAlignment w:val="auto"/>
        <w:rPr>
          <w:rFonts w:hint="eastAsia" w:ascii="仿宋_GB2312" w:hAnsi="宋体" w:eastAsia="仿宋_GB2312" w:cs="仿宋_GB2312"/>
          <w:color w:val="auto"/>
          <w:sz w:val="32"/>
          <w:szCs w:val="32"/>
          <w:shd w:val="clear" w:color="auto" w:fill="FFFFFF"/>
          <w:lang w:val="en-US" w:eastAsia="zh-CN"/>
        </w:rPr>
      </w:pPr>
      <w:r>
        <w:rPr>
          <w:rFonts w:hint="eastAsia" w:ascii="仿宋_GB2312" w:hAnsi="宋体" w:eastAsia="仿宋_GB2312" w:cs="仿宋_GB2312"/>
          <w:color w:val="auto"/>
          <w:sz w:val="32"/>
          <w:szCs w:val="32"/>
          <w:shd w:val="clear" w:color="auto" w:fill="FFFFFF"/>
          <w:lang w:val="en-US" w:eastAsia="zh-CN"/>
        </w:rPr>
        <w:t>思想认识不到位，观念陈旧落后；没有建立科学完善的考核体系，考核标准不规范；监督机制不健全，流于形式化等问题；预算执行工作缺乏刚性、部门之间的沟通不充分、对预算执行的重视程度不够高，存在原因主要是管理制度不完善、责任制度得不到落实、监督机制不够全面。</w:t>
      </w:r>
    </w:p>
    <w:p>
      <w:pPr>
        <w:keepNext w:val="0"/>
        <w:keepLines w:val="0"/>
        <w:pageBreakBefore w:val="0"/>
        <w:kinsoku/>
        <w:wordWrap/>
        <w:overflowPunct/>
        <w:topLinePunct w:val="0"/>
        <w:autoSpaceDE/>
        <w:autoSpaceDN/>
        <w:bidi w:val="0"/>
        <w:spacing w:line="240" w:lineRule="auto"/>
        <w:ind w:left="0"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rPr>
        <w:t>（三）改进建议</w:t>
      </w:r>
    </w:p>
    <w:p>
      <w:pPr>
        <w:keepNext w:val="0"/>
        <w:keepLines w:val="0"/>
        <w:pageBreakBefore w:val="0"/>
        <w:kinsoku/>
        <w:wordWrap/>
        <w:overflowPunct/>
        <w:topLinePunct w:val="0"/>
        <w:autoSpaceDE/>
        <w:autoSpaceDN/>
        <w:bidi w:val="0"/>
        <w:spacing w:line="240" w:lineRule="auto"/>
        <w:ind w:left="0" w:firstLine="640" w:firstLineChars="200"/>
        <w:textAlignment w:val="auto"/>
        <w:rPr>
          <w:rFonts w:hint="eastAsia" w:ascii="仿宋_GB2312" w:hAnsi="宋体" w:eastAsia="仿宋_GB2312"/>
          <w:color w:val="auto"/>
          <w:sz w:val="32"/>
          <w:szCs w:val="32"/>
        </w:rPr>
      </w:pPr>
      <w:r>
        <w:rPr>
          <w:rFonts w:hint="eastAsia" w:ascii="仿宋_GB2312" w:hAnsi="宋体" w:eastAsia="仿宋_GB2312" w:cs="仿宋_GB2312"/>
          <w:color w:val="auto"/>
          <w:sz w:val="32"/>
          <w:szCs w:val="32"/>
          <w:shd w:val="clear" w:color="auto" w:fill="FFFFFF"/>
          <w:lang w:val="en-US" w:eastAsia="zh-CN"/>
        </w:rPr>
        <w:t>一是加强意识，转变观念，建立健全考核标准和体系，建立健全监督机制，确保绩效管理的公开公正。二是提高人员对预算执行的重视程度，加强预算执行工作的刚性约束，加强对预算执行的监督力度。三是</w:t>
      </w:r>
      <w:r>
        <w:rPr>
          <w:rFonts w:hint="eastAsia" w:ascii="仿宋_GB2312" w:hAnsi="宋体" w:eastAsia="仿宋_GB2312" w:cs="仿宋_GB2312"/>
          <w:color w:val="auto"/>
          <w:sz w:val="32"/>
          <w:szCs w:val="32"/>
          <w:shd w:val="clear" w:color="auto" w:fill="FFFFFF"/>
        </w:rPr>
        <w:t>加强绩效评价结果应用</w:t>
      </w:r>
      <w:r>
        <w:rPr>
          <w:rFonts w:hint="eastAsia" w:ascii="仿宋_GB2312" w:hAnsi="宋体" w:eastAsia="仿宋_GB2312" w:cs="仿宋_GB2312"/>
          <w:color w:val="auto"/>
          <w:sz w:val="32"/>
          <w:szCs w:val="32"/>
          <w:shd w:val="clear" w:color="auto" w:fill="FFFFFF"/>
          <w:lang w:eastAsia="zh-CN"/>
        </w:rPr>
        <w:t>，</w:t>
      </w:r>
      <w:r>
        <w:rPr>
          <w:rFonts w:hint="eastAsia" w:ascii="仿宋_GB2312" w:hAnsi="宋体" w:eastAsia="仿宋_GB2312" w:cs="仿宋_GB2312"/>
          <w:color w:val="auto"/>
          <w:sz w:val="32"/>
          <w:szCs w:val="32"/>
          <w:shd w:val="clear" w:color="auto" w:fill="FFFFFF"/>
        </w:rPr>
        <w:t>增强部门整体支出可持续发展效用</w:t>
      </w:r>
      <w:r>
        <w:rPr>
          <w:rFonts w:hint="eastAsia" w:ascii="仿宋_GB2312" w:hAnsi="宋体" w:eastAsia="仿宋_GB2312" w:cs="仿宋_GB2312"/>
          <w:color w:val="auto"/>
          <w:sz w:val="32"/>
          <w:szCs w:val="32"/>
          <w:shd w:val="clear" w:color="auto" w:fill="FFFFFF"/>
          <w:lang w:eastAsia="zh-CN"/>
        </w:rPr>
        <w:t>。四</w:t>
      </w:r>
      <w:r>
        <w:rPr>
          <w:rFonts w:hint="eastAsia" w:ascii="仿宋_GB2312" w:hAnsi="宋体" w:eastAsia="仿宋_GB2312" w:cs="仿宋_GB2312"/>
          <w:color w:val="auto"/>
          <w:sz w:val="32"/>
          <w:szCs w:val="32"/>
          <w:shd w:val="clear" w:color="auto" w:fill="FFFFFF"/>
        </w:rPr>
        <w:t>是充实财务人员，加强对财务人员培养，组织各种专业培训，使其熟练掌握财政政策和财经法规，不断提高其专业水平</w:t>
      </w:r>
      <w:r>
        <w:rPr>
          <w:rFonts w:hint="eastAsia" w:ascii="仿宋_GB2312" w:hAnsi="宋体" w:eastAsia="仿宋_GB2312" w:cs="仿宋_GB2312"/>
          <w:color w:val="auto"/>
          <w:sz w:val="32"/>
          <w:szCs w:val="32"/>
          <w:shd w:val="clear" w:color="auto" w:fill="FFFFFF"/>
          <w:lang w:eastAsia="zh-CN"/>
        </w:rPr>
        <w:t>。五</w:t>
      </w:r>
      <w:r>
        <w:rPr>
          <w:rFonts w:hint="eastAsia" w:ascii="仿宋_GB2312" w:hAnsi="宋体" w:eastAsia="仿宋_GB2312" w:cs="仿宋_GB2312"/>
          <w:color w:val="auto"/>
          <w:sz w:val="32"/>
          <w:szCs w:val="32"/>
          <w:shd w:val="clear" w:color="auto" w:fill="FFFFFF"/>
        </w:rPr>
        <w:t>是提高开源节流力度，保障机关运行。在完善内部管理，做到“节流”的同时，要多争取党委、政府的支持，为公安机关履职提供有力的保障和支持</w:t>
      </w:r>
      <w:r>
        <w:rPr>
          <w:rFonts w:hint="eastAsia" w:ascii="仿宋_GB2312" w:hAnsi="宋体" w:eastAsia="仿宋_GB2312"/>
          <w:color w:val="auto"/>
          <w:sz w:val="32"/>
          <w:szCs w:val="32"/>
        </w:rPr>
        <w:t>。</w:t>
      </w:r>
    </w:p>
    <w:p>
      <w:pPr>
        <w:pStyle w:val="2"/>
        <w:pageBreakBefore w:val="0"/>
        <w:kinsoku/>
        <w:wordWrap/>
        <w:overflowPunct/>
        <w:topLinePunct w:val="0"/>
        <w:bidi w:val="0"/>
        <w:spacing w:beforeLines="0" w:line="240" w:lineRule="auto"/>
        <w:ind w:left="0"/>
        <w:textAlignment w:val="auto"/>
        <w:rPr>
          <w:rFonts w:hint="eastAsia"/>
          <w:color w:val="auto"/>
        </w:rPr>
      </w:pPr>
    </w:p>
    <w:p>
      <w:pPr>
        <w:pageBreakBefore w:val="0"/>
        <w:kinsoku/>
        <w:wordWrap/>
        <w:overflowPunct/>
        <w:topLinePunct w:val="0"/>
        <w:bidi w:val="0"/>
        <w:spacing w:line="240" w:lineRule="auto"/>
        <w:ind w:left="0"/>
        <w:jc w:val="center"/>
        <w:textAlignment w:val="auto"/>
        <w:rPr>
          <w:rFonts w:hint="eastAsia" w:ascii="方正小标宋简体" w:hAnsi="宋体" w:eastAsia="方正小标宋简体"/>
          <w:color w:val="auto"/>
          <w:kern w:val="0"/>
          <w:sz w:val="40"/>
          <w:szCs w:val="44"/>
          <w:lang w:eastAsia="zh-CN"/>
        </w:rPr>
      </w:pPr>
      <w:r>
        <w:rPr>
          <w:rFonts w:hint="eastAsia" w:ascii="方正小标宋简体" w:hAnsi="宋体" w:eastAsia="方正小标宋简体"/>
          <w:color w:val="auto"/>
          <w:kern w:val="0"/>
          <w:sz w:val="40"/>
          <w:szCs w:val="44"/>
          <w:lang w:eastAsia="zh-CN"/>
        </w:rPr>
        <w:t>乐山市公安局五通桥区分局</w:t>
      </w:r>
    </w:p>
    <w:p>
      <w:pPr>
        <w:pageBreakBefore w:val="0"/>
        <w:kinsoku/>
        <w:wordWrap/>
        <w:overflowPunct/>
        <w:topLinePunct w:val="0"/>
        <w:bidi w:val="0"/>
        <w:spacing w:line="240" w:lineRule="auto"/>
        <w:ind w:left="0"/>
        <w:jc w:val="center"/>
        <w:textAlignment w:val="auto"/>
        <w:rPr>
          <w:rFonts w:hint="eastAsia" w:ascii="方正小标宋简体" w:hAnsi="宋体" w:eastAsia="方正小标宋简体"/>
          <w:color w:val="auto"/>
          <w:kern w:val="0"/>
          <w:sz w:val="40"/>
          <w:szCs w:val="44"/>
        </w:rPr>
      </w:pPr>
      <w:r>
        <w:rPr>
          <w:rFonts w:hint="eastAsia" w:ascii="方正小标宋简体" w:hAnsi="宋体" w:eastAsia="方正小标宋简体"/>
          <w:color w:val="auto"/>
          <w:kern w:val="0"/>
          <w:sz w:val="40"/>
          <w:szCs w:val="44"/>
        </w:rPr>
        <w:t>202</w:t>
      </w:r>
      <w:r>
        <w:rPr>
          <w:rFonts w:hint="eastAsia" w:ascii="方正小标宋简体" w:hAnsi="宋体" w:eastAsia="方正小标宋简体"/>
          <w:color w:val="auto"/>
          <w:kern w:val="0"/>
          <w:sz w:val="40"/>
          <w:szCs w:val="44"/>
          <w:lang w:val="en-US" w:eastAsia="zh-CN"/>
        </w:rPr>
        <w:t>2</w:t>
      </w:r>
      <w:r>
        <w:rPr>
          <w:rFonts w:hint="eastAsia" w:ascii="方正小标宋简体" w:hAnsi="宋体" w:eastAsia="方正小标宋简体"/>
          <w:color w:val="auto"/>
          <w:kern w:val="0"/>
          <w:sz w:val="40"/>
          <w:szCs w:val="44"/>
        </w:rPr>
        <w:t>年特定目标类部门预算项目绩效目标自评</w:t>
      </w:r>
    </w:p>
    <w:p>
      <w:pPr>
        <w:pageBreakBefore w:val="0"/>
        <w:kinsoku/>
        <w:wordWrap/>
        <w:overflowPunct/>
        <w:topLinePunct w:val="0"/>
        <w:bidi w:val="0"/>
        <w:spacing w:line="240" w:lineRule="auto"/>
        <w:ind w:left="0" w:firstLine="640" w:firstLineChars="200"/>
        <w:textAlignment w:val="auto"/>
        <w:rPr>
          <w:rStyle w:val="29"/>
          <w:rFonts w:ascii="黑体" w:hAnsi="黑体" w:eastAsia="黑体"/>
          <w:b w:val="0"/>
          <w:color w:val="auto"/>
          <w:highlight w:val="none"/>
        </w:rPr>
      </w:pPr>
      <w:r>
        <w:rPr>
          <w:rFonts w:hint="eastAsia" w:ascii="仿宋_GB2312" w:hAnsi="宋体" w:eastAsia="仿宋_GB2312" w:cs="宋体"/>
          <w:color w:val="auto"/>
          <w:kern w:val="0"/>
          <w:sz w:val="32"/>
          <w:szCs w:val="32"/>
          <w:shd w:val="clear" w:color="auto" w:fill="FFFFFF"/>
          <w:lang w:val="zh-CN"/>
        </w:rPr>
        <w:t>说明：202</w:t>
      </w:r>
      <w:r>
        <w:rPr>
          <w:rFonts w:hint="eastAsia" w:ascii="仿宋_GB2312" w:hAnsi="宋体" w:eastAsia="仿宋_GB2312" w:cs="宋体"/>
          <w:color w:val="auto"/>
          <w:kern w:val="0"/>
          <w:sz w:val="32"/>
          <w:szCs w:val="32"/>
          <w:shd w:val="clear" w:color="auto" w:fill="FFFFFF"/>
          <w:lang w:val="en-US" w:eastAsia="zh-CN"/>
        </w:rPr>
        <w:t>2</w:t>
      </w:r>
      <w:r>
        <w:rPr>
          <w:rFonts w:hint="eastAsia" w:ascii="仿宋_GB2312" w:hAnsi="宋体" w:eastAsia="仿宋_GB2312" w:cs="宋体"/>
          <w:color w:val="auto"/>
          <w:kern w:val="0"/>
          <w:sz w:val="32"/>
          <w:szCs w:val="32"/>
          <w:shd w:val="clear" w:color="auto" w:fill="FFFFFF"/>
          <w:lang w:val="zh-CN"/>
        </w:rPr>
        <w:t>年公安应急物资装备到期更换费项目等1</w:t>
      </w:r>
      <w:r>
        <w:rPr>
          <w:rFonts w:hint="eastAsia" w:ascii="仿宋_GB2312" w:hAnsi="宋体" w:eastAsia="仿宋_GB2312" w:cs="宋体"/>
          <w:color w:val="auto"/>
          <w:kern w:val="0"/>
          <w:sz w:val="32"/>
          <w:szCs w:val="32"/>
          <w:shd w:val="clear" w:color="auto" w:fill="FFFFFF"/>
          <w:lang w:val="en-US" w:eastAsia="zh-CN"/>
        </w:rPr>
        <w:t>2</w:t>
      </w:r>
      <w:r>
        <w:rPr>
          <w:rFonts w:hint="eastAsia" w:ascii="仿宋_GB2312" w:hAnsi="宋体" w:eastAsia="仿宋_GB2312" w:cs="宋体"/>
          <w:color w:val="auto"/>
          <w:kern w:val="0"/>
          <w:sz w:val="32"/>
          <w:szCs w:val="32"/>
          <w:shd w:val="clear" w:color="auto" w:fill="FFFFFF"/>
          <w:lang w:val="zh-CN"/>
        </w:rPr>
        <w:t>个项目均涉及公安工作秘密，按照公安机关保密工作相关规定和要求，公安202</w:t>
      </w:r>
      <w:r>
        <w:rPr>
          <w:rFonts w:hint="eastAsia" w:ascii="仿宋_GB2312" w:hAnsi="宋体" w:eastAsia="仿宋_GB2312" w:cs="宋体"/>
          <w:color w:val="auto"/>
          <w:kern w:val="0"/>
          <w:sz w:val="32"/>
          <w:szCs w:val="32"/>
          <w:shd w:val="clear" w:color="auto" w:fill="FFFFFF"/>
          <w:lang w:val="en-US" w:eastAsia="zh-CN"/>
        </w:rPr>
        <w:t>2</w:t>
      </w:r>
      <w:r>
        <w:rPr>
          <w:rFonts w:hint="eastAsia" w:ascii="仿宋_GB2312" w:hAnsi="宋体" w:eastAsia="仿宋_GB2312" w:cs="宋体"/>
          <w:color w:val="auto"/>
          <w:kern w:val="0"/>
          <w:sz w:val="32"/>
          <w:szCs w:val="32"/>
          <w:shd w:val="clear" w:color="auto" w:fill="FFFFFF"/>
          <w:lang w:val="zh-CN"/>
        </w:rPr>
        <w:t>年特定目标类部门预算项目绩效目标自评均不予公开。</w:t>
      </w:r>
    </w:p>
    <w:p>
      <w:pPr>
        <w:pageBreakBefore w:val="0"/>
        <w:widowControl/>
        <w:kinsoku/>
        <w:wordWrap/>
        <w:overflowPunct/>
        <w:topLinePunct w:val="0"/>
        <w:bidi w:val="0"/>
        <w:spacing w:line="240" w:lineRule="auto"/>
        <w:ind w:left="0" w:leftChars="0" w:right="0"/>
        <w:jc w:val="left"/>
        <w:textAlignment w:val="auto"/>
        <w:rPr>
          <w:rStyle w:val="29"/>
          <w:rFonts w:ascii="黑体" w:hAnsi="黑体" w:eastAsia="黑体"/>
          <w:b w:val="0"/>
          <w:color w:val="auto"/>
          <w:highlight w:val="none"/>
        </w:rPr>
      </w:pPr>
      <w:r>
        <w:rPr>
          <w:rStyle w:val="29"/>
          <w:rFonts w:ascii="黑体" w:hAnsi="黑体" w:eastAsia="黑体"/>
          <w:b w:val="0"/>
          <w:color w:val="auto"/>
          <w:highlight w:val="none"/>
        </w:rPr>
        <w:br w:type="page"/>
      </w:r>
    </w:p>
    <w:p>
      <w:pPr>
        <w:pageBreakBefore w:val="0"/>
        <w:kinsoku/>
        <w:wordWrap/>
        <w:overflowPunct/>
        <w:topLinePunct w:val="0"/>
        <w:bidi w:val="0"/>
        <w:spacing w:line="240" w:lineRule="auto"/>
        <w:ind w:left="0" w:leftChars="0" w:right="0"/>
        <w:jc w:val="center"/>
        <w:textAlignment w:val="auto"/>
        <w:outlineLvl w:val="0"/>
        <w:rPr>
          <w:rFonts w:hint="eastAsia" w:ascii="仿宋" w:hAnsi="仿宋" w:eastAsia="仿宋"/>
          <w:b w:val="0"/>
          <w:color w:val="auto"/>
          <w:highlight w:val="none"/>
        </w:rPr>
      </w:pPr>
      <w:bookmarkStart w:id="59" w:name="_Toc15396618"/>
      <w:r>
        <w:rPr>
          <w:rFonts w:hint="eastAsia" w:ascii="黑体" w:hAnsi="黑体" w:eastAsia="黑体"/>
          <w:color w:val="auto"/>
          <w:sz w:val="44"/>
          <w:szCs w:val="44"/>
          <w:highlight w:val="none"/>
        </w:rPr>
        <w:t>第</w:t>
      </w:r>
      <w:r>
        <w:rPr>
          <w:rStyle w:val="29"/>
          <w:rFonts w:hint="eastAsia" w:ascii="黑体" w:hAnsi="黑体" w:eastAsia="黑体"/>
          <w:b w:val="0"/>
          <w:color w:val="auto"/>
          <w:highlight w:val="none"/>
        </w:rPr>
        <w:t>五部分 附表</w:t>
      </w:r>
      <w:bookmarkEnd w:id="57"/>
      <w:bookmarkEnd w:id="59"/>
      <w:bookmarkStart w:id="60" w:name="_Toc15396619"/>
    </w:p>
    <w:p>
      <w:pPr>
        <w:pStyle w:val="4"/>
        <w:pageBreakBefore w:val="0"/>
        <w:kinsoku/>
        <w:wordWrap/>
        <w:overflowPunct/>
        <w:topLinePunct w:val="0"/>
        <w:bidi w:val="0"/>
        <w:spacing w:before="0" w:after="0" w:line="240" w:lineRule="auto"/>
        <w:ind w:left="0" w:leftChars="0" w:right="0"/>
        <w:textAlignment w:val="auto"/>
        <w:rPr>
          <w:rFonts w:ascii="仿宋" w:hAnsi="仿宋" w:eastAsia="仿宋"/>
          <w:color w:val="auto"/>
          <w:highlight w:val="none"/>
        </w:rPr>
      </w:pPr>
      <w:r>
        <w:rPr>
          <w:rFonts w:hint="eastAsia" w:ascii="仿宋" w:hAnsi="仿宋" w:eastAsia="仿宋"/>
          <w:b w:val="0"/>
          <w:color w:val="auto"/>
          <w:highlight w:val="none"/>
        </w:rPr>
        <w:t>一、收</w:t>
      </w:r>
      <w:r>
        <w:rPr>
          <w:rStyle w:val="30"/>
          <w:rFonts w:hint="eastAsia" w:ascii="仿宋" w:hAnsi="仿宋" w:eastAsia="仿宋"/>
          <w:b w:val="0"/>
          <w:bCs w:val="0"/>
          <w:color w:val="auto"/>
          <w:highlight w:val="none"/>
        </w:rPr>
        <w:t>入支出决算总表</w:t>
      </w:r>
      <w:bookmarkEnd w:id="60"/>
    </w:p>
    <w:p>
      <w:pPr>
        <w:pStyle w:val="4"/>
        <w:pageBreakBefore w:val="0"/>
        <w:kinsoku/>
        <w:wordWrap/>
        <w:overflowPunct/>
        <w:topLinePunct w:val="0"/>
        <w:bidi w:val="0"/>
        <w:spacing w:before="0" w:after="0" w:line="240" w:lineRule="auto"/>
        <w:ind w:left="0" w:leftChars="0" w:right="0"/>
        <w:textAlignment w:val="auto"/>
        <w:rPr>
          <w:rFonts w:ascii="仿宋" w:hAnsi="仿宋" w:eastAsia="仿宋"/>
          <w:color w:val="auto"/>
          <w:highlight w:val="none"/>
        </w:rPr>
      </w:pPr>
      <w:bookmarkStart w:id="61" w:name="_Toc15396620"/>
      <w:r>
        <w:rPr>
          <w:rFonts w:hint="eastAsia" w:ascii="仿宋" w:hAnsi="仿宋" w:eastAsia="仿宋"/>
          <w:b w:val="0"/>
          <w:color w:val="auto"/>
          <w:highlight w:val="none"/>
        </w:rPr>
        <w:t>二、收</w:t>
      </w:r>
      <w:r>
        <w:rPr>
          <w:rStyle w:val="30"/>
          <w:rFonts w:hint="eastAsia" w:ascii="仿宋" w:hAnsi="仿宋" w:eastAsia="仿宋"/>
          <w:b w:val="0"/>
          <w:bCs w:val="0"/>
          <w:color w:val="auto"/>
          <w:highlight w:val="none"/>
        </w:rPr>
        <w:t>入决算表</w:t>
      </w:r>
      <w:bookmarkEnd w:id="61"/>
    </w:p>
    <w:p>
      <w:pPr>
        <w:pStyle w:val="4"/>
        <w:pageBreakBefore w:val="0"/>
        <w:kinsoku/>
        <w:wordWrap/>
        <w:overflowPunct/>
        <w:topLinePunct w:val="0"/>
        <w:bidi w:val="0"/>
        <w:spacing w:before="0" w:after="0" w:line="240" w:lineRule="auto"/>
        <w:ind w:left="0" w:leftChars="0" w:right="0"/>
        <w:textAlignment w:val="auto"/>
        <w:rPr>
          <w:rFonts w:ascii="仿宋" w:hAnsi="仿宋" w:eastAsia="仿宋"/>
          <w:color w:val="auto"/>
          <w:highlight w:val="none"/>
        </w:rPr>
      </w:pPr>
      <w:bookmarkStart w:id="62" w:name="_Toc15396621"/>
      <w:r>
        <w:rPr>
          <w:rStyle w:val="30"/>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30"/>
          <w:rFonts w:hint="eastAsia" w:ascii="仿宋" w:hAnsi="仿宋" w:eastAsia="仿宋"/>
          <w:b w:val="0"/>
          <w:bCs w:val="0"/>
          <w:color w:val="auto"/>
          <w:highlight w:val="none"/>
        </w:rPr>
        <w:t>出决算表</w:t>
      </w:r>
      <w:bookmarkEnd w:id="62"/>
    </w:p>
    <w:p>
      <w:pPr>
        <w:pStyle w:val="4"/>
        <w:pageBreakBefore w:val="0"/>
        <w:kinsoku/>
        <w:wordWrap/>
        <w:overflowPunct/>
        <w:topLinePunct w:val="0"/>
        <w:bidi w:val="0"/>
        <w:spacing w:before="0" w:after="0" w:line="240" w:lineRule="auto"/>
        <w:ind w:left="0" w:leftChars="0" w:right="0"/>
        <w:textAlignment w:val="auto"/>
        <w:rPr>
          <w:rFonts w:ascii="仿宋" w:hAnsi="仿宋" w:eastAsia="仿宋"/>
          <w:b w:val="0"/>
          <w:color w:val="auto"/>
          <w:highlight w:val="none"/>
        </w:rPr>
      </w:pPr>
      <w:bookmarkStart w:id="63" w:name="_Toc15396622"/>
      <w:r>
        <w:rPr>
          <w:rStyle w:val="30"/>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30"/>
          <w:rFonts w:hint="eastAsia" w:ascii="仿宋" w:hAnsi="仿宋" w:eastAsia="仿宋"/>
          <w:b w:val="0"/>
          <w:bCs w:val="0"/>
          <w:color w:val="auto"/>
          <w:highlight w:val="none"/>
        </w:rPr>
        <w:t>政拨款收入支出决算总表</w:t>
      </w:r>
      <w:bookmarkEnd w:id="63"/>
    </w:p>
    <w:p>
      <w:pPr>
        <w:pStyle w:val="4"/>
        <w:pageBreakBefore w:val="0"/>
        <w:kinsoku/>
        <w:wordWrap/>
        <w:overflowPunct/>
        <w:topLinePunct w:val="0"/>
        <w:bidi w:val="0"/>
        <w:spacing w:before="0" w:after="0" w:line="240" w:lineRule="auto"/>
        <w:ind w:left="0" w:leftChars="0" w:right="0"/>
        <w:textAlignment w:val="auto"/>
        <w:rPr>
          <w:rStyle w:val="30"/>
          <w:rFonts w:ascii="仿宋" w:hAnsi="仿宋" w:eastAsia="仿宋"/>
          <w:b w:val="0"/>
          <w:bCs w:val="0"/>
          <w:color w:val="auto"/>
          <w:highlight w:val="none"/>
        </w:rPr>
      </w:pPr>
      <w:bookmarkStart w:id="64" w:name="_Toc15396623"/>
      <w:r>
        <w:rPr>
          <w:rStyle w:val="30"/>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30"/>
          <w:rFonts w:hint="eastAsia" w:ascii="仿宋" w:hAnsi="仿宋" w:eastAsia="仿宋"/>
          <w:b w:val="0"/>
          <w:bCs w:val="0"/>
          <w:color w:val="auto"/>
          <w:highlight w:val="none"/>
        </w:rPr>
        <w:t>政拨款支出决算明细表</w:t>
      </w:r>
      <w:bookmarkEnd w:id="64"/>
      <w:bookmarkStart w:id="65" w:name="_Toc15396624"/>
    </w:p>
    <w:p>
      <w:pPr>
        <w:pStyle w:val="4"/>
        <w:pageBreakBefore w:val="0"/>
        <w:kinsoku/>
        <w:wordWrap/>
        <w:overflowPunct/>
        <w:topLinePunct w:val="0"/>
        <w:bidi w:val="0"/>
        <w:spacing w:before="0" w:after="0" w:line="240" w:lineRule="auto"/>
        <w:ind w:left="0" w:leftChars="0" w:right="0"/>
        <w:textAlignment w:val="auto"/>
        <w:rPr>
          <w:rFonts w:ascii="仿宋" w:hAnsi="仿宋" w:eastAsia="仿宋"/>
          <w:color w:val="auto"/>
          <w:highlight w:val="none"/>
        </w:rPr>
      </w:pPr>
      <w:r>
        <w:rPr>
          <w:rStyle w:val="30"/>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般公共预算财政拨款支出决算表</w:t>
      </w:r>
      <w:bookmarkEnd w:id="65"/>
    </w:p>
    <w:p>
      <w:pPr>
        <w:pStyle w:val="4"/>
        <w:pageBreakBefore w:val="0"/>
        <w:kinsoku/>
        <w:wordWrap/>
        <w:overflowPunct/>
        <w:topLinePunct w:val="0"/>
        <w:bidi w:val="0"/>
        <w:spacing w:before="0" w:after="0" w:line="240" w:lineRule="auto"/>
        <w:ind w:left="0" w:leftChars="0" w:right="0"/>
        <w:textAlignment w:val="auto"/>
        <w:rPr>
          <w:rFonts w:ascii="仿宋" w:hAnsi="仿宋" w:eastAsia="仿宋"/>
          <w:color w:val="auto"/>
          <w:highlight w:val="none"/>
        </w:rPr>
      </w:pPr>
      <w:bookmarkStart w:id="66" w:name="_Toc15396625"/>
      <w:r>
        <w:rPr>
          <w:rStyle w:val="30"/>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般公共预算财政拨款支出决算明细表</w:t>
      </w:r>
      <w:bookmarkEnd w:id="66"/>
    </w:p>
    <w:p>
      <w:pPr>
        <w:pStyle w:val="4"/>
        <w:pageBreakBefore w:val="0"/>
        <w:kinsoku/>
        <w:wordWrap/>
        <w:overflowPunct/>
        <w:topLinePunct w:val="0"/>
        <w:bidi w:val="0"/>
        <w:spacing w:before="0" w:after="0" w:line="240" w:lineRule="auto"/>
        <w:ind w:left="0" w:leftChars="0" w:right="0"/>
        <w:textAlignment w:val="auto"/>
        <w:rPr>
          <w:rFonts w:ascii="仿宋" w:hAnsi="仿宋" w:eastAsia="仿宋"/>
          <w:color w:val="auto"/>
          <w:highlight w:val="none"/>
        </w:rPr>
      </w:pPr>
      <w:bookmarkStart w:id="67" w:name="_Toc15396626"/>
      <w:r>
        <w:rPr>
          <w:rStyle w:val="30"/>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般公共预算财政拨款基本支出决算表</w:t>
      </w:r>
      <w:bookmarkEnd w:id="67"/>
    </w:p>
    <w:p>
      <w:pPr>
        <w:pStyle w:val="4"/>
        <w:pageBreakBefore w:val="0"/>
        <w:kinsoku/>
        <w:wordWrap/>
        <w:overflowPunct/>
        <w:topLinePunct w:val="0"/>
        <w:bidi w:val="0"/>
        <w:spacing w:before="0" w:after="0" w:line="240" w:lineRule="auto"/>
        <w:ind w:left="0" w:leftChars="0" w:right="0"/>
        <w:textAlignment w:val="auto"/>
        <w:rPr>
          <w:rFonts w:ascii="仿宋" w:hAnsi="仿宋" w:eastAsia="仿宋"/>
          <w:color w:val="auto"/>
          <w:highlight w:val="none"/>
        </w:rPr>
      </w:pPr>
      <w:bookmarkStart w:id="68" w:name="_Toc15396627"/>
      <w:r>
        <w:rPr>
          <w:rStyle w:val="30"/>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般公共预算财政拨款项目支出决算表</w:t>
      </w:r>
      <w:bookmarkEnd w:id="68"/>
    </w:p>
    <w:p>
      <w:pPr>
        <w:pStyle w:val="4"/>
        <w:pageBreakBefore w:val="0"/>
        <w:kinsoku/>
        <w:wordWrap/>
        <w:overflowPunct/>
        <w:topLinePunct w:val="0"/>
        <w:bidi w:val="0"/>
        <w:spacing w:before="0" w:after="0" w:line="240" w:lineRule="auto"/>
        <w:ind w:left="0" w:leftChars="0" w:right="0"/>
        <w:textAlignment w:val="auto"/>
        <w:rPr>
          <w:rFonts w:ascii="仿宋" w:hAnsi="仿宋" w:eastAsia="仿宋"/>
          <w:color w:val="auto"/>
          <w:highlight w:val="none"/>
        </w:rPr>
      </w:pPr>
      <w:bookmarkStart w:id="69" w:name="_Toc15396628"/>
      <w:r>
        <w:rPr>
          <w:rStyle w:val="30"/>
          <w:rFonts w:hint="eastAsia" w:ascii="仿宋" w:hAnsi="仿宋" w:eastAsia="仿宋"/>
          <w:b w:val="0"/>
          <w:bCs w:val="0"/>
          <w:color w:val="auto"/>
          <w:highlight w:val="none"/>
        </w:rPr>
        <w:t>十、</w:t>
      </w:r>
      <w:bookmarkEnd w:id="69"/>
      <w:r>
        <w:rPr>
          <w:rFonts w:hint="eastAsia" w:ascii="仿宋" w:hAnsi="仿宋" w:eastAsia="仿宋"/>
          <w:b w:val="0"/>
          <w:color w:val="auto"/>
          <w:highlight w:val="none"/>
        </w:rPr>
        <w:t>政</w:t>
      </w:r>
      <w:r>
        <w:rPr>
          <w:rStyle w:val="30"/>
          <w:rFonts w:hint="eastAsia" w:ascii="仿宋" w:hAnsi="仿宋" w:eastAsia="仿宋"/>
          <w:b w:val="0"/>
          <w:bCs w:val="0"/>
          <w:color w:val="auto"/>
          <w:highlight w:val="none"/>
        </w:rPr>
        <w:t>府性基金预算财政拨款收入支出决算表</w:t>
      </w:r>
    </w:p>
    <w:p>
      <w:pPr>
        <w:pStyle w:val="4"/>
        <w:pageBreakBefore w:val="0"/>
        <w:kinsoku/>
        <w:wordWrap/>
        <w:overflowPunct/>
        <w:topLinePunct w:val="0"/>
        <w:bidi w:val="0"/>
        <w:spacing w:before="0" w:after="0" w:line="240" w:lineRule="auto"/>
        <w:ind w:left="0" w:leftChars="0" w:right="0"/>
        <w:textAlignment w:val="auto"/>
        <w:rPr>
          <w:rFonts w:ascii="仿宋" w:hAnsi="仿宋" w:eastAsia="仿宋"/>
          <w:color w:val="auto"/>
          <w:highlight w:val="none"/>
        </w:rPr>
      </w:pPr>
      <w:bookmarkStart w:id="70" w:name="_Toc15396629"/>
      <w:r>
        <w:rPr>
          <w:rStyle w:val="30"/>
          <w:rFonts w:hint="eastAsia" w:ascii="仿宋" w:hAnsi="仿宋" w:eastAsia="仿宋"/>
          <w:b w:val="0"/>
          <w:bCs w:val="0"/>
          <w:color w:val="auto"/>
          <w:highlight w:val="none"/>
        </w:rPr>
        <w:t>十一、</w:t>
      </w:r>
      <w:bookmarkEnd w:id="70"/>
      <w:r>
        <w:rPr>
          <w:rFonts w:hint="eastAsia" w:ascii="仿宋" w:hAnsi="仿宋" w:eastAsia="仿宋"/>
          <w:b w:val="0"/>
          <w:color w:val="auto"/>
          <w:highlight w:val="none"/>
        </w:rPr>
        <w:t>国</w:t>
      </w:r>
      <w:r>
        <w:rPr>
          <w:rStyle w:val="30"/>
          <w:rFonts w:hint="eastAsia" w:ascii="仿宋" w:hAnsi="仿宋" w:eastAsia="仿宋"/>
          <w:b w:val="0"/>
          <w:bCs w:val="0"/>
          <w:color w:val="auto"/>
          <w:highlight w:val="none"/>
        </w:rPr>
        <w:t>有资本经营预算</w:t>
      </w:r>
      <w:r>
        <w:rPr>
          <w:rStyle w:val="30"/>
          <w:rFonts w:hint="eastAsia" w:ascii="仿宋" w:hAnsi="仿宋" w:eastAsia="仿宋"/>
          <w:b w:val="0"/>
          <w:bCs w:val="0"/>
          <w:color w:val="auto"/>
          <w:highlight w:val="none"/>
          <w:lang w:eastAsia="zh-CN"/>
        </w:rPr>
        <w:t>财政拨款收入</w:t>
      </w:r>
      <w:r>
        <w:rPr>
          <w:rStyle w:val="30"/>
          <w:rFonts w:hint="eastAsia" w:ascii="仿宋" w:hAnsi="仿宋" w:eastAsia="仿宋"/>
          <w:b w:val="0"/>
          <w:bCs w:val="0"/>
          <w:color w:val="auto"/>
          <w:highlight w:val="none"/>
        </w:rPr>
        <w:t>支出决算表</w:t>
      </w:r>
    </w:p>
    <w:p>
      <w:pPr>
        <w:pStyle w:val="4"/>
        <w:pageBreakBefore w:val="0"/>
        <w:kinsoku/>
        <w:wordWrap/>
        <w:overflowPunct/>
        <w:topLinePunct w:val="0"/>
        <w:bidi w:val="0"/>
        <w:spacing w:before="0" w:after="0" w:line="240" w:lineRule="auto"/>
        <w:ind w:left="0" w:leftChars="0" w:right="0"/>
        <w:textAlignment w:val="auto"/>
        <w:rPr>
          <w:rFonts w:ascii="仿宋" w:hAnsi="仿宋" w:eastAsia="仿宋"/>
          <w:color w:val="auto"/>
          <w:highlight w:val="none"/>
        </w:rPr>
      </w:pPr>
      <w:bookmarkStart w:id="71" w:name="_Toc15396630"/>
      <w:r>
        <w:rPr>
          <w:rStyle w:val="30"/>
          <w:rFonts w:hint="eastAsia" w:ascii="仿宋" w:hAnsi="仿宋" w:eastAsia="仿宋"/>
          <w:b w:val="0"/>
          <w:bCs w:val="0"/>
          <w:color w:val="auto"/>
          <w:highlight w:val="none"/>
        </w:rPr>
        <w:t>十二、</w:t>
      </w:r>
      <w:bookmarkEnd w:id="71"/>
      <w:r>
        <w:rPr>
          <w:rStyle w:val="30"/>
          <w:rFonts w:hint="eastAsia" w:ascii="仿宋" w:hAnsi="仿宋" w:eastAsia="仿宋"/>
          <w:b w:val="0"/>
          <w:bCs w:val="0"/>
          <w:color w:val="auto"/>
          <w:highlight w:val="none"/>
          <w:lang w:eastAsia="zh-CN"/>
        </w:rPr>
        <w:t>国有资本经营预算财政拨款支出决算表</w:t>
      </w:r>
    </w:p>
    <w:p>
      <w:pPr>
        <w:pStyle w:val="4"/>
        <w:pageBreakBefore w:val="0"/>
        <w:kinsoku/>
        <w:wordWrap/>
        <w:overflowPunct/>
        <w:topLinePunct w:val="0"/>
        <w:bidi w:val="0"/>
        <w:spacing w:before="0" w:after="0" w:line="240" w:lineRule="auto"/>
        <w:ind w:left="0" w:leftChars="0" w:right="0"/>
        <w:textAlignment w:val="auto"/>
        <w:rPr>
          <w:rFonts w:hint="eastAsia" w:eastAsia="仿宋"/>
          <w:color w:val="auto"/>
          <w:highlight w:val="none"/>
          <w:lang w:eastAsia="zh-CN"/>
        </w:rPr>
      </w:pPr>
      <w:bookmarkStart w:id="72" w:name="_Toc15396631"/>
      <w:r>
        <w:rPr>
          <w:rStyle w:val="30"/>
          <w:rFonts w:hint="eastAsia" w:ascii="仿宋" w:hAnsi="仿宋" w:eastAsia="仿宋"/>
          <w:b w:val="0"/>
          <w:bCs w:val="0"/>
          <w:color w:val="auto"/>
          <w:highlight w:val="none"/>
        </w:rPr>
        <w:t>十三、</w:t>
      </w:r>
      <w:bookmarkEnd w:id="72"/>
      <w:r>
        <w:rPr>
          <w:rStyle w:val="30"/>
          <w:rFonts w:hint="eastAsia" w:ascii="仿宋" w:hAnsi="仿宋" w:eastAsia="仿宋"/>
          <w:b w:val="0"/>
          <w:bCs w:val="0"/>
          <w:color w:val="auto"/>
          <w:highlight w:val="none"/>
          <w:lang w:eastAsia="zh-CN"/>
        </w:rPr>
        <w:t>财政拨款“三公”经费支出决算表</w:t>
      </w: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9"/>
          <w:jc w:val="center"/>
        </w:pPr>
        <w:r>
          <w:fldChar w:fldCharType="begin"/>
        </w:r>
        <w:r>
          <w:instrText xml:space="preserve">PAGE   \* MERGEFORMAT</w:instrText>
        </w:r>
        <w:r>
          <w:fldChar w:fldCharType="separate"/>
        </w:r>
        <w:r>
          <w:rPr>
            <w:lang w:val="zh-CN"/>
          </w:rPr>
          <w:t>8</w:t>
        </w:r>
        <w:r>
          <w:fldChar w:fldCharType="end"/>
        </w:r>
      </w:p>
    </w:sdtContent>
  </w:sdt>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5975B8"/>
    <w:rsid w:val="02143E91"/>
    <w:rsid w:val="066E0107"/>
    <w:rsid w:val="07996F6E"/>
    <w:rsid w:val="0A2032A3"/>
    <w:rsid w:val="0A443523"/>
    <w:rsid w:val="0DD93B4E"/>
    <w:rsid w:val="0F98263C"/>
    <w:rsid w:val="101860EC"/>
    <w:rsid w:val="10C055FF"/>
    <w:rsid w:val="118107EC"/>
    <w:rsid w:val="13D50BC4"/>
    <w:rsid w:val="1591605B"/>
    <w:rsid w:val="16BB723D"/>
    <w:rsid w:val="1BE8440E"/>
    <w:rsid w:val="1D155CEE"/>
    <w:rsid w:val="1FF35744"/>
    <w:rsid w:val="202C0DAE"/>
    <w:rsid w:val="23860B96"/>
    <w:rsid w:val="240371BF"/>
    <w:rsid w:val="2506493C"/>
    <w:rsid w:val="281F73D4"/>
    <w:rsid w:val="29FD04D3"/>
    <w:rsid w:val="2C8A61B5"/>
    <w:rsid w:val="2DF04E50"/>
    <w:rsid w:val="2F040D46"/>
    <w:rsid w:val="319F7F4E"/>
    <w:rsid w:val="3304709D"/>
    <w:rsid w:val="36AA5135"/>
    <w:rsid w:val="376D39B2"/>
    <w:rsid w:val="37E16F03"/>
    <w:rsid w:val="38D469F0"/>
    <w:rsid w:val="3D98207C"/>
    <w:rsid w:val="3DC76941"/>
    <w:rsid w:val="3E78745D"/>
    <w:rsid w:val="44E268DA"/>
    <w:rsid w:val="4A627F82"/>
    <w:rsid w:val="4B0E749A"/>
    <w:rsid w:val="4B4F25DA"/>
    <w:rsid w:val="4BE068DB"/>
    <w:rsid w:val="4C5067BE"/>
    <w:rsid w:val="4D577224"/>
    <w:rsid w:val="4EAB630A"/>
    <w:rsid w:val="4ECE2238"/>
    <w:rsid w:val="537E6D0A"/>
    <w:rsid w:val="5AF92295"/>
    <w:rsid w:val="5CD71FC4"/>
    <w:rsid w:val="6969033B"/>
    <w:rsid w:val="6C4A05C8"/>
    <w:rsid w:val="6DF0554E"/>
    <w:rsid w:val="6E7E3605"/>
    <w:rsid w:val="6FF5CC65"/>
    <w:rsid w:val="715C0E4B"/>
    <w:rsid w:val="72734D90"/>
    <w:rsid w:val="73AD73D5"/>
    <w:rsid w:val="73B6EB34"/>
    <w:rsid w:val="74060CE4"/>
    <w:rsid w:val="744731E5"/>
    <w:rsid w:val="76E3355F"/>
    <w:rsid w:val="778769C8"/>
    <w:rsid w:val="79EE5BA4"/>
    <w:rsid w:val="7A894339"/>
    <w:rsid w:val="7C4D280D"/>
    <w:rsid w:val="7EEF11D3"/>
    <w:rsid w:val="7FA30C79"/>
    <w:rsid w:val="7FB7269E"/>
    <w:rsid w:val="7FC96657"/>
    <w:rsid w:val="D8D6DB89"/>
    <w:rsid w:val="DB6F4CAB"/>
    <w:rsid w:val="DF6F978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6"/>
    <w:qFormat/>
    <w:uiPriority w:val="99"/>
    <w:pPr>
      <w:spacing w:beforeLines="30"/>
    </w:pPr>
    <w:rPr>
      <w:rFonts w:ascii="仿宋_GB2312" w:eastAsia="仿宋_GB2312"/>
      <w:kern w:val="0"/>
      <w:sz w:val="30"/>
    </w:rPr>
  </w:style>
  <w:style w:type="paragraph" w:styleId="6">
    <w:name w:val="Body Text Indent"/>
    <w:basedOn w:val="1"/>
    <w:qFormat/>
    <w:uiPriority w:val="0"/>
    <w:pPr>
      <w:spacing w:after="120"/>
      <w:ind w:leftChars="200"/>
    </w:pPr>
    <w:rPr>
      <w:rFonts w:ascii="仿宋_GB2312"/>
      <w:szCs w:val="32"/>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32"/>
    <w:semiHidden/>
    <w:unhideWhenUsed/>
    <w:qFormat/>
    <w:uiPriority w:val="99"/>
    <w:rPr>
      <w:sz w:val="18"/>
      <w:szCs w:val="18"/>
    </w:rPr>
  </w:style>
  <w:style w:type="paragraph" w:styleId="9">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paragraph" w:styleId="13">
    <w:name w:val="Normal (Web)"/>
    <w:basedOn w:val="1"/>
    <w:semiHidden/>
    <w:unhideWhenUsed/>
    <w:qFormat/>
    <w:uiPriority w:val="99"/>
    <w:rPr>
      <w:sz w:val="24"/>
    </w:rPr>
  </w:style>
  <w:style w:type="paragraph" w:styleId="14">
    <w:name w:val="Title"/>
    <w:basedOn w:val="1"/>
    <w:qFormat/>
    <w:uiPriority w:val="99"/>
    <w:pPr>
      <w:spacing w:before="240" w:after="60"/>
      <w:jc w:val="center"/>
      <w:outlineLvl w:val="0"/>
    </w:pPr>
    <w:rPr>
      <w:rFonts w:ascii="Arial" w:hAnsi="Arial" w:cs="Arial"/>
      <w:b/>
      <w:bCs/>
      <w:sz w:val="32"/>
      <w:szCs w:val="32"/>
    </w:rPr>
  </w:style>
  <w:style w:type="paragraph" w:styleId="15">
    <w:name w:val="Body Text First Indent 2"/>
    <w:basedOn w:val="6"/>
    <w:unhideWhenUsed/>
    <w:qFormat/>
    <w:uiPriority w:val="99"/>
    <w:pPr>
      <w:ind w:firstLine="420" w:firstLine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Char"/>
    <w:link w:val="10"/>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Char"/>
    <w:link w:val="9"/>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7"/>
    <w:link w:val="3"/>
    <w:qFormat/>
    <w:uiPriority w:val="9"/>
    <w:rPr>
      <w:rFonts w:ascii="Times New Roman" w:hAnsi="Times New Roman"/>
      <w:b/>
      <w:bCs/>
      <w:kern w:val="44"/>
      <w:sz w:val="44"/>
      <w:szCs w:val="44"/>
    </w:rPr>
  </w:style>
  <w:style w:type="character" w:customStyle="1" w:styleId="30">
    <w:name w:val="标题 2 Char"/>
    <w:basedOn w:val="17"/>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7"/>
    <w:link w:val="8"/>
    <w:semiHidden/>
    <w:qFormat/>
    <w:uiPriority w:val="99"/>
    <w:rPr>
      <w:rFonts w:ascii="Times New Roman" w:hAnsi="Times New Roman"/>
      <w:kern w:val="2"/>
      <w:sz w:val="18"/>
      <w:szCs w:val="18"/>
    </w:rPr>
  </w:style>
  <w:style w:type="character" w:customStyle="1" w:styleId="33">
    <w:name w:val="标题 3 Char"/>
    <w:basedOn w:val="17"/>
    <w:link w:val="5"/>
    <w:qFormat/>
    <w:uiPriority w:val="9"/>
    <w:rPr>
      <w:rFonts w:ascii="Times New Roman" w:hAnsi="Times New Roman"/>
      <w:b/>
      <w:bCs/>
      <w:kern w:val="2"/>
      <w:sz w:val="32"/>
      <w:szCs w:val="32"/>
    </w:rPr>
  </w:style>
  <w:style w:type="paragraph" w:customStyle="1" w:styleId="34">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6">
    <w:name w:val="WPSOffice手动目录 1"/>
    <w:qFormat/>
    <w:uiPriority w:val="0"/>
    <w:pPr>
      <w:ind w:leftChars="0"/>
    </w:pPr>
    <w:rPr>
      <w:rFonts w:ascii="Calibri" w:hAnsi="Calibri"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四川省财政厅</Company>
  <Pages>24</Pages>
  <Words>1299</Words>
  <Characters>7410</Characters>
  <Lines>61</Lines>
  <Paragraphs>17</Paragraphs>
  <TotalTime>13</TotalTime>
  <ScaleCrop>false</ScaleCrop>
  <LinksUpToDate>false</LinksUpToDate>
  <CharactersWithSpaces>8692</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Administrator</cp:lastModifiedBy>
  <cp:lastPrinted>2023-12-08T07:59:00Z</cp:lastPrinted>
  <dcterms:modified xsi:type="dcterms:W3CDTF">2023-12-21T03:10:39Z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040A4E943AA44101919C28E44C030B4C</vt:lpwstr>
  </property>
</Properties>
</file>