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1040"/>
        <w:jc w:val="center"/>
        <w:rPr>
          <w:rFonts w:ascii="宋体" w:hAnsi="宋体" w:eastAsia="宋体" w:cs="宋体"/>
          <w:b/>
          <w:bCs/>
          <w:sz w:val="52"/>
          <w:szCs w:val="52"/>
          <w:lang w:val="en-US"/>
        </w:rPr>
      </w:pPr>
    </w:p>
    <w:p>
      <w:pPr>
        <w:pStyle w:val="2"/>
        <w:ind w:firstLine="1040"/>
        <w:jc w:val="center"/>
        <w:rPr>
          <w:rFonts w:ascii="宋体" w:hAnsi="宋体" w:eastAsia="宋体" w:cs="宋体"/>
          <w:b/>
          <w:bCs/>
          <w:sz w:val="52"/>
          <w:szCs w:val="52"/>
          <w:lang w:val="en-US"/>
        </w:rPr>
      </w:pPr>
    </w:p>
    <w:p>
      <w:pPr>
        <w:pStyle w:val="2"/>
        <w:ind w:firstLine="1040"/>
        <w:jc w:val="center"/>
        <w:rPr>
          <w:rFonts w:ascii="宋体" w:hAnsi="宋体" w:eastAsia="宋体" w:cs="宋体"/>
          <w:b/>
          <w:bCs/>
          <w:sz w:val="52"/>
          <w:szCs w:val="52"/>
          <w:lang w:val="en-US"/>
        </w:rPr>
      </w:pPr>
    </w:p>
    <w:p>
      <w:pPr>
        <w:pStyle w:val="2"/>
        <w:ind w:firstLine="1040"/>
        <w:jc w:val="center"/>
        <w:rPr>
          <w:rFonts w:ascii="宋体" w:hAnsi="宋体" w:eastAsia="宋体" w:cs="宋体"/>
          <w:b/>
          <w:bCs/>
          <w:sz w:val="52"/>
          <w:szCs w:val="52"/>
          <w:lang w:val="en-US"/>
        </w:rPr>
      </w:pPr>
    </w:p>
    <w:p>
      <w:pPr>
        <w:pStyle w:val="2"/>
        <w:ind w:firstLine="1040"/>
        <w:jc w:val="center"/>
        <w:rPr>
          <w:rFonts w:ascii="宋体" w:hAnsi="宋体" w:eastAsia="宋体" w:cs="宋体"/>
          <w:b/>
          <w:bCs/>
          <w:sz w:val="52"/>
          <w:szCs w:val="52"/>
          <w:lang w:val="en-US"/>
        </w:rPr>
      </w:pPr>
    </w:p>
    <w:p>
      <w:pPr>
        <w:pStyle w:val="2"/>
        <w:ind w:firstLine="1040"/>
        <w:jc w:val="center"/>
        <w:rPr>
          <w:rFonts w:ascii="宋体" w:hAnsi="宋体" w:eastAsia="宋体" w:cs="宋体"/>
          <w:b/>
          <w:bCs/>
          <w:sz w:val="52"/>
          <w:szCs w:val="52"/>
          <w:lang w:val="en-US"/>
        </w:rPr>
      </w:pPr>
    </w:p>
    <w:p>
      <w:pPr>
        <w:pStyle w:val="2"/>
        <w:ind w:firstLine="1040"/>
        <w:jc w:val="center"/>
        <w:rPr>
          <w:rFonts w:ascii="宋体" w:hAnsi="宋体" w:eastAsia="宋体" w:cs="宋体"/>
          <w:b/>
          <w:bCs/>
          <w:sz w:val="52"/>
          <w:szCs w:val="52"/>
          <w:lang w:val="en-US"/>
        </w:rPr>
      </w:pPr>
    </w:p>
    <w:p>
      <w:pPr>
        <w:pStyle w:val="2"/>
        <w:ind w:firstLine="1040"/>
        <w:jc w:val="center"/>
        <w:rPr>
          <w:rFonts w:ascii="宋体" w:hAnsi="宋体" w:eastAsia="宋体" w:cs="宋体"/>
          <w:b/>
          <w:bCs/>
          <w:sz w:val="52"/>
          <w:szCs w:val="52"/>
          <w:lang w:val="en-US"/>
        </w:rPr>
      </w:pPr>
    </w:p>
    <w:p>
      <w:pPr>
        <w:pStyle w:val="2"/>
        <w:spacing w:line="800" w:lineRule="exact"/>
        <w:jc w:val="center"/>
        <w:rPr>
          <w:rFonts w:ascii="宋体" w:hAnsi="宋体" w:eastAsia="方正小标宋简体" w:cs="方正小标宋简体"/>
          <w:sz w:val="52"/>
          <w:szCs w:val="52"/>
          <w:lang w:val="en-US"/>
        </w:rPr>
      </w:pPr>
      <w:r>
        <w:rPr>
          <w:rFonts w:hint="eastAsia" w:ascii="宋体" w:hAnsi="宋体" w:eastAsia="方正小标宋简体" w:cs="方正小标宋简体"/>
          <w:sz w:val="52"/>
          <w:szCs w:val="52"/>
          <w:lang w:val="en-US"/>
        </w:rPr>
        <w:t>四川五通桥经济开发区管理委员会</w:t>
      </w:r>
    </w:p>
    <w:p>
      <w:pPr>
        <w:pStyle w:val="2"/>
        <w:spacing w:line="800" w:lineRule="exact"/>
        <w:jc w:val="center"/>
        <w:rPr>
          <w:rFonts w:ascii="宋体" w:hAnsi="宋体" w:eastAsia="方正小标宋简体" w:cs="方正小标宋简体"/>
          <w:sz w:val="52"/>
          <w:szCs w:val="52"/>
          <w:lang w:val="en-US"/>
        </w:rPr>
      </w:pPr>
      <w:r>
        <w:rPr>
          <w:rFonts w:hint="eastAsia" w:ascii="宋体" w:hAnsi="宋体" w:eastAsia="方正小标宋简体" w:cs="方正小标宋简体"/>
          <w:sz w:val="52"/>
          <w:szCs w:val="52"/>
          <w:lang w:val="en-US"/>
        </w:rPr>
        <w:t>2024</w:t>
      </w:r>
      <w:r>
        <w:rPr>
          <w:rFonts w:hint="eastAsia" w:ascii="宋体" w:hAnsi="宋体" w:eastAsia="方正小标宋简体" w:cs="方正小标宋简体"/>
          <w:sz w:val="52"/>
          <w:szCs w:val="52"/>
          <w:lang w:val="en-US" w:eastAsia="zh-CN"/>
        </w:rPr>
        <w:t>年</w:t>
      </w:r>
      <w:r>
        <w:rPr>
          <w:rFonts w:hint="eastAsia" w:ascii="宋体" w:hAnsi="宋体" w:eastAsia="方正小标宋简体" w:cs="方正小标宋简体"/>
          <w:sz w:val="52"/>
          <w:szCs w:val="52"/>
          <w:lang w:val="en-US"/>
        </w:rPr>
        <w:t>部门预算编制说明</w:t>
      </w:r>
    </w:p>
    <w:p/>
    <w:p>
      <w:pPr>
        <w:rPr>
          <w:sz w:val="4"/>
        </w:rPr>
      </w:pPr>
      <w:r>
        <w:rPr>
          <w:sz w:val="4"/>
        </w:rPr>
        <w:br w:type="page"/>
      </w:r>
    </w:p>
    <w:p>
      <w:pPr>
        <w:rPr>
          <w:sz w:val="4"/>
        </w:rPr>
      </w:pPr>
    </w:p>
    <w:p>
      <w:pPr>
        <w:pStyle w:val="2"/>
        <w:spacing w:before="2"/>
        <w:ind w:firstLine="80"/>
        <w:rPr>
          <w:rFonts w:ascii="宋体" w:hAnsi="宋体"/>
          <w:sz w:val="4"/>
        </w:rPr>
      </w:pPr>
    </w:p>
    <w:p>
      <w:pPr>
        <w:pStyle w:val="2"/>
        <w:tabs>
          <w:tab w:val="left" w:pos="4798"/>
        </w:tabs>
        <w:ind w:firstLine="961"/>
        <w:jc w:val="center"/>
        <w:rPr>
          <w:rFonts w:ascii="宋体" w:hAnsi="宋体" w:eastAsia="方正小标宋简体" w:cs="方正小标宋简体"/>
          <w:b/>
          <w:bCs/>
          <w:sz w:val="48"/>
          <w:szCs w:val="48"/>
          <w:lang w:val="en-US"/>
        </w:rPr>
      </w:pPr>
      <w:r>
        <w:rPr>
          <w:rFonts w:hint="eastAsia" w:ascii="宋体" w:hAnsi="宋体" w:eastAsia="方正小标宋简体" w:cs="方正小标宋简体"/>
          <w:b/>
          <w:bCs/>
          <w:sz w:val="48"/>
          <w:szCs w:val="48"/>
          <w:lang w:val="en-US"/>
        </w:rPr>
        <w:t>目  录</w:t>
      </w:r>
    </w:p>
    <w:sdt>
      <w:sdtPr>
        <w:rPr>
          <w:rFonts w:ascii="仿宋_GB2312" w:hAnsi="仿宋_GB2312" w:eastAsia="仿宋_GB2312" w:cs="仿宋_GB2312"/>
          <w:sz w:val="21"/>
          <w:szCs w:val="32"/>
        </w:rPr>
        <w:id w:val="147453385"/>
        <w15:color w:val="DBDBDB"/>
        <w:docPartObj>
          <w:docPartGallery w:val="Table of Contents"/>
          <w:docPartUnique/>
        </w:docPartObj>
      </w:sdtPr>
      <w:sdtEndPr>
        <w:rPr>
          <w:rFonts w:hint="eastAsia" w:ascii="仿宋_GB2312" w:hAnsi="仿宋_GB2312" w:eastAsia="方正小标宋简体" w:cs="方正小标宋简体"/>
          <w:bCs/>
          <w:sz w:val="32"/>
          <w:szCs w:val="48"/>
          <w:lang w:val="en-US"/>
        </w:rPr>
      </w:sdtEndPr>
      <w:sdtContent>
        <w:p>
          <w:pPr>
            <w:jc w:val="center"/>
          </w:pPr>
        </w:p>
        <w:p>
          <w:pPr>
            <w:tabs>
              <w:tab w:val="right" w:leader="dot" w:pos="9812"/>
            </w:tabs>
            <w:spacing w:line="560" w:lineRule="exact"/>
            <w:rPr>
              <w:rFonts w:ascii="宋体" w:hAnsi="宋体" w:eastAsia="Calibri" w:cs="Times New Roman"/>
              <w:sz w:val="32"/>
              <w:szCs w:val="32"/>
              <w:lang w:val="en-US" w:eastAsia="zh-CN" w:bidi="ar-SA"/>
            </w:rPr>
          </w:pPr>
          <w:r>
            <w:rPr>
              <w:rFonts w:hint="eastAsia" w:ascii="宋体" w:hAnsi="宋体" w:eastAsia="方正小标宋简体" w:cs="方正小标宋简体"/>
              <w:b/>
              <w:bCs/>
              <w:sz w:val="48"/>
              <w:szCs w:val="48"/>
            </w:rPr>
            <w:fldChar w:fldCharType="begin"/>
          </w:r>
          <w:r>
            <w:rPr>
              <w:rFonts w:hint="eastAsia" w:ascii="宋体" w:hAnsi="宋体" w:eastAsia="方正小标宋简体" w:cs="方正小标宋简体"/>
              <w:b/>
              <w:bCs/>
              <w:sz w:val="48"/>
              <w:szCs w:val="48"/>
            </w:rPr>
            <w:instrText xml:space="preserve">TOC \o "1-3" \h \u </w:instrText>
          </w:r>
          <w:r>
            <w:rPr>
              <w:rFonts w:hint="eastAsia" w:ascii="宋体" w:hAnsi="宋体" w:eastAsia="方正小标宋简体" w:cs="方正小标宋简体"/>
              <w:b/>
              <w:bCs/>
              <w:sz w:val="48"/>
              <w:szCs w:val="48"/>
            </w:rPr>
            <w:fldChar w:fldCharType="separate"/>
          </w:r>
          <w:r>
            <w:rPr>
              <w:rFonts w:hint="eastAsia" w:ascii="宋体" w:hAnsi="宋体" w:eastAsia="方正小标宋简体" w:cs="方正小标宋简体"/>
              <w:b/>
              <w:bCs/>
              <w:sz w:val="48"/>
              <w:szCs w:val="48"/>
              <w:lang w:val="en-US" w:eastAsia="zh-CN" w:bidi="ar-SA"/>
            </w:rPr>
            <w:fldChar w:fldCharType="begin"/>
          </w:r>
          <w:r>
            <w:rPr>
              <w:rFonts w:hint="eastAsia" w:ascii="宋体" w:hAnsi="宋体" w:eastAsia="方正小标宋简体" w:cs="方正小标宋简体"/>
              <w:b/>
              <w:bCs/>
              <w:sz w:val="48"/>
              <w:szCs w:val="48"/>
              <w:lang w:val="en-US" w:eastAsia="zh-CN" w:bidi="ar-SA"/>
            </w:rPr>
            <w:instrText xml:space="preserve">TOC \o "1-3" \h \u </w:instrText>
          </w:r>
          <w:r>
            <w:rPr>
              <w:rFonts w:hint="eastAsia" w:ascii="宋体" w:hAnsi="宋体" w:eastAsia="方正小标宋简体" w:cs="方正小标宋简体"/>
              <w:b/>
              <w:bCs/>
              <w:sz w:val="48"/>
              <w:szCs w:val="48"/>
              <w:lang w:val="en-US" w:eastAsia="zh-CN" w:bidi="ar-SA"/>
            </w:rPr>
            <w:fldChar w:fldCharType="separate"/>
          </w: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"_Toc24981" </w:instrText>
          </w:r>
          <w:r>
            <w:rPr>
              <w:rFonts w:ascii="Calibri" w:hAnsi="Calibri" w:eastAsia="Calibri" w:cs="Times New Roman"/>
              <w:lang w:val="en-US" w:eastAsia="zh-CN" w:bidi="ar-SA"/>
            </w:rPr>
            <w:fldChar w:fldCharType="separate"/>
          </w:r>
          <w:r>
            <w:rPr>
              <w:rFonts w:hint="eastAsia" w:ascii="宋体" w:hAnsi="宋体" w:eastAsia="方正小标宋简体" w:cs="方正小标宋简体"/>
              <w:bCs/>
              <w:sz w:val="32"/>
              <w:szCs w:val="32"/>
              <w:lang w:val="en-US" w:eastAsia="zh-CN" w:bidi="ar-SA"/>
            </w:rPr>
            <w:t>第一部分 部门概况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_Toc24981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"_Toc977"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一、基本职能及主要工作</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_Toc977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0" w:leftChars="0" w:firstLine="440" w:firstLine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"_Toc5540"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（一）部门职能简介</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_Toc5540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0" w:leftChars="0" w:firstLine="440" w:firstLine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"_Toc29132"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（二）部门</w:t>
          </w:r>
          <w:r>
            <w:rPr>
              <w:rFonts w:hint="eastAsia" w:ascii="宋体" w:hAnsi="宋体" w:eastAsia="Calibri" w:cs="Times New Roman"/>
              <w:sz w:val="32"/>
              <w:szCs w:val="32"/>
              <w:lang w:val="en-US" w:eastAsia="zh-CN" w:bidi="ar-SA"/>
            </w:rPr>
            <w:t>2024</w:t>
          </w:r>
          <w:r>
            <w:rPr>
              <w:rFonts w:ascii="宋体" w:hAnsi="宋体" w:eastAsia="Calibri" w:cs="Times New Roman"/>
              <w:sz w:val="32"/>
              <w:szCs w:val="32"/>
              <w:lang w:val="en-US" w:eastAsia="zh-CN" w:bidi="ar-SA"/>
            </w:rPr>
            <w:t>年重点工</w:t>
          </w:r>
          <w:r>
            <w:rPr>
              <w:rFonts w:hint="eastAsia" w:ascii="宋体" w:hAnsi="宋体" w:eastAsia="Calibri" w:cs="Times New Roman"/>
              <w:sz w:val="32"/>
              <w:szCs w:val="32"/>
              <w:lang w:val="en-US" w:eastAsia="zh-CN" w:bidi="ar-SA"/>
            </w:rPr>
            <w:t>作</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_Toc29132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"_Toc30432"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二、部门预算单位构成</w:t>
          </w:r>
          <w:r>
            <w:rPr>
              <w:rFonts w:ascii="宋体" w:hAnsi="宋体" w:eastAsia="Calibri" w:cs="Times New Roman"/>
              <w:sz w:val="32"/>
              <w:szCs w:val="32"/>
              <w:lang w:val="en-US" w:eastAsia="zh-CN" w:bidi="ar-SA"/>
            </w:rPr>
            <w:tab/>
          </w:r>
          <w:r>
            <w:rPr>
              <w:rFonts w:hint="eastAsia" w:ascii="宋体" w:hAnsi="宋体" w:eastAsia="宋体" w:cs="Times New Roman"/>
              <w:sz w:val="32"/>
              <w:szCs w:val="32"/>
              <w:lang w:val="en-US" w:eastAsia="zh-CN" w:bidi="ar-SA"/>
            </w:rPr>
            <w:t>3</w:t>
          </w:r>
          <w:r>
            <w:rPr>
              <w:rFonts w:hint="eastAsia" w:ascii="宋体" w:hAnsi="宋体" w:eastAsia="宋体" w:cs="Times New Roman"/>
              <w:sz w:val="32"/>
              <w:szCs w:val="32"/>
              <w:lang w:val="en-US" w:eastAsia="zh-CN" w:bidi="ar-SA"/>
            </w:rPr>
            <w:fldChar w:fldCharType="end"/>
          </w:r>
        </w:p>
        <w:p>
          <w:pPr>
            <w:tabs>
              <w:tab w:val="right" w:leader="dot" w:pos="9812"/>
            </w:tabs>
            <w:spacing w:line="560" w:lineRule="exact"/>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"_Toc28587" </w:instrText>
          </w:r>
          <w:r>
            <w:rPr>
              <w:rFonts w:ascii="Calibri" w:hAnsi="Calibri" w:eastAsia="Calibri" w:cs="Times New Roman"/>
              <w:lang w:val="en-US" w:eastAsia="zh-CN" w:bidi="ar-SA"/>
            </w:rPr>
            <w:fldChar w:fldCharType="separate"/>
          </w:r>
          <w:r>
            <w:rPr>
              <w:rFonts w:hint="eastAsia" w:ascii="宋体" w:hAnsi="宋体" w:eastAsia="方正小标宋简体" w:cs="方正小标宋简体"/>
              <w:bCs/>
              <w:sz w:val="32"/>
              <w:szCs w:val="32"/>
              <w:lang w:val="en-US" w:eastAsia="zh-CN" w:bidi="ar-SA"/>
            </w:rPr>
            <w:t>第二部分 四川五通桥经济开发区管委会2024年部门预算表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_Toc28587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6</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"_Toc12069"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一、部门收支总表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_Toc12069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"_Toc27995"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二、部门收入总表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_Toc27995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"_Toc3639"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三、部门支出总表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_Toc3639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"_Toc25815"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四、财政拨款收支预算总表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_Toc25815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"_Toc4686"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五、财政拨款支出预算表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_Toc4686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"_Toc7952"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六、一般公共预算支出预算表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_Toc7952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"_Toc32200"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七、一般公共预算基本支出预算表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_Toc32200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"_Toc17751"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八、一般公共预算项目支出预算表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_Toc17751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"_Toc11119"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九、一般公共预算“三公”经费支出预算表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_Toc11119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"_Toc19211"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十、政府性基金预算支出表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_Toc19211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"_Toc7676"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十一、政府性基金预算“三公”经费支出预算表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_Toc7676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"_Toc22917"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十二、国有资本经营预算支出表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_Toc22917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"_Toc27847"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十三、部门整体支出绩效目标表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_Toc27847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"_Toc30878"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十四、部门预算项目支出绩效目标表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_Toc30878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"_Toc32437"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十五、政府采购预算表</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_Toc32437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7</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"_Toc19948" </w:instrText>
          </w:r>
          <w:r>
            <w:rPr>
              <w:rFonts w:ascii="Calibri" w:hAnsi="Calibri" w:eastAsia="Calibri" w:cs="Times New Roman"/>
              <w:lang w:val="en-US" w:eastAsia="zh-CN" w:bidi="ar-SA"/>
            </w:rPr>
            <w:fldChar w:fldCharType="separate"/>
          </w:r>
          <w:r>
            <w:rPr>
              <w:rFonts w:hint="eastAsia" w:ascii="宋体" w:hAnsi="宋体" w:eastAsia="方正小标宋简体" w:cs="方正小标宋简体"/>
              <w:sz w:val="32"/>
              <w:szCs w:val="32"/>
              <w:lang w:val="en-US" w:eastAsia="zh-CN" w:bidi="ar-SA"/>
            </w:rPr>
            <w:t>第三部分 四川五通桥经济开发区管委会2024年部门预算情况说明</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_Toc19948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8</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200" w:leftChars="0" w:firstLine="440" w:firstLine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"_Toc469"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一、收支预算情况说明</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_Toc469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9</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"_Toc12176"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（一）收入预算情况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_Toc12176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9</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"_Toc23149"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（二）支出预算情况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_Toc23149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9</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"_Toc729"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二、财政拨款收支预算情况说明</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_Toc729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9</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"_Toc32511"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三、一般公共预算当年拨款情况说明</w:t>
          </w:r>
          <w:r>
            <w:rPr>
              <w:rFonts w:ascii="宋体" w:hAnsi="宋体" w:eastAsia="Calibri" w:cs="Times New Roman"/>
              <w:sz w:val="32"/>
              <w:szCs w:val="32"/>
              <w:lang w:val="en-US" w:eastAsia="zh-CN" w:bidi="ar-SA"/>
            </w:rPr>
            <w:tab/>
          </w:r>
          <w:r>
            <w:rPr>
              <w:rFonts w:hint="eastAsia" w:ascii="宋体" w:hAnsi="宋体" w:eastAsia="宋体" w:cs="Times New Roman"/>
              <w:sz w:val="32"/>
              <w:szCs w:val="32"/>
              <w:lang w:val="en-US" w:eastAsia="zh-CN" w:bidi="ar-SA"/>
            </w:rPr>
            <w:t>9</w:t>
          </w:r>
          <w:r>
            <w:rPr>
              <w:rFonts w:hint="eastAsia" w:ascii="宋体" w:hAnsi="宋体" w:eastAsia="宋体"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"_Toc6394"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（一）一般公共预算当年拨款规模变化情况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_Toc6394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9</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"_Toc5045"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（二）一般公共预算当年拨款结构情况</w:t>
          </w:r>
          <w:r>
            <w:rPr>
              <w:rFonts w:ascii="宋体" w:hAnsi="宋体" w:eastAsia="Calibri" w:cs="Times New Roman"/>
              <w:sz w:val="32"/>
              <w:szCs w:val="32"/>
              <w:lang w:val="en-US" w:eastAsia="zh-CN" w:bidi="ar-SA"/>
            </w:rPr>
            <w:tab/>
          </w:r>
          <w:r>
            <w:rPr>
              <w:rFonts w:hint="eastAsia" w:ascii="宋体" w:hAnsi="宋体" w:eastAsia="宋体" w:cs="Times New Roman"/>
              <w:sz w:val="32"/>
              <w:szCs w:val="32"/>
              <w:lang w:val="en-US" w:eastAsia="zh-CN" w:bidi="ar-SA"/>
            </w:rPr>
            <w:t>1</w:t>
          </w:r>
          <w:r>
            <w:rPr>
              <w:rFonts w:hint="eastAsia" w:ascii="宋体" w:hAnsi="宋体" w:eastAsia="宋体" w:cs="Times New Roman"/>
              <w:sz w:val="32"/>
              <w:szCs w:val="32"/>
              <w:lang w:val="en-US" w:eastAsia="zh-CN" w:bidi="ar-SA"/>
            </w:rPr>
            <w:fldChar w:fldCharType="end"/>
          </w:r>
          <w:r>
            <w:rPr>
              <w:rFonts w:hint="eastAsia" w:ascii="宋体" w:hAnsi="宋体" w:eastAsia="方正小标宋简体" w:cs="方正小标宋简体"/>
              <w:bCs/>
              <w:sz w:val="32"/>
              <w:szCs w:val="32"/>
              <w:lang w:val="en-US" w:eastAsia="zh-CN" w:bidi="ar-SA"/>
            </w:rPr>
            <w:t>0</w:t>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"_Toc11698"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（三）一般公共预算当年拨款具体使用情况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_Toc11698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10</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hint="default"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"_Toc21665"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四、一般公共预算基本支出情况说明</w:t>
          </w:r>
          <w:r>
            <w:rPr>
              <w:rFonts w:ascii="宋体" w:hAnsi="宋体" w:eastAsia="Calibri" w:cs="Times New Roman"/>
              <w:sz w:val="32"/>
              <w:szCs w:val="32"/>
              <w:lang w:val="en-US" w:eastAsia="zh-CN" w:bidi="ar-SA"/>
            </w:rPr>
            <w:tab/>
          </w:r>
          <w:r>
            <w:rPr>
              <w:rFonts w:hint="eastAsia" w:ascii="宋体" w:hAnsi="宋体" w:eastAsia="Calibri" w:cs="Times New Roman"/>
              <w:sz w:val="32"/>
              <w:szCs w:val="32"/>
              <w:lang w:val="en-US" w:eastAsia="zh-CN" w:bidi="ar-SA"/>
            </w:rPr>
            <w:t>1</w:t>
          </w:r>
          <w:r>
            <w:rPr>
              <w:rFonts w:ascii="宋体" w:hAnsi="宋体" w:eastAsia="Calibri" w:cs="Times New Roman"/>
              <w:sz w:val="32"/>
              <w:szCs w:val="32"/>
              <w:lang w:val="en-US" w:eastAsia="zh-CN" w:bidi="ar-SA"/>
            </w:rPr>
            <w:fldChar w:fldCharType="end"/>
          </w:r>
          <w:r>
            <w:rPr>
              <w:rFonts w:hint="eastAsia" w:ascii="宋体" w:hAnsi="宋体" w:eastAsia="Calibri" w:cs="Times New Roman"/>
              <w:sz w:val="32"/>
              <w:szCs w:val="32"/>
              <w:lang w:val="en-US" w:eastAsia="zh-CN" w:bidi="ar-SA"/>
            </w:rPr>
            <w:t>1</w:t>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"_Toc1746"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五、“三公”经费财政拨款预算安排情况说明</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_Toc1746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11</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"_Toc10802"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（一）</w:t>
          </w:r>
          <w:r>
            <w:rPr>
              <w:rFonts w:hint="eastAsia" w:ascii="宋体" w:hAnsi="宋体" w:eastAsia="Calibri" w:cs="Times New Roman"/>
              <w:sz w:val="32"/>
              <w:szCs w:val="32"/>
              <w:lang w:val="en-US" w:eastAsia="zh-CN" w:bidi="ar-SA"/>
            </w:rPr>
            <w:t>公务接待费变化情况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_Toc10802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11</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"_Toc17768"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w:t>
          </w:r>
          <w:r>
            <w:rPr>
              <w:rFonts w:hint="eastAsia" w:ascii="宋体" w:hAnsi="宋体" w:eastAsia="Calibri" w:cs="Times New Roman"/>
              <w:sz w:val="32"/>
              <w:szCs w:val="32"/>
              <w:lang w:val="en-US" w:eastAsia="zh-CN" w:bidi="ar-SA"/>
            </w:rPr>
            <w:t>二</w:t>
          </w:r>
          <w:r>
            <w:rPr>
              <w:rFonts w:ascii="宋体" w:hAnsi="宋体" w:eastAsia="Calibri" w:cs="Times New Roman"/>
              <w:sz w:val="32"/>
              <w:szCs w:val="32"/>
              <w:lang w:val="en-US" w:eastAsia="zh-CN" w:bidi="ar-SA"/>
            </w:rPr>
            <w:t>）</w:t>
          </w:r>
          <w:r>
            <w:rPr>
              <w:rFonts w:hint="eastAsia" w:ascii="宋体" w:hAnsi="宋体" w:eastAsia="Calibri" w:cs="Times New Roman"/>
              <w:sz w:val="32"/>
              <w:szCs w:val="32"/>
              <w:lang w:val="en-US" w:eastAsia="zh-CN" w:bidi="ar-SA"/>
            </w:rPr>
            <w:t>公务用车购置及运行维护费变化情况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_Toc17768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11</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"_Toc2610"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六、政府性基金预算支出情况说明</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_Toc2610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"_Toc17731"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七、国有资本经营预算情况说明</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_Toc17731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440" w:leftChars="2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"_Toc20919" </w:instrText>
          </w:r>
          <w:r>
            <w:rPr>
              <w:rFonts w:ascii="Calibri" w:hAnsi="Calibri" w:eastAsia="Calibri" w:cs="Times New Roman"/>
              <w:lang w:val="en-US" w:eastAsia="zh-CN" w:bidi="ar-SA"/>
            </w:rPr>
            <w:fldChar w:fldCharType="separate"/>
          </w:r>
          <w:r>
            <w:rPr>
              <w:rFonts w:hint="eastAsia" w:ascii="宋体" w:hAnsi="宋体" w:eastAsia="黑体" w:cs="Times New Roman"/>
              <w:sz w:val="32"/>
              <w:szCs w:val="32"/>
              <w:lang w:val="en-US" w:eastAsia="zh-CN" w:bidi="ar-SA"/>
            </w:rPr>
            <w:t>八、其他重要事项的情况说明</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_Toc20919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"_Toc9621"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（一）机关运行经费情况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_Toc9621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"_Toc26552"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（二）政府采购情况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_Toc26552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"_Toc11208" </w:instrText>
          </w:r>
          <w:r>
            <w:rPr>
              <w:rFonts w:ascii="Calibri" w:hAnsi="Calibri" w:eastAsia="Calibri" w:cs="Times New Roman"/>
              <w:lang w:val="en-US" w:eastAsia="zh-CN" w:bidi="ar-SA"/>
            </w:rPr>
            <w:fldChar w:fldCharType="separate"/>
          </w:r>
          <w:r>
            <w:rPr>
              <w:rFonts w:ascii="宋体" w:hAnsi="宋体" w:eastAsia="Calibri" w:cs="Times New Roman"/>
              <w:sz w:val="32"/>
              <w:szCs w:val="32"/>
              <w:lang w:val="en-US" w:eastAsia="zh-CN" w:bidi="ar-SA"/>
            </w:rPr>
            <w:t>（三）国有资产占有使用情况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_Toc11208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ind w:left="880" w:leftChars="400"/>
            <w:rPr>
              <w:rFonts w:ascii="宋体" w:hAnsi="宋体" w:eastAsia="Calibri" w:cs="Times New Roman"/>
              <w:sz w:val="32"/>
              <w:szCs w:val="32"/>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"_Toc13599" </w:instrText>
          </w:r>
          <w:r>
            <w:rPr>
              <w:rFonts w:ascii="Calibri" w:hAnsi="Calibri" w:eastAsia="Calibri" w:cs="Times New Roman"/>
              <w:lang w:val="en-US" w:eastAsia="zh-CN" w:bidi="ar-SA"/>
            </w:rPr>
            <w:fldChar w:fldCharType="separate"/>
          </w:r>
          <w:r>
            <w:rPr>
              <w:rFonts w:hint="eastAsia" w:ascii="宋体" w:hAnsi="宋体" w:eastAsia="Calibri" w:cs="Times New Roman"/>
              <w:sz w:val="32"/>
              <w:szCs w:val="32"/>
              <w:lang w:val="en-US" w:eastAsia="zh-CN" w:bidi="ar-SA"/>
            </w:rPr>
            <w:t>（四）</w:t>
          </w:r>
          <w:r>
            <w:rPr>
              <w:rFonts w:ascii="宋体" w:hAnsi="宋体" w:eastAsia="Calibri" w:cs="Times New Roman"/>
              <w:sz w:val="32"/>
              <w:szCs w:val="32"/>
              <w:lang w:val="en-US" w:eastAsia="zh-CN" w:bidi="ar-SA"/>
            </w:rPr>
            <w:t>预算绩效情况</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_Toc13599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12</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tabs>
              <w:tab w:val="right" w:leader="dot" w:pos="9812"/>
            </w:tabs>
            <w:spacing w:line="560" w:lineRule="exact"/>
            <w:rPr>
              <w:rFonts w:ascii="宋体" w:hAnsi="宋体" w:eastAsia="Calibri" w:cs="Times New Roman"/>
              <w:lang w:val="en-US" w:eastAsia="zh-CN" w:bidi="ar-SA"/>
            </w:rPr>
          </w:pPr>
          <w:r>
            <w:rPr>
              <w:rFonts w:ascii="Calibri" w:hAnsi="Calibri" w:eastAsia="Calibri" w:cs="Times New Roman"/>
              <w:lang w:val="en-US" w:eastAsia="zh-CN" w:bidi="ar-SA"/>
            </w:rPr>
            <w:fldChar w:fldCharType="begin"/>
          </w:r>
          <w:r>
            <w:rPr>
              <w:rFonts w:ascii="Calibri" w:hAnsi="Calibri" w:eastAsia="Calibri" w:cs="Times New Roman"/>
              <w:lang w:val="en-US" w:eastAsia="zh-CN" w:bidi="ar-SA"/>
            </w:rPr>
            <w:instrText xml:space="preserve"> HYPERLINK \l "_Toc31157" </w:instrText>
          </w:r>
          <w:r>
            <w:rPr>
              <w:rFonts w:ascii="Calibri" w:hAnsi="Calibri" w:eastAsia="Calibri" w:cs="Times New Roman"/>
              <w:lang w:val="en-US" w:eastAsia="zh-CN" w:bidi="ar-SA"/>
            </w:rPr>
            <w:fldChar w:fldCharType="separate"/>
          </w:r>
          <w:r>
            <w:rPr>
              <w:rFonts w:hint="eastAsia" w:ascii="宋体" w:hAnsi="宋体" w:eastAsia="方正小标宋简体" w:cs="方正小标宋简体"/>
              <w:sz w:val="32"/>
              <w:szCs w:val="32"/>
              <w:lang w:val="en-US" w:eastAsia="zh-CN" w:bidi="ar-SA"/>
            </w:rPr>
            <w:t>第四部分  名词解释</w:t>
          </w:r>
          <w:r>
            <w:rPr>
              <w:rFonts w:ascii="宋体" w:hAnsi="宋体" w:eastAsia="Calibri" w:cs="Times New Roman"/>
              <w:sz w:val="32"/>
              <w:szCs w:val="32"/>
              <w:lang w:val="en-US" w:eastAsia="zh-CN" w:bidi="ar-SA"/>
            </w:rPr>
            <w:tab/>
          </w:r>
          <w:r>
            <w:rPr>
              <w:rFonts w:ascii="宋体" w:hAnsi="宋体" w:eastAsia="Calibri" w:cs="Times New Roman"/>
              <w:sz w:val="32"/>
              <w:szCs w:val="32"/>
              <w:lang w:val="en-US" w:eastAsia="zh-CN" w:bidi="ar-SA"/>
            </w:rPr>
            <w:fldChar w:fldCharType="begin"/>
          </w:r>
          <w:r>
            <w:rPr>
              <w:rFonts w:ascii="宋体" w:hAnsi="宋体" w:eastAsia="Calibri" w:cs="Times New Roman"/>
              <w:sz w:val="32"/>
              <w:szCs w:val="32"/>
              <w:lang w:val="en-US" w:eastAsia="zh-CN" w:bidi="ar-SA"/>
            </w:rPr>
            <w:instrText xml:space="preserve"> PAGEREF _Toc31157 \h </w:instrText>
          </w:r>
          <w:r>
            <w:rPr>
              <w:rFonts w:ascii="宋体" w:hAnsi="宋体" w:eastAsia="Calibri" w:cs="Times New Roman"/>
              <w:sz w:val="32"/>
              <w:szCs w:val="32"/>
              <w:lang w:val="en-US" w:eastAsia="zh-CN" w:bidi="ar-SA"/>
            </w:rPr>
            <w:fldChar w:fldCharType="separate"/>
          </w:r>
          <w:r>
            <w:rPr>
              <w:rFonts w:ascii="宋体" w:hAnsi="宋体" w:eastAsia="Calibri" w:cs="Times New Roman"/>
              <w:sz w:val="32"/>
              <w:szCs w:val="32"/>
              <w:lang w:val="en-US" w:eastAsia="zh-CN" w:bidi="ar-SA"/>
            </w:rPr>
            <w:t>14</w:t>
          </w:r>
          <w:r>
            <w:rPr>
              <w:rFonts w:ascii="宋体" w:hAnsi="宋体" w:eastAsia="Calibri" w:cs="Times New Roman"/>
              <w:sz w:val="32"/>
              <w:szCs w:val="32"/>
              <w:lang w:val="en-US" w:eastAsia="zh-CN" w:bidi="ar-SA"/>
            </w:rPr>
            <w:fldChar w:fldCharType="end"/>
          </w:r>
          <w:r>
            <w:rPr>
              <w:rFonts w:ascii="宋体" w:hAnsi="宋体" w:eastAsia="Calibri" w:cs="Times New Roman"/>
              <w:sz w:val="32"/>
              <w:szCs w:val="32"/>
              <w:lang w:val="en-US" w:eastAsia="zh-CN" w:bidi="ar-SA"/>
            </w:rPr>
            <w:fldChar w:fldCharType="end"/>
          </w:r>
        </w:p>
        <w:p>
          <w:pPr>
            <w:pStyle w:val="16"/>
            <w:tabs>
              <w:tab w:val="right" w:leader="dot" w:pos="9812"/>
            </w:tabs>
            <w:spacing w:line="560" w:lineRule="exact"/>
            <w:rPr>
              <w:rFonts w:ascii="宋体" w:hAnsi="宋体"/>
            </w:rPr>
          </w:pPr>
          <w:r>
            <w:rPr>
              <w:rFonts w:hint="eastAsia" w:ascii="宋体" w:hAnsi="宋体" w:eastAsia="方正小标宋简体" w:cs="方正小标宋简体"/>
              <w:bCs/>
              <w:sz w:val="32"/>
              <w:szCs w:val="48"/>
              <w:lang w:val="en-US" w:eastAsia="zh-CN" w:bidi="zh-CN"/>
            </w:rPr>
            <w:fldChar w:fldCharType="end"/>
          </w:r>
        </w:p>
        <w:p>
          <w:pPr>
            <w:pStyle w:val="2"/>
            <w:tabs>
              <w:tab w:val="left" w:pos="4798"/>
            </w:tabs>
            <w:ind w:firstLine="561"/>
            <w:jc w:val="both"/>
            <w:rPr>
              <w:rFonts w:ascii="宋体" w:hAnsi="宋体" w:eastAsia="方正小标宋简体" w:cs="方正小标宋简体"/>
              <w:b/>
              <w:bCs/>
              <w:sz w:val="48"/>
              <w:szCs w:val="48"/>
              <w:lang w:val="en-US"/>
            </w:rPr>
          </w:pPr>
          <w:r>
            <w:rPr>
              <w:rFonts w:hint="eastAsia" w:ascii="宋体" w:hAnsi="宋体" w:eastAsia="方正小标宋简体" w:cs="方正小标宋简体"/>
              <w:bCs/>
              <w:szCs w:val="48"/>
              <w:lang w:val="en-US"/>
            </w:rPr>
            <w:fldChar w:fldCharType="end"/>
          </w:r>
        </w:p>
      </w:sdtContent>
    </w:sdt>
    <w:p>
      <w:pPr>
        <w:pStyle w:val="2"/>
        <w:ind w:firstLine="402"/>
        <w:rPr>
          <w:rFonts w:ascii="宋体" w:hAnsi="宋体"/>
          <w:sz w:val="20"/>
        </w:rPr>
        <w:sectPr>
          <w:headerReference r:id="rId3" w:type="default"/>
          <w:pgSz w:w="11910" w:h="16840"/>
          <w:pgMar w:top="1587" w:right="964" w:bottom="1701" w:left="1134" w:header="737" w:footer="737" w:gutter="0"/>
          <w:pgNumType w:start="1"/>
          <w:cols w:space="0" w:num="1"/>
        </w:sect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spacing w:before="3"/>
        <w:rPr>
          <w:rFonts w:ascii="宋体" w:hAnsi="宋体"/>
          <w:sz w:val="28"/>
        </w:rPr>
      </w:pPr>
    </w:p>
    <w:p>
      <w:pPr>
        <w:pStyle w:val="2"/>
        <w:numPr>
          <w:ilvl w:val="0"/>
          <w:numId w:val="0"/>
        </w:numPr>
        <w:jc w:val="center"/>
        <w:outlineLvl w:val="0"/>
        <w:rPr>
          <w:rFonts w:ascii="宋体" w:hAnsi="宋体" w:eastAsia="方正小标宋简体" w:cs="方正小标宋简体"/>
          <w:b/>
          <w:bCs/>
          <w:sz w:val="52"/>
          <w:szCs w:val="52"/>
          <w:lang w:val="en-US"/>
        </w:rPr>
      </w:pPr>
      <w:bookmarkStart w:id="0" w:name="_Toc24981"/>
      <w:r>
        <w:rPr>
          <w:rFonts w:hint="eastAsia" w:ascii="宋体" w:hAnsi="宋体" w:eastAsia="方正小标宋简体" w:cs="方正小标宋简体"/>
          <w:b/>
          <w:bCs/>
          <w:sz w:val="52"/>
          <w:szCs w:val="52"/>
          <w:lang w:val="en-US" w:eastAsia="zh-CN"/>
        </w:rPr>
        <w:t xml:space="preserve">第一部分  </w:t>
      </w:r>
      <w:r>
        <w:rPr>
          <w:rFonts w:hint="eastAsia" w:ascii="宋体" w:hAnsi="宋体" w:eastAsia="方正小标宋简体" w:cs="方正小标宋简体"/>
          <w:b/>
          <w:bCs/>
          <w:sz w:val="52"/>
          <w:szCs w:val="52"/>
          <w:lang w:val="en-US"/>
        </w:rPr>
        <w:t>部门概况</w:t>
      </w:r>
      <w:bookmarkEnd w:id="0"/>
    </w:p>
    <w:p>
      <w:pPr>
        <w:pStyle w:val="2"/>
        <w:spacing w:before="40" w:after="120" w:afterLines="50"/>
        <w:ind w:firstLine="640" w:firstLineChars="200"/>
        <w:rPr>
          <w:rFonts w:ascii="宋体" w:hAnsi="宋体" w:eastAsia="黑体"/>
          <w:color w:val="333333"/>
        </w:rPr>
      </w:pPr>
    </w:p>
    <w:p>
      <w:pPr>
        <w:pStyle w:val="2"/>
        <w:spacing w:before="40" w:after="120" w:afterLines="50"/>
        <w:ind w:firstLine="640" w:firstLineChars="200"/>
        <w:rPr>
          <w:rFonts w:ascii="宋体" w:hAnsi="宋体" w:eastAsia="黑体"/>
          <w:color w:val="333333"/>
        </w:rPr>
      </w:pPr>
    </w:p>
    <w:p>
      <w:pPr>
        <w:pStyle w:val="2"/>
        <w:spacing w:before="40" w:after="120" w:afterLines="50"/>
        <w:ind w:firstLine="640" w:firstLineChars="200"/>
        <w:rPr>
          <w:rFonts w:ascii="宋体" w:hAnsi="宋体" w:eastAsia="黑体"/>
          <w:color w:val="333333"/>
        </w:rPr>
        <w:sectPr>
          <w:footerReference r:id="rId4" w:type="default"/>
          <w:pgSz w:w="11910" w:h="16840"/>
          <w:pgMar w:top="1587" w:right="964" w:bottom="1701" w:left="1134" w:header="737" w:footer="737" w:gutter="0"/>
          <w:pgNumType w:start="1"/>
          <w:cols w:space="0" w:num="1"/>
        </w:sectPr>
      </w:pPr>
    </w:p>
    <w:p>
      <w:pPr>
        <w:pStyle w:val="2"/>
        <w:spacing w:line="500" w:lineRule="exact"/>
        <w:ind w:firstLine="562" w:firstLineChars="200"/>
        <w:jc w:val="both"/>
        <w:outlineLvl w:val="1"/>
        <w:rPr>
          <w:rFonts w:asciiTheme="majorEastAsia" w:hAnsiTheme="majorEastAsia" w:eastAsiaTheme="majorEastAsia" w:cstheme="majorEastAsia"/>
          <w:b/>
          <w:bCs/>
          <w:color w:val="333333"/>
          <w:sz w:val="28"/>
          <w:szCs w:val="28"/>
        </w:rPr>
      </w:pPr>
      <w:bookmarkStart w:id="1" w:name="_Toc977"/>
      <w:r>
        <w:rPr>
          <w:rFonts w:hint="eastAsia" w:asciiTheme="majorEastAsia" w:hAnsiTheme="majorEastAsia" w:eastAsiaTheme="majorEastAsia" w:cstheme="majorEastAsia"/>
          <w:b/>
          <w:bCs/>
          <w:color w:val="333333"/>
          <w:sz w:val="28"/>
          <w:szCs w:val="28"/>
        </w:rPr>
        <w:t>一、基本职能及主要工作</w:t>
      </w:r>
      <w:bookmarkEnd w:id="1"/>
    </w:p>
    <w:p>
      <w:pPr>
        <w:pStyle w:val="4"/>
        <w:spacing w:line="500" w:lineRule="exact"/>
        <w:ind w:left="0" w:firstLine="843" w:firstLineChars="300"/>
        <w:jc w:val="both"/>
        <w:rPr>
          <w:rFonts w:asciiTheme="majorEastAsia" w:hAnsiTheme="majorEastAsia" w:eastAsiaTheme="majorEastAsia" w:cstheme="majorEastAsia"/>
          <w:sz w:val="28"/>
          <w:szCs w:val="28"/>
        </w:rPr>
      </w:pPr>
      <w:bookmarkStart w:id="2" w:name="_Toc5540"/>
      <w:r>
        <w:rPr>
          <w:rFonts w:hint="eastAsia" w:asciiTheme="majorEastAsia" w:hAnsiTheme="majorEastAsia" w:eastAsiaTheme="majorEastAsia" w:cstheme="majorEastAsia"/>
          <w:sz w:val="28"/>
          <w:szCs w:val="28"/>
        </w:rPr>
        <w:t>（一）部门职能</w:t>
      </w:r>
      <w:bookmarkEnd w:id="2"/>
    </w:p>
    <w:p>
      <w:pPr>
        <w:autoSpaceDE/>
        <w:autoSpaceDN/>
        <w:spacing w:line="500" w:lineRule="exact"/>
        <w:ind w:firstLine="560" w:firstLineChars="200"/>
        <w:jc w:val="both"/>
        <w:rPr>
          <w:rFonts w:asciiTheme="majorEastAsia" w:hAnsiTheme="majorEastAsia" w:eastAsiaTheme="majorEastAsia" w:cstheme="majorEastAsia"/>
          <w:sz w:val="28"/>
          <w:szCs w:val="28"/>
        </w:rPr>
      </w:pPr>
      <w:bookmarkStart w:id="3" w:name="_Toc29132"/>
      <w:r>
        <w:rPr>
          <w:rFonts w:hint="eastAsia" w:asciiTheme="majorEastAsia" w:hAnsiTheme="majorEastAsia" w:eastAsiaTheme="majorEastAsia" w:cstheme="majorEastAsia"/>
          <w:sz w:val="28"/>
          <w:szCs w:val="28"/>
        </w:rPr>
        <w:t>1．认真贯彻执行党和国家的方针、政策和法律法规，依法制定园区管理办法。</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2．研究园区的相关重要事务和重大事项，并报区政府批准后组织实施。</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3．负责园区的规划、建设、管理和服务工作。</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4．负责编制园区总体规划、控制性详规、产业发展规划、经济社会发展计划及社会事业发展等规划，经批准后组织实施。</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5．负责职责范围内的安全生产和职业健康、生态环境保护等工作。</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6．履行区政府及相关职能部门授权的相关职能。</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7．开展重大项目代办工作。</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8．承担区委、区政府交办的其他工作事项。</w:t>
      </w:r>
    </w:p>
    <w:p>
      <w:pPr>
        <w:pStyle w:val="4"/>
        <w:spacing w:line="500" w:lineRule="exact"/>
        <w:ind w:left="0" w:firstLine="843" w:firstLineChars="3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（二）部门</w:t>
      </w:r>
      <w:r>
        <w:rPr>
          <w:rFonts w:hint="eastAsia" w:asciiTheme="majorEastAsia" w:hAnsiTheme="majorEastAsia" w:eastAsiaTheme="majorEastAsia" w:cstheme="majorEastAsia"/>
          <w:sz w:val="28"/>
          <w:szCs w:val="28"/>
          <w:lang w:val="en-US"/>
        </w:rPr>
        <w:t>2024</w:t>
      </w:r>
      <w:r>
        <w:rPr>
          <w:rFonts w:hint="eastAsia" w:asciiTheme="majorEastAsia" w:hAnsiTheme="majorEastAsia" w:eastAsiaTheme="majorEastAsia" w:cstheme="majorEastAsia"/>
          <w:sz w:val="28"/>
          <w:szCs w:val="28"/>
        </w:rPr>
        <w:t>年重点工作</w:t>
      </w:r>
      <w:bookmarkEnd w:id="3"/>
      <w:bookmarkStart w:id="43" w:name="_GoBack"/>
      <w:bookmarkEnd w:id="43"/>
    </w:p>
    <w:p>
      <w:pPr>
        <w:autoSpaceDE/>
        <w:autoSpaceDN/>
        <w:spacing w:line="500" w:lineRule="exact"/>
        <w:ind w:firstLine="560" w:firstLineChars="200"/>
        <w:jc w:val="both"/>
        <w:rPr>
          <w:rFonts w:asciiTheme="majorEastAsia" w:hAnsiTheme="majorEastAsia" w:eastAsiaTheme="majorEastAsia" w:cstheme="majorEastAsia"/>
          <w:sz w:val="28"/>
          <w:szCs w:val="28"/>
          <w:lang w:val="en-US"/>
        </w:rPr>
      </w:pPr>
      <w:bookmarkStart w:id="4" w:name="_Toc30432"/>
      <w:r>
        <w:rPr>
          <w:rFonts w:hint="eastAsia" w:asciiTheme="majorEastAsia" w:hAnsiTheme="majorEastAsia" w:eastAsiaTheme="majorEastAsia" w:cstheme="majorEastAsia"/>
          <w:sz w:val="28"/>
          <w:szCs w:val="28"/>
          <w:lang w:val="en-US"/>
        </w:rPr>
        <w:t>1、强担当，抓好组织指挥力建设</w:t>
      </w:r>
    </w:p>
    <w:p>
      <w:pPr>
        <w:autoSpaceDE/>
        <w:autoSpaceDN/>
        <w:spacing w:line="500" w:lineRule="exact"/>
        <w:ind w:firstLine="560" w:firstLineChars="200"/>
        <w:jc w:val="both"/>
        <w:rPr>
          <w:rFonts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rPr>
        <w:t>加强经开区管委会和经开产投集团人员管理，做大做强经开产投集团，合理调整人员分工，保证项目建设过程中各项工作有序推进。落实领导干部挂联企业，点对点全方位服务企业，及时收集企业发展中存在的问题，及时研究解决措施。强化在建项目监管，加强项目推进过程中的协调调度，定期分析研判，及时处理存在问题，确保各项工程项目按期竣工。</w:t>
      </w:r>
    </w:p>
    <w:p>
      <w:pPr>
        <w:autoSpaceDE/>
        <w:autoSpaceDN/>
        <w:spacing w:line="500" w:lineRule="exact"/>
        <w:ind w:firstLine="560" w:firstLineChars="200"/>
        <w:jc w:val="both"/>
        <w:rPr>
          <w:rFonts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rPr>
        <w:t>2、战项目，全力保障企业入驻</w:t>
      </w:r>
    </w:p>
    <w:p>
      <w:pPr>
        <w:autoSpaceDE/>
        <w:autoSpaceDN/>
        <w:spacing w:line="500" w:lineRule="exact"/>
        <w:ind w:firstLine="560" w:firstLineChars="200"/>
        <w:jc w:val="both"/>
        <w:rPr>
          <w:rFonts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rPr>
        <w:t>全力推进在建项目，加快推进北一路二期、供水二厂、污水处理二厂等项目，确保一季度建成投运。</w:t>
      </w:r>
      <w:r>
        <w:rPr>
          <w:rFonts w:hint="eastAsia" w:asciiTheme="majorEastAsia" w:hAnsiTheme="majorEastAsia" w:eastAsiaTheme="majorEastAsia" w:cstheme="majorEastAsia"/>
          <w:sz w:val="28"/>
          <w:szCs w:val="28"/>
        </w:rPr>
        <w:t>紧盯产业项目落地，全力做好要素保障工作。重点围绕通威16GW拉棒、16GW切片、16GW电池片，协鑫二期1</w:t>
      </w:r>
      <w:r>
        <w:rPr>
          <w:rFonts w:hint="eastAsia" w:asciiTheme="majorEastAsia" w:hAnsiTheme="majorEastAsia" w:eastAsiaTheme="majorEastAsia" w:cstheme="majorEastAsia"/>
          <w:sz w:val="28"/>
          <w:szCs w:val="28"/>
          <w:lang w:val="en-US"/>
        </w:rPr>
        <w:t>2</w:t>
      </w:r>
      <w:r>
        <w:rPr>
          <w:rFonts w:hint="eastAsia" w:asciiTheme="majorEastAsia" w:hAnsiTheme="majorEastAsia" w:eastAsiaTheme="majorEastAsia" w:cstheme="majorEastAsia"/>
          <w:sz w:val="28"/>
          <w:szCs w:val="28"/>
        </w:rPr>
        <w:t>万吨颗粒硅，永祥三期12万吨高纯晶硅三个晶硅光伏项目，统筹做好土地指标、征地拆迁、杆管线搬迁、变电站建设、场地平整等相关工作，为项目尽快落地提供各项保障。紧盯退岸入园项目，提前谋划，扎实推进前期工作。</w:t>
      </w:r>
      <w:r>
        <w:rPr>
          <w:rFonts w:hint="eastAsia" w:asciiTheme="majorEastAsia" w:hAnsiTheme="majorEastAsia" w:eastAsiaTheme="majorEastAsia" w:cstheme="majorEastAsia"/>
          <w:sz w:val="28"/>
          <w:szCs w:val="28"/>
          <w:lang w:val="en-US"/>
        </w:rPr>
        <w:t>加快推进开创大道、红松路等道路项目。</w:t>
      </w:r>
      <w:r>
        <w:rPr>
          <w:rFonts w:hint="eastAsia" w:asciiTheme="majorEastAsia" w:hAnsiTheme="majorEastAsia" w:eastAsiaTheme="majorEastAsia" w:cstheme="majorEastAsia"/>
          <w:sz w:val="28"/>
          <w:szCs w:val="28"/>
        </w:rPr>
        <w:t>围绕退岸入园项目落地，</w:t>
      </w:r>
      <w:r>
        <w:rPr>
          <w:rFonts w:hint="eastAsia" w:asciiTheme="majorEastAsia" w:hAnsiTheme="majorEastAsia" w:eastAsiaTheme="majorEastAsia" w:cstheme="majorEastAsia"/>
          <w:sz w:val="28"/>
          <w:szCs w:val="28"/>
          <w:lang w:val="en-US"/>
        </w:rPr>
        <w:t>做好退岸入园片区基础设施项目规划，保障后续项目顺利入驻。</w:t>
      </w:r>
    </w:p>
    <w:p>
      <w:pPr>
        <w:autoSpaceDE/>
        <w:autoSpaceDN/>
        <w:spacing w:line="500" w:lineRule="exact"/>
        <w:ind w:firstLine="560" w:firstLineChars="200"/>
        <w:jc w:val="both"/>
        <w:rPr>
          <w:rFonts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rPr>
        <w:t>3、强弱项，积极推动要素保障</w:t>
      </w:r>
    </w:p>
    <w:p>
      <w:pPr>
        <w:pStyle w:val="2"/>
        <w:spacing w:line="500" w:lineRule="exact"/>
        <w:ind w:firstLine="560" w:firstLineChars="200"/>
        <w:jc w:val="both"/>
        <w:outlineLvl w:val="1"/>
        <w:rPr>
          <w:rFonts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rPr>
        <w:t>继续配合相关部门完成省级化工园区申报工作。谋划好园区资金运转，统筹规划一批项目包装，积极申报发行专项债，加大力度对接银行、金融机构，多渠道解决资金缺口问题，保障明年园区基础设施项目和征地拆迁资金持续跟进，确保重点工作不断档。加速推动园区基础设施提档升级，加快在建项目建设进度，完善园区管理体系，规范园区环境治理，提升园区整体形象</w:t>
      </w:r>
    </w:p>
    <w:p>
      <w:pPr>
        <w:pStyle w:val="2"/>
        <w:spacing w:line="500" w:lineRule="exact"/>
        <w:ind w:firstLine="562" w:firstLineChars="200"/>
        <w:jc w:val="both"/>
        <w:outlineLvl w:val="1"/>
        <w:rPr>
          <w:rFonts w:asciiTheme="majorEastAsia" w:hAnsiTheme="majorEastAsia" w:eastAsiaTheme="majorEastAsia" w:cstheme="majorEastAsia"/>
          <w:b/>
          <w:bCs/>
          <w:color w:val="333333"/>
          <w:sz w:val="28"/>
          <w:szCs w:val="28"/>
        </w:rPr>
      </w:pPr>
      <w:r>
        <w:rPr>
          <w:rFonts w:hint="eastAsia" w:asciiTheme="majorEastAsia" w:hAnsiTheme="majorEastAsia" w:eastAsiaTheme="majorEastAsia" w:cstheme="majorEastAsia"/>
          <w:b/>
          <w:bCs/>
          <w:color w:val="333333"/>
          <w:sz w:val="28"/>
          <w:szCs w:val="28"/>
        </w:rPr>
        <w:t>二、部门预算单位构成</w:t>
      </w:r>
      <w:bookmarkEnd w:id="4"/>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rPr>
        <w:t>四川五通桥经济开发区管理委员会</w:t>
      </w:r>
      <w:r>
        <w:rPr>
          <w:rFonts w:hint="eastAsia" w:asciiTheme="majorEastAsia" w:hAnsiTheme="majorEastAsia" w:eastAsiaTheme="majorEastAsia" w:cstheme="majorEastAsia"/>
          <w:sz w:val="28"/>
          <w:szCs w:val="28"/>
        </w:rPr>
        <w:t>设3个内设机构：</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（一）办公室（党群工作部）</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综合性材料起草、文件制作、文件收发、传阅及档案管理工作；负责会务组织、公务接待、后勤服务、机关财物及车辆管理工作。负责组织人事、劳动工资及编制管理。负责本部门工作目标任务督查考核工作。负责国有资产、财务管理和会计核算工作。完成领导交办的其他工作事项。</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负责党建、群团以及对外宣传、精神文明、爱国卫生、综合治理、法治建设与信访维稳等工作。完成领导交办的其他工作事项。</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（二）经济发展股</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园区产业发展规划、总体规划、控制性详细规划等的编制与实施，拟定年度招商引资计划，承担入园企业月报、季报和年报的收集、汇编、报送工作。负责园区项目储备、包装和投资报批工作。做好园区基础设施建设、技术改造、税收返还等扶持政策申报兑现工作，落实各项招商引资优惠政策，负责协调园区对外贸易和对外经济合作工作。</w:t>
      </w:r>
    </w:p>
    <w:p>
      <w:pPr>
        <w:autoSpaceDE/>
        <w:autoSpaceDN/>
        <w:spacing w:line="500" w:lineRule="exact"/>
        <w:ind w:firstLine="560" w:firstLineChars="200"/>
        <w:jc w:val="both"/>
        <w:rPr>
          <w:sz w:val="28"/>
          <w:szCs w:val="28"/>
        </w:rPr>
      </w:pPr>
      <w:r>
        <w:rPr>
          <w:rFonts w:hint="eastAsia"/>
          <w:sz w:val="28"/>
          <w:szCs w:val="28"/>
        </w:rPr>
        <w:t>负责园区政府投资项目日常管理、预结算及招投标工作。负责园区征地范围内杆管线搬迁和入园企业红线范围外的管线建设。配合入园企业做好项目选址、勘察设计等服务工作。负责入园企业建设中工程进度管理，民工工资发放监督管理工作。完成领导交办的其他工作事项。</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（三）安全环保股</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园区区域环评、跟踪环评报批管理工作。负责园区建设安全工作及企业生产安全监督检查工作。负责园区环境保护，入园企业环保报建及企业生产环保管理工作。负责园区入园企业项目环评、安评管理工作。协助区安检局、环保局在园区内开展执法工作。完成领导交办的其他工作事项。</w:t>
      </w:r>
    </w:p>
    <w:p>
      <w:pPr>
        <w:autoSpaceDE/>
        <w:autoSpaceDN/>
        <w:spacing w:line="500" w:lineRule="exact"/>
        <w:ind w:firstLine="560" w:firstLineChars="200"/>
        <w:jc w:val="both"/>
        <w:rPr>
          <w:rFonts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rPr>
        <w:t>机构编制情况：</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共核定机关行政编制8名（含设立时已核编制2名），其中：基地管委会主任（党工委书记）由区委副书记、区政府区长兼任，管委会常务副主任由区政府分管副区长兼任，主持日常工作的副主任1名，副主任1名，党工委专职副书记1名，中层职数3名。</w:t>
      </w:r>
    </w:p>
    <w:p>
      <w:pPr>
        <w:autoSpaceDE/>
        <w:autoSpaceDN/>
        <w:spacing w:line="500" w:lineRule="exact"/>
        <w:ind w:firstLine="560" w:firstLineChars="200"/>
        <w:jc w:val="both"/>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五通桥区</w:t>
      </w:r>
      <w:r>
        <w:rPr>
          <w:rFonts w:hint="eastAsia" w:asciiTheme="majorEastAsia" w:hAnsiTheme="majorEastAsia" w:eastAsiaTheme="majorEastAsia" w:cstheme="majorEastAsia"/>
          <w:sz w:val="28"/>
          <w:szCs w:val="28"/>
          <w:lang w:val="en-US"/>
        </w:rPr>
        <w:t>工业基地</w:t>
      </w:r>
      <w:r>
        <w:rPr>
          <w:rFonts w:hint="eastAsia" w:asciiTheme="majorEastAsia" w:hAnsiTheme="majorEastAsia" w:eastAsiaTheme="majorEastAsia" w:cstheme="majorEastAsia"/>
          <w:sz w:val="28"/>
          <w:szCs w:val="28"/>
        </w:rPr>
        <w:t>服务中心为</w:t>
      </w:r>
      <w:r>
        <w:rPr>
          <w:rFonts w:hint="eastAsia" w:asciiTheme="majorEastAsia" w:hAnsiTheme="majorEastAsia" w:eastAsiaTheme="majorEastAsia" w:cstheme="majorEastAsia"/>
          <w:sz w:val="28"/>
          <w:szCs w:val="28"/>
          <w:lang w:val="en-US"/>
        </w:rPr>
        <w:t>四川五通桥经济开发区管理委员会</w:t>
      </w:r>
      <w:r>
        <w:rPr>
          <w:rFonts w:hint="eastAsia" w:asciiTheme="majorEastAsia" w:hAnsiTheme="majorEastAsia" w:eastAsiaTheme="majorEastAsia" w:cstheme="majorEastAsia"/>
          <w:sz w:val="28"/>
          <w:szCs w:val="28"/>
        </w:rPr>
        <w:t>下属事业单位。根据工作需要增核3名事业编制。</w:t>
      </w:r>
    </w:p>
    <w:p>
      <w:pPr>
        <w:spacing w:line="500" w:lineRule="exact"/>
        <w:jc w:val="both"/>
        <w:rPr>
          <w:sz w:val="20"/>
        </w:rPr>
      </w:pPr>
      <w:r>
        <w:rPr>
          <w:sz w:val="20"/>
        </w:rPr>
        <w:br w:type="page"/>
      </w:r>
    </w:p>
    <w:p>
      <w:pPr>
        <w:tabs>
          <w:tab w:val="left" w:pos="1784"/>
        </w:tabs>
        <w:spacing w:before="240" w:beforeLines="100" w:after="120" w:afterLines="50" w:line="560" w:lineRule="exact"/>
        <w:ind w:left="279" w:leftChars="127" w:right="660" w:rightChars="300" w:firstLine="638" w:firstLineChars="228"/>
        <w:rPr>
          <w:rFonts w:asciiTheme="minorEastAsia" w:hAnsiTheme="minorEastAsia" w:eastAsiaTheme="minorEastAsia"/>
          <w:sz w:val="28"/>
          <w:szCs w:val="28"/>
          <w:lang w:val="en-US"/>
        </w:rPr>
      </w:pPr>
      <w:r>
        <w:rPr>
          <w:rFonts w:hint="eastAsia" w:asciiTheme="minorEastAsia" w:hAnsiTheme="minorEastAsia" w:eastAsiaTheme="minorEastAsia"/>
          <w:sz w:val="28"/>
          <w:szCs w:val="28"/>
          <w:lang w:val="en-US"/>
        </w:rPr>
        <w:t>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5"/>
              <w:rPr>
                <w:sz w:val="28"/>
                <w:szCs w:val="28"/>
              </w:rPr>
            </w:pPr>
            <w:r>
              <w:rPr>
                <w:rFonts w:hint="eastAsia"/>
                <w:sz w:val="28"/>
                <w:szCs w:val="28"/>
              </w:rPr>
              <w:t>序号</w:t>
            </w:r>
          </w:p>
        </w:tc>
        <w:tc>
          <w:tcPr>
            <w:tcW w:w="6282" w:type="dxa"/>
          </w:tcPr>
          <w:p>
            <w:pPr>
              <w:pStyle w:val="15"/>
              <w:rPr>
                <w:sz w:val="28"/>
                <w:szCs w:val="28"/>
              </w:rPr>
            </w:pPr>
            <w:r>
              <w:rPr>
                <w:rFonts w:hint="eastAsia"/>
                <w:sz w:val="28"/>
                <w:szCs w:val="28"/>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5"/>
              <w:rPr>
                <w:sz w:val="28"/>
                <w:szCs w:val="28"/>
              </w:rPr>
            </w:pPr>
            <w:r>
              <w:rPr>
                <w:w w:val="99"/>
                <w:sz w:val="28"/>
                <w:szCs w:val="28"/>
              </w:rPr>
              <w:t>1</w:t>
            </w:r>
          </w:p>
        </w:tc>
        <w:tc>
          <w:tcPr>
            <w:tcW w:w="6282" w:type="dxa"/>
          </w:tcPr>
          <w:p>
            <w:pPr>
              <w:pStyle w:val="15"/>
              <w:rPr>
                <w:sz w:val="28"/>
                <w:szCs w:val="28"/>
              </w:rPr>
            </w:pPr>
            <w:r>
              <w:rPr>
                <w:rFonts w:hint="eastAsia"/>
                <w:sz w:val="28"/>
                <w:szCs w:val="28"/>
                <w:lang w:val="en-US"/>
              </w:rPr>
              <w:t>四川五通桥经济开发区管理委员会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5"/>
              <w:rPr>
                <w:sz w:val="28"/>
                <w:szCs w:val="28"/>
              </w:rPr>
            </w:pPr>
            <w:r>
              <w:rPr>
                <w:w w:val="99"/>
                <w:sz w:val="28"/>
                <w:szCs w:val="28"/>
              </w:rPr>
              <w:t>2</w:t>
            </w:r>
          </w:p>
        </w:tc>
        <w:tc>
          <w:tcPr>
            <w:tcW w:w="6282" w:type="dxa"/>
          </w:tcPr>
          <w:p>
            <w:pPr>
              <w:pStyle w:val="15"/>
              <w:rPr>
                <w:sz w:val="28"/>
                <w:szCs w:val="28"/>
              </w:rPr>
            </w:pPr>
            <w:r>
              <w:rPr>
                <w:rFonts w:hint="eastAsia"/>
                <w:sz w:val="28"/>
                <w:szCs w:val="28"/>
              </w:rPr>
              <w:t>五通桥区</w:t>
            </w:r>
            <w:r>
              <w:rPr>
                <w:rFonts w:hint="eastAsia"/>
                <w:sz w:val="28"/>
                <w:szCs w:val="28"/>
                <w:lang w:val="en-US"/>
              </w:rPr>
              <w:t>工业基地</w:t>
            </w:r>
            <w:r>
              <w:rPr>
                <w:rFonts w:hint="eastAsia"/>
                <w:sz w:val="28"/>
                <w:szCs w:val="28"/>
              </w:rPr>
              <w:t>服务中心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5"/>
              <w:rPr>
                <w:sz w:val="28"/>
                <w:szCs w:val="28"/>
              </w:rPr>
            </w:pPr>
            <w:r>
              <w:rPr>
                <w:w w:val="99"/>
                <w:sz w:val="28"/>
                <w:szCs w:val="28"/>
              </w:rPr>
              <w:t>3</w:t>
            </w:r>
          </w:p>
        </w:tc>
        <w:tc>
          <w:tcPr>
            <w:tcW w:w="6282" w:type="dxa"/>
          </w:tcPr>
          <w:p>
            <w:pPr>
              <w:pStyle w:val="15"/>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5"/>
              <w:rPr>
                <w:sz w:val="28"/>
                <w:szCs w:val="28"/>
              </w:rPr>
            </w:pPr>
            <w:r>
              <w:rPr>
                <w:w w:val="99"/>
                <w:sz w:val="28"/>
                <w:szCs w:val="28"/>
              </w:rPr>
              <w:t>4</w:t>
            </w:r>
          </w:p>
        </w:tc>
        <w:tc>
          <w:tcPr>
            <w:tcW w:w="6282" w:type="dxa"/>
          </w:tcPr>
          <w:p>
            <w:pPr>
              <w:pStyle w:val="15"/>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5"/>
              <w:rPr>
                <w:sz w:val="28"/>
                <w:szCs w:val="28"/>
              </w:rPr>
            </w:pPr>
            <w:r>
              <w:rPr>
                <w:w w:val="99"/>
                <w:sz w:val="28"/>
                <w:szCs w:val="28"/>
              </w:rPr>
              <w:t>5</w:t>
            </w:r>
          </w:p>
        </w:tc>
        <w:tc>
          <w:tcPr>
            <w:tcW w:w="6282" w:type="dxa"/>
          </w:tcPr>
          <w:p>
            <w:pPr>
              <w:pStyle w:val="15"/>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5"/>
              <w:rPr>
                <w:sz w:val="28"/>
                <w:szCs w:val="28"/>
              </w:rPr>
            </w:pPr>
            <w:r>
              <w:rPr>
                <w:w w:val="99"/>
                <w:sz w:val="28"/>
                <w:szCs w:val="28"/>
              </w:rPr>
              <w:t>6</w:t>
            </w:r>
          </w:p>
        </w:tc>
        <w:tc>
          <w:tcPr>
            <w:tcW w:w="6282" w:type="dxa"/>
          </w:tcPr>
          <w:p>
            <w:pPr>
              <w:pStyle w:val="15"/>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5"/>
              <w:rPr>
                <w:sz w:val="28"/>
                <w:szCs w:val="28"/>
              </w:rPr>
            </w:pPr>
            <w:r>
              <w:rPr>
                <w:w w:val="99"/>
                <w:sz w:val="28"/>
                <w:szCs w:val="28"/>
              </w:rPr>
              <w:t>7</w:t>
            </w:r>
          </w:p>
        </w:tc>
        <w:tc>
          <w:tcPr>
            <w:tcW w:w="6282" w:type="dxa"/>
          </w:tcPr>
          <w:p>
            <w:pPr>
              <w:pStyle w:val="15"/>
              <w:rPr>
                <w:sz w:val="28"/>
                <w:szCs w:val="28"/>
              </w:rPr>
            </w:pPr>
          </w:p>
        </w:tc>
      </w:tr>
    </w:tbl>
    <w:p>
      <w:pPr>
        <w:rPr>
          <w:sz w:val="28"/>
          <w:szCs w:val="28"/>
        </w:rPr>
      </w:pPr>
      <w:r>
        <w:rPr>
          <w:sz w:val="28"/>
          <w:szCs w:val="28"/>
        </w:rPr>
        <w:br w:type="page"/>
      </w: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numPr>
          <w:ilvl w:val="0"/>
          <w:numId w:val="0"/>
        </w:numPr>
        <w:jc w:val="center"/>
        <w:outlineLvl w:val="0"/>
        <w:rPr>
          <w:rFonts w:hint="eastAsia" w:ascii="宋体" w:hAnsi="宋体" w:eastAsia="方正小标宋简体" w:cs="方正小标宋简体"/>
          <w:b/>
          <w:bCs/>
          <w:sz w:val="52"/>
          <w:szCs w:val="52"/>
          <w:lang w:val="en-US" w:eastAsia="zh-CN"/>
        </w:rPr>
      </w:pPr>
      <w:bookmarkStart w:id="5" w:name="_Toc28587"/>
      <w:r>
        <w:rPr>
          <w:rFonts w:hint="eastAsia" w:ascii="宋体" w:hAnsi="宋体" w:eastAsia="方正小标宋简体" w:cs="方正小标宋简体"/>
          <w:b/>
          <w:bCs/>
          <w:sz w:val="52"/>
          <w:szCs w:val="52"/>
          <w:lang w:val="en-US" w:eastAsia="zh-CN"/>
        </w:rPr>
        <w:t>第二部分</w:t>
      </w:r>
    </w:p>
    <w:p>
      <w:pPr>
        <w:pStyle w:val="2"/>
        <w:ind w:firstLine="1041"/>
        <w:jc w:val="center"/>
        <w:outlineLvl w:val="0"/>
        <w:rPr>
          <w:rFonts w:ascii="宋体" w:hAnsi="宋体" w:eastAsia="方正小标宋简体" w:cs="方正小标宋简体"/>
          <w:b/>
          <w:bCs/>
          <w:sz w:val="52"/>
          <w:szCs w:val="52"/>
          <w:lang w:val="en-US"/>
        </w:rPr>
      </w:pPr>
      <w:r>
        <w:rPr>
          <w:rFonts w:hint="eastAsia" w:ascii="宋体" w:hAnsi="宋体" w:eastAsia="方正小标宋简体" w:cs="方正小标宋简体"/>
          <w:b/>
          <w:bCs/>
          <w:sz w:val="52"/>
          <w:szCs w:val="52"/>
          <w:lang w:val="en-US"/>
        </w:rPr>
        <w:t>四川五通桥经济开发区管理委员会</w:t>
      </w:r>
    </w:p>
    <w:p>
      <w:pPr>
        <w:pStyle w:val="2"/>
        <w:ind w:firstLine="1041"/>
        <w:jc w:val="center"/>
        <w:outlineLvl w:val="0"/>
        <w:rPr>
          <w:rFonts w:ascii="宋体" w:hAnsi="宋体" w:eastAsia="方正小标宋简体" w:cs="方正小标宋简体"/>
          <w:b/>
          <w:bCs/>
          <w:sz w:val="52"/>
          <w:szCs w:val="52"/>
          <w:lang w:val="en-US"/>
        </w:rPr>
      </w:pPr>
      <w:r>
        <w:rPr>
          <w:rFonts w:hint="eastAsia" w:ascii="宋体" w:hAnsi="宋体" w:eastAsia="方正小标宋简体" w:cs="方正小标宋简体"/>
          <w:b/>
          <w:bCs/>
          <w:sz w:val="52"/>
          <w:szCs w:val="52"/>
          <w:lang w:val="en-US"/>
        </w:rPr>
        <w:t>2024年部门预算表</w:t>
      </w:r>
      <w:bookmarkEnd w:id="5"/>
    </w:p>
    <w:p>
      <w:pPr>
        <w:rPr>
          <w:sz w:val="32"/>
          <w:lang w:val="en-US"/>
        </w:rPr>
      </w:pPr>
      <w:r>
        <w:rPr>
          <w:color w:val="333333"/>
        </w:rPr>
        <w:br w:type="page"/>
      </w:r>
    </w:p>
    <w:p>
      <w:pPr>
        <w:pStyle w:val="14"/>
        <w:spacing w:line="600" w:lineRule="exact"/>
      </w:pPr>
      <w:bookmarkStart w:id="6" w:name="_Toc12069"/>
      <w:r>
        <w:rPr>
          <w:rFonts w:hint="eastAsia"/>
        </w:rPr>
        <w:t>一、部门收支总表（公开表 1）</w:t>
      </w:r>
      <w:bookmarkEnd w:id="6"/>
    </w:p>
    <w:p>
      <w:pPr>
        <w:pStyle w:val="14"/>
        <w:spacing w:line="600" w:lineRule="exact"/>
      </w:pPr>
      <w:bookmarkStart w:id="7" w:name="_Toc27995"/>
      <w:r>
        <w:rPr>
          <w:rFonts w:hint="eastAsia"/>
        </w:rPr>
        <w:t>二、部门收入总表（公开表 1-1）</w:t>
      </w:r>
      <w:bookmarkEnd w:id="7"/>
    </w:p>
    <w:p>
      <w:pPr>
        <w:pStyle w:val="14"/>
        <w:spacing w:line="600" w:lineRule="exact"/>
      </w:pPr>
      <w:bookmarkStart w:id="8" w:name="_Toc3639"/>
      <w:r>
        <w:rPr>
          <w:rFonts w:hint="eastAsia"/>
        </w:rPr>
        <w:t>三、部门支出总表（公开表 1-2）</w:t>
      </w:r>
      <w:bookmarkEnd w:id="8"/>
    </w:p>
    <w:p>
      <w:pPr>
        <w:pStyle w:val="14"/>
        <w:spacing w:line="600" w:lineRule="exact"/>
      </w:pPr>
      <w:bookmarkStart w:id="9" w:name="_Toc25815"/>
      <w:r>
        <w:rPr>
          <w:rFonts w:hint="eastAsia"/>
        </w:rPr>
        <w:t>四、财政拨款收支预算总表（公开表 2）</w:t>
      </w:r>
      <w:bookmarkEnd w:id="9"/>
    </w:p>
    <w:p>
      <w:pPr>
        <w:pStyle w:val="14"/>
        <w:spacing w:line="600" w:lineRule="exact"/>
      </w:pPr>
      <w:bookmarkStart w:id="10" w:name="_Toc4686"/>
      <w:r>
        <w:rPr>
          <w:rFonts w:hint="eastAsia"/>
        </w:rPr>
        <w:t>五、财政拨款支出预算表（部门经济分类科目）</w:t>
      </w:r>
      <w:bookmarkEnd w:id="10"/>
    </w:p>
    <w:p>
      <w:pPr>
        <w:pStyle w:val="14"/>
        <w:spacing w:line="600" w:lineRule="exact"/>
      </w:pPr>
      <w:r>
        <w:rPr>
          <w:rFonts w:hint="eastAsia"/>
        </w:rPr>
        <w:t>（公开表 2-1）</w:t>
      </w:r>
    </w:p>
    <w:p>
      <w:pPr>
        <w:pStyle w:val="14"/>
        <w:spacing w:line="600" w:lineRule="exact"/>
      </w:pPr>
      <w:bookmarkStart w:id="11" w:name="_Toc7952"/>
      <w:r>
        <w:rPr>
          <w:rFonts w:hint="eastAsia"/>
        </w:rPr>
        <w:t>六、一般公共预算支出预算表（公开表 3）</w:t>
      </w:r>
      <w:bookmarkEnd w:id="11"/>
    </w:p>
    <w:p>
      <w:pPr>
        <w:pStyle w:val="14"/>
        <w:spacing w:line="600" w:lineRule="exact"/>
      </w:pPr>
      <w:bookmarkStart w:id="12" w:name="_Toc32200"/>
      <w:r>
        <w:rPr>
          <w:rFonts w:hint="eastAsia"/>
        </w:rPr>
        <w:t>七、一般公共预算基本支出预算表（公开表 3-1）</w:t>
      </w:r>
      <w:bookmarkEnd w:id="12"/>
      <w:r>
        <w:rPr>
          <w:rFonts w:hint="eastAsia"/>
        </w:rPr>
        <w:t xml:space="preserve"> </w:t>
      </w:r>
    </w:p>
    <w:p>
      <w:pPr>
        <w:pStyle w:val="14"/>
        <w:spacing w:line="600" w:lineRule="exact"/>
      </w:pPr>
      <w:bookmarkStart w:id="13" w:name="_Toc17751"/>
      <w:r>
        <w:rPr>
          <w:rFonts w:hint="eastAsia"/>
        </w:rPr>
        <w:t>八、一般公共预算项目支出预算表（公开表 3-2）</w:t>
      </w:r>
      <w:bookmarkEnd w:id="13"/>
    </w:p>
    <w:p>
      <w:pPr>
        <w:pStyle w:val="14"/>
        <w:spacing w:line="600" w:lineRule="exact"/>
      </w:pPr>
      <w:bookmarkStart w:id="14" w:name="_Toc11119"/>
      <w:r>
        <w:rPr>
          <w:rFonts w:hint="eastAsia"/>
        </w:rPr>
        <w:t>九、一般公共预算“三公”经费支出预算表</w:t>
      </w:r>
      <w:bookmarkEnd w:id="14"/>
    </w:p>
    <w:p>
      <w:pPr>
        <w:pStyle w:val="14"/>
        <w:spacing w:line="600" w:lineRule="exact"/>
      </w:pPr>
      <w:r>
        <w:rPr>
          <w:rFonts w:hint="eastAsia"/>
        </w:rPr>
        <w:t xml:space="preserve">（公开表 3-3） </w:t>
      </w:r>
    </w:p>
    <w:p>
      <w:pPr>
        <w:pStyle w:val="14"/>
        <w:spacing w:line="600" w:lineRule="exact"/>
      </w:pPr>
      <w:bookmarkStart w:id="15" w:name="_Toc19211"/>
      <w:r>
        <w:rPr>
          <w:rFonts w:hint="eastAsia"/>
        </w:rPr>
        <w:t>十、政府性基金预算支出表（公开表 4）</w:t>
      </w:r>
      <w:bookmarkEnd w:id="15"/>
    </w:p>
    <w:p>
      <w:pPr>
        <w:pStyle w:val="14"/>
        <w:spacing w:line="600" w:lineRule="exact"/>
      </w:pPr>
      <w:bookmarkStart w:id="16" w:name="_Toc7676"/>
      <w:r>
        <w:rPr>
          <w:rFonts w:hint="eastAsia"/>
        </w:rPr>
        <w:t>十一、政府性基金预算“三公”经费支出预算表</w:t>
      </w:r>
      <w:bookmarkEnd w:id="16"/>
    </w:p>
    <w:p>
      <w:pPr>
        <w:pStyle w:val="14"/>
        <w:spacing w:line="600" w:lineRule="exact"/>
      </w:pPr>
      <w:r>
        <w:rPr>
          <w:rFonts w:hint="eastAsia"/>
        </w:rPr>
        <w:t>（公开表 4-1）</w:t>
      </w:r>
    </w:p>
    <w:p>
      <w:pPr>
        <w:pStyle w:val="14"/>
        <w:spacing w:line="600" w:lineRule="exact"/>
      </w:pPr>
      <w:bookmarkStart w:id="17" w:name="_Toc22917"/>
      <w:r>
        <w:rPr>
          <w:rFonts w:hint="eastAsia"/>
        </w:rPr>
        <w:t>十二、国有资本经营预算支出表（公开表 5）</w:t>
      </w:r>
      <w:bookmarkEnd w:id="17"/>
    </w:p>
    <w:p>
      <w:pPr>
        <w:pStyle w:val="14"/>
        <w:spacing w:line="600" w:lineRule="exact"/>
      </w:pPr>
      <w:bookmarkStart w:id="18" w:name="_Toc27847"/>
      <w:r>
        <w:rPr>
          <w:rFonts w:hint="eastAsia"/>
        </w:rPr>
        <w:t>十三、部门整体支出绩效目标表（公开表 6）</w:t>
      </w:r>
      <w:bookmarkEnd w:id="18"/>
      <w:r>
        <w:rPr>
          <w:rFonts w:hint="eastAsia"/>
        </w:rPr>
        <w:t xml:space="preserve"> </w:t>
      </w:r>
    </w:p>
    <w:p>
      <w:pPr>
        <w:pStyle w:val="14"/>
        <w:spacing w:line="600" w:lineRule="exact"/>
      </w:pPr>
      <w:bookmarkStart w:id="19" w:name="_Toc30878"/>
      <w:r>
        <w:rPr>
          <w:rFonts w:hint="eastAsia"/>
        </w:rPr>
        <w:t>十四、部门预算项目支出绩效目标表（公开表 7）</w:t>
      </w:r>
      <w:bookmarkEnd w:id="19"/>
    </w:p>
    <w:p>
      <w:pPr>
        <w:pStyle w:val="14"/>
        <w:spacing w:line="600" w:lineRule="exact"/>
      </w:pPr>
      <w:bookmarkStart w:id="20" w:name="_Toc32437"/>
      <w:r>
        <w:rPr>
          <w:rFonts w:hint="eastAsia"/>
        </w:rPr>
        <w:t>十五、政府采购预算表（公开表 8）</w:t>
      </w:r>
      <w:bookmarkEnd w:id="20"/>
    </w:p>
    <w:p>
      <w:pPr>
        <w:pStyle w:val="14"/>
        <w:spacing w:line="600" w:lineRule="exact"/>
      </w:pPr>
      <w:bookmarkStart w:id="21" w:name="_Toc16458"/>
      <w:r>
        <w:rPr>
          <w:rFonts w:hint="eastAsia"/>
        </w:rPr>
        <w:t>以上所有表格详见部门说明后附件。</w:t>
      </w:r>
      <w:bookmarkEnd w:id="21"/>
    </w:p>
    <w:p>
      <w:pPr>
        <w:rPr>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numPr>
          <w:ilvl w:val="0"/>
          <w:numId w:val="0"/>
        </w:numPr>
        <w:spacing w:before="6"/>
        <w:jc w:val="center"/>
        <w:outlineLvl w:val="0"/>
        <w:rPr>
          <w:rFonts w:hint="eastAsia" w:ascii="宋体" w:hAnsi="宋体" w:eastAsia="方正小标宋简体" w:cs="方正小标宋简体"/>
          <w:sz w:val="52"/>
          <w:szCs w:val="52"/>
          <w:lang w:val="en-US" w:eastAsia="zh-CN"/>
        </w:rPr>
      </w:pPr>
      <w:bookmarkStart w:id="22" w:name="_Toc19948"/>
      <w:r>
        <w:rPr>
          <w:rFonts w:hint="eastAsia" w:ascii="宋体" w:hAnsi="宋体" w:eastAsia="方正小标宋简体" w:cs="方正小标宋简体"/>
          <w:sz w:val="52"/>
          <w:szCs w:val="52"/>
          <w:lang w:val="en-US" w:eastAsia="zh-CN"/>
        </w:rPr>
        <w:t>第三部分</w:t>
      </w:r>
    </w:p>
    <w:p>
      <w:pPr>
        <w:pStyle w:val="2"/>
        <w:spacing w:before="6"/>
        <w:jc w:val="center"/>
        <w:outlineLvl w:val="0"/>
        <w:rPr>
          <w:rFonts w:ascii="宋体" w:hAnsi="宋体" w:eastAsia="方正小标宋简体" w:cs="方正小标宋简体"/>
          <w:sz w:val="52"/>
          <w:szCs w:val="52"/>
          <w:lang w:val="en-US"/>
        </w:rPr>
      </w:pPr>
      <w:r>
        <w:rPr>
          <w:rFonts w:hint="eastAsia" w:ascii="宋体" w:hAnsi="宋体" w:eastAsia="方正小标宋简体" w:cs="方正小标宋简体"/>
          <w:sz w:val="52"/>
          <w:szCs w:val="52"/>
          <w:lang w:val="en-US"/>
        </w:rPr>
        <w:t>四川五通桥区经济开发区管理委员会</w:t>
      </w:r>
    </w:p>
    <w:p>
      <w:pPr>
        <w:pStyle w:val="2"/>
        <w:spacing w:before="6"/>
        <w:jc w:val="center"/>
        <w:outlineLvl w:val="0"/>
        <w:rPr>
          <w:rFonts w:hint="eastAsia" w:ascii="宋体" w:hAnsi="宋体" w:eastAsia="方正小标宋简体"/>
          <w:sz w:val="20"/>
          <w:lang w:val="en-US" w:eastAsia="zh-CN"/>
        </w:rPr>
        <w:sectPr>
          <w:headerReference r:id="rId5" w:type="default"/>
          <w:pgSz w:w="11910" w:h="16840"/>
          <w:pgMar w:top="1587" w:right="964" w:bottom="1701" w:left="1134" w:header="737" w:footer="737" w:gutter="0"/>
          <w:cols w:space="0" w:num="1"/>
        </w:sectPr>
      </w:pPr>
      <w:r>
        <w:rPr>
          <w:rFonts w:hint="eastAsia" w:ascii="宋体" w:hAnsi="宋体" w:eastAsia="方正小标宋简体" w:cs="方正小标宋简体"/>
          <w:sz w:val="52"/>
          <w:szCs w:val="52"/>
          <w:lang w:val="en-US"/>
        </w:rPr>
        <w:t>2024年</w:t>
      </w:r>
      <w:bookmarkEnd w:id="22"/>
      <w:bookmarkStart w:id="23" w:name="_Toc1047"/>
      <w:r>
        <w:rPr>
          <w:rFonts w:hint="eastAsia" w:ascii="宋体" w:hAnsi="宋体" w:eastAsia="方正小标宋简体" w:cs="方正小标宋简体"/>
          <w:sz w:val="52"/>
          <w:szCs w:val="52"/>
          <w:lang w:val="en-US"/>
        </w:rPr>
        <w:t>部门预算情况</w:t>
      </w:r>
      <w:bookmarkEnd w:id="23"/>
      <w:r>
        <w:rPr>
          <w:rFonts w:hint="eastAsia" w:ascii="宋体" w:hAnsi="宋体" w:eastAsia="方正小标宋简体" w:cs="方正小标宋简体"/>
          <w:sz w:val="52"/>
          <w:szCs w:val="52"/>
          <w:lang w:val="en-US" w:eastAsia="zh-CN"/>
        </w:rPr>
        <w:t>说明</w:t>
      </w:r>
    </w:p>
    <w:p>
      <w:pPr>
        <w:pStyle w:val="2"/>
        <w:spacing w:line="500" w:lineRule="exact"/>
        <w:ind w:firstLine="562" w:firstLineChars="200"/>
        <w:jc w:val="both"/>
        <w:outlineLvl w:val="1"/>
        <w:rPr>
          <w:rFonts w:ascii="宋体" w:hAnsi="宋体" w:eastAsia="宋体"/>
          <w:b/>
          <w:color w:val="333333"/>
          <w:sz w:val="28"/>
          <w:szCs w:val="28"/>
        </w:rPr>
      </w:pPr>
      <w:bookmarkStart w:id="24" w:name="_Toc469"/>
      <w:r>
        <w:rPr>
          <w:rFonts w:hint="eastAsia" w:ascii="宋体" w:hAnsi="宋体" w:eastAsia="宋体"/>
          <w:b/>
          <w:color w:val="333333"/>
          <w:sz w:val="28"/>
          <w:szCs w:val="28"/>
        </w:rPr>
        <w:t>一、收支预算情况说明</w:t>
      </w:r>
      <w:bookmarkEnd w:id="24"/>
    </w:p>
    <w:p>
      <w:pPr>
        <w:autoSpaceDE/>
        <w:autoSpaceDN/>
        <w:spacing w:line="500" w:lineRule="exact"/>
        <w:ind w:firstLine="560" w:firstLineChars="200"/>
        <w:jc w:val="both"/>
        <w:rPr>
          <w:color w:val="000000" w:themeColor="text1"/>
          <w:sz w:val="28"/>
          <w:szCs w:val="28"/>
          <w14:textFill>
            <w14:solidFill>
              <w14:schemeClr w14:val="tx1"/>
            </w14:solidFill>
          </w14:textFill>
        </w:rPr>
      </w:pPr>
      <w:bookmarkStart w:id="25" w:name="_Toc12176"/>
      <w:r>
        <w:rPr>
          <w:rFonts w:hint="eastAsia"/>
          <w:color w:val="000000" w:themeColor="text1"/>
          <w:sz w:val="28"/>
          <w:szCs w:val="28"/>
          <w14:textFill>
            <w14:solidFill>
              <w14:schemeClr w14:val="tx1"/>
            </w14:solidFill>
          </w14:textFill>
        </w:rPr>
        <w:t>202</w:t>
      </w:r>
      <w:r>
        <w:rPr>
          <w:rFonts w:hint="eastAsia"/>
          <w:color w:val="000000" w:themeColor="text1"/>
          <w:sz w:val="28"/>
          <w:szCs w:val="28"/>
          <w:lang w:val="en-US"/>
          <w14:textFill>
            <w14:solidFill>
              <w14:schemeClr w14:val="tx1"/>
            </w14:solidFill>
          </w14:textFill>
        </w:rPr>
        <w:t>4</w:t>
      </w:r>
      <w:r>
        <w:rPr>
          <w:rFonts w:hint="eastAsia"/>
          <w:color w:val="000000" w:themeColor="text1"/>
          <w:sz w:val="28"/>
          <w:szCs w:val="28"/>
          <w14:textFill>
            <w14:solidFill>
              <w14:schemeClr w14:val="tx1"/>
            </w14:solidFill>
          </w14:textFill>
        </w:rPr>
        <w:t>年</w:t>
      </w:r>
      <w:r>
        <w:rPr>
          <w:rFonts w:hint="eastAsia"/>
          <w:color w:val="000000" w:themeColor="text1"/>
          <w:sz w:val="28"/>
          <w:szCs w:val="28"/>
          <w:lang w:val="en-US"/>
          <w14:textFill>
            <w14:solidFill>
              <w14:schemeClr w14:val="tx1"/>
            </w14:solidFill>
          </w14:textFill>
        </w:rPr>
        <w:t>四川五通桥经济开发区管委会</w:t>
      </w:r>
      <w:r>
        <w:rPr>
          <w:rFonts w:hint="eastAsia"/>
          <w:color w:val="000000" w:themeColor="text1"/>
          <w:sz w:val="28"/>
          <w:szCs w:val="28"/>
          <w14:textFill>
            <w14:solidFill>
              <w14:schemeClr w14:val="tx1"/>
            </w14:solidFill>
          </w14:textFill>
        </w:rPr>
        <w:t>收入预算总额为</w:t>
      </w:r>
      <w:r>
        <w:rPr>
          <w:rFonts w:hint="eastAsia"/>
          <w:color w:val="000000" w:themeColor="text1"/>
          <w:sz w:val="28"/>
          <w:szCs w:val="28"/>
          <w:lang w:val="en-US"/>
          <w14:textFill>
            <w14:solidFill>
              <w14:schemeClr w14:val="tx1"/>
            </w14:solidFill>
          </w14:textFill>
        </w:rPr>
        <w:t>378.88</w:t>
      </w:r>
      <w:r>
        <w:rPr>
          <w:rFonts w:hint="eastAsia"/>
          <w:color w:val="000000" w:themeColor="text1"/>
          <w:sz w:val="28"/>
          <w:szCs w:val="28"/>
          <w14:textFill>
            <w14:solidFill>
              <w14:schemeClr w14:val="tx1"/>
            </w14:solidFill>
          </w14:textFill>
        </w:rPr>
        <w:t>万元，全部为当年财政拨款收入。相应安排支出预算</w:t>
      </w:r>
      <w:r>
        <w:rPr>
          <w:rFonts w:hint="eastAsia"/>
          <w:color w:val="000000" w:themeColor="text1"/>
          <w:sz w:val="28"/>
          <w:szCs w:val="28"/>
          <w:lang w:val="en-US"/>
          <w14:textFill>
            <w14:solidFill>
              <w14:schemeClr w14:val="tx1"/>
            </w14:solidFill>
          </w14:textFill>
        </w:rPr>
        <w:t>378.88</w:t>
      </w:r>
      <w:r>
        <w:rPr>
          <w:rFonts w:hint="eastAsia"/>
          <w:color w:val="000000" w:themeColor="text1"/>
          <w:sz w:val="28"/>
          <w:szCs w:val="28"/>
          <w14:textFill>
            <w14:solidFill>
              <w14:schemeClr w14:val="tx1"/>
            </w14:solidFill>
          </w14:textFill>
        </w:rPr>
        <w:t>万元，其中：社会保障和就业支出</w:t>
      </w:r>
      <w:r>
        <w:rPr>
          <w:rFonts w:hint="eastAsia"/>
          <w:color w:val="000000" w:themeColor="text1"/>
          <w:sz w:val="28"/>
          <w:szCs w:val="28"/>
          <w:lang w:val="en-US"/>
          <w14:textFill>
            <w14:solidFill>
              <w14:schemeClr w14:val="tx1"/>
            </w14:solidFill>
          </w14:textFill>
        </w:rPr>
        <w:t>49.65</w:t>
      </w:r>
      <w:r>
        <w:rPr>
          <w:rFonts w:hint="eastAsia"/>
          <w:color w:val="000000" w:themeColor="text1"/>
          <w:sz w:val="28"/>
          <w:szCs w:val="28"/>
          <w14:textFill>
            <w14:solidFill>
              <w14:schemeClr w14:val="tx1"/>
            </w14:solidFill>
          </w14:textFill>
        </w:rPr>
        <w:t>万元，医疗卫生与计划生育支出</w:t>
      </w:r>
      <w:r>
        <w:rPr>
          <w:rFonts w:hint="eastAsia"/>
          <w:color w:val="000000" w:themeColor="text1"/>
          <w:sz w:val="28"/>
          <w:szCs w:val="28"/>
          <w:lang w:val="en-US"/>
          <w14:textFill>
            <w14:solidFill>
              <w14:schemeClr w14:val="tx1"/>
            </w14:solidFill>
          </w14:textFill>
        </w:rPr>
        <w:t>10.84</w:t>
      </w:r>
      <w:r>
        <w:rPr>
          <w:rFonts w:hint="eastAsia"/>
          <w:color w:val="000000" w:themeColor="text1"/>
          <w:sz w:val="28"/>
          <w:szCs w:val="28"/>
          <w14:textFill>
            <w14:solidFill>
              <w14:schemeClr w14:val="tx1"/>
            </w14:solidFill>
          </w14:textFill>
        </w:rPr>
        <w:t>万元，资源勘探电力信息等支出</w:t>
      </w:r>
      <w:r>
        <w:rPr>
          <w:rFonts w:hint="eastAsia"/>
          <w:color w:val="000000" w:themeColor="text1"/>
          <w:sz w:val="28"/>
          <w:szCs w:val="28"/>
          <w:lang w:val="en-US"/>
          <w14:textFill>
            <w14:solidFill>
              <w14:schemeClr w14:val="tx1"/>
            </w14:solidFill>
          </w14:textFill>
        </w:rPr>
        <w:t>291.06</w:t>
      </w:r>
      <w:r>
        <w:rPr>
          <w:rFonts w:hint="eastAsia"/>
          <w:color w:val="000000" w:themeColor="text1"/>
          <w:sz w:val="28"/>
          <w:szCs w:val="28"/>
          <w14:textFill>
            <w14:solidFill>
              <w14:schemeClr w14:val="tx1"/>
            </w14:solidFill>
          </w14:textFill>
        </w:rPr>
        <w:t>万元，住房保障支出</w:t>
      </w:r>
      <w:r>
        <w:rPr>
          <w:rFonts w:hint="eastAsia"/>
          <w:color w:val="000000" w:themeColor="text1"/>
          <w:sz w:val="28"/>
          <w:szCs w:val="28"/>
          <w:lang w:val="en-US"/>
          <w14:textFill>
            <w14:solidFill>
              <w14:schemeClr w14:val="tx1"/>
            </w14:solidFill>
          </w14:textFill>
        </w:rPr>
        <w:t>27.33</w:t>
      </w:r>
      <w:r>
        <w:rPr>
          <w:rFonts w:hint="eastAsia"/>
          <w:color w:val="000000" w:themeColor="text1"/>
          <w:sz w:val="28"/>
          <w:szCs w:val="28"/>
          <w14:textFill>
            <w14:solidFill>
              <w14:schemeClr w14:val="tx1"/>
            </w14:solidFill>
          </w14:textFill>
        </w:rPr>
        <w:t>万元。</w:t>
      </w:r>
    </w:p>
    <w:p>
      <w:pPr>
        <w:pStyle w:val="4"/>
        <w:spacing w:line="500" w:lineRule="exact"/>
        <w:ind w:left="0" w:firstLine="562" w:firstLineChars="200"/>
        <w:jc w:val="both"/>
        <w:rPr>
          <w:rFonts w:ascii="宋体" w:hAnsi="宋体" w:eastAsia="宋体"/>
          <w:sz w:val="28"/>
          <w:szCs w:val="28"/>
        </w:rPr>
      </w:pPr>
      <w:r>
        <w:rPr>
          <w:rFonts w:ascii="宋体" w:hAnsi="宋体" w:eastAsia="宋体"/>
          <w:sz w:val="28"/>
          <w:szCs w:val="28"/>
        </w:rPr>
        <w:t>（一）收入预算情况</w:t>
      </w:r>
      <w:bookmarkEnd w:id="25"/>
    </w:p>
    <w:p>
      <w:pPr>
        <w:pStyle w:val="4"/>
        <w:spacing w:line="500" w:lineRule="exact"/>
        <w:ind w:left="0" w:firstLine="562" w:firstLineChars="200"/>
        <w:jc w:val="both"/>
        <w:rPr>
          <w:rFonts w:ascii="宋体" w:hAnsi="宋体" w:eastAsia="宋体" w:cs="宋体"/>
          <w:b w:val="0"/>
          <w:bCs w:val="0"/>
          <w:color w:val="000000" w:themeColor="text1"/>
          <w:sz w:val="28"/>
          <w:szCs w:val="28"/>
          <w:lang w:val="en-US"/>
          <w14:textFill>
            <w14:solidFill>
              <w14:schemeClr w14:val="tx1"/>
            </w14:solidFill>
          </w14:textFill>
        </w:rPr>
      </w:pPr>
      <w:bookmarkStart w:id="26" w:name="_Toc23149"/>
      <w:r>
        <w:rPr>
          <w:rFonts w:hint="eastAsia" w:ascii="宋体" w:hAnsi="宋体" w:eastAsia="宋体" w:cs="宋体"/>
          <w:color w:val="000000" w:themeColor="text1"/>
          <w:sz w:val="28"/>
          <w:szCs w:val="28"/>
          <w14:textFill>
            <w14:solidFill>
              <w14:schemeClr w14:val="tx1"/>
            </w14:solidFill>
          </w14:textFill>
        </w:rPr>
        <w:t>202</w:t>
      </w:r>
      <w:r>
        <w:rPr>
          <w:rFonts w:hint="eastAsia" w:ascii="宋体" w:hAnsi="宋体" w:eastAsia="宋体" w:cs="宋体"/>
          <w:color w:val="000000" w:themeColor="text1"/>
          <w:sz w:val="28"/>
          <w:szCs w:val="28"/>
          <w:lang w:val="en-US"/>
          <w14:textFill>
            <w14:solidFill>
              <w14:schemeClr w14:val="tx1"/>
            </w14:solidFill>
          </w14:textFill>
        </w:rPr>
        <w:t>4</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lang w:val="en-US"/>
          <w14:textFill>
            <w14:solidFill>
              <w14:schemeClr w14:val="tx1"/>
            </w14:solidFill>
          </w14:textFill>
        </w:rPr>
        <w:t>四川五通桥经济开发区管委会</w:t>
      </w:r>
      <w:r>
        <w:rPr>
          <w:rFonts w:hint="eastAsia" w:ascii="宋体" w:hAnsi="宋体" w:eastAsia="宋体" w:cs="宋体"/>
          <w:color w:val="000000" w:themeColor="text1"/>
          <w:sz w:val="28"/>
          <w:szCs w:val="28"/>
          <w14:textFill>
            <w14:solidFill>
              <w14:schemeClr w14:val="tx1"/>
            </w14:solidFill>
          </w14:textFill>
        </w:rPr>
        <w:t>收入预算总额为</w:t>
      </w:r>
      <w:r>
        <w:rPr>
          <w:rFonts w:hint="eastAsia" w:ascii="宋体" w:hAnsi="宋体" w:eastAsia="宋体" w:cs="宋体"/>
          <w:color w:val="000000" w:themeColor="text1"/>
          <w:sz w:val="28"/>
          <w:szCs w:val="28"/>
          <w:lang w:val="en-US"/>
          <w14:textFill>
            <w14:solidFill>
              <w14:schemeClr w14:val="tx1"/>
            </w14:solidFill>
          </w14:textFill>
        </w:rPr>
        <w:t>378.88</w:t>
      </w:r>
      <w:r>
        <w:rPr>
          <w:rFonts w:hint="eastAsia" w:ascii="宋体" w:hAnsi="宋体" w:eastAsia="宋体" w:cs="宋体"/>
          <w:color w:val="000000" w:themeColor="text1"/>
          <w:sz w:val="28"/>
          <w:szCs w:val="28"/>
          <w14:textFill>
            <w14:solidFill>
              <w14:schemeClr w14:val="tx1"/>
            </w14:solidFill>
          </w14:textFill>
        </w:rPr>
        <w:t>万元</w:t>
      </w:r>
      <w:r>
        <w:rPr>
          <w:rFonts w:hint="eastAsia" w:ascii="宋体" w:hAnsi="宋体" w:eastAsia="宋体" w:cs="宋体"/>
          <w:b w:val="0"/>
          <w:bCs w:val="0"/>
          <w:color w:val="000000" w:themeColor="text1"/>
          <w:sz w:val="28"/>
          <w:szCs w:val="28"/>
          <w14:textFill>
            <w14:solidFill>
              <w14:schemeClr w14:val="tx1"/>
            </w14:solidFill>
          </w14:textFill>
        </w:rPr>
        <w:t>，全部为当年财政拨款收入。其中：社会保障和就业</w:t>
      </w:r>
      <w:r>
        <w:rPr>
          <w:rFonts w:hint="eastAsia" w:ascii="宋体" w:hAnsi="宋体" w:eastAsia="宋体" w:cs="宋体"/>
          <w:b w:val="0"/>
          <w:bCs w:val="0"/>
          <w:color w:val="000000" w:themeColor="text1"/>
          <w:sz w:val="28"/>
          <w:szCs w:val="28"/>
          <w:lang w:val="en-US"/>
          <w14:textFill>
            <w14:solidFill>
              <w14:schemeClr w14:val="tx1"/>
            </w14:solidFill>
          </w14:textFill>
        </w:rPr>
        <w:t>收入49.65万元，占总收入13.1%，</w:t>
      </w:r>
      <w:r>
        <w:rPr>
          <w:rFonts w:hint="eastAsia" w:ascii="宋体" w:hAnsi="宋体" w:eastAsia="宋体" w:cs="宋体"/>
          <w:b w:val="0"/>
          <w:bCs w:val="0"/>
          <w:color w:val="000000" w:themeColor="text1"/>
          <w:sz w:val="28"/>
          <w:szCs w:val="28"/>
          <w14:textFill>
            <w14:solidFill>
              <w14:schemeClr w14:val="tx1"/>
            </w14:solidFill>
          </w14:textFill>
        </w:rPr>
        <w:t>医疗卫生与计划生育</w:t>
      </w:r>
      <w:r>
        <w:rPr>
          <w:rFonts w:hint="eastAsia" w:ascii="宋体" w:hAnsi="宋体" w:eastAsia="宋体" w:cs="宋体"/>
          <w:b w:val="0"/>
          <w:bCs w:val="0"/>
          <w:color w:val="000000" w:themeColor="text1"/>
          <w:sz w:val="28"/>
          <w:szCs w:val="28"/>
          <w:lang w:val="en-US"/>
          <w14:textFill>
            <w14:solidFill>
              <w14:schemeClr w14:val="tx1"/>
            </w14:solidFill>
          </w14:textFill>
        </w:rPr>
        <w:t>收入10.84</w:t>
      </w:r>
      <w:r>
        <w:rPr>
          <w:rFonts w:hint="eastAsia" w:ascii="宋体" w:hAnsi="宋体" w:eastAsia="宋体" w:cs="宋体"/>
          <w:b w:val="0"/>
          <w:bCs w:val="0"/>
          <w:color w:val="000000" w:themeColor="text1"/>
          <w:sz w:val="28"/>
          <w:szCs w:val="28"/>
          <w14:textFill>
            <w14:solidFill>
              <w14:schemeClr w14:val="tx1"/>
            </w14:solidFill>
          </w14:textFill>
        </w:rPr>
        <w:t>万元，</w:t>
      </w:r>
      <w:r>
        <w:rPr>
          <w:rFonts w:hint="eastAsia" w:ascii="宋体" w:hAnsi="宋体" w:eastAsia="宋体" w:cs="宋体"/>
          <w:b w:val="0"/>
          <w:bCs w:val="0"/>
          <w:color w:val="000000" w:themeColor="text1"/>
          <w:sz w:val="28"/>
          <w:szCs w:val="28"/>
          <w:lang w:val="en-US"/>
          <w14:textFill>
            <w14:solidFill>
              <w14:schemeClr w14:val="tx1"/>
            </w14:solidFill>
          </w14:textFill>
        </w:rPr>
        <w:t>占总收入2.86%，</w:t>
      </w:r>
      <w:r>
        <w:rPr>
          <w:rFonts w:hint="eastAsia" w:ascii="宋体" w:hAnsi="宋体" w:eastAsia="宋体" w:cs="宋体"/>
          <w:b w:val="0"/>
          <w:bCs w:val="0"/>
          <w:color w:val="000000" w:themeColor="text1"/>
          <w:sz w:val="28"/>
          <w:szCs w:val="28"/>
          <w14:textFill>
            <w14:solidFill>
              <w14:schemeClr w14:val="tx1"/>
            </w14:solidFill>
          </w14:textFill>
        </w:rPr>
        <w:t>资源勘探电力信息等</w:t>
      </w:r>
      <w:r>
        <w:rPr>
          <w:rFonts w:hint="eastAsia" w:ascii="宋体" w:hAnsi="宋体" w:eastAsia="宋体" w:cs="宋体"/>
          <w:b w:val="0"/>
          <w:bCs w:val="0"/>
          <w:color w:val="000000" w:themeColor="text1"/>
          <w:sz w:val="28"/>
          <w:szCs w:val="28"/>
          <w:lang w:val="en-US"/>
          <w14:textFill>
            <w14:solidFill>
              <w14:schemeClr w14:val="tx1"/>
            </w14:solidFill>
          </w14:textFill>
        </w:rPr>
        <w:t>收入291.06</w:t>
      </w:r>
      <w:r>
        <w:rPr>
          <w:rFonts w:hint="eastAsia" w:ascii="宋体" w:hAnsi="宋体" w:eastAsia="宋体" w:cs="宋体"/>
          <w:b w:val="0"/>
          <w:bCs w:val="0"/>
          <w:color w:val="000000" w:themeColor="text1"/>
          <w:sz w:val="28"/>
          <w:szCs w:val="28"/>
          <w14:textFill>
            <w14:solidFill>
              <w14:schemeClr w14:val="tx1"/>
            </w14:solidFill>
          </w14:textFill>
        </w:rPr>
        <w:t>万元，</w:t>
      </w:r>
      <w:r>
        <w:rPr>
          <w:rFonts w:hint="eastAsia" w:ascii="宋体" w:hAnsi="宋体" w:eastAsia="宋体" w:cs="宋体"/>
          <w:b w:val="0"/>
          <w:bCs w:val="0"/>
          <w:color w:val="000000" w:themeColor="text1"/>
          <w:sz w:val="28"/>
          <w:szCs w:val="28"/>
          <w:lang w:val="en-US"/>
          <w14:textFill>
            <w14:solidFill>
              <w14:schemeClr w14:val="tx1"/>
            </w14:solidFill>
          </w14:textFill>
        </w:rPr>
        <w:t>占总收入76.82%，</w:t>
      </w:r>
      <w:r>
        <w:rPr>
          <w:rFonts w:hint="eastAsia" w:ascii="宋体" w:hAnsi="宋体" w:eastAsia="宋体" w:cs="宋体"/>
          <w:b w:val="0"/>
          <w:bCs w:val="0"/>
          <w:color w:val="000000" w:themeColor="text1"/>
          <w:sz w:val="28"/>
          <w:szCs w:val="28"/>
          <w14:textFill>
            <w14:solidFill>
              <w14:schemeClr w14:val="tx1"/>
            </w14:solidFill>
          </w14:textFill>
        </w:rPr>
        <w:t>住房保障</w:t>
      </w:r>
      <w:r>
        <w:rPr>
          <w:rFonts w:hint="eastAsia" w:ascii="宋体" w:hAnsi="宋体" w:eastAsia="宋体" w:cs="宋体"/>
          <w:b w:val="0"/>
          <w:bCs w:val="0"/>
          <w:color w:val="000000" w:themeColor="text1"/>
          <w:sz w:val="28"/>
          <w:szCs w:val="28"/>
          <w:lang w:val="en-US"/>
          <w14:textFill>
            <w14:solidFill>
              <w14:schemeClr w14:val="tx1"/>
            </w14:solidFill>
          </w14:textFill>
        </w:rPr>
        <w:t>收入27.33</w:t>
      </w:r>
      <w:r>
        <w:rPr>
          <w:rFonts w:hint="eastAsia" w:ascii="宋体" w:hAnsi="宋体" w:eastAsia="宋体" w:cs="宋体"/>
          <w:b w:val="0"/>
          <w:bCs w:val="0"/>
          <w:color w:val="000000" w:themeColor="text1"/>
          <w:sz w:val="28"/>
          <w:szCs w:val="28"/>
          <w14:textFill>
            <w14:solidFill>
              <w14:schemeClr w14:val="tx1"/>
            </w14:solidFill>
          </w14:textFill>
        </w:rPr>
        <w:t>万元，</w:t>
      </w:r>
      <w:r>
        <w:rPr>
          <w:rFonts w:hint="eastAsia" w:ascii="宋体" w:hAnsi="宋体" w:eastAsia="宋体" w:cs="宋体"/>
          <w:b w:val="0"/>
          <w:bCs w:val="0"/>
          <w:color w:val="000000" w:themeColor="text1"/>
          <w:sz w:val="28"/>
          <w:szCs w:val="28"/>
          <w:lang w:val="en-US"/>
          <w14:textFill>
            <w14:solidFill>
              <w14:schemeClr w14:val="tx1"/>
            </w14:solidFill>
          </w14:textFill>
        </w:rPr>
        <w:t>占总收入7.22%.</w:t>
      </w:r>
    </w:p>
    <w:p>
      <w:pPr>
        <w:pStyle w:val="4"/>
        <w:spacing w:line="500" w:lineRule="exact"/>
        <w:ind w:left="0" w:firstLine="562" w:firstLineChars="200"/>
        <w:jc w:val="both"/>
        <w:rPr>
          <w:rFonts w:ascii="宋体" w:hAnsi="宋体" w:eastAsia="宋体"/>
          <w:sz w:val="28"/>
          <w:szCs w:val="28"/>
        </w:rPr>
      </w:pPr>
      <w:r>
        <w:rPr>
          <w:rFonts w:ascii="宋体" w:hAnsi="宋体" w:eastAsia="宋体"/>
          <w:sz w:val="28"/>
          <w:szCs w:val="28"/>
        </w:rPr>
        <w:t>（二）支出预算情况</w:t>
      </w:r>
      <w:bookmarkEnd w:id="26"/>
    </w:p>
    <w:p>
      <w:pPr>
        <w:pStyle w:val="2"/>
        <w:spacing w:line="500" w:lineRule="exact"/>
        <w:ind w:firstLine="560" w:firstLineChars="200"/>
        <w:jc w:val="both"/>
        <w:outlineLvl w:val="1"/>
        <w:rPr>
          <w:rFonts w:ascii="宋体" w:hAnsi="宋体" w:eastAsia="宋体"/>
          <w:color w:val="000000" w:themeColor="text1"/>
          <w:sz w:val="28"/>
          <w:szCs w:val="28"/>
          <w:lang w:val="en-US"/>
          <w14:textFill>
            <w14:solidFill>
              <w14:schemeClr w14:val="tx1"/>
            </w14:solidFill>
          </w14:textFill>
        </w:rPr>
      </w:pPr>
      <w:bookmarkStart w:id="27" w:name="_Toc729"/>
      <w:r>
        <w:rPr>
          <w:rFonts w:hint="eastAsia" w:ascii="宋体" w:hAnsi="宋体" w:eastAsia="宋体" w:cs="宋体"/>
          <w:color w:val="000000" w:themeColor="text1"/>
          <w:sz w:val="28"/>
          <w:szCs w:val="28"/>
          <w14:textFill>
            <w14:solidFill>
              <w14:schemeClr w14:val="tx1"/>
            </w14:solidFill>
          </w14:textFill>
        </w:rPr>
        <w:t>202</w:t>
      </w:r>
      <w:r>
        <w:rPr>
          <w:rFonts w:hint="eastAsia" w:ascii="宋体" w:hAnsi="宋体" w:eastAsia="宋体" w:cs="宋体"/>
          <w:color w:val="000000" w:themeColor="text1"/>
          <w:sz w:val="28"/>
          <w:szCs w:val="28"/>
          <w:lang w:val="en-US"/>
          <w14:textFill>
            <w14:solidFill>
              <w14:schemeClr w14:val="tx1"/>
            </w14:solidFill>
          </w14:textFill>
        </w:rPr>
        <w:t>4</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lang w:val="en-US"/>
          <w14:textFill>
            <w14:solidFill>
              <w14:schemeClr w14:val="tx1"/>
            </w14:solidFill>
          </w14:textFill>
        </w:rPr>
        <w:t>四川五通桥经济开发区管委会</w:t>
      </w:r>
      <w:r>
        <w:rPr>
          <w:rFonts w:hint="eastAsia" w:ascii="宋体" w:hAnsi="宋体" w:eastAsia="宋体" w:cs="宋体"/>
          <w:color w:val="000000" w:themeColor="text1"/>
          <w:sz w:val="28"/>
          <w:szCs w:val="28"/>
          <w14:textFill>
            <w14:solidFill>
              <w14:schemeClr w14:val="tx1"/>
            </w14:solidFill>
          </w14:textFill>
        </w:rPr>
        <w:t>预算</w:t>
      </w:r>
      <w:r>
        <w:rPr>
          <w:rFonts w:hint="eastAsia" w:ascii="宋体" w:hAnsi="宋体" w:eastAsia="宋体" w:cs="宋体"/>
          <w:color w:val="000000" w:themeColor="text1"/>
          <w:sz w:val="28"/>
          <w:szCs w:val="28"/>
          <w:lang w:val="en-US"/>
          <w14:textFill>
            <w14:solidFill>
              <w14:schemeClr w14:val="tx1"/>
            </w14:solidFill>
          </w14:textFill>
        </w:rPr>
        <w:t>支出</w:t>
      </w:r>
      <w:r>
        <w:rPr>
          <w:rFonts w:hint="eastAsia" w:ascii="宋体" w:hAnsi="宋体" w:eastAsia="宋体" w:cs="宋体"/>
          <w:color w:val="000000" w:themeColor="text1"/>
          <w:sz w:val="28"/>
          <w:szCs w:val="28"/>
          <w14:textFill>
            <w14:solidFill>
              <w14:schemeClr w14:val="tx1"/>
            </w14:solidFill>
          </w14:textFill>
        </w:rPr>
        <w:t>总额为</w:t>
      </w:r>
      <w:r>
        <w:rPr>
          <w:rFonts w:hint="eastAsia" w:ascii="宋体" w:hAnsi="宋体" w:eastAsia="宋体" w:cs="宋体"/>
          <w:color w:val="000000" w:themeColor="text1"/>
          <w:sz w:val="28"/>
          <w:szCs w:val="28"/>
          <w:lang w:val="en-US"/>
          <w14:textFill>
            <w14:solidFill>
              <w14:schemeClr w14:val="tx1"/>
            </w14:solidFill>
          </w14:textFill>
        </w:rPr>
        <w:t>378.88</w:t>
      </w:r>
      <w:r>
        <w:rPr>
          <w:rFonts w:hint="eastAsia" w:ascii="宋体" w:hAnsi="宋体" w:eastAsia="宋体" w:cs="宋体"/>
          <w:color w:val="000000" w:themeColor="text1"/>
          <w:sz w:val="28"/>
          <w:szCs w:val="28"/>
          <w14:textFill>
            <w14:solidFill>
              <w14:schemeClr w14:val="tx1"/>
            </w14:solidFill>
          </w14:textFill>
        </w:rPr>
        <w:t>万元</w:t>
      </w:r>
      <w:r>
        <w:rPr>
          <w:rFonts w:hint="eastAsia" w:ascii="宋体" w:hAnsi="宋体" w:eastAsia="宋体"/>
          <w:color w:val="000000" w:themeColor="text1"/>
          <w:sz w:val="28"/>
          <w:szCs w:val="28"/>
          <w:lang w:val="en-US"/>
          <w14:textFill>
            <w14:solidFill>
              <w14:schemeClr w14:val="tx1"/>
            </w14:solidFill>
          </w14:textFill>
        </w:rPr>
        <w:t>其中：人员支出304.48万元，日常公用支出38.4万元，对个人和家庭的补助支出0万元，专项支出36万元。</w:t>
      </w:r>
    </w:p>
    <w:p>
      <w:pPr>
        <w:pStyle w:val="2"/>
        <w:spacing w:line="500" w:lineRule="exact"/>
        <w:ind w:firstLine="562" w:firstLineChars="200"/>
        <w:jc w:val="both"/>
        <w:outlineLvl w:val="1"/>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二、财政拨款收支预算情况说明</w:t>
      </w:r>
      <w:bookmarkEnd w:id="27"/>
    </w:p>
    <w:p>
      <w:pPr>
        <w:pStyle w:val="14"/>
      </w:pPr>
      <w:bookmarkStart w:id="28" w:name="_Toc5045"/>
      <w:r>
        <w:rPr>
          <w:rFonts w:hint="eastAsia"/>
        </w:rPr>
        <w:t>四川五通桥经济开发区管委会2024年财政拨款收支预算总数378.88万元,比2023年财政拨款收支预算总数331.16万元增加47.72万元。主要原因：人员增加和工作量增加造成2024年预算比2023年预算增加。</w:t>
      </w:r>
    </w:p>
    <w:p>
      <w:pPr>
        <w:pStyle w:val="14"/>
      </w:pPr>
      <w:r>
        <w:rPr>
          <w:rFonts w:hint="eastAsia"/>
        </w:rPr>
        <w:t>其中：基本支出342.88万元，占90.5%；项目支出36万元，占9.5%。</w:t>
      </w:r>
    </w:p>
    <w:p>
      <w:pPr>
        <w:pStyle w:val="2"/>
        <w:spacing w:line="500" w:lineRule="exact"/>
        <w:ind w:firstLine="560" w:firstLineChars="200"/>
        <w:jc w:val="both"/>
        <w:outlineLvl w:val="1"/>
        <w:rPr>
          <w:rFonts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lang w:val="en-US"/>
          <w14:textFill>
            <w14:solidFill>
              <w14:schemeClr w14:val="tx1"/>
            </w14:solidFill>
          </w14:textFill>
        </w:rPr>
        <w:t>基本支出，是用于保障</w:t>
      </w:r>
      <w:r>
        <w:rPr>
          <w:rFonts w:hint="eastAsia" w:ascii="宋体" w:hAnsi="宋体" w:eastAsia="宋体" w:cs="宋体"/>
          <w:color w:val="000000" w:themeColor="text1"/>
          <w:sz w:val="28"/>
          <w:szCs w:val="28"/>
          <w:lang w:val="en-US"/>
          <w14:textFill>
            <w14:solidFill>
              <w14:schemeClr w14:val="tx1"/>
            </w14:solidFill>
          </w14:textFill>
        </w:rPr>
        <w:t>四川五通桥经开区</w:t>
      </w:r>
      <w:r>
        <w:rPr>
          <w:rFonts w:hint="eastAsia" w:ascii="宋体" w:hAnsi="宋体" w:eastAsia="宋体" w:cs="宋体"/>
          <w:color w:val="000000" w:themeColor="text1"/>
          <w:sz w:val="28"/>
          <w:szCs w:val="28"/>
          <w14:textFill>
            <w14:solidFill>
              <w14:schemeClr w14:val="tx1"/>
            </w14:solidFill>
          </w14:textFill>
        </w:rPr>
        <w:t>管委会</w:t>
      </w:r>
      <w:r>
        <w:rPr>
          <w:rFonts w:hint="eastAsia" w:ascii="宋体" w:hAnsi="宋体" w:eastAsia="宋体"/>
          <w:color w:val="000000" w:themeColor="text1"/>
          <w:sz w:val="28"/>
          <w:szCs w:val="28"/>
          <w:lang w:val="en-US"/>
          <w14:textFill>
            <w14:solidFill>
              <w14:schemeClr w14:val="tx1"/>
            </w14:solidFill>
          </w14:textFill>
        </w:rPr>
        <w:t>、下属事业单位等机构正常运转的日常支出，包括基本工资、津贴补贴等人员经费以及办公费、印刷费、水电费、办公设备购置等日常公用经费。</w:t>
      </w:r>
    </w:p>
    <w:p>
      <w:pPr>
        <w:pStyle w:val="2"/>
        <w:spacing w:line="500" w:lineRule="exact"/>
        <w:ind w:firstLine="560" w:firstLineChars="200"/>
        <w:jc w:val="both"/>
        <w:outlineLvl w:val="1"/>
        <w:rPr>
          <w:rFonts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lang w:val="en-US"/>
          <w14:textFill>
            <w14:solidFill>
              <w14:schemeClr w14:val="tx1"/>
            </w14:solidFill>
          </w14:textFill>
        </w:rPr>
        <w:t>项目支出，是用于保障四川五通桥经开区管委会管委会、下属事业单位等机构为完成特定的行政工作任务或事业发展目标，用于专项业务工作的经费支出。</w:t>
      </w:r>
    </w:p>
    <w:p>
      <w:pPr>
        <w:pStyle w:val="2"/>
        <w:spacing w:line="500" w:lineRule="exact"/>
        <w:ind w:firstLine="562" w:firstLineChars="200"/>
        <w:jc w:val="both"/>
        <w:outlineLvl w:val="1"/>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三、一般公共预算当年拨款情况说明</w:t>
      </w:r>
    </w:p>
    <w:p>
      <w:pPr>
        <w:pStyle w:val="4"/>
        <w:spacing w:line="500" w:lineRule="exact"/>
        <w:ind w:left="0" w:firstLine="562" w:firstLineChars="200"/>
        <w:jc w:val="both"/>
        <w:rPr>
          <w:rFonts w:ascii="宋体" w:hAnsi="宋体" w:eastAsia="宋体"/>
          <w:sz w:val="28"/>
          <w:szCs w:val="28"/>
        </w:rPr>
      </w:pPr>
      <w:bookmarkStart w:id="29" w:name="_Toc6394"/>
      <w:r>
        <w:rPr>
          <w:rFonts w:ascii="宋体" w:hAnsi="宋体" w:eastAsia="宋体"/>
          <w:sz w:val="28"/>
          <w:szCs w:val="28"/>
        </w:rPr>
        <w:t>（一）一般公共预算当年拨款规模变化情况</w:t>
      </w:r>
      <w:bookmarkEnd w:id="29"/>
    </w:p>
    <w:p>
      <w:pPr>
        <w:pStyle w:val="14"/>
      </w:pPr>
      <w:r>
        <w:rPr>
          <w:rFonts w:hint="eastAsia"/>
        </w:rPr>
        <w:t>四川五通桥经济开发区管委会2024年一般公共预算当年拨款378.88万元，比2023年财政拨款收支预算总数331.16万元增加 47.72万元。人员增加和工作量增加造成2024年预算比2023年预算增加。</w:t>
      </w:r>
    </w:p>
    <w:p>
      <w:pPr>
        <w:pStyle w:val="4"/>
        <w:spacing w:line="500" w:lineRule="exact"/>
        <w:ind w:left="0" w:firstLine="562" w:firstLineChars="200"/>
        <w:jc w:val="both"/>
        <w:rPr>
          <w:rFonts w:ascii="宋体" w:hAnsi="宋体" w:eastAsia="宋体"/>
          <w:sz w:val="28"/>
          <w:szCs w:val="28"/>
        </w:rPr>
      </w:pPr>
      <w:r>
        <w:rPr>
          <w:rFonts w:hint="eastAsia" w:ascii="宋体" w:hAnsi="宋体" w:eastAsia="宋体"/>
          <w:sz w:val="28"/>
          <w:szCs w:val="28"/>
        </w:rPr>
        <w:t>（</w:t>
      </w:r>
      <w:r>
        <w:rPr>
          <w:rFonts w:hint="eastAsia" w:ascii="宋体" w:hAnsi="宋体" w:eastAsia="宋体"/>
          <w:sz w:val="28"/>
          <w:szCs w:val="28"/>
          <w:lang w:val="en-US"/>
        </w:rPr>
        <w:t>二</w:t>
      </w:r>
      <w:r>
        <w:rPr>
          <w:rFonts w:hint="eastAsia" w:ascii="宋体" w:hAnsi="宋体" w:eastAsia="宋体"/>
          <w:sz w:val="28"/>
          <w:szCs w:val="28"/>
        </w:rPr>
        <w:t>）、</w:t>
      </w:r>
      <w:r>
        <w:rPr>
          <w:rFonts w:ascii="宋体" w:hAnsi="宋体" w:eastAsia="宋体"/>
          <w:sz w:val="28"/>
          <w:szCs w:val="28"/>
        </w:rPr>
        <w:t>一般公共预算当年拨款结构情况</w:t>
      </w:r>
      <w:bookmarkEnd w:id="28"/>
    </w:p>
    <w:p>
      <w:pPr>
        <w:autoSpaceDE/>
        <w:autoSpaceDN/>
        <w:spacing w:line="500" w:lineRule="exact"/>
        <w:ind w:firstLine="560" w:firstLineChars="200"/>
        <w:jc w:val="both"/>
        <w:rPr>
          <w:color w:val="000000" w:themeColor="text1"/>
          <w:sz w:val="28"/>
          <w:szCs w:val="28"/>
          <w:lang w:val="en-US"/>
          <w14:textFill>
            <w14:solidFill>
              <w14:schemeClr w14:val="tx1"/>
            </w14:solidFill>
          </w14:textFill>
        </w:rPr>
      </w:pPr>
      <w:r>
        <w:rPr>
          <w:rFonts w:hint="eastAsia"/>
          <w:color w:val="000000" w:themeColor="text1"/>
          <w:sz w:val="28"/>
          <w:szCs w:val="28"/>
          <w:lang w:val="en-US"/>
          <w14:textFill>
            <w14:solidFill>
              <w14:schemeClr w14:val="tx1"/>
            </w14:solidFill>
          </w14:textFill>
        </w:rPr>
        <w:t>四川五通桥经济开发区管委会2024年一般公共预算支出378.88万元</w:t>
      </w:r>
      <w:r>
        <w:rPr>
          <w:rFonts w:hint="eastAsia"/>
          <w:color w:val="000000" w:themeColor="text1"/>
          <w:sz w:val="28"/>
          <w:szCs w:val="28"/>
          <w14:textFill>
            <w14:solidFill>
              <w14:schemeClr w14:val="tx1"/>
            </w14:solidFill>
          </w14:textFill>
        </w:rPr>
        <w:t>，占100％；其中：行政运行费用</w:t>
      </w:r>
      <w:r>
        <w:rPr>
          <w:rFonts w:hint="eastAsia"/>
          <w:color w:val="000000" w:themeColor="text1"/>
          <w:sz w:val="28"/>
          <w:szCs w:val="28"/>
          <w:lang w:val="en-US"/>
          <w14:textFill>
            <w14:solidFill>
              <w14:schemeClr w14:val="tx1"/>
            </w14:solidFill>
          </w14:textFill>
        </w:rPr>
        <w:t>144.6</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38.17</w:t>
      </w:r>
      <w:r>
        <w:rPr>
          <w:rFonts w:hint="eastAsia"/>
          <w:color w:val="000000" w:themeColor="text1"/>
          <w:sz w:val="28"/>
          <w:szCs w:val="28"/>
          <w14:textFill>
            <w14:solidFill>
              <w14:schemeClr w14:val="tx1"/>
            </w14:solidFill>
          </w14:textFill>
        </w:rPr>
        <w:t>％，事业运行</w:t>
      </w:r>
      <w:r>
        <w:rPr>
          <w:rFonts w:hint="eastAsia"/>
          <w:color w:val="000000" w:themeColor="text1"/>
          <w:sz w:val="28"/>
          <w:szCs w:val="28"/>
          <w:lang w:val="en-US"/>
          <w14:textFill>
            <w14:solidFill>
              <w14:schemeClr w14:val="tx1"/>
            </w14:solidFill>
          </w14:textFill>
        </w:rPr>
        <w:t>费用110.46万元，占29.15%，</w:t>
      </w:r>
      <w:r>
        <w:rPr>
          <w:rFonts w:hint="eastAsia"/>
          <w:color w:val="000000" w:themeColor="text1"/>
          <w:sz w:val="28"/>
          <w:szCs w:val="28"/>
          <w14:textFill>
            <w14:solidFill>
              <w14:schemeClr w14:val="tx1"/>
            </w14:solidFill>
          </w14:textFill>
        </w:rPr>
        <w:t>机关事业单位基本养老保险缴费支出</w:t>
      </w:r>
      <w:r>
        <w:rPr>
          <w:rFonts w:hint="eastAsia"/>
          <w:color w:val="000000" w:themeColor="text1"/>
          <w:sz w:val="28"/>
          <w:szCs w:val="28"/>
          <w:lang w:val="en-US"/>
          <w14:textFill>
            <w14:solidFill>
              <w14:schemeClr w14:val="tx1"/>
            </w14:solidFill>
          </w14:textFill>
        </w:rPr>
        <w:t>31.56</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8.33</w:t>
      </w:r>
      <w:r>
        <w:rPr>
          <w:rFonts w:hint="eastAsia"/>
          <w:color w:val="000000" w:themeColor="text1"/>
          <w:sz w:val="28"/>
          <w:szCs w:val="28"/>
          <w14:textFill>
            <w14:solidFill>
              <w14:schemeClr w14:val="tx1"/>
            </w14:solidFill>
          </w14:textFill>
        </w:rPr>
        <w:t>％；机关事业单位职业年金缴费支出</w:t>
      </w:r>
      <w:r>
        <w:rPr>
          <w:rFonts w:hint="eastAsia"/>
          <w:color w:val="000000" w:themeColor="text1"/>
          <w:sz w:val="28"/>
          <w:szCs w:val="28"/>
          <w:lang w:val="en-US"/>
          <w14:textFill>
            <w14:solidFill>
              <w14:schemeClr w14:val="tx1"/>
            </w14:solidFill>
          </w14:textFill>
        </w:rPr>
        <w:t>15.78</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4.17</w:t>
      </w:r>
      <w:r>
        <w:rPr>
          <w:rFonts w:hint="eastAsia"/>
          <w:color w:val="000000" w:themeColor="text1"/>
          <w:sz w:val="28"/>
          <w:szCs w:val="28"/>
          <w14:textFill>
            <w14:solidFill>
              <w14:schemeClr w14:val="tx1"/>
            </w14:solidFill>
          </w14:textFill>
        </w:rPr>
        <w:t>％；事业单位医疗支出</w:t>
      </w:r>
      <w:r>
        <w:rPr>
          <w:rFonts w:hint="eastAsia"/>
          <w:color w:val="000000" w:themeColor="text1"/>
          <w:sz w:val="28"/>
          <w:szCs w:val="28"/>
          <w:lang w:val="en-US"/>
          <w14:textFill>
            <w14:solidFill>
              <w14:schemeClr w14:val="tx1"/>
            </w14:solidFill>
          </w14:textFill>
        </w:rPr>
        <w:t>4.23</w:t>
      </w:r>
      <w:r>
        <w:rPr>
          <w:rFonts w:hint="eastAsia"/>
          <w:color w:val="000000" w:themeColor="text1"/>
          <w:sz w:val="28"/>
          <w:szCs w:val="28"/>
          <w14:textFill>
            <w14:solidFill>
              <w14:schemeClr w14:val="tx1"/>
            </w14:solidFill>
          </w14:textFill>
        </w:rPr>
        <w:t>万元，占1</w:t>
      </w:r>
      <w:r>
        <w:rPr>
          <w:rFonts w:hint="eastAsia"/>
          <w:color w:val="000000" w:themeColor="text1"/>
          <w:sz w:val="28"/>
          <w:szCs w:val="28"/>
          <w:lang w:val="en-US"/>
          <w14:textFill>
            <w14:solidFill>
              <w14:schemeClr w14:val="tx1"/>
            </w14:solidFill>
          </w14:textFill>
        </w:rPr>
        <w:t>.12</w:t>
      </w:r>
      <w:r>
        <w:rPr>
          <w:rFonts w:hint="eastAsia"/>
          <w:color w:val="000000" w:themeColor="text1"/>
          <w:sz w:val="28"/>
          <w:szCs w:val="28"/>
          <w14:textFill>
            <w14:solidFill>
              <w14:schemeClr w14:val="tx1"/>
            </w14:solidFill>
          </w14:textFill>
        </w:rPr>
        <w:t>％；行政单位医疗支出</w:t>
      </w:r>
      <w:r>
        <w:rPr>
          <w:rFonts w:hint="eastAsia"/>
          <w:color w:val="000000" w:themeColor="text1"/>
          <w:sz w:val="28"/>
          <w:szCs w:val="28"/>
          <w:lang w:val="en-US"/>
          <w14:textFill>
            <w14:solidFill>
              <w14:schemeClr w14:val="tx1"/>
            </w14:solidFill>
          </w14:textFill>
        </w:rPr>
        <w:t>4.71</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1.24</w:t>
      </w:r>
      <w:r>
        <w:rPr>
          <w:rFonts w:hint="eastAsia"/>
          <w:color w:val="000000" w:themeColor="text1"/>
          <w:sz w:val="28"/>
          <w:szCs w:val="28"/>
          <w14:textFill>
            <w14:solidFill>
              <w14:schemeClr w14:val="tx1"/>
            </w14:solidFill>
          </w14:textFill>
        </w:rPr>
        <w:t>％， 公务员医疗补助支出</w:t>
      </w:r>
      <w:r>
        <w:rPr>
          <w:rFonts w:hint="eastAsia"/>
          <w:color w:val="000000" w:themeColor="text1"/>
          <w:sz w:val="28"/>
          <w:szCs w:val="28"/>
          <w:lang w:val="en-US"/>
          <w14:textFill>
            <w14:solidFill>
              <w14:schemeClr w14:val="tx1"/>
            </w14:solidFill>
          </w14:textFill>
        </w:rPr>
        <w:t>1</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0.27</w:t>
      </w:r>
      <w:r>
        <w:rPr>
          <w:rFonts w:hint="eastAsia"/>
          <w:color w:val="000000" w:themeColor="text1"/>
          <w:sz w:val="28"/>
          <w:szCs w:val="28"/>
          <w14:textFill>
            <w14:solidFill>
              <w14:schemeClr w14:val="tx1"/>
            </w14:solidFill>
          </w14:textFill>
        </w:rPr>
        <w:t>％； 其他行政事业单位医疗支出</w:t>
      </w:r>
      <w:r>
        <w:rPr>
          <w:rFonts w:hint="eastAsia"/>
          <w:color w:val="000000" w:themeColor="text1"/>
          <w:sz w:val="28"/>
          <w:szCs w:val="28"/>
          <w:lang w:val="en-US"/>
          <w14:textFill>
            <w14:solidFill>
              <w14:schemeClr w14:val="tx1"/>
            </w14:solidFill>
          </w14:textFill>
        </w:rPr>
        <w:t>0.9万元，占0.23%，</w:t>
      </w:r>
      <w:r>
        <w:rPr>
          <w:rFonts w:hint="eastAsia"/>
          <w:color w:val="000000" w:themeColor="text1"/>
          <w:sz w:val="28"/>
          <w:szCs w:val="28"/>
          <w14:textFill>
            <w14:solidFill>
              <w14:schemeClr w14:val="tx1"/>
            </w14:solidFill>
          </w14:textFill>
        </w:rPr>
        <w:t>住房公积金支出</w:t>
      </w:r>
      <w:r>
        <w:rPr>
          <w:rFonts w:hint="eastAsia"/>
          <w:color w:val="000000" w:themeColor="text1"/>
          <w:sz w:val="28"/>
          <w:szCs w:val="28"/>
          <w:lang w:val="en-US"/>
          <w14:textFill>
            <w14:solidFill>
              <w14:schemeClr w14:val="tx1"/>
            </w14:solidFill>
          </w14:textFill>
        </w:rPr>
        <w:t>27.33</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7.21</w:t>
      </w:r>
      <w:r>
        <w:rPr>
          <w:rFonts w:hint="eastAsia"/>
          <w:color w:val="000000" w:themeColor="text1"/>
          <w:sz w:val="28"/>
          <w:szCs w:val="28"/>
          <w14:textFill>
            <w14:solidFill>
              <w14:schemeClr w14:val="tx1"/>
            </w14:solidFill>
          </w14:textFill>
        </w:rPr>
        <w:t>％。其他社会保障和就业支出</w:t>
      </w:r>
      <w:r>
        <w:rPr>
          <w:rFonts w:hint="eastAsia"/>
          <w:color w:val="000000" w:themeColor="text1"/>
          <w:sz w:val="28"/>
          <w:szCs w:val="28"/>
          <w:lang w:val="en-US"/>
          <w14:textFill>
            <w14:solidFill>
              <w14:schemeClr w14:val="tx1"/>
            </w14:solidFill>
          </w14:textFill>
        </w:rPr>
        <w:t>2.31万元，占0.6%；其他工业和信息产业监管支出36万元，占9.51%。</w:t>
      </w:r>
      <w:bookmarkStart w:id="30" w:name="_Toc11698"/>
    </w:p>
    <w:p>
      <w:pPr>
        <w:pStyle w:val="4"/>
        <w:spacing w:line="500" w:lineRule="exact"/>
        <w:ind w:left="0" w:firstLine="562" w:firstLineChars="200"/>
        <w:jc w:val="both"/>
        <w:rPr>
          <w:rFonts w:ascii="宋体" w:hAnsi="宋体" w:eastAsia="宋体"/>
          <w:sz w:val="28"/>
          <w:szCs w:val="28"/>
        </w:rPr>
      </w:pPr>
      <w:r>
        <w:rPr>
          <w:rFonts w:ascii="宋体" w:hAnsi="宋体" w:eastAsia="宋体"/>
          <w:sz w:val="28"/>
          <w:szCs w:val="28"/>
        </w:rPr>
        <w:t>（三）一般公共预算当年拨款具体使用情况</w:t>
      </w:r>
      <w:r>
        <w:rPr>
          <w:rFonts w:hint="eastAsia" w:ascii="宋体" w:hAnsi="宋体" w:eastAsia="宋体"/>
          <w:sz w:val="28"/>
          <w:szCs w:val="28"/>
        </w:rPr>
        <w:t>（</w:t>
      </w:r>
      <w:r>
        <w:rPr>
          <w:rFonts w:hint="eastAsia" w:ascii="宋体" w:hAnsi="宋体" w:eastAsia="宋体"/>
          <w:sz w:val="28"/>
          <w:szCs w:val="28"/>
          <w:lang w:val="en-US"/>
        </w:rPr>
        <w:t>按照功能科目类、款、项逐项说明</w:t>
      </w:r>
      <w:r>
        <w:rPr>
          <w:rFonts w:hint="eastAsia" w:ascii="宋体" w:hAnsi="宋体" w:eastAsia="宋体"/>
          <w:sz w:val="28"/>
          <w:szCs w:val="28"/>
        </w:rPr>
        <w:t>）</w:t>
      </w:r>
      <w:bookmarkEnd w:id="30"/>
    </w:p>
    <w:p>
      <w:pPr>
        <w:pStyle w:val="14"/>
      </w:pPr>
      <w:r>
        <w:rPr>
          <w:rFonts w:hint="eastAsia"/>
        </w:rPr>
        <w:t>1.一般公共服务（类）财政事务（款）行政运行（项）:2024年预算数为255.06万元，主要用于：主要用于：行政、事业单位日常管理事务支出。。</w:t>
      </w:r>
    </w:p>
    <w:p>
      <w:pPr>
        <w:pStyle w:val="14"/>
      </w:pPr>
      <w:bookmarkStart w:id="31" w:name="_Toc21665"/>
      <w:r>
        <w:rPr>
          <w:rFonts w:hint="eastAsia"/>
        </w:rPr>
        <w:t>2．社会保障和就业（类）行政事业单位离退休（款）机关事业单位基本养老保险缴费支出（项）：2024年预算数为31.56万元，主要用于：实施养老保险制度后，部门按规定由单位缴纳的基本养老保险费支出。</w:t>
      </w:r>
    </w:p>
    <w:p>
      <w:pPr>
        <w:autoSpaceDE/>
        <w:autoSpaceDN/>
        <w:spacing w:line="500" w:lineRule="exact"/>
        <w:ind w:firstLine="560" w:firstLineChars="200"/>
        <w:jc w:val="both"/>
        <w:rPr>
          <w:color w:val="000000" w:themeColor="text1"/>
          <w:sz w:val="28"/>
          <w:szCs w:val="28"/>
          <w14:textFill>
            <w14:solidFill>
              <w14:schemeClr w14:val="tx1"/>
            </w14:solidFill>
          </w14:textFill>
        </w:rPr>
      </w:pPr>
      <w:r>
        <w:rPr>
          <w:rFonts w:hint="eastAsia"/>
          <w:color w:val="000000" w:themeColor="text1"/>
          <w:sz w:val="28"/>
          <w:szCs w:val="28"/>
          <w:lang w:val="en-US"/>
          <w14:textFill>
            <w14:solidFill>
              <w14:schemeClr w14:val="tx1"/>
            </w14:solidFill>
          </w14:textFill>
        </w:rPr>
        <w:t>3</w:t>
      </w:r>
      <w:r>
        <w:rPr>
          <w:rFonts w:hint="eastAsia"/>
          <w:color w:val="000000" w:themeColor="text1"/>
          <w:sz w:val="28"/>
          <w:szCs w:val="28"/>
          <w14:textFill>
            <w14:solidFill>
              <w14:schemeClr w14:val="tx1"/>
            </w14:solidFill>
          </w14:textFill>
        </w:rPr>
        <w:t>．社会保障和就业（类）行政事业单位离退休（款）机关事业单位职业年金缴费支出（项）：202</w:t>
      </w:r>
      <w:r>
        <w:rPr>
          <w:rFonts w:hint="eastAsia"/>
          <w:color w:val="000000" w:themeColor="text1"/>
          <w:sz w:val="28"/>
          <w:szCs w:val="28"/>
          <w:lang w:val="en-US"/>
          <w14:textFill>
            <w14:solidFill>
              <w14:schemeClr w14:val="tx1"/>
            </w14:solidFill>
          </w14:textFill>
        </w:rPr>
        <w:t>4</w:t>
      </w:r>
      <w:r>
        <w:rPr>
          <w:rFonts w:hint="eastAsia"/>
          <w:color w:val="000000" w:themeColor="text1"/>
          <w:sz w:val="28"/>
          <w:szCs w:val="28"/>
          <w14:textFill>
            <w14:solidFill>
              <w14:schemeClr w14:val="tx1"/>
            </w14:solidFill>
          </w14:textFill>
        </w:rPr>
        <w:t>年预算数为</w:t>
      </w:r>
      <w:r>
        <w:rPr>
          <w:rFonts w:hint="eastAsia"/>
          <w:color w:val="000000" w:themeColor="text1"/>
          <w:sz w:val="28"/>
          <w:szCs w:val="28"/>
          <w:lang w:val="en-US"/>
          <w14:textFill>
            <w14:solidFill>
              <w14:schemeClr w14:val="tx1"/>
            </w14:solidFill>
          </w14:textFill>
        </w:rPr>
        <w:t>15.78</w:t>
      </w:r>
      <w:r>
        <w:rPr>
          <w:rFonts w:hint="eastAsia"/>
          <w:color w:val="000000" w:themeColor="text1"/>
          <w:sz w:val="28"/>
          <w:szCs w:val="28"/>
          <w14:textFill>
            <w14:solidFill>
              <w14:schemeClr w14:val="tx1"/>
            </w14:solidFill>
          </w14:textFill>
        </w:rPr>
        <w:t>万元，主要用于：实施养老保险制度后，按规定由单位缴纳的职业年金支出。</w:t>
      </w:r>
    </w:p>
    <w:p>
      <w:pPr>
        <w:pStyle w:val="14"/>
      </w:pPr>
      <w:r>
        <w:rPr>
          <w:rFonts w:hint="eastAsia"/>
        </w:rPr>
        <w:t>4.社会保障和就业（类）行政事业单位离退休（款） 其他社会保障和就业支出（项）:2024年预算数为2.31万元，主要用于：实施养老保险制度后，部门按规定由单位缴纳的其他保险费支出。</w:t>
      </w:r>
    </w:p>
    <w:p>
      <w:pPr>
        <w:pStyle w:val="14"/>
      </w:pPr>
      <w:r>
        <w:rPr>
          <w:rFonts w:hint="eastAsia"/>
        </w:rPr>
        <w:t>5.卫生健康（类）行政事业单位医疗（款）行政单位医疗（项）:2024年预算数为5.71万元，主要用于：机关及参公管理事业单位基本医疗保险缴费支出。</w:t>
      </w:r>
    </w:p>
    <w:p>
      <w:pPr>
        <w:pStyle w:val="14"/>
      </w:pPr>
      <w:r>
        <w:rPr>
          <w:rFonts w:hint="eastAsia"/>
        </w:rPr>
        <w:t>6.卫生健康（类）行政事业单位医疗（款）事业单位医疗（项）:2024年预算数为5.13万元，主要用于：部门下属事业单位基本医疗保险缴费支出。</w:t>
      </w:r>
    </w:p>
    <w:p>
      <w:pPr>
        <w:pStyle w:val="14"/>
      </w:pPr>
      <w:r>
        <w:rPr>
          <w:rFonts w:hint="eastAsia"/>
        </w:rPr>
        <w:t>7.住房保障（类）住房改革支出（款）住房公积金（项）:2024年预算数为27.33万元，主要用于：部门按人力资源和社会保障部、财政部规定的基本工资和津贴补贴以及规定比例为职工缴纳的住房公积金支出。</w:t>
      </w:r>
    </w:p>
    <w:p>
      <w:pPr>
        <w:pStyle w:val="14"/>
      </w:pPr>
      <w:r>
        <w:rPr>
          <w:rFonts w:hint="eastAsia"/>
        </w:rPr>
        <w:t>8、资源勘探工业信息等支出（类）工业和信息产业监管（款）  其他工业和信息产业监管支出（项）：2024年预算数为：36万元，主要用于:部门专项业务工作的经费支出。</w:t>
      </w:r>
    </w:p>
    <w:p>
      <w:pPr>
        <w:pStyle w:val="2"/>
        <w:spacing w:line="500" w:lineRule="exact"/>
        <w:ind w:firstLine="562" w:firstLineChars="200"/>
        <w:jc w:val="both"/>
        <w:outlineLvl w:val="1"/>
        <w:rPr>
          <w:rFonts w:ascii="宋体" w:hAnsi="宋体" w:eastAsia="宋体"/>
          <w:b/>
          <w:color w:val="333333"/>
          <w:sz w:val="28"/>
          <w:szCs w:val="28"/>
        </w:rPr>
      </w:pPr>
      <w:r>
        <w:rPr>
          <w:rFonts w:hint="eastAsia" w:ascii="宋体" w:hAnsi="宋体" w:eastAsia="宋体"/>
          <w:b/>
          <w:color w:val="333333"/>
          <w:sz w:val="28"/>
          <w:szCs w:val="28"/>
        </w:rPr>
        <w:t>四、一般公共预算基本支出情况说明</w:t>
      </w:r>
      <w:bookmarkEnd w:id="31"/>
    </w:p>
    <w:p>
      <w:pPr>
        <w:pStyle w:val="14"/>
      </w:pPr>
      <w:r>
        <w:rPr>
          <w:rFonts w:hint="eastAsia" w:cs="微软雅黑"/>
        </w:rPr>
        <w:t>四</w:t>
      </w:r>
      <w:r>
        <w:rPr>
          <w:rFonts w:hint="eastAsia"/>
        </w:rPr>
        <w:t>川五通桥经济开发区管委会2024年一般公共预算基本支出342.88万元，其中：</w:t>
      </w:r>
    </w:p>
    <w:p>
      <w:pPr>
        <w:pStyle w:val="14"/>
      </w:pPr>
      <w:r>
        <w:rPr>
          <w:rFonts w:hint="eastAsia"/>
        </w:rPr>
        <w:t>人员经费304.48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4"/>
      </w:pPr>
      <w:r>
        <w:rPr>
          <w:rFonts w:hint="eastAsia"/>
        </w:rPr>
        <w:t>公用经费38.4万元，主要包括：主要包括：办公费、印刷费、水费、电费、邮电费、差旅费、维修（护）费、会议费、培训费、公务接待费、劳务费、工会经费、福利费、公务用车运行维护费、其他交通费、其他商品和服务支出。</w:t>
      </w:r>
    </w:p>
    <w:p>
      <w:pPr>
        <w:pStyle w:val="2"/>
        <w:spacing w:line="500" w:lineRule="exact"/>
        <w:ind w:firstLine="562" w:firstLineChars="200"/>
        <w:jc w:val="both"/>
        <w:outlineLvl w:val="1"/>
        <w:rPr>
          <w:rFonts w:ascii="宋体" w:hAnsi="宋体" w:eastAsia="宋体"/>
          <w:b/>
          <w:color w:val="333333"/>
          <w:sz w:val="28"/>
          <w:szCs w:val="28"/>
        </w:rPr>
      </w:pPr>
      <w:bookmarkStart w:id="32" w:name="_Toc1746"/>
      <w:r>
        <w:rPr>
          <w:rFonts w:hint="eastAsia" w:ascii="宋体" w:hAnsi="宋体" w:eastAsia="宋体"/>
          <w:b/>
          <w:color w:val="333333"/>
          <w:sz w:val="28"/>
          <w:szCs w:val="28"/>
        </w:rPr>
        <w:t>五、“三公”经费财政拨款预算安排情况说明</w:t>
      </w:r>
      <w:bookmarkEnd w:id="32"/>
    </w:p>
    <w:p>
      <w:pPr>
        <w:pStyle w:val="14"/>
      </w:pPr>
      <w:r>
        <w:rPr>
          <w:rFonts w:hint="eastAsia" w:cs="微软雅黑"/>
        </w:rPr>
        <w:t>四</w:t>
      </w:r>
      <w:r>
        <w:rPr>
          <w:rFonts w:hint="eastAsia"/>
        </w:rPr>
        <w:t>川五通桥经济开发区管委会2024年“三公”经费财政拨款预算数4万元，其中：公务接待费1万元，公车运行维护费3万元。</w:t>
      </w:r>
    </w:p>
    <w:p>
      <w:pPr>
        <w:pStyle w:val="14"/>
      </w:pPr>
      <w:r>
        <w:rPr>
          <w:rFonts w:hint="eastAsia"/>
        </w:rPr>
        <w:t>2024年公务接待费计划用于工业园区招商引资等经济活动支出。</w:t>
      </w:r>
    </w:p>
    <w:p>
      <w:pPr>
        <w:pStyle w:val="4"/>
        <w:spacing w:line="500" w:lineRule="exact"/>
        <w:ind w:left="0" w:firstLine="562" w:firstLineChars="200"/>
        <w:jc w:val="both"/>
        <w:rPr>
          <w:rFonts w:ascii="宋体" w:hAnsi="宋体" w:eastAsia="宋体"/>
          <w:sz w:val="28"/>
          <w:szCs w:val="28"/>
        </w:rPr>
      </w:pPr>
      <w:bookmarkStart w:id="33" w:name="_Toc10802"/>
      <w:r>
        <w:rPr>
          <w:rFonts w:ascii="宋体" w:hAnsi="宋体" w:eastAsia="宋体"/>
          <w:sz w:val="28"/>
          <w:szCs w:val="28"/>
        </w:rPr>
        <w:t>（一）</w:t>
      </w:r>
      <w:r>
        <w:rPr>
          <w:rFonts w:hint="eastAsia" w:ascii="宋体" w:hAnsi="宋体" w:eastAsia="宋体"/>
          <w:sz w:val="28"/>
          <w:szCs w:val="28"/>
          <w:lang w:val="en-US"/>
        </w:rPr>
        <w:t>公务接待费变化情况</w:t>
      </w:r>
      <w:bookmarkEnd w:id="33"/>
    </w:p>
    <w:p>
      <w:pPr>
        <w:pStyle w:val="14"/>
      </w:pPr>
      <w:r>
        <w:t>公务接待费较</w:t>
      </w:r>
      <w:r>
        <w:rPr>
          <w:rFonts w:hint="eastAsia"/>
        </w:rPr>
        <w:t>2023</w:t>
      </w:r>
      <w:r>
        <w:t>年预算</w:t>
      </w:r>
      <w:r>
        <w:rPr>
          <w:rFonts w:hint="eastAsia"/>
        </w:rPr>
        <w:t>增加1</w:t>
      </w:r>
      <w:r>
        <w:t>万元。主要原因</w:t>
      </w:r>
      <w:r>
        <w:rPr>
          <w:rFonts w:hint="eastAsia"/>
        </w:rPr>
        <w:t>是工业园区招商引资等业务较2023年有大幅增加。</w:t>
      </w:r>
    </w:p>
    <w:p>
      <w:pPr>
        <w:pStyle w:val="4"/>
        <w:spacing w:line="500" w:lineRule="exact"/>
        <w:ind w:left="0" w:firstLine="562" w:firstLineChars="200"/>
        <w:jc w:val="both"/>
        <w:rPr>
          <w:rFonts w:ascii="宋体" w:hAnsi="宋体" w:eastAsia="宋体"/>
          <w:sz w:val="28"/>
          <w:szCs w:val="28"/>
        </w:rPr>
      </w:pPr>
      <w:bookmarkStart w:id="34" w:name="_Toc17768"/>
      <w:r>
        <w:rPr>
          <w:rFonts w:ascii="宋体" w:hAnsi="宋体" w:eastAsia="宋体"/>
          <w:sz w:val="28"/>
          <w:szCs w:val="28"/>
        </w:rPr>
        <w:t>（</w:t>
      </w:r>
      <w:r>
        <w:rPr>
          <w:rFonts w:hint="eastAsia" w:ascii="宋体" w:hAnsi="宋体" w:eastAsia="宋体"/>
          <w:sz w:val="28"/>
          <w:szCs w:val="28"/>
          <w:lang w:val="en-US"/>
        </w:rPr>
        <w:t>二</w:t>
      </w:r>
      <w:r>
        <w:rPr>
          <w:rFonts w:ascii="宋体" w:hAnsi="宋体" w:eastAsia="宋体"/>
          <w:sz w:val="28"/>
          <w:szCs w:val="28"/>
        </w:rPr>
        <w:t>）</w:t>
      </w:r>
      <w:r>
        <w:rPr>
          <w:rFonts w:hint="eastAsia" w:ascii="宋体" w:hAnsi="宋体" w:eastAsia="宋体"/>
          <w:sz w:val="28"/>
          <w:szCs w:val="28"/>
          <w:lang w:val="en-US"/>
        </w:rPr>
        <w:t>公务用车购置及运行维护费变化情况</w:t>
      </w:r>
      <w:bookmarkEnd w:id="34"/>
    </w:p>
    <w:p>
      <w:pPr>
        <w:pStyle w:val="14"/>
      </w:pPr>
      <w:r>
        <w:t>公务用车购置及运行维护费较</w:t>
      </w:r>
      <w:r>
        <w:rPr>
          <w:rFonts w:hint="eastAsia"/>
        </w:rPr>
        <w:t>2023</w:t>
      </w:r>
      <w:r>
        <w:t>预算</w:t>
      </w:r>
      <w:r>
        <w:rPr>
          <w:rFonts w:hint="eastAsia"/>
        </w:rPr>
        <w:t>3.2</w:t>
      </w:r>
      <w:r>
        <w:t>万元</w:t>
      </w:r>
      <w:r>
        <w:rPr>
          <w:rFonts w:hint="eastAsia"/>
        </w:rPr>
        <w:t>减少0.2万元</w:t>
      </w:r>
      <w:r>
        <w:t>。主要原因是厉行节约，规范公务出行，尽量乘坐公共交通工具。</w:t>
      </w:r>
    </w:p>
    <w:p>
      <w:pPr>
        <w:pStyle w:val="14"/>
      </w:pPr>
      <w:r>
        <w:t>单位实有公务用车</w:t>
      </w:r>
      <w:r>
        <w:rPr>
          <w:rFonts w:hint="eastAsia"/>
        </w:rPr>
        <w:t>1</w:t>
      </w:r>
      <w:r>
        <w:t>辆，其中：轿车</w:t>
      </w:r>
      <w:r>
        <w:rPr>
          <w:rFonts w:hint="eastAsia"/>
        </w:rPr>
        <w:t>0</w:t>
      </w:r>
      <w:r>
        <w:t>辆，多功能乘用车辆</w:t>
      </w:r>
      <w:r>
        <w:rPr>
          <w:rFonts w:hint="eastAsia"/>
        </w:rPr>
        <w:t>，</w:t>
      </w:r>
      <w:r>
        <w:t>越野车</w:t>
      </w:r>
      <w:r>
        <w:rPr>
          <w:rFonts w:hint="eastAsia"/>
        </w:rPr>
        <w:t>1辆。</w:t>
      </w:r>
    </w:p>
    <w:p>
      <w:pPr>
        <w:pStyle w:val="14"/>
      </w:pPr>
      <w:r>
        <w:rPr>
          <w:rFonts w:hint="eastAsia"/>
        </w:rPr>
        <w:t>2024</w:t>
      </w:r>
      <w:r>
        <w:t>年安排公务用车购置费</w:t>
      </w:r>
      <w:r>
        <w:rPr>
          <w:rFonts w:hint="eastAsia"/>
        </w:rPr>
        <w:t>0</w:t>
      </w:r>
      <w:r>
        <w:t>万元，拟购置公务用车</w:t>
      </w:r>
      <w:r>
        <w:rPr>
          <w:rFonts w:hint="eastAsia"/>
        </w:rPr>
        <w:t>0</w:t>
      </w:r>
      <w:r>
        <w:t>辆，其中：轿车</w:t>
      </w:r>
      <w:r>
        <w:rPr>
          <w:rFonts w:hint="eastAsia"/>
        </w:rPr>
        <w:t>0</w:t>
      </w:r>
      <w:r>
        <w:t>辆，旅行车（含商务车）</w:t>
      </w:r>
      <w:r>
        <w:rPr>
          <w:rFonts w:hint="eastAsia"/>
        </w:rPr>
        <w:t>0</w:t>
      </w:r>
      <w:r>
        <w:t>辆，越野车</w:t>
      </w:r>
      <w:r>
        <w:rPr>
          <w:rFonts w:hint="eastAsia"/>
        </w:rPr>
        <w:t>0</w:t>
      </w:r>
      <w:r>
        <w:t>辆，大型客、货车</w:t>
      </w:r>
      <w:r>
        <w:rPr>
          <w:rFonts w:hint="eastAsia"/>
        </w:rPr>
        <w:t>0</w:t>
      </w:r>
      <w:r>
        <w:t>辆。</w:t>
      </w:r>
    </w:p>
    <w:p>
      <w:pPr>
        <w:pStyle w:val="14"/>
      </w:pPr>
      <w:r>
        <w:rPr>
          <w:rFonts w:hint="eastAsia"/>
        </w:rPr>
        <w:t>2024</w:t>
      </w:r>
      <w:r>
        <w:t>年安排公务用车运行维护费</w:t>
      </w:r>
      <w:r>
        <w:rPr>
          <w:rFonts w:hint="eastAsia"/>
        </w:rPr>
        <w:t>3</w:t>
      </w:r>
      <w:r>
        <w:t>万元，</w:t>
      </w:r>
      <w:r>
        <w:rPr>
          <w:rFonts w:hint="eastAsia"/>
        </w:rPr>
        <w:t>用于1</w:t>
      </w:r>
      <w:r>
        <w:t>辆公务用车</w:t>
      </w:r>
      <w:r>
        <w:rPr>
          <w:rFonts w:hint="eastAsia"/>
        </w:rPr>
        <w:t>开展工业园区建设工作，招商引资工作</w:t>
      </w:r>
      <w:r>
        <w:t>等工作所需的公务用车汽油费、维修费、过路过桥费、保险费、停车费等支出。</w:t>
      </w:r>
    </w:p>
    <w:p>
      <w:pPr>
        <w:pStyle w:val="2"/>
        <w:spacing w:line="500" w:lineRule="exact"/>
        <w:ind w:firstLine="562" w:firstLineChars="200"/>
        <w:jc w:val="both"/>
        <w:outlineLvl w:val="1"/>
        <w:rPr>
          <w:rFonts w:ascii="宋体" w:hAnsi="宋体" w:eastAsia="宋体"/>
          <w:b/>
          <w:color w:val="333333"/>
          <w:sz w:val="28"/>
          <w:szCs w:val="28"/>
        </w:rPr>
      </w:pPr>
      <w:bookmarkStart w:id="35" w:name="_Toc2610"/>
      <w:r>
        <w:rPr>
          <w:rFonts w:hint="eastAsia" w:ascii="宋体" w:hAnsi="宋体" w:eastAsia="宋体"/>
          <w:b/>
          <w:color w:val="333333"/>
          <w:sz w:val="28"/>
          <w:szCs w:val="28"/>
        </w:rPr>
        <w:t>六、政府性基金预算支出情况说明</w:t>
      </w:r>
      <w:bookmarkEnd w:id="35"/>
    </w:p>
    <w:p>
      <w:pPr>
        <w:pStyle w:val="14"/>
      </w:pPr>
      <w:r>
        <w:rPr>
          <w:rFonts w:hint="eastAsia"/>
        </w:rPr>
        <w:t>2024</w:t>
      </w:r>
      <w:r>
        <w:t>年</w:t>
      </w:r>
      <w:r>
        <w:rPr>
          <w:rFonts w:hint="eastAsia"/>
        </w:rPr>
        <w:t>四川五通桥经济开发区管委会没有政府性基金预算支出。</w:t>
      </w:r>
    </w:p>
    <w:p>
      <w:pPr>
        <w:pStyle w:val="2"/>
        <w:spacing w:line="500" w:lineRule="exact"/>
        <w:ind w:firstLine="562" w:firstLineChars="200"/>
        <w:jc w:val="both"/>
        <w:outlineLvl w:val="1"/>
        <w:rPr>
          <w:rFonts w:ascii="宋体" w:hAnsi="宋体" w:eastAsia="宋体"/>
          <w:b/>
          <w:color w:val="333333"/>
          <w:sz w:val="28"/>
          <w:szCs w:val="28"/>
        </w:rPr>
      </w:pPr>
      <w:bookmarkStart w:id="36" w:name="_Toc17731"/>
      <w:r>
        <w:rPr>
          <w:rFonts w:hint="eastAsia" w:ascii="宋体" w:hAnsi="宋体" w:eastAsia="宋体"/>
          <w:b/>
          <w:color w:val="333333"/>
          <w:sz w:val="28"/>
          <w:szCs w:val="28"/>
          <w:lang w:val="en-US"/>
        </w:rPr>
        <w:t>七、</w:t>
      </w:r>
      <w:r>
        <w:rPr>
          <w:rFonts w:hint="eastAsia" w:ascii="宋体" w:hAnsi="宋体" w:eastAsia="宋体"/>
          <w:b/>
          <w:color w:val="333333"/>
          <w:sz w:val="28"/>
          <w:szCs w:val="28"/>
        </w:rPr>
        <w:t>国有资本经营预算情况说明</w:t>
      </w:r>
      <w:bookmarkEnd w:id="36"/>
    </w:p>
    <w:p>
      <w:pPr>
        <w:pStyle w:val="14"/>
      </w:pPr>
      <w:bookmarkStart w:id="37" w:name="_Toc20919"/>
      <w:r>
        <w:rPr>
          <w:rFonts w:hint="eastAsia"/>
        </w:rPr>
        <w:t>四川五通桥经济开发区管委会2024年没有国有资本经营预算支出。</w:t>
      </w:r>
    </w:p>
    <w:p>
      <w:pPr>
        <w:pStyle w:val="2"/>
        <w:spacing w:line="500" w:lineRule="exact"/>
        <w:ind w:firstLine="562" w:firstLineChars="200"/>
        <w:jc w:val="both"/>
        <w:outlineLvl w:val="1"/>
        <w:rPr>
          <w:rFonts w:ascii="宋体" w:hAnsi="宋体" w:eastAsia="宋体"/>
          <w:b/>
          <w:color w:val="333333"/>
          <w:sz w:val="28"/>
          <w:szCs w:val="28"/>
          <w:lang w:val="en-US"/>
        </w:rPr>
      </w:pPr>
      <w:r>
        <w:rPr>
          <w:rFonts w:hint="eastAsia" w:ascii="宋体" w:hAnsi="宋体" w:eastAsia="宋体"/>
          <w:b/>
          <w:color w:val="333333"/>
          <w:sz w:val="28"/>
          <w:szCs w:val="28"/>
          <w:lang w:val="en-US"/>
        </w:rPr>
        <w:t>八、其他重要事项的情况说明</w:t>
      </w:r>
      <w:bookmarkEnd w:id="37"/>
    </w:p>
    <w:p>
      <w:pPr>
        <w:pStyle w:val="4"/>
        <w:spacing w:line="500" w:lineRule="exact"/>
        <w:ind w:left="0" w:firstLine="562" w:firstLineChars="200"/>
        <w:jc w:val="both"/>
        <w:rPr>
          <w:rFonts w:ascii="宋体" w:hAnsi="宋体" w:eastAsia="宋体"/>
          <w:sz w:val="28"/>
          <w:szCs w:val="28"/>
          <w:lang w:val="en-US"/>
        </w:rPr>
      </w:pPr>
      <w:bookmarkStart w:id="38" w:name="_Toc9621"/>
      <w:r>
        <w:rPr>
          <w:rFonts w:ascii="宋体" w:hAnsi="宋体" w:eastAsia="宋体"/>
          <w:sz w:val="28"/>
          <w:szCs w:val="28"/>
        </w:rPr>
        <w:t>（一）机关运行经费情况</w:t>
      </w:r>
      <w:bookmarkEnd w:id="38"/>
    </w:p>
    <w:p>
      <w:pPr>
        <w:autoSpaceDE/>
        <w:autoSpaceDN/>
        <w:spacing w:line="500" w:lineRule="exact"/>
        <w:ind w:firstLine="560" w:firstLineChars="200"/>
        <w:jc w:val="both"/>
        <w:rPr>
          <w:sz w:val="28"/>
          <w:szCs w:val="28"/>
        </w:rPr>
      </w:pPr>
      <w:r>
        <w:rPr>
          <w:rFonts w:hint="eastAsia"/>
          <w:sz w:val="28"/>
          <w:szCs w:val="28"/>
          <w:lang w:val="en-US"/>
        </w:rPr>
        <w:t>2024年</w:t>
      </w:r>
      <w:r>
        <w:rPr>
          <w:rFonts w:hint="eastAsia"/>
          <w:sz w:val="28"/>
          <w:szCs w:val="28"/>
        </w:rPr>
        <w:t>，</w:t>
      </w:r>
      <w:r>
        <w:rPr>
          <w:rFonts w:hint="eastAsia"/>
          <w:sz w:val="28"/>
          <w:szCs w:val="28"/>
          <w:lang w:val="en-US"/>
        </w:rPr>
        <w:t>四川五通桥经济开发区管委会</w:t>
      </w:r>
      <w:r>
        <w:rPr>
          <w:rFonts w:hint="eastAsia"/>
          <w:sz w:val="28"/>
          <w:szCs w:val="28"/>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预算为</w:t>
      </w:r>
      <w:r>
        <w:rPr>
          <w:rFonts w:hint="eastAsia"/>
          <w:sz w:val="28"/>
          <w:szCs w:val="28"/>
          <w:lang w:val="en-US"/>
        </w:rPr>
        <w:t>255.6</w:t>
      </w:r>
      <w:r>
        <w:rPr>
          <w:rFonts w:hint="eastAsia"/>
          <w:sz w:val="28"/>
          <w:szCs w:val="28"/>
        </w:rPr>
        <w:t>万元，较上年预算</w:t>
      </w:r>
      <w:r>
        <w:rPr>
          <w:rFonts w:hint="eastAsia"/>
          <w:sz w:val="28"/>
          <w:szCs w:val="28"/>
          <w:lang w:val="en-US"/>
        </w:rPr>
        <w:t>248.48万元</w:t>
      </w:r>
      <w:r>
        <w:rPr>
          <w:rFonts w:hint="eastAsia"/>
          <w:sz w:val="28"/>
          <w:szCs w:val="28"/>
        </w:rPr>
        <w:t>增加</w:t>
      </w:r>
      <w:r>
        <w:rPr>
          <w:rFonts w:hint="eastAsia"/>
          <w:sz w:val="28"/>
          <w:szCs w:val="28"/>
          <w:lang w:val="en-US"/>
        </w:rPr>
        <w:t>6.58</w:t>
      </w:r>
      <w:r>
        <w:rPr>
          <w:rFonts w:hint="eastAsia"/>
          <w:sz w:val="28"/>
          <w:szCs w:val="28"/>
        </w:rPr>
        <w:t>万元，上升</w:t>
      </w:r>
      <w:r>
        <w:rPr>
          <w:rFonts w:hint="eastAsia"/>
          <w:sz w:val="28"/>
          <w:szCs w:val="28"/>
          <w:lang w:val="en-US"/>
        </w:rPr>
        <w:t>2.65</w:t>
      </w:r>
      <w:r>
        <w:rPr>
          <w:rFonts w:hint="eastAsia"/>
          <w:sz w:val="28"/>
          <w:szCs w:val="28"/>
        </w:rPr>
        <w:t>％。主要原因是人员大幅增加，园区业务快速增长。</w:t>
      </w:r>
    </w:p>
    <w:p>
      <w:pPr>
        <w:pStyle w:val="4"/>
        <w:spacing w:line="500" w:lineRule="exact"/>
        <w:ind w:left="0" w:firstLine="562" w:firstLineChars="200"/>
        <w:jc w:val="both"/>
        <w:rPr>
          <w:rFonts w:ascii="宋体" w:hAnsi="宋体" w:eastAsia="宋体"/>
          <w:sz w:val="28"/>
          <w:szCs w:val="28"/>
        </w:rPr>
      </w:pPr>
      <w:bookmarkStart w:id="39" w:name="_Toc26552"/>
      <w:r>
        <w:rPr>
          <w:rFonts w:ascii="宋体" w:hAnsi="宋体" w:eastAsia="宋体"/>
          <w:sz w:val="28"/>
          <w:szCs w:val="28"/>
        </w:rPr>
        <w:t>（二）政府采购情况</w:t>
      </w:r>
      <w:bookmarkEnd w:id="39"/>
    </w:p>
    <w:p>
      <w:pPr>
        <w:pStyle w:val="4"/>
        <w:spacing w:line="500" w:lineRule="exact"/>
        <w:ind w:left="0" w:firstLine="562" w:firstLineChars="200"/>
        <w:jc w:val="both"/>
        <w:rPr>
          <w:rFonts w:ascii="宋体" w:hAnsi="宋体" w:eastAsia="宋体" w:cs="宋体"/>
          <w:sz w:val="28"/>
          <w:szCs w:val="28"/>
        </w:rPr>
      </w:pPr>
      <w:bookmarkStart w:id="40" w:name="_Toc11208"/>
      <w:r>
        <w:rPr>
          <w:rFonts w:hint="eastAsia" w:ascii="宋体" w:hAnsi="宋体" w:eastAsia="宋体" w:cs="宋体"/>
          <w:sz w:val="28"/>
          <w:szCs w:val="28"/>
          <w:lang w:val="en-US"/>
        </w:rPr>
        <w:t>2024</w:t>
      </w:r>
      <w:r>
        <w:rPr>
          <w:rFonts w:hint="eastAsia" w:ascii="宋体" w:hAnsi="宋体" w:eastAsia="宋体" w:cs="宋体"/>
          <w:sz w:val="28"/>
          <w:szCs w:val="28"/>
        </w:rPr>
        <w:t>年</w:t>
      </w:r>
      <w:r>
        <w:rPr>
          <w:rFonts w:hint="eastAsia" w:ascii="宋体" w:hAnsi="宋体" w:eastAsia="宋体" w:cs="宋体"/>
          <w:sz w:val="28"/>
          <w:szCs w:val="28"/>
          <w:lang w:val="en-US"/>
        </w:rPr>
        <w:t>四川五通桥经济开发区</w:t>
      </w:r>
      <w:r>
        <w:rPr>
          <w:rFonts w:hint="eastAsia" w:ascii="宋体" w:hAnsi="宋体" w:eastAsia="宋体" w:cs="宋体"/>
          <w:sz w:val="28"/>
          <w:szCs w:val="28"/>
        </w:rPr>
        <w:t>管委会安排政府采购预算</w:t>
      </w:r>
      <w:r>
        <w:rPr>
          <w:rFonts w:hint="eastAsia" w:ascii="宋体" w:hAnsi="宋体" w:eastAsia="宋体" w:cs="宋体"/>
          <w:sz w:val="28"/>
          <w:szCs w:val="28"/>
          <w:lang w:val="en-US"/>
        </w:rPr>
        <w:t>0</w:t>
      </w:r>
      <w:r>
        <w:rPr>
          <w:rFonts w:hint="eastAsia" w:ascii="宋体" w:hAnsi="宋体" w:eastAsia="宋体" w:cs="宋体"/>
          <w:sz w:val="28"/>
          <w:szCs w:val="28"/>
        </w:rPr>
        <w:t>万元。</w:t>
      </w:r>
    </w:p>
    <w:p>
      <w:pPr>
        <w:pStyle w:val="4"/>
        <w:spacing w:line="500" w:lineRule="exact"/>
        <w:ind w:left="0" w:firstLine="562" w:firstLineChars="200"/>
        <w:jc w:val="both"/>
        <w:rPr>
          <w:rFonts w:ascii="宋体" w:hAnsi="宋体" w:eastAsia="宋体"/>
          <w:sz w:val="28"/>
          <w:szCs w:val="28"/>
        </w:rPr>
      </w:pPr>
      <w:r>
        <w:rPr>
          <w:rFonts w:ascii="宋体" w:hAnsi="宋体" w:eastAsia="宋体"/>
          <w:sz w:val="28"/>
          <w:szCs w:val="28"/>
        </w:rPr>
        <w:t>（三）国有资产占有使用情况</w:t>
      </w:r>
      <w:bookmarkEnd w:id="40"/>
    </w:p>
    <w:p>
      <w:pPr>
        <w:autoSpaceDE/>
        <w:autoSpaceDN/>
        <w:spacing w:line="500" w:lineRule="exact"/>
        <w:ind w:firstLine="560" w:firstLineChars="200"/>
        <w:jc w:val="both"/>
        <w:rPr>
          <w:sz w:val="28"/>
          <w:szCs w:val="28"/>
        </w:rPr>
      </w:pPr>
      <w:bookmarkStart w:id="41" w:name="_Toc13599"/>
      <w:r>
        <w:rPr>
          <w:rFonts w:hint="eastAsia"/>
          <w:sz w:val="28"/>
          <w:szCs w:val="28"/>
        </w:rPr>
        <w:t>截至</w:t>
      </w:r>
      <w:r>
        <w:rPr>
          <w:rFonts w:hint="eastAsia"/>
          <w:sz w:val="28"/>
          <w:szCs w:val="28"/>
          <w:lang w:val="en-US"/>
        </w:rPr>
        <w:t>2024</w:t>
      </w:r>
      <w:r>
        <w:rPr>
          <w:rFonts w:hint="eastAsia"/>
          <w:sz w:val="28"/>
          <w:szCs w:val="28"/>
        </w:rPr>
        <w:t>年底</w:t>
      </w:r>
      <w:r>
        <w:rPr>
          <w:rFonts w:hint="eastAsia"/>
          <w:sz w:val="28"/>
          <w:szCs w:val="28"/>
          <w:lang w:val="en-US"/>
        </w:rPr>
        <w:t>四川五通桥经济开发区</w:t>
      </w:r>
      <w:r>
        <w:rPr>
          <w:rFonts w:hint="eastAsia"/>
          <w:sz w:val="28"/>
          <w:szCs w:val="28"/>
        </w:rPr>
        <w:t>管委会共有车辆1辆。单位价值200万元以上大型设备0台（套）。</w:t>
      </w:r>
    </w:p>
    <w:p>
      <w:pPr>
        <w:pStyle w:val="2"/>
        <w:spacing w:line="500" w:lineRule="exact"/>
        <w:ind w:firstLine="562"/>
        <w:jc w:val="both"/>
        <w:rPr>
          <w:rFonts w:ascii="宋体" w:hAnsi="宋体" w:eastAsia="宋体"/>
          <w:sz w:val="28"/>
          <w:szCs w:val="28"/>
        </w:rPr>
      </w:pPr>
      <w:r>
        <w:rPr>
          <w:rFonts w:hint="eastAsia" w:ascii="宋体" w:hAnsi="宋体" w:eastAsia="宋体" w:cs="宋体"/>
          <w:sz w:val="28"/>
          <w:szCs w:val="28"/>
        </w:rPr>
        <w:t>202</w:t>
      </w:r>
      <w:r>
        <w:rPr>
          <w:rFonts w:hint="eastAsia" w:ascii="宋体" w:hAnsi="宋体" w:eastAsia="宋体" w:cs="宋体"/>
          <w:sz w:val="28"/>
          <w:szCs w:val="28"/>
          <w:lang w:val="en-US"/>
        </w:rPr>
        <w:t>4</w:t>
      </w:r>
      <w:r>
        <w:rPr>
          <w:rFonts w:hint="eastAsia" w:ascii="宋体" w:hAnsi="宋体" w:eastAsia="宋体" w:cs="宋体"/>
          <w:sz w:val="28"/>
          <w:szCs w:val="28"/>
        </w:rPr>
        <w:t>年部门预算未安排购置车辆及单位价值200万元以上大型设备</w:t>
      </w:r>
    </w:p>
    <w:p>
      <w:pPr>
        <w:pStyle w:val="4"/>
        <w:spacing w:line="500" w:lineRule="exact"/>
        <w:ind w:left="0" w:firstLine="562" w:firstLineChars="200"/>
        <w:jc w:val="both"/>
        <w:rPr>
          <w:rFonts w:ascii="宋体" w:hAnsi="宋体" w:eastAsia="宋体"/>
          <w:sz w:val="28"/>
          <w:szCs w:val="28"/>
        </w:rPr>
      </w:pPr>
      <w:r>
        <w:rPr>
          <w:rFonts w:hint="eastAsia" w:ascii="宋体" w:hAnsi="宋体" w:eastAsia="宋体"/>
          <w:sz w:val="28"/>
          <w:szCs w:val="28"/>
        </w:rPr>
        <w:t>（</w:t>
      </w:r>
      <w:r>
        <w:rPr>
          <w:rFonts w:hint="eastAsia" w:ascii="宋体" w:hAnsi="宋体" w:eastAsia="宋体"/>
          <w:sz w:val="28"/>
          <w:szCs w:val="28"/>
          <w:lang w:val="en-US"/>
        </w:rPr>
        <w:t>四</w:t>
      </w:r>
      <w:r>
        <w:rPr>
          <w:rFonts w:hint="eastAsia" w:ascii="宋体" w:hAnsi="宋体" w:eastAsia="宋体"/>
          <w:sz w:val="28"/>
          <w:szCs w:val="28"/>
        </w:rPr>
        <w:t>）</w:t>
      </w:r>
      <w:r>
        <w:rPr>
          <w:rFonts w:ascii="宋体" w:hAnsi="宋体" w:eastAsia="宋体"/>
          <w:sz w:val="28"/>
          <w:szCs w:val="28"/>
        </w:rPr>
        <w:t>预算绩效情况</w:t>
      </w:r>
      <w:bookmarkEnd w:id="41"/>
    </w:p>
    <w:p>
      <w:pPr>
        <w:autoSpaceDE/>
        <w:autoSpaceDN/>
        <w:spacing w:line="500" w:lineRule="exact"/>
        <w:ind w:firstLine="560" w:firstLineChars="200"/>
        <w:jc w:val="both"/>
        <w:rPr>
          <w:sz w:val="28"/>
          <w:szCs w:val="28"/>
          <w:lang w:val="en-US"/>
        </w:rPr>
      </w:pPr>
      <w:r>
        <w:rPr>
          <w:rFonts w:hint="eastAsia"/>
          <w:sz w:val="28"/>
          <w:szCs w:val="28"/>
        </w:rPr>
        <w:t>202</w:t>
      </w:r>
      <w:r>
        <w:rPr>
          <w:rFonts w:hint="eastAsia"/>
          <w:sz w:val="28"/>
          <w:szCs w:val="28"/>
          <w:lang w:val="en-US"/>
        </w:rPr>
        <w:t>4</w:t>
      </w:r>
      <w:r>
        <w:rPr>
          <w:rFonts w:hint="eastAsia"/>
          <w:sz w:val="28"/>
          <w:szCs w:val="28"/>
        </w:rPr>
        <w:t>年，</w:t>
      </w:r>
      <w:r>
        <w:rPr>
          <w:rFonts w:hint="eastAsia"/>
          <w:sz w:val="28"/>
          <w:szCs w:val="28"/>
          <w:lang w:val="en-US"/>
        </w:rPr>
        <w:t>四川五通桥经济开发区</w:t>
      </w:r>
      <w:r>
        <w:rPr>
          <w:rFonts w:hint="eastAsia"/>
          <w:sz w:val="28"/>
          <w:szCs w:val="28"/>
        </w:rPr>
        <w:t>管委会按要求实行绩效目标管理，部门整体绩效目标涉及预算安排</w:t>
      </w:r>
      <w:r>
        <w:rPr>
          <w:rFonts w:hint="eastAsia"/>
          <w:sz w:val="28"/>
          <w:szCs w:val="28"/>
          <w:lang w:val="en-US"/>
        </w:rPr>
        <w:t>378.88</w:t>
      </w:r>
      <w:r>
        <w:rPr>
          <w:rFonts w:hint="eastAsia"/>
          <w:sz w:val="28"/>
          <w:szCs w:val="28"/>
        </w:rPr>
        <w:t>万元，其中编制了项目绩效目标的预算</w:t>
      </w:r>
      <w:r>
        <w:rPr>
          <w:rFonts w:hint="eastAsia"/>
          <w:sz w:val="28"/>
          <w:szCs w:val="28"/>
          <w:lang w:val="en-US"/>
        </w:rPr>
        <w:t>378.88</w:t>
      </w:r>
      <w:r>
        <w:rPr>
          <w:rFonts w:hint="eastAsia"/>
          <w:sz w:val="28"/>
          <w:szCs w:val="28"/>
        </w:rPr>
        <w:t>万元，主要为部门基本支出项目</w:t>
      </w:r>
      <w:r>
        <w:rPr>
          <w:rFonts w:hint="eastAsia"/>
          <w:sz w:val="28"/>
          <w:szCs w:val="28"/>
          <w:lang w:val="en-US"/>
        </w:rPr>
        <w:t>342.88</w:t>
      </w:r>
      <w:r>
        <w:rPr>
          <w:rFonts w:hint="eastAsia"/>
          <w:sz w:val="28"/>
          <w:szCs w:val="28"/>
        </w:rPr>
        <w:t>万元，（包括：</w:t>
      </w:r>
      <w:r>
        <w:rPr>
          <w:rFonts w:hint="eastAsia"/>
          <w:sz w:val="28"/>
          <w:szCs w:val="28"/>
          <w:lang w:val="en-US"/>
        </w:rPr>
        <w:t>人员经费304.48万元，公用经费38.4万元</w:t>
      </w:r>
      <w:r>
        <w:rPr>
          <w:rFonts w:hint="eastAsia"/>
          <w:sz w:val="28"/>
          <w:szCs w:val="28"/>
        </w:rPr>
        <w:t>）。部门</w:t>
      </w:r>
      <w:r>
        <w:rPr>
          <w:rFonts w:hint="eastAsia"/>
          <w:sz w:val="28"/>
          <w:szCs w:val="28"/>
          <w:lang w:val="en-US"/>
        </w:rPr>
        <w:t>项目</w:t>
      </w:r>
      <w:r>
        <w:rPr>
          <w:rFonts w:hint="eastAsia"/>
          <w:sz w:val="28"/>
          <w:szCs w:val="28"/>
        </w:rPr>
        <w:t>支出</w:t>
      </w:r>
      <w:r>
        <w:rPr>
          <w:rFonts w:hint="eastAsia"/>
          <w:sz w:val="28"/>
          <w:szCs w:val="28"/>
          <w:lang w:val="en-US"/>
        </w:rPr>
        <w:t>36万元。</w:t>
      </w:r>
    </w:p>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ind w:firstLine="402"/>
        <w:rPr>
          <w:rFonts w:ascii="宋体" w:hAnsi="宋体"/>
          <w:sz w:val="20"/>
        </w:rPr>
      </w:pPr>
    </w:p>
    <w:p>
      <w:pPr>
        <w:pStyle w:val="2"/>
        <w:jc w:val="center"/>
        <w:rPr>
          <w:rFonts w:ascii="宋体" w:hAnsi="宋体" w:eastAsia="方正小标宋简体" w:cs="方正小标宋简体"/>
          <w:sz w:val="52"/>
          <w:szCs w:val="52"/>
          <w:lang w:val="en-US"/>
        </w:rPr>
      </w:pPr>
      <w:bookmarkStart w:id="42" w:name="_Toc31157"/>
      <w:r>
        <w:rPr>
          <w:rFonts w:hint="eastAsia" w:ascii="宋体" w:hAnsi="宋体" w:eastAsia="方正小标宋简体" w:cs="方正小标宋简体"/>
          <w:sz w:val="52"/>
          <w:szCs w:val="52"/>
          <w:lang w:val="en-US"/>
        </w:rPr>
        <w:t>第四部分  名词解释</w:t>
      </w:r>
      <w:bookmarkEnd w:id="42"/>
    </w:p>
    <w:p>
      <w:pPr>
        <w:rPr>
          <w:sz w:val="20"/>
        </w:rPr>
        <w:sectPr>
          <w:headerReference r:id="rId6" w:type="default"/>
          <w:footerReference r:id="rId7" w:type="default"/>
          <w:pgSz w:w="11910" w:h="16840"/>
          <w:pgMar w:top="1587" w:right="964" w:bottom="1701" w:left="1134" w:header="737" w:footer="737" w:gutter="0"/>
          <w:cols w:space="0" w:num="1"/>
        </w:sectPr>
      </w:pPr>
    </w:p>
    <w:p>
      <w:pPr>
        <w:pStyle w:val="14"/>
      </w:pPr>
      <w:r>
        <w:rPr>
          <w:rFonts w:hint="eastAsia"/>
        </w:rPr>
        <w:t>1.财政拨款收支情况：是指一般公共预算、政府性基金预算、国有资本经营预算拨款收支情况。</w:t>
      </w:r>
    </w:p>
    <w:p>
      <w:pPr>
        <w:pStyle w:val="14"/>
      </w:pPr>
      <w:r>
        <w:rPr>
          <w:rFonts w:hint="eastAsia"/>
        </w:rPr>
        <w:t>2.一般公共预算拨款收入：指区级财政当年拨付的资金。</w:t>
      </w:r>
    </w:p>
    <w:p>
      <w:pPr>
        <w:pStyle w:val="14"/>
      </w:pPr>
      <w:r>
        <w:rPr>
          <w:rFonts w:hint="eastAsia"/>
        </w:rPr>
        <w:t>3.事业收入：指事业单位开展专业业务活动及辅助活动所取得的收入。</w:t>
      </w:r>
    </w:p>
    <w:p>
      <w:pPr>
        <w:pStyle w:val="14"/>
      </w:pPr>
      <w:r>
        <w:rPr>
          <w:rFonts w:hint="eastAsia"/>
        </w:rPr>
        <w:t>4.事业单位经营收入：指事业单位在专业业务活动及其辅助活动之外开展非独立核算经营活动取得的收入。</w:t>
      </w:r>
    </w:p>
    <w:p>
      <w:pPr>
        <w:pStyle w:val="14"/>
      </w:pPr>
      <w:r>
        <w:rPr>
          <w:rFonts w:hint="eastAsia"/>
        </w:rPr>
        <w:t>5.其他收入：指除上述“一般公共预算拨款收入”、“事业收入”、“事业单位经营收入”等以外的收入。主要是利息收入、国有资产出租收入等。</w:t>
      </w:r>
    </w:p>
    <w:p>
      <w:pPr>
        <w:pStyle w:val="14"/>
      </w:pPr>
      <w:r>
        <w:rPr>
          <w:rFonts w:hint="eastAsia"/>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4"/>
      </w:pPr>
      <w:r>
        <w:rPr>
          <w:rFonts w:hint="eastAsia"/>
        </w:rPr>
        <w:t>7.上年结转：指以前年度尚未完成，结转到本年仍按原规定用途继续使用的资金。</w:t>
      </w:r>
    </w:p>
    <w:p>
      <w:pPr>
        <w:pStyle w:val="14"/>
      </w:pPr>
      <w:r>
        <w:rPr>
          <w:rFonts w:hint="eastAsia"/>
        </w:rPr>
        <w:t>8.社会保障和就业（类）行政事业单位离退休（款）事业单位离退休（项）：指离退休人员的支出。</w:t>
      </w:r>
    </w:p>
    <w:p>
      <w:pPr>
        <w:pStyle w:val="14"/>
      </w:pPr>
      <w:r>
        <w:rPr>
          <w:rFonts w:hint="eastAsia"/>
        </w:rPr>
        <w:t>9.社会保障和就业（类）行政事业单位离退休（款）未归口管理的行政单位离退休（项）：指离退休人员的支出。</w:t>
      </w:r>
    </w:p>
    <w:p>
      <w:pPr>
        <w:pStyle w:val="14"/>
      </w:pPr>
      <w:r>
        <w:rPr>
          <w:rFonts w:hint="eastAsia"/>
        </w:rPr>
        <w:t>10.社会保障和就业（类）行政事业单位离退休（款）机关事业单位基本养老保险缴费支出（项）：指部门实施养老保险制度由单位缴纳的养老保险费的支出。</w:t>
      </w:r>
    </w:p>
    <w:p>
      <w:pPr>
        <w:pStyle w:val="14"/>
      </w:pPr>
      <w:r>
        <w:rPr>
          <w:rFonts w:hint="eastAsia"/>
        </w:rPr>
        <w:t>11.社会保障和就业（类）行政事业单位离退休（款）机关事业单位职业年金缴费支出（项）：指部门实施养老保险制度由单位缴纳的职业年金的支出。</w:t>
      </w:r>
    </w:p>
    <w:p>
      <w:pPr>
        <w:pStyle w:val="14"/>
      </w:pPr>
      <w:r>
        <w:rPr>
          <w:rFonts w:hint="eastAsia"/>
        </w:rPr>
        <w:t>12.社会保障和就业（类）其他社会保障和就业（款）其他社会保障和就业支出（项）：指除上述项目外，其他用于行政事业单位离退休方面的支出。</w:t>
      </w:r>
    </w:p>
    <w:p>
      <w:pPr>
        <w:pStyle w:val="14"/>
      </w:pPr>
      <w:r>
        <w:rPr>
          <w:rFonts w:hint="eastAsia"/>
        </w:rPr>
        <w:t>13.卫生健康（类）行政事业单位医疗（款）行政单位医疗（项）：指行政单位及参公管理事业单位用于缴纳单位基本医疗保险支出。</w:t>
      </w:r>
    </w:p>
    <w:p>
      <w:pPr>
        <w:pStyle w:val="14"/>
      </w:pPr>
      <w:r>
        <w:rPr>
          <w:rFonts w:hint="eastAsia"/>
        </w:rPr>
        <w:t>14.卫生健康（类）行政事业单位医疗（款）事业单位医疗（项）：指事业单位用于缴纳单位基本医疗保险支出。</w:t>
      </w:r>
    </w:p>
    <w:p>
      <w:pPr>
        <w:pStyle w:val="14"/>
      </w:pPr>
      <w:r>
        <w:rPr>
          <w:rFonts w:hint="eastAsia"/>
        </w:rPr>
        <w:t>15.卫生健康（类）行政事业单位医疗（款）公务员医疗补助（项）：指行政单位及参公管理事业单位用于集中缴纳公务员医疗补助支出。</w:t>
      </w:r>
    </w:p>
    <w:p>
      <w:pPr>
        <w:pStyle w:val="14"/>
      </w:pPr>
      <w:r>
        <w:rPr>
          <w:rFonts w:hint="eastAsia"/>
        </w:rPr>
        <w:t>16.住房保障（类）住房改革支出（款）住房公积金（项）：指由单位及其在职职工按规定缴存的住房公积金支出。</w:t>
      </w:r>
    </w:p>
    <w:p>
      <w:pPr>
        <w:pStyle w:val="14"/>
      </w:pPr>
      <w:r>
        <w:rPr>
          <w:rFonts w:hint="eastAsia"/>
        </w:rPr>
        <w:t>17.基本支出：指为保证机构正常运转，完成日常工作任务而发生的人员支出和公用支出。</w:t>
      </w:r>
    </w:p>
    <w:p>
      <w:pPr>
        <w:pStyle w:val="14"/>
      </w:pPr>
      <w:r>
        <w:rPr>
          <w:rFonts w:hint="eastAsia"/>
        </w:rPr>
        <w:t>18.项目支出：指在基本支出之外为完成特定行政任务和事业发展目标所发生的支出。</w:t>
      </w:r>
    </w:p>
    <w:p>
      <w:pPr>
        <w:pStyle w:val="14"/>
      </w:pPr>
      <w:r>
        <w:rPr>
          <w:rFonts w:hint="eastAsia"/>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8" w:type="default"/>
      <w:footerReference r:id="rId9" w:type="default"/>
      <w:pgSz w:w="11910" w:h="16840"/>
      <w:pgMar w:top="1587" w:right="964" w:bottom="1701" w:left="1134" w:header="737" w:footer="737"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DD8703-D9FA-41E3-956E-025BD889DAC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C91354E-FEAB-4460-BEF3-3D044CED06BC}"/>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D6E5661B-9A99-4F4D-915F-3521AEDA8846}"/>
  </w:font>
  <w:font w:name="方正小标宋简体">
    <w:panose1 w:val="03000509000000000000"/>
    <w:charset w:val="86"/>
    <w:family w:val="script"/>
    <w:pitch w:val="default"/>
    <w:sig w:usb0="00000001" w:usb1="080E0000" w:usb2="00000000" w:usb3="00000000" w:csb0="00040000" w:csb1="00000000"/>
    <w:embedRegular r:id="rId4" w:fontKey="{DC9BD246-3F48-41B2-BD79-ED608A0D103B}"/>
  </w:font>
  <w:font w:name="微软雅黑">
    <w:panose1 w:val="020B0503020204020204"/>
    <w:charset w:val="86"/>
    <w:family w:val="swiss"/>
    <w:pitch w:val="default"/>
    <w:sig w:usb0="80000287" w:usb1="280F3C52" w:usb2="00000016" w:usb3="00000000" w:csb0="0004001F" w:csb1="00000000"/>
    <w:embedRegular r:id="rId5" w:fontKey="{817AFBC3-A83E-412F-BEA9-F7B1BADBC3E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2"/>
      </w:rPr>
    </w:pPr>
    <w:r>
      <w:rPr>
        <w:sz w:val="2"/>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JVx3w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OJVx3wPAgAACQQAAA4AAAAAAAAAAQAgAAAA&#10;HwEAAGRycy9lMm9Eb2MueG1sUEsFBgAAAAAGAAYAWQEAAKA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firstLine="40"/>
      <w:rPr>
        <w:sz w:val="2"/>
      </w:rPr>
    </w:pPr>
    <w:r>
      <w:rPr>
        <w:sz w:val="2"/>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14</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16</w:t>
                    </w:r>
                    <w:r>
                      <w:fldChar w:fldCharType="end"/>
                    </w:r>
                    <w:r>
                      <w:t xml:space="preserve"> —</w:t>
                    </w:r>
                  </w:p>
                </w:txbxContent>
              </v:textbox>
            </v:shape>
          </w:pict>
        </mc:Fallback>
      </mc:AlternateContent>
    </w:r>
    <w:r>
      <w:rPr>
        <w:lang w:val="en-US" w:bidi="ar-SA"/>
      </w:rP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482" w:afterLines="201"/>
      <w:ind w:firstLine="4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firstLine="40"/>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firstLine="40"/>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TrueTypeFonts/>
  <w:saveSubsetFonts/>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Y2ZjdjYmEyNjZiNzFiYTM5MjEyNmQwMzI2OGJhODcifQ=="/>
    <w:docVar w:name="KSO_WPS_MARK_KEY" w:val="48d2c7c5-5ca7-4a62-94c0-78ba1c7e0ebc"/>
  </w:docVars>
  <w:rsids>
    <w:rsidRoot w:val="003F5856"/>
    <w:rsid w:val="002F3A3F"/>
    <w:rsid w:val="003F5856"/>
    <w:rsid w:val="005D0CF3"/>
    <w:rsid w:val="0088244E"/>
    <w:rsid w:val="00B509EC"/>
    <w:rsid w:val="00C73769"/>
    <w:rsid w:val="00F61D2D"/>
    <w:rsid w:val="02ED1707"/>
    <w:rsid w:val="02F925FF"/>
    <w:rsid w:val="05AF23BB"/>
    <w:rsid w:val="0653756D"/>
    <w:rsid w:val="07B95988"/>
    <w:rsid w:val="098432F4"/>
    <w:rsid w:val="13CB5FFB"/>
    <w:rsid w:val="14001DBD"/>
    <w:rsid w:val="18D94D16"/>
    <w:rsid w:val="1C4565B4"/>
    <w:rsid w:val="1E9115A9"/>
    <w:rsid w:val="1F443BD1"/>
    <w:rsid w:val="20D9567F"/>
    <w:rsid w:val="21211D8E"/>
    <w:rsid w:val="22DA2D65"/>
    <w:rsid w:val="240622C9"/>
    <w:rsid w:val="247F2477"/>
    <w:rsid w:val="28030BEC"/>
    <w:rsid w:val="2B453A64"/>
    <w:rsid w:val="2BD66371"/>
    <w:rsid w:val="2BFE687F"/>
    <w:rsid w:val="31563118"/>
    <w:rsid w:val="3170631D"/>
    <w:rsid w:val="34E34CBB"/>
    <w:rsid w:val="3A7C2FC5"/>
    <w:rsid w:val="3F1D7253"/>
    <w:rsid w:val="44BF1176"/>
    <w:rsid w:val="49CB27D4"/>
    <w:rsid w:val="4D3C563B"/>
    <w:rsid w:val="4F1E3D38"/>
    <w:rsid w:val="532A32E5"/>
    <w:rsid w:val="54C30EEA"/>
    <w:rsid w:val="551B14DF"/>
    <w:rsid w:val="5543046B"/>
    <w:rsid w:val="58EE6347"/>
    <w:rsid w:val="595E3E2E"/>
    <w:rsid w:val="5AE90F4A"/>
    <w:rsid w:val="5B65451D"/>
    <w:rsid w:val="5D106F0D"/>
    <w:rsid w:val="63A0009F"/>
    <w:rsid w:val="66523E8C"/>
    <w:rsid w:val="6C784F1D"/>
    <w:rsid w:val="70F057BF"/>
    <w:rsid w:val="71AA0173"/>
    <w:rsid w:val="7209340F"/>
    <w:rsid w:val="753644CC"/>
    <w:rsid w:val="75D12419"/>
    <w:rsid w:val="76A30804"/>
    <w:rsid w:val="7E360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0"/>
    </w:pPr>
    <w:rPr>
      <w:rFonts w:ascii="Times New Roman" w:hAnsi="Times New Roman" w:eastAsia="Times New Roman" w:cs="Times New Roman"/>
      <w:sz w:val="52"/>
      <w:szCs w:val="52"/>
    </w:rPr>
  </w:style>
  <w:style w:type="paragraph" w:styleId="4">
    <w:name w:val="heading 2"/>
    <w:basedOn w:val="1"/>
    <w:next w:val="1"/>
    <w:qFormat/>
    <w:uiPriority w:val="1"/>
    <w:pPr>
      <w:ind w:left="923"/>
      <w:outlineLvl w:val="1"/>
    </w:pPr>
    <w:rPr>
      <w:rFonts w:ascii="楷体" w:hAnsi="楷体" w:eastAsia="楷体" w:cs="楷体"/>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仿宋_GB2312" w:hAnsi="仿宋_GB2312" w:eastAsia="仿宋_GB2312" w:cs="仿宋_GB2312"/>
      <w:sz w:val="32"/>
      <w:szCs w:val="32"/>
    </w:rPr>
  </w:style>
  <w:style w:type="paragraph" w:styleId="5">
    <w:name w:val="Normal Indent"/>
    <w:basedOn w:val="1"/>
    <w:qFormat/>
    <w:uiPriority w:val="0"/>
    <w:pPr>
      <w:ind w:firstLine="420" w:firstLineChars="200"/>
    </w:p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toc 1"/>
    <w:basedOn w:val="1"/>
    <w:next w:val="1"/>
    <w:qFormat/>
    <w:uiPriority w:val="39"/>
  </w:style>
  <w:style w:type="paragraph" w:styleId="9">
    <w:name w:val="toc 2"/>
    <w:basedOn w:val="1"/>
    <w:next w:val="1"/>
    <w:qFormat/>
    <w:uiPriority w:val="39"/>
    <w:pPr>
      <w:ind w:left="420" w:leftChars="200"/>
    </w:p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tabs>
        <w:tab w:val="left" w:pos="1784"/>
      </w:tabs>
      <w:spacing w:line="500" w:lineRule="exact"/>
      <w:ind w:firstLine="560" w:firstLineChars="200"/>
      <w:jc w:val="both"/>
    </w:pPr>
    <w:rPr>
      <w:sz w:val="28"/>
      <w:szCs w:val="28"/>
      <w:lang w:val="en-US"/>
    </w:rPr>
  </w:style>
  <w:style w:type="paragraph" w:customStyle="1" w:styleId="15">
    <w:name w:val="Table Paragraph"/>
    <w:basedOn w:val="1"/>
    <w:qFormat/>
    <w:uiPriority w:val="1"/>
    <w:pPr>
      <w:spacing w:before="181"/>
      <w:jc w:val="center"/>
    </w:pPr>
  </w:style>
  <w:style w:type="paragraph" w:customStyle="1" w:styleId="16">
    <w:name w:val="WPSOffice手动目录 1"/>
    <w:qFormat/>
    <w:uiPriority w:val="0"/>
    <w:rPr>
      <w:rFonts w:asciiTheme="minorHAnsi" w:hAnsiTheme="minorHAnsi" w:eastAsiaTheme="minorHAnsi" w:cstheme="minorBidi"/>
      <w:lang w:val="en-US" w:eastAsia="zh-CN" w:bidi="ar-SA"/>
    </w:rPr>
  </w:style>
  <w:style w:type="paragraph" w:customStyle="1" w:styleId="17">
    <w:name w:val="WPSOffice手动目录 2"/>
    <w:qFormat/>
    <w:uiPriority w:val="0"/>
    <w:pPr>
      <w:ind w:left="200" w:leftChars="200"/>
    </w:pPr>
    <w:rPr>
      <w:rFonts w:asciiTheme="minorHAnsi" w:hAnsiTheme="minorHAnsi" w:eastAsiaTheme="minorHAnsi" w:cstheme="minorBidi"/>
      <w:lang w:val="en-US" w:eastAsia="zh-CN" w:bidi="ar-SA"/>
    </w:rPr>
  </w:style>
  <w:style w:type="paragraph" w:customStyle="1" w:styleId="18">
    <w:name w:val="WPSOffice手动目录 3"/>
    <w:qFormat/>
    <w:uiPriority w:val="0"/>
    <w:pPr>
      <w:ind w:left="400" w:leftChars="400"/>
    </w:pPr>
    <w:rPr>
      <w:rFonts w:asciiTheme="minorHAnsi" w:hAnsiTheme="minorHAnsi" w:eastAsiaTheme="minorHAnsi" w:cstheme="minorBidi"/>
      <w:lang w:val="en-US" w:eastAsia="zh-CN" w:bidi="ar-SA"/>
    </w:rPr>
  </w:style>
  <w:style w:type="paragraph" w:customStyle="1" w:styleId="19">
    <w:name w:val="BodyText"/>
    <w:basedOn w:val="1"/>
    <w:qFormat/>
    <w:uiPriority w:val="0"/>
    <w:pPr>
      <w:spacing w:after="120"/>
      <w:jc w:val="both"/>
      <w:textAlignment w:val="baseline"/>
    </w:pPr>
    <w:rPr>
      <w:rFonts w:ascii="仿宋_GB2312" w:hAnsi="Times New Roman" w:eastAsia="仿宋_GB2312" w:cs="Times New Roman"/>
      <w:kern w:val="2"/>
      <w:sz w:val="30"/>
      <w:szCs w:val="30"/>
      <w:lang w:val="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D061B2-DA09-468A-9893-F78BCD94EA13}">
  <ds:schemaRefs/>
</ds:datastoreItem>
</file>

<file path=docProps/app.xml><?xml version="1.0" encoding="utf-8"?>
<Properties xmlns="http://schemas.openxmlformats.org/officeDocument/2006/extended-properties" xmlns:vt="http://schemas.openxmlformats.org/officeDocument/2006/docPropsVTypes">
  <Template>Normal</Template>
  <Pages>19</Pages>
  <Words>6642</Words>
  <Characters>7135</Characters>
  <Lines>69</Lines>
  <Paragraphs>19</Paragraphs>
  <TotalTime>146</TotalTime>
  <ScaleCrop>false</ScaleCrop>
  <LinksUpToDate>false</LinksUpToDate>
  <CharactersWithSpaces>7464</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2024-02-21T13:18:00Z</dcterms:created>
  <dc:creator>user</dc:creator>
  <cp:lastModifiedBy>蘑菇菇</cp:lastModifiedBy>
  <cp:lastPrinted>2024-02-21T02:27:00Z</cp:lastPrinted>
  <dcterms:modified xsi:type="dcterms:W3CDTF">2024-02-23T09:59:09Z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2052-11.8.6.9023</vt:lpwstr>
  </property>
  <property fmtid="{D5CDD505-2E9C-101B-9397-08002B2CF9AE}" pid="6" name="ICV">
    <vt:lpwstr>19A6489293D14499A2E447A850DEABA6</vt:lpwstr>
  </property>
</Properties>
</file>