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jc w:val="center"/>
        <w:rPr>
          <w:rFonts w:hint="eastAsia" w:ascii="宋体" w:hAnsi="宋体" w:eastAsia="宋体" w:cs="宋体"/>
          <w:b/>
          <w:bCs/>
          <w:sz w:val="52"/>
          <w:szCs w:val="52"/>
          <w:shd w:val="clear" w:color="auto" w:fill="auto"/>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hint="eastAsia" w:ascii="宋体" w:hAnsi="宋体" w:eastAsia="方正小标宋简体" w:cs="方正小标宋简体"/>
          <w:b w:val="0"/>
          <w:bCs w:val="0"/>
          <w:sz w:val="52"/>
          <w:szCs w:val="52"/>
          <w:shd w:val="clear" w:color="auto" w:fill="auto"/>
          <w:lang w:val="en-US" w:eastAsia="zh-CN"/>
        </w:rPr>
      </w:pPr>
      <w:r>
        <w:rPr>
          <w:rFonts w:hint="eastAsia" w:ascii="宋体" w:hAnsi="宋体" w:eastAsia="方正小标宋简体" w:cs="方正小标宋简体"/>
          <w:b w:val="0"/>
          <w:bCs w:val="0"/>
          <w:sz w:val="52"/>
          <w:szCs w:val="52"/>
          <w:shd w:val="clear" w:color="auto" w:fill="auto"/>
          <w:lang w:val="en-US" w:eastAsia="zh-CN"/>
        </w:rPr>
        <w:t>乐山冠英新区开发建设管理委员会</w:t>
      </w:r>
    </w:p>
    <w:p>
      <w:pPr>
        <w:pStyle w:val="4"/>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hint="default" w:ascii="宋体" w:hAnsi="宋体" w:eastAsia="方正小标宋简体" w:cs="方正小标宋简体"/>
          <w:b w:val="0"/>
          <w:bCs w:val="0"/>
          <w:sz w:val="52"/>
          <w:szCs w:val="52"/>
          <w:shd w:val="clear" w:color="auto" w:fill="auto"/>
          <w:lang w:val="en-US" w:eastAsia="zh-CN"/>
        </w:rPr>
      </w:pPr>
      <w:r>
        <w:rPr>
          <w:rFonts w:hint="eastAsia" w:ascii="宋体" w:hAnsi="宋体" w:eastAsia="方正小标宋简体" w:cs="方正小标宋简体"/>
          <w:b w:val="0"/>
          <w:bCs w:val="0"/>
          <w:sz w:val="52"/>
          <w:szCs w:val="52"/>
          <w:shd w:val="clear" w:color="auto" w:fill="auto"/>
          <w:lang w:val="en-US" w:eastAsia="zh-CN"/>
        </w:rPr>
        <w:t>2024年部门预算编制说明</w:t>
      </w:r>
    </w:p>
    <w:p>
      <w:pPr>
        <w:pStyle w:val="4"/>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hint="eastAsia" w:ascii="宋体" w:hAnsi="宋体" w:eastAsia="方正小标宋简体" w:cs="方正小标宋简体"/>
          <w:b w:val="0"/>
          <w:bCs w:val="0"/>
          <w:sz w:val="52"/>
          <w:szCs w:val="52"/>
          <w:highlight w:val="yellow"/>
          <w:shd w:val="clear" w:color="auto" w:fill="auto"/>
          <w:lang w:val="en-US" w:eastAsia="zh-CN"/>
        </w:rPr>
      </w:pPr>
      <w:r>
        <w:rPr>
          <w:rFonts w:hint="eastAsia" w:ascii="宋体" w:hAnsi="宋体" w:eastAsia="方正小标宋简体" w:cs="方正小标宋简体"/>
          <w:b w:val="0"/>
          <w:bCs w:val="0"/>
          <w:sz w:val="52"/>
          <w:szCs w:val="52"/>
          <w:highlight w:val="yellow"/>
          <w:shd w:val="clear" w:color="auto" w:fill="auto"/>
          <w:lang w:val="en-US" w:eastAsia="zh-CN"/>
        </w:rPr>
        <w:t>（报告范围包括机关和下属单位）</w:t>
      </w:r>
    </w:p>
    <w:p>
      <w:pPr>
        <w:spacing w:after="0"/>
        <w:rPr>
          <w:rFonts w:ascii="宋体" w:hAnsi="宋体"/>
        </w:rPr>
      </w:pPr>
    </w:p>
    <w:p>
      <w:pPr>
        <w:rPr>
          <w:rFonts w:ascii="宋体" w:hAnsi="宋体"/>
          <w:sz w:val="4"/>
        </w:rPr>
      </w:pPr>
      <w:r>
        <w:rPr>
          <w:rFonts w:ascii="宋体" w:hAnsi="宋体"/>
          <w:sz w:val="4"/>
        </w:rPr>
        <w:br w:type="page"/>
      </w:r>
    </w:p>
    <w:p>
      <w:pPr>
        <w:rPr>
          <w:rFonts w:ascii="宋体" w:hAnsi="宋体"/>
          <w:sz w:val="4"/>
        </w:rPr>
      </w:pPr>
    </w:p>
    <w:p>
      <w:pPr>
        <w:pStyle w:val="4"/>
        <w:spacing w:before="2"/>
        <w:rPr>
          <w:rFonts w:ascii="宋体" w:hAnsi="宋体"/>
          <w:sz w:val="4"/>
        </w:rPr>
      </w:pPr>
    </w:p>
    <w:p>
      <w:pPr>
        <w:pStyle w:val="4"/>
        <w:tabs>
          <w:tab w:val="left" w:pos="4798"/>
        </w:tabs>
        <w:jc w:val="center"/>
        <w:rPr>
          <w:rFonts w:hint="eastAsia" w:ascii="宋体" w:hAnsi="宋体" w:eastAsia="方正小标宋简体" w:cs="方正小标宋简体"/>
          <w:b/>
          <w:bCs/>
          <w:sz w:val="48"/>
          <w:szCs w:val="48"/>
          <w:lang w:val="en-US" w:eastAsia="zh-CN"/>
        </w:rPr>
      </w:pPr>
      <w:r>
        <w:rPr>
          <w:rFonts w:hint="eastAsia" w:ascii="宋体" w:hAnsi="宋体" w:eastAsia="方正小标宋简体" w:cs="方正小标宋简体"/>
          <w:b/>
          <w:bCs/>
          <w:sz w:val="48"/>
          <w:szCs w:val="48"/>
          <w:lang w:val="en-US" w:eastAsia="zh-CN"/>
        </w:rPr>
        <w:t>目  录</w:t>
      </w:r>
    </w:p>
    <w:sdt>
      <w:sdtPr>
        <w:rPr>
          <w:rFonts w:ascii="宋体" w:hAnsi="宋体" w:eastAsia="宋体" w:cs="宋体"/>
          <w:sz w:val="21"/>
          <w:szCs w:val="22"/>
          <w:lang w:val="zh-CN" w:eastAsia="zh-CN" w:bidi="zh-CN"/>
        </w:rPr>
        <w:id w:val="147453385"/>
        <w15:color w:val="DBDBDB"/>
        <w:docPartObj>
          <w:docPartGallery w:val="Table of Contents"/>
          <w:docPartUnique/>
        </w:docPartObj>
      </w:sdtPr>
      <w:sdtEndPr>
        <w:rPr>
          <w:rFonts w:hint="eastAsia" w:ascii="宋体" w:hAnsi="宋体" w:eastAsia="方正小标宋简体" w:cs="方正小标宋简体"/>
          <w:bCs/>
          <w:sz w:val="32"/>
          <w:szCs w:val="48"/>
          <w:lang w:val="en-US" w:eastAsia="zh-CN" w:bidi="zh-CN"/>
        </w:rPr>
      </w:sdtEndPr>
      <w:sdtContent>
        <w:p>
          <w:pPr>
            <w:spacing w:before="0" w:beforeLines="0" w:after="0" w:afterLines="0" w:line="240" w:lineRule="auto"/>
            <w:ind w:left="0" w:leftChars="0" w:right="0" w:rightChars="0" w:firstLine="0" w:firstLineChars="0"/>
            <w:jc w:val="center"/>
            <w:rPr>
              <w:rFonts w:ascii="宋体" w:hAnsi="宋体"/>
            </w:rPr>
          </w:pP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
              <w:bCs/>
              <w:sz w:val="48"/>
              <w:szCs w:val="48"/>
              <w:lang w:val="en-US" w:eastAsia="zh-CN"/>
            </w:rPr>
            <w:fldChar w:fldCharType="begin"/>
          </w:r>
          <w:r>
            <w:rPr>
              <w:rFonts w:hint="eastAsia" w:ascii="宋体" w:hAnsi="宋体" w:eastAsia="方正小标宋简体" w:cs="方正小标宋简体"/>
              <w:b/>
              <w:bCs/>
              <w:sz w:val="48"/>
              <w:szCs w:val="48"/>
              <w:lang w:val="en-US" w:eastAsia="zh-CN"/>
            </w:rPr>
            <w:instrText xml:space="preserve">TOC \o "1-3" \h \u </w:instrText>
          </w:r>
          <w:r>
            <w:rPr>
              <w:rFonts w:hint="eastAsia" w:ascii="宋体" w:hAnsi="宋体" w:eastAsia="方正小标宋简体" w:cs="方正小标宋简体"/>
              <w:b/>
              <w:bCs/>
              <w:sz w:val="48"/>
              <w:szCs w:val="48"/>
              <w:lang w:val="en-US" w:eastAsia="zh-CN"/>
            </w:rPr>
            <w:fldChar w:fldCharType="separate"/>
          </w: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_Toc24981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bCs/>
              <w:sz w:val="32"/>
              <w:szCs w:val="32"/>
              <w:lang w:val="en-US" w:eastAsia="zh-CN"/>
            </w:rPr>
            <w:t>第一部分 部门概况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_Toc24981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_Toc977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一、基本职能及主要工作</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_Toc977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_Toc5540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（一）部门职能简介</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_Toc5540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_Toc29132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（二）部门</w:t>
          </w:r>
          <w:r>
            <w:rPr>
              <w:rFonts w:hint="eastAsia" w:ascii="宋体" w:hAnsi="宋体"/>
              <w:sz w:val="32"/>
              <w:szCs w:val="32"/>
              <w:lang w:val="en-US" w:eastAsia="zh-CN"/>
            </w:rPr>
            <w:t>2024</w:t>
          </w:r>
          <w:r>
            <w:rPr>
              <w:rFonts w:ascii="宋体" w:hAnsi="宋体"/>
              <w:sz w:val="32"/>
              <w:szCs w:val="32"/>
            </w:rPr>
            <w:t>年重点工</w:t>
          </w:r>
          <w:r>
            <w:rPr>
              <w:rFonts w:hint="eastAsia" w:ascii="宋体" w:hAnsi="宋体"/>
              <w:sz w:val="32"/>
              <w:szCs w:val="32"/>
            </w:rPr>
            <w:t>作</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_Toc29132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_Toc30432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二、部门预算单位构成</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_Toc30432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_Toc28587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bCs/>
              <w:sz w:val="32"/>
              <w:szCs w:val="32"/>
              <w:lang w:val="en-US" w:eastAsia="zh-CN"/>
            </w:rPr>
            <w:t>第二部分 乐山冠英新区开发建设管理委员会2024年部门预算表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_Toc28587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_Toc12069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一、部门收支总表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_Toc12069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_Toc27995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二、部门收入总表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_Toc27995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_Toc3639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三、部门支出总表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_Toc3639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_Toc25815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四、财政拨款收支预算总表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_Toc25815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_Toc4686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五、财政拨款支出预算表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_Toc4686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_Toc7952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六、一般公共预算支出预算表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_Toc7952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_Toc32200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七、一般公共预算基本支出预算表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_Toc32200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_Toc17751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八、一般公共预算项目支出预算表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_Toc17751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_Toc11119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九、一般公共预算“三公”经费支出预算表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_Toc11119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_Toc19211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十、政府性基金预算支出表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_Toc19211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_Toc7676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十一、政府性基金预算“三公”经费支出预算表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_Toc7676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_Toc22917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十二、国有资本经营预算支出表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_Toc22917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_Toc27847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十三、部门整体支出绩效目标表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_Toc27847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_Toc30878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十四、部门预算项目支出绩效目标表..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_Toc30878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_Toc32437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十五、政府采购预算表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_Toc32437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_Toc19948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sz w:val="32"/>
              <w:szCs w:val="32"/>
              <w:lang w:val="en-US" w:eastAsia="zh-CN"/>
            </w:rPr>
            <w:t>第三部分 乐山冠英新区开发建设管理委员会2024年部门预算情况说明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_Toc19948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ind w:leftChars="0" w:firstLine="640" w:firstLineChars="200"/>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_Toc469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一、收支预算情况说明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_Toc469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_Toc12176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（一）收入预算情况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_Toc12176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_Toc23149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（二）支出预算情况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_Toc23149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_Toc729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二、财政拨款收支预算情况说明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_Toc729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_Toc32511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三、一般公共预算当年拨款情况说明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_Toc32511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_Toc6394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（一）一般公共预算当年拨款规模变化情况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_Toc6394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_Toc5045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（二）一般公共预算当年拨款结构情况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_Toc5045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_Toc11698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（三）一般公共预算当年拨款具体使用情况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_Toc11698 \h </w:instrText>
          </w:r>
          <w:r>
            <w:rPr>
              <w:rFonts w:ascii="宋体" w:hAnsi="宋体"/>
              <w:sz w:val="32"/>
              <w:szCs w:val="32"/>
            </w:rPr>
            <w:fldChar w:fldCharType="separate"/>
          </w:r>
          <w:r>
            <w:rPr>
              <w:rFonts w:ascii="宋体" w:hAnsi="宋体"/>
              <w:sz w:val="32"/>
              <w:szCs w:val="32"/>
            </w:rPr>
            <w:t>9</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_Toc21665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四、一般公共预算基本支出情况说明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_Toc21665 \h </w:instrText>
          </w:r>
          <w:r>
            <w:rPr>
              <w:rFonts w:ascii="宋体" w:hAnsi="宋体"/>
              <w:sz w:val="32"/>
              <w:szCs w:val="32"/>
            </w:rPr>
            <w:fldChar w:fldCharType="separate"/>
          </w:r>
          <w:r>
            <w:rPr>
              <w:rFonts w:ascii="宋体" w:hAnsi="宋体"/>
              <w:sz w:val="32"/>
              <w:szCs w:val="32"/>
            </w:rPr>
            <w:t>9</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_Toc1746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五、“三公”经费财政拨款预算安排情况说明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_Toc1746 \h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_Toc10802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w:t>
          </w:r>
          <w:r>
            <w:rPr>
              <w:rFonts w:hint="eastAsia" w:ascii="宋体" w:hAnsi="宋体"/>
              <w:sz w:val="32"/>
              <w:szCs w:val="32"/>
              <w:lang w:val="en-US" w:eastAsia="zh-CN"/>
            </w:rPr>
            <w:t>公务接待费变化情况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_Toc10802 \h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_Toc17768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w:t>
          </w:r>
          <w:r>
            <w:rPr>
              <w:rFonts w:hint="eastAsia" w:ascii="宋体" w:hAnsi="宋体"/>
              <w:sz w:val="32"/>
              <w:szCs w:val="32"/>
              <w:lang w:val="en-US" w:eastAsia="zh-CN"/>
            </w:rPr>
            <w:t>二</w:t>
          </w:r>
          <w:r>
            <w:rPr>
              <w:rFonts w:ascii="宋体" w:hAnsi="宋体"/>
              <w:sz w:val="32"/>
              <w:szCs w:val="32"/>
            </w:rPr>
            <w:t>）</w:t>
          </w:r>
          <w:r>
            <w:rPr>
              <w:rFonts w:hint="eastAsia" w:ascii="宋体" w:hAnsi="宋体"/>
              <w:sz w:val="32"/>
              <w:szCs w:val="32"/>
              <w:lang w:val="en-US" w:eastAsia="zh-CN"/>
            </w:rPr>
            <w:t>公务用车购置及运行维护费变化情况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_Toc17768 \h </w:instrText>
          </w:r>
          <w:r>
            <w:rPr>
              <w:rFonts w:ascii="宋体" w:hAnsi="宋体"/>
              <w:sz w:val="32"/>
              <w:szCs w:val="32"/>
            </w:rPr>
            <w:fldChar w:fldCharType="separate"/>
          </w:r>
          <w:r>
            <w:rPr>
              <w:rFonts w:ascii="宋体" w:hAnsi="宋体"/>
              <w:sz w:val="32"/>
              <w:szCs w:val="32"/>
            </w:rPr>
            <w:t>12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_Toc2610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六、政府性基金预算支出情况说明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_Toc2610 \h </w:instrText>
          </w:r>
          <w:r>
            <w:rPr>
              <w:rFonts w:ascii="宋体" w:hAnsi="宋体"/>
              <w:sz w:val="32"/>
              <w:szCs w:val="32"/>
            </w:rPr>
            <w:fldChar w:fldCharType="separate"/>
          </w:r>
          <w:r>
            <w:rPr>
              <w:rFonts w:ascii="宋体" w:hAnsi="宋体"/>
              <w:sz w:val="32"/>
              <w:szCs w:val="32"/>
            </w:rPr>
            <w:t>12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_Toc17731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lang w:val="en-US" w:eastAsia="zh-CN"/>
            </w:rPr>
            <w:t>七、</w:t>
          </w:r>
          <w:r>
            <w:rPr>
              <w:rFonts w:hint="eastAsia" w:ascii="宋体" w:hAnsi="宋体" w:eastAsia="黑体"/>
              <w:sz w:val="32"/>
              <w:szCs w:val="32"/>
            </w:rPr>
            <w:t>国有资本经营预算情况说明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_Toc17731 \h </w:instrText>
          </w:r>
          <w:r>
            <w:rPr>
              <w:rFonts w:ascii="宋体" w:hAnsi="宋体"/>
              <w:sz w:val="32"/>
              <w:szCs w:val="32"/>
            </w:rPr>
            <w:fldChar w:fldCharType="separate"/>
          </w:r>
          <w:r>
            <w:rPr>
              <w:rFonts w:ascii="宋体" w:hAnsi="宋体"/>
              <w:sz w:val="32"/>
              <w:szCs w:val="32"/>
            </w:rPr>
            <w:t>12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_Toc20919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lang w:val="en-US" w:eastAsia="zh-CN"/>
            </w:rPr>
            <w:t>八、其他重要事项的情况说明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_Toc20919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_Toc9621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（一）机关运行经费情况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_Toc9621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_Toc26552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（二）政府采购情况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_Toc26552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_Toc11208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（三）国有资产占有使用情况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_Toc11208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_Toc13599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eastAsia="zh-CN"/>
            </w:rPr>
            <w:t>（</w:t>
          </w:r>
          <w:r>
            <w:rPr>
              <w:rFonts w:hint="eastAsia" w:ascii="宋体" w:hAnsi="宋体"/>
              <w:sz w:val="32"/>
              <w:szCs w:val="32"/>
              <w:lang w:val="en-US" w:eastAsia="zh-CN"/>
            </w:rPr>
            <w:t>四</w:t>
          </w:r>
          <w:r>
            <w:rPr>
              <w:rFonts w:hint="eastAsia" w:ascii="宋体" w:hAnsi="宋体"/>
              <w:sz w:val="32"/>
              <w:szCs w:val="32"/>
              <w:lang w:eastAsia="zh-CN"/>
            </w:rPr>
            <w:t>）</w:t>
          </w:r>
          <w:r>
            <w:rPr>
              <w:rFonts w:ascii="宋体" w:hAnsi="宋体"/>
              <w:sz w:val="32"/>
              <w:szCs w:val="32"/>
            </w:rPr>
            <w:t>预算绩效情况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_Toc13599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_Toc31157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sz w:val="32"/>
              <w:szCs w:val="32"/>
              <w:lang w:val="en-US" w:eastAsia="zh-CN"/>
            </w:rPr>
            <w:t>第四部分  名词解释</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_Toc31157 \h </w:instrText>
          </w:r>
          <w:r>
            <w:rPr>
              <w:rFonts w:ascii="宋体" w:hAnsi="宋体"/>
              <w:sz w:val="32"/>
              <w:szCs w:val="32"/>
            </w:rPr>
            <w:fldChar w:fldCharType="separate"/>
          </w:r>
          <w:r>
            <w:rPr>
              <w:rFonts w:ascii="宋体" w:hAnsi="宋体"/>
              <w:sz w:val="32"/>
              <w:szCs w:val="32"/>
            </w:rPr>
            <w:t>14</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4"/>
            <w:tabs>
              <w:tab w:val="left" w:pos="4798"/>
            </w:tabs>
            <w:jc w:val="both"/>
            <w:rPr>
              <w:rFonts w:hint="eastAsia" w:ascii="宋体" w:hAnsi="宋体" w:eastAsia="方正小标宋简体" w:cs="方正小标宋简体"/>
              <w:b/>
              <w:bCs/>
              <w:sz w:val="48"/>
              <w:szCs w:val="48"/>
              <w:lang w:val="en-US" w:eastAsia="zh-CN"/>
            </w:rPr>
          </w:pPr>
          <w:r>
            <w:rPr>
              <w:rFonts w:hint="eastAsia" w:ascii="宋体" w:hAnsi="宋体" w:eastAsia="方正小标宋简体" w:cs="方正小标宋简体"/>
              <w:bCs/>
              <w:szCs w:val="48"/>
              <w:lang w:val="en-US" w:eastAsia="zh-CN"/>
            </w:rPr>
            <w:fldChar w:fldCharType="end"/>
          </w:r>
        </w:p>
      </w:sdtContent>
    </w:sdt>
    <w:p>
      <w:pPr>
        <w:pStyle w:val="4"/>
        <w:rPr>
          <w:rFonts w:ascii="宋体" w:hAnsi="宋体"/>
          <w:sz w:val="20"/>
        </w:rPr>
        <w:sectPr>
          <w:headerReference r:id="rId5" w:type="default"/>
          <w:footerReference r:id="rId6" w:type="default"/>
          <w:pgSz w:w="11910" w:h="16840"/>
          <w:pgMar w:top="1587" w:right="964" w:bottom="1701" w:left="1134" w:header="737" w:footer="737" w:gutter="0"/>
          <w:pgNumType w:fmt="decimal" w:start="1"/>
          <w:cols w:space="0" w:num="1"/>
          <w:rtlGutter w:val="0"/>
          <w:docGrid w:linePitch="0" w:charSpace="0"/>
        </w:sect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spacing w:before="3"/>
        <w:rPr>
          <w:rFonts w:ascii="宋体" w:hAnsi="宋体"/>
          <w:sz w:val="28"/>
        </w:rPr>
      </w:pPr>
    </w:p>
    <w:p>
      <w:pPr>
        <w:pStyle w:val="4"/>
        <w:numPr>
          <w:ilvl w:val="0"/>
          <w:numId w:val="1"/>
        </w:numPr>
        <w:jc w:val="center"/>
        <w:outlineLvl w:val="0"/>
        <w:rPr>
          <w:rFonts w:hint="eastAsia" w:ascii="宋体" w:hAnsi="宋体" w:eastAsia="方正小标宋简体" w:cs="方正小标宋简体"/>
          <w:b/>
          <w:bCs/>
          <w:sz w:val="52"/>
          <w:szCs w:val="52"/>
          <w:lang w:val="en-US" w:eastAsia="zh-CN"/>
        </w:rPr>
      </w:pPr>
      <w:bookmarkStart w:id="0" w:name="_Toc24981"/>
      <w:r>
        <w:rPr>
          <w:rFonts w:hint="eastAsia" w:ascii="宋体" w:hAnsi="宋体" w:eastAsia="方正小标宋简体" w:cs="方正小标宋简体"/>
          <w:b/>
          <w:bCs/>
          <w:sz w:val="52"/>
          <w:szCs w:val="52"/>
          <w:lang w:val="en-US" w:eastAsia="zh-CN"/>
        </w:rPr>
        <w:t>部门概况</w:t>
      </w:r>
      <w:bookmarkEnd w:id="0"/>
    </w:p>
    <w:p>
      <w:pPr>
        <w:pStyle w:val="4"/>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rPr>
          <w:rFonts w:hint="eastAsia" w:ascii="宋体" w:hAnsi="宋体" w:eastAsia="黑体"/>
          <w:color w:val="333333"/>
        </w:rPr>
      </w:pPr>
    </w:p>
    <w:p>
      <w:pPr>
        <w:pStyle w:val="4"/>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rPr>
          <w:rFonts w:hint="eastAsia" w:ascii="宋体" w:hAnsi="宋体" w:eastAsia="黑体"/>
          <w:color w:val="333333"/>
        </w:rPr>
      </w:pPr>
    </w:p>
    <w:p>
      <w:pPr>
        <w:pStyle w:val="4"/>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rPr>
          <w:rFonts w:hint="eastAsia" w:ascii="宋体" w:hAnsi="宋体" w:eastAsia="黑体"/>
          <w:color w:val="333333"/>
        </w:rPr>
        <w:sectPr>
          <w:footerReference r:id="rId7" w:type="default"/>
          <w:pgSz w:w="11910" w:h="16840"/>
          <w:pgMar w:top="1587" w:right="964" w:bottom="1701" w:left="1134" w:header="737" w:footer="737" w:gutter="0"/>
          <w:pgNumType w:fmt="decimal" w:start="1"/>
          <w:cols w:space="0" w:num="1"/>
          <w:rtlGutter w:val="0"/>
          <w:docGrid w:linePitch="0" w:charSpace="0"/>
        </w:sectPr>
      </w:pPr>
    </w:p>
    <w:p>
      <w:pPr>
        <w:pStyle w:val="4"/>
        <w:keepNext w:val="0"/>
        <w:keepLines w:val="0"/>
        <w:pageBreakBefore w:val="0"/>
        <w:widowControl w:val="0"/>
        <w:kinsoku/>
        <w:wordWrap/>
        <w:overflowPunct/>
        <w:topLinePunct w:val="0"/>
        <w:autoSpaceDE w:val="0"/>
        <w:autoSpaceDN w:val="0"/>
        <w:bidi w:val="0"/>
        <w:adjustRightInd/>
        <w:snapToGrid/>
        <w:spacing w:before="40" w:after="0" w:afterLines="50" w:line="560" w:lineRule="exact"/>
        <w:ind w:firstLine="640" w:firstLineChars="200"/>
        <w:textAlignment w:val="auto"/>
        <w:outlineLvl w:val="1"/>
        <w:rPr>
          <w:rFonts w:hint="eastAsia" w:ascii="宋体" w:hAnsi="宋体" w:eastAsia="黑体"/>
          <w:color w:val="333333"/>
        </w:rPr>
      </w:pPr>
      <w:bookmarkStart w:id="1" w:name="_Toc977"/>
      <w:r>
        <w:rPr>
          <w:rFonts w:hint="eastAsia" w:ascii="宋体" w:hAnsi="宋体" w:eastAsia="黑体"/>
          <w:color w:val="333333"/>
        </w:rPr>
        <w:t>一、基本职能及主要工作</w:t>
      </w:r>
      <w:bookmarkEnd w:id="1"/>
    </w:p>
    <w:p>
      <w:pPr>
        <w:pStyle w:val="3"/>
        <w:keepNext w:val="0"/>
        <w:keepLines w:val="0"/>
        <w:pageBreakBefore w:val="0"/>
        <w:widowControl w:val="0"/>
        <w:kinsoku/>
        <w:wordWrap/>
        <w:overflowPunct/>
        <w:topLinePunct w:val="0"/>
        <w:autoSpaceDE w:val="0"/>
        <w:autoSpaceDN w:val="0"/>
        <w:bidi w:val="0"/>
        <w:adjustRightInd/>
        <w:snapToGrid/>
        <w:spacing w:before="100" w:after="0" w:afterLines="50" w:line="560" w:lineRule="exact"/>
        <w:ind w:left="0" w:leftChars="0" w:firstLine="964" w:firstLineChars="300"/>
        <w:textAlignment w:val="auto"/>
        <w:rPr>
          <w:rFonts w:hint="eastAsia" w:ascii="宋体" w:hAnsi="宋体" w:eastAsia="楷体"/>
          <w:lang w:eastAsia="zh-CN"/>
        </w:rPr>
      </w:pPr>
      <w:bookmarkStart w:id="2" w:name="_Toc5540"/>
      <w:r>
        <w:rPr>
          <w:rFonts w:ascii="宋体" w:hAnsi="宋体"/>
        </w:rPr>
        <w:t>（一）部门职能简介</w:t>
      </w:r>
      <w:bookmarkEnd w:id="2"/>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负责牵头编制新区专项规划、产业发展规划等规划，协助编制新区总体规划、控制性详规，经批准后组织实施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负责牵头组织实施新区城市基础设施和公共配套设施的建设，协调配合新区交通、水务等其他工程建设项目的推进</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负责新区招商引资、产业培育工作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负责新区城乡规划、土地管理、市政环卫、综合治理、行政执法的协调配合或依法行使相关</w:t>
      </w:r>
      <w:r>
        <w:rPr>
          <w:rFonts w:hint="eastAsia" w:ascii="Times New Roman" w:hAnsi="Times New Roman" w:eastAsia="仿宋_GB2312"/>
          <w:sz w:val="32"/>
          <w:szCs w:val="32"/>
          <w:lang w:eastAsia="zh-CN"/>
        </w:rPr>
        <w:t>权力事项；</w:t>
      </w:r>
      <w:r>
        <w:rPr>
          <w:rFonts w:hint="eastAsia" w:ascii="Times New Roman" w:hAnsi="Times New Roman" w:eastAsia="仿宋_GB2312"/>
          <w:sz w:val="32"/>
          <w:szCs w:val="32"/>
        </w:rPr>
        <w:t>负责新区社会投资项目建设、运营的协调服务工作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负责职责范围内安全生产、职业健康和生态环境保护等工作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履行区政府及相关职能部门授权的相关职能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承担区委、区政府交办的其他工作事项。</w:t>
      </w:r>
    </w:p>
    <w:p>
      <w:pPr>
        <w:pStyle w:val="3"/>
        <w:keepNext w:val="0"/>
        <w:keepLines w:val="0"/>
        <w:pageBreakBefore w:val="0"/>
        <w:widowControl w:val="0"/>
        <w:kinsoku/>
        <w:wordWrap/>
        <w:overflowPunct/>
        <w:topLinePunct w:val="0"/>
        <w:autoSpaceDE w:val="0"/>
        <w:autoSpaceDN w:val="0"/>
        <w:bidi w:val="0"/>
        <w:adjustRightInd/>
        <w:snapToGrid/>
        <w:spacing w:before="190" w:line="560" w:lineRule="exact"/>
        <w:ind w:left="0" w:leftChars="0" w:firstLine="643" w:firstLineChars="200"/>
        <w:textAlignment w:val="auto"/>
        <w:rPr>
          <w:rFonts w:hint="eastAsia" w:ascii="宋体" w:hAnsi="宋体"/>
          <w:color w:val="auto"/>
        </w:rPr>
      </w:pPr>
      <w:bookmarkStart w:id="3" w:name="_Toc29132"/>
      <w:r>
        <w:rPr>
          <w:rFonts w:ascii="宋体" w:hAnsi="宋体"/>
          <w:color w:val="auto"/>
        </w:rPr>
        <w:t>（二）部门</w:t>
      </w:r>
      <w:r>
        <w:rPr>
          <w:rFonts w:hint="eastAsia" w:ascii="宋体" w:hAnsi="宋体"/>
          <w:color w:val="auto"/>
          <w:lang w:val="en-US" w:eastAsia="zh-CN"/>
        </w:rPr>
        <w:t>2024</w:t>
      </w:r>
      <w:r>
        <w:rPr>
          <w:rFonts w:ascii="宋体" w:hAnsi="宋体"/>
          <w:color w:val="auto"/>
        </w:rPr>
        <w:t>年重点工</w:t>
      </w:r>
      <w:r>
        <w:rPr>
          <w:rFonts w:hint="eastAsia" w:ascii="宋体" w:hAnsi="宋体"/>
          <w:color w:val="auto"/>
        </w:rPr>
        <w:t>作</w:t>
      </w:r>
      <w:bookmarkEnd w:id="3"/>
    </w:p>
    <w:p>
      <w:pPr>
        <w:keepNext w:val="0"/>
        <w:keepLines w:val="0"/>
        <w:pageBreakBefore w:val="0"/>
        <w:widowControl w:val="0"/>
        <w:numPr>
          <w:ilvl w:val="0"/>
          <w:numId w:val="0"/>
        </w:numPr>
        <w:pBdr>
          <w:top w:val="single" w:color="FFFFFF" w:sz="4" w:space="2"/>
          <w:left w:val="single" w:color="FFFFFF" w:sz="4" w:space="31"/>
          <w:bottom w:val="single" w:color="FFFFFF" w:sz="4" w:space="31"/>
          <w:right w:val="single" w:color="FFFFFF" w:sz="4" w:space="31"/>
        </w:pBdr>
        <w:kinsoku/>
        <w:wordWrap/>
        <w:overflowPunct/>
        <w:topLinePunct w:val="0"/>
        <w:autoSpaceDE/>
        <w:autoSpaceDN/>
        <w:bidi w:val="0"/>
        <w:adjustRightInd w:val="0"/>
        <w:snapToGrid w:val="0"/>
        <w:spacing w:before="0" w:line="560" w:lineRule="exact"/>
        <w:ind w:left="0" w:leftChars="0" w:right="0" w:rightChars="0" w:firstLine="640" w:firstLineChars="200"/>
        <w:textAlignment w:val="auto"/>
        <w:rPr>
          <w:rFonts w:hint="eastAsia" w:ascii="宋体" w:hAnsi="宋体" w:eastAsia="黑体" w:cs="仿宋_GB2312"/>
          <w:color w:val="333333"/>
          <w:sz w:val="32"/>
          <w:szCs w:val="32"/>
          <w:lang w:val="zh-CN" w:eastAsia="zh-CN" w:bidi="zh-CN"/>
        </w:rPr>
      </w:pPr>
      <w:bookmarkStart w:id="4" w:name="_Toc30432"/>
      <w:r>
        <w:rPr>
          <w:rFonts w:hint="eastAsia" w:ascii="仿宋_GB2312" w:hAnsi="仿宋_GB2312" w:eastAsia="仿宋_GB2312" w:cs="仿宋_GB2312"/>
          <w:sz w:val="32"/>
          <w:szCs w:val="32"/>
          <w:lang w:val="en-US" w:eastAsia="zh-CN"/>
        </w:rPr>
        <w:t>2024年重点工作是</w:t>
      </w:r>
      <w:r>
        <w:rPr>
          <w:rFonts w:hint="eastAsia" w:ascii="仿宋_GB2312" w:hAnsi="宋体" w:eastAsia="仿宋_GB2312"/>
          <w:sz w:val="32"/>
          <w:szCs w:val="32"/>
        </w:rPr>
        <w:t>加大岷江航电</w:t>
      </w:r>
      <w:r>
        <w:rPr>
          <w:rFonts w:hint="eastAsia" w:ascii="仿宋_GB2312" w:hAnsi="宋体" w:eastAsia="仿宋_GB2312"/>
          <w:sz w:val="32"/>
          <w:szCs w:val="32"/>
          <w:lang w:eastAsia="zh-CN"/>
        </w:rPr>
        <w:t>、</w:t>
      </w:r>
      <w:r>
        <w:rPr>
          <w:rFonts w:hint="eastAsia" w:ascii="仿宋_GB2312" w:hAnsi="宋体" w:eastAsia="仿宋_GB2312"/>
          <w:sz w:val="32"/>
          <w:szCs w:val="32"/>
        </w:rPr>
        <w:t>乐山机场</w:t>
      </w:r>
      <w:r>
        <w:rPr>
          <w:rFonts w:hint="eastAsia" w:ascii="仿宋_GB2312" w:eastAsia="仿宋_GB2312"/>
          <w:sz w:val="32"/>
          <w:szCs w:val="32"/>
          <w:lang w:eastAsia="zh-CN"/>
        </w:rPr>
        <w:t>重点</w:t>
      </w:r>
      <w:r>
        <w:rPr>
          <w:rFonts w:hint="eastAsia" w:ascii="仿宋_GB2312" w:hAnsi="宋体" w:eastAsia="仿宋_GB2312"/>
          <w:sz w:val="32"/>
          <w:szCs w:val="32"/>
        </w:rPr>
        <w:t>项目统筹力度，</w:t>
      </w:r>
      <w:r>
        <w:rPr>
          <w:rFonts w:hint="eastAsia" w:ascii="仿宋_GB2312" w:hAnsi="宋体" w:eastAsia="仿宋_GB2312"/>
          <w:sz w:val="32"/>
          <w:szCs w:val="32"/>
          <w:lang w:eastAsia="zh-CN"/>
        </w:rPr>
        <w:t>待</w:t>
      </w:r>
      <w:r>
        <w:rPr>
          <w:rFonts w:hint="eastAsia" w:ascii="仿宋_GB2312" w:eastAsia="仿宋_GB2312"/>
          <w:sz w:val="32"/>
          <w:szCs w:val="32"/>
          <w:lang w:eastAsia="zh-CN"/>
        </w:rPr>
        <w:t>航电</w:t>
      </w:r>
      <w:r>
        <w:rPr>
          <w:rFonts w:hint="eastAsia" w:ascii="仿宋_GB2312" w:hAnsi="宋体" w:eastAsia="仿宋_GB2312"/>
          <w:sz w:val="32"/>
          <w:szCs w:val="32"/>
          <w:lang w:eastAsia="zh-CN"/>
        </w:rPr>
        <w:t>用地批复取得后，按年度项目用地计划及资金计划</w:t>
      </w:r>
      <w:r>
        <w:rPr>
          <w:rFonts w:hint="eastAsia" w:ascii="仿宋_GB2312" w:hAnsi="宋体" w:eastAsia="仿宋_GB2312"/>
          <w:sz w:val="32"/>
          <w:szCs w:val="32"/>
        </w:rPr>
        <w:t>，分期分批次完成征地拆迁工作</w:t>
      </w:r>
      <w:r>
        <w:rPr>
          <w:rFonts w:hint="eastAsia" w:ascii="仿宋_GB2312" w:eastAsia="仿宋_GB2312"/>
          <w:sz w:val="32"/>
          <w:szCs w:val="32"/>
          <w:lang w:eastAsia="zh-CN"/>
        </w:rPr>
        <w:t>，</w:t>
      </w:r>
      <w:r>
        <w:rPr>
          <w:rFonts w:hint="eastAsia" w:ascii="仿宋_GB2312" w:hAnsi="仿宋_GB2312" w:eastAsia="仿宋_GB2312" w:cs="仿宋_GB2312"/>
          <w:sz w:val="32"/>
          <w:szCs w:val="32"/>
        </w:rPr>
        <w:t>继续开展</w:t>
      </w:r>
      <w:r>
        <w:rPr>
          <w:rFonts w:hint="eastAsia" w:ascii="仿宋_GB2312" w:hAnsi="仿宋_GB2312" w:eastAsia="仿宋_GB2312" w:cs="仿宋_GB2312"/>
          <w:sz w:val="32"/>
          <w:szCs w:val="32"/>
          <w:lang w:eastAsia="zh-CN"/>
        </w:rPr>
        <w:t>机场项目</w:t>
      </w:r>
      <w:r>
        <w:rPr>
          <w:rFonts w:hint="eastAsia" w:ascii="仿宋_GB2312" w:hAnsi="仿宋_GB2312" w:eastAsia="仿宋_GB2312" w:cs="仿宋_GB2312"/>
          <w:sz w:val="32"/>
          <w:szCs w:val="32"/>
        </w:rPr>
        <w:t>剩余用地征地拆迁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配合机场投开展剩余杆管线搬迁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继续加快推进冠英新区回迁房（三期）、人才培训中心、</w:t>
      </w:r>
      <w:r>
        <w:rPr>
          <w:rFonts w:hint="eastAsia" w:ascii="仿宋_GB2312" w:hAnsi="仿宋_GB2312" w:eastAsia="仿宋_GB2312" w:cs="仿宋_GB2312"/>
          <w:sz w:val="32"/>
          <w:szCs w:val="32"/>
        </w:rPr>
        <w:t>双桥路二期</w:t>
      </w:r>
      <w:r>
        <w:rPr>
          <w:rFonts w:hint="eastAsia" w:ascii="仿宋_GB2312" w:hAnsi="仿宋_GB2312" w:eastAsia="仿宋_GB2312" w:cs="仿宋_GB2312"/>
          <w:sz w:val="32"/>
          <w:szCs w:val="32"/>
          <w:lang w:eastAsia="zh-CN"/>
        </w:rPr>
        <w:t>、</w:t>
      </w:r>
      <w:r>
        <w:rPr>
          <w:rFonts w:hint="eastAsia" w:ascii="仿宋_GB2312" w:hAnsi="宋体" w:eastAsia="仿宋_GB2312" w:cs="Times New Roman"/>
          <w:sz w:val="32"/>
          <w:szCs w:val="32"/>
        </w:rPr>
        <w:t>新居路一期Ⅱ标段</w:t>
      </w:r>
      <w:r>
        <w:rPr>
          <w:rFonts w:hint="eastAsia" w:ascii="仿宋_GB2312" w:hAnsi="仿宋_GB2312" w:eastAsia="仿宋_GB2312" w:cs="仿宋_GB2312"/>
          <w:sz w:val="32"/>
          <w:szCs w:val="32"/>
          <w:lang w:eastAsia="zh-CN"/>
        </w:rPr>
        <w:t>建设</w:t>
      </w:r>
      <w:r>
        <w:rPr>
          <w:rFonts w:hint="eastAsia" w:ascii="仿宋_GB2312" w:eastAsia="仿宋_GB2312" w:cs="Times New Roman"/>
          <w:sz w:val="32"/>
          <w:szCs w:val="32"/>
          <w:lang w:eastAsia="zh-CN"/>
        </w:rPr>
        <w:t>；</w:t>
      </w:r>
      <w:r>
        <w:rPr>
          <w:rFonts w:hint="eastAsia" w:ascii="仿宋_GB2312" w:hAnsi="宋体" w:eastAsia="仿宋_GB2312" w:cs="Times New Roman"/>
          <w:sz w:val="32"/>
          <w:szCs w:val="32"/>
        </w:rPr>
        <w:t>开工建设修身路二期</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修身路</w:t>
      </w:r>
      <w:r>
        <w:rPr>
          <w:rFonts w:hint="eastAsia" w:ascii="仿宋_GB2312" w:hAnsi="宋体" w:eastAsia="仿宋_GB2312" w:cs="Times New Roman"/>
          <w:sz w:val="32"/>
          <w:szCs w:val="32"/>
          <w:lang w:eastAsia="zh-CN"/>
        </w:rPr>
        <w:t>三期，</w:t>
      </w:r>
      <w:r>
        <w:rPr>
          <w:rFonts w:hint="eastAsia" w:ascii="仿宋_GB2312" w:hAnsi="宋体" w:eastAsia="仿宋_GB2312" w:cs="Times New Roman"/>
          <w:sz w:val="32"/>
          <w:szCs w:val="32"/>
        </w:rPr>
        <w:t>玉津路</w:t>
      </w:r>
      <w:r>
        <w:rPr>
          <w:rFonts w:hint="eastAsia" w:ascii="仿宋_GB2312" w:hAnsi="宋体" w:eastAsia="仿宋_GB2312" w:cs="Times New Roman"/>
          <w:sz w:val="32"/>
          <w:szCs w:val="32"/>
          <w:lang w:eastAsia="zh-CN"/>
        </w:rPr>
        <w:t>二</w:t>
      </w:r>
      <w:r>
        <w:rPr>
          <w:rFonts w:hint="eastAsia" w:ascii="仿宋_GB2312" w:hAnsi="宋体" w:eastAsia="仿宋_GB2312" w:cs="Times New Roman"/>
          <w:sz w:val="32"/>
          <w:szCs w:val="32"/>
        </w:rPr>
        <w:t>期</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玉津路</w:t>
      </w:r>
      <w:r>
        <w:rPr>
          <w:rFonts w:hint="eastAsia" w:ascii="仿宋_GB2312" w:hAnsi="宋体" w:eastAsia="仿宋_GB2312" w:cs="Times New Roman"/>
          <w:sz w:val="32"/>
          <w:szCs w:val="32"/>
          <w:lang w:eastAsia="zh-CN"/>
        </w:rPr>
        <w:t>三</w:t>
      </w:r>
      <w:r>
        <w:rPr>
          <w:rFonts w:hint="eastAsia" w:ascii="仿宋_GB2312" w:hAnsi="宋体" w:eastAsia="仿宋_GB2312" w:cs="Times New Roman"/>
          <w:sz w:val="32"/>
          <w:szCs w:val="32"/>
        </w:rPr>
        <w:t>期</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玉津路四期</w:t>
      </w:r>
      <w:r>
        <w:rPr>
          <w:rFonts w:hint="eastAsia" w:ascii="仿宋_GB2312" w:eastAsia="仿宋_GB2312" w:cs="Times New Roman"/>
          <w:sz w:val="32"/>
          <w:szCs w:val="32"/>
          <w:lang w:eastAsia="zh-CN"/>
        </w:rPr>
        <w:t>；</w:t>
      </w:r>
      <w:r>
        <w:rPr>
          <w:rFonts w:hint="eastAsia" w:ascii="仿宋_GB2312" w:hAnsi="仿宋_GB2312" w:eastAsia="仿宋_GB2312" w:cs="仿宋_GB2312"/>
          <w:sz w:val="32"/>
          <w:szCs w:val="32"/>
        </w:rPr>
        <w:t>围绕新区道路等基础设施建设、要素配套建设、产业项目落地等，积极争取财政资金、包装专项债、</w:t>
      </w:r>
      <w:r>
        <w:rPr>
          <w:rFonts w:hint="eastAsia" w:ascii="仿宋_GB2312" w:hAnsi="仿宋_GB2312" w:eastAsia="仿宋_GB2312" w:cs="仿宋_GB2312"/>
          <w:snapToGrid w:val="0"/>
          <w:kern w:val="0"/>
          <w:sz w:val="32"/>
          <w:szCs w:val="32"/>
        </w:rPr>
        <w:t>金融支持</w:t>
      </w:r>
      <w:r>
        <w:rPr>
          <w:rFonts w:hint="eastAsia" w:ascii="仿宋_GB2312" w:hAnsi="仿宋_GB2312" w:eastAsia="仿宋_GB2312" w:cs="仿宋_GB2312"/>
          <w:sz w:val="32"/>
          <w:szCs w:val="32"/>
        </w:rPr>
        <w:t>，加快推进</w:t>
      </w:r>
      <w:r>
        <w:rPr>
          <w:rFonts w:hint="eastAsia" w:ascii="仿宋_GB2312" w:hAnsi="仿宋_GB2312" w:eastAsia="仿宋_GB2312"/>
          <w:sz w:val="32"/>
        </w:rPr>
        <w:t>空港产业园物流园区基础设施项目</w:t>
      </w:r>
      <w:r>
        <w:rPr>
          <w:rFonts w:hint="eastAsia" w:ascii="仿宋_GB2312" w:hAnsi="仿宋_GB2312" w:eastAsia="仿宋_GB2312" w:cs="仿宋_GB2312"/>
          <w:sz w:val="32"/>
          <w:szCs w:val="32"/>
        </w:rPr>
        <w:t>、</w:t>
      </w:r>
      <w:r>
        <w:rPr>
          <w:rFonts w:hint="eastAsia" w:ascii="仿宋_GB2312" w:hAnsi="宋体" w:eastAsia="仿宋_GB2312"/>
          <w:sz w:val="32"/>
          <w:szCs w:val="32"/>
        </w:rPr>
        <w:t>乐山市五通桥区城乡融合发展项目</w:t>
      </w:r>
      <w:r>
        <w:rPr>
          <w:rFonts w:hint="eastAsia" w:ascii="仿宋_GB2312" w:hAnsi="宋体" w:eastAsia="仿宋_GB2312"/>
          <w:sz w:val="32"/>
          <w:szCs w:val="32"/>
          <w:lang w:eastAsia="zh-CN"/>
        </w:rPr>
        <w:t>、</w:t>
      </w:r>
      <w:r>
        <w:rPr>
          <w:rFonts w:hint="eastAsia" w:ascii="仿宋_GB2312" w:hAnsi="仿宋_GB2312" w:eastAsia="仿宋_GB2312" w:cs="仿宋_GB2312"/>
          <w:sz w:val="32"/>
          <w:szCs w:val="32"/>
        </w:rPr>
        <w:t>中省资金项目</w:t>
      </w:r>
      <w:r>
        <w:rPr>
          <w:rFonts w:hint="eastAsia" w:ascii="仿宋_GB2312" w:hAnsi="仿宋_GB2312" w:eastAsia="仿宋_GB2312" w:cs="仿宋_GB2312"/>
          <w:snapToGrid w:val="0"/>
          <w:kern w:val="0"/>
          <w:sz w:val="32"/>
          <w:szCs w:val="32"/>
        </w:rPr>
        <w:t>建设实施，</w:t>
      </w:r>
      <w:r>
        <w:rPr>
          <w:rFonts w:hint="eastAsia" w:ascii="仿宋_GB2312" w:hAnsi="仿宋_GB2312" w:eastAsia="仿宋_GB2312" w:cs="仿宋_GB2312"/>
          <w:spacing w:val="15"/>
          <w:sz w:val="32"/>
          <w:szCs w:val="32"/>
        </w:rPr>
        <w:t>为推动新区高质量发展注入强劲动</w:t>
      </w:r>
      <w:r>
        <w:rPr>
          <w:rFonts w:hint="eastAsia" w:ascii="仿宋_GB2312" w:hAnsi="宋体" w:eastAsia="仿宋_GB2312"/>
          <w:sz w:val="32"/>
          <w:szCs w:val="32"/>
        </w:rPr>
        <w:t>力</w:t>
      </w:r>
      <w:r>
        <w:rPr>
          <w:rFonts w:hint="eastAsia" w:ascii="仿宋_GB2312" w:eastAsia="仿宋_GB2312"/>
          <w:sz w:val="32"/>
          <w:szCs w:val="32"/>
          <w:lang w:eastAsia="zh-CN"/>
        </w:rPr>
        <w:t>。</w:t>
      </w:r>
    </w:p>
    <w:p>
      <w:pPr>
        <w:keepNext w:val="0"/>
        <w:keepLines w:val="0"/>
        <w:pageBreakBefore w:val="0"/>
        <w:widowControl w:val="0"/>
        <w:numPr>
          <w:ilvl w:val="0"/>
          <w:numId w:val="0"/>
        </w:numPr>
        <w:pBdr>
          <w:top w:val="single" w:color="FFFFFF" w:sz="4" w:space="2"/>
          <w:left w:val="single" w:color="FFFFFF" w:sz="4" w:space="31"/>
          <w:bottom w:val="single" w:color="FFFFFF" w:sz="4" w:space="31"/>
          <w:right w:val="single" w:color="FFFFFF" w:sz="4" w:space="31"/>
        </w:pBdr>
        <w:kinsoku/>
        <w:wordWrap/>
        <w:overflowPunct/>
        <w:topLinePunct w:val="0"/>
        <w:autoSpaceDE/>
        <w:autoSpaceDN/>
        <w:bidi w:val="0"/>
        <w:adjustRightInd w:val="0"/>
        <w:snapToGrid w:val="0"/>
        <w:spacing w:before="0" w:line="560" w:lineRule="exact"/>
        <w:ind w:left="0" w:leftChars="0" w:right="0" w:rightChars="0" w:firstLine="640" w:firstLineChars="200"/>
        <w:textAlignment w:val="auto"/>
        <w:rPr>
          <w:rFonts w:hint="eastAsia" w:ascii="宋体" w:hAnsi="宋体" w:eastAsia="黑体" w:cs="仿宋_GB2312"/>
          <w:color w:val="333333"/>
          <w:sz w:val="32"/>
          <w:szCs w:val="32"/>
          <w:lang w:val="zh-CN" w:eastAsia="zh-CN" w:bidi="zh-CN"/>
        </w:rPr>
      </w:pPr>
      <w:r>
        <w:rPr>
          <w:rFonts w:hint="eastAsia" w:ascii="宋体" w:hAnsi="宋体" w:eastAsia="黑体" w:cs="仿宋_GB2312"/>
          <w:color w:val="333333"/>
          <w:sz w:val="32"/>
          <w:szCs w:val="32"/>
          <w:lang w:val="zh-CN" w:eastAsia="zh-CN" w:bidi="zh-CN"/>
        </w:rPr>
        <w:t>二、部门预算单位构成</w:t>
      </w:r>
      <w:bookmarkEnd w:id="4"/>
    </w:p>
    <w:p>
      <w:pPr>
        <w:keepNext w:val="0"/>
        <w:keepLines w:val="0"/>
        <w:pageBreakBefore w:val="0"/>
        <w:widowControl w:val="0"/>
        <w:numPr>
          <w:ilvl w:val="0"/>
          <w:numId w:val="0"/>
        </w:numPr>
        <w:pBdr>
          <w:top w:val="single" w:color="FFFFFF" w:sz="4" w:space="2"/>
          <w:left w:val="single" w:color="FFFFFF" w:sz="4" w:space="31"/>
          <w:bottom w:val="single" w:color="FFFFFF" w:sz="4" w:space="31"/>
          <w:right w:val="single" w:color="FFFFFF" w:sz="4" w:space="31"/>
        </w:pBdr>
        <w:kinsoku/>
        <w:wordWrap/>
        <w:overflowPunct/>
        <w:topLinePunct w:val="0"/>
        <w:autoSpaceDE/>
        <w:autoSpaceDN/>
        <w:bidi w:val="0"/>
        <w:adjustRightInd w:val="0"/>
        <w:snapToGrid w:val="0"/>
        <w:spacing w:before="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部门下属预算单位2个（含机关），其中行政单位1，其他事业单位1个。主要包括：</w:t>
      </w:r>
    </w:p>
    <w:tbl>
      <w:tblPr>
        <w:tblStyle w:val="9"/>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7"/>
        <w:gridCol w:w="6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007" w:type="dxa"/>
          </w:tcPr>
          <w:p>
            <w:pPr>
              <w:pStyle w:val="13"/>
              <w:spacing w:before="159"/>
              <w:ind w:left="748"/>
              <w:rPr>
                <w:rFonts w:hint="eastAsia" w:ascii="宋体" w:hAnsi="宋体" w:eastAsia="仿宋_GB2312"/>
                <w:sz w:val="32"/>
              </w:rPr>
            </w:pPr>
            <w:r>
              <w:rPr>
                <w:rFonts w:hint="eastAsia" w:ascii="宋体" w:hAnsi="宋体" w:eastAsia="仿宋_GB2312"/>
                <w:color w:val="333333"/>
                <w:sz w:val="32"/>
              </w:rPr>
              <w:t>序号</w:t>
            </w:r>
          </w:p>
        </w:tc>
        <w:tc>
          <w:tcPr>
            <w:tcW w:w="6282" w:type="dxa"/>
          </w:tcPr>
          <w:p>
            <w:pPr>
              <w:pStyle w:val="13"/>
              <w:spacing w:before="159"/>
              <w:ind w:left="2498"/>
              <w:rPr>
                <w:rFonts w:hint="eastAsia" w:ascii="宋体" w:hAnsi="宋体" w:eastAsia="仿宋_GB2312"/>
                <w:sz w:val="32"/>
              </w:rPr>
            </w:pPr>
            <w:r>
              <w:rPr>
                <w:rFonts w:hint="eastAsia" w:ascii="宋体" w:hAnsi="宋体" w:eastAsia="仿宋_GB2312"/>
                <w:color w:val="333333"/>
                <w:sz w:val="32"/>
              </w:rPr>
              <w:t>预算单位名称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007" w:type="dxa"/>
          </w:tcPr>
          <w:p>
            <w:pPr>
              <w:pStyle w:val="13"/>
              <w:spacing w:before="181"/>
              <w:ind w:left="748"/>
              <w:rPr>
                <w:rFonts w:ascii="宋体" w:hAnsi="宋体"/>
                <w:sz w:val="32"/>
              </w:rPr>
            </w:pPr>
            <w:r>
              <w:rPr>
                <w:rFonts w:ascii="宋体" w:hAnsi="宋体"/>
                <w:color w:val="333333"/>
                <w:w w:val="99"/>
                <w:sz w:val="32"/>
              </w:rPr>
              <w:t>1</w:t>
            </w:r>
          </w:p>
        </w:tc>
        <w:tc>
          <w:tcPr>
            <w:tcW w:w="6282" w:type="dxa"/>
          </w:tcPr>
          <w:p>
            <w:pPr>
              <w:pStyle w:val="13"/>
              <w:spacing w:before="160"/>
              <w:ind w:left="746"/>
              <w:rPr>
                <w:rFonts w:hint="eastAsia" w:ascii="宋体" w:hAnsi="宋体" w:eastAsia="仿宋_GB2312"/>
                <w:sz w:val="32"/>
                <w:lang w:eastAsia="zh-CN"/>
              </w:rPr>
            </w:pPr>
            <w:r>
              <w:rPr>
                <w:rFonts w:hint="eastAsia" w:eastAsia="仿宋_GB2312"/>
                <w:sz w:val="32"/>
                <w:lang w:eastAsia="zh-CN"/>
              </w:rPr>
              <w:t>乐山冠英新区开发建设管理委员会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007" w:type="dxa"/>
          </w:tcPr>
          <w:p>
            <w:pPr>
              <w:pStyle w:val="13"/>
              <w:spacing w:before="183"/>
              <w:ind w:left="748"/>
              <w:rPr>
                <w:rFonts w:ascii="宋体" w:hAnsi="宋体"/>
                <w:sz w:val="32"/>
              </w:rPr>
            </w:pPr>
            <w:r>
              <w:rPr>
                <w:rFonts w:ascii="宋体" w:hAnsi="宋体"/>
                <w:color w:val="333333"/>
                <w:w w:val="99"/>
                <w:sz w:val="32"/>
              </w:rPr>
              <w:t>2</w:t>
            </w:r>
          </w:p>
        </w:tc>
        <w:tc>
          <w:tcPr>
            <w:tcW w:w="6282" w:type="dxa"/>
          </w:tcPr>
          <w:p>
            <w:pPr>
              <w:pStyle w:val="13"/>
              <w:spacing w:before="162"/>
              <w:ind w:left="746"/>
              <w:rPr>
                <w:rFonts w:hint="eastAsia" w:ascii="宋体" w:hAnsi="宋体" w:eastAsia="仿宋_GB2312"/>
                <w:sz w:val="32"/>
                <w:lang w:eastAsia="zh-CN"/>
              </w:rPr>
            </w:pPr>
            <w:r>
              <w:rPr>
                <w:rFonts w:hint="eastAsia" w:eastAsia="仿宋_GB2312"/>
                <w:sz w:val="32"/>
                <w:lang w:eastAsia="zh-CN"/>
              </w:rPr>
              <w:t>乐山冠英新区开发建设服务中心</w:t>
            </w:r>
          </w:p>
        </w:tc>
      </w:tr>
    </w:tbl>
    <w:p>
      <w:pPr>
        <w:rPr>
          <w:rFonts w:ascii="宋体" w:hAnsi="宋体"/>
          <w:sz w:val="20"/>
        </w:rPr>
      </w:pPr>
      <w:r>
        <w:rPr>
          <w:rFonts w:ascii="宋体" w:hAnsi="宋体"/>
          <w:sz w:val="20"/>
        </w:rPr>
        <w:br w:type="page"/>
      </w: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numPr>
          <w:ilvl w:val="0"/>
          <w:numId w:val="2"/>
        </w:numPr>
        <w:jc w:val="both"/>
        <w:outlineLvl w:val="0"/>
        <w:rPr>
          <w:rFonts w:hint="default" w:ascii="宋体" w:hAnsi="宋体" w:eastAsia="方正小标宋简体" w:cs="方正小标宋简体"/>
          <w:b/>
          <w:bCs/>
          <w:sz w:val="52"/>
          <w:szCs w:val="52"/>
          <w:lang w:val="en-US" w:eastAsia="zh-CN"/>
        </w:rPr>
      </w:pPr>
      <w:bookmarkStart w:id="5" w:name="_Toc28587"/>
      <w:r>
        <w:rPr>
          <w:rFonts w:hint="eastAsia" w:ascii="宋体" w:hAnsi="宋体" w:eastAsia="方正小标宋简体" w:cs="方正小标宋简体"/>
          <w:b/>
          <w:bCs/>
          <w:sz w:val="52"/>
          <w:szCs w:val="52"/>
          <w:lang w:val="en-US" w:eastAsia="zh-CN"/>
        </w:rPr>
        <w:t>乐山冠英新区开发建设管理委员    会2024年部门预算表</w:t>
      </w:r>
      <w:bookmarkEnd w:id="5"/>
    </w:p>
    <w:p>
      <w:pPr>
        <w:rPr>
          <w:rFonts w:hint="eastAsia" w:ascii="宋体" w:hAnsi="宋体"/>
          <w:sz w:val="32"/>
          <w:lang w:val="en-US" w:eastAsia="zh-CN"/>
        </w:rPr>
      </w:pPr>
      <w:r>
        <w:rPr>
          <w:rFonts w:ascii="宋体" w:hAnsi="宋体"/>
          <w:color w:val="333333"/>
        </w:rPr>
        <w:br w:type="page"/>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6" w:name="_Toc12069"/>
      <w:r>
        <w:rPr>
          <w:rFonts w:hint="eastAsia" w:ascii="宋体" w:hAnsi="宋体"/>
          <w:sz w:val="32"/>
          <w:lang w:val="en-US" w:eastAsia="zh-CN"/>
        </w:rPr>
        <w:t>一、部门收支总表（公开表 1）</w:t>
      </w:r>
      <w:bookmarkEnd w:id="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7" w:name="_Toc27995"/>
      <w:r>
        <w:rPr>
          <w:rFonts w:hint="eastAsia" w:ascii="宋体" w:hAnsi="宋体"/>
          <w:sz w:val="32"/>
          <w:lang w:val="en-US" w:eastAsia="zh-CN"/>
        </w:rPr>
        <w:t>二、部门收入总表（公开表 1-1）</w:t>
      </w:r>
      <w:bookmarkEnd w:id="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8" w:name="_Toc3639"/>
      <w:r>
        <w:rPr>
          <w:rFonts w:hint="eastAsia" w:ascii="宋体" w:hAnsi="宋体"/>
          <w:sz w:val="32"/>
          <w:lang w:val="en-US" w:eastAsia="zh-CN"/>
        </w:rPr>
        <w:t>三、部门支出总表（公开表 1-2）</w:t>
      </w:r>
      <w:bookmarkEnd w:id="8"/>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9" w:name="_Toc25815"/>
      <w:r>
        <w:rPr>
          <w:rFonts w:hint="eastAsia" w:ascii="宋体" w:hAnsi="宋体"/>
          <w:sz w:val="32"/>
          <w:lang w:val="en-US" w:eastAsia="zh-CN"/>
        </w:rPr>
        <w:t>四、财政拨款收支预算总表（公开表 2）</w:t>
      </w:r>
      <w:bookmarkEnd w:id="9"/>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0" w:name="_Toc4686"/>
      <w:r>
        <w:rPr>
          <w:rFonts w:hint="eastAsia" w:ascii="宋体" w:hAnsi="宋体"/>
          <w:sz w:val="32"/>
          <w:lang w:val="en-US" w:eastAsia="zh-CN"/>
        </w:rPr>
        <w:t>五、财政拨款支出预算表（部门经济分类科目）</w:t>
      </w:r>
      <w:bookmarkEnd w:id="1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firstLine="438" w:firstLineChars="137"/>
        <w:jc w:val="left"/>
        <w:textAlignment w:val="auto"/>
        <w:rPr>
          <w:rFonts w:hint="eastAsia" w:ascii="宋体" w:hAnsi="宋体"/>
          <w:sz w:val="32"/>
          <w:lang w:val="en-US" w:eastAsia="zh-CN"/>
        </w:rPr>
      </w:pPr>
      <w:r>
        <w:rPr>
          <w:rFonts w:hint="eastAsia" w:ascii="宋体" w:hAnsi="宋体"/>
          <w:sz w:val="32"/>
          <w:lang w:val="en-US" w:eastAsia="zh-CN"/>
        </w:rPr>
        <w:t>（公开表 2-1）</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1" w:name="_Toc7952"/>
      <w:r>
        <w:rPr>
          <w:rFonts w:hint="eastAsia" w:ascii="宋体" w:hAnsi="宋体"/>
          <w:sz w:val="32"/>
          <w:lang w:val="en-US" w:eastAsia="zh-CN"/>
        </w:rPr>
        <w:t>六、一般公共预算支出预算表（公开表 3）</w:t>
      </w:r>
      <w:bookmarkEnd w:id="11"/>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2" w:name="_Toc32200"/>
      <w:r>
        <w:rPr>
          <w:rFonts w:hint="eastAsia" w:ascii="宋体" w:hAnsi="宋体"/>
          <w:sz w:val="32"/>
          <w:lang w:val="en-US" w:eastAsia="zh-CN"/>
        </w:rPr>
        <w:t>七、一般公共预算基本支出预算表（公开表 3-1）</w:t>
      </w:r>
      <w:bookmarkEnd w:id="12"/>
      <w:r>
        <w:rPr>
          <w:rFonts w:hint="eastAsia" w:ascii="宋体" w:hAnsi="宋体"/>
          <w:sz w:val="32"/>
          <w:lang w:val="en-US" w:eastAsia="zh-CN"/>
        </w:rPr>
        <w:t xml:space="preserve"> </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3" w:name="_Toc17751"/>
      <w:r>
        <w:rPr>
          <w:rFonts w:hint="eastAsia" w:ascii="宋体" w:hAnsi="宋体"/>
          <w:sz w:val="32"/>
          <w:lang w:val="en-US" w:eastAsia="zh-CN"/>
        </w:rPr>
        <w:t>八、一般公共预算项目支出预算表（公开表 3-2）</w:t>
      </w:r>
      <w:bookmarkEnd w:id="13"/>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4" w:name="_Toc11119"/>
      <w:r>
        <w:rPr>
          <w:rFonts w:hint="eastAsia" w:ascii="宋体" w:hAnsi="宋体"/>
          <w:sz w:val="32"/>
          <w:lang w:val="en-US" w:eastAsia="zh-CN"/>
        </w:rPr>
        <w:t>九、一般公共预算“三公”经费支出预算表</w:t>
      </w:r>
      <w:bookmarkEnd w:id="14"/>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firstLine="438" w:firstLineChars="137"/>
        <w:jc w:val="left"/>
        <w:textAlignment w:val="auto"/>
        <w:rPr>
          <w:rFonts w:hint="eastAsia" w:ascii="宋体" w:hAnsi="宋体"/>
          <w:sz w:val="32"/>
          <w:lang w:val="en-US" w:eastAsia="zh-CN"/>
        </w:rPr>
      </w:pPr>
      <w:r>
        <w:rPr>
          <w:rFonts w:hint="eastAsia" w:ascii="宋体" w:hAnsi="宋体"/>
          <w:sz w:val="32"/>
          <w:lang w:val="en-US" w:eastAsia="zh-CN"/>
        </w:rPr>
        <w:t xml:space="preserve">（公开表 3-3） </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5" w:name="_Toc19211"/>
      <w:r>
        <w:rPr>
          <w:rFonts w:hint="eastAsia" w:ascii="宋体" w:hAnsi="宋体"/>
          <w:sz w:val="32"/>
          <w:lang w:val="en-US" w:eastAsia="zh-CN"/>
        </w:rPr>
        <w:t>十、政府性基金预算支出表（公开表 4）</w:t>
      </w:r>
      <w:bookmarkEnd w:id="15"/>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6" w:name="_Toc7676"/>
      <w:r>
        <w:rPr>
          <w:rFonts w:hint="eastAsia" w:ascii="宋体" w:hAnsi="宋体"/>
          <w:sz w:val="32"/>
          <w:lang w:val="en-US" w:eastAsia="zh-CN"/>
        </w:rPr>
        <w:t>十一、政府性基金预算“三公”经费支出预算表</w:t>
      </w:r>
      <w:bookmarkEnd w:id="1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firstLine="438" w:firstLineChars="137"/>
        <w:jc w:val="left"/>
        <w:textAlignment w:val="auto"/>
        <w:rPr>
          <w:rFonts w:hint="eastAsia" w:ascii="宋体" w:hAnsi="宋体"/>
          <w:sz w:val="32"/>
          <w:lang w:val="en-US" w:eastAsia="zh-CN"/>
        </w:rPr>
      </w:pPr>
      <w:r>
        <w:rPr>
          <w:rFonts w:hint="eastAsia" w:ascii="宋体" w:hAnsi="宋体"/>
          <w:sz w:val="32"/>
          <w:lang w:val="en-US" w:eastAsia="zh-CN"/>
        </w:rPr>
        <w:t>（公开表 4-1）</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7" w:name="_Toc22917"/>
      <w:r>
        <w:rPr>
          <w:rFonts w:hint="eastAsia" w:ascii="宋体" w:hAnsi="宋体"/>
          <w:sz w:val="32"/>
          <w:lang w:val="en-US" w:eastAsia="zh-CN"/>
        </w:rPr>
        <w:t>十二、国有资本经营预算支出表（公开表 5）</w:t>
      </w:r>
      <w:bookmarkEnd w:id="1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8" w:name="_Toc27847"/>
      <w:r>
        <w:rPr>
          <w:rFonts w:hint="eastAsia" w:ascii="宋体" w:hAnsi="宋体"/>
          <w:sz w:val="32"/>
          <w:lang w:val="en-US" w:eastAsia="zh-CN"/>
        </w:rPr>
        <w:t>十三、部门整体支出绩效目标表（公开表 6）</w:t>
      </w:r>
      <w:bookmarkEnd w:id="18"/>
      <w:r>
        <w:rPr>
          <w:rFonts w:hint="eastAsia" w:ascii="宋体" w:hAnsi="宋体"/>
          <w:sz w:val="32"/>
          <w:lang w:val="en-US" w:eastAsia="zh-CN"/>
        </w:rPr>
        <w:t xml:space="preserve"> </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9" w:name="_Toc30878"/>
      <w:r>
        <w:rPr>
          <w:rFonts w:hint="eastAsia" w:ascii="宋体" w:hAnsi="宋体"/>
          <w:sz w:val="32"/>
          <w:lang w:val="en-US" w:eastAsia="zh-CN"/>
        </w:rPr>
        <w:t>十四、部门预算项目支出绩效目标表（公开表 7）</w:t>
      </w:r>
      <w:bookmarkEnd w:id="19"/>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20" w:name="_Toc32437"/>
      <w:r>
        <w:rPr>
          <w:rFonts w:hint="eastAsia" w:ascii="宋体" w:hAnsi="宋体"/>
          <w:sz w:val="32"/>
          <w:lang w:val="en-US" w:eastAsia="zh-CN"/>
        </w:rPr>
        <w:t>十五、政府采购预算表（公开表 8）</w:t>
      </w:r>
      <w:bookmarkEnd w:id="2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default" w:ascii="宋体" w:hAnsi="宋体"/>
          <w:b/>
          <w:bCs/>
          <w:sz w:val="32"/>
          <w:lang w:val="en-US" w:eastAsia="zh-CN"/>
        </w:rPr>
      </w:pPr>
      <w:bookmarkStart w:id="21" w:name="_Toc16458"/>
      <w:r>
        <w:rPr>
          <w:rFonts w:hint="eastAsia" w:ascii="宋体" w:hAnsi="宋体"/>
          <w:b/>
          <w:bCs/>
          <w:sz w:val="32"/>
          <w:lang w:val="en-US" w:eastAsia="zh-CN"/>
        </w:rPr>
        <w:t>以上所有表格详见部门说明后附件。</w:t>
      </w:r>
      <w:bookmarkEnd w:id="21"/>
    </w:p>
    <w:p>
      <w:pPr>
        <w:rPr>
          <w:rFonts w:ascii="宋体" w:hAnsi="宋体"/>
          <w:sz w:val="20"/>
        </w:rPr>
      </w:pPr>
      <w:r>
        <w:rPr>
          <w:rFonts w:ascii="宋体" w:hAnsi="宋体"/>
          <w:sz w:val="20"/>
        </w:rPr>
        <w:br w:type="page"/>
      </w: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numPr>
          <w:ilvl w:val="0"/>
          <w:numId w:val="2"/>
        </w:numPr>
        <w:spacing w:before="6"/>
        <w:ind w:left="0" w:leftChars="0" w:firstLine="0" w:firstLineChars="0"/>
        <w:jc w:val="center"/>
        <w:outlineLvl w:val="0"/>
        <w:rPr>
          <w:rFonts w:hint="default" w:ascii="宋体" w:hAnsi="宋体"/>
          <w:sz w:val="20"/>
          <w:lang w:val="en-US"/>
        </w:rPr>
        <w:sectPr>
          <w:headerReference r:id="rId8" w:type="default"/>
          <w:pgSz w:w="11910" w:h="16840"/>
          <w:pgMar w:top="1587" w:right="964" w:bottom="1701" w:left="1134" w:header="737" w:footer="737" w:gutter="0"/>
          <w:pgNumType w:fmt="decimal"/>
          <w:cols w:space="0" w:num="1"/>
          <w:rtlGutter w:val="0"/>
          <w:docGrid w:linePitch="0" w:charSpace="0"/>
        </w:sectPr>
      </w:pPr>
      <w:bookmarkStart w:id="22" w:name="_Toc19948"/>
      <w:r>
        <w:rPr>
          <w:rFonts w:hint="eastAsia" w:ascii="宋体" w:hAnsi="宋体" w:eastAsia="方正小标宋简体" w:cs="方正小标宋简体"/>
          <w:sz w:val="52"/>
          <w:szCs w:val="52"/>
          <w:lang w:val="en-US" w:eastAsia="zh-CN"/>
        </w:rPr>
        <w:t>乐山冠英新区开发建设管理委员会2024年</w:t>
      </w:r>
      <w:bookmarkEnd w:id="22"/>
      <w:bookmarkStart w:id="23" w:name="_Toc1047"/>
      <w:r>
        <w:rPr>
          <w:rFonts w:hint="eastAsia" w:ascii="宋体" w:hAnsi="宋体" w:eastAsia="方正小标宋简体" w:cs="方正小标宋简体"/>
          <w:sz w:val="52"/>
          <w:szCs w:val="52"/>
          <w:lang w:val="en-US" w:eastAsia="zh-CN"/>
        </w:rPr>
        <w:t>部门预算情况说明</w:t>
      </w:r>
      <w:bookmarkEnd w:id="23"/>
    </w:p>
    <w:p>
      <w:pPr>
        <w:pStyle w:val="4"/>
        <w:keepNext w:val="0"/>
        <w:keepLines w:val="0"/>
        <w:pageBreakBefore w:val="0"/>
        <w:widowControl w:val="0"/>
        <w:kinsoku/>
        <w:wordWrap/>
        <w:overflowPunct/>
        <w:topLinePunct w:val="0"/>
        <w:autoSpaceDE w:val="0"/>
        <w:autoSpaceDN w:val="0"/>
        <w:bidi w:val="0"/>
        <w:adjustRightInd/>
        <w:snapToGrid/>
        <w:spacing w:before="40" w:after="0" w:afterLines="50"/>
        <w:textAlignment w:val="auto"/>
        <w:rPr>
          <w:rFonts w:hint="eastAsia" w:ascii="宋体" w:hAnsi="宋体" w:eastAsia="黑体"/>
          <w:color w:val="333333"/>
        </w:rPr>
      </w:pP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24" w:name="_Toc469"/>
      <w:r>
        <w:rPr>
          <w:rFonts w:hint="eastAsia" w:ascii="宋体" w:hAnsi="宋体" w:eastAsia="黑体"/>
          <w:color w:val="333333"/>
        </w:rPr>
        <w:t>一、收支预算情况说明</w:t>
      </w:r>
      <w:bookmarkEnd w:id="24"/>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按照综合预算的原则，冠英新区部门所有收入和支出均纳入部门预算管理。收入包括：一般公共预算拨款收入347.889763万元；政府性基金预算拨款收入20561.091577万元。支出包括：社会保障和就业支出51.286962万元、卫生健康支出11.089471万元、城乡社区支出20561.0</w:t>
      </w:r>
      <w:bookmarkStart w:id="44" w:name="_GoBack"/>
      <w:bookmarkEnd w:id="44"/>
      <w:r>
        <w:rPr>
          <w:rFonts w:hint="eastAsia" w:ascii="宋体" w:hAnsi="宋体"/>
          <w:sz w:val="32"/>
          <w:lang w:val="en-US" w:eastAsia="zh-CN"/>
        </w:rPr>
        <w:t>91577万元、资源勘探工业信息等支出257.896915万元、住房保障支出27.616415万元。冠英新区部门2024年收支预算总数20908.98134万元,比2023年收支预算总数22547.72215万元减少1638.74081万元。主要原因是项目支出减少。</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25" w:name="_Toc12176"/>
      <w:r>
        <w:rPr>
          <w:rFonts w:ascii="宋体" w:hAnsi="宋体"/>
        </w:rPr>
        <w:t>（一）收入预算情况</w:t>
      </w:r>
      <w:bookmarkEnd w:id="25"/>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乐山冠英新区2024年收入预算20908.98134万元，其中：一般公共预算拨款收入347.889763万元，占1.66%；政府基金预算拨款收入20561.091577万元，占98.34%。</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26" w:name="_Toc23149"/>
      <w:r>
        <w:rPr>
          <w:rFonts w:ascii="宋体" w:hAnsi="宋体"/>
        </w:rPr>
        <w:t>（二）支出预算情况</w:t>
      </w:r>
      <w:bookmarkEnd w:id="2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乐山冠英新区2024年支出预算20908.98134万元，其中：人员支出310.289763万元，日常公用支出37.6万元，专项支出20561.091577万元。</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27" w:name="_Toc729"/>
      <w:r>
        <w:rPr>
          <w:rFonts w:hint="eastAsia" w:ascii="宋体" w:hAnsi="宋体" w:eastAsia="黑体"/>
          <w:color w:val="333333"/>
        </w:rPr>
        <w:t>二、财政拨款收支预算情况说明</w:t>
      </w:r>
      <w:bookmarkEnd w:id="2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乐山冠英新区2024年财政拨款收支预算总数20908.98134万元,比2023年财政拨款收支预算总数22547.72215万元减少1638.74081万元。主要原因是项目支出减少。</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其中：基本支出347.889763万元，占1.66%；项目支出20561.091577万元，占98.34%。</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基本支出，是用于保障冠英新区机关、下属事业单位等机构正常运转的日常支出，包括基本工资、津贴补贴等人员经费以及办公费、印刷费、水电费、办公设备购置等日常公用经费。</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项目支出，是用于保障冠英新区机关、下属事业单位等机构为完成特定的行政工作任务或事业发展目标，用于专项业务工作的经费支出。</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28" w:name="_Toc32511"/>
      <w:r>
        <w:rPr>
          <w:rFonts w:hint="eastAsia" w:ascii="宋体" w:hAnsi="宋体" w:eastAsia="黑体"/>
          <w:color w:val="333333"/>
        </w:rPr>
        <w:t>三、一般公共预算当年拨款情况说明</w:t>
      </w:r>
      <w:bookmarkEnd w:id="28"/>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29" w:name="_Toc6394"/>
      <w:r>
        <w:rPr>
          <w:rFonts w:ascii="宋体" w:hAnsi="宋体"/>
        </w:rPr>
        <w:t>（一）一般公共预算当年拨款规模变化情况</w:t>
      </w:r>
      <w:bookmarkEnd w:id="29"/>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冠英新区2024年一般公共预算当年拨款347.889763万元，比2023年财政拨款收支预算总数356.916115万元减少 9.026352万元。主要原因是减少办公场地租用费。</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30" w:name="_Toc5045"/>
      <w:r>
        <w:rPr>
          <w:rFonts w:ascii="宋体" w:hAnsi="宋体"/>
        </w:rPr>
        <w:t>（二）一般公共预算当年拨款结构情况</w:t>
      </w:r>
      <w:bookmarkEnd w:id="3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冠英新区部门2024年一般公共预算支出347.889763万元，主要包括社会保障和就业支出51.286962万元，占14.74%；卫生健康支出11.089471万元，占3.19%；资源勘探工业信息等支出257.896915万元，占74.13%；住房保障支出27.616415万元，占7.94%。</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1285" w:firstLineChars="400"/>
        <w:textAlignment w:val="auto"/>
        <w:rPr>
          <w:rFonts w:hint="eastAsia" w:ascii="宋体" w:hAnsi="宋体" w:eastAsia="楷体"/>
          <w:highlight w:val="yellow"/>
          <w:lang w:eastAsia="zh-CN"/>
        </w:rPr>
      </w:pPr>
      <w:bookmarkStart w:id="31" w:name="_Toc11698"/>
      <w:r>
        <w:rPr>
          <w:rFonts w:ascii="宋体" w:hAnsi="宋体"/>
        </w:rPr>
        <w:t>（三）一般公共预算当年拨款具体使用情况</w:t>
      </w:r>
      <w:bookmarkEnd w:id="31"/>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bookmarkStart w:id="32" w:name="_Toc21665"/>
      <w:r>
        <w:rPr>
          <w:rFonts w:hint="eastAsia" w:ascii="宋体" w:hAnsi="宋体"/>
          <w:sz w:val="32"/>
          <w:lang w:val="en-US" w:eastAsia="zh-CN"/>
        </w:rPr>
        <w:t>1.社会保障和就业（类）行政事业单位离退休（款）机关事业单位基本养老保险缴费支出（项）:2024年预算数为32.061488万元，主要用于：实施养老保险制度后，部门按规定由单位缴纳的基本养老保险费支出。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2.社会保障和就业（类）行政事业单位离退休（款）机关事业单位职业年金缴费支出（项）:2024年预算数为16.030744万元，主要用于：实施养老保险制度后，部门按规定由单位缴纳的职业年金支出。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3.社会保障和就业（类）行政事业单位离退休（款）其他行政事业单位养老支出（项）:2024年预算数为0.83万元，主要用于：保障离退休人员经费支出。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4.社会保障和就业（类）行政事业单位离退休（款）其他社会保障和就业支出（项）:2024年预算数为2.36476万元，主要用于：实施养老保险制度后，部门按规定由单位缴纳的工伤和失业保险支出。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5.卫生健康（类）行政事业单位医疗（款）行政单位医疗（项）:2024年预算数为5.43079万元，主要用于：机关及参公管理事业单位基本医疗保险缴费支出。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6.卫生健康（类）行政事业单位医疗（款）事业单位医疗（项）:2024年预算数为5.658681万元，主要用于：部门下属事业单位基本医疗保险缴费支出。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7.资源勘探信息（类）工业和信息监管（款）其他工业和信息产业监管支出（项）：2024年预算数257.896915万元，主要用于：机关及下属事业单位正常运转的基本支出，包括基本工资、津贴补贴等人员经费以及办公费、印刷费、水电费、业务工作的经费支出、招商引资公务接待费、部门及下属事业单位办公场地租用费、公务用车运行维护费等日常公用经费。</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8.住房保障（类）住房改革支出（款）住房公积金（项）:2024年预算数为27.316415万元，主要用于：部门按人力资源和社会保障部、财政部规定的基本工资和津贴补贴以及规定比例为职工缴纳的住房公积金支出。</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r>
        <w:rPr>
          <w:rFonts w:hint="eastAsia" w:ascii="宋体" w:hAnsi="宋体" w:eastAsia="黑体"/>
          <w:color w:val="333333"/>
        </w:rPr>
        <w:t>四、一般公共预算基本支出情况说明</w:t>
      </w:r>
      <w:bookmarkEnd w:id="32"/>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冠英新区部门2024年一般公共预算基本支出347.889763万元，其中：</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人员经费310.289763万元，主要包括：基本工资、津贴补贴、奖金、伙食补助费、绩效工资、机关事业单位基本养老保险缴费、职业年金缴费、职工基本医疗保险缴费、其他社会保障缴费、住房公积金、其他工资福利支出、生活补助、其他对个人和家庭的补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公用经费37.6万元，主要包括：主要包括：办公费、印刷费、水费、电费、邮电费、差旅费、维修（护）费、会议费、培训费、公务接待费、劳务费、工会经费、福利费、公务用车运行维护费、其他交通费、其他商品和服务支出。</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33" w:name="_Toc1746"/>
      <w:r>
        <w:rPr>
          <w:rFonts w:hint="eastAsia" w:ascii="宋体" w:hAnsi="宋体" w:eastAsia="黑体"/>
          <w:color w:val="333333"/>
        </w:rPr>
        <w:t>五、“三公”经费财政拨款预算安排情况说明</w:t>
      </w:r>
      <w:bookmarkEnd w:id="33"/>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冠英新区部门2024年“三公”经费财政拨款预算数2万元，其中：公务接待费2万元，公务用车购置0万元，公车运行维护费0万元。</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2024年公务接待费计划用于</w:t>
      </w:r>
      <w:r>
        <w:rPr>
          <w:rFonts w:hint="eastAsia"/>
          <w:bCs/>
          <w:sz w:val="32"/>
          <w:szCs w:val="32"/>
        </w:rPr>
        <w:t>冠英新区招商引资接待等</w:t>
      </w:r>
      <w:r>
        <w:rPr>
          <w:rFonts w:hint="eastAsia" w:ascii="宋体" w:hAnsi="宋体"/>
          <w:sz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34" w:name="_Toc10802"/>
      <w:r>
        <w:rPr>
          <w:rFonts w:ascii="宋体" w:hAnsi="宋体"/>
        </w:rPr>
        <w:t>（一）</w:t>
      </w:r>
      <w:r>
        <w:rPr>
          <w:rFonts w:hint="eastAsia" w:ascii="宋体" w:hAnsi="宋体"/>
          <w:lang w:val="en-US" w:eastAsia="zh-CN"/>
        </w:rPr>
        <w:t>公务接待费变化情况</w:t>
      </w:r>
      <w:bookmarkEnd w:id="34"/>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default" w:ascii="宋体" w:hAnsi="宋体"/>
          <w:sz w:val="32"/>
          <w:lang w:val="en-US" w:eastAsia="zh-CN"/>
        </w:rPr>
        <w:t>公务接待费较</w:t>
      </w:r>
      <w:r>
        <w:rPr>
          <w:rFonts w:hint="eastAsia" w:ascii="宋体" w:hAnsi="宋体"/>
          <w:sz w:val="32"/>
          <w:lang w:val="en-US" w:eastAsia="zh-CN"/>
        </w:rPr>
        <w:t>2023</w:t>
      </w:r>
      <w:r>
        <w:rPr>
          <w:rFonts w:hint="default" w:ascii="宋体" w:hAnsi="宋体"/>
          <w:sz w:val="32"/>
          <w:lang w:val="en-US" w:eastAsia="zh-CN"/>
        </w:rPr>
        <w:t>年预算</w:t>
      </w:r>
      <w:r>
        <w:rPr>
          <w:rFonts w:hint="eastAsia" w:ascii="宋体" w:hAnsi="宋体"/>
          <w:sz w:val="32"/>
          <w:lang w:val="en-US" w:eastAsia="zh-CN"/>
        </w:rPr>
        <w:t>2</w:t>
      </w:r>
      <w:r>
        <w:rPr>
          <w:rFonts w:hint="default" w:ascii="宋体" w:hAnsi="宋体"/>
          <w:sz w:val="32"/>
          <w:lang w:val="en-US" w:eastAsia="zh-CN"/>
        </w:rPr>
        <w:t>万元</w:t>
      </w:r>
      <w:r>
        <w:rPr>
          <w:rFonts w:hint="eastAsia" w:ascii="宋体" w:hAnsi="宋体"/>
          <w:sz w:val="32"/>
          <w:lang w:val="en-US" w:eastAsia="zh-CN"/>
        </w:rPr>
        <w:t>持平</w:t>
      </w:r>
      <w:r>
        <w:rPr>
          <w:rFonts w:hint="default" w:ascii="宋体" w:hAnsi="宋体"/>
          <w:sz w:val="32"/>
          <w:lang w:val="en-US" w:eastAsia="zh-CN"/>
        </w:rPr>
        <w:t>。主要原因是厉行节约，压缩接待规模和接待费用。</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100" w:after="0" w:afterLines="50"/>
        <w:ind w:left="0" w:leftChars="0" w:firstLine="964" w:firstLineChars="300"/>
        <w:textAlignment w:val="auto"/>
        <w:rPr>
          <w:rFonts w:hint="eastAsia" w:ascii="宋体" w:hAnsi="宋体"/>
          <w:lang w:val="en-US" w:eastAsia="zh-CN"/>
        </w:rPr>
      </w:pPr>
      <w:bookmarkStart w:id="35" w:name="_Toc17768"/>
      <w:r>
        <w:rPr>
          <w:rFonts w:hint="eastAsia" w:ascii="宋体" w:hAnsi="宋体"/>
          <w:lang w:val="en-US" w:eastAsia="zh-CN"/>
        </w:rPr>
        <w:t>公务用车购置及运行维护费变化情况</w:t>
      </w:r>
      <w:bookmarkEnd w:id="35"/>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00" w:after="0" w:afterLines="50"/>
        <w:ind w:leftChars="300" w:right="0" w:rightChars="0" w:firstLine="640" w:firstLineChars="200"/>
        <w:textAlignment w:val="auto"/>
        <w:rPr>
          <w:rFonts w:hint="eastAsia" w:ascii="宋体" w:hAnsi="宋体" w:eastAsia="仿宋_GB2312" w:cs="仿宋_GB2312"/>
          <w:b w:val="0"/>
          <w:bCs w:val="0"/>
          <w:sz w:val="32"/>
          <w:szCs w:val="22"/>
          <w:lang w:val="en-US" w:eastAsia="zh-CN" w:bidi="zh-CN"/>
        </w:rPr>
      </w:pPr>
      <w:r>
        <w:rPr>
          <w:rFonts w:hint="eastAsia" w:ascii="宋体" w:hAnsi="宋体" w:eastAsia="仿宋_GB2312" w:cs="仿宋_GB2312"/>
          <w:b w:val="0"/>
          <w:bCs w:val="0"/>
          <w:sz w:val="32"/>
          <w:szCs w:val="22"/>
          <w:lang w:val="en-US" w:eastAsia="zh-CN" w:bidi="zh-CN"/>
        </w:rPr>
        <w:t>公务用车购置及运行维护费2024年未安排预算。</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36" w:name="_Toc2610"/>
      <w:r>
        <w:rPr>
          <w:rFonts w:hint="eastAsia" w:ascii="宋体" w:hAnsi="宋体" w:eastAsia="黑体"/>
          <w:color w:val="333333"/>
        </w:rPr>
        <w:t>六、政府性基金预算支出情况说明</w:t>
      </w:r>
      <w:bookmarkEnd w:id="3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冠英新区</w:t>
      </w:r>
      <w:r>
        <w:rPr>
          <w:rFonts w:hint="default" w:ascii="宋体" w:hAnsi="宋体"/>
          <w:sz w:val="32"/>
          <w:lang w:val="en-US" w:eastAsia="zh-CN"/>
        </w:rPr>
        <w:t>部门</w:t>
      </w:r>
      <w:r>
        <w:rPr>
          <w:rFonts w:hint="eastAsia" w:ascii="宋体" w:hAnsi="宋体"/>
          <w:sz w:val="32"/>
          <w:lang w:val="en-US" w:eastAsia="zh-CN"/>
        </w:rPr>
        <w:t>2024</w:t>
      </w:r>
      <w:r>
        <w:rPr>
          <w:rFonts w:hint="default" w:ascii="宋体" w:hAnsi="宋体"/>
          <w:sz w:val="32"/>
          <w:lang w:val="en-US" w:eastAsia="zh-CN"/>
        </w:rPr>
        <w:t>年政府性基金预算拨款安排支出</w:t>
      </w:r>
      <w:r>
        <w:rPr>
          <w:rFonts w:hint="eastAsia" w:ascii="宋体" w:hAnsi="宋体"/>
          <w:sz w:val="32"/>
          <w:lang w:val="en-US" w:eastAsia="zh-CN"/>
        </w:rPr>
        <w:t>20561.091577万元，较上年预算数22190.806035</w:t>
      </w:r>
      <w:r>
        <w:rPr>
          <w:rFonts w:hint="eastAsia"/>
          <w:bCs/>
          <w:sz w:val="32"/>
          <w:szCs w:val="32"/>
          <w:lang w:val="en-US" w:eastAsia="zh-CN"/>
        </w:rPr>
        <w:t>万元减少</w:t>
      </w:r>
      <w:r>
        <w:rPr>
          <w:rFonts w:hint="eastAsia" w:ascii="宋体" w:hAnsi="宋体"/>
          <w:sz w:val="32"/>
          <w:lang w:val="en-US" w:eastAsia="zh-CN"/>
        </w:rPr>
        <w:t>1638.74081万元，主要项目支出减少。</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37" w:name="_Toc17731"/>
      <w:r>
        <w:rPr>
          <w:rFonts w:hint="eastAsia" w:ascii="宋体" w:hAnsi="宋体" w:eastAsia="黑体"/>
          <w:color w:val="333333"/>
          <w:lang w:val="en-US" w:eastAsia="zh-CN"/>
        </w:rPr>
        <w:t>七、</w:t>
      </w:r>
      <w:r>
        <w:rPr>
          <w:rFonts w:hint="eastAsia" w:ascii="宋体" w:hAnsi="宋体" w:eastAsia="黑体"/>
          <w:color w:val="333333"/>
        </w:rPr>
        <w:t>国有资本经营预算情况说明</w:t>
      </w:r>
      <w:bookmarkEnd w:id="3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冠英新区部门2024年国有资本经营预算拨款安排支出0万元。</w:t>
      </w:r>
    </w:p>
    <w:p>
      <w:pPr>
        <w:pStyle w:val="4"/>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lang w:val="en-US" w:eastAsia="zh-CN"/>
        </w:rPr>
      </w:pPr>
      <w:bookmarkStart w:id="38" w:name="_Toc20919"/>
      <w:r>
        <w:rPr>
          <w:rFonts w:hint="eastAsia" w:ascii="宋体" w:hAnsi="宋体" w:eastAsia="黑体"/>
          <w:color w:val="333333"/>
          <w:lang w:val="en-US" w:eastAsia="zh-CN"/>
        </w:rPr>
        <w:t>八、其他重要事项的情况说明</w:t>
      </w:r>
      <w:bookmarkEnd w:id="38"/>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hint="default" w:ascii="宋体" w:hAnsi="宋体"/>
          <w:lang w:val="en-US" w:eastAsia="zh-CN"/>
        </w:rPr>
      </w:pPr>
      <w:bookmarkStart w:id="39" w:name="_Toc9621"/>
      <w:r>
        <w:rPr>
          <w:rFonts w:ascii="宋体" w:hAnsi="宋体"/>
        </w:rPr>
        <w:t>（一）机关运行经费情况</w:t>
      </w:r>
      <w:bookmarkEnd w:id="39"/>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color w:val="auto"/>
          <w:sz w:val="32"/>
          <w:lang w:val="en-US" w:eastAsia="zh-CN"/>
        </w:rPr>
      </w:pPr>
      <w:r>
        <w:rPr>
          <w:rFonts w:hint="eastAsia" w:ascii="宋体" w:hAnsi="宋体"/>
          <w:sz w:val="32"/>
          <w:lang w:val="en-US" w:eastAsia="zh-CN"/>
        </w:rPr>
        <w:t>2024年，冠英新区部门下属管委会（机关）1家行政单位以及服务中心1家事业单位的机关运行经费财政拨款预算为37.6万元，比2023年42.629225万元预算减少5.029225万元，减少11%。主要原因是树立过“紧日子”思想，</w:t>
      </w:r>
      <w:r>
        <w:rPr>
          <w:rFonts w:hint="default" w:ascii="宋体" w:hAnsi="宋体"/>
          <w:color w:val="auto"/>
          <w:sz w:val="32"/>
          <w:lang w:val="en-US" w:eastAsia="zh-CN"/>
        </w:rPr>
        <w:t>厉行节约，压缩</w:t>
      </w:r>
      <w:r>
        <w:rPr>
          <w:rFonts w:hint="eastAsia" w:ascii="宋体" w:hAnsi="宋体"/>
          <w:color w:val="auto"/>
          <w:sz w:val="32"/>
          <w:lang w:val="en-US" w:eastAsia="zh-CN"/>
        </w:rPr>
        <w:t>公用经费支出。</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40" w:name="_Toc26552"/>
      <w:r>
        <w:rPr>
          <w:rFonts w:ascii="宋体" w:hAnsi="宋体"/>
        </w:rPr>
        <w:t>（二）政府采购情况</w:t>
      </w:r>
      <w:bookmarkEnd w:id="4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2024年</w:t>
      </w:r>
      <w:r>
        <w:rPr>
          <w:rFonts w:hint="eastAsia"/>
          <w:bCs/>
          <w:sz w:val="32"/>
          <w:szCs w:val="32"/>
        </w:rPr>
        <w:t>冠英新区管委会安排</w:t>
      </w:r>
      <w:r>
        <w:rPr>
          <w:rFonts w:hint="eastAsia" w:ascii="宋体" w:hAnsi="宋体"/>
          <w:sz w:val="32"/>
          <w:lang w:val="en-US" w:eastAsia="zh-CN"/>
        </w:rPr>
        <w:t>政府采购项目0万元。</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41" w:name="_Toc11208"/>
      <w:r>
        <w:rPr>
          <w:rFonts w:ascii="宋体" w:hAnsi="宋体"/>
        </w:rPr>
        <w:t>（三）国有资产占有使用情况</w:t>
      </w:r>
      <w:bookmarkEnd w:id="41"/>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截至2024年底，冠英新区部门所属各预算单位无公用车辆。</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2024年部门预算未安排购置车辆及单位价值100万元以上大型设备。</w:t>
      </w:r>
    </w:p>
    <w:p>
      <w:pPr>
        <w:pStyle w:val="3"/>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color w:val="auto"/>
        </w:rPr>
      </w:pPr>
      <w:bookmarkStart w:id="42" w:name="_Toc13599"/>
      <w:r>
        <w:rPr>
          <w:rFonts w:hint="eastAsia" w:ascii="宋体" w:hAnsi="宋体"/>
          <w:color w:val="auto"/>
          <w:lang w:eastAsia="zh-CN"/>
        </w:rPr>
        <w:t>（</w:t>
      </w:r>
      <w:r>
        <w:rPr>
          <w:rFonts w:hint="eastAsia" w:ascii="宋体" w:hAnsi="宋体"/>
          <w:color w:val="auto"/>
          <w:lang w:val="en-US" w:eastAsia="zh-CN"/>
        </w:rPr>
        <w:t>四</w:t>
      </w:r>
      <w:r>
        <w:rPr>
          <w:rFonts w:hint="eastAsia" w:ascii="宋体" w:hAnsi="宋体"/>
          <w:color w:val="auto"/>
          <w:lang w:eastAsia="zh-CN"/>
        </w:rPr>
        <w:t>）</w:t>
      </w:r>
      <w:r>
        <w:rPr>
          <w:rFonts w:ascii="宋体" w:hAnsi="宋体"/>
          <w:color w:val="auto"/>
        </w:rPr>
        <w:t>预算绩效情况</w:t>
      </w:r>
      <w:bookmarkEnd w:id="42"/>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ascii="宋体" w:hAnsi="宋体"/>
          <w:color w:val="auto"/>
          <w:spacing w:val="6"/>
        </w:rPr>
      </w:pPr>
      <w:r>
        <w:rPr>
          <w:rFonts w:hint="eastAsia" w:ascii="宋体" w:hAnsi="宋体"/>
          <w:color w:val="auto"/>
          <w:sz w:val="32"/>
          <w:lang w:val="en-US" w:eastAsia="zh-CN"/>
        </w:rPr>
        <w:t>2024年冠英新区开展绩效目标管理的项目7个，涉及预算</w:t>
      </w:r>
      <w:r>
        <w:rPr>
          <w:rFonts w:hint="eastAsia" w:ascii="宋体" w:hAnsi="宋体"/>
          <w:sz w:val="32"/>
          <w:lang w:val="en-US" w:eastAsia="zh-CN"/>
        </w:rPr>
        <w:t>20908.98134</w:t>
      </w:r>
      <w:r>
        <w:rPr>
          <w:rFonts w:hint="eastAsia" w:ascii="宋体" w:hAnsi="宋体"/>
          <w:color w:val="auto"/>
          <w:sz w:val="32"/>
          <w:lang w:val="en-US" w:eastAsia="zh-CN"/>
        </w:rPr>
        <w:t>万元。其中：人员类项目1个，涉及预算</w:t>
      </w:r>
      <w:r>
        <w:rPr>
          <w:rFonts w:hint="eastAsia" w:ascii="宋体" w:hAnsi="宋体"/>
          <w:sz w:val="32"/>
          <w:lang w:val="en-US" w:eastAsia="zh-CN"/>
        </w:rPr>
        <w:t>347.889763</w:t>
      </w:r>
      <w:r>
        <w:rPr>
          <w:rFonts w:hint="eastAsia" w:ascii="宋体" w:hAnsi="宋体"/>
          <w:color w:val="auto"/>
          <w:sz w:val="32"/>
          <w:lang w:val="en-US" w:eastAsia="zh-CN"/>
        </w:rPr>
        <w:t>万元；特定目标类项目 6个，涉及预算</w:t>
      </w:r>
      <w:r>
        <w:rPr>
          <w:rFonts w:hint="eastAsia" w:ascii="宋体" w:hAnsi="宋体"/>
          <w:sz w:val="32"/>
          <w:lang w:val="en-US" w:eastAsia="zh-CN"/>
        </w:rPr>
        <w:t>20561.091577</w:t>
      </w:r>
      <w:r>
        <w:rPr>
          <w:rFonts w:hint="eastAsia" w:ascii="宋体" w:hAnsi="宋体"/>
          <w:color w:val="auto"/>
          <w:sz w:val="32"/>
          <w:lang w:val="en-US" w:eastAsia="zh-CN"/>
        </w:rPr>
        <w:t>万元。</w:t>
      </w:r>
    </w:p>
    <w:p>
      <w:pPr>
        <w:pStyle w:val="4"/>
        <w:spacing w:before="0"/>
        <w:ind w:right="0"/>
        <w:jc w:val="both"/>
        <w:rPr>
          <w:rFonts w:ascii="宋体" w:hAnsi="宋体"/>
          <w:color w:val="auto"/>
          <w:spacing w:val="6"/>
        </w:rPr>
        <w:sectPr>
          <w:headerReference r:id="rId9" w:type="default"/>
          <w:footerReference r:id="rId10" w:type="default"/>
          <w:pgSz w:w="11910" w:h="16840"/>
          <w:pgMar w:top="1587" w:right="964" w:bottom="1701" w:left="1134" w:header="737" w:footer="737" w:gutter="0"/>
          <w:pgNumType w:fmt="decimal"/>
          <w:cols w:space="0" w:num="1"/>
          <w:rtlGutter w:val="0"/>
          <w:docGrid w:linePitch="0" w:charSpace="0"/>
        </w:sectPr>
      </w:pPr>
    </w:p>
    <w:p>
      <w:pPr>
        <w:rPr>
          <w:rFonts w:ascii="宋体" w:hAnsi="宋体"/>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rPr>
          <w:rFonts w:ascii="宋体" w:hAnsi="宋体"/>
          <w:sz w:val="20"/>
        </w:rPr>
      </w:pPr>
    </w:p>
    <w:p>
      <w:pPr>
        <w:pStyle w:val="4"/>
        <w:jc w:val="center"/>
        <w:outlineLvl w:val="0"/>
        <w:rPr>
          <w:rFonts w:hint="eastAsia" w:ascii="宋体" w:hAnsi="宋体" w:eastAsia="方正小标宋简体" w:cs="方正小标宋简体"/>
          <w:sz w:val="52"/>
          <w:szCs w:val="52"/>
          <w:lang w:val="en-US" w:eastAsia="zh-CN"/>
        </w:rPr>
      </w:pPr>
      <w:bookmarkStart w:id="43" w:name="_Toc31157"/>
      <w:r>
        <w:rPr>
          <w:rFonts w:hint="eastAsia" w:ascii="宋体" w:hAnsi="宋体" w:eastAsia="方正小标宋简体" w:cs="方正小标宋简体"/>
          <w:sz w:val="52"/>
          <w:szCs w:val="52"/>
          <w:lang w:val="en-US" w:eastAsia="zh-CN"/>
        </w:rPr>
        <w:t>第四部分  名词解释</w:t>
      </w:r>
      <w:bookmarkEnd w:id="43"/>
    </w:p>
    <w:p>
      <w:pPr>
        <w:spacing w:after="0"/>
        <w:rPr>
          <w:rFonts w:ascii="宋体" w:hAnsi="宋体"/>
          <w:sz w:val="20"/>
        </w:rPr>
        <w:sectPr>
          <w:headerReference r:id="rId11" w:type="default"/>
          <w:footerReference r:id="rId12" w:type="default"/>
          <w:pgSz w:w="11910" w:h="16840"/>
          <w:pgMar w:top="1587" w:right="964" w:bottom="1701" w:left="1134" w:header="737" w:footer="737" w:gutter="0"/>
          <w:pgNumType w:fmt="decimal"/>
          <w:cols w:space="0" w:num="1"/>
          <w:rtlGutter w:val="0"/>
          <w:docGrid w:linePitch="0" w:charSpace="0"/>
        </w:sectPr>
      </w:pP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1.财政拨款收支情况：是指一般公共预算、政府性基金预算、国有资本经营预算拨款收支情况。</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2.一般公共预算拨款收入：指区级财政当年拨付的资金。</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3.社会保障和就业（类）行政事业单位离退休（款）事业单位离退休（项）：指离退休人员的支出。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4.社会保障和就业（类）行政事业单位离退休（款）未归口管理的行政单位离退休（项）：指离退休人员的支出。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5.社会保障和就业（类）行政事业单位离退休（款）机关事业单位基本养老保险缴费支出（项）：指部门实施养老保险制度由单位缴纳的养老保险费的支出。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6.社会保障和就业（类）行政事业单位离退休（款）机关事业单位职业年金缴费支出（项）：指部门实施养老保险制度由单位缴纳的职业年金的支出。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7.社会保障和就业（类）其他社会保障和就业（款）其他社会保障和就业支出（项）：指除上述项目外，其他用于行政事业单位离退休方面的支出。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8.卫生健康（类）行政事业单位医疗（款）行政单位医疗（项）：指行政单位及参公管理事业单位用于缴纳单位基本医疗保险支出。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9.卫生健康（类）行政事业单位医疗（款）事业单位医疗（项）：指事业单位用于缴纳单位基本医疗保险支出。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10.卫生健康（类）行政事业单位医疗（款）公务员医疗补助（项）：指行政单位及参公管理事业单位用于集中缴纳公务员医疗补助支出。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11.住房保障（类）住房改革支出（款）住房公积金（项）：指由单位及其在职职工按规定缴存的住房公积金支出。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12.基本支出：指为保证机构正常运转，完成日常工作任务而发生的人员支出和公用支出。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13.项目支出：指在基本支出之外为完成特定行政任务和事业发展目标所发生的支出。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14.纳入预决算管理的“三公”经费，是指部门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headerReference r:id="rId13" w:type="default"/>
      <w:footerReference r:id="rId14" w:type="default"/>
      <w:pgSz w:w="11910" w:h="16840"/>
      <w:pgMar w:top="1587" w:right="964" w:bottom="1701" w:left="1134" w:header="737" w:footer="737"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- 7 -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- 7 -</w:t>
                    </w:r>
                    <w:r>
                      <w:fldChar w:fldCharType="end"/>
                    </w:r>
                    <w:r>
                      <w:t xml:space="preserve"> —</w:t>
                    </w:r>
                  </w:p>
                </w:txbxContent>
              </v:textbox>
            </v:shape>
          </w:pict>
        </mc:Fallback>
      </mc:AlternateContent>
    </w:r>
    <w:r>
      <w:drawing>
        <wp:anchor distT="0" distB="0" distL="0" distR="0" simplePos="0" relativeHeight="251659264" behindDoc="1" locked="0" layoutInCell="1" allowOverlap="1">
          <wp:simplePos x="0" y="0"/>
          <wp:positionH relativeFrom="page">
            <wp:posOffset>3512820</wp:posOffset>
          </wp:positionH>
          <wp:positionV relativeFrom="page">
            <wp:posOffset>10094595</wp:posOffset>
          </wp:positionV>
          <wp:extent cx="534670" cy="229870"/>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4.png"/>
                  <pic:cNvPicPr>
                    <a:picLocks noChangeAspect="1"/>
                  </pic:cNvPicPr>
                </pic:nvPicPr>
                <pic:blipFill>
                  <a:blip r:embed="rId1" cstate="print"/>
                  <a:stretch>
                    <a:fillRect/>
                  </a:stretch>
                </pic:blipFill>
                <pic:spPr>
                  <a:xfrm>
                    <a:off x="0" y="0"/>
                    <a:ext cx="534924" cy="230124"/>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- 12 -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- 12 -</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3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- 13 -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- 13 -</w:t>
                    </w:r>
                    <w:r>
                      <w:fldChar w:fldCharType="end"/>
                    </w:r>
                    <w:r>
                      <w:t xml:space="preserve"> —</w:t>
                    </w:r>
                  </w:p>
                </w:txbxContent>
              </v:textbox>
            </v:shape>
          </w:pict>
        </mc:Fallback>
      </mc:AlternateContent>
    </w:r>
    <w:r>
      <w:drawing>
        <wp:anchor distT="0" distB="0" distL="0" distR="0" simplePos="0" relativeHeight="251660288" behindDoc="1" locked="0" layoutInCell="1" allowOverlap="1">
          <wp:simplePos x="0" y="0"/>
          <wp:positionH relativeFrom="page">
            <wp:posOffset>3512820</wp:posOffset>
          </wp:positionH>
          <wp:positionV relativeFrom="page">
            <wp:posOffset>10094595</wp:posOffset>
          </wp:positionV>
          <wp:extent cx="534670" cy="229870"/>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4.png"/>
                  <pic:cNvPicPr>
                    <a:picLocks noChangeAspect="1"/>
                  </pic:cNvPicPr>
                </pic:nvPicPr>
                <pic:blipFill>
                  <a:blip r:embed="rId1" cstate="print"/>
                  <a:stretch>
                    <a:fillRect/>
                  </a:stretch>
                </pic:blipFill>
                <pic:spPr>
                  <a:xfrm>
                    <a:off x="0" y="0"/>
                    <a:ext cx="534924" cy="23012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spacing w:after="0" w:afterLines="201" w:afterAutospacing="0"/>
      <w:ind w:firstLine="404"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7E4DA"/>
    <w:multiLevelType w:val="singleLevel"/>
    <w:tmpl w:val="3C57E4DA"/>
    <w:lvl w:ilvl="0" w:tentative="0">
      <w:start w:val="1"/>
      <w:numFmt w:val="chineseCounting"/>
      <w:suff w:val="space"/>
      <w:lvlText w:val="第%1部分"/>
      <w:lvlJc w:val="left"/>
      <w:rPr>
        <w:rFonts w:hint="eastAsia"/>
      </w:rPr>
    </w:lvl>
  </w:abstractNum>
  <w:abstractNum w:abstractNumId="1">
    <w:nsid w:val="501035D5"/>
    <w:multiLevelType w:val="singleLevel"/>
    <w:tmpl w:val="501035D5"/>
    <w:lvl w:ilvl="0" w:tentative="0">
      <w:start w:val="2"/>
      <w:numFmt w:val="chineseCounting"/>
      <w:suff w:val="space"/>
      <w:lvlText w:val="第%1部分"/>
      <w:lvlJc w:val="left"/>
      <w:rPr>
        <w:rFonts w:hint="eastAsia" w:ascii="方正小标宋简体" w:hAnsi="方正小标宋简体" w:eastAsia="方正小标宋简体" w:cs="方正小标宋简体"/>
        <w:sz w:val="52"/>
        <w:szCs w:val="52"/>
      </w:rPr>
    </w:lvl>
  </w:abstractNum>
  <w:abstractNum w:abstractNumId="2">
    <w:nsid w:val="65539999"/>
    <w:multiLevelType w:val="singleLevel"/>
    <w:tmpl w:val="65539999"/>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ZWFkYTgyOGYwNWM0YmI1OTNiOTc1MjMxMDJiYmIifQ=="/>
    <w:docVar w:name="KSO_WPS_MARK_KEY" w:val="420be215-b848-40e7-9d49-96d15973fb37"/>
  </w:docVars>
  <w:rsids>
    <w:rsidRoot w:val="00000000"/>
    <w:rsid w:val="00AC7617"/>
    <w:rsid w:val="01C0753F"/>
    <w:rsid w:val="025446D2"/>
    <w:rsid w:val="02ED1707"/>
    <w:rsid w:val="034675D0"/>
    <w:rsid w:val="04BF7B90"/>
    <w:rsid w:val="05522AAB"/>
    <w:rsid w:val="05D40E99"/>
    <w:rsid w:val="08A249DC"/>
    <w:rsid w:val="090027FE"/>
    <w:rsid w:val="09C03106"/>
    <w:rsid w:val="0D1E5413"/>
    <w:rsid w:val="0D4B668C"/>
    <w:rsid w:val="104E28AB"/>
    <w:rsid w:val="117F3296"/>
    <w:rsid w:val="118A40D3"/>
    <w:rsid w:val="13CB5FFB"/>
    <w:rsid w:val="154C1E28"/>
    <w:rsid w:val="15EE3DC0"/>
    <w:rsid w:val="177E2BF8"/>
    <w:rsid w:val="17BF47B8"/>
    <w:rsid w:val="18442F5B"/>
    <w:rsid w:val="196F35FB"/>
    <w:rsid w:val="19C60588"/>
    <w:rsid w:val="1C4565B4"/>
    <w:rsid w:val="1D3E783E"/>
    <w:rsid w:val="1E9115A9"/>
    <w:rsid w:val="208732AA"/>
    <w:rsid w:val="20D9567F"/>
    <w:rsid w:val="21211D8E"/>
    <w:rsid w:val="23F14556"/>
    <w:rsid w:val="247F2477"/>
    <w:rsid w:val="25325C08"/>
    <w:rsid w:val="28112EAD"/>
    <w:rsid w:val="28166E69"/>
    <w:rsid w:val="29A815A9"/>
    <w:rsid w:val="2BD66371"/>
    <w:rsid w:val="316A5A55"/>
    <w:rsid w:val="3170631D"/>
    <w:rsid w:val="394C68F2"/>
    <w:rsid w:val="3F042B38"/>
    <w:rsid w:val="3F255FC8"/>
    <w:rsid w:val="400F1A30"/>
    <w:rsid w:val="40227856"/>
    <w:rsid w:val="4110479E"/>
    <w:rsid w:val="414A2890"/>
    <w:rsid w:val="42157138"/>
    <w:rsid w:val="44337032"/>
    <w:rsid w:val="461B46D8"/>
    <w:rsid w:val="481456E9"/>
    <w:rsid w:val="49851514"/>
    <w:rsid w:val="4A6E6F37"/>
    <w:rsid w:val="4BC73288"/>
    <w:rsid w:val="4D3C563B"/>
    <w:rsid w:val="4F740CAC"/>
    <w:rsid w:val="500951DA"/>
    <w:rsid w:val="52A0673D"/>
    <w:rsid w:val="52EB131A"/>
    <w:rsid w:val="54C30EEA"/>
    <w:rsid w:val="5543046B"/>
    <w:rsid w:val="58C4420F"/>
    <w:rsid w:val="58EE6347"/>
    <w:rsid w:val="595E3E2E"/>
    <w:rsid w:val="5A2F014B"/>
    <w:rsid w:val="5AE90F4A"/>
    <w:rsid w:val="5B65451D"/>
    <w:rsid w:val="5F77446B"/>
    <w:rsid w:val="5FF3376C"/>
    <w:rsid w:val="60354212"/>
    <w:rsid w:val="61754F56"/>
    <w:rsid w:val="63D4521E"/>
    <w:rsid w:val="63E01D51"/>
    <w:rsid w:val="642A0B93"/>
    <w:rsid w:val="643D30F0"/>
    <w:rsid w:val="644377C9"/>
    <w:rsid w:val="64D4450D"/>
    <w:rsid w:val="656E1B1E"/>
    <w:rsid w:val="667E2026"/>
    <w:rsid w:val="67641376"/>
    <w:rsid w:val="67832A0F"/>
    <w:rsid w:val="67A535E2"/>
    <w:rsid w:val="6D034F3B"/>
    <w:rsid w:val="6D6D064B"/>
    <w:rsid w:val="6E292877"/>
    <w:rsid w:val="6FE74AA0"/>
    <w:rsid w:val="7209340F"/>
    <w:rsid w:val="734B3290"/>
    <w:rsid w:val="74063ED1"/>
    <w:rsid w:val="7440274E"/>
    <w:rsid w:val="76A30804"/>
    <w:rsid w:val="79E37413"/>
    <w:rsid w:val="7B2B7C6E"/>
    <w:rsid w:val="7D751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79"/>
      <w:ind w:left="2747"/>
      <w:outlineLvl w:val="1"/>
    </w:pPr>
    <w:rPr>
      <w:rFonts w:ascii="Times New Roman" w:hAnsi="Times New Roman" w:eastAsia="Times New Roman" w:cs="Times New Roman"/>
      <w:sz w:val="52"/>
      <w:szCs w:val="52"/>
      <w:lang w:val="zh-CN" w:eastAsia="zh-CN" w:bidi="zh-CN"/>
    </w:rPr>
  </w:style>
  <w:style w:type="paragraph" w:styleId="3">
    <w:name w:val="heading 2"/>
    <w:basedOn w:val="1"/>
    <w:next w:val="1"/>
    <w:qFormat/>
    <w:uiPriority w:val="1"/>
    <w:pPr>
      <w:ind w:left="923"/>
      <w:outlineLvl w:val="2"/>
    </w:pPr>
    <w:rPr>
      <w:rFonts w:ascii="楷体" w:hAnsi="楷体" w:eastAsia="楷体" w:cs="楷体"/>
      <w:b/>
      <w:bCs/>
      <w:sz w:val="32"/>
      <w:szCs w:val="32"/>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1"/>
    <w:rPr>
      <w:rFonts w:ascii="仿宋_GB2312" w:hAnsi="仿宋_GB2312" w:eastAsia="仿宋_GB2312" w:cs="仿宋_GB2312"/>
      <w:sz w:val="32"/>
      <w:szCs w:val="32"/>
      <w:lang w:val="zh-CN" w:eastAsia="zh-CN" w:bidi="zh-CN"/>
    </w:rPr>
  </w:style>
  <w:style w:type="paragraph" w:styleId="5">
    <w:name w:val="Plain Text"/>
    <w:basedOn w:val="1"/>
    <w:qFormat/>
    <w:uiPriority w:val="0"/>
    <w:pPr>
      <w:spacing w:line="620" w:lineRule="exact"/>
    </w:pPr>
    <w:rPr>
      <w:rFonts w:ascii="宋体" w:hAnsi="Courier New" w:eastAsia="宋体" w:cs="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able of figures"/>
    <w:basedOn w:val="1"/>
    <w:next w:val="1"/>
    <w:qFormat/>
    <w:uiPriority w:val="99"/>
    <w:pPr>
      <w:ind w:left="200" w:leftChars="200" w:hanging="200" w:hangingChars="200"/>
    </w:p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280" w:firstLine="640"/>
      <w:jc w:val="both"/>
    </w:pPr>
    <w:rPr>
      <w:rFonts w:ascii="仿宋_GB2312" w:hAnsi="仿宋_GB2312" w:eastAsia="仿宋_GB2312" w:cs="仿宋_GB2312"/>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WPSOffice手动目录 1"/>
    <w:qFormat/>
    <w:uiPriority w:val="0"/>
    <w:pPr>
      <w:ind w:leftChars="0"/>
    </w:pPr>
    <w:rPr>
      <w:rFonts w:asciiTheme="minorHAnsi" w:hAnsiTheme="minorHAnsi" w:eastAsiaTheme="minorHAnsi" w:cstheme="minorBidi"/>
      <w:sz w:val="20"/>
      <w:szCs w:val="20"/>
    </w:rPr>
  </w:style>
  <w:style w:type="paragraph" w:customStyle="1" w:styleId="15">
    <w:name w:val="WPSOffice手动目录 2"/>
    <w:qFormat/>
    <w:uiPriority w:val="0"/>
    <w:pPr>
      <w:ind w:leftChars="200"/>
    </w:pPr>
    <w:rPr>
      <w:rFonts w:asciiTheme="minorHAnsi" w:hAnsiTheme="minorHAnsi" w:eastAsiaTheme="minorHAnsi" w:cstheme="minorBidi"/>
      <w:sz w:val="20"/>
      <w:szCs w:val="20"/>
    </w:rPr>
  </w:style>
  <w:style w:type="paragraph" w:customStyle="1" w:styleId="16">
    <w:name w:val="WPSOffice手动目录 3"/>
    <w:qFormat/>
    <w:uiPriority w:val="0"/>
    <w:pPr>
      <w:ind w:leftChars="400"/>
    </w:pPr>
    <w:rPr>
      <w:rFonts w:asciiTheme="minorHAnsi" w:hAnsiTheme="minorHAnsi" w:eastAsiaTheme="minorHAnsi" w:cstheme="minorBidi"/>
      <w:sz w:val="20"/>
      <w:szCs w:val="20"/>
    </w:rPr>
  </w:style>
  <w:style w:type="paragraph" w:customStyle="1" w:styleId="17">
    <w:name w:val="〖C01〗正文"/>
    <w:basedOn w:val="1"/>
    <w:qFormat/>
    <w:uiPriority w:val="0"/>
    <w:pPr>
      <w:topLinePunct/>
      <w:spacing w:line="600" w:lineRule="exact"/>
      <w:ind w:firstLine="640" w:firstLineChars="200"/>
    </w:pPr>
    <w:rPr>
      <w:rFonts w:ascii="仿宋_GB2312" w:hAnsi="Calibri"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4812</Words>
  <Characters>5454</Characters>
  <TotalTime>40</TotalTime>
  <ScaleCrop>false</ScaleCrop>
  <LinksUpToDate>false</LinksUpToDate>
  <CharactersWithSpaces>5529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2022-05-05T02:14:00Z</dcterms:created>
  <dc:creator>user</dc:creator>
  <cp:lastModifiedBy>罗江兰</cp:lastModifiedBy>
  <dcterms:modified xsi:type="dcterms:W3CDTF">2024-02-21T02:15:17Z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2010</vt:lpwstr>
  </property>
  <property fmtid="{D5CDD505-2E9C-101B-9397-08002B2CF9AE}" pid="4" name="LastSaved">
    <vt:filetime>2022-05-05T00:00:00Z</vt:filetime>
  </property>
  <property fmtid="{D5CDD505-2E9C-101B-9397-08002B2CF9AE}" pid="5" name="KSOProductBuildVer">
    <vt:lpwstr>2052-11.1.0.14309</vt:lpwstr>
  </property>
  <property fmtid="{D5CDD505-2E9C-101B-9397-08002B2CF9AE}" pid="6" name="ICV">
    <vt:lpwstr>0E0EA283DD8A441388DCB4C96FC76106_13</vt:lpwstr>
  </property>
</Properties>
</file>