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jc w:val="center"/>
        <w:rPr>
          <w:rFonts w:ascii="宋体" w:hAnsi="宋体" w:eastAsia="宋体" w:cs="宋体"/>
          <w:b/>
          <w:bCs/>
          <w:color w:val="auto"/>
          <w:sz w:val="52"/>
          <w:szCs w:val="52"/>
          <w:lang w:val="en-US"/>
        </w:rPr>
      </w:pPr>
      <w:bookmarkStart w:id="35" w:name="_GoBack"/>
    </w:p>
    <w:p>
      <w:pPr>
        <w:pStyle w:val="6"/>
        <w:jc w:val="center"/>
        <w:rPr>
          <w:rFonts w:ascii="宋体" w:hAnsi="宋体" w:eastAsia="宋体" w:cs="宋体"/>
          <w:b/>
          <w:bCs/>
          <w:color w:val="auto"/>
          <w:sz w:val="52"/>
          <w:szCs w:val="52"/>
          <w:lang w:val="en-US"/>
        </w:rPr>
      </w:pPr>
    </w:p>
    <w:p>
      <w:pPr>
        <w:pStyle w:val="6"/>
        <w:jc w:val="center"/>
        <w:rPr>
          <w:rFonts w:ascii="宋体" w:hAnsi="宋体" w:eastAsia="宋体" w:cs="宋体"/>
          <w:b/>
          <w:bCs/>
          <w:color w:val="auto"/>
          <w:sz w:val="52"/>
          <w:szCs w:val="52"/>
          <w:lang w:val="en-US"/>
        </w:rPr>
      </w:pPr>
    </w:p>
    <w:p>
      <w:pPr>
        <w:pStyle w:val="6"/>
        <w:jc w:val="center"/>
        <w:rPr>
          <w:rFonts w:ascii="宋体" w:hAnsi="宋体" w:eastAsia="宋体" w:cs="宋体"/>
          <w:b/>
          <w:bCs/>
          <w:color w:val="auto"/>
          <w:sz w:val="52"/>
          <w:szCs w:val="52"/>
          <w:lang w:val="en-US"/>
        </w:rPr>
      </w:pPr>
    </w:p>
    <w:p>
      <w:pPr>
        <w:pStyle w:val="6"/>
        <w:jc w:val="center"/>
        <w:rPr>
          <w:rFonts w:ascii="宋体" w:hAnsi="宋体" w:eastAsia="宋体" w:cs="宋体"/>
          <w:b/>
          <w:bCs/>
          <w:color w:val="auto"/>
          <w:sz w:val="52"/>
          <w:szCs w:val="52"/>
          <w:lang w:val="en-US"/>
        </w:rPr>
      </w:pPr>
    </w:p>
    <w:p>
      <w:pPr>
        <w:pStyle w:val="6"/>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乐山市五通桥区文化体育和旅游局</w:t>
      </w:r>
    </w:p>
    <w:p>
      <w:pPr>
        <w:pStyle w:val="6"/>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eastAsia="zh-CN"/>
        </w:rPr>
        <w:t>2024</w:t>
      </w:r>
      <w:r>
        <w:rPr>
          <w:rFonts w:hint="eastAsia" w:ascii="宋体" w:hAnsi="宋体" w:eastAsia="方正小标宋简体" w:cs="方正小标宋简体"/>
          <w:color w:val="auto"/>
          <w:sz w:val="52"/>
          <w:szCs w:val="52"/>
          <w:lang w:val="en-US"/>
        </w:rPr>
        <w:t>部门预算编制说明</w:t>
      </w:r>
    </w:p>
    <w:p>
      <w:pPr>
        <w:pStyle w:val="6"/>
        <w:spacing w:line="800" w:lineRule="exact"/>
        <w:jc w:val="center"/>
        <w:rPr>
          <w:rFonts w:ascii="宋体" w:hAnsi="宋体" w:eastAsia="方正小标宋简体" w:cs="方正小标宋简体"/>
          <w:color w:val="auto"/>
          <w:sz w:val="52"/>
          <w:szCs w:val="52"/>
          <w:lang w:val="en-US"/>
        </w:rPr>
      </w:pPr>
      <w:r>
        <w:rPr>
          <w:rFonts w:hint="eastAsia" w:ascii="宋体" w:hAnsi="宋体" w:eastAsia="方正小标宋简体" w:cs="方正小标宋简体"/>
          <w:color w:val="auto"/>
          <w:sz w:val="52"/>
          <w:szCs w:val="52"/>
          <w:lang w:val="en-US"/>
        </w:rPr>
        <w:t>（水上运动学校）</w:t>
      </w:r>
    </w:p>
    <w:p>
      <w:pPr>
        <w:rPr>
          <w:color w:val="auto"/>
          <w:sz w:val="4"/>
        </w:rPr>
      </w:pPr>
      <w:r>
        <w:rPr>
          <w:color w:val="auto"/>
          <w:sz w:val="4"/>
        </w:rPr>
        <w:br w:type="page"/>
      </w:r>
    </w:p>
    <w:p>
      <w:pPr>
        <w:pStyle w:val="6"/>
        <w:jc w:val="center"/>
        <w:rPr>
          <w:rFonts w:ascii="宋体" w:hAnsi="宋体" w:eastAsia="宋体" w:cs="宋体"/>
          <w:b/>
          <w:bCs/>
          <w:color w:val="auto"/>
          <w:sz w:val="52"/>
          <w:szCs w:val="52"/>
          <w:lang w:val="en-US"/>
        </w:rPr>
      </w:pPr>
    </w:p>
    <w:p>
      <w:pPr>
        <w:pStyle w:val="6"/>
        <w:jc w:val="center"/>
        <w:rPr>
          <w:rFonts w:ascii="宋体" w:hAnsi="宋体" w:eastAsia="宋体" w:cs="宋体"/>
          <w:b/>
          <w:bCs/>
          <w:color w:val="auto"/>
          <w:sz w:val="52"/>
          <w:szCs w:val="52"/>
          <w:lang w:val="en-US"/>
        </w:rPr>
      </w:pPr>
    </w:p>
    <w:p>
      <w:pPr>
        <w:pStyle w:val="6"/>
        <w:jc w:val="center"/>
        <w:rPr>
          <w:rFonts w:ascii="宋体" w:hAnsi="宋体" w:eastAsia="宋体" w:cs="宋体"/>
          <w:b/>
          <w:bCs/>
          <w:color w:val="auto"/>
          <w:sz w:val="52"/>
          <w:szCs w:val="52"/>
          <w:lang w:val="en-US"/>
        </w:rPr>
      </w:pPr>
    </w:p>
    <w:p>
      <w:pPr>
        <w:rPr>
          <w:color w:val="auto"/>
          <w:sz w:val="4"/>
        </w:rPr>
      </w:pPr>
    </w:p>
    <w:p>
      <w:pPr>
        <w:pStyle w:val="6"/>
        <w:spacing w:before="2"/>
        <w:rPr>
          <w:rFonts w:ascii="宋体" w:hAnsi="宋体"/>
          <w:color w:val="auto"/>
          <w:sz w:val="4"/>
        </w:rPr>
      </w:pPr>
    </w:p>
    <w:p>
      <w:pPr>
        <w:pStyle w:val="6"/>
        <w:tabs>
          <w:tab w:val="left" w:pos="4798"/>
        </w:tabs>
        <w:jc w:val="center"/>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
          <w:bCs/>
          <w:color w:val="auto"/>
          <w:sz w:val="48"/>
          <w:szCs w:val="48"/>
          <w:lang w:val="en-US"/>
        </w:rPr>
        <w:t>目  录</w:t>
      </w:r>
    </w:p>
    <w:sdt>
      <w:sdtPr>
        <w:rPr>
          <w:rFonts w:ascii="仿宋_GB2312" w:hAnsi="仿宋_GB2312" w:eastAsia="仿宋_GB2312" w:cs="仿宋_GB2312"/>
          <w:color w:val="auto"/>
          <w:sz w:val="21"/>
          <w:szCs w:val="32"/>
        </w:rPr>
        <w:id w:val="147453385"/>
        <w:docPartObj>
          <w:docPartGallery w:val="Table of Contents"/>
          <w:docPartUnique/>
        </w:docPartObj>
      </w:sdtPr>
      <w:sdtEndPr>
        <w:rPr>
          <w:rFonts w:hint="eastAsia" w:ascii="仿宋_GB2312" w:hAnsi="仿宋_GB2312" w:eastAsia="方正小标宋简体" w:cs="方正小标宋简体"/>
          <w:bCs/>
          <w:color w:val="auto"/>
          <w:sz w:val="32"/>
          <w:szCs w:val="48"/>
          <w:lang w:val="en-US"/>
        </w:rPr>
      </w:sdtEndPr>
      <w:sdtContent>
        <w:p>
          <w:pPr>
            <w:jc w:val="center"/>
            <w:rPr>
              <w:color w:val="auto"/>
            </w:rPr>
          </w:pPr>
        </w:p>
        <w:p>
          <w:pPr>
            <w:pStyle w:val="15"/>
            <w:tabs>
              <w:tab w:val="right" w:leader="dot" w:pos="9812"/>
            </w:tabs>
            <w:spacing w:line="560" w:lineRule="exact"/>
            <w:rPr>
              <w:rFonts w:ascii="宋体" w:hAnsi="宋体"/>
              <w:color w:val="auto"/>
              <w:sz w:val="32"/>
              <w:szCs w:val="32"/>
            </w:rPr>
          </w:pPr>
          <w:r>
            <w:rPr>
              <w:rFonts w:hint="eastAsia" w:ascii="宋体" w:hAnsi="宋体" w:eastAsia="方正小标宋简体" w:cs="方正小标宋简体"/>
              <w:b/>
              <w:bCs/>
              <w:color w:val="auto"/>
              <w:sz w:val="48"/>
              <w:szCs w:val="48"/>
            </w:rPr>
            <w:fldChar w:fldCharType="begin"/>
          </w:r>
          <w:r>
            <w:rPr>
              <w:rFonts w:hint="eastAsia" w:ascii="宋体" w:hAnsi="宋体" w:eastAsia="方正小标宋简体" w:cs="方正小标宋简体"/>
              <w:b/>
              <w:bCs/>
              <w:color w:val="auto"/>
              <w:sz w:val="48"/>
              <w:szCs w:val="48"/>
            </w:rPr>
            <w:instrText xml:space="preserve">TOC \o "1-3" \h \u </w:instrText>
          </w:r>
          <w:r>
            <w:rPr>
              <w:rFonts w:hint="eastAsia" w:ascii="宋体" w:hAnsi="宋体" w:eastAsia="方正小标宋简体" w:cs="方正小标宋简体"/>
              <w:b/>
              <w:bCs/>
              <w:color w:val="auto"/>
              <w:sz w:val="48"/>
              <w:szCs w:val="48"/>
            </w:rPr>
            <w:fldChar w:fldCharType="separate"/>
          </w:r>
          <w:r>
            <w:rPr>
              <w:color w:val="auto"/>
            </w:rPr>
            <w:fldChar w:fldCharType="begin"/>
          </w:r>
          <w:r>
            <w:rPr>
              <w:color w:val="auto"/>
            </w:rPr>
            <w:instrText xml:space="preserve"> HYPERLINK \l "_Toc24981" </w:instrText>
          </w:r>
          <w:r>
            <w:rPr>
              <w:color w:val="auto"/>
            </w:rPr>
            <w:fldChar w:fldCharType="separate"/>
          </w:r>
          <w:r>
            <w:rPr>
              <w:rFonts w:hint="eastAsia" w:ascii="宋体" w:hAnsi="宋体" w:eastAsia="方正小标宋简体" w:cs="方正小标宋简体"/>
              <w:bCs/>
              <w:color w:val="auto"/>
              <w:sz w:val="32"/>
              <w:szCs w:val="32"/>
            </w:rPr>
            <w:t>第一部分 部门概况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_Toc24981 \h </w:instrText>
          </w:r>
          <w:r>
            <w:rPr>
              <w:rFonts w:ascii="宋体" w:hAnsi="宋体"/>
              <w:color w:val="auto"/>
              <w:sz w:val="32"/>
              <w:szCs w:val="32"/>
            </w:rPr>
            <w:fldChar w:fldCharType="separate"/>
          </w:r>
          <w:r>
            <w:rPr>
              <w:rFonts w:ascii="宋体" w:hAnsi="宋体"/>
              <w:color w:val="auto"/>
              <w:sz w:val="32"/>
              <w:szCs w:val="32"/>
            </w:rPr>
            <w:t>1</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"_Toc977" </w:instrText>
          </w:r>
          <w:r>
            <w:rPr>
              <w:color w:val="auto"/>
            </w:rPr>
            <w:fldChar w:fldCharType="separate"/>
          </w:r>
          <w:r>
            <w:rPr>
              <w:rFonts w:hint="eastAsia" w:ascii="宋体" w:hAnsi="宋体" w:eastAsia="黑体"/>
              <w:color w:val="auto"/>
              <w:sz w:val="32"/>
              <w:szCs w:val="32"/>
            </w:rPr>
            <w:t>一、基本职能及主要工作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_Toc977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"_Toc5540" </w:instrText>
          </w:r>
          <w:r>
            <w:rPr>
              <w:color w:val="auto"/>
            </w:rPr>
            <w:fldChar w:fldCharType="separate"/>
          </w:r>
          <w:r>
            <w:rPr>
              <w:rFonts w:ascii="宋体" w:hAnsi="宋体"/>
              <w:color w:val="auto"/>
              <w:sz w:val="32"/>
              <w:szCs w:val="32"/>
            </w:rPr>
            <w:t>（一）部门职能简介</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_Toc5540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"_Toc29132" </w:instrText>
          </w:r>
          <w:r>
            <w:rPr>
              <w:color w:val="auto"/>
            </w:rPr>
            <w:fldChar w:fldCharType="separate"/>
          </w:r>
          <w:r>
            <w:rPr>
              <w:rFonts w:ascii="宋体" w:hAnsi="宋体"/>
              <w:color w:val="auto"/>
              <w:sz w:val="32"/>
              <w:szCs w:val="32"/>
            </w:rPr>
            <w:t>（二）部门</w:t>
          </w:r>
          <w:r>
            <w:rPr>
              <w:rFonts w:hint="eastAsia" w:ascii="宋体" w:hAnsi="宋体"/>
              <w:color w:val="auto"/>
              <w:sz w:val="32"/>
              <w:szCs w:val="32"/>
            </w:rPr>
            <w:t>202</w:t>
          </w:r>
          <w:r>
            <w:rPr>
              <w:rFonts w:hint="eastAsia" w:ascii="宋体" w:hAnsi="宋体" w:eastAsia="宋体"/>
              <w:color w:val="auto"/>
              <w:sz w:val="32"/>
              <w:szCs w:val="32"/>
              <w:lang w:val="en-US" w:eastAsia="zh-CN"/>
            </w:rPr>
            <w:t>4</w:t>
          </w:r>
          <w:r>
            <w:rPr>
              <w:rFonts w:ascii="宋体" w:hAnsi="宋体"/>
              <w:color w:val="auto"/>
              <w:sz w:val="32"/>
              <w:szCs w:val="32"/>
            </w:rPr>
            <w:t>年重点工</w:t>
          </w:r>
          <w:r>
            <w:rPr>
              <w:rFonts w:hint="eastAsia" w:ascii="宋体" w:hAnsi="宋体"/>
              <w:color w:val="auto"/>
              <w:sz w:val="32"/>
              <w:szCs w:val="32"/>
            </w:rPr>
            <w:t>作</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_Toc29132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"_Toc30432" </w:instrText>
          </w:r>
          <w:r>
            <w:rPr>
              <w:color w:val="auto"/>
            </w:rPr>
            <w:fldChar w:fldCharType="separate"/>
          </w:r>
          <w:r>
            <w:rPr>
              <w:rFonts w:hint="eastAsia" w:ascii="宋体" w:hAnsi="宋体" w:eastAsia="黑体"/>
              <w:color w:val="auto"/>
              <w:sz w:val="32"/>
              <w:szCs w:val="32"/>
            </w:rPr>
            <w:t>二、部门预算单位构成</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_Toc30432 \h </w:instrText>
          </w:r>
          <w:r>
            <w:rPr>
              <w:rFonts w:ascii="宋体" w:hAnsi="宋体"/>
              <w:color w:val="auto"/>
              <w:sz w:val="32"/>
              <w:szCs w:val="32"/>
            </w:rPr>
            <w:fldChar w:fldCharType="separate"/>
          </w:r>
          <w:r>
            <w:rPr>
              <w:rFonts w:ascii="宋体" w:hAnsi="宋体"/>
              <w:color w:val="auto"/>
              <w:sz w:val="32"/>
              <w:szCs w:val="32"/>
            </w:rPr>
            <w:t>2</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rPr>
              <w:rFonts w:ascii="宋体" w:hAnsi="宋体"/>
              <w:color w:val="auto"/>
              <w:sz w:val="32"/>
              <w:szCs w:val="32"/>
            </w:rPr>
          </w:pPr>
          <w:r>
            <w:rPr>
              <w:color w:val="auto"/>
            </w:rPr>
            <w:fldChar w:fldCharType="begin"/>
          </w:r>
          <w:r>
            <w:rPr>
              <w:color w:val="auto"/>
            </w:rPr>
            <w:instrText xml:space="preserve"> HYPERLINK \l "_Toc28587" </w:instrText>
          </w:r>
          <w:r>
            <w:rPr>
              <w:color w:val="auto"/>
            </w:rPr>
            <w:fldChar w:fldCharType="separate"/>
          </w:r>
          <w:r>
            <w:rPr>
              <w:rFonts w:hint="eastAsia" w:ascii="宋体" w:hAnsi="宋体" w:eastAsia="方正小标宋简体" w:cs="方正小标宋简体"/>
              <w:bCs/>
              <w:color w:val="auto"/>
              <w:sz w:val="32"/>
              <w:szCs w:val="32"/>
            </w:rPr>
            <w:t>第二部分五通桥区水上运动学校2023年部门预算表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_Toc28587 \h </w:instrText>
          </w:r>
          <w:r>
            <w:rPr>
              <w:rFonts w:ascii="宋体" w:hAnsi="宋体"/>
              <w:color w:val="auto"/>
              <w:sz w:val="32"/>
              <w:szCs w:val="32"/>
            </w:rPr>
            <w:fldChar w:fldCharType="separate"/>
          </w:r>
          <w:r>
            <w:rPr>
              <w:rFonts w:ascii="宋体" w:hAnsi="宋体"/>
              <w:color w:val="auto"/>
              <w:sz w:val="32"/>
              <w:szCs w:val="32"/>
            </w:rPr>
            <w:t>4</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"_Toc12069" </w:instrText>
          </w:r>
          <w:r>
            <w:rPr>
              <w:color w:val="auto"/>
            </w:rPr>
            <w:fldChar w:fldCharType="separate"/>
          </w:r>
          <w:r>
            <w:rPr>
              <w:rFonts w:hint="eastAsia" w:ascii="宋体" w:hAnsi="宋体"/>
              <w:color w:val="auto"/>
              <w:sz w:val="32"/>
              <w:szCs w:val="32"/>
            </w:rPr>
            <w:t>一、部门收支总表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_Toc12069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"_Toc27995" </w:instrText>
          </w:r>
          <w:r>
            <w:rPr>
              <w:color w:val="auto"/>
            </w:rPr>
            <w:fldChar w:fldCharType="separate"/>
          </w:r>
          <w:r>
            <w:rPr>
              <w:rFonts w:hint="eastAsia" w:ascii="宋体" w:hAnsi="宋体"/>
              <w:color w:val="auto"/>
              <w:sz w:val="32"/>
              <w:szCs w:val="32"/>
            </w:rPr>
            <w:t>二、部门收入总表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_Toc27995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"_Toc3639" </w:instrText>
          </w:r>
          <w:r>
            <w:rPr>
              <w:color w:val="auto"/>
            </w:rPr>
            <w:fldChar w:fldCharType="separate"/>
          </w:r>
          <w:r>
            <w:rPr>
              <w:rFonts w:hint="eastAsia" w:ascii="宋体" w:hAnsi="宋体"/>
              <w:color w:val="auto"/>
              <w:sz w:val="32"/>
              <w:szCs w:val="32"/>
            </w:rPr>
            <w:t>三、部门支出总表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_Toc3639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"_Toc25815" </w:instrText>
          </w:r>
          <w:r>
            <w:rPr>
              <w:color w:val="auto"/>
            </w:rPr>
            <w:fldChar w:fldCharType="separate"/>
          </w:r>
          <w:r>
            <w:rPr>
              <w:rFonts w:hint="eastAsia" w:ascii="宋体" w:hAnsi="宋体"/>
              <w:color w:val="auto"/>
              <w:sz w:val="32"/>
              <w:szCs w:val="32"/>
            </w:rPr>
            <w:t>四、财政拨款收支预算总表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_Toc25815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"_Toc4686" </w:instrText>
          </w:r>
          <w:r>
            <w:rPr>
              <w:color w:val="auto"/>
            </w:rPr>
            <w:fldChar w:fldCharType="separate"/>
          </w:r>
          <w:r>
            <w:rPr>
              <w:rFonts w:hint="eastAsia" w:ascii="宋体" w:hAnsi="宋体"/>
              <w:color w:val="auto"/>
              <w:sz w:val="32"/>
              <w:szCs w:val="32"/>
            </w:rPr>
            <w:t>五、财政拨款支出预算表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_Toc4686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"_Toc7952" </w:instrText>
          </w:r>
          <w:r>
            <w:rPr>
              <w:color w:val="auto"/>
            </w:rPr>
            <w:fldChar w:fldCharType="separate"/>
          </w:r>
          <w:r>
            <w:rPr>
              <w:rFonts w:hint="eastAsia" w:ascii="宋体" w:hAnsi="宋体"/>
              <w:color w:val="auto"/>
              <w:sz w:val="32"/>
              <w:szCs w:val="32"/>
            </w:rPr>
            <w:t>六、一般公共预算支出预算表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_Toc7952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"_Toc32200" </w:instrText>
          </w:r>
          <w:r>
            <w:rPr>
              <w:color w:val="auto"/>
            </w:rPr>
            <w:fldChar w:fldCharType="separate"/>
          </w:r>
          <w:r>
            <w:rPr>
              <w:rFonts w:hint="eastAsia" w:ascii="宋体" w:hAnsi="宋体"/>
              <w:color w:val="auto"/>
              <w:sz w:val="32"/>
              <w:szCs w:val="32"/>
            </w:rPr>
            <w:t>七、一般公共预算基本支出预算表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_Toc32200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"_Toc17751" </w:instrText>
          </w:r>
          <w:r>
            <w:rPr>
              <w:color w:val="auto"/>
            </w:rPr>
            <w:fldChar w:fldCharType="separate"/>
          </w:r>
          <w:r>
            <w:rPr>
              <w:rFonts w:hint="eastAsia" w:ascii="宋体" w:hAnsi="宋体"/>
              <w:color w:val="auto"/>
              <w:sz w:val="32"/>
              <w:szCs w:val="32"/>
            </w:rPr>
            <w:t>八、一般公共预算项目支出预算表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_Toc17751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"_Toc11119" </w:instrText>
          </w:r>
          <w:r>
            <w:rPr>
              <w:color w:val="auto"/>
            </w:rPr>
            <w:fldChar w:fldCharType="separate"/>
          </w:r>
          <w:r>
            <w:rPr>
              <w:rFonts w:hint="eastAsia" w:ascii="宋体" w:hAnsi="宋体"/>
              <w:color w:val="auto"/>
              <w:sz w:val="32"/>
              <w:szCs w:val="32"/>
            </w:rPr>
            <w:t>九、一般公共预算“三公”经费支出预算表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_Toc11119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"_Toc19211" </w:instrText>
          </w:r>
          <w:r>
            <w:rPr>
              <w:color w:val="auto"/>
            </w:rPr>
            <w:fldChar w:fldCharType="separate"/>
          </w:r>
          <w:r>
            <w:rPr>
              <w:rFonts w:hint="eastAsia" w:ascii="宋体" w:hAnsi="宋体"/>
              <w:color w:val="auto"/>
              <w:sz w:val="32"/>
              <w:szCs w:val="32"/>
            </w:rPr>
            <w:t>十、政府性基金预算支出表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_Toc19211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"_Toc7676" </w:instrText>
          </w:r>
          <w:r>
            <w:rPr>
              <w:color w:val="auto"/>
            </w:rPr>
            <w:fldChar w:fldCharType="separate"/>
          </w:r>
          <w:r>
            <w:rPr>
              <w:rFonts w:hint="eastAsia" w:ascii="宋体" w:hAnsi="宋体"/>
              <w:color w:val="auto"/>
              <w:sz w:val="32"/>
              <w:szCs w:val="32"/>
            </w:rPr>
            <w:t>十一、政府性基金预算“三公”经费支出预算表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_Toc7676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"_Toc22917" </w:instrText>
          </w:r>
          <w:r>
            <w:rPr>
              <w:color w:val="auto"/>
            </w:rPr>
            <w:fldChar w:fldCharType="separate"/>
          </w:r>
          <w:r>
            <w:rPr>
              <w:rFonts w:hint="eastAsia" w:ascii="宋体" w:hAnsi="宋体"/>
              <w:color w:val="auto"/>
              <w:sz w:val="32"/>
              <w:szCs w:val="32"/>
            </w:rPr>
            <w:t>十二、国有资本经营预算支出表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_Toc22917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"_Toc27847" </w:instrText>
          </w:r>
          <w:r>
            <w:rPr>
              <w:color w:val="auto"/>
            </w:rPr>
            <w:fldChar w:fldCharType="separate"/>
          </w:r>
          <w:r>
            <w:rPr>
              <w:rFonts w:hint="eastAsia" w:ascii="宋体" w:hAnsi="宋体"/>
              <w:color w:val="auto"/>
              <w:sz w:val="32"/>
              <w:szCs w:val="32"/>
            </w:rPr>
            <w:t>十三、部门整体支出绩效目标表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_Toc27847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"_Toc30878" </w:instrText>
          </w:r>
          <w:r>
            <w:rPr>
              <w:color w:val="auto"/>
            </w:rPr>
            <w:fldChar w:fldCharType="separate"/>
          </w:r>
          <w:r>
            <w:rPr>
              <w:rFonts w:hint="eastAsia" w:ascii="宋体" w:hAnsi="宋体"/>
              <w:color w:val="auto"/>
              <w:sz w:val="32"/>
              <w:szCs w:val="32"/>
            </w:rPr>
            <w:t>十四、部门预算项目支出绩效目标表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_Toc30878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"_Toc32437" </w:instrText>
          </w:r>
          <w:r>
            <w:rPr>
              <w:color w:val="auto"/>
            </w:rPr>
            <w:fldChar w:fldCharType="separate"/>
          </w:r>
          <w:r>
            <w:rPr>
              <w:rFonts w:hint="eastAsia" w:ascii="宋体" w:hAnsi="宋体"/>
              <w:color w:val="auto"/>
              <w:sz w:val="32"/>
              <w:szCs w:val="32"/>
            </w:rPr>
            <w:t>十五、政府采购预算表</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_Toc32437 \h </w:instrText>
          </w:r>
          <w:r>
            <w:rPr>
              <w:rFonts w:ascii="宋体" w:hAnsi="宋体"/>
              <w:color w:val="auto"/>
              <w:sz w:val="32"/>
              <w:szCs w:val="32"/>
            </w:rPr>
            <w:fldChar w:fldCharType="separate"/>
          </w:r>
          <w:r>
            <w:rPr>
              <w:rFonts w:ascii="宋体" w:hAnsi="宋体"/>
              <w:color w:val="auto"/>
              <w:sz w:val="32"/>
              <w:szCs w:val="32"/>
            </w:rPr>
            <w:t>5</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rPr>
              <w:rFonts w:ascii="宋体" w:hAnsi="宋体"/>
              <w:color w:val="auto"/>
              <w:sz w:val="32"/>
              <w:szCs w:val="32"/>
            </w:rPr>
          </w:pPr>
          <w:r>
            <w:rPr>
              <w:color w:val="auto"/>
            </w:rPr>
            <w:fldChar w:fldCharType="begin"/>
          </w:r>
          <w:r>
            <w:rPr>
              <w:color w:val="auto"/>
            </w:rPr>
            <w:instrText xml:space="preserve"> HYPERLINK \l "_Toc19948" </w:instrText>
          </w:r>
          <w:r>
            <w:rPr>
              <w:color w:val="auto"/>
            </w:rPr>
            <w:fldChar w:fldCharType="separate"/>
          </w:r>
          <w:r>
            <w:rPr>
              <w:rFonts w:hint="eastAsia" w:ascii="宋体" w:hAnsi="宋体" w:eastAsia="方正小标宋简体" w:cs="方正小标宋简体"/>
              <w:color w:val="auto"/>
              <w:sz w:val="32"/>
              <w:szCs w:val="32"/>
            </w:rPr>
            <w:t>第三部分五通桥区水上运动学校2023年部门预算情况说明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_Toc19948 \h </w:instrText>
          </w:r>
          <w:r>
            <w:rPr>
              <w:rFonts w:ascii="宋体" w:hAnsi="宋体"/>
              <w:color w:val="auto"/>
              <w:sz w:val="32"/>
              <w:szCs w:val="32"/>
            </w:rPr>
            <w:fldChar w:fldCharType="separate"/>
          </w:r>
          <w:r>
            <w:rPr>
              <w:rFonts w:ascii="宋体" w:hAnsi="宋体"/>
              <w:color w:val="auto"/>
              <w:sz w:val="32"/>
              <w:szCs w:val="32"/>
            </w:rPr>
            <w:t>6</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Chars="0" w:firstLine="400" w:firstLineChars="200"/>
            <w:rPr>
              <w:rFonts w:ascii="宋体" w:hAnsi="宋体"/>
              <w:color w:val="auto"/>
              <w:sz w:val="32"/>
              <w:szCs w:val="32"/>
            </w:rPr>
          </w:pPr>
          <w:r>
            <w:rPr>
              <w:color w:val="auto"/>
            </w:rPr>
            <w:fldChar w:fldCharType="begin"/>
          </w:r>
          <w:r>
            <w:rPr>
              <w:color w:val="auto"/>
            </w:rPr>
            <w:instrText xml:space="preserve"> HYPERLINK \l "_Toc469" </w:instrText>
          </w:r>
          <w:r>
            <w:rPr>
              <w:color w:val="auto"/>
            </w:rPr>
            <w:fldChar w:fldCharType="separate"/>
          </w:r>
          <w:r>
            <w:rPr>
              <w:rFonts w:hint="eastAsia" w:ascii="宋体" w:hAnsi="宋体" w:eastAsia="黑体"/>
              <w:color w:val="auto"/>
              <w:sz w:val="32"/>
              <w:szCs w:val="32"/>
            </w:rPr>
            <w:t>一、收支预算情况说明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_Toc469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"_Toc12176" </w:instrText>
          </w:r>
          <w:r>
            <w:rPr>
              <w:color w:val="auto"/>
            </w:rPr>
            <w:fldChar w:fldCharType="separate"/>
          </w:r>
          <w:r>
            <w:rPr>
              <w:rFonts w:ascii="宋体" w:hAnsi="宋体"/>
              <w:color w:val="auto"/>
              <w:sz w:val="32"/>
              <w:szCs w:val="32"/>
            </w:rPr>
            <w:t>（一）收入预算情况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_Toc12176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"_Toc23149" </w:instrText>
          </w:r>
          <w:r>
            <w:rPr>
              <w:color w:val="auto"/>
            </w:rPr>
            <w:fldChar w:fldCharType="separate"/>
          </w:r>
          <w:r>
            <w:rPr>
              <w:rFonts w:ascii="宋体" w:hAnsi="宋体"/>
              <w:color w:val="auto"/>
              <w:sz w:val="32"/>
              <w:szCs w:val="32"/>
            </w:rPr>
            <w:t>（二）支出预算情况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_Toc23149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"_Toc729" </w:instrText>
          </w:r>
          <w:r>
            <w:rPr>
              <w:color w:val="auto"/>
            </w:rPr>
            <w:fldChar w:fldCharType="separate"/>
          </w:r>
          <w:r>
            <w:rPr>
              <w:rFonts w:hint="eastAsia" w:ascii="宋体" w:hAnsi="宋体" w:eastAsia="黑体"/>
              <w:color w:val="auto"/>
              <w:sz w:val="32"/>
              <w:szCs w:val="32"/>
            </w:rPr>
            <w:t>二、财政拨款收支预算情况说明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_Toc729 \h </w:instrText>
          </w:r>
          <w:r>
            <w:rPr>
              <w:rFonts w:ascii="宋体" w:hAnsi="宋体"/>
              <w:color w:val="auto"/>
              <w:sz w:val="32"/>
              <w:szCs w:val="32"/>
            </w:rPr>
            <w:fldChar w:fldCharType="separate"/>
          </w:r>
          <w:r>
            <w:rPr>
              <w:rFonts w:ascii="宋体" w:hAnsi="宋体"/>
              <w:color w:val="auto"/>
              <w:sz w:val="32"/>
              <w:szCs w:val="32"/>
            </w:rPr>
            <w:t>7</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"_Toc32511" </w:instrText>
          </w:r>
          <w:r>
            <w:rPr>
              <w:color w:val="auto"/>
            </w:rPr>
            <w:fldChar w:fldCharType="separate"/>
          </w:r>
          <w:r>
            <w:rPr>
              <w:rFonts w:hint="eastAsia" w:ascii="宋体" w:hAnsi="宋体" w:eastAsia="黑体"/>
              <w:color w:val="auto"/>
              <w:sz w:val="32"/>
              <w:szCs w:val="32"/>
            </w:rPr>
            <w:t>三、一般公共预算当年拨款情况说明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_Toc32511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"_Toc6394" </w:instrText>
          </w:r>
          <w:r>
            <w:rPr>
              <w:color w:val="auto"/>
            </w:rPr>
            <w:fldChar w:fldCharType="separate"/>
          </w:r>
          <w:r>
            <w:rPr>
              <w:rFonts w:ascii="宋体" w:hAnsi="宋体"/>
              <w:color w:val="auto"/>
              <w:sz w:val="32"/>
              <w:szCs w:val="32"/>
            </w:rPr>
            <w:t>（一）一般公共预算当年拨款规模变化情况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_Toc6394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"_Toc5045" </w:instrText>
          </w:r>
          <w:r>
            <w:rPr>
              <w:color w:val="auto"/>
            </w:rPr>
            <w:fldChar w:fldCharType="separate"/>
          </w:r>
          <w:r>
            <w:rPr>
              <w:rFonts w:ascii="宋体" w:hAnsi="宋体"/>
              <w:color w:val="auto"/>
              <w:sz w:val="32"/>
              <w:szCs w:val="32"/>
            </w:rPr>
            <w:t>（二）一般公共预算当年拨款结构情况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_Toc5045 \h </w:instrText>
          </w:r>
          <w:r>
            <w:rPr>
              <w:rFonts w:ascii="宋体" w:hAnsi="宋体"/>
              <w:color w:val="auto"/>
              <w:sz w:val="32"/>
              <w:szCs w:val="32"/>
            </w:rPr>
            <w:fldChar w:fldCharType="separate"/>
          </w:r>
          <w:r>
            <w:rPr>
              <w:rFonts w:ascii="宋体" w:hAnsi="宋体"/>
              <w:color w:val="auto"/>
              <w:sz w:val="32"/>
              <w:szCs w:val="32"/>
            </w:rPr>
            <w:t>8</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"_Toc11698" </w:instrText>
          </w:r>
          <w:r>
            <w:rPr>
              <w:color w:val="auto"/>
            </w:rPr>
            <w:fldChar w:fldCharType="separate"/>
          </w:r>
          <w:r>
            <w:rPr>
              <w:rFonts w:ascii="宋体" w:hAnsi="宋体"/>
              <w:color w:val="auto"/>
              <w:sz w:val="32"/>
              <w:szCs w:val="32"/>
            </w:rPr>
            <w:t>（三）一般公共预算当年拨款具体使用情况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_Toc11698 \h </w:instrText>
          </w:r>
          <w:r>
            <w:rPr>
              <w:rFonts w:ascii="宋体" w:hAnsi="宋体"/>
              <w:color w:val="auto"/>
              <w:sz w:val="32"/>
              <w:szCs w:val="32"/>
            </w:rPr>
            <w:fldChar w:fldCharType="separate"/>
          </w:r>
          <w:r>
            <w:rPr>
              <w:rFonts w:ascii="宋体" w:hAnsi="宋体"/>
              <w:color w:val="auto"/>
              <w:sz w:val="32"/>
              <w:szCs w:val="32"/>
            </w:rPr>
            <w:t>9</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"_Toc21665" </w:instrText>
          </w:r>
          <w:r>
            <w:rPr>
              <w:color w:val="auto"/>
            </w:rPr>
            <w:fldChar w:fldCharType="separate"/>
          </w:r>
          <w:r>
            <w:rPr>
              <w:rFonts w:hint="eastAsia" w:ascii="宋体" w:hAnsi="宋体" w:eastAsia="黑体"/>
              <w:color w:val="auto"/>
              <w:sz w:val="32"/>
              <w:szCs w:val="32"/>
            </w:rPr>
            <w:t>四、一般公共预算基本支出情况说明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_Toc21665 \h </w:instrText>
          </w:r>
          <w:r>
            <w:rPr>
              <w:rFonts w:ascii="宋体" w:hAnsi="宋体"/>
              <w:color w:val="auto"/>
              <w:sz w:val="32"/>
              <w:szCs w:val="32"/>
            </w:rPr>
            <w:fldChar w:fldCharType="separate"/>
          </w:r>
          <w:r>
            <w:rPr>
              <w:rFonts w:ascii="宋体" w:hAnsi="宋体"/>
              <w:color w:val="auto"/>
              <w:sz w:val="32"/>
              <w:szCs w:val="32"/>
            </w:rPr>
            <w:t>9</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"_Toc1746" </w:instrText>
          </w:r>
          <w:r>
            <w:rPr>
              <w:color w:val="auto"/>
            </w:rPr>
            <w:fldChar w:fldCharType="separate"/>
          </w:r>
          <w:r>
            <w:rPr>
              <w:rFonts w:hint="eastAsia" w:ascii="宋体" w:hAnsi="宋体" w:eastAsia="黑体"/>
              <w:color w:val="auto"/>
              <w:sz w:val="32"/>
              <w:szCs w:val="32"/>
            </w:rPr>
            <w:t>五、“三公”经费财政拨款预算安排情况说明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_Toc1746 \h </w:instrText>
          </w:r>
          <w:r>
            <w:rPr>
              <w:rFonts w:ascii="宋体" w:hAnsi="宋体"/>
              <w:color w:val="auto"/>
              <w:sz w:val="32"/>
              <w:szCs w:val="32"/>
            </w:rPr>
            <w:fldChar w:fldCharType="separate"/>
          </w:r>
          <w:r>
            <w:rPr>
              <w:rFonts w:ascii="宋体" w:hAnsi="宋体"/>
              <w:color w:val="auto"/>
              <w:sz w:val="32"/>
              <w:szCs w:val="32"/>
            </w:rPr>
            <w:t>11</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"_Toc10802" </w:instrText>
          </w:r>
          <w:r>
            <w:rPr>
              <w:color w:val="auto"/>
            </w:rPr>
            <w:fldChar w:fldCharType="separate"/>
          </w:r>
          <w:r>
            <w:rPr>
              <w:rFonts w:ascii="宋体" w:hAnsi="宋体"/>
              <w:color w:val="auto"/>
              <w:sz w:val="32"/>
              <w:szCs w:val="32"/>
            </w:rPr>
            <w:t>（一）</w:t>
          </w:r>
          <w:r>
            <w:rPr>
              <w:rFonts w:hint="eastAsia" w:ascii="宋体" w:hAnsi="宋体"/>
              <w:color w:val="auto"/>
              <w:sz w:val="32"/>
              <w:szCs w:val="32"/>
            </w:rPr>
            <w:t>公务接待费变化情况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_Toc10802 \h </w:instrText>
          </w:r>
          <w:r>
            <w:rPr>
              <w:rFonts w:ascii="宋体" w:hAnsi="宋体"/>
              <w:color w:val="auto"/>
              <w:sz w:val="32"/>
              <w:szCs w:val="32"/>
            </w:rPr>
            <w:fldChar w:fldCharType="separate"/>
          </w:r>
          <w:r>
            <w:rPr>
              <w:rFonts w:ascii="宋体" w:hAnsi="宋体"/>
              <w:color w:val="auto"/>
              <w:sz w:val="32"/>
              <w:szCs w:val="32"/>
            </w:rPr>
            <w:t>11</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"_Toc17768" </w:instrText>
          </w:r>
          <w:r>
            <w:rPr>
              <w:color w:val="auto"/>
            </w:rPr>
            <w:fldChar w:fldCharType="separate"/>
          </w:r>
          <w:r>
            <w:rPr>
              <w:rFonts w:ascii="宋体" w:hAnsi="宋体"/>
              <w:color w:val="auto"/>
              <w:sz w:val="32"/>
              <w:szCs w:val="32"/>
            </w:rPr>
            <w:t>（</w:t>
          </w:r>
          <w:r>
            <w:rPr>
              <w:rFonts w:hint="eastAsia" w:ascii="宋体" w:hAnsi="宋体"/>
              <w:color w:val="auto"/>
              <w:sz w:val="32"/>
              <w:szCs w:val="32"/>
            </w:rPr>
            <w:t>二</w:t>
          </w:r>
          <w:r>
            <w:rPr>
              <w:rFonts w:ascii="宋体" w:hAnsi="宋体"/>
              <w:color w:val="auto"/>
              <w:sz w:val="32"/>
              <w:szCs w:val="32"/>
            </w:rPr>
            <w:t>）</w:t>
          </w:r>
          <w:r>
            <w:rPr>
              <w:rFonts w:hint="eastAsia" w:ascii="宋体" w:hAnsi="宋体"/>
              <w:color w:val="auto"/>
              <w:sz w:val="32"/>
              <w:szCs w:val="32"/>
            </w:rPr>
            <w:t>公务用车购置及运行维护费变化情况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_Toc17768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"_Toc2610" </w:instrText>
          </w:r>
          <w:r>
            <w:rPr>
              <w:color w:val="auto"/>
            </w:rPr>
            <w:fldChar w:fldCharType="separate"/>
          </w:r>
          <w:r>
            <w:rPr>
              <w:rFonts w:hint="eastAsia" w:ascii="宋体" w:hAnsi="宋体" w:eastAsia="黑体"/>
              <w:color w:val="auto"/>
              <w:sz w:val="32"/>
              <w:szCs w:val="32"/>
            </w:rPr>
            <w:t>六、政府性基金预算支出情况说明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_Toc2610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"_Toc17731" </w:instrText>
          </w:r>
          <w:r>
            <w:rPr>
              <w:color w:val="auto"/>
            </w:rPr>
            <w:fldChar w:fldCharType="separate"/>
          </w:r>
          <w:r>
            <w:rPr>
              <w:rFonts w:hint="eastAsia" w:ascii="宋体" w:hAnsi="宋体" w:eastAsia="黑体"/>
              <w:color w:val="auto"/>
              <w:sz w:val="32"/>
              <w:szCs w:val="32"/>
            </w:rPr>
            <w:t>七、国有资本经营预算情况说明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_Toc17731 \h </w:instrText>
          </w:r>
          <w:r>
            <w:rPr>
              <w:rFonts w:ascii="宋体" w:hAnsi="宋体"/>
              <w:color w:val="auto"/>
              <w:sz w:val="32"/>
              <w:szCs w:val="32"/>
            </w:rPr>
            <w:fldChar w:fldCharType="separate"/>
          </w:r>
          <w:r>
            <w:rPr>
              <w:rFonts w:ascii="宋体" w:hAnsi="宋体"/>
              <w:color w:val="auto"/>
              <w:sz w:val="32"/>
              <w:szCs w:val="32"/>
            </w:rPr>
            <w:t>12</w:t>
          </w:r>
          <w:r>
            <w:rPr>
              <w:rFonts w:ascii="宋体" w:hAnsi="宋体"/>
              <w:color w:val="auto"/>
              <w:sz w:val="32"/>
              <w:szCs w:val="32"/>
            </w:rPr>
            <w:fldChar w:fldCharType="end"/>
          </w:r>
          <w:r>
            <w:rPr>
              <w:rFonts w:ascii="宋体" w:hAnsi="宋体"/>
              <w:color w:val="auto"/>
              <w:sz w:val="32"/>
              <w:szCs w:val="32"/>
            </w:rPr>
            <w:fldChar w:fldCharType="end"/>
          </w:r>
        </w:p>
        <w:p>
          <w:pPr>
            <w:pStyle w:val="16"/>
            <w:tabs>
              <w:tab w:val="right" w:leader="dot" w:pos="9812"/>
            </w:tabs>
            <w:spacing w:line="560" w:lineRule="exact"/>
            <w:ind w:left="440"/>
            <w:rPr>
              <w:rFonts w:ascii="宋体" w:hAnsi="宋体"/>
              <w:color w:val="auto"/>
              <w:sz w:val="32"/>
              <w:szCs w:val="32"/>
            </w:rPr>
          </w:pPr>
          <w:r>
            <w:rPr>
              <w:color w:val="auto"/>
            </w:rPr>
            <w:fldChar w:fldCharType="begin"/>
          </w:r>
          <w:r>
            <w:rPr>
              <w:color w:val="auto"/>
            </w:rPr>
            <w:instrText xml:space="preserve"> HYPERLINK \l "_Toc20919" </w:instrText>
          </w:r>
          <w:r>
            <w:rPr>
              <w:color w:val="auto"/>
            </w:rPr>
            <w:fldChar w:fldCharType="separate"/>
          </w:r>
          <w:r>
            <w:rPr>
              <w:rFonts w:hint="eastAsia" w:ascii="宋体" w:hAnsi="宋体" w:eastAsia="黑体"/>
              <w:color w:val="auto"/>
              <w:sz w:val="32"/>
              <w:szCs w:val="32"/>
            </w:rPr>
            <w:t>八、其他重要事项的情况说明</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_Toc20919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"_Toc9621" </w:instrText>
          </w:r>
          <w:r>
            <w:rPr>
              <w:color w:val="auto"/>
            </w:rPr>
            <w:fldChar w:fldCharType="separate"/>
          </w:r>
          <w:r>
            <w:rPr>
              <w:rFonts w:ascii="宋体" w:hAnsi="宋体"/>
              <w:color w:val="auto"/>
              <w:sz w:val="32"/>
              <w:szCs w:val="32"/>
            </w:rPr>
            <w:t>（一）机关运行经费情况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_Toc9621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"_Toc26552" </w:instrText>
          </w:r>
          <w:r>
            <w:rPr>
              <w:color w:val="auto"/>
            </w:rPr>
            <w:fldChar w:fldCharType="separate"/>
          </w:r>
          <w:r>
            <w:rPr>
              <w:rFonts w:ascii="宋体" w:hAnsi="宋体"/>
              <w:color w:val="auto"/>
              <w:sz w:val="32"/>
              <w:szCs w:val="32"/>
            </w:rPr>
            <w:t>（二）政府采购情况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_Toc26552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"_Toc11208" </w:instrText>
          </w:r>
          <w:r>
            <w:rPr>
              <w:color w:val="auto"/>
            </w:rPr>
            <w:fldChar w:fldCharType="separate"/>
          </w:r>
          <w:r>
            <w:rPr>
              <w:rFonts w:ascii="宋体" w:hAnsi="宋体"/>
              <w:color w:val="auto"/>
              <w:sz w:val="32"/>
              <w:szCs w:val="32"/>
            </w:rPr>
            <w:t>（三）国有资产占有使用情况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_Toc11208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7"/>
            <w:tabs>
              <w:tab w:val="right" w:leader="dot" w:pos="9812"/>
            </w:tabs>
            <w:spacing w:line="560" w:lineRule="exact"/>
            <w:ind w:left="880"/>
            <w:rPr>
              <w:rFonts w:ascii="宋体" w:hAnsi="宋体"/>
              <w:color w:val="auto"/>
              <w:sz w:val="32"/>
              <w:szCs w:val="32"/>
            </w:rPr>
          </w:pPr>
          <w:r>
            <w:rPr>
              <w:color w:val="auto"/>
            </w:rPr>
            <w:fldChar w:fldCharType="begin"/>
          </w:r>
          <w:r>
            <w:rPr>
              <w:color w:val="auto"/>
            </w:rPr>
            <w:instrText xml:space="preserve"> HYPERLINK \l "_Toc13599" </w:instrText>
          </w:r>
          <w:r>
            <w:rPr>
              <w:color w:val="auto"/>
            </w:rPr>
            <w:fldChar w:fldCharType="separate"/>
          </w:r>
          <w:r>
            <w:rPr>
              <w:rFonts w:hint="eastAsia" w:ascii="宋体" w:hAnsi="宋体"/>
              <w:color w:val="auto"/>
              <w:sz w:val="32"/>
              <w:szCs w:val="32"/>
            </w:rPr>
            <w:t>（四）</w:t>
          </w:r>
          <w:r>
            <w:rPr>
              <w:rFonts w:ascii="宋体" w:hAnsi="宋体"/>
              <w:color w:val="auto"/>
              <w:sz w:val="32"/>
              <w:szCs w:val="32"/>
            </w:rPr>
            <w:t>预算绩效情况</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_Toc13599 \h </w:instrText>
          </w:r>
          <w:r>
            <w:rPr>
              <w:rFonts w:ascii="宋体" w:hAnsi="宋体"/>
              <w:color w:val="auto"/>
              <w:sz w:val="32"/>
              <w:szCs w:val="32"/>
            </w:rPr>
            <w:fldChar w:fldCharType="separate"/>
          </w:r>
          <w:r>
            <w:rPr>
              <w:rFonts w:ascii="宋体" w:hAnsi="宋体"/>
              <w:color w:val="auto"/>
              <w:sz w:val="32"/>
              <w:szCs w:val="32"/>
            </w:rPr>
            <w:t>13</w:t>
          </w:r>
          <w:r>
            <w:rPr>
              <w:rFonts w:ascii="宋体" w:hAnsi="宋体"/>
              <w:color w:val="auto"/>
              <w:sz w:val="32"/>
              <w:szCs w:val="32"/>
            </w:rPr>
            <w:fldChar w:fldCharType="end"/>
          </w:r>
          <w:r>
            <w:rPr>
              <w:rFonts w:ascii="宋体" w:hAnsi="宋体"/>
              <w:color w:val="auto"/>
              <w:sz w:val="32"/>
              <w:szCs w:val="32"/>
            </w:rPr>
            <w:fldChar w:fldCharType="end"/>
          </w:r>
        </w:p>
        <w:p>
          <w:pPr>
            <w:pStyle w:val="15"/>
            <w:tabs>
              <w:tab w:val="right" w:leader="dot" w:pos="9812"/>
            </w:tabs>
            <w:spacing w:line="560" w:lineRule="exact"/>
            <w:rPr>
              <w:rFonts w:ascii="宋体" w:hAnsi="宋体"/>
              <w:color w:val="auto"/>
            </w:rPr>
          </w:pPr>
          <w:r>
            <w:rPr>
              <w:color w:val="auto"/>
            </w:rPr>
            <w:fldChar w:fldCharType="begin"/>
          </w:r>
          <w:r>
            <w:rPr>
              <w:color w:val="auto"/>
            </w:rPr>
            <w:instrText xml:space="preserve"> HYPERLINK \l "_Toc31157" </w:instrText>
          </w:r>
          <w:r>
            <w:rPr>
              <w:color w:val="auto"/>
            </w:rPr>
            <w:fldChar w:fldCharType="separate"/>
          </w:r>
          <w:r>
            <w:rPr>
              <w:rFonts w:hint="eastAsia" w:ascii="宋体" w:hAnsi="宋体" w:eastAsia="方正小标宋简体" w:cs="方正小标宋简体"/>
              <w:color w:val="auto"/>
              <w:sz w:val="32"/>
              <w:szCs w:val="32"/>
            </w:rPr>
            <w:t>第四部分  名词解释</w:t>
          </w:r>
          <w:r>
            <w:rPr>
              <w:rFonts w:ascii="宋体" w:hAnsi="宋体"/>
              <w:color w:val="auto"/>
              <w:sz w:val="32"/>
              <w:szCs w:val="32"/>
            </w:rPr>
            <w:tab/>
          </w:r>
          <w:r>
            <w:rPr>
              <w:rFonts w:ascii="宋体" w:hAnsi="宋体"/>
              <w:color w:val="auto"/>
              <w:sz w:val="32"/>
              <w:szCs w:val="32"/>
            </w:rPr>
            <w:fldChar w:fldCharType="begin"/>
          </w:r>
          <w:r>
            <w:rPr>
              <w:rFonts w:ascii="宋体" w:hAnsi="宋体"/>
              <w:color w:val="auto"/>
              <w:sz w:val="32"/>
              <w:szCs w:val="32"/>
            </w:rPr>
            <w:instrText xml:space="preserve"> PAGEREF _Toc31157 \h </w:instrText>
          </w:r>
          <w:r>
            <w:rPr>
              <w:rFonts w:ascii="宋体" w:hAnsi="宋体"/>
              <w:color w:val="auto"/>
              <w:sz w:val="32"/>
              <w:szCs w:val="32"/>
            </w:rPr>
            <w:fldChar w:fldCharType="separate"/>
          </w:r>
          <w:r>
            <w:rPr>
              <w:rFonts w:ascii="宋体" w:hAnsi="宋体"/>
              <w:color w:val="auto"/>
              <w:sz w:val="32"/>
              <w:szCs w:val="32"/>
            </w:rPr>
            <w:t>14</w:t>
          </w:r>
          <w:r>
            <w:rPr>
              <w:rFonts w:ascii="宋体" w:hAnsi="宋体"/>
              <w:color w:val="auto"/>
              <w:sz w:val="32"/>
              <w:szCs w:val="32"/>
            </w:rPr>
            <w:fldChar w:fldCharType="end"/>
          </w:r>
          <w:r>
            <w:rPr>
              <w:rFonts w:ascii="宋体" w:hAnsi="宋体"/>
              <w:color w:val="auto"/>
              <w:sz w:val="32"/>
              <w:szCs w:val="32"/>
            </w:rPr>
            <w:fldChar w:fldCharType="end"/>
          </w:r>
        </w:p>
        <w:p>
          <w:pPr>
            <w:pStyle w:val="6"/>
            <w:tabs>
              <w:tab w:val="left" w:pos="4798"/>
            </w:tabs>
            <w:jc w:val="both"/>
            <w:rPr>
              <w:rFonts w:ascii="宋体" w:hAnsi="宋体" w:eastAsia="方正小标宋简体" w:cs="方正小标宋简体"/>
              <w:b/>
              <w:bCs/>
              <w:color w:val="auto"/>
              <w:sz w:val="48"/>
              <w:szCs w:val="48"/>
              <w:lang w:val="en-US"/>
            </w:rPr>
          </w:pPr>
          <w:r>
            <w:rPr>
              <w:rFonts w:hint="eastAsia" w:ascii="宋体" w:hAnsi="宋体" w:eastAsia="方正小标宋简体" w:cs="方正小标宋简体"/>
              <w:bCs/>
              <w:color w:val="auto"/>
              <w:szCs w:val="48"/>
              <w:lang w:val="en-US"/>
            </w:rPr>
            <w:fldChar w:fldCharType="end"/>
          </w:r>
        </w:p>
      </w:sdtContent>
    </w:sdt>
    <w:p>
      <w:pPr>
        <w:pStyle w:val="6"/>
        <w:rPr>
          <w:rFonts w:ascii="宋体" w:hAnsi="宋体"/>
          <w:color w:val="auto"/>
          <w:sz w:val="20"/>
        </w:rPr>
        <w:sectPr>
          <w:headerReference r:id="rId3" w:type="default"/>
          <w:footerReference r:id="rId4" w:type="default"/>
          <w:pgSz w:w="11910" w:h="16840"/>
          <w:pgMar w:top="1587" w:right="964" w:bottom="1701" w:left="1134" w:header="737" w:footer="737" w:gutter="0"/>
          <w:pgNumType w:start="1"/>
          <w:cols w:space="0" w:num="1"/>
        </w:sect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spacing w:before="3"/>
        <w:rPr>
          <w:rFonts w:ascii="宋体" w:hAnsi="宋体"/>
          <w:color w:val="auto"/>
          <w:sz w:val="28"/>
        </w:rPr>
      </w:pPr>
    </w:p>
    <w:p>
      <w:pPr>
        <w:pStyle w:val="6"/>
        <w:numPr>
          <w:ilvl w:val="0"/>
          <w:numId w:val="1"/>
        </w:numPr>
        <w:jc w:val="center"/>
        <w:outlineLvl w:val="0"/>
        <w:rPr>
          <w:rFonts w:ascii="宋体" w:hAnsi="宋体" w:eastAsia="方正小标宋简体" w:cs="方正小标宋简体"/>
          <w:b/>
          <w:bCs/>
          <w:color w:val="auto"/>
          <w:sz w:val="52"/>
          <w:szCs w:val="52"/>
          <w:lang w:val="en-US"/>
        </w:rPr>
      </w:pPr>
      <w:bookmarkStart w:id="0" w:name="_Toc24981"/>
      <w:r>
        <w:rPr>
          <w:rFonts w:hint="eastAsia" w:ascii="宋体" w:hAnsi="宋体" w:eastAsia="方正小标宋简体" w:cs="方正小标宋简体"/>
          <w:b/>
          <w:bCs/>
          <w:color w:val="auto"/>
          <w:sz w:val="52"/>
          <w:szCs w:val="52"/>
          <w:lang w:val="en-US"/>
        </w:rPr>
        <w:t>部门概况</w:t>
      </w:r>
      <w:bookmarkEnd w:id="0"/>
    </w:p>
    <w:p>
      <w:pPr>
        <w:pStyle w:val="6"/>
        <w:spacing w:before="40" w:after="120" w:afterLines="50"/>
        <w:ind w:firstLine="640" w:firstLineChars="200"/>
        <w:rPr>
          <w:rFonts w:ascii="宋体" w:hAnsi="宋体" w:eastAsia="黑体"/>
          <w:color w:val="auto"/>
        </w:rPr>
      </w:pPr>
    </w:p>
    <w:p>
      <w:pPr>
        <w:pStyle w:val="6"/>
        <w:spacing w:before="40" w:after="120" w:afterLines="50"/>
        <w:ind w:firstLine="640" w:firstLineChars="200"/>
        <w:rPr>
          <w:rFonts w:ascii="宋体" w:hAnsi="宋体" w:eastAsia="黑体"/>
          <w:color w:val="auto"/>
        </w:rPr>
      </w:pPr>
    </w:p>
    <w:p>
      <w:pPr>
        <w:pStyle w:val="6"/>
        <w:spacing w:before="40" w:after="120" w:afterLines="50"/>
        <w:ind w:firstLine="640" w:firstLineChars="200"/>
        <w:rPr>
          <w:rFonts w:ascii="宋体" w:hAnsi="宋体" w:eastAsia="黑体"/>
          <w:color w:val="auto"/>
        </w:rPr>
        <w:sectPr>
          <w:footerReference r:id="rId5" w:type="default"/>
          <w:pgSz w:w="11910" w:h="16840"/>
          <w:pgMar w:top="1587" w:right="964" w:bottom="1701" w:left="1134" w:header="737" w:footer="737" w:gutter="0"/>
          <w:pgNumType w:start="1"/>
          <w:cols w:space="0" w:num="1"/>
        </w:sectPr>
      </w:pPr>
    </w:p>
    <w:p>
      <w:pPr>
        <w:pStyle w:val="6"/>
        <w:spacing w:before="40" w:after="120" w:afterLines="50"/>
        <w:ind w:firstLine="640" w:firstLineChars="200"/>
        <w:outlineLvl w:val="1"/>
        <w:rPr>
          <w:rFonts w:ascii="宋体" w:hAnsi="宋体" w:eastAsia="黑体"/>
          <w:color w:val="auto"/>
        </w:rPr>
      </w:pPr>
      <w:bookmarkStart w:id="1" w:name="_Toc977"/>
      <w:r>
        <w:rPr>
          <w:rFonts w:hint="eastAsia" w:ascii="宋体" w:hAnsi="宋体" w:eastAsia="黑体"/>
          <w:color w:val="auto"/>
        </w:rPr>
        <w:t>一、基本职能及主要工作</w:t>
      </w:r>
      <w:bookmarkEnd w:id="1"/>
    </w:p>
    <w:p>
      <w:pPr>
        <w:pStyle w:val="4"/>
        <w:spacing w:before="100" w:after="120" w:afterLines="50"/>
        <w:ind w:left="0" w:firstLine="964" w:firstLineChars="300"/>
        <w:rPr>
          <w:rFonts w:ascii="宋体" w:hAnsi="宋体"/>
          <w:color w:val="auto"/>
        </w:rPr>
      </w:pPr>
      <w:bookmarkStart w:id="2" w:name="_Toc5540"/>
      <w:r>
        <w:rPr>
          <w:rFonts w:ascii="宋体" w:hAnsi="宋体"/>
          <w:color w:val="auto"/>
        </w:rPr>
        <w:t>（一）部门职能简介</w:t>
      </w:r>
      <w:bookmarkEnd w:id="2"/>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bookmarkStart w:id="3" w:name="_Toc29132"/>
      <w:r>
        <w:rPr>
          <w:rFonts w:hint="eastAsia" w:ascii="宋体" w:hAnsi="宋体"/>
          <w:color w:val="auto"/>
          <w:sz w:val="32"/>
          <w:lang w:val="en-US" w:eastAsia="zh-CN"/>
        </w:rPr>
        <w:t>1、正确贯彻执行党和国家的教育方针、政策、法规。</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2、维护学校的教育、训练、管理秩序，为学生创造良好的学习、生活、训练环境；</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3、积极稳妥地推进业余训练改革，按青少年训练规律办事，不断提高训练质量；</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4、根据学校规模，设置学校管理机构，建立健全各项规章制度和岗位责任制。</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5、坚持读训并重，训练育才，服务育人，环境育人方针，加强对学生的思想品德教育，使学生的德智体全面发展。</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6、抓好教练队伍建设，使每个教练都热心于基层业训事业，培养水上运动人才，促进体育事业发展；</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7、做好安全防范，保证学生的人身安全。</w:t>
      </w:r>
    </w:p>
    <w:p>
      <w:pPr>
        <w:pStyle w:val="4"/>
        <w:spacing w:before="190"/>
        <w:ind w:left="0" w:firstLine="964" w:firstLineChars="300"/>
        <w:rPr>
          <w:rFonts w:hint="eastAsia" w:ascii="宋体" w:hAnsi="宋体"/>
          <w:color w:val="auto"/>
        </w:rPr>
      </w:pPr>
      <w:r>
        <w:rPr>
          <w:rFonts w:ascii="宋体" w:hAnsi="宋体"/>
          <w:color w:val="auto"/>
        </w:rPr>
        <w:t>（二）部门</w:t>
      </w:r>
      <w:r>
        <w:rPr>
          <w:rFonts w:hint="eastAsia" w:ascii="宋体" w:hAnsi="宋体"/>
          <w:color w:val="auto"/>
          <w:lang w:val="en-US"/>
        </w:rPr>
        <w:t>2023</w:t>
      </w:r>
      <w:r>
        <w:rPr>
          <w:rFonts w:ascii="宋体" w:hAnsi="宋体"/>
          <w:color w:val="auto"/>
        </w:rPr>
        <w:t>年重点工</w:t>
      </w:r>
      <w:r>
        <w:rPr>
          <w:rFonts w:hint="eastAsia" w:ascii="宋体" w:hAnsi="宋体"/>
          <w:color w:val="auto"/>
        </w:rPr>
        <w:t>作</w:t>
      </w:r>
      <w:bookmarkEnd w:id="3"/>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1、 抓训练，提升竞技水平</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抓好春训为年中省锦标赛作准备</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抓好冬训为来年训练打基础</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2、 参加省锦标赛，检验训练效果</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3、 参加“选星计划”输送顶尖运动苗子</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四、抓管理，确保队伍稳定</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五、开展“反兴教育”“法制讲座”“禁毒知识讲座”“青少年青春期生理卫生讲座”，帮助运动员树立正确的人生观、世界观，树立“拿道德的金牌，干净的金牌”意识</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六、根据要求，选送年轻教练参加相关培训</w:t>
      </w:r>
    </w:p>
    <w:p>
      <w:pPr>
        <w:pStyle w:val="13"/>
        <w:tabs>
          <w:tab w:val="left" w:pos="1784"/>
        </w:tabs>
        <w:spacing w:before="240" w:beforeLines="100" w:after="120" w:afterLines="50" w:line="560" w:lineRule="exact"/>
        <w:ind w:left="1936" w:leftChars="880" w:right="660" w:rightChars="300" w:firstLine="0" w:firstLineChars="0"/>
        <w:rPr>
          <w:rFonts w:hint="eastAsia" w:ascii="宋体" w:hAnsi="宋体"/>
          <w:color w:val="auto"/>
          <w:sz w:val="32"/>
          <w:lang w:val="en-US" w:eastAsia="zh-CN"/>
        </w:rPr>
      </w:pPr>
      <w:r>
        <w:rPr>
          <w:rFonts w:hint="eastAsia" w:ascii="宋体" w:hAnsi="宋体"/>
          <w:color w:val="auto"/>
          <w:sz w:val="32"/>
          <w:lang w:val="en-US" w:eastAsia="zh-CN"/>
        </w:rPr>
        <w:t>七、协助主管局搞好有关比赛。</w:t>
      </w:r>
    </w:p>
    <w:p>
      <w:pPr>
        <w:pStyle w:val="6"/>
        <w:spacing w:before="40" w:after="120" w:afterLines="50"/>
        <w:ind w:firstLine="640" w:firstLineChars="200"/>
        <w:outlineLvl w:val="1"/>
        <w:rPr>
          <w:rFonts w:ascii="宋体" w:hAnsi="宋体" w:eastAsia="黑体"/>
          <w:color w:val="auto"/>
        </w:rPr>
      </w:pPr>
      <w:bookmarkStart w:id="4" w:name="_Toc30432"/>
      <w:r>
        <w:rPr>
          <w:rFonts w:hint="eastAsia" w:ascii="宋体" w:hAnsi="宋体" w:eastAsia="黑体"/>
          <w:color w:val="auto"/>
        </w:rPr>
        <w:t>二、部门预算单位构成</w:t>
      </w:r>
      <w:bookmarkEnd w:id="4"/>
    </w:p>
    <w:p>
      <w:pPr>
        <w:ind w:firstLine="1280" w:firstLineChars="400"/>
        <w:rPr>
          <w:rFonts w:hint="eastAsia"/>
          <w:color w:val="auto"/>
          <w:sz w:val="32"/>
          <w:lang w:val="en-US"/>
        </w:rPr>
      </w:pPr>
      <w:r>
        <w:rPr>
          <w:rFonts w:hint="eastAsia"/>
          <w:color w:val="auto"/>
          <w:sz w:val="32"/>
          <w:lang w:val="en-US"/>
        </w:rPr>
        <w:t>学校无下属预算单位。</w:t>
      </w: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ind w:firstLine="1280" w:firstLineChars="400"/>
        <w:rPr>
          <w:rFonts w:hint="eastAsia"/>
          <w:color w:val="auto"/>
          <w:sz w:val="32"/>
          <w:lang w:val="en-US"/>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numPr>
          <w:ilvl w:val="0"/>
          <w:numId w:val="2"/>
        </w:numPr>
        <w:jc w:val="center"/>
        <w:outlineLvl w:val="0"/>
        <w:rPr>
          <w:rFonts w:ascii="宋体" w:hAnsi="宋体" w:eastAsia="方正小标宋简体" w:cs="方正小标宋简体"/>
          <w:b/>
          <w:bCs/>
          <w:color w:val="auto"/>
          <w:sz w:val="52"/>
          <w:szCs w:val="52"/>
          <w:lang w:val="en-US"/>
        </w:rPr>
      </w:pPr>
      <w:bookmarkStart w:id="5" w:name="_Toc28587"/>
      <w:r>
        <w:rPr>
          <w:rFonts w:hint="eastAsia" w:ascii="宋体" w:hAnsi="宋体" w:eastAsia="方正小标宋简体" w:cs="方正小标宋简体"/>
          <w:b/>
          <w:bCs/>
          <w:color w:val="auto"/>
          <w:sz w:val="52"/>
          <w:szCs w:val="52"/>
          <w:lang w:val="en-US"/>
        </w:rPr>
        <w:t>五通桥区水上运动学校202</w:t>
      </w:r>
      <w:r>
        <w:rPr>
          <w:rFonts w:hint="eastAsia" w:ascii="宋体" w:hAnsi="宋体" w:eastAsia="方正小标宋简体" w:cs="方正小标宋简体"/>
          <w:b/>
          <w:bCs/>
          <w:color w:val="auto"/>
          <w:sz w:val="52"/>
          <w:szCs w:val="52"/>
          <w:lang w:val="en-US" w:eastAsia="zh-CN"/>
        </w:rPr>
        <w:t>4</w:t>
      </w:r>
      <w:r>
        <w:rPr>
          <w:rFonts w:hint="eastAsia" w:ascii="宋体" w:hAnsi="宋体" w:eastAsia="方正小标宋简体" w:cs="方正小标宋简体"/>
          <w:b/>
          <w:bCs/>
          <w:color w:val="auto"/>
          <w:sz w:val="52"/>
          <w:szCs w:val="52"/>
          <w:lang w:val="en-US"/>
        </w:rPr>
        <w:t>年部门预算表</w:t>
      </w:r>
      <w:bookmarkEnd w:id="5"/>
    </w:p>
    <w:p>
      <w:pPr>
        <w:ind w:firstLine="640" w:firstLineChars="200"/>
        <w:rPr>
          <w:rFonts w:hint="eastAsia" w:ascii="宋体" w:hAnsi="宋体"/>
          <w:color w:val="auto"/>
          <w:sz w:val="32"/>
          <w:lang w:val="en-US"/>
        </w:rPr>
      </w:pPr>
      <w:bookmarkStart w:id="6" w:name="_Toc12069"/>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ind w:firstLine="640" w:firstLineChars="200"/>
        <w:rPr>
          <w:rFonts w:hint="eastAsia" w:ascii="宋体" w:hAnsi="宋体"/>
          <w:color w:val="auto"/>
          <w:sz w:val="32"/>
          <w:lang w:val="en-US"/>
        </w:rPr>
      </w:pPr>
    </w:p>
    <w:p>
      <w:pPr>
        <w:pStyle w:val="13"/>
        <w:tabs>
          <w:tab w:val="left" w:pos="1784"/>
        </w:tabs>
        <w:spacing w:line="700" w:lineRule="exact"/>
        <w:ind w:left="660" w:leftChars="300" w:right="660" w:rightChars="300" w:firstLine="0"/>
        <w:jc w:val="left"/>
        <w:outlineLvl w:val="1"/>
        <w:rPr>
          <w:rFonts w:hint="eastAsia" w:ascii="宋体" w:hAnsi="宋体"/>
          <w:color w:val="auto"/>
          <w:sz w:val="32"/>
          <w:lang w:val="en-US"/>
        </w:rPr>
      </w:pPr>
      <w:r>
        <w:rPr>
          <w:rFonts w:hint="eastAsia" w:ascii="宋体" w:hAnsi="宋体"/>
          <w:color w:val="auto"/>
          <w:sz w:val="32"/>
          <w:lang w:val="en-US"/>
        </w:rPr>
        <w:t>一、部门收支总表（公开表 1）</w:t>
      </w:r>
      <w:bookmarkEnd w:id="6"/>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7" w:name="_Toc27995"/>
      <w:r>
        <w:rPr>
          <w:rFonts w:hint="eastAsia" w:ascii="宋体" w:hAnsi="宋体"/>
          <w:color w:val="auto"/>
          <w:sz w:val="32"/>
          <w:lang w:val="en-US"/>
        </w:rPr>
        <w:t>二、部门收入总表（公开表 1-1）</w:t>
      </w:r>
      <w:bookmarkEnd w:id="7"/>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8" w:name="_Toc3639"/>
      <w:r>
        <w:rPr>
          <w:rFonts w:hint="eastAsia" w:ascii="宋体" w:hAnsi="宋体"/>
          <w:color w:val="auto"/>
          <w:sz w:val="32"/>
          <w:lang w:val="en-US"/>
        </w:rPr>
        <w:t>三、部门支出总表（公开表 1-2）</w:t>
      </w:r>
      <w:bookmarkEnd w:id="8"/>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9" w:name="_Toc25815"/>
      <w:r>
        <w:rPr>
          <w:rFonts w:hint="eastAsia" w:ascii="宋体" w:hAnsi="宋体"/>
          <w:color w:val="auto"/>
          <w:sz w:val="32"/>
          <w:lang w:val="en-US"/>
        </w:rPr>
        <w:t>四、财政拨款收支预算总表（公开表 2）</w:t>
      </w:r>
      <w:bookmarkEnd w:id="9"/>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0" w:name="_Toc4686"/>
      <w:r>
        <w:rPr>
          <w:rFonts w:hint="eastAsia" w:ascii="宋体" w:hAnsi="宋体"/>
          <w:color w:val="auto"/>
          <w:sz w:val="32"/>
          <w:lang w:val="en-US"/>
        </w:rPr>
        <w:t>五、财政拨款支出预算表（部门经济分类科目）</w:t>
      </w:r>
      <w:bookmarkEnd w:id="10"/>
    </w:p>
    <w:p>
      <w:pPr>
        <w:pStyle w:val="13"/>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2-1）</w:t>
      </w:r>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1" w:name="_Toc7952"/>
      <w:r>
        <w:rPr>
          <w:rFonts w:hint="eastAsia" w:ascii="宋体" w:hAnsi="宋体"/>
          <w:color w:val="auto"/>
          <w:sz w:val="32"/>
          <w:lang w:val="en-US"/>
        </w:rPr>
        <w:t>六、一般公共预算支出预算表（公开表 3）</w:t>
      </w:r>
      <w:bookmarkEnd w:id="11"/>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2" w:name="_Toc32200"/>
      <w:r>
        <w:rPr>
          <w:rFonts w:hint="eastAsia" w:ascii="宋体" w:hAnsi="宋体"/>
          <w:color w:val="auto"/>
          <w:sz w:val="32"/>
          <w:lang w:val="en-US"/>
        </w:rPr>
        <w:t>七、一般公共预算基本支出预算表（公开表 3-1）</w:t>
      </w:r>
      <w:bookmarkEnd w:id="12"/>
      <w:r>
        <w:rPr>
          <w:rFonts w:hint="eastAsia" w:ascii="宋体" w:hAnsi="宋体"/>
          <w:color w:val="auto"/>
          <w:sz w:val="32"/>
          <w:lang w:val="en-US"/>
        </w:rPr>
        <w:t xml:space="preserve"> </w:t>
      </w:r>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3" w:name="_Toc17751"/>
      <w:r>
        <w:rPr>
          <w:rFonts w:hint="eastAsia" w:ascii="宋体" w:hAnsi="宋体"/>
          <w:color w:val="auto"/>
          <w:sz w:val="32"/>
          <w:lang w:val="en-US"/>
        </w:rPr>
        <w:t>八、一般公共预算项目支出预算表（公开表 3-2）</w:t>
      </w:r>
      <w:bookmarkEnd w:id="13"/>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4" w:name="_Toc11119"/>
      <w:r>
        <w:rPr>
          <w:rFonts w:hint="eastAsia" w:ascii="宋体" w:hAnsi="宋体"/>
          <w:color w:val="auto"/>
          <w:sz w:val="32"/>
          <w:lang w:val="en-US"/>
        </w:rPr>
        <w:t>九、一般公共预算“三公”经费支出预算表</w:t>
      </w:r>
      <w:bookmarkEnd w:id="14"/>
    </w:p>
    <w:p>
      <w:pPr>
        <w:pStyle w:val="13"/>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 xml:space="preserve">（公开表 3-3） </w:t>
      </w:r>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5" w:name="_Toc19211"/>
      <w:r>
        <w:rPr>
          <w:rFonts w:hint="eastAsia" w:ascii="宋体" w:hAnsi="宋体"/>
          <w:color w:val="auto"/>
          <w:sz w:val="32"/>
          <w:lang w:val="en-US"/>
        </w:rPr>
        <w:t>十、政府性基金预算支出表（公开表 4）</w:t>
      </w:r>
      <w:bookmarkEnd w:id="15"/>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6" w:name="_Toc7676"/>
      <w:r>
        <w:rPr>
          <w:rFonts w:hint="eastAsia" w:ascii="宋体" w:hAnsi="宋体"/>
          <w:color w:val="auto"/>
          <w:sz w:val="32"/>
          <w:lang w:val="en-US"/>
        </w:rPr>
        <w:t>十一、政府性基金预算“三公”经费支出预算表</w:t>
      </w:r>
      <w:bookmarkEnd w:id="16"/>
    </w:p>
    <w:p>
      <w:pPr>
        <w:pStyle w:val="13"/>
        <w:tabs>
          <w:tab w:val="left" w:pos="1784"/>
        </w:tabs>
        <w:spacing w:line="700" w:lineRule="exact"/>
        <w:ind w:left="660" w:leftChars="300" w:right="660" w:rightChars="300" w:firstLine="438" w:firstLineChars="137"/>
        <w:jc w:val="left"/>
        <w:rPr>
          <w:rFonts w:ascii="宋体" w:hAnsi="宋体"/>
          <w:color w:val="auto"/>
          <w:sz w:val="32"/>
          <w:lang w:val="en-US"/>
        </w:rPr>
      </w:pPr>
      <w:r>
        <w:rPr>
          <w:rFonts w:hint="eastAsia" w:ascii="宋体" w:hAnsi="宋体"/>
          <w:color w:val="auto"/>
          <w:sz w:val="32"/>
          <w:lang w:val="en-US"/>
        </w:rPr>
        <w:t>（公开表 4-1）</w:t>
      </w:r>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7" w:name="_Toc22917"/>
      <w:r>
        <w:rPr>
          <w:rFonts w:hint="eastAsia" w:ascii="宋体" w:hAnsi="宋体"/>
          <w:color w:val="auto"/>
          <w:sz w:val="32"/>
          <w:lang w:val="en-US"/>
        </w:rPr>
        <w:t>十二、国有资本经营预算支出表（公开表 5）</w:t>
      </w:r>
      <w:bookmarkEnd w:id="17"/>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8" w:name="_Toc27847"/>
      <w:r>
        <w:rPr>
          <w:rFonts w:hint="eastAsia" w:ascii="宋体" w:hAnsi="宋体"/>
          <w:color w:val="auto"/>
          <w:sz w:val="32"/>
          <w:lang w:val="en-US"/>
        </w:rPr>
        <w:t>十三、部门整体支出绩效目标表（公开表 6）</w:t>
      </w:r>
      <w:bookmarkEnd w:id="18"/>
      <w:r>
        <w:rPr>
          <w:rFonts w:hint="eastAsia" w:ascii="宋体" w:hAnsi="宋体"/>
          <w:color w:val="auto"/>
          <w:sz w:val="32"/>
          <w:lang w:val="en-US"/>
        </w:rPr>
        <w:t xml:space="preserve"> </w:t>
      </w:r>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19" w:name="_Toc30878"/>
      <w:r>
        <w:rPr>
          <w:rFonts w:hint="eastAsia" w:ascii="宋体" w:hAnsi="宋体"/>
          <w:color w:val="auto"/>
          <w:sz w:val="32"/>
          <w:lang w:val="en-US"/>
        </w:rPr>
        <w:t>十四、部门预算项目支出绩效目标表（公开表 7）</w:t>
      </w:r>
      <w:bookmarkEnd w:id="19"/>
    </w:p>
    <w:p>
      <w:pPr>
        <w:pStyle w:val="13"/>
        <w:tabs>
          <w:tab w:val="left" w:pos="1784"/>
        </w:tabs>
        <w:spacing w:line="700" w:lineRule="exact"/>
        <w:ind w:left="660" w:leftChars="300" w:right="660" w:rightChars="300" w:firstLine="0"/>
        <w:jc w:val="left"/>
        <w:outlineLvl w:val="1"/>
        <w:rPr>
          <w:rFonts w:ascii="宋体" w:hAnsi="宋体"/>
          <w:color w:val="auto"/>
          <w:sz w:val="32"/>
          <w:lang w:val="en-US"/>
        </w:rPr>
      </w:pPr>
      <w:bookmarkStart w:id="20" w:name="_Toc32437"/>
      <w:r>
        <w:rPr>
          <w:rFonts w:hint="eastAsia" w:ascii="宋体" w:hAnsi="宋体"/>
          <w:color w:val="auto"/>
          <w:sz w:val="32"/>
          <w:lang w:val="en-US"/>
        </w:rPr>
        <w:t>十五、政府采购预算表（公开表 8）</w:t>
      </w:r>
      <w:bookmarkEnd w:id="20"/>
    </w:p>
    <w:p>
      <w:pPr>
        <w:pStyle w:val="13"/>
        <w:tabs>
          <w:tab w:val="left" w:pos="1784"/>
        </w:tabs>
        <w:spacing w:line="700" w:lineRule="exact"/>
        <w:ind w:left="660" w:leftChars="300" w:right="660" w:rightChars="300" w:firstLine="0"/>
        <w:jc w:val="left"/>
        <w:outlineLvl w:val="1"/>
        <w:rPr>
          <w:rFonts w:hint="eastAsia" w:ascii="宋体" w:hAnsi="宋体"/>
          <w:b/>
          <w:bCs/>
          <w:color w:val="auto"/>
          <w:sz w:val="32"/>
          <w:lang w:val="en-US"/>
        </w:rPr>
      </w:pPr>
      <w:bookmarkStart w:id="21" w:name="_Toc16458"/>
      <w:r>
        <w:rPr>
          <w:rFonts w:hint="eastAsia" w:ascii="宋体" w:hAnsi="宋体"/>
          <w:b/>
          <w:bCs/>
          <w:color w:val="auto"/>
          <w:sz w:val="32"/>
          <w:lang w:val="en-US"/>
        </w:rPr>
        <w:t>以上所有表格详见部门说明后附件。</w:t>
      </w:r>
      <w:bookmarkEnd w:id="21"/>
    </w:p>
    <w:p>
      <w:pPr>
        <w:pStyle w:val="13"/>
        <w:tabs>
          <w:tab w:val="left" w:pos="1784"/>
        </w:tabs>
        <w:spacing w:line="700" w:lineRule="exact"/>
        <w:ind w:left="660" w:leftChars="300" w:right="660" w:rightChars="300" w:firstLine="0"/>
        <w:jc w:val="left"/>
        <w:outlineLvl w:val="1"/>
        <w:rPr>
          <w:rFonts w:hint="eastAsia" w:ascii="宋体" w:hAnsi="宋体"/>
          <w:b/>
          <w:bCs/>
          <w:color w:val="auto"/>
          <w:sz w:val="32"/>
          <w:lang w:val="en-US"/>
        </w:rPr>
      </w:pPr>
    </w:p>
    <w:p>
      <w:pPr>
        <w:pStyle w:val="13"/>
        <w:tabs>
          <w:tab w:val="left" w:pos="1784"/>
        </w:tabs>
        <w:spacing w:line="700" w:lineRule="exact"/>
        <w:ind w:left="660" w:leftChars="300" w:right="660" w:rightChars="300" w:firstLine="0"/>
        <w:jc w:val="left"/>
        <w:outlineLvl w:val="1"/>
        <w:rPr>
          <w:rFonts w:hint="eastAsia" w:ascii="宋体" w:hAnsi="宋体"/>
          <w:b/>
          <w:bCs/>
          <w:color w:val="auto"/>
          <w:sz w:val="32"/>
          <w:lang w:val="en-US"/>
        </w:rPr>
      </w:pPr>
    </w:p>
    <w:p>
      <w:pPr>
        <w:pStyle w:val="13"/>
        <w:tabs>
          <w:tab w:val="left" w:pos="1784"/>
        </w:tabs>
        <w:spacing w:line="700" w:lineRule="exact"/>
        <w:ind w:left="0" w:leftChars="0" w:right="660" w:rightChars="300" w:firstLine="0" w:firstLineChars="0"/>
        <w:jc w:val="left"/>
        <w:outlineLvl w:val="1"/>
        <w:rPr>
          <w:rFonts w:hint="eastAsia" w:ascii="宋体" w:hAnsi="宋体"/>
          <w:b/>
          <w:bCs/>
          <w:color w:val="auto"/>
          <w:sz w:val="32"/>
          <w:lang w:val="en-US"/>
        </w:rPr>
      </w:pPr>
    </w:p>
    <w:p>
      <w:pPr>
        <w:pStyle w:val="13"/>
        <w:tabs>
          <w:tab w:val="left" w:pos="1784"/>
        </w:tabs>
        <w:spacing w:line="700" w:lineRule="exact"/>
        <w:ind w:left="660" w:leftChars="300" w:right="660" w:rightChars="300" w:firstLine="0"/>
        <w:jc w:val="left"/>
        <w:outlineLvl w:val="1"/>
        <w:rPr>
          <w:rFonts w:hint="eastAsia" w:ascii="宋体" w:hAnsi="宋体"/>
          <w:b/>
          <w:bCs/>
          <w:color w:val="auto"/>
          <w:sz w:val="32"/>
          <w:lang w:val="en-US"/>
        </w:rPr>
      </w:pPr>
    </w:p>
    <w:p>
      <w:pPr>
        <w:pStyle w:val="13"/>
        <w:tabs>
          <w:tab w:val="left" w:pos="1784"/>
        </w:tabs>
        <w:spacing w:line="700" w:lineRule="exact"/>
        <w:ind w:left="660" w:leftChars="300" w:right="660" w:rightChars="300" w:firstLine="0"/>
        <w:jc w:val="left"/>
        <w:outlineLvl w:val="1"/>
        <w:rPr>
          <w:rFonts w:hint="eastAsia" w:ascii="宋体" w:hAnsi="宋体"/>
          <w:b/>
          <w:bCs/>
          <w:color w:val="auto"/>
          <w:sz w:val="32"/>
          <w:lang w:val="en-US"/>
        </w:rPr>
      </w:pPr>
    </w:p>
    <w:p>
      <w:pPr>
        <w:pStyle w:val="6"/>
        <w:numPr>
          <w:ilvl w:val="0"/>
          <w:numId w:val="2"/>
        </w:numPr>
        <w:spacing w:before="6"/>
        <w:jc w:val="center"/>
        <w:outlineLvl w:val="0"/>
        <w:rPr>
          <w:rFonts w:ascii="宋体" w:hAnsi="宋体" w:eastAsia="方正小标宋简体" w:cs="方正小标宋简体"/>
          <w:color w:val="auto"/>
          <w:sz w:val="52"/>
          <w:szCs w:val="52"/>
          <w:lang w:val="en-US"/>
        </w:rPr>
      </w:pPr>
      <w:bookmarkStart w:id="22" w:name="_Toc19948"/>
      <w:r>
        <w:rPr>
          <w:rFonts w:hint="eastAsia" w:ascii="宋体" w:hAnsi="宋体" w:eastAsia="方正小标宋简体" w:cs="方正小标宋简体"/>
          <w:color w:val="auto"/>
          <w:sz w:val="52"/>
          <w:szCs w:val="52"/>
          <w:lang w:val="en-US"/>
        </w:rPr>
        <w:t>五通桥区水上运动学校202</w:t>
      </w:r>
      <w:r>
        <w:rPr>
          <w:rFonts w:hint="eastAsia" w:ascii="宋体" w:hAnsi="宋体" w:eastAsia="方正小标宋简体" w:cs="方正小标宋简体"/>
          <w:color w:val="auto"/>
          <w:sz w:val="52"/>
          <w:szCs w:val="52"/>
          <w:lang w:val="en-US" w:eastAsia="zh-CN"/>
        </w:rPr>
        <w:t>4</w:t>
      </w:r>
      <w:r>
        <w:rPr>
          <w:rFonts w:hint="eastAsia" w:ascii="宋体" w:hAnsi="宋体" w:eastAsia="方正小标宋简体" w:cs="方正小标宋简体"/>
          <w:color w:val="auto"/>
          <w:sz w:val="52"/>
          <w:szCs w:val="52"/>
          <w:lang w:val="en-US"/>
        </w:rPr>
        <w:t>年</w:t>
      </w:r>
      <w:bookmarkEnd w:id="22"/>
    </w:p>
    <w:p>
      <w:pPr>
        <w:pStyle w:val="6"/>
        <w:spacing w:before="6"/>
        <w:jc w:val="center"/>
        <w:outlineLvl w:val="1"/>
        <w:rPr>
          <w:rFonts w:hint="eastAsia" w:ascii="宋体" w:hAnsi="宋体" w:eastAsia="方正小标宋简体" w:cs="方正小标宋简体"/>
          <w:color w:val="auto"/>
          <w:sz w:val="52"/>
          <w:szCs w:val="52"/>
          <w:lang w:val="en-US"/>
        </w:rPr>
      </w:pPr>
      <w:bookmarkStart w:id="23" w:name="_Toc1047"/>
      <w:r>
        <w:rPr>
          <w:rFonts w:hint="eastAsia" w:ascii="宋体" w:hAnsi="宋体" w:eastAsia="方正小标宋简体" w:cs="方正小标宋简体"/>
          <w:color w:val="auto"/>
          <w:sz w:val="52"/>
          <w:szCs w:val="52"/>
          <w:lang w:val="en-US"/>
        </w:rPr>
        <w:t>部门预算情况说明</w:t>
      </w:r>
      <w:bookmarkEnd w:id="23"/>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6"/>
        <w:jc w:val="center"/>
        <w:outlineLvl w:val="1"/>
        <w:rPr>
          <w:rFonts w:hint="eastAsia" w:ascii="宋体" w:hAnsi="宋体" w:eastAsia="方正小标宋简体" w:cs="方正小标宋简体"/>
          <w:color w:val="auto"/>
          <w:sz w:val="52"/>
          <w:szCs w:val="52"/>
          <w:lang w:val="en-US"/>
        </w:rPr>
      </w:pPr>
    </w:p>
    <w:p>
      <w:pPr>
        <w:pStyle w:val="6"/>
        <w:spacing w:before="40" w:after="120" w:afterLines="50" w:line="360" w:lineRule="auto"/>
        <w:rPr>
          <w:rFonts w:asciiTheme="majorEastAsia" w:hAnsiTheme="majorEastAsia" w:eastAsiaTheme="majorEastAsia"/>
          <w:color w:val="auto"/>
        </w:rPr>
      </w:pPr>
    </w:p>
    <w:p>
      <w:pPr>
        <w:pStyle w:val="6"/>
        <w:spacing w:before="300" w:after="120" w:afterLines="50" w:line="360" w:lineRule="auto"/>
        <w:ind w:firstLine="640" w:firstLineChars="200"/>
        <w:outlineLvl w:val="1"/>
        <w:rPr>
          <w:rFonts w:asciiTheme="majorEastAsia" w:hAnsiTheme="majorEastAsia" w:eastAsiaTheme="majorEastAsia"/>
          <w:color w:val="auto"/>
        </w:rPr>
      </w:pPr>
      <w:bookmarkStart w:id="24" w:name="_Toc1746"/>
      <w:r>
        <w:rPr>
          <w:rFonts w:hint="eastAsia" w:asciiTheme="majorEastAsia" w:hAnsiTheme="majorEastAsia" w:eastAsiaTheme="majorEastAsia"/>
          <w:color w:val="auto"/>
        </w:rPr>
        <w:t>一、收支预算情况说明</w:t>
      </w:r>
    </w:p>
    <w:p>
      <w:pPr>
        <w:pStyle w:val="6"/>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hint="eastAsia" w:asciiTheme="majorEastAsia" w:hAnsiTheme="majorEastAsia" w:eastAsiaTheme="majorEastAsia"/>
          <w:color w:val="auto"/>
        </w:rPr>
        <w:t>按照综合预算的原则，五通桥区水上运动学校所有收入和支出均纳入部门预算管理。收入包括：一般公共预算拨款收入</w:t>
      </w:r>
      <w:r>
        <w:rPr>
          <w:rFonts w:asciiTheme="majorEastAsia" w:hAnsiTheme="majorEastAsia" w:eastAsiaTheme="majorEastAsia"/>
          <w:color w:val="auto"/>
        </w:rPr>
        <w:t xml:space="preserve"> ；支出包括：文化旅游体育与传媒支出、社会保障和就业支出、卫生健康支出、住房保障支出。五通桥区水上运动学校202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年收支预算总数</w:t>
      </w:r>
      <w:r>
        <w:rPr>
          <w:rFonts w:hint="eastAsia" w:asciiTheme="majorEastAsia" w:hAnsiTheme="majorEastAsia" w:eastAsiaTheme="majorEastAsia"/>
          <w:color w:val="auto"/>
          <w:lang w:val="en-US" w:eastAsia="zh-CN"/>
        </w:rPr>
        <w:t>136.61</w:t>
      </w:r>
      <w:r>
        <w:rPr>
          <w:rFonts w:asciiTheme="majorEastAsia" w:hAnsiTheme="majorEastAsia" w:eastAsiaTheme="majorEastAsia"/>
          <w:color w:val="auto"/>
        </w:rPr>
        <w:t>万元，比202</w:t>
      </w:r>
      <w:r>
        <w:rPr>
          <w:rFonts w:hint="eastAsia" w:asciiTheme="majorEastAsia" w:hAnsiTheme="majorEastAsia" w:eastAsiaTheme="majorEastAsia"/>
          <w:color w:val="auto"/>
          <w:lang w:val="en-US" w:eastAsia="zh-CN"/>
        </w:rPr>
        <w:t>3</w:t>
      </w:r>
      <w:r>
        <w:rPr>
          <w:rFonts w:asciiTheme="majorEastAsia" w:hAnsiTheme="majorEastAsia" w:eastAsiaTheme="majorEastAsia"/>
          <w:color w:val="auto"/>
        </w:rPr>
        <w:t>年收支预算总数</w:t>
      </w:r>
      <w:r>
        <w:rPr>
          <w:rFonts w:hint="eastAsia" w:asciiTheme="majorEastAsia" w:hAnsiTheme="majorEastAsia" w:eastAsiaTheme="majorEastAsia"/>
          <w:color w:val="auto"/>
          <w:lang w:val="en-US" w:eastAsia="zh-CN"/>
        </w:rPr>
        <w:t>122.42</w:t>
      </w:r>
      <w:r>
        <w:rPr>
          <w:rFonts w:asciiTheme="majorEastAsia" w:hAnsiTheme="majorEastAsia" w:eastAsiaTheme="majorEastAsia"/>
          <w:color w:val="auto"/>
        </w:rPr>
        <w:t>万元增加</w:t>
      </w:r>
      <w:r>
        <w:rPr>
          <w:rFonts w:hint="eastAsia" w:asciiTheme="majorEastAsia" w:hAnsiTheme="majorEastAsia" w:eastAsiaTheme="majorEastAsia"/>
          <w:color w:val="auto"/>
          <w:lang w:val="en-US" w:eastAsia="zh-CN"/>
        </w:rPr>
        <w:t>14.19</w:t>
      </w:r>
      <w:r>
        <w:rPr>
          <w:rFonts w:asciiTheme="majorEastAsia" w:hAnsiTheme="majorEastAsia" w:eastAsiaTheme="majorEastAsia"/>
          <w:color w:val="auto"/>
        </w:rPr>
        <w:t>万元。主要原因是：</w:t>
      </w:r>
      <w:r>
        <w:rPr>
          <w:rFonts w:hint="eastAsia" w:asciiTheme="majorEastAsia" w:hAnsiTheme="majorEastAsia" w:eastAsiaTheme="majorEastAsia"/>
          <w:color w:val="auto"/>
          <w:lang w:val="en-US" w:eastAsia="zh-CN"/>
        </w:rPr>
        <w:t>基本支出增加。</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（一）收入预算情况</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五通桥区水上运动学校</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收入预算</w:t>
      </w:r>
      <w:r>
        <w:rPr>
          <w:rFonts w:hint="eastAsia" w:asciiTheme="majorEastAsia" w:hAnsiTheme="majorEastAsia" w:eastAsiaTheme="majorEastAsia"/>
          <w:color w:val="auto"/>
          <w:lang w:val="en-US" w:eastAsia="zh-CN"/>
        </w:rPr>
        <w:t>136.61</w:t>
      </w:r>
      <w:r>
        <w:rPr>
          <w:rFonts w:asciiTheme="majorEastAsia" w:hAnsiTheme="majorEastAsia" w:eastAsiaTheme="majorEastAsia"/>
          <w:color w:val="auto"/>
        </w:rPr>
        <w:t xml:space="preserve">万元，其中：一般公共预算拨款收入 </w:t>
      </w:r>
      <w:r>
        <w:rPr>
          <w:rFonts w:hint="eastAsia" w:asciiTheme="majorEastAsia" w:hAnsiTheme="majorEastAsia" w:eastAsiaTheme="majorEastAsia"/>
          <w:color w:val="auto"/>
          <w:lang w:val="en-US" w:eastAsia="zh-CN"/>
        </w:rPr>
        <w:t>136.61</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100</w:t>
      </w:r>
      <w:r>
        <w:rPr>
          <w:rFonts w:asciiTheme="majorEastAsia" w:hAnsiTheme="majorEastAsia" w:eastAsiaTheme="majorEastAsia"/>
          <w:color w:val="auto"/>
        </w:rPr>
        <w:t>%；政府性基金预算拨款收入 0万元,占0%；国有资本经营预算拨款收入 0万元,占0%；事业收入 0万元,占0%；事业单位经营收入 0万元,占0%；其他收入 0万元,占0%；</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（二）支出预算情况</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五通桥区水上运动学校</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年收入预算</w:t>
      </w:r>
      <w:r>
        <w:rPr>
          <w:rFonts w:hint="eastAsia" w:asciiTheme="majorEastAsia" w:hAnsiTheme="majorEastAsia" w:eastAsiaTheme="majorEastAsia"/>
          <w:color w:val="auto"/>
          <w:lang w:val="en-US" w:eastAsia="zh-CN"/>
        </w:rPr>
        <w:t>136.61</w:t>
      </w:r>
      <w:r>
        <w:rPr>
          <w:rFonts w:asciiTheme="majorEastAsia" w:hAnsiTheme="majorEastAsia" w:eastAsiaTheme="majorEastAsia"/>
          <w:color w:val="auto"/>
        </w:rPr>
        <w:t>万元，其中：人员支出</w:t>
      </w:r>
      <w:r>
        <w:rPr>
          <w:rFonts w:hint="eastAsia" w:asciiTheme="majorEastAsia" w:hAnsiTheme="majorEastAsia" w:eastAsiaTheme="majorEastAsia"/>
          <w:color w:val="auto"/>
          <w:lang w:val="en-US" w:eastAsia="zh-CN"/>
        </w:rPr>
        <w:t>98.01</w:t>
      </w:r>
      <w:r>
        <w:rPr>
          <w:rFonts w:asciiTheme="majorEastAsia" w:hAnsiTheme="majorEastAsia" w:eastAsiaTheme="majorEastAsia"/>
          <w:color w:val="auto"/>
        </w:rPr>
        <w:t>万元，日常公用支出</w:t>
      </w:r>
      <w:r>
        <w:rPr>
          <w:rFonts w:hint="eastAsia" w:asciiTheme="majorEastAsia" w:hAnsiTheme="majorEastAsia" w:eastAsiaTheme="majorEastAsia"/>
          <w:color w:val="auto"/>
          <w:lang w:val="en-US" w:eastAsia="zh-CN"/>
        </w:rPr>
        <w:t>7</w:t>
      </w:r>
      <w:r>
        <w:rPr>
          <w:rFonts w:asciiTheme="majorEastAsia" w:hAnsiTheme="majorEastAsia" w:eastAsiaTheme="majorEastAsia"/>
          <w:color w:val="auto"/>
        </w:rPr>
        <w:t>万元，专项（项目）支出</w:t>
      </w:r>
      <w:r>
        <w:rPr>
          <w:rFonts w:hint="eastAsia" w:asciiTheme="majorEastAsia" w:hAnsiTheme="majorEastAsia" w:eastAsiaTheme="majorEastAsia"/>
          <w:color w:val="auto"/>
          <w:lang w:val="en-US" w:eastAsia="zh-CN"/>
        </w:rPr>
        <w:t>31.6</w:t>
      </w:r>
      <w:r>
        <w:rPr>
          <w:rFonts w:asciiTheme="majorEastAsia" w:hAnsiTheme="majorEastAsia" w:eastAsiaTheme="majorEastAsia"/>
          <w:color w:val="auto"/>
        </w:rPr>
        <w:t>万元。</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二、财政拨款收支预算情况说明</w:t>
      </w:r>
    </w:p>
    <w:p>
      <w:pPr>
        <w:pStyle w:val="6"/>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hint="eastAsia" w:asciiTheme="majorEastAsia" w:hAnsiTheme="majorEastAsia" w:eastAsiaTheme="majorEastAsia"/>
          <w:color w:val="auto"/>
        </w:rPr>
        <w:t>五通桥区水上运动学校</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lang w:val="en-US" w:eastAsia="zh-CN"/>
        </w:rPr>
        <w:t>136.61</w:t>
      </w:r>
      <w:r>
        <w:rPr>
          <w:rFonts w:asciiTheme="majorEastAsia" w:hAnsiTheme="majorEastAsia" w:eastAsiaTheme="majorEastAsia"/>
          <w:color w:val="auto"/>
        </w:rPr>
        <w:t>万元,比202</w:t>
      </w:r>
      <w:r>
        <w:rPr>
          <w:rFonts w:hint="eastAsia" w:asciiTheme="majorEastAsia" w:hAnsiTheme="majorEastAsia" w:eastAsiaTheme="majorEastAsia"/>
          <w:color w:val="auto"/>
          <w:lang w:val="en-US" w:eastAsia="zh-CN"/>
        </w:rPr>
        <w:t>3</w:t>
      </w:r>
      <w:r>
        <w:rPr>
          <w:rFonts w:asciiTheme="majorEastAsia" w:hAnsiTheme="majorEastAsia" w:eastAsiaTheme="majorEastAsia"/>
          <w:color w:val="auto"/>
        </w:rPr>
        <w:t>年财政拨款收支预算总数</w:t>
      </w:r>
      <w:r>
        <w:rPr>
          <w:rFonts w:hint="eastAsia" w:asciiTheme="majorEastAsia" w:hAnsiTheme="majorEastAsia" w:eastAsiaTheme="majorEastAsia"/>
          <w:color w:val="auto"/>
          <w:lang w:val="en-US" w:eastAsia="zh-CN"/>
        </w:rPr>
        <w:t>122.42</w:t>
      </w:r>
      <w:r>
        <w:rPr>
          <w:rFonts w:asciiTheme="majorEastAsia" w:hAnsiTheme="majorEastAsia" w:eastAsiaTheme="majorEastAsia"/>
          <w:color w:val="auto"/>
        </w:rPr>
        <w:t>万元增加</w:t>
      </w:r>
      <w:r>
        <w:rPr>
          <w:rFonts w:hint="eastAsia" w:asciiTheme="majorEastAsia" w:hAnsiTheme="majorEastAsia" w:eastAsiaTheme="majorEastAsia"/>
          <w:color w:val="auto"/>
          <w:lang w:val="en-US" w:eastAsia="zh-CN"/>
        </w:rPr>
        <w:t>14.19</w:t>
      </w:r>
      <w:r>
        <w:rPr>
          <w:rFonts w:asciiTheme="majorEastAsia" w:hAnsiTheme="majorEastAsia" w:eastAsiaTheme="majorEastAsia"/>
          <w:color w:val="auto"/>
        </w:rPr>
        <w:t>万元。主要原因：</w:t>
      </w:r>
      <w:r>
        <w:rPr>
          <w:rFonts w:hint="eastAsia" w:asciiTheme="majorEastAsia" w:hAnsiTheme="majorEastAsia" w:eastAsiaTheme="majorEastAsia"/>
          <w:color w:val="auto"/>
          <w:lang w:val="en-US" w:eastAsia="zh-CN"/>
        </w:rPr>
        <w:t>基本支出增加。</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其中：基本支出</w:t>
      </w:r>
      <w:r>
        <w:rPr>
          <w:rFonts w:hint="eastAsia" w:asciiTheme="majorEastAsia" w:hAnsiTheme="majorEastAsia" w:eastAsiaTheme="majorEastAsia"/>
          <w:color w:val="auto"/>
          <w:lang w:val="en-US" w:eastAsia="zh-CN"/>
        </w:rPr>
        <w:t>105.01</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76.87</w:t>
      </w:r>
      <w:r>
        <w:rPr>
          <w:rFonts w:asciiTheme="majorEastAsia" w:hAnsiTheme="majorEastAsia" w:eastAsiaTheme="majorEastAsia"/>
          <w:color w:val="auto"/>
        </w:rPr>
        <w:t>%；项目支出</w:t>
      </w:r>
      <w:r>
        <w:rPr>
          <w:rFonts w:hint="eastAsia" w:asciiTheme="majorEastAsia" w:hAnsiTheme="majorEastAsia" w:eastAsiaTheme="majorEastAsia"/>
          <w:color w:val="auto"/>
          <w:lang w:val="en-US" w:eastAsia="zh-CN"/>
        </w:rPr>
        <w:t>31.6</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23.13</w:t>
      </w:r>
      <w:r>
        <w:rPr>
          <w:rFonts w:asciiTheme="majorEastAsia" w:hAnsiTheme="majorEastAsia" w:eastAsiaTheme="majorEastAsia"/>
          <w:color w:val="auto"/>
        </w:rPr>
        <w:t>%。</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基本支出，是用于保障五通桥区水上运动学校正常运转的日常支出，包括基本工资、津贴补贴等人员经费以及办公费、印刷费、水电费、办公设备购置等日常公用经费。</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项目支出，是用于保障五通桥区水上运动学校为完成教育教学工作任务或学校发展目标，用于专项业务工作的经费支出。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三、一般公共预算当年拨款情况说明</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（一）一般公共预算当年拨款规模变化情况</w:t>
      </w:r>
    </w:p>
    <w:p>
      <w:pPr>
        <w:pStyle w:val="6"/>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hint="eastAsia" w:asciiTheme="majorEastAsia" w:hAnsiTheme="majorEastAsia" w:eastAsiaTheme="majorEastAsia"/>
          <w:color w:val="auto"/>
        </w:rPr>
        <w:t>五通桥区水上运动学校</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年一般公共预算当年拨款</w:t>
      </w:r>
      <w:r>
        <w:rPr>
          <w:rFonts w:hint="eastAsia" w:asciiTheme="majorEastAsia" w:hAnsiTheme="majorEastAsia" w:eastAsiaTheme="majorEastAsia"/>
          <w:color w:val="auto"/>
          <w:lang w:val="en-US" w:eastAsia="zh-CN"/>
        </w:rPr>
        <w:t>136.61</w:t>
      </w:r>
      <w:r>
        <w:rPr>
          <w:rFonts w:asciiTheme="majorEastAsia" w:hAnsiTheme="majorEastAsia" w:eastAsiaTheme="majorEastAsia"/>
          <w:color w:val="auto"/>
        </w:rPr>
        <w:t>万元，比202</w:t>
      </w:r>
      <w:r>
        <w:rPr>
          <w:rFonts w:hint="eastAsia" w:asciiTheme="majorEastAsia" w:hAnsiTheme="majorEastAsia" w:eastAsiaTheme="majorEastAsia"/>
          <w:color w:val="auto"/>
          <w:lang w:val="en-US" w:eastAsia="zh-CN"/>
        </w:rPr>
        <w:t>3</w:t>
      </w:r>
      <w:r>
        <w:rPr>
          <w:rFonts w:asciiTheme="majorEastAsia" w:hAnsiTheme="majorEastAsia" w:eastAsiaTheme="majorEastAsia"/>
          <w:color w:val="auto"/>
        </w:rPr>
        <w:t>年财政拨款收支预算总数122.42万元增加</w:t>
      </w:r>
      <w:r>
        <w:rPr>
          <w:rFonts w:hint="eastAsia" w:asciiTheme="majorEastAsia" w:hAnsiTheme="majorEastAsia" w:eastAsiaTheme="majorEastAsia"/>
          <w:color w:val="auto"/>
          <w:lang w:val="en-US" w:eastAsia="zh-CN"/>
        </w:rPr>
        <w:t>14.19</w:t>
      </w:r>
      <w:r>
        <w:rPr>
          <w:rFonts w:asciiTheme="majorEastAsia" w:hAnsiTheme="majorEastAsia" w:eastAsiaTheme="majorEastAsia"/>
          <w:color w:val="auto"/>
        </w:rPr>
        <w:t>万元。主要原因：</w:t>
      </w:r>
      <w:r>
        <w:rPr>
          <w:rFonts w:hint="eastAsia" w:asciiTheme="majorEastAsia" w:hAnsiTheme="majorEastAsia" w:eastAsiaTheme="majorEastAsia"/>
          <w:color w:val="auto"/>
          <w:lang w:val="en-US" w:eastAsia="zh-CN"/>
        </w:rPr>
        <w:t>基本支出增加。</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（二）一般公共预算当年拨款结构情况</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五通桥区水上运动学校</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年一般公共预算支出</w:t>
      </w:r>
      <w:r>
        <w:rPr>
          <w:rFonts w:hint="eastAsia" w:asciiTheme="majorEastAsia" w:hAnsiTheme="majorEastAsia" w:eastAsiaTheme="majorEastAsia"/>
          <w:color w:val="auto"/>
          <w:lang w:val="en-US" w:eastAsia="zh-CN"/>
        </w:rPr>
        <w:t>136.61</w:t>
      </w:r>
      <w:r>
        <w:rPr>
          <w:rFonts w:asciiTheme="majorEastAsia" w:hAnsiTheme="majorEastAsia" w:eastAsiaTheme="majorEastAsia"/>
          <w:color w:val="auto"/>
        </w:rPr>
        <w:t>万元，主要包括文化旅游体育与传媒支出</w:t>
      </w:r>
      <w:r>
        <w:rPr>
          <w:rFonts w:hint="eastAsia" w:asciiTheme="majorEastAsia" w:hAnsiTheme="majorEastAsia" w:eastAsiaTheme="majorEastAsia"/>
          <w:color w:val="auto"/>
        </w:rPr>
        <w:t>109</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22</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79.95</w:t>
      </w:r>
      <w:r>
        <w:rPr>
          <w:rFonts w:asciiTheme="majorEastAsia" w:hAnsiTheme="majorEastAsia" w:eastAsiaTheme="majorEastAsia"/>
          <w:color w:val="auto"/>
        </w:rPr>
        <w:t>%、社会保障和就业支出</w:t>
      </w:r>
      <w:r>
        <w:rPr>
          <w:rFonts w:hint="eastAsia" w:asciiTheme="majorEastAsia" w:hAnsiTheme="majorEastAsia" w:eastAsiaTheme="majorEastAsia"/>
          <w:color w:val="auto"/>
        </w:rPr>
        <w:t>16</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61</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12.16</w:t>
      </w:r>
      <w:r>
        <w:rPr>
          <w:rFonts w:asciiTheme="majorEastAsia" w:hAnsiTheme="majorEastAsia" w:eastAsiaTheme="majorEastAsia"/>
          <w:color w:val="auto"/>
        </w:rPr>
        <w:t>%、卫生健康支出</w:t>
      </w:r>
      <w:r>
        <w:rPr>
          <w:rFonts w:hint="eastAsia" w:asciiTheme="majorEastAsia" w:hAnsiTheme="majorEastAsia" w:eastAsiaTheme="majorEastAsia"/>
          <w:color w:val="auto"/>
        </w:rPr>
        <w:t>3</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42</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2.51</w:t>
      </w:r>
      <w:r>
        <w:rPr>
          <w:rFonts w:asciiTheme="majorEastAsia" w:hAnsiTheme="majorEastAsia" w:eastAsiaTheme="majorEastAsia"/>
          <w:color w:val="auto"/>
        </w:rPr>
        <w:t>%、住房保障支出</w:t>
      </w:r>
      <w:r>
        <w:rPr>
          <w:rFonts w:hint="eastAsia" w:asciiTheme="majorEastAsia" w:hAnsiTheme="majorEastAsia" w:eastAsiaTheme="majorEastAsia"/>
          <w:color w:val="auto"/>
        </w:rPr>
        <w:t>7</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35</w:t>
      </w:r>
      <w:r>
        <w:rPr>
          <w:rFonts w:asciiTheme="majorEastAsia" w:hAnsiTheme="majorEastAsia" w:eastAsiaTheme="majorEastAsia"/>
          <w:color w:val="auto"/>
        </w:rPr>
        <w:t>万元，占</w:t>
      </w:r>
      <w:r>
        <w:rPr>
          <w:rFonts w:hint="eastAsia" w:asciiTheme="majorEastAsia" w:hAnsiTheme="majorEastAsia" w:eastAsiaTheme="majorEastAsia"/>
          <w:color w:val="auto"/>
          <w:lang w:val="en-US" w:eastAsia="zh-CN"/>
        </w:rPr>
        <w:t>5.38</w:t>
      </w:r>
      <w:r>
        <w:rPr>
          <w:rFonts w:asciiTheme="majorEastAsia" w:hAnsiTheme="majorEastAsia" w:eastAsiaTheme="majorEastAsia"/>
          <w:color w:val="auto"/>
        </w:rPr>
        <w:t>%。</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（三）一般公共预算当年拨款具体使用情况</w:t>
      </w:r>
    </w:p>
    <w:p>
      <w:pPr>
        <w:pStyle w:val="6"/>
        <w:spacing w:before="300" w:after="120" w:afterLines="50" w:line="360" w:lineRule="auto"/>
        <w:ind w:firstLine="640" w:firstLineChars="200"/>
        <w:outlineLvl w:val="1"/>
        <w:rPr>
          <w:rFonts w:hint="eastAsia" w:asciiTheme="majorEastAsia" w:hAnsiTheme="majorEastAsia" w:eastAsiaTheme="majorEastAsia"/>
          <w:color w:val="auto"/>
        </w:rPr>
      </w:pPr>
      <w:r>
        <w:rPr>
          <w:rFonts w:hint="eastAsia" w:asciiTheme="majorEastAsia" w:hAnsiTheme="majorEastAsia" w:eastAsiaTheme="majorEastAsia"/>
          <w:color w:val="auto"/>
          <w:lang w:val="zh-CN" w:eastAsia="zh-CN"/>
        </w:rPr>
        <w:t>1、文化旅游体育与传媒支出（类）体育（款）运动项目管理（项）:202</w:t>
      </w:r>
      <w:r>
        <w:rPr>
          <w:rFonts w:hint="eastAsia" w:asciiTheme="majorEastAsia" w:hAnsiTheme="majorEastAsia" w:eastAsiaTheme="majorEastAsia"/>
          <w:color w:val="auto"/>
          <w:lang w:val="en-US" w:eastAsia="zh-CN"/>
        </w:rPr>
        <w:t>4</w:t>
      </w:r>
      <w:r>
        <w:rPr>
          <w:rFonts w:hint="eastAsia" w:asciiTheme="majorEastAsia" w:hAnsiTheme="majorEastAsia" w:eastAsiaTheme="majorEastAsia"/>
          <w:color w:val="auto"/>
          <w:lang w:val="zh-CN" w:eastAsia="zh-CN"/>
        </w:rPr>
        <w:t>年预算数为77</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lang w:val="zh-CN" w:eastAsia="zh-CN"/>
        </w:rPr>
        <w:t>62万元，主要用于：</w:t>
      </w:r>
      <w:r>
        <w:rPr>
          <w:rFonts w:hint="eastAsia" w:asciiTheme="majorEastAsia" w:hAnsiTheme="majorEastAsia" w:eastAsiaTheme="majorEastAsia"/>
          <w:color w:val="auto"/>
          <w:lang w:val="en-US" w:eastAsia="zh-CN"/>
        </w:rPr>
        <w:t>单位正常运转的基本支出，包括基本工资、津贴补贴等人员经费以及办公费、印刷费、水电费等日常公用经费。</w:t>
      </w:r>
    </w:p>
    <w:p>
      <w:pPr>
        <w:pStyle w:val="6"/>
        <w:spacing w:before="300" w:after="120" w:afterLines="50" w:line="360" w:lineRule="auto"/>
        <w:ind w:firstLine="640" w:firstLineChars="200"/>
        <w:outlineLvl w:val="1"/>
        <w:rPr>
          <w:rFonts w:hint="eastAsia" w:asciiTheme="majorEastAsia" w:hAnsiTheme="majorEastAsia" w:eastAsiaTheme="majorEastAsia"/>
          <w:color w:val="auto"/>
          <w:lang w:val="zh-CN" w:eastAsia="zh-CN"/>
        </w:rPr>
      </w:pPr>
      <w:r>
        <w:rPr>
          <w:rFonts w:hint="eastAsia" w:asciiTheme="majorEastAsia" w:hAnsiTheme="majorEastAsia" w:eastAsiaTheme="majorEastAsia"/>
          <w:color w:val="auto"/>
          <w:lang w:val="zh-CN" w:eastAsia="zh-CN"/>
        </w:rPr>
        <w:t>2、文化旅游体育与传媒支出（类）体育（款）体育训练（项）:202</w:t>
      </w:r>
      <w:r>
        <w:rPr>
          <w:rFonts w:hint="eastAsia" w:asciiTheme="majorEastAsia" w:hAnsiTheme="majorEastAsia" w:eastAsiaTheme="majorEastAsia"/>
          <w:color w:val="auto"/>
          <w:lang w:val="en-US" w:eastAsia="zh-CN"/>
        </w:rPr>
        <w:t>4</w:t>
      </w:r>
      <w:r>
        <w:rPr>
          <w:rFonts w:hint="eastAsia" w:asciiTheme="majorEastAsia" w:hAnsiTheme="majorEastAsia" w:eastAsiaTheme="majorEastAsia"/>
          <w:color w:val="auto"/>
          <w:lang w:val="zh-CN" w:eastAsia="zh-CN"/>
        </w:rPr>
        <w:t>年预算数为26.6万元，主要用于：运动员伙食补助，入队全面体检，保险，训练服装及改善生活条件等方面。</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3、社会保障和就业支出（类）行政事业单位养老支出（款）其他行政事业单位养老支出（项）:202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年预算数为2.49万元，主要用于：退休人员春节慰问费及活动经费等。</w:t>
      </w:r>
    </w:p>
    <w:p>
      <w:pPr>
        <w:pStyle w:val="6"/>
        <w:spacing w:before="300" w:after="120" w:afterLines="50" w:line="360" w:lineRule="auto"/>
        <w:ind w:firstLine="640" w:firstLineChars="200"/>
        <w:outlineLvl w:val="1"/>
        <w:rPr>
          <w:rFonts w:hint="default" w:asciiTheme="majorEastAsia" w:hAnsiTheme="majorEastAsia" w:eastAsiaTheme="majorEastAsia"/>
          <w:color w:val="auto"/>
          <w:lang w:val="en-US" w:eastAsia="zh-CN"/>
        </w:rPr>
      </w:pPr>
      <w:r>
        <w:rPr>
          <w:rFonts w:asciiTheme="majorEastAsia" w:hAnsiTheme="majorEastAsia" w:eastAsiaTheme="majorEastAsia"/>
          <w:color w:val="auto"/>
        </w:rPr>
        <w:t>4、文化旅游体育与传媒支出（类）体育（款）体育竞赛（项）:202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年预算数为5万元，主要用于：</w:t>
      </w:r>
      <w:r>
        <w:rPr>
          <w:rFonts w:hint="eastAsia" w:asciiTheme="majorEastAsia" w:hAnsiTheme="majorEastAsia" w:eastAsiaTheme="majorEastAsia"/>
          <w:color w:val="auto"/>
          <w:lang w:val="en-US" w:eastAsia="zh-CN"/>
        </w:rPr>
        <w:t>参赛经费。</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5、住房保障支出（类）住房改革支出（款）住房公积金（项）:202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w:t>
      </w:r>
      <w:r>
        <w:rPr>
          <w:rFonts w:hint="eastAsia" w:asciiTheme="majorEastAsia" w:hAnsiTheme="majorEastAsia" w:eastAsiaTheme="majorEastAsia"/>
          <w:color w:val="auto"/>
          <w:lang w:val="en-US" w:eastAsia="zh-CN"/>
        </w:rPr>
        <w:t xml:space="preserve"> </w:t>
      </w:r>
      <w:r>
        <w:rPr>
          <w:rFonts w:asciiTheme="majorEastAsia" w:hAnsiTheme="majorEastAsia" w:eastAsiaTheme="majorEastAsia"/>
          <w:color w:val="auto"/>
        </w:rPr>
        <w:t>为</w:t>
      </w:r>
      <w:r>
        <w:rPr>
          <w:rFonts w:hint="eastAsia" w:asciiTheme="majorEastAsia" w:hAnsiTheme="majorEastAsia" w:eastAsiaTheme="majorEastAsia"/>
          <w:color w:val="auto"/>
        </w:rPr>
        <w:t>7</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35</w:t>
      </w:r>
      <w:r>
        <w:rPr>
          <w:rFonts w:asciiTheme="majorEastAsia" w:hAnsiTheme="majorEastAsia" w:eastAsiaTheme="majorEastAsia"/>
          <w:color w:val="auto"/>
        </w:rPr>
        <w:t>万元，主要用于：部门按人力资源和社会保障部、财政部规定的基本工资和津贴补贴以及规定比例为职工缴纳的住房公积金支出。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6、社会保障和就业支出（类）行政事业单位养老支出（款）机关事业单位职业年金缴费支出（项）:202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rPr>
        <w:t>4</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46</w:t>
      </w:r>
      <w:r>
        <w:rPr>
          <w:rFonts w:asciiTheme="majorEastAsia" w:hAnsiTheme="majorEastAsia" w:eastAsiaTheme="majorEastAsia"/>
          <w:color w:val="auto"/>
        </w:rPr>
        <w:t>万元，主要用于：实施养老保险制度后，部门按规定由单位缴纳的职业年金支出。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asciiTheme="majorEastAsia" w:hAnsiTheme="majorEastAsia" w:eastAsiaTheme="majorEastAsia"/>
          <w:color w:val="auto"/>
        </w:rPr>
        <w:t>7、社会保障和就业支出（类）行政事业单位养老支出（款）机关事业单位基本养老保险缴费支出（项）:202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rPr>
        <w:t>8</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92</w:t>
      </w:r>
      <w:r>
        <w:rPr>
          <w:rFonts w:asciiTheme="majorEastAsia" w:hAnsiTheme="majorEastAsia" w:eastAsiaTheme="majorEastAsia"/>
          <w:color w:val="auto"/>
        </w:rPr>
        <w:t>万元，主要用于：实施养老保险制度后，部门按规定由单位缴纳的基本养老保险费支出。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lang w:val="en-US" w:eastAsia="zh-CN"/>
        </w:rPr>
        <w:t>8</w:t>
      </w:r>
      <w:r>
        <w:rPr>
          <w:rFonts w:asciiTheme="majorEastAsia" w:hAnsiTheme="majorEastAsia" w:eastAsiaTheme="majorEastAsia"/>
          <w:color w:val="auto"/>
        </w:rPr>
        <w:t>、卫生健康支出（类）行政事业单位医疗（款）事业单位医疗（项）:202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rPr>
        <w:t>2</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62</w:t>
      </w:r>
      <w:r>
        <w:rPr>
          <w:rFonts w:asciiTheme="majorEastAsia" w:hAnsiTheme="majorEastAsia" w:eastAsiaTheme="majorEastAsia"/>
          <w:color w:val="auto"/>
        </w:rPr>
        <w:t>万元，主要用于：事业单位基本医疗保险缴费支出。</w:t>
      </w:r>
    </w:p>
    <w:p>
      <w:pPr>
        <w:pStyle w:val="6"/>
        <w:spacing w:before="300" w:after="120" w:afterLines="50" w:line="360" w:lineRule="auto"/>
        <w:ind w:firstLine="640" w:firstLineChars="200"/>
        <w:outlineLvl w:val="1"/>
        <w:rPr>
          <w:rFonts w:hint="eastAsia" w:asciiTheme="majorEastAsia" w:hAnsiTheme="majorEastAsia" w:eastAsiaTheme="majorEastAsia"/>
          <w:color w:val="auto"/>
          <w:lang w:val="en-US" w:eastAsia="zh-CN"/>
        </w:rPr>
      </w:pPr>
      <w:r>
        <w:rPr>
          <w:rFonts w:hint="eastAsia" w:asciiTheme="majorEastAsia" w:hAnsiTheme="majorEastAsia" w:eastAsiaTheme="majorEastAsia"/>
          <w:color w:val="auto"/>
          <w:lang w:val="en-US" w:eastAsia="zh-CN"/>
        </w:rPr>
        <w:t>9</w:t>
      </w:r>
      <w:r>
        <w:rPr>
          <w:rFonts w:asciiTheme="majorEastAsia" w:hAnsiTheme="majorEastAsia" w:eastAsiaTheme="majorEastAsia"/>
          <w:color w:val="auto"/>
        </w:rPr>
        <w:t>、社会保障和就业支出（类）</w:t>
      </w:r>
      <w:r>
        <w:rPr>
          <w:rFonts w:hint="eastAsia" w:asciiTheme="majorEastAsia" w:hAnsiTheme="majorEastAsia" w:eastAsiaTheme="majorEastAsia"/>
          <w:color w:val="auto"/>
        </w:rPr>
        <w:t> 其他社会保障和就业支出</w:t>
      </w:r>
      <w:r>
        <w:rPr>
          <w:rFonts w:asciiTheme="majorEastAsia" w:hAnsiTheme="majorEastAsia" w:eastAsiaTheme="majorEastAsia"/>
          <w:color w:val="auto"/>
        </w:rPr>
        <w:t>（款）</w:t>
      </w:r>
      <w:r>
        <w:rPr>
          <w:rFonts w:hint="eastAsia" w:asciiTheme="majorEastAsia" w:hAnsiTheme="majorEastAsia" w:eastAsiaTheme="majorEastAsia"/>
          <w:color w:val="auto"/>
        </w:rPr>
        <w:t> 其他社会保障和就业支出</w:t>
      </w:r>
      <w:r>
        <w:rPr>
          <w:rFonts w:asciiTheme="majorEastAsia" w:hAnsiTheme="majorEastAsia" w:eastAsiaTheme="majorEastAsia"/>
          <w:color w:val="auto"/>
        </w:rPr>
        <w:t>（项）:202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0.74</w:t>
      </w:r>
      <w:r>
        <w:rPr>
          <w:rFonts w:asciiTheme="majorEastAsia" w:hAnsiTheme="majorEastAsia" w:eastAsiaTheme="majorEastAsia"/>
          <w:color w:val="auto"/>
        </w:rPr>
        <w:t>万元，主要用于：</w:t>
      </w:r>
      <w:r>
        <w:rPr>
          <w:rFonts w:hint="eastAsia" w:asciiTheme="majorEastAsia" w:hAnsiTheme="majorEastAsia" w:eastAsiaTheme="majorEastAsia"/>
          <w:color w:val="auto"/>
          <w:lang w:eastAsia="zh-CN"/>
        </w:rPr>
        <w:t>支付</w:t>
      </w:r>
      <w:r>
        <w:rPr>
          <w:rFonts w:hint="eastAsia" w:asciiTheme="majorEastAsia" w:hAnsiTheme="majorEastAsia" w:eastAsiaTheme="majorEastAsia"/>
          <w:color w:val="auto"/>
        </w:rPr>
        <w:t>其他</w:t>
      </w:r>
      <w:r>
        <w:rPr>
          <w:rFonts w:hint="eastAsia" w:asciiTheme="majorEastAsia" w:hAnsiTheme="majorEastAsia" w:eastAsiaTheme="majorEastAsia"/>
          <w:color w:val="auto"/>
          <w:lang w:eastAsia="zh-CN"/>
        </w:rPr>
        <w:t>保险经费支出</w:t>
      </w:r>
      <w:r>
        <w:rPr>
          <w:rFonts w:hint="eastAsia" w:asciiTheme="majorEastAsia" w:hAnsiTheme="majorEastAsia" w:eastAsiaTheme="majorEastAsia"/>
          <w:color w:val="auto"/>
          <w:lang w:val="en-US" w:eastAsia="zh-CN"/>
        </w:rPr>
        <w:t>.</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lang w:val="en-US" w:eastAsia="zh-CN"/>
        </w:rPr>
        <w:t>10</w:t>
      </w:r>
      <w:r>
        <w:rPr>
          <w:rFonts w:asciiTheme="majorEastAsia" w:hAnsiTheme="majorEastAsia" w:eastAsiaTheme="majorEastAsia"/>
          <w:color w:val="auto"/>
        </w:rPr>
        <w:t>、卫生健康支出（类）行政事业单位医疗（款）</w:t>
      </w:r>
      <w:r>
        <w:rPr>
          <w:rFonts w:hint="eastAsia" w:asciiTheme="majorEastAsia" w:hAnsiTheme="majorEastAsia" w:eastAsiaTheme="majorEastAsia"/>
          <w:color w:val="auto"/>
        </w:rPr>
        <w:t> 公务员医疗补助</w:t>
      </w:r>
      <w:r>
        <w:rPr>
          <w:rFonts w:asciiTheme="majorEastAsia" w:hAnsiTheme="majorEastAsia" w:eastAsiaTheme="majorEastAsia"/>
          <w:color w:val="auto"/>
        </w:rPr>
        <w:t>（项）:202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年预算数为</w:t>
      </w:r>
      <w:r>
        <w:rPr>
          <w:rFonts w:hint="eastAsia" w:asciiTheme="majorEastAsia" w:hAnsiTheme="majorEastAsia" w:eastAsiaTheme="majorEastAsia"/>
          <w:color w:val="auto"/>
          <w:lang w:val="en-US" w:eastAsia="zh-CN"/>
        </w:rPr>
        <w:t>0.8</w:t>
      </w:r>
      <w:r>
        <w:rPr>
          <w:rFonts w:asciiTheme="majorEastAsia" w:hAnsiTheme="majorEastAsia" w:eastAsiaTheme="majorEastAsia"/>
          <w:color w:val="auto"/>
        </w:rPr>
        <w:t>万元，主要用于：</w:t>
      </w:r>
      <w:r>
        <w:rPr>
          <w:rFonts w:hint="eastAsia" w:asciiTheme="majorEastAsia" w:hAnsiTheme="majorEastAsia" w:eastAsiaTheme="majorEastAsia"/>
          <w:color w:val="auto"/>
        </w:rPr>
        <w:t>公务员医疗补助</w:t>
      </w:r>
      <w:r>
        <w:rPr>
          <w:rFonts w:asciiTheme="majorEastAsia" w:hAnsiTheme="majorEastAsia" w:eastAsiaTheme="majorEastAsia"/>
          <w:color w:val="auto"/>
        </w:rPr>
        <w:t>支出。</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四、一般公共预算基本支出情况说明</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五通桥区水上运动学校</w:t>
      </w:r>
      <w:r>
        <w:rPr>
          <w:rFonts w:asciiTheme="majorEastAsia" w:hAnsiTheme="majorEastAsia" w:eastAsiaTheme="majorEastAsia"/>
          <w:color w:val="auto"/>
        </w:rPr>
        <w:t>202</w:t>
      </w:r>
      <w:r>
        <w:rPr>
          <w:rFonts w:hint="eastAsia" w:asciiTheme="majorEastAsia" w:hAnsiTheme="majorEastAsia" w:eastAsiaTheme="majorEastAsia"/>
          <w:color w:val="auto"/>
          <w:lang w:val="en-US" w:eastAsia="zh-CN"/>
        </w:rPr>
        <w:t>4</w:t>
      </w:r>
      <w:r>
        <w:rPr>
          <w:rFonts w:asciiTheme="majorEastAsia" w:hAnsiTheme="majorEastAsia" w:eastAsiaTheme="majorEastAsia"/>
          <w:color w:val="auto"/>
        </w:rPr>
        <w:t>一般公共预算基本支出</w:t>
      </w:r>
      <w:r>
        <w:rPr>
          <w:rFonts w:hint="eastAsia" w:asciiTheme="majorEastAsia" w:hAnsiTheme="majorEastAsia" w:eastAsiaTheme="majorEastAsia"/>
          <w:color w:val="auto"/>
        </w:rPr>
        <w:t>105</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01</w:t>
      </w:r>
      <w:r>
        <w:rPr>
          <w:rFonts w:asciiTheme="majorEastAsia" w:hAnsiTheme="majorEastAsia" w:eastAsiaTheme="majorEastAsia"/>
          <w:color w:val="auto"/>
        </w:rPr>
        <w:t>万元，其中：</w:t>
      </w:r>
    </w:p>
    <w:p>
      <w:pPr>
        <w:pStyle w:val="6"/>
        <w:spacing w:before="300" w:after="120" w:afterLines="50" w:line="360" w:lineRule="auto"/>
        <w:ind w:firstLine="640" w:firstLineChars="200"/>
        <w:outlineLvl w:val="1"/>
        <w:rPr>
          <w:rFonts w:asciiTheme="majorEastAsia" w:hAnsiTheme="majorEastAsia" w:eastAsiaTheme="majorEastAsia"/>
          <w:color w:val="auto"/>
        </w:rPr>
      </w:pPr>
      <w:r>
        <w:rPr>
          <w:rFonts w:hint="eastAsia" w:asciiTheme="majorEastAsia" w:hAnsiTheme="majorEastAsia" w:eastAsiaTheme="majorEastAsia"/>
          <w:color w:val="auto"/>
        </w:rPr>
        <w:t>人员经费98</w:t>
      </w:r>
      <w:r>
        <w:rPr>
          <w:rFonts w:hint="eastAsia" w:asciiTheme="majorEastAsia" w:hAnsiTheme="majorEastAsia" w:eastAsiaTheme="majorEastAsia"/>
          <w:color w:val="auto"/>
          <w:lang w:val="en-US" w:eastAsia="zh-CN"/>
        </w:rPr>
        <w:t>.</w:t>
      </w:r>
      <w:r>
        <w:rPr>
          <w:rFonts w:hint="eastAsia" w:asciiTheme="majorEastAsia" w:hAnsiTheme="majorEastAsia" w:eastAsiaTheme="majorEastAsia"/>
          <w:color w:val="auto"/>
        </w:rPr>
        <w:t>01</w:t>
      </w:r>
      <w:r>
        <w:rPr>
          <w:rFonts w:asciiTheme="majorEastAsia" w:hAnsiTheme="majorEastAsia" w:eastAsiaTheme="majorEastAsia"/>
          <w:color w:val="auto"/>
        </w:rPr>
        <w:t>万元，主要包括：基本工资、津贴补贴、奖金、伙食补助费、绩效工资、机关事业单位基本养老保险缴费、职业年金缴费、职工基本医疗保险缴费、其他社会保障缴费、住房公积金、其他工资福利支出、离休费、抚恤金、生活补助、其他对个人和家庭的补助支出。</w:t>
      </w:r>
    </w:p>
    <w:p>
      <w:pPr>
        <w:pStyle w:val="6"/>
        <w:spacing w:before="300" w:after="120" w:afterLines="50" w:line="360" w:lineRule="auto"/>
        <w:ind w:firstLine="640" w:firstLineChars="200"/>
        <w:outlineLvl w:val="1"/>
        <w:rPr>
          <w:rFonts w:hint="eastAsia" w:asciiTheme="majorEastAsia" w:hAnsiTheme="majorEastAsia" w:eastAsiaTheme="majorEastAsia"/>
          <w:color w:val="auto"/>
        </w:rPr>
      </w:pPr>
      <w:r>
        <w:rPr>
          <w:rFonts w:hint="eastAsia" w:asciiTheme="majorEastAsia" w:hAnsiTheme="majorEastAsia" w:eastAsiaTheme="majorEastAsia"/>
          <w:color w:val="auto"/>
        </w:rPr>
        <w:t>公用经费</w:t>
      </w:r>
      <w:r>
        <w:rPr>
          <w:rFonts w:hint="eastAsia" w:asciiTheme="majorEastAsia" w:hAnsiTheme="majorEastAsia" w:eastAsiaTheme="majorEastAsia"/>
          <w:color w:val="auto"/>
          <w:lang w:val="en-US" w:eastAsia="zh-CN"/>
        </w:rPr>
        <w:t>7</w:t>
      </w:r>
      <w:r>
        <w:rPr>
          <w:rFonts w:asciiTheme="majorEastAsia" w:hAnsiTheme="majorEastAsia" w:eastAsiaTheme="majorEastAsia"/>
          <w:color w:val="auto"/>
        </w:rPr>
        <w:t>万元，主要包括：主要包括：办公费、印刷费、水费、电费、邮电费、差旅费、维修（护）费、会议费、培训费、公务接待费、劳务费、工会经费、福利费、公务用车运行维护费、其他交通费、其他商品和服务支出。</w:t>
      </w:r>
    </w:p>
    <w:p>
      <w:pPr>
        <w:pStyle w:val="6"/>
        <w:spacing w:before="300" w:after="120" w:afterLines="50"/>
        <w:ind w:firstLine="640" w:firstLineChars="200"/>
        <w:outlineLvl w:val="1"/>
        <w:rPr>
          <w:rFonts w:ascii="宋体" w:hAnsi="宋体" w:eastAsia="黑体"/>
          <w:color w:val="auto"/>
          <w:highlight w:val="cyan"/>
          <w:lang w:val="en-US"/>
        </w:rPr>
      </w:pPr>
      <w:r>
        <w:rPr>
          <w:rFonts w:hint="eastAsia" w:ascii="宋体" w:hAnsi="宋体" w:eastAsia="黑体"/>
          <w:color w:val="auto"/>
        </w:rPr>
        <w:t>五、“三公”经费财政拨款预算安排情况说明</w:t>
      </w:r>
      <w:bookmarkEnd w:id="24"/>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五通桥区水上运动学校</w:t>
      </w:r>
      <w:r>
        <w:rPr>
          <w:rFonts w:hint="eastAsia" w:ascii="宋体" w:hAnsi="宋体"/>
          <w:color w:val="auto"/>
          <w:sz w:val="32"/>
          <w:lang w:val="en-US"/>
        </w:rPr>
        <w:t>202</w:t>
      </w:r>
      <w:r>
        <w:rPr>
          <w:rFonts w:hint="eastAsia" w:ascii="宋体" w:hAnsi="宋体"/>
          <w:color w:val="auto"/>
          <w:sz w:val="32"/>
          <w:lang w:val="en-US" w:eastAsia="zh-CN"/>
        </w:rPr>
        <w:t>4</w:t>
      </w:r>
      <w:r>
        <w:rPr>
          <w:rFonts w:hint="eastAsia" w:ascii="宋体" w:hAnsi="宋体"/>
          <w:color w:val="auto"/>
          <w:sz w:val="32"/>
          <w:lang w:val="en-US"/>
        </w:rPr>
        <w:t>年“三公”经费财政拨款预算数0</w:t>
      </w:r>
      <w:r>
        <w:rPr>
          <w:rFonts w:hint="eastAsia" w:ascii="宋体" w:hAnsi="宋体"/>
          <w:color w:val="auto"/>
          <w:sz w:val="32"/>
          <w:lang w:val="en-US" w:eastAsia="zh-CN"/>
        </w:rPr>
        <w:t>.2</w:t>
      </w:r>
      <w:r>
        <w:rPr>
          <w:rFonts w:hint="eastAsia" w:ascii="宋体" w:hAnsi="宋体"/>
          <w:color w:val="auto"/>
          <w:sz w:val="32"/>
          <w:lang w:val="en-US"/>
        </w:rPr>
        <w:t>万元，其中：公务接待费0</w:t>
      </w:r>
      <w:r>
        <w:rPr>
          <w:rFonts w:hint="eastAsia" w:ascii="宋体" w:hAnsi="宋体"/>
          <w:color w:val="auto"/>
          <w:sz w:val="32"/>
          <w:lang w:val="en-US" w:eastAsia="zh-CN"/>
        </w:rPr>
        <w:t>.2</w:t>
      </w:r>
      <w:r>
        <w:rPr>
          <w:rFonts w:hint="eastAsia" w:ascii="宋体" w:hAnsi="宋体"/>
          <w:color w:val="auto"/>
          <w:sz w:val="32"/>
          <w:lang w:val="en-US"/>
        </w:rPr>
        <w:t>万元，公务用车购置0万元，公车运行维护费0万元。</w:t>
      </w:r>
    </w:p>
    <w:p>
      <w:pPr>
        <w:pStyle w:val="13"/>
        <w:tabs>
          <w:tab w:val="left" w:pos="1784"/>
        </w:tabs>
        <w:spacing w:before="240" w:beforeLines="100" w:after="120" w:afterLines="50" w:line="560" w:lineRule="exact"/>
        <w:ind w:left="660" w:leftChars="300" w:right="660" w:rightChars="300" w:firstLineChars="200"/>
        <w:rPr>
          <w:rFonts w:hint="default" w:ascii="宋体" w:hAnsi="宋体" w:eastAsia="仿宋_GB2312"/>
          <w:color w:val="auto"/>
          <w:sz w:val="32"/>
          <w:lang w:val="en-US" w:eastAsia="zh-CN"/>
        </w:rPr>
      </w:pPr>
      <w:r>
        <w:rPr>
          <w:rFonts w:hint="eastAsia" w:ascii="宋体" w:hAnsi="宋体"/>
          <w:color w:val="auto"/>
          <w:sz w:val="32"/>
          <w:lang w:val="en-US"/>
        </w:rPr>
        <w:t>202</w:t>
      </w:r>
      <w:r>
        <w:rPr>
          <w:rFonts w:hint="eastAsia" w:ascii="宋体" w:hAnsi="宋体"/>
          <w:color w:val="auto"/>
          <w:sz w:val="32"/>
          <w:lang w:val="en-US" w:eastAsia="zh-CN"/>
        </w:rPr>
        <w:t>4</w:t>
      </w:r>
      <w:r>
        <w:rPr>
          <w:rFonts w:hint="eastAsia" w:ascii="宋体" w:hAnsi="宋体"/>
          <w:color w:val="auto"/>
          <w:sz w:val="32"/>
          <w:lang w:val="en-US"/>
        </w:rPr>
        <w:t>年公务接待费</w:t>
      </w:r>
      <w:r>
        <w:rPr>
          <w:rFonts w:hint="eastAsia" w:ascii="宋体" w:hAnsi="宋体"/>
          <w:color w:val="auto"/>
          <w:sz w:val="32"/>
          <w:lang w:val="en-US" w:eastAsia="zh-CN"/>
        </w:rPr>
        <w:t>,预计接待4次，500/次</w:t>
      </w:r>
    </w:p>
    <w:p>
      <w:pPr>
        <w:pStyle w:val="4"/>
        <w:spacing w:before="100" w:after="120" w:afterLines="50"/>
        <w:ind w:left="0" w:firstLine="964" w:firstLineChars="300"/>
        <w:rPr>
          <w:rFonts w:ascii="宋体" w:hAnsi="宋体"/>
          <w:color w:val="auto"/>
        </w:rPr>
      </w:pPr>
      <w:bookmarkStart w:id="25" w:name="_Toc10802"/>
      <w:r>
        <w:rPr>
          <w:rFonts w:ascii="宋体" w:hAnsi="宋体"/>
          <w:color w:val="auto"/>
        </w:rPr>
        <w:t>（一）</w:t>
      </w:r>
      <w:r>
        <w:rPr>
          <w:rFonts w:hint="eastAsia" w:ascii="宋体" w:hAnsi="宋体"/>
          <w:color w:val="auto"/>
          <w:lang w:val="en-US"/>
        </w:rPr>
        <w:t>公务接待费变化情况</w:t>
      </w:r>
      <w:bookmarkEnd w:id="25"/>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公务接待费较</w:t>
      </w:r>
      <w:r>
        <w:rPr>
          <w:rFonts w:hint="eastAsia" w:ascii="宋体" w:hAnsi="宋体"/>
          <w:color w:val="auto"/>
          <w:sz w:val="32"/>
          <w:lang w:val="en-US"/>
        </w:rPr>
        <w:t>202</w:t>
      </w:r>
      <w:r>
        <w:rPr>
          <w:rFonts w:hint="eastAsia" w:ascii="宋体" w:hAnsi="宋体"/>
          <w:color w:val="auto"/>
          <w:sz w:val="32"/>
          <w:lang w:val="en-US" w:eastAsia="zh-CN"/>
        </w:rPr>
        <w:t>3</w:t>
      </w:r>
      <w:r>
        <w:rPr>
          <w:rFonts w:ascii="宋体" w:hAnsi="宋体"/>
          <w:color w:val="auto"/>
          <w:sz w:val="32"/>
          <w:lang w:val="en-US"/>
        </w:rPr>
        <w:t>年预算</w:t>
      </w:r>
      <w:r>
        <w:rPr>
          <w:rFonts w:hint="eastAsia" w:ascii="宋体" w:hAnsi="宋体"/>
          <w:color w:val="auto"/>
          <w:sz w:val="32"/>
          <w:lang w:val="en-US"/>
        </w:rPr>
        <w:t>0</w:t>
      </w:r>
      <w:r>
        <w:rPr>
          <w:rFonts w:ascii="宋体" w:hAnsi="宋体"/>
          <w:color w:val="auto"/>
          <w:sz w:val="32"/>
          <w:lang w:val="en-US"/>
        </w:rPr>
        <w:t>万元</w:t>
      </w:r>
      <w:r>
        <w:rPr>
          <w:rFonts w:hint="eastAsia" w:ascii="宋体" w:hAnsi="宋体"/>
          <w:color w:val="auto"/>
          <w:sz w:val="32"/>
          <w:lang w:val="en-US" w:eastAsia="zh-CN"/>
        </w:rPr>
        <w:t>增加0.2万元</w:t>
      </w:r>
      <w:r>
        <w:rPr>
          <w:rFonts w:ascii="宋体" w:hAnsi="宋体"/>
          <w:color w:val="auto"/>
          <w:sz w:val="32"/>
          <w:lang w:val="en-US"/>
        </w:rPr>
        <w:t>。主要原因是</w:t>
      </w:r>
      <w:r>
        <w:rPr>
          <w:rFonts w:hint="eastAsia" w:ascii="宋体" w:hAnsi="宋体"/>
          <w:color w:val="auto"/>
          <w:sz w:val="32"/>
          <w:lang w:val="en-US" w:eastAsia="zh-CN"/>
        </w:rPr>
        <w:t>疫情开放后，增加了交流活动</w:t>
      </w:r>
      <w:r>
        <w:rPr>
          <w:rFonts w:ascii="宋体" w:hAnsi="宋体"/>
          <w:color w:val="auto"/>
          <w:sz w:val="32"/>
          <w:lang w:val="en-US"/>
        </w:rPr>
        <w:t>。</w:t>
      </w:r>
    </w:p>
    <w:p>
      <w:pPr>
        <w:pStyle w:val="4"/>
        <w:spacing w:before="100" w:after="120" w:afterLines="50"/>
        <w:ind w:left="0" w:firstLine="964" w:firstLineChars="300"/>
        <w:rPr>
          <w:rFonts w:ascii="宋体" w:hAnsi="宋体"/>
          <w:color w:val="auto"/>
        </w:rPr>
      </w:pPr>
      <w:bookmarkStart w:id="26" w:name="_Toc17768"/>
      <w:r>
        <w:rPr>
          <w:rFonts w:ascii="宋体" w:hAnsi="宋体"/>
          <w:color w:val="auto"/>
        </w:rPr>
        <w:t>（</w:t>
      </w:r>
      <w:r>
        <w:rPr>
          <w:rFonts w:hint="eastAsia" w:ascii="宋体" w:hAnsi="宋体"/>
          <w:color w:val="auto"/>
          <w:lang w:val="en-US"/>
        </w:rPr>
        <w:t>二</w:t>
      </w:r>
      <w:r>
        <w:rPr>
          <w:rFonts w:ascii="宋体" w:hAnsi="宋体"/>
          <w:color w:val="auto"/>
        </w:rPr>
        <w:t>）</w:t>
      </w:r>
      <w:r>
        <w:rPr>
          <w:rFonts w:hint="eastAsia" w:ascii="宋体" w:hAnsi="宋体"/>
          <w:color w:val="auto"/>
          <w:lang w:val="en-US"/>
        </w:rPr>
        <w:t>公务用车购置及运行维护费变化情况</w:t>
      </w:r>
      <w:bookmarkEnd w:id="26"/>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公务用车购置及运行维护费较</w:t>
      </w:r>
      <w:r>
        <w:rPr>
          <w:rFonts w:hint="eastAsia" w:ascii="宋体" w:hAnsi="宋体"/>
          <w:color w:val="auto"/>
          <w:sz w:val="32"/>
          <w:lang w:val="en-US"/>
        </w:rPr>
        <w:t>202</w:t>
      </w:r>
      <w:r>
        <w:rPr>
          <w:rFonts w:hint="eastAsia" w:ascii="宋体" w:hAnsi="宋体"/>
          <w:color w:val="auto"/>
          <w:sz w:val="32"/>
          <w:lang w:val="en-US" w:eastAsia="zh-CN"/>
        </w:rPr>
        <w:t>3</w:t>
      </w:r>
      <w:r>
        <w:rPr>
          <w:rFonts w:ascii="宋体" w:hAnsi="宋体"/>
          <w:color w:val="auto"/>
          <w:sz w:val="32"/>
          <w:lang w:val="en-US"/>
        </w:rPr>
        <w:t>预算</w:t>
      </w:r>
      <w:r>
        <w:rPr>
          <w:rFonts w:hint="eastAsia" w:ascii="宋体" w:hAnsi="宋体"/>
          <w:color w:val="auto"/>
          <w:sz w:val="32"/>
          <w:lang w:val="en-US"/>
        </w:rPr>
        <w:t>0</w:t>
      </w:r>
      <w:r>
        <w:rPr>
          <w:rFonts w:ascii="宋体" w:hAnsi="宋体"/>
          <w:color w:val="auto"/>
          <w:sz w:val="32"/>
          <w:lang w:val="en-US"/>
        </w:rPr>
        <w:t>万元预算持平。主要原因是厉行节约，规范公务出行，尽量乘坐公共交通工具。</w:t>
      </w:r>
    </w:p>
    <w:p>
      <w:pPr>
        <w:pStyle w:val="13"/>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r>
        <w:rPr>
          <w:rFonts w:hint="eastAsia" w:ascii="宋体" w:hAnsi="宋体"/>
          <w:color w:val="auto"/>
          <w:sz w:val="32"/>
          <w:lang w:val="en-US"/>
        </w:rPr>
        <w:t>单位实有公务用车0辆，其中：轿车0辆，多功能乘用车0辆。</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202</w:t>
      </w:r>
      <w:r>
        <w:rPr>
          <w:rFonts w:hint="eastAsia" w:ascii="宋体" w:hAnsi="宋体"/>
          <w:color w:val="auto"/>
          <w:sz w:val="32"/>
          <w:lang w:val="en-US" w:eastAsia="zh-CN"/>
        </w:rPr>
        <w:t>4</w:t>
      </w:r>
      <w:r>
        <w:rPr>
          <w:rFonts w:ascii="宋体" w:hAnsi="宋体"/>
          <w:color w:val="auto"/>
          <w:sz w:val="32"/>
          <w:lang w:val="en-US"/>
        </w:rPr>
        <w:t>年安排公务用车购置费</w:t>
      </w:r>
      <w:r>
        <w:rPr>
          <w:rFonts w:hint="eastAsia" w:ascii="宋体" w:hAnsi="宋体"/>
          <w:color w:val="auto"/>
          <w:sz w:val="32"/>
          <w:lang w:val="en-US"/>
        </w:rPr>
        <w:t>0</w:t>
      </w:r>
      <w:r>
        <w:rPr>
          <w:rFonts w:ascii="宋体" w:hAnsi="宋体"/>
          <w:color w:val="auto"/>
          <w:sz w:val="32"/>
          <w:lang w:val="en-US"/>
        </w:rPr>
        <w:t>万元 。</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highlight w:val="cyan"/>
          <w:lang w:val="en-US"/>
        </w:rPr>
      </w:pPr>
      <w:r>
        <w:rPr>
          <w:rFonts w:ascii="宋体" w:hAnsi="宋体"/>
          <w:color w:val="auto"/>
          <w:sz w:val="32"/>
          <w:lang w:val="en-US"/>
        </w:rPr>
        <w:t>202</w:t>
      </w:r>
      <w:r>
        <w:rPr>
          <w:rFonts w:hint="eastAsia" w:ascii="宋体" w:hAnsi="宋体"/>
          <w:color w:val="auto"/>
          <w:sz w:val="32"/>
          <w:lang w:val="en-US" w:eastAsia="zh-CN"/>
        </w:rPr>
        <w:t>4</w:t>
      </w:r>
      <w:r>
        <w:rPr>
          <w:rFonts w:ascii="宋体" w:hAnsi="宋体"/>
          <w:color w:val="auto"/>
          <w:sz w:val="32"/>
          <w:lang w:val="en-US"/>
        </w:rPr>
        <w:t>年安排公务用车运行维护费</w:t>
      </w:r>
      <w:r>
        <w:rPr>
          <w:rFonts w:hint="eastAsia" w:ascii="宋体" w:hAnsi="宋体"/>
          <w:color w:val="auto"/>
          <w:sz w:val="32"/>
          <w:lang w:val="en-US"/>
        </w:rPr>
        <w:t>0</w:t>
      </w:r>
      <w:r>
        <w:rPr>
          <w:rFonts w:ascii="宋体" w:hAnsi="宋体"/>
          <w:color w:val="auto"/>
          <w:sz w:val="32"/>
          <w:lang w:val="en-US"/>
        </w:rPr>
        <w:t>万元。</w:t>
      </w:r>
    </w:p>
    <w:p>
      <w:pPr>
        <w:pStyle w:val="6"/>
        <w:spacing w:before="300" w:after="120" w:afterLines="50"/>
        <w:ind w:firstLine="640" w:firstLineChars="200"/>
        <w:outlineLvl w:val="1"/>
        <w:rPr>
          <w:rFonts w:ascii="宋体" w:hAnsi="宋体" w:eastAsia="黑体"/>
          <w:color w:val="auto"/>
        </w:rPr>
      </w:pPr>
      <w:bookmarkStart w:id="27" w:name="_Toc2610"/>
      <w:r>
        <w:rPr>
          <w:rFonts w:hint="eastAsia" w:ascii="宋体" w:hAnsi="宋体" w:eastAsia="黑体"/>
          <w:color w:val="auto"/>
        </w:rPr>
        <w:t>六、政府性基金预算支出情况说明</w:t>
      </w:r>
      <w:bookmarkEnd w:id="27"/>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五通桥区水上运动学校</w:t>
      </w:r>
      <w:r>
        <w:rPr>
          <w:rFonts w:hint="eastAsia" w:ascii="宋体" w:hAnsi="宋体"/>
          <w:color w:val="auto"/>
          <w:sz w:val="32"/>
          <w:lang w:val="en-US"/>
        </w:rPr>
        <w:t>202</w:t>
      </w:r>
      <w:r>
        <w:rPr>
          <w:rFonts w:hint="eastAsia" w:ascii="宋体" w:hAnsi="宋体"/>
          <w:color w:val="auto"/>
          <w:sz w:val="32"/>
          <w:lang w:val="en-US" w:eastAsia="zh-CN"/>
        </w:rPr>
        <w:t>4</w:t>
      </w:r>
      <w:r>
        <w:rPr>
          <w:rFonts w:ascii="宋体" w:hAnsi="宋体"/>
          <w:color w:val="auto"/>
          <w:sz w:val="32"/>
          <w:lang w:val="en-US"/>
        </w:rPr>
        <w:t>年政府性基金预算拨款安排支出</w:t>
      </w:r>
      <w:r>
        <w:rPr>
          <w:rFonts w:hint="eastAsia" w:ascii="宋体" w:hAnsi="宋体"/>
          <w:color w:val="auto"/>
          <w:sz w:val="32"/>
          <w:lang w:val="en-US" w:eastAsia="zh-CN"/>
        </w:rPr>
        <w:t>0</w:t>
      </w:r>
      <w:r>
        <w:rPr>
          <w:rFonts w:hint="eastAsia" w:ascii="宋体" w:hAnsi="宋体"/>
          <w:color w:val="auto"/>
          <w:sz w:val="32"/>
          <w:lang w:val="en-US"/>
        </w:rPr>
        <w:t>万元，较上年预算数</w:t>
      </w:r>
      <w:r>
        <w:rPr>
          <w:rFonts w:hint="eastAsia" w:ascii="宋体" w:hAnsi="宋体"/>
          <w:color w:val="auto"/>
          <w:sz w:val="32"/>
          <w:lang w:val="en-US" w:eastAsia="zh-CN"/>
        </w:rPr>
        <w:t>0</w:t>
      </w:r>
      <w:r>
        <w:rPr>
          <w:rFonts w:hint="eastAsia" w:ascii="宋体" w:hAnsi="宋体"/>
          <w:color w:val="auto"/>
          <w:sz w:val="32"/>
          <w:lang w:val="en-US"/>
        </w:rPr>
        <w:t>万元增加</w:t>
      </w:r>
      <w:r>
        <w:rPr>
          <w:rFonts w:hint="eastAsia" w:ascii="宋体" w:hAnsi="宋体"/>
          <w:color w:val="auto"/>
          <w:sz w:val="32"/>
          <w:lang w:val="en-US" w:eastAsia="zh-CN"/>
        </w:rPr>
        <w:t>0</w:t>
      </w:r>
      <w:r>
        <w:rPr>
          <w:rFonts w:hint="eastAsia" w:ascii="宋体" w:hAnsi="宋体"/>
          <w:color w:val="auto"/>
          <w:sz w:val="32"/>
          <w:lang w:val="en-US"/>
        </w:rPr>
        <w:t>万元。</w:t>
      </w:r>
    </w:p>
    <w:p>
      <w:pPr>
        <w:pStyle w:val="6"/>
        <w:spacing w:before="300" w:after="120" w:afterLines="50"/>
        <w:ind w:firstLine="640" w:firstLineChars="200"/>
        <w:outlineLvl w:val="1"/>
        <w:rPr>
          <w:rFonts w:ascii="宋体" w:hAnsi="宋体" w:eastAsia="黑体"/>
          <w:color w:val="auto"/>
        </w:rPr>
      </w:pPr>
      <w:bookmarkStart w:id="28" w:name="_Toc17731"/>
      <w:r>
        <w:rPr>
          <w:rFonts w:hint="eastAsia" w:ascii="宋体" w:hAnsi="宋体" w:eastAsia="黑体"/>
          <w:color w:val="auto"/>
          <w:lang w:val="en-US"/>
        </w:rPr>
        <w:t>七、</w:t>
      </w:r>
      <w:r>
        <w:rPr>
          <w:rFonts w:hint="eastAsia" w:ascii="宋体" w:hAnsi="宋体" w:eastAsia="黑体"/>
          <w:color w:val="auto"/>
        </w:rPr>
        <w:t>国有资本经营预算情况说明</w:t>
      </w:r>
      <w:bookmarkEnd w:id="28"/>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ascii="宋体" w:hAnsi="宋体"/>
          <w:color w:val="auto"/>
          <w:sz w:val="32"/>
          <w:lang w:val="en-US"/>
        </w:rPr>
        <w:t>五通桥区水上运动学校</w:t>
      </w:r>
      <w:r>
        <w:rPr>
          <w:rFonts w:hint="eastAsia" w:ascii="宋体" w:hAnsi="宋体"/>
          <w:color w:val="auto"/>
          <w:sz w:val="32"/>
          <w:lang w:val="en-US"/>
        </w:rPr>
        <w:t>202</w:t>
      </w:r>
      <w:r>
        <w:rPr>
          <w:rFonts w:hint="eastAsia" w:ascii="宋体" w:hAnsi="宋体"/>
          <w:color w:val="auto"/>
          <w:sz w:val="32"/>
          <w:lang w:val="en-US" w:eastAsia="zh-CN"/>
        </w:rPr>
        <w:t>4</w:t>
      </w:r>
      <w:r>
        <w:rPr>
          <w:rFonts w:hint="eastAsia" w:ascii="宋体" w:hAnsi="宋体"/>
          <w:color w:val="auto"/>
          <w:sz w:val="32"/>
          <w:lang w:val="en-US"/>
        </w:rPr>
        <w:t>年国有资本经营预算拨款安排支出0万元,较上年预算数持平。</w:t>
      </w:r>
    </w:p>
    <w:p>
      <w:pPr>
        <w:pStyle w:val="6"/>
        <w:spacing w:before="300" w:after="120" w:afterLines="50"/>
        <w:ind w:firstLine="640" w:firstLineChars="200"/>
        <w:outlineLvl w:val="1"/>
        <w:rPr>
          <w:rFonts w:ascii="宋体" w:hAnsi="宋体" w:eastAsia="黑体"/>
          <w:color w:val="auto"/>
          <w:lang w:val="en-US"/>
        </w:rPr>
      </w:pPr>
      <w:bookmarkStart w:id="29" w:name="_Toc20919"/>
      <w:r>
        <w:rPr>
          <w:rFonts w:hint="eastAsia" w:ascii="宋体" w:hAnsi="宋体" w:eastAsia="黑体"/>
          <w:color w:val="auto"/>
          <w:lang w:val="en-US"/>
        </w:rPr>
        <w:t>八、其他重要事项的情况说明</w:t>
      </w:r>
      <w:bookmarkEnd w:id="29"/>
    </w:p>
    <w:p>
      <w:pPr>
        <w:pStyle w:val="4"/>
        <w:spacing w:before="100" w:after="120" w:afterLines="50"/>
        <w:ind w:left="0" w:firstLine="964" w:firstLineChars="300"/>
        <w:rPr>
          <w:rFonts w:ascii="宋体" w:hAnsi="宋体"/>
          <w:color w:val="auto"/>
        </w:rPr>
      </w:pPr>
      <w:bookmarkStart w:id="30" w:name="_Toc9621"/>
      <w:r>
        <w:rPr>
          <w:rFonts w:ascii="宋体" w:hAnsi="宋体"/>
          <w:color w:val="auto"/>
        </w:rPr>
        <w:t>（一）机关运行经费情况</w:t>
      </w:r>
      <w:bookmarkEnd w:id="30"/>
    </w:p>
    <w:p>
      <w:pPr>
        <w:rPr>
          <w:rFonts w:hint="eastAsia" w:ascii="宋体" w:hAnsi="宋体" w:eastAsia="仿宋_GB2312" w:cs="仿宋_GB2312"/>
          <w:color w:val="auto"/>
          <w:sz w:val="32"/>
          <w:szCs w:val="22"/>
          <w:lang w:val="en-US" w:eastAsia="zh-CN" w:bidi="zh-CN"/>
        </w:rPr>
      </w:pPr>
      <w:r>
        <w:rPr>
          <w:rFonts w:hint="eastAsia"/>
          <w:color w:val="auto"/>
          <w:lang w:val="en-US"/>
        </w:rPr>
        <w:t xml:space="preserve">           </w:t>
      </w:r>
      <w:r>
        <w:rPr>
          <w:rFonts w:hint="eastAsia" w:ascii="宋体" w:hAnsi="宋体" w:eastAsia="仿宋_GB2312" w:cs="仿宋_GB2312"/>
          <w:color w:val="auto"/>
          <w:sz w:val="32"/>
          <w:szCs w:val="22"/>
          <w:lang w:val="en-US" w:eastAsia="zh-CN" w:bidi="zh-CN"/>
        </w:rPr>
        <w:t xml:space="preserve"> 202</w:t>
      </w:r>
      <w:r>
        <w:rPr>
          <w:rFonts w:hint="eastAsia" w:eastAsia="仿宋_GB2312" w:cs="仿宋_GB2312"/>
          <w:color w:val="auto"/>
          <w:sz w:val="32"/>
          <w:szCs w:val="22"/>
          <w:lang w:val="en-US" w:eastAsia="zh-CN" w:bidi="zh-CN"/>
        </w:rPr>
        <w:t>4</w:t>
      </w:r>
      <w:r>
        <w:rPr>
          <w:rFonts w:hint="eastAsia" w:ascii="宋体" w:hAnsi="宋体" w:eastAsia="仿宋_GB2312" w:cs="仿宋_GB2312"/>
          <w:color w:val="auto"/>
          <w:sz w:val="32"/>
          <w:szCs w:val="22"/>
          <w:lang w:val="en-US" w:eastAsia="zh-CN" w:bidi="zh-CN"/>
        </w:rPr>
        <w:t>年，</w:t>
      </w:r>
      <w:r>
        <w:rPr>
          <w:rFonts w:ascii="宋体" w:hAnsi="宋体" w:eastAsia="仿宋_GB2312" w:cs="仿宋_GB2312"/>
          <w:color w:val="auto"/>
          <w:sz w:val="32"/>
          <w:szCs w:val="22"/>
          <w:lang w:val="en-US" w:eastAsia="zh-CN" w:bidi="zh-CN"/>
        </w:rPr>
        <w:t>五通桥区水上运动学校</w:t>
      </w:r>
      <w:r>
        <w:rPr>
          <w:rFonts w:hint="eastAsia" w:ascii="宋体" w:hAnsi="宋体" w:eastAsia="仿宋_GB2312" w:cs="仿宋_GB2312"/>
          <w:color w:val="auto"/>
          <w:sz w:val="32"/>
          <w:szCs w:val="22"/>
          <w:lang w:val="en-US" w:eastAsia="zh-CN" w:bidi="zh-CN"/>
        </w:rPr>
        <w:t>无机关运行经费。</w:t>
      </w:r>
    </w:p>
    <w:p>
      <w:pPr>
        <w:pStyle w:val="4"/>
        <w:spacing w:before="100" w:after="120" w:afterLines="50"/>
        <w:ind w:left="0" w:firstLine="964" w:firstLineChars="300"/>
        <w:rPr>
          <w:rFonts w:ascii="宋体" w:hAnsi="宋体"/>
          <w:color w:val="auto"/>
        </w:rPr>
      </w:pPr>
      <w:bookmarkStart w:id="31" w:name="_Toc26552"/>
      <w:r>
        <w:rPr>
          <w:rFonts w:ascii="宋体" w:hAnsi="宋体"/>
          <w:color w:val="auto"/>
        </w:rPr>
        <w:t>（二）政府采购情况</w:t>
      </w:r>
      <w:bookmarkEnd w:id="31"/>
    </w:p>
    <w:p>
      <w:pPr>
        <w:pStyle w:val="13"/>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r>
        <w:rPr>
          <w:rFonts w:hint="eastAsia" w:ascii="宋体" w:hAnsi="宋体"/>
          <w:color w:val="auto"/>
          <w:sz w:val="32"/>
          <w:lang w:val="en-US"/>
        </w:rPr>
        <w:t>202</w:t>
      </w:r>
      <w:r>
        <w:rPr>
          <w:rFonts w:hint="eastAsia" w:ascii="宋体" w:hAnsi="宋体"/>
          <w:color w:val="auto"/>
          <w:sz w:val="32"/>
          <w:lang w:val="en-US" w:eastAsia="zh-CN"/>
        </w:rPr>
        <w:t>4</w:t>
      </w:r>
      <w:r>
        <w:rPr>
          <w:rFonts w:hint="eastAsia" w:ascii="宋体" w:hAnsi="宋体"/>
          <w:color w:val="auto"/>
          <w:sz w:val="32"/>
          <w:lang w:val="en-US"/>
        </w:rPr>
        <w:t>年，五通桥区水上运动学校政府采购项目</w:t>
      </w:r>
      <w:r>
        <w:rPr>
          <w:rFonts w:hint="eastAsia" w:ascii="宋体" w:hAnsi="宋体"/>
          <w:color w:val="auto"/>
          <w:sz w:val="32"/>
          <w:lang w:val="en-US" w:eastAsia="zh-CN"/>
        </w:rPr>
        <w:t>0</w:t>
      </w:r>
      <w:r>
        <w:rPr>
          <w:rFonts w:hint="eastAsia" w:ascii="宋体" w:hAnsi="宋体"/>
          <w:color w:val="auto"/>
          <w:sz w:val="32"/>
          <w:lang w:val="en-US"/>
        </w:rPr>
        <w:t>万元。其中，政府采购货物预算</w:t>
      </w:r>
      <w:r>
        <w:rPr>
          <w:rFonts w:hint="eastAsia" w:ascii="宋体" w:hAnsi="宋体"/>
          <w:color w:val="auto"/>
          <w:sz w:val="32"/>
          <w:lang w:val="en-US" w:eastAsia="zh-CN"/>
        </w:rPr>
        <w:t>0</w:t>
      </w:r>
      <w:r>
        <w:rPr>
          <w:rFonts w:hint="eastAsia" w:ascii="宋体" w:hAnsi="宋体"/>
          <w:color w:val="auto"/>
          <w:sz w:val="32"/>
          <w:lang w:val="en-US"/>
        </w:rPr>
        <w:t>万元；政府采购工程预算</w:t>
      </w:r>
      <w:r>
        <w:rPr>
          <w:rFonts w:hint="eastAsia" w:ascii="宋体" w:hAnsi="宋体"/>
          <w:color w:val="auto"/>
          <w:sz w:val="32"/>
          <w:lang w:val="en-US" w:eastAsia="zh-CN"/>
        </w:rPr>
        <w:t>0</w:t>
      </w:r>
      <w:r>
        <w:rPr>
          <w:rFonts w:hint="eastAsia" w:ascii="宋体" w:hAnsi="宋体"/>
          <w:color w:val="auto"/>
          <w:sz w:val="32"/>
          <w:lang w:val="en-US"/>
        </w:rPr>
        <w:t>万元；政府采购服务预算</w:t>
      </w:r>
      <w:r>
        <w:rPr>
          <w:rFonts w:hint="eastAsia" w:ascii="宋体" w:hAnsi="宋体"/>
          <w:color w:val="auto"/>
          <w:sz w:val="32"/>
          <w:lang w:val="en-US" w:eastAsia="zh-CN"/>
        </w:rPr>
        <w:t>0</w:t>
      </w:r>
      <w:r>
        <w:rPr>
          <w:rFonts w:hint="eastAsia" w:ascii="宋体" w:hAnsi="宋体"/>
          <w:color w:val="auto"/>
          <w:sz w:val="32"/>
          <w:lang w:val="en-US"/>
        </w:rPr>
        <w:t>万元。</w:t>
      </w:r>
    </w:p>
    <w:p>
      <w:pPr>
        <w:pStyle w:val="13"/>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bookmarkStart w:id="32" w:name="_Toc11208"/>
      <w:r>
        <w:rPr>
          <w:rFonts w:hint="eastAsia" w:ascii="宋体" w:hAnsi="宋体"/>
          <w:color w:val="auto"/>
          <w:sz w:val="32"/>
          <w:lang w:val="en-US"/>
        </w:rPr>
        <w:t>（三）国有资产占有使用情况</w:t>
      </w:r>
      <w:bookmarkEnd w:id="32"/>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截至202</w:t>
      </w:r>
      <w:r>
        <w:rPr>
          <w:rFonts w:hint="eastAsia" w:ascii="宋体" w:hAnsi="宋体"/>
          <w:color w:val="auto"/>
          <w:sz w:val="32"/>
          <w:lang w:val="en-US" w:eastAsia="zh-CN"/>
        </w:rPr>
        <w:t>4</w:t>
      </w:r>
      <w:r>
        <w:rPr>
          <w:rFonts w:hint="eastAsia" w:ascii="宋体" w:hAnsi="宋体"/>
          <w:color w:val="auto"/>
          <w:sz w:val="32"/>
          <w:lang w:val="en-US"/>
        </w:rPr>
        <w:t>年底，</w:t>
      </w:r>
      <w:r>
        <w:rPr>
          <w:rFonts w:ascii="宋体" w:hAnsi="宋体"/>
          <w:color w:val="auto"/>
          <w:sz w:val="32"/>
          <w:lang w:val="en-US"/>
        </w:rPr>
        <w:t>五通桥区水上运动学校</w:t>
      </w:r>
      <w:r>
        <w:rPr>
          <w:rFonts w:hint="eastAsia" w:ascii="宋体" w:hAnsi="宋体"/>
          <w:color w:val="auto"/>
          <w:sz w:val="32"/>
          <w:lang w:val="en-US"/>
        </w:rPr>
        <w:t>所属各预算单位共有车辆0辆。单位价值100万元以上大型设备0套。</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202</w:t>
      </w:r>
      <w:r>
        <w:rPr>
          <w:rFonts w:hint="eastAsia" w:ascii="宋体" w:hAnsi="宋体"/>
          <w:color w:val="auto"/>
          <w:sz w:val="32"/>
          <w:lang w:val="en-US" w:eastAsia="zh-CN"/>
        </w:rPr>
        <w:t>4</w:t>
      </w:r>
      <w:r>
        <w:rPr>
          <w:rFonts w:hint="eastAsia" w:ascii="宋体" w:hAnsi="宋体"/>
          <w:color w:val="auto"/>
          <w:sz w:val="32"/>
          <w:lang w:val="en-US"/>
        </w:rPr>
        <w:t>年部门预算未安排购置车辆及单位价值100万元以上大型设备。</w:t>
      </w:r>
    </w:p>
    <w:p>
      <w:pPr>
        <w:pStyle w:val="4"/>
        <w:spacing w:before="100" w:after="120" w:afterLines="50"/>
        <w:ind w:left="0" w:firstLine="964" w:firstLineChars="300"/>
        <w:rPr>
          <w:rFonts w:ascii="宋体" w:hAnsi="宋体"/>
          <w:color w:val="auto"/>
        </w:rPr>
      </w:pPr>
      <w:bookmarkStart w:id="33" w:name="_Toc13599"/>
      <w:r>
        <w:rPr>
          <w:rFonts w:hint="eastAsia" w:ascii="宋体" w:hAnsi="宋体"/>
          <w:color w:val="auto"/>
        </w:rPr>
        <w:t>（</w:t>
      </w:r>
      <w:r>
        <w:rPr>
          <w:rFonts w:hint="eastAsia" w:ascii="宋体" w:hAnsi="宋体"/>
          <w:color w:val="auto"/>
          <w:lang w:val="en-US"/>
        </w:rPr>
        <w:t>四</w:t>
      </w:r>
      <w:r>
        <w:rPr>
          <w:rFonts w:hint="eastAsia" w:ascii="宋体" w:hAnsi="宋体"/>
          <w:color w:val="auto"/>
        </w:rPr>
        <w:t>）</w:t>
      </w:r>
      <w:r>
        <w:rPr>
          <w:rFonts w:ascii="宋体" w:hAnsi="宋体"/>
          <w:color w:val="auto"/>
        </w:rPr>
        <w:t>预算绩效情况</w:t>
      </w:r>
      <w:bookmarkEnd w:id="33"/>
    </w:p>
    <w:p>
      <w:pPr>
        <w:pStyle w:val="13"/>
        <w:tabs>
          <w:tab w:val="left" w:pos="1784"/>
        </w:tabs>
        <w:spacing w:before="240" w:beforeLines="100" w:after="120" w:afterLines="50" w:line="560" w:lineRule="exact"/>
        <w:ind w:left="660" w:leftChars="300" w:right="660" w:rightChars="300" w:firstLineChars="200"/>
        <w:rPr>
          <w:rFonts w:hint="eastAsia" w:ascii="宋体" w:hAnsi="宋体"/>
          <w:color w:val="auto"/>
          <w:sz w:val="32"/>
          <w:lang w:val="en-US"/>
        </w:rPr>
      </w:pPr>
      <w:r>
        <w:rPr>
          <w:rFonts w:hint="eastAsia" w:ascii="宋体" w:hAnsi="宋体"/>
          <w:color w:val="auto"/>
          <w:sz w:val="32"/>
          <w:lang w:val="en-US"/>
        </w:rPr>
        <w:t>2023年五通桥区</w:t>
      </w:r>
      <w:r>
        <w:rPr>
          <w:rFonts w:ascii="宋体" w:hAnsi="宋体"/>
          <w:color w:val="auto"/>
          <w:sz w:val="32"/>
          <w:lang w:val="en-US"/>
        </w:rPr>
        <w:t>水上运动学校</w:t>
      </w:r>
      <w:r>
        <w:rPr>
          <w:rFonts w:hint="eastAsia" w:ascii="宋体" w:hAnsi="宋体"/>
          <w:color w:val="auto"/>
          <w:sz w:val="32"/>
          <w:lang w:val="en-US"/>
        </w:rPr>
        <w:t>开展绩效目标管理的项目</w:t>
      </w:r>
      <w:r>
        <w:rPr>
          <w:rFonts w:hint="eastAsia" w:ascii="宋体" w:hAnsi="宋体"/>
          <w:color w:val="auto"/>
          <w:sz w:val="32"/>
          <w:lang w:val="en-US" w:eastAsia="zh-CN"/>
        </w:rPr>
        <w:t>15</w:t>
      </w:r>
      <w:r>
        <w:rPr>
          <w:rFonts w:hint="eastAsia" w:ascii="宋体" w:hAnsi="宋体"/>
          <w:color w:val="auto"/>
          <w:sz w:val="32"/>
          <w:lang w:val="en-US"/>
        </w:rPr>
        <w:t>个，涉及预算</w:t>
      </w:r>
      <w:r>
        <w:rPr>
          <w:rFonts w:hint="eastAsia" w:ascii="宋体" w:hAnsi="宋体"/>
          <w:color w:val="auto"/>
          <w:sz w:val="32"/>
          <w:lang w:val="en-US" w:eastAsia="zh-CN"/>
        </w:rPr>
        <w:t>136.61</w:t>
      </w:r>
      <w:r>
        <w:rPr>
          <w:rFonts w:hint="eastAsia" w:ascii="宋体" w:hAnsi="宋体"/>
          <w:color w:val="auto"/>
          <w:sz w:val="32"/>
          <w:lang w:val="en-US"/>
        </w:rPr>
        <w:t>万元。其中：人员类项目</w:t>
      </w:r>
      <w:r>
        <w:rPr>
          <w:rFonts w:hint="eastAsia" w:ascii="宋体" w:hAnsi="宋体"/>
          <w:color w:val="auto"/>
          <w:sz w:val="32"/>
          <w:lang w:val="en-US" w:eastAsia="zh-CN"/>
        </w:rPr>
        <w:t>12</w:t>
      </w:r>
      <w:r>
        <w:rPr>
          <w:rFonts w:hint="eastAsia" w:ascii="宋体" w:hAnsi="宋体"/>
          <w:color w:val="auto"/>
          <w:sz w:val="32"/>
          <w:lang w:val="en-US"/>
        </w:rPr>
        <w:t>个，涉及预算</w:t>
      </w:r>
      <w:r>
        <w:rPr>
          <w:rFonts w:hint="eastAsia" w:ascii="宋体" w:hAnsi="宋体"/>
          <w:color w:val="auto"/>
          <w:sz w:val="32"/>
          <w:lang w:val="en-US" w:eastAsia="zh-CN"/>
        </w:rPr>
        <w:t>98.01</w:t>
      </w:r>
      <w:r>
        <w:rPr>
          <w:rFonts w:hint="eastAsia" w:ascii="宋体" w:hAnsi="宋体"/>
          <w:color w:val="auto"/>
          <w:sz w:val="32"/>
          <w:lang w:val="en-US"/>
        </w:rPr>
        <w:t>万元；运转类项目</w:t>
      </w:r>
      <w:r>
        <w:rPr>
          <w:rFonts w:hint="eastAsia" w:ascii="宋体" w:hAnsi="宋体"/>
          <w:color w:val="auto"/>
          <w:sz w:val="32"/>
          <w:lang w:val="en-US" w:eastAsia="zh-CN"/>
        </w:rPr>
        <w:t>1</w:t>
      </w:r>
      <w:r>
        <w:rPr>
          <w:rFonts w:hint="eastAsia" w:ascii="宋体" w:hAnsi="宋体"/>
          <w:color w:val="auto"/>
          <w:sz w:val="32"/>
          <w:lang w:val="en-US"/>
        </w:rPr>
        <w:t>个，涉及预算</w:t>
      </w:r>
      <w:r>
        <w:rPr>
          <w:rFonts w:hint="eastAsia" w:ascii="宋体" w:hAnsi="宋体"/>
          <w:color w:val="auto"/>
          <w:sz w:val="32"/>
          <w:lang w:val="en-US" w:eastAsia="zh-CN"/>
        </w:rPr>
        <w:t>7</w:t>
      </w:r>
      <w:r>
        <w:rPr>
          <w:rFonts w:hint="eastAsia" w:ascii="宋体" w:hAnsi="宋体"/>
          <w:color w:val="auto"/>
          <w:sz w:val="32"/>
          <w:lang w:val="en-US"/>
        </w:rPr>
        <w:t xml:space="preserve">万元；特定目标类项目 </w:t>
      </w:r>
      <w:r>
        <w:rPr>
          <w:rFonts w:hint="eastAsia" w:ascii="宋体" w:hAnsi="宋体"/>
          <w:color w:val="auto"/>
          <w:sz w:val="32"/>
          <w:lang w:val="en-US" w:eastAsia="zh-CN"/>
        </w:rPr>
        <w:t>2</w:t>
      </w:r>
      <w:r>
        <w:rPr>
          <w:rFonts w:hint="eastAsia" w:ascii="宋体" w:hAnsi="宋体"/>
          <w:color w:val="auto"/>
          <w:sz w:val="32"/>
          <w:lang w:val="en-US"/>
        </w:rPr>
        <w:t>个，涉及预算</w:t>
      </w:r>
      <w:r>
        <w:rPr>
          <w:rFonts w:hint="eastAsia" w:ascii="宋体" w:hAnsi="宋体"/>
          <w:color w:val="auto"/>
          <w:sz w:val="32"/>
          <w:lang w:val="en-US" w:eastAsia="zh-CN"/>
        </w:rPr>
        <w:t>31.6</w:t>
      </w:r>
      <w:r>
        <w:rPr>
          <w:rFonts w:hint="eastAsia" w:ascii="宋体" w:hAnsi="宋体"/>
          <w:color w:val="auto"/>
          <w:sz w:val="32"/>
          <w:lang w:val="en-US"/>
        </w:rPr>
        <w:t>万元。</w:t>
      </w:r>
    </w:p>
    <w:p>
      <w:pPr>
        <w:rPr>
          <w:color w:val="auto"/>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rPr>
          <w:rFonts w:ascii="宋体" w:hAnsi="宋体"/>
          <w:color w:val="auto"/>
          <w:sz w:val="20"/>
        </w:rPr>
      </w:pPr>
    </w:p>
    <w:p>
      <w:pPr>
        <w:pStyle w:val="6"/>
        <w:jc w:val="center"/>
        <w:outlineLvl w:val="0"/>
        <w:rPr>
          <w:rFonts w:ascii="宋体" w:hAnsi="宋体" w:eastAsia="方正小标宋简体" w:cs="方正小标宋简体"/>
          <w:color w:val="auto"/>
          <w:sz w:val="52"/>
          <w:szCs w:val="52"/>
          <w:lang w:val="en-US"/>
        </w:rPr>
      </w:pPr>
      <w:bookmarkStart w:id="34" w:name="_Toc31157"/>
      <w:r>
        <w:rPr>
          <w:rFonts w:hint="eastAsia" w:ascii="宋体" w:hAnsi="宋体" w:eastAsia="方正小标宋简体" w:cs="方正小标宋简体"/>
          <w:color w:val="auto"/>
          <w:sz w:val="52"/>
          <w:szCs w:val="52"/>
          <w:lang w:val="en-US"/>
        </w:rPr>
        <w:t>第四部分  名词解释</w:t>
      </w:r>
      <w:bookmarkEnd w:id="34"/>
    </w:p>
    <w:p>
      <w:pPr>
        <w:rPr>
          <w:color w:val="auto"/>
          <w:sz w:val="20"/>
        </w:rPr>
        <w:sectPr>
          <w:headerReference r:id="rId6" w:type="default"/>
          <w:footerReference r:id="rId7" w:type="default"/>
          <w:pgSz w:w="11910" w:h="16840"/>
          <w:pgMar w:top="1587" w:right="964" w:bottom="1701" w:left="1134" w:header="737" w:footer="737" w:gutter="0"/>
          <w:cols w:space="0" w:num="1"/>
        </w:sectPr>
      </w:pP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1.财政拨款收支情况：是指一般公共预算、政府性基金预算、国有资本经营预算拨款收支情况。</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2.一般公共预算拨款收入：指区级财政当年拨付的资金。</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3.事业收入：指事业单位开展专业业务活动及辅助活动所取得的收入。</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4.事业单位经营收入：指事业单位在专业业务活动及其辅助活动之外开展非独立核算经营活动取得的收入。</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5.其他收入：指除上述“一般公共预算拨款收入”、“事业收入”、“事业单位经营收入”等以外的收入。主要是义务教育阶段课后服务费、利息收入、国有资产出租收入等。</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6.用事业基金弥补收支差额：指事业单位在当年的收入不足以安排当年支出的情况下，使用以前年度积累的事业基金（事业单位当年收支相抵后按国家规定提取、用于弥补以后年度收支差额的基金）弥补本年度收支缺口的资金。</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7.上年结转：指以前年度尚未完成，结转到本年仍按原规定用途继续使用的资金。</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8.社会保障和就业（类）行政事业单位离退休（款）事业单位离退休（项）：指离退休人员的支出。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9.社会保障和就业（类）行政事业单位离退休（款）未归口管理的行政单位离退休（项）：指离退休人员的支出。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10.社会保障和就业（类）行政事业单位离退休（款）机关事业单位基本养老保险缴费支出（项）：指部门实施养老保险制度由单位缴纳的养老保险费的支出。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11.社会保障和就业（类）行政事业单位离退休（款）机关事业单位职业年金缴费支出（项）：指部门实施养老保险制度由单位缴纳的职业年金的支出。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12.社会保障和就业（类）其他社会保障和就业（款）其他社会保障和就业支出（项）：指除上述项目外，其他用于行政事业单位离退休方面的支出。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13.卫生健康（类）行政事业单位医疗（款）行政单位医疗（项）：指行政单位及参公管理事业单位用于缴纳单位基本医疗保险支出。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14.卫生健康（类）行政事业单位医疗（款）事业单位医疗（项）：指事业单位用于缴纳单位基本医疗保险支出。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15.卫生健康（类）行政事业单位医疗（款）公务员医疗补助（项）：指行政单位及参公管理事业单位用于集中缴纳公务员医疗补助支出。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16.住房保障（类）住房改革支出（款）住房公积金（项）：指由单位及其在职职工按规定缴存的住房公积金支出。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17.基本支出：指为保证机构正常运转，完成日常工作任务而发生的人员支出和公用支出。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18.项目支出：指在基本支出之外为完成特定行政任务和事业发展目标所发生的支出。</w:t>
      </w:r>
    </w:p>
    <w:p>
      <w:pPr>
        <w:pStyle w:val="13"/>
        <w:tabs>
          <w:tab w:val="left" w:pos="1784"/>
        </w:tabs>
        <w:spacing w:before="240" w:beforeLines="100" w:after="120" w:afterLines="50" w:line="560" w:lineRule="exact"/>
        <w:ind w:left="660" w:leftChars="300" w:right="660" w:rightChars="300" w:firstLineChars="200"/>
        <w:rPr>
          <w:rFonts w:ascii="宋体" w:hAnsi="宋体"/>
          <w:color w:val="auto"/>
          <w:sz w:val="32"/>
          <w:lang w:val="en-US"/>
        </w:rPr>
      </w:pPr>
      <w:r>
        <w:rPr>
          <w:rFonts w:hint="eastAsia" w:ascii="宋体" w:hAnsi="宋体"/>
          <w:color w:val="auto"/>
          <w:sz w:val="32"/>
          <w:lang w:val="en-US"/>
        </w:rPr>
        <w:t>19.纳入预决算管理的“三公”经费，是指部门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bookmarkEnd w:id="35"/>
    <w:sectPr>
      <w:headerReference r:id="rId8" w:type="default"/>
      <w:footerReference r:id="rId9" w:type="default"/>
      <w:pgSz w:w="11910" w:h="16840"/>
      <w:pgMar w:top="1587" w:right="964" w:bottom="1701" w:left="1134" w:header="737" w:footer="737" w:gutter="0"/>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sz w:val="2"/>
      </w:rPr>
    </w:pPr>
    <w:r>
      <w:rPr>
        <w:sz w:val="2"/>
        <w:lang w:val="en-US"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rPr>
        <w:sz w:val="2"/>
      </w:rPr>
    </w:pPr>
    <w:r>
      <w:rPr>
        <w:sz w:val="2"/>
        <w:lang w:val="en-US" w:bidi="ar-SA"/>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6</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GcYw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aRnGMKwIAAFcEAAAOAAAAAAAAAAEAIAAAAB8BAABkcnMvZTJvRG9jLnhtbFBLBQYAAAAABgAG&#10;AFkBAAC8BQ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lang w:val="en-US"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14</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14</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val="en-US" w:bidi="ar-SA"/>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pPr>
                          <w:r>
                            <w:t xml:space="preserve">— </w:t>
                          </w:r>
                          <w:r>
                            <w:fldChar w:fldCharType="begin"/>
                          </w:r>
                          <w:r>
                            <w:instrText xml:space="preserve"> PAGE  \* MERGEFORMAT </w:instrText>
                          </w:r>
                          <w:r>
                            <w:fldChar w:fldCharType="separate"/>
                          </w:r>
                          <w:r>
                            <w:t>17</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9j2DAsAgAAV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PQa5aFrd5ZHqGj&#10;eN6ujgECtrpGUToleq3QbW1l+smI7fznvo16+hssH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r2PYMCwCAABVBAAADgAAAAAAAAABACAAAAAfAQAAZHJzL2Uyb0RvYy54bWxQSwUGAAAAAAYA&#10;BgBZAQAAvQUAAAAA&#10;">
              <v:fill on="f" focussize="0,0"/>
              <v:stroke on="f" weight="0.5pt"/>
              <v:imagedata o:title=""/>
              <o:lock v:ext="edit" aspectratio="f"/>
              <v:textbox inset="0mm,0mm,0mm,0mm" style="mso-fit-shape-to-text:t;">
                <w:txbxContent>
                  <w:p>
                    <w:pPr>
                      <w:pStyle w:val="8"/>
                    </w:pPr>
                    <w:r>
                      <w:t xml:space="preserve">— </w:t>
                    </w:r>
                    <w:r>
                      <w:fldChar w:fldCharType="begin"/>
                    </w:r>
                    <w:r>
                      <w:instrText xml:space="preserve"> PAGE  \* MERGEFORMAT </w:instrText>
                    </w:r>
                    <w:r>
                      <w:fldChar w:fldCharType="separate"/>
                    </w:r>
                    <w:r>
                      <w:t>17</w:t>
                    </w:r>
                    <w:r>
                      <w:fldChar w:fldCharType="end"/>
                    </w:r>
                    <w:r>
                      <w:t xml:space="preserve"> —</w:t>
                    </w:r>
                  </w:p>
                </w:txbxContent>
              </v:textbox>
            </v:shape>
          </w:pict>
        </mc:Fallback>
      </mc:AlternateContent>
    </w:r>
    <w:r>
      <w:rPr>
        <w:lang w:val="en-US" w:bidi="ar-SA"/>
      </w:rPr>
      <w:drawing>
        <wp:anchor distT="0" distB="0" distL="0" distR="0" simplePos="0" relativeHeight="251659264" behindDoc="1" locked="0" layoutInCell="1" allowOverlap="1">
          <wp:simplePos x="0" y="0"/>
          <wp:positionH relativeFrom="page">
            <wp:posOffset>3512820</wp:posOffset>
          </wp:positionH>
          <wp:positionV relativeFrom="page">
            <wp:posOffset>10094595</wp:posOffset>
          </wp:positionV>
          <wp:extent cx="534670" cy="229870"/>
          <wp:effectExtent l="0" t="0" r="0" b="0"/>
          <wp:wrapNone/>
          <wp:docPr id="45" name="image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image14.png"/>
                  <pic:cNvPicPr>
                    <a:picLocks noChangeAspect="1"/>
                  </pic:cNvPicPr>
                </pic:nvPicPr>
                <pic:blipFill>
                  <a:blip r:embed="rId1" cstate="print"/>
                  <a:stretch>
                    <a:fillRect/>
                  </a:stretch>
                </pic:blipFill>
                <pic:spPr>
                  <a:xfrm>
                    <a:off x="0" y="0"/>
                    <a:ext cx="534924" cy="230124"/>
                  </a:xfrm>
                  <a:prstGeom prst="rect">
                    <a:avLst/>
                  </a:prstGeom>
                </pic:spPr>
              </pic:pic>
            </a:graphicData>
          </a:graphic>
        </wp:anchor>
      </w:drawing>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tabs>
        <w:tab w:val="clear" w:pos="4153"/>
      </w:tabs>
      <w:spacing w:after="482" w:afterLines="201"/>
      <w:ind w:firstLine="40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57E4DA"/>
    <w:multiLevelType w:val="singleLevel"/>
    <w:tmpl w:val="3C57E4DA"/>
    <w:lvl w:ilvl="0" w:tentative="0">
      <w:start w:val="1"/>
      <w:numFmt w:val="chineseCounting"/>
      <w:suff w:val="space"/>
      <w:lvlText w:val="第%1部分"/>
      <w:lvlJc w:val="left"/>
      <w:rPr>
        <w:rFonts w:hint="eastAsia"/>
      </w:rPr>
    </w:lvl>
  </w:abstractNum>
  <w:abstractNum w:abstractNumId="1">
    <w:nsid w:val="501035D5"/>
    <w:multiLevelType w:val="singleLevel"/>
    <w:tmpl w:val="501035D5"/>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bordersDoNotSurroundHeader w:val="0"/>
  <w:bordersDoNotSurroundFooter w:val="0"/>
  <w:documentProtection w:enforcement="0"/>
  <w:defaultTabStop w:val="720"/>
  <w:drawingGridHorizontalSpacing w:val="110"/>
  <w:displayHorizontalDrawingGridEvery w:val="1"/>
  <w:displayVerticalDrawingGridEvery w:val="1"/>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BiMzE2YjE5MmVkMjI5M2Q3YjUxMDgzNGIxY2Y5YTAifQ=="/>
  </w:docVars>
  <w:rsids>
    <w:rsidRoot w:val="00E24CB9"/>
    <w:rsid w:val="000169E7"/>
    <w:rsid w:val="00050CBC"/>
    <w:rsid w:val="000728D5"/>
    <w:rsid w:val="000F0F28"/>
    <w:rsid w:val="000F5FCE"/>
    <w:rsid w:val="001F1539"/>
    <w:rsid w:val="00294646"/>
    <w:rsid w:val="00296030"/>
    <w:rsid w:val="002E59B1"/>
    <w:rsid w:val="00352117"/>
    <w:rsid w:val="003E010F"/>
    <w:rsid w:val="00497650"/>
    <w:rsid w:val="004B04A5"/>
    <w:rsid w:val="00552E56"/>
    <w:rsid w:val="005B103A"/>
    <w:rsid w:val="005F1DAA"/>
    <w:rsid w:val="006C081D"/>
    <w:rsid w:val="006D72CB"/>
    <w:rsid w:val="006F1C55"/>
    <w:rsid w:val="00715118"/>
    <w:rsid w:val="00745054"/>
    <w:rsid w:val="00746441"/>
    <w:rsid w:val="00876F23"/>
    <w:rsid w:val="008A3563"/>
    <w:rsid w:val="008C1809"/>
    <w:rsid w:val="008E066F"/>
    <w:rsid w:val="00A43BFB"/>
    <w:rsid w:val="00A5515E"/>
    <w:rsid w:val="00AA0A42"/>
    <w:rsid w:val="00AE1066"/>
    <w:rsid w:val="00C10200"/>
    <w:rsid w:val="00C2054A"/>
    <w:rsid w:val="00C95851"/>
    <w:rsid w:val="00CA0E68"/>
    <w:rsid w:val="00CB1B8A"/>
    <w:rsid w:val="00CD48F9"/>
    <w:rsid w:val="00D51E25"/>
    <w:rsid w:val="00DE0A28"/>
    <w:rsid w:val="00E2194E"/>
    <w:rsid w:val="00E24CB9"/>
    <w:rsid w:val="00E3718F"/>
    <w:rsid w:val="00E87151"/>
    <w:rsid w:val="00EF6528"/>
    <w:rsid w:val="00F96A42"/>
    <w:rsid w:val="02ED1707"/>
    <w:rsid w:val="08183E10"/>
    <w:rsid w:val="093117B3"/>
    <w:rsid w:val="0A735B1B"/>
    <w:rsid w:val="0B213CBE"/>
    <w:rsid w:val="0F4423A8"/>
    <w:rsid w:val="0F6764B7"/>
    <w:rsid w:val="0FF40B82"/>
    <w:rsid w:val="0FF947A0"/>
    <w:rsid w:val="11BD40FD"/>
    <w:rsid w:val="12CD1ADF"/>
    <w:rsid w:val="13CB5FFB"/>
    <w:rsid w:val="14017EDA"/>
    <w:rsid w:val="1B142B69"/>
    <w:rsid w:val="1C4565B4"/>
    <w:rsid w:val="1D041A4B"/>
    <w:rsid w:val="1DBF62C1"/>
    <w:rsid w:val="1E9115A9"/>
    <w:rsid w:val="1F073974"/>
    <w:rsid w:val="20D9567F"/>
    <w:rsid w:val="21211D8E"/>
    <w:rsid w:val="227B44EE"/>
    <w:rsid w:val="23960825"/>
    <w:rsid w:val="247F2477"/>
    <w:rsid w:val="2BD66371"/>
    <w:rsid w:val="2EE3754B"/>
    <w:rsid w:val="3170631D"/>
    <w:rsid w:val="38100BF6"/>
    <w:rsid w:val="3C0513F0"/>
    <w:rsid w:val="474D3CE9"/>
    <w:rsid w:val="4D3C563B"/>
    <w:rsid w:val="53C21BD1"/>
    <w:rsid w:val="54C30EEA"/>
    <w:rsid w:val="5543046B"/>
    <w:rsid w:val="563B020F"/>
    <w:rsid w:val="571B393E"/>
    <w:rsid w:val="57846EA6"/>
    <w:rsid w:val="58EE6347"/>
    <w:rsid w:val="595E3E2E"/>
    <w:rsid w:val="5AE90F4A"/>
    <w:rsid w:val="5B65451D"/>
    <w:rsid w:val="5CB13867"/>
    <w:rsid w:val="5D291497"/>
    <w:rsid w:val="61F92FD4"/>
    <w:rsid w:val="63EC16FB"/>
    <w:rsid w:val="65E73470"/>
    <w:rsid w:val="6A9811DC"/>
    <w:rsid w:val="6C621CDC"/>
    <w:rsid w:val="6E71128C"/>
    <w:rsid w:val="6EE67D66"/>
    <w:rsid w:val="6F1C7BF9"/>
    <w:rsid w:val="6F5810D4"/>
    <w:rsid w:val="701210C6"/>
    <w:rsid w:val="7209340F"/>
    <w:rsid w:val="721F4C1B"/>
    <w:rsid w:val="76A30804"/>
    <w:rsid w:val="790F5E32"/>
    <w:rsid w:val="7B5A2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宋体" w:hAnsi="宋体" w:eastAsia="宋体" w:cs="宋体"/>
      <w:sz w:val="22"/>
      <w:szCs w:val="22"/>
      <w:lang w:val="zh-CN" w:eastAsia="zh-CN" w:bidi="zh-CN"/>
    </w:rPr>
  </w:style>
  <w:style w:type="paragraph" w:styleId="3">
    <w:name w:val="heading 1"/>
    <w:basedOn w:val="1"/>
    <w:next w:val="1"/>
    <w:qFormat/>
    <w:uiPriority w:val="1"/>
    <w:pPr>
      <w:spacing w:before="79"/>
      <w:ind w:left="2747"/>
      <w:outlineLvl w:val="0"/>
    </w:pPr>
    <w:rPr>
      <w:rFonts w:ascii="Times New Roman" w:hAnsi="Times New Roman" w:eastAsia="Times New Roman" w:cs="Times New Roman"/>
      <w:sz w:val="52"/>
      <w:szCs w:val="52"/>
    </w:rPr>
  </w:style>
  <w:style w:type="paragraph" w:styleId="4">
    <w:name w:val="heading 2"/>
    <w:basedOn w:val="1"/>
    <w:next w:val="1"/>
    <w:qFormat/>
    <w:uiPriority w:val="1"/>
    <w:pPr>
      <w:ind w:left="923"/>
      <w:outlineLvl w:val="1"/>
    </w:pPr>
    <w:rPr>
      <w:rFonts w:ascii="楷体" w:hAnsi="楷体" w:eastAsia="楷体" w:cs="楷体"/>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BodyText"/>
    <w:basedOn w:val="1"/>
    <w:qFormat/>
    <w:uiPriority w:val="0"/>
    <w:pPr>
      <w:spacing w:after="120"/>
      <w:jc w:val="both"/>
      <w:textAlignment w:val="baseline"/>
    </w:pPr>
    <w:rPr>
      <w:rFonts w:ascii="Times New Roman" w:hAnsi="Times New Roman" w:eastAsia="宋体"/>
      <w:kern w:val="2"/>
      <w:sz w:val="21"/>
      <w:szCs w:val="21"/>
      <w:lang w:val="en-US" w:eastAsia="zh-CN" w:bidi="ar-SA"/>
    </w:rPr>
  </w:style>
  <w:style w:type="paragraph" w:styleId="5">
    <w:name w:val="Salutation"/>
    <w:basedOn w:val="1"/>
    <w:next w:val="1"/>
    <w:qFormat/>
    <w:uiPriority w:val="0"/>
  </w:style>
  <w:style w:type="paragraph" w:styleId="6">
    <w:name w:val="Body Text"/>
    <w:basedOn w:val="1"/>
    <w:qFormat/>
    <w:uiPriority w:val="1"/>
    <w:rPr>
      <w:rFonts w:ascii="仿宋_GB2312" w:hAnsi="仿宋_GB2312" w:eastAsia="仿宋_GB2312" w:cs="仿宋_GB2312"/>
      <w:sz w:val="32"/>
      <w:szCs w:val="32"/>
    </w:rPr>
  </w:style>
  <w:style w:type="paragraph" w:styleId="7">
    <w:name w:val="Balloon Text"/>
    <w:basedOn w:val="1"/>
    <w:link w:val="18"/>
    <w:qFormat/>
    <w:uiPriority w:val="0"/>
    <w:rPr>
      <w:sz w:val="18"/>
      <w:szCs w:val="18"/>
    </w:rPr>
  </w:style>
  <w:style w:type="paragraph" w:styleId="8">
    <w:name w:val="footer"/>
    <w:basedOn w:val="1"/>
    <w:qFormat/>
    <w:uiPriority w:val="0"/>
    <w:pPr>
      <w:tabs>
        <w:tab w:val="center" w:pos="4153"/>
        <w:tab w:val="right" w:pos="8306"/>
      </w:tabs>
      <w:snapToGrid w:val="0"/>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280" w:firstLine="640"/>
      <w:jc w:val="both"/>
    </w:pPr>
    <w:rPr>
      <w:rFonts w:ascii="仿宋_GB2312" w:hAnsi="仿宋_GB2312" w:eastAsia="仿宋_GB2312" w:cs="仿宋_GB2312"/>
    </w:rPr>
  </w:style>
  <w:style w:type="paragraph" w:customStyle="1" w:styleId="14">
    <w:name w:val="Table Paragraph"/>
    <w:basedOn w:val="1"/>
    <w:qFormat/>
    <w:uiPriority w:val="1"/>
  </w:style>
  <w:style w:type="paragraph" w:customStyle="1" w:styleId="15">
    <w:name w:val="WPSOffice手动目录 1"/>
    <w:qFormat/>
    <w:uiPriority w:val="0"/>
    <w:rPr>
      <w:rFonts w:asciiTheme="minorHAnsi" w:hAnsiTheme="minorHAnsi" w:eastAsiaTheme="minorHAnsi" w:cstheme="minorBidi"/>
      <w:lang w:val="en-US" w:eastAsia="zh-CN" w:bidi="ar-SA"/>
    </w:rPr>
  </w:style>
  <w:style w:type="paragraph" w:customStyle="1" w:styleId="16">
    <w:name w:val="WPSOffice手动目录 2"/>
    <w:qFormat/>
    <w:uiPriority w:val="0"/>
    <w:pPr>
      <w:ind w:left="200" w:leftChars="200"/>
    </w:pPr>
    <w:rPr>
      <w:rFonts w:asciiTheme="minorHAnsi" w:hAnsiTheme="minorHAnsi" w:eastAsiaTheme="minorHAnsi" w:cstheme="minorBidi"/>
      <w:lang w:val="en-US" w:eastAsia="zh-CN" w:bidi="ar-SA"/>
    </w:rPr>
  </w:style>
  <w:style w:type="paragraph" w:customStyle="1" w:styleId="17">
    <w:name w:val="WPSOffice手动目录 3"/>
    <w:qFormat/>
    <w:uiPriority w:val="0"/>
    <w:pPr>
      <w:ind w:left="400" w:leftChars="400"/>
    </w:pPr>
    <w:rPr>
      <w:rFonts w:asciiTheme="minorHAnsi" w:hAnsiTheme="minorHAnsi" w:eastAsiaTheme="minorHAnsi" w:cstheme="minorBidi"/>
      <w:lang w:val="en-US" w:eastAsia="zh-CN" w:bidi="ar-SA"/>
    </w:rPr>
  </w:style>
  <w:style w:type="character" w:customStyle="1" w:styleId="18">
    <w:name w:val="批注框文本 Char"/>
    <w:basedOn w:val="11"/>
    <w:link w:val="7"/>
    <w:qFormat/>
    <w:uiPriority w:val="0"/>
    <w:rPr>
      <w:rFonts w:ascii="宋体" w:hAnsi="宋体" w:eastAsia="宋体" w:cs="宋体"/>
      <w:sz w:val="18"/>
      <w:szCs w:val="1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header" Target="header3.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_rels/foot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XTC</Company>
  <Pages>20</Pages>
  <Words>1193</Words>
  <Characters>6806</Characters>
  <Lines>56</Lines>
  <Paragraphs>15</Paragraphs>
  <TotalTime>0</TotalTime>
  <ScaleCrop>false</ScaleCrop>
  <LinksUpToDate>false</LinksUpToDate>
  <CharactersWithSpaces>7984</CharactersWithSpaces>
  <Application>WPS Office_11.8.6.11825_F1E327BC-269C-435d-A152-05C5408002CA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2022-05-05T02:14:00Z</dcterms:created>
  <dc:creator>user</dc:creator>
  <cp:lastModifiedBy>五通桥区文体旅游局</cp:lastModifiedBy>
  <dcterms:modified xsi:type="dcterms:W3CDTF">2024-02-26T06:49:21Z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2022-03-18T00:00:00Z</vt:filetime>
  </property>
  <property fmtid="{D5CDD505-2E9C-101B-9397-08002B2CF9AE}" pid="3" name="Creator">
    <vt:lpwstr>Microsoft® Word 2010</vt:lpwstr>
  </property>
  <property fmtid="{D5CDD505-2E9C-101B-9397-08002B2CF9AE}" pid="4" name="LastSaved">
    <vt:filetime>2022-05-05T00:00:00Z</vt:filetime>
  </property>
  <property fmtid="{D5CDD505-2E9C-101B-9397-08002B2CF9AE}" pid="5" name="KSOProductBuildVer">
    <vt:lpwstr>2052-11.8.6.11825</vt:lpwstr>
  </property>
  <property fmtid="{D5CDD505-2E9C-101B-9397-08002B2CF9AE}" pid="6" name="ICV">
    <vt:lpwstr>7EC5CBBB5D6944FC8C19C6338F956BDE</vt:lpwstr>
  </property>
</Properties>
</file>