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bookmarkStart w:id="35" w:name="_GoBack"/>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w:t>
      </w:r>
      <w:r>
        <w:rPr>
          <w:rFonts w:hint="eastAsia" w:ascii="宋体" w:hAnsi="宋体" w:eastAsia="方正小标宋简体" w:cs="方正小标宋简体"/>
          <w:color w:val="auto"/>
          <w:sz w:val="52"/>
          <w:szCs w:val="52"/>
          <w:lang w:val="en-US" w:eastAsia="zh-CN"/>
        </w:rPr>
        <w:t>文化馆</w:t>
      </w:r>
      <w:r>
        <w:rPr>
          <w:rFonts w:hint="eastAsia" w:ascii="宋体" w:hAnsi="宋体" w:eastAsia="方正小标宋简体" w:cs="方正小标宋简体"/>
          <w:color w:val="auto"/>
          <w:sz w:val="52"/>
          <w:szCs w:val="52"/>
          <w:lang w:val="en-US"/>
        </w:rPr>
        <w:t>）</w:t>
      </w: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rPr>
          <w:color w:val="auto"/>
          <w:sz w:val="4"/>
        </w:rPr>
      </w:pPr>
    </w:p>
    <w:p>
      <w:pPr>
        <w:pStyle w:val="5"/>
        <w:spacing w:before="2"/>
        <w:rPr>
          <w:rFonts w:ascii="宋体" w:hAnsi="宋体"/>
          <w:color w:val="auto"/>
          <w:sz w:val="4"/>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hint="eastAsia" w:ascii="宋体" w:hAnsi="宋体" w:eastAsia="方正小标宋简体" w:cs="方正小标宋简体"/>
          <w:b/>
          <w:bCs/>
          <w:color w:val="auto"/>
          <w:sz w:val="48"/>
          <w:szCs w:val="48"/>
          <w:lang w:val="en-US"/>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14"/>
            <w:tabs>
              <w:tab w:val="right" w:leader="dot" w:pos="9812"/>
            </w:tabs>
            <w:spacing w:line="560" w:lineRule="exact"/>
            <w:rPr>
              <w:rFonts w:ascii="宋体" w:hAnsi="宋体"/>
              <w:color w:val="auto"/>
              <w:sz w:val="32"/>
              <w:szCs w:val="32"/>
            </w:rPr>
          </w:pPr>
          <w:r>
            <w:rPr>
              <w:rFonts w:hint="eastAsia" w:ascii="宋体" w:hAnsi="宋体" w:eastAsia="方正小标宋简体" w:cs="方正小标宋简体"/>
              <w:b/>
              <w:bCs/>
              <w:color w:val="auto"/>
              <w:sz w:val="48"/>
              <w:szCs w:val="48"/>
            </w:rPr>
            <w:fldChar w:fldCharType="begin"/>
          </w:r>
          <w:r>
            <w:rPr>
              <w:rFonts w:hint="eastAsia" w:ascii="宋体" w:hAnsi="宋体" w:eastAsia="方正小标宋简体" w:cs="方正小标宋简体"/>
              <w:b/>
              <w:bCs/>
              <w:color w:val="auto"/>
              <w:sz w:val="48"/>
              <w:szCs w:val="48"/>
            </w:rPr>
            <w:instrText xml:space="preserve">TOC \o "1-3" \h \u </w:instrText>
          </w:r>
          <w:r>
            <w:rPr>
              <w:rFonts w:hint="eastAsia" w:ascii="宋体" w:hAnsi="宋体" w:eastAsia="方正小标宋简体" w:cs="方正小标宋简体"/>
              <w:b/>
              <w:bCs/>
              <w:color w:val="auto"/>
              <w:sz w:val="48"/>
              <w:szCs w:val="48"/>
            </w:rPr>
            <w:fldChar w:fldCharType="separate"/>
          </w:r>
          <w:r>
            <w:rPr>
              <w:color w:val="auto"/>
            </w:rPr>
            <w:fldChar w:fldCharType="begin"/>
          </w:r>
          <w:r>
            <w:rPr>
              <w:color w:val="auto"/>
            </w:rPr>
            <w:instrText xml:space="preserve"> HYPERLINK \l "_Toc24981" </w:instrText>
          </w:r>
          <w:r>
            <w:rPr>
              <w:color w:val="auto"/>
            </w:rPr>
            <w:fldChar w:fldCharType="separate"/>
          </w:r>
          <w:r>
            <w:rPr>
              <w:rFonts w:hint="eastAsia" w:ascii="宋体" w:hAnsi="宋体" w:eastAsia="方正小标宋简体" w:cs="方正小标宋简体"/>
              <w:bCs/>
              <w:color w:val="auto"/>
              <w:sz w:val="32"/>
              <w:szCs w:val="32"/>
            </w:rPr>
            <w:t>第一部分 部门概况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_Toc24981 \h </w:instrText>
          </w:r>
          <w:r>
            <w:rPr>
              <w:rFonts w:ascii="宋体" w:hAnsi="宋体"/>
              <w:color w:val="auto"/>
              <w:sz w:val="32"/>
              <w:szCs w:val="32"/>
            </w:rPr>
            <w:fldChar w:fldCharType="separate"/>
          </w:r>
          <w:r>
            <w:rPr>
              <w:rFonts w:ascii="宋体" w:hAnsi="宋体"/>
              <w:color w:val="auto"/>
              <w:sz w:val="32"/>
              <w:szCs w:val="32"/>
            </w:rPr>
            <w:t>1</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"_Toc977" </w:instrText>
          </w:r>
          <w:r>
            <w:rPr>
              <w:color w:val="auto"/>
            </w:rPr>
            <w:fldChar w:fldCharType="separate"/>
          </w:r>
          <w:r>
            <w:rPr>
              <w:rFonts w:hint="eastAsia" w:ascii="宋体" w:hAnsi="宋体" w:eastAsia="黑体"/>
              <w:color w:val="auto"/>
              <w:sz w:val="32"/>
              <w:szCs w:val="32"/>
            </w:rPr>
            <w:t>一、基本职能及主要工作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_Toc977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"_Toc5540" </w:instrText>
          </w:r>
          <w:r>
            <w:rPr>
              <w:color w:val="auto"/>
            </w:rPr>
            <w:fldChar w:fldCharType="separate"/>
          </w:r>
          <w:r>
            <w:rPr>
              <w:rFonts w:ascii="宋体" w:hAnsi="宋体"/>
              <w:color w:val="auto"/>
              <w:sz w:val="32"/>
              <w:szCs w:val="32"/>
            </w:rPr>
            <w:t>（一）部门职能简介</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_Toc5540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hint="default" w:ascii="宋体" w:hAnsi="宋体" w:eastAsia="宋体"/>
              <w:color w:val="auto"/>
              <w:sz w:val="32"/>
              <w:szCs w:val="32"/>
              <w:lang w:val="en-US" w:eastAsia="zh-CN"/>
            </w:rPr>
          </w:pPr>
          <w:r>
            <w:rPr>
              <w:color w:val="auto"/>
            </w:rPr>
            <w:fldChar w:fldCharType="begin"/>
          </w:r>
          <w:r>
            <w:rPr>
              <w:color w:val="auto"/>
            </w:rPr>
            <w:instrText xml:space="preserve"> HYPERLINK \l "_Toc29132" </w:instrText>
          </w:r>
          <w:r>
            <w:rPr>
              <w:color w:val="auto"/>
            </w:rPr>
            <w:fldChar w:fldCharType="separate"/>
          </w:r>
          <w:r>
            <w:rPr>
              <w:rFonts w:ascii="宋体" w:hAnsi="宋体"/>
              <w:color w:val="auto"/>
              <w:sz w:val="32"/>
              <w:szCs w:val="32"/>
            </w:rPr>
            <w:t>（二）部门</w:t>
          </w:r>
          <w:r>
            <w:rPr>
              <w:rFonts w:hint="eastAsia" w:ascii="宋体" w:hAnsi="宋体" w:eastAsia="宋体"/>
              <w:color w:val="auto"/>
              <w:sz w:val="32"/>
              <w:szCs w:val="32"/>
              <w:lang w:eastAsia="zh-CN"/>
            </w:rPr>
            <w:t>2024</w:t>
          </w:r>
          <w:r>
            <w:rPr>
              <w:rFonts w:ascii="宋体" w:hAnsi="宋体"/>
              <w:color w:val="auto"/>
              <w:sz w:val="32"/>
              <w:szCs w:val="32"/>
            </w:rPr>
            <w:t>年重点工</w:t>
          </w:r>
          <w:r>
            <w:rPr>
              <w:rFonts w:hint="eastAsia" w:ascii="宋体" w:hAnsi="宋体"/>
              <w:color w:val="auto"/>
              <w:sz w:val="32"/>
              <w:szCs w:val="32"/>
            </w:rPr>
            <w:t>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_Toc29132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"_Toc30432" </w:instrText>
          </w:r>
          <w:r>
            <w:rPr>
              <w:color w:val="auto"/>
            </w:rPr>
            <w:fldChar w:fldCharType="separate"/>
          </w:r>
          <w:r>
            <w:rPr>
              <w:rFonts w:hint="eastAsia" w:ascii="宋体" w:hAnsi="宋体" w:eastAsia="黑体"/>
              <w:color w:val="auto"/>
              <w:sz w:val="32"/>
              <w:szCs w:val="32"/>
            </w:rPr>
            <w:t>二、部门预算单位构成</w:t>
          </w:r>
          <w:r>
            <w:rPr>
              <w:rFonts w:ascii="宋体" w:hAnsi="宋体"/>
              <w:color w:val="auto"/>
              <w:sz w:val="32"/>
              <w:szCs w:val="32"/>
            </w:rPr>
            <w:tab/>
          </w:r>
          <w:r>
            <w:rPr>
              <w:rFonts w:hint="eastAsia" w:ascii="宋体" w:hAnsi="宋体" w:eastAsia="宋体"/>
              <w:color w:val="auto"/>
              <w:sz w:val="32"/>
              <w:szCs w:val="32"/>
              <w:lang w:val="en-US" w:eastAsia="zh-CN"/>
            </w:rPr>
            <w:t>4</w:t>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"_Toc28587" </w:instrText>
          </w:r>
          <w:r>
            <w:rPr>
              <w:color w:val="auto"/>
            </w:rPr>
            <w:fldChar w:fldCharType="separate"/>
          </w:r>
          <w:r>
            <w:rPr>
              <w:rFonts w:hint="eastAsia" w:ascii="宋体" w:hAnsi="宋体" w:eastAsia="方正小标宋简体" w:cs="方正小标宋简体"/>
              <w:bCs/>
              <w:color w:val="auto"/>
              <w:sz w:val="32"/>
              <w:szCs w:val="32"/>
            </w:rPr>
            <w:t>第二部分乐山市五通桥区文化馆</w:t>
          </w:r>
          <w:r>
            <w:rPr>
              <w:rFonts w:hint="eastAsia" w:ascii="宋体" w:hAnsi="宋体" w:eastAsia="方正小标宋简体" w:cs="方正小标宋简体"/>
              <w:bCs/>
              <w:color w:val="auto"/>
              <w:sz w:val="32"/>
              <w:szCs w:val="32"/>
              <w:lang w:eastAsia="zh-CN"/>
            </w:rPr>
            <w:t>2024</w:t>
          </w:r>
          <w:r>
            <w:rPr>
              <w:rFonts w:hint="eastAsia" w:ascii="宋体" w:hAnsi="宋体" w:eastAsia="方正小标宋简体" w:cs="方正小标宋简体"/>
              <w:bCs/>
              <w:color w:val="auto"/>
              <w:sz w:val="32"/>
              <w:szCs w:val="32"/>
            </w:rPr>
            <w:t>年部门预算表</w:t>
          </w:r>
          <w:r>
            <w:rPr>
              <w:rFonts w:ascii="宋体" w:hAnsi="宋体"/>
              <w:color w:val="auto"/>
              <w:sz w:val="32"/>
              <w:szCs w:val="32"/>
            </w:rPr>
            <w:tab/>
          </w:r>
          <w:r>
            <w:rPr>
              <w:rFonts w:hint="eastAsia" w:ascii="宋体" w:hAnsi="宋体" w:eastAsia="宋体"/>
              <w:color w:val="auto"/>
              <w:sz w:val="32"/>
              <w:szCs w:val="32"/>
              <w:lang w:val="en-US" w:eastAsia="zh-CN"/>
            </w:rPr>
            <w:t>5</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"_Toc12069" </w:instrText>
          </w:r>
          <w:r>
            <w:rPr>
              <w:color w:val="auto"/>
            </w:rPr>
            <w:fldChar w:fldCharType="separate"/>
          </w:r>
          <w:r>
            <w:rPr>
              <w:rFonts w:hint="eastAsia" w:ascii="宋体" w:hAnsi="宋体"/>
              <w:color w:val="auto"/>
              <w:sz w:val="32"/>
              <w:szCs w:val="32"/>
            </w:rPr>
            <w:t>一、部门收支总表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"_Toc27995" </w:instrText>
          </w:r>
          <w:r>
            <w:rPr>
              <w:color w:val="auto"/>
            </w:rPr>
            <w:fldChar w:fldCharType="separate"/>
          </w:r>
          <w:r>
            <w:rPr>
              <w:rFonts w:hint="eastAsia" w:ascii="宋体" w:hAnsi="宋体"/>
              <w:color w:val="auto"/>
              <w:sz w:val="32"/>
              <w:szCs w:val="32"/>
            </w:rPr>
            <w:t>二、部门收入总表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"_Toc3639" </w:instrText>
          </w:r>
          <w:r>
            <w:rPr>
              <w:color w:val="auto"/>
            </w:rPr>
            <w:fldChar w:fldCharType="separate"/>
          </w:r>
          <w:r>
            <w:rPr>
              <w:rFonts w:hint="eastAsia" w:ascii="宋体" w:hAnsi="宋体"/>
              <w:color w:val="auto"/>
              <w:sz w:val="32"/>
              <w:szCs w:val="32"/>
            </w:rPr>
            <w:t>三、部门支出总表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"_Toc25815" </w:instrText>
          </w:r>
          <w:r>
            <w:rPr>
              <w:color w:val="auto"/>
            </w:rPr>
            <w:fldChar w:fldCharType="separate"/>
          </w:r>
          <w:r>
            <w:rPr>
              <w:rFonts w:hint="eastAsia" w:ascii="宋体" w:hAnsi="宋体"/>
              <w:color w:val="auto"/>
              <w:sz w:val="32"/>
              <w:szCs w:val="32"/>
            </w:rPr>
            <w:t>四、财政拨款收支预算总表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"_Toc4686" </w:instrText>
          </w:r>
          <w:r>
            <w:rPr>
              <w:color w:val="auto"/>
            </w:rPr>
            <w:fldChar w:fldCharType="separate"/>
          </w:r>
          <w:r>
            <w:rPr>
              <w:rFonts w:hint="eastAsia" w:ascii="宋体" w:hAnsi="宋体"/>
              <w:color w:val="auto"/>
              <w:sz w:val="32"/>
              <w:szCs w:val="32"/>
            </w:rPr>
            <w:t>五、财政拨款支出预算表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"_Toc7952" </w:instrText>
          </w:r>
          <w:r>
            <w:rPr>
              <w:color w:val="auto"/>
            </w:rPr>
            <w:fldChar w:fldCharType="separate"/>
          </w:r>
          <w:r>
            <w:rPr>
              <w:rFonts w:hint="eastAsia" w:ascii="宋体" w:hAnsi="宋体"/>
              <w:color w:val="auto"/>
              <w:sz w:val="32"/>
              <w:szCs w:val="32"/>
            </w:rPr>
            <w:t>六、一般公共预算支出预算表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"_Toc32200" </w:instrText>
          </w:r>
          <w:r>
            <w:rPr>
              <w:color w:val="auto"/>
            </w:rPr>
            <w:fldChar w:fldCharType="separate"/>
          </w:r>
          <w:r>
            <w:rPr>
              <w:rFonts w:hint="eastAsia" w:ascii="宋体" w:hAnsi="宋体"/>
              <w:color w:val="auto"/>
              <w:sz w:val="32"/>
              <w:szCs w:val="32"/>
            </w:rPr>
            <w:t>七、一般公共预算基本支出预算表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"_Toc17751" </w:instrText>
          </w:r>
          <w:r>
            <w:rPr>
              <w:color w:val="auto"/>
            </w:rPr>
            <w:fldChar w:fldCharType="separate"/>
          </w:r>
          <w:r>
            <w:rPr>
              <w:rFonts w:hint="eastAsia" w:ascii="宋体" w:hAnsi="宋体"/>
              <w:color w:val="auto"/>
              <w:sz w:val="32"/>
              <w:szCs w:val="32"/>
            </w:rPr>
            <w:t>八、一般公共预算项目支出预算表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"_Toc11119" </w:instrText>
          </w:r>
          <w:r>
            <w:rPr>
              <w:color w:val="auto"/>
            </w:rPr>
            <w:fldChar w:fldCharType="separate"/>
          </w:r>
          <w:r>
            <w:rPr>
              <w:rFonts w:hint="eastAsia" w:ascii="宋体" w:hAnsi="宋体"/>
              <w:color w:val="auto"/>
              <w:sz w:val="32"/>
              <w:szCs w:val="32"/>
            </w:rPr>
            <w:t>九、一般公共预算“三公”经费支出预算表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"_Toc19211" </w:instrText>
          </w:r>
          <w:r>
            <w:rPr>
              <w:color w:val="auto"/>
            </w:rPr>
            <w:fldChar w:fldCharType="separate"/>
          </w:r>
          <w:r>
            <w:rPr>
              <w:rFonts w:hint="eastAsia" w:ascii="宋体" w:hAnsi="宋体"/>
              <w:color w:val="auto"/>
              <w:sz w:val="32"/>
              <w:szCs w:val="32"/>
            </w:rPr>
            <w:t>十、政府性基金预算支出表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"_Toc7676" </w:instrText>
          </w:r>
          <w:r>
            <w:rPr>
              <w:color w:val="auto"/>
            </w:rPr>
            <w:fldChar w:fldCharType="separate"/>
          </w:r>
          <w:r>
            <w:rPr>
              <w:rFonts w:hint="eastAsia" w:ascii="宋体" w:hAnsi="宋体"/>
              <w:color w:val="auto"/>
              <w:sz w:val="32"/>
              <w:szCs w:val="32"/>
            </w:rPr>
            <w:t>十一、政府性基金预算“三公”经费支出预算表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"_Toc22917" </w:instrText>
          </w:r>
          <w:r>
            <w:rPr>
              <w:color w:val="auto"/>
            </w:rPr>
            <w:fldChar w:fldCharType="separate"/>
          </w:r>
          <w:r>
            <w:rPr>
              <w:rFonts w:hint="eastAsia" w:ascii="宋体" w:hAnsi="宋体"/>
              <w:color w:val="auto"/>
              <w:sz w:val="32"/>
              <w:szCs w:val="32"/>
            </w:rPr>
            <w:t>十二、国有资本经营预算支出表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"_Toc27847" </w:instrText>
          </w:r>
          <w:r>
            <w:rPr>
              <w:color w:val="auto"/>
            </w:rPr>
            <w:fldChar w:fldCharType="separate"/>
          </w:r>
          <w:r>
            <w:rPr>
              <w:rFonts w:hint="eastAsia" w:ascii="宋体" w:hAnsi="宋体"/>
              <w:color w:val="auto"/>
              <w:sz w:val="32"/>
              <w:szCs w:val="32"/>
            </w:rPr>
            <w:t>十三、部门整体支出绩效目标表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"_Toc30878" </w:instrText>
          </w:r>
          <w:r>
            <w:rPr>
              <w:color w:val="auto"/>
            </w:rPr>
            <w:fldChar w:fldCharType="separate"/>
          </w:r>
          <w:r>
            <w:rPr>
              <w:rFonts w:hint="eastAsia" w:ascii="宋体" w:hAnsi="宋体"/>
              <w:color w:val="auto"/>
              <w:sz w:val="32"/>
              <w:szCs w:val="32"/>
            </w:rPr>
            <w:t>十四、部门预算项目支出绩效目标表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"_Toc32437" </w:instrText>
          </w:r>
          <w:r>
            <w:rPr>
              <w:color w:val="auto"/>
            </w:rPr>
            <w:fldChar w:fldCharType="separate"/>
          </w:r>
          <w:r>
            <w:rPr>
              <w:rFonts w:hint="eastAsia" w:ascii="宋体" w:hAnsi="宋体"/>
              <w:color w:val="auto"/>
              <w:sz w:val="32"/>
              <w:szCs w:val="32"/>
            </w:rPr>
            <w:t>十五、政府采购预算表</w:t>
          </w:r>
          <w:r>
            <w:rPr>
              <w:rFonts w:ascii="宋体" w:hAnsi="宋体"/>
              <w:color w:val="auto"/>
              <w:sz w:val="32"/>
              <w:szCs w:val="32"/>
            </w:rPr>
            <w:tab/>
          </w:r>
          <w:r>
            <w:rPr>
              <w:rFonts w:hint="eastAsia" w:ascii="宋体" w:hAnsi="宋体" w:eastAsia="宋体"/>
              <w:color w:val="auto"/>
              <w:sz w:val="32"/>
              <w:szCs w:val="32"/>
              <w:lang w:val="en-US" w:eastAsia="zh-CN"/>
            </w:rPr>
            <w:t>6</w:t>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"_Toc19948" </w:instrText>
          </w:r>
          <w:r>
            <w:rPr>
              <w:color w:val="auto"/>
            </w:rPr>
            <w:fldChar w:fldCharType="separate"/>
          </w:r>
          <w:r>
            <w:rPr>
              <w:rFonts w:hint="eastAsia" w:ascii="宋体" w:hAnsi="宋体" w:eastAsia="方正小标宋简体" w:cs="方正小标宋简体"/>
              <w:color w:val="auto"/>
              <w:sz w:val="32"/>
              <w:szCs w:val="32"/>
            </w:rPr>
            <w:t>第三部分乐山市五通桥区文化馆</w:t>
          </w:r>
          <w:r>
            <w:rPr>
              <w:rFonts w:hint="eastAsia" w:ascii="宋体" w:hAnsi="宋体" w:eastAsia="方正小标宋简体" w:cs="方正小标宋简体"/>
              <w:color w:val="auto"/>
              <w:sz w:val="32"/>
              <w:szCs w:val="32"/>
              <w:lang w:eastAsia="zh-CN"/>
            </w:rPr>
            <w:t>2024</w:t>
          </w:r>
          <w:r>
            <w:rPr>
              <w:rFonts w:hint="eastAsia" w:ascii="宋体" w:hAnsi="宋体" w:eastAsia="方正小标宋简体" w:cs="方正小标宋简体"/>
              <w:color w:val="auto"/>
              <w:sz w:val="32"/>
              <w:szCs w:val="32"/>
            </w:rPr>
            <w:t>年部门预算情况说明</w:t>
          </w:r>
          <w:r>
            <w:rPr>
              <w:rFonts w:ascii="宋体" w:hAnsi="宋体"/>
              <w:color w:val="auto"/>
              <w:sz w:val="32"/>
              <w:szCs w:val="32"/>
            </w:rPr>
            <w:tab/>
          </w:r>
          <w:r>
            <w:rPr>
              <w:rFonts w:hint="eastAsia" w:ascii="宋体" w:hAnsi="宋体" w:eastAsia="宋体"/>
              <w:color w:val="auto"/>
              <w:sz w:val="32"/>
              <w:szCs w:val="32"/>
              <w:lang w:val="en-US" w:eastAsia="zh-CN"/>
            </w:rPr>
            <w:t>7</w:t>
          </w:r>
          <w:r>
            <w:rPr>
              <w:rFonts w:ascii="宋体" w:hAnsi="宋体"/>
              <w:color w:val="auto"/>
              <w:sz w:val="32"/>
              <w:szCs w:val="32"/>
            </w:rPr>
            <w:fldChar w:fldCharType="end"/>
          </w:r>
        </w:p>
        <w:p>
          <w:pPr>
            <w:pStyle w:val="15"/>
            <w:tabs>
              <w:tab w:val="right" w:leader="dot" w:pos="9812"/>
            </w:tabs>
            <w:spacing w:line="560" w:lineRule="exact"/>
            <w:ind w:leftChars="0" w:firstLine="400" w:firstLineChars="200"/>
            <w:rPr>
              <w:rFonts w:ascii="宋体" w:hAnsi="宋体"/>
              <w:color w:val="auto"/>
              <w:sz w:val="32"/>
              <w:szCs w:val="32"/>
            </w:rPr>
          </w:pPr>
          <w:r>
            <w:rPr>
              <w:color w:val="auto"/>
            </w:rPr>
            <w:fldChar w:fldCharType="begin"/>
          </w:r>
          <w:r>
            <w:rPr>
              <w:color w:val="auto"/>
            </w:rPr>
            <w:instrText xml:space="preserve"> HYPERLINK \l "_Toc469" </w:instrText>
          </w:r>
          <w:r>
            <w:rPr>
              <w:color w:val="auto"/>
            </w:rPr>
            <w:fldChar w:fldCharType="separate"/>
          </w:r>
          <w:r>
            <w:rPr>
              <w:rFonts w:hint="eastAsia" w:ascii="宋体" w:hAnsi="宋体" w:eastAsia="黑体"/>
              <w:color w:val="auto"/>
              <w:sz w:val="32"/>
              <w:szCs w:val="32"/>
            </w:rPr>
            <w:t>一、收支预算情况说明</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"_Toc12176" </w:instrText>
          </w:r>
          <w:r>
            <w:rPr>
              <w:color w:val="auto"/>
            </w:rPr>
            <w:fldChar w:fldCharType="separate"/>
          </w:r>
          <w:r>
            <w:rPr>
              <w:rFonts w:ascii="宋体" w:hAnsi="宋体"/>
              <w:color w:val="auto"/>
              <w:sz w:val="32"/>
              <w:szCs w:val="32"/>
            </w:rPr>
            <w:t>（一）收入预算情况</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"_Toc23149" </w:instrText>
          </w:r>
          <w:r>
            <w:rPr>
              <w:color w:val="auto"/>
            </w:rPr>
            <w:fldChar w:fldCharType="separate"/>
          </w:r>
          <w:r>
            <w:rPr>
              <w:rFonts w:ascii="宋体" w:hAnsi="宋体"/>
              <w:color w:val="auto"/>
              <w:sz w:val="32"/>
              <w:szCs w:val="32"/>
            </w:rPr>
            <w:t>（二）支出预算情况</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"_Toc729" </w:instrText>
          </w:r>
          <w:r>
            <w:rPr>
              <w:color w:val="auto"/>
            </w:rPr>
            <w:fldChar w:fldCharType="separate"/>
          </w:r>
          <w:r>
            <w:rPr>
              <w:rFonts w:hint="eastAsia" w:ascii="宋体" w:hAnsi="宋体" w:eastAsia="黑体"/>
              <w:color w:val="auto"/>
              <w:sz w:val="32"/>
              <w:szCs w:val="32"/>
            </w:rPr>
            <w:t>二、财政拨款收支预算情况说明</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"_Toc32511" </w:instrText>
          </w:r>
          <w:r>
            <w:rPr>
              <w:color w:val="auto"/>
            </w:rPr>
            <w:fldChar w:fldCharType="separate"/>
          </w:r>
          <w:r>
            <w:rPr>
              <w:rFonts w:hint="eastAsia" w:ascii="宋体" w:hAnsi="宋体" w:eastAsia="黑体"/>
              <w:color w:val="auto"/>
              <w:sz w:val="32"/>
              <w:szCs w:val="32"/>
            </w:rPr>
            <w:t>三、一般公共预算当年拨款情况说明</w:t>
          </w:r>
          <w:r>
            <w:rPr>
              <w:rFonts w:ascii="宋体" w:hAnsi="宋体"/>
              <w:color w:val="auto"/>
              <w:sz w:val="32"/>
              <w:szCs w:val="32"/>
            </w:rPr>
            <w:tab/>
          </w:r>
          <w:r>
            <w:rPr>
              <w:rFonts w:hint="eastAsia" w:ascii="宋体" w:hAnsi="宋体" w:eastAsia="宋体"/>
              <w:color w:val="auto"/>
              <w:sz w:val="32"/>
              <w:szCs w:val="32"/>
              <w:lang w:val="en-US" w:eastAsia="zh-CN"/>
            </w:rPr>
            <w:t>9</w:t>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"_Toc6394" </w:instrText>
          </w:r>
          <w:r>
            <w:rPr>
              <w:color w:val="auto"/>
            </w:rPr>
            <w:fldChar w:fldCharType="separate"/>
          </w:r>
          <w:r>
            <w:rPr>
              <w:rFonts w:ascii="宋体" w:hAnsi="宋体"/>
              <w:color w:val="auto"/>
              <w:sz w:val="32"/>
              <w:szCs w:val="32"/>
            </w:rPr>
            <w:t>（一）一般公共预算当年拨款规模变化情况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_Toc6394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"_Toc5045" </w:instrText>
          </w:r>
          <w:r>
            <w:rPr>
              <w:color w:val="auto"/>
            </w:rPr>
            <w:fldChar w:fldCharType="separate"/>
          </w:r>
          <w:r>
            <w:rPr>
              <w:rFonts w:ascii="宋体" w:hAnsi="宋体"/>
              <w:color w:val="auto"/>
              <w:sz w:val="32"/>
              <w:szCs w:val="32"/>
            </w:rPr>
            <w:t>（二）一般公共预算当年拨款结构情况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_Toc5045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"_Toc11698" </w:instrText>
          </w:r>
          <w:r>
            <w:rPr>
              <w:color w:val="auto"/>
            </w:rPr>
            <w:fldChar w:fldCharType="separate"/>
          </w:r>
          <w:r>
            <w:rPr>
              <w:rFonts w:ascii="宋体" w:hAnsi="宋体"/>
              <w:color w:val="auto"/>
              <w:sz w:val="32"/>
              <w:szCs w:val="32"/>
            </w:rPr>
            <w:t>（三）一般公共预算当年拨款具体使用情况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_Toc11698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hint="eastAsia" w:ascii="宋体" w:hAnsi="宋体" w:eastAsia="宋体"/>
              <w:color w:val="auto"/>
              <w:sz w:val="32"/>
              <w:szCs w:val="32"/>
              <w:lang w:val="en-US" w:eastAsia="zh-CN"/>
            </w:rPr>
          </w:pPr>
          <w:r>
            <w:rPr>
              <w:color w:val="auto"/>
            </w:rPr>
            <w:fldChar w:fldCharType="begin"/>
          </w:r>
          <w:r>
            <w:rPr>
              <w:color w:val="auto"/>
            </w:rPr>
            <w:instrText xml:space="preserve"> HYPERLINK \l "_Toc21665" </w:instrText>
          </w:r>
          <w:r>
            <w:rPr>
              <w:color w:val="auto"/>
            </w:rPr>
            <w:fldChar w:fldCharType="separate"/>
          </w:r>
          <w:r>
            <w:rPr>
              <w:rFonts w:hint="eastAsia" w:ascii="宋体" w:hAnsi="宋体" w:eastAsia="黑体"/>
              <w:color w:val="auto"/>
              <w:sz w:val="32"/>
              <w:szCs w:val="32"/>
            </w:rPr>
            <w:t>四、一般公共预算基本支出情况说明</w:t>
          </w:r>
          <w:r>
            <w:rPr>
              <w:rFonts w:ascii="宋体" w:hAnsi="宋体"/>
              <w:color w:val="auto"/>
              <w:sz w:val="32"/>
              <w:szCs w:val="32"/>
            </w:rPr>
            <w:tab/>
          </w:r>
          <w:r>
            <w:rPr>
              <w:rFonts w:hint="eastAsia" w:ascii="宋体" w:hAnsi="宋体" w:eastAsia="宋体"/>
              <w:color w:val="auto"/>
              <w:sz w:val="32"/>
              <w:szCs w:val="32"/>
              <w:lang w:val="en-US" w:eastAsia="zh-CN"/>
            </w:rPr>
            <w:t>1</w:t>
          </w:r>
          <w:r>
            <w:rPr>
              <w:rFonts w:ascii="宋体" w:hAnsi="宋体"/>
              <w:color w:val="auto"/>
              <w:sz w:val="32"/>
              <w:szCs w:val="32"/>
            </w:rPr>
            <w:fldChar w:fldCharType="end"/>
          </w:r>
          <w:r>
            <w:rPr>
              <w:rFonts w:hint="eastAsia" w:ascii="宋体" w:hAnsi="宋体" w:eastAsia="宋体"/>
              <w:color w:val="auto"/>
              <w:sz w:val="32"/>
              <w:szCs w:val="32"/>
              <w:lang w:val="en-US" w:eastAsia="zh-CN"/>
            </w:rPr>
            <w:t>1</w:t>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"_Toc1746" </w:instrText>
          </w:r>
          <w:r>
            <w:rPr>
              <w:color w:val="auto"/>
            </w:rPr>
            <w:fldChar w:fldCharType="separate"/>
          </w:r>
          <w:r>
            <w:rPr>
              <w:rFonts w:hint="eastAsia" w:ascii="宋体" w:hAnsi="宋体" w:eastAsia="黑体"/>
              <w:color w:val="auto"/>
              <w:sz w:val="32"/>
              <w:szCs w:val="32"/>
            </w:rPr>
            <w:t>五、“三公”经费财政拨款预算安排情况说明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_Toc1746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"_Toc10802" </w:instrText>
          </w:r>
          <w:r>
            <w:rPr>
              <w:color w:val="auto"/>
            </w:rPr>
            <w:fldChar w:fldCharType="separate"/>
          </w:r>
          <w:r>
            <w:rPr>
              <w:rFonts w:ascii="宋体" w:hAnsi="宋体"/>
              <w:color w:val="auto"/>
              <w:sz w:val="32"/>
              <w:szCs w:val="32"/>
            </w:rPr>
            <w:t>（一）</w:t>
          </w:r>
          <w:r>
            <w:rPr>
              <w:rFonts w:hint="eastAsia" w:ascii="宋体" w:hAnsi="宋体"/>
              <w:color w:val="auto"/>
              <w:sz w:val="32"/>
              <w:szCs w:val="32"/>
            </w:rPr>
            <w:t>公务接待费变化情况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_Toc10802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hint="eastAsia" w:ascii="宋体" w:hAnsi="宋体" w:eastAsia="宋体"/>
              <w:color w:val="auto"/>
              <w:sz w:val="32"/>
              <w:szCs w:val="32"/>
              <w:lang w:val="en-US" w:eastAsia="zh-CN"/>
            </w:rPr>
          </w:pPr>
          <w:r>
            <w:rPr>
              <w:color w:val="auto"/>
            </w:rPr>
            <w:fldChar w:fldCharType="begin"/>
          </w:r>
          <w:r>
            <w:rPr>
              <w:color w:val="auto"/>
            </w:rPr>
            <w:instrText xml:space="preserve"> HYPERLINK \l "_Toc17768" </w:instrText>
          </w:r>
          <w:r>
            <w:rPr>
              <w:color w:val="auto"/>
            </w:rPr>
            <w:fldChar w:fldCharType="separate"/>
          </w:r>
          <w:r>
            <w:rPr>
              <w:rFonts w:ascii="宋体" w:hAnsi="宋体"/>
              <w:color w:val="auto"/>
              <w:sz w:val="32"/>
              <w:szCs w:val="32"/>
            </w:rPr>
            <w:t>（</w:t>
          </w:r>
          <w:r>
            <w:rPr>
              <w:rFonts w:hint="eastAsia" w:ascii="宋体" w:hAnsi="宋体"/>
              <w:color w:val="auto"/>
              <w:sz w:val="32"/>
              <w:szCs w:val="32"/>
            </w:rPr>
            <w:t>二</w:t>
          </w:r>
          <w:r>
            <w:rPr>
              <w:rFonts w:ascii="宋体" w:hAnsi="宋体"/>
              <w:color w:val="auto"/>
              <w:sz w:val="32"/>
              <w:szCs w:val="32"/>
            </w:rPr>
            <w:t>）</w:t>
          </w:r>
          <w:r>
            <w:rPr>
              <w:rFonts w:hint="eastAsia" w:ascii="宋体" w:hAnsi="宋体"/>
              <w:color w:val="auto"/>
              <w:sz w:val="32"/>
              <w:szCs w:val="32"/>
            </w:rPr>
            <w:t>公务用车购置及运行维护费变化情况</w:t>
          </w:r>
          <w:r>
            <w:rPr>
              <w:rFonts w:ascii="宋体" w:hAnsi="宋体"/>
              <w:color w:val="auto"/>
              <w:sz w:val="32"/>
              <w:szCs w:val="32"/>
            </w:rPr>
            <w:tab/>
          </w:r>
          <w:r>
            <w:rPr>
              <w:rFonts w:hint="eastAsia" w:ascii="宋体" w:hAnsi="宋体" w:eastAsia="宋体"/>
              <w:color w:val="auto"/>
              <w:sz w:val="32"/>
              <w:szCs w:val="32"/>
              <w:lang w:val="en-US" w:eastAsia="zh-CN"/>
            </w:rPr>
            <w:t>1</w:t>
          </w:r>
          <w:r>
            <w:rPr>
              <w:rFonts w:ascii="宋体" w:hAnsi="宋体"/>
              <w:color w:val="auto"/>
              <w:sz w:val="32"/>
              <w:szCs w:val="32"/>
            </w:rPr>
            <w:fldChar w:fldCharType="end"/>
          </w:r>
          <w:r>
            <w:rPr>
              <w:rFonts w:hint="eastAsia" w:ascii="宋体" w:hAnsi="宋体" w:eastAsia="宋体"/>
              <w:color w:val="auto"/>
              <w:sz w:val="32"/>
              <w:szCs w:val="32"/>
              <w:lang w:val="en-US" w:eastAsia="zh-CN"/>
            </w:rPr>
            <w:t>1</w:t>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"_Toc2610" </w:instrText>
          </w:r>
          <w:r>
            <w:rPr>
              <w:color w:val="auto"/>
            </w:rPr>
            <w:fldChar w:fldCharType="separate"/>
          </w:r>
          <w:r>
            <w:rPr>
              <w:rFonts w:hint="eastAsia" w:ascii="宋体" w:hAnsi="宋体" w:eastAsia="黑体"/>
              <w:color w:val="auto"/>
              <w:sz w:val="32"/>
              <w:szCs w:val="32"/>
            </w:rPr>
            <w:t>六、政府性基金预算支出情况说明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_Toc2610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"_Toc17731" </w:instrText>
          </w:r>
          <w:r>
            <w:rPr>
              <w:color w:val="auto"/>
            </w:rPr>
            <w:fldChar w:fldCharType="separate"/>
          </w:r>
          <w:r>
            <w:rPr>
              <w:rFonts w:hint="eastAsia" w:ascii="宋体" w:hAnsi="宋体" w:eastAsia="黑体"/>
              <w:color w:val="auto"/>
              <w:sz w:val="32"/>
              <w:szCs w:val="32"/>
            </w:rPr>
            <w:t>七、国有资本经营预算情况说明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_Toc17731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"_Toc20919" </w:instrText>
          </w:r>
          <w:r>
            <w:rPr>
              <w:color w:val="auto"/>
            </w:rPr>
            <w:fldChar w:fldCharType="separate"/>
          </w:r>
          <w:r>
            <w:rPr>
              <w:rFonts w:hint="eastAsia" w:ascii="宋体" w:hAnsi="宋体" w:eastAsia="黑体"/>
              <w:color w:val="auto"/>
              <w:sz w:val="32"/>
              <w:szCs w:val="32"/>
            </w:rPr>
            <w:t>八、其他重要事项的情况说明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_Toc20919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"_Toc9621" </w:instrText>
          </w:r>
          <w:r>
            <w:rPr>
              <w:color w:val="auto"/>
            </w:rPr>
            <w:fldChar w:fldCharType="separate"/>
          </w:r>
          <w:r>
            <w:rPr>
              <w:rFonts w:ascii="宋体" w:hAnsi="宋体"/>
              <w:color w:val="auto"/>
              <w:sz w:val="32"/>
              <w:szCs w:val="32"/>
            </w:rPr>
            <w:t>（一）机关运行经费情况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_Toc9621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"_Toc26552" </w:instrText>
          </w:r>
          <w:r>
            <w:rPr>
              <w:color w:val="auto"/>
            </w:rPr>
            <w:fldChar w:fldCharType="separate"/>
          </w:r>
          <w:r>
            <w:rPr>
              <w:rFonts w:ascii="宋体" w:hAnsi="宋体"/>
              <w:color w:val="auto"/>
              <w:sz w:val="32"/>
              <w:szCs w:val="32"/>
            </w:rPr>
            <w:t>（二）政府采购情况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_Toc26552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"_Toc11208" </w:instrText>
          </w:r>
          <w:r>
            <w:rPr>
              <w:color w:val="auto"/>
            </w:rPr>
            <w:fldChar w:fldCharType="separate"/>
          </w:r>
          <w:r>
            <w:rPr>
              <w:rFonts w:ascii="宋体" w:hAnsi="宋体"/>
              <w:color w:val="auto"/>
              <w:sz w:val="32"/>
              <w:szCs w:val="32"/>
            </w:rPr>
            <w:t>（三）国有资产占有使用情况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_Toc11208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"_Toc13599" </w:instrText>
          </w:r>
          <w:r>
            <w:rPr>
              <w:color w:val="auto"/>
            </w:rPr>
            <w:fldChar w:fldCharType="separate"/>
          </w:r>
          <w:r>
            <w:rPr>
              <w:rFonts w:hint="eastAsia" w:ascii="宋体" w:hAnsi="宋体"/>
              <w:color w:val="auto"/>
              <w:sz w:val="32"/>
              <w:szCs w:val="32"/>
            </w:rPr>
            <w:t>（四）</w:t>
          </w:r>
          <w:r>
            <w:rPr>
              <w:rFonts w:ascii="宋体" w:hAnsi="宋体"/>
              <w:color w:val="auto"/>
              <w:sz w:val="32"/>
              <w:szCs w:val="32"/>
            </w:rPr>
            <w:t>预算绩效情况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_Toc13599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rPr>
          </w:pPr>
          <w:r>
            <w:rPr>
              <w:color w:val="auto"/>
            </w:rPr>
            <w:fldChar w:fldCharType="begin"/>
          </w:r>
          <w:r>
            <w:rPr>
              <w:color w:val="auto"/>
            </w:rPr>
            <w:instrText xml:space="preserve"> HYPERLINK \l "_Toc31157" </w:instrText>
          </w:r>
          <w:r>
            <w:rPr>
              <w:color w:val="auto"/>
            </w:rPr>
            <w:fldChar w:fldCharType="separate"/>
          </w:r>
          <w:r>
            <w:rPr>
              <w:rFonts w:hint="eastAsia" w:ascii="宋体" w:hAnsi="宋体" w:eastAsia="方正小标宋简体" w:cs="方正小标宋简体"/>
              <w:color w:val="auto"/>
              <w:sz w:val="32"/>
              <w:szCs w:val="32"/>
            </w:rPr>
            <w:t>第四部分  名词解释</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_Toc31157 \h </w:instrText>
          </w:r>
          <w:r>
            <w:rPr>
              <w:rFonts w:ascii="宋体" w:hAnsi="宋体"/>
              <w:color w:val="auto"/>
              <w:sz w:val="32"/>
              <w:szCs w:val="32"/>
            </w:rPr>
            <w:fldChar w:fldCharType="separate"/>
          </w:r>
          <w:r>
            <w:rPr>
              <w:rFonts w:ascii="宋体" w:hAnsi="宋体"/>
              <w:color w:val="auto"/>
              <w:sz w:val="32"/>
              <w:szCs w:val="32"/>
            </w:rPr>
            <w:t>14</w:t>
          </w:r>
          <w:r>
            <w:rPr>
              <w:rFonts w:ascii="宋体" w:hAnsi="宋体"/>
              <w:color w:val="auto"/>
              <w:sz w:val="32"/>
              <w:szCs w:val="32"/>
            </w:rPr>
            <w:fldChar w:fldCharType="end"/>
          </w:r>
          <w:r>
            <w:rPr>
              <w:rFonts w:ascii="宋体" w:hAnsi="宋体"/>
              <w:color w:val="auto"/>
              <w:sz w:val="32"/>
              <w:szCs w:val="32"/>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24981"/>
      <w:r>
        <w:rPr>
          <w:rFonts w:hint="eastAsia" w:ascii="宋体" w:hAnsi="宋体" w:eastAsia="方正小标宋简体" w:cs="方正小标宋简体"/>
          <w:b/>
          <w:bCs/>
          <w:color w:val="auto"/>
          <w:sz w:val="52"/>
          <w:szCs w:val="52"/>
          <w:lang w:val="en-US"/>
        </w:rPr>
        <w:t>部门概况</w:t>
      </w:r>
      <w:bookmarkEnd w:id="0"/>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5"/>
        <w:spacing w:before="40" w:after="120" w:afterLines="50"/>
        <w:ind w:firstLine="640" w:firstLineChars="200"/>
        <w:outlineLvl w:val="1"/>
        <w:rPr>
          <w:rFonts w:ascii="宋体" w:hAnsi="宋体" w:eastAsia="黑体"/>
          <w:color w:val="auto"/>
        </w:rPr>
      </w:pPr>
      <w:bookmarkStart w:id="1" w:name="_Toc977"/>
      <w:r>
        <w:rPr>
          <w:rFonts w:hint="eastAsia" w:ascii="宋体" w:hAnsi="宋体" w:eastAsia="黑体"/>
          <w:color w:val="auto"/>
        </w:rPr>
        <w:t>一、基本职能及主要工作</w:t>
      </w:r>
      <w:bookmarkEnd w:id="1"/>
    </w:p>
    <w:p>
      <w:pPr>
        <w:pStyle w:val="4"/>
        <w:spacing w:before="100" w:after="120" w:afterLines="50"/>
        <w:ind w:left="0" w:firstLine="964" w:firstLineChars="300"/>
        <w:rPr>
          <w:rFonts w:ascii="宋体" w:hAnsi="宋体"/>
          <w:color w:val="auto"/>
        </w:rPr>
      </w:pPr>
      <w:bookmarkStart w:id="2" w:name="_Toc5540"/>
      <w:r>
        <w:rPr>
          <w:rFonts w:ascii="宋体" w:hAnsi="宋体"/>
          <w:color w:val="auto"/>
        </w:rPr>
        <w:t>（一）部门职能简介</w:t>
      </w:r>
      <w:bookmarkEnd w:id="2"/>
    </w:p>
    <w:p>
      <w:pPr>
        <w:snapToGrid w:val="0"/>
        <w:spacing w:line="520" w:lineRule="exact"/>
        <w:ind w:firstLine="640" w:firstLineChars="200"/>
        <w:rPr>
          <w:color w:val="auto"/>
        </w:rPr>
      </w:pPr>
      <w:r>
        <w:rPr>
          <w:rFonts w:hint="eastAsia" w:ascii="仿宋_GB2312" w:hAnsi="仿宋" w:eastAsia="仿宋_GB2312"/>
          <w:color w:val="auto"/>
          <w:sz w:val="32"/>
          <w:szCs w:val="32"/>
        </w:rPr>
        <w:t>1．主要职能。</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bookmarkStart w:id="3" w:name="_Toc29132"/>
      <w:r>
        <w:rPr>
          <w:rFonts w:hint="eastAsia" w:ascii="仿宋_GB2312" w:hAnsi="仿宋_GB2312" w:eastAsia="仿宋_GB2312" w:cs="仿宋_GB2312"/>
          <w:color w:val="auto"/>
          <w:sz w:val="32"/>
        </w:rPr>
        <w:t>.主要负责宣传国家文化方针、政策和法令,开展文化科学知识的普及宣传。</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积极发挥公共文化服务主阵地作用，负责组织开展音乐、舞蹈、文学、戏曲、美术、书法、摄影等各类群众文化活动；通过举办各类展览、讲座、培训等，普及科学文化知识，开展社会教育，促进精神文明建设。</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.开展流动文化服务，负责指导群众业余文艺团队建设，辅导和培训群众文艺骨干、指导群众文艺创作，开展群众文化工作理论研究。</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.负责指导下镇级综合文化站、村（社区）文化服务中心工作，培训文艺骨干和文艺积极分子，配送文化资源和文化服务。</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.负责收集、整理、研究非物质文化遗产，开展非物质文化遗产的普查、展示、宣传活动，指导传承人开展传习活动。</w:t>
      </w:r>
    </w:p>
    <w:p>
      <w:pPr>
        <w:numPr>
          <w:ilvl w:val="0"/>
          <w:numId w:val="2"/>
        </w:numPr>
        <w:spacing w:line="580" w:lineRule="exact"/>
        <w:ind w:left="1525" w:leftChars="0" w:hanging="425" w:firstLineChars="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.积极建设公共文化服务网络，开展数字化信息服务。</w:t>
      </w:r>
    </w:p>
    <w:p>
      <w:pPr>
        <w:numPr>
          <w:ilvl w:val="0"/>
          <w:numId w:val="2"/>
        </w:numPr>
        <w:spacing w:line="580" w:lineRule="exact"/>
        <w:ind w:left="1525" w:leftChars="0" w:hanging="425" w:firstLineChars="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rPr>
        <w:t>.负责为群众文娱活动提供免费场所、信息和资料。</w:t>
      </w:r>
    </w:p>
    <w:p>
      <w:pPr>
        <w:snapToGrid w:val="0"/>
        <w:spacing w:line="520" w:lineRule="exact"/>
        <w:ind w:firstLine="640" w:firstLineChars="200"/>
        <w:rPr>
          <w:rFonts w:ascii="仿宋_GB2312" w:hAnsi="仿宋" w:eastAsia="仿宋_GB2312"/>
          <w:color w:val="auto"/>
          <w:sz w:val="32"/>
          <w:szCs w:val="32"/>
        </w:rPr>
      </w:pPr>
      <w:r>
        <w:rPr>
          <w:rFonts w:hint="eastAsia" w:ascii="仿宋_GB2312" w:hAnsi="仿宋" w:eastAsia="仿宋_GB2312" w:cs="宋体"/>
          <w:color w:val="auto"/>
          <w:sz w:val="32"/>
          <w:szCs w:val="32"/>
          <w:lang w:val="en-US" w:eastAsia="zh-CN"/>
        </w:rPr>
        <w:t>2</w:t>
      </w:r>
      <w:r>
        <w:rPr>
          <w:rFonts w:hint="eastAsia" w:ascii="仿宋_GB2312" w:hAnsi="仿宋" w:eastAsia="仿宋_GB2312" w:cs="宋体"/>
          <w:color w:val="auto"/>
          <w:sz w:val="32"/>
          <w:szCs w:val="32"/>
        </w:rPr>
        <w:t>．人员情况</w:t>
      </w:r>
      <w:r>
        <w:rPr>
          <w:rFonts w:hint="eastAsia" w:ascii="仿宋_GB2312" w:hAnsi="仿宋" w:eastAsia="仿宋_GB2312"/>
          <w:color w:val="auto"/>
          <w:sz w:val="32"/>
          <w:szCs w:val="32"/>
        </w:rPr>
        <w:t>。</w:t>
      </w:r>
    </w:p>
    <w:p>
      <w:pPr>
        <w:pStyle w:val="5"/>
        <w:adjustRightInd w:val="0"/>
        <w:snapToGrid w:val="0"/>
        <w:spacing w:before="72" w:line="600" w:lineRule="exact"/>
        <w:ind w:firstLine="960" w:firstLineChars="300"/>
        <w:outlineLvl w:val="2"/>
        <w:rPr>
          <w:rFonts w:hint="default"/>
          <w:color w:val="auto"/>
          <w:lang w:val="en-US"/>
        </w:rPr>
      </w:pPr>
      <w:r>
        <w:rPr>
          <w:rFonts w:hint="eastAsia" w:hAnsi="仿宋" w:cs="Times New Roman"/>
          <w:color w:val="auto"/>
          <w:kern w:val="2"/>
          <w:sz w:val="32"/>
          <w:szCs w:val="32"/>
          <w:lang w:val="en-US" w:eastAsia="zh-CN" w:bidi="ar-SA"/>
        </w:rPr>
        <w:t>共核定</w:t>
      </w:r>
      <w:r>
        <w:rPr>
          <w:rFonts w:hint="eastAsia" w:ascii="仿宋_GB2312" w:hAnsi="仿宋" w:eastAsia="仿宋_GB2312" w:cs="Times New Roman"/>
          <w:color w:val="auto"/>
          <w:kern w:val="2"/>
          <w:sz w:val="32"/>
          <w:szCs w:val="32"/>
          <w:lang w:val="en-US" w:eastAsia="zh-CN" w:bidi="ar-SA"/>
        </w:rPr>
        <w:t>事业编制7人，</w:t>
      </w:r>
      <w:r>
        <w:rPr>
          <w:rFonts w:hint="eastAsia" w:hAnsi="仿宋" w:cs="Times New Roman"/>
          <w:color w:val="auto"/>
          <w:kern w:val="2"/>
          <w:sz w:val="32"/>
          <w:szCs w:val="32"/>
          <w:lang w:val="en-US" w:eastAsia="zh-CN" w:bidi="ar-SA"/>
        </w:rPr>
        <w:t>目前</w:t>
      </w:r>
      <w:r>
        <w:rPr>
          <w:rFonts w:hint="eastAsia" w:ascii="仿宋_GB2312" w:hAnsi="仿宋" w:eastAsia="仿宋_GB2312" w:cs="Times New Roman"/>
          <w:color w:val="auto"/>
          <w:kern w:val="2"/>
          <w:sz w:val="32"/>
          <w:szCs w:val="32"/>
          <w:lang w:val="en-US" w:eastAsia="zh-CN" w:bidi="ar-SA"/>
        </w:rPr>
        <w:t>在职</w:t>
      </w:r>
      <w:r>
        <w:rPr>
          <w:rFonts w:hint="eastAsia" w:hAnsi="仿宋" w:cs="Times New Roman"/>
          <w:color w:val="auto"/>
          <w:kern w:val="2"/>
          <w:sz w:val="32"/>
          <w:szCs w:val="32"/>
          <w:lang w:val="en-US" w:eastAsia="zh-CN" w:bidi="ar-SA"/>
        </w:rPr>
        <w:t>5</w:t>
      </w:r>
      <w:r>
        <w:rPr>
          <w:rFonts w:hint="eastAsia" w:ascii="仿宋_GB2312" w:hAnsi="仿宋" w:eastAsia="仿宋_GB2312" w:cs="Times New Roman"/>
          <w:color w:val="auto"/>
          <w:kern w:val="2"/>
          <w:sz w:val="32"/>
          <w:szCs w:val="32"/>
          <w:lang w:val="en-US" w:eastAsia="zh-CN" w:bidi="ar-SA"/>
        </w:rPr>
        <w:t>人</w:t>
      </w:r>
      <w:r>
        <w:rPr>
          <w:rFonts w:hint="eastAsia" w:hAnsi="仿宋" w:cs="Times New Roman"/>
          <w:color w:val="auto"/>
          <w:kern w:val="2"/>
          <w:sz w:val="32"/>
          <w:szCs w:val="32"/>
          <w:lang w:val="en-US" w:eastAsia="zh-CN" w:bidi="ar-SA"/>
        </w:rPr>
        <w:t>（专业技术人员5人，管理人员0人）</w:t>
      </w:r>
    </w:p>
    <w:p>
      <w:pPr>
        <w:pStyle w:val="4"/>
        <w:spacing w:before="190"/>
        <w:ind w:left="0" w:firstLine="964" w:firstLineChars="300"/>
        <w:rPr>
          <w:rFonts w:ascii="宋体" w:hAnsi="宋体"/>
          <w:color w:val="auto"/>
        </w:rPr>
      </w:pPr>
    </w:p>
    <w:p>
      <w:pPr>
        <w:pStyle w:val="4"/>
        <w:spacing w:before="190"/>
        <w:ind w:left="0" w:firstLine="964" w:firstLineChars="300"/>
        <w:rPr>
          <w:rFonts w:hint="eastAsia"/>
          <w:color w:val="auto"/>
          <w:sz w:val="30"/>
          <w:szCs w:val="30"/>
        </w:rPr>
      </w:pPr>
      <w:r>
        <w:rPr>
          <w:rFonts w:ascii="宋体" w:hAnsi="宋体"/>
          <w:color w:val="auto"/>
        </w:rPr>
        <w:t>（二）部门</w:t>
      </w:r>
      <w:r>
        <w:rPr>
          <w:rFonts w:hint="eastAsia" w:ascii="宋体" w:hAnsi="宋体"/>
          <w:color w:val="auto"/>
          <w:lang w:val="en-US" w:eastAsia="zh-CN"/>
        </w:rPr>
        <w:t>2024</w:t>
      </w:r>
      <w:r>
        <w:rPr>
          <w:rFonts w:ascii="宋体" w:hAnsi="宋体"/>
          <w:color w:val="auto"/>
        </w:rPr>
        <w:t>年重点工</w:t>
      </w:r>
      <w:r>
        <w:rPr>
          <w:rFonts w:hint="eastAsia" w:ascii="宋体" w:hAnsi="宋体"/>
          <w:color w:val="auto"/>
        </w:rPr>
        <w:t>作</w:t>
      </w:r>
      <w:bookmarkEnd w:id="3"/>
      <w:bookmarkStart w:id="4" w:name="_Toc30432"/>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开展“五桥逸韵”免费培训班，计划公益性文化艺术类培训项目100课时。课程包含：声乐、舞蹈、书法、国画、素描、工笔画、器乐等。</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开展“通材讲堂”系利公益讲座，计划全年举办8场。内容涉及:传统文化、历史、革命传统、地方文化、民俗文化、文学艺术等活动。</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开展公益性文化活动20场。内容涉及：送文化下乡下基层、音乐辅导进校园进社区、基层文化骨干业务辅导、文化演出活动、开展书画、非遗等展览活动、开展流动文化服务。</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在文体旅游局牵头下开展</w:t>
      </w:r>
      <w:r>
        <w:rPr>
          <w:rFonts w:hint="eastAsia" w:ascii="仿宋_GB2312" w:hAnsi="仿宋_GB2312" w:eastAsia="仿宋_GB2312" w:cs="仿宋_GB2312"/>
          <w:b w:val="0"/>
          <w:bCs w:val="0"/>
          <w:color w:val="auto"/>
          <w:sz w:val="32"/>
          <w:szCs w:val="32"/>
          <w:lang w:val="en-US" w:eastAsia="zh-CN"/>
        </w:rPr>
        <w:t>筹办第21届龙舟会，组织龙舟竞技赛、工BA篮球赛、羽毛球赛、歌手大赛、焰火表演、河灯祈福及汉服秀等七大系列活动。</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cs="仿宋_GB2312"/>
          <w:b w:val="0"/>
          <w:bCs w:val="0"/>
          <w:color w:val="auto"/>
          <w:sz w:val="32"/>
          <w:szCs w:val="32"/>
          <w:lang w:val="en-US" w:eastAsia="zh-CN"/>
        </w:rPr>
        <w:t>在文体旅游局的牵头下</w:t>
      </w:r>
      <w:r>
        <w:rPr>
          <w:rFonts w:hint="eastAsia" w:ascii="仿宋_GB2312" w:hAnsi="仿宋_GB2312" w:eastAsia="仿宋_GB2312" w:cs="仿宋_GB2312"/>
          <w:b w:val="0"/>
          <w:bCs w:val="0"/>
          <w:color w:val="auto"/>
          <w:sz w:val="32"/>
          <w:szCs w:val="32"/>
          <w:lang w:val="en-US" w:eastAsia="zh-CN"/>
        </w:rPr>
        <w:t>组织“盐续千年 桥通五洲”—2025年五通桥区“践行十爱 德耀嘉州”元旦春节系列文体活动。</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开展群众汇报演出，为“五桥逸韵”免费培训班的学员提供展示的平台，把所学、所获通过文艺汇报的形式进行舞台展示。</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开展小西湖之秋系列文化活动“自然音乐会”，以菩提山根书馆为背景，音乐爱好者运用巧妙的表现手法与自然环境融为一体，通过中国传统乐器的演奏呈现出画面和场景的清新唯美，结合线上、线下的方式进行表演。</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保障文化馆场地全年免费开放，为到馆人员提供免费场地，并提供相应的文艺指导和帮助。</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完成上级指派的相应文艺活动任务，为全区的企事业单位提供文艺指导。</w:t>
      </w:r>
    </w:p>
    <w:p>
      <w:pPr>
        <w:pStyle w:val="5"/>
        <w:numPr>
          <w:ilvl w:val="0"/>
          <w:numId w:val="3"/>
        </w:numPr>
        <w:adjustRightInd w:val="0"/>
        <w:snapToGrid w:val="0"/>
        <w:spacing w:before="72" w:line="600" w:lineRule="exact"/>
        <w:ind w:left="1525" w:leftChars="0" w:hanging="425" w:firstLineChars="0"/>
        <w:outlineLvl w:val="2"/>
        <w:rPr>
          <w:rFonts w:hint="eastAsia" w:hAnsi="仿宋" w:cs="Times New Roman"/>
          <w:color w:val="auto"/>
          <w:kern w:val="2"/>
          <w:sz w:val="32"/>
          <w:szCs w:val="32"/>
          <w:lang w:val="en-US" w:eastAsia="zh-CN" w:bidi="ar-SA"/>
        </w:rPr>
      </w:pPr>
      <w:r>
        <w:rPr>
          <w:rFonts w:hint="eastAsia" w:hAnsi="仿宋" w:cs="Times New Roman"/>
          <w:color w:val="auto"/>
          <w:kern w:val="2"/>
          <w:sz w:val="32"/>
          <w:szCs w:val="32"/>
          <w:lang w:val="en-US" w:eastAsia="zh-CN" w:bidi="ar-SA"/>
        </w:rPr>
        <w:t>完成业务用房小型修缮及零星业务设备更新；推动文化馆数字化进一步建设。</w:t>
      </w:r>
    </w:p>
    <w:p>
      <w:pPr>
        <w:pStyle w:val="5"/>
        <w:spacing w:before="40" w:after="120" w:afterLines="50"/>
        <w:ind w:firstLine="640" w:firstLineChars="200"/>
        <w:outlineLvl w:val="1"/>
        <w:rPr>
          <w:rFonts w:ascii="宋体" w:hAnsi="宋体" w:eastAsia="黑体"/>
          <w:color w:val="auto"/>
        </w:rPr>
      </w:pPr>
      <w:r>
        <w:rPr>
          <w:rFonts w:hint="eastAsia" w:ascii="宋体" w:hAnsi="宋体" w:eastAsia="黑体"/>
          <w:color w:val="auto"/>
        </w:rPr>
        <w:t>二、部门预算单位构成</w:t>
      </w:r>
      <w:bookmarkEnd w:id="4"/>
    </w:p>
    <w:p>
      <w:pPr>
        <w:ind w:firstLine="640" w:firstLineChars="200"/>
        <w:rPr>
          <w:rFonts w:hint="eastAsia" w:ascii="仿宋_GB2312" w:hAnsi="仿宋" w:eastAsia="仿宋_GB2312" w:cs="仿宋_GB2312"/>
          <w:color w:val="auto"/>
          <w:sz w:val="32"/>
          <w:szCs w:val="32"/>
          <w:lang w:val="en-US" w:eastAsia="zh-CN"/>
        </w:rPr>
      </w:pPr>
      <w:r>
        <w:rPr>
          <w:rFonts w:hint="eastAsia" w:ascii="仿宋_GB2312" w:hAnsi="仿宋" w:eastAsia="仿宋_GB2312" w:cs="仿宋_GB2312"/>
          <w:color w:val="auto"/>
          <w:sz w:val="32"/>
          <w:szCs w:val="32"/>
        </w:rPr>
        <w:t>本单位为四川省乐山市五通桥区文化馆所属一级预算单位</w:t>
      </w:r>
      <w:r>
        <w:rPr>
          <w:rFonts w:hint="eastAsia" w:ascii="仿宋_GB2312" w:hAnsi="仿宋" w:eastAsia="仿宋_GB2312" w:cs="仿宋_GB2312"/>
          <w:color w:val="auto"/>
          <w:sz w:val="32"/>
          <w:szCs w:val="32"/>
          <w:lang w:val="en-US" w:eastAsia="zh-CN"/>
        </w:rPr>
        <w:t>,</w:t>
      </w:r>
      <w:r>
        <w:rPr>
          <w:rFonts w:hint="eastAsia" w:ascii="仿宋_GB2312" w:hAnsi="仿宋" w:eastAsia="仿宋_GB2312" w:cs="仿宋_GB2312"/>
          <w:color w:val="auto"/>
          <w:sz w:val="32"/>
          <w:szCs w:val="32"/>
        </w:rPr>
        <w:t>单位性质为</w:t>
      </w:r>
      <w:r>
        <w:rPr>
          <w:rFonts w:hint="eastAsia" w:ascii="仿宋_GB2312" w:hAnsi="仿宋" w:eastAsia="仿宋_GB2312" w:cs="仿宋_GB2312"/>
          <w:color w:val="auto"/>
          <w:sz w:val="32"/>
          <w:szCs w:val="32"/>
          <w:lang w:eastAsia="zh-CN"/>
        </w:rPr>
        <w:t>公益一类事业</w:t>
      </w:r>
      <w:r>
        <w:rPr>
          <w:rFonts w:hint="eastAsia" w:ascii="仿宋_GB2312" w:hAnsi="仿宋" w:eastAsia="仿宋_GB2312" w:cs="仿宋_GB2312"/>
          <w:color w:val="auto"/>
          <w:sz w:val="32"/>
          <w:szCs w:val="32"/>
        </w:rPr>
        <w:t>单位</w:t>
      </w:r>
      <w:r>
        <w:rPr>
          <w:rFonts w:hint="eastAsia" w:ascii="仿宋_GB2312" w:hAnsi="仿宋" w:eastAsia="仿宋_GB2312" w:cs="仿宋_GB2312"/>
          <w:color w:val="auto"/>
          <w:sz w:val="32"/>
          <w:szCs w:val="32"/>
          <w:lang w:eastAsia="zh-CN"/>
        </w:rPr>
        <w:t>。</w:t>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4"/>
        </w:numPr>
        <w:jc w:val="center"/>
        <w:outlineLvl w:val="0"/>
        <w:rPr>
          <w:rFonts w:ascii="宋体" w:hAnsi="宋体" w:eastAsia="方正小标宋简体" w:cs="方正小标宋简体"/>
          <w:b/>
          <w:bCs/>
          <w:color w:val="auto"/>
          <w:sz w:val="52"/>
          <w:szCs w:val="52"/>
          <w:lang w:val="en-US"/>
        </w:rPr>
      </w:pPr>
      <w:bookmarkStart w:id="5" w:name="_Toc28587"/>
      <w:r>
        <w:rPr>
          <w:rFonts w:hint="eastAsia" w:ascii="宋体" w:hAnsi="宋体" w:eastAsia="方正小标宋简体" w:cs="方正小标宋简体"/>
          <w:b/>
          <w:bCs/>
          <w:color w:val="auto"/>
          <w:sz w:val="52"/>
          <w:szCs w:val="52"/>
          <w:lang w:val="en-US"/>
        </w:rPr>
        <w:t>乐山市五通桥区文化馆202</w:t>
      </w:r>
      <w:r>
        <w:rPr>
          <w:rFonts w:hint="eastAsia" w:ascii="宋体" w:hAnsi="宋体" w:eastAsia="方正小标宋简体" w:cs="方正小标宋简体"/>
          <w:b/>
          <w:bCs/>
          <w:color w:val="auto"/>
          <w:sz w:val="52"/>
          <w:szCs w:val="52"/>
          <w:lang w:val="en-US" w:eastAsia="zh-CN"/>
        </w:rPr>
        <w:t>4</w:t>
      </w:r>
      <w:r>
        <w:rPr>
          <w:rFonts w:hint="eastAsia" w:ascii="宋体" w:hAnsi="宋体" w:eastAsia="方正小标宋简体" w:cs="方正小标宋简体"/>
          <w:b/>
          <w:bCs/>
          <w:color w:val="auto"/>
          <w:sz w:val="52"/>
          <w:szCs w:val="52"/>
          <w:lang w:val="en-US"/>
        </w:rPr>
        <w:t>年部门预算表</w:t>
      </w:r>
      <w:bookmarkEnd w:id="5"/>
    </w:p>
    <w:p>
      <w:pPr>
        <w:jc w:val="center"/>
        <w:rPr>
          <w:color w:val="auto"/>
          <w:sz w:val="32"/>
          <w:lang w:val="en-US"/>
        </w:rPr>
      </w:pPr>
      <w:r>
        <w:rPr>
          <w:color w:val="auto"/>
        </w:rPr>
        <w:br w:type="page"/>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12069"/>
      <w:r>
        <w:rPr>
          <w:rFonts w:hint="eastAsia" w:ascii="宋体" w:hAnsi="宋体"/>
          <w:color w:val="auto"/>
          <w:sz w:val="32"/>
          <w:lang w:val="en-US"/>
        </w:rPr>
        <w:t>一、部门收支总表（公开表 1）</w:t>
      </w:r>
      <w:bookmarkEnd w:id="6"/>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27995"/>
      <w:r>
        <w:rPr>
          <w:rFonts w:hint="eastAsia" w:ascii="宋体" w:hAnsi="宋体"/>
          <w:color w:val="auto"/>
          <w:sz w:val="32"/>
          <w:lang w:val="en-US"/>
        </w:rPr>
        <w:t>二、部门收入总表（公开表 1-1）</w:t>
      </w:r>
      <w:bookmarkEnd w:id="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3639"/>
      <w:r>
        <w:rPr>
          <w:rFonts w:hint="eastAsia" w:ascii="宋体" w:hAnsi="宋体"/>
          <w:color w:val="auto"/>
          <w:sz w:val="32"/>
          <w:lang w:val="en-US"/>
        </w:rPr>
        <w:t>三、部门支出总表（公开表 1-2）</w:t>
      </w:r>
      <w:bookmarkEnd w:id="8"/>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25815"/>
      <w:r>
        <w:rPr>
          <w:rFonts w:hint="eastAsia" w:ascii="宋体" w:hAnsi="宋体"/>
          <w:color w:val="auto"/>
          <w:sz w:val="32"/>
          <w:lang w:val="en-US"/>
        </w:rPr>
        <w:t>四、财政拨款收支预算总表（公开表 2）</w:t>
      </w:r>
      <w:bookmarkEnd w:id="9"/>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4686"/>
      <w:r>
        <w:rPr>
          <w:rFonts w:hint="eastAsia" w:ascii="宋体" w:hAnsi="宋体"/>
          <w:color w:val="auto"/>
          <w:sz w:val="32"/>
          <w:lang w:val="en-US"/>
        </w:rPr>
        <w:t>五、财政拨款支出预算表（部门经济分类科目）</w:t>
      </w:r>
      <w:bookmarkEnd w:id="10"/>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7952"/>
      <w:r>
        <w:rPr>
          <w:rFonts w:hint="eastAsia" w:ascii="宋体" w:hAnsi="宋体"/>
          <w:color w:val="auto"/>
          <w:sz w:val="32"/>
          <w:lang w:val="en-US"/>
        </w:rPr>
        <w:t>六、一般公共预算支出预算表（公开表 3）</w:t>
      </w:r>
      <w:bookmarkEnd w:id="11"/>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32200"/>
      <w:r>
        <w:rPr>
          <w:rFonts w:hint="eastAsia" w:ascii="宋体" w:hAnsi="宋体"/>
          <w:color w:val="auto"/>
          <w:sz w:val="32"/>
          <w:lang w:val="en-US"/>
        </w:rPr>
        <w:t>七、一般公共预算基本支出预算表（公开表 3-1）</w:t>
      </w:r>
      <w:bookmarkEnd w:id="12"/>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7751"/>
      <w:r>
        <w:rPr>
          <w:rFonts w:hint="eastAsia" w:ascii="宋体" w:hAnsi="宋体"/>
          <w:color w:val="auto"/>
          <w:sz w:val="32"/>
          <w:lang w:val="en-US"/>
        </w:rPr>
        <w:t>八、一般公共预算项目支出预算表（公开表 3-2）</w:t>
      </w:r>
      <w:bookmarkEnd w:id="13"/>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11119"/>
      <w:r>
        <w:rPr>
          <w:rFonts w:hint="eastAsia" w:ascii="宋体" w:hAnsi="宋体"/>
          <w:color w:val="auto"/>
          <w:sz w:val="32"/>
          <w:lang w:val="en-US"/>
        </w:rPr>
        <w:t>九、一般公共预算“三公”经费支出预算表</w:t>
      </w:r>
      <w:bookmarkEnd w:id="14"/>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19211"/>
      <w:r>
        <w:rPr>
          <w:rFonts w:hint="eastAsia" w:ascii="宋体" w:hAnsi="宋体"/>
          <w:color w:val="auto"/>
          <w:sz w:val="32"/>
          <w:lang w:val="en-US"/>
        </w:rPr>
        <w:t>十、政府性基金预算支出表（公开表 4）</w:t>
      </w:r>
      <w:bookmarkEnd w:id="15"/>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7676"/>
      <w:r>
        <w:rPr>
          <w:rFonts w:hint="eastAsia" w:ascii="宋体" w:hAnsi="宋体"/>
          <w:color w:val="auto"/>
          <w:sz w:val="32"/>
          <w:lang w:val="en-US"/>
        </w:rPr>
        <w:t>十一、政府性基金预算“三公”经费支出预算表</w:t>
      </w:r>
      <w:bookmarkEnd w:id="16"/>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22917"/>
      <w:r>
        <w:rPr>
          <w:rFonts w:hint="eastAsia" w:ascii="宋体" w:hAnsi="宋体"/>
          <w:color w:val="auto"/>
          <w:sz w:val="32"/>
          <w:lang w:val="en-US"/>
        </w:rPr>
        <w:t>十二、国有资本经营预算支出表（公开表 5）</w:t>
      </w:r>
      <w:bookmarkEnd w:id="1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27847"/>
      <w:r>
        <w:rPr>
          <w:rFonts w:hint="eastAsia" w:ascii="宋体" w:hAnsi="宋体"/>
          <w:color w:val="auto"/>
          <w:sz w:val="32"/>
          <w:lang w:val="en-US"/>
        </w:rPr>
        <w:t>十三、部门整体支出绩效目标表（公开表 6）</w:t>
      </w:r>
      <w:bookmarkEnd w:id="18"/>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9" w:name="_Toc30878"/>
      <w:r>
        <w:rPr>
          <w:rFonts w:hint="eastAsia" w:ascii="宋体" w:hAnsi="宋体"/>
          <w:color w:val="auto"/>
          <w:sz w:val="32"/>
          <w:lang w:val="en-US"/>
        </w:rPr>
        <w:t>十四、部门预算项目支出绩效目标表（公开表 7）</w:t>
      </w:r>
      <w:bookmarkEnd w:id="19"/>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20" w:name="_Toc32437"/>
      <w:r>
        <w:rPr>
          <w:rFonts w:hint="eastAsia" w:ascii="宋体" w:hAnsi="宋体"/>
          <w:color w:val="auto"/>
          <w:sz w:val="32"/>
          <w:lang w:val="en-US"/>
        </w:rPr>
        <w:t>十五、政府采购预算表（公开表 8）</w:t>
      </w:r>
      <w:bookmarkEnd w:id="20"/>
    </w:p>
    <w:p>
      <w:pPr>
        <w:pStyle w:val="12"/>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21" w:name="_Toc16458"/>
      <w:r>
        <w:rPr>
          <w:rFonts w:hint="eastAsia" w:ascii="宋体" w:hAnsi="宋体"/>
          <w:b/>
          <w:bCs/>
          <w:color w:val="auto"/>
          <w:sz w:val="32"/>
          <w:lang w:val="en-US"/>
        </w:rPr>
        <w:t>以上所有表格详见部门说明后附件。</w:t>
      </w:r>
      <w:bookmarkEnd w:id="21"/>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4"/>
        </w:numPr>
        <w:spacing w:before="6"/>
        <w:jc w:val="center"/>
        <w:outlineLvl w:val="0"/>
        <w:rPr>
          <w:rFonts w:ascii="宋体" w:hAnsi="宋体" w:eastAsia="方正小标宋简体" w:cs="方正小标宋简体"/>
          <w:color w:val="auto"/>
          <w:sz w:val="52"/>
          <w:szCs w:val="52"/>
          <w:lang w:val="en-US"/>
        </w:rPr>
      </w:pPr>
      <w:bookmarkStart w:id="22" w:name="_Toc19948"/>
      <w:r>
        <w:rPr>
          <w:rFonts w:hint="eastAsia" w:ascii="宋体" w:hAnsi="宋体" w:eastAsia="方正小标宋简体" w:cs="方正小标宋简体"/>
          <w:color w:val="auto"/>
          <w:sz w:val="52"/>
          <w:szCs w:val="52"/>
          <w:lang w:val="en-US"/>
        </w:rPr>
        <w:t>乐山市五通桥区文化馆202</w:t>
      </w:r>
      <w:r>
        <w:rPr>
          <w:rFonts w:hint="eastAsia" w:ascii="宋体" w:hAnsi="宋体" w:eastAsia="方正小标宋简体" w:cs="方正小标宋简体"/>
          <w:color w:val="auto"/>
          <w:sz w:val="52"/>
          <w:szCs w:val="52"/>
          <w:lang w:val="en-US" w:eastAsia="zh-CN"/>
        </w:rPr>
        <w:t>4</w:t>
      </w:r>
      <w:r>
        <w:rPr>
          <w:rFonts w:hint="eastAsia" w:ascii="宋体" w:hAnsi="宋体" w:eastAsia="方正小标宋简体" w:cs="方正小标宋简体"/>
          <w:color w:val="auto"/>
          <w:sz w:val="52"/>
          <w:szCs w:val="52"/>
          <w:lang w:val="en-US"/>
        </w:rPr>
        <w:t>年</w:t>
      </w:r>
      <w:bookmarkEnd w:id="22"/>
    </w:p>
    <w:p>
      <w:pPr>
        <w:pStyle w:val="5"/>
        <w:spacing w:before="6"/>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sectPr>
      </w:pPr>
      <w:bookmarkStart w:id="23" w:name="_Toc1047"/>
      <w:r>
        <w:rPr>
          <w:rFonts w:hint="eastAsia" w:ascii="宋体" w:hAnsi="宋体" w:eastAsia="方正小标宋简体" w:cs="方正小标宋简体"/>
          <w:color w:val="auto"/>
          <w:sz w:val="52"/>
          <w:szCs w:val="52"/>
          <w:lang w:val="en-US"/>
        </w:rPr>
        <w:t>部门预算情况说明</w:t>
      </w:r>
      <w:bookmarkEnd w:id="23"/>
    </w:p>
    <w:p>
      <w:pPr>
        <w:pStyle w:val="5"/>
        <w:spacing w:before="40" w:after="120" w:afterLines="50" w:line="360" w:lineRule="auto"/>
        <w:rPr>
          <w:rFonts w:asciiTheme="majorEastAsia" w:hAnsiTheme="majorEastAsia" w:eastAsiaTheme="majorEastAsia"/>
          <w:color w:val="auto"/>
        </w:rPr>
      </w:pP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4" w:name="_Toc1746"/>
      <w:r>
        <w:rPr>
          <w:rFonts w:hint="eastAsia" w:asciiTheme="majorEastAsia" w:hAnsiTheme="majorEastAsia" w:eastAsiaTheme="majorEastAsia"/>
          <w:color w:val="auto"/>
        </w:rPr>
        <w:t>一、收支预算情况说明</w:t>
      </w:r>
    </w:p>
    <w:p>
      <w:pPr>
        <w:pStyle w:val="5"/>
        <w:spacing w:before="300" w:after="120" w:afterLines="5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rPr>
        <w:t>按照综合预算的原则，乐山市五通桥区文化馆所有收入和支出均纳入部门预算管理。收入包括：一般公共预算拨款收入</w:t>
      </w:r>
      <w:r>
        <w:rPr>
          <w:rFonts w:asciiTheme="majorEastAsia" w:hAnsiTheme="majorEastAsia" w:eastAsiaTheme="majorEastAsia"/>
          <w:color w:val="auto"/>
        </w:rPr>
        <w:t xml:space="preserve"> ；支出包括：文化旅游体育与传媒支出、社会保障和就业支出、卫生健康支出、住房保障支出。乐山市五通桥区文化馆202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年收支预算总数</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w:t>
      </w:r>
      <w:r>
        <w:rPr>
          <w:rFonts w:hint="eastAsia" w:asciiTheme="majorEastAsia" w:hAnsiTheme="majorEastAsia" w:eastAsiaTheme="majorEastAsia"/>
          <w:color w:val="auto"/>
          <w:lang w:val="en-US" w:eastAsia="zh-CN"/>
        </w:rPr>
        <w:t>3</w:t>
      </w:r>
      <w:r>
        <w:rPr>
          <w:rFonts w:asciiTheme="majorEastAsia" w:hAnsiTheme="majorEastAsia" w:eastAsiaTheme="majorEastAsia"/>
          <w:color w:val="auto"/>
        </w:rPr>
        <w:t>年收支预算总数67.92万元</w:t>
      </w:r>
      <w:r>
        <w:rPr>
          <w:rFonts w:hint="eastAsia" w:asciiTheme="majorEastAsia" w:hAnsiTheme="majorEastAsia" w:eastAsiaTheme="majorEastAsia"/>
          <w:color w:val="auto"/>
          <w:lang w:val="en-US" w:eastAsia="zh-CN"/>
        </w:rPr>
        <w:t>增加15.35</w:t>
      </w:r>
      <w:r>
        <w:rPr>
          <w:rFonts w:asciiTheme="majorEastAsia" w:hAnsiTheme="majorEastAsia" w:eastAsiaTheme="majorEastAsia"/>
          <w:color w:val="auto"/>
        </w:rPr>
        <w:t>万元。主要原因是</w:t>
      </w:r>
      <w:r>
        <w:rPr>
          <w:rFonts w:hint="eastAsia" w:asciiTheme="majorEastAsia" w:hAnsiTheme="majorEastAsia" w:eastAsiaTheme="majorEastAsia"/>
          <w:color w:val="auto"/>
          <w:lang w:eastAsia="zh-CN"/>
        </w:rPr>
        <w:t>：</w:t>
      </w:r>
      <w:r>
        <w:rPr>
          <w:rFonts w:hint="eastAsia" w:asciiTheme="majorEastAsia" w:hAnsiTheme="majorEastAsia" w:eastAsiaTheme="majorEastAsia"/>
          <w:color w:val="auto"/>
          <w:lang w:val="en-US" w:eastAsia="zh-CN"/>
        </w:rPr>
        <w:t>人员经费、公务经费支出增加。</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（一）收入预算情况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收入预算</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 xml:space="preserve">万元，其中：上年结转0万元，占0%；一般公共预算拨款收入 </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万元,占100%；政府性基金预算拨款收入 0万元,占0%；国有资本经营预算拨款收入 0万元,占0%；事业收入 0万元,占0%；事业单位经营收入 0万元,占0%；其他收入 0万元,占0%；</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（二）支出预算情况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年收入预算</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万元，其中：人员支出</w:t>
      </w:r>
      <w:r>
        <w:rPr>
          <w:rFonts w:hint="eastAsia" w:asciiTheme="majorEastAsia" w:hAnsiTheme="majorEastAsia" w:eastAsiaTheme="majorEastAsia"/>
          <w:color w:val="auto"/>
        </w:rPr>
        <w:t>74</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17</w:t>
      </w:r>
      <w:r>
        <w:rPr>
          <w:rFonts w:asciiTheme="majorEastAsia" w:hAnsiTheme="majorEastAsia" w:eastAsiaTheme="majorEastAsia"/>
          <w:color w:val="auto"/>
        </w:rPr>
        <w:t>万元，日常公用支出</w:t>
      </w:r>
      <w:r>
        <w:rPr>
          <w:rFonts w:hint="eastAsia" w:asciiTheme="majorEastAsia" w:hAnsiTheme="majorEastAsia" w:eastAsiaTheme="majorEastAsia"/>
          <w:color w:val="auto"/>
          <w:lang w:val="en-US" w:eastAsia="zh-CN"/>
        </w:rPr>
        <w:t>7</w:t>
      </w:r>
      <w:r>
        <w:rPr>
          <w:rFonts w:asciiTheme="majorEastAsia" w:hAnsiTheme="majorEastAsia" w:eastAsiaTheme="majorEastAsia"/>
          <w:color w:val="auto"/>
        </w:rPr>
        <w:t>万元，专项（项目）支出2.1万元。</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二、财政拨款收支预算情况说明</w:t>
      </w:r>
    </w:p>
    <w:p>
      <w:pPr>
        <w:pStyle w:val="5"/>
        <w:spacing w:before="300" w:after="120" w:afterLines="5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w:t>
      </w:r>
      <w:r>
        <w:rPr>
          <w:rFonts w:hint="eastAsia" w:asciiTheme="majorEastAsia" w:hAnsiTheme="majorEastAsia" w:eastAsiaTheme="majorEastAsia"/>
          <w:color w:val="auto"/>
          <w:lang w:val="en-US" w:eastAsia="zh-CN"/>
        </w:rPr>
        <w:t>3</w:t>
      </w:r>
      <w:r>
        <w:rPr>
          <w:rFonts w:asciiTheme="majorEastAsia" w:hAnsiTheme="majorEastAsia" w:eastAsiaTheme="majorEastAsia"/>
          <w:color w:val="auto"/>
        </w:rPr>
        <w:t>年财政拨款收支预算总数67.92万元</w:t>
      </w:r>
      <w:r>
        <w:rPr>
          <w:rFonts w:hint="eastAsia" w:asciiTheme="majorEastAsia" w:hAnsiTheme="majorEastAsia" w:eastAsiaTheme="majorEastAsia"/>
          <w:color w:val="auto"/>
          <w:lang w:val="en-US" w:eastAsia="zh-CN"/>
        </w:rPr>
        <w:t>增加15.35</w:t>
      </w:r>
      <w:r>
        <w:rPr>
          <w:rFonts w:asciiTheme="majorEastAsia" w:hAnsiTheme="majorEastAsia" w:eastAsiaTheme="majorEastAsia"/>
          <w:color w:val="auto"/>
        </w:rPr>
        <w:t>万元。主要原因是</w:t>
      </w:r>
      <w:r>
        <w:rPr>
          <w:rFonts w:hint="eastAsia" w:asciiTheme="majorEastAsia" w:hAnsiTheme="majorEastAsia" w:eastAsiaTheme="majorEastAsia"/>
          <w:color w:val="auto"/>
          <w:lang w:eastAsia="zh-CN"/>
        </w:rPr>
        <w:t>：</w:t>
      </w:r>
      <w:r>
        <w:rPr>
          <w:rFonts w:hint="eastAsia" w:asciiTheme="majorEastAsia" w:hAnsiTheme="majorEastAsia" w:eastAsiaTheme="majorEastAsia"/>
          <w:color w:val="auto"/>
          <w:lang w:val="en-US" w:eastAsia="zh-CN"/>
        </w:rPr>
        <w:t>人员经费、公务经费支出增加。</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其中：基本支出81</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17</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97.48</w:t>
      </w:r>
      <w:r>
        <w:rPr>
          <w:rFonts w:asciiTheme="majorEastAsia" w:hAnsiTheme="majorEastAsia" w:eastAsiaTheme="majorEastAsia"/>
          <w:color w:val="auto"/>
        </w:rPr>
        <w:t>%；项目支出2.1万元，占</w:t>
      </w:r>
      <w:r>
        <w:rPr>
          <w:rFonts w:hint="eastAsia" w:asciiTheme="majorEastAsia" w:hAnsiTheme="majorEastAsia" w:eastAsiaTheme="majorEastAsia"/>
          <w:color w:val="auto"/>
          <w:lang w:val="en-US" w:eastAsia="zh-CN"/>
        </w:rPr>
        <w:t>2.52</w:t>
      </w:r>
      <w:r>
        <w:rPr>
          <w:rFonts w:asciiTheme="majorEastAsia" w:hAnsiTheme="majorEastAsia" w:eastAsiaTheme="majorEastAsia"/>
          <w:color w:val="auto"/>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基本支出，是用于保障乐山市五通桥区文化馆正常运转的日常支出，包括基本工资、津贴补贴等人员经费以及办公费、印刷费、水电费、办公设备购置等日常公用经费。</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项目支出，是用于保障乐山市五通桥区文化馆完成</w:t>
      </w:r>
      <w:r>
        <w:rPr>
          <w:rFonts w:hint="eastAsia" w:asciiTheme="majorEastAsia" w:hAnsiTheme="majorEastAsia" w:eastAsiaTheme="majorEastAsia"/>
          <w:color w:val="auto"/>
          <w:lang w:eastAsia="zh-CN"/>
        </w:rPr>
        <w:t>中央规定的文化馆免费开放工作</w:t>
      </w:r>
      <w:r>
        <w:rPr>
          <w:rFonts w:hint="eastAsia" w:asciiTheme="majorEastAsia" w:hAnsiTheme="majorEastAsia" w:eastAsiaTheme="majorEastAsia"/>
          <w:color w:val="auto"/>
        </w:rPr>
        <w:t>，用于专项业务工作的经费支出。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三、一般公共预算当年拨款情况说明</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（一）一般公共预算当年拨款规模变化情况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年一般公共预算当年拨款</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年财政拨款收支预算总数67.92万元</w:t>
      </w:r>
      <w:r>
        <w:rPr>
          <w:rFonts w:hint="eastAsia" w:asciiTheme="majorEastAsia" w:hAnsiTheme="majorEastAsia" w:eastAsiaTheme="majorEastAsia"/>
          <w:color w:val="auto"/>
          <w:lang w:val="en-US" w:eastAsia="zh-CN"/>
        </w:rPr>
        <w:t>增加15.35</w:t>
      </w:r>
      <w:r>
        <w:rPr>
          <w:rFonts w:asciiTheme="majorEastAsia" w:hAnsiTheme="majorEastAsia" w:eastAsiaTheme="majorEastAsia"/>
          <w:color w:val="auto"/>
        </w:rPr>
        <w:t>万元。主要原因是</w:t>
      </w:r>
      <w:r>
        <w:rPr>
          <w:rFonts w:hint="eastAsia" w:asciiTheme="majorEastAsia" w:hAnsiTheme="majorEastAsia" w:eastAsiaTheme="majorEastAsia"/>
          <w:color w:val="auto"/>
          <w:lang w:eastAsia="zh-CN"/>
        </w:rPr>
        <w:t>：</w:t>
      </w:r>
      <w:r>
        <w:rPr>
          <w:rFonts w:hint="eastAsia" w:asciiTheme="majorEastAsia" w:hAnsiTheme="majorEastAsia" w:eastAsiaTheme="majorEastAsia"/>
          <w:color w:val="auto"/>
          <w:lang w:val="en-US" w:eastAsia="zh-CN"/>
        </w:rPr>
        <w:t>人员经费、公务经费支出增加。</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（二）一般公共预算当年拨款结构情况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年一般公共预算支出</w:t>
      </w:r>
      <w:r>
        <w:rPr>
          <w:rFonts w:hint="eastAsia" w:asciiTheme="majorEastAsia" w:hAnsiTheme="majorEastAsia" w:eastAsiaTheme="majorEastAsia"/>
          <w:color w:val="auto"/>
        </w:rPr>
        <w:t>83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27</w:t>
      </w:r>
      <w:r>
        <w:rPr>
          <w:rFonts w:asciiTheme="majorEastAsia" w:hAnsiTheme="majorEastAsia" w:eastAsiaTheme="majorEastAsia"/>
          <w:color w:val="auto"/>
        </w:rPr>
        <w:t>万元，主要包括文化旅游体育与传媒支出</w:t>
      </w:r>
      <w:r>
        <w:rPr>
          <w:rFonts w:hint="eastAsia" w:asciiTheme="majorEastAsia" w:hAnsiTheme="majorEastAsia" w:eastAsiaTheme="majorEastAsia"/>
          <w:color w:val="auto"/>
        </w:rPr>
        <w:t>57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62</w:t>
      </w:r>
      <w:r>
        <w:rPr>
          <w:rFonts w:asciiTheme="majorEastAsia" w:hAnsiTheme="majorEastAsia" w:eastAsiaTheme="majorEastAsia"/>
          <w:color w:val="auto"/>
        </w:rPr>
        <w:t>万元，占69.</w:t>
      </w:r>
      <w:r>
        <w:rPr>
          <w:rFonts w:hint="eastAsia" w:asciiTheme="majorEastAsia" w:hAnsiTheme="majorEastAsia" w:eastAsiaTheme="majorEastAsia"/>
          <w:color w:val="auto"/>
          <w:lang w:val="en-US" w:eastAsia="zh-CN"/>
        </w:rPr>
        <w:t>20</w:t>
      </w:r>
      <w:r>
        <w:rPr>
          <w:rFonts w:asciiTheme="majorEastAsia" w:hAnsiTheme="majorEastAsia" w:eastAsiaTheme="majorEastAsia"/>
          <w:color w:val="auto"/>
        </w:rPr>
        <w:t>%、社会保障和就业支出</w:t>
      </w:r>
      <w:r>
        <w:rPr>
          <w:rFonts w:hint="eastAsia" w:asciiTheme="majorEastAsia" w:hAnsiTheme="majorEastAsia" w:eastAsiaTheme="majorEastAsia"/>
          <w:color w:val="auto"/>
        </w:rPr>
        <w:t>17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54</w:t>
      </w:r>
      <w:r>
        <w:rPr>
          <w:rFonts w:asciiTheme="majorEastAsia" w:hAnsiTheme="majorEastAsia" w:eastAsiaTheme="majorEastAsia"/>
          <w:color w:val="auto"/>
        </w:rPr>
        <w:t>万元，占21.</w:t>
      </w:r>
      <w:r>
        <w:rPr>
          <w:rFonts w:hint="eastAsia" w:asciiTheme="majorEastAsia" w:hAnsiTheme="majorEastAsia" w:eastAsiaTheme="majorEastAsia"/>
          <w:color w:val="auto"/>
          <w:lang w:val="en-US" w:eastAsia="zh-CN"/>
        </w:rPr>
        <w:t>07</w:t>
      </w:r>
      <w:r>
        <w:rPr>
          <w:rFonts w:asciiTheme="majorEastAsia" w:hAnsiTheme="majorEastAsia" w:eastAsiaTheme="majorEastAsia"/>
          <w:color w:val="auto"/>
        </w:rPr>
        <w:t>%、卫生健康支出</w:t>
      </w:r>
      <w:r>
        <w:rPr>
          <w:rFonts w:hint="eastAsia" w:asciiTheme="majorEastAsia" w:hAnsiTheme="majorEastAsia" w:eastAsiaTheme="majorEastAsia"/>
          <w:color w:val="auto"/>
        </w:rPr>
        <w:t>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53</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4.25</w:t>
      </w:r>
      <w:r>
        <w:rPr>
          <w:rFonts w:asciiTheme="majorEastAsia" w:hAnsiTheme="majorEastAsia" w:eastAsiaTheme="majorEastAsia"/>
          <w:color w:val="auto"/>
        </w:rPr>
        <w:t>%、住房保障支出</w:t>
      </w:r>
      <w:r>
        <w:rPr>
          <w:rFonts w:hint="eastAsia" w:asciiTheme="majorEastAsia" w:hAnsiTheme="majorEastAsia" w:eastAsiaTheme="majorEastAsia"/>
          <w:color w:val="auto"/>
        </w:rPr>
        <w:t>4</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57</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5.49</w:t>
      </w:r>
      <w:r>
        <w:rPr>
          <w:rFonts w:asciiTheme="majorEastAsia" w:hAnsiTheme="majorEastAsia" w:eastAsiaTheme="majorEastAsia"/>
          <w:color w:val="auto"/>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（三）一般公共预算当年拨款具体使用情况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1、文化旅游体育与传媒支出（类）文化和旅游（款）群众文化（项）:202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rPr>
        <w:t>57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62</w:t>
      </w:r>
      <w:r>
        <w:rPr>
          <w:rFonts w:asciiTheme="majorEastAsia" w:hAnsiTheme="majorEastAsia" w:eastAsiaTheme="majorEastAsia"/>
          <w:color w:val="auto"/>
        </w:rPr>
        <w:t>万元，主要用于：</w:t>
      </w:r>
      <w:r>
        <w:rPr>
          <w:rFonts w:hint="eastAsia" w:asciiTheme="majorEastAsia" w:hAnsiTheme="majorEastAsia" w:eastAsiaTheme="majorEastAsia"/>
          <w:color w:val="auto"/>
          <w:lang w:val="en-US" w:eastAsia="zh-CN"/>
        </w:rPr>
        <w:t>单位</w:t>
      </w:r>
      <w:r>
        <w:rPr>
          <w:rFonts w:hint="eastAsia" w:asciiTheme="majorEastAsia" w:hAnsiTheme="majorEastAsia" w:eastAsiaTheme="majorEastAsia"/>
          <w:color w:val="auto"/>
          <w:lang w:eastAsia="zh-CN"/>
        </w:rPr>
        <w:t>运行及人员工资等。</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2、住房保障支出（类）住房改革支出（款）住房公积金（项）:202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rPr>
        <w:t>4</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57</w:t>
      </w:r>
      <w:r>
        <w:rPr>
          <w:rFonts w:asciiTheme="majorEastAsia" w:hAnsiTheme="majorEastAsia" w:eastAsiaTheme="majorEastAsia"/>
          <w:color w:val="auto"/>
        </w:rPr>
        <w:t>万元，主要用于：部门按人力资源和社会保障部、财政部规定的基本工资和津贴补贴以及规定比例为职工缴纳的住房公积金支出。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3、社会保障和就业支出（类）行政事业单位养老支出（款）其他行政事业单位养老支出（项）:202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6.64</w:t>
      </w:r>
      <w:r>
        <w:rPr>
          <w:rFonts w:asciiTheme="majorEastAsia" w:hAnsiTheme="majorEastAsia" w:eastAsiaTheme="majorEastAsia"/>
          <w:color w:val="auto"/>
        </w:rPr>
        <w:t>万元，主要用于：退休人员春节慰问费及活动经费等。</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4、社会保障和就业支出（类）行政事业单位养老支出（款）机关事业单位基本养老保险缴费支出（项）:202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年预算数为6.</w:t>
      </w:r>
      <w:r>
        <w:rPr>
          <w:rFonts w:hint="eastAsia" w:asciiTheme="majorEastAsia" w:hAnsiTheme="majorEastAsia" w:eastAsiaTheme="majorEastAsia"/>
          <w:color w:val="auto"/>
          <w:lang w:val="en-US" w:eastAsia="zh-CN"/>
        </w:rPr>
        <w:t>94</w:t>
      </w:r>
      <w:r>
        <w:rPr>
          <w:rFonts w:asciiTheme="majorEastAsia" w:hAnsiTheme="majorEastAsia" w:eastAsiaTheme="majorEastAsia"/>
          <w:color w:val="auto"/>
        </w:rPr>
        <w:t>万元，主要用于：实施养老保险制度后，部门按规定由单位缴纳的基本养老保险费支出。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5、卫生健康支出（类）行政事业单位医疗（款）事业单位医疗（项）:202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2.23</w:t>
      </w:r>
      <w:r>
        <w:rPr>
          <w:rFonts w:asciiTheme="majorEastAsia" w:hAnsiTheme="majorEastAsia" w:eastAsiaTheme="majorEastAsia"/>
          <w:color w:val="auto"/>
        </w:rPr>
        <w:t>万元，主要用于：事业单位基本医疗保险缴费支出。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6、社会保障和就业支出（类）行政事业单位养老支出（款）机关事业单位职业年金缴费支出（项）:202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年预算数为3</w:t>
      </w:r>
      <w:r>
        <w:rPr>
          <w:rFonts w:hint="eastAsia" w:asciiTheme="majorEastAsia" w:hAnsiTheme="majorEastAsia" w:eastAsiaTheme="majorEastAsia"/>
          <w:color w:val="auto"/>
          <w:lang w:val="en-US" w:eastAsia="zh-CN"/>
        </w:rPr>
        <w:t>.47</w:t>
      </w:r>
      <w:r>
        <w:rPr>
          <w:rFonts w:asciiTheme="majorEastAsia" w:hAnsiTheme="majorEastAsia" w:eastAsiaTheme="majorEastAsia"/>
          <w:color w:val="auto"/>
        </w:rPr>
        <w:t>万元，主要用于：实施养老保险制度后，部门按规定由单位缴纳的职业年金支出。</w:t>
      </w:r>
    </w:p>
    <w:p>
      <w:pPr>
        <w:pStyle w:val="5"/>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asciiTheme="majorEastAsia" w:hAnsiTheme="majorEastAsia" w:eastAsiaTheme="majorEastAsia"/>
          <w:color w:val="auto"/>
        </w:rPr>
        <w:t>7、社会保障和就业支出（类）</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（款）</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0.49</w:t>
      </w:r>
      <w:r>
        <w:rPr>
          <w:rFonts w:asciiTheme="majorEastAsia" w:hAnsiTheme="majorEastAsia" w:eastAsiaTheme="majorEastAsia"/>
          <w:color w:val="auto"/>
        </w:rPr>
        <w:t>万元，主要用于：</w:t>
      </w:r>
      <w:r>
        <w:rPr>
          <w:rFonts w:hint="eastAsia" w:asciiTheme="majorEastAsia" w:hAnsiTheme="majorEastAsia" w:eastAsiaTheme="majorEastAsia"/>
          <w:color w:val="auto"/>
          <w:lang w:eastAsia="zh-CN"/>
        </w:rPr>
        <w:t>支付</w:t>
      </w:r>
      <w:r>
        <w:rPr>
          <w:rFonts w:hint="eastAsia" w:asciiTheme="majorEastAsia" w:hAnsiTheme="majorEastAsia" w:eastAsiaTheme="majorEastAsia"/>
          <w:color w:val="auto"/>
        </w:rPr>
        <w:t>其他</w:t>
      </w:r>
      <w:r>
        <w:rPr>
          <w:rFonts w:hint="eastAsia" w:asciiTheme="majorEastAsia" w:hAnsiTheme="majorEastAsia" w:eastAsiaTheme="majorEastAsia"/>
          <w:color w:val="auto"/>
          <w:lang w:eastAsia="zh-CN"/>
        </w:rPr>
        <w:t>保险经费支出</w:t>
      </w:r>
      <w:r>
        <w:rPr>
          <w:rFonts w:hint="eastAsia" w:asciiTheme="majorEastAsia" w:hAnsiTheme="majorEastAsia" w:eastAsiaTheme="majorEastAsia"/>
          <w:color w:val="auto"/>
          <w:lang w:val="en-US" w:eastAsia="zh-CN"/>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8</w:t>
      </w:r>
      <w:r>
        <w:rPr>
          <w:rFonts w:asciiTheme="majorEastAsia" w:hAnsiTheme="majorEastAsia" w:eastAsiaTheme="majorEastAsia"/>
          <w:color w:val="auto"/>
        </w:rPr>
        <w:t>、卫生健康支出（类）行政事业单位医疗（款）</w:t>
      </w:r>
      <w:r>
        <w:rPr>
          <w:rFonts w:hint="eastAsia" w:asciiTheme="majorEastAsia" w:hAnsiTheme="majorEastAsia" w:eastAsiaTheme="majorEastAsia"/>
          <w:color w:val="auto"/>
        </w:rPr>
        <w:t> 公务员医疗补助</w:t>
      </w:r>
      <w:r>
        <w:rPr>
          <w:rFonts w:asciiTheme="majorEastAsia" w:hAnsiTheme="majorEastAsia" w:eastAsiaTheme="majorEastAsia"/>
          <w:color w:val="auto"/>
        </w:rPr>
        <w:t>（项）:202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1.3</w:t>
      </w:r>
      <w:r>
        <w:rPr>
          <w:rFonts w:asciiTheme="majorEastAsia" w:hAnsiTheme="majorEastAsia" w:eastAsiaTheme="majorEastAsia"/>
          <w:color w:val="auto"/>
        </w:rPr>
        <w:t>万元，主要用于：</w:t>
      </w:r>
      <w:r>
        <w:rPr>
          <w:rFonts w:hint="eastAsia" w:asciiTheme="majorEastAsia" w:hAnsiTheme="majorEastAsia" w:eastAsiaTheme="majorEastAsia"/>
          <w:color w:val="auto"/>
        </w:rPr>
        <w:t>公务员医疗补助</w:t>
      </w:r>
      <w:r>
        <w:rPr>
          <w:rFonts w:asciiTheme="majorEastAsia" w:hAnsiTheme="majorEastAsia" w:eastAsiaTheme="majorEastAsia"/>
          <w:color w:val="auto"/>
        </w:rPr>
        <w:t>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四、一般公共预算基本支出情况说明</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乐山市五通桥区文化馆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一般公共预算基本支出</w:t>
      </w:r>
      <w:r>
        <w:rPr>
          <w:rFonts w:hint="eastAsia" w:asciiTheme="majorEastAsia" w:hAnsiTheme="majorEastAsia" w:eastAsiaTheme="majorEastAsia"/>
          <w:color w:val="auto"/>
        </w:rPr>
        <w:t>81</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17</w:t>
      </w:r>
      <w:r>
        <w:rPr>
          <w:rFonts w:asciiTheme="majorEastAsia" w:hAnsiTheme="majorEastAsia" w:eastAsiaTheme="majorEastAsia"/>
          <w:color w:val="auto"/>
        </w:rPr>
        <w:t>万元，其中：</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人员经费74</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17</w:t>
      </w:r>
      <w:r>
        <w:rPr>
          <w:rFonts w:asciiTheme="majorEastAsia" w:hAnsiTheme="majorEastAsia" w:eastAsiaTheme="majorEastAsia"/>
          <w:color w:val="auto"/>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公用经费</w:t>
      </w:r>
      <w:r>
        <w:rPr>
          <w:rFonts w:hint="eastAsia" w:asciiTheme="majorEastAsia" w:hAnsiTheme="majorEastAsia" w:eastAsiaTheme="majorEastAsia"/>
          <w:color w:val="auto"/>
          <w:lang w:val="en-US" w:eastAsia="zh-CN"/>
        </w:rPr>
        <w:t>7</w:t>
      </w:r>
      <w:r>
        <w:rPr>
          <w:rFonts w:asciiTheme="majorEastAsia" w:hAnsiTheme="majorEastAsia" w:eastAsiaTheme="majorEastAsia"/>
          <w:color w:val="auto"/>
        </w:rPr>
        <w:t>万元，主要包括：主要包括：办公费、印刷费、水费、电费、邮电费、差旅费、维修（护）费、会议费、培训费、公务接待费、劳务费、工会经费、福利费、公务用车运行维护费、其他交通费、其他商品和服务支出。</w:t>
      </w:r>
    </w:p>
    <w:p>
      <w:pPr>
        <w:pStyle w:val="5"/>
        <w:spacing w:before="300" w:after="120" w:afterLines="5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bookmarkEnd w:id="24"/>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乐山市五通桥区文化馆</w:t>
      </w:r>
      <w:r>
        <w:rPr>
          <w:rFonts w:hint="eastAsia" w:ascii="宋体" w:hAnsi="宋体"/>
          <w:color w:val="auto"/>
          <w:sz w:val="32"/>
          <w:lang w:val="en-US" w:eastAsia="zh-CN"/>
        </w:rPr>
        <w:t>2024</w:t>
      </w:r>
      <w:r>
        <w:rPr>
          <w:rFonts w:hint="eastAsia" w:ascii="宋体" w:hAnsi="宋体"/>
          <w:color w:val="auto"/>
          <w:sz w:val="32"/>
          <w:lang w:val="en-US"/>
        </w:rPr>
        <w:t>年“三公”经费财政拨款预算数0</w:t>
      </w:r>
      <w:r>
        <w:rPr>
          <w:rFonts w:hint="eastAsia" w:ascii="宋体" w:hAnsi="宋体"/>
          <w:color w:val="auto"/>
          <w:sz w:val="32"/>
          <w:lang w:val="en-US" w:eastAsia="zh-CN"/>
        </w:rPr>
        <w:t>.2</w:t>
      </w:r>
      <w:r>
        <w:rPr>
          <w:rFonts w:hint="eastAsia" w:ascii="宋体" w:hAnsi="宋体"/>
          <w:color w:val="auto"/>
          <w:sz w:val="32"/>
          <w:lang w:val="en-US"/>
        </w:rPr>
        <w:t>万元，其中：公务接待费0</w:t>
      </w:r>
      <w:r>
        <w:rPr>
          <w:rFonts w:hint="eastAsia" w:ascii="宋体" w:hAnsi="宋体"/>
          <w:color w:val="auto"/>
          <w:sz w:val="32"/>
          <w:lang w:val="en-US" w:eastAsia="zh-CN"/>
        </w:rPr>
        <w:t>.2</w:t>
      </w:r>
      <w:r>
        <w:rPr>
          <w:rFonts w:hint="eastAsia" w:ascii="宋体" w:hAnsi="宋体"/>
          <w:color w:val="auto"/>
          <w:sz w:val="32"/>
          <w:lang w:val="en-US"/>
        </w:rPr>
        <w:t>万元，公务用车购置0万元，公车运行维护费0万元。</w:t>
      </w:r>
    </w:p>
    <w:p>
      <w:pPr>
        <w:pStyle w:val="4"/>
        <w:spacing w:before="100" w:after="120" w:afterLines="50"/>
        <w:ind w:left="0" w:firstLine="964" w:firstLineChars="300"/>
        <w:rPr>
          <w:rFonts w:ascii="宋体" w:hAnsi="宋体"/>
          <w:color w:val="auto"/>
        </w:rPr>
      </w:pPr>
      <w:bookmarkStart w:id="25" w:name="_Toc10802"/>
      <w:r>
        <w:rPr>
          <w:rFonts w:ascii="宋体" w:hAnsi="宋体"/>
          <w:color w:val="auto"/>
        </w:rPr>
        <w:t>（一）</w:t>
      </w:r>
      <w:r>
        <w:rPr>
          <w:rFonts w:hint="eastAsia" w:ascii="宋体" w:hAnsi="宋体"/>
          <w:color w:val="auto"/>
          <w:lang w:val="en-US"/>
        </w:rPr>
        <w:t>公务接待费变化情况</w:t>
      </w:r>
      <w:bookmarkEnd w:id="25"/>
    </w:p>
    <w:p>
      <w:pPr>
        <w:pStyle w:val="12"/>
        <w:tabs>
          <w:tab w:val="left" w:pos="1784"/>
        </w:tabs>
        <w:spacing w:before="240" w:beforeLines="100" w:after="120" w:afterLines="50" w:line="560" w:lineRule="exact"/>
        <w:ind w:left="660" w:leftChars="300" w:right="660" w:rightChars="300" w:firstLineChars="200"/>
        <w:rPr>
          <w:rFonts w:hint="default" w:ascii="宋体" w:hAnsi="宋体" w:eastAsia="仿宋_GB2312"/>
          <w:color w:val="auto"/>
          <w:sz w:val="32"/>
          <w:lang w:val="en-US" w:eastAsia="zh-CN"/>
        </w:rPr>
      </w:pPr>
      <w:r>
        <w:rPr>
          <w:rFonts w:ascii="宋体" w:hAnsi="宋体"/>
          <w:color w:val="auto"/>
          <w:sz w:val="32"/>
          <w:lang w:val="en-US"/>
        </w:rPr>
        <w:t>公务接待费较</w:t>
      </w:r>
      <w:r>
        <w:rPr>
          <w:rFonts w:hint="eastAsia" w:ascii="宋体" w:hAnsi="宋体"/>
          <w:color w:val="auto"/>
          <w:sz w:val="32"/>
          <w:lang w:val="en-US" w:eastAsia="zh-CN"/>
        </w:rPr>
        <w:t>2024</w:t>
      </w:r>
      <w:r>
        <w:rPr>
          <w:rFonts w:ascii="宋体" w:hAnsi="宋体"/>
          <w:color w:val="auto"/>
          <w:sz w:val="32"/>
          <w:lang w:val="en-US"/>
        </w:rPr>
        <w:t>年预算</w:t>
      </w:r>
      <w:r>
        <w:rPr>
          <w:rFonts w:hint="eastAsia" w:ascii="宋体" w:hAnsi="宋体"/>
          <w:color w:val="auto"/>
          <w:sz w:val="32"/>
          <w:lang w:val="en-US"/>
        </w:rPr>
        <w:t>0.</w:t>
      </w:r>
      <w:r>
        <w:rPr>
          <w:rFonts w:ascii="宋体" w:hAnsi="宋体"/>
          <w:color w:val="auto"/>
          <w:sz w:val="32"/>
          <w:lang w:val="en-US"/>
        </w:rPr>
        <w:t>万元</w:t>
      </w:r>
      <w:r>
        <w:rPr>
          <w:rFonts w:hint="eastAsia" w:ascii="宋体" w:hAnsi="宋体"/>
          <w:color w:val="auto"/>
          <w:sz w:val="32"/>
          <w:lang w:val="en-US" w:eastAsia="zh-CN"/>
        </w:rPr>
        <w:t>增加了</w:t>
      </w:r>
      <w:r>
        <w:rPr>
          <w:rFonts w:hint="eastAsia" w:ascii="宋体" w:hAnsi="宋体"/>
          <w:color w:val="auto"/>
          <w:sz w:val="32"/>
          <w:lang w:val="en-US"/>
        </w:rPr>
        <w:t>0.</w:t>
      </w:r>
      <w:r>
        <w:rPr>
          <w:rFonts w:hint="eastAsia" w:ascii="宋体" w:hAnsi="宋体"/>
          <w:color w:val="auto"/>
          <w:sz w:val="32"/>
          <w:lang w:val="en-US" w:eastAsia="zh-CN"/>
        </w:rPr>
        <w:t>2</w:t>
      </w:r>
      <w:r>
        <w:rPr>
          <w:rFonts w:hint="eastAsia" w:ascii="宋体" w:hAnsi="宋体"/>
          <w:color w:val="auto"/>
          <w:sz w:val="32"/>
          <w:lang w:val="en-US"/>
        </w:rPr>
        <w:t>万元</w:t>
      </w:r>
      <w:r>
        <w:rPr>
          <w:rFonts w:ascii="宋体" w:hAnsi="宋体"/>
          <w:color w:val="auto"/>
          <w:sz w:val="32"/>
          <w:lang w:val="en-US"/>
        </w:rPr>
        <w:t>。主要原因是</w:t>
      </w:r>
      <w:r>
        <w:rPr>
          <w:rFonts w:hint="eastAsia" w:ascii="宋体" w:hAnsi="宋体"/>
          <w:color w:val="auto"/>
          <w:sz w:val="32"/>
          <w:lang w:val="en-US" w:eastAsia="zh-CN"/>
        </w:rPr>
        <w:t>疫情开放后，增加了区县交流活动。</w:t>
      </w:r>
    </w:p>
    <w:p>
      <w:pPr>
        <w:pStyle w:val="4"/>
        <w:spacing w:before="100" w:after="120" w:afterLines="50"/>
        <w:ind w:left="0" w:firstLine="964" w:firstLineChars="300"/>
        <w:rPr>
          <w:rFonts w:ascii="宋体" w:hAnsi="宋体"/>
          <w:color w:val="auto"/>
        </w:rPr>
      </w:pPr>
      <w:bookmarkStart w:id="26" w:name="_Toc17768"/>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26"/>
    </w:p>
    <w:p>
      <w:pPr>
        <w:pStyle w:val="12"/>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公务用车购置及运行维护费较</w:t>
      </w:r>
      <w:r>
        <w:rPr>
          <w:rFonts w:hint="eastAsia" w:ascii="宋体" w:hAnsi="宋体"/>
          <w:color w:val="auto"/>
          <w:sz w:val="32"/>
          <w:lang w:val="en-US" w:eastAsia="zh-CN"/>
        </w:rPr>
        <w:t>2024</w:t>
      </w:r>
      <w:r>
        <w:rPr>
          <w:rFonts w:hint="eastAsia" w:ascii="宋体" w:hAnsi="宋体"/>
          <w:color w:val="auto"/>
          <w:sz w:val="32"/>
          <w:lang w:val="en-US"/>
        </w:rPr>
        <w:t>预算0万元预算持平。主要原因是厉行节约，规范公务出行，尽量乘坐公共交通工具。</w:t>
      </w:r>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rPr>
        <w:t>单位实有公务用车</w:t>
      </w:r>
      <w:r>
        <w:rPr>
          <w:rFonts w:hint="eastAsia" w:ascii="宋体" w:hAnsi="宋体"/>
          <w:color w:val="auto"/>
          <w:sz w:val="32"/>
          <w:lang w:val="en-US" w:eastAsia="zh-CN"/>
        </w:rPr>
        <w:t>0</w:t>
      </w:r>
      <w:r>
        <w:rPr>
          <w:rFonts w:hint="eastAsia" w:ascii="宋体" w:hAnsi="宋体"/>
          <w:color w:val="auto"/>
          <w:sz w:val="32"/>
          <w:lang w:val="en-US"/>
        </w:rPr>
        <w:t>辆，其中：轿车</w:t>
      </w:r>
      <w:r>
        <w:rPr>
          <w:rFonts w:hint="eastAsia" w:ascii="宋体" w:hAnsi="宋体"/>
          <w:color w:val="auto"/>
          <w:sz w:val="32"/>
          <w:lang w:val="en-US" w:eastAsia="zh-CN"/>
        </w:rPr>
        <w:t>0</w:t>
      </w:r>
      <w:r>
        <w:rPr>
          <w:rFonts w:hint="eastAsia" w:ascii="宋体" w:hAnsi="宋体"/>
          <w:color w:val="auto"/>
          <w:sz w:val="32"/>
          <w:lang w:val="en-US"/>
        </w:rPr>
        <w:t>辆，多功能乘用车0辆。</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年安排公务用车购置费</w:t>
      </w:r>
      <w:r>
        <w:rPr>
          <w:rFonts w:hint="eastAsia" w:ascii="宋体" w:hAnsi="宋体"/>
          <w:color w:val="auto"/>
          <w:sz w:val="32"/>
          <w:lang w:val="en-US"/>
        </w:rPr>
        <w:t>0</w:t>
      </w:r>
      <w:r>
        <w:rPr>
          <w:rFonts w:ascii="宋体" w:hAnsi="宋体"/>
          <w:color w:val="auto"/>
          <w:sz w:val="32"/>
          <w:lang w:val="en-US"/>
        </w:rPr>
        <w:t>万元 。</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highlight w:val="cyan"/>
          <w:lang w:val="en-US"/>
        </w:rPr>
      </w:pPr>
      <w:r>
        <w:rPr>
          <w:rFonts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年安排公务用车运行维护费</w:t>
      </w:r>
      <w:r>
        <w:rPr>
          <w:rFonts w:hint="eastAsia" w:ascii="宋体" w:hAnsi="宋体"/>
          <w:color w:val="auto"/>
          <w:sz w:val="32"/>
          <w:lang w:val="en-US"/>
        </w:rPr>
        <w:t>0</w:t>
      </w:r>
      <w:r>
        <w:rPr>
          <w:rFonts w:ascii="宋体" w:hAnsi="宋体"/>
          <w:color w:val="auto"/>
          <w:sz w:val="32"/>
          <w:lang w:val="en-US"/>
        </w:rPr>
        <w:t>万元。</w:t>
      </w:r>
    </w:p>
    <w:p>
      <w:pPr>
        <w:pStyle w:val="5"/>
        <w:spacing w:before="300" w:after="120" w:afterLines="50"/>
        <w:ind w:firstLine="640" w:firstLineChars="200"/>
        <w:outlineLvl w:val="1"/>
        <w:rPr>
          <w:rFonts w:ascii="宋体" w:hAnsi="宋体" w:eastAsia="黑体"/>
          <w:color w:val="auto"/>
        </w:rPr>
      </w:pPr>
      <w:bookmarkStart w:id="27" w:name="_Toc2610"/>
      <w:r>
        <w:rPr>
          <w:rFonts w:hint="eastAsia" w:ascii="宋体" w:hAnsi="宋体" w:eastAsia="黑体"/>
          <w:color w:val="auto"/>
        </w:rPr>
        <w:t>六、政府性基金预算支出情况说明</w:t>
      </w:r>
      <w:bookmarkEnd w:id="27"/>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乐山市五通桥区文化馆</w:t>
      </w:r>
      <w:r>
        <w:rPr>
          <w:rFonts w:hint="eastAsia"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年政府性基金预算拨款安排支出</w:t>
      </w:r>
      <w:r>
        <w:rPr>
          <w:rFonts w:hint="eastAsia" w:ascii="宋体" w:hAnsi="宋体"/>
          <w:color w:val="auto"/>
          <w:sz w:val="32"/>
          <w:lang w:val="en-US"/>
        </w:rPr>
        <w:t>0万元，较上年预算数持平。</w:t>
      </w:r>
    </w:p>
    <w:p>
      <w:pPr>
        <w:pStyle w:val="5"/>
        <w:spacing w:before="300" w:after="120" w:afterLines="50"/>
        <w:ind w:firstLine="640" w:firstLineChars="200"/>
        <w:outlineLvl w:val="1"/>
        <w:rPr>
          <w:rFonts w:ascii="宋体" w:hAnsi="宋体" w:eastAsia="黑体"/>
          <w:color w:val="auto"/>
        </w:rPr>
      </w:pPr>
      <w:bookmarkStart w:id="28" w:name="_Toc17731"/>
      <w:r>
        <w:rPr>
          <w:rFonts w:hint="eastAsia" w:ascii="宋体" w:hAnsi="宋体" w:eastAsia="黑体"/>
          <w:color w:val="auto"/>
          <w:lang w:val="en-US"/>
        </w:rPr>
        <w:t>七、</w:t>
      </w:r>
      <w:r>
        <w:rPr>
          <w:rFonts w:hint="eastAsia" w:ascii="宋体" w:hAnsi="宋体" w:eastAsia="黑体"/>
          <w:color w:val="auto"/>
        </w:rPr>
        <w:t>国有资本经营预算情况说明</w:t>
      </w:r>
      <w:bookmarkEnd w:id="28"/>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乐山市五通桥区文化馆</w:t>
      </w:r>
      <w:r>
        <w:rPr>
          <w:rFonts w:hint="eastAsia" w:ascii="宋体" w:hAnsi="宋体"/>
          <w:color w:val="auto"/>
          <w:sz w:val="32"/>
          <w:lang w:val="en-US" w:eastAsia="zh-CN"/>
        </w:rPr>
        <w:t>2024</w:t>
      </w:r>
      <w:r>
        <w:rPr>
          <w:rFonts w:hint="eastAsia" w:ascii="宋体" w:hAnsi="宋体"/>
          <w:color w:val="auto"/>
          <w:sz w:val="32"/>
          <w:lang w:val="en-US"/>
        </w:rPr>
        <w:t>年国有资本经营预算拨款安排支出0万元,较上年预算数持平。</w:t>
      </w:r>
    </w:p>
    <w:p>
      <w:pPr>
        <w:pStyle w:val="5"/>
        <w:spacing w:before="300" w:after="120" w:afterLines="50"/>
        <w:ind w:firstLine="640" w:firstLineChars="200"/>
        <w:outlineLvl w:val="1"/>
        <w:rPr>
          <w:rFonts w:ascii="宋体" w:hAnsi="宋体" w:eastAsia="黑体"/>
          <w:color w:val="auto"/>
          <w:lang w:val="en-US"/>
        </w:rPr>
      </w:pPr>
      <w:bookmarkStart w:id="29" w:name="_Toc20919"/>
      <w:r>
        <w:rPr>
          <w:rFonts w:hint="eastAsia" w:ascii="宋体" w:hAnsi="宋体" w:eastAsia="黑体"/>
          <w:color w:val="auto"/>
          <w:lang w:val="en-US"/>
        </w:rPr>
        <w:t>八、其他重要事项的情况说明</w:t>
      </w:r>
      <w:bookmarkEnd w:id="29"/>
    </w:p>
    <w:p>
      <w:pPr>
        <w:pStyle w:val="4"/>
        <w:spacing w:before="100" w:after="120" w:afterLines="50"/>
        <w:ind w:left="0" w:firstLine="964" w:firstLineChars="300"/>
        <w:rPr>
          <w:rFonts w:ascii="宋体" w:hAnsi="宋体"/>
          <w:color w:val="auto"/>
        </w:rPr>
      </w:pPr>
      <w:bookmarkStart w:id="30" w:name="_Toc9621"/>
      <w:r>
        <w:rPr>
          <w:rFonts w:ascii="宋体" w:hAnsi="宋体"/>
          <w:color w:val="auto"/>
        </w:rPr>
        <w:t>（一）机关运行经费情况</w:t>
      </w:r>
      <w:bookmarkEnd w:id="30"/>
    </w:p>
    <w:p>
      <w:pPr>
        <w:rPr>
          <w:rFonts w:hint="eastAsia" w:ascii="宋体" w:hAnsi="宋体" w:eastAsia="仿宋_GB2312" w:cs="仿宋_GB2312"/>
          <w:color w:val="auto"/>
          <w:sz w:val="32"/>
          <w:szCs w:val="22"/>
          <w:lang w:val="en-US" w:eastAsia="zh-CN" w:bidi="zh-CN"/>
        </w:rPr>
      </w:pPr>
      <w:r>
        <w:rPr>
          <w:rFonts w:hint="eastAsia"/>
          <w:color w:val="auto"/>
          <w:lang w:val="en-US"/>
        </w:rPr>
        <w:t xml:space="preserve">            </w:t>
      </w:r>
      <w:r>
        <w:rPr>
          <w:rFonts w:hint="eastAsia" w:eastAsia="仿宋_GB2312" w:cs="仿宋_GB2312"/>
          <w:color w:val="auto"/>
          <w:sz w:val="32"/>
          <w:szCs w:val="22"/>
          <w:lang w:val="en-US" w:eastAsia="zh-CN" w:bidi="zh-CN"/>
        </w:rPr>
        <w:t>2024</w:t>
      </w:r>
      <w:r>
        <w:rPr>
          <w:rFonts w:hint="eastAsia" w:ascii="宋体" w:hAnsi="宋体" w:eastAsia="仿宋_GB2312" w:cs="仿宋_GB2312"/>
          <w:color w:val="auto"/>
          <w:sz w:val="32"/>
          <w:szCs w:val="22"/>
          <w:lang w:val="en-US" w:eastAsia="zh-CN" w:bidi="zh-CN"/>
        </w:rPr>
        <w:t>年，乐山市五通桥区文化馆机关运行经费为 0万元。</w:t>
      </w:r>
    </w:p>
    <w:p>
      <w:pPr>
        <w:pStyle w:val="4"/>
        <w:spacing w:before="100" w:after="120" w:afterLines="50"/>
        <w:ind w:left="0" w:firstLine="964" w:firstLineChars="300"/>
        <w:rPr>
          <w:rFonts w:ascii="宋体" w:hAnsi="宋体"/>
          <w:color w:val="auto"/>
        </w:rPr>
      </w:pPr>
      <w:bookmarkStart w:id="31" w:name="_Toc26552"/>
      <w:r>
        <w:rPr>
          <w:rFonts w:ascii="宋体" w:hAnsi="宋体"/>
          <w:color w:val="auto"/>
        </w:rPr>
        <w:t>（二）政府采购情况</w:t>
      </w:r>
      <w:bookmarkEnd w:id="31"/>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cs="仿宋_GB2312"/>
          <w:color w:val="auto"/>
          <w:sz w:val="32"/>
          <w:szCs w:val="22"/>
          <w:lang w:val="en-US" w:eastAsia="zh-CN" w:bidi="zh-CN"/>
        </w:rPr>
        <w:t>2024</w:t>
      </w:r>
      <w:r>
        <w:rPr>
          <w:rFonts w:hint="eastAsia" w:ascii="宋体" w:hAnsi="宋体" w:eastAsia="仿宋_GB2312" w:cs="仿宋_GB2312"/>
          <w:color w:val="auto"/>
          <w:sz w:val="32"/>
          <w:szCs w:val="22"/>
          <w:lang w:val="en-US" w:eastAsia="zh-CN" w:bidi="zh-CN"/>
        </w:rPr>
        <w:t>年，乐山市五通桥区文化馆政府采购项目0万元。其中，政府采购货物预算0万元；政府采购工程预算0万元；政府采购服务预算0万元。</w:t>
      </w:r>
    </w:p>
    <w:p>
      <w:pPr>
        <w:pStyle w:val="4"/>
        <w:spacing w:before="100" w:after="120" w:afterLines="50"/>
        <w:ind w:left="0" w:firstLine="964" w:firstLineChars="300"/>
        <w:rPr>
          <w:rFonts w:ascii="宋体" w:hAnsi="宋体"/>
          <w:color w:val="auto"/>
        </w:rPr>
      </w:pPr>
      <w:bookmarkStart w:id="32" w:name="_Toc11208"/>
      <w:r>
        <w:rPr>
          <w:rFonts w:ascii="宋体" w:hAnsi="宋体"/>
          <w:color w:val="auto"/>
        </w:rPr>
        <w:t>（三）国有资产占有使用情况</w:t>
      </w:r>
      <w:bookmarkEnd w:id="32"/>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eastAsia="仿宋_GB2312" w:cs="仿宋_GB2312"/>
          <w:color w:val="auto"/>
          <w:sz w:val="32"/>
          <w:szCs w:val="22"/>
          <w:lang w:val="en-US" w:eastAsia="zh-CN" w:bidi="zh-CN"/>
        </w:rPr>
        <w:t>截至</w:t>
      </w:r>
      <w:r>
        <w:rPr>
          <w:rFonts w:hint="eastAsia" w:ascii="宋体" w:hAnsi="宋体" w:cs="仿宋_GB2312"/>
          <w:color w:val="auto"/>
          <w:sz w:val="32"/>
          <w:szCs w:val="22"/>
          <w:lang w:val="en-US" w:eastAsia="zh-CN" w:bidi="zh-CN"/>
        </w:rPr>
        <w:t>2024</w:t>
      </w:r>
      <w:r>
        <w:rPr>
          <w:rFonts w:hint="eastAsia" w:ascii="宋体" w:hAnsi="宋体" w:eastAsia="仿宋_GB2312" w:cs="仿宋_GB2312"/>
          <w:color w:val="auto"/>
          <w:sz w:val="32"/>
          <w:szCs w:val="22"/>
          <w:lang w:val="en-US" w:eastAsia="zh-CN" w:bidi="zh-CN"/>
        </w:rPr>
        <w:t>年底，乐山市五通桥区文化馆所属各预算单位共有车辆0辆。单位价值100万元以上大型设备0套。</w:t>
      </w:r>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cs="仿宋_GB2312"/>
          <w:color w:val="auto"/>
          <w:sz w:val="32"/>
          <w:szCs w:val="22"/>
          <w:lang w:val="en-US" w:eastAsia="zh-CN" w:bidi="zh-CN"/>
        </w:rPr>
        <w:t>2024</w:t>
      </w:r>
      <w:r>
        <w:rPr>
          <w:rFonts w:hint="eastAsia" w:ascii="宋体" w:hAnsi="宋体" w:eastAsia="仿宋_GB2312" w:cs="仿宋_GB2312"/>
          <w:color w:val="auto"/>
          <w:sz w:val="32"/>
          <w:szCs w:val="22"/>
          <w:lang w:val="en-US" w:eastAsia="zh-CN" w:bidi="zh-CN"/>
        </w:rPr>
        <w:t>年部门预算未安排购置车辆及单位价值100万元以上大型设备。</w:t>
      </w:r>
    </w:p>
    <w:p>
      <w:pPr>
        <w:pStyle w:val="4"/>
        <w:spacing w:before="100" w:after="120" w:afterLines="50"/>
        <w:ind w:left="0" w:firstLine="964" w:firstLineChars="300"/>
        <w:rPr>
          <w:rFonts w:ascii="宋体" w:hAnsi="宋体"/>
          <w:color w:val="auto"/>
        </w:rPr>
      </w:pPr>
      <w:bookmarkStart w:id="33" w:name="_Toc13599"/>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33"/>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cs="仿宋_GB2312"/>
          <w:color w:val="auto"/>
          <w:sz w:val="32"/>
          <w:szCs w:val="22"/>
          <w:lang w:val="en-US" w:eastAsia="zh-CN" w:bidi="zh-CN"/>
        </w:rPr>
        <w:t>2024</w:t>
      </w:r>
      <w:r>
        <w:rPr>
          <w:rFonts w:hint="eastAsia" w:ascii="宋体" w:hAnsi="宋体" w:eastAsia="仿宋_GB2312" w:cs="仿宋_GB2312"/>
          <w:color w:val="auto"/>
          <w:sz w:val="32"/>
          <w:szCs w:val="22"/>
          <w:lang w:val="en-US" w:eastAsia="zh-CN" w:bidi="zh-CN"/>
        </w:rPr>
        <w:t>年</w:t>
      </w:r>
      <w:r>
        <w:rPr>
          <w:rFonts w:hint="eastAsia" w:ascii="宋体" w:hAnsi="宋体" w:cs="仿宋_GB2312"/>
          <w:color w:val="auto"/>
          <w:sz w:val="32"/>
          <w:szCs w:val="22"/>
          <w:lang w:val="en-US" w:eastAsia="zh-CN" w:bidi="zh-CN"/>
        </w:rPr>
        <w:t>乐山市</w:t>
      </w:r>
      <w:r>
        <w:rPr>
          <w:rFonts w:hint="eastAsia" w:ascii="宋体" w:hAnsi="宋体" w:eastAsia="仿宋_GB2312" w:cs="仿宋_GB2312"/>
          <w:color w:val="auto"/>
          <w:sz w:val="32"/>
          <w:szCs w:val="22"/>
          <w:lang w:val="en-US" w:eastAsia="zh-CN" w:bidi="zh-CN"/>
        </w:rPr>
        <w:t>五通桥区文化馆开展绩效目标管理的项目</w:t>
      </w:r>
      <w:r>
        <w:rPr>
          <w:rFonts w:hint="eastAsia" w:ascii="宋体" w:hAnsi="宋体" w:cs="仿宋_GB2312"/>
          <w:color w:val="auto"/>
          <w:sz w:val="32"/>
          <w:szCs w:val="22"/>
          <w:lang w:val="en-US" w:eastAsia="zh-CN" w:bidi="zh-CN"/>
        </w:rPr>
        <w:t>14</w:t>
      </w:r>
      <w:r>
        <w:rPr>
          <w:rFonts w:hint="eastAsia" w:ascii="宋体" w:hAnsi="宋体" w:eastAsia="仿宋_GB2312" w:cs="仿宋_GB2312"/>
          <w:color w:val="auto"/>
          <w:sz w:val="32"/>
          <w:szCs w:val="22"/>
          <w:lang w:val="en-US" w:eastAsia="zh-CN" w:bidi="zh-CN"/>
        </w:rPr>
        <w:t>个，涉及预算</w:t>
      </w:r>
      <w:r>
        <w:rPr>
          <w:rFonts w:hint="eastAsia" w:ascii="宋体" w:hAnsi="宋体" w:cs="仿宋_GB2312"/>
          <w:color w:val="auto"/>
          <w:sz w:val="32"/>
          <w:szCs w:val="22"/>
          <w:lang w:val="en-US" w:eastAsia="zh-CN" w:bidi="zh-CN"/>
        </w:rPr>
        <w:t>83.27</w:t>
      </w:r>
      <w:r>
        <w:rPr>
          <w:rFonts w:hint="eastAsia" w:ascii="宋体" w:hAnsi="宋体" w:eastAsia="仿宋_GB2312" w:cs="仿宋_GB2312"/>
          <w:color w:val="auto"/>
          <w:sz w:val="32"/>
          <w:szCs w:val="22"/>
          <w:lang w:val="en-US" w:eastAsia="zh-CN" w:bidi="zh-CN"/>
        </w:rPr>
        <w:t>万元。其中</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人员类项目</w:t>
      </w:r>
      <w:r>
        <w:rPr>
          <w:rFonts w:hint="eastAsia" w:ascii="宋体" w:hAnsi="宋体" w:cs="仿宋_GB2312"/>
          <w:color w:val="auto"/>
          <w:sz w:val="32"/>
          <w:szCs w:val="22"/>
          <w:lang w:val="en-US" w:eastAsia="zh-CN" w:bidi="zh-CN"/>
        </w:rPr>
        <w:t>12</w:t>
      </w:r>
      <w:r>
        <w:rPr>
          <w:rFonts w:hint="eastAsia" w:ascii="宋体" w:hAnsi="宋体" w:eastAsia="仿宋_GB2312" w:cs="仿宋_GB2312"/>
          <w:color w:val="auto"/>
          <w:sz w:val="32"/>
          <w:szCs w:val="22"/>
          <w:lang w:val="en-US" w:eastAsia="zh-CN" w:bidi="zh-CN"/>
        </w:rPr>
        <w:t>个，涉及预算</w:t>
      </w:r>
      <w:r>
        <w:rPr>
          <w:rFonts w:hint="eastAsia" w:ascii="宋体" w:hAnsi="宋体" w:cs="仿宋_GB2312"/>
          <w:color w:val="auto"/>
          <w:sz w:val="32"/>
          <w:szCs w:val="22"/>
          <w:lang w:val="en-US" w:eastAsia="zh-CN" w:bidi="zh-CN"/>
        </w:rPr>
        <w:t>74.17</w:t>
      </w:r>
      <w:r>
        <w:rPr>
          <w:rFonts w:hint="eastAsia" w:ascii="宋体" w:hAnsi="宋体" w:eastAsia="仿宋_GB2312" w:cs="仿宋_GB2312"/>
          <w:color w:val="auto"/>
          <w:sz w:val="32"/>
          <w:szCs w:val="22"/>
          <w:lang w:val="en-US" w:eastAsia="zh-CN" w:bidi="zh-CN"/>
        </w:rPr>
        <w:t>万元；运转类项目</w:t>
      </w:r>
      <w:r>
        <w:rPr>
          <w:rFonts w:hint="eastAsia" w:ascii="宋体" w:hAnsi="宋体" w:cs="仿宋_GB2312"/>
          <w:color w:val="auto"/>
          <w:sz w:val="32"/>
          <w:szCs w:val="22"/>
          <w:lang w:val="en-US" w:eastAsia="zh-CN" w:bidi="zh-CN"/>
        </w:rPr>
        <w:t>1</w:t>
      </w:r>
      <w:r>
        <w:rPr>
          <w:rFonts w:hint="eastAsia" w:ascii="宋体" w:hAnsi="宋体" w:eastAsia="仿宋_GB2312" w:cs="仿宋_GB2312"/>
          <w:color w:val="auto"/>
          <w:sz w:val="32"/>
          <w:szCs w:val="22"/>
          <w:lang w:val="en-US" w:eastAsia="zh-CN" w:bidi="zh-CN"/>
        </w:rPr>
        <w:t>个，涉及预算</w:t>
      </w:r>
      <w:r>
        <w:rPr>
          <w:rFonts w:hint="eastAsia" w:ascii="宋体" w:hAnsi="宋体" w:cs="仿宋_GB2312"/>
          <w:color w:val="auto"/>
          <w:sz w:val="32"/>
          <w:szCs w:val="22"/>
          <w:lang w:val="en-US" w:eastAsia="zh-CN" w:bidi="zh-CN"/>
        </w:rPr>
        <w:t>7</w:t>
      </w:r>
      <w:r>
        <w:rPr>
          <w:rFonts w:hint="eastAsia" w:ascii="宋体" w:hAnsi="宋体" w:eastAsia="仿宋_GB2312" w:cs="仿宋_GB2312"/>
          <w:color w:val="auto"/>
          <w:sz w:val="32"/>
          <w:szCs w:val="22"/>
          <w:lang w:val="en-US" w:eastAsia="zh-CN" w:bidi="zh-CN"/>
        </w:rPr>
        <w:t>万元；特定目标类项目1个，涉及预算2.1万元。</w:t>
      </w:r>
    </w:p>
    <w:p>
      <w:pPr>
        <w:rPr>
          <w:color w:val="auto"/>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34" w:name="_Toc31157"/>
      <w:r>
        <w:rPr>
          <w:rFonts w:hint="eastAsia" w:ascii="宋体" w:hAnsi="宋体" w:eastAsia="方正小标宋简体" w:cs="方正小标宋简体"/>
          <w:color w:val="auto"/>
          <w:sz w:val="52"/>
          <w:szCs w:val="52"/>
          <w:lang w:val="en-US"/>
        </w:rPr>
        <w:t>第四部分  名词解释</w:t>
      </w:r>
      <w:bookmarkEnd w:id="34"/>
    </w:p>
    <w:p>
      <w:pPr>
        <w:rPr>
          <w:color w:val="auto"/>
          <w:sz w:val="20"/>
        </w:rPr>
        <w:sectPr>
          <w:headerReference r:id="rId7" w:type="default"/>
          <w:footerReference r:id="rId8" w:type="default"/>
          <w:pgSz w:w="11910" w:h="16840"/>
          <w:pgMar w:top="1587" w:right="964" w:bottom="1701" w:left="1134" w:header="737" w:footer="737" w:gutter="0"/>
          <w:cols w:space="0" w:num="1"/>
        </w:sectPr>
      </w:pP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bookmarkEnd w:id="35"/>
    <w:sectPr>
      <w:headerReference r:id="rId9" w:type="default"/>
      <w:footerReference r:id="rId10"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CEF36"/>
    <w:multiLevelType w:val="singleLevel"/>
    <w:tmpl w:val="FEBCEF36"/>
    <w:lvl w:ilvl="0" w:tentative="0">
      <w:start w:val="1"/>
      <w:numFmt w:val="decimal"/>
      <w:lvlText w:val="%1)"/>
      <w:lvlJc w:val="left"/>
      <w:pPr>
        <w:ind w:left="1525" w:hanging="425"/>
      </w:pPr>
      <w:rPr>
        <w:rFonts w:hint="default"/>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49C7ACBC"/>
    <w:multiLevelType w:val="singleLevel"/>
    <w:tmpl w:val="49C7ACBC"/>
    <w:lvl w:ilvl="0" w:tentative="0">
      <w:start w:val="1"/>
      <w:numFmt w:val="decimal"/>
      <w:lvlText w:val="%1."/>
      <w:lvlJc w:val="left"/>
      <w:pPr>
        <w:ind w:left="1525" w:hanging="425"/>
      </w:pPr>
      <w:rPr>
        <w:rFonts w:hint="default"/>
      </w:rPr>
    </w:lvl>
  </w:abstractNum>
  <w:abstractNum w:abstractNumId="3">
    <w:nsid w:val="501035D5"/>
    <w:multiLevelType w:val="singleLevel"/>
    <w:tmpl w:val="501035D5"/>
    <w:lvl w:ilvl="0" w:tentative="0">
      <w:start w:val="2"/>
      <w:numFmt w:val="chineseCounting"/>
      <w:suff w:val="space"/>
      <w:lvlText w:val="第%1部分"/>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iMzE2YjE5MmVkMjI5M2Q3YjUxMDgzNGIxY2Y5YTAifQ=="/>
  </w:docVars>
  <w:rsids>
    <w:rsidRoot w:val="00E24CB9"/>
    <w:rsid w:val="000169E7"/>
    <w:rsid w:val="000F0F28"/>
    <w:rsid w:val="000F5FCE"/>
    <w:rsid w:val="001F1539"/>
    <w:rsid w:val="00296030"/>
    <w:rsid w:val="002C325B"/>
    <w:rsid w:val="00352117"/>
    <w:rsid w:val="003E010F"/>
    <w:rsid w:val="004446B3"/>
    <w:rsid w:val="00497650"/>
    <w:rsid w:val="004B04A5"/>
    <w:rsid w:val="00552E56"/>
    <w:rsid w:val="005B103A"/>
    <w:rsid w:val="005F1DAA"/>
    <w:rsid w:val="00715118"/>
    <w:rsid w:val="00746441"/>
    <w:rsid w:val="00876F23"/>
    <w:rsid w:val="008A3563"/>
    <w:rsid w:val="008C1809"/>
    <w:rsid w:val="008E066F"/>
    <w:rsid w:val="00A43BFB"/>
    <w:rsid w:val="00A5515E"/>
    <w:rsid w:val="00AA0A42"/>
    <w:rsid w:val="00BA05BD"/>
    <w:rsid w:val="00C10200"/>
    <w:rsid w:val="00C95851"/>
    <w:rsid w:val="00CA0E68"/>
    <w:rsid w:val="00CB1B8A"/>
    <w:rsid w:val="00CD48F9"/>
    <w:rsid w:val="00D51E25"/>
    <w:rsid w:val="00DE0A28"/>
    <w:rsid w:val="00E2194E"/>
    <w:rsid w:val="00E24CB9"/>
    <w:rsid w:val="00E87151"/>
    <w:rsid w:val="00EF6528"/>
    <w:rsid w:val="00F272A2"/>
    <w:rsid w:val="00F96A42"/>
    <w:rsid w:val="02ED1707"/>
    <w:rsid w:val="137C5178"/>
    <w:rsid w:val="13CB5FFB"/>
    <w:rsid w:val="1A053E21"/>
    <w:rsid w:val="1C4565B4"/>
    <w:rsid w:val="1D041A4B"/>
    <w:rsid w:val="1DBF62C1"/>
    <w:rsid w:val="1E9115A9"/>
    <w:rsid w:val="1F8D14E4"/>
    <w:rsid w:val="20D9567F"/>
    <w:rsid w:val="21211D8E"/>
    <w:rsid w:val="227B44EE"/>
    <w:rsid w:val="23960825"/>
    <w:rsid w:val="247F2477"/>
    <w:rsid w:val="2AEE15E4"/>
    <w:rsid w:val="2BD66371"/>
    <w:rsid w:val="2BDF13B8"/>
    <w:rsid w:val="2EE3754B"/>
    <w:rsid w:val="3170631D"/>
    <w:rsid w:val="34D11ED5"/>
    <w:rsid w:val="37865C12"/>
    <w:rsid w:val="3CC85CC7"/>
    <w:rsid w:val="43360778"/>
    <w:rsid w:val="4A93381C"/>
    <w:rsid w:val="4C5E15F1"/>
    <w:rsid w:val="4D3C563B"/>
    <w:rsid w:val="4F1C021D"/>
    <w:rsid w:val="54C30EEA"/>
    <w:rsid w:val="5543046B"/>
    <w:rsid w:val="55830431"/>
    <w:rsid w:val="563B020F"/>
    <w:rsid w:val="571B393E"/>
    <w:rsid w:val="58EE6347"/>
    <w:rsid w:val="595E3E2E"/>
    <w:rsid w:val="5AE90F4A"/>
    <w:rsid w:val="5B65451D"/>
    <w:rsid w:val="6D686C5D"/>
    <w:rsid w:val="6E1A536B"/>
    <w:rsid w:val="6E71128C"/>
    <w:rsid w:val="7209340F"/>
    <w:rsid w:val="721F4C1B"/>
    <w:rsid w:val="76A30804"/>
    <w:rsid w:val="77474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Times New Roman" w:hAnsi="Times New Roman" w:eastAsia="宋体"/>
      <w:kern w:val="2"/>
      <w:sz w:val="21"/>
      <w:szCs w:val="21"/>
      <w:lang w:val="en-US" w:eastAsia="zh-CN" w:bidi="ar-SA"/>
    </w:rPr>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280" w:firstLine="640"/>
      <w:jc w:val="both"/>
    </w:pPr>
    <w:rPr>
      <w:rFonts w:ascii="仿宋_GB2312" w:hAnsi="仿宋_GB2312" w:eastAsia="仿宋_GB2312" w:cs="仿宋_GB2312"/>
    </w:rPr>
  </w:style>
  <w:style w:type="paragraph" w:customStyle="1" w:styleId="13">
    <w:name w:val="Table Paragraph"/>
    <w:basedOn w:val="1"/>
    <w:qFormat/>
    <w:uiPriority w:val="1"/>
  </w:style>
  <w:style w:type="paragraph" w:customStyle="1" w:styleId="14">
    <w:name w:val="WPSOffice手动目录 1"/>
    <w:qFormat/>
    <w:uiPriority w:val="0"/>
    <w:rPr>
      <w:rFonts w:asciiTheme="minorHAnsi" w:hAnsiTheme="minorHAnsi" w:eastAsiaTheme="minorHAnsi" w:cstheme="minorBidi"/>
      <w:lang w:val="en-US" w:eastAsia="zh-CN" w:bidi="ar-SA"/>
    </w:rPr>
  </w:style>
  <w:style w:type="paragraph" w:customStyle="1" w:styleId="15">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6">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7">
    <w:name w:val="批注框文本 Char"/>
    <w:basedOn w:val="10"/>
    <w:link w:val="6"/>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19</Pages>
  <Words>1171</Words>
  <Characters>6676</Characters>
  <Lines>55</Lines>
  <Paragraphs>15</Paragraphs>
  <TotalTime>0</TotalTime>
  <ScaleCrop>false</ScaleCrop>
  <LinksUpToDate>false</LinksUpToDate>
  <CharactersWithSpaces>7832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dcterms:modified xsi:type="dcterms:W3CDTF">2024-02-26T06:50:16Z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F9FCCE9BBB5B40AAA0F951E959CD8FC6</vt:lpwstr>
  </property>
</Properties>
</file>