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jc w:val="center"/>
        <w:rPr>
          <w:rFonts w:ascii="宋体" w:hAnsi="宋体" w:eastAsia="宋体" w:cs="宋体"/>
          <w:b/>
          <w:bCs/>
          <w:color w:val="auto"/>
          <w:sz w:val="52"/>
          <w:szCs w:val="52"/>
          <w:lang w:val="en-US"/>
        </w:rPr>
      </w:pPr>
      <w:bookmarkStart w:id="35" w:name="_GoBack"/>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spacing w:line="800" w:lineRule="exact"/>
        <w:jc w:val="center"/>
        <w:rPr>
          <w:rFonts w:ascii="宋体" w:hAnsi="宋体" w:eastAsia="方正小标宋简体" w:cs="方正小标宋简体"/>
          <w:color w:val="auto"/>
          <w:sz w:val="52"/>
          <w:szCs w:val="52"/>
          <w:lang w:val="en-US"/>
        </w:rPr>
      </w:pPr>
      <w:r>
        <w:rPr>
          <w:rFonts w:hint="eastAsia" w:ascii="宋体" w:hAnsi="宋体" w:eastAsia="方正小标宋简体" w:cs="方正小标宋简体"/>
          <w:color w:val="auto"/>
          <w:sz w:val="52"/>
          <w:szCs w:val="52"/>
          <w:lang w:val="en-US"/>
        </w:rPr>
        <w:t>乐山市五通桥区文化体育和旅游局</w:t>
      </w:r>
    </w:p>
    <w:p>
      <w:pPr>
        <w:pStyle w:val="5"/>
        <w:spacing w:line="800" w:lineRule="exact"/>
        <w:jc w:val="center"/>
        <w:rPr>
          <w:rFonts w:ascii="宋体" w:hAnsi="宋体" w:eastAsia="方正小标宋简体" w:cs="方正小标宋简体"/>
          <w:color w:val="auto"/>
          <w:sz w:val="52"/>
          <w:szCs w:val="52"/>
          <w:lang w:val="en-US"/>
        </w:rPr>
      </w:pPr>
      <w:r>
        <w:rPr>
          <w:rFonts w:hint="eastAsia" w:ascii="宋体" w:hAnsi="宋体" w:eastAsia="方正小标宋简体" w:cs="方正小标宋简体"/>
          <w:color w:val="auto"/>
          <w:sz w:val="52"/>
          <w:szCs w:val="52"/>
          <w:lang w:val="en-US" w:eastAsia="zh-CN"/>
        </w:rPr>
        <w:t>2024</w:t>
      </w:r>
      <w:r>
        <w:rPr>
          <w:rFonts w:hint="eastAsia" w:ascii="宋体" w:hAnsi="宋体" w:eastAsia="方正小标宋简体" w:cs="方正小标宋简体"/>
          <w:color w:val="auto"/>
          <w:sz w:val="52"/>
          <w:szCs w:val="52"/>
          <w:lang w:val="en-US"/>
        </w:rPr>
        <w:t>部门预算编制说明</w:t>
      </w:r>
    </w:p>
    <w:p>
      <w:pPr>
        <w:pStyle w:val="5"/>
        <w:spacing w:line="800" w:lineRule="exact"/>
        <w:jc w:val="center"/>
        <w:rPr>
          <w:rFonts w:hint="eastAsia" w:ascii="宋体" w:hAnsi="宋体" w:eastAsia="方正小标宋简体" w:cs="方正小标宋简体"/>
          <w:color w:val="auto"/>
          <w:sz w:val="52"/>
          <w:szCs w:val="52"/>
          <w:lang w:val="en-US"/>
        </w:rPr>
      </w:pPr>
      <w:r>
        <w:rPr>
          <w:rFonts w:hint="eastAsia" w:ascii="宋体" w:hAnsi="宋体" w:eastAsia="方正小标宋简体" w:cs="方正小标宋简体"/>
          <w:color w:val="auto"/>
          <w:sz w:val="52"/>
          <w:szCs w:val="52"/>
          <w:lang w:val="en-US"/>
        </w:rPr>
        <w:t>（旅游促进和服务中心）</w:t>
      </w:r>
    </w:p>
    <w:p>
      <w:pPr>
        <w:pStyle w:val="5"/>
        <w:spacing w:line="800" w:lineRule="exact"/>
        <w:jc w:val="center"/>
        <w:rPr>
          <w:rFonts w:hint="eastAsia" w:ascii="宋体" w:hAnsi="宋体" w:eastAsia="方正小标宋简体" w:cs="方正小标宋简体"/>
          <w:color w:val="auto"/>
          <w:sz w:val="52"/>
          <w:szCs w:val="52"/>
          <w:lang w:val="en-US"/>
        </w:rPr>
      </w:pPr>
    </w:p>
    <w:p>
      <w:pPr>
        <w:pStyle w:val="5"/>
        <w:spacing w:line="800" w:lineRule="exact"/>
        <w:jc w:val="center"/>
        <w:rPr>
          <w:rFonts w:hint="eastAsia" w:ascii="宋体" w:hAnsi="宋体" w:eastAsia="方正小标宋简体" w:cs="方正小标宋简体"/>
          <w:color w:val="auto"/>
          <w:sz w:val="52"/>
          <w:szCs w:val="52"/>
          <w:lang w:val="en-US"/>
        </w:rPr>
      </w:pPr>
    </w:p>
    <w:p>
      <w:pPr>
        <w:pStyle w:val="5"/>
        <w:spacing w:line="800" w:lineRule="exact"/>
        <w:jc w:val="center"/>
        <w:rPr>
          <w:rFonts w:hint="eastAsia" w:ascii="宋体" w:hAnsi="宋体" w:eastAsia="方正小标宋简体" w:cs="方正小标宋简体"/>
          <w:color w:val="auto"/>
          <w:sz w:val="52"/>
          <w:szCs w:val="52"/>
          <w:lang w:val="en-US"/>
        </w:rPr>
      </w:pPr>
    </w:p>
    <w:p>
      <w:pPr>
        <w:pStyle w:val="5"/>
        <w:spacing w:line="800" w:lineRule="exact"/>
        <w:jc w:val="center"/>
        <w:rPr>
          <w:rFonts w:hint="eastAsia" w:ascii="宋体" w:hAnsi="宋体" w:eastAsia="方正小标宋简体" w:cs="方正小标宋简体"/>
          <w:color w:val="auto"/>
          <w:sz w:val="52"/>
          <w:szCs w:val="52"/>
          <w:lang w:val="en-US"/>
        </w:rPr>
      </w:pPr>
    </w:p>
    <w:p>
      <w:pPr>
        <w:pStyle w:val="5"/>
        <w:spacing w:line="800" w:lineRule="exact"/>
        <w:jc w:val="center"/>
        <w:rPr>
          <w:rFonts w:hint="eastAsia" w:ascii="宋体" w:hAnsi="宋体" w:eastAsia="方正小标宋简体" w:cs="方正小标宋简体"/>
          <w:color w:val="auto"/>
          <w:sz w:val="52"/>
          <w:szCs w:val="52"/>
          <w:lang w:val="en-US"/>
        </w:rPr>
      </w:pPr>
    </w:p>
    <w:p>
      <w:pPr>
        <w:pStyle w:val="5"/>
        <w:spacing w:line="800" w:lineRule="exact"/>
        <w:jc w:val="center"/>
        <w:rPr>
          <w:rFonts w:hint="eastAsia" w:ascii="宋体" w:hAnsi="宋体" w:eastAsia="方正小标宋简体" w:cs="方正小标宋简体"/>
          <w:color w:val="auto"/>
          <w:sz w:val="52"/>
          <w:szCs w:val="52"/>
          <w:lang w:val="en-US"/>
        </w:rPr>
      </w:pPr>
    </w:p>
    <w:p>
      <w:pPr>
        <w:pStyle w:val="5"/>
        <w:spacing w:line="800" w:lineRule="exact"/>
        <w:jc w:val="center"/>
        <w:rPr>
          <w:rFonts w:hint="eastAsia" w:ascii="宋体" w:hAnsi="宋体" w:eastAsia="方正小标宋简体" w:cs="方正小标宋简体"/>
          <w:color w:val="auto"/>
          <w:sz w:val="52"/>
          <w:szCs w:val="52"/>
          <w:lang w:val="en-US"/>
        </w:rPr>
      </w:pPr>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pStyle w:val="5"/>
        <w:jc w:val="center"/>
        <w:rPr>
          <w:rFonts w:ascii="宋体" w:hAnsi="宋体" w:eastAsia="宋体" w:cs="宋体"/>
          <w:b/>
          <w:bCs/>
          <w:color w:val="auto"/>
          <w:sz w:val="52"/>
          <w:szCs w:val="52"/>
          <w:lang w:val="en-US"/>
        </w:rPr>
      </w:pPr>
    </w:p>
    <w:p>
      <w:pPr>
        <w:rPr>
          <w:color w:val="auto"/>
          <w:sz w:val="4"/>
        </w:rPr>
      </w:pPr>
    </w:p>
    <w:p>
      <w:pPr>
        <w:pStyle w:val="5"/>
        <w:spacing w:before="2"/>
        <w:rPr>
          <w:rFonts w:ascii="宋体" w:hAnsi="宋体"/>
          <w:color w:val="auto"/>
          <w:sz w:val="4"/>
        </w:rPr>
      </w:pPr>
    </w:p>
    <w:p>
      <w:pPr>
        <w:pStyle w:val="5"/>
        <w:tabs>
          <w:tab w:val="left" w:pos="4798"/>
        </w:tabs>
        <w:jc w:val="center"/>
        <w:rPr>
          <w:rFonts w:ascii="宋体" w:hAnsi="宋体" w:eastAsia="方正小标宋简体" w:cs="方正小标宋简体"/>
          <w:b/>
          <w:bCs/>
          <w:color w:val="auto"/>
          <w:sz w:val="48"/>
          <w:szCs w:val="48"/>
          <w:lang w:val="en-US"/>
        </w:rPr>
      </w:pPr>
      <w:r>
        <w:rPr>
          <w:rFonts w:hint="eastAsia" w:ascii="宋体" w:hAnsi="宋体" w:eastAsia="方正小标宋简体" w:cs="方正小标宋简体"/>
          <w:b/>
          <w:bCs/>
          <w:color w:val="auto"/>
          <w:sz w:val="48"/>
          <w:szCs w:val="48"/>
          <w:lang w:val="en-US"/>
        </w:rPr>
        <w:t>目  录</w:t>
      </w:r>
    </w:p>
    <w:sdt>
      <w:sdtPr>
        <w:rPr>
          <w:rFonts w:ascii="仿宋_GB2312" w:hAnsi="仿宋_GB2312" w:eastAsia="仿宋_GB2312" w:cs="仿宋_GB2312"/>
          <w:color w:val="auto"/>
          <w:sz w:val="21"/>
          <w:szCs w:val="32"/>
        </w:rPr>
        <w:id w:val="147453385"/>
        <w:docPartObj>
          <w:docPartGallery w:val="Table of Contents"/>
          <w:docPartUnique/>
        </w:docPartObj>
      </w:sdtPr>
      <w:sdtEndPr>
        <w:rPr>
          <w:rFonts w:hint="eastAsia" w:ascii="仿宋_GB2312" w:hAnsi="仿宋_GB2312" w:eastAsia="方正小标宋简体" w:cs="方正小标宋简体"/>
          <w:bCs/>
          <w:color w:val="auto"/>
          <w:sz w:val="32"/>
          <w:szCs w:val="48"/>
          <w:lang w:val="en-US"/>
        </w:rPr>
      </w:sdtEndPr>
      <w:sdtContent>
        <w:p>
          <w:pPr>
            <w:jc w:val="center"/>
            <w:rPr>
              <w:color w:val="auto"/>
            </w:rPr>
          </w:pPr>
        </w:p>
        <w:p>
          <w:pPr>
            <w:pStyle w:val="14"/>
            <w:tabs>
              <w:tab w:val="right" w:leader="dot" w:pos="9812"/>
            </w:tabs>
            <w:spacing w:line="560" w:lineRule="exact"/>
            <w:rPr>
              <w:rFonts w:ascii="宋体" w:hAnsi="宋体"/>
              <w:color w:val="auto"/>
              <w:sz w:val="32"/>
              <w:szCs w:val="32"/>
            </w:rPr>
          </w:pPr>
          <w:r>
            <w:rPr>
              <w:rFonts w:hint="eastAsia" w:ascii="宋体" w:hAnsi="宋体" w:eastAsia="方正小标宋简体" w:cs="方正小标宋简体"/>
              <w:b/>
              <w:bCs/>
              <w:color w:val="auto"/>
              <w:sz w:val="48"/>
              <w:szCs w:val="48"/>
            </w:rPr>
            <w:fldChar w:fldCharType="begin"/>
          </w:r>
          <w:r>
            <w:rPr>
              <w:rFonts w:hint="eastAsia" w:ascii="宋体" w:hAnsi="宋体" w:eastAsia="方正小标宋简体" w:cs="方正小标宋简体"/>
              <w:b/>
              <w:bCs/>
              <w:color w:val="auto"/>
              <w:sz w:val="48"/>
              <w:szCs w:val="48"/>
            </w:rPr>
            <w:instrText xml:space="preserve">TOC \o "1-3" \h \u </w:instrText>
          </w:r>
          <w:r>
            <w:rPr>
              <w:rFonts w:hint="eastAsia" w:ascii="宋体" w:hAnsi="宋体" w:eastAsia="方正小标宋简体" w:cs="方正小标宋简体"/>
              <w:b/>
              <w:bCs/>
              <w:color w:val="auto"/>
              <w:sz w:val="48"/>
              <w:szCs w:val="48"/>
            </w:rPr>
            <w:fldChar w:fldCharType="separate"/>
          </w:r>
          <w:r>
            <w:rPr>
              <w:color w:val="auto"/>
            </w:rPr>
            <w:fldChar w:fldCharType="begin"/>
          </w:r>
          <w:r>
            <w:rPr>
              <w:color w:val="auto"/>
            </w:rPr>
            <w:instrText xml:space="preserve"> HYPERLINK \l "_Toc24981" </w:instrText>
          </w:r>
          <w:r>
            <w:rPr>
              <w:color w:val="auto"/>
            </w:rPr>
            <w:fldChar w:fldCharType="separate"/>
          </w:r>
          <w:r>
            <w:rPr>
              <w:rFonts w:hint="eastAsia" w:ascii="宋体" w:hAnsi="宋体" w:eastAsia="方正小标宋简体" w:cs="方正小标宋简体"/>
              <w:bCs/>
              <w:color w:val="auto"/>
              <w:sz w:val="32"/>
              <w:szCs w:val="32"/>
            </w:rPr>
            <w:t>第一部分 部门概况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_Toc24981 \h </w:instrText>
          </w:r>
          <w:r>
            <w:rPr>
              <w:rFonts w:ascii="宋体" w:hAnsi="宋体"/>
              <w:color w:val="auto"/>
              <w:sz w:val="32"/>
              <w:szCs w:val="32"/>
            </w:rPr>
            <w:fldChar w:fldCharType="separate"/>
          </w:r>
          <w:r>
            <w:rPr>
              <w:rFonts w:ascii="宋体" w:hAnsi="宋体"/>
              <w:color w:val="auto"/>
              <w:sz w:val="32"/>
              <w:szCs w:val="32"/>
            </w:rPr>
            <w:t>1</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"_Toc977" </w:instrText>
          </w:r>
          <w:r>
            <w:rPr>
              <w:color w:val="auto"/>
            </w:rPr>
            <w:fldChar w:fldCharType="separate"/>
          </w:r>
          <w:r>
            <w:rPr>
              <w:rFonts w:hint="eastAsia" w:ascii="宋体" w:hAnsi="宋体" w:eastAsia="黑体"/>
              <w:color w:val="auto"/>
              <w:sz w:val="32"/>
              <w:szCs w:val="32"/>
            </w:rPr>
            <w:t>一、基本职能及主要工作</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_Toc977 \h </w:instrText>
          </w:r>
          <w:r>
            <w:rPr>
              <w:rFonts w:ascii="宋体" w:hAnsi="宋体"/>
              <w:color w:val="auto"/>
              <w:sz w:val="32"/>
              <w:szCs w:val="32"/>
            </w:rPr>
            <w:fldChar w:fldCharType="separate"/>
          </w:r>
          <w:r>
            <w:rPr>
              <w:rFonts w:ascii="宋体" w:hAnsi="宋体"/>
              <w:color w:val="auto"/>
              <w:sz w:val="32"/>
              <w:szCs w:val="32"/>
            </w:rPr>
            <w:t>2</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"_Toc5540" </w:instrText>
          </w:r>
          <w:r>
            <w:rPr>
              <w:color w:val="auto"/>
            </w:rPr>
            <w:fldChar w:fldCharType="separate"/>
          </w:r>
          <w:r>
            <w:rPr>
              <w:rFonts w:ascii="宋体" w:hAnsi="宋体"/>
              <w:color w:val="auto"/>
              <w:sz w:val="32"/>
              <w:szCs w:val="32"/>
            </w:rPr>
            <w:t>（一）部门职能简介</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_Toc5540 \h </w:instrText>
          </w:r>
          <w:r>
            <w:rPr>
              <w:rFonts w:ascii="宋体" w:hAnsi="宋体"/>
              <w:color w:val="auto"/>
              <w:sz w:val="32"/>
              <w:szCs w:val="32"/>
            </w:rPr>
            <w:fldChar w:fldCharType="separate"/>
          </w:r>
          <w:r>
            <w:rPr>
              <w:rFonts w:ascii="宋体" w:hAnsi="宋体"/>
              <w:color w:val="auto"/>
              <w:sz w:val="32"/>
              <w:szCs w:val="32"/>
            </w:rPr>
            <w:t>2</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"_Toc29132" </w:instrText>
          </w:r>
          <w:r>
            <w:rPr>
              <w:color w:val="auto"/>
            </w:rPr>
            <w:fldChar w:fldCharType="separate"/>
          </w:r>
          <w:r>
            <w:rPr>
              <w:rFonts w:ascii="宋体" w:hAnsi="宋体"/>
              <w:color w:val="auto"/>
              <w:sz w:val="32"/>
              <w:szCs w:val="32"/>
            </w:rPr>
            <w:t>（二）部门</w:t>
          </w:r>
          <w:r>
            <w:rPr>
              <w:rFonts w:hint="eastAsia" w:ascii="宋体" w:hAnsi="宋体"/>
              <w:color w:val="auto"/>
              <w:sz w:val="32"/>
              <w:szCs w:val="32"/>
            </w:rPr>
            <w:t>2023</w:t>
          </w:r>
          <w:r>
            <w:rPr>
              <w:rFonts w:ascii="宋体" w:hAnsi="宋体"/>
              <w:color w:val="auto"/>
              <w:sz w:val="32"/>
              <w:szCs w:val="32"/>
            </w:rPr>
            <w:t>年重点工</w:t>
          </w:r>
          <w:r>
            <w:rPr>
              <w:rFonts w:hint="eastAsia" w:ascii="宋体" w:hAnsi="宋体"/>
              <w:color w:val="auto"/>
              <w:sz w:val="32"/>
              <w:szCs w:val="32"/>
            </w:rPr>
            <w:t>作</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_Toc29132 \h </w:instrText>
          </w:r>
          <w:r>
            <w:rPr>
              <w:rFonts w:ascii="宋体" w:hAnsi="宋体"/>
              <w:color w:val="auto"/>
              <w:sz w:val="32"/>
              <w:szCs w:val="32"/>
            </w:rPr>
            <w:fldChar w:fldCharType="separate"/>
          </w:r>
          <w:r>
            <w:rPr>
              <w:rFonts w:ascii="宋体" w:hAnsi="宋体"/>
              <w:color w:val="auto"/>
              <w:sz w:val="32"/>
              <w:szCs w:val="32"/>
            </w:rPr>
            <w:t>2</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"_Toc30432" </w:instrText>
          </w:r>
          <w:r>
            <w:rPr>
              <w:color w:val="auto"/>
            </w:rPr>
            <w:fldChar w:fldCharType="separate"/>
          </w:r>
          <w:r>
            <w:rPr>
              <w:rFonts w:hint="eastAsia" w:ascii="宋体" w:hAnsi="宋体" w:eastAsia="黑体"/>
              <w:color w:val="auto"/>
              <w:sz w:val="32"/>
              <w:szCs w:val="32"/>
            </w:rPr>
            <w:t>二、部门预算单位构成</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_Toc30432 \h </w:instrText>
          </w:r>
          <w:r>
            <w:rPr>
              <w:rFonts w:ascii="宋体" w:hAnsi="宋体"/>
              <w:color w:val="auto"/>
              <w:sz w:val="32"/>
              <w:szCs w:val="32"/>
            </w:rPr>
            <w:fldChar w:fldCharType="separate"/>
          </w:r>
          <w:r>
            <w:rPr>
              <w:rFonts w:ascii="宋体" w:hAnsi="宋体"/>
              <w:color w:val="auto"/>
              <w:sz w:val="32"/>
              <w:szCs w:val="32"/>
            </w:rPr>
            <w:t>2</w:t>
          </w:r>
          <w:r>
            <w:rPr>
              <w:rFonts w:ascii="宋体" w:hAnsi="宋体"/>
              <w:color w:val="auto"/>
              <w:sz w:val="32"/>
              <w:szCs w:val="32"/>
            </w:rPr>
            <w:fldChar w:fldCharType="end"/>
          </w:r>
          <w:r>
            <w:rPr>
              <w:rFonts w:ascii="宋体" w:hAnsi="宋体"/>
              <w:color w:val="auto"/>
              <w:sz w:val="32"/>
              <w:szCs w:val="32"/>
            </w:rPr>
            <w:fldChar w:fldCharType="end"/>
          </w:r>
        </w:p>
        <w:p>
          <w:pPr>
            <w:pStyle w:val="14"/>
            <w:tabs>
              <w:tab w:val="right" w:leader="dot" w:pos="9812"/>
            </w:tabs>
            <w:spacing w:line="560" w:lineRule="exact"/>
            <w:rPr>
              <w:rFonts w:ascii="宋体" w:hAnsi="宋体"/>
              <w:color w:val="auto"/>
              <w:sz w:val="32"/>
              <w:szCs w:val="32"/>
            </w:rPr>
          </w:pPr>
          <w:r>
            <w:rPr>
              <w:color w:val="auto"/>
            </w:rPr>
            <w:fldChar w:fldCharType="begin"/>
          </w:r>
          <w:r>
            <w:rPr>
              <w:color w:val="auto"/>
            </w:rPr>
            <w:instrText xml:space="preserve"> HYPERLINK \l "_Toc28587" </w:instrText>
          </w:r>
          <w:r>
            <w:rPr>
              <w:color w:val="auto"/>
            </w:rPr>
            <w:fldChar w:fldCharType="separate"/>
          </w:r>
          <w:r>
            <w:rPr>
              <w:rFonts w:hint="eastAsia" w:ascii="宋体" w:hAnsi="宋体" w:eastAsia="方正小标宋简体" w:cs="方正小标宋简体"/>
              <w:bCs/>
              <w:color w:val="auto"/>
              <w:sz w:val="32"/>
              <w:szCs w:val="32"/>
            </w:rPr>
            <w:t>第二部分乐山市五通桥区旅游促进和服务中心2023年部门预算表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_Toc28587 \h </w:instrText>
          </w:r>
          <w:r>
            <w:rPr>
              <w:rFonts w:ascii="宋体" w:hAnsi="宋体"/>
              <w:color w:val="auto"/>
              <w:sz w:val="32"/>
              <w:szCs w:val="32"/>
            </w:rPr>
            <w:fldChar w:fldCharType="separate"/>
          </w:r>
          <w:r>
            <w:rPr>
              <w:rFonts w:ascii="宋体" w:hAnsi="宋体"/>
              <w:color w:val="auto"/>
              <w:sz w:val="32"/>
              <w:szCs w:val="32"/>
            </w:rPr>
            <w:t>4</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"_Toc12069" </w:instrText>
          </w:r>
          <w:r>
            <w:rPr>
              <w:color w:val="auto"/>
            </w:rPr>
            <w:fldChar w:fldCharType="separate"/>
          </w:r>
          <w:r>
            <w:rPr>
              <w:rFonts w:hint="eastAsia" w:ascii="宋体" w:hAnsi="宋体"/>
              <w:color w:val="auto"/>
              <w:sz w:val="32"/>
              <w:szCs w:val="32"/>
            </w:rPr>
            <w:t>一、部门收支总表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_Toc12069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"_Toc27995" </w:instrText>
          </w:r>
          <w:r>
            <w:rPr>
              <w:color w:val="auto"/>
            </w:rPr>
            <w:fldChar w:fldCharType="separate"/>
          </w:r>
          <w:r>
            <w:rPr>
              <w:rFonts w:hint="eastAsia" w:ascii="宋体" w:hAnsi="宋体"/>
              <w:color w:val="auto"/>
              <w:sz w:val="32"/>
              <w:szCs w:val="32"/>
            </w:rPr>
            <w:t>二、部门收入总表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_Toc27995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"_Toc3639" </w:instrText>
          </w:r>
          <w:r>
            <w:rPr>
              <w:color w:val="auto"/>
            </w:rPr>
            <w:fldChar w:fldCharType="separate"/>
          </w:r>
          <w:r>
            <w:rPr>
              <w:rFonts w:hint="eastAsia" w:ascii="宋体" w:hAnsi="宋体"/>
              <w:color w:val="auto"/>
              <w:sz w:val="32"/>
              <w:szCs w:val="32"/>
            </w:rPr>
            <w:t>三、部门支出总表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_Toc3639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"_Toc25815" </w:instrText>
          </w:r>
          <w:r>
            <w:rPr>
              <w:color w:val="auto"/>
            </w:rPr>
            <w:fldChar w:fldCharType="separate"/>
          </w:r>
          <w:r>
            <w:rPr>
              <w:rFonts w:hint="eastAsia" w:ascii="宋体" w:hAnsi="宋体"/>
              <w:color w:val="auto"/>
              <w:sz w:val="32"/>
              <w:szCs w:val="32"/>
            </w:rPr>
            <w:t>四、财政拨款收支预算总表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_Toc25815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"_Toc4686" </w:instrText>
          </w:r>
          <w:r>
            <w:rPr>
              <w:color w:val="auto"/>
            </w:rPr>
            <w:fldChar w:fldCharType="separate"/>
          </w:r>
          <w:r>
            <w:rPr>
              <w:rFonts w:hint="eastAsia" w:ascii="宋体" w:hAnsi="宋体"/>
              <w:color w:val="auto"/>
              <w:sz w:val="32"/>
              <w:szCs w:val="32"/>
            </w:rPr>
            <w:t>五、财政拨款支出预算表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_Toc4686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"_Toc7952" </w:instrText>
          </w:r>
          <w:r>
            <w:rPr>
              <w:color w:val="auto"/>
            </w:rPr>
            <w:fldChar w:fldCharType="separate"/>
          </w:r>
          <w:r>
            <w:rPr>
              <w:rFonts w:hint="eastAsia" w:ascii="宋体" w:hAnsi="宋体"/>
              <w:color w:val="auto"/>
              <w:sz w:val="32"/>
              <w:szCs w:val="32"/>
            </w:rPr>
            <w:t>六、一般公共预算支出预算表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_Toc7952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"_Toc32200" </w:instrText>
          </w:r>
          <w:r>
            <w:rPr>
              <w:color w:val="auto"/>
            </w:rPr>
            <w:fldChar w:fldCharType="separate"/>
          </w:r>
          <w:r>
            <w:rPr>
              <w:rFonts w:hint="eastAsia" w:ascii="宋体" w:hAnsi="宋体"/>
              <w:color w:val="auto"/>
              <w:sz w:val="32"/>
              <w:szCs w:val="32"/>
            </w:rPr>
            <w:t>七、一般公共预算基本支出预算表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_Toc32200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"_Toc17751" </w:instrText>
          </w:r>
          <w:r>
            <w:rPr>
              <w:color w:val="auto"/>
            </w:rPr>
            <w:fldChar w:fldCharType="separate"/>
          </w:r>
          <w:r>
            <w:rPr>
              <w:rFonts w:hint="eastAsia" w:ascii="宋体" w:hAnsi="宋体"/>
              <w:color w:val="auto"/>
              <w:sz w:val="32"/>
              <w:szCs w:val="32"/>
            </w:rPr>
            <w:t>八、一般公共预算项目支出预算表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_Toc17751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"_Toc11119" </w:instrText>
          </w:r>
          <w:r>
            <w:rPr>
              <w:color w:val="auto"/>
            </w:rPr>
            <w:fldChar w:fldCharType="separate"/>
          </w:r>
          <w:r>
            <w:rPr>
              <w:rFonts w:hint="eastAsia" w:ascii="宋体" w:hAnsi="宋体"/>
              <w:color w:val="auto"/>
              <w:sz w:val="32"/>
              <w:szCs w:val="32"/>
            </w:rPr>
            <w:t>九、一般公共预算“三公”经费支出预算表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_Toc11119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"_Toc19211" </w:instrText>
          </w:r>
          <w:r>
            <w:rPr>
              <w:color w:val="auto"/>
            </w:rPr>
            <w:fldChar w:fldCharType="separate"/>
          </w:r>
          <w:r>
            <w:rPr>
              <w:rFonts w:hint="eastAsia" w:ascii="宋体" w:hAnsi="宋体"/>
              <w:color w:val="auto"/>
              <w:sz w:val="32"/>
              <w:szCs w:val="32"/>
            </w:rPr>
            <w:t>十、政府性基金预算支出表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_Toc19211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"_Toc7676" </w:instrText>
          </w:r>
          <w:r>
            <w:rPr>
              <w:color w:val="auto"/>
            </w:rPr>
            <w:fldChar w:fldCharType="separate"/>
          </w:r>
          <w:r>
            <w:rPr>
              <w:rFonts w:hint="eastAsia" w:ascii="宋体" w:hAnsi="宋体"/>
              <w:color w:val="auto"/>
              <w:sz w:val="32"/>
              <w:szCs w:val="32"/>
            </w:rPr>
            <w:t>十一、政府性基金预算“三公”经费支出预算表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_Toc7676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"_Toc22917" </w:instrText>
          </w:r>
          <w:r>
            <w:rPr>
              <w:color w:val="auto"/>
            </w:rPr>
            <w:fldChar w:fldCharType="separate"/>
          </w:r>
          <w:r>
            <w:rPr>
              <w:rFonts w:hint="eastAsia" w:ascii="宋体" w:hAnsi="宋体"/>
              <w:color w:val="auto"/>
              <w:sz w:val="32"/>
              <w:szCs w:val="32"/>
            </w:rPr>
            <w:t>十二、国有资本经营预算支出表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_Toc22917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"_Toc27847" </w:instrText>
          </w:r>
          <w:r>
            <w:rPr>
              <w:color w:val="auto"/>
            </w:rPr>
            <w:fldChar w:fldCharType="separate"/>
          </w:r>
          <w:r>
            <w:rPr>
              <w:rFonts w:hint="eastAsia" w:ascii="宋体" w:hAnsi="宋体"/>
              <w:color w:val="auto"/>
              <w:sz w:val="32"/>
              <w:szCs w:val="32"/>
            </w:rPr>
            <w:t>十三、部门整体支出绩效目标表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_Toc27847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"_Toc30878" </w:instrText>
          </w:r>
          <w:r>
            <w:rPr>
              <w:color w:val="auto"/>
            </w:rPr>
            <w:fldChar w:fldCharType="separate"/>
          </w:r>
          <w:r>
            <w:rPr>
              <w:rFonts w:hint="eastAsia" w:ascii="宋体" w:hAnsi="宋体"/>
              <w:color w:val="auto"/>
              <w:sz w:val="32"/>
              <w:szCs w:val="32"/>
            </w:rPr>
            <w:t>十四、部门预算项目支出绩效目标表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_Toc30878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"_Toc32437" </w:instrText>
          </w:r>
          <w:r>
            <w:rPr>
              <w:color w:val="auto"/>
            </w:rPr>
            <w:fldChar w:fldCharType="separate"/>
          </w:r>
          <w:r>
            <w:rPr>
              <w:rFonts w:hint="eastAsia" w:ascii="宋体" w:hAnsi="宋体"/>
              <w:color w:val="auto"/>
              <w:sz w:val="32"/>
              <w:szCs w:val="32"/>
            </w:rPr>
            <w:t>十五、政府采购预算表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_Toc32437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4"/>
            <w:tabs>
              <w:tab w:val="right" w:leader="dot" w:pos="9812"/>
            </w:tabs>
            <w:spacing w:line="560" w:lineRule="exact"/>
            <w:rPr>
              <w:rFonts w:ascii="宋体" w:hAnsi="宋体"/>
              <w:color w:val="auto"/>
              <w:sz w:val="32"/>
              <w:szCs w:val="32"/>
            </w:rPr>
          </w:pPr>
          <w:r>
            <w:rPr>
              <w:color w:val="auto"/>
            </w:rPr>
            <w:fldChar w:fldCharType="begin"/>
          </w:r>
          <w:r>
            <w:rPr>
              <w:color w:val="auto"/>
            </w:rPr>
            <w:instrText xml:space="preserve"> HYPERLINK \l "_Toc19948" </w:instrText>
          </w:r>
          <w:r>
            <w:rPr>
              <w:color w:val="auto"/>
            </w:rPr>
            <w:fldChar w:fldCharType="separate"/>
          </w:r>
          <w:r>
            <w:rPr>
              <w:rFonts w:hint="eastAsia" w:ascii="宋体" w:hAnsi="宋体" w:eastAsia="方正小标宋简体" w:cs="方正小标宋简体"/>
              <w:color w:val="auto"/>
              <w:sz w:val="32"/>
              <w:szCs w:val="32"/>
            </w:rPr>
            <w:t>第三部分乐山市五通桥区旅游促进和服务中心2023年部门预算情况说明</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_Toc19948 \h </w:instrText>
          </w:r>
          <w:r>
            <w:rPr>
              <w:rFonts w:ascii="宋体" w:hAnsi="宋体"/>
              <w:color w:val="auto"/>
              <w:sz w:val="32"/>
              <w:szCs w:val="32"/>
            </w:rPr>
            <w:fldChar w:fldCharType="separate"/>
          </w:r>
          <w:r>
            <w:rPr>
              <w:rFonts w:ascii="宋体" w:hAnsi="宋体"/>
              <w:color w:val="auto"/>
              <w:sz w:val="32"/>
              <w:szCs w:val="32"/>
            </w:rPr>
            <w:t>6</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Chars="0" w:firstLine="400" w:firstLineChars="200"/>
            <w:rPr>
              <w:rFonts w:ascii="宋体" w:hAnsi="宋体"/>
              <w:color w:val="auto"/>
              <w:sz w:val="32"/>
              <w:szCs w:val="32"/>
            </w:rPr>
          </w:pPr>
          <w:r>
            <w:rPr>
              <w:color w:val="auto"/>
            </w:rPr>
            <w:fldChar w:fldCharType="begin"/>
          </w:r>
          <w:r>
            <w:rPr>
              <w:color w:val="auto"/>
            </w:rPr>
            <w:instrText xml:space="preserve"> HYPERLINK \l "_Toc469" </w:instrText>
          </w:r>
          <w:r>
            <w:rPr>
              <w:color w:val="auto"/>
            </w:rPr>
            <w:fldChar w:fldCharType="separate"/>
          </w:r>
          <w:r>
            <w:rPr>
              <w:rFonts w:hint="eastAsia" w:ascii="宋体" w:hAnsi="宋体" w:eastAsia="黑体"/>
              <w:color w:val="auto"/>
              <w:sz w:val="32"/>
              <w:szCs w:val="32"/>
            </w:rPr>
            <w:t>一、收支预算情况说明</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_Toc469 \h </w:instrText>
          </w:r>
          <w:r>
            <w:rPr>
              <w:rFonts w:ascii="宋体" w:hAnsi="宋体"/>
              <w:color w:val="auto"/>
              <w:sz w:val="32"/>
              <w:szCs w:val="32"/>
            </w:rPr>
            <w:fldChar w:fldCharType="separate"/>
          </w:r>
          <w:r>
            <w:rPr>
              <w:rFonts w:ascii="宋体" w:hAnsi="宋体"/>
              <w:color w:val="auto"/>
              <w:sz w:val="32"/>
              <w:szCs w:val="32"/>
            </w:rPr>
            <w:t>7</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"_Toc12176" </w:instrText>
          </w:r>
          <w:r>
            <w:rPr>
              <w:color w:val="auto"/>
            </w:rPr>
            <w:fldChar w:fldCharType="separate"/>
          </w:r>
          <w:r>
            <w:rPr>
              <w:rFonts w:ascii="宋体" w:hAnsi="宋体"/>
              <w:color w:val="auto"/>
              <w:sz w:val="32"/>
              <w:szCs w:val="32"/>
            </w:rPr>
            <w:t>（一）收入预算情况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_Toc12176 \h </w:instrText>
          </w:r>
          <w:r>
            <w:rPr>
              <w:rFonts w:ascii="宋体" w:hAnsi="宋体"/>
              <w:color w:val="auto"/>
              <w:sz w:val="32"/>
              <w:szCs w:val="32"/>
            </w:rPr>
            <w:fldChar w:fldCharType="separate"/>
          </w:r>
          <w:r>
            <w:rPr>
              <w:rFonts w:ascii="宋体" w:hAnsi="宋体"/>
              <w:color w:val="auto"/>
              <w:sz w:val="32"/>
              <w:szCs w:val="32"/>
            </w:rPr>
            <w:t>7</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"_Toc23149" </w:instrText>
          </w:r>
          <w:r>
            <w:rPr>
              <w:color w:val="auto"/>
            </w:rPr>
            <w:fldChar w:fldCharType="separate"/>
          </w:r>
          <w:r>
            <w:rPr>
              <w:rFonts w:ascii="宋体" w:hAnsi="宋体"/>
              <w:color w:val="auto"/>
              <w:sz w:val="32"/>
              <w:szCs w:val="32"/>
            </w:rPr>
            <w:t>（二）支出预算情况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_Toc23149 \h </w:instrText>
          </w:r>
          <w:r>
            <w:rPr>
              <w:rFonts w:ascii="宋体" w:hAnsi="宋体"/>
              <w:color w:val="auto"/>
              <w:sz w:val="32"/>
              <w:szCs w:val="32"/>
            </w:rPr>
            <w:fldChar w:fldCharType="separate"/>
          </w:r>
          <w:r>
            <w:rPr>
              <w:rFonts w:ascii="宋体" w:hAnsi="宋体"/>
              <w:color w:val="auto"/>
              <w:sz w:val="32"/>
              <w:szCs w:val="32"/>
            </w:rPr>
            <w:t>7</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"_Toc729" </w:instrText>
          </w:r>
          <w:r>
            <w:rPr>
              <w:color w:val="auto"/>
            </w:rPr>
            <w:fldChar w:fldCharType="separate"/>
          </w:r>
          <w:r>
            <w:rPr>
              <w:rFonts w:hint="eastAsia" w:ascii="宋体" w:hAnsi="宋体" w:eastAsia="黑体"/>
              <w:color w:val="auto"/>
              <w:sz w:val="32"/>
              <w:szCs w:val="32"/>
            </w:rPr>
            <w:t>二、财政拨款收支预算情况说明</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_Toc729 \h </w:instrText>
          </w:r>
          <w:r>
            <w:rPr>
              <w:rFonts w:ascii="宋体" w:hAnsi="宋体"/>
              <w:color w:val="auto"/>
              <w:sz w:val="32"/>
              <w:szCs w:val="32"/>
            </w:rPr>
            <w:fldChar w:fldCharType="separate"/>
          </w:r>
          <w:r>
            <w:rPr>
              <w:rFonts w:ascii="宋体" w:hAnsi="宋体"/>
              <w:color w:val="auto"/>
              <w:sz w:val="32"/>
              <w:szCs w:val="32"/>
            </w:rPr>
            <w:t>7</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"_Toc32511" </w:instrText>
          </w:r>
          <w:r>
            <w:rPr>
              <w:color w:val="auto"/>
            </w:rPr>
            <w:fldChar w:fldCharType="separate"/>
          </w:r>
          <w:r>
            <w:rPr>
              <w:rFonts w:hint="eastAsia" w:ascii="宋体" w:hAnsi="宋体" w:eastAsia="黑体"/>
              <w:color w:val="auto"/>
              <w:sz w:val="32"/>
              <w:szCs w:val="32"/>
            </w:rPr>
            <w:t>三、一般公共预算当年拨款情况说明</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_Toc32511 \h </w:instrText>
          </w:r>
          <w:r>
            <w:rPr>
              <w:rFonts w:ascii="宋体" w:hAnsi="宋体"/>
              <w:color w:val="auto"/>
              <w:sz w:val="32"/>
              <w:szCs w:val="32"/>
            </w:rPr>
            <w:fldChar w:fldCharType="separate"/>
          </w:r>
          <w:r>
            <w:rPr>
              <w:rFonts w:ascii="宋体" w:hAnsi="宋体"/>
              <w:color w:val="auto"/>
              <w:sz w:val="32"/>
              <w:szCs w:val="32"/>
            </w:rPr>
            <w:t>8</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"_Toc6394" </w:instrText>
          </w:r>
          <w:r>
            <w:rPr>
              <w:color w:val="auto"/>
            </w:rPr>
            <w:fldChar w:fldCharType="separate"/>
          </w:r>
          <w:r>
            <w:rPr>
              <w:rFonts w:ascii="宋体" w:hAnsi="宋体"/>
              <w:color w:val="auto"/>
              <w:sz w:val="32"/>
              <w:szCs w:val="32"/>
            </w:rPr>
            <w:t>（一）一般公共预算当年拨款规模变化情况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_Toc6394 \h </w:instrText>
          </w:r>
          <w:r>
            <w:rPr>
              <w:rFonts w:ascii="宋体" w:hAnsi="宋体"/>
              <w:color w:val="auto"/>
              <w:sz w:val="32"/>
              <w:szCs w:val="32"/>
            </w:rPr>
            <w:fldChar w:fldCharType="separate"/>
          </w:r>
          <w:r>
            <w:rPr>
              <w:rFonts w:ascii="宋体" w:hAnsi="宋体"/>
              <w:color w:val="auto"/>
              <w:sz w:val="32"/>
              <w:szCs w:val="32"/>
            </w:rPr>
            <w:t>8</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"_Toc5045" </w:instrText>
          </w:r>
          <w:r>
            <w:rPr>
              <w:color w:val="auto"/>
            </w:rPr>
            <w:fldChar w:fldCharType="separate"/>
          </w:r>
          <w:r>
            <w:rPr>
              <w:rFonts w:ascii="宋体" w:hAnsi="宋体"/>
              <w:color w:val="auto"/>
              <w:sz w:val="32"/>
              <w:szCs w:val="32"/>
            </w:rPr>
            <w:t>（二）一般公共预算当年拨款结构情况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_Toc5045 \h </w:instrText>
          </w:r>
          <w:r>
            <w:rPr>
              <w:rFonts w:ascii="宋体" w:hAnsi="宋体"/>
              <w:color w:val="auto"/>
              <w:sz w:val="32"/>
              <w:szCs w:val="32"/>
            </w:rPr>
            <w:fldChar w:fldCharType="separate"/>
          </w:r>
          <w:r>
            <w:rPr>
              <w:rFonts w:ascii="宋体" w:hAnsi="宋体"/>
              <w:color w:val="auto"/>
              <w:sz w:val="32"/>
              <w:szCs w:val="32"/>
            </w:rPr>
            <w:t>8</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"_Toc11698" </w:instrText>
          </w:r>
          <w:r>
            <w:rPr>
              <w:color w:val="auto"/>
            </w:rPr>
            <w:fldChar w:fldCharType="separate"/>
          </w:r>
          <w:r>
            <w:rPr>
              <w:rFonts w:ascii="宋体" w:hAnsi="宋体"/>
              <w:color w:val="auto"/>
              <w:sz w:val="32"/>
              <w:szCs w:val="32"/>
            </w:rPr>
            <w:t>（三）一般公共预算当年拨款具体使用情况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_Toc11698 \h </w:instrText>
          </w:r>
          <w:r>
            <w:rPr>
              <w:rFonts w:ascii="宋体" w:hAnsi="宋体"/>
              <w:color w:val="auto"/>
              <w:sz w:val="32"/>
              <w:szCs w:val="32"/>
            </w:rPr>
            <w:fldChar w:fldCharType="separate"/>
          </w:r>
          <w:r>
            <w:rPr>
              <w:rFonts w:ascii="宋体" w:hAnsi="宋体"/>
              <w:color w:val="auto"/>
              <w:sz w:val="32"/>
              <w:szCs w:val="32"/>
            </w:rPr>
            <w:t>9</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"_Toc21665" </w:instrText>
          </w:r>
          <w:r>
            <w:rPr>
              <w:color w:val="auto"/>
            </w:rPr>
            <w:fldChar w:fldCharType="separate"/>
          </w:r>
          <w:r>
            <w:rPr>
              <w:rFonts w:hint="eastAsia" w:ascii="宋体" w:hAnsi="宋体" w:eastAsia="黑体"/>
              <w:color w:val="auto"/>
              <w:sz w:val="32"/>
              <w:szCs w:val="32"/>
            </w:rPr>
            <w:t>四、一般公共预算基本支出情况说明</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_Toc21665 \h </w:instrText>
          </w:r>
          <w:r>
            <w:rPr>
              <w:rFonts w:ascii="宋体" w:hAnsi="宋体"/>
              <w:color w:val="auto"/>
              <w:sz w:val="32"/>
              <w:szCs w:val="32"/>
            </w:rPr>
            <w:fldChar w:fldCharType="separate"/>
          </w:r>
          <w:r>
            <w:rPr>
              <w:rFonts w:ascii="宋体" w:hAnsi="宋体"/>
              <w:color w:val="auto"/>
              <w:sz w:val="32"/>
              <w:szCs w:val="32"/>
            </w:rPr>
            <w:t>9</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"_Toc1746" </w:instrText>
          </w:r>
          <w:r>
            <w:rPr>
              <w:color w:val="auto"/>
            </w:rPr>
            <w:fldChar w:fldCharType="separate"/>
          </w:r>
          <w:r>
            <w:rPr>
              <w:rFonts w:hint="eastAsia" w:ascii="宋体" w:hAnsi="宋体" w:eastAsia="黑体"/>
              <w:color w:val="auto"/>
              <w:sz w:val="32"/>
              <w:szCs w:val="32"/>
            </w:rPr>
            <w:t>五、“三公”经费财政拨款预算安排情况说明</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_Toc1746 \h </w:instrText>
          </w:r>
          <w:r>
            <w:rPr>
              <w:rFonts w:ascii="宋体" w:hAnsi="宋体"/>
              <w:color w:val="auto"/>
              <w:sz w:val="32"/>
              <w:szCs w:val="32"/>
            </w:rPr>
            <w:fldChar w:fldCharType="separate"/>
          </w:r>
          <w:r>
            <w:rPr>
              <w:rFonts w:ascii="宋体" w:hAnsi="宋体"/>
              <w:color w:val="auto"/>
              <w:sz w:val="32"/>
              <w:szCs w:val="32"/>
            </w:rPr>
            <w:t>11</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"_Toc10802" </w:instrText>
          </w:r>
          <w:r>
            <w:rPr>
              <w:color w:val="auto"/>
            </w:rPr>
            <w:fldChar w:fldCharType="separate"/>
          </w:r>
          <w:r>
            <w:rPr>
              <w:rFonts w:ascii="宋体" w:hAnsi="宋体"/>
              <w:color w:val="auto"/>
              <w:sz w:val="32"/>
              <w:szCs w:val="32"/>
            </w:rPr>
            <w:t>（一）</w:t>
          </w:r>
          <w:r>
            <w:rPr>
              <w:rFonts w:hint="eastAsia" w:ascii="宋体" w:hAnsi="宋体"/>
              <w:color w:val="auto"/>
              <w:sz w:val="32"/>
              <w:szCs w:val="32"/>
            </w:rPr>
            <w:t>公务接待费变化情况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_Toc10802 \h </w:instrText>
          </w:r>
          <w:r>
            <w:rPr>
              <w:rFonts w:ascii="宋体" w:hAnsi="宋体"/>
              <w:color w:val="auto"/>
              <w:sz w:val="32"/>
              <w:szCs w:val="32"/>
            </w:rPr>
            <w:fldChar w:fldCharType="separate"/>
          </w:r>
          <w:r>
            <w:rPr>
              <w:rFonts w:ascii="宋体" w:hAnsi="宋体"/>
              <w:color w:val="auto"/>
              <w:sz w:val="32"/>
              <w:szCs w:val="32"/>
            </w:rPr>
            <w:t>11</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"_Toc17768" </w:instrText>
          </w:r>
          <w:r>
            <w:rPr>
              <w:color w:val="auto"/>
            </w:rPr>
            <w:fldChar w:fldCharType="separate"/>
          </w:r>
          <w:r>
            <w:rPr>
              <w:rFonts w:ascii="宋体" w:hAnsi="宋体"/>
              <w:color w:val="auto"/>
              <w:sz w:val="32"/>
              <w:szCs w:val="32"/>
            </w:rPr>
            <w:t>（</w:t>
          </w:r>
          <w:r>
            <w:rPr>
              <w:rFonts w:hint="eastAsia" w:ascii="宋体" w:hAnsi="宋体"/>
              <w:color w:val="auto"/>
              <w:sz w:val="32"/>
              <w:szCs w:val="32"/>
            </w:rPr>
            <w:t>二</w:t>
          </w:r>
          <w:r>
            <w:rPr>
              <w:rFonts w:ascii="宋体" w:hAnsi="宋体"/>
              <w:color w:val="auto"/>
              <w:sz w:val="32"/>
              <w:szCs w:val="32"/>
            </w:rPr>
            <w:t>）</w:t>
          </w:r>
          <w:r>
            <w:rPr>
              <w:rFonts w:hint="eastAsia" w:ascii="宋体" w:hAnsi="宋体"/>
              <w:color w:val="auto"/>
              <w:sz w:val="32"/>
              <w:szCs w:val="32"/>
            </w:rPr>
            <w:t>公务用车购置及运行维护费变化情况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_Toc17768 \h </w:instrText>
          </w:r>
          <w:r>
            <w:rPr>
              <w:rFonts w:ascii="宋体" w:hAnsi="宋体"/>
              <w:color w:val="auto"/>
              <w:sz w:val="32"/>
              <w:szCs w:val="32"/>
            </w:rPr>
            <w:fldChar w:fldCharType="separate"/>
          </w:r>
          <w:r>
            <w:rPr>
              <w:rFonts w:ascii="宋体" w:hAnsi="宋体"/>
              <w:color w:val="auto"/>
              <w:sz w:val="32"/>
              <w:szCs w:val="32"/>
            </w:rPr>
            <w:t>12</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"_Toc2610" </w:instrText>
          </w:r>
          <w:r>
            <w:rPr>
              <w:color w:val="auto"/>
            </w:rPr>
            <w:fldChar w:fldCharType="separate"/>
          </w:r>
          <w:r>
            <w:rPr>
              <w:rFonts w:hint="eastAsia" w:ascii="宋体" w:hAnsi="宋体" w:eastAsia="黑体"/>
              <w:color w:val="auto"/>
              <w:sz w:val="32"/>
              <w:szCs w:val="32"/>
            </w:rPr>
            <w:t>六、政府性基金预算支出情况说明</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_Toc2610 \h </w:instrText>
          </w:r>
          <w:r>
            <w:rPr>
              <w:rFonts w:ascii="宋体" w:hAnsi="宋体"/>
              <w:color w:val="auto"/>
              <w:sz w:val="32"/>
              <w:szCs w:val="32"/>
            </w:rPr>
            <w:fldChar w:fldCharType="separate"/>
          </w:r>
          <w:r>
            <w:rPr>
              <w:rFonts w:ascii="宋体" w:hAnsi="宋体"/>
              <w:color w:val="auto"/>
              <w:sz w:val="32"/>
              <w:szCs w:val="32"/>
            </w:rPr>
            <w:t>12</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"_Toc17731" </w:instrText>
          </w:r>
          <w:r>
            <w:rPr>
              <w:color w:val="auto"/>
            </w:rPr>
            <w:fldChar w:fldCharType="separate"/>
          </w:r>
          <w:r>
            <w:rPr>
              <w:rFonts w:hint="eastAsia" w:ascii="宋体" w:hAnsi="宋体" w:eastAsia="黑体"/>
              <w:color w:val="auto"/>
              <w:sz w:val="32"/>
              <w:szCs w:val="32"/>
            </w:rPr>
            <w:t>七、国有资本经营预算情况说明</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_Toc17731 \h </w:instrText>
          </w:r>
          <w:r>
            <w:rPr>
              <w:rFonts w:ascii="宋体" w:hAnsi="宋体"/>
              <w:color w:val="auto"/>
              <w:sz w:val="32"/>
              <w:szCs w:val="32"/>
            </w:rPr>
            <w:fldChar w:fldCharType="separate"/>
          </w:r>
          <w:r>
            <w:rPr>
              <w:rFonts w:ascii="宋体" w:hAnsi="宋体"/>
              <w:color w:val="auto"/>
              <w:sz w:val="32"/>
              <w:szCs w:val="32"/>
            </w:rPr>
            <w:t>12</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"_Toc20919" </w:instrText>
          </w:r>
          <w:r>
            <w:rPr>
              <w:color w:val="auto"/>
            </w:rPr>
            <w:fldChar w:fldCharType="separate"/>
          </w:r>
          <w:r>
            <w:rPr>
              <w:rFonts w:hint="eastAsia" w:ascii="宋体" w:hAnsi="宋体" w:eastAsia="黑体"/>
              <w:color w:val="auto"/>
              <w:sz w:val="32"/>
              <w:szCs w:val="32"/>
            </w:rPr>
            <w:t>八、其他重要事项的情况说明</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_Toc20919 \h </w:instrText>
          </w:r>
          <w:r>
            <w:rPr>
              <w:rFonts w:ascii="宋体" w:hAnsi="宋体"/>
              <w:color w:val="auto"/>
              <w:sz w:val="32"/>
              <w:szCs w:val="32"/>
            </w:rPr>
            <w:fldChar w:fldCharType="separate"/>
          </w:r>
          <w:r>
            <w:rPr>
              <w:rFonts w:ascii="宋体" w:hAnsi="宋体"/>
              <w:color w:val="auto"/>
              <w:sz w:val="32"/>
              <w:szCs w:val="32"/>
            </w:rPr>
            <w:t>13</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"_Toc9621" </w:instrText>
          </w:r>
          <w:r>
            <w:rPr>
              <w:color w:val="auto"/>
            </w:rPr>
            <w:fldChar w:fldCharType="separate"/>
          </w:r>
          <w:r>
            <w:rPr>
              <w:rFonts w:ascii="宋体" w:hAnsi="宋体"/>
              <w:color w:val="auto"/>
              <w:sz w:val="32"/>
              <w:szCs w:val="32"/>
            </w:rPr>
            <w:t>（一）机关运行经费情况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_Toc9621 \h </w:instrText>
          </w:r>
          <w:r>
            <w:rPr>
              <w:rFonts w:ascii="宋体" w:hAnsi="宋体"/>
              <w:color w:val="auto"/>
              <w:sz w:val="32"/>
              <w:szCs w:val="32"/>
            </w:rPr>
            <w:fldChar w:fldCharType="separate"/>
          </w:r>
          <w:r>
            <w:rPr>
              <w:rFonts w:ascii="宋体" w:hAnsi="宋体"/>
              <w:color w:val="auto"/>
              <w:sz w:val="32"/>
              <w:szCs w:val="32"/>
            </w:rPr>
            <w:t>13</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"_Toc26552" </w:instrText>
          </w:r>
          <w:r>
            <w:rPr>
              <w:color w:val="auto"/>
            </w:rPr>
            <w:fldChar w:fldCharType="separate"/>
          </w:r>
          <w:r>
            <w:rPr>
              <w:rFonts w:ascii="宋体" w:hAnsi="宋体"/>
              <w:color w:val="auto"/>
              <w:sz w:val="32"/>
              <w:szCs w:val="32"/>
            </w:rPr>
            <w:t>（二）政府采购情况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_Toc26552 \h </w:instrText>
          </w:r>
          <w:r>
            <w:rPr>
              <w:rFonts w:ascii="宋体" w:hAnsi="宋体"/>
              <w:color w:val="auto"/>
              <w:sz w:val="32"/>
              <w:szCs w:val="32"/>
            </w:rPr>
            <w:fldChar w:fldCharType="separate"/>
          </w:r>
          <w:r>
            <w:rPr>
              <w:rFonts w:ascii="宋体" w:hAnsi="宋体"/>
              <w:color w:val="auto"/>
              <w:sz w:val="32"/>
              <w:szCs w:val="32"/>
            </w:rPr>
            <w:t>13</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"_Toc11208" </w:instrText>
          </w:r>
          <w:r>
            <w:rPr>
              <w:color w:val="auto"/>
            </w:rPr>
            <w:fldChar w:fldCharType="separate"/>
          </w:r>
          <w:r>
            <w:rPr>
              <w:rFonts w:ascii="宋体" w:hAnsi="宋体"/>
              <w:color w:val="auto"/>
              <w:sz w:val="32"/>
              <w:szCs w:val="32"/>
            </w:rPr>
            <w:t>（三）国有资产占有使用情况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_Toc11208 \h </w:instrText>
          </w:r>
          <w:r>
            <w:rPr>
              <w:rFonts w:ascii="宋体" w:hAnsi="宋体"/>
              <w:color w:val="auto"/>
              <w:sz w:val="32"/>
              <w:szCs w:val="32"/>
            </w:rPr>
            <w:fldChar w:fldCharType="separate"/>
          </w:r>
          <w:r>
            <w:rPr>
              <w:rFonts w:ascii="宋体" w:hAnsi="宋体"/>
              <w:color w:val="auto"/>
              <w:sz w:val="32"/>
              <w:szCs w:val="32"/>
            </w:rPr>
            <w:t>13</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"_Toc13599" </w:instrText>
          </w:r>
          <w:r>
            <w:rPr>
              <w:color w:val="auto"/>
            </w:rPr>
            <w:fldChar w:fldCharType="separate"/>
          </w:r>
          <w:r>
            <w:rPr>
              <w:rFonts w:hint="eastAsia" w:ascii="宋体" w:hAnsi="宋体"/>
              <w:color w:val="auto"/>
              <w:sz w:val="32"/>
              <w:szCs w:val="32"/>
            </w:rPr>
            <w:t>（四）</w:t>
          </w:r>
          <w:r>
            <w:rPr>
              <w:rFonts w:ascii="宋体" w:hAnsi="宋体"/>
              <w:color w:val="auto"/>
              <w:sz w:val="32"/>
              <w:szCs w:val="32"/>
            </w:rPr>
            <w:t>预算绩效情况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_Toc13599 \h </w:instrText>
          </w:r>
          <w:r>
            <w:rPr>
              <w:rFonts w:ascii="宋体" w:hAnsi="宋体"/>
              <w:color w:val="auto"/>
              <w:sz w:val="32"/>
              <w:szCs w:val="32"/>
            </w:rPr>
            <w:fldChar w:fldCharType="separate"/>
          </w:r>
          <w:r>
            <w:rPr>
              <w:rFonts w:ascii="宋体" w:hAnsi="宋体"/>
              <w:color w:val="auto"/>
              <w:sz w:val="32"/>
              <w:szCs w:val="32"/>
            </w:rPr>
            <w:t>13</w:t>
          </w:r>
          <w:r>
            <w:rPr>
              <w:rFonts w:ascii="宋体" w:hAnsi="宋体"/>
              <w:color w:val="auto"/>
              <w:sz w:val="32"/>
              <w:szCs w:val="32"/>
            </w:rPr>
            <w:fldChar w:fldCharType="end"/>
          </w:r>
          <w:r>
            <w:rPr>
              <w:rFonts w:ascii="宋体" w:hAnsi="宋体"/>
              <w:color w:val="auto"/>
              <w:sz w:val="32"/>
              <w:szCs w:val="32"/>
            </w:rPr>
            <w:fldChar w:fldCharType="end"/>
          </w:r>
        </w:p>
        <w:p>
          <w:pPr>
            <w:pStyle w:val="14"/>
            <w:tabs>
              <w:tab w:val="right" w:leader="dot" w:pos="9812"/>
            </w:tabs>
            <w:spacing w:line="560" w:lineRule="exact"/>
            <w:rPr>
              <w:rFonts w:ascii="宋体" w:hAnsi="宋体"/>
              <w:color w:val="auto"/>
            </w:rPr>
          </w:pPr>
          <w:r>
            <w:rPr>
              <w:color w:val="auto"/>
            </w:rPr>
            <w:fldChar w:fldCharType="begin"/>
          </w:r>
          <w:r>
            <w:rPr>
              <w:color w:val="auto"/>
            </w:rPr>
            <w:instrText xml:space="preserve"> HYPERLINK \l "_Toc31157" </w:instrText>
          </w:r>
          <w:r>
            <w:rPr>
              <w:color w:val="auto"/>
            </w:rPr>
            <w:fldChar w:fldCharType="separate"/>
          </w:r>
          <w:r>
            <w:rPr>
              <w:rFonts w:hint="eastAsia" w:ascii="宋体" w:hAnsi="宋体" w:eastAsia="方正小标宋简体" w:cs="方正小标宋简体"/>
              <w:color w:val="auto"/>
              <w:sz w:val="32"/>
              <w:szCs w:val="32"/>
            </w:rPr>
            <w:t>第四部分  名词解释</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_Toc31157 \h </w:instrText>
          </w:r>
          <w:r>
            <w:rPr>
              <w:rFonts w:ascii="宋体" w:hAnsi="宋体"/>
              <w:color w:val="auto"/>
              <w:sz w:val="32"/>
              <w:szCs w:val="32"/>
            </w:rPr>
            <w:fldChar w:fldCharType="separate"/>
          </w:r>
          <w:r>
            <w:rPr>
              <w:rFonts w:ascii="宋体" w:hAnsi="宋体"/>
              <w:color w:val="auto"/>
              <w:sz w:val="32"/>
              <w:szCs w:val="32"/>
            </w:rPr>
            <w:t>14</w:t>
          </w:r>
          <w:r>
            <w:rPr>
              <w:rFonts w:ascii="宋体" w:hAnsi="宋体"/>
              <w:color w:val="auto"/>
              <w:sz w:val="32"/>
              <w:szCs w:val="32"/>
            </w:rPr>
            <w:fldChar w:fldCharType="end"/>
          </w:r>
          <w:r>
            <w:rPr>
              <w:rFonts w:ascii="宋体" w:hAnsi="宋体"/>
              <w:color w:val="auto"/>
              <w:sz w:val="32"/>
              <w:szCs w:val="32"/>
            </w:rPr>
            <w:fldChar w:fldCharType="end"/>
          </w:r>
        </w:p>
        <w:p>
          <w:pPr>
            <w:pStyle w:val="5"/>
            <w:tabs>
              <w:tab w:val="left" w:pos="4798"/>
            </w:tabs>
            <w:jc w:val="both"/>
            <w:rPr>
              <w:rFonts w:ascii="宋体" w:hAnsi="宋体" w:eastAsia="方正小标宋简体" w:cs="方正小标宋简体"/>
              <w:b/>
              <w:bCs/>
              <w:color w:val="auto"/>
              <w:sz w:val="48"/>
              <w:szCs w:val="48"/>
              <w:lang w:val="en-US"/>
            </w:rPr>
          </w:pPr>
          <w:r>
            <w:rPr>
              <w:rFonts w:hint="eastAsia" w:ascii="宋体" w:hAnsi="宋体" w:eastAsia="方正小标宋简体" w:cs="方正小标宋简体"/>
              <w:bCs/>
              <w:color w:val="auto"/>
              <w:szCs w:val="48"/>
              <w:lang w:val="en-US"/>
            </w:rPr>
            <w:fldChar w:fldCharType="end"/>
          </w:r>
        </w:p>
      </w:sdtContent>
    </w:sdt>
    <w:p>
      <w:pPr>
        <w:pStyle w:val="5"/>
        <w:rPr>
          <w:rFonts w:ascii="宋体" w:hAnsi="宋体"/>
          <w:color w:val="auto"/>
          <w:sz w:val="20"/>
        </w:rPr>
        <w:sectPr>
          <w:headerReference r:id="rId3" w:type="default"/>
          <w:footerReference r:id="rId4" w:type="default"/>
          <w:pgSz w:w="11910" w:h="16840"/>
          <w:pgMar w:top="1587" w:right="964" w:bottom="1701" w:left="1134" w:header="737" w:footer="737" w:gutter="0"/>
          <w:pgNumType w:start="1"/>
          <w:cols w:space="0" w:num="1"/>
        </w:sect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spacing w:before="3"/>
        <w:rPr>
          <w:rFonts w:ascii="宋体" w:hAnsi="宋体"/>
          <w:color w:val="auto"/>
          <w:sz w:val="28"/>
        </w:rPr>
      </w:pPr>
    </w:p>
    <w:p>
      <w:pPr>
        <w:pStyle w:val="5"/>
        <w:numPr>
          <w:ilvl w:val="0"/>
          <w:numId w:val="1"/>
        </w:numPr>
        <w:jc w:val="center"/>
        <w:outlineLvl w:val="0"/>
        <w:rPr>
          <w:rFonts w:ascii="宋体" w:hAnsi="宋体" w:eastAsia="方正小标宋简体" w:cs="方正小标宋简体"/>
          <w:b/>
          <w:bCs/>
          <w:color w:val="auto"/>
          <w:sz w:val="52"/>
          <w:szCs w:val="52"/>
          <w:lang w:val="en-US"/>
        </w:rPr>
      </w:pPr>
      <w:bookmarkStart w:id="0" w:name="_Toc24981"/>
      <w:r>
        <w:rPr>
          <w:rFonts w:hint="eastAsia" w:ascii="宋体" w:hAnsi="宋体" w:eastAsia="方正小标宋简体" w:cs="方正小标宋简体"/>
          <w:b/>
          <w:bCs/>
          <w:color w:val="auto"/>
          <w:sz w:val="52"/>
          <w:szCs w:val="52"/>
          <w:lang w:val="en-US"/>
        </w:rPr>
        <w:t>部门概况</w:t>
      </w:r>
      <w:bookmarkEnd w:id="0"/>
    </w:p>
    <w:p>
      <w:pPr>
        <w:pStyle w:val="5"/>
        <w:spacing w:before="40" w:afterLines="50"/>
        <w:ind w:firstLine="640" w:firstLineChars="200"/>
        <w:rPr>
          <w:rFonts w:ascii="宋体" w:hAnsi="宋体" w:eastAsia="黑体"/>
          <w:color w:val="auto"/>
        </w:rPr>
      </w:pPr>
    </w:p>
    <w:p>
      <w:pPr>
        <w:pStyle w:val="5"/>
        <w:spacing w:before="40" w:afterLines="50"/>
        <w:ind w:firstLine="640" w:firstLineChars="200"/>
        <w:rPr>
          <w:rFonts w:ascii="宋体" w:hAnsi="宋体" w:eastAsia="黑体"/>
          <w:color w:val="auto"/>
        </w:rPr>
      </w:pPr>
    </w:p>
    <w:p>
      <w:pPr>
        <w:pStyle w:val="5"/>
        <w:spacing w:before="40" w:afterLines="50"/>
        <w:ind w:firstLine="640" w:firstLineChars="200"/>
        <w:rPr>
          <w:rFonts w:ascii="宋体" w:hAnsi="宋体" w:eastAsia="黑体"/>
          <w:color w:val="auto"/>
        </w:rPr>
        <w:sectPr>
          <w:footerReference r:id="rId5" w:type="default"/>
          <w:pgSz w:w="11910" w:h="16840"/>
          <w:pgMar w:top="1587" w:right="964" w:bottom="1701" w:left="1134" w:header="737" w:footer="737" w:gutter="0"/>
          <w:pgNumType w:start="1"/>
          <w:cols w:space="0" w:num="1"/>
        </w:sectPr>
      </w:pPr>
    </w:p>
    <w:p>
      <w:pPr>
        <w:pStyle w:val="5"/>
        <w:spacing w:before="40" w:afterLines="50"/>
        <w:ind w:firstLine="640" w:firstLineChars="200"/>
        <w:outlineLvl w:val="1"/>
        <w:rPr>
          <w:rFonts w:ascii="宋体" w:hAnsi="宋体" w:eastAsia="黑体"/>
          <w:color w:val="auto"/>
        </w:rPr>
      </w:pPr>
      <w:bookmarkStart w:id="1" w:name="_Toc977"/>
      <w:r>
        <w:rPr>
          <w:rFonts w:hint="eastAsia" w:ascii="宋体" w:hAnsi="宋体" w:eastAsia="黑体"/>
          <w:color w:val="auto"/>
        </w:rPr>
        <w:t>一、基本职能及主要工作</w:t>
      </w:r>
      <w:bookmarkEnd w:id="1"/>
    </w:p>
    <w:p>
      <w:pPr>
        <w:pStyle w:val="4"/>
        <w:spacing w:before="100" w:afterLines="50"/>
        <w:ind w:left="0" w:firstLine="643" w:firstLineChars="200"/>
        <w:rPr>
          <w:rFonts w:ascii="宋体" w:hAnsi="宋体"/>
          <w:color w:val="auto"/>
        </w:rPr>
      </w:pPr>
      <w:bookmarkStart w:id="2" w:name="_Toc5540"/>
      <w:r>
        <w:rPr>
          <w:rFonts w:ascii="宋体" w:hAnsi="宋体"/>
          <w:color w:val="auto"/>
        </w:rPr>
        <w:t>（一）部门职能简介</w:t>
      </w:r>
      <w:bookmarkEnd w:id="2"/>
    </w:p>
    <w:p>
      <w:pPr>
        <w:autoSpaceDE/>
        <w:autoSpaceDN/>
        <w:spacing w:line="560" w:lineRule="exact"/>
        <w:ind w:firstLine="640" w:firstLineChars="200"/>
        <w:rPr>
          <w:rFonts w:ascii="仿宋_GB2312" w:eastAsia="仿宋_GB2312" w:cs="Times New Roman"/>
          <w:color w:val="auto"/>
          <w:sz w:val="32"/>
          <w:szCs w:val="32"/>
          <w:lang w:val="en-US"/>
        </w:rPr>
      </w:pPr>
      <w:bookmarkStart w:id="3" w:name="_Toc29132"/>
      <w:r>
        <w:rPr>
          <w:rFonts w:hint="eastAsia" w:ascii="仿宋_GB2312" w:eastAsia="仿宋_GB2312" w:cs="Times New Roman"/>
          <w:color w:val="auto"/>
          <w:sz w:val="32"/>
          <w:szCs w:val="32"/>
          <w:lang w:val="en-US"/>
        </w:rPr>
        <w:t>1．主要职能。</w:t>
      </w:r>
    </w:p>
    <w:p>
      <w:pPr>
        <w:autoSpaceDE/>
        <w:autoSpaceDN/>
        <w:spacing w:line="560" w:lineRule="exact"/>
        <w:ind w:firstLine="640" w:firstLineChars="200"/>
        <w:rPr>
          <w:rFonts w:ascii="仿宋_GB2312" w:eastAsia="仿宋_GB2312" w:cs="Times New Roman"/>
          <w:color w:val="auto"/>
          <w:sz w:val="32"/>
          <w:szCs w:val="32"/>
          <w:lang w:val="en-US"/>
        </w:rPr>
      </w:pPr>
      <w:r>
        <w:rPr>
          <w:rFonts w:hint="eastAsia" w:ascii="仿宋_GB2312" w:eastAsia="仿宋_GB2312" w:cs="Times New Roman"/>
          <w:color w:val="auto"/>
          <w:sz w:val="32"/>
          <w:szCs w:val="32"/>
          <w:lang w:val="en-US"/>
        </w:rPr>
        <w:t>(1)贯彻执行党和国家、省、市有关旅游业的方针、政策及法律、法规；贯彻落实国家、省、市旅游行业设施标准和服务标准。</w:t>
      </w:r>
      <w:r>
        <w:rPr>
          <w:rFonts w:hint="eastAsia" w:ascii="仿宋_GB2312" w:eastAsia="仿宋_GB2312" w:cs="Times New Roman"/>
          <w:color w:val="auto"/>
          <w:sz w:val="32"/>
          <w:szCs w:val="32"/>
          <w:lang w:val="en-US"/>
        </w:rPr>
        <w:br w:type="textWrapping"/>
      </w:r>
      <w:r>
        <w:rPr>
          <w:rFonts w:hint="eastAsia" w:ascii="仿宋_GB2312" w:eastAsia="仿宋_GB2312" w:cs="Times New Roman"/>
          <w:color w:val="auto"/>
          <w:sz w:val="32"/>
          <w:szCs w:val="32"/>
          <w:lang w:val="en-US"/>
        </w:rPr>
        <w:t>　　(2)参与拟定本区旅游市场开发计划，参与实施、审查上报列入国家、省、市计划的旅游基础项目，检查资金和物资的使用状况。</w:t>
      </w:r>
      <w:r>
        <w:rPr>
          <w:rFonts w:hint="eastAsia" w:ascii="仿宋_GB2312" w:eastAsia="仿宋_GB2312" w:cs="Times New Roman"/>
          <w:color w:val="auto"/>
          <w:sz w:val="32"/>
          <w:szCs w:val="32"/>
          <w:lang w:val="en-US"/>
        </w:rPr>
        <w:br w:type="textWrapping"/>
      </w:r>
      <w:r>
        <w:rPr>
          <w:rFonts w:hint="eastAsia" w:ascii="仿宋_GB2312" w:eastAsia="仿宋_GB2312" w:cs="Times New Roman"/>
          <w:color w:val="auto"/>
          <w:sz w:val="32"/>
          <w:szCs w:val="32"/>
          <w:lang w:val="en-US"/>
        </w:rPr>
        <w:t>　　(3)参与全区旅游的宣传营销与招商引资活动，开拓旅游客源市场。</w:t>
      </w:r>
      <w:r>
        <w:rPr>
          <w:rFonts w:hint="eastAsia" w:ascii="仿宋_GB2312" w:eastAsia="仿宋_GB2312" w:cs="Times New Roman"/>
          <w:color w:val="auto"/>
          <w:sz w:val="32"/>
          <w:szCs w:val="32"/>
          <w:lang w:val="en-US"/>
        </w:rPr>
        <w:br w:type="textWrapping"/>
      </w:r>
      <w:r>
        <w:rPr>
          <w:rFonts w:hint="eastAsia" w:ascii="仿宋_GB2312" w:eastAsia="仿宋_GB2312" w:cs="Times New Roman"/>
          <w:color w:val="auto"/>
          <w:sz w:val="32"/>
          <w:szCs w:val="32"/>
          <w:lang w:val="en-US"/>
        </w:rPr>
        <w:t>　　(4)参与对全区旅游市场的安全检查与服务质量检查，受理旅游投诉，维护旅游消费者和经营者合法权益。</w:t>
      </w:r>
      <w:r>
        <w:rPr>
          <w:rFonts w:hint="eastAsia" w:ascii="仿宋_GB2312" w:eastAsia="仿宋_GB2312" w:cs="Times New Roman"/>
          <w:color w:val="auto"/>
          <w:sz w:val="32"/>
          <w:szCs w:val="32"/>
          <w:lang w:val="en-US"/>
        </w:rPr>
        <w:br w:type="textWrapping"/>
      </w:r>
      <w:r>
        <w:rPr>
          <w:rFonts w:hint="eastAsia" w:ascii="仿宋_GB2312" w:eastAsia="仿宋_GB2312" w:cs="Times New Roman"/>
          <w:color w:val="auto"/>
          <w:sz w:val="32"/>
          <w:szCs w:val="32"/>
          <w:lang w:val="en-US"/>
        </w:rPr>
        <w:t xml:space="preserve">    (5)承办区委、区政府交办的其他事项。</w:t>
      </w:r>
    </w:p>
    <w:p>
      <w:pPr>
        <w:autoSpaceDE/>
        <w:autoSpaceDN/>
        <w:spacing w:line="560" w:lineRule="exact"/>
        <w:ind w:firstLine="640" w:firstLineChars="200"/>
        <w:rPr>
          <w:rFonts w:ascii="仿宋_GB2312" w:eastAsia="仿宋_GB2312" w:cs="Times New Roman"/>
          <w:color w:val="auto"/>
          <w:sz w:val="32"/>
          <w:szCs w:val="32"/>
        </w:rPr>
      </w:pPr>
      <w:r>
        <w:rPr>
          <w:rFonts w:hint="eastAsia" w:ascii="仿宋_GB2312" w:eastAsia="仿宋_GB2312" w:cs="Times New Roman"/>
          <w:color w:val="auto"/>
          <w:sz w:val="32"/>
          <w:szCs w:val="32"/>
        </w:rPr>
        <w:t>2．机构情况，</w:t>
      </w:r>
    </w:p>
    <w:p>
      <w:pPr>
        <w:autoSpaceDE/>
        <w:autoSpaceDN/>
        <w:spacing w:line="560" w:lineRule="exact"/>
        <w:ind w:firstLine="640" w:firstLineChars="200"/>
        <w:rPr>
          <w:rFonts w:ascii="仿宋_GB2312" w:eastAsia="仿宋_GB2312" w:cs="Times New Roman"/>
          <w:color w:val="auto"/>
          <w:sz w:val="32"/>
          <w:szCs w:val="32"/>
        </w:rPr>
      </w:pPr>
      <w:r>
        <w:rPr>
          <w:rFonts w:hint="eastAsia" w:ascii="仿宋_GB2312" w:eastAsia="仿宋_GB2312" w:cs="Times New Roman"/>
          <w:color w:val="auto"/>
          <w:sz w:val="32"/>
          <w:szCs w:val="32"/>
        </w:rPr>
        <w:t>本单位为四川省乐山市五通桥区旅游促进和服务中心所属 一 级预算单位，单位性质为参照公务员法管理事业单位，决算编报类型为   单户表，按照政府会计制度填报决算数据。</w:t>
      </w:r>
    </w:p>
    <w:p>
      <w:pPr>
        <w:autoSpaceDE/>
        <w:autoSpaceDN/>
        <w:spacing w:line="560" w:lineRule="exact"/>
        <w:ind w:firstLine="640" w:firstLineChars="200"/>
        <w:rPr>
          <w:rFonts w:ascii="仿宋_GB2312" w:eastAsia="仿宋_GB2312" w:cs="Times New Roman"/>
          <w:color w:val="auto"/>
          <w:sz w:val="32"/>
          <w:szCs w:val="32"/>
        </w:rPr>
      </w:pPr>
      <w:r>
        <w:rPr>
          <w:rFonts w:hint="eastAsia" w:ascii="仿宋_GB2312" w:eastAsia="仿宋_GB2312" w:cs="Times New Roman"/>
          <w:color w:val="auto"/>
          <w:sz w:val="32"/>
          <w:szCs w:val="32"/>
        </w:rPr>
        <w:t>纳入本套决算编制范围的独立核算单位共1个，比上年增减0个，分别是0  。</w:t>
      </w:r>
    </w:p>
    <w:p>
      <w:pPr>
        <w:autoSpaceDE/>
        <w:autoSpaceDN/>
        <w:spacing w:line="560" w:lineRule="exact"/>
        <w:ind w:firstLine="640" w:firstLineChars="200"/>
        <w:rPr>
          <w:rFonts w:ascii="仿宋_GB2312" w:eastAsia="仿宋_GB2312" w:cs="Times New Roman"/>
          <w:color w:val="auto"/>
          <w:sz w:val="32"/>
          <w:szCs w:val="32"/>
          <w:lang w:val="en-US"/>
        </w:rPr>
      </w:pPr>
      <w:r>
        <w:rPr>
          <w:rFonts w:hint="eastAsia" w:ascii="仿宋_GB2312" w:eastAsia="仿宋_GB2312" w:cs="Times New Roman"/>
          <w:color w:val="auto"/>
          <w:sz w:val="32"/>
          <w:szCs w:val="32"/>
          <w:lang w:val="en-US"/>
        </w:rPr>
        <w:t>3．人员情况。</w:t>
      </w:r>
    </w:p>
    <w:p>
      <w:pPr>
        <w:autoSpaceDE/>
        <w:autoSpaceDN/>
        <w:spacing w:line="560" w:lineRule="exact"/>
        <w:ind w:firstLine="640" w:firstLineChars="200"/>
        <w:rPr>
          <w:rFonts w:ascii="仿宋_GB2312" w:eastAsia="仿宋_GB2312" w:cs="Times New Roman"/>
          <w:color w:val="auto"/>
          <w:sz w:val="32"/>
          <w:szCs w:val="32"/>
          <w:lang w:val="en-US"/>
        </w:rPr>
      </w:pPr>
      <w:r>
        <w:rPr>
          <w:rFonts w:hint="eastAsia" w:ascii="仿宋_GB2312" w:eastAsia="仿宋_GB2312" w:cs="Times New Roman"/>
          <w:color w:val="auto"/>
          <w:sz w:val="32"/>
          <w:szCs w:val="32"/>
          <w:lang w:val="en-US"/>
        </w:rPr>
        <w:t>我中心编制共6人，单位负责人正职1人，副职2人，工作人员3人。本年度因工作需要，调出1名正职，调入1名正职。</w:t>
      </w:r>
    </w:p>
    <w:p>
      <w:pPr>
        <w:pStyle w:val="4"/>
        <w:spacing w:before="190"/>
        <w:ind w:left="0" w:firstLine="643" w:firstLineChars="200"/>
        <w:rPr>
          <w:rFonts w:hint="eastAsia" w:ascii="宋体" w:hAnsi="宋体"/>
          <w:color w:val="auto"/>
        </w:rPr>
      </w:pPr>
      <w:r>
        <w:rPr>
          <w:rFonts w:ascii="宋体" w:hAnsi="宋体"/>
          <w:color w:val="auto"/>
        </w:rPr>
        <w:t>（二）部门</w:t>
      </w:r>
      <w:r>
        <w:rPr>
          <w:rFonts w:hint="eastAsia" w:ascii="宋体" w:hAnsi="宋体"/>
          <w:color w:val="auto"/>
          <w:lang w:val="en-US"/>
        </w:rPr>
        <w:t>2023</w:t>
      </w:r>
      <w:r>
        <w:rPr>
          <w:rFonts w:ascii="宋体" w:hAnsi="宋体"/>
          <w:color w:val="auto"/>
        </w:rPr>
        <w:t>年重点工</w:t>
      </w:r>
      <w:r>
        <w:rPr>
          <w:rFonts w:hint="eastAsia" w:ascii="宋体" w:hAnsi="宋体"/>
          <w:color w:val="auto"/>
        </w:rPr>
        <w:t>作</w:t>
      </w:r>
      <w:bookmarkEnd w:id="3"/>
    </w:p>
    <w:p>
      <w:pPr>
        <w:ind w:firstLine="640" w:firstLineChars="200"/>
        <w:rPr>
          <w:rFonts w:ascii="仿宋_GB2312" w:eastAsia="仿宋_GB2312" w:cs="Times New Roman"/>
          <w:color w:val="auto"/>
          <w:sz w:val="32"/>
          <w:szCs w:val="32"/>
          <w:lang w:val="en-US"/>
        </w:rPr>
      </w:pPr>
      <w:r>
        <w:rPr>
          <w:rFonts w:ascii="仿宋_GB2312" w:eastAsia="仿宋_GB2312" w:cs="Times New Roman"/>
          <w:color w:val="auto"/>
          <w:sz w:val="32"/>
          <w:szCs w:val="32"/>
          <w:lang w:val="en-US"/>
        </w:rPr>
        <w:t>2024年旅促中心支持文体旅游局加快推进文旅重大项目建设。深入实施文旅融合战略，树牢“项目为王”理念，坚持看板管理，在确保安全和质量的前提下，加快推进菩提山城市体育公园项目、两河口历史文化街区保护更新工农街段和菩提山绿心公园等重大文旅项目建设，确保项目按时按进度全面完成，打造文旅精品工程。开展乐山全球营销活动。7月举办乐山全球营销（上海站）活动，目前正抓紧对接活动场地、制定活动方案等。</w:t>
      </w:r>
    </w:p>
    <w:p>
      <w:pPr>
        <w:pStyle w:val="5"/>
        <w:spacing w:before="40" w:afterLines="50"/>
        <w:ind w:firstLine="640" w:firstLineChars="200"/>
        <w:outlineLvl w:val="1"/>
        <w:rPr>
          <w:rFonts w:ascii="宋体" w:hAnsi="宋体" w:eastAsia="黑体"/>
          <w:color w:val="auto"/>
        </w:rPr>
      </w:pPr>
      <w:bookmarkStart w:id="4" w:name="_Toc30432"/>
      <w:r>
        <w:rPr>
          <w:rFonts w:hint="eastAsia" w:ascii="宋体" w:hAnsi="宋体" w:eastAsia="黑体"/>
          <w:color w:val="auto"/>
        </w:rPr>
        <w:t>二、部门预算单位构成</w:t>
      </w:r>
      <w:bookmarkEnd w:id="4"/>
    </w:p>
    <w:p>
      <w:pPr>
        <w:pStyle w:val="5"/>
        <w:rPr>
          <w:rFonts w:ascii="宋体" w:hAnsi="宋体"/>
          <w:color w:val="auto"/>
          <w:sz w:val="20"/>
        </w:rPr>
      </w:pPr>
    </w:p>
    <w:p>
      <w:pPr>
        <w:pStyle w:val="5"/>
        <w:ind w:firstLine="640" w:firstLineChars="200"/>
        <w:rPr>
          <w:rFonts w:hAnsi="宋体" w:cs="Times New Roman"/>
          <w:color w:val="auto"/>
          <w:lang w:val="en-US"/>
        </w:rPr>
      </w:pPr>
      <w:r>
        <w:rPr>
          <w:rFonts w:hint="eastAsia" w:hAnsi="宋体" w:cs="Times New Roman"/>
          <w:color w:val="auto"/>
          <w:lang w:val="en-US"/>
        </w:rPr>
        <w:t>本单位为参照公务员法管理的事业单位，无下属预算单位。</w:t>
      </w: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numPr>
          <w:ilvl w:val="0"/>
          <w:numId w:val="2"/>
        </w:numPr>
        <w:jc w:val="center"/>
        <w:outlineLvl w:val="0"/>
        <w:rPr>
          <w:rFonts w:ascii="宋体" w:hAnsi="宋体" w:eastAsia="方正小标宋简体" w:cs="方正小标宋简体"/>
          <w:b/>
          <w:bCs/>
          <w:color w:val="auto"/>
          <w:sz w:val="52"/>
          <w:szCs w:val="52"/>
          <w:lang w:val="en-US"/>
        </w:rPr>
      </w:pPr>
      <w:bookmarkStart w:id="5" w:name="_Toc28587"/>
      <w:r>
        <w:rPr>
          <w:rFonts w:hint="eastAsia" w:ascii="宋体" w:hAnsi="宋体" w:eastAsia="方正小标宋简体" w:cs="方正小标宋简体"/>
          <w:b/>
          <w:bCs/>
          <w:color w:val="auto"/>
          <w:sz w:val="52"/>
          <w:szCs w:val="52"/>
          <w:lang w:val="en-US"/>
        </w:rPr>
        <w:t>乐山市五通桥区旅游促进和服务中心2024年部门预算表</w:t>
      </w:r>
      <w:bookmarkEnd w:id="5"/>
    </w:p>
    <w:p>
      <w:pPr>
        <w:rPr>
          <w:color w:val="auto"/>
          <w:sz w:val="32"/>
          <w:lang w:val="en-US"/>
        </w:rPr>
      </w:pPr>
      <w:r>
        <w:rPr>
          <w:color w:val="auto"/>
        </w:rPr>
        <w:br w:type="page"/>
      </w:r>
    </w:p>
    <w:p>
      <w:pPr>
        <w:pStyle w:val="12"/>
        <w:tabs>
          <w:tab w:val="left" w:pos="1784"/>
        </w:tabs>
        <w:spacing w:line="700" w:lineRule="exact"/>
        <w:ind w:left="660" w:leftChars="300" w:right="660" w:rightChars="300" w:firstLine="0"/>
        <w:jc w:val="left"/>
        <w:outlineLvl w:val="1"/>
        <w:rPr>
          <w:rFonts w:ascii="宋体" w:hAnsi="宋体"/>
          <w:color w:val="auto"/>
          <w:sz w:val="32"/>
          <w:lang w:val="en-US"/>
        </w:rPr>
      </w:pPr>
      <w:bookmarkStart w:id="6" w:name="_Toc12069"/>
      <w:r>
        <w:rPr>
          <w:rFonts w:hint="eastAsia" w:ascii="宋体" w:hAnsi="宋体"/>
          <w:color w:val="auto"/>
          <w:sz w:val="32"/>
          <w:lang w:val="en-US"/>
        </w:rPr>
        <w:t>一、部门收支总表（公开表 1）</w:t>
      </w:r>
      <w:bookmarkEnd w:id="6"/>
    </w:p>
    <w:p>
      <w:pPr>
        <w:pStyle w:val="12"/>
        <w:tabs>
          <w:tab w:val="left" w:pos="1784"/>
        </w:tabs>
        <w:spacing w:line="700" w:lineRule="exact"/>
        <w:ind w:left="660" w:leftChars="300" w:right="660" w:rightChars="300" w:firstLine="0"/>
        <w:jc w:val="left"/>
        <w:outlineLvl w:val="1"/>
        <w:rPr>
          <w:rFonts w:ascii="宋体" w:hAnsi="宋体"/>
          <w:color w:val="auto"/>
          <w:sz w:val="32"/>
          <w:lang w:val="en-US"/>
        </w:rPr>
      </w:pPr>
      <w:bookmarkStart w:id="7" w:name="_Toc27995"/>
      <w:r>
        <w:rPr>
          <w:rFonts w:hint="eastAsia" w:ascii="宋体" w:hAnsi="宋体"/>
          <w:color w:val="auto"/>
          <w:sz w:val="32"/>
          <w:lang w:val="en-US"/>
        </w:rPr>
        <w:t>二、部门收入总表（公开表 1-1）</w:t>
      </w:r>
      <w:bookmarkEnd w:id="7"/>
    </w:p>
    <w:p>
      <w:pPr>
        <w:pStyle w:val="12"/>
        <w:tabs>
          <w:tab w:val="left" w:pos="1784"/>
        </w:tabs>
        <w:spacing w:line="700" w:lineRule="exact"/>
        <w:ind w:left="660" w:leftChars="300" w:right="660" w:rightChars="300" w:firstLine="0"/>
        <w:jc w:val="left"/>
        <w:outlineLvl w:val="1"/>
        <w:rPr>
          <w:rFonts w:ascii="宋体" w:hAnsi="宋体"/>
          <w:color w:val="auto"/>
          <w:sz w:val="32"/>
          <w:lang w:val="en-US"/>
        </w:rPr>
      </w:pPr>
      <w:bookmarkStart w:id="8" w:name="_Toc3639"/>
      <w:r>
        <w:rPr>
          <w:rFonts w:hint="eastAsia" w:ascii="宋体" w:hAnsi="宋体"/>
          <w:color w:val="auto"/>
          <w:sz w:val="32"/>
          <w:lang w:val="en-US"/>
        </w:rPr>
        <w:t>三、部门支出总表（公开表 1-2）</w:t>
      </w:r>
      <w:bookmarkEnd w:id="8"/>
    </w:p>
    <w:p>
      <w:pPr>
        <w:pStyle w:val="12"/>
        <w:tabs>
          <w:tab w:val="left" w:pos="1784"/>
        </w:tabs>
        <w:spacing w:line="700" w:lineRule="exact"/>
        <w:ind w:left="660" w:leftChars="300" w:right="660" w:rightChars="300" w:firstLine="0"/>
        <w:jc w:val="left"/>
        <w:outlineLvl w:val="1"/>
        <w:rPr>
          <w:rFonts w:ascii="宋体" w:hAnsi="宋体"/>
          <w:color w:val="auto"/>
          <w:sz w:val="32"/>
          <w:lang w:val="en-US"/>
        </w:rPr>
      </w:pPr>
      <w:bookmarkStart w:id="9" w:name="_Toc25815"/>
      <w:r>
        <w:rPr>
          <w:rFonts w:hint="eastAsia" w:ascii="宋体" w:hAnsi="宋体"/>
          <w:color w:val="auto"/>
          <w:sz w:val="32"/>
          <w:lang w:val="en-US"/>
        </w:rPr>
        <w:t>四、财政拨款收支预算总表（公开表 2）</w:t>
      </w:r>
      <w:bookmarkEnd w:id="9"/>
    </w:p>
    <w:p>
      <w:pPr>
        <w:pStyle w:val="12"/>
        <w:tabs>
          <w:tab w:val="left" w:pos="1784"/>
        </w:tabs>
        <w:spacing w:line="700" w:lineRule="exact"/>
        <w:ind w:left="660" w:leftChars="300" w:right="660" w:rightChars="300" w:firstLine="0"/>
        <w:jc w:val="left"/>
        <w:outlineLvl w:val="1"/>
        <w:rPr>
          <w:rFonts w:ascii="宋体" w:hAnsi="宋体"/>
          <w:color w:val="auto"/>
          <w:sz w:val="32"/>
          <w:lang w:val="en-US"/>
        </w:rPr>
      </w:pPr>
      <w:bookmarkStart w:id="10" w:name="_Toc4686"/>
      <w:r>
        <w:rPr>
          <w:rFonts w:hint="eastAsia" w:ascii="宋体" w:hAnsi="宋体"/>
          <w:color w:val="auto"/>
          <w:sz w:val="32"/>
          <w:lang w:val="en-US"/>
        </w:rPr>
        <w:t>五、财政拨款支出预算表（部门经济分类科目）</w:t>
      </w:r>
      <w:bookmarkEnd w:id="10"/>
    </w:p>
    <w:p>
      <w:pPr>
        <w:pStyle w:val="12"/>
        <w:tabs>
          <w:tab w:val="left" w:pos="1784"/>
        </w:tabs>
        <w:spacing w:line="700" w:lineRule="exact"/>
        <w:ind w:left="660" w:leftChars="300" w:right="660" w:rightChars="300" w:firstLine="438" w:firstLineChars="137"/>
        <w:jc w:val="left"/>
        <w:rPr>
          <w:rFonts w:ascii="宋体" w:hAnsi="宋体"/>
          <w:color w:val="auto"/>
          <w:sz w:val="32"/>
          <w:lang w:val="en-US"/>
        </w:rPr>
      </w:pPr>
      <w:r>
        <w:rPr>
          <w:rFonts w:hint="eastAsia" w:ascii="宋体" w:hAnsi="宋体"/>
          <w:color w:val="auto"/>
          <w:sz w:val="32"/>
          <w:lang w:val="en-US"/>
        </w:rPr>
        <w:t>（公开表 2-1）</w:t>
      </w:r>
    </w:p>
    <w:p>
      <w:pPr>
        <w:pStyle w:val="12"/>
        <w:tabs>
          <w:tab w:val="left" w:pos="1784"/>
        </w:tabs>
        <w:spacing w:line="700" w:lineRule="exact"/>
        <w:ind w:left="660" w:leftChars="300" w:right="660" w:rightChars="300" w:firstLine="0"/>
        <w:jc w:val="left"/>
        <w:outlineLvl w:val="1"/>
        <w:rPr>
          <w:rFonts w:ascii="宋体" w:hAnsi="宋体"/>
          <w:color w:val="auto"/>
          <w:sz w:val="32"/>
          <w:lang w:val="en-US"/>
        </w:rPr>
      </w:pPr>
      <w:bookmarkStart w:id="11" w:name="_Toc7952"/>
      <w:r>
        <w:rPr>
          <w:rFonts w:hint="eastAsia" w:ascii="宋体" w:hAnsi="宋体"/>
          <w:color w:val="auto"/>
          <w:sz w:val="32"/>
          <w:lang w:val="en-US"/>
        </w:rPr>
        <w:t>六、一般公共预算支出预算表（公开表 3）</w:t>
      </w:r>
      <w:bookmarkEnd w:id="11"/>
    </w:p>
    <w:p>
      <w:pPr>
        <w:pStyle w:val="12"/>
        <w:tabs>
          <w:tab w:val="left" w:pos="1784"/>
        </w:tabs>
        <w:spacing w:line="700" w:lineRule="exact"/>
        <w:ind w:left="660" w:leftChars="300" w:right="660" w:rightChars="300" w:firstLine="0"/>
        <w:jc w:val="left"/>
        <w:outlineLvl w:val="1"/>
        <w:rPr>
          <w:rFonts w:ascii="宋体" w:hAnsi="宋体"/>
          <w:color w:val="auto"/>
          <w:sz w:val="32"/>
          <w:lang w:val="en-US"/>
        </w:rPr>
      </w:pPr>
      <w:bookmarkStart w:id="12" w:name="_Toc32200"/>
      <w:r>
        <w:rPr>
          <w:rFonts w:hint="eastAsia" w:ascii="宋体" w:hAnsi="宋体"/>
          <w:color w:val="auto"/>
          <w:sz w:val="32"/>
          <w:lang w:val="en-US"/>
        </w:rPr>
        <w:t>七、一般公共预算基本支出预算表（公开表 3-1）</w:t>
      </w:r>
      <w:bookmarkEnd w:id="12"/>
      <w:r>
        <w:rPr>
          <w:rFonts w:hint="eastAsia" w:ascii="宋体" w:hAnsi="宋体"/>
          <w:color w:val="auto"/>
          <w:sz w:val="32"/>
          <w:lang w:val="en-US"/>
        </w:rPr>
        <w:t xml:space="preserve"> </w:t>
      </w:r>
    </w:p>
    <w:p>
      <w:pPr>
        <w:pStyle w:val="12"/>
        <w:tabs>
          <w:tab w:val="left" w:pos="1784"/>
        </w:tabs>
        <w:spacing w:line="700" w:lineRule="exact"/>
        <w:ind w:left="660" w:leftChars="300" w:right="660" w:rightChars="300" w:firstLine="0"/>
        <w:jc w:val="left"/>
        <w:outlineLvl w:val="1"/>
        <w:rPr>
          <w:rFonts w:ascii="宋体" w:hAnsi="宋体"/>
          <w:color w:val="auto"/>
          <w:sz w:val="32"/>
          <w:lang w:val="en-US"/>
        </w:rPr>
      </w:pPr>
      <w:bookmarkStart w:id="13" w:name="_Toc17751"/>
      <w:r>
        <w:rPr>
          <w:rFonts w:hint="eastAsia" w:ascii="宋体" w:hAnsi="宋体"/>
          <w:color w:val="auto"/>
          <w:sz w:val="32"/>
          <w:lang w:val="en-US"/>
        </w:rPr>
        <w:t>八、一般公共预算项目支出预算表（公开表 3-2）</w:t>
      </w:r>
      <w:bookmarkEnd w:id="13"/>
    </w:p>
    <w:p>
      <w:pPr>
        <w:pStyle w:val="12"/>
        <w:tabs>
          <w:tab w:val="left" w:pos="1784"/>
        </w:tabs>
        <w:spacing w:line="700" w:lineRule="exact"/>
        <w:ind w:left="660" w:leftChars="300" w:right="660" w:rightChars="300" w:firstLine="0"/>
        <w:jc w:val="left"/>
        <w:outlineLvl w:val="1"/>
        <w:rPr>
          <w:rFonts w:ascii="宋体" w:hAnsi="宋体"/>
          <w:color w:val="auto"/>
          <w:sz w:val="32"/>
          <w:lang w:val="en-US"/>
        </w:rPr>
      </w:pPr>
      <w:bookmarkStart w:id="14" w:name="_Toc11119"/>
      <w:r>
        <w:rPr>
          <w:rFonts w:hint="eastAsia" w:ascii="宋体" w:hAnsi="宋体"/>
          <w:color w:val="auto"/>
          <w:sz w:val="32"/>
          <w:lang w:val="en-US"/>
        </w:rPr>
        <w:t>九、一般公共预算“三公”经费支出预算表</w:t>
      </w:r>
      <w:bookmarkEnd w:id="14"/>
    </w:p>
    <w:p>
      <w:pPr>
        <w:pStyle w:val="12"/>
        <w:tabs>
          <w:tab w:val="left" w:pos="1784"/>
        </w:tabs>
        <w:spacing w:line="700" w:lineRule="exact"/>
        <w:ind w:left="660" w:leftChars="300" w:right="660" w:rightChars="300" w:firstLine="438" w:firstLineChars="137"/>
        <w:jc w:val="left"/>
        <w:rPr>
          <w:rFonts w:ascii="宋体" w:hAnsi="宋体"/>
          <w:color w:val="auto"/>
          <w:sz w:val="32"/>
          <w:lang w:val="en-US"/>
        </w:rPr>
      </w:pPr>
      <w:r>
        <w:rPr>
          <w:rFonts w:hint="eastAsia" w:ascii="宋体" w:hAnsi="宋体"/>
          <w:color w:val="auto"/>
          <w:sz w:val="32"/>
          <w:lang w:val="en-US"/>
        </w:rPr>
        <w:t xml:space="preserve">（公开表 3-3） </w:t>
      </w:r>
    </w:p>
    <w:p>
      <w:pPr>
        <w:pStyle w:val="12"/>
        <w:tabs>
          <w:tab w:val="left" w:pos="1784"/>
        </w:tabs>
        <w:spacing w:line="700" w:lineRule="exact"/>
        <w:ind w:left="660" w:leftChars="300" w:right="660" w:rightChars="300" w:firstLine="0"/>
        <w:jc w:val="left"/>
        <w:outlineLvl w:val="1"/>
        <w:rPr>
          <w:rFonts w:ascii="宋体" w:hAnsi="宋体"/>
          <w:color w:val="auto"/>
          <w:sz w:val="32"/>
          <w:lang w:val="en-US"/>
        </w:rPr>
      </w:pPr>
      <w:bookmarkStart w:id="15" w:name="_Toc19211"/>
      <w:r>
        <w:rPr>
          <w:rFonts w:hint="eastAsia" w:ascii="宋体" w:hAnsi="宋体"/>
          <w:color w:val="auto"/>
          <w:sz w:val="32"/>
          <w:lang w:val="en-US"/>
        </w:rPr>
        <w:t>十、政府性基金预算支出表（公开表 4）</w:t>
      </w:r>
      <w:bookmarkEnd w:id="15"/>
    </w:p>
    <w:p>
      <w:pPr>
        <w:pStyle w:val="12"/>
        <w:tabs>
          <w:tab w:val="left" w:pos="1784"/>
        </w:tabs>
        <w:spacing w:line="700" w:lineRule="exact"/>
        <w:ind w:left="660" w:leftChars="300" w:right="660" w:rightChars="300" w:firstLine="0"/>
        <w:jc w:val="left"/>
        <w:outlineLvl w:val="1"/>
        <w:rPr>
          <w:rFonts w:ascii="宋体" w:hAnsi="宋体"/>
          <w:color w:val="auto"/>
          <w:sz w:val="32"/>
          <w:lang w:val="en-US"/>
        </w:rPr>
      </w:pPr>
      <w:bookmarkStart w:id="16" w:name="_Toc7676"/>
      <w:r>
        <w:rPr>
          <w:rFonts w:hint="eastAsia" w:ascii="宋体" w:hAnsi="宋体"/>
          <w:color w:val="auto"/>
          <w:sz w:val="32"/>
          <w:lang w:val="en-US"/>
        </w:rPr>
        <w:t>十一、政府性基金预算“三公”经费支出预算表</w:t>
      </w:r>
      <w:bookmarkEnd w:id="16"/>
    </w:p>
    <w:p>
      <w:pPr>
        <w:pStyle w:val="12"/>
        <w:tabs>
          <w:tab w:val="left" w:pos="1784"/>
        </w:tabs>
        <w:spacing w:line="700" w:lineRule="exact"/>
        <w:ind w:left="660" w:leftChars="300" w:right="660" w:rightChars="300" w:firstLine="438" w:firstLineChars="137"/>
        <w:jc w:val="left"/>
        <w:rPr>
          <w:rFonts w:ascii="宋体" w:hAnsi="宋体"/>
          <w:color w:val="auto"/>
          <w:sz w:val="32"/>
          <w:lang w:val="en-US"/>
        </w:rPr>
      </w:pPr>
      <w:r>
        <w:rPr>
          <w:rFonts w:hint="eastAsia" w:ascii="宋体" w:hAnsi="宋体"/>
          <w:color w:val="auto"/>
          <w:sz w:val="32"/>
          <w:lang w:val="en-US"/>
        </w:rPr>
        <w:t>（公开表 4-1）</w:t>
      </w:r>
    </w:p>
    <w:p>
      <w:pPr>
        <w:pStyle w:val="12"/>
        <w:tabs>
          <w:tab w:val="left" w:pos="1784"/>
        </w:tabs>
        <w:spacing w:line="700" w:lineRule="exact"/>
        <w:ind w:left="660" w:leftChars="300" w:right="660" w:rightChars="300" w:firstLine="0"/>
        <w:jc w:val="left"/>
        <w:outlineLvl w:val="1"/>
        <w:rPr>
          <w:rFonts w:ascii="宋体" w:hAnsi="宋体"/>
          <w:color w:val="auto"/>
          <w:sz w:val="32"/>
          <w:lang w:val="en-US"/>
        </w:rPr>
      </w:pPr>
      <w:bookmarkStart w:id="17" w:name="_Toc22917"/>
      <w:r>
        <w:rPr>
          <w:rFonts w:hint="eastAsia" w:ascii="宋体" w:hAnsi="宋体"/>
          <w:color w:val="auto"/>
          <w:sz w:val="32"/>
          <w:lang w:val="en-US"/>
        </w:rPr>
        <w:t>十二、国有资本经营预算支出表（公开表 5）</w:t>
      </w:r>
      <w:bookmarkEnd w:id="17"/>
    </w:p>
    <w:p>
      <w:pPr>
        <w:pStyle w:val="12"/>
        <w:tabs>
          <w:tab w:val="left" w:pos="1784"/>
        </w:tabs>
        <w:spacing w:line="700" w:lineRule="exact"/>
        <w:ind w:left="660" w:leftChars="300" w:right="660" w:rightChars="300" w:firstLine="0"/>
        <w:jc w:val="left"/>
        <w:outlineLvl w:val="1"/>
        <w:rPr>
          <w:rFonts w:ascii="宋体" w:hAnsi="宋体"/>
          <w:color w:val="auto"/>
          <w:sz w:val="32"/>
          <w:lang w:val="en-US"/>
        </w:rPr>
      </w:pPr>
      <w:bookmarkStart w:id="18" w:name="_Toc27847"/>
      <w:r>
        <w:rPr>
          <w:rFonts w:hint="eastAsia" w:ascii="宋体" w:hAnsi="宋体"/>
          <w:color w:val="auto"/>
          <w:sz w:val="32"/>
          <w:lang w:val="en-US"/>
        </w:rPr>
        <w:t>十三、部门整体支出绩效目标表（公开表 6）</w:t>
      </w:r>
      <w:bookmarkEnd w:id="18"/>
      <w:r>
        <w:rPr>
          <w:rFonts w:hint="eastAsia" w:ascii="宋体" w:hAnsi="宋体"/>
          <w:color w:val="auto"/>
          <w:sz w:val="32"/>
          <w:lang w:val="en-US"/>
        </w:rPr>
        <w:t xml:space="preserve"> </w:t>
      </w:r>
    </w:p>
    <w:p>
      <w:pPr>
        <w:pStyle w:val="12"/>
        <w:tabs>
          <w:tab w:val="left" w:pos="1784"/>
        </w:tabs>
        <w:spacing w:line="700" w:lineRule="exact"/>
        <w:ind w:left="660" w:leftChars="300" w:right="660" w:rightChars="300" w:firstLine="0"/>
        <w:jc w:val="left"/>
        <w:outlineLvl w:val="1"/>
        <w:rPr>
          <w:rFonts w:ascii="宋体" w:hAnsi="宋体"/>
          <w:color w:val="auto"/>
          <w:sz w:val="32"/>
          <w:lang w:val="en-US"/>
        </w:rPr>
      </w:pPr>
      <w:bookmarkStart w:id="19" w:name="_Toc30878"/>
      <w:r>
        <w:rPr>
          <w:rFonts w:hint="eastAsia" w:ascii="宋体" w:hAnsi="宋体"/>
          <w:color w:val="auto"/>
          <w:sz w:val="32"/>
          <w:lang w:val="en-US"/>
        </w:rPr>
        <w:t>十四、部门预算项目支出绩效目标表（公开表 7）</w:t>
      </w:r>
      <w:bookmarkEnd w:id="19"/>
    </w:p>
    <w:p>
      <w:pPr>
        <w:pStyle w:val="12"/>
        <w:tabs>
          <w:tab w:val="left" w:pos="1784"/>
        </w:tabs>
        <w:spacing w:line="700" w:lineRule="exact"/>
        <w:ind w:left="660" w:leftChars="300" w:right="660" w:rightChars="300" w:firstLine="0"/>
        <w:jc w:val="left"/>
        <w:outlineLvl w:val="1"/>
        <w:rPr>
          <w:rFonts w:ascii="宋体" w:hAnsi="宋体"/>
          <w:color w:val="auto"/>
          <w:sz w:val="32"/>
          <w:lang w:val="en-US"/>
        </w:rPr>
      </w:pPr>
      <w:bookmarkStart w:id="20" w:name="_Toc32437"/>
      <w:r>
        <w:rPr>
          <w:rFonts w:hint="eastAsia" w:ascii="宋体" w:hAnsi="宋体"/>
          <w:color w:val="auto"/>
          <w:sz w:val="32"/>
          <w:lang w:val="en-US"/>
        </w:rPr>
        <w:t>十五、政府采购预算表（公开表 8）</w:t>
      </w:r>
      <w:bookmarkEnd w:id="20"/>
    </w:p>
    <w:p>
      <w:pPr>
        <w:pStyle w:val="12"/>
        <w:tabs>
          <w:tab w:val="left" w:pos="1784"/>
        </w:tabs>
        <w:spacing w:line="700" w:lineRule="exact"/>
        <w:ind w:left="660" w:leftChars="300" w:right="660" w:rightChars="300" w:firstLine="0"/>
        <w:jc w:val="left"/>
        <w:outlineLvl w:val="1"/>
        <w:rPr>
          <w:rFonts w:ascii="宋体" w:hAnsi="宋体"/>
          <w:b/>
          <w:bCs/>
          <w:color w:val="auto"/>
          <w:sz w:val="32"/>
          <w:lang w:val="en-US"/>
        </w:rPr>
      </w:pPr>
      <w:bookmarkStart w:id="21" w:name="_Toc16458"/>
      <w:r>
        <w:rPr>
          <w:rFonts w:hint="eastAsia" w:ascii="宋体" w:hAnsi="宋体"/>
          <w:b/>
          <w:bCs/>
          <w:color w:val="auto"/>
          <w:sz w:val="32"/>
          <w:lang w:val="en-US"/>
        </w:rPr>
        <w:t>以上所有表格详见部门说明后附件。</w:t>
      </w:r>
      <w:bookmarkEnd w:id="21"/>
    </w:p>
    <w:p>
      <w:pPr>
        <w:rPr>
          <w:color w:val="auto"/>
          <w:sz w:val="20"/>
        </w:rPr>
      </w:pPr>
      <w:r>
        <w:rPr>
          <w:color w:val="auto"/>
          <w:sz w:val="20"/>
        </w:rPr>
        <w:br w:type="page"/>
      </w: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numPr>
          <w:ilvl w:val="0"/>
          <w:numId w:val="2"/>
        </w:numPr>
        <w:spacing w:before="6"/>
        <w:jc w:val="center"/>
        <w:outlineLvl w:val="0"/>
        <w:rPr>
          <w:rFonts w:ascii="宋体" w:hAnsi="宋体" w:eastAsia="方正小标宋简体" w:cs="方正小标宋简体"/>
          <w:color w:val="auto"/>
          <w:sz w:val="52"/>
          <w:szCs w:val="52"/>
          <w:lang w:val="en-US"/>
        </w:rPr>
      </w:pPr>
      <w:bookmarkStart w:id="22" w:name="_Toc19948"/>
      <w:r>
        <w:rPr>
          <w:rFonts w:hint="eastAsia" w:ascii="宋体" w:hAnsi="宋体" w:eastAsia="方正小标宋简体" w:cs="方正小标宋简体"/>
          <w:color w:val="auto"/>
          <w:sz w:val="52"/>
          <w:szCs w:val="52"/>
          <w:lang w:val="en-US"/>
        </w:rPr>
        <w:t>乐山市五通桥区旅游促进和服务中心2024年</w:t>
      </w:r>
      <w:bookmarkEnd w:id="22"/>
    </w:p>
    <w:p>
      <w:pPr>
        <w:pStyle w:val="5"/>
        <w:spacing w:before="6"/>
        <w:jc w:val="center"/>
        <w:outlineLvl w:val="1"/>
        <w:rPr>
          <w:rFonts w:ascii="宋体" w:hAnsi="宋体"/>
          <w:color w:val="auto"/>
          <w:sz w:val="20"/>
          <w:lang w:val="en-US"/>
        </w:rPr>
        <w:sectPr>
          <w:headerReference r:id="rId6" w:type="default"/>
          <w:pgSz w:w="11910" w:h="16840"/>
          <w:pgMar w:top="1587" w:right="964" w:bottom="1701" w:left="1134" w:header="737" w:footer="737" w:gutter="0"/>
          <w:cols w:space="0" w:num="1"/>
        </w:sectPr>
      </w:pPr>
      <w:bookmarkStart w:id="23" w:name="_Toc1047"/>
      <w:r>
        <w:rPr>
          <w:rFonts w:hint="eastAsia" w:ascii="宋体" w:hAnsi="宋体" w:eastAsia="方正小标宋简体" w:cs="方正小标宋简体"/>
          <w:color w:val="auto"/>
          <w:sz w:val="52"/>
          <w:szCs w:val="52"/>
          <w:lang w:val="en-US"/>
        </w:rPr>
        <w:t>部门预算情况说明</w:t>
      </w:r>
      <w:bookmarkEnd w:id="23"/>
    </w:p>
    <w:p>
      <w:pPr>
        <w:pStyle w:val="5"/>
        <w:spacing w:before="40" w:afterLines="50" w:line="360" w:lineRule="auto"/>
        <w:rPr>
          <w:rFonts w:asciiTheme="majorEastAsia" w:hAnsiTheme="majorEastAsia" w:eastAsiaTheme="majorEastAsia"/>
          <w:color w:val="auto"/>
        </w:rPr>
      </w:pPr>
    </w:p>
    <w:p>
      <w:pPr>
        <w:pStyle w:val="5"/>
        <w:spacing w:before="300" w:afterLines="50" w:line="360" w:lineRule="auto"/>
        <w:ind w:firstLine="640" w:firstLineChars="200"/>
        <w:outlineLvl w:val="1"/>
        <w:rPr>
          <w:rFonts w:asciiTheme="majorEastAsia" w:hAnsiTheme="majorEastAsia" w:eastAsiaTheme="majorEastAsia"/>
          <w:color w:val="auto"/>
        </w:rPr>
      </w:pPr>
      <w:bookmarkStart w:id="24" w:name="_Toc1746"/>
      <w:r>
        <w:rPr>
          <w:rFonts w:hint="eastAsia" w:asciiTheme="majorEastAsia" w:hAnsiTheme="majorEastAsia" w:eastAsiaTheme="majorEastAsia"/>
          <w:color w:val="auto"/>
        </w:rPr>
        <w:t>一、收支预算情况说明</w:t>
      </w:r>
    </w:p>
    <w:p>
      <w:pPr>
        <w:autoSpaceDE/>
        <w:autoSpaceDN/>
        <w:spacing w:line="560" w:lineRule="exact"/>
        <w:ind w:firstLine="640" w:firstLineChars="200"/>
        <w:rPr>
          <w:rFonts w:ascii="仿宋_GB2312" w:eastAsia="仿宋_GB2312" w:cs="Times New Roman"/>
          <w:color w:val="auto"/>
          <w:sz w:val="32"/>
          <w:szCs w:val="32"/>
          <w:lang w:val="en-US"/>
        </w:rPr>
      </w:pPr>
      <w:r>
        <w:rPr>
          <w:rFonts w:hint="eastAsia" w:ascii="仿宋_GB2312" w:eastAsia="仿宋_GB2312" w:cs="Times New Roman"/>
          <w:color w:val="auto"/>
          <w:sz w:val="32"/>
          <w:szCs w:val="32"/>
        </w:rPr>
        <w:t>按照综合预算的原则，乐山市五通桥区旅游促进和服务中心所有收入和支出均纳入部门预算管理。收入包括：一般公共预算拨款收入 ；支出包括：文化旅游体育与传媒支出、社会保障和就业支出、卫生健康支出、住房保障支出。乐山市五通桥区旅游促进和服务中心202</w:t>
      </w:r>
      <w:r>
        <w:rPr>
          <w:rFonts w:hint="eastAsia" w:ascii="仿宋_GB2312" w:eastAsia="仿宋_GB2312" w:cs="Times New Roman"/>
          <w:color w:val="auto"/>
          <w:sz w:val="32"/>
          <w:szCs w:val="32"/>
          <w:lang w:val="en-US"/>
        </w:rPr>
        <w:t>4</w:t>
      </w:r>
      <w:r>
        <w:rPr>
          <w:rFonts w:hint="eastAsia" w:ascii="仿宋_GB2312" w:eastAsia="仿宋_GB2312" w:cs="Times New Roman"/>
          <w:color w:val="auto"/>
          <w:sz w:val="32"/>
          <w:szCs w:val="32"/>
        </w:rPr>
        <w:t>年收支预算总数125</w:t>
      </w:r>
      <w:r>
        <w:rPr>
          <w:rFonts w:hint="eastAsia" w:ascii="仿宋_GB2312" w:eastAsia="仿宋_GB2312" w:cs="Times New Roman"/>
          <w:color w:val="auto"/>
          <w:sz w:val="32"/>
          <w:szCs w:val="32"/>
          <w:lang w:val="en-US"/>
        </w:rPr>
        <w:t>.</w:t>
      </w:r>
      <w:r>
        <w:rPr>
          <w:rFonts w:hint="eastAsia" w:ascii="仿宋_GB2312" w:eastAsia="仿宋_GB2312" w:cs="Times New Roman"/>
          <w:color w:val="auto"/>
          <w:sz w:val="32"/>
          <w:szCs w:val="32"/>
        </w:rPr>
        <w:t>42万元，比202</w:t>
      </w:r>
      <w:r>
        <w:rPr>
          <w:rFonts w:hint="eastAsia" w:ascii="仿宋_GB2312" w:eastAsia="仿宋_GB2312" w:cs="Times New Roman"/>
          <w:color w:val="auto"/>
          <w:sz w:val="32"/>
          <w:szCs w:val="32"/>
          <w:lang w:val="en-US"/>
        </w:rPr>
        <w:t>3</w:t>
      </w:r>
      <w:r>
        <w:rPr>
          <w:rFonts w:hint="eastAsia" w:ascii="仿宋_GB2312" w:eastAsia="仿宋_GB2312" w:cs="Times New Roman"/>
          <w:color w:val="auto"/>
          <w:sz w:val="32"/>
          <w:szCs w:val="32"/>
        </w:rPr>
        <w:t>年收支预算总数146.77万元</w:t>
      </w:r>
      <w:r>
        <w:rPr>
          <w:rFonts w:hint="eastAsia" w:ascii="仿宋_GB2312" w:eastAsia="仿宋_GB2312" w:cs="Times New Roman"/>
          <w:color w:val="auto"/>
          <w:sz w:val="32"/>
          <w:szCs w:val="32"/>
          <w:lang w:val="en-US"/>
        </w:rPr>
        <w:t>减少21.35</w:t>
      </w:r>
      <w:r>
        <w:rPr>
          <w:rFonts w:hint="eastAsia" w:ascii="仿宋_GB2312" w:eastAsia="仿宋_GB2312" w:cs="Times New Roman"/>
          <w:color w:val="auto"/>
          <w:sz w:val="32"/>
          <w:szCs w:val="32"/>
        </w:rPr>
        <w:t>万元。主要原因是：项目减少</w:t>
      </w:r>
    </w:p>
    <w:p>
      <w:pPr>
        <w:pStyle w:val="5"/>
        <w:spacing w:before="30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（一）收入预算情况</w:t>
      </w:r>
    </w:p>
    <w:p>
      <w:pPr>
        <w:autoSpaceDE/>
        <w:autoSpaceDN/>
        <w:spacing w:line="560" w:lineRule="exact"/>
        <w:ind w:firstLine="640" w:firstLineChars="200"/>
        <w:rPr>
          <w:rFonts w:ascii="仿宋_GB2312" w:eastAsia="仿宋_GB2312" w:cs="Times New Roman"/>
          <w:color w:val="auto"/>
          <w:sz w:val="32"/>
          <w:szCs w:val="32"/>
        </w:rPr>
      </w:pPr>
      <w:r>
        <w:rPr>
          <w:rFonts w:hint="eastAsia" w:ascii="仿宋_GB2312" w:eastAsia="仿宋_GB2312" w:cs="Times New Roman"/>
          <w:color w:val="auto"/>
          <w:sz w:val="32"/>
          <w:szCs w:val="32"/>
        </w:rPr>
        <w:t>乐山市五通桥区旅游促进和服务中心202</w:t>
      </w:r>
      <w:r>
        <w:rPr>
          <w:rFonts w:hint="eastAsia" w:ascii="仿宋_GB2312" w:eastAsia="仿宋_GB2312" w:cs="Times New Roman"/>
          <w:color w:val="auto"/>
          <w:sz w:val="32"/>
          <w:szCs w:val="32"/>
          <w:lang w:val="en-US"/>
        </w:rPr>
        <w:t>4</w:t>
      </w:r>
      <w:r>
        <w:rPr>
          <w:rFonts w:hint="eastAsia" w:ascii="仿宋_GB2312" w:eastAsia="仿宋_GB2312" w:cs="Times New Roman"/>
          <w:color w:val="auto"/>
          <w:sz w:val="32"/>
          <w:szCs w:val="32"/>
        </w:rPr>
        <w:t>收入预算125</w:t>
      </w:r>
      <w:r>
        <w:rPr>
          <w:rFonts w:hint="eastAsia" w:ascii="仿宋_GB2312" w:eastAsia="仿宋_GB2312" w:cs="Times New Roman"/>
          <w:color w:val="auto"/>
          <w:sz w:val="32"/>
          <w:szCs w:val="32"/>
          <w:lang w:val="en-US"/>
        </w:rPr>
        <w:t>.</w:t>
      </w:r>
      <w:r>
        <w:rPr>
          <w:rFonts w:hint="eastAsia" w:ascii="仿宋_GB2312" w:eastAsia="仿宋_GB2312" w:cs="Times New Roman"/>
          <w:color w:val="auto"/>
          <w:sz w:val="32"/>
          <w:szCs w:val="32"/>
        </w:rPr>
        <w:t>42万元，其中：上年结转0万元，占0%；一般公共预算拨款收入 125</w:t>
      </w:r>
      <w:r>
        <w:rPr>
          <w:rFonts w:hint="eastAsia" w:ascii="仿宋_GB2312" w:eastAsia="仿宋_GB2312" w:cs="Times New Roman"/>
          <w:color w:val="auto"/>
          <w:sz w:val="32"/>
          <w:szCs w:val="32"/>
          <w:lang w:val="en-US"/>
        </w:rPr>
        <w:t>.</w:t>
      </w:r>
      <w:r>
        <w:rPr>
          <w:rFonts w:hint="eastAsia" w:ascii="仿宋_GB2312" w:eastAsia="仿宋_GB2312" w:cs="Times New Roman"/>
          <w:color w:val="auto"/>
          <w:sz w:val="32"/>
          <w:szCs w:val="32"/>
        </w:rPr>
        <w:t>42万元,占100%；政府性基金预算拨款收入 0万元,占0%；国有资本经营预算拨款收入 0万元,占0%；事业收入 0万元,占0%；事业单位经营收入 0万元,占0%；其他收入 0万元,占0%；</w:t>
      </w:r>
    </w:p>
    <w:p>
      <w:pPr>
        <w:pStyle w:val="5"/>
        <w:spacing w:before="30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（二）支出预算情况</w:t>
      </w:r>
    </w:p>
    <w:p>
      <w:pPr>
        <w:autoSpaceDE/>
        <w:autoSpaceDN/>
        <w:spacing w:line="560" w:lineRule="exact"/>
        <w:ind w:firstLine="640" w:firstLineChars="200"/>
        <w:rPr>
          <w:rFonts w:ascii="仿宋_GB2312" w:eastAsia="仿宋_GB2312" w:cs="Times New Roman"/>
          <w:color w:val="auto"/>
          <w:sz w:val="32"/>
          <w:szCs w:val="32"/>
        </w:rPr>
      </w:pPr>
      <w:r>
        <w:rPr>
          <w:rFonts w:hint="eastAsia" w:ascii="仿宋_GB2312" w:eastAsia="仿宋_GB2312" w:cs="Times New Roman"/>
          <w:color w:val="auto"/>
          <w:sz w:val="32"/>
          <w:szCs w:val="32"/>
        </w:rPr>
        <w:t>乐山市五通桥区旅游促进和服务中心202</w:t>
      </w:r>
      <w:r>
        <w:rPr>
          <w:rFonts w:hint="eastAsia" w:ascii="仿宋_GB2312" w:eastAsia="仿宋_GB2312" w:cs="Times New Roman"/>
          <w:color w:val="auto"/>
          <w:sz w:val="32"/>
          <w:szCs w:val="32"/>
          <w:lang w:val="en-US"/>
        </w:rPr>
        <w:t>4</w:t>
      </w:r>
      <w:r>
        <w:rPr>
          <w:rFonts w:hint="eastAsia" w:ascii="仿宋_GB2312" w:eastAsia="仿宋_GB2312" w:cs="Times New Roman"/>
          <w:color w:val="auto"/>
          <w:sz w:val="32"/>
          <w:szCs w:val="32"/>
        </w:rPr>
        <w:t>年收入预算125</w:t>
      </w:r>
      <w:r>
        <w:rPr>
          <w:rFonts w:hint="eastAsia" w:ascii="仿宋_GB2312" w:eastAsia="仿宋_GB2312" w:cs="Times New Roman"/>
          <w:color w:val="auto"/>
          <w:sz w:val="32"/>
          <w:szCs w:val="32"/>
          <w:lang w:val="en-US"/>
        </w:rPr>
        <w:t>.</w:t>
      </w:r>
      <w:r>
        <w:rPr>
          <w:rFonts w:hint="eastAsia" w:ascii="仿宋_GB2312" w:eastAsia="仿宋_GB2312" w:cs="Times New Roman"/>
          <w:color w:val="auto"/>
          <w:sz w:val="32"/>
          <w:szCs w:val="32"/>
        </w:rPr>
        <w:t>42万元，其中：人员支出102</w:t>
      </w:r>
      <w:r>
        <w:rPr>
          <w:rFonts w:hint="eastAsia" w:ascii="仿宋_GB2312" w:eastAsia="仿宋_GB2312" w:cs="Times New Roman"/>
          <w:color w:val="auto"/>
          <w:sz w:val="32"/>
          <w:szCs w:val="32"/>
          <w:lang w:val="en-US"/>
        </w:rPr>
        <w:t>.</w:t>
      </w:r>
      <w:r>
        <w:rPr>
          <w:rFonts w:hint="eastAsia" w:ascii="仿宋_GB2312" w:eastAsia="仿宋_GB2312" w:cs="Times New Roman"/>
          <w:color w:val="auto"/>
          <w:sz w:val="32"/>
          <w:szCs w:val="32"/>
        </w:rPr>
        <w:t>32万元，日常公用支出</w:t>
      </w:r>
      <w:r>
        <w:rPr>
          <w:rFonts w:hint="eastAsia" w:ascii="仿宋_GB2312" w:eastAsia="仿宋_GB2312" w:cs="Times New Roman"/>
          <w:color w:val="auto"/>
          <w:sz w:val="32"/>
          <w:szCs w:val="32"/>
          <w:lang w:val="en-US"/>
        </w:rPr>
        <w:t>9.6</w:t>
      </w:r>
      <w:r>
        <w:rPr>
          <w:rFonts w:hint="eastAsia" w:ascii="仿宋_GB2312" w:eastAsia="仿宋_GB2312" w:cs="Times New Roman"/>
          <w:color w:val="auto"/>
          <w:sz w:val="32"/>
          <w:szCs w:val="32"/>
        </w:rPr>
        <w:t>万元，专项（项目）支出</w:t>
      </w:r>
      <w:r>
        <w:rPr>
          <w:rFonts w:hint="eastAsia" w:ascii="仿宋_GB2312" w:eastAsia="仿宋_GB2312" w:cs="Times New Roman"/>
          <w:color w:val="auto"/>
          <w:sz w:val="32"/>
          <w:szCs w:val="32"/>
          <w:lang w:val="en-US"/>
        </w:rPr>
        <w:t>13.5</w:t>
      </w:r>
      <w:r>
        <w:rPr>
          <w:rFonts w:hint="eastAsia" w:ascii="仿宋_GB2312" w:eastAsia="仿宋_GB2312" w:cs="Times New Roman"/>
          <w:color w:val="auto"/>
          <w:sz w:val="32"/>
          <w:szCs w:val="32"/>
        </w:rPr>
        <w:t>万元。</w:t>
      </w:r>
    </w:p>
    <w:p>
      <w:pPr>
        <w:pStyle w:val="5"/>
        <w:spacing w:before="30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二、财政拨款收支预算情况说明</w:t>
      </w:r>
    </w:p>
    <w:p>
      <w:pPr>
        <w:autoSpaceDE/>
        <w:autoSpaceDN/>
        <w:spacing w:line="560" w:lineRule="exact"/>
        <w:ind w:firstLine="640" w:firstLineChars="200"/>
        <w:rPr>
          <w:rFonts w:ascii="仿宋_GB2312" w:eastAsia="仿宋_GB2312" w:cs="Times New Roman"/>
          <w:color w:val="auto"/>
          <w:sz w:val="32"/>
          <w:szCs w:val="32"/>
        </w:rPr>
      </w:pPr>
      <w:r>
        <w:rPr>
          <w:rFonts w:hint="eastAsia" w:ascii="仿宋_GB2312" w:eastAsia="仿宋_GB2312" w:cs="Times New Roman"/>
          <w:color w:val="auto"/>
          <w:sz w:val="32"/>
          <w:szCs w:val="32"/>
        </w:rPr>
        <w:t>乐山市五通桥区旅游促进和服务中心202</w:t>
      </w:r>
      <w:r>
        <w:rPr>
          <w:rFonts w:hint="eastAsia" w:ascii="仿宋_GB2312" w:eastAsia="仿宋_GB2312" w:cs="Times New Roman"/>
          <w:color w:val="auto"/>
          <w:sz w:val="32"/>
          <w:szCs w:val="32"/>
          <w:lang w:val="en-US"/>
        </w:rPr>
        <w:t>4</w:t>
      </w:r>
      <w:r>
        <w:rPr>
          <w:rFonts w:hint="eastAsia" w:ascii="仿宋_GB2312" w:eastAsia="仿宋_GB2312" w:cs="Times New Roman"/>
          <w:color w:val="auto"/>
          <w:sz w:val="32"/>
          <w:szCs w:val="32"/>
        </w:rPr>
        <w:t>年财政拨款收支预算总数125</w:t>
      </w:r>
      <w:r>
        <w:rPr>
          <w:rFonts w:hint="eastAsia" w:ascii="仿宋_GB2312" w:eastAsia="仿宋_GB2312" w:cs="Times New Roman"/>
          <w:color w:val="auto"/>
          <w:sz w:val="32"/>
          <w:szCs w:val="32"/>
          <w:lang w:val="en-US"/>
        </w:rPr>
        <w:t>.</w:t>
      </w:r>
      <w:r>
        <w:rPr>
          <w:rFonts w:hint="eastAsia" w:ascii="仿宋_GB2312" w:eastAsia="仿宋_GB2312" w:cs="Times New Roman"/>
          <w:color w:val="auto"/>
          <w:sz w:val="32"/>
          <w:szCs w:val="32"/>
        </w:rPr>
        <w:t>42万元,比202</w:t>
      </w:r>
      <w:r>
        <w:rPr>
          <w:rFonts w:hint="eastAsia" w:ascii="仿宋_GB2312" w:eastAsia="仿宋_GB2312" w:cs="Times New Roman"/>
          <w:color w:val="auto"/>
          <w:sz w:val="32"/>
          <w:szCs w:val="32"/>
          <w:lang w:val="en-US"/>
        </w:rPr>
        <w:t>3</w:t>
      </w:r>
      <w:r>
        <w:rPr>
          <w:rFonts w:hint="eastAsia" w:ascii="仿宋_GB2312" w:eastAsia="仿宋_GB2312" w:cs="Times New Roman"/>
          <w:color w:val="auto"/>
          <w:sz w:val="32"/>
          <w:szCs w:val="32"/>
        </w:rPr>
        <w:t>年财政拨款收支预算总数146.77万元</w:t>
      </w:r>
      <w:r>
        <w:rPr>
          <w:rFonts w:hint="eastAsia" w:ascii="仿宋_GB2312" w:eastAsia="仿宋_GB2312" w:cs="Times New Roman"/>
          <w:color w:val="auto"/>
          <w:sz w:val="32"/>
          <w:szCs w:val="32"/>
          <w:lang w:val="en-US"/>
        </w:rPr>
        <w:t>减少21.35</w:t>
      </w:r>
      <w:r>
        <w:rPr>
          <w:rFonts w:hint="eastAsia" w:ascii="仿宋_GB2312" w:eastAsia="仿宋_GB2312" w:cs="Times New Roman"/>
          <w:color w:val="auto"/>
          <w:sz w:val="32"/>
          <w:szCs w:val="32"/>
        </w:rPr>
        <w:t>万元。主要原因：项目支出减少</w:t>
      </w:r>
    </w:p>
    <w:p>
      <w:pPr>
        <w:autoSpaceDE/>
        <w:autoSpaceDN/>
        <w:spacing w:line="560" w:lineRule="exact"/>
        <w:ind w:firstLine="640" w:firstLineChars="200"/>
        <w:rPr>
          <w:rFonts w:ascii="仿宋_GB2312" w:eastAsia="仿宋_GB2312" w:cs="Times New Roman"/>
          <w:color w:val="auto"/>
          <w:sz w:val="32"/>
          <w:szCs w:val="32"/>
        </w:rPr>
      </w:pPr>
      <w:r>
        <w:rPr>
          <w:rFonts w:hint="eastAsia" w:ascii="仿宋_GB2312" w:eastAsia="仿宋_GB2312" w:cs="Times New Roman"/>
          <w:color w:val="auto"/>
          <w:sz w:val="32"/>
          <w:szCs w:val="32"/>
        </w:rPr>
        <w:t>其中：基本支出111</w:t>
      </w:r>
      <w:r>
        <w:rPr>
          <w:rFonts w:hint="eastAsia" w:ascii="仿宋_GB2312" w:eastAsia="仿宋_GB2312" w:cs="Times New Roman"/>
          <w:color w:val="auto"/>
          <w:sz w:val="32"/>
          <w:szCs w:val="32"/>
          <w:lang w:val="en-US"/>
        </w:rPr>
        <w:t>.</w:t>
      </w:r>
      <w:r>
        <w:rPr>
          <w:rFonts w:hint="eastAsia" w:ascii="仿宋_GB2312" w:eastAsia="仿宋_GB2312" w:cs="Times New Roman"/>
          <w:color w:val="auto"/>
          <w:sz w:val="32"/>
          <w:szCs w:val="32"/>
        </w:rPr>
        <w:t>92万元，占</w:t>
      </w:r>
      <w:r>
        <w:rPr>
          <w:rFonts w:hint="eastAsia" w:ascii="仿宋_GB2312" w:eastAsia="仿宋_GB2312" w:cs="Times New Roman"/>
          <w:color w:val="auto"/>
          <w:sz w:val="32"/>
          <w:szCs w:val="32"/>
          <w:lang w:val="en-US"/>
        </w:rPr>
        <w:t>89.24</w:t>
      </w:r>
      <w:r>
        <w:rPr>
          <w:rFonts w:hint="eastAsia" w:ascii="仿宋_GB2312" w:eastAsia="仿宋_GB2312" w:cs="Times New Roman"/>
          <w:color w:val="auto"/>
          <w:sz w:val="32"/>
          <w:szCs w:val="32"/>
        </w:rPr>
        <w:t>%；项目支出</w:t>
      </w:r>
      <w:r>
        <w:rPr>
          <w:rFonts w:hint="eastAsia" w:ascii="仿宋_GB2312" w:eastAsia="仿宋_GB2312" w:cs="Times New Roman"/>
          <w:color w:val="auto"/>
          <w:sz w:val="32"/>
          <w:szCs w:val="32"/>
          <w:lang w:val="en-US"/>
        </w:rPr>
        <w:t>13.5</w:t>
      </w:r>
      <w:r>
        <w:rPr>
          <w:rFonts w:hint="eastAsia" w:ascii="仿宋_GB2312" w:eastAsia="仿宋_GB2312" w:cs="Times New Roman"/>
          <w:color w:val="auto"/>
          <w:sz w:val="32"/>
          <w:szCs w:val="32"/>
        </w:rPr>
        <w:t>万元，占</w:t>
      </w:r>
      <w:r>
        <w:rPr>
          <w:rFonts w:hint="eastAsia" w:ascii="仿宋_GB2312" w:eastAsia="仿宋_GB2312" w:cs="Times New Roman"/>
          <w:color w:val="auto"/>
          <w:sz w:val="32"/>
          <w:szCs w:val="32"/>
          <w:lang w:val="en-US"/>
        </w:rPr>
        <w:t>10.76</w:t>
      </w:r>
      <w:r>
        <w:rPr>
          <w:rFonts w:hint="eastAsia" w:ascii="仿宋_GB2312" w:eastAsia="仿宋_GB2312" w:cs="Times New Roman"/>
          <w:color w:val="auto"/>
          <w:sz w:val="32"/>
          <w:szCs w:val="32"/>
        </w:rPr>
        <w:t>%。</w:t>
      </w:r>
    </w:p>
    <w:p>
      <w:pPr>
        <w:autoSpaceDE/>
        <w:autoSpaceDN/>
        <w:spacing w:line="560" w:lineRule="exact"/>
        <w:ind w:firstLine="640" w:firstLineChars="200"/>
        <w:rPr>
          <w:rFonts w:ascii="仿宋_GB2312" w:eastAsia="仿宋_GB2312" w:cs="Times New Roman"/>
          <w:color w:val="auto"/>
          <w:sz w:val="32"/>
          <w:szCs w:val="32"/>
        </w:rPr>
      </w:pPr>
      <w:r>
        <w:rPr>
          <w:rFonts w:hint="eastAsia" w:ascii="仿宋_GB2312" w:eastAsia="仿宋_GB2312" w:cs="Times New Roman"/>
          <w:color w:val="auto"/>
          <w:sz w:val="32"/>
          <w:szCs w:val="32"/>
        </w:rPr>
        <w:t>基本支出，是用于保障乐山市五通桥区旅游促进和服务中心正常运转的日常支出，包括基本工资、津贴补贴等人员经费以及办公费、印刷费、水电费、办公设备购置等日常公用经费。</w:t>
      </w:r>
    </w:p>
    <w:p>
      <w:pPr>
        <w:autoSpaceDE/>
        <w:autoSpaceDN/>
        <w:spacing w:line="560" w:lineRule="exact"/>
        <w:ind w:firstLine="640" w:firstLineChars="200"/>
        <w:rPr>
          <w:rFonts w:asciiTheme="majorEastAsia" w:hAnsiTheme="majorEastAsia" w:eastAsiaTheme="majorEastAsia"/>
          <w:color w:val="auto"/>
        </w:rPr>
      </w:pPr>
      <w:r>
        <w:rPr>
          <w:rFonts w:hint="eastAsia" w:ascii="仿宋_GB2312" w:eastAsia="仿宋_GB2312" w:cs="Times New Roman"/>
          <w:color w:val="auto"/>
          <w:sz w:val="32"/>
          <w:szCs w:val="32"/>
        </w:rPr>
        <w:t>项目支出，是用于保障乐山市五通桥区旅游促进和服务中心为完成旅游相关工作发展目标，用于专项业务工作的经费支出。</w:t>
      </w:r>
    </w:p>
    <w:p>
      <w:pPr>
        <w:pStyle w:val="5"/>
        <w:spacing w:before="30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三、一般公共预算当年拨款情况说明</w:t>
      </w:r>
    </w:p>
    <w:p>
      <w:pPr>
        <w:pStyle w:val="5"/>
        <w:spacing w:before="30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（一）一般公共预算当年拨款规模变化情况</w:t>
      </w:r>
    </w:p>
    <w:p>
      <w:pPr>
        <w:autoSpaceDE/>
        <w:autoSpaceDN/>
        <w:spacing w:line="560" w:lineRule="exact"/>
        <w:ind w:firstLine="960" w:firstLineChars="300"/>
        <w:rPr>
          <w:color w:val="auto"/>
        </w:rPr>
      </w:pPr>
      <w:r>
        <w:rPr>
          <w:rFonts w:hint="eastAsia" w:ascii="仿宋_GB2312" w:eastAsia="仿宋_GB2312" w:cs="Times New Roman"/>
          <w:color w:val="auto"/>
          <w:sz w:val="32"/>
          <w:szCs w:val="32"/>
        </w:rPr>
        <w:t>乐山市五通桥区旅游促进和服务中心202</w:t>
      </w:r>
      <w:r>
        <w:rPr>
          <w:rFonts w:hint="eastAsia" w:ascii="仿宋_GB2312" w:eastAsia="仿宋_GB2312" w:cs="Times New Roman"/>
          <w:color w:val="auto"/>
          <w:sz w:val="32"/>
          <w:szCs w:val="32"/>
          <w:lang w:val="en-US"/>
        </w:rPr>
        <w:t>4</w:t>
      </w:r>
      <w:r>
        <w:rPr>
          <w:rFonts w:hint="eastAsia" w:ascii="仿宋_GB2312" w:eastAsia="仿宋_GB2312" w:cs="Times New Roman"/>
          <w:color w:val="auto"/>
          <w:sz w:val="32"/>
          <w:szCs w:val="32"/>
        </w:rPr>
        <w:t>年一般公共预算当年拨款125</w:t>
      </w:r>
      <w:r>
        <w:rPr>
          <w:rFonts w:hint="eastAsia" w:ascii="仿宋_GB2312" w:eastAsia="仿宋_GB2312" w:cs="Times New Roman"/>
          <w:color w:val="auto"/>
          <w:sz w:val="32"/>
          <w:szCs w:val="32"/>
          <w:lang w:val="en-US"/>
        </w:rPr>
        <w:t>.</w:t>
      </w:r>
      <w:r>
        <w:rPr>
          <w:rFonts w:hint="eastAsia" w:ascii="仿宋_GB2312" w:eastAsia="仿宋_GB2312" w:cs="Times New Roman"/>
          <w:color w:val="auto"/>
          <w:sz w:val="32"/>
          <w:szCs w:val="32"/>
        </w:rPr>
        <w:t>42万元，比202</w:t>
      </w:r>
      <w:r>
        <w:rPr>
          <w:rFonts w:hint="eastAsia" w:ascii="仿宋_GB2312" w:eastAsia="仿宋_GB2312" w:cs="Times New Roman"/>
          <w:color w:val="auto"/>
          <w:sz w:val="32"/>
          <w:szCs w:val="32"/>
          <w:lang w:val="en-US"/>
        </w:rPr>
        <w:t>3</w:t>
      </w:r>
      <w:r>
        <w:rPr>
          <w:rFonts w:hint="eastAsia" w:ascii="仿宋_GB2312" w:eastAsia="仿宋_GB2312" w:cs="Times New Roman"/>
          <w:color w:val="auto"/>
          <w:sz w:val="32"/>
          <w:szCs w:val="32"/>
        </w:rPr>
        <w:t>年财政拨款收支预算总数146.77万元</w:t>
      </w:r>
      <w:r>
        <w:rPr>
          <w:rFonts w:hint="eastAsia" w:ascii="仿宋_GB2312" w:eastAsia="仿宋_GB2312" w:cs="Times New Roman"/>
          <w:color w:val="auto"/>
          <w:sz w:val="32"/>
          <w:szCs w:val="32"/>
          <w:lang w:val="en-US"/>
        </w:rPr>
        <w:t>减少21.35</w:t>
      </w:r>
      <w:r>
        <w:rPr>
          <w:rFonts w:hint="eastAsia" w:ascii="仿宋_GB2312" w:eastAsia="仿宋_GB2312" w:cs="Times New Roman"/>
          <w:color w:val="auto"/>
          <w:sz w:val="32"/>
          <w:szCs w:val="32"/>
        </w:rPr>
        <w:t>万元。主要原因：项目支出减少</w:t>
      </w:r>
    </w:p>
    <w:p>
      <w:pPr>
        <w:pStyle w:val="5"/>
        <w:spacing w:before="30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（二）一般公共预算当年拨款结构情况</w:t>
      </w:r>
    </w:p>
    <w:p>
      <w:pPr>
        <w:autoSpaceDE/>
        <w:autoSpaceDN/>
        <w:spacing w:line="560" w:lineRule="exact"/>
        <w:ind w:firstLine="960" w:firstLineChars="300"/>
        <w:rPr>
          <w:rFonts w:ascii="仿宋_GB2312" w:eastAsia="仿宋_GB2312" w:cs="Times New Roman"/>
          <w:color w:val="auto"/>
          <w:sz w:val="32"/>
          <w:szCs w:val="32"/>
        </w:rPr>
      </w:pPr>
      <w:r>
        <w:rPr>
          <w:rFonts w:hint="eastAsia" w:ascii="仿宋_GB2312" w:eastAsia="仿宋_GB2312" w:cs="Times New Roman"/>
          <w:color w:val="auto"/>
          <w:sz w:val="32"/>
          <w:szCs w:val="32"/>
        </w:rPr>
        <w:t>乐山市五通桥区旅游促进和服务中心202</w:t>
      </w:r>
      <w:r>
        <w:rPr>
          <w:rFonts w:hint="eastAsia" w:ascii="仿宋_GB2312" w:eastAsia="仿宋_GB2312" w:cs="Times New Roman"/>
          <w:color w:val="auto"/>
          <w:sz w:val="32"/>
          <w:szCs w:val="32"/>
          <w:lang w:val="en-US"/>
        </w:rPr>
        <w:t>4</w:t>
      </w:r>
      <w:r>
        <w:rPr>
          <w:rFonts w:hint="eastAsia" w:ascii="仿宋_GB2312" w:eastAsia="仿宋_GB2312" w:cs="Times New Roman"/>
          <w:color w:val="auto"/>
          <w:sz w:val="32"/>
          <w:szCs w:val="32"/>
        </w:rPr>
        <w:t>年一般公共预算支出125</w:t>
      </w:r>
      <w:r>
        <w:rPr>
          <w:rFonts w:hint="eastAsia" w:ascii="仿宋_GB2312" w:eastAsia="仿宋_GB2312" w:cs="Times New Roman"/>
          <w:color w:val="auto"/>
          <w:sz w:val="32"/>
          <w:szCs w:val="32"/>
          <w:lang w:val="en-US"/>
        </w:rPr>
        <w:t>.</w:t>
      </w:r>
      <w:r>
        <w:rPr>
          <w:rFonts w:hint="eastAsia" w:ascii="仿宋_GB2312" w:eastAsia="仿宋_GB2312" w:cs="Times New Roman"/>
          <w:color w:val="auto"/>
          <w:sz w:val="32"/>
          <w:szCs w:val="32"/>
        </w:rPr>
        <w:t>42万元，主要包括文化旅游体育与传媒支出117</w:t>
      </w:r>
      <w:r>
        <w:rPr>
          <w:rFonts w:hint="eastAsia" w:ascii="仿宋_GB2312" w:eastAsia="仿宋_GB2312" w:cs="Times New Roman"/>
          <w:color w:val="auto"/>
          <w:sz w:val="32"/>
          <w:szCs w:val="32"/>
          <w:lang w:val="en-US"/>
        </w:rPr>
        <w:t>.</w:t>
      </w:r>
      <w:r>
        <w:rPr>
          <w:rFonts w:hint="eastAsia" w:ascii="仿宋_GB2312" w:eastAsia="仿宋_GB2312" w:cs="Times New Roman"/>
          <w:color w:val="auto"/>
          <w:sz w:val="32"/>
          <w:szCs w:val="32"/>
        </w:rPr>
        <w:t>81万元，占</w:t>
      </w:r>
      <w:r>
        <w:rPr>
          <w:rFonts w:hint="eastAsia" w:ascii="仿宋_GB2312" w:eastAsia="仿宋_GB2312" w:cs="Times New Roman"/>
          <w:color w:val="auto"/>
          <w:sz w:val="32"/>
          <w:szCs w:val="32"/>
          <w:lang w:val="en-US"/>
        </w:rPr>
        <w:t>76.15</w:t>
      </w:r>
      <w:r>
        <w:rPr>
          <w:rFonts w:hint="eastAsia" w:ascii="仿宋_GB2312" w:eastAsia="仿宋_GB2312" w:cs="Times New Roman"/>
          <w:color w:val="auto"/>
          <w:sz w:val="32"/>
          <w:szCs w:val="32"/>
        </w:rPr>
        <w:t>%</w:t>
      </w:r>
      <w:r>
        <w:rPr>
          <w:rFonts w:hint="eastAsia" w:ascii="仿宋_GB2312" w:eastAsia="仿宋_GB2312" w:cs="Times New Roman"/>
          <w:color w:val="auto"/>
          <w:sz w:val="32"/>
          <w:szCs w:val="32"/>
          <w:lang w:val="en-US"/>
        </w:rPr>
        <w:t>；</w:t>
      </w:r>
      <w:r>
        <w:rPr>
          <w:rFonts w:hint="eastAsia" w:ascii="仿宋_GB2312" w:eastAsia="仿宋_GB2312" w:cs="Times New Roman"/>
          <w:color w:val="auto"/>
          <w:sz w:val="32"/>
          <w:szCs w:val="32"/>
        </w:rPr>
        <w:t>社会保障和就业支出16</w:t>
      </w:r>
      <w:r>
        <w:rPr>
          <w:rFonts w:hint="eastAsia" w:ascii="仿宋_GB2312" w:eastAsia="仿宋_GB2312" w:cs="Times New Roman"/>
          <w:color w:val="auto"/>
          <w:sz w:val="32"/>
          <w:szCs w:val="32"/>
          <w:lang w:val="en-US"/>
        </w:rPr>
        <w:t>.</w:t>
      </w:r>
      <w:r>
        <w:rPr>
          <w:rFonts w:hint="eastAsia" w:ascii="仿宋_GB2312" w:eastAsia="仿宋_GB2312" w:cs="Times New Roman"/>
          <w:color w:val="auto"/>
          <w:sz w:val="32"/>
          <w:szCs w:val="32"/>
        </w:rPr>
        <w:t>59万元，占</w:t>
      </w:r>
      <w:r>
        <w:rPr>
          <w:rFonts w:hint="eastAsia" w:ascii="仿宋_GB2312" w:eastAsia="仿宋_GB2312" w:cs="Times New Roman"/>
          <w:color w:val="auto"/>
          <w:sz w:val="32"/>
          <w:szCs w:val="32"/>
          <w:lang w:val="en-US"/>
        </w:rPr>
        <w:t>13.84</w:t>
      </w:r>
      <w:r>
        <w:rPr>
          <w:rFonts w:hint="eastAsia" w:ascii="仿宋_GB2312" w:eastAsia="仿宋_GB2312" w:cs="Times New Roman"/>
          <w:color w:val="auto"/>
          <w:sz w:val="32"/>
          <w:szCs w:val="32"/>
        </w:rPr>
        <w:t>%；卫生健康支出3</w:t>
      </w:r>
      <w:r>
        <w:rPr>
          <w:rFonts w:hint="eastAsia" w:ascii="仿宋_GB2312" w:eastAsia="仿宋_GB2312" w:cs="Times New Roman"/>
          <w:color w:val="auto"/>
          <w:sz w:val="32"/>
          <w:szCs w:val="32"/>
          <w:lang w:val="en-US"/>
        </w:rPr>
        <w:t>.</w:t>
      </w:r>
      <w:r>
        <w:rPr>
          <w:rFonts w:hint="eastAsia" w:ascii="仿宋_GB2312" w:eastAsia="仿宋_GB2312" w:cs="Times New Roman"/>
          <w:color w:val="auto"/>
          <w:sz w:val="32"/>
          <w:szCs w:val="32"/>
        </w:rPr>
        <w:t>47万元，占</w:t>
      </w:r>
      <w:r>
        <w:rPr>
          <w:rFonts w:hint="eastAsia" w:ascii="仿宋_GB2312" w:eastAsia="仿宋_GB2312" w:cs="Times New Roman"/>
          <w:color w:val="auto"/>
          <w:sz w:val="32"/>
          <w:szCs w:val="32"/>
          <w:lang w:val="en-US"/>
        </w:rPr>
        <w:t>2.77</w:t>
      </w:r>
      <w:r>
        <w:rPr>
          <w:rFonts w:hint="eastAsia" w:ascii="仿宋_GB2312" w:eastAsia="仿宋_GB2312" w:cs="Times New Roman"/>
          <w:color w:val="auto"/>
          <w:sz w:val="32"/>
          <w:szCs w:val="32"/>
        </w:rPr>
        <w:t>%</w:t>
      </w:r>
      <w:r>
        <w:rPr>
          <w:rFonts w:hint="eastAsia" w:ascii="仿宋_GB2312" w:eastAsia="仿宋_GB2312" w:cs="Times New Roman"/>
          <w:color w:val="auto"/>
          <w:sz w:val="32"/>
          <w:szCs w:val="32"/>
          <w:lang w:val="en-US"/>
        </w:rPr>
        <w:t>；</w:t>
      </w:r>
      <w:r>
        <w:rPr>
          <w:rFonts w:hint="eastAsia" w:ascii="仿宋_GB2312" w:eastAsia="仿宋_GB2312" w:cs="Times New Roman"/>
          <w:color w:val="auto"/>
          <w:sz w:val="32"/>
          <w:szCs w:val="32"/>
        </w:rPr>
        <w:t>住房保障支出9</w:t>
      </w:r>
      <w:r>
        <w:rPr>
          <w:rFonts w:hint="eastAsia" w:ascii="仿宋_GB2312" w:eastAsia="仿宋_GB2312" w:cs="Times New Roman"/>
          <w:color w:val="auto"/>
          <w:sz w:val="32"/>
          <w:szCs w:val="32"/>
          <w:lang w:val="en-US"/>
        </w:rPr>
        <w:t>.</w:t>
      </w:r>
      <w:r>
        <w:rPr>
          <w:rFonts w:hint="eastAsia" w:ascii="仿宋_GB2312" w:eastAsia="仿宋_GB2312" w:cs="Times New Roman"/>
          <w:color w:val="auto"/>
          <w:sz w:val="32"/>
          <w:szCs w:val="32"/>
        </w:rPr>
        <w:t>08万元，占</w:t>
      </w:r>
      <w:r>
        <w:rPr>
          <w:rFonts w:hint="eastAsia" w:ascii="仿宋_GB2312" w:eastAsia="仿宋_GB2312" w:cs="Times New Roman"/>
          <w:color w:val="auto"/>
          <w:sz w:val="32"/>
          <w:szCs w:val="32"/>
          <w:lang w:val="en-US"/>
        </w:rPr>
        <w:t>7.42</w:t>
      </w:r>
      <w:r>
        <w:rPr>
          <w:rFonts w:hint="eastAsia" w:ascii="仿宋_GB2312" w:eastAsia="仿宋_GB2312" w:cs="Times New Roman"/>
          <w:color w:val="auto"/>
          <w:sz w:val="32"/>
          <w:szCs w:val="32"/>
        </w:rPr>
        <w:t>%。</w:t>
      </w:r>
    </w:p>
    <w:p>
      <w:pPr>
        <w:pStyle w:val="5"/>
        <w:spacing w:before="30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（三）一般公共预算当年拨款具体使用情况</w:t>
      </w:r>
    </w:p>
    <w:p>
      <w:pPr>
        <w:autoSpaceDE/>
        <w:autoSpaceDN/>
        <w:spacing w:line="560" w:lineRule="exact"/>
        <w:ind w:firstLine="960" w:firstLineChars="300"/>
        <w:rPr>
          <w:rFonts w:ascii="仿宋_GB2312" w:eastAsia="仿宋_GB2312" w:cs="Times New Roman"/>
          <w:color w:val="auto"/>
          <w:sz w:val="32"/>
          <w:szCs w:val="32"/>
        </w:rPr>
      </w:pPr>
      <w:r>
        <w:rPr>
          <w:rFonts w:hint="eastAsia" w:ascii="仿宋_GB2312" w:eastAsia="仿宋_GB2312" w:cs="Times New Roman"/>
          <w:color w:val="auto"/>
          <w:sz w:val="32"/>
          <w:szCs w:val="32"/>
        </w:rPr>
        <w:t>1、文化旅游体育与传媒支出（类）文化和旅游（款）行政运行（项）:202</w:t>
      </w:r>
      <w:r>
        <w:rPr>
          <w:rFonts w:hint="eastAsia" w:ascii="仿宋_GB2312" w:eastAsia="仿宋_GB2312" w:cs="Times New Roman"/>
          <w:color w:val="auto"/>
          <w:sz w:val="32"/>
          <w:szCs w:val="32"/>
          <w:lang w:val="en-US"/>
        </w:rPr>
        <w:t>4</w:t>
      </w:r>
      <w:r>
        <w:rPr>
          <w:rFonts w:hint="eastAsia" w:ascii="仿宋_GB2312" w:eastAsia="仿宋_GB2312" w:cs="Times New Roman"/>
          <w:color w:val="auto"/>
          <w:sz w:val="32"/>
          <w:szCs w:val="32"/>
        </w:rPr>
        <w:t>年预算数为8</w:t>
      </w:r>
      <w:r>
        <w:rPr>
          <w:rFonts w:hint="eastAsia" w:ascii="仿宋_GB2312" w:eastAsia="仿宋_GB2312" w:cs="Times New Roman"/>
          <w:color w:val="auto"/>
          <w:sz w:val="32"/>
          <w:szCs w:val="32"/>
          <w:lang w:val="en-US"/>
        </w:rPr>
        <w:t>2</w:t>
      </w:r>
      <w:r>
        <w:rPr>
          <w:rFonts w:hint="eastAsia" w:ascii="仿宋_GB2312" w:eastAsia="仿宋_GB2312" w:cs="Times New Roman"/>
          <w:color w:val="auto"/>
          <w:sz w:val="32"/>
          <w:szCs w:val="32"/>
        </w:rPr>
        <w:t>万元，主要用于：旅游行政运行工作和人员工资等。</w:t>
      </w:r>
    </w:p>
    <w:p>
      <w:pPr>
        <w:autoSpaceDE/>
        <w:autoSpaceDN/>
        <w:spacing w:line="560" w:lineRule="exact"/>
        <w:ind w:firstLine="960" w:firstLineChars="300"/>
        <w:rPr>
          <w:rFonts w:ascii="仿宋_GB2312" w:eastAsia="仿宋_GB2312" w:cs="Times New Roman"/>
          <w:color w:val="auto"/>
          <w:sz w:val="32"/>
          <w:szCs w:val="32"/>
        </w:rPr>
      </w:pPr>
      <w:r>
        <w:rPr>
          <w:rFonts w:hint="eastAsia" w:ascii="仿宋_GB2312" w:eastAsia="仿宋_GB2312" w:cs="Times New Roman"/>
          <w:color w:val="auto"/>
          <w:sz w:val="32"/>
          <w:szCs w:val="32"/>
        </w:rPr>
        <w:t>2、社会保障和就业支出（类）行政事业单位养老支出（款）其他行政事业单位养老支出（项）:202</w:t>
      </w:r>
      <w:r>
        <w:rPr>
          <w:rFonts w:hint="eastAsia" w:ascii="仿宋_GB2312" w:eastAsia="仿宋_GB2312" w:cs="Times New Roman"/>
          <w:color w:val="auto"/>
          <w:sz w:val="32"/>
          <w:szCs w:val="32"/>
          <w:lang w:val="en-US"/>
        </w:rPr>
        <w:t>4</w:t>
      </w:r>
      <w:r>
        <w:rPr>
          <w:rFonts w:hint="eastAsia" w:ascii="仿宋_GB2312" w:eastAsia="仿宋_GB2312" w:cs="Times New Roman"/>
          <w:color w:val="auto"/>
          <w:sz w:val="32"/>
          <w:szCs w:val="32"/>
        </w:rPr>
        <w:t>年预算数为0.83万元，主要用于：退休人员春节慰问费及活动经费等。</w:t>
      </w:r>
    </w:p>
    <w:p>
      <w:pPr>
        <w:autoSpaceDE/>
        <w:autoSpaceDN/>
        <w:spacing w:line="560" w:lineRule="exact"/>
        <w:ind w:firstLine="960" w:firstLineChars="300"/>
        <w:rPr>
          <w:rFonts w:ascii="仿宋_GB2312" w:eastAsia="仿宋_GB2312" w:cs="Times New Roman"/>
          <w:color w:val="auto"/>
          <w:sz w:val="32"/>
          <w:szCs w:val="32"/>
          <w:lang w:val="en-US"/>
        </w:rPr>
      </w:pPr>
      <w:r>
        <w:rPr>
          <w:rFonts w:hint="eastAsia" w:ascii="仿宋_GB2312" w:eastAsia="仿宋_GB2312" w:cs="Times New Roman"/>
          <w:color w:val="auto"/>
          <w:sz w:val="32"/>
          <w:szCs w:val="32"/>
        </w:rPr>
        <w:t>3、文化旅游体育与传媒支出（类）文化和旅游（款） 旅游宣传（项）:202</w:t>
      </w:r>
      <w:r>
        <w:rPr>
          <w:rFonts w:hint="eastAsia" w:ascii="仿宋_GB2312" w:eastAsia="仿宋_GB2312" w:cs="Times New Roman"/>
          <w:color w:val="auto"/>
          <w:sz w:val="32"/>
          <w:szCs w:val="32"/>
          <w:lang w:val="en-US"/>
        </w:rPr>
        <w:t>4</w:t>
      </w:r>
      <w:r>
        <w:rPr>
          <w:rFonts w:hint="eastAsia" w:ascii="仿宋_GB2312" w:eastAsia="仿宋_GB2312" w:cs="Times New Roman"/>
          <w:color w:val="auto"/>
          <w:sz w:val="32"/>
          <w:szCs w:val="32"/>
        </w:rPr>
        <w:t>年预算数为1</w:t>
      </w:r>
      <w:r>
        <w:rPr>
          <w:rFonts w:hint="eastAsia" w:ascii="仿宋_GB2312" w:eastAsia="仿宋_GB2312" w:cs="Times New Roman"/>
          <w:color w:val="auto"/>
          <w:sz w:val="32"/>
          <w:szCs w:val="32"/>
          <w:lang w:val="en-US"/>
        </w:rPr>
        <w:t>3.5</w:t>
      </w:r>
      <w:r>
        <w:rPr>
          <w:rFonts w:hint="eastAsia" w:ascii="仿宋_GB2312" w:eastAsia="仿宋_GB2312" w:cs="Times New Roman"/>
          <w:color w:val="auto"/>
          <w:sz w:val="32"/>
          <w:szCs w:val="32"/>
        </w:rPr>
        <w:t>万元，主要用于：</w:t>
      </w:r>
      <w:r>
        <w:rPr>
          <w:rFonts w:hint="eastAsia" w:ascii="仿宋_GB2312" w:eastAsia="仿宋_GB2312" w:cs="Times New Roman"/>
          <w:color w:val="auto"/>
          <w:sz w:val="32"/>
          <w:szCs w:val="32"/>
          <w:lang w:val="en-US"/>
        </w:rPr>
        <w:t>2024年参与旅博会举办相关工作。</w:t>
      </w:r>
    </w:p>
    <w:p>
      <w:pPr>
        <w:autoSpaceDE/>
        <w:autoSpaceDN/>
        <w:spacing w:line="560" w:lineRule="exact"/>
        <w:ind w:firstLine="960" w:firstLineChars="300"/>
        <w:rPr>
          <w:rFonts w:ascii="仿宋_GB2312" w:eastAsia="仿宋_GB2312" w:cs="Times New Roman"/>
          <w:color w:val="auto"/>
          <w:sz w:val="32"/>
          <w:szCs w:val="32"/>
        </w:rPr>
      </w:pPr>
      <w:r>
        <w:rPr>
          <w:rFonts w:hint="eastAsia" w:ascii="仿宋_GB2312" w:eastAsia="仿宋_GB2312" w:cs="Times New Roman"/>
          <w:color w:val="auto"/>
          <w:sz w:val="32"/>
          <w:szCs w:val="32"/>
        </w:rPr>
        <w:t>4、住房保障支出（类）住房改革支出（款）住房公积金（项）:202</w:t>
      </w:r>
      <w:r>
        <w:rPr>
          <w:rFonts w:hint="eastAsia" w:ascii="仿宋_GB2312" w:eastAsia="仿宋_GB2312" w:cs="Times New Roman"/>
          <w:color w:val="auto"/>
          <w:sz w:val="32"/>
          <w:szCs w:val="32"/>
          <w:lang w:val="en-US"/>
        </w:rPr>
        <w:t>4</w:t>
      </w:r>
      <w:r>
        <w:rPr>
          <w:rFonts w:hint="eastAsia" w:ascii="仿宋_GB2312" w:eastAsia="仿宋_GB2312" w:cs="Times New Roman"/>
          <w:color w:val="auto"/>
          <w:sz w:val="32"/>
          <w:szCs w:val="32"/>
        </w:rPr>
        <w:t>年预算数为9</w:t>
      </w:r>
      <w:r>
        <w:rPr>
          <w:rFonts w:hint="eastAsia" w:ascii="仿宋_GB2312" w:eastAsia="仿宋_GB2312" w:cs="Times New Roman"/>
          <w:color w:val="auto"/>
          <w:sz w:val="32"/>
          <w:szCs w:val="32"/>
          <w:lang w:val="en-US"/>
        </w:rPr>
        <w:t>.</w:t>
      </w:r>
      <w:r>
        <w:rPr>
          <w:rFonts w:hint="eastAsia" w:ascii="仿宋_GB2312" w:eastAsia="仿宋_GB2312" w:cs="Times New Roman"/>
          <w:color w:val="auto"/>
          <w:sz w:val="32"/>
          <w:szCs w:val="32"/>
        </w:rPr>
        <w:t>08万元，主要用于：部门按人力资源和社会保障部、财政部规定的基本工资和津贴补贴以及规定比例为职工缴纳的住房公积金支出。</w:t>
      </w:r>
    </w:p>
    <w:p>
      <w:pPr>
        <w:autoSpaceDE/>
        <w:autoSpaceDN/>
        <w:spacing w:line="560" w:lineRule="exact"/>
        <w:ind w:firstLine="960" w:firstLineChars="300"/>
        <w:rPr>
          <w:rFonts w:ascii="仿宋_GB2312" w:eastAsia="仿宋_GB2312" w:cs="Times New Roman"/>
          <w:color w:val="auto"/>
          <w:sz w:val="32"/>
          <w:szCs w:val="32"/>
        </w:rPr>
      </w:pPr>
      <w:r>
        <w:rPr>
          <w:rFonts w:hint="eastAsia" w:ascii="仿宋_GB2312" w:eastAsia="仿宋_GB2312" w:cs="Times New Roman"/>
          <w:color w:val="auto"/>
          <w:sz w:val="32"/>
          <w:szCs w:val="32"/>
        </w:rPr>
        <w:t>5、社会保障和就业支出（类）行政事业单位养老支出（款）机关事业单位基本养老保险缴费支出（项）:202</w:t>
      </w:r>
      <w:r>
        <w:rPr>
          <w:rFonts w:hint="eastAsia" w:ascii="仿宋_GB2312" w:eastAsia="仿宋_GB2312" w:cs="Times New Roman"/>
          <w:color w:val="auto"/>
          <w:sz w:val="32"/>
          <w:szCs w:val="32"/>
          <w:lang w:val="en-US"/>
        </w:rPr>
        <w:t>4</w:t>
      </w:r>
      <w:r>
        <w:rPr>
          <w:rFonts w:hint="eastAsia" w:ascii="仿宋_GB2312" w:eastAsia="仿宋_GB2312" w:cs="Times New Roman"/>
          <w:color w:val="auto"/>
          <w:sz w:val="32"/>
          <w:szCs w:val="32"/>
        </w:rPr>
        <w:t>年预算数为10.51万元，主要用于：实施养老保险制度后，部门按规定由单位缴纳的基本养老保险费支出。</w:t>
      </w:r>
    </w:p>
    <w:p>
      <w:pPr>
        <w:pStyle w:val="5"/>
        <w:spacing w:before="300" w:afterLines="50" w:line="360" w:lineRule="auto"/>
        <w:ind w:firstLine="640" w:firstLineChars="200"/>
        <w:outlineLvl w:val="1"/>
        <w:rPr>
          <w:rFonts w:hAnsi="宋体" w:cs="Times New Roman"/>
          <w:color w:val="auto"/>
        </w:rPr>
      </w:pPr>
      <w:r>
        <w:rPr>
          <w:rFonts w:hint="eastAsia" w:hAnsi="宋体" w:cs="Times New Roman"/>
          <w:color w:val="auto"/>
        </w:rPr>
        <w:t>6、卫生健康支出（类）行政事业单位医疗（款）公务员医疗补助（项）:202</w:t>
      </w:r>
      <w:r>
        <w:rPr>
          <w:rFonts w:hint="eastAsia" w:hAnsi="宋体" w:cs="Times New Roman"/>
          <w:color w:val="auto"/>
          <w:lang w:val="en-US"/>
        </w:rPr>
        <w:t>4</w:t>
      </w:r>
      <w:r>
        <w:rPr>
          <w:rFonts w:hint="eastAsia" w:hAnsi="宋体" w:cs="Times New Roman"/>
          <w:color w:val="auto"/>
        </w:rPr>
        <w:t>年预算数为0.7万元，主要用于：行政事业单位医疗其他医疗保险缴费，公务员医疗补助。</w:t>
      </w:r>
    </w:p>
    <w:p>
      <w:pPr>
        <w:pStyle w:val="5"/>
        <w:spacing w:before="300" w:afterLines="50" w:line="360" w:lineRule="auto"/>
        <w:ind w:firstLine="640" w:firstLineChars="200"/>
        <w:outlineLvl w:val="1"/>
        <w:rPr>
          <w:rFonts w:hAnsi="宋体" w:cs="Times New Roman"/>
          <w:color w:val="auto"/>
        </w:rPr>
      </w:pPr>
      <w:r>
        <w:rPr>
          <w:rFonts w:hint="eastAsia" w:hAnsi="宋体" w:cs="Times New Roman"/>
          <w:color w:val="auto"/>
          <w:lang w:val="en-US"/>
        </w:rPr>
        <w:t>7</w:t>
      </w:r>
      <w:r>
        <w:rPr>
          <w:rFonts w:hint="eastAsia" w:hAnsi="宋体" w:cs="Times New Roman"/>
          <w:color w:val="auto"/>
        </w:rPr>
        <w:t>、卫生健康支出（类）行政事业单位医疗（款）行政单位医疗（项）:202</w:t>
      </w:r>
      <w:r>
        <w:rPr>
          <w:rFonts w:hint="eastAsia" w:hAnsi="宋体" w:cs="Times New Roman"/>
          <w:color w:val="auto"/>
          <w:lang w:val="en-US"/>
        </w:rPr>
        <w:t>4</w:t>
      </w:r>
      <w:r>
        <w:rPr>
          <w:rFonts w:hint="eastAsia" w:hAnsi="宋体" w:cs="Times New Roman"/>
          <w:color w:val="auto"/>
        </w:rPr>
        <w:t>年预算数为2</w:t>
      </w:r>
      <w:r>
        <w:rPr>
          <w:rFonts w:hint="eastAsia" w:hAnsi="宋体" w:cs="Times New Roman"/>
          <w:color w:val="auto"/>
          <w:lang w:val="en-US"/>
        </w:rPr>
        <w:t>.</w:t>
      </w:r>
      <w:r>
        <w:rPr>
          <w:rFonts w:hint="eastAsia" w:hAnsi="宋体" w:cs="Times New Roman"/>
          <w:color w:val="auto"/>
        </w:rPr>
        <w:t>77万元，主要用于：行政事业单位医疗基本医疗保险缴费。</w:t>
      </w:r>
    </w:p>
    <w:p>
      <w:pPr>
        <w:pStyle w:val="5"/>
        <w:spacing w:before="300" w:afterLines="50" w:line="360" w:lineRule="auto"/>
        <w:ind w:firstLine="640" w:firstLineChars="200"/>
        <w:outlineLvl w:val="1"/>
        <w:rPr>
          <w:rFonts w:hAnsi="宋体" w:cs="Times New Roman"/>
          <w:color w:val="auto"/>
        </w:rPr>
      </w:pPr>
      <w:r>
        <w:rPr>
          <w:rFonts w:hint="eastAsia" w:hAnsi="宋体" w:cs="Times New Roman"/>
          <w:color w:val="auto"/>
          <w:lang w:val="en-US"/>
        </w:rPr>
        <w:t>8</w:t>
      </w:r>
      <w:r>
        <w:rPr>
          <w:rFonts w:hint="eastAsia" w:hAnsi="宋体" w:cs="Times New Roman"/>
          <w:color w:val="auto"/>
        </w:rPr>
        <w:t>、社会保障和就业支出（类）行政事业单位养老支出（款）机关事业单位职业年金缴费支出（项）:202</w:t>
      </w:r>
      <w:r>
        <w:rPr>
          <w:rFonts w:hint="eastAsia" w:hAnsi="宋体" w:cs="Times New Roman"/>
          <w:color w:val="auto"/>
          <w:lang w:val="en-US"/>
        </w:rPr>
        <w:t>4</w:t>
      </w:r>
      <w:r>
        <w:rPr>
          <w:rFonts w:hint="eastAsia" w:hAnsi="宋体" w:cs="Times New Roman"/>
          <w:color w:val="auto"/>
        </w:rPr>
        <w:t>年预算数为5.26万元，主要用于：实施养老保险制度后，部门按规定由单位缴纳的职业年金支出。</w:t>
      </w:r>
    </w:p>
    <w:p>
      <w:pPr>
        <w:pStyle w:val="5"/>
        <w:spacing w:before="300" w:afterLines="50" w:line="360" w:lineRule="auto"/>
        <w:ind w:firstLine="640" w:firstLineChars="200"/>
        <w:outlineLvl w:val="1"/>
        <w:rPr>
          <w:rFonts w:hAnsi="宋体" w:cs="Times New Roman"/>
          <w:color w:val="auto"/>
        </w:rPr>
      </w:pPr>
      <w:r>
        <w:rPr>
          <w:rFonts w:hint="eastAsia" w:asciiTheme="majorEastAsia" w:hAnsiTheme="majorEastAsia" w:eastAsiaTheme="majorEastAsia"/>
          <w:color w:val="auto"/>
          <w:lang w:val="en-US"/>
        </w:rPr>
        <w:t>9</w:t>
      </w:r>
      <w:r>
        <w:rPr>
          <w:rFonts w:asciiTheme="majorEastAsia" w:hAnsiTheme="majorEastAsia" w:eastAsiaTheme="majorEastAsia"/>
          <w:color w:val="auto"/>
        </w:rPr>
        <w:t>、社会保障和就业支出（类）</w:t>
      </w:r>
      <w:r>
        <w:rPr>
          <w:rFonts w:hint="eastAsia" w:asciiTheme="majorEastAsia" w:hAnsiTheme="majorEastAsia" w:eastAsiaTheme="majorEastAsia"/>
          <w:color w:val="auto"/>
        </w:rPr>
        <w:t> 其他社会保障和就业支出</w:t>
      </w:r>
      <w:r>
        <w:rPr>
          <w:rFonts w:asciiTheme="majorEastAsia" w:hAnsiTheme="majorEastAsia" w:eastAsiaTheme="majorEastAsia"/>
          <w:color w:val="auto"/>
        </w:rPr>
        <w:t>（款）</w:t>
      </w:r>
      <w:r>
        <w:rPr>
          <w:rFonts w:hint="eastAsia" w:asciiTheme="majorEastAsia" w:hAnsiTheme="majorEastAsia" w:eastAsiaTheme="majorEastAsia"/>
          <w:color w:val="auto"/>
        </w:rPr>
        <w:t> 其他社会保障和就业支出</w:t>
      </w:r>
      <w:r>
        <w:rPr>
          <w:rFonts w:asciiTheme="majorEastAsia" w:hAnsiTheme="majorEastAsia" w:eastAsiaTheme="majorEastAsia"/>
          <w:color w:val="auto"/>
        </w:rPr>
        <w:t>（项）:202</w:t>
      </w:r>
      <w:r>
        <w:rPr>
          <w:rFonts w:hint="eastAsia" w:asciiTheme="majorEastAsia" w:hAnsiTheme="majorEastAsia" w:eastAsiaTheme="majorEastAsia"/>
          <w:color w:val="auto"/>
          <w:lang w:val="en-US"/>
        </w:rPr>
        <w:t>4</w:t>
      </w:r>
      <w:r>
        <w:rPr>
          <w:rFonts w:asciiTheme="majorEastAsia" w:hAnsiTheme="majorEastAsia" w:eastAsiaTheme="majorEastAsia"/>
          <w:color w:val="auto"/>
        </w:rPr>
        <w:t>年预算数为</w:t>
      </w:r>
      <w:r>
        <w:rPr>
          <w:rFonts w:hint="eastAsia" w:asciiTheme="majorEastAsia" w:hAnsiTheme="majorEastAsia" w:eastAsiaTheme="majorEastAsia"/>
          <w:color w:val="auto"/>
          <w:lang w:val="en-US"/>
        </w:rPr>
        <w:t>0.76</w:t>
      </w:r>
      <w:r>
        <w:rPr>
          <w:rFonts w:asciiTheme="majorEastAsia" w:hAnsiTheme="majorEastAsia" w:eastAsiaTheme="majorEastAsia"/>
          <w:color w:val="auto"/>
        </w:rPr>
        <w:t>万元，主要用于：</w:t>
      </w:r>
      <w:r>
        <w:rPr>
          <w:rFonts w:hint="eastAsia" w:asciiTheme="majorEastAsia" w:hAnsiTheme="majorEastAsia" w:eastAsiaTheme="majorEastAsia"/>
          <w:color w:val="auto"/>
        </w:rPr>
        <w:t>支付其他保险经费支出</w:t>
      </w:r>
      <w:r>
        <w:rPr>
          <w:rFonts w:hint="eastAsia" w:asciiTheme="majorEastAsia" w:hAnsiTheme="majorEastAsia" w:eastAsiaTheme="majorEastAsia"/>
          <w:color w:val="auto"/>
          <w:lang w:val="en-US"/>
        </w:rPr>
        <w:t>.</w:t>
      </w:r>
    </w:p>
    <w:p>
      <w:pPr>
        <w:pStyle w:val="5"/>
        <w:spacing w:before="30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四、一般公共预算基本支出情况说明</w:t>
      </w:r>
    </w:p>
    <w:p>
      <w:pPr>
        <w:pStyle w:val="5"/>
        <w:spacing w:before="300" w:afterLines="50" w:line="360" w:lineRule="auto"/>
        <w:ind w:firstLine="640" w:firstLineChars="200"/>
        <w:outlineLvl w:val="1"/>
        <w:rPr>
          <w:rFonts w:hAnsi="宋体" w:cs="Times New Roman"/>
          <w:color w:val="auto"/>
        </w:rPr>
      </w:pPr>
      <w:r>
        <w:rPr>
          <w:rFonts w:hint="eastAsia" w:hAnsi="宋体" w:cs="Times New Roman"/>
          <w:color w:val="auto"/>
        </w:rPr>
        <w:t>乐山市五通桥区旅游促进和服务中心202</w:t>
      </w:r>
      <w:r>
        <w:rPr>
          <w:rFonts w:hint="eastAsia" w:hAnsi="宋体" w:cs="Times New Roman"/>
          <w:color w:val="auto"/>
          <w:lang w:val="en-US"/>
        </w:rPr>
        <w:t>4</w:t>
      </w:r>
      <w:r>
        <w:rPr>
          <w:rFonts w:hint="eastAsia" w:hAnsi="宋体" w:cs="Times New Roman"/>
          <w:color w:val="auto"/>
        </w:rPr>
        <w:t>一般公共预算基本支出111</w:t>
      </w:r>
      <w:r>
        <w:rPr>
          <w:rFonts w:hint="eastAsia" w:hAnsi="宋体" w:cs="Times New Roman"/>
          <w:color w:val="auto"/>
          <w:lang w:val="en-US"/>
        </w:rPr>
        <w:t>.</w:t>
      </w:r>
      <w:r>
        <w:rPr>
          <w:rFonts w:hint="eastAsia" w:hAnsi="宋体" w:cs="Times New Roman"/>
          <w:color w:val="auto"/>
        </w:rPr>
        <w:t>92万元，其中：</w:t>
      </w:r>
    </w:p>
    <w:p>
      <w:pPr>
        <w:pStyle w:val="5"/>
        <w:spacing w:before="300" w:afterLines="50" w:line="360" w:lineRule="auto"/>
        <w:ind w:firstLine="640" w:firstLineChars="200"/>
        <w:outlineLvl w:val="1"/>
        <w:rPr>
          <w:rFonts w:hAnsi="宋体" w:cs="Times New Roman"/>
          <w:color w:val="auto"/>
        </w:rPr>
      </w:pPr>
      <w:r>
        <w:rPr>
          <w:rFonts w:hint="eastAsia" w:hAnsi="宋体" w:cs="Times New Roman"/>
          <w:color w:val="auto"/>
        </w:rPr>
        <w:t>人员经费102</w:t>
      </w:r>
      <w:r>
        <w:rPr>
          <w:rFonts w:hint="eastAsia" w:hAnsi="宋体" w:cs="Times New Roman"/>
          <w:color w:val="auto"/>
          <w:lang w:val="en-US"/>
        </w:rPr>
        <w:t>.</w:t>
      </w:r>
      <w:r>
        <w:rPr>
          <w:rFonts w:hint="eastAsia" w:hAnsi="宋体" w:cs="Times New Roman"/>
          <w:color w:val="auto"/>
        </w:rPr>
        <w:t>32万元，主要包括：基本工资、津贴补贴、奖金、伙食补助费、绩效工资、机关事业单位基本养老保险缴费、职业年金缴费、职工基本医疗保险缴费、其他社会保障缴费、住房公积金、其他工资福利支出、离休费、抚恤金、生活补助、其他对个人和家庭的补助支出。</w:t>
      </w:r>
    </w:p>
    <w:p>
      <w:pPr>
        <w:pStyle w:val="5"/>
        <w:spacing w:before="300" w:afterLines="50" w:line="360" w:lineRule="auto"/>
        <w:ind w:firstLine="640" w:firstLineChars="200"/>
        <w:outlineLvl w:val="1"/>
        <w:rPr>
          <w:rFonts w:hAnsi="宋体" w:cs="Times New Roman"/>
          <w:color w:val="auto"/>
        </w:rPr>
      </w:pPr>
      <w:r>
        <w:rPr>
          <w:rFonts w:hint="eastAsia" w:hAnsi="宋体" w:cs="Times New Roman"/>
          <w:color w:val="auto"/>
        </w:rPr>
        <w:t>公用经费</w:t>
      </w:r>
      <w:r>
        <w:rPr>
          <w:rFonts w:hint="eastAsia" w:hAnsi="宋体" w:cs="Times New Roman"/>
          <w:color w:val="auto"/>
          <w:lang w:val="en-US"/>
        </w:rPr>
        <w:t>9.6</w:t>
      </w:r>
      <w:r>
        <w:rPr>
          <w:rFonts w:hint="eastAsia" w:hAnsi="宋体" w:cs="Times New Roman"/>
          <w:color w:val="auto"/>
        </w:rPr>
        <w:t>万元，主要包括：主要包括：办公费、印刷费、水费、电费、邮电费、差旅费、维修（护）费、会议费、培训费、公务接待费、劳务费、工会经费、福利费、公务用车运行维护费、其他交通费、其他商品和服务支出。</w:t>
      </w:r>
    </w:p>
    <w:p>
      <w:pPr>
        <w:pStyle w:val="5"/>
        <w:spacing w:before="300" w:afterLines="50"/>
        <w:ind w:firstLine="640" w:firstLineChars="200"/>
        <w:outlineLvl w:val="1"/>
        <w:rPr>
          <w:rFonts w:ascii="宋体" w:hAnsi="宋体" w:eastAsia="黑体"/>
          <w:color w:val="auto"/>
          <w:highlight w:val="cyan"/>
          <w:lang w:val="en-US"/>
        </w:rPr>
      </w:pPr>
      <w:r>
        <w:rPr>
          <w:rFonts w:hint="eastAsia" w:ascii="宋体" w:hAnsi="宋体" w:eastAsia="黑体"/>
          <w:color w:val="auto"/>
        </w:rPr>
        <w:t>五、“三公”经费财政拨款预算安排情况说明</w:t>
      </w:r>
      <w:bookmarkEnd w:id="24"/>
    </w:p>
    <w:p>
      <w:pPr>
        <w:pStyle w:val="12"/>
        <w:tabs>
          <w:tab w:val="left" w:pos="1784"/>
        </w:tabs>
        <w:spacing w:beforeLines="100" w:afterLines="50" w:line="560" w:lineRule="exact"/>
        <w:ind w:left="0" w:right="660" w:rightChars="300" w:firstLineChars="200"/>
        <w:rPr>
          <w:rFonts w:ascii="宋体" w:hAnsi="宋体"/>
          <w:color w:val="auto"/>
          <w:sz w:val="32"/>
          <w:lang w:val="en-US"/>
        </w:rPr>
      </w:pPr>
      <w:r>
        <w:rPr>
          <w:rFonts w:ascii="宋体" w:hAnsi="宋体"/>
          <w:color w:val="auto"/>
          <w:sz w:val="32"/>
          <w:lang w:val="en-US"/>
        </w:rPr>
        <w:t>乐山市五通桥区旅游促进和服务中心</w:t>
      </w:r>
      <w:r>
        <w:rPr>
          <w:rFonts w:hint="eastAsia" w:ascii="宋体" w:hAnsi="宋体"/>
          <w:color w:val="auto"/>
          <w:sz w:val="32"/>
          <w:lang w:val="en-US"/>
        </w:rPr>
        <w:t>2024年“三公”经费财政拨款预算数0.5万元，其中：公务接待费0.5万元，公务用车购置0万元，公车运行维护费0万元。</w:t>
      </w:r>
    </w:p>
    <w:p>
      <w:pPr>
        <w:pStyle w:val="12"/>
        <w:tabs>
          <w:tab w:val="left" w:pos="1784"/>
        </w:tabs>
        <w:spacing w:beforeLines="100" w:afterLines="50" w:line="560" w:lineRule="exact"/>
        <w:ind w:left="0" w:right="660" w:rightChars="300" w:firstLineChars="200"/>
        <w:rPr>
          <w:rFonts w:ascii="宋体" w:hAnsi="宋体"/>
          <w:color w:val="auto"/>
          <w:sz w:val="32"/>
          <w:lang w:val="en-US"/>
        </w:rPr>
      </w:pPr>
      <w:r>
        <w:rPr>
          <w:rFonts w:hint="eastAsia" w:ascii="宋体" w:hAnsi="宋体"/>
          <w:color w:val="auto"/>
          <w:sz w:val="32"/>
          <w:lang w:val="en-US"/>
        </w:rPr>
        <w:t>2024年公务接待费计划：预计10次接待，每次预计500元。</w:t>
      </w:r>
    </w:p>
    <w:p>
      <w:pPr>
        <w:pStyle w:val="4"/>
        <w:spacing w:before="100" w:afterLines="50"/>
        <w:ind w:left="0" w:firstLine="643" w:firstLineChars="200"/>
        <w:rPr>
          <w:rFonts w:ascii="宋体" w:hAnsi="宋体"/>
          <w:color w:val="auto"/>
        </w:rPr>
      </w:pPr>
      <w:bookmarkStart w:id="25" w:name="_Toc10802"/>
      <w:r>
        <w:rPr>
          <w:rFonts w:ascii="宋体" w:hAnsi="宋体"/>
          <w:color w:val="auto"/>
        </w:rPr>
        <w:t>（一）</w:t>
      </w:r>
      <w:r>
        <w:rPr>
          <w:rFonts w:hint="eastAsia" w:ascii="宋体" w:hAnsi="宋体"/>
          <w:color w:val="auto"/>
          <w:lang w:val="en-US"/>
        </w:rPr>
        <w:t>公务接待费变化情况</w:t>
      </w:r>
      <w:bookmarkEnd w:id="25"/>
    </w:p>
    <w:p>
      <w:pPr>
        <w:pStyle w:val="12"/>
        <w:tabs>
          <w:tab w:val="left" w:pos="1784"/>
        </w:tabs>
        <w:spacing w:beforeLines="100" w:afterLines="50" w:line="560" w:lineRule="exact"/>
        <w:ind w:left="0" w:right="660" w:rightChars="300" w:firstLineChars="200"/>
        <w:rPr>
          <w:rFonts w:ascii="宋体" w:hAnsi="宋体"/>
          <w:color w:val="auto"/>
          <w:sz w:val="32"/>
          <w:lang w:val="en-US"/>
        </w:rPr>
      </w:pPr>
      <w:r>
        <w:rPr>
          <w:rFonts w:ascii="宋体" w:hAnsi="宋体"/>
          <w:color w:val="auto"/>
          <w:sz w:val="32"/>
          <w:lang w:val="en-US"/>
        </w:rPr>
        <w:t>公务接待费较</w:t>
      </w:r>
      <w:r>
        <w:rPr>
          <w:rFonts w:hint="eastAsia" w:ascii="宋体" w:hAnsi="宋体"/>
          <w:color w:val="auto"/>
          <w:sz w:val="32"/>
          <w:lang w:val="en-US"/>
        </w:rPr>
        <w:t>2023</w:t>
      </w:r>
      <w:r>
        <w:rPr>
          <w:rFonts w:ascii="宋体" w:hAnsi="宋体"/>
          <w:color w:val="auto"/>
          <w:sz w:val="32"/>
          <w:lang w:val="en-US"/>
        </w:rPr>
        <w:t>年预算</w:t>
      </w:r>
      <w:r>
        <w:rPr>
          <w:rFonts w:hint="eastAsia" w:ascii="宋体" w:hAnsi="宋体"/>
          <w:color w:val="auto"/>
          <w:sz w:val="32"/>
          <w:lang w:val="en-US"/>
        </w:rPr>
        <w:t>5万元</w:t>
      </w:r>
      <w:r>
        <w:rPr>
          <w:rFonts w:ascii="宋体" w:hAnsi="宋体"/>
          <w:color w:val="auto"/>
          <w:sz w:val="32"/>
          <w:lang w:val="en-US"/>
        </w:rPr>
        <w:t>持平</w:t>
      </w:r>
      <w:r>
        <w:rPr>
          <w:rFonts w:hint="eastAsia" w:ascii="宋体" w:hAnsi="宋体"/>
          <w:color w:val="auto"/>
          <w:sz w:val="32"/>
          <w:lang w:val="en-US"/>
        </w:rPr>
        <w:t>。</w:t>
      </w:r>
      <w:r>
        <w:rPr>
          <w:rFonts w:ascii="宋体" w:hAnsi="宋体"/>
          <w:color w:val="auto"/>
          <w:sz w:val="32"/>
          <w:lang w:val="en-US"/>
        </w:rPr>
        <w:t>主要原因是厉行节约</w:t>
      </w:r>
      <w:r>
        <w:rPr>
          <w:rFonts w:hint="eastAsia" w:ascii="宋体" w:hAnsi="宋体"/>
          <w:color w:val="auto"/>
          <w:sz w:val="32"/>
          <w:lang w:val="en-US"/>
        </w:rPr>
        <w:t>。</w:t>
      </w:r>
    </w:p>
    <w:p>
      <w:pPr>
        <w:pStyle w:val="4"/>
        <w:spacing w:before="100" w:afterLines="50"/>
        <w:ind w:left="0" w:firstLine="643" w:firstLineChars="200"/>
        <w:rPr>
          <w:rFonts w:ascii="宋体" w:hAnsi="宋体"/>
          <w:color w:val="auto"/>
        </w:rPr>
      </w:pPr>
      <w:bookmarkStart w:id="26" w:name="_Toc17768"/>
      <w:r>
        <w:rPr>
          <w:rFonts w:ascii="宋体" w:hAnsi="宋体"/>
          <w:color w:val="auto"/>
        </w:rPr>
        <w:t>（</w:t>
      </w:r>
      <w:r>
        <w:rPr>
          <w:rFonts w:hint="eastAsia" w:ascii="宋体" w:hAnsi="宋体"/>
          <w:color w:val="auto"/>
          <w:lang w:val="en-US"/>
        </w:rPr>
        <w:t>二</w:t>
      </w:r>
      <w:r>
        <w:rPr>
          <w:rFonts w:ascii="宋体" w:hAnsi="宋体"/>
          <w:color w:val="auto"/>
        </w:rPr>
        <w:t>）</w:t>
      </w:r>
      <w:r>
        <w:rPr>
          <w:rFonts w:hint="eastAsia" w:ascii="宋体" w:hAnsi="宋体"/>
          <w:color w:val="auto"/>
          <w:lang w:val="en-US"/>
        </w:rPr>
        <w:t>公务用车购置及运行维护费变化情况</w:t>
      </w:r>
      <w:bookmarkEnd w:id="26"/>
    </w:p>
    <w:p>
      <w:pPr>
        <w:pStyle w:val="12"/>
        <w:tabs>
          <w:tab w:val="left" w:pos="1784"/>
        </w:tabs>
        <w:spacing w:beforeLines="100" w:afterLines="50"/>
        <w:ind w:right="660" w:rightChars="300"/>
        <w:rPr>
          <w:rFonts w:ascii="宋体" w:hAnsi="宋体"/>
          <w:color w:val="auto"/>
          <w:sz w:val="32"/>
          <w:lang w:val="en-US"/>
        </w:rPr>
      </w:pPr>
      <w:r>
        <w:rPr>
          <w:rFonts w:ascii="宋体" w:hAnsi="宋体"/>
          <w:color w:val="auto"/>
          <w:sz w:val="32"/>
          <w:lang w:val="en-US"/>
        </w:rPr>
        <w:t>公务用车购置及运行维护费较</w:t>
      </w:r>
      <w:r>
        <w:rPr>
          <w:rFonts w:hint="eastAsia" w:ascii="宋体" w:hAnsi="宋体"/>
          <w:color w:val="auto"/>
          <w:sz w:val="32"/>
          <w:lang w:val="en-US"/>
        </w:rPr>
        <w:t>2023</w:t>
      </w:r>
      <w:r>
        <w:rPr>
          <w:rFonts w:ascii="宋体" w:hAnsi="宋体"/>
          <w:color w:val="auto"/>
          <w:sz w:val="32"/>
          <w:lang w:val="en-US"/>
        </w:rPr>
        <w:t>预算</w:t>
      </w:r>
      <w:r>
        <w:rPr>
          <w:rFonts w:hint="eastAsia" w:ascii="宋体" w:hAnsi="宋体"/>
          <w:color w:val="auto"/>
          <w:sz w:val="32"/>
          <w:lang w:val="en-US"/>
        </w:rPr>
        <w:t>0</w:t>
      </w:r>
      <w:r>
        <w:rPr>
          <w:rFonts w:ascii="宋体" w:hAnsi="宋体"/>
          <w:color w:val="auto"/>
          <w:sz w:val="32"/>
          <w:lang w:val="en-US"/>
        </w:rPr>
        <w:t>万元预算持平。主要原因是厉行节约，规范公务出行，尽量乘坐公共交通工具。</w:t>
      </w:r>
    </w:p>
    <w:p>
      <w:pPr>
        <w:pStyle w:val="12"/>
        <w:tabs>
          <w:tab w:val="left" w:pos="1784"/>
        </w:tabs>
        <w:spacing w:beforeLines="100" w:afterLines="50"/>
        <w:ind w:right="660" w:rightChars="300"/>
        <w:rPr>
          <w:rFonts w:ascii="宋体" w:hAnsi="宋体"/>
          <w:color w:val="auto"/>
          <w:sz w:val="32"/>
          <w:lang w:val="en-US"/>
        </w:rPr>
      </w:pPr>
      <w:r>
        <w:rPr>
          <w:rFonts w:ascii="宋体" w:hAnsi="宋体"/>
          <w:color w:val="auto"/>
          <w:sz w:val="32"/>
          <w:lang w:val="en-US"/>
        </w:rPr>
        <w:t>单位实有公务用车</w:t>
      </w:r>
      <w:r>
        <w:rPr>
          <w:rFonts w:hint="eastAsia" w:ascii="宋体" w:hAnsi="宋体"/>
          <w:color w:val="auto"/>
          <w:sz w:val="32"/>
          <w:lang w:val="en-US"/>
        </w:rPr>
        <w:t>1</w:t>
      </w:r>
      <w:r>
        <w:rPr>
          <w:rFonts w:ascii="宋体" w:hAnsi="宋体"/>
          <w:color w:val="auto"/>
          <w:sz w:val="32"/>
          <w:lang w:val="en-US"/>
        </w:rPr>
        <w:t>辆，其中：轿车</w:t>
      </w:r>
      <w:r>
        <w:rPr>
          <w:rFonts w:hint="eastAsia" w:ascii="宋体" w:hAnsi="宋体"/>
          <w:color w:val="auto"/>
          <w:sz w:val="32"/>
          <w:lang w:val="en-US"/>
        </w:rPr>
        <w:t>1</w:t>
      </w:r>
      <w:r>
        <w:rPr>
          <w:rFonts w:ascii="宋体" w:hAnsi="宋体"/>
          <w:color w:val="auto"/>
          <w:sz w:val="32"/>
          <w:lang w:val="en-US"/>
        </w:rPr>
        <w:t>辆，多功能乘用车</w:t>
      </w:r>
      <w:r>
        <w:rPr>
          <w:rFonts w:hint="eastAsia" w:ascii="宋体" w:hAnsi="宋体"/>
          <w:color w:val="auto"/>
          <w:sz w:val="32"/>
          <w:lang w:val="en-US"/>
        </w:rPr>
        <w:t>0</w:t>
      </w:r>
      <w:r>
        <w:rPr>
          <w:rFonts w:ascii="宋体" w:hAnsi="宋体"/>
          <w:color w:val="auto"/>
          <w:sz w:val="32"/>
          <w:lang w:val="en-US"/>
        </w:rPr>
        <w:t>辆。</w:t>
      </w:r>
    </w:p>
    <w:p>
      <w:pPr>
        <w:pStyle w:val="12"/>
        <w:tabs>
          <w:tab w:val="left" w:pos="1784"/>
        </w:tabs>
        <w:spacing w:beforeLines="100" w:afterLines="50"/>
        <w:ind w:right="660" w:rightChars="300"/>
        <w:rPr>
          <w:rFonts w:ascii="宋体" w:hAnsi="宋体"/>
          <w:color w:val="auto"/>
          <w:sz w:val="32"/>
          <w:lang w:val="en-US"/>
        </w:rPr>
      </w:pPr>
      <w:r>
        <w:rPr>
          <w:rFonts w:hint="eastAsia" w:ascii="宋体" w:hAnsi="宋体"/>
          <w:color w:val="auto"/>
          <w:sz w:val="32"/>
          <w:lang w:val="en-US"/>
        </w:rPr>
        <w:t>2024</w:t>
      </w:r>
      <w:r>
        <w:rPr>
          <w:rFonts w:ascii="宋体" w:hAnsi="宋体"/>
          <w:color w:val="auto"/>
          <w:sz w:val="32"/>
          <w:lang w:val="en-US"/>
        </w:rPr>
        <w:t>年安排公务用车购置费</w:t>
      </w:r>
      <w:r>
        <w:rPr>
          <w:rFonts w:hint="eastAsia" w:ascii="宋体" w:hAnsi="宋体"/>
          <w:color w:val="auto"/>
          <w:sz w:val="32"/>
          <w:lang w:val="en-US"/>
        </w:rPr>
        <w:t>0</w:t>
      </w:r>
      <w:r>
        <w:rPr>
          <w:rFonts w:ascii="宋体" w:hAnsi="宋体"/>
          <w:color w:val="auto"/>
          <w:sz w:val="32"/>
          <w:lang w:val="en-US"/>
        </w:rPr>
        <w:t>万元 。</w:t>
      </w:r>
    </w:p>
    <w:p>
      <w:pPr>
        <w:pStyle w:val="12"/>
        <w:tabs>
          <w:tab w:val="left" w:pos="1784"/>
        </w:tabs>
        <w:spacing w:beforeLines="100" w:afterLines="50"/>
        <w:ind w:right="660" w:rightChars="300"/>
        <w:rPr>
          <w:rFonts w:ascii="宋体" w:hAnsi="宋体"/>
          <w:color w:val="auto"/>
          <w:sz w:val="32"/>
          <w:highlight w:val="cyan"/>
          <w:lang w:val="en-US"/>
        </w:rPr>
      </w:pPr>
      <w:r>
        <w:rPr>
          <w:rFonts w:ascii="宋体" w:hAnsi="宋体"/>
          <w:color w:val="auto"/>
          <w:sz w:val="32"/>
          <w:lang w:val="en-US"/>
        </w:rPr>
        <w:t>202</w:t>
      </w:r>
      <w:r>
        <w:rPr>
          <w:rFonts w:hint="eastAsia" w:ascii="宋体" w:hAnsi="宋体"/>
          <w:color w:val="auto"/>
          <w:sz w:val="32"/>
          <w:lang w:val="en-US"/>
        </w:rPr>
        <w:t>4</w:t>
      </w:r>
      <w:r>
        <w:rPr>
          <w:rFonts w:ascii="宋体" w:hAnsi="宋体"/>
          <w:color w:val="auto"/>
          <w:sz w:val="32"/>
          <w:lang w:val="en-US"/>
        </w:rPr>
        <w:t>年安排公务用车运行维护费</w:t>
      </w:r>
      <w:r>
        <w:rPr>
          <w:rFonts w:hint="eastAsia" w:ascii="宋体" w:hAnsi="宋体"/>
          <w:color w:val="auto"/>
          <w:sz w:val="32"/>
          <w:lang w:val="en-US"/>
        </w:rPr>
        <w:t>0</w:t>
      </w:r>
      <w:r>
        <w:rPr>
          <w:rFonts w:ascii="宋体" w:hAnsi="宋体"/>
          <w:color w:val="auto"/>
          <w:sz w:val="32"/>
          <w:lang w:val="en-US"/>
        </w:rPr>
        <w:t>万元。</w:t>
      </w:r>
    </w:p>
    <w:p>
      <w:pPr>
        <w:pStyle w:val="5"/>
        <w:spacing w:before="300" w:afterLines="50"/>
        <w:ind w:firstLine="1280" w:firstLineChars="400"/>
        <w:outlineLvl w:val="1"/>
        <w:rPr>
          <w:rFonts w:ascii="宋体" w:hAnsi="宋体" w:eastAsia="黑体"/>
          <w:color w:val="auto"/>
        </w:rPr>
      </w:pPr>
      <w:bookmarkStart w:id="27" w:name="_Toc2610"/>
      <w:r>
        <w:rPr>
          <w:rFonts w:hint="eastAsia" w:ascii="宋体" w:hAnsi="宋体" w:eastAsia="黑体"/>
          <w:color w:val="auto"/>
        </w:rPr>
        <w:t>六、政府性基金预算支出情况说明</w:t>
      </w:r>
      <w:bookmarkEnd w:id="27"/>
    </w:p>
    <w:p>
      <w:pPr>
        <w:pStyle w:val="12"/>
        <w:tabs>
          <w:tab w:val="left" w:pos="1784"/>
        </w:tabs>
        <w:spacing w:beforeLines="100" w:afterLines="50" w:line="560" w:lineRule="exact"/>
        <w:ind w:left="660" w:leftChars="300" w:right="660" w:rightChars="300" w:firstLineChars="200"/>
        <w:rPr>
          <w:rFonts w:ascii="宋体" w:hAnsi="宋体"/>
          <w:color w:val="auto"/>
          <w:sz w:val="32"/>
          <w:lang w:val="en-US"/>
        </w:rPr>
      </w:pPr>
      <w:r>
        <w:rPr>
          <w:rFonts w:ascii="宋体" w:hAnsi="宋体"/>
          <w:color w:val="auto"/>
          <w:sz w:val="32"/>
          <w:lang w:val="en-US"/>
        </w:rPr>
        <w:t>乐山市五通桥区旅游促进和服务中心</w:t>
      </w:r>
      <w:r>
        <w:rPr>
          <w:rFonts w:hint="eastAsia" w:ascii="宋体" w:hAnsi="宋体"/>
          <w:color w:val="auto"/>
          <w:sz w:val="32"/>
          <w:lang w:val="en-US"/>
        </w:rPr>
        <w:t>2024</w:t>
      </w:r>
      <w:r>
        <w:rPr>
          <w:rFonts w:ascii="宋体" w:hAnsi="宋体"/>
          <w:color w:val="auto"/>
          <w:sz w:val="32"/>
          <w:lang w:val="en-US"/>
        </w:rPr>
        <w:t>年政府性基金预算拨款安排支出</w:t>
      </w:r>
      <w:r>
        <w:rPr>
          <w:rFonts w:hint="eastAsia" w:ascii="宋体" w:hAnsi="宋体"/>
          <w:color w:val="auto"/>
          <w:sz w:val="32"/>
          <w:lang w:val="en-US"/>
        </w:rPr>
        <w:t>0万元，较上年预算数持平。</w:t>
      </w:r>
    </w:p>
    <w:p>
      <w:pPr>
        <w:pStyle w:val="5"/>
        <w:spacing w:before="300" w:afterLines="50"/>
        <w:ind w:firstLine="1280" w:firstLineChars="400"/>
        <w:outlineLvl w:val="1"/>
        <w:rPr>
          <w:rFonts w:ascii="宋体" w:hAnsi="宋体" w:eastAsia="黑体"/>
          <w:color w:val="auto"/>
        </w:rPr>
      </w:pPr>
      <w:bookmarkStart w:id="28" w:name="_Toc17731"/>
      <w:r>
        <w:rPr>
          <w:rFonts w:hint="eastAsia" w:ascii="宋体" w:hAnsi="宋体" w:eastAsia="黑体"/>
          <w:color w:val="auto"/>
          <w:lang w:val="en-US"/>
        </w:rPr>
        <w:t>七、</w:t>
      </w:r>
      <w:r>
        <w:rPr>
          <w:rFonts w:hint="eastAsia" w:ascii="宋体" w:hAnsi="宋体" w:eastAsia="黑体"/>
          <w:color w:val="auto"/>
        </w:rPr>
        <w:t>国有资本经营预算情况说明</w:t>
      </w:r>
      <w:bookmarkEnd w:id="28"/>
    </w:p>
    <w:p>
      <w:pPr>
        <w:pStyle w:val="12"/>
        <w:tabs>
          <w:tab w:val="left" w:pos="1784"/>
        </w:tabs>
        <w:spacing w:beforeLines="100" w:afterLines="50" w:line="560" w:lineRule="exact"/>
        <w:ind w:left="660" w:leftChars="300" w:right="660" w:rightChars="300" w:firstLineChars="200"/>
        <w:rPr>
          <w:rFonts w:ascii="宋体" w:hAnsi="宋体"/>
          <w:color w:val="auto"/>
          <w:sz w:val="32"/>
          <w:lang w:val="en-US"/>
        </w:rPr>
      </w:pPr>
      <w:r>
        <w:rPr>
          <w:rFonts w:ascii="宋体" w:hAnsi="宋体"/>
          <w:color w:val="auto"/>
          <w:sz w:val="32"/>
          <w:lang w:val="en-US"/>
        </w:rPr>
        <w:t>乐山市五通桥区旅游促进和服务中心</w:t>
      </w:r>
      <w:r>
        <w:rPr>
          <w:rFonts w:hint="eastAsia" w:ascii="宋体" w:hAnsi="宋体"/>
          <w:color w:val="auto"/>
          <w:sz w:val="32"/>
          <w:lang w:val="en-US"/>
        </w:rPr>
        <w:t>2024年国有资本经营预算拨款安排支出0万元,较上年预算数持平。</w:t>
      </w:r>
    </w:p>
    <w:p>
      <w:pPr>
        <w:pStyle w:val="5"/>
        <w:spacing w:before="300" w:afterLines="50"/>
        <w:ind w:firstLine="1280" w:firstLineChars="400"/>
        <w:outlineLvl w:val="1"/>
        <w:rPr>
          <w:rFonts w:ascii="宋体" w:hAnsi="宋体" w:eastAsia="黑体"/>
          <w:color w:val="auto"/>
          <w:lang w:val="en-US"/>
        </w:rPr>
      </w:pPr>
      <w:bookmarkStart w:id="29" w:name="_Toc20919"/>
      <w:r>
        <w:rPr>
          <w:rFonts w:hint="eastAsia" w:ascii="宋体" w:hAnsi="宋体" w:eastAsia="黑体"/>
          <w:color w:val="auto"/>
          <w:lang w:val="en-US"/>
        </w:rPr>
        <w:t>八、其他重要事项的情况说明</w:t>
      </w:r>
      <w:bookmarkEnd w:id="29"/>
    </w:p>
    <w:p>
      <w:pPr>
        <w:pStyle w:val="4"/>
        <w:spacing w:before="100" w:afterLines="50"/>
        <w:ind w:left="0" w:firstLine="964" w:firstLineChars="300"/>
        <w:rPr>
          <w:rFonts w:ascii="宋体" w:hAnsi="宋体"/>
          <w:color w:val="auto"/>
        </w:rPr>
      </w:pPr>
      <w:bookmarkStart w:id="30" w:name="_Toc9621"/>
      <w:r>
        <w:rPr>
          <w:rFonts w:ascii="宋体" w:hAnsi="宋体"/>
          <w:color w:val="auto"/>
        </w:rPr>
        <w:t>（一）机关运行经费情况</w:t>
      </w:r>
      <w:bookmarkEnd w:id="30"/>
    </w:p>
    <w:p>
      <w:pPr>
        <w:rPr>
          <w:rFonts w:eastAsia="仿宋_GB2312" w:cs="仿宋_GB2312"/>
          <w:color w:val="auto"/>
          <w:sz w:val="32"/>
          <w:lang w:val="en-US"/>
        </w:rPr>
      </w:pPr>
      <w:r>
        <w:rPr>
          <w:rFonts w:hint="eastAsia"/>
          <w:color w:val="auto"/>
          <w:lang w:val="en-US"/>
        </w:rPr>
        <w:t xml:space="preserve">          </w:t>
      </w:r>
      <w:r>
        <w:rPr>
          <w:rFonts w:hint="eastAsia" w:eastAsia="仿宋_GB2312" w:cs="仿宋_GB2312"/>
          <w:color w:val="auto"/>
          <w:sz w:val="32"/>
          <w:lang w:val="en-US"/>
        </w:rPr>
        <w:t>2024年，乐山市五通桥区旅游促进和服务中心机关运行经费为 9.6万元。</w:t>
      </w:r>
    </w:p>
    <w:p>
      <w:pPr>
        <w:pStyle w:val="4"/>
        <w:spacing w:before="100" w:afterLines="50"/>
        <w:ind w:left="0" w:firstLine="964" w:firstLineChars="300"/>
        <w:rPr>
          <w:rFonts w:ascii="宋体" w:hAnsi="宋体"/>
          <w:color w:val="auto"/>
        </w:rPr>
      </w:pPr>
      <w:bookmarkStart w:id="31" w:name="_Toc26552"/>
      <w:r>
        <w:rPr>
          <w:rFonts w:ascii="宋体" w:hAnsi="宋体"/>
          <w:color w:val="auto"/>
        </w:rPr>
        <w:t>（二）政府采购情况</w:t>
      </w:r>
      <w:bookmarkEnd w:id="31"/>
    </w:p>
    <w:p>
      <w:pPr>
        <w:pStyle w:val="12"/>
        <w:tabs>
          <w:tab w:val="left" w:pos="1784"/>
        </w:tabs>
        <w:spacing w:beforeLines="10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2024年，乐山市五通桥区旅游促进和服务中心政府采购项目0万元。其中，政府采购货物预算0万元；政府采购工程预算0万元；政府采购服务预算0万元。</w:t>
      </w:r>
    </w:p>
    <w:p>
      <w:pPr>
        <w:pStyle w:val="4"/>
        <w:spacing w:before="100" w:afterLines="50"/>
        <w:ind w:left="0" w:firstLine="964" w:firstLineChars="300"/>
        <w:rPr>
          <w:rFonts w:ascii="宋体" w:hAnsi="宋体"/>
          <w:color w:val="auto"/>
        </w:rPr>
      </w:pPr>
      <w:bookmarkStart w:id="32" w:name="_Toc11208"/>
      <w:r>
        <w:rPr>
          <w:rFonts w:ascii="宋体" w:hAnsi="宋体"/>
          <w:color w:val="auto"/>
        </w:rPr>
        <w:t>（三）国有资产占有使用情况</w:t>
      </w:r>
      <w:bookmarkEnd w:id="32"/>
    </w:p>
    <w:p>
      <w:pPr>
        <w:pStyle w:val="12"/>
        <w:tabs>
          <w:tab w:val="left" w:pos="1784"/>
        </w:tabs>
        <w:spacing w:beforeLines="10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截至2024年底，</w:t>
      </w:r>
      <w:r>
        <w:rPr>
          <w:rFonts w:ascii="宋体" w:hAnsi="宋体"/>
          <w:color w:val="auto"/>
          <w:sz w:val="32"/>
          <w:lang w:val="en-US"/>
        </w:rPr>
        <w:t>乐山市五通桥区旅游促进和服务中心</w:t>
      </w:r>
      <w:r>
        <w:rPr>
          <w:rFonts w:hint="eastAsia" w:ascii="宋体" w:hAnsi="宋体"/>
          <w:color w:val="auto"/>
          <w:sz w:val="32"/>
          <w:lang w:val="en-US"/>
        </w:rPr>
        <w:t>所属各预算单位共有车辆0辆。单位价值100万元以上大型设备0套。</w:t>
      </w:r>
    </w:p>
    <w:p>
      <w:pPr>
        <w:pStyle w:val="12"/>
        <w:tabs>
          <w:tab w:val="left" w:pos="1784"/>
        </w:tabs>
        <w:spacing w:beforeLines="10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2024年部门预算未安排购置车辆及单位价值100万元以上大型设备。</w:t>
      </w:r>
    </w:p>
    <w:p>
      <w:pPr>
        <w:pStyle w:val="4"/>
        <w:spacing w:before="100" w:afterLines="50"/>
        <w:ind w:left="0" w:firstLine="964" w:firstLineChars="300"/>
        <w:rPr>
          <w:rFonts w:ascii="宋体" w:hAnsi="宋体"/>
          <w:color w:val="auto"/>
        </w:rPr>
      </w:pPr>
      <w:bookmarkStart w:id="33" w:name="_Toc13599"/>
      <w:r>
        <w:rPr>
          <w:rFonts w:hint="eastAsia" w:ascii="宋体" w:hAnsi="宋体"/>
          <w:color w:val="auto"/>
        </w:rPr>
        <w:t>（</w:t>
      </w:r>
      <w:r>
        <w:rPr>
          <w:rFonts w:hint="eastAsia" w:ascii="宋体" w:hAnsi="宋体"/>
          <w:color w:val="auto"/>
          <w:lang w:val="en-US"/>
        </w:rPr>
        <w:t>四</w:t>
      </w:r>
      <w:r>
        <w:rPr>
          <w:rFonts w:hint="eastAsia" w:ascii="宋体" w:hAnsi="宋体"/>
          <w:color w:val="auto"/>
        </w:rPr>
        <w:t>）</w:t>
      </w:r>
      <w:r>
        <w:rPr>
          <w:rFonts w:ascii="宋体" w:hAnsi="宋体"/>
          <w:color w:val="auto"/>
        </w:rPr>
        <w:t>预算绩效情况</w:t>
      </w:r>
      <w:bookmarkEnd w:id="33"/>
    </w:p>
    <w:p>
      <w:pPr>
        <w:pStyle w:val="12"/>
        <w:tabs>
          <w:tab w:val="left" w:pos="1784"/>
        </w:tabs>
        <w:spacing w:beforeLines="10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2023年乐山市五通桥区旅游促进和服务中心开展绩效目标管理的项目14个，涉及预算125.42万元。其中：人员类项目12个，涉及预算102.32万元；运转类项目1个，涉及预算9.6万元；特定目标类项目 1个，涉及预算13.5万元。</w:t>
      </w:r>
    </w:p>
    <w:p>
      <w:pPr>
        <w:rPr>
          <w:color w:val="auto"/>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rPr>
          <w:rFonts w:ascii="宋体" w:hAnsi="宋体"/>
          <w:color w:val="auto"/>
          <w:sz w:val="20"/>
        </w:rPr>
      </w:pPr>
    </w:p>
    <w:p>
      <w:pPr>
        <w:pStyle w:val="5"/>
        <w:jc w:val="center"/>
        <w:outlineLvl w:val="0"/>
        <w:rPr>
          <w:rFonts w:ascii="宋体" w:hAnsi="宋体" w:eastAsia="方正小标宋简体" w:cs="方正小标宋简体"/>
          <w:color w:val="auto"/>
          <w:sz w:val="52"/>
          <w:szCs w:val="52"/>
          <w:lang w:val="en-US"/>
        </w:rPr>
      </w:pPr>
      <w:bookmarkStart w:id="34" w:name="_Toc31157"/>
      <w:r>
        <w:rPr>
          <w:rFonts w:hint="eastAsia" w:ascii="宋体" w:hAnsi="宋体" w:eastAsia="方正小标宋简体" w:cs="方正小标宋简体"/>
          <w:color w:val="auto"/>
          <w:sz w:val="52"/>
          <w:szCs w:val="52"/>
          <w:lang w:val="en-US"/>
        </w:rPr>
        <w:t>第四部分  名词解释</w:t>
      </w:r>
      <w:bookmarkEnd w:id="34"/>
    </w:p>
    <w:p>
      <w:pPr>
        <w:rPr>
          <w:color w:val="auto"/>
          <w:sz w:val="20"/>
        </w:rPr>
        <w:sectPr>
          <w:headerReference r:id="rId7" w:type="default"/>
          <w:footerReference r:id="rId8" w:type="default"/>
          <w:pgSz w:w="11910" w:h="16840"/>
          <w:pgMar w:top="1587" w:right="964" w:bottom="1701" w:left="1134" w:header="737" w:footer="737" w:gutter="0"/>
          <w:cols w:space="0" w:num="1"/>
        </w:sectPr>
      </w:pPr>
    </w:p>
    <w:p>
      <w:pPr>
        <w:pStyle w:val="12"/>
        <w:tabs>
          <w:tab w:val="left" w:pos="1784"/>
        </w:tabs>
        <w:spacing w:beforeLines="10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1.财政拨款收支情况：是指一般公共预算、政府性基金预算、国有资本经营预算拨款收支情况。</w:t>
      </w:r>
    </w:p>
    <w:p>
      <w:pPr>
        <w:pStyle w:val="12"/>
        <w:tabs>
          <w:tab w:val="left" w:pos="1784"/>
        </w:tabs>
        <w:spacing w:beforeLines="10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2.一般公共预算拨款收入：指区级财政当年拨付的资金。</w:t>
      </w:r>
    </w:p>
    <w:p>
      <w:pPr>
        <w:pStyle w:val="12"/>
        <w:tabs>
          <w:tab w:val="left" w:pos="1784"/>
        </w:tabs>
        <w:spacing w:beforeLines="10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3.事业收入：指事业单位开展专业业务活动及辅助活动所取得的收入。</w:t>
      </w:r>
    </w:p>
    <w:p>
      <w:pPr>
        <w:pStyle w:val="12"/>
        <w:tabs>
          <w:tab w:val="left" w:pos="1784"/>
        </w:tabs>
        <w:spacing w:beforeLines="10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4.事业单位经营收入：指事业单位在专业业务活动及其辅助活动之外开展非独立核算经营活动取得的收入。</w:t>
      </w:r>
    </w:p>
    <w:p>
      <w:pPr>
        <w:pStyle w:val="12"/>
        <w:tabs>
          <w:tab w:val="left" w:pos="1784"/>
        </w:tabs>
        <w:spacing w:beforeLines="10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5.其他收入：指除上述“一般公共预算拨款收入”、“事业收入”、“事业单位经营收入”等以外的收入。主要是义务教育阶段课后服务费、利息收入、国有资产出租收入等。</w:t>
      </w:r>
    </w:p>
    <w:p>
      <w:pPr>
        <w:pStyle w:val="12"/>
        <w:tabs>
          <w:tab w:val="left" w:pos="1784"/>
        </w:tabs>
        <w:spacing w:beforeLines="10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6.用事业基金弥补收支差额：指事业单位在当年的收入不足以安排当年支出的情况下，使用以前年度积累的事业基金（事业单位当年收支相抵后按国家规定提取、用于弥补以后年度收支差额的基金）弥补本年度收支缺口的资金。</w:t>
      </w:r>
    </w:p>
    <w:p>
      <w:pPr>
        <w:pStyle w:val="12"/>
        <w:tabs>
          <w:tab w:val="left" w:pos="1784"/>
        </w:tabs>
        <w:spacing w:beforeLines="10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7.上年结转：指以前年度尚未完成，结转到本年仍按原规定用途继续使用的资金。</w:t>
      </w:r>
    </w:p>
    <w:p>
      <w:pPr>
        <w:pStyle w:val="12"/>
        <w:tabs>
          <w:tab w:val="left" w:pos="1784"/>
        </w:tabs>
        <w:spacing w:beforeLines="10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8.社会保障和就业（类）行政事业单位离退休（款）事业单位离退休（项）：指离退休人员的支出。</w:t>
      </w:r>
    </w:p>
    <w:p>
      <w:pPr>
        <w:pStyle w:val="12"/>
        <w:tabs>
          <w:tab w:val="left" w:pos="1784"/>
        </w:tabs>
        <w:spacing w:beforeLines="10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9.社会保障和就业（类）行政事业单位离退休（款）未归口管理的行政单位离退休（项）：指离退休人员的支出。</w:t>
      </w:r>
    </w:p>
    <w:p>
      <w:pPr>
        <w:pStyle w:val="12"/>
        <w:tabs>
          <w:tab w:val="left" w:pos="1784"/>
        </w:tabs>
        <w:spacing w:beforeLines="10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10.社会保障和就业（类）行政事业单位离退休（款）机关事业单位基本养老保险缴费支出（项）：指部门实施养老保险制度由单位缴纳的养老保险费的支出。</w:t>
      </w:r>
    </w:p>
    <w:p>
      <w:pPr>
        <w:pStyle w:val="12"/>
        <w:tabs>
          <w:tab w:val="left" w:pos="1784"/>
        </w:tabs>
        <w:spacing w:beforeLines="10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11.社会保障和就业（类）行政事业单位离退休（款）机关事业单位职业年金缴费支出（项）：指部门实施养老保险制度由单位缴纳的职业年金的支出。</w:t>
      </w:r>
    </w:p>
    <w:p>
      <w:pPr>
        <w:pStyle w:val="12"/>
        <w:tabs>
          <w:tab w:val="left" w:pos="1784"/>
        </w:tabs>
        <w:spacing w:beforeLines="10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12.社会保障和就业（类）其他社会保障和就业（款）其他社会保障和就业支出（项）：指除上述项目外，其他用于行政事业单位离退休方面的支出。</w:t>
      </w:r>
    </w:p>
    <w:p>
      <w:pPr>
        <w:pStyle w:val="12"/>
        <w:tabs>
          <w:tab w:val="left" w:pos="1784"/>
        </w:tabs>
        <w:spacing w:beforeLines="10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13.卫生健康（类）行政事业单位医疗（款）行政单位医疗（项）：指行政单位及参公管理事业单位用于缴纳单位基本医疗保险支出。</w:t>
      </w:r>
    </w:p>
    <w:p>
      <w:pPr>
        <w:pStyle w:val="12"/>
        <w:tabs>
          <w:tab w:val="left" w:pos="1784"/>
        </w:tabs>
        <w:spacing w:beforeLines="10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14.卫生健康（类）行政事业单位医疗（款）事业单位医疗（项）：指事业单位用于缴纳单位基本医疗保险支出。</w:t>
      </w:r>
    </w:p>
    <w:p>
      <w:pPr>
        <w:pStyle w:val="12"/>
        <w:tabs>
          <w:tab w:val="left" w:pos="1784"/>
        </w:tabs>
        <w:spacing w:beforeLines="10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15.卫生健康（类）行政事业单位医疗（款）公务员医疗补助（项）：指行政单位及参公管理事业单位用于集中缴纳公务员医疗补助支出。</w:t>
      </w:r>
    </w:p>
    <w:p>
      <w:pPr>
        <w:pStyle w:val="12"/>
        <w:tabs>
          <w:tab w:val="left" w:pos="1784"/>
        </w:tabs>
        <w:spacing w:beforeLines="10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16.住房保障（类）住房改革支出（款）住房公积金（项）：指由单位及其在职职工按规定缴存的住房公积金支出。</w:t>
      </w:r>
    </w:p>
    <w:p>
      <w:pPr>
        <w:pStyle w:val="12"/>
        <w:tabs>
          <w:tab w:val="left" w:pos="1784"/>
        </w:tabs>
        <w:spacing w:beforeLines="10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17.基本支出：指为保证机构正常运转，完成日常工作任务而发生的人员支出和公用支出。</w:t>
      </w:r>
    </w:p>
    <w:p>
      <w:pPr>
        <w:pStyle w:val="12"/>
        <w:tabs>
          <w:tab w:val="left" w:pos="1784"/>
        </w:tabs>
        <w:spacing w:beforeLines="10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18.项目支出：指在基本支出之外为完成特定行政任务和事业发展目标所发生的支出。</w:t>
      </w:r>
    </w:p>
    <w:p>
      <w:pPr>
        <w:pStyle w:val="12"/>
        <w:tabs>
          <w:tab w:val="left" w:pos="1784"/>
        </w:tabs>
        <w:spacing w:beforeLines="10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19.纳入预决算管理的“三公”经费，是指部门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bookmarkEnd w:id="35"/>
    <w:sectPr>
      <w:headerReference r:id="rId9" w:type="default"/>
      <w:footerReference r:id="rId10" w:type="default"/>
      <w:pgSz w:w="11910" w:h="16840"/>
      <w:pgMar w:top="1587" w:right="964" w:bottom="1701" w:left="1134" w:header="737" w:footer="737"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sz w:val="2"/>
      </w:rPr>
    </w:pPr>
    <w:r>
      <w:rPr>
        <w:sz w:val="2"/>
        <w:lang w:val="en-US" w:bidi="ar-SA"/>
      </w:rP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path/>
          <v:fill on="f" focussize="0,0"/>
          <v:stroke on="f" weight="0.5pt" joinstyle="miter"/>
          <v:imagedata o:title=""/>
          <o:lock v:ext="edit"/>
          <v:textbox inset="0mm,0mm,0mm,0mm" style="mso-fit-shape-to-text:t;">
            <w:txbxContent>
              <w:p>
                <w:pPr>
                  <w:pStyle w:val="7"/>
                </w:pPr>
                <w:r>
                  <w:t xml:space="preserve">— </w:t>
                </w:r>
                <w:r>
                  <w:fldChar w:fldCharType="begin"/>
                </w:r>
                <w:r>
                  <w:instrText xml:space="preserve"> PAGE  \* MERGEFORMAT </w:instrText>
                </w:r>
                <w:r>
                  <w:fldChar w:fldCharType="separate"/>
                </w:r>
                <w:r>
                  <w:t>3</w:t>
                </w:r>
                <w:r>
                  <w:fldChar w:fldCharType="end"/>
                </w:r>
                <w: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sz w:val="2"/>
      </w:rPr>
    </w:pPr>
    <w:r>
      <w:rPr>
        <w:sz w:val="2"/>
        <w:lang w:val="en-US" w:bidi="ar-SA"/>
      </w:rPr>
      <w:pict>
        <v:shape id="_x0000_s1029" o:spid="_x0000_s1029"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path/>
          <v:fill on="f" focussize="0,0"/>
          <v:stroke on="f" weight="0.5pt" joinstyle="miter"/>
          <v:imagedata o:title=""/>
          <o:lock v:ext="edit"/>
          <v:textbox inset="0mm,0mm,0mm,0mm" style="mso-fit-shape-to-text:t;">
            <w:txbxContent>
              <w:p>
                <w:pPr>
                  <w:pStyle w:val="7"/>
                </w:pPr>
                <w:r>
                  <w:t xml:space="preserve">— </w:t>
                </w:r>
                <w:r>
                  <w:fldChar w:fldCharType="begin"/>
                </w:r>
                <w:r>
                  <w:instrText xml:space="preserve"> PAGE  \* MERGEFORMAT </w:instrText>
                </w:r>
                <w:r>
                  <w:fldChar w:fldCharType="separate"/>
                </w:r>
                <w:r>
                  <w:t>2</w:t>
                </w:r>
                <w:r>
                  <w:fldChar w:fldCharType="end"/>
                </w:r>
                <w:r>
                  <w:t xml:space="preserve"> —</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r>
      <w:rPr>
        <w:sz w:val="2"/>
        <w:lang w:val="en-US" w:bidi="ar-SA"/>
      </w:rPr>
      <w:pict>
        <v:shape id="_x0000_s1028" o:spid="_x0000_s1028"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path/>
          <v:fill on="f" focussize="0,0"/>
          <v:stroke on="f" weight="0.5pt" joinstyle="miter"/>
          <v:imagedata o:title=""/>
          <o:lock v:ext="edit"/>
          <v:textbox inset="0mm,0mm,0mm,0mm" style="mso-fit-shape-to-text:t;">
            <w:txbxContent>
              <w:p>
                <w:pPr>
                  <w:pStyle w:val="7"/>
                </w:pPr>
                <w:r>
                  <w:t xml:space="preserve">— </w:t>
                </w:r>
                <w:r>
                  <w:fldChar w:fldCharType="begin"/>
                </w:r>
                <w:r>
                  <w:instrText xml:space="preserve"> PAGE  \* MERGEFORMAT </w:instrText>
                </w:r>
                <w:r>
                  <w:fldChar w:fldCharType="separate"/>
                </w:r>
                <w:r>
                  <w:t>14</w:t>
                </w:r>
                <w:r>
                  <w:fldChar w:fldCharType="end"/>
                </w:r>
                <w:r>
                  <w:t xml:space="preserve"> —</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rPr>
        <w:lang w:val="en-US" w:bidi="ar-SA"/>
      </w:rPr>
      <w:pict>
        <v:shape id="_x0000_s1027" o:spid="_x0000_s1027"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path/>
          <v:fill on="f" focussize="0,0"/>
          <v:stroke on="f" weight="0.5pt" joinstyle="miter"/>
          <v:imagedata o:title=""/>
          <o:lock v:ext="edit"/>
          <v:textbox inset="0mm,0mm,0mm,0mm" style="mso-fit-shape-to-text:t;">
            <w:txbxContent>
              <w:p>
                <w:pPr>
                  <w:pStyle w:val="7"/>
                </w:pPr>
                <w:r>
                  <w:t xml:space="preserve">— </w:t>
                </w:r>
                <w:r>
                  <w:fldChar w:fldCharType="begin"/>
                </w:r>
                <w:r>
                  <w:instrText xml:space="preserve"> PAGE  \* MERGEFORMAT </w:instrText>
                </w:r>
                <w:r>
                  <w:fldChar w:fldCharType="separate"/>
                </w:r>
                <w:r>
                  <w:t>17</w:t>
                </w:r>
                <w:r>
                  <w:fldChar w:fldCharType="end"/>
                </w:r>
                <w:r>
                  <w:t xml:space="preserve"> —</w:t>
                </w:r>
              </w:p>
            </w:txbxContent>
          </v:textbox>
        </v:shape>
      </w:pict>
    </w:r>
    <w:r>
      <w:rPr>
        <w:lang w:val="en-US" w:bidi="ar-SA"/>
      </w:rPr>
      <w:drawing>
        <wp:anchor distT="0" distB="0" distL="0" distR="0" simplePos="0" relativeHeight="251659264"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4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lear" w:pos="4153"/>
      </w:tabs>
      <w:spacing w:afterLines="201"/>
      <w:ind w:firstLine="40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57E4DA"/>
    <w:multiLevelType w:val="singleLevel"/>
    <w:tmpl w:val="3C57E4DA"/>
    <w:lvl w:ilvl="0" w:tentative="0">
      <w:start w:val="1"/>
      <w:numFmt w:val="chineseCounting"/>
      <w:suff w:val="space"/>
      <w:lvlText w:val="第%1部分"/>
      <w:lvlJc w:val="left"/>
      <w:rPr>
        <w:rFonts w:hint="eastAsia"/>
      </w:rPr>
    </w:lvl>
  </w:abstractNum>
  <w:abstractNum w:abstractNumId="1">
    <w:nsid w:val="501035D5"/>
    <w:multiLevelType w:val="singleLevel"/>
    <w:tmpl w:val="501035D5"/>
    <w:lvl w:ilvl="0" w:tentative="0">
      <w:start w:val="2"/>
      <w:numFmt w:val="chineseCounting"/>
      <w:suff w:val="space"/>
      <w:lvlText w:val="第%1部分"/>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documentProtection w:enforcement="0"/>
  <w:defaultTabStop w:val="720"/>
  <w:drawingGridHorizontalSpacing w:val="110"/>
  <w:noPunctuationKerning w:val="1"/>
  <w:characterSpacingControl w:val="doNotCompress"/>
  <w:hdrShapeDefaults>
    <o:shapelayout v:ext="edit">
      <o:idmap v:ext="edit" data="1"/>
    </o:shapelayout>
  </w:hdrShapeDefaults>
  <w:compat>
    <w:ulTrailSpace/>
    <w:doNotExpandShiftReturn/>
    <w:doNotWrapTextWithPunct/>
    <w:doNotUseEastAsianBreakRules/>
    <w:useFELayout/>
    <w:doNotUseIndentAsNumberingTabStop/>
    <w:compatSetting w:name="compatibilityMode" w:uri="http://schemas.microsoft.com/office/word" w:val="12"/>
  </w:compat>
  <w:docVars>
    <w:docVar w:name="commondata" w:val="eyJoZGlkIjoiNDBiMzE2YjE5MmVkMjI5M2Q3YjUxMDgzNGIxY2Y5YTAifQ=="/>
  </w:docVars>
  <w:rsids>
    <w:rsidRoot w:val="00E24CB9"/>
    <w:rsid w:val="000169E7"/>
    <w:rsid w:val="000F0F28"/>
    <w:rsid w:val="000F5FCE"/>
    <w:rsid w:val="001F1539"/>
    <w:rsid w:val="00296030"/>
    <w:rsid w:val="002B087C"/>
    <w:rsid w:val="002C325B"/>
    <w:rsid w:val="00352117"/>
    <w:rsid w:val="003E010F"/>
    <w:rsid w:val="004446B3"/>
    <w:rsid w:val="00497650"/>
    <w:rsid w:val="004B04A5"/>
    <w:rsid w:val="00543CE7"/>
    <w:rsid w:val="00552E56"/>
    <w:rsid w:val="005B103A"/>
    <w:rsid w:val="005F1DAA"/>
    <w:rsid w:val="00715118"/>
    <w:rsid w:val="00746441"/>
    <w:rsid w:val="00876F23"/>
    <w:rsid w:val="008A3563"/>
    <w:rsid w:val="008C1809"/>
    <w:rsid w:val="008E066F"/>
    <w:rsid w:val="00A43BFB"/>
    <w:rsid w:val="00A5515E"/>
    <w:rsid w:val="00AA0A42"/>
    <w:rsid w:val="00AD1838"/>
    <w:rsid w:val="00AE05D6"/>
    <w:rsid w:val="00B00356"/>
    <w:rsid w:val="00C10200"/>
    <w:rsid w:val="00C95851"/>
    <w:rsid w:val="00CA0E68"/>
    <w:rsid w:val="00CB1B8A"/>
    <w:rsid w:val="00CD48F9"/>
    <w:rsid w:val="00D51E25"/>
    <w:rsid w:val="00DE0A28"/>
    <w:rsid w:val="00DF1434"/>
    <w:rsid w:val="00E2194E"/>
    <w:rsid w:val="00E24CB9"/>
    <w:rsid w:val="00E3455C"/>
    <w:rsid w:val="00E87151"/>
    <w:rsid w:val="00EF6528"/>
    <w:rsid w:val="00F0151A"/>
    <w:rsid w:val="00F96A42"/>
    <w:rsid w:val="01CA22F2"/>
    <w:rsid w:val="02ED1707"/>
    <w:rsid w:val="04461E6C"/>
    <w:rsid w:val="0EA155A9"/>
    <w:rsid w:val="11423560"/>
    <w:rsid w:val="13CB5FFB"/>
    <w:rsid w:val="15A12BAA"/>
    <w:rsid w:val="16FA7609"/>
    <w:rsid w:val="18C27193"/>
    <w:rsid w:val="1BEF08A8"/>
    <w:rsid w:val="1C4565B4"/>
    <w:rsid w:val="1D041A4B"/>
    <w:rsid w:val="1DBF62C1"/>
    <w:rsid w:val="1E9115A9"/>
    <w:rsid w:val="20D9567F"/>
    <w:rsid w:val="21211D8E"/>
    <w:rsid w:val="222A4DCF"/>
    <w:rsid w:val="227B44EE"/>
    <w:rsid w:val="232F072E"/>
    <w:rsid w:val="23960825"/>
    <w:rsid w:val="246433AE"/>
    <w:rsid w:val="247F2477"/>
    <w:rsid w:val="2BD66371"/>
    <w:rsid w:val="2EE3754B"/>
    <w:rsid w:val="2F5606FF"/>
    <w:rsid w:val="3170631D"/>
    <w:rsid w:val="31E613AB"/>
    <w:rsid w:val="33916127"/>
    <w:rsid w:val="33F1267E"/>
    <w:rsid w:val="354529E4"/>
    <w:rsid w:val="3AC84120"/>
    <w:rsid w:val="41055DF9"/>
    <w:rsid w:val="450C107E"/>
    <w:rsid w:val="4D3C563B"/>
    <w:rsid w:val="54C30EEA"/>
    <w:rsid w:val="5543046B"/>
    <w:rsid w:val="559E390F"/>
    <w:rsid w:val="563B020F"/>
    <w:rsid w:val="571B393E"/>
    <w:rsid w:val="58EE6347"/>
    <w:rsid w:val="595E3E2E"/>
    <w:rsid w:val="59CF04CD"/>
    <w:rsid w:val="5AE90F4A"/>
    <w:rsid w:val="5B65451D"/>
    <w:rsid w:val="5B99462B"/>
    <w:rsid w:val="5DC92E87"/>
    <w:rsid w:val="5F8B290A"/>
    <w:rsid w:val="5F9B4CE3"/>
    <w:rsid w:val="5FAB60BF"/>
    <w:rsid w:val="5FC25BA3"/>
    <w:rsid w:val="60DA5533"/>
    <w:rsid w:val="628C031A"/>
    <w:rsid w:val="673E19C0"/>
    <w:rsid w:val="676742B2"/>
    <w:rsid w:val="69AC4D19"/>
    <w:rsid w:val="6C5C78AC"/>
    <w:rsid w:val="6DAD38DB"/>
    <w:rsid w:val="6E71128C"/>
    <w:rsid w:val="71B91589"/>
    <w:rsid w:val="7209340F"/>
    <w:rsid w:val="721F4C1B"/>
    <w:rsid w:val="75E25010"/>
    <w:rsid w:val="76A30804"/>
    <w:rsid w:val="78F85D81"/>
    <w:rsid w:val="79225A20"/>
    <w:rsid w:val="7FC040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zh-CN" w:eastAsia="zh-CN" w:bidi="zh-CN"/>
    </w:rPr>
  </w:style>
  <w:style w:type="paragraph" w:styleId="3">
    <w:name w:val="heading 1"/>
    <w:basedOn w:val="1"/>
    <w:next w:val="1"/>
    <w:qFormat/>
    <w:uiPriority w:val="1"/>
    <w:pPr>
      <w:spacing w:before="79"/>
      <w:ind w:left="2747"/>
      <w:outlineLvl w:val="0"/>
    </w:pPr>
    <w:rPr>
      <w:rFonts w:ascii="Times New Roman" w:hAnsi="Times New Roman" w:eastAsia="Times New Roman" w:cs="Times New Roman"/>
      <w:sz w:val="52"/>
      <w:szCs w:val="52"/>
    </w:rPr>
  </w:style>
  <w:style w:type="paragraph" w:styleId="4">
    <w:name w:val="heading 2"/>
    <w:basedOn w:val="1"/>
    <w:next w:val="1"/>
    <w:qFormat/>
    <w:uiPriority w:val="1"/>
    <w:pPr>
      <w:ind w:left="923"/>
      <w:outlineLvl w:val="1"/>
    </w:pPr>
    <w:rPr>
      <w:rFonts w:ascii="楷体" w:hAnsi="楷体" w:eastAsia="楷体" w:cs="楷体"/>
      <w:b/>
      <w:bCs/>
      <w:sz w:val="32"/>
      <w:szCs w:val="32"/>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qFormat/>
    <w:uiPriority w:val="0"/>
  </w:style>
  <w:style w:type="paragraph" w:styleId="5">
    <w:name w:val="Body Text"/>
    <w:basedOn w:val="1"/>
    <w:qFormat/>
    <w:uiPriority w:val="1"/>
    <w:rPr>
      <w:rFonts w:ascii="仿宋_GB2312" w:hAnsi="仿宋_GB2312" w:eastAsia="仿宋_GB2312" w:cs="仿宋_GB2312"/>
      <w:sz w:val="32"/>
      <w:szCs w:val="32"/>
    </w:rPr>
  </w:style>
  <w:style w:type="paragraph" w:styleId="6">
    <w:name w:val="Balloon Text"/>
    <w:basedOn w:val="1"/>
    <w:link w:val="17"/>
    <w:qFormat/>
    <w:uiPriority w:val="0"/>
    <w:rPr>
      <w:sz w:val="18"/>
      <w:szCs w:val="18"/>
    </w:rPr>
  </w:style>
  <w:style w:type="paragraph" w:styleId="7">
    <w:name w:val="footer"/>
    <w:basedOn w:val="1"/>
    <w:qFormat/>
    <w:uiPriority w:val="0"/>
    <w:pPr>
      <w:tabs>
        <w:tab w:val="center" w:pos="4153"/>
        <w:tab w:val="right" w:pos="8306"/>
      </w:tabs>
      <w:snapToGrid w:val="0"/>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table" w:customStyle="1" w:styleId="11">
    <w:name w:val="Table Normal"/>
    <w:semiHidden/>
    <w:unhideWhenUsed/>
    <w:qFormat/>
    <w:uiPriority w:val="2"/>
    <w:tblPr>
      <w:tblCellMar>
        <w:top w:w="0" w:type="dxa"/>
        <w:left w:w="0" w:type="dxa"/>
        <w:bottom w:w="0" w:type="dxa"/>
        <w:right w:w="0" w:type="dxa"/>
      </w:tblCellMar>
    </w:tblPr>
  </w:style>
  <w:style w:type="paragraph" w:styleId="12">
    <w:name w:val="List Paragraph"/>
    <w:basedOn w:val="1"/>
    <w:qFormat/>
    <w:uiPriority w:val="1"/>
    <w:pPr>
      <w:ind w:left="280" w:firstLine="640"/>
      <w:jc w:val="both"/>
    </w:pPr>
    <w:rPr>
      <w:rFonts w:ascii="仿宋_GB2312" w:hAnsi="仿宋_GB2312" w:eastAsia="仿宋_GB2312" w:cs="仿宋_GB2312"/>
    </w:rPr>
  </w:style>
  <w:style w:type="paragraph" w:customStyle="1" w:styleId="13">
    <w:name w:val="Table Paragraph"/>
    <w:basedOn w:val="1"/>
    <w:qFormat/>
    <w:uiPriority w:val="1"/>
  </w:style>
  <w:style w:type="paragraph" w:customStyle="1" w:styleId="14">
    <w:name w:val="WPSOffice手动目录 1"/>
    <w:qFormat/>
    <w:uiPriority w:val="0"/>
    <w:rPr>
      <w:rFonts w:asciiTheme="minorHAnsi" w:hAnsiTheme="minorHAnsi" w:eastAsiaTheme="minorHAnsi" w:cstheme="minorBidi"/>
      <w:lang w:val="en-US" w:eastAsia="zh-CN" w:bidi="ar-SA"/>
    </w:rPr>
  </w:style>
  <w:style w:type="paragraph" w:customStyle="1" w:styleId="15">
    <w:name w:val="WPSOffice手动目录 2"/>
    <w:qFormat/>
    <w:uiPriority w:val="0"/>
    <w:pPr>
      <w:ind w:left="200" w:leftChars="200"/>
    </w:pPr>
    <w:rPr>
      <w:rFonts w:asciiTheme="minorHAnsi" w:hAnsiTheme="minorHAnsi" w:eastAsiaTheme="minorHAnsi" w:cstheme="minorBidi"/>
      <w:lang w:val="en-US" w:eastAsia="zh-CN" w:bidi="ar-SA"/>
    </w:rPr>
  </w:style>
  <w:style w:type="paragraph" w:customStyle="1" w:styleId="16">
    <w:name w:val="WPSOffice手动目录 3"/>
    <w:qFormat/>
    <w:uiPriority w:val="0"/>
    <w:pPr>
      <w:ind w:left="400" w:leftChars="400"/>
    </w:pPr>
    <w:rPr>
      <w:rFonts w:asciiTheme="minorHAnsi" w:hAnsiTheme="minorHAnsi" w:eastAsiaTheme="minorHAnsi" w:cstheme="minorBidi"/>
      <w:lang w:val="en-US" w:eastAsia="zh-CN" w:bidi="ar-SA"/>
    </w:rPr>
  </w:style>
  <w:style w:type="character" w:customStyle="1" w:styleId="17">
    <w:name w:val="批注框文本 Char"/>
    <w:basedOn w:val="10"/>
    <w:link w:val="6"/>
    <w:qFormat/>
    <w:uiPriority w:val="0"/>
    <w:rPr>
      <w:rFonts w:ascii="宋体" w:hAnsi="宋体" w:eastAsia="宋体" w:cs="宋体"/>
      <w:sz w:val="18"/>
      <w:szCs w:val="18"/>
      <w:lang w:val="zh-CN" w:bidi="zh-CN"/>
    </w:rPr>
  </w:style>
  <w:style w:type="paragraph" w:customStyle="1" w:styleId="18">
    <w:name w:val="BodyText"/>
    <w:basedOn w:val="1"/>
    <w:qFormat/>
    <w:uiPriority w:val="0"/>
    <w:pPr>
      <w:spacing w:after="120"/>
      <w:jc w:val="both"/>
      <w:textAlignment w:val="baseline"/>
    </w:pPr>
    <w:rPr>
      <w:rFonts w:ascii="Times New Roman" w:hAnsi="Times New Roman"/>
      <w:kern w:val="2"/>
      <w:sz w:val="21"/>
      <w:szCs w:val="21"/>
      <w:lang w:val="en-US"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XTC</Company>
  <Pages>20</Pages>
  <Words>1252</Words>
  <Characters>7138</Characters>
  <Lines>59</Lines>
  <Paragraphs>16</Paragraphs>
  <TotalTime>0</TotalTime>
  <ScaleCrop>false</ScaleCrop>
  <LinksUpToDate>false</LinksUpToDate>
  <CharactersWithSpaces>8374</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2022-05-05T02:14:00Z</dcterms:created>
  <dc:creator>user</dc:creator>
  <cp:lastModifiedBy>五通桥区文体旅游局</cp:lastModifiedBy>
  <dcterms:modified xsi:type="dcterms:W3CDTF">2024-02-26T06:49:03Z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2022-03-18T00:00:00Z</vt:filetime>
  </property>
  <property fmtid="{D5CDD505-2E9C-101B-9397-08002B2CF9AE}" pid="3" name="Creator">
    <vt:lpwstr>Microsoft® Word 2010</vt:lpwstr>
  </property>
  <property fmtid="{D5CDD505-2E9C-101B-9397-08002B2CF9AE}" pid="4" name="LastSaved">
    <vt:filetime>2022-05-05T00:00:00Z</vt:filetime>
  </property>
  <property fmtid="{D5CDD505-2E9C-101B-9397-08002B2CF9AE}" pid="5" name="KSOProductBuildVer">
    <vt:lpwstr>2052-11.8.6.11825</vt:lpwstr>
  </property>
  <property fmtid="{D5CDD505-2E9C-101B-9397-08002B2CF9AE}" pid="6" name="ICV">
    <vt:lpwstr>AF54989DF75741C5957A214943729E1D</vt:lpwstr>
  </property>
</Properties>
</file>