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ascii="宋体" w:hAnsi="宋体" w:eastAsia="宋体" w:cs="宋体"/>
          <w:b/>
          <w:bCs/>
          <w:sz w:val="52"/>
          <w:szCs w:val="52"/>
          <w:lang w:val="en-US"/>
        </w:rPr>
      </w:pPr>
    </w:p>
    <w:p>
      <w:pPr>
        <w:pStyle w:val="6"/>
        <w:jc w:val="center"/>
        <w:rPr>
          <w:rFonts w:ascii="宋体" w:hAnsi="宋体" w:eastAsia="宋体" w:cs="宋体"/>
          <w:b/>
          <w:bCs/>
          <w:sz w:val="52"/>
          <w:szCs w:val="52"/>
          <w:lang w:val="en-US"/>
        </w:rPr>
      </w:pPr>
    </w:p>
    <w:p>
      <w:pPr>
        <w:pStyle w:val="6"/>
        <w:jc w:val="center"/>
        <w:rPr>
          <w:rFonts w:ascii="宋体" w:hAnsi="宋体" w:eastAsia="宋体" w:cs="宋体"/>
          <w:b/>
          <w:bCs/>
          <w:sz w:val="52"/>
          <w:szCs w:val="52"/>
          <w:lang w:val="en-US"/>
        </w:rPr>
      </w:pPr>
    </w:p>
    <w:p>
      <w:pPr>
        <w:pStyle w:val="6"/>
        <w:jc w:val="center"/>
        <w:rPr>
          <w:rFonts w:ascii="宋体" w:hAnsi="宋体" w:eastAsia="宋体" w:cs="宋体"/>
          <w:b/>
          <w:bCs/>
          <w:sz w:val="52"/>
          <w:szCs w:val="52"/>
          <w:lang w:val="en-US"/>
        </w:rPr>
      </w:pPr>
    </w:p>
    <w:p>
      <w:pPr>
        <w:pStyle w:val="6"/>
        <w:jc w:val="center"/>
        <w:rPr>
          <w:rFonts w:ascii="宋体" w:hAnsi="宋体" w:eastAsia="宋体" w:cs="宋体"/>
          <w:b/>
          <w:bCs/>
          <w:sz w:val="52"/>
          <w:szCs w:val="52"/>
          <w:lang w:val="en-US"/>
        </w:rPr>
      </w:pPr>
    </w:p>
    <w:p>
      <w:pPr>
        <w:pStyle w:val="6"/>
        <w:jc w:val="center"/>
        <w:rPr>
          <w:rFonts w:ascii="宋体" w:hAnsi="宋体" w:eastAsia="宋体" w:cs="宋体"/>
          <w:b/>
          <w:bCs/>
          <w:sz w:val="52"/>
          <w:szCs w:val="52"/>
          <w:lang w:val="en-US"/>
        </w:rPr>
      </w:pPr>
    </w:p>
    <w:p>
      <w:pPr>
        <w:pStyle w:val="6"/>
        <w:jc w:val="center"/>
        <w:rPr>
          <w:rFonts w:ascii="宋体" w:hAnsi="宋体" w:eastAsia="宋体" w:cs="宋体"/>
          <w:b/>
          <w:bCs/>
          <w:sz w:val="52"/>
          <w:szCs w:val="52"/>
          <w:lang w:val="en-US"/>
        </w:rPr>
      </w:pPr>
    </w:p>
    <w:p>
      <w:pPr>
        <w:pStyle w:val="6"/>
        <w:jc w:val="center"/>
        <w:rPr>
          <w:rFonts w:ascii="宋体" w:hAnsi="宋体" w:eastAsia="宋体" w:cs="宋体"/>
          <w:b/>
          <w:bCs/>
          <w:sz w:val="52"/>
          <w:szCs w:val="52"/>
          <w:lang w:val="en-US"/>
        </w:rPr>
      </w:pPr>
    </w:p>
    <w:p>
      <w:pPr>
        <w:pStyle w:val="6"/>
        <w:spacing w:line="800" w:lineRule="exact"/>
        <w:jc w:val="center"/>
        <w:rPr>
          <w:rFonts w:ascii="宋体" w:hAnsi="宋体" w:eastAsia="方正小标宋简体" w:cs="方正小标宋简体"/>
          <w:sz w:val="52"/>
          <w:szCs w:val="52"/>
          <w:lang w:val="en-US"/>
        </w:rPr>
      </w:pPr>
      <w:r>
        <w:rPr>
          <w:rFonts w:hint="eastAsia" w:ascii="宋体" w:hAnsi="宋体" w:eastAsia="方正小标宋简体" w:cs="方正小标宋简体"/>
          <w:sz w:val="52"/>
          <w:szCs w:val="52"/>
          <w:lang w:val="en-US"/>
        </w:rPr>
        <w:t>乐山市五通桥区文化体育和旅游局</w:t>
      </w:r>
    </w:p>
    <w:p>
      <w:pPr>
        <w:pStyle w:val="6"/>
        <w:spacing w:line="800" w:lineRule="exact"/>
        <w:jc w:val="center"/>
        <w:rPr>
          <w:rFonts w:ascii="宋体" w:hAnsi="宋体" w:eastAsia="方正小标宋简体" w:cs="方正小标宋简体"/>
          <w:sz w:val="52"/>
          <w:szCs w:val="52"/>
          <w:lang w:val="en-US"/>
        </w:rPr>
      </w:pPr>
      <w:r>
        <w:rPr>
          <w:rFonts w:hint="eastAsia" w:ascii="宋体" w:hAnsi="宋体" w:eastAsia="方正小标宋简体" w:cs="方正小标宋简体"/>
          <w:sz w:val="52"/>
          <w:szCs w:val="52"/>
          <w:lang w:val="en-US" w:eastAsia="zh-CN"/>
        </w:rPr>
        <w:t>2024</w:t>
      </w:r>
      <w:r>
        <w:rPr>
          <w:rFonts w:hint="eastAsia" w:ascii="宋体" w:hAnsi="宋体" w:eastAsia="方正小标宋简体" w:cs="方正小标宋简体"/>
          <w:sz w:val="52"/>
          <w:szCs w:val="52"/>
          <w:lang w:val="en-US"/>
        </w:rPr>
        <w:t>部门预算编制说明</w:t>
      </w:r>
    </w:p>
    <w:p>
      <w:pPr>
        <w:pStyle w:val="6"/>
        <w:spacing w:line="800" w:lineRule="exact"/>
        <w:jc w:val="center"/>
        <w:rPr>
          <w:rFonts w:hint="eastAsia" w:ascii="宋体" w:hAnsi="宋体" w:eastAsia="方正小标宋简体" w:cs="方正小标宋简体"/>
          <w:sz w:val="52"/>
          <w:szCs w:val="52"/>
          <w:lang w:val="en-US"/>
        </w:rPr>
      </w:pPr>
      <w:r>
        <w:rPr>
          <w:rFonts w:hint="eastAsia" w:ascii="宋体" w:hAnsi="宋体" w:eastAsia="方正小标宋简体" w:cs="方正小标宋简体"/>
          <w:sz w:val="52"/>
          <w:szCs w:val="52"/>
          <w:lang w:val="en-US"/>
        </w:rPr>
        <w:t>（</w:t>
      </w:r>
      <w:r>
        <w:rPr>
          <w:rFonts w:hint="eastAsia" w:ascii="宋体" w:hAnsi="宋体" w:eastAsia="方正小标宋简体" w:cs="方正小标宋简体"/>
          <w:sz w:val="52"/>
          <w:szCs w:val="52"/>
          <w:lang w:val="en-US" w:eastAsia="zh-CN"/>
        </w:rPr>
        <w:t>体育中心</w:t>
      </w:r>
      <w:r>
        <w:rPr>
          <w:rFonts w:hint="eastAsia" w:ascii="宋体" w:hAnsi="宋体" w:eastAsia="方正小标宋简体" w:cs="方正小标宋简体"/>
          <w:sz w:val="52"/>
          <w:szCs w:val="52"/>
          <w:lang w:val="en-US"/>
        </w:rPr>
        <w:t>）</w:t>
      </w:r>
    </w:p>
    <w:p>
      <w:pPr>
        <w:pStyle w:val="6"/>
        <w:spacing w:line="800" w:lineRule="exact"/>
        <w:jc w:val="center"/>
        <w:rPr>
          <w:rFonts w:hint="eastAsia" w:ascii="宋体" w:hAnsi="宋体" w:eastAsia="方正小标宋简体" w:cs="方正小标宋简体"/>
          <w:sz w:val="52"/>
          <w:szCs w:val="52"/>
          <w:lang w:val="en-US"/>
        </w:rPr>
      </w:pPr>
    </w:p>
    <w:p>
      <w:pPr>
        <w:pStyle w:val="6"/>
        <w:spacing w:line="800" w:lineRule="exact"/>
        <w:jc w:val="center"/>
        <w:rPr>
          <w:rFonts w:hint="eastAsia" w:ascii="宋体" w:hAnsi="宋体" w:eastAsia="方正小标宋简体" w:cs="方正小标宋简体"/>
          <w:sz w:val="52"/>
          <w:szCs w:val="52"/>
          <w:lang w:val="en-US"/>
        </w:rPr>
      </w:pPr>
    </w:p>
    <w:p>
      <w:pPr>
        <w:pStyle w:val="6"/>
        <w:spacing w:line="800" w:lineRule="exact"/>
        <w:jc w:val="center"/>
        <w:rPr>
          <w:rFonts w:hint="eastAsia" w:ascii="宋体" w:hAnsi="宋体" w:eastAsia="方正小标宋简体" w:cs="方正小标宋简体"/>
          <w:sz w:val="52"/>
          <w:szCs w:val="52"/>
          <w:lang w:val="en-US"/>
        </w:rPr>
      </w:pPr>
    </w:p>
    <w:p>
      <w:pPr>
        <w:pStyle w:val="6"/>
        <w:spacing w:line="800" w:lineRule="exact"/>
        <w:jc w:val="center"/>
        <w:rPr>
          <w:rFonts w:hint="eastAsia" w:ascii="宋体" w:hAnsi="宋体" w:eastAsia="方正小标宋简体" w:cs="方正小标宋简体"/>
          <w:sz w:val="52"/>
          <w:szCs w:val="52"/>
          <w:lang w:val="en-US"/>
        </w:rPr>
      </w:pPr>
    </w:p>
    <w:p>
      <w:pPr>
        <w:pStyle w:val="6"/>
        <w:spacing w:line="800" w:lineRule="exact"/>
        <w:jc w:val="center"/>
        <w:rPr>
          <w:rFonts w:hint="eastAsia" w:ascii="宋体" w:hAnsi="宋体" w:eastAsia="方正小标宋简体" w:cs="方正小标宋简体"/>
          <w:sz w:val="52"/>
          <w:szCs w:val="52"/>
          <w:lang w:val="en-US"/>
        </w:rPr>
      </w:pPr>
    </w:p>
    <w:p>
      <w:pPr>
        <w:pStyle w:val="6"/>
        <w:spacing w:line="800" w:lineRule="exact"/>
        <w:jc w:val="center"/>
        <w:rPr>
          <w:rFonts w:hint="eastAsia" w:ascii="宋体" w:hAnsi="宋体" w:eastAsia="方正小标宋简体" w:cs="方正小标宋简体"/>
          <w:sz w:val="52"/>
          <w:szCs w:val="52"/>
          <w:lang w:val="en-US"/>
        </w:rPr>
      </w:pPr>
    </w:p>
    <w:p>
      <w:pPr>
        <w:pStyle w:val="6"/>
        <w:spacing w:line="800" w:lineRule="exact"/>
        <w:jc w:val="center"/>
        <w:rPr>
          <w:rFonts w:hint="eastAsia" w:ascii="宋体" w:hAnsi="宋体" w:eastAsia="方正小标宋简体" w:cs="方正小标宋简体"/>
          <w:sz w:val="52"/>
          <w:szCs w:val="52"/>
          <w:lang w:val="en-US"/>
        </w:rPr>
      </w:pPr>
    </w:p>
    <w:p>
      <w:pPr>
        <w:rPr>
          <w:sz w:val="4"/>
        </w:rPr>
      </w:pPr>
    </w:p>
    <w:p>
      <w:pPr>
        <w:pStyle w:val="6"/>
        <w:spacing w:before="2"/>
        <w:rPr>
          <w:rFonts w:ascii="宋体" w:hAnsi="宋体"/>
          <w:sz w:val="4"/>
        </w:rPr>
      </w:pPr>
    </w:p>
    <w:p>
      <w:pPr>
        <w:pStyle w:val="6"/>
        <w:tabs>
          <w:tab w:val="left" w:pos="4798"/>
        </w:tabs>
        <w:jc w:val="center"/>
        <w:rPr>
          <w:rFonts w:ascii="宋体" w:hAnsi="宋体" w:eastAsia="方正小标宋简体" w:cs="方正小标宋简体"/>
          <w:b/>
          <w:bCs/>
          <w:sz w:val="48"/>
          <w:szCs w:val="48"/>
          <w:lang w:val="en-US"/>
        </w:rPr>
      </w:pPr>
      <w:r>
        <w:rPr>
          <w:rFonts w:hint="eastAsia" w:ascii="宋体" w:hAnsi="宋体" w:eastAsia="方正小标宋简体" w:cs="方正小标宋简体"/>
          <w:b/>
          <w:bCs/>
          <w:sz w:val="48"/>
          <w:szCs w:val="48"/>
          <w:lang w:val="en-US"/>
        </w:rPr>
        <w:t>目  录</w:t>
      </w:r>
    </w:p>
    <w:sdt>
      <w:sdtPr>
        <w:rPr>
          <w:rFonts w:ascii="仿宋_GB2312" w:hAnsi="仿宋_GB2312" w:eastAsia="仿宋_GB2312" w:cs="仿宋_GB2312"/>
          <w:sz w:val="21"/>
          <w:szCs w:val="32"/>
        </w:rPr>
        <w:id w:val="147453385"/>
        <w:docPartObj>
          <w:docPartGallery w:val="Table of Contents"/>
          <w:docPartUnique/>
        </w:docPartObj>
      </w:sdtPr>
      <w:sdtEndPr>
        <w:rPr>
          <w:rFonts w:hint="eastAsia" w:ascii="仿宋_GB2312" w:hAnsi="仿宋_GB2312" w:eastAsia="方正小标宋简体" w:cs="方正小标宋简体"/>
          <w:bCs/>
          <w:sz w:val="32"/>
          <w:szCs w:val="48"/>
          <w:lang w:val="en-US"/>
        </w:rPr>
      </w:sdtEndPr>
      <w:sdtContent>
        <w:p>
          <w:pPr>
            <w:jc w:val="center"/>
          </w:pPr>
        </w:p>
        <w:p>
          <w:pPr>
            <w:pStyle w:val="16"/>
            <w:tabs>
              <w:tab w:val="right" w:leader="dot" w:pos="9812"/>
            </w:tabs>
            <w:spacing w:line="560" w:lineRule="exact"/>
            <w:rPr>
              <w:rFonts w:ascii="宋体" w:hAnsi="宋体"/>
              <w:sz w:val="32"/>
              <w:szCs w:val="32"/>
            </w:rPr>
          </w:pPr>
          <w:r>
            <w:rPr>
              <w:rFonts w:hint="eastAsia" w:ascii="宋体" w:hAnsi="宋体" w:eastAsia="方正小标宋简体" w:cs="方正小标宋简体"/>
              <w:b/>
              <w:bCs/>
              <w:sz w:val="48"/>
              <w:szCs w:val="48"/>
            </w:rPr>
            <w:fldChar w:fldCharType="begin"/>
          </w:r>
          <w:r>
            <w:rPr>
              <w:rFonts w:hint="eastAsia" w:ascii="宋体" w:hAnsi="宋体" w:eastAsia="方正小标宋简体" w:cs="方正小标宋简体"/>
              <w:b/>
              <w:bCs/>
              <w:sz w:val="48"/>
              <w:szCs w:val="48"/>
            </w:rPr>
            <w:instrText xml:space="preserve">TOC \o "1-3" \h \u </w:instrText>
          </w:r>
          <w:r>
            <w:rPr>
              <w:rFonts w:hint="eastAsia" w:ascii="宋体" w:hAnsi="宋体" w:eastAsia="方正小标宋简体" w:cs="方正小标宋简体"/>
              <w:b/>
              <w:bCs/>
              <w:sz w:val="48"/>
              <w:szCs w:val="48"/>
            </w:rPr>
            <w:fldChar w:fldCharType="separate"/>
          </w:r>
          <w:r>
            <w:fldChar w:fldCharType="begin"/>
          </w:r>
          <w:r>
            <w:instrText xml:space="preserve"> HYPERLINK \l "_Toc24981" </w:instrText>
          </w:r>
          <w:r>
            <w:fldChar w:fldCharType="separate"/>
          </w:r>
          <w:r>
            <w:rPr>
              <w:rFonts w:hint="eastAsia" w:ascii="宋体" w:hAnsi="宋体" w:eastAsia="方正小标宋简体" w:cs="方正小标宋简体"/>
              <w:bCs/>
              <w:sz w:val="32"/>
              <w:szCs w:val="32"/>
            </w:rPr>
            <w:t>第一部分 部门概况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_Toc24981 \h </w:instrText>
          </w:r>
          <w:r>
            <w:rPr>
              <w:rFonts w:ascii="宋体" w:hAnsi="宋体"/>
              <w:sz w:val="32"/>
              <w:szCs w:val="32"/>
            </w:rPr>
            <w:fldChar w:fldCharType="separate"/>
          </w:r>
          <w:r>
            <w:rPr>
              <w:rFonts w:ascii="宋体" w:hAnsi="宋体"/>
              <w:sz w:val="32"/>
              <w:szCs w:val="32"/>
            </w:rPr>
            <w:t>1</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"_Toc977" </w:instrText>
          </w:r>
          <w:r>
            <w:fldChar w:fldCharType="separate"/>
          </w:r>
          <w:r>
            <w:rPr>
              <w:rFonts w:hint="eastAsia" w:ascii="宋体" w:hAnsi="宋体" w:eastAsia="黑体"/>
              <w:sz w:val="32"/>
              <w:szCs w:val="32"/>
            </w:rPr>
            <w:t>一、基本职能及主要工作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_Toc977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"_Toc5540" </w:instrText>
          </w:r>
          <w:r>
            <w:fldChar w:fldCharType="separate"/>
          </w:r>
          <w:r>
            <w:rPr>
              <w:rFonts w:ascii="宋体" w:hAnsi="宋体"/>
              <w:sz w:val="32"/>
              <w:szCs w:val="32"/>
            </w:rPr>
            <w:t>（一）部门职能简介</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_Toc5540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"_Toc29132" </w:instrText>
          </w:r>
          <w:r>
            <w:fldChar w:fldCharType="separate"/>
          </w:r>
          <w:r>
            <w:rPr>
              <w:rFonts w:ascii="宋体" w:hAnsi="宋体"/>
              <w:sz w:val="32"/>
              <w:szCs w:val="32"/>
            </w:rPr>
            <w:t>（二）部门</w:t>
          </w:r>
          <w:r>
            <w:rPr>
              <w:rFonts w:hint="eastAsia" w:ascii="宋体" w:hAnsi="宋体" w:eastAsia="宋体"/>
              <w:sz w:val="32"/>
              <w:szCs w:val="32"/>
              <w:lang w:eastAsia="zh-CN"/>
            </w:rPr>
            <w:t>2024</w:t>
          </w:r>
          <w:r>
            <w:rPr>
              <w:rFonts w:ascii="宋体" w:hAnsi="宋体"/>
              <w:sz w:val="32"/>
              <w:szCs w:val="32"/>
            </w:rPr>
            <w:t>年重点工</w:t>
          </w:r>
          <w:r>
            <w:rPr>
              <w:rFonts w:hint="eastAsia" w:ascii="宋体" w:hAnsi="宋体"/>
              <w:sz w:val="32"/>
              <w:szCs w:val="32"/>
            </w:rPr>
            <w:t>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_Toc29132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"_Toc30432" </w:instrText>
          </w:r>
          <w:r>
            <w:fldChar w:fldCharType="separate"/>
          </w:r>
          <w:r>
            <w:rPr>
              <w:rFonts w:hint="eastAsia" w:ascii="宋体" w:hAnsi="宋体" w:eastAsia="黑体"/>
              <w:sz w:val="32"/>
              <w:szCs w:val="32"/>
            </w:rPr>
            <w:t>二、部门预算单位构成</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_Toc30432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ascii="宋体" w:hAnsi="宋体"/>
              <w:sz w:val="32"/>
              <w:szCs w:val="32"/>
            </w:rPr>
            <w:fldChar w:fldCharType="end"/>
          </w:r>
        </w:p>
        <w:p>
          <w:pPr>
            <w:pStyle w:val="16"/>
            <w:tabs>
              <w:tab w:val="right" w:leader="dot" w:pos="9812"/>
            </w:tabs>
            <w:spacing w:line="560" w:lineRule="exact"/>
            <w:rPr>
              <w:rFonts w:ascii="宋体" w:hAnsi="宋体"/>
              <w:sz w:val="32"/>
              <w:szCs w:val="32"/>
            </w:rPr>
          </w:pPr>
          <w:r>
            <w:fldChar w:fldCharType="begin"/>
          </w:r>
          <w:r>
            <w:instrText xml:space="preserve"> HYPERLINK \l "_Toc28587" </w:instrText>
          </w:r>
          <w:r>
            <w:fldChar w:fldCharType="separate"/>
          </w:r>
          <w:r>
            <w:rPr>
              <w:rFonts w:hint="eastAsia" w:ascii="宋体" w:hAnsi="宋体" w:eastAsia="方正小标宋简体" w:cs="方正小标宋简体"/>
              <w:bCs/>
              <w:sz w:val="32"/>
              <w:szCs w:val="32"/>
            </w:rPr>
            <w:t>第二部分</w:t>
          </w:r>
          <w:r>
            <w:rPr>
              <w:rFonts w:hint="eastAsia" w:ascii="宋体" w:hAnsi="宋体" w:eastAsia="方正小标宋简体" w:cs="方正小标宋简体"/>
              <w:bCs/>
              <w:sz w:val="32"/>
              <w:szCs w:val="32"/>
              <w:lang w:eastAsia="zh-CN"/>
            </w:rPr>
            <w:t>五通桥区体育中心 2024</w:t>
          </w:r>
          <w:r>
            <w:rPr>
              <w:rFonts w:hint="eastAsia" w:ascii="宋体" w:hAnsi="宋体" w:eastAsia="方正小标宋简体" w:cs="方正小标宋简体"/>
              <w:bCs/>
              <w:sz w:val="32"/>
              <w:szCs w:val="32"/>
            </w:rPr>
            <w:t>年部门预算表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_Toc28587 \h </w:instrText>
          </w:r>
          <w:r>
            <w:rPr>
              <w:rFonts w:ascii="宋体" w:hAnsi="宋体"/>
              <w:sz w:val="32"/>
              <w:szCs w:val="32"/>
            </w:rPr>
            <w:fldChar w:fldCharType="separate"/>
          </w:r>
          <w:r>
            <w:rPr>
              <w:rFonts w:ascii="宋体" w:hAnsi="宋体"/>
              <w:sz w:val="32"/>
              <w:szCs w:val="32"/>
            </w:rPr>
            <w:t>4</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"_Toc12069" </w:instrText>
          </w:r>
          <w:r>
            <w:fldChar w:fldCharType="separate"/>
          </w:r>
          <w:r>
            <w:rPr>
              <w:rFonts w:hint="eastAsia" w:ascii="宋体" w:hAnsi="宋体"/>
              <w:sz w:val="32"/>
              <w:szCs w:val="32"/>
            </w:rPr>
            <w:t>一、部门收支总表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_Toc12069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"_Toc27995" </w:instrText>
          </w:r>
          <w:r>
            <w:fldChar w:fldCharType="separate"/>
          </w:r>
          <w:r>
            <w:rPr>
              <w:rFonts w:hint="eastAsia" w:ascii="宋体" w:hAnsi="宋体"/>
              <w:sz w:val="32"/>
              <w:szCs w:val="32"/>
            </w:rPr>
            <w:t>二、部门收入总表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_Toc27995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"_Toc3639" </w:instrText>
          </w:r>
          <w:r>
            <w:fldChar w:fldCharType="separate"/>
          </w:r>
          <w:r>
            <w:rPr>
              <w:rFonts w:hint="eastAsia" w:ascii="宋体" w:hAnsi="宋体"/>
              <w:sz w:val="32"/>
              <w:szCs w:val="32"/>
            </w:rPr>
            <w:t>三、部门支出总表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_Toc3639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"_Toc25815" </w:instrText>
          </w:r>
          <w:r>
            <w:fldChar w:fldCharType="separate"/>
          </w:r>
          <w:r>
            <w:rPr>
              <w:rFonts w:hint="eastAsia" w:ascii="宋体" w:hAnsi="宋体"/>
              <w:sz w:val="32"/>
              <w:szCs w:val="32"/>
            </w:rPr>
            <w:t>四、财政拨款收支预算总表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_Toc25815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"_Toc4686" </w:instrText>
          </w:r>
          <w:r>
            <w:fldChar w:fldCharType="separate"/>
          </w:r>
          <w:r>
            <w:rPr>
              <w:rFonts w:hint="eastAsia" w:ascii="宋体" w:hAnsi="宋体"/>
              <w:sz w:val="32"/>
              <w:szCs w:val="32"/>
            </w:rPr>
            <w:t>五、财政拨款支出预算表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_Toc4686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"_Toc7952" </w:instrText>
          </w:r>
          <w:r>
            <w:fldChar w:fldCharType="separate"/>
          </w:r>
          <w:r>
            <w:rPr>
              <w:rFonts w:hint="eastAsia" w:ascii="宋体" w:hAnsi="宋体"/>
              <w:sz w:val="32"/>
              <w:szCs w:val="32"/>
            </w:rPr>
            <w:t>六、一般公共预算支出预算表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_Toc7952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"_Toc32200" </w:instrText>
          </w:r>
          <w:r>
            <w:fldChar w:fldCharType="separate"/>
          </w:r>
          <w:r>
            <w:rPr>
              <w:rFonts w:hint="eastAsia" w:ascii="宋体" w:hAnsi="宋体"/>
              <w:sz w:val="32"/>
              <w:szCs w:val="32"/>
            </w:rPr>
            <w:t>七、一般公共预算基本支出预算表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_Toc32200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"_Toc17751" </w:instrText>
          </w:r>
          <w:r>
            <w:fldChar w:fldCharType="separate"/>
          </w:r>
          <w:r>
            <w:rPr>
              <w:rFonts w:hint="eastAsia" w:ascii="宋体" w:hAnsi="宋体"/>
              <w:sz w:val="32"/>
              <w:szCs w:val="32"/>
            </w:rPr>
            <w:t>八、一般公共预算项目支出预算表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_Toc17751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"_Toc11119" </w:instrText>
          </w:r>
          <w:r>
            <w:fldChar w:fldCharType="separate"/>
          </w:r>
          <w:r>
            <w:rPr>
              <w:rFonts w:hint="eastAsia" w:ascii="宋体" w:hAnsi="宋体"/>
              <w:sz w:val="32"/>
              <w:szCs w:val="32"/>
            </w:rPr>
            <w:t>九、一般公共预算“三公”经费支出预算表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_Toc11119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"_Toc19211" </w:instrText>
          </w:r>
          <w:r>
            <w:fldChar w:fldCharType="separate"/>
          </w:r>
          <w:r>
            <w:rPr>
              <w:rFonts w:hint="eastAsia" w:ascii="宋体" w:hAnsi="宋体"/>
              <w:sz w:val="32"/>
              <w:szCs w:val="32"/>
            </w:rPr>
            <w:t>十、政府性基金预算支出表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_Toc19211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"_Toc7676" </w:instrText>
          </w:r>
          <w:r>
            <w:fldChar w:fldCharType="separate"/>
          </w:r>
          <w:r>
            <w:rPr>
              <w:rFonts w:hint="eastAsia" w:ascii="宋体" w:hAnsi="宋体"/>
              <w:sz w:val="32"/>
              <w:szCs w:val="32"/>
            </w:rPr>
            <w:t>十一、政府性基金预算“三公”经费支出预算表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_Toc7676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"_Toc22917" </w:instrText>
          </w:r>
          <w:r>
            <w:fldChar w:fldCharType="separate"/>
          </w:r>
          <w:r>
            <w:rPr>
              <w:rFonts w:hint="eastAsia" w:ascii="宋体" w:hAnsi="宋体"/>
              <w:sz w:val="32"/>
              <w:szCs w:val="32"/>
            </w:rPr>
            <w:t>十二、国有资本经营预算支出表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_Toc22917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"_Toc27847" </w:instrText>
          </w:r>
          <w:r>
            <w:fldChar w:fldCharType="separate"/>
          </w:r>
          <w:r>
            <w:rPr>
              <w:rFonts w:hint="eastAsia" w:ascii="宋体" w:hAnsi="宋体"/>
              <w:sz w:val="32"/>
              <w:szCs w:val="32"/>
            </w:rPr>
            <w:t>十三、部门整体支出绩效目标表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_Toc27847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"_Toc30878" </w:instrText>
          </w:r>
          <w:r>
            <w:fldChar w:fldCharType="separate"/>
          </w:r>
          <w:r>
            <w:rPr>
              <w:rFonts w:hint="eastAsia" w:ascii="宋体" w:hAnsi="宋体"/>
              <w:sz w:val="32"/>
              <w:szCs w:val="32"/>
            </w:rPr>
            <w:t>十四、部门预算项目支出绩效目标表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_Toc30878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"_Toc32437" </w:instrText>
          </w:r>
          <w:r>
            <w:fldChar w:fldCharType="separate"/>
          </w:r>
          <w:r>
            <w:rPr>
              <w:rFonts w:hint="eastAsia" w:ascii="宋体" w:hAnsi="宋体"/>
              <w:sz w:val="32"/>
              <w:szCs w:val="32"/>
            </w:rPr>
            <w:t>十五、政府采购预算表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_Toc32437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ascii="宋体" w:hAnsi="宋体"/>
              <w:sz w:val="32"/>
              <w:szCs w:val="32"/>
            </w:rPr>
            <w:fldChar w:fldCharType="end"/>
          </w:r>
        </w:p>
        <w:p>
          <w:pPr>
            <w:pStyle w:val="16"/>
            <w:tabs>
              <w:tab w:val="right" w:leader="dot" w:pos="9812"/>
            </w:tabs>
            <w:spacing w:line="560" w:lineRule="exact"/>
            <w:rPr>
              <w:rFonts w:ascii="宋体" w:hAnsi="宋体"/>
              <w:sz w:val="32"/>
              <w:szCs w:val="32"/>
            </w:rPr>
          </w:pPr>
          <w:r>
            <w:fldChar w:fldCharType="begin"/>
          </w:r>
          <w:r>
            <w:instrText xml:space="preserve"> HYPERLINK \l "_Toc19948" </w:instrText>
          </w:r>
          <w:r>
            <w:fldChar w:fldCharType="separate"/>
          </w:r>
          <w:r>
            <w:rPr>
              <w:rFonts w:hint="eastAsia" w:ascii="宋体" w:hAnsi="宋体" w:eastAsia="方正小标宋简体" w:cs="方正小标宋简体"/>
              <w:sz w:val="32"/>
              <w:szCs w:val="32"/>
            </w:rPr>
            <w:t>第三部分</w:t>
          </w:r>
          <w:r>
            <w:rPr>
              <w:rFonts w:hint="eastAsia" w:ascii="宋体" w:hAnsi="宋体" w:eastAsia="方正小标宋简体" w:cs="方正小标宋简体"/>
              <w:sz w:val="32"/>
              <w:szCs w:val="32"/>
              <w:lang w:eastAsia="zh-CN"/>
            </w:rPr>
            <w:t>五通桥区体育中心 2024</w:t>
          </w:r>
          <w:r>
            <w:rPr>
              <w:rFonts w:hint="eastAsia" w:ascii="宋体" w:hAnsi="宋体" w:eastAsia="方正小标宋简体" w:cs="方正小标宋简体"/>
              <w:sz w:val="32"/>
              <w:szCs w:val="32"/>
            </w:rPr>
            <w:t>年部门预算情况说明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_Toc19948 \h </w:instrText>
          </w:r>
          <w:r>
            <w:rPr>
              <w:rFonts w:ascii="宋体" w:hAnsi="宋体"/>
              <w:sz w:val="32"/>
              <w:szCs w:val="32"/>
            </w:rPr>
            <w:fldChar w:fldCharType="separate"/>
          </w:r>
          <w:r>
            <w:rPr>
              <w:rFonts w:ascii="宋体" w:hAnsi="宋体"/>
              <w:sz w:val="32"/>
              <w:szCs w:val="32"/>
            </w:rPr>
            <w:t>6</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Chars="0" w:firstLine="400" w:firstLineChars="200"/>
            <w:rPr>
              <w:rFonts w:ascii="宋体" w:hAnsi="宋体"/>
              <w:sz w:val="32"/>
              <w:szCs w:val="32"/>
            </w:rPr>
          </w:pPr>
          <w:r>
            <w:fldChar w:fldCharType="begin"/>
          </w:r>
          <w:r>
            <w:instrText xml:space="preserve"> HYPERLINK \l "_Toc469" </w:instrText>
          </w:r>
          <w:r>
            <w:fldChar w:fldCharType="separate"/>
          </w:r>
          <w:r>
            <w:rPr>
              <w:rFonts w:hint="eastAsia" w:ascii="宋体" w:hAnsi="宋体" w:eastAsia="黑体"/>
              <w:sz w:val="32"/>
              <w:szCs w:val="32"/>
            </w:rPr>
            <w:t>一、收支预算情况说明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_Toc469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"_Toc12176" </w:instrText>
          </w:r>
          <w:r>
            <w:fldChar w:fldCharType="separate"/>
          </w:r>
          <w:r>
            <w:rPr>
              <w:rFonts w:ascii="宋体" w:hAnsi="宋体"/>
              <w:sz w:val="32"/>
              <w:szCs w:val="32"/>
            </w:rPr>
            <w:t>（一）收入预算情况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_Toc12176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"_Toc23149" </w:instrText>
          </w:r>
          <w:r>
            <w:fldChar w:fldCharType="separate"/>
          </w:r>
          <w:r>
            <w:rPr>
              <w:rFonts w:ascii="宋体" w:hAnsi="宋体"/>
              <w:sz w:val="32"/>
              <w:szCs w:val="32"/>
            </w:rPr>
            <w:t>（二）支出预算情况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_Toc23149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"_Toc729" </w:instrText>
          </w:r>
          <w:r>
            <w:fldChar w:fldCharType="separate"/>
          </w:r>
          <w:r>
            <w:rPr>
              <w:rFonts w:hint="eastAsia" w:ascii="宋体" w:hAnsi="宋体" w:eastAsia="黑体"/>
              <w:sz w:val="32"/>
              <w:szCs w:val="32"/>
            </w:rPr>
            <w:t>二、财政拨款收支预算情况说明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_Toc729 \h </w:instrText>
          </w:r>
          <w:r>
            <w:rPr>
              <w:rFonts w:ascii="宋体" w:hAnsi="宋体"/>
              <w:sz w:val="32"/>
              <w:szCs w:val="32"/>
            </w:rPr>
            <w:fldChar w:fldCharType="separate"/>
          </w:r>
          <w:r>
            <w:rPr>
              <w:rFonts w:ascii="宋体" w:hAnsi="宋体"/>
              <w:sz w:val="32"/>
              <w:szCs w:val="32"/>
            </w:rPr>
            <w:t>7</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"_Toc32511" </w:instrText>
          </w:r>
          <w:r>
            <w:fldChar w:fldCharType="separate"/>
          </w:r>
          <w:r>
            <w:rPr>
              <w:rFonts w:hint="eastAsia" w:ascii="宋体" w:hAnsi="宋体" w:eastAsia="黑体"/>
              <w:sz w:val="32"/>
              <w:szCs w:val="32"/>
            </w:rPr>
            <w:t>三、一般公共预算当年拨款情况说明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_Toc32511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"_Toc6394" </w:instrText>
          </w:r>
          <w:r>
            <w:fldChar w:fldCharType="separate"/>
          </w:r>
          <w:r>
            <w:rPr>
              <w:rFonts w:ascii="宋体" w:hAnsi="宋体"/>
              <w:sz w:val="32"/>
              <w:szCs w:val="32"/>
            </w:rPr>
            <w:t>（一）一般公共预算当年拨款规模变化情况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_Toc6394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"_Toc5045" </w:instrText>
          </w:r>
          <w:r>
            <w:fldChar w:fldCharType="separate"/>
          </w:r>
          <w:r>
            <w:rPr>
              <w:rFonts w:ascii="宋体" w:hAnsi="宋体"/>
              <w:sz w:val="32"/>
              <w:szCs w:val="32"/>
            </w:rPr>
            <w:t>（二）一般公共预算当年拨款结构情况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_Toc5045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"_Toc11698" </w:instrText>
          </w:r>
          <w:r>
            <w:fldChar w:fldCharType="separate"/>
          </w:r>
          <w:r>
            <w:rPr>
              <w:rFonts w:ascii="宋体" w:hAnsi="宋体"/>
              <w:sz w:val="32"/>
              <w:szCs w:val="32"/>
            </w:rPr>
            <w:t>（三）一般公共预算当年拨款具体使用情况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_Toc11698 \h </w:instrText>
          </w:r>
          <w:r>
            <w:rPr>
              <w:rFonts w:ascii="宋体" w:hAnsi="宋体"/>
              <w:sz w:val="32"/>
              <w:szCs w:val="32"/>
            </w:rPr>
            <w:fldChar w:fldCharType="separate"/>
          </w:r>
          <w:r>
            <w:rPr>
              <w:rFonts w:ascii="宋体" w:hAnsi="宋体"/>
              <w:sz w:val="32"/>
              <w:szCs w:val="32"/>
            </w:rPr>
            <w:t>9</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"_Toc21665" </w:instrText>
          </w:r>
          <w:r>
            <w:fldChar w:fldCharType="separate"/>
          </w:r>
          <w:r>
            <w:rPr>
              <w:rFonts w:hint="eastAsia" w:ascii="宋体" w:hAnsi="宋体" w:eastAsia="黑体"/>
              <w:sz w:val="32"/>
              <w:szCs w:val="32"/>
            </w:rPr>
            <w:t>四、一般公共预算基本支出情况说明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_Toc21665 \h </w:instrText>
          </w:r>
          <w:r>
            <w:rPr>
              <w:rFonts w:ascii="宋体" w:hAnsi="宋体"/>
              <w:sz w:val="32"/>
              <w:szCs w:val="32"/>
            </w:rPr>
            <w:fldChar w:fldCharType="separate"/>
          </w:r>
          <w:r>
            <w:rPr>
              <w:rFonts w:ascii="宋体" w:hAnsi="宋体"/>
              <w:sz w:val="32"/>
              <w:szCs w:val="32"/>
            </w:rPr>
            <w:t>9</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"_Toc1746" </w:instrText>
          </w:r>
          <w:r>
            <w:fldChar w:fldCharType="separate"/>
          </w:r>
          <w:r>
            <w:rPr>
              <w:rFonts w:hint="eastAsia" w:ascii="宋体" w:hAnsi="宋体" w:eastAsia="黑体"/>
              <w:sz w:val="32"/>
              <w:szCs w:val="32"/>
            </w:rPr>
            <w:t>五、“三公”经费财政拨款预算安排情况说明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_Toc1746 \h </w:instrText>
          </w:r>
          <w:r>
            <w:rPr>
              <w:rFonts w:ascii="宋体" w:hAnsi="宋体"/>
              <w:sz w:val="32"/>
              <w:szCs w:val="32"/>
            </w:rPr>
            <w:fldChar w:fldCharType="separate"/>
          </w:r>
          <w:r>
            <w:rPr>
              <w:rFonts w:ascii="宋体" w:hAnsi="宋体"/>
              <w:sz w:val="32"/>
              <w:szCs w:val="32"/>
            </w:rPr>
            <w:t>11</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"_Toc10802" </w:instrText>
          </w:r>
          <w:r>
            <w:fldChar w:fldCharType="separate"/>
          </w:r>
          <w:r>
            <w:rPr>
              <w:rFonts w:ascii="宋体" w:hAnsi="宋体"/>
              <w:sz w:val="32"/>
              <w:szCs w:val="32"/>
            </w:rPr>
            <w:t>（一）</w:t>
          </w:r>
          <w:r>
            <w:rPr>
              <w:rFonts w:hint="eastAsia" w:ascii="宋体" w:hAnsi="宋体"/>
              <w:sz w:val="32"/>
              <w:szCs w:val="32"/>
            </w:rPr>
            <w:t>公务接待费变化情况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_Toc10802 \h </w:instrText>
          </w:r>
          <w:r>
            <w:rPr>
              <w:rFonts w:ascii="宋体" w:hAnsi="宋体"/>
              <w:sz w:val="32"/>
              <w:szCs w:val="32"/>
            </w:rPr>
            <w:fldChar w:fldCharType="separate"/>
          </w:r>
          <w:r>
            <w:rPr>
              <w:rFonts w:ascii="宋体" w:hAnsi="宋体"/>
              <w:sz w:val="32"/>
              <w:szCs w:val="32"/>
            </w:rPr>
            <w:t>11</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"_Toc17768" </w:instrText>
          </w:r>
          <w:r>
            <w:fldChar w:fldCharType="separate"/>
          </w:r>
          <w:r>
            <w:rPr>
              <w:rFonts w:ascii="宋体" w:hAnsi="宋体"/>
              <w:sz w:val="32"/>
              <w:szCs w:val="32"/>
            </w:rPr>
            <w:t>（</w:t>
          </w:r>
          <w:r>
            <w:rPr>
              <w:rFonts w:hint="eastAsia" w:ascii="宋体" w:hAnsi="宋体"/>
              <w:sz w:val="32"/>
              <w:szCs w:val="32"/>
            </w:rPr>
            <w:t>二</w:t>
          </w:r>
          <w:r>
            <w:rPr>
              <w:rFonts w:ascii="宋体" w:hAnsi="宋体"/>
              <w:sz w:val="32"/>
              <w:szCs w:val="32"/>
            </w:rPr>
            <w:t>）</w:t>
          </w:r>
          <w:r>
            <w:rPr>
              <w:rFonts w:hint="eastAsia" w:ascii="宋体" w:hAnsi="宋体"/>
              <w:sz w:val="32"/>
              <w:szCs w:val="32"/>
            </w:rPr>
            <w:t>公务用车购置及运行维护费变化情况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_Toc17768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"_Toc2610" </w:instrText>
          </w:r>
          <w:r>
            <w:fldChar w:fldCharType="separate"/>
          </w:r>
          <w:r>
            <w:rPr>
              <w:rFonts w:hint="eastAsia" w:ascii="宋体" w:hAnsi="宋体" w:eastAsia="黑体"/>
              <w:sz w:val="32"/>
              <w:szCs w:val="32"/>
            </w:rPr>
            <w:t>六、政府性基金预算支出情况说明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_Toc2610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"_Toc17731" </w:instrText>
          </w:r>
          <w:r>
            <w:fldChar w:fldCharType="separate"/>
          </w:r>
          <w:r>
            <w:rPr>
              <w:rFonts w:hint="eastAsia" w:ascii="宋体" w:hAnsi="宋体" w:eastAsia="黑体"/>
              <w:sz w:val="32"/>
              <w:szCs w:val="32"/>
            </w:rPr>
            <w:t>七、国有资本经营预算情况说明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_Toc17731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ascii="宋体" w:hAnsi="宋体"/>
              <w:sz w:val="32"/>
              <w:szCs w:val="32"/>
            </w:rPr>
            <w:fldChar w:fldCharType="end"/>
          </w:r>
        </w:p>
        <w:p>
          <w:pPr>
            <w:pStyle w:val="17"/>
            <w:tabs>
              <w:tab w:val="right" w:leader="dot" w:pos="9812"/>
            </w:tabs>
            <w:spacing w:line="560" w:lineRule="exact"/>
            <w:ind w:left="440"/>
            <w:rPr>
              <w:rFonts w:ascii="宋体" w:hAnsi="宋体"/>
              <w:sz w:val="32"/>
              <w:szCs w:val="32"/>
            </w:rPr>
          </w:pPr>
          <w:r>
            <w:fldChar w:fldCharType="begin"/>
          </w:r>
          <w:r>
            <w:instrText xml:space="preserve"> HYPERLINK \l "_Toc20919" </w:instrText>
          </w:r>
          <w:r>
            <w:fldChar w:fldCharType="separate"/>
          </w:r>
          <w:r>
            <w:rPr>
              <w:rFonts w:hint="eastAsia" w:ascii="宋体" w:hAnsi="宋体" w:eastAsia="黑体"/>
              <w:sz w:val="32"/>
              <w:szCs w:val="32"/>
            </w:rPr>
            <w:t>八、其他重要事项的情况说明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_Toc20919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"_Toc9621" </w:instrText>
          </w:r>
          <w:r>
            <w:fldChar w:fldCharType="separate"/>
          </w:r>
          <w:r>
            <w:rPr>
              <w:rFonts w:ascii="宋体" w:hAnsi="宋体"/>
              <w:sz w:val="32"/>
              <w:szCs w:val="32"/>
            </w:rPr>
            <w:t>（一）机关运行经费情况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_Toc9621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"_Toc26552" </w:instrText>
          </w:r>
          <w:r>
            <w:fldChar w:fldCharType="separate"/>
          </w:r>
          <w:r>
            <w:rPr>
              <w:rFonts w:ascii="宋体" w:hAnsi="宋体"/>
              <w:sz w:val="32"/>
              <w:szCs w:val="32"/>
            </w:rPr>
            <w:t>（二）政府采购情况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_Toc26552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"_Toc11208" </w:instrText>
          </w:r>
          <w:r>
            <w:fldChar w:fldCharType="separate"/>
          </w:r>
          <w:r>
            <w:rPr>
              <w:rFonts w:ascii="宋体" w:hAnsi="宋体"/>
              <w:sz w:val="32"/>
              <w:szCs w:val="32"/>
            </w:rPr>
            <w:t>（三）国有资产占有使用情况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_Toc11208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ascii="宋体" w:hAnsi="宋体"/>
              <w:sz w:val="32"/>
              <w:szCs w:val="32"/>
            </w:rPr>
            <w:fldChar w:fldCharType="end"/>
          </w:r>
        </w:p>
        <w:p>
          <w:pPr>
            <w:pStyle w:val="18"/>
            <w:tabs>
              <w:tab w:val="right" w:leader="dot" w:pos="9812"/>
            </w:tabs>
            <w:spacing w:line="560" w:lineRule="exact"/>
            <w:ind w:left="880"/>
            <w:rPr>
              <w:rFonts w:ascii="宋体" w:hAnsi="宋体"/>
              <w:sz w:val="32"/>
              <w:szCs w:val="32"/>
            </w:rPr>
          </w:pPr>
          <w:r>
            <w:fldChar w:fldCharType="begin"/>
          </w:r>
          <w:r>
            <w:instrText xml:space="preserve"> HYPERLINK \l "_Toc13599" </w:instrText>
          </w:r>
          <w:r>
            <w:fldChar w:fldCharType="separate"/>
          </w:r>
          <w:r>
            <w:rPr>
              <w:rFonts w:hint="eastAsia" w:ascii="宋体" w:hAnsi="宋体"/>
              <w:sz w:val="32"/>
              <w:szCs w:val="32"/>
            </w:rPr>
            <w:t>（四）</w:t>
          </w:r>
          <w:r>
            <w:rPr>
              <w:rFonts w:ascii="宋体" w:hAnsi="宋体"/>
              <w:sz w:val="32"/>
              <w:szCs w:val="32"/>
            </w:rPr>
            <w:t>预算绩效情况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_Toc13599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ascii="宋体" w:hAnsi="宋体"/>
              <w:sz w:val="32"/>
              <w:szCs w:val="32"/>
            </w:rPr>
            <w:fldChar w:fldCharType="end"/>
          </w:r>
        </w:p>
        <w:p>
          <w:pPr>
            <w:pStyle w:val="16"/>
            <w:tabs>
              <w:tab w:val="right" w:leader="dot" w:pos="9812"/>
            </w:tabs>
            <w:spacing w:line="560" w:lineRule="exact"/>
            <w:rPr>
              <w:rFonts w:ascii="宋体" w:hAnsi="宋体"/>
            </w:rPr>
          </w:pPr>
          <w:r>
            <w:fldChar w:fldCharType="begin"/>
          </w:r>
          <w:r>
            <w:instrText xml:space="preserve"> HYPERLINK \l "_Toc31157" </w:instrText>
          </w:r>
          <w:r>
            <w:fldChar w:fldCharType="separate"/>
          </w:r>
          <w:r>
            <w:rPr>
              <w:rFonts w:hint="eastAsia" w:ascii="宋体" w:hAnsi="宋体" w:eastAsia="方正小标宋简体" w:cs="方正小标宋简体"/>
              <w:sz w:val="32"/>
              <w:szCs w:val="32"/>
            </w:rPr>
            <w:t>第四部分  名词解释</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_Toc31157 \h </w:instrText>
          </w:r>
          <w:r>
            <w:rPr>
              <w:rFonts w:ascii="宋体" w:hAnsi="宋体"/>
              <w:sz w:val="32"/>
              <w:szCs w:val="32"/>
            </w:rPr>
            <w:fldChar w:fldCharType="separate"/>
          </w:r>
          <w:r>
            <w:rPr>
              <w:rFonts w:ascii="宋体" w:hAnsi="宋体"/>
              <w:sz w:val="32"/>
              <w:szCs w:val="32"/>
            </w:rPr>
            <w:t>14</w:t>
          </w:r>
          <w:r>
            <w:rPr>
              <w:rFonts w:ascii="宋体" w:hAnsi="宋体"/>
              <w:sz w:val="32"/>
              <w:szCs w:val="32"/>
            </w:rPr>
            <w:fldChar w:fldCharType="end"/>
          </w:r>
          <w:r>
            <w:rPr>
              <w:rFonts w:ascii="宋体" w:hAnsi="宋体"/>
              <w:sz w:val="32"/>
              <w:szCs w:val="32"/>
            </w:rPr>
            <w:fldChar w:fldCharType="end"/>
          </w:r>
        </w:p>
        <w:p>
          <w:pPr>
            <w:pStyle w:val="6"/>
            <w:tabs>
              <w:tab w:val="left" w:pos="4798"/>
            </w:tabs>
            <w:jc w:val="both"/>
            <w:rPr>
              <w:rFonts w:ascii="宋体" w:hAnsi="宋体" w:eastAsia="方正小标宋简体" w:cs="方正小标宋简体"/>
              <w:b/>
              <w:bCs/>
              <w:sz w:val="48"/>
              <w:szCs w:val="48"/>
              <w:lang w:val="en-US"/>
            </w:rPr>
          </w:pPr>
          <w:r>
            <w:rPr>
              <w:rFonts w:hint="eastAsia" w:ascii="宋体" w:hAnsi="宋体" w:eastAsia="方正小标宋简体" w:cs="方正小标宋简体"/>
              <w:bCs/>
              <w:szCs w:val="48"/>
              <w:lang w:val="en-US"/>
            </w:rPr>
            <w:fldChar w:fldCharType="end"/>
          </w:r>
        </w:p>
      </w:sdtContent>
    </w:sdt>
    <w:p>
      <w:pPr>
        <w:pStyle w:val="6"/>
        <w:rPr>
          <w:rFonts w:ascii="宋体" w:hAnsi="宋体"/>
          <w:sz w:val="20"/>
        </w:rPr>
        <w:sectPr>
          <w:headerReference r:id="rId3" w:type="default"/>
          <w:footerReference r:id="rId4" w:type="default"/>
          <w:pgSz w:w="11910" w:h="16840"/>
          <w:pgMar w:top="1587" w:right="964" w:bottom="1701" w:left="1134" w:header="737" w:footer="737" w:gutter="0"/>
          <w:pgNumType w:start="1"/>
          <w:cols w:space="0" w:num="1"/>
        </w:sect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spacing w:before="3"/>
        <w:rPr>
          <w:rFonts w:ascii="宋体" w:hAnsi="宋体"/>
          <w:color w:val="auto"/>
          <w:sz w:val="28"/>
        </w:rPr>
      </w:pPr>
    </w:p>
    <w:p>
      <w:pPr>
        <w:pStyle w:val="6"/>
        <w:numPr>
          <w:ilvl w:val="0"/>
          <w:numId w:val="1"/>
        </w:numPr>
        <w:jc w:val="center"/>
        <w:outlineLvl w:val="0"/>
        <w:rPr>
          <w:rFonts w:ascii="宋体" w:hAnsi="宋体" w:eastAsia="方正小标宋简体" w:cs="方正小标宋简体"/>
          <w:b/>
          <w:bCs/>
          <w:color w:val="auto"/>
          <w:sz w:val="52"/>
          <w:szCs w:val="52"/>
          <w:lang w:val="en-US"/>
        </w:rPr>
      </w:pPr>
      <w:bookmarkStart w:id="0" w:name="_Toc24981"/>
      <w:r>
        <w:rPr>
          <w:rFonts w:hint="eastAsia" w:ascii="宋体" w:hAnsi="宋体" w:eastAsia="方正小标宋简体" w:cs="方正小标宋简体"/>
          <w:b/>
          <w:bCs/>
          <w:color w:val="auto"/>
          <w:sz w:val="52"/>
          <w:szCs w:val="52"/>
          <w:lang w:val="en-US"/>
        </w:rPr>
        <w:t>部门概况</w:t>
      </w:r>
      <w:bookmarkEnd w:id="0"/>
    </w:p>
    <w:p>
      <w:pPr>
        <w:pStyle w:val="6"/>
        <w:spacing w:before="40" w:after="120" w:afterLines="50"/>
        <w:ind w:firstLine="640" w:firstLineChars="200"/>
        <w:rPr>
          <w:rFonts w:ascii="宋体" w:hAnsi="宋体" w:eastAsia="黑体"/>
          <w:color w:val="auto"/>
        </w:rPr>
      </w:pPr>
    </w:p>
    <w:p>
      <w:pPr>
        <w:pStyle w:val="6"/>
        <w:spacing w:before="40" w:after="120" w:afterLines="50"/>
        <w:ind w:firstLine="640" w:firstLineChars="200"/>
        <w:rPr>
          <w:rFonts w:ascii="宋体" w:hAnsi="宋体" w:eastAsia="黑体"/>
          <w:color w:val="auto"/>
        </w:rPr>
      </w:pPr>
    </w:p>
    <w:p>
      <w:pPr>
        <w:pStyle w:val="6"/>
        <w:spacing w:before="40" w:after="120" w:afterLines="50"/>
        <w:ind w:firstLine="640" w:firstLineChars="200"/>
        <w:rPr>
          <w:rFonts w:ascii="宋体" w:hAnsi="宋体" w:eastAsia="黑体"/>
          <w:color w:val="auto"/>
        </w:rPr>
        <w:sectPr>
          <w:headerReference r:id="rId5" w:type="default"/>
          <w:footerReference r:id="rId6" w:type="default"/>
          <w:pgSz w:w="11910" w:h="16840"/>
          <w:pgMar w:top="1587" w:right="964" w:bottom="1701" w:left="1134" w:header="737" w:footer="737" w:gutter="0"/>
          <w:pgNumType w:start="1"/>
          <w:cols w:space="0" w:num="1"/>
        </w:sectPr>
      </w:pP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before="40" w:after="120" w:afterLines="50" w:line="440" w:lineRule="exact"/>
        <w:ind w:firstLine="602" w:firstLineChars="200"/>
        <w:outlineLvl w:val="1"/>
        <w:rPr>
          <w:rFonts w:hint="eastAsia" w:ascii="宋体" w:hAnsi="宋体" w:eastAsia="宋体" w:cs="宋体"/>
          <w:b/>
          <w:bCs/>
          <w:color w:val="auto"/>
          <w:sz w:val="30"/>
          <w:szCs w:val="30"/>
        </w:rPr>
      </w:pPr>
      <w:bookmarkStart w:id="1" w:name="_Toc977"/>
      <w:r>
        <w:rPr>
          <w:rFonts w:hint="eastAsia" w:ascii="黑体" w:hAnsi="黑体" w:eastAsia="黑体" w:cs="黑体"/>
          <w:b/>
          <w:bCs/>
          <w:color w:val="auto"/>
          <w:sz w:val="30"/>
          <w:szCs w:val="30"/>
          <w:lang w:val="en-US" w:eastAsia="zh-CN"/>
        </w:rPr>
        <w:t>一、</w:t>
      </w:r>
      <w:r>
        <w:rPr>
          <w:rFonts w:hint="eastAsia" w:ascii="黑体" w:hAnsi="黑体" w:eastAsia="黑体" w:cs="黑体"/>
          <w:b/>
          <w:bCs/>
          <w:color w:val="auto"/>
          <w:sz w:val="30"/>
          <w:szCs w:val="30"/>
        </w:rPr>
        <w:t>基本职能及主要工作</w:t>
      </w:r>
      <w:bookmarkEnd w:id="1"/>
    </w:p>
    <w:p>
      <w:pPr>
        <w:pStyle w:val="4"/>
        <w:keepNext w:val="0"/>
        <w:keepLines w:val="0"/>
        <w:pageBreakBefore w:val="0"/>
        <w:widowControl w:val="0"/>
        <w:numPr>
          <w:ilvl w:val="0"/>
          <w:numId w:val="2"/>
        </w:numPr>
        <w:kinsoku/>
        <w:wordWrap/>
        <w:overflowPunct/>
        <w:topLinePunct w:val="0"/>
        <w:autoSpaceDE w:val="0"/>
        <w:autoSpaceDN w:val="0"/>
        <w:bidi w:val="0"/>
        <w:adjustRightInd/>
        <w:snapToGrid/>
        <w:spacing w:before="100" w:after="120" w:afterLines="50" w:line="440" w:lineRule="exact"/>
        <w:ind w:left="0" w:leftChars="0" w:firstLine="602" w:firstLineChars="200"/>
        <w:rPr>
          <w:rFonts w:hint="eastAsia" w:ascii="宋体" w:hAnsi="宋体" w:eastAsia="宋体" w:cs="宋体"/>
          <w:color w:val="auto"/>
          <w:sz w:val="30"/>
          <w:szCs w:val="30"/>
        </w:rPr>
      </w:pPr>
      <w:r>
        <w:rPr>
          <w:rFonts w:hint="eastAsia" w:ascii="宋体" w:hAnsi="宋体" w:eastAsia="宋体" w:cs="宋体"/>
          <w:color w:val="auto"/>
          <w:sz w:val="30"/>
          <w:szCs w:val="30"/>
        </w:rPr>
        <w:t>部门职能简介</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100" w:after="120" w:afterLines="50" w:line="440" w:lineRule="exact"/>
        <w:ind w:leftChars="200" w:firstLine="300" w:firstLineChars="100"/>
        <w:rPr>
          <w:rFonts w:hint="eastAsia" w:ascii="宋体" w:hAnsi="宋体" w:eastAsia="宋体" w:cs="宋体"/>
          <w:b w:val="0"/>
          <w:bCs w:val="0"/>
          <w:color w:val="auto"/>
          <w:sz w:val="30"/>
          <w:szCs w:val="30"/>
        </w:rPr>
      </w:pPr>
      <w:r>
        <w:rPr>
          <w:rFonts w:hint="eastAsia" w:ascii="宋体" w:hAnsi="宋体" w:eastAsia="宋体" w:cs="宋体"/>
          <w:b w:val="0"/>
          <w:bCs w:val="0"/>
          <w:color w:val="auto"/>
          <w:sz w:val="30"/>
          <w:szCs w:val="30"/>
          <w:lang w:val="en-US" w:eastAsia="zh-CN"/>
        </w:rPr>
        <w:t>体育中心主要负责</w:t>
      </w:r>
      <w:r>
        <w:rPr>
          <w:rFonts w:hint="eastAsia" w:ascii="宋体" w:hAnsi="宋体" w:eastAsia="宋体" w:cs="宋体"/>
          <w:b w:val="0"/>
          <w:bCs w:val="0"/>
          <w:color w:val="auto"/>
          <w:sz w:val="30"/>
          <w:szCs w:val="30"/>
        </w:rPr>
        <w:t>组织开展群众性体育活动，组织实施国家体育锻炼标准</w:t>
      </w:r>
      <w:r>
        <w:rPr>
          <w:rFonts w:hint="eastAsia" w:ascii="宋体" w:hAnsi="宋体" w:eastAsia="宋体" w:cs="宋体"/>
          <w:b w:val="0"/>
          <w:bCs w:val="0"/>
          <w:color w:val="auto"/>
          <w:sz w:val="30"/>
          <w:szCs w:val="30"/>
          <w:lang w:eastAsia="zh-CN"/>
        </w:rPr>
        <w:t>，</w:t>
      </w:r>
      <w:r>
        <w:rPr>
          <w:rFonts w:hint="eastAsia" w:ascii="宋体" w:hAnsi="宋体" w:eastAsia="宋体" w:cs="宋体"/>
          <w:b w:val="0"/>
          <w:bCs w:val="0"/>
          <w:color w:val="auto"/>
          <w:sz w:val="30"/>
          <w:szCs w:val="30"/>
          <w:lang w:val="en-US" w:eastAsia="zh-CN"/>
        </w:rPr>
        <w:t>开展国民体质检测，</w:t>
      </w:r>
      <w:r>
        <w:rPr>
          <w:rFonts w:hint="eastAsia" w:ascii="宋体" w:hAnsi="宋体" w:eastAsia="宋体" w:cs="宋体"/>
          <w:b w:val="0"/>
          <w:bCs w:val="0"/>
          <w:color w:val="auto"/>
          <w:sz w:val="30"/>
          <w:szCs w:val="30"/>
          <w:lang w:eastAsia="zh-CN"/>
        </w:rPr>
        <w:t>管理体育场免费和低收费对外开放，</w:t>
      </w:r>
      <w:r>
        <w:rPr>
          <w:rFonts w:hint="eastAsia" w:ascii="宋体" w:hAnsi="宋体" w:eastAsia="宋体" w:cs="宋体"/>
          <w:b w:val="0"/>
          <w:bCs w:val="0"/>
          <w:color w:val="auto"/>
          <w:sz w:val="30"/>
          <w:szCs w:val="30"/>
        </w:rPr>
        <w:t>负责公共体育设施的建设，负责公共体育设施的管理使用，承办各级各类赛事活动。</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100" w:after="120" w:afterLines="50" w:line="440" w:lineRule="exact"/>
        <w:ind w:firstLine="602" w:firstLineChars="200"/>
        <w:rPr>
          <w:rFonts w:hint="eastAsia" w:ascii="宋体" w:hAnsi="宋体" w:eastAsia="宋体" w:cs="宋体"/>
          <w:color w:val="auto"/>
          <w:sz w:val="30"/>
          <w:szCs w:val="30"/>
        </w:rPr>
      </w:pPr>
      <w:r>
        <w:rPr>
          <w:rFonts w:hint="eastAsia" w:ascii="宋体" w:hAnsi="宋体" w:eastAsia="宋体" w:cs="宋体"/>
          <w:color w:val="auto"/>
          <w:sz w:val="30"/>
          <w:szCs w:val="30"/>
          <w:lang w:eastAsia="zh-CN"/>
        </w:rPr>
        <w:t>（</w:t>
      </w:r>
      <w:r>
        <w:rPr>
          <w:rFonts w:hint="eastAsia" w:ascii="宋体" w:hAnsi="宋体" w:eastAsia="宋体" w:cs="宋体"/>
          <w:color w:val="auto"/>
          <w:sz w:val="30"/>
          <w:szCs w:val="30"/>
          <w:lang w:val="en-US" w:eastAsia="zh-CN"/>
        </w:rPr>
        <w:t>二</w:t>
      </w:r>
      <w:r>
        <w:rPr>
          <w:rFonts w:hint="eastAsia" w:ascii="宋体" w:hAnsi="宋体" w:eastAsia="宋体" w:cs="宋体"/>
          <w:color w:val="auto"/>
          <w:sz w:val="30"/>
          <w:szCs w:val="30"/>
          <w:lang w:eastAsia="zh-CN"/>
        </w:rPr>
        <w:t>）</w:t>
      </w:r>
      <w:r>
        <w:rPr>
          <w:rFonts w:hint="eastAsia" w:ascii="宋体" w:hAnsi="宋体" w:eastAsia="宋体" w:cs="宋体"/>
          <w:color w:val="auto"/>
          <w:sz w:val="30"/>
          <w:szCs w:val="30"/>
        </w:rPr>
        <w:t>部门2024年重点工作</w:t>
      </w:r>
    </w:p>
    <w:p>
      <w:pPr>
        <w:keepNext w:val="0"/>
        <w:keepLines w:val="0"/>
        <w:pageBreakBefore w:val="0"/>
        <w:widowControl w:val="0"/>
        <w:kinsoku/>
        <w:wordWrap/>
        <w:overflowPunct/>
        <w:topLinePunct w:val="0"/>
        <w:autoSpaceDE w:val="0"/>
        <w:autoSpaceDN w:val="0"/>
        <w:bidi w:val="0"/>
        <w:adjustRightInd/>
        <w:snapToGrid/>
        <w:spacing w:line="440" w:lineRule="exact"/>
        <w:ind w:firstLine="600" w:firstLineChars="200"/>
        <w:rPr>
          <w:rFonts w:hint="eastAsia" w:ascii="宋体" w:hAnsi="宋体" w:eastAsia="宋体" w:cs="宋体"/>
          <w:color w:val="auto"/>
          <w:sz w:val="30"/>
          <w:szCs w:val="30"/>
        </w:rPr>
      </w:pPr>
      <w:r>
        <w:rPr>
          <w:rFonts w:hint="eastAsia" w:cs="宋体"/>
          <w:color w:val="auto"/>
          <w:sz w:val="30"/>
          <w:szCs w:val="30"/>
          <w:lang w:val="en-US" w:eastAsia="zh-CN"/>
        </w:rPr>
        <w:t>1.</w:t>
      </w:r>
      <w:r>
        <w:rPr>
          <w:rFonts w:hint="eastAsia" w:ascii="宋体" w:hAnsi="宋体" w:eastAsia="宋体" w:cs="宋体"/>
          <w:color w:val="auto"/>
          <w:sz w:val="30"/>
          <w:szCs w:val="30"/>
        </w:rPr>
        <w:t>不断完善推进大型体育场馆免费低收费开放工作。</w:t>
      </w:r>
    </w:p>
    <w:p>
      <w:pPr>
        <w:pStyle w:val="2"/>
        <w:keepNext w:val="0"/>
        <w:keepLines w:val="0"/>
        <w:pageBreakBefore w:val="0"/>
        <w:widowControl w:val="0"/>
        <w:kinsoku/>
        <w:wordWrap/>
        <w:overflowPunct/>
        <w:topLinePunct w:val="0"/>
        <w:autoSpaceDE w:val="0"/>
        <w:autoSpaceDN w:val="0"/>
        <w:bidi w:val="0"/>
        <w:adjustRightInd/>
        <w:snapToGrid/>
        <w:spacing w:line="440" w:lineRule="exact"/>
        <w:ind w:firstLine="600" w:firstLineChars="200"/>
        <w:rPr>
          <w:rFonts w:hint="eastAsia" w:ascii="宋体" w:hAnsi="宋体" w:eastAsia="宋体" w:cs="宋体"/>
          <w:color w:val="auto"/>
          <w:sz w:val="30"/>
          <w:szCs w:val="30"/>
        </w:rPr>
      </w:pPr>
      <w:r>
        <w:rPr>
          <w:rFonts w:hint="eastAsia" w:ascii="宋体" w:hAnsi="宋体" w:eastAsia="宋体" w:cs="宋体"/>
          <w:color w:val="auto"/>
          <w:sz w:val="30"/>
          <w:szCs w:val="30"/>
        </w:rPr>
        <w:t>进一步贯彻落实《体育总局、财政部关于推进大型体育场馆免费低收费开放的通知》（体经字〔2014〕34号）、《四川省财政厅、省体育局关于开展政府向体育场馆购买免费低收费开放服务的实施意见》（川财教〔2014〕206号）等文件精神，不断完善体育场馆向社会免费低收费开放的各项工作，进一步牢固树立亲民、便民、惠民的服务理念，加强开放管理，提升服务水平，最大限度地满足人民群众日益增长的体育健身需求，不断向人民群众提供良好的体育健身服务。</w:t>
      </w:r>
    </w:p>
    <w:p>
      <w:pPr>
        <w:pStyle w:val="2"/>
        <w:keepNext w:val="0"/>
        <w:keepLines w:val="0"/>
        <w:pageBreakBefore w:val="0"/>
        <w:widowControl w:val="0"/>
        <w:kinsoku/>
        <w:wordWrap/>
        <w:overflowPunct/>
        <w:topLinePunct w:val="0"/>
        <w:autoSpaceDE w:val="0"/>
        <w:autoSpaceDN w:val="0"/>
        <w:bidi w:val="0"/>
        <w:adjustRightInd/>
        <w:snapToGrid/>
        <w:spacing w:line="440" w:lineRule="exact"/>
        <w:ind w:firstLine="600" w:firstLineChars="200"/>
        <w:rPr>
          <w:rFonts w:hint="eastAsia" w:ascii="宋体" w:hAnsi="宋体" w:eastAsia="宋体" w:cs="宋体"/>
          <w:color w:val="auto"/>
          <w:sz w:val="30"/>
          <w:szCs w:val="30"/>
        </w:rPr>
      </w:pPr>
      <w:r>
        <w:rPr>
          <w:rFonts w:hint="eastAsia" w:ascii="宋体" w:hAnsi="宋体" w:cs="宋体"/>
          <w:color w:val="auto"/>
          <w:sz w:val="30"/>
          <w:szCs w:val="30"/>
          <w:lang w:val="en-US" w:eastAsia="zh-CN"/>
        </w:rPr>
        <w:t>2.</w:t>
      </w:r>
      <w:r>
        <w:rPr>
          <w:rFonts w:hint="eastAsia" w:ascii="宋体" w:hAnsi="宋体" w:eastAsia="宋体" w:cs="宋体"/>
          <w:color w:val="auto"/>
          <w:sz w:val="30"/>
          <w:szCs w:val="30"/>
        </w:rPr>
        <w:t>积极</w:t>
      </w:r>
      <w:r>
        <w:rPr>
          <w:rFonts w:hint="eastAsia" w:ascii="宋体" w:hAnsi="宋体" w:cs="宋体"/>
          <w:color w:val="auto"/>
          <w:sz w:val="30"/>
          <w:szCs w:val="30"/>
          <w:lang w:val="en-US" w:eastAsia="zh-CN"/>
        </w:rPr>
        <w:t>组织</w:t>
      </w:r>
      <w:r>
        <w:rPr>
          <w:rFonts w:hint="eastAsia" w:ascii="宋体" w:hAnsi="宋体" w:eastAsia="宋体" w:cs="宋体"/>
          <w:color w:val="auto"/>
          <w:sz w:val="30"/>
          <w:szCs w:val="30"/>
        </w:rPr>
        <w:t>承办各级各类</w:t>
      </w:r>
      <w:r>
        <w:rPr>
          <w:rFonts w:hint="eastAsia" w:ascii="宋体" w:hAnsi="宋体" w:cs="宋体"/>
          <w:color w:val="auto"/>
          <w:sz w:val="30"/>
          <w:szCs w:val="30"/>
          <w:lang w:val="en-US" w:eastAsia="zh-CN"/>
        </w:rPr>
        <w:t>全民健身及</w:t>
      </w:r>
      <w:r>
        <w:rPr>
          <w:rFonts w:hint="eastAsia" w:ascii="宋体" w:hAnsi="宋体" w:eastAsia="宋体" w:cs="宋体"/>
          <w:color w:val="auto"/>
          <w:sz w:val="30"/>
          <w:szCs w:val="30"/>
        </w:rPr>
        <w:t>赛事活动。</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440" w:lineRule="exact"/>
        <w:ind w:firstLine="600" w:firstLineChars="200"/>
        <w:rPr>
          <w:rFonts w:hint="eastAsia" w:ascii="宋体" w:hAnsi="宋体" w:eastAsia="宋体" w:cs="宋体"/>
          <w:color w:val="auto"/>
          <w:sz w:val="30"/>
          <w:szCs w:val="30"/>
          <w:lang w:eastAsia="zh-CN"/>
        </w:rPr>
      </w:pPr>
      <w:r>
        <w:rPr>
          <w:rFonts w:hint="eastAsia" w:ascii="宋体" w:hAnsi="宋体" w:cs="宋体"/>
          <w:color w:val="auto"/>
          <w:sz w:val="30"/>
          <w:szCs w:val="30"/>
          <w:lang w:eastAsia="zh-CN"/>
        </w:rPr>
        <w:t>（</w:t>
      </w:r>
      <w:r>
        <w:rPr>
          <w:rFonts w:hint="eastAsia" w:ascii="宋体" w:hAnsi="宋体" w:eastAsia="宋体" w:cs="宋体"/>
          <w:color w:val="auto"/>
          <w:sz w:val="30"/>
          <w:szCs w:val="30"/>
        </w:rPr>
        <w:t>1</w:t>
      </w:r>
      <w:r>
        <w:rPr>
          <w:rFonts w:hint="eastAsia" w:ascii="宋体" w:hAnsi="宋体" w:cs="宋体"/>
          <w:color w:val="auto"/>
          <w:sz w:val="30"/>
          <w:szCs w:val="30"/>
          <w:lang w:eastAsia="zh-CN"/>
        </w:rPr>
        <w:t>）</w:t>
      </w:r>
      <w:r>
        <w:rPr>
          <w:rFonts w:hint="eastAsia" w:ascii="宋体" w:hAnsi="宋体" w:eastAsia="宋体" w:cs="宋体"/>
          <w:color w:val="auto"/>
          <w:sz w:val="30"/>
          <w:szCs w:val="30"/>
        </w:rPr>
        <w:t>举办</w:t>
      </w:r>
      <w:r>
        <w:rPr>
          <w:rFonts w:hint="eastAsia" w:ascii="宋体" w:hAnsi="宋体" w:eastAsia="宋体" w:cs="宋体"/>
          <w:color w:val="auto"/>
          <w:sz w:val="30"/>
          <w:szCs w:val="30"/>
          <w:lang w:val="en-US" w:eastAsia="zh-CN"/>
        </w:rPr>
        <w:t>区级</w:t>
      </w:r>
      <w:r>
        <w:rPr>
          <w:rFonts w:hint="eastAsia" w:ascii="宋体" w:hAnsi="宋体" w:eastAsia="宋体" w:cs="宋体"/>
          <w:color w:val="auto"/>
          <w:sz w:val="30"/>
          <w:szCs w:val="30"/>
        </w:rPr>
        <w:t>工BA篮球赛、羽毛球赛</w:t>
      </w:r>
      <w:r>
        <w:rPr>
          <w:rFonts w:hint="eastAsia" w:ascii="宋体" w:hAnsi="宋体" w:eastAsia="宋体" w:cs="宋体"/>
          <w:color w:val="auto"/>
          <w:sz w:val="30"/>
          <w:szCs w:val="30"/>
          <w:lang w:eastAsia="zh-CN"/>
        </w:rPr>
        <w:t>。</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440" w:lineRule="exact"/>
        <w:ind w:firstLine="600" w:firstLineChars="200"/>
        <w:rPr>
          <w:rFonts w:hint="eastAsia" w:ascii="宋体" w:hAnsi="宋体" w:eastAsia="宋体" w:cs="宋体"/>
          <w:color w:val="auto"/>
          <w:sz w:val="30"/>
          <w:szCs w:val="30"/>
          <w:lang w:val="en-US" w:eastAsia="zh-CN"/>
        </w:rPr>
      </w:pPr>
      <w:r>
        <w:rPr>
          <w:rFonts w:hint="eastAsia" w:ascii="宋体" w:hAnsi="宋体" w:cs="宋体"/>
          <w:color w:val="auto"/>
          <w:sz w:val="30"/>
          <w:szCs w:val="30"/>
          <w:lang w:val="en-US" w:eastAsia="zh-CN"/>
        </w:rPr>
        <w:t>（</w:t>
      </w:r>
      <w:r>
        <w:rPr>
          <w:rFonts w:hint="eastAsia" w:ascii="宋体" w:hAnsi="宋体" w:eastAsia="宋体" w:cs="宋体"/>
          <w:color w:val="auto"/>
          <w:sz w:val="30"/>
          <w:szCs w:val="30"/>
          <w:lang w:val="en-US" w:eastAsia="zh-CN"/>
        </w:rPr>
        <w:t>2</w:t>
      </w:r>
      <w:r>
        <w:rPr>
          <w:rFonts w:hint="eastAsia" w:ascii="宋体" w:hAnsi="宋体" w:cs="宋体"/>
          <w:color w:val="auto"/>
          <w:sz w:val="30"/>
          <w:szCs w:val="30"/>
          <w:lang w:val="en-US" w:eastAsia="zh-CN"/>
        </w:rPr>
        <w:t>）</w:t>
      </w:r>
      <w:r>
        <w:rPr>
          <w:rFonts w:hint="eastAsia" w:ascii="宋体" w:hAnsi="宋体" w:eastAsia="宋体" w:cs="宋体"/>
          <w:color w:val="auto"/>
          <w:sz w:val="30"/>
          <w:szCs w:val="30"/>
          <w:lang w:val="en-US" w:eastAsia="zh-CN"/>
        </w:rPr>
        <w:t>做好“8.8”全民健身系列活动。</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440" w:lineRule="exact"/>
        <w:ind w:firstLine="600" w:firstLineChars="200"/>
        <w:rPr>
          <w:rFonts w:hint="eastAsia" w:ascii="宋体" w:hAnsi="宋体" w:eastAsia="宋体" w:cs="宋体"/>
          <w:color w:val="auto"/>
          <w:sz w:val="30"/>
          <w:szCs w:val="30"/>
          <w:lang w:val="en-US" w:eastAsia="zh-CN"/>
        </w:rPr>
      </w:pPr>
      <w:r>
        <w:rPr>
          <w:rFonts w:hint="eastAsia" w:ascii="宋体" w:hAnsi="宋体" w:cs="宋体"/>
          <w:color w:val="auto"/>
          <w:sz w:val="30"/>
          <w:szCs w:val="30"/>
          <w:lang w:val="en-US" w:eastAsia="zh-CN"/>
        </w:rPr>
        <w:t>（</w:t>
      </w:r>
      <w:r>
        <w:rPr>
          <w:rFonts w:hint="eastAsia" w:ascii="宋体" w:hAnsi="宋体" w:eastAsia="宋体" w:cs="宋体"/>
          <w:color w:val="auto"/>
          <w:sz w:val="30"/>
          <w:szCs w:val="30"/>
          <w:lang w:val="en-US" w:eastAsia="zh-CN"/>
        </w:rPr>
        <w:t>3</w:t>
      </w:r>
      <w:r>
        <w:rPr>
          <w:rFonts w:hint="eastAsia" w:ascii="宋体" w:hAnsi="宋体" w:cs="宋体"/>
          <w:color w:val="auto"/>
          <w:sz w:val="30"/>
          <w:szCs w:val="30"/>
          <w:lang w:val="en-US" w:eastAsia="zh-CN"/>
        </w:rPr>
        <w:t>）</w:t>
      </w:r>
      <w:r>
        <w:rPr>
          <w:rFonts w:hint="eastAsia" w:ascii="宋体" w:hAnsi="宋体" w:eastAsia="宋体" w:cs="宋体"/>
          <w:color w:val="auto"/>
          <w:sz w:val="30"/>
          <w:szCs w:val="30"/>
        </w:rPr>
        <w:t>开展好群众体育赛事活动。</w:t>
      </w:r>
      <w:r>
        <w:rPr>
          <w:rFonts w:hint="eastAsia" w:ascii="宋体" w:hAnsi="宋体" w:eastAsia="宋体" w:cs="宋体"/>
          <w:color w:val="auto"/>
          <w:sz w:val="30"/>
          <w:szCs w:val="30"/>
          <w:lang w:val="en-US" w:eastAsia="zh-CN"/>
        </w:rPr>
        <w:t xml:space="preserve"> </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440" w:lineRule="exact"/>
        <w:ind w:firstLine="600" w:firstLineChars="200"/>
        <w:rPr>
          <w:rFonts w:hint="eastAsia" w:ascii="宋体" w:hAnsi="宋体" w:eastAsia="宋体" w:cs="宋体"/>
          <w:color w:val="auto"/>
          <w:sz w:val="30"/>
          <w:szCs w:val="30"/>
        </w:rPr>
      </w:pPr>
      <w:r>
        <w:rPr>
          <w:rFonts w:hint="eastAsia" w:ascii="宋体" w:hAnsi="宋体" w:cs="宋体"/>
          <w:color w:val="auto"/>
          <w:sz w:val="30"/>
          <w:szCs w:val="30"/>
          <w:lang w:val="en-US" w:eastAsia="zh-CN"/>
        </w:rPr>
        <w:t>（</w:t>
      </w:r>
      <w:r>
        <w:rPr>
          <w:rFonts w:hint="eastAsia" w:ascii="宋体" w:hAnsi="宋体" w:eastAsia="宋体" w:cs="宋体"/>
          <w:color w:val="auto"/>
          <w:sz w:val="30"/>
          <w:szCs w:val="30"/>
          <w:lang w:val="en-US" w:eastAsia="zh-CN"/>
        </w:rPr>
        <w:t>4</w:t>
      </w:r>
      <w:r>
        <w:rPr>
          <w:rFonts w:hint="eastAsia" w:ascii="宋体" w:hAnsi="宋体" w:cs="宋体"/>
          <w:color w:val="auto"/>
          <w:sz w:val="30"/>
          <w:szCs w:val="30"/>
          <w:lang w:val="en-US" w:eastAsia="zh-CN"/>
        </w:rPr>
        <w:t>）</w:t>
      </w:r>
      <w:r>
        <w:rPr>
          <w:rFonts w:hint="eastAsia" w:ascii="宋体" w:hAnsi="宋体" w:eastAsia="宋体" w:cs="宋体"/>
          <w:color w:val="auto"/>
          <w:sz w:val="30"/>
          <w:szCs w:val="30"/>
        </w:rPr>
        <w:t>完成体育达标测试和国民体质检测。</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440" w:lineRule="exact"/>
        <w:ind w:firstLine="600" w:firstLineChars="200"/>
        <w:rPr>
          <w:rFonts w:hint="eastAsia" w:ascii="宋体" w:hAnsi="宋体" w:eastAsia="宋体" w:cs="宋体"/>
          <w:color w:val="auto"/>
          <w:sz w:val="30"/>
          <w:szCs w:val="30"/>
        </w:rPr>
      </w:pPr>
      <w:r>
        <w:rPr>
          <w:rFonts w:hint="eastAsia" w:ascii="宋体" w:hAnsi="宋体" w:cs="宋体"/>
          <w:color w:val="auto"/>
          <w:sz w:val="30"/>
          <w:szCs w:val="30"/>
          <w:lang w:val="en-US" w:eastAsia="zh-CN"/>
        </w:rPr>
        <w:t>（</w:t>
      </w:r>
      <w:r>
        <w:rPr>
          <w:rFonts w:hint="eastAsia" w:ascii="宋体" w:hAnsi="宋体" w:eastAsia="宋体" w:cs="宋体"/>
          <w:color w:val="auto"/>
          <w:sz w:val="30"/>
          <w:szCs w:val="30"/>
          <w:lang w:val="en-US" w:eastAsia="zh-CN"/>
        </w:rPr>
        <w:t>5</w:t>
      </w:r>
      <w:r>
        <w:rPr>
          <w:rFonts w:hint="eastAsia" w:ascii="宋体" w:hAnsi="宋体" w:cs="宋体"/>
          <w:color w:val="auto"/>
          <w:sz w:val="30"/>
          <w:szCs w:val="30"/>
          <w:lang w:val="en-US" w:eastAsia="zh-CN"/>
        </w:rPr>
        <w:t>）</w:t>
      </w:r>
      <w:r>
        <w:rPr>
          <w:rFonts w:hint="eastAsia" w:ascii="宋体" w:hAnsi="宋体" w:eastAsia="宋体" w:cs="宋体"/>
          <w:color w:val="auto"/>
          <w:sz w:val="30"/>
          <w:szCs w:val="30"/>
        </w:rPr>
        <w:t>积极组队参加</w:t>
      </w:r>
      <w:r>
        <w:rPr>
          <w:rFonts w:hint="eastAsia" w:ascii="宋体" w:hAnsi="宋体" w:eastAsia="宋体" w:cs="宋体"/>
          <w:color w:val="auto"/>
          <w:sz w:val="30"/>
          <w:szCs w:val="30"/>
          <w:lang w:val="en-US" w:eastAsia="zh-CN"/>
        </w:rPr>
        <w:t>省</w:t>
      </w:r>
      <w:r>
        <w:rPr>
          <w:rFonts w:hint="eastAsia" w:ascii="宋体" w:hAnsi="宋体" w:eastAsia="宋体" w:cs="宋体"/>
          <w:color w:val="auto"/>
          <w:sz w:val="30"/>
          <w:szCs w:val="30"/>
        </w:rPr>
        <w:t>级，</w:t>
      </w:r>
      <w:r>
        <w:rPr>
          <w:rFonts w:hint="eastAsia" w:ascii="宋体" w:hAnsi="宋体" w:eastAsia="宋体" w:cs="宋体"/>
          <w:color w:val="auto"/>
          <w:sz w:val="30"/>
          <w:szCs w:val="30"/>
          <w:lang w:val="en-US" w:eastAsia="zh-CN"/>
        </w:rPr>
        <w:t>市</w:t>
      </w:r>
      <w:r>
        <w:rPr>
          <w:rFonts w:hint="eastAsia" w:ascii="宋体" w:hAnsi="宋体" w:eastAsia="宋体" w:cs="宋体"/>
          <w:color w:val="auto"/>
          <w:sz w:val="30"/>
          <w:szCs w:val="30"/>
        </w:rPr>
        <w:t>级各级各类比赛，如小金属球、地</w:t>
      </w:r>
      <w:r>
        <w:rPr>
          <w:rFonts w:hint="eastAsia" w:ascii="宋体" w:hAnsi="宋体" w:eastAsia="宋体" w:cs="宋体"/>
          <w:color w:val="auto"/>
          <w:sz w:val="30"/>
          <w:szCs w:val="30"/>
          <w:lang w:val="en-US" w:eastAsia="zh-CN"/>
        </w:rPr>
        <w:t>掷</w:t>
      </w:r>
      <w:r>
        <w:rPr>
          <w:rFonts w:hint="eastAsia" w:ascii="宋体" w:hAnsi="宋体" w:eastAsia="宋体" w:cs="宋体"/>
          <w:color w:val="auto"/>
          <w:sz w:val="30"/>
          <w:szCs w:val="30"/>
        </w:rPr>
        <w:t>球，羽毛球</w:t>
      </w:r>
      <w:r>
        <w:rPr>
          <w:rFonts w:hint="eastAsia" w:ascii="宋体" w:hAnsi="宋体" w:eastAsia="宋体" w:cs="宋体"/>
          <w:color w:val="auto"/>
          <w:sz w:val="30"/>
          <w:szCs w:val="30"/>
          <w:lang w:eastAsia="zh-CN"/>
        </w:rPr>
        <w:t>、</w:t>
      </w:r>
      <w:r>
        <w:rPr>
          <w:rFonts w:hint="eastAsia" w:ascii="宋体" w:hAnsi="宋体" w:eastAsia="宋体" w:cs="宋体"/>
          <w:color w:val="auto"/>
          <w:sz w:val="30"/>
          <w:szCs w:val="30"/>
        </w:rPr>
        <w:t>乒乓球</w:t>
      </w:r>
      <w:r>
        <w:rPr>
          <w:rFonts w:hint="eastAsia" w:ascii="宋体" w:hAnsi="宋体" w:eastAsia="宋体" w:cs="宋体"/>
          <w:color w:val="auto"/>
          <w:sz w:val="30"/>
          <w:szCs w:val="30"/>
          <w:lang w:eastAsia="zh-CN"/>
        </w:rPr>
        <w:t>、</w:t>
      </w:r>
      <w:r>
        <w:rPr>
          <w:rFonts w:hint="eastAsia" w:ascii="宋体" w:hAnsi="宋体" w:eastAsia="宋体" w:cs="宋体"/>
          <w:color w:val="auto"/>
          <w:sz w:val="30"/>
          <w:szCs w:val="30"/>
        </w:rPr>
        <w:t>篮球</w:t>
      </w:r>
      <w:r>
        <w:rPr>
          <w:rFonts w:hint="eastAsia" w:ascii="宋体" w:hAnsi="宋体" w:eastAsia="宋体" w:cs="宋体"/>
          <w:color w:val="auto"/>
          <w:sz w:val="30"/>
          <w:szCs w:val="30"/>
          <w:lang w:eastAsia="zh-CN"/>
        </w:rPr>
        <w:t>、</w:t>
      </w:r>
      <w:r>
        <w:rPr>
          <w:rFonts w:hint="eastAsia" w:ascii="宋体" w:hAnsi="宋体" w:eastAsia="宋体" w:cs="宋体"/>
          <w:color w:val="auto"/>
          <w:sz w:val="30"/>
          <w:szCs w:val="30"/>
        </w:rPr>
        <w:t>气排球等。</w:t>
      </w:r>
    </w:p>
    <w:p>
      <w:pPr>
        <w:pStyle w:val="2"/>
        <w:keepNext w:val="0"/>
        <w:keepLines w:val="0"/>
        <w:pageBreakBefore w:val="0"/>
        <w:widowControl w:val="0"/>
        <w:numPr>
          <w:ilvl w:val="0"/>
          <w:numId w:val="0"/>
        </w:numPr>
        <w:kinsoku/>
        <w:wordWrap/>
        <w:overflowPunct/>
        <w:topLinePunct w:val="0"/>
        <w:autoSpaceDE w:val="0"/>
        <w:autoSpaceDN w:val="0"/>
        <w:bidi w:val="0"/>
        <w:adjustRightInd/>
        <w:snapToGrid/>
        <w:spacing w:line="440" w:lineRule="exact"/>
        <w:ind w:firstLine="600" w:firstLineChars="200"/>
        <w:rPr>
          <w:rFonts w:hint="eastAsia" w:ascii="宋体" w:hAnsi="宋体" w:eastAsia="宋体" w:cs="宋体"/>
          <w:color w:val="auto"/>
          <w:sz w:val="30"/>
          <w:szCs w:val="30"/>
        </w:rPr>
      </w:pPr>
      <w:r>
        <w:rPr>
          <w:rFonts w:hint="eastAsia" w:ascii="宋体" w:hAnsi="宋体" w:cs="宋体"/>
          <w:color w:val="auto"/>
          <w:sz w:val="30"/>
          <w:szCs w:val="30"/>
          <w:lang w:val="en-US" w:eastAsia="zh-CN"/>
        </w:rPr>
        <w:t>3.</w:t>
      </w:r>
      <w:r>
        <w:rPr>
          <w:rFonts w:hint="eastAsia" w:ascii="宋体" w:hAnsi="宋体" w:eastAsia="宋体" w:cs="宋体"/>
          <w:color w:val="auto"/>
          <w:sz w:val="30"/>
          <w:szCs w:val="30"/>
        </w:rPr>
        <w:t>做好场馆设施的维护维修</w:t>
      </w:r>
      <w:r>
        <w:rPr>
          <w:rFonts w:hint="eastAsia" w:ascii="宋体" w:hAnsi="宋体" w:cs="宋体"/>
          <w:color w:val="auto"/>
          <w:sz w:val="30"/>
          <w:szCs w:val="30"/>
          <w:lang w:eastAsia="zh-CN"/>
        </w:rPr>
        <w:t>，</w:t>
      </w:r>
      <w:r>
        <w:rPr>
          <w:rFonts w:hint="eastAsia" w:ascii="宋体" w:hAnsi="宋体" w:eastAsia="宋体" w:cs="宋体"/>
          <w:color w:val="auto"/>
          <w:sz w:val="30"/>
          <w:szCs w:val="30"/>
        </w:rPr>
        <w:t>定期开展消防安全培训演练，定期开展安全隐患排查</w:t>
      </w:r>
      <w:r>
        <w:rPr>
          <w:rFonts w:hint="eastAsia" w:ascii="宋体" w:hAnsi="宋体" w:cs="宋体"/>
          <w:color w:val="auto"/>
          <w:sz w:val="30"/>
          <w:szCs w:val="30"/>
          <w:lang w:val="en-US" w:eastAsia="zh-CN"/>
        </w:rPr>
        <w:t>整治</w:t>
      </w:r>
      <w:r>
        <w:rPr>
          <w:rFonts w:hint="eastAsia" w:ascii="宋体" w:hAnsi="宋体" w:eastAsia="宋体" w:cs="宋体"/>
          <w:color w:val="auto"/>
          <w:sz w:val="30"/>
          <w:szCs w:val="30"/>
        </w:rPr>
        <w:t>。</w:t>
      </w:r>
    </w:p>
    <w:p>
      <w:pPr>
        <w:pStyle w:val="6"/>
        <w:keepNext w:val="0"/>
        <w:keepLines w:val="0"/>
        <w:pageBreakBefore w:val="0"/>
        <w:widowControl w:val="0"/>
        <w:kinsoku/>
        <w:wordWrap/>
        <w:overflowPunct/>
        <w:topLinePunct w:val="0"/>
        <w:autoSpaceDE w:val="0"/>
        <w:autoSpaceDN w:val="0"/>
        <w:bidi w:val="0"/>
        <w:adjustRightInd/>
        <w:snapToGrid/>
        <w:spacing w:before="300" w:after="120" w:afterLines="50" w:line="440" w:lineRule="exact"/>
        <w:ind w:firstLine="600" w:firstLineChars="200"/>
        <w:outlineLvl w:val="1"/>
        <w:rPr>
          <w:rFonts w:hint="eastAsia" w:ascii="黑体" w:hAnsi="黑体" w:eastAsia="黑体" w:cs="黑体"/>
          <w:b w:val="0"/>
          <w:bCs w:val="0"/>
          <w:color w:val="auto"/>
          <w:sz w:val="30"/>
          <w:szCs w:val="30"/>
        </w:rPr>
      </w:pPr>
      <w:bookmarkStart w:id="2" w:name="_Toc30432"/>
      <w:r>
        <w:rPr>
          <w:rFonts w:hint="eastAsia" w:ascii="黑体" w:hAnsi="黑体" w:eastAsia="黑体" w:cs="黑体"/>
          <w:b w:val="0"/>
          <w:bCs w:val="0"/>
          <w:color w:val="auto"/>
          <w:sz w:val="30"/>
          <w:szCs w:val="30"/>
        </w:rPr>
        <w:t>二、部门预算单位构成</w:t>
      </w:r>
      <w:bookmarkEnd w:id="2"/>
    </w:p>
    <w:p>
      <w:pPr>
        <w:pStyle w:val="6"/>
        <w:keepNext w:val="0"/>
        <w:keepLines w:val="0"/>
        <w:pageBreakBefore w:val="0"/>
        <w:widowControl w:val="0"/>
        <w:kinsoku/>
        <w:wordWrap/>
        <w:overflowPunct/>
        <w:topLinePunct w:val="0"/>
        <w:autoSpaceDE w:val="0"/>
        <w:autoSpaceDN w:val="0"/>
        <w:bidi w:val="0"/>
        <w:adjustRightInd/>
        <w:snapToGrid/>
        <w:spacing w:before="300" w:after="120" w:afterLines="50" w:line="440" w:lineRule="exact"/>
        <w:ind w:firstLine="1200" w:firstLineChars="400"/>
        <w:outlineLvl w:val="1"/>
        <w:rPr>
          <w:rFonts w:hint="eastAsia" w:ascii="宋体" w:hAnsi="宋体" w:eastAsia="宋体" w:cs="宋体"/>
          <w:color w:val="auto"/>
          <w:sz w:val="30"/>
          <w:szCs w:val="30"/>
          <w:lang w:val="en-US"/>
        </w:rPr>
      </w:pPr>
      <w:r>
        <w:rPr>
          <w:rFonts w:hint="eastAsia" w:ascii="宋体" w:hAnsi="宋体" w:eastAsia="宋体" w:cs="宋体"/>
          <w:color w:val="auto"/>
          <w:sz w:val="30"/>
          <w:szCs w:val="30"/>
          <w:lang w:val="en-US" w:eastAsia="zh-CN"/>
        </w:rPr>
        <w:t>体育中心</w:t>
      </w:r>
      <w:r>
        <w:rPr>
          <w:rFonts w:hint="eastAsia" w:ascii="宋体" w:hAnsi="宋体" w:eastAsia="宋体" w:cs="宋体"/>
          <w:color w:val="auto"/>
          <w:sz w:val="30"/>
          <w:szCs w:val="30"/>
          <w:lang w:val="en-US"/>
        </w:rPr>
        <w:t>无下属预算单位。</w:t>
      </w:r>
    </w:p>
    <w:p>
      <w:pPr>
        <w:pStyle w:val="6"/>
        <w:rPr>
          <w:rFonts w:ascii="宋体" w:hAnsi="宋体"/>
          <w:sz w:val="20"/>
        </w:rPr>
      </w:pPr>
      <w:bookmarkStart w:id="3" w:name="_Toc12069"/>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rPr>
          <w:rFonts w:ascii="宋体" w:hAnsi="宋体"/>
          <w:sz w:val="20"/>
        </w:rPr>
      </w:pPr>
    </w:p>
    <w:p>
      <w:pPr>
        <w:pStyle w:val="6"/>
        <w:numPr>
          <w:ilvl w:val="0"/>
          <w:numId w:val="3"/>
        </w:numPr>
        <w:jc w:val="center"/>
        <w:outlineLvl w:val="0"/>
        <w:rPr>
          <w:rFonts w:ascii="宋体" w:hAnsi="宋体" w:eastAsia="方正小标宋简体" w:cs="方正小标宋简体"/>
          <w:b/>
          <w:bCs/>
          <w:sz w:val="52"/>
          <w:szCs w:val="52"/>
          <w:lang w:val="en-US"/>
        </w:rPr>
      </w:pPr>
      <w:bookmarkStart w:id="4" w:name="_Toc28587"/>
      <w:r>
        <w:rPr>
          <w:rFonts w:hint="eastAsia" w:ascii="宋体" w:hAnsi="宋体" w:eastAsia="方正小标宋简体" w:cs="方正小标宋简体"/>
          <w:b/>
          <w:bCs/>
          <w:sz w:val="52"/>
          <w:szCs w:val="52"/>
          <w:lang w:val="en-US" w:eastAsia="zh-CN"/>
        </w:rPr>
        <w:t>五通桥区体育中心 2024</w:t>
      </w:r>
      <w:r>
        <w:rPr>
          <w:rFonts w:hint="eastAsia" w:ascii="宋体" w:hAnsi="宋体" w:eastAsia="方正小标宋简体" w:cs="方正小标宋简体"/>
          <w:b/>
          <w:bCs/>
          <w:sz w:val="52"/>
          <w:szCs w:val="52"/>
          <w:lang w:val="en-US"/>
        </w:rPr>
        <w:t>年部门预算表</w:t>
      </w:r>
      <w:bookmarkEnd w:id="4"/>
    </w:p>
    <w:p>
      <w:pPr>
        <w:rPr>
          <w:sz w:val="32"/>
          <w:lang w:val="en-US"/>
        </w:rPr>
      </w:pPr>
      <w:r>
        <w:rPr>
          <w:color w:val="333333"/>
        </w:rPr>
        <w:br w:type="page"/>
      </w:r>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33" w:name="_GoBack"/>
      <w:bookmarkEnd w:id="33"/>
      <w:r>
        <w:rPr>
          <w:rFonts w:hint="eastAsia" w:ascii="宋体" w:hAnsi="宋体"/>
          <w:color w:val="auto"/>
          <w:sz w:val="32"/>
          <w:lang w:val="en-US"/>
        </w:rPr>
        <w:t>一、部门收支总表（公开表 1）</w:t>
      </w:r>
      <w:bookmarkEnd w:id="3"/>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5" w:name="_Toc27995"/>
      <w:r>
        <w:rPr>
          <w:rFonts w:hint="eastAsia" w:ascii="宋体" w:hAnsi="宋体"/>
          <w:color w:val="auto"/>
          <w:sz w:val="32"/>
          <w:lang w:val="en-US"/>
        </w:rPr>
        <w:t>二、部门收入总表（公开表 1-1）</w:t>
      </w:r>
      <w:bookmarkEnd w:id="5"/>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6" w:name="_Toc3639"/>
      <w:r>
        <w:rPr>
          <w:rFonts w:hint="eastAsia" w:ascii="宋体" w:hAnsi="宋体"/>
          <w:color w:val="auto"/>
          <w:sz w:val="32"/>
          <w:lang w:val="en-US"/>
        </w:rPr>
        <w:t>三、部门支出总表（公开表 1-2）</w:t>
      </w:r>
      <w:bookmarkEnd w:id="6"/>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7" w:name="_Toc25815"/>
      <w:r>
        <w:rPr>
          <w:rFonts w:hint="eastAsia" w:ascii="宋体" w:hAnsi="宋体"/>
          <w:color w:val="auto"/>
          <w:sz w:val="32"/>
          <w:lang w:val="en-US"/>
        </w:rPr>
        <w:t>四、财政拨款收支预算总表（公开表 2）</w:t>
      </w:r>
      <w:bookmarkEnd w:id="7"/>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8" w:name="_Toc4686"/>
      <w:r>
        <w:rPr>
          <w:rFonts w:hint="eastAsia" w:ascii="宋体" w:hAnsi="宋体"/>
          <w:color w:val="auto"/>
          <w:sz w:val="32"/>
          <w:lang w:val="en-US"/>
        </w:rPr>
        <w:t>五、财政拨款支出预算表（部门经济分类科目）</w:t>
      </w:r>
      <w:bookmarkEnd w:id="8"/>
    </w:p>
    <w:p>
      <w:pPr>
        <w:pStyle w:val="14"/>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2-1）</w:t>
      </w:r>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9" w:name="_Toc7952"/>
      <w:r>
        <w:rPr>
          <w:rFonts w:hint="eastAsia" w:ascii="宋体" w:hAnsi="宋体"/>
          <w:color w:val="auto"/>
          <w:sz w:val="32"/>
          <w:lang w:val="en-US"/>
        </w:rPr>
        <w:t>六、一般公共预算支出预算表（公开表 3）</w:t>
      </w:r>
      <w:bookmarkEnd w:id="9"/>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10" w:name="_Toc32200"/>
      <w:r>
        <w:rPr>
          <w:rFonts w:hint="eastAsia" w:ascii="宋体" w:hAnsi="宋体"/>
          <w:color w:val="auto"/>
          <w:sz w:val="32"/>
          <w:lang w:val="en-US"/>
        </w:rPr>
        <w:t>七、一般公共预算基本支出预算表（公开表 3-1）</w:t>
      </w:r>
      <w:bookmarkEnd w:id="10"/>
      <w:r>
        <w:rPr>
          <w:rFonts w:hint="eastAsia" w:ascii="宋体" w:hAnsi="宋体"/>
          <w:color w:val="auto"/>
          <w:sz w:val="32"/>
          <w:lang w:val="en-US"/>
        </w:rPr>
        <w:t xml:space="preserve"> </w:t>
      </w:r>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11" w:name="_Toc17751"/>
      <w:r>
        <w:rPr>
          <w:rFonts w:hint="eastAsia" w:ascii="宋体" w:hAnsi="宋体"/>
          <w:color w:val="auto"/>
          <w:sz w:val="32"/>
          <w:lang w:val="en-US"/>
        </w:rPr>
        <w:t>八、一般公共预算项目支出预算表（公开表 3-2）</w:t>
      </w:r>
      <w:bookmarkEnd w:id="11"/>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12" w:name="_Toc11119"/>
      <w:r>
        <w:rPr>
          <w:rFonts w:hint="eastAsia" w:ascii="宋体" w:hAnsi="宋体"/>
          <w:color w:val="auto"/>
          <w:sz w:val="32"/>
          <w:lang w:val="en-US"/>
        </w:rPr>
        <w:t>九、一般公共预算“三公”经费支出预算表</w:t>
      </w:r>
      <w:bookmarkEnd w:id="12"/>
    </w:p>
    <w:p>
      <w:pPr>
        <w:pStyle w:val="14"/>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 xml:space="preserve">（公开表 3-3） </w:t>
      </w:r>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13" w:name="_Toc19211"/>
      <w:r>
        <w:rPr>
          <w:rFonts w:hint="eastAsia" w:ascii="宋体" w:hAnsi="宋体"/>
          <w:color w:val="auto"/>
          <w:sz w:val="32"/>
          <w:lang w:val="en-US"/>
        </w:rPr>
        <w:t>十、政府性基金预算支出表（公开表 4）</w:t>
      </w:r>
      <w:bookmarkEnd w:id="13"/>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14" w:name="_Toc7676"/>
      <w:r>
        <w:rPr>
          <w:rFonts w:hint="eastAsia" w:ascii="宋体" w:hAnsi="宋体"/>
          <w:color w:val="auto"/>
          <w:sz w:val="32"/>
          <w:lang w:val="en-US"/>
        </w:rPr>
        <w:t>十一、政府性基金预算“三公”经费支出预算表</w:t>
      </w:r>
      <w:bookmarkEnd w:id="14"/>
    </w:p>
    <w:p>
      <w:pPr>
        <w:pStyle w:val="14"/>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4-1）</w:t>
      </w:r>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15" w:name="_Toc22917"/>
      <w:r>
        <w:rPr>
          <w:rFonts w:hint="eastAsia" w:ascii="宋体" w:hAnsi="宋体"/>
          <w:color w:val="auto"/>
          <w:sz w:val="32"/>
          <w:lang w:val="en-US"/>
        </w:rPr>
        <w:t>十二、国有资本经营预算支出表（公开表 5）</w:t>
      </w:r>
      <w:bookmarkEnd w:id="15"/>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16" w:name="_Toc27847"/>
      <w:r>
        <w:rPr>
          <w:rFonts w:hint="eastAsia" w:ascii="宋体" w:hAnsi="宋体"/>
          <w:color w:val="auto"/>
          <w:sz w:val="32"/>
          <w:lang w:val="en-US"/>
        </w:rPr>
        <w:t>十三、部门整体支出绩效目标表（公开表 6）</w:t>
      </w:r>
      <w:bookmarkEnd w:id="16"/>
      <w:r>
        <w:rPr>
          <w:rFonts w:hint="eastAsia" w:ascii="宋体" w:hAnsi="宋体"/>
          <w:color w:val="auto"/>
          <w:sz w:val="32"/>
          <w:lang w:val="en-US"/>
        </w:rPr>
        <w:t xml:space="preserve"> </w:t>
      </w:r>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17" w:name="_Toc30878"/>
      <w:r>
        <w:rPr>
          <w:rFonts w:hint="eastAsia" w:ascii="宋体" w:hAnsi="宋体"/>
          <w:color w:val="auto"/>
          <w:sz w:val="32"/>
          <w:lang w:val="en-US"/>
        </w:rPr>
        <w:t>十四、部门预算项目支出绩效目标表（公开表 7）</w:t>
      </w:r>
      <w:bookmarkEnd w:id="17"/>
    </w:p>
    <w:p>
      <w:pPr>
        <w:pStyle w:val="14"/>
        <w:tabs>
          <w:tab w:val="left" w:pos="1784"/>
        </w:tabs>
        <w:spacing w:line="700" w:lineRule="exact"/>
        <w:ind w:left="660" w:leftChars="300" w:right="660" w:rightChars="300" w:firstLine="0"/>
        <w:jc w:val="left"/>
        <w:outlineLvl w:val="1"/>
        <w:rPr>
          <w:rFonts w:ascii="宋体" w:hAnsi="宋体"/>
          <w:color w:val="auto"/>
          <w:sz w:val="32"/>
          <w:lang w:val="en-US"/>
        </w:rPr>
      </w:pPr>
      <w:bookmarkStart w:id="18" w:name="_Toc32437"/>
      <w:r>
        <w:rPr>
          <w:rFonts w:hint="eastAsia" w:ascii="宋体" w:hAnsi="宋体"/>
          <w:color w:val="auto"/>
          <w:sz w:val="32"/>
          <w:lang w:val="en-US"/>
        </w:rPr>
        <w:t>十五、政府采购预算表（公开表 8）</w:t>
      </w:r>
      <w:bookmarkEnd w:id="18"/>
    </w:p>
    <w:p>
      <w:pPr>
        <w:pStyle w:val="14"/>
        <w:tabs>
          <w:tab w:val="left" w:pos="1784"/>
        </w:tabs>
        <w:spacing w:line="700" w:lineRule="exact"/>
        <w:ind w:left="660" w:leftChars="300" w:right="660" w:rightChars="300" w:firstLine="0"/>
        <w:jc w:val="left"/>
        <w:outlineLvl w:val="1"/>
        <w:rPr>
          <w:rFonts w:ascii="宋体" w:hAnsi="宋体"/>
          <w:b/>
          <w:bCs/>
          <w:color w:val="auto"/>
          <w:sz w:val="32"/>
          <w:lang w:val="en-US"/>
        </w:rPr>
      </w:pPr>
      <w:bookmarkStart w:id="19" w:name="_Toc16458"/>
      <w:r>
        <w:rPr>
          <w:rFonts w:hint="eastAsia" w:ascii="宋体" w:hAnsi="宋体"/>
          <w:b/>
          <w:bCs/>
          <w:color w:val="auto"/>
          <w:sz w:val="32"/>
          <w:lang w:val="en-US"/>
        </w:rPr>
        <w:t>以上所有表格详见部门说明后附件。</w:t>
      </w:r>
      <w:bookmarkEnd w:id="19"/>
    </w:p>
    <w:p>
      <w:pPr>
        <w:rPr>
          <w:color w:val="auto"/>
          <w:sz w:val="20"/>
        </w:rPr>
      </w:pPr>
      <w:r>
        <w:rPr>
          <w:color w:val="auto"/>
          <w:sz w:val="20"/>
        </w:rPr>
        <w:br w:type="page"/>
      </w: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numPr>
          <w:ilvl w:val="0"/>
          <w:numId w:val="3"/>
        </w:numPr>
        <w:spacing w:before="6"/>
        <w:jc w:val="center"/>
        <w:outlineLvl w:val="0"/>
        <w:rPr>
          <w:rFonts w:ascii="宋体" w:hAnsi="宋体" w:eastAsia="方正小标宋简体" w:cs="方正小标宋简体"/>
          <w:color w:val="auto"/>
          <w:sz w:val="52"/>
          <w:szCs w:val="52"/>
          <w:lang w:val="en-US"/>
        </w:rPr>
      </w:pPr>
      <w:bookmarkStart w:id="20" w:name="_Toc19948"/>
      <w:r>
        <w:rPr>
          <w:rFonts w:hint="eastAsia" w:ascii="宋体" w:hAnsi="宋体" w:eastAsia="方正小标宋简体" w:cs="方正小标宋简体"/>
          <w:color w:val="auto"/>
          <w:sz w:val="52"/>
          <w:szCs w:val="52"/>
          <w:lang w:val="en-US" w:eastAsia="zh-CN"/>
        </w:rPr>
        <w:t>五通桥区体育中心 2024</w:t>
      </w:r>
      <w:r>
        <w:rPr>
          <w:rFonts w:hint="eastAsia" w:ascii="宋体" w:hAnsi="宋体" w:eastAsia="方正小标宋简体" w:cs="方正小标宋简体"/>
          <w:color w:val="auto"/>
          <w:sz w:val="52"/>
          <w:szCs w:val="52"/>
          <w:lang w:val="en-US"/>
        </w:rPr>
        <w:t>年</w:t>
      </w:r>
      <w:bookmarkEnd w:id="20"/>
    </w:p>
    <w:p>
      <w:pPr>
        <w:pStyle w:val="6"/>
        <w:spacing w:before="6"/>
        <w:jc w:val="center"/>
        <w:outlineLvl w:val="1"/>
        <w:rPr>
          <w:rFonts w:ascii="宋体" w:hAnsi="宋体"/>
          <w:color w:val="auto"/>
          <w:sz w:val="20"/>
          <w:lang w:val="en-US"/>
        </w:rPr>
        <w:sectPr>
          <w:headerReference r:id="rId7" w:type="default"/>
          <w:pgSz w:w="11910" w:h="16840"/>
          <w:pgMar w:top="1587" w:right="964" w:bottom="1701" w:left="1134" w:header="737" w:footer="737" w:gutter="0"/>
          <w:cols w:space="0" w:num="1"/>
        </w:sectPr>
      </w:pPr>
      <w:bookmarkStart w:id="21" w:name="_Toc1047"/>
      <w:r>
        <w:rPr>
          <w:rFonts w:hint="eastAsia" w:ascii="宋体" w:hAnsi="宋体" w:eastAsia="方正小标宋简体" w:cs="方正小标宋简体"/>
          <w:color w:val="auto"/>
          <w:sz w:val="52"/>
          <w:szCs w:val="52"/>
          <w:lang w:val="en-US"/>
        </w:rPr>
        <w:t>部门预算情况说明</w:t>
      </w:r>
      <w:bookmarkEnd w:id="21"/>
    </w:p>
    <w:p>
      <w:pPr>
        <w:pStyle w:val="6"/>
        <w:spacing w:before="40" w:after="120" w:afterLines="50" w:line="360" w:lineRule="auto"/>
        <w:rPr>
          <w:rFonts w:asciiTheme="majorEastAsia" w:hAnsiTheme="majorEastAsia" w:eastAsiaTheme="majorEastAsia"/>
          <w:color w:val="auto"/>
        </w:rPr>
      </w:pPr>
    </w:p>
    <w:p>
      <w:pPr>
        <w:pStyle w:val="6"/>
        <w:spacing w:before="300" w:after="120" w:afterLines="50" w:line="360" w:lineRule="auto"/>
        <w:ind w:firstLine="640" w:firstLineChars="200"/>
        <w:outlineLvl w:val="1"/>
        <w:rPr>
          <w:rFonts w:asciiTheme="majorEastAsia" w:hAnsiTheme="majorEastAsia" w:eastAsiaTheme="majorEastAsia"/>
          <w:color w:val="auto"/>
        </w:rPr>
      </w:pPr>
      <w:bookmarkStart w:id="22" w:name="_Toc1746"/>
      <w:r>
        <w:rPr>
          <w:rFonts w:hint="eastAsia" w:asciiTheme="majorEastAsia" w:hAnsiTheme="majorEastAsia" w:eastAsiaTheme="majorEastAsia"/>
          <w:color w:val="auto"/>
        </w:rPr>
        <w:t>一、收支预算情况说明</w:t>
      </w:r>
    </w:p>
    <w:p>
      <w:pPr>
        <w:pStyle w:val="6"/>
        <w:spacing w:before="300" w:after="120" w:afterLines="50" w:line="360" w:lineRule="auto"/>
        <w:ind w:firstLine="640" w:firstLineChars="200"/>
        <w:outlineLvl w:val="1"/>
        <w:rPr>
          <w:rFonts w:hint="default" w:asciiTheme="majorEastAsia" w:hAnsiTheme="majorEastAsia" w:eastAsiaTheme="majorEastAsia"/>
          <w:color w:val="auto"/>
          <w:lang w:val="en-US" w:eastAsia="zh-CN"/>
        </w:rPr>
      </w:pPr>
      <w:r>
        <w:rPr>
          <w:rFonts w:hint="eastAsia" w:asciiTheme="majorEastAsia" w:hAnsiTheme="majorEastAsia" w:eastAsiaTheme="majorEastAsia"/>
          <w:color w:val="auto"/>
        </w:rPr>
        <w:t>按照综合预算的原则，乐山市</w:t>
      </w:r>
      <w:r>
        <w:rPr>
          <w:rFonts w:hint="eastAsia" w:asciiTheme="majorEastAsia" w:hAnsiTheme="majorEastAsia" w:eastAsiaTheme="majorEastAsia"/>
          <w:color w:val="auto"/>
          <w:lang w:eastAsia="zh-CN"/>
        </w:rPr>
        <w:t>五通桥区体育中心</w:t>
      </w:r>
      <w:r>
        <w:rPr>
          <w:rFonts w:hint="eastAsia" w:asciiTheme="majorEastAsia" w:hAnsiTheme="majorEastAsia" w:eastAsiaTheme="majorEastAsia"/>
          <w:color w:val="auto"/>
        </w:rPr>
        <w:t>所有收入和支出均纳入部门预算管理。收入包括：一般公共预算拨款收入</w:t>
      </w:r>
      <w:r>
        <w:rPr>
          <w:rFonts w:asciiTheme="majorEastAsia" w:hAnsiTheme="majorEastAsia" w:eastAsiaTheme="majorEastAsia"/>
          <w:color w:val="auto"/>
        </w:rPr>
        <w:t xml:space="preserve"> ；支出包括：文化旅游体育与传媒支出、社会保障和就业支出、卫生健康支出、住房保障支出。</w:t>
      </w:r>
      <w:r>
        <w:rPr>
          <w:rFonts w:hint="eastAsia" w:asciiTheme="majorEastAsia" w:hAnsiTheme="majorEastAsia" w:eastAsiaTheme="majorEastAsia"/>
          <w:color w:val="auto"/>
        </w:rPr>
        <w:t>乐山市</w:t>
      </w:r>
      <w:r>
        <w:rPr>
          <w:rFonts w:hint="eastAsia" w:asciiTheme="majorEastAsia" w:hAnsiTheme="majorEastAsia" w:eastAsiaTheme="majorEastAsia"/>
          <w:color w:val="auto"/>
          <w:lang w:eastAsia="zh-CN"/>
        </w:rPr>
        <w:t>五通桥区体育中心2024</w:t>
      </w:r>
      <w:r>
        <w:rPr>
          <w:rFonts w:asciiTheme="majorEastAsia" w:hAnsiTheme="majorEastAsia" w:eastAsiaTheme="majorEastAsia"/>
          <w:color w:val="auto"/>
        </w:rPr>
        <w:t>年收支预算总数</w:t>
      </w:r>
      <w:r>
        <w:rPr>
          <w:rFonts w:hint="eastAsia" w:asciiTheme="majorEastAsia" w:hAnsiTheme="majorEastAsia" w:eastAsiaTheme="majorEastAsia"/>
          <w:color w:val="auto"/>
          <w:lang w:val="en-US" w:eastAsia="zh-CN"/>
        </w:rPr>
        <w:t>39.34</w:t>
      </w:r>
      <w:r>
        <w:rPr>
          <w:rFonts w:asciiTheme="majorEastAsia" w:hAnsiTheme="majorEastAsia" w:eastAsiaTheme="majorEastAsia"/>
          <w:color w:val="auto"/>
        </w:rPr>
        <w:t>万元，比</w:t>
      </w:r>
      <w:r>
        <w:rPr>
          <w:rFonts w:hint="eastAsia" w:asciiTheme="majorEastAsia" w:hAnsiTheme="majorEastAsia" w:eastAsiaTheme="majorEastAsia"/>
          <w:color w:val="auto"/>
          <w:lang w:eastAsia="zh-CN"/>
        </w:rPr>
        <w:t>2023</w:t>
      </w:r>
      <w:r>
        <w:rPr>
          <w:rFonts w:asciiTheme="majorEastAsia" w:hAnsiTheme="majorEastAsia" w:eastAsiaTheme="majorEastAsia"/>
          <w:color w:val="auto"/>
        </w:rPr>
        <w:t>年收支预算总数</w:t>
      </w:r>
      <w:r>
        <w:rPr>
          <w:rFonts w:hint="eastAsia" w:asciiTheme="majorEastAsia" w:hAnsiTheme="majorEastAsia" w:eastAsiaTheme="majorEastAsia"/>
          <w:color w:val="auto"/>
          <w:lang w:val="en-US" w:eastAsia="zh-CN"/>
        </w:rPr>
        <w:t>0</w:t>
      </w:r>
      <w:r>
        <w:rPr>
          <w:rFonts w:asciiTheme="majorEastAsia" w:hAnsiTheme="majorEastAsia" w:eastAsiaTheme="majorEastAsia"/>
          <w:color w:val="auto"/>
        </w:rPr>
        <w:t>万元</w:t>
      </w:r>
      <w:r>
        <w:rPr>
          <w:rFonts w:hint="eastAsia" w:asciiTheme="majorEastAsia" w:hAnsiTheme="majorEastAsia" w:eastAsiaTheme="majorEastAsia"/>
          <w:color w:val="auto"/>
          <w:lang w:eastAsia="zh-CN"/>
        </w:rPr>
        <w:t>增加39.34万元</w:t>
      </w:r>
      <w:r>
        <w:rPr>
          <w:rFonts w:asciiTheme="majorEastAsia" w:hAnsiTheme="majorEastAsia" w:eastAsiaTheme="majorEastAsia"/>
          <w:color w:val="auto"/>
        </w:rPr>
        <w:t>。主要原因是：</w:t>
      </w:r>
      <w:r>
        <w:rPr>
          <w:rFonts w:hint="eastAsia" w:asciiTheme="majorEastAsia" w:hAnsiTheme="majorEastAsia" w:eastAsiaTheme="majorEastAsia"/>
          <w:color w:val="auto"/>
          <w:lang w:eastAsia="zh-CN"/>
        </w:rPr>
        <w:t>本单位为</w:t>
      </w:r>
      <w:r>
        <w:rPr>
          <w:rFonts w:hint="eastAsia" w:asciiTheme="majorEastAsia" w:hAnsiTheme="majorEastAsia" w:eastAsiaTheme="majorEastAsia"/>
          <w:color w:val="auto"/>
          <w:lang w:val="en-US" w:eastAsia="zh-CN"/>
        </w:rPr>
        <w:t>本年新增单位。</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（一）收入预算情况</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w:t>
      </w:r>
      <w:r>
        <w:rPr>
          <w:rFonts w:hint="eastAsia" w:asciiTheme="majorEastAsia" w:hAnsiTheme="majorEastAsia" w:eastAsiaTheme="majorEastAsia"/>
          <w:color w:val="auto"/>
          <w:lang w:eastAsia="zh-CN"/>
        </w:rPr>
        <w:t>五通桥区体育中心2024</w:t>
      </w:r>
      <w:r>
        <w:rPr>
          <w:rFonts w:asciiTheme="majorEastAsia" w:hAnsiTheme="majorEastAsia" w:eastAsiaTheme="majorEastAsia"/>
          <w:color w:val="auto"/>
        </w:rPr>
        <w:t>收入预算</w:t>
      </w:r>
      <w:r>
        <w:rPr>
          <w:rFonts w:hint="eastAsia" w:asciiTheme="majorEastAsia" w:hAnsiTheme="majorEastAsia" w:eastAsiaTheme="majorEastAsia"/>
          <w:color w:val="auto"/>
          <w:lang w:eastAsia="zh-CN"/>
        </w:rPr>
        <w:t>39.34</w:t>
      </w:r>
      <w:r>
        <w:rPr>
          <w:rFonts w:asciiTheme="majorEastAsia" w:hAnsiTheme="majorEastAsia" w:eastAsiaTheme="majorEastAsia"/>
          <w:color w:val="auto"/>
        </w:rPr>
        <w:t>万元，其中：上年结转0万元，占0%；一般公共预算拨款收入</w:t>
      </w:r>
      <w:r>
        <w:rPr>
          <w:rFonts w:hint="eastAsia" w:asciiTheme="majorEastAsia" w:hAnsiTheme="majorEastAsia" w:eastAsiaTheme="majorEastAsia"/>
          <w:color w:val="auto"/>
          <w:lang w:eastAsia="zh-CN"/>
        </w:rPr>
        <w:t>39.34</w:t>
      </w:r>
      <w:r>
        <w:rPr>
          <w:rFonts w:asciiTheme="majorEastAsia" w:hAnsiTheme="majorEastAsia" w:eastAsiaTheme="majorEastAsia"/>
          <w:color w:val="auto"/>
        </w:rPr>
        <w:t>万元,占100%；政府性基金预算拨款收入0万元,占0%；国有资本经营预算拨款收入0万元,占0%；事业收入0万元,占0%；事业单位经营收入0万元,占0%；其他收入0万元,占0%；</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（二）支出预算情况</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w:t>
      </w:r>
      <w:r>
        <w:rPr>
          <w:rFonts w:hint="eastAsia" w:asciiTheme="majorEastAsia" w:hAnsiTheme="majorEastAsia" w:eastAsiaTheme="majorEastAsia"/>
          <w:color w:val="auto"/>
          <w:lang w:eastAsia="zh-CN"/>
        </w:rPr>
        <w:t>五通桥区体育中心2024</w:t>
      </w:r>
      <w:r>
        <w:rPr>
          <w:rFonts w:asciiTheme="majorEastAsia" w:hAnsiTheme="majorEastAsia" w:eastAsiaTheme="majorEastAsia"/>
          <w:color w:val="auto"/>
        </w:rPr>
        <w:t>年收入预算</w:t>
      </w:r>
      <w:r>
        <w:rPr>
          <w:rFonts w:hint="eastAsia" w:asciiTheme="majorEastAsia" w:hAnsiTheme="majorEastAsia" w:eastAsiaTheme="majorEastAsia"/>
          <w:color w:val="auto"/>
          <w:lang w:eastAsia="zh-CN"/>
        </w:rPr>
        <w:t>39.34</w:t>
      </w:r>
      <w:r>
        <w:rPr>
          <w:rFonts w:asciiTheme="majorEastAsia" w:hAnsiTheme="majorEastAsia" w:eastAsiaTheme="majorEastAsia"/>
          <w:color w:val="auto"/>
        </w:rPr>
        <w:t>万元，其中：人员支出</w:t>
      </w:r>
      <w:r>
        <w:rPr>
          <w:rFonts w:hint="eastAsia" w:asciiTheme="majorEastAsia" w:hAnsiTheme="majorEastAsia" w:eastAsiaTheme="majorEastAsia"/>
          <w:color w:val="auto"/>
          <w:lang w:eastAsia="zh-CN"/>
        </w:rPr>
        <w:t>37.94</w:t>
      </w:r>
      <w:r>
        <w:rPr>
          <w:rFonts w:asciiTheme="majorEastAsia" w:hAnsiTheme="majorEastAsia" w:eastAsiaTheme="majorEastAsia"/>
          <w:color w:val="auto"/>
        </w:rPr>
        <w:t>万元，日常公用支出</w:t>
      </w:r>
      <w:r>
        <w:rPr>
          <w:rFonts w:hint="eastAsia" w:asciiTheme="majorEastAsia" w:hAnsiTheme="majorEastAsia" w:eastAsiaTheme="majorEastAsia"/>
          <w:color w:val="auto"/>
          <w:lang w:eastAsia="zh-CN"/>
        </w:rPr>
        <w:t>1.4</w:t>
      </w:r>
      <w:r>
        <w:rPr>
          <w:rFonts w:asciiTheme="majorEastAsia" w:hAnsiTheme="majorEastAsia" w:eastAsiaTheme="majorEastAsia"/>
          <w:color w:val="auto"/>
        </w:rPr>
        <w:t>万元，专项（项目）支出0万元。</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二、财政拨款收支预算情况说明</w:t>
      </w:r>
    </w:p>
    <w:p>
      <w:pPr>
        <w:pStyle w:val="6"/>
        <w:spacing w:before="300" w:after="120" w:afterLines="50" w:line="360" w:lineRule="auto"/>
        <w:ind w:firstLine="640" w:firstLineChars="200"/>
        <w:outlineLvl w:val="1"/>
        <w:rPr>
          <w:rFonts w:hint="eastAsia" w:asciiTheme="majorEastAsia" w:hAnsiTheme="majorEastAsia" w:eastAsiaTheme="majorEastAsia"/>
          <w:color w:val="auto"/>
          <w:lang w:val="en-US" w:eastAsia="zh-CN"/>
        </w:rPr>
      </w:pPr>
      <w:r>
        <w:rPr>
          <w:rFonts w:hint="eastAsia" w:asciiTheme="majorEastAsia" w:hAnsiTheme="majorEastAsia" w:eastAsiaTheme="majorEastAsia"/>
          <w:color w:val="auto"/>
        </w:rPr>
        <w:t>乐山市</w:t>
      </w:r>
      <w:r>
        <w:rPr>
          <w:rFonts w:hint="eastAsia" w:asciiTheme="majorEastAsia" w:hAnsiTheme="majorEastAsia" w:eastAsiaTheme="majorEastAsia"/>
          <w:color w:val="auto"/>
          <w:lang w:eastAsia="zh-CN"/>
        </w:rPr>
        <w:t>五通桥区体育中心2024</w:t>
      </w:r>
      <w:r>
        <w:rPr>
          <w:rFonts w:asciiTheme="majorEastAsia" w:hAnsiTheme="majorEastAsia" w:eastAsiaTheme="majorEastAsia"/>
          <w:color w:val="auto"/>
        </w:rPr>
        <w:t>年财政拨款收支预算总数</w:t>
      </w:r>
      <w:r>
        <w:rPr>
          <w:rFonts w:hint="eastAsia" w:asciiTheme="majorEastAsia" w:hAnsiTheme="majorEastAsia" w:eastAsiaTheme="majorEastAsia"/>
          <w:color w:val="auto"/>
          <w:lang w:eastAsia="zh-CN"/>
        </w:rPr>
        <w:t>39.34</w:t>
      </w:r>
      <w:r>
        <w:rPr>
          <w:rFonts w:asciiTheme="majorEastAsia" w:hAnsiTheme="majorEastAsia" w:eastAsiaTheme="majorEastAsia"/>
          <w:color w:val="auto"/>
        </w:rPr>
        <w:t>万元,比</w:t>
      </w:r>
      <w:r>
        <w:rPr>
          <w:rFonts w:hint="eastAsia" w:asciiTheme="majorEastAsia" w:hAnsiTheme="majorEastAsia" w:eastAsiaTheme="majorEastAsia"/>
          <w:color w:val="auto"/>
          <w:lang w:eastAsia="zh-CN"/>
        </w:rPr>
        <w:t>2023</w:t>
      </w:r>
      <w:r>
        <w:rPr>
          <w:rFonts w:asciiTheme="majorEastAsia" w:hAnsiTheme="majorEastAsia" w:eastAsiaTheme="majorEastAsia"/>
          <w:color w:val="auto"/>
        </w:rPr>
        <w:t>年财政拨款收支预算总数</w:t>
      </w:r>
      <w:r>
        <w:rPr>
          <w:rFonts w:hint="eastAsia" w:asciiTheme="majorEastAsia" w:hAnsiTheme="majorEastAsia" w:eastAsiaTheme="majorEastAsia"/>
          <w:color w:val="auto"/>
          <w:lang w:val="en-US" w:eastAsia="zh-CN"/>
        </w:rPr>
        <w:t>0</w:t>
      </w:r>
      <w:r>
        <w:rPr>
          <w:rFonts w:asciiTheme="majorEastAsia" w:hAnsiTheme="majorEastAsia" w:eastAsiaTheme="majorEastAsia"/>
          <w:color w:val="auto"/>
        </w:rPr>
        <w:t>万元</w:t>
      </w:r>
      <w:r>
        <w:rPr>
          <w:rFonts w:hint="eastAsia" w:asciiTheme="majorEastAsia" w:hAnsiTheme="majorEastAsia" w:eastAsiaTheme="majorEastAsia"/>
          <w:color w:val="auto"/>
          <w:lang w:eastAsia="zh-CN"/>
        </w:rPr>
        <w:t>增加39.34万元</w:t>
      </w:r>
      <w:r>
        <w:rPr>
          <w:rFonts w:asciiTheme="majorEastAsia" w:hAnsiTheme="majorEastAsia" w:eastAsiaTheme="majorEastAsia"/>
          <w:color w:val="auto"/>
        </w:rPr>
        <w:t>。主要原因：</w:t>
      </w:r>
      <w:r>
        <w:rPr>
          <w:rFonts w:hint="eastAsia" w:asciiTheme="majorEastAsia" w:hAnsiTheme="majorEastAsia" w:eastAsiaTheme="majorEastAsia"/>
          <w:color w:val="auto"/>
          <w:lang w:val="en-US" w:eastAsia="zh-CN"/>
        </w:rPr>
        <w:t>本单位为本年新增单位。</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其中：基本支出</w:t>
      </w:r>
      <w:r>
        <w:rPr>
          <w:rFonts w:hint="eastAsia" w:asciiTheme="majorEastAsia" w:hAnsiTheme="majorEastAsia" w:eastAsiaTheme="majorEastAsia"/>
          <w:color w:val="auto"/>
          <w:lang w:val="en-US" w:eastAsia="zh-CN"/>
        </w:rPr>
        <w:t>39.34</w:t>
      </w:r>
      <w:r>
        <w:rPr>
          <w:rFonts w:asciiTheme="majorEastAsia" w:hAnsiTheme="majorEastAsia" w:eastAsiaTheme="majorEastAsia"/>
          <w:color w:val="auto"/>
        </w:rPr>
        <w:t>万元，占100%；项目支出0万元，占0%。</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基本支出，是用于保障乐山市</w:t>
      </w:r>
      <w:r>
        <w:rPr>
          <w:rFonts w:hint="eastAsia" w:asciiTheme="majorEastAsia" w:hAnsiTheme="majorEastAsia" w:eastAsiaTheme="majorEastAsia"/>
          <w:color w:val="auto"/>
          <w:lang w:eastAsia="zh-CN"/>
        </w:rPr>
        <w:t>五通桥区体育中心</w:t>
      </w:r>
      <w:r>
        <w:rPr>
          <w:rFonts w:hint="eastAsia" w:asciiTheme="majorEastAsia" w:hAnsiTheme="majorEastAsia" w:eastAsiaTheme="majorEastAsia"/>
          <w:color w:val="auto"/>
        </w:rPr>
        <w:t>正常运转的日常支出，包括基本工资、津贴补贴等人员经费以及办公费、印刷费、水电费、办公设备购置等日常公用经费。</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项目支出</w:t>
      </w:r>
      <w:r>
        <w:rPr>
          <w:rFonts w:hint="eastAsia" w:asciiTheme="majorEastAsia" w:hAnsiTheme="majorEastAsia" w:eastAsiaTheme="majorEastAsia"/>
          <w:color w:val="auto"/>
          <w:lang w:val="en-US" w:eastAsia="zh-CN"/>
        </w:rPr>
        <w:t>为0。</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三、一般公共预算当年拨款情况说明</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（一）一般公共预算当年拨款规模变化情况</w:t>
      </w:r>
    </w:p>
    <w:p>
      <w:pPr>
        <w:pStyle w:val="6"/>
        <w:spacing w:before="300" w:after="120" w:afterLines="50" w:line="360" w:lineRule="auto"/>
        <w:ind w:firstLine="640" w:firstLineChars="200"/>
        <w:outlineLvl w:val="1"/>
        <w:rPr>
          <w:rFonts w:hint="default" w:asciiTheme="majorEastAsia" w:hAnsiTheme="majorEastAsia" w:eastAsiaTheme="majorEastAsia"/>
          <w:color w:val="auto"/>
          <w:lang w:val="en-US" w:eastAsia="zh-CN"/>
        </w:rPr>
      </w:pPr>
      <w:r>
        <w:rPr>
          <w:rFonts w:hint="eastAsia" w:asciiTheme="majorEastAsia" w:hAnsiTheme="majorEastAsia" w:eastAsiaTheme="majorEastAsia"/>
          <w:color w:val="auto"/>
        </w:rPr>
        <w:t>乐山市</w:t>
      </w:r>
      <w:r>
        <w:rPr>
          <w:rFonts w:hint="eastAsia" w:asciiTheme="majorEastAsia" w:hAnsiTheme="majorEastAsia" w:eastAsiaTheme="majorEastAsia"/>
          <w:color w:val="auto"/>
          <w:lang w:eastAsia="zh-CN"/>
        </w:rPr>
        <w:t>五通桥区体育中心</w:t>
      </w:r>
      <w:r>
        <w:rPr>
          <w:rFonts w:hint="eastAsia" w:asciiTheme="majorEastAsia" w:hAnsiTheme="majorEastAsia" w:eastAsiaTheme="majorEastAsia"/>
          <w:color w:val="auto"/>
          <w:lang w:val="en-US" w:eastAsia="zh-CN"/>
        </w:rPr>
        <w:t>2024</w:t>
      </w:r>
      <w:r>
        <w:rPr>
          <w:rFonts w:hint="eastAsia" w:asciiTheme="majorEastAsia" w:hAnsiTheme="majorEastAsia" w:eastAsiaTheme="majorEastAsia"/>
          <w:color w:val="auto"/>
        </w:rPr>
        <w:t>年一</w:t>
      </w:r>
      <w:r>
        <w:rPr>
          <w:rFonts w:asciiTheme="majorEastAsia" w:hAnsiTheme="majorEastAsia" w:eastAsiaTheme="majorEastAsia"/>
          <w:color w:val="auto"/>
        </w:rPr>
        <w:t>般公共预算当年拨款</w:t>
      </w:r>
      <w:r>
        <w:rPr>
          <w:rFonts w:hint="eastAsia" w:asciiTheme="majorEastAsia" w:hAnsiTheme="majorEastAsia" w:eastAsiaTheme="majorEastAsia"/>
          <w:color w:val="auto"/>
          <w:lang w:eastAsia="zh-CN"/>
        </w:rPr>
        <w:t>39.34</w:t>
      </w:r>
      <w:r>
        <w:rPr>
          <w:rFonts w:asciiTheme="majorEastAsia" w:hAnsiTheme="majorEastAsia" w:eastAsiaTheme="majorEastAsia"/>
          <w:color w:val="auto"/>
        </w:rPr>
        <w:t>万元，比</w:t>
      </w:r>
      <w:r>
        <w:rPr>
          <w:rFonts w:hint="eastAsia" w:asciiTheme="majorEastAsia" w:hAnsiTheme="majorEastAsia" w:eastAsiaTheme="majorEastAsia"/>
          <w:color w:val="auto"/>
          <w:lang w:eastAsia="zh-CN"/>
        </w:rPr>
        <w:t>2023</w:t>
      </w:r>
      <w:r>
        <w:rPr>
          <w:rFonts w:asciiTheme="majorEastAsia" w:hAnsiTheme="majorEastAsia" w:eastAsiaTheme="majorEastAsia"/>
          <w:color w:val="auto"/>
        </w:rPr>
        <w:t>年财政拨款收支预算总数</w:t>
      </w:r>
      <w:r>
        <w:rPr>
          <w:rFonts w:hint="eastAsia" w:asciiTheme="majorEastAsia" w:hAnsiTheme="majorEastAsia" w:eastAsiaTheme="majorEastAsia"/>
          <w:color w:val="auto"/>
          <w:lang w:val="en-US" w:eastAsia="zh-CN"/>
        </w:rPr>
        <w:t>0</w:t>
      </w:r>
      <w:r>
        <w:rPr>
          <w:rFonts w:asciiTheme="majorEastAsia" w:hAnsiTheme="majorEastAsia" w:eastAsiaTheme="majorEastAsia"/>
          <w:color w:val="auto"/>
        </w:rPr>
        <w:t>万元</w:t>
      </w:r>
      <w:r>
        <w:rPr>
          <w:rFonts w:hint="eastAsia" w:asciiTheme="majorEastAsia" w:hAnsiTheme="majorEastAsia" w:eastAsiaTheme="majorEastAsia"/>
          <w:color w:val="auto"/>
          <w:lang w:eastAsia="zh-CN"/>
        </w:rPr>
        <w:t>增加39.34万元</w:t>
      </w:r>
      <w:r>
        <w:rPr>
          <w:rFonts w:asciiTheme="majorEastAsia" w:hAnsiTheme="majorEastAsia" w:eastAsiaTheme="majorEastAsia"/>
          <w:color w:val="auto"/>
        </w:rPr>
        <w:t>。主要原因：</w:t>
      </w:r>
      <w:r>
        <w:rPr>
          <w:rFonts w:hint="eastAsia" w:asciiTheme="majorEastAsia" w:hAnsiTheme="majorEastAsia" w:eastAsiaTheme="majorEastAsia"/>
          <w:color w:val="auto"/>
          <w:lang w:val="en-US" w:eastAsia="zh-CN"/>
        </w:rPr>
        <w:t>本单位为本年新增单位。</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（二）一般公共预算当年拨款结构情况</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w:t>
      </w:r>
      <w:r>
        <w:rPr>
          <w:rFonts w:hint="eastAsia" w:asciiTheme="majorEastAsia" w:hAnsiTheme="majorEastAsia" w:eastAsiaTheme="majorEastAsia"/>
          <w:color w:val="auto"/>
          <w:lang w:eastAsia="zh-CN"/>
        </w:rPr>
        <w:t>五通桥区体育中心2024</w:t>
      </w:r>
      <w:r>
        <w:rPr>
          <w:rFonts w:asciiTheme="majorEastAsia" w:hAnsiTheme="majorEastAsia" w:eastAsiaTheme="majorEastAsia"/>
          <w:color w:val="auto"/>
        </w:rPr>
        <w:t>年一般公共预算支出</w:t>
      </w:r>
      <w:r>
        <w:rPr>
          <w:rFonts w:hint="eastAsia" w:asciiTheme="majorEastAsia" w:hAnsiTheme="majorEastAsia" w:eastAsiaTheme="majorEastAsia"/>
          <w:color w:val="auto"/>
          <w:lang w:eastAsia="zh-CN"/>
        </w:rPr>
        <w:t>39.34</w:t>
      </w:r>
      <w:r>
        <w:rPr>
          <w:rFonts w:asciiTheme="majorEastAsia" w:hAnsiTheme="majorEastAsia" w:eastAsiaTheme="majorEastAsia"/>
          <w:color w:val="auto"/>
        </w:rPr>
        <w:t>万元，主要包括</w:t>
      </w:r>
      <w:r>
        <w:rPr>
          <w:rFonts w:hint="eastAsia" w:asciiTheme="majorEastAsia" w:hAnsiTheme="majorEastAsia" w:eastAsiaTheme="majorEastAsia"/>
          <w:color w:val="auto"/>
        </w:rPr>
        <w:t>文化旅游体育与传媒支出</w:t>
      </w:r>
      <w:r>
        <w:rPr>
          <w:rFonts w:hint="eastAsia" w:asciiTheme="majorEastAsia" w:hAnsiTheme="majorEastAsia" w:eastAsiaTheme="majorEastAsia"/>
          <w:color w:val="auto"/>
          <w:lang w:val="en-US" w:eastAsia="zh-CN"/>
        </w:rPr>
        <w:t>36.13</w:t>
      </w:r>
      <w:r>
        <w:rPr>
          <w:rFonts w:hint="eastAsia" w:asciiTheme="majorEastAsia" w:hAnsiTheme="majorEastAsia" w:eastAsiaTheme="majorEastAsia"/>
          <w:color w:val="auto"/>
        </w:rPr>
        <w:t>万元，</w:t>
      </w:r>
      <w:r>
        <w:rPr>
          <w:rFonts w:asciiTheme="majorEastAsia" w:hAnsiTheme="majorEastAsia" w:eastAsiaTheme="majorEastAsia"/>
          <w:color w:val="auto"/>
        </w:rPr>
        <w:t>占</w:t>
      </w:r>
      <w:r>
        <w:rPr>
          <w:rFonts w:hint="eastAsia" w:asciiTheme="majorEastAsia" w:hAnsiTheme="majorEastAsia" w:eastAsiaTheme="majorEastAsia"/>
          <w:color w:val="auto"/>
          <w:lang w:eastAsia="zh-CN"/>
        </w:rPr>
        <w:t>91.84%</w:t>
      </w:r>
      <w:r>
        <w:rPr>
          <w:rFonts w:asciiTheme="majorEastAsia" w:hAnsiTheme="majorEastAsia" w:eastAsiaTheme="majorEastAsia"/>
          <w:color w:val="auto"/>
        </w:rPr>
        <w:t>、社会保障和就业支出</w:t>
      </w:r>
      <w:r>
        <w:rPr>
          <w:rFonts w:hint="eastAsia" w:asciiTheme="majorEastAsia" w:hAnsiTheme="majorEastAsia" w:eastAsiaTheme="majorEastAsia"/>
          <w:color w:val="auto"/>
          <w:lang w:eastAsia="zh-CN"/>
        </w:rPr>
        <w:t>1.94</w:t>
      </w:r>
      <w:r>
        <w:rPr>
          <w:rFonts w:asciiTheme="majorEastAsia" w:hAnsiTheme="majorEastAsia" w:eastAsiaTheme="majorEastAsia"/>
          <w:color w:val="auto"/>
        </w:rPr>
        <w:t>万元，占</w:t>
      </w:r>
      <w:r>
        <w:rPr>
          <w:rFonts w:hint="eastAsia" w:asciiTheme="majorEastAsia" w:hAnsiTheme="majorEastAsia" w:eastAsiaTheme="majorEastAsia"/>
          <w:color w:val="auto"/>
        </w:rPr>
        <w:t>4.93%</w:t>
      </w:r>
      <w:r>
        <w:rPr>
          <w:rFonts w:asciiTheme="majorEastAsia" w:hAnsiTheme="majorEastAsia" w:eastAsiaTheme="majorEastAsia"/>
          <w:color w:val="auto"/>
        </w:rPr>
        <w:t>、卫生健康支出</w:t>
      </w:r>
      <w:r>
        <w:rPr>
          <w:rFonts w:hint="eastAsia" w:asciiTheme="majorEastAsia" w:hAnsiTheme="majorEastAsia" w:eastAsiaTheme="majorEastAsia"/>
          <w:color w:val="auto"/>
          <w:lang w:val="en-US" w:eastAsia="zh-CN"/>
        </w:rPr>
        <w:t>0.55</w:t>
      </w:r>
      <w:r>
        <w:rPr>
          <w:rFonts w:asciiTheme="majorEastAsia" w:hAnsiTheme="majorEastAsia" w:eastAsiaTheme="majorEastAsia"/>
          <w:color w:val="auto"/>
        </w:rPr>
        <w:t>万元，占</w:t>
      </w:r>
      <w:r>
        <w:rPr>
          <w:rFonts w:hint="eastAsia" w:asciiTheme="majorEastAsia" w:hAnsiTheme="majorEastAsia" w:eastAsiaTheme="majorEastAsia"/>
          <w:color w:val="auto"/>
        </w:rPr>
        <w:t>1.40%</w:t>
      </w:r>
      <w:r>
        <w:rPr>
          <w:rFonts w:asciiTheme="majorEastAsia" w:hAnsiTheme="majorEastAsia" w:eastAsiaTheme="majorEastAsia"/>
          <w:color w:val="auto"/>
        </w:rPr>
        <w:t>、住房保障支出</w:t>
      </w:r>
      <w:r>
        <w:rPr>
          <w:rFonts w:hint="eastAsia" w:asciiTheme="majorEastAsia" w:hAnsiTheme="majorEastAsia" w:eastAsiaTheme="majorEastAsia"/>
          <w:color w:val="auto"/>
        </w:rPr>
        <w:t>0.72</w:t>
      </w:r>
      <w:r>
        <w:rPr>
          <w:rFonts w:asciiTheme="majorEastAsia" w:hAnsiTheme="majorEastAsia" w:eastAsiaTheme="majorEastAsia"/>
          <w:color w:val="auto"/>
        </w:rPr>
        <w:t>万元，占</w:t>
      </w:r>
      <w:r>
        <w:rPr>
          <w:rFonts w:hint="eastAsia" w:asciiTheme="majorEastAsia" w:hAnsiTheme="majorEastAsia" w:eastAsiaTheme="majorEastAsia"/>
          <w:color w:val="auto"/>
        </w:rPr>
        <w:t>1.83%</w:t>
      </w:r>
      <w:r>
        <w:rPr>
          <w:rFonts w:asciiTheme="majorEastAsia" w:hAnsiTheme="majorEastAsia" w:eastAsiaTheme="majorEastAsia"/>
          <w:color w:val="auto"/>
        </w:rPr>
        <w:t>。</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（三）一般公共预算当年拨款具体使用情况</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1、住房保障支出（类）住房改革支出（款）住房公积金（项）: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0.72</w:t>
      </w:r>
      <w:r>
        <w:rPr>
          <w:rFonts w:asciiTheme="majorEastAsia" w:hAnsiTheme="majorEastAsia" w:eastAsiaTheme="majorEastAsia"/>
          <w:color w:val="auto"/>
        </w:rPr>
        <w:t>万元，主要用于：部门按人力资源和社会保障部、财政部规定的基本工资和津贴补贴以及规定比例为职工缴纳的住房公积金支出。</w:t>
      </w:r>
    </w:p>
    <w:p>
      <w:pPr>
        <w:pStyle w:val="6"/>
        <w:spacing w:before="300" w:after="120" w:afterLines="50" w:line="360" w:lineRule="auto"/>
        <w:ind w:firstLine="640" w:firstLineChars="200"/>
        <w:outlineLvl w:val="1"/>
        <w:rPr>
          <w:rFonts w:hint="eastAsia" w:asciiTheme="majorEastAsia" w:hAnsiTheme="majorEastAsia" w:eastAsiaTheme="majorEastAsia"/>
          <w:color w:val="auto"/>
          <w:lang w:eastAsia="zh-CN"/>
        </w:rPr>
      </w:pPr>
      <w:r>
        <w:rPr>
          <w:rFonts w:hint="eastAsia" w:asciiTheme="majorEastAsia" w:hAnsiTheme="majorEastAsia" w:eastAsiaTheme="majorEastAsia"/>
          <w:color w:val="auto"/>
        </w:rPr>
        <w:t>2、文化旅游体育与传媒支出（类）</w:t>
      </w:r>
      <w:r>
        <w:rPr>
          <w:rFonts w:hint="eastAsia" w:asciiTheme="majorEastAsia" w:hAnsiTheme="majorEastAsia" w:eastAsiaTheme="majorEastAsia"/>
          <w:color w:val="auto"/>
          <w:lang w:eastAsia="zh-CN"/>
        </w:rPr>
        <w:t>体育</w:t>
      </w:r>
      <w:r>
        <w:rPr>
          <w:rFonts w:hint="eastAsia" w:asciiTheme="majorEastAsia" w:hAnsiTheme="majorEastAsia" w:eastAsiaTheme="majorEastAsia"/>
          <w:color w:val="auto"/>
        </w:rPr>
        <w:t>（款）其他体育支出</w:t>
      </w:r>
      <w:r>
        <w:rPr>
          <w:rFonts w:asciiTheme="majorEastAsia" w:hAnsiTheme="majorEastAsia" w:eastAsiaTheme="majorEastAsia"/>
          <w:color w:val="auto"/>
        </w:rPr>
        <w:t>（项）: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36.13</w:t>
      </w:r>
      <w:r>
        <w:rPr>
          <w:rFonts w:asciiTheme="majorEastAsia" w:hAnsiTheme="majorEastAsia" w:eastAsiaTheme="majorEastAsia"/>
          <w:color w:val="auto"/>
        </w:rPr>
        <w:t>万元，主要用于：</w:t>
      </w:r>
      <w:r>
        <w:rPr>
          <w:rFonts w:hint="eastAsia" w:asciiTheme="majorEastAsia" w:hAnsiTheme="majorEastAsia" w:eastAsiaTheme="majorEastAsia"/>
          <w:color w:val="auto"/>
          <w:lang w:val="en-US"/>
        </w:rPr>
        <w:t>单位正常运转的基本支出，包括基本工资、津贴补贴等人员经费以及办公费、印刷费、水电费等日常公用经费</w:t>
      </w:r>
      <w:r>
        <w:rPr>
          <w:rFonts w:hint="eastAsia" w:asciiTheme="majorEastAsia" w:hAnsiTheme="majorEastAsia" w:eastAsiaTheme="majorEastAsia"/>
          <w:color w:val="auto"/>
          <w:lang w:val="en-US" w:eastAsia="zh-CN"/>
        </w:rPr>
        <w:t>。</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3、卫生健康支出（类）行政事业单位医疗（款）事业单位医疗（项）: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0.45</w:t>
      </w:r>
      <w:r>
        <w:rPr>
          <w:rFonts w:asciiTheme="majorEastAsia" w:hAnsiTheme="majorEastAsia" w:eastAsiaTheme="majorEastAsia"/>
          <w:color w:val="auto"/>
        </w:rPr>
        <w:t>万元，主要用于：事业单位基本医疗保险缴费支出。</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4、社会保障和就业支出（类）行政事业单位养老支出（款）机关事业单位职业年金缴费支出（项）: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0.65</w:t>
      </w:r>
      <w:r>
        <w:rPr>
          <w:rFonts w:asciiTheme="majorEastAsia" w:hAnsiTheme="majorEastAsia" w:eastAsiaTheme="majorEastAsia"/>
          <w:color w:val="auto"/>
        </w:rPr>
        <w:t>万元，主要用于：实施养老保险制度后，部门按规定由单位缴纳的职业年金支出。</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lang w:val="en-US" w:eastAsia="zh-CN"/>
        </w:rPr>
        <w:t>5</w:t>
      </w:r>
      <w:r>
        <w:rPr>
          <w:rFonts w:asciiTheme="majorEastAsia" w:hAnsiTheme="majorEastAsia" w:eastAsiaTheme="majorEastAsia"/>
          <w:color w:val="auto"/>
        </w:rPr>
        <w:t>、社会保障和就业支出（类）行政事业单位养老支出（款）机关事业单位基本养老保险缴费支出（项）: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年预算数为1.</w:t>
      </w:r>
      <w:r>
        <w:rPr>
          <w:rFonts w:hint="eastAsia" w:asciiTheme="majorEastAsia" w:hAnsiTheme="majorEastAsia" w:eastAsiaTheme="majorEastAsia"/>
          <w:color w:val="auto"/>
          <w:lang w:val="en-US" w:eastAsia="zh-CN"/>
        </w:rPr>
        <w:t>29</w:t>
      </w:r>
      <w:r>
        <w:rPr>
          <w:rFonts w:asciiTheme="majorEastAsia" w:hAnsiTheme="majorEastAsia" w:eastAsiaTheme="majorEastAsia"/>
          <w:color w:val="auto"/>
        </w:rPr>
        <w:t>万元，主要用于：实施养老保险制度后，部门按规定由单位缴纳的基本养老保险费支出。</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lang w:val="en-US" w:eastAsia="zh-CN"/>
        </w:rPr>
        <w:t>6</w:t>
      </w:r>
      <w:r>
        <w:rPr>
          <w:rFonts w:asciiTheme="majorEastAsia" w:hAnsiTheme="majorEastAsia" w:eastAsiaTheme="majorEastAsia"/>
          <w:color w:val="auto"/>
        </w:rPr>
        <w:t>、卫生健康支出（类）行政事业单位医疗（款）  其他行政事业单位医疗支出（项）:</w:t>
      </w:r>
      <w:r>
        <w:rPr>
          <w:rFonts w:hint="eastAsia" w:asciiTheme="majorEastAsia" w:hAnsiTheme="majorEastAsia" w:eastAsiaTheme="majorEastAsia"/>
          <w:color w:val="auto"/>
          <w:lang w:eastAsia="zh-CN"/>
        </w:rPr>
        <w:t>2024</w:t>
      </w:r>
      <w:r>
        <w:rPr>
          <w:rFonts w:asciiTheme="majorEastAsia" w:hAnsiTheme="majorEastAsia" w:eastAsiaTheme="majorEastAsia"/>
          <w:color w:val="auto"/>
        </w:rPr>
        <w:t>年预算数为0.</w:t>
      </w:r>
      <w:r>
        <w:rPr>
          <w:rFonts w:hint="eastAsia" w:asciiTheme="majorEastAsia" w:hAnsiTheme="majorEastAsia" w:eastAsiaTheme="majorEastAsia"/>
          <w:color w:val="auto"/>
          <w:lang w:val="en-US" w:eastAsia="zh-CN"/>
        </w:rPr>
        <w:t>1</w:t>
      </w:r>
      <w:r>
        <w:rPr>
          <w:rFonts w:asciiTheme="majorEastAsia" w:hAnsiTheme="majorEastAsia" w:eastAsiaTheme="majorEastAsia"/>
          <w:color w:val="auto"/>
        </w:rPr>
        <w:t>万元，主要用于：事业单位其他医疗保险缴费支出。</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四、一般公共预算基本支出情况说明</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乐山市</w:t>
      </w:r>
      <w:r>
        <w:rPr>
          <w:rFonts w:hint="eastAsia" w:asciiTheme="majorEastAsia" w:hAnsiTheme="majorEastAsia" w:eastAsiaTheme="majorEastAsia"/>
          <w:color w:val="auto"/>
          <w:lang w:eastAsia="zh-CN"/>
        </w:rPr>
        <w:t>五通桥区体育中心2024</w:t>
      </w:r>
      <w:r>
        <w:rPr>
          <w:rFonts w:asciiTheme="majorEastAsia" w:hAnsiTheme="majorEastAsia" w:eastAsiaTheme="majorEastAsia"/>
          <w:color w:val="auto"/>
        </w:rPr>
        <w:t>一般公共预算基本支出</w:t>
      </w:r>
      <w:r>
        <w:rPr>
          <w:rFonts w:hint="eastAsia" w:asciiTheme="majorEastAsia" w:hAnsiTheme="majorEastAsia" w:eastAsiaTheme="majorEastAsia"/>
          <w:color w:val="auto"/>
          <w:lang w:eastAsia="zh-CN"/>
        </w:rPr>
        <w:t>39.34</w:t>
      </w:r>
      <w:r>
        <w:rPr>
          <w:rFonts w:asciiTheme="majorEastAsia" w:hAnsiTheme="majorEastAsia" w:eastAsiaTheme="majorEastAsia"/>
          <w:color w:val="auto"/>
        </w:rPr>
        <w:t>万元，其中：</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人员经费</w:t>
      </w:r>
      <w:r>
        <w:rPr>
          <w:rFonts w:hint="eastAsia" w:asciiTheme="majorEastAsia" w:hAnsiTheme="majorEastAsia" w:eastAsiaTheme="majorEastAsia"/>
          <w:color w:val="auto"/>
          <w:lang w:eastAsia="zh-CN"/>
        </w:rPr>
        <w:t>37.94</w:t>
      </w:r>
      <w:r>
        <w:rPr>
          <w:rFonts w:asciiTheme="majorEastAsia" w:hAnsiTheme="majorEastAsia" w:eastAsiaTheme="majorEastAsia"/>
          <w:color w:val="auto"/>
        </w:rPr>
        <w:t>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6"/>
        <w:spacing w:before="300" w:after="120" w:afterLines="50" w:line="360" w:lineRule="auto"/>
        <w:ind w:firstLine="640" w:firstLineChars="200"/>
        <w:outlineLvl w:val="1"/>
        <w:rPr>
          <w:rFonts w:hint="eastAsia" w:asciiTheme="majorEastAsia" w:hAnsiTheme="majorEastAsia" w:eastAsiaTheme="majorEastAsia"/>
          <w:color w:val="auto"/>
        </w:rPr>
      </w:pPr>
      <w:r>
        <w:rPr>
          <w:rFonts w:hint="eastAsia" w:asciiTheme="majorEastAsia" w:hAnsiTheme="majorEastAsia" w:eastAsiaTheme="majorEastAsia"/>
          <w:color w:val="auto"/>
        </w:rPr>
        <w:t>公用经费</w:t>
      </w:r>
      <w:r>
        <w:rPr>
          <w:rFonts w:hint="eastAsia" w:asciiTheme="majorEastAsia" w:hAnsiTheme="majorEastAsia" w:eastAsiaTheme="majorEastAsia"/>
          <w:color w:val="auto"/>
          <w:lang w:eastAsia="zh-CN"/>
        </w:rPr>
        <w:t>1.4</w:t>
      </w:r>
      <w:r>
        <w:rPr>
          <w:rFonts w:asciiTheme="majorEastAsia" w:hAnsiTheme="majorEastAsia" w:eastAsiaTheme="majorEastAsia"/>
          <w:color w:val="auto"/>
        </w:rPr>
        <w:t>万元</w:t>
      </w:r>
      <w:r>
        <w:rPr>
          <w:rFonts w:hint="eastAsia" w:asciiTheme="majorEastAsia" w:hAnsiTheme="majorEastAsia" w:eastAsiaTheme="majorEastAsia"/>
          <w:color w:val="auto"/>
          <w:lang w:eastAsia="zh-CN"/>
        </w:rPr>
        <w:t>，</w:t>
      </w:r>
      <w:r>
        <w:rPr>
          <w:rFonts w:asciiTheme="majorEastAsia" w:hAnsiTheme="majorEastAsia" w:eastAsiaTheme="majorEastAsia"/>
          <w:color w:val="auto"/>
        </w:rPr>
        <w:t>主要包括：办公费、印刷费、水费、电费、邮电费、差旅费、维修（护）费、会议费、培训费、公务接待费、劳务费、工会经费、福利费、公务用车运行维护费、其他交通费、其他商品和服务支出。</w:t>
      </w:r>
    </w:p>
    <w:p>
      <w:pPr>
        <w:pStyle w:val="6"/>
        <w:spacing w:before="300" w:after="120" w:afterLines="50"/>
        <w:ind w:firstLine="640" w:firstLineChars="200"/>
        <w:outlineLvl w:val="1"/>
        <w:rPr>
          <w:rFonts w:ascii="宋体" w:hAnsi="宋体" w:eastAsia="黑体"/>
          <w:color w:val="auto"/>
          <w:highlight w:val="cyan"/>
          <w:lang w:val="en-US"/>
        </w:rPr>
      </w:pPr>
      <w:r>
        <w:rPr>
          <w:rFonts w:hint="eastAsia" w:ascii="宋体" w:hAnsi="宋体" w:eastAsia="黑体"/>
          <w:color w:val="auto"/>
        </w:rPr>
        <w:t>五、“三公”经费财政拨款预算安排情况说明</w:t>
      </w:r>
      <w:bookmarkEnd w:id="22"/>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五通桥区体育中心 2024</w:t>
      </w:r>
      <w:r>
        <w:rPr>
          <w:rFonts w:hint="eastAsia" w:ascii="宋体" w:hAnsi="宋体"/>
          <w:color w:val="auto"/>
          <w:sz w:val="32"/>
          <w:lang w:val="en-US"/>
        </w:rPr>
        <w:t>年“三公”经费财政拨款预算数0万元，其中：公务接待费0万元，公务用车购置0万元，公车运行维护费0万元。</w:t>
      </w:r>
    </w:p>
    <w:p>
      <w:pPr>
        <w:pStyle w:val="14"/>
        <w:tabs>
          <w:tab w:val="left" w:pos="1784"/>
        </w:tabs>
        <w:spacing w:before="240" w:beforeLines="100" w:after="120" w:afterLines="50" w:line="560" w:lineRule="exact"/>
        <w:ind w:left="660" w:leftChars="300" w:right="660" w:rightChars="300" w:firstLineChars="200"/>
        <w:rPr>
          <w:rFonts w:hint="eastAsia" w:ascii="宋体" w:hAnsi="宋体" w:eastAsia="仿宋_GB2312"/>
          <w:color w:val="auto"/>
          <w:sz w:val="32"/>
          <w:lang w:val="en-US" w:eastAsia="zh-CN"/>
        </w:rPr>
      </w:pPr>
      <w:r>
        <w:rPr>
          <w:rFonts w:hint="eastAsia" w:ascii="宋体" w:hAnsi="宋体"/>
          <w:color w:val="auto"/>
          <w:sz w:val="32"/>
          <w:lang w:val="en-US" w:eastAsia="zh-CN"/>
        </w:rPr>
        <w:t>2024</w:t>
      </w:r>
      <w:r>
        <w:rPr>
          <w:rFonts w:hint="eastAsia" w:ascii="宋体" w:hAnsi="宋体"/>
          <w:color w:val="auto"/>
          <w:sz w:val="32"/>
          <w:lang w:val="en-US"/>
        </w:rPr>
        <w:t>年公务接待费</w:t>
      </w:r>
      <w:r>
        <w:rPr>
          <w:rFonts w:hint="eastAsia" w:ascii="宋体" w:hAnsi="宋体"/>
          <w:color w:val="auto"/>
          <w:sz w:val="32"/>
          <w:lang w:val="en-US" w:eastAsia="zh-CN"/>
        </w:rPr>
        <w:t>无</w:t>
      </w:r>
      <w:r>
        <w:rPr>
          <w:rFonts w:hint="eastAsia" w:ascii="宋体" w:hAnsi="宋体"/>
          <w:color w:val="auto"/>
          <w:sz w:val="32"/>
          <w:lang w:val="en-US"/>
        </w:rPr>
        <w:t>计划</w:t>
      </w:r>
      <w:r>
        <w:rPr>
          <w:rFonts w:hint="eastAsia" w:ascii="宋体" w:hAnsi="宋体"/>
          <w:color w:val="auto"/>
          <w:sz w:val="32"/>
          <w:lang w:val="en-US" w:eastAsia="zh-CN"/>
        </w:rPr>
        <w:t>。</w:t>
      </w:r>
    </w:p>
    <w:p>
      <w:pPr>
        <w:pStyle w:val="4"/>
        <w:spacing w:before="100" w:after="120" w:afterLines="50"/>
        <w:ind w:left="0" w:firstLine="964" w:firstLineChars="300"/>
        <w:rPr>
          <w:rFonts w:ascii="宋体" w:hAnsi="宋体"/>
          <w:color w:val="auto"/>
        </w:rPr>
      </w:pPr>
      <w:bookmarkStart w:id="23" w:name="_Toc10802"/>
      <w:r>
        <w:rPr>
          <w:rFonts w:ascii="宋体" w:hAnsi="宋体"/>
          <w:color w:val="auto"/>
        </w:rPr>
        <w:t>（一）</w:t>
      </w:r>
      <w:r>
        <w:rPr>
          <w:rFonts w:hint="eastAsia" w:ascii="宋体" w:hAnsi="宋体"/>
          <w:color w:val="auto"/>
          <w:lang w:val="en-US"/>
        </w:rPr>
        <w:t>公务接待费变化情况</w:t>
      </w:r>
      <w:bookmarkEnd w:id="23"/>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公务接待费较</w:t>
      </w:r>
      <w:r>
        <w:rPr>
          <w:rFonts w:hint="eastAsia" w:ascii="宋体" w:hAnsi="宋体"/>
          <w:color w:val="auto"/>
          <w:sz w:val="32"/>
          <w:lang w:val="en-US" w:eastAsia="zh-CN"/>
        </w:rPr>
        <w:t>2023</w:t>
      </w:r>
      <w:r>
        <w:rPr>
          <w:rFonts w:ascii="宋体" w:hAnsi="宋体"/>
          <w:color w:val="auto"/>
          <w:sz w:val="32"/>
          <w:lang w:val="en-US"/>
        </w:rPr>
        <w:t>年预算</w:t>
      </w:r>
      <w:r>
        <w:rPr>
          <w:rFonts w:hint="eastAsia" w:ascii="宋体" w:hAnsi="宋体"/>
          <w:color w:val="auto"/>
          <w:sz w:val="32"/>
          <w:lang w:val="en-US" w:eastAsia="zh-CN"/>
        </w:rPr>
        <w:t>0</w:t>
      </w:r>
      <w:r>
        <w:rPr>
          <w:rFonts w:ascii="宋体" w:hAnsi="宋体"/>
          <w:color w:val="auto"/>
          <w:sz w:val="32"/>
          <w:lang w:val="en-US"/>
        </w:rPr>
        <w:t>万元</w:t>
      </w:r>
      <w:r>
        <w:rPr>
          <w:rFonts w:hint="eastAsia" w:ascii="宋体" w:hAnsi="宋体"/>
          <w:color w:val="auto"/>
          <w:sz w:val="32"/>
          <w:lang w:val="en-US" w:eastAsia="zh-CN"/>
        </w:rPr>
        <w:t>无变化</w:t>
      </w:r>
      <w:r>
        <w:rPr>
          <w:rFonts w:ascii="宋体" w:hAnsi="宋体"/>
          <w:color w:val="auto"/>
          <w:sz w:val="32"/>
          <w:lang w:val="en-US"/>
        </w:rPr>
        <w:t>。</w:t>
      </w:r>
    </w:p>
    <w:p>
      <w:pPr>
        <w:pStyle w:val="4"/>
        <w:spacing w:before="100" w:after="120" w:afterLines="50"/>
        <w:ind w:left="0" w:firstLine="964" w:firstLineChars="300"/>
        <w:rPr>
          <w:rFonts w:ascii="宋体" w:hAnsi="宋体"/>
          <w:color w:val="auto"/>
        </w:rPr>
      </w:pPr>
      <w:bookmarkStart w:id="24" w:name="_Toc17768"/>
      <w:r>
        <w:rPr>
          <w:rFonts w:ascii="宋体" w:hAnsi="宋体"/>
          <w:color w:val="auto"/>
        </w:rPr>
        <w:t>（</w:t>
      </w:r>
      <w:r>
        <w:rPr>
          <w:rFonts w:hint="eastAsia" w:ascii="宋体" w:hAnsi="宋体"/>
          <w:color w:val="auto"/>
          <w:lang w:val="en-US"/>
        </w:rPr>
        <w:t>二</w:t>
      </w:r>
      <w:r>
        <w:rPr>
          <w:rFonts w:ascii="宋体" w:hAnsi="宋体"/>
          <w:color w:val="auto"/>
        </w:rPr>
        <w:t>）</w:t>
      </w:r>
      <w:r>
        <w:rPr>
          <w:rFonts w:hint="eastAsia" w:ascii="宋体" w:hAnsi="宋体"/>
          <w:color w:val="auto"/>
          <w:lang w:val="en-US"/>
        </w:rPr>
        <w:t>公务用车购置及运行维护费变化情况</w:t>
      </w:r>
      <w:bookmarkEnd w:id="24"/>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公务用车购置及运行维护费较</w:t>
      </w:r>
      <w:r>
        <w:rPr>
          <w:rFonts w:hint="eastAsia" w:ascii="宋体" w:hAnsi="宋体"/>
          <w:color w:val="auto"/>
          <w:sz w:val="32"/>
          <w:lang w:val="en-US" w:eastAsia="zh-CN"/>
        </w:rPr>
        <w:t>2023</w:t>
      </w:r>
      <w:r>
        <w:rPr>
          <w:rFonts w:ascii="宋体" w:hAnsi="宋体"/>
          <w:color w:val="auto"/>
          <w:sz w:val="32"/>
          <w:lang w:val="en-US"/>
        </w:rPr>
        <w:t>预算</w:t>
      </w:r>
      <w:r>
        <w:rPr>
          <w:rFonts w:hint="eastAsia" w:ascii="宋体" w:hAnsi="宋体"/>
          <w:color w:val="auto"/>
          <w:sz w:val="32"/>
          <w:lang w:val="en-US"/>
        </w:rPr>
        <w:t>0</w:t>
      </w:r>
      <w:r>
        <w:rPr>
          <w:rFonts w:ascii="宋体" w:hAnsi="宋体"/>
          <w:color w:val="auto"/>
          <w:sz w:val="32"/>
          <w:lang w:val="en-US"/>
        </w:rPr>
        <w:t>万元预算持平。主要原因是厉行节约，规范公务出行，尽量乘坐公共交通工具。</w:t>
      </w:r>
    </w:p>
    <w:p>
      <w:pPr>
        <w:pStyle w:val="6"/>
        <w:spacing w:before="300" w:after="120" w:afterLines="50" w:line="360" w:lineRule="auto"/>
        <w:ind w:firstLine="640" w:firstLineChars="200"/>
        <w:outlineLvl w:val="1"/>
        <w:rPr>
          <w:rFonts w:asciiTheme="majorEastAsia" w:hAnsiTheme="majorEastAsia" w:eastAsiaTheme="majorEastAsia"/>
          <w:color w:val="auto"/>
          <w:lang w:val="en-US"/>
        </w:rPr>
      </w:pPr>
      <w:r>
        <w:rPr>
          <w:rFonts w:asciiTheme="majorEastAsia" w:hAnsiTheme="majorEastAsia" w:eastAsiaTheme="majorEastAsia"/>
          <w:color w:val="auto"/>
          <w:lang w:val="en-US"/>
        </w:rPr>
        <w:t>单位实有公务用车</w:t>
      </w:r>
      <w:r>
        <w:rPr>
          <w:rFonts w:hint="eastAsia" w:asciiTheme="majorEastAsia" w:hAnsiTheme="majorEastAsia" w:eastAsiaTheme="majorEastAsia"/>
          <w:color w:val="auto"/>
          <w:lang w:val="en-US"/>
        </w:rPr>
        <w:t>0</w:t>
      </w:r>
      <w:r>
        <w:rPr>
          <w:rFonts w:asciiTheme="majorEastAsia" w:hAnsiTheme="majorEastAsia" w:eastAsiaTheme="majorEastAsia"/>
          <w:color w:val="auto"/>
          <w:lang w:val="en-US"/>
        </w:rPr>
        <w:t>辆，其中：轿车</w:t>
      </w:r>
      <w:r>
        <w:rPr>
          <w:rFonts w:hint="eastAsia" w:asciiTheme="majorEastAsia" w:hAnsiTheme="majorEastAsia" w:eastAsiaTheme="majorEastAsia"/>
          <w:color w:val="auto"/>
          <w:lang w:val="en-US"/>
        </w:rPr>
        <w:t>0</w:t>
      </w:r>
      <w:r>
        <w:rPr>
          <w:rFonts w:asciiTheme="majorEastAsia" w:hAnsiTheme="majorEastAsia" w:eastAsiaTheme="majorEastAsia"/>
          <w:color w:val="auto"/>
          <w:lang w:val="en-US"/>
        </w:rPr>
        <w:t>辆，多功能乘用车</w:t>
      </w:r>
      <w:r>
        <w:rPr>
          <w:rFonts w:hint="eastAsia" w:asciiTheme="majorEastAsia" w:hAnsiTheme="majorEastAsia" w:eastAsiaTheme="majorEastAsia"/>
          <w:color w:val="auto"/>
          <w:lang w:val="en-US"/>
        </w:rPr>
        <w:t>0</w:t>
      </w:r>
      <w:r>
        <w:rPr>
          <w:rFonts w:asciiTheme="majorEastAsia" w:hAnsiTheme="majorEastAsia" w:eastAsiaTheme="majorEastAsia"/>
          <w:color w:val="auto"/>
          <w:lang w:val="en-US"/>
        </w:rPr>
        <w:t>辆。</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ascii="宋体" w:hAnsi="宋体"/>
          <w:color w:val="auto"/>
          <w:sz w:val="32"/>
          <w:lang w:val="en-US"/>
        </w:rPr>
        <w:t>年安排公务用车购置费</w:t>
      </w:r>
      <w:r>
        <w:rPr>
          <w:rFonts w:hint="eastAsia" w:ascii="宋体" w:hAnsi="宋体"/>
          <w:color w:val="auto"/>
          <w:sz w:val="32"/>
          <w:lang w:val="en-US"/>
        </w:rPr>
        <w:t>0</w:t>
      </w:r>
      <w:r>
        <w:rPr>
          <w:rFonts w:ascii="宋体" w:hAnsi="宋体"/>
          <w:color w:val="auto"/>
          <w:sz w:val="32"/>
          <w:lang w:val="en-US"/>
        </w:rPr>
        <w:t>万元 。</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highlight w:val="cyan"/>
          <w:lang w:val="en-US"/>
        </w:rPr>
      </w:pPr>
      <w:r>
        <w:rPr>
          <w:rFonts w:hint="eastAsia" w:ascii="宋体" w:hAnsi="宋体"/>
          <w:color w:val="auto"/>
          <w:sz w:val="32"/>
          <w:lang w:val="en-US" w:eastAsia="zh-CN"/>
        </w:rPr>
        <w:t>2024</w:t>
      </w:r>
      <w:r>
        <w:rPr>
          <w:rFonts w:ascii="宋体" w:hAnsi="宋体"/>
          <w:color w:val="auto"/>
          <w:sz w:val="32"/>
          <w:lang w:val="en-US"/>
        </w:rPr>
        <w:t>年安排公务用车运行维护费</w:t>
      </w:r>
      <w:r>
        <w:rPr>
          <w:rFonts w:hint="eastAsia" w:ascii="宋体" w:hAnsi="宋体"/>
          <w:color w:val="auto"/>
          <w:sz w:val="32"/>
          <w:lang w:val="en-US"/>
        </w:rPr>
        <w:t>0</w:t>
      </w:r>
      <w:r>
        <w:rPr>
          <w:rFonts w:ascii="宋体" w:hAnsi="宋体"/>
          <w:color w:val="auto"/>
          <w:sz w:val="32"/>
          <w:lang w:val="en-US"/>
        </w:rPr>
        <w:t>万元。</w:t>
      </w:r>
    </w:p>
    <w:p>
      <w:pPr>
        <w:pStyle w:val="6"/>
        <w:spacing w:before="300" w:after="120" w:afterLines="50"/>
        <w:ind w:firstLine="640" w:firstLineChars="200"/>
        <w:outlineLvl w:val="1"/>
        <w:rPr>
          <w:rFonts w:ascii="宋体" w:hAnsi="宋体" w:eastAsia="黑体"/>
          <w:color w:val="auto"/>
        </w:rPr>
      </w:pPr>
      <w:bookmarkStart w:id="25" w:name="_Toc2610"/>
      <w:r>
        <w:rPr>
          <w:rFonts w:hint="eastAsia" w:ascii="宋体" w:hAnsi="宋体" w:eastAsia="黑体"/>
          <w:color w:val="auto"/>
        </w:rPr>
        <w:t>六、政府性基金预算支出情况说明</w:t>
      </w:r>
      <w:bookmarkEnd w:id="25"/>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五通桥区体育中心 2024</w:t>
      </w:r>
      <w:r>
        <w:rPr>
          <w:rFonts w:ascii="宋体" w:hAnsi="宋体"/>
          <w:color w:val="auto"/>
          <w:sz w:val="32"/>
          <w:lang w:val="en-US"/>
        </w:rPr>
        <w:t>年政府性基金预算拨款安排支出</w:t>
      </w:r>
      <w:r>
        <w:rPr>
          <w:rFonts w:hint="eastAsia" w:ascii="宋体" w:hAnsi="宋体"/>
          <w:color w:val="auto"/>
          <w:sz w:val="32"/>
          <w:lang w:val="en-US"/>
        </w:rPr>
        <w:t>0万元，较上年预算数持平。</w:t>
      </w:r>
    </w:p>
    <w:p>
      <w:pPr>
        <w:pStyle w:val="6"/>
        <w:spacing w:before="300" w:after="120" w:afterLines="50"/>
        <w:ind w:firstLine="640" w:firstLineChars="200"/>
        <w:outlineLvl w:val="1"/>
        <w:rPr>
          <w:rFonts w:ascii="宋体" w:hAnsi="宋体" w:eastAsia="黑体"/>
          <w:color w:val="auto"/>
        </w:rPr>
      </w:pPr>
      <w:bookmarkStart w:id="26" w:name="_Toc17731"/>
      <w:r>
        <w:rPr>
          <w:rFonts w:hint="eastAsia" w:ascii="宋体" w:hAnsi="宋体" w:eastAsia="黑体"/>
          <w:color w:val="auto"/>
          <w:lang w:val="en-US"/>
        </w:rPr>
        <w:t>七、</w:t>
      </w:r>
      <w:r>
        <w:rPr>
          <w:rFonts w:hint="eastAsia" w:ascii="宋体" w:hAnsi="宋体" w:eastAsia="黑体"/>
          <w:color w:val="auto"/>
        </w:rPr>
        <w:t>国有资本经营预算情况说明</w:t>
      </w:r>
      <w:bookmarkEnd w:id="26"/>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五通桥区体育中心 2024</w:t>
      </w:r>
      <w:r>
        <w:rPr>
          <w:rFonts w:hint="eastAsia" w:ascii="宋体" w:hAnsi="宋体"/>
          <w:color w:val="auto"/>
          <w:sz w:val="32"/>
          <w:lang w:val="en-US"/>
        </w:rPr>
        <w:t>年国有资本经营预算拨款安排支出0万元,较上年预算数持平。</w:t>
      </w:r>
    </w:p>
    <w:p>
      <w:pPr>
        <w:pStyle w:val="6"/>
        <w:spacing w:before="300" w:after="120" w:afterLines="50"/>
        <w:ind w:firstLine="640" w:firstLineChars="200"/>
        <w:outlineLvl w:val="1"/>
        <w:rPr>
          <w:rFonts w:ascii="宋体" w:hAnsi="宋体" w:eastAsia="黑体"/>
          <w:color w:val="auto"/>
          <w:lang w:val="en-US"/>
        </w:rPr>
      </w:pPr>
      <w:bookmarkStart w:id="27" w:name="_Toc20919"/>
      <w:r>
        <w:rPr>
          <w:rFonts w:hint="eastAsia" w:ascii="宋体" w:hAnsi="宋体" w:eastAsia="黑体"/>
          <w:color w:val="auto"/>
          <w:lang w:val="en-US"/>
        </w:rPr>
        <w:t>八、其他重要事项的情况说明</w:t>
      </w:r>
      <w:bookmarkEnd w:id="27"/>
    </w:p>
    <w:p>
      <w:pPr>
        <w:pStyle w:val="4"/>
        <w:spacing w:before="100" w:after="120" w:afterLines="50"/>
        <w:ind w:left="0" w:firstLine="964" w:firstLineChars="300"/>
        <w:rPr>
          <w:rFonts w:ascii="宋体" w:hAnsi="宋体"/>
          <w:color w:val="auto"/>
        </w:rPr>
      </w:pPr>
      <w:bookmarkStart w:id="28" w:name="_Toc9621"/>
      <w:r>
        <w:rPr>
          <w:rFonts w:ascii="宋体" w:hAnsi="宋体"/>
          <w:color w:val="auto"/>
        </w:rPr>
        <w:t>（一）机关运行经费情况</w:t>
      </w:r>
      <w:bookmarkEnd w:id="28"/>
    </w:p>
    <w:p>
      <w:pPr>
        <w:rPr>
          <w:rFonts w:hint="eastAsia" w:ascii="宋体" w:hAnsi="宋体" w:eastAsia="宋体" w:cs="宋体"/>
          <w:color w:val="auto"/>
          <w:sz w:val="32"/>
          <w:szCs w:val="22"/>
          <w:lang w:val="en-US" w:eastAsia="zh-CN" w:bidi="zh-CN"/>
        </w:rPr>
      </w:pPr>
      <w:r>
        <w:rPr>
          <w:rFonts w:hint="eastAsia"/>
          <w:color w:val="auto"/>
          <w:lang w:val="en-US"/>
        </w:rPr>
        <w:t xml:space="preserve">      </w:t>
      </w:r>
      <w:r>
        <w:rPr>
          <w:rFonts w:hint="eastAsia" w:ascii="宋体" w:hAnsi="宋体" w:eastAsia="宋体" w:cs="宋体"/>
          <w:color w:val="auto"/>
          <w:sz w:val="32"/>
          <w:szCs w:val="22"/>
          <w:lang w:val="en-US" w:eastAsia="zh-CN" w:bidi="zh-CN"/>
        </w:rPr>
        <w:t xml:space="preserve">    </w:t>
      </w:r>
      <w:r>
        <w:rPr>
          <w:rFonts w:hint="eastAsia" w:cs="宋体"/>
          <w:color w:val="auto"/>
          <w:sz w:val="32"/>
          <w:szCs w:val="22"/>
          <w:lang w:val="en-US" w:eastAsia="zh-CN" w:bidi="zh-CN"/>
        </w:rPr>
        <w:t>2024</w:t>
      </w:r>
      <w:r>
        <w:rPr>
          <w:rFonts w:hint="eastAsia" w:ascii="宋体" w:hAnsi="宋体" w:eastAsia="宋体" w:cs="宋体"/>
          <w:color w:val="auto"/>
          <w:sz w:val="32"/>
          <w:szCs w:val="22"/>
          <w:lang w:val="en-US" w:eastAsia="zh-CN" w:bidi="zh-CN"/>
        </w:rPr>
        <w:t>年，</w:t>
      </w:r>
      <w:r>
        <w:rPr>
          <w:rFonts w:hint="eastAsia" w:cs="宋体"/>
          <w:color w:val="auto"/>
          <w:sz w:val="32"/>
          <w:szCs w:val="22"/>
          <w:lang w:val="en-US" w:eastAsia="zh-CN" w:bidi="zh-CN"/>
        </w:rPr>
        <w:t>五通桥区体育中心是事业单位</w:t>
      </w:r>
      <w:r>
        <w:rPr>
          <w:rFonts w:hint="eastAsia" w:ascii="宋体" w:hAnsi="宋体" w:eastAsia="宋体" w:cs="宋体"/>
          <w:color w:val="auto"/>
          <w:sz w:val="32"/>
          <w:szCs w:val="22"/>
          <w:lang w:val="en-US" w:eastAsia="zh-CN" w:bidi="zh-CN"/>
        </w:rPr>
        <w:t>无机关运行经费。</w:t>
      </w:r>
    </w:p>
    <w:p>
      <w:pPr>
        <w:pStyle w:val="4"/>
        <w:spacing w:before="100" w:after="120" w:afterLines="50"/>
        <w:ind w:left="0" w:firstLine="964" w:firstLineChars="300"/>
        <w:rPr>
          <w:rFonts w:ascii="宋体" w:hAnsi="宋体"/>
          <w:color w:val="auto"/>
        </w:rPr>
      </w:pPr>
      <w:bookmarkStart w:id="29" w:name="_Toc26552"/>
      <w:r>
        <w:rPr>
          <w:rFonts w:ascii="宋体" w:hAnsi="宋体"/>
          <w:color w:val="auto"/>
        </w:rPr>
        <w:t>（二）政府采购情况</w:t>
      </w:r>
      <w:bookmarkEnd w:id="29"/>
    </w:p>
    <w:p>
      <w:pPr>
        <w:pStyle w:val="14"/>
        <w:tabs>
          <w:tab w:val="left" w:pos="1784"/>
        </w:tabs>
        <w:spacing w:before="240" w:beforeLines="100" w:after="120" w:afterLines="50" w:line="560" w:lineRule="exact"/>
        <w:ind w:left="660" w:leftChars="300" w:right="660" w:rightChars="300" w:firstLineChars="200"/>
        <w:rPr>
          <w:rFonts w:ascii="宋体" w:hAnsi="宋体" w:eastAsia="宋体" w:cs="宋体"/>
          <w:color w:val="auto"/>
          <w:sz w:val="32"/>
          <w:szCs w:val="22"/>
          <w:lang w:val="en-US" w:eastAsia="zh-CN" w:bidi="zh-CN"/>
        </w:rPr>
      </w:pPr>
      <w:r>
        <w:rPr>
          <w:rFonts w:hint="eastAsia" w:ascii="宋体" w:hAnsi="宋体" w:eastAsia="宋体" w:cs="宋体"/>
          <w:color w:val="auto"/>
          <w:sz w:val="32"/>
          <w:szCs w:val="22"/>
          <w:lang w:val="en-US" w:eastAsia="zh-CN" w:bidi="zh-CN"/>
        </w:rPr>
        <w:t>2024年，五通桥区体育中心 政府采购项目0万元。其中，政府采购货物预算0万元；政府采购工程预算0万元；政府采购服务预算0万元。</w:t>
      </w:r>
    </w:p>
    <w:p>
      <w:pPr>
        <w:pStyle w:val="4"/>
        <w:spacing w:before="100" w:after="120" w:afterLines="50"/>
        <w:ind w:left="0" w:firstLine="964" w:firstLineChars="300"/>
        <w:rPr>
          <w:rFonts w:ascii="宋体" w:hAnsi="宋体" w:eastAsia="宋体" w:cs="宋体"/>
          <w:color w:val="auto"/>
          <w:sz w:val="32"/>
          <w:szCs w:val="22"/>
          <w:lang w:val="en-US" w:eastAsia="zh-CN" w:bidi="zh-CN"/>
        </w:rPr>
      </w:pPr>
      <w:bookmarkStart w:id="30" w:name="_Toc11208"/>
      <w:r>
        <w:rPr>
          <w:rFonts w:ascii="宋体" w:hAnsi="宋体" w:eastAsia="宋体" w:cs="宋体"/>
          <w:color w:val="auto"/>
          <w:sz w:val="32"/>
          <w:szCs w:val="22"/>
          <w:lang w:val="en-US" w:eastAsia="zh-CN" w:bidi="zh-CN"/>
        </w:rPr>
        <w:t>（三）国有资产占有使用情况</w:t>
      </w:r>
      <w:bookmarkEnd w:id="30"/>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截至</w:t>
      </w:r>
      <w:r>
        <w:rPr>
          <w:rFonts w:hint="eastAsia" w:ascii="宋体" w:hAnsi="宋体"/>
          <w:color w:val="auto"/>
          <w:sz w:val="32"/>
          <w:lang w:val="en-US" w:eastAsia="zh-CN"/>
        </w:rPr>
        <w:t>2024</w:t>
      </w:r>
      <w:r>
        <w:rPr>
          <w:rFonts w:hint="eastAsia" w:ascii="宋体" w:hAnsi="宋体"/>
          <w:color w:val="auto"/>
          <w:sz w:val="32"/>
          <w:lang w:val="en-US"/>
        </w:rPr>
        <w:t>年底，</w:t>
      </w:r>
      <w:r>
        <w:rPr>
          <w:rFonts w:hint="eastAsia" w:ascii="宋体" w:hAnsi="宋体"/>
          <w:color w:val="auto"/>
          <w:sz w:val="32"/>
          <w:lang w:val="en-US" w:eastAsia="zh-CN"/>
        </w:rPr>
        <w:t xml:space="preserve">五通桥区体育中心 </w:t>
      </w:r>
      <w:r>
        <w:rPr>
          <w:rFonts w:hint="eastAsia" w:ascii="宋体" w:hAnsi="宋体"/>
          <w:color w:val="auto"/>
          <w:sz w:val="32"/>
          <w:lang w:val="en-US"/>
        </w:rPr>
        <w:t>所属各预算单位共有车辆0辆。单位价值100万元以上大型设备0套。</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eastAsia="zh-CN"/>
        </w:rPr>
        <w:t>2024</w:t>
      </w:r>
      <w:r>
        <w:rPr>
          <w:rFonts w:hint="eastAsia" w:ascii="宋体" w:hAnsi="宋体"/>
          <w:color w:val="auto"/>
          <w:sz w:val="32"/>
          <w:lang w:val="en-US"/>
        </w:rPr>
        <w:t>年部门预算未安排购置车辆及单位价值100万元以上大型设备。</w:t>
      </w:r>
    </w:p>
    <w:p>
      <w:pPr>
        <w:pStyle w:val="4"/>
        <w:spacing w:before="100" w:after="120" w:afterLines="50"/>
        <w:ind w:left="0" w:firstLine="964" w:firstLineChars="300"/>
        <w:rPr>
          <w:rFonts w:ascii="宋体" w:hAnsi="宋体"/>
          <w:color w:val="auto"/>
        </w:rPr>
      </w:pPr>
      <w:bookmarkStart w:id="31" w:name="_Toc13599"/>
      <w:r>
        <w:rPr>
          <w:rFonts w:hint="eastAsia" w:ascii="宋体" w:hAnsi="宋体"/>
          <w:color w:val="auto"/>
        </w:rPr>
        <w:t>（</w:t>
      </w:r>
      <w:r>
        <w:rPr>
          <w:rFonts w:hint="eastAsia" w:ascii="宋体" w:hAnsi="宋体"/>
          <w:color w:val="auto"/>
          <w:lang w:val="en-US"/>
        </w:rPr>
        <w:t>四</w:t>
      </w:r>
      <w:r>
        <w:rPr>
          <w:rFonts w:hint="eastAsia" w:ascii="宋体" w:hAnsi="宋体"/>
          <w:color w:val="auto"/>
        </w:rPr>
        <w:t>）</w:t>
      </w:r>
      <w:r>
        <w:rPr>
          <w:rFonts w:ascii="宋体" w:hAnsi="宋体"/>
          <w:color w:val="auto"/>
        </w:rPr>
        <w:t>预算绩效情况</w:t>
      </w:r>
      <w:bookmarkEnd w:id="31"/>
    </w:p>
    <w:p>
      <w:pPr>
        <w:pStyle w:val="14"/>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r>
        <w:rPr>
          <w:rFonts w:hint="eastAsia" w:ascii="宋体" w:hAnsi="宋体"/>
          <w:color w:val="auto"/>
          <w:sz w:val="32"/>
          <w:lang w:val="en-US" w:eastAsia="zh-CN"/>
        </w:rPr>
        <w:t>2024年五通桥区体育中心 开展绩效目标管理的项目12个，涉及预算39.34万元。其中：人员类项目11个，涉及预算37.94万元；运转类项目1个，涉及预算1.4万元；特定目标类项目0个，涉及预算0万元。</w:t>
      </w:r>
    </w:p>
    <w:p>
      <w:pPr>
        <w:pStyle w:val="14"/>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eastAsia="zh-CN"/>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jc w:val="center"/>
        <w:outlineLvl w:val="0"/>
        <w:rPr>
          <w:rFonts w:ascii="宋体" w:hAnsi="宋体" w:eastAsia="方正小标宋简体" w:cs="方正小标宋简体"/>
          <w:color w:val="auto"/>
          <w:sz w:val="52"/>
          <w:szCs w:val="52"/>
          <w:lang w:val="en-US"/>
        </w:rPr>
      </w:pPr>
      <w:bookmarkStart w:id="32" w:name="_Toc31157"/>
      <w:r>
        <w:rPr>
          <w:rFonts w:hint="eastAsia" w:ascii="宋体" w:hAnsi="宋体" w:eastAsia="方正小标宋简体" w:cs="方正小标宋简体"/>
          <w:color w:val="auto"/>
          <w:sz w:val="52"/>
          <w:szCs w:val="52"/>
          <w:lang w:val="en-US"/>
        </w:rPr>
        <w:t>第四部分  名词解释</w:t>
      </w:r>
      <w:bookmarkEnd w:id="32"/>
    </w:p>
    <w:p>
      <w:pPr>
        <w:rPr>
          <w:color w:val="auto"/>
          <w:sz w:val="20"/>
        </w:rPr>
        <w:sectPr>
          <w:headerReference r:id="rId8" w:type="default"/>
          <w:footerReference r:id="rId9" w:type="default"/>
          <w:pgSz w:w="11910" w:h="16840"/>
          <w:pgMar w:top="1587" w:right="964" w:bottom="1701" w:left="1134" w:header="737" w:footer="737" w:gutter="0"/>
          <w:cols w:space="0" w:num="1"/>
        </w:sectPr>
      </w:pP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1.财政拨款收支情况：是指一般公共预算、政府性基金预算、国有资本经营预算拨款收支情况。</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2.一般公共预算拨款收入：指区级财政当年拨付的资金。</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3.事业收入：指事业单位开展专业业务活动及辅助活动所取得的收入。</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4.事业单位经营收入：指事业单位在专业业务活动及其辅助活动之外开展非独立核算经营活动取得的收入。</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5.其他收入：指除上述“一般公共预算拨款收入”、“事业收入”、“事业单位经营收入”等以外的收入。主要是义务教育阶段课后服务费、利息收入、国有资产出租收入等。</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7.上年结转：指以前年度尚未完成，结转到本年仍按原规定用途继续使用的资金。</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8.社会保障和就业（类）行政事业单位离退休（款）事业单位离退休（项）：指离退休人员的支出。</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9.社会保障和就业（类）行政事业单位离退休（款）未归口管理的行政单位离退休（项）：指离退休人员的支出。</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10.社会保障和就业（类）行政事业单位离退休（款）机关事业单位基本养老保险缴费支出（项）：指部门实施养老保险制度由单位缴纳的养老保险费的支出。</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11.社会保障和就业（类）行政事业单位离退休（款）机关事业单位职业年金缴费支出（项）：指部门实施养老保险制度由单位缴纳的职业年金的支出。</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12.社会保障和就业（类）其他社会保障和就业（款）其他社会保障和就业支出（项）：指除上述项目外，其他用于行政事业单位离退休方面的支出。</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13.卫生健康（类）行政事业单位医疗（款）行政单位医疗（项）：指行政单位及参公管理事业单位用于缴纳单位基本医疗保险支出。</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14.卫生健康（类）行政事业单位医疗（款）事业单位医疗（项）：指事业单位用于缴纳单位基本医疗保险支出。</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15.卫生健康（类）行政事业单位医疗（款）公务员医疗补助（项）：指行政单位及参公管理事业单位用于集中缴纳公务员医疗补助支出。</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16.住房保障（类）住房改革支出（款）住房公积金（项）：指由单位及其在职职工按规定缴存的住房公积金支出。</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17.基本支出：指为保证机构正常运转，完成日常工作任务而发生的人员支出和公用支出。</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18.项目支出：指在基本支出之外为完成特定行政任务和事业发展目标所发生的支出。</w:t>
      </w:r>
    </w:p>
    <w:p>
      <w:pPr>
        <w:pStyle w:val="14"/>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0" w:type="default"/>
      <w:footerReference r:id="rId11" w:type="default"/>
      <w:pgSz w:w="11910" w:h="16840"/>
      <w:pgMar w:top="1587" w:right="964" w:bottom="1701" w:left="1134" w:header="737" w:footer="737"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sz w:val="2"/>
      </w:rPr>
    </w:pPr>
    <w:r>
      <w:rPr>
        <w:sz w:val="2"/>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sz w:val="2"/>
      </w:rPr>
    </w:pPr>
    <w:r>
      <w:rPr>
        <w:sz w:val="2"/>
        <w:lang w:val="en-US"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6</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6</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13</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val="en-US"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15</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15</w:t>
                    </w:r>
                    <w:r>
                      <w:fldChar w:fldCharType="end"/>
                    </w:r>
                    <w:r>
                      <w:t xml:space="preserve"> —</w:t>
                    </w:r>
                  </w:p>
                </w:txbxContent>
              </v:textbox>
            </v:shape>
          </w:pict>
        </mc:Fallback>
      </mc:AlternateContent>
    </w:r>
    <w:r>
      <w:rPr>
        <w:lang w:val="en-US" w:bidi="ar-SA"/>
      </w:rP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spacing w:after="482" w:afterLines="201"/>
      <w:ind w:firstLine="4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spacing w:after="482" w:afterLines="201"/>
      <w:ind w:firstLine="40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00C665"/>
    <w:multiLevelType w:val="singleLevel"/>
    <w:tmpl w:val="3400C665"/>
    <w:lvl w:ilvl="0" w:tentative="0">
      <w:start w:val="1"/>
      <w:numFmt w:val="chineseCounting"/>
      <w:suff w:val="nothing"/>
      <w:lvlText w:val="（%1）"/>
      <w:lvlJc w:val="left"/>
      <w:rPr>
        <w:rFonts w:hint="eastAsia"/>
      </w:rPr>
    </w:lvl>
  </w:abstractNum>
  <w:abstractNum w:abstractNumId="1">
    <w:nsid w:val="3C57E4DA"/>
    <w:multiLevelType w:val="singleLevel"/>
    <w:tmpl w:val="3C57E4DA"/>
    <w:lvl w:ilvl="0" w:tentative="0">
      <w:start w:val="1"/>
      <w:numFmt w:val="chineseCounting"/>
      <w:suff w:val="space"/>
      <w:lvlText w:val="第%1部分"/>
      <w:lvlJc w:val="left"/>
      <w:rPr>
        <w:rFonts w:hint="eastAsia"/>
      </w:rPr>
    </w:lvl>
  </w:abstractNum>
  <w:abstractNum w:abstractNumId="2">
    <w:nsid w:val="501035D5"/>
    <w:multiLevelType w:val="singleLevel"/>
    <w:tmpl w:val="501035D5"/>
    <w:lvl w:ilvl="0" w:tentative="0">
      <w:start w:val="2"/>
      <w:numFmt w:val="chineseCounting"/>
      <w:suff w:val="space"/>
      <w:lvlText w:val="第%1部分"/>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kY2M5YTE0YzExZDc4NzJkZTlkZTk3MzRkN2NmMGMifQ=="/>
  </w:docVars>
  <w:rsids>
    <w:rsidRoot w:val="00E24CB9"/>
    <w:rsid w:val="000169E7"/>
    <w:rsid w:val="00050CBC"/>
    <w:rsid w:val="000728D5"/>
    <w:rsid w:val="000F0F28"/>
    <w:rsid w:val="000F5FCE"/>
    <w:rsid w:val="001F1539"/>
    <w:rsid w:val="00294646"/>
    <w:rsid w:val="00296030"/>
    <w:rsid w:val="002E59B1"/>
    <w:rsid w:val="00352117"/>
    <w:rsid w:val="003E010F"/>
    <w:rsid w:val="00497650"/>
    <w:rsid w:val="004B04A5"/>
    <w:rsid w:val="00552E56"/>
    <w:rsid w:val="005B103A"/>
    <w:rsid w:val="005F1DAA"/>
    <w:rsid w:val="006C081D"/>
    <w:rsid w:val="006F1C55"/>
    <w:rsid w:val="00715118"/>
    <w:rsid w:val="00745054"/>
    <w:rsid w:val="00746441"/>
    <w:rsid w:val="00876F23"/>
    <w:rsid w:val="008A3563"/>
    <w:rsid w:val="008C1809"/>
    <w:rsid w:val="008E066F"/>
    <w:rsid w:val="00A43BFB"/>
    <w:rsid w:val="00A5515E"/>
    <w:rsid w:val="00AA0A42"/>
    <w:rsid w:val="00C10200"/>
    <w:rsid w:val="00C2054A"/>
    <w:rsid w:val="00C95851"/>
    <w:rsid w:val="00CA0E68"/>
    <w:rsid w:val="00CB1B8A"/>
    <w:rsid w:val="00CD48F9"/>
    <w:rsid w:val="00D51E25"/>
    <w:rsid w:val="00DE0A28"/>
    <w:rsid w:val="00E2194E"/>
    <w:rsid w:val="00E24CB9"/>
    <w:rsid w:val="00E3718F"/>
    <w:rsid w:val="00E87151"/>
    <w:rsid w:val="00EF6528"/>
    <w:rsid w:val="00F96A42"/>
    <w:rsid w:val="02962946"/>
    <w:rsid w:val="02CA6601"/>
    <w:rsid w:val="02ED1707"/>
    <w:rsid w:val="03F507CD"/>
    <w:rsid w:val="0707091C"/>
    <w:rsid w:val="08D37816"/>
    <w:rsid w:val="0E977311"/>
    <w:rsid w:val="13CB5FFB"/>
    <w:rsid w:val="167F7922"/>
    <w:rsid w:val="171E6442"/>
    <w:rsid w:val="17E16708"/>
    <w:rsid w:val="19511AD4"/>
    <w:rsid w:val="1BF42337"/>
    <w:rsid w:val="1C4565B4"/>
    <w:rsid w:val="1D041A4B"/>
    <w:rsid w:val="1DBF62C1"/>
    <w:rsid w:val="1E9115A9"/>
    <w:rsid w:val="20D9567F"/>
    <w:rsid w:val="21211D8E"/>
    <w:rsid w:val="2187629B"/>
    <w:rsid w:val="227B44EE"/>
    <w:rsid w:val="23960825"/>
    <w:rsid w:val="24635955"/>
    <w:rsid w:val="247F2477"/>
    <w:rsid w:val="27054714"/>
    <w:rsid w:val="276018C7"/>
    <w:rsid w:val="2B1C380A"/>
    <w:rsid w:val="2B82427E"/>
    <w:rsid w:val="2BD66371"/>
    <w:rsid w:val="2D0D16CA"/>
    <w:rsid w:val="2DD059BB"/>
    <w:rsid w:val="2EE3754B"/>
    <w:rsid w:val="30054E2B"/>
    <w:rsid w:val="3170631D"/>
    <w:rsid w:val="36CF383A"/>
    <w:rsid w:val="41F02AEA"/>
    <w:rsid w:val="48483904"/>
    <w:rsid w:val="4D3C563B"/>
    <w:rsid w:val="53FD009E"/>
    <w:rsid w:val="545C1D7C"/>
    <w:rsid w:val="54C30EEA"/>
    <w:rsid w:val="551723A4"/>
    <w:rsid w:val="5543046B"/>
    <w:rsid w:val="563B020F"/>
    <w:rsid w:val="56BF2B93"/>
    <w:rsid w:val="571B393E"/>
    <w:rsid w:val="58EE6347"/>
    <w:rsid w:val="595E3E2E"/>
    <w:rsid w:val="5AE90F4A"/>
    <w:rsid w:val="5B65451D"/>
    <w:rsid w:val="5CA92336"/>
    <w:rsid w:val="5EE47445"/>
    <w:rsid w:val="5F466247"/>
    <w:rsid w:val="60500601"/>
    <w:rsid w:val="68227747"/>
    <w:rsid w:val="6CD679F2"/>
    <w:rsid w:val="6E71128C"/>
    <w:rsid w:val="7209340F"/>
    <w:rsid w:val="721F4C1B"/>
    <w:rsid w:val="75F20DE2"/>
    <w:rsid w:val="75F91A11"/>
    <w:rsid w:val="766C31BB"/>
    <w:rsid w:val="76A308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0"/>
    </w:pPr>
    <w:rPr>
      <w:rFonts w:ascii="Times New Roman" w:hAnsi="Times New Roman" w:eastAsia="Times New Roman" w:cs="Times New Roman"/>
      <w:sz w:val="52"/>
      <w:szCs w:val="52"/>
    </w:rPr>
  </w:style>
  <w:style w:type="paragraph" w:styleId="4">
    <w:name w:val="heading 2"/>
    <w:basedOn w:val="1"/>
    <w:next w:val="1"/>
    <w:qFormat/>
    <w:uiPriority w:val="1"/>
    <w:pPr>
      <w:ind w:left="923"/>
      <w:outlineLvl w:val="1"/>
    </w:pPr>
    <w:rPr>
      <w:rFonts w:ascii="楷体" w:hAnsi="楷体" w:eastAsia="楷体" w:cs="楷体"/>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jc w:val="both"/>
      <w:textAlignment w:val="baseline"/>
    </w:pPr>
    <w:rPr>
      <w:rFonts w:ascii="Times New Roman" w:hAnsi="Times New Roman" w:eastAsia="宋体"/>
      <w:kern w:val="2"/>
      <w:sz w:val="21"/>
      <w:szCs w:val="21"/>
      <w:lang w:val="en-US" w:eastAsia="zh-CN" w:bidi="ar-SA"/>
    </w:rPr>
  </w:style>
  <w:style w:type="paragraph" w:styleId="5">
    <w:name w:val="Salutation"/>
    <w:basedOn w:val="1"/>
    <w:next w:val="1"/>
    <w:qFormat/>
    <w:uiPriority w:val="0"/>
  </w:style>
  <w:style w:type="paragraph" w:styleId="6">
    <w:name w:val="Body Text"/>
    <w:basedOn w:val="1"/>
    <w:qFormat/>
    <w:uiPriority w:val="1"/>
    <w:rPr>
      <w:rFonts w:ascii="仿宋_GB2312" w:hAnsi="仿宋_GB2312" w:eastAsia="仿宋_GB2312" w:cs="仿宋_GB2312"/>
      <w:sz w:val="32"/>
      <w:szCs w:val="32"/>
    </w:rPr>
  </w:style>
  <w:style w:type="paragraph" w:styleId="7">
    <w:name w:val="Balloon Text"/>
    <w:basedOn w:val="1"/>
    <w:link w:val="19"/>
    <w:qFormat/>
    <w:uiPriority w:val="0"/>
    <w:rPr>
      <w:sz w:val="18"/>
      <w:szCs w:val="18"/>
    </w:rPr>
  </w:style>
  <w:style w:type="paragraph" w:styleId="8">
    <w:name w:val="footer"/>
    <w:basedOn w:val="1"/>
    <w:qFormat/>
    <w:uiPriority w:val="0"/>
    <w:pPr>
      <w:tabs>
        <w:tab w:val="center" w:pos="4153"/>
        <w:tab w:val="right" w:pos="8306"/>
      </w:tabs>
      <w:snapToGrid w:val="0"/>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ind w:left="280" w:firstLine="640"/>
      <w:jc w:val="both"/>
    </w:pPr>
    <w:rPr>
      <w:rFonts w:ascii="仿宋_GB2312" w:hAnsi="仿宋_GB2312" w:eastAsia="仿宋_GB2312" w:cs="仿宋_GB2312"/>
    </w:rPr>
  </w:style>
  <w:style w:type="paragraph" w:customStyle="1" w:styleId="15">
    <w:name w:val="Table Paragraph"/>
    <w:basedOn w:val="1"/>
    <w:qFormat/>
    <w:uiPriority w:val="1"/>
  </w:style>
  <w:style w:type="paragraph" w:customStyle="1" w:styleId="16">
    <w:name w:val="WPSOffice手动目录 1"/>
    <w:qFormat/>
    <w:uiPriority w:val="0"/>
    <w:rPr>
      <w:rFonts w:asciiTheme="minorHAnsi" w:hAnsiTheme="minorHAnsi" w:eastAsiaTheme="minorHAnsi" w:cstheme="minorBidi"/>
      <w:lang w:val="en-US" w:eastAsia="zh-CN" w:bidi="ar-SA"/>
    </w:rPr>
  </w:style>
  <w:style w:type="paragraph" w:customStyle="1" w:styleId="17">
    <w:name w:val="WPSOffice手动目录 2"/>
    <w:qFormat/>
    <w:uiPriority w:val="0"/>
    <w:pPr>
      <w:ind w:left="200" w:leftChars="200"/>
    </w:pPr>
    <w:rPr>
      <w:rFonts w:asciiTheme="minorHAnsi" w:hAnsiTheme="minorHAnsi" w:eastAsiaTheme="minorHAnsi" w:cstheme="minorBidi"/>
      <w:lang w:val="en-US" w:eastAsia="zh-CN" w:bidi="ar-SA"/>
    </w:rPr>
  </w:style>
  <w:style w:type="paragraph" w:customStyle="1" w:styleId="18">
    <w:name w:val="WPSOffice手动目录 3"/>
    <w:qFormat/>
    <w:uiPriority w:val="0"/>
    <w:pPr>
      <w:ind w:left="400" w:leftChars="400"/>
    </w:pPr>
    <w:rPr>
      <w:rFonts w:asciiTheme="minorHAnsi" w:hAnsiTheme="minorHAnsi" w:eastAsiaTheme="minorHAnsi" w:cstheme="minorBidi"/>
      <w:lang w:val="en-US" w:eastAsia="zh-CN" w:bidi="ar-SA"/>
    </w:rPr>
  </w:style>
  <w:style w:type="character" w:customStyle="1" w:styleId="19">
    <w:name w:val="批注框文本 Char"/>
    <w:basedOn w:val="12"/>
    <w:link w:val="7"/>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19</Pages>
  <Words>1182</Words>
  <Characters>6739</Characters>
  <Lines>56</Lines>
  <Paragraphs>15</Paragraphs>
  <TotalTime>0</TotalTime>
  <ScaleCrop>false</ScaleCrop>
  <LinksUpToDate>false</LinksUpToDate>
  <CharactersWithSpaces>7906</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五通桥区文体旅游局</cp:lastModifiedBy>
  <cp:lastPrinted>2024-02-26T04:58:00Z</cp:lastPrinted>
  <dcterms:modified xsi:type="dcterms:W3CDTF">2024-02-26T07:00:06Z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2052-11.8.6.11825</vt:lpwstr>
  </property>
  <property fmtid="{D5CDD505-2E9C-101B-9397-08002B2CF9AE}" pid="6" name="ICV">
    <vt:lpwstr>36366321DB754AF89429D5E35849EDEE</vt:lpwstr>
  </property>
</Properties>
</file>