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bookmarkStart w:id="33" w:name="_GoBack"/>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w:t>
      </w:r>
      <w:r>
        <w:rPr>
          <w:rFonts w:hint="eastAsia" w:ascii="宋体" w:hAnsi="宋体" w:eastAsia="方正小标宋简体" w:cs="方正小标宋简体"/>
          <w:color w:val="auto"/>
          <w:sz w:val="52"/>
          <w:szCs w:val="52"/>
          <w:lang w:val="en-US" w:eastAsia="zh-CN"/>
        </w:rPr>
        <w:t>文物保护管理所</w:t>
      </w:r>
      <w:r>
        <w:rPr>
          <w:rFonts w:hint="eastAsia" w:ascii="宋体" w:hAnsi="宋体" w:eastAsia="方正小标宋简体" w:cs="方正小标宋简体"/>
          <w:color w:val="auto"/>
          <w:sz w:val="52"/>
          <w:szCs w:val="52"/>
          <w:lang w:val="en-US"/>
        </w:rPr>
        <w:t>）</w:t>
      </w: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rPr>
          <w:color w:val="auto"/>
          <w:sz w:val="4"/>
        </w:rPr>
      </w:pPr>
    </w:p>
    <w:p>
      <w:pPr>
        <w:pStyle w:val="5"/>
        <w:spacing w:before="2"/>
        <w:rPr>
          <w:rFonts w:ascii="宋体" w:hAnsi="宋体"/>
          <w:color w:val="auto"/>
          <w:sz w:val="4"/>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14"/>
            <w:tabs>
              <w:tab w:val="right" w:leader="dot" w:pos="9812"/>
            </w:tabs>
            <w:spacing w:line="560" w:lineRule="exact"/>
            <w:rPr>
              <w:rFonts w:ascii="宋体" w:hAnsi="宋体"/>
              <w:color w:val="auto"/>
              <w:sz w:val="32"/>
              <w:szCs w:val="32"/>
            </w:rPr>
          </w:pPr>
          <w:r>
            <w:rPr>
              <w:rFonts w:hint="eastAsia" w:ascii="宋体" w:hAnsi="宋体" w:eastAsia="方正小标宋简体" w:cs="方正小标宋简体"/>
              <w:b/>
              <w:bCs/>
              <w:color w:val="auto"/>
              <w:sz w:val="48"/>
              <w:szCs w:val="48"/>
            </w:rPr>
            <w:fldChar w:fldCharType="begin"/>
          </w:r>
          <w:r>
            <w:rPr>
              <w:rFonts w:hint="eastAsia" w:ascii="宋体" w:hAnsi="宋体" w:eastAsia="方正小标宋简体" w:cs="方正小标宋简体"/>
              <w:b/>
              <w:bCs/>
              <w:color w:val="auto"/>
              <w:sz w:val="48"/>
              <w:szCs w:val="48"/>
            </w:rPr>
            <w:instrText xml:space="preserve">TOC \o "1-3" \h \u </w:instrText>
          </w:r>
          <w:r>
            <w:rPr>
              <w:rFonts w:hint="eastAsia" w:ascii="宋体" w:hAnsi="宋体" w:eastAsia="方正小标宋简体" w:cs="方正小标宋简体"/>
              <w:b/>
              <w:bCs/>
              <w:color w:val="auto"/>
              <w:sz w:val="48"/>
              <w:szCs w:val="48"/>
            </w:rPr>
            <w:fldChar w:fldCharType="separate"/>
          </w:r>
          <w:r>
            <w:rPr>
              <w:color w:val="auto"/>
            </w:rPr>
            <w:fldChar w:fldCharType="begin"/>
          </w:r>
          <w:r>
            <w:rPr>
              <w:color w:val="auto"/>
            </w:rPr>
            <w:instrText xml:space="preserve"> HYPERLINK \l "_Toc24981" </w:instrText>
          </w:r>
          <w:r>
            <w:rPr>
              <w:color w:val="auto"/>
            </w:rPr>
            <w:fldChar w:fldCharType="separate"/>
          </w:r>
          <w:r>
            <w:rPr>
              <w:rFonts w:hint="eastAsia" w:ascii="宋体" w:hAnsi="宋体" w:eastAsia="方正小标宋简体" w:cs="方正小标宋简体"/>
              <w:bCs/>
              <w:color w:val="auto"/>
              <w:sz w:val="32"/>
              <w:szCs w:val="32"/>
            </w:rPr>
            <w:t>第一部分 部门概况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_Toc24981 \h </w:instrText>
          </w:r>
          <w:r>
            <w:rPr>
              <w:rFonts w:ascii="宋体" w:hAnsi="宋体"/>
              <w:color w:val="auto"/>
              <w:sz w:val="32"/>
              <w:szCs w:val="32"/>
            </w:rPr>
            <w:fldChar w:fldCharType="separate"/>
          </w:r>
          <w:r>
            <w:rPr>
              <w:rFonts w:ascii="宋体" w:hAnsi="宋体"/>
              <w:color w:val="auto"/>
              <w:sz w:val="32"/>
              <w:szCs w:val="32"/>
            </w:rPr>
            <w:t>1</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"_Toc977" </w:instrText>
          </w:r>
          <w:r>
            <w:rPr>
              <w:color w:val="auto"/>
            </w:rPr>
            <w:fldChar w:fldCharType="separate"/>
          </w:r>
          <w:r>
            <w:rPr>
              <w:rFonts w:hint="eastAsia" w:ascii="宋体" w:hAnsi="宋体" w:eastAsia="黑体"/>
              <w:color w:val="auto"/>
              <w:sz w:val="32"/>
              <w:szCs w:val="32"/>
            </w:rPr>
            <w:t>一、基本职能及主要工作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_Toc977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"_Toc5540" </w:instrText>
          </w:r>
          <w:r>
            <w:rPr>
              <w:color w:val="auto"/>
            </w:rPr>
            <w:fldChar w:fldCharType="separate"/>
          </w:r>
          <w:r>
            <w:rPr>
              <w:rFonts w:ascii="宋体" w:hAnsi="宋体"/>
              <w:color w:val="auto"/>
              <w:sz w:val="32"/>
              <w:szCs w:val="32"/>
            </w:rPr>
            <w:t>（一）部门职能简介</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_Toc5540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"_Toc29132" </w:instrText>
          </w:r>
          <w:r>
            <w:rPr>
              <w:color w:val="auto"/>
            </w:rPr>
            <w:fldChar w:fldCharType="separate"/>
          </w:r>
          <w:r>
            <w:rPr>
              <w:rFonts w:ascii="宋体" w:hAnsi="宋体"/>
              <w:color w:val="auto"/>
              <w:sz w:val="32"/>
              <w:szCs w:val="32"/>
            </w:rPr>
            <w:t>（二）部门</w:t>
          </w:r>
          <w:r>
            <w:rPr>
              <w:rFonts w:hint="eastAsia" w:ascii="宋体" w:hAnsi="宋体" w:eastAsia="宋体"/>
              <w:color w:val="auto"/>
              <w:sz w:val="32"/>
              <w:szCs w:val="32"/>
              <w:lang w:eastAsia="zh-CN"/>
            </w:rPr>
            <w:t>2024</w:t>
          </w:r>
          <w:r>
            <w:rPr>
              <w:rFonts w:ascii="宋体" w:hAnsi="宋体"/>
              <w:color w:val="auto"/>
              <w:sz w:val="32"/>
              <w:szCs w:val="32"/>
            </w:rPr>
            <w:t>年重点工</w:t>
          </w:r>
          <w:r>
            <w:rPr>
              <w:rFonts w:hint="eastAsia" w:ascii="宋体" w:hAnsi="宋体"/>
              <w:color w:val="auto"/>
              <w:sz w:val="32"/>
              <w:szCs w:val="32"/>
            </w:rPr>
            <w:t>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_Toc29132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"_Toc30432" </w:instrText>
          </w:r>
          <w:r>
            <w:rPr>
              <w:color w:val="auto"/>
            </w:rPr>
            <w:fldChar w:fldCharType="separate"/>
          </w:r>
          <w:r>
            <w:rPr>
              <w:rFonts w:hint="eastAsia" w:ascii="宋体" w:hAnsi="宋体" w:eastAsia="黑体"/>
              <w:color w:val="auto"/>
              <w:sz w:val="32"/>
              <w:szCs w:val="32"/>
            </w:rPr>
            <w:t>二、部门预算单位构成</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_Toc30432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"_Toc28587" </w:instrText>
          </w:r>
          <w:r>
            <w:rPr>
              <w:color w:val="auto"/>
            </w:rPr>
            <w:fldChar w:fldCharType="separate"/>
          </w:r>
          <w:r>
            <w:rPr>
              <w:rFonts w:hint="eastAsia" w:ascii="宋体" w:hAnsi="宋体" w:eastAsia="方正小标宋简体" w:cs="方正小标宋简体"/>
              <w:bCs/>
              <w:color w:val="auto"/>
              <w:sz w:val="32"/>
              <w:szCs w:val="32"/>
            </w:rPr>
            <w:t>第二部分五通桥区文物保护管理所</w:t>
          </w:r>
          <w:r>
            <w:rPr>
              <w:rFonts w:hint="eastAsia" w:ascii="宋体" w:hAnsi="宋体" w:eastAsia="方正小标宋简体" w:cs="方正小标宋简体"/>
              <w:bCs/>
              <w:color w:val="auto"/>
              <w:sz w:val="32"/>
              <w:szCs w:val="32"/>
              <w:lang w:eastAsia="zh-CN"/>
            </w:rPr>
            <w:t>2024</w:t>
          </w:r>
          <w:r>
            <w:rPr>
              <w:rFonts w:hint="eastAsia" w:ascii="宋体" w:hAnsi="宋体" w:eastAsia="方正小标宋简体" w:cs="方正小标宋简体"/>
              <w:bCs/>
              <w:color w:val="auto"/>
              <w:sz w:val="32"/>
              <w:szCs w:val="32"/>
            </w:rPr>
            <w:t>年部门预算表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_Toc28587 \h </w:instrText>
          </w:r>
          <w:r>
            <w:rPr>
              <w:rFonts w:ascii="宋体" w:hAnsi="宋体"/>
              <w:color w:val="auto"/>
              <w:sz w:val="32"/>
              <w:szCs w:val="32"/>
            </w:rPr>
            <w:fldChar w:fldCharType="separate"/>
          </w:r>
          <w:r>
            <w:rPr>
              <w:rFonts w:ascii="宋体" w:hAnsi="宋体"/>
              <w:color w:val="auto"/>
              <w:sz w:val="32"/>
              <w:szCs w:val="32"/>
            </w:rPr>
            <w:t>4</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"_Toc12069" </w:instrText>
          </w:r>
          <w:r>
            <w:rPr>
              <w:color w:val="auto"/>
            </w:rPr>
            <w:fldChar w:fldCharType="separate"/>
          </w:r>
          <w:r>
            <w:rPr>
              <w:rFonts w:hint="eastAsia" w:ascii="宋体" w:hAnsi="宋体"/>
              <w:color w:val="auto"/>
              <w:sz w:val="32"/>
              <w:szCs w:val="32"/>
            </w:rPr>
            <w:t>一、部门收支总表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_Toc12069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"_Toc27995" </w:instrText>
          </w:r>
          <w:r>
            <w:rPr>
              <w:color w:val="auto"/>
            </w:rPr>
            <w:fldChar w:fldCharType="separate"/>
          </w:r>
          <w:r>
            <w:rPr>
              <w:rFonts w:hint="eastAsia" w:ascii="宋体" w:hAnsi="宋体"/>
              <w:color w:val="auto"/>
              <w:sz w:val="32"/>
              <w:szCs w:val="32"/>
            </w:rPr>
            <w:t>二、部门收入总表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_Toc27995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"_Toc3639" </w:instrText>
          </w:r>
          <w:r>
            <w:rPr>
              <w:color w:val="auto"/>
            </w:rPr>
            <w:fldChar w:fldCharType="separate"/>
          </w:r>
          <w:r>
            <w:rPr>
              <w:rFonts w:hint="eastAsia" w:ascii="宋体" w:hAnsi="宋体"/>
              <w:color w:val="auto"/>
              <w:sz w:val="32"/>
              <w:szCs w:val="32"/>
            </w:rPr>
            <w:t>三、部门支出总表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_Toc3639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"_Toc25815" </w:instrText>
          </w:r>
          <w:r>
            <w:rPr>
              <w:color w:val="auto"/>
            </w:rPr>
            <w:fldChar w:fldCharType="separate"/>
          </w:r>
          <w:r>
            <w:rPr>
              <w:rFonts w:hint="eastAsia" w:ascii="宋体" w:hAnsi="宋体"/>
              <w:color w:val="auto"/>
              <w:sz w:val="32"/>
              <w:szCs w:val="32"/>
            </w:rPr>
            <w:t>四、财政拨款收支预算总表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_Toc25815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"_Toc4686" </w:instrText>
          </w:r>
          <w:r>
            <w:rPr>
              <w:color w:val="auto"/>
            </w:rPr>
            <w:fldChar w:fldCharType="separate"/>
          </w:r>
          <w:r>
            <w:rPr>
              <w:rFonts w:hint="eastAsia" w:ascii="宋体" w:hAnsi="宋体"/>
              <w:color w:val="auto"/>
              <w:sz w:val="32"/>
              <w:szCs w:val="32"/>
            </w:rPr>
            <w:t>五、财政拨款支出预算表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_Toc4686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"_Toc7952" </w:instrText>
          </w:r>
          <w:r>
            <w:rPr>
              <w:color w:val="auto"/>
            </w:rPr>
            <w:fldChar w:fldCharType="separate"/>
          </w:r>
          <w:r>
            <w:rPr>
              <w:rFonts w:hint="eastAsia" w:ascii="宋体" w:hAnsi="宋体"/>
              <w:color w:val="auto"/>
              <w:sz w:val="32"/>
              <w:szCs w:val="32"/>
            </w:rPr>
            <w:t>六、一般公共预算支出预算表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_Toc7952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"_Toc32200" </w:instrText>
          </w:r>
          <w:r>
            <w:rPr>
              <w:color w:val="auto"/>
            </w:rPr>
            <w:fldChar w:fldCharType="separate"/>
          </w:r>
          <w:r>
            <w:rPr>
              <w:rFonts w:hint="eastAsia" w:ascii="宋体" w:hAnsi="宋体"/>
              <w:color w:val="auto"/>
              <w:sz w:val="32"/>
              <w:szCs w:val="32"/>
            </w:rPr>
            <w:t>七、一般公共预算基本支出预算表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_Toc32200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"_Toc17751" </w:instrText>
          </w:r>
          <w:r>
            <w:rPr>
              <w:color w:val="auto"/>
            </w:rPr>
            <w:fldChar w:fldCharType="separate"/>
          </w:r>
          <w:r>
            <w:rPr>
              <w:rFonts w:hint="eastAsia" w:ascii="宋体" w:hAnsi="宋体"/>
              <w:color w:val="auto"/>
              <w:sz w:val="32"/>
              <w:szCs w:val="32"/>
            </w:rPr>
            <w:t>八、一般公共预算项目支出预算表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_Toc17751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"_Toc11119" </w:instrText>
          </w:r>
          <w:r>
            <w:rPr>
              <w:color w:val="auto"/>
            </w:rPr>
            <w:fldChar w:fldCharType="separate"/>
          </w:r>
          <w:r>
            <w:rPr>
              <w:rFonts w:hint="eastAsia" w:ascii="宋体" w:hAnsi="宋体"/>
              <w:color w:val="auto"/>
              <w:sz w:val="32"/>
              <w:szCs w:val="32"/>
            </w:rPr>
            <w:t>九、一般公共预算“三公”经费支出预算表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_Toc11119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"_Toc19211" </w:instrText>
          </w:r>
          <w:r>
            <w:rPr>
              <w:color w:val="auto"/>
            </w:rPr>
            <w:fldChar w:fldCharType="separate"/>
          </w:r>
          <w:r>
            <w:rPr>
              <w:rFonts w:hint="eastAsia" w:ascii="宋体" w:hAnsi="宋体"/>
              <w:color w:val="auto"/>
              <w:sz w:val="32"/>
              <w:szCs w:val="32"/>
            </w:rPr>
            <w:t>十、政府性基金预算支出表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_Toc19211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"_Toc7676" </w:instrText>
          </w:r>
          <w:r>
            <w:rPr>
              <w:color w:val="auto"/>
            </w:rPr>
            <w:fldChar w:fldCharType="separate"/>
          </w:r>
          <w:r>
            <w:rPr>
              <w:rFonts w:hint="eastAsia" w:ascii="宋体" w:hAnsi="宋体"/>
              <w:color w:val="auto"/>
              <w:sz w:val="32"/>
              <w:szCs w:val="32"/>
            </w:rPr>
            <w:t>十一、政府性基金预算“三公”经费支出预算表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_Toc7676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"_Toc22917" </w:instrText>
          </w:r>
          <w:r>
            <w:rPr>
              <w:color w:val="auto"/>
            </w:rPr>
            <w:fldChar w:fldCharType="separate"/>
          </w:r>
          <w:r>
            <w:rPr>
              <w:rFonts w:hint="eastAsia" w:ascii="宋体" w:hAnsi="宋体"/>
              <w:color w:val="auto"/>
              <w:sz w:val="32"/>
              <w:szCs w:val="32"/>
            </w:rPr>
            <w:t>十二、国有资本经营预算支出表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_Toc22917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"_Toc27847" </w:instrText>
          </w:r>
          <w:r>
            <w:rPr>
              <w:color w:val="auto"/>
            </w:rPr>
            <w:fldChar w:fldCharType="separate"/>
          </w:r>
          <w:r>
            <w:rPr>
              <w:rFonts w:hint="eastAsia" w:ascii="宋体" w:hAnsi="宋体"/>
              <w:color w:val="auto"/>
              <w:sz w:val="32"/>
              <w:szCs w:val="32"/>
            </w:rPr>
            <w:t>十三、部门整体支出绩效目标表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_Toc27847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"_Toc30878" </w:instrText>
          </w:r>
          <w:r>
            <w:rPr>
              <w:color w:val="auto"/>
            </w:rPr>
            <w:fldChar w:fldCharType="separate"/>
          </w:r>
          <w:r>
            <w:rPr>
              <w:rFonts w:hint="eastAsia" w:ascii="宋体" w:hAnsi="宋体"/>
              <w:color w:val="auto"/>
              <w:sz w:val="32"/>
              <w:szCs w:val="32"/>
            </w:rPr>
            <w:t>十四、部门预算项目支出绩效目标表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_Toc30878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"_Toc32437" </w:instrText>
          </w:r>
          <w:r>
            <w:rPr>
              <w:color w:val="auto"/>
            </w:rPr>
            <w:fldChar w:fldCharType="separate"/>
          </w:r>
          <w:r>
            <w:rPr>
              <w:rFonts w:hint="eastAsia" w:ascii="宋体" w:hAnsi="宋体"/>
              <w:color w:val="auto"/>
              <w:sz w:val="32"/>
              <w:szCs w:val="32"/>
            </w:rPr>
            <w:t>十五、政府采购预算表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_Toc32437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"_Toc19948" </w:instrText>
          </w:r>
          <w:r>
            <w:rPr>
              <w:color w:val="auto"/>
            </w:rPr>
            <w:fldChar w:fldCharType="separate"/>
          </w:r>
          <w:r>
            <w:rPr>
              <w:rFonts w:hint="eastAsia" w:ascii="宋体" w:hAnsi="宋体" w:eastAsia="方正小标宋简体" w:cs="方正小标宋简体"/>
              <w:color w:val="auto"/>
              <w:sz w:val="32"/>
              <w:szCs w:val="32"/>
            </w:rPr>
            <w:t>第三部分五通桥区文物保护管理所</w:t>
          </w:r>
          <w:r>
            <w:rPr>
              <w:rFonts w:hint="eastAsia" w:ascii="宋体" w:hAnsi="宋体" w:eastAsia="方正小标宋简体" w:cs="方正小标宋简体"/>
              <w:color w:val="auto"/>
              <w:sz w:val="32"/>
              <w:szCs w:val="32"/>
              <w:lang w:eastAsia="zh-CN"/>
            </w:rPr>
            <w:t>2024</w:t>
          </w:r>
          <w:r>
            <w:rPr>
              <w:rFonts w:hint="eastAsia" w:ascii="宋体" w:hAnsi="宋体" w:eastAsia="方正小标宋简体" w:cs="方正小标宋简体"/>
              <w:color w:val="auto"/>
              <w:sz w:val="32"/>
              <w:szCs w:val="32"/>
            </w:rPr>
            <w:t>年部门预算情况说明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_Toc19948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Chars="0" w:firstLine="400" w:firstLineChars="200"/>
            <w:rPr>
              <w:rFonts w:ascii="宋体" w:hAnsi="宋体"/>
              <w:color w:val="auto"/>
              <w:sz w:val="32"/>
              <w:szCs w:val="32"/>
            </w:rPr>
          </w:pPr>
          <w:r>
            <w:rPr>
              <w:color w:val="auto"/>
            </w:rPr>
            <w:fldChar w:fldCharType="begin"/>
          </w:r>
          <w:r>
            <w:rPr>
              <w:color w:val="auto"/>
            </w:rPr>
            <w:instrText xml:space="preserve"> HYPERLINK \l "_Toc469" </w:instrText>
          </w:r>
          <w:r>
            <w:rPr>
              <w:color w:val="auto"/>
            </w:rPr>
            <w:fldChar w:fldCharType="separate"/>
          </w:r>
          <w:r>
            <w:rPr>
              <w:rFonts w:hint="eastAsia" w:ascii="宋体" w:hAnsi="宋体" w:eastAsia="黑体"/>
              <w:color w:val="auto"/>
              <w:sz w:val="32"/>
              <w:szCs w:val="32"/>
            </w:rPr>
            <w:t>一、收支预算情况说明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"_Toc12176" </w:instrText>
          </w:r>
          <w:r>
            <w:rPr>
              <w:color w:val="auto"/>
            </w:rPr>
            <w:fldChar w:fldCharType="separate"/>
          </w:r>
          <w:r>
            <w:rPr>
              <w:rFonts w:ascii="宋体" w:hAnsi="宋体"/>
              <w:color w:val="auto"/>
              <w:sz w:val="32"/>
              <w:szCs w:val="32"/>
            </w:rPr>
            <w:t>（一）收入预算情况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_Toc12176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"_Toc23149" </w:instrText>
          </w:r>
          <w:r>
            <w:rPr>
              <w:color w:val="auto"/>
            </w:rPr>
            <w:fldChar w:fldCharType="separate"/>
          </w:r>
          <w:r>
            <w:rPr>
              <w:rFonts w:ascii="宋体" w:hAnsi="宋体"/>
              <w:color w:val="auto"/>
              <w:sz w:val="32"/>
              <w:szCs w:val="32"/>
            </w:rPr>
            <w:t>（二）支出预算情况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_Toc23149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"_Toc729" </w:instrText>
          </w:r>
          <w:r>
            <w:rPr>
              <w:color w:val="auto"/>
            </w:rPr>
            <w:fldChar w:fldCharType="separate"/>
          </w:r>
          <w:r>
            <w:rPr>
              <w:rFonts w:hint="eastAsia" w:ascii="宋体" w:hAnsi="宋体" w:eastAsia="黑体"/>
              <w:color w:val="auto"/>
              <w:sz w:val="32"/>
              <w:szCs w:val="32"/>
            </w:rPr>
            <w:t>二、财政拨款收支预算情况说明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_Toc729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"_Toc32511" </w:instrText>
          </w:r>
          <w:r>
            <w:rPr>
              <w:color w:val="auto"/>
            </w:rPr>
            <w:fldChar w:fldCharType="separate"/>
          </w:r>
          <w:r>
            <w:rPr>
              <w:rFonts w:hint="eastAsia" w:ascii="宋体" w:hAnsi="宋体" w:eastAsia="黑体"/>
              <w:color w:val="auto"/>
              <w:sz w:val="32"/>
              <w:szCs w:val="32"/>
            </w:rPr>
            <w:t>三、一般公共预算当年拨款情况说明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_Toc32511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"_Toc6394" </w:instrText>
          </w:r>
          <w:r>
            <w:rPr>
              <w:color w:val="auto"/>
            </w:rPr>
            <w:fldChar w:fldCharType="separate"/>
          </w:r>
          <w:r>
            <w:rPr>
              <w:rFonts w:ascii="宋体" w:hAnsi="宋体"/>
              <w:color w:val="auto"/>
              <w:sz w:val="32"/>
              <w:szCs w:val="32"/>
            </w:rPr>
            <w:t>（一）一般公共预算当年拨款规模变化情况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_Toc6394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"_Toc5045" </w:instrText>
          </w:r>
          <w:r>
            <w:rPr>
              <w:color w:val="auto"/>
            </w:rPr>
            <w:fldChar w:fldCharType="separate"/>
          </w:r>
          <w:r>
            <w:rPr>
              <w:rFonts w:ascii="宋体" w:hAnsi="宋体"/>
              <w:color w:val="auto"/>
              <w:sz w:val="32"/>
              <w:szCs w:val="32"/>
            </w:rPr>
            <w:t>（二）一般公共预算当年拨款结构情况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_Toc5045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"_Toc11698" </w:instrText>
          </w:r>
          <w:r>
            <w:rPr>
              <w:color w:val="auto"/>
            </w:rPr>
            <w:fldChar w:fldCharType="separate"/>
          </w:r>
          <w:r>
            <w:rPr>
              <w:rFonts w:ascii="宋体" w:hAnsi="宋体"/>
              <w:color w:val="auto"/>
              <w:sz w:val="32"/>
              <w:szCs w:val="32"/>
            </w:rPr>
            <w:t>（三）一般公共预算当年拨款具体使用情况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_Toc11698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"_Toc21665" </w:instrText>
          </w:r>
          <w:r>
            <w:rPr>
              <w:color w:val="auto"/>
            </w:rPr>
            <w:fldChar w:fldCharType="separate"/>
          </w:r>
          <w:r>
            <w:rPr>
              <w:rFonts w:hint="eastAsia" w:ascii="宋体" w:hAnsi="宋体" w:eastAsia="黑体"/>
              <w:color w:val="auto"/>
              <w:sz w:val="32"/>
              <w:szCs w:val="32"/>
            </w:rPr>
            <w:t>四、一般公共预算基本支出情况说明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_Toc21665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"_Toc1746" </w:instrText>
          </w:r>
          <w:r>
            <w:rPr>
              <w:color w:val="auto"/>
            </w:rPr>
            <w:fldChar w:fldCharType="separate"/>
          </w:r>
          <w:r>
            <w:rPr>
              <w:rFonts w:hint="eastAsia" w:ascii="宋体" w:hAnsi="宋体" w:eastAsia="黑体"/>
              <w:color w:val="auto"/>
              <w:sz w:val="32"/>
              <w:szCs w:val="32"/>
            </w:rPr>
            <w:t>五、“三公”经费财政拨款预算安排情况说明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_Toc1746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"_Toc10802" </w:instrText>
          </w:r>
          <w:r>
            <w:rPr>
              <w:color w:val="auto"/>
            </w:rPr>
            <w:fldChar w:fldCharType="separate"/>
          </w:r>
          <w:r>
            <w:rPr>
              <w:rFonts w:ascii="宋体" w:hAnsi="宋体"/>
              <w:color w:val="auto"/>
              <w:sz w:val="32"/>
              <w:szCs w:val="32"/>
            </w:rPr>
            <w:t>（一）</w:t>
          </w:r>
          <w:r>
            <w:rPr>
              <w:rFonts w:hint="eastAsia" w:ascii="宋体" w:hAnsi="宋体"/>
              <w:color w:val="auto"/>
              <w:sz w:val="32"/>
              <w:szCs w:val="32"/>
            </w:rPr>
            <w:t>公务接待费变化情况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_Toc10802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"_Toc17768" </w:instrText>
          </w:r>
          <w:r>
            <w:rPr>
              <w:color w:val="auto"/>
            </w:rPr>
            <w:fldChar w:fldCharType="separate"/>
          </w:r>
          <w:r>
            <w:rPr>
              <w:rFonts w:ascii="宋体" w:hAnsi="宋体"/>
              <w:color w:val="auto"/>
              <w:sz w:val="32"/>
              <w:szCs w:val="32"/>
            </w:rPr>
            <w:t>（</w:t>
          </w:r>
          <w:r>
            <w:rPr>
              <w:rFonts w:hint="eastAsia" w:ascii="宋体" w:hAnsi="宋体"/>
              <w:color w:val="auto"/>
              <w:sz w:val="32"/>
              <w:szCs w:val="32"/>
            </w:rPr>
            <w:t>二</w:t>
          </w:r>
          <w:r>
            <w:rPr>
              <w:rFonts w:ascii="宋体" w:hAnsi="宋体"/>
              <w:color w:val="auto"/>
              <w:sz w:val="32"/>
              <w:szCs w:val="32"/>
            </w:rPr>
            <w:t>）</w:t>
          </w:r>
          <w:r>
            <w:rPr>
              <w:rFonts w:hint="eastAsia" w:ascii="宋体" w:hAnsi="宋体"/>
              <w:color w:val="auto"/>
              <w:sz w:val="32"/>
              <w:szCs w:val="32"/>
            </w:rPr>
            <w:t>公务用车购置及运行维护费变化情况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_Toc17768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"_Toc2610" </w:instrText>
          </w:r>
          <w:r>
            <w:rPr>
              <w:color w:val="auto"/>
            </w:rPr>
            <w:fldChar w:fldCharType="separate"/>
          </w:r>
          <w:r>
            <w:rPr>
              <w:rFonts w:hint="eastAsia" w:ascii="宋体" w:hAnsi="宋体" w:eastAsia="黑体"/>
              <w:color w:val="auto"/>
              <w:sz w:val="32"/>
              <w:szCs w:val="32"/>
            </w:rPr>
            <w:t>六、政府性基金预算支出情况说明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_Toc2610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"_Toc17731" </w:instrText>
          </w:r>
          <w:r>
            <w:rPr>
              <w:color w:val="auto"/>
            </w:rPr>
            <w:fldChar w:fldCharType="separate"/>
          </w:r>
          <w:r>
            <w:rPr>
              <w:rFonts w:hint="eastAsia" w:ascii="宋体" w:hAnsi="宋体" w:eastAsia="黑体"/>
              <w:color w:val="auto"/>
              <w:sz w:val="32"/>
              <w:szCs w:val="32"/>
            </w:rPr>
            <w:t>七、国有资本经营预算情况说明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_Toc17731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"_Toc20919" </w:instrText>
          </w:r>
          <w:r>
            <w:rPr>
              <w:color w:val="auto"/>
            </w:rPr>
            <w:fldChar w:fldCharType="separate"/>
          </w:r>
          <w:r>
            <w:rPr>
              <w:rFonts w:hint="eastAsia" w:ascii="宋体" w:hAnsi="宋体" w:eastAsia="黑体"/>
              <w:color w:val="auto"/>
              <w:sz w:val="32"/>
              <w:szCs w:val="32"/>
            </w:rPr>
            <w:t>八、其他重要事项的情况说明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_Toc20919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"_Toc9621" </w:instrText>
          </w:r>
          <w:r>
            <w:rPr>
              <w:color w:val="auto"/>
            </w:rPr>
            <w:fldChar w:fldCharType="separate"/>
          </w:r>
          <w:r>
            <w:rPr>
              <w:rFonts w:ascii="宋体" w:hAnsi="宋体"/>
              <w:color w:val="auto"/>
              <w:sz w:val="32"/>
              <w:szCs w:val="32"/>
            </w:rPr>
            <w:t>（一）机关运行经费情况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_Toc9621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"_Toc26552" </w:instrText>
          </w:r>
          <w:r>
            <w:rPr>
              <w:color w:val="auto"/>
            </w:rPr>
            <w:fldChar w:fldCharType="separate"/>
          </w:r>
          <w:r>
            <w:rPr>
              <w:rFonts w:ascii="宋体" w:hAnsi="宋体"/>
              <w:color w:val="auto"/>
              <w:sz w:val="32"/>
              <w:szCs w:val="32"/>
            </w:rPr>
            <w:t>（二）政府采购情况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_Toc26552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"_Toc11208" </w:instrText>
          </w:r>
          <w:r>
            <w:rPr>
              <w:color w:val="auto"/>
            </w:rPr>
            <w:fldChar w:fldCharType="separate"/>
          </w:r>
          <w:r>
            <w:rPr>
              <w:rFonts w:ascii="宋体" w:hAnsi="宋体"/>
              <w:color w:val="auto"/>
              <w:sz w:val="32"/>
              <w:szCs w:val="32"/>
            </w:rPr>
            <w:t>（三）国有资产占有使用情况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_Toc11208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"_Toc13599" </w:instrText>
          </w:r>
          <w:r>
            <w:rPr>
              <w:color w:val="auto"/>
            </w:rPr>
            <w:fldChar w:fldCharType="separate"/>
          </w:r>
          <w:r>
            <w:rPr>
              <w:rFonts w:hint="eastAsia" w:ascii="宋体" w:hAnsi="宋体"/>
              <w:color w:val="auto"/>
              <w:sz w:val="32"/>
              <w:szCs w:val="32"/>
            </w:rPr>
            <w:t>（四）</w:t>
          </w:r>
          <w:r>
            <w:rPr>
              <w:rFonts w:ascii="宋体" w:hAnsi="宋体"/>
              <w:color w:val="auto"/>
              <w:sz w:val="32"/>
              <w:szCs w:val="32"/>
            </w:rPr>
            <w:t>预算绩效情况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_Toc13599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rPr>
          </w:pPr>
          <w:r>
            <w:rPr>
              <w:color w:val="auto"/>
            </w:rPr>
            <w:fldChar w:fldCharType="begin"/>
          </w:r>
          <w:r>
            <w:rPr>
              <w:color w:val="auto"/>
            </w:rPr>
            <w:instrText xml:space="preserve"> HYPERLINK \l "_Toc31157" </w:instrText>
          </w:r>
          <w:r>
            <w:rPr>
              <w:color w:val="auto"/>
            </w:rPr>
            <w:fldChar w:fldCharType="separate"/>
          </w:r>
          <w:r>
            <w:rPr>
              <w:rFonts w:hint="eastAsia" w:ascii="宋体" w:hAnsi="宋体" w:eastAsia="方正小标宋简体" w:cs="方正小标宋简体"/>
              <w:color w:val="auto"/>
              <w:sz w:val="32"/>
              <w:szCs w:val="32"/>
            </w:rPr>
            <w:t>第四部分  名词解释</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_Toc31157 \h </w:instrText>
          </w:r>
          <w:r>
            <w:rPr>
              <w:rFonts w:ascii="宋体" w:hAnsi="宋体"/>
              <w:color w:val="auto"/>
              <w:sz w:val="32"/>
              <w:szCs w:val="32"/>
            </w:rPr>
            <w:fldChar w:fldCharType="separate"/>
          </w:r>
          <w:r>
            <w:rPr>
              <w:rFonts w:ascii="宋体" w:hAnsi="宋体"/>
              <w:color w:val="auto"/>
              <w:sz w:val="32"/>
              <w:szCs w:val="32"/>
            </w:rPr>
            <w:t>14</w:t>
          </w:r>
          <w:r>
            <w:rPr>
              <w:rFonts w:ascii="宋体" w:hAnsi="宋体"/>
              <w:color w:val="auto"/>
              <w:sz w:val="32"/>
              <w:szCs w:val="32"/>
            </w:rPr>
            <w:fldChar w:fldCharType="end"/>
          </w:r>
          <w:r>
            <w:rPr>
              <w:rFonts w:ascii="宋体" w:hAnsi="宋体"/>
              <w:color w:val="auto"/>
              <w:sz w:val="32"/>
              <w:szCs w:val="32"/>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24981"/>
      <w:r>
        <w:rPr>
          <w:rFonts w:hint="eastAsia" w:ascii="宋体" w:hAnsi="宋体" w:eastAsia="方正小标宋简体" w:cs="方正小标宋简体"/>
          <w:b/>
          <w:bCs/>
          <w:color w:val="auto"/>
          <w:sz w:val="52"/>
          <w:szCs w:val="52"/>
          <w:lang w:val="en-US"/>
        </w:rPr>
        <w:t>部门概况</w:t>
      </w:r>
      <w:bookmarkEnd w:id="0"/>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auto"/>
        </w:rPr>
      </w:pPr>
      <w:bookmarkStart w:id="1" w:name="_Toc977"/>
      <w:r>
        <w:rPr>
          <w:rFonts w:hint="eastAsia" w:ascii="宋体" w:hAnsi="宋体" w:eastAsia="黑体"/>
          <w:color w:val="auto"/>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r>
        <w:rPr>
          <w:rFonts w:ascii="宋体" w:hAnsi="宋体"/>
          <w:color w:val="auto"/>
        </w:rPr>
        <w:t>（一）部门职能简介</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1.宣传贯彻落实国家、省、市关于文物保护工作的法律、法规。</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2.负责辖区内文物的普查、征集、管理、保护等工作。</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3.负责辖区内可移动文物和不可移动文物的认定、公布以及</w:t>
      </w:r>
      <w:r>
        <w:rPr>
          <w:rFonts w:hint="eastAsia" w:ascii="仿宋_GB2312" w:eastAsia="仿宋_GB2312"/>
          <w:color w:val="auto"/>
          <w:sz w:val="32"/>
          <w:szCs w:val="32"/>
          <w:u w:val="none"/>
          <w:lang w:val="en-US" w:eastAsia="zh-CN"/>
        </w:rPr>
        <w:t>文物保护单位的</w:t>
      </w:r>
      <w:r>
        <w:rPr>
          <w:rFonts w:hint="eastAsia" w:ascii="仿宋_GB2312" w:eastAsia="仿宋_GB2312"/>
          <w:color w:val="auto"/>
          <w:sz w:val="32"/>
          <w:szCs w:val="32"/>
          <w:u w:val="none"/>
          <w:lang w:val="en-US" w:eastAsia="zh-CN"/>
        </w:rPr>
        <w:t>申报工作。</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4.协助文物行政主管部门做好全区考古工作，配合有关单位对辖区内大型基本建设工程和涉及文物、历史文化遗迹的建设项目进行专项文物调查，并开展考古发掘。</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5.利用辖区内文物资源开展爱国主义教育，弘扬传统文化。</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6.完成文物行政主</w:t>
      </w:r>
      <w:r>
        <w:rPr>
          <w:rFonts w:hint="eastAsia" w:ascii="仿宋_GB2312" w:eastAsia="仿宋_GB2312"/>
          <w:color w:val="auto"/>
          <w:sz w:val="32"/>
          <w:szCs w:val="32"/>
          <w:u w:val="none"/>
          <w:lang w:val="en-US" w:eastAsia="zh-CN"/>
        </w:rPr>
        <w:t>管部门交办的其他工作。</w:t>
      </w:r>
    </w:p>
    <w:p>
      <w:pPr>
        <w:rPr>
          <w:rFonts w:hint="eastAsia"/>
          <w:color w:val="auto"/>
          <w:lang w:eastAsia="zh-CN"/>
        </w:rPr>
      </w:pPr>
    </w:p>
    <w:p>
      <w:pPr>
        <w:pStyle w:val="3"/>
        <w:keepNext w:val="0"/>
        <w:keepLines w:val="0"/>
        <w:pageBreakBefore w:val="0"/>
        <w:widowControl w:val="0"/>
        <w:numPr>
          <w:ilvl w:val="0"/>
          <w:numId w:val="2"/>
        </w:numPr>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color w:val="auto"/>
        </w:rPr>
      </w:pPr>
      <w:bookmarkStart w:id="2" w:name="_Toc29132"/>
      <w:r>
        <w:rPr>
          <w:rFonts w:ascii="宋体" w:hAnsi="宋体"/>
          <w:color w:val="auto"/>
        </w:rPr>
        <w:t>部门</w:t>
      </w:r>
      <w:r>
        <w:rPr>
          <w:rFonts w:hint="eastAsia" w:ascii="宋体" w:hAnsi="宋体"/>
          <w:color w:val="auto"/>
          <w:lang w:val="en-US" w:eastAsia="zh-CN"/>
        </w:rPr>
        <w:t>2024</w:t>
      </w:r>
      <w:r>
        <w:rPr>
          <w:rFonts w:ascii="宋体" w:hAnsi="宋体"/>
          <w:color w:val="auto"/>
        </w:rPr>
        <w:t>年重点工</w:t>
      </w:r>
      <w:r>
        <w:rPr>
          <w:rFonts w:hint="eastAsia" w:ascii="宋体" w:hAnsi="宋体"/>
          <w:color w:val="auto"/>
        </w:rPr>
        <w:t>作</w:t>
      </w:r>
      <w:bookmarkEnd w:id="2"/>
    </w:p>
    <w:p>
      <w:pPr>
        <w:spacing w:line="560" w:lineRule="exact"/>
        <w:ind w:firstLine="645"/>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1.开展岷江航电东风岩枢纽和老木孔枢纽工程项目区内的文物保护前期工作，重点做好定级文保单位的保护方案并妥善实施。</w:t>
      </w:r>
    </w:p>
    <w:p>
      <w:pPr>
        <w:spacing w:line="560" w:lineRule="exact"/>
        <w:ind w:firstLine="645"/>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2.实施金粟镇王爷庙（道士观）和公馆楼保护修缮，2024年4月份完成设计方案，6月份开工。</w:t>
      </w:r>
    </w:p>
    <w:p>
      <w:pPr>
        <w:spacing w:line="560" w:lineRule="exact"/>
        <w:ind w:firstLine="645"/>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3.做好全国文物四普工作。开展不可移动文物的复查和新发现，评估文物价值，依法完成文物认定、登记和公布程序，纳入法定保护对象。建立全区不可移动文物资源总目录和大数据库。完善不可移动文物保护管理机制，构建全面普查、专项调查、空间管控、动态监测相结合的文物资源管理体系，培养锻炼专业人员，建强文物保护队伍，增强全社会文物保护意识。2023 年 11 月至 2024 年 4 月为普查第一阶段，主要任务是建立各级普查机构，组建普查队伍，开展工作培训；2024 年 5 月至 2025 年 5 月为普查第二阶段，主要任务是以县域为基本单元，实地开展文物调查；2025 年 6 月至 2026 年6 月为普查第三阶段，主要任务是依法认定、登记并公布不可移动文物，建立全区不可移动文物资源总目录，逐级验收并向社会公布普查成果。</w:t>
      </w:r>
    </w:p>
    <w:p>
      <w:pPr>
        <w:rPr>
          <w:rFonts w:hint="eastAsia"/>
          <w:color w:val="auto"/>
        </w:rPr>
      </w:pPr>
    </w:p>
    <w:p>
      <w:pPr>
        <w:numPr>
          <w:ilvl w:val="0"/>
          <w:numId w:val="0"/>
        </w:numPr>
        <w:ind w:right="0" w:rightChars="0"/>
        <w:rPr>
          <w:rFonts w:hint="eastAsia"/>
          <w:color w:val="auto"/>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auto"/>
        </w:rPr>
      </w:pPr>
      <w:r>
        <w:rPr>
          <w:rFonts w:hint="eastAsia" w:ascii="宋体" w:hAnsi="宋体" w:eastAsia="黑体"/>
          <w:color w:val="auto"/>
        </w:rPr>
        <w:t>二、部门预算单位构成</w:t>
      </w:r>
    </w:p>
    <w:p>
      <w:pPr>
        <w:ind w:firstLine="1280" w:firstLineChars="400"/>
        <w:rPr>
          <w:color w:val="auto"/>
          <w:sz w:val="20"/>
        </w:rPr>
      </w:pPr>
      <w:r>
        <w:rPr>
          <w:rFonts w:hint="eastAsia"/>
          <w:color w:val="auto"/>
          <w:sz w:val="32"/>
          <w:lang w:val="en-US"/>
        </w:rPr>
        <w:t>无下属预算单位。</w:t>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jc w:val="center"/>
        <w:outlineLvl w:val="0"/>
        <w:rPr>
          <w:rFonts w:ascii="宋体" w:hAnsi="宋体" w:eastAsia="方正小标宋简体" w:cs="方正小标宋简体"/>
          <w:b/>
          <w:bCs/>
          <w:color w:val="auto"/>
          <w:sz w:val="52"/>
          <w:szCs w:val="52"/>
          <w:lang w:val="en-US"/>
        </w:rPr>
      </w:pPr>
      <w:bookmarkStart w:id="3" w:name="_Toc28587"/>
      <w:r>
        <w:rPr>
          <w:rFonts w:hint="eastAsia" w:ascii="宋体" w:hAnsi="宋体" w:eastAsia="方正小标宋简体" w:cs="方正小标宋简体"/>
          <w:b/>
          <w:bCs/>
          <w:color w:val="auto"/>
          <w:sz w:val="52"/>
          <w:szCs w:val="52"/>
          <w:lang w:val="en-US"/>
        </w:rPr>
        <w:t>五通桥区文物保护管理所</w:t>
      </w:r>
      <w:r>
        <w:rPr>
          <w:rFonts w:hint="eastAsia" w:ascii="宋体" w:hAnsi="宋体" w:eastAsia="方正小标宋简体" w:cs="方正小标宋简体"/>
          <w:b/>
          <w:bCs/>
          <w:color w:val="auto"/>
          <w:sz w:val="52"/>
          <w:szCs w:val="52"/>
          <w:lang w:val="en-US" w:eastAsia="zh-CN"/>
        </w:rPr>
        <w:t>2024</w:t>
      </w:r>
      <w:r>
        <w:rPr>
          <w:rFonts w:hint="eastAsia" w:ascii="宋体" w:hAnsi="宋体" w:eastAsia="方正小标宋简体" w:cs="方正小标宋简体"/>
          <w:b/>
          <w:bCs/>
          <w:color w:val="auto"/>
          <w:sz w:val="52"/>
          <w:szCs w:val="52"/>
          <w:lang w:val="en-US"/>
        </w:rPr>
        <w:t>年部门预算表</w:t>
      </w:r>
      <w:bookmarkEnd w:id="3"/>
    </w:p>
    <w:p>
      <w:pPr>
        <w:rPr>
          <w:color w:val="auto"/>
          <w:sz w:val="32"/>
          <w:lang w:val="en-US"/>
        </w:rPr>
      </w:pPr>
      <w:r>
        <w:rPr>
          <w:color w:val="auto"/>
        </w:rPr>
        <w:br w:type="page"/>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4" w:name="_Toc12069"/>
      <w:r>
        <w:rPr>
          <w:rFonts w:hint="eastAsia" w:ascii="宋体" w:hAnsi="宋体"/>
          <w:color w:val="auto"/>
          <w:sz w:val="32"/>
          <w:lang w:val="en-US"/>
        </w:rPr>
        <w:t>一、部门收支总表（公开表 1）</w:t>
      </w:r>
      <w:bookmarkEnd w:id="4"/>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5" w:name="_Toc27995"/>
      <w:r>
        <w:rPr>
          <w:rFonts w:hint="eastAsia" w:ascii="宋体" w:hAnsi="宋体"/>
          <w:color w:val="auto"/>
          <w:sz w:val="32"/>
          <w:lang w:val="en-US"/>
        </w:rPr>
        <w:t>二、部门收入总表（公开表 1-1）</w:t>
      </w:r>
      <w:bookmarkEnd w:id="5"/>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3639"/>
      <w:r>
        <w:rPr>
          <w:rFonts w:hint="eastAsia" w:ascii="宋体" w:hAnsi="宋体"/>
          <w:color w:val="auto"/>
          <w:sz w:val="32"/>
          <w:lang w:val="en-US"/>
        </w:rPr>
        <w:t>三、部门支出总表（公开表 1-2）</w:t>
      </w:r>
      <w:bookmarkEnd w:id="6"/>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25815"/>
      <w:r>
        <w:rPr>
          <w:rFonts w:hint="eastAsia" w:ascii="宋体" w:hAnsi="宋体"/>
          <w:color w:val="auto"/>
          <w:sz w:val="32"/>
          <w:lang w:val="en-US"/>
        </w:rPr>
        <w:t>四、财政拨款收支预算总表（公开表 2）</w:t>
      </w:r>
      <w:bookmarkEnd w:id="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4686"/>
      <w:r>
        <w:rPr>
          <w:rFonts w:hint="eastAsia" w:ascii="宋体" w:hAnsi="宋体"/>
          <w:color w:val="auto"/>
          <w:sz w:val="32"/>
          <w:lang w:val="en-US"/>
        </w:rPr>
        <w:t>五、财政拨款支出预算表（部门经济分类科目）</w:t>
      </w:r>
      <w:bookmarkEnd w:id="8"/>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7952"/>
      <w:r>
        <w:rPr>
          <w:rFonts w:hint="eastAsia" w:ascii="宋体" w:hAnsi="宋体"/>
          <w:color w:val="auto"/>
          <w:sz w:val="32"/>
          <w:lang w:val="en-US"/>
        </w:rPr>
        <w:t>六、一般公共预算支出预算表（公开表 3）</w:t>
      </w:r>
      <w:bookmarkEnd w:id="9"/>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32200"/>
      <w:r>
        <w:rPr>
          <w:rFonts w:hint="eastAsia" w:ascii="宋体" w:hAnsi="宋体"/>
          <w:color w:val="auto"/>
          <w:sz w:val="32"/>
          <w:lang w:val="en-US"/>
        </w:rPr>
        <w:t>七、一般公共预算基本支出预算表（公开表 3-1）</w:t>
      </w:r>
      <w:bookmarkEnd w:id="10"/>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17751"/>
      <w:r>
        <w:rPr>
          <w:rFonts w:hint="eastAsia" w:ascii="宋体" w:hAnsi="宋体"/>
          <w:color w:val="auto"/>
          <w:sz w:val="32"/>
          <w:lang w:val="en-US"/>
        </w:rPr>
        <w:t>八、一般公共预算项目支出预算表（公开表 3-2）</w:t>
      </w:r>
      <w:bookmarkEnd w:id="11"/>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11119"/>
      <w:r>
        <w:rPr>
          <w:rFonts w:hint="eastAsia" w:ascii="宋体" w:hAnsi="宋体"/>
          <w:color w:val="auto"/>
          <w:sz w:val="32"/>
          <w:lang w:val="en-US"/>
        </w:rPr>
        <w:t>九、一般公共预算“三公”经费支出预算表</w:t>
      </w:r>
      <w:bookmarkEnd w:id="12"/>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9211"/>
      <w:r>
        <w:rPr>
          <w:rFonts w:hint="eastAsia" w:ascii="宋体" w:hAnsi="宋体"/>
          <w:color w:val="auto"/>
          <w:sz w:val="32"/>
          <w:lang w:val="en-US"/>
        </w:rPr>
        <w:t>十、政府性基金预算支出表（公开表 4）</w:t>
      </w:r>
      <w:bookmarkEnd w:id="13"/>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7676"/>
      <w:r>
        <w:rPr>
          <w:rFonts w:hint="eastAsia" w:ascii="宋体" w:hAnsi="宋体"/>
          <w:color w:val="auto"/>
          <w:sz w:val="32"/>
          <w:lang w:val="en-US"/>
        </w:rPr>
        <w:t>十一、政府性基金预算“三公”经费支出预算表</w:t>
      </w:r>
      <w:bookmarkEnd w:id="14"/>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22917"/>
      <w:r>
        <w:rPr>
          <w:rFonts w:hint="eastAsia" w:ascii="宋体" w:hAnsi="宋体"/>
          <w:color w:val="auto"/>
          <w:sz w:val="32"/>
          <w:lang w:val="en-US"/>
        </w:rPr>
        <w:t>十二、国有资本经营预算支出表（公开表 5）</w:t>
      </w:r>
      <w:bookmarkEnd w:id="15"/>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27847"/>
      <w:r>
        <w:rPr>
          <w:rFonts w:hint="eastAsia" w:ascii="宋体" w:hAnsi="宋体"/>
          <w:color w:val="auto"/>
          <w:sz w:val="32"/>
          <w:lang w:val="en-US"/>
        </w:rPr>
        <w:t>十三、部门整体支出绩效目标表（公开表 6）</w:t>
      </w:r>
      <w:bookmarkEnd w:id="16"/>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30878"/>
      <w:r>
        <w:rPr>
          <w:rFonts w:hint="eastAsia" w:ascii="宋体" w:hAnsi="宋体"/>
          <w:color w:val="auto"/>
          <w:sz w:val="32"/>
          <w:lang w:val="en-US"/>
        </w:rPr>
        <w:t>十四、部门预算项目支出绩效目标表（公开表 7）</w:t>
      </w:r>
      <w:bookmarkEnd w:id="1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32437"/>
      <w:r>
        <w:rPr>
          <w:rFonts w:hint="eastAsia" w:ascii="宋体" w:hAnsi="宋体"/>
          <w:color w:val="auto"/>
          <w:sz w:val="32"/>
          <w:lang w:val="en-US"/>
        </w:rPr>
        <w:t>十五、政府采购预算表（公开表 8）</w:t>
      </w:r>
      <w:bookmarkEnd w:id="18"/>
    </w:p>
    <w:p>
      <w:pPr>
        <w:pStyle w:val="12"/>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19" w:name="_Toc16458"/>
      <w:r>
        <w:rPr>
          <w:rFonts w:hint="eastAsia" w:ascii="宋体" w:hAnsi="宋体"/>
          <w:b/>
          <w:bCs/>
          <w:color w:val="auto"/>
          <w:sz w:val="32"/>
          <w:lang w:val="en-US"/>
        </w:rPr>
        <w:t>以上所有表格详见部门说明后附件。</w:t>
      </w:r>
      <w:bookmarkEnd w:id="19"/>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spacing w:before="6"/>
        <w:jc w:val="center"/>
        <w:outlineLvl w:val="0"/>
        <w:rPr>
          <w:rFonts w:ascii="宋体" w:hAnsi="宋体" w:eastAsia="方正小标宋简体" w:cs="方正小标宋简体"/>
          <w:color w:val="auto"/>
          <w:sz w:val="52"/>
          <w:szCs w:val="52"/>
          <w:lang w:val="en-US"/>
        </w:rPr>
      </w:pPr>
      <w:bookmarkStart w:id="20" w:name="_Toc19948"/>
      <w:r>
        <w:rPr>
          <w:rFonts w:hint="eastAsia" w:ascii="宋体" w:hAnsi="宋体" w:eastAsia="方正小标宋简体" w:cs="方正小标宋简体"/>
          <w:color w:val="auto"/>
          <w:sz w:val="52"/>
          <w:szCs w:val="52"/>
          <w:lang w:val="en-US"/>
        </w:rPr>
        <w:t>五通桥区文物保护管理所</w:t>
      </w: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年</w:t>
      </w:r>
      <w:bookmarkEnd w:id="20"/>
    </w:p>
    <w:p>
      <w:pPr>
        <w:pStyle w:val="5"/>
        <w:spacing w:before="6"/>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sectPr>
      </w:pPr>
      <w:bookmarkStart w:id="21" w:name="_Toc1047"/>
      <w:r>
        <w:rPr>
          <w:rFonts w:hint="eastAsia" w:ascii="宋体" w:hAnsi="宋体" w:eastAsia="方正小标宋简体" w:cs="方正小标宋简体"/>
          <w:color w:val="auto"/>
          <w:sz w:val="52"/>
          <w:szCs w:val="52"/>
          <w:lang w:val="en-US"/>
        </w:rPr>
        <w:t>部门预算情况说明</w:t>
      </w:r>
      <w:bookmarkEnd w:id="21"/>
    </w:p>
    <w:p>
      <w:pPr>
        <w:pStyle w:val="5"/>
        <w:spacing w:before="40" w:after="120" w:afterLines="50" w:line="360" w:lineRule="auto"/>
        <w:rPr>
          <w:rFonts w:asciiTheme="majorEastAsia" w:hAnsiTheme="majorEastAsia" w:eastAsiaTheme="majorEastAsia"/>
          <w:color w:val="auto"/>
        </w:rPr>
      </w:pP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2" w:name="_Toc1746"/>
      <w:r>
        <w:rPr>
          <w:rFonts w:hint="eastAsia" w:asciiTheme="majorEastAsia" w:hAnsiTheme="majorEastAsia" w:eastAsiaTheme="majorEastAsia"/>
          <w:color w:val="auto"/>
        </w:rPr>
        <w:t>一、收支预算情况说明</w:t>
      </w:r>
    </w:p>
    <w:p>
      <w:pPr>
        <w:pStyle w:val="5"/>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按照综合预算的原则，乐山市五通桥区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rPr>
        <w:t>所有收入和支出均纳入部门预算管理。收入包括：一般公共预算拨款收入</w:t>
      </w:r>
      <w:r>
        <w:rPr>
          <w:rFonts w:asciiTheme="majorEastAsia" w:hAnsiTheme="majorEastAsia" w:eastAsiaTheme="majorEastAsia"/>
          <w:color w:val="auto"/>
        </w:rPr>
        <w:t xml:space="preserve"> ；支出包括：文化旅游体育与传媒支出、社会保障和就业支出、卫生健康支出、住房保障支出。</w:t>
      </w: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19.57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18.51</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w:t>
      </w:r>
      <w:r>
        <w:rPr>
          <w:rFonts w:hint="eastAsia" w:asciiTheme="majorEastAsia" w:hAnsiTheme="majorEastAsia" w:eastAsiaTheme="majorEastAsia"/>
          <w:color w:val="auto"/>
          <w:lang w:val="en-US" w:eastAsia="zh-CN"/>
        </w:rPr>
        <w:t>1.06</w:t>
      </w:r>
      <w:r>
        <w:rPr>
          <w:rFonts w:asciiTheme="majorEastAsia" w:hAnsiTheme="majorEastAsia" w:eastAsiaTheme="majorEastAsia"/>
          <w:color w:val="auto"/>
        </w:rPr>
        <w:t>万元。主要原因是：</w:t>
      </w:r>
      <w:r>
        <w:rPr>
          <w:rFonts w:hint="eastAsia" w:asciiTheme="majorEastAsia" w:hAnsiTheme="majorEastAsia" w:eastAsiaTheme="majorEastAsia"/>
          <w:color w:val="auto"/>
          <w:lang w:val="en-US" w:eastAsia="zh-CN"/>
        </w:rPr>
        <w:t>保险部分调增。</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（一）收入预算情况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收入预算</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万元，其中：上年结转0万元，占0%；一般公共预算拨款收入</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万元,占100%；政府性基金预算拨款收入 0万元,占0%；国有资本经营预算拨款收入 0万元,占0%；事业收入 0万元,占0%；事业单位经营收入 0万元,占0%；其他收入 0万元,占0%；</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（二）支出预算情况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年收入预算</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万元，其中：人员支出</w:t>
      </w:r>
      <w:r>
        <w:rPr>
          <w:rFonts w:hint="eastAsia" w:asciiTheme="majorEastAsia" w:hAnsiTheme="majorEastAsia" w:eastAsiaTheme="majorEastAsia"/>
          <w:color w:val="auto"/>
          <w:lang w:eastAsia="zh-CN"/>
        </w:rPr>
        <w:t>18.17</w:t>
      </w:r>
      <w:r>
        <w:rPr>
          <w:rFonts w:asciiTheme="majorEastAsia" w:hAnsiTheme="majorEastAsia" w:eastAsiaTheme="majorEastAsia"/>
          <w:color w:val="auto"/>
        </w:rPr>
        <w:t>万元，日常公用支出</w:t>
      </w:r>
      <w:r>
        <w:rPr>
          <w:rFonts w:hint="eastAsia" w:asciiTheme="majorEastAsia" w:hAnsiTheme="majorEastAsia" w:eastAsiaTheme="majorEastAsia"/>
          <w:color w:val="auto"/>
          <w:lang w:eastAsia="zh-CN"/>
        </w:rPr>
        <w:t>1.4</w:t>
      </w:r>
      <w:r>
        <w:rPr>
          <w:rFonts w:asciiTheme="majorEastAsia" w:hAnsiTheme="majorEastAsia" w:eastAsiaTheme="majorEastAsia"/>
          <w:color w:val="auto"/>
        </w:rPr>
        <w:t>万元，专项（项目）支出0万元。</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二、财政拨款收支预算情况说明</w:t>
      </w:r>
    </w:p>
    <w:p>
      <w:pPr>
        <w:pStyle w:val="5"/>
        <w:spacing w:before="300" w:after="120" w:afterLines="5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18.51</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w:t>
      </w:r>
      <w:r>
        <w:rPr>
          <w:rFonts w:hint="eastAsia" w:asciiTheme="majorEastAsia" w:hAnsiTheme="majorEastAsia" w:eastAsiaTheme="majorEastAsia"/>
          <w:color w:val="auto"/>
          <w:lang w:val="en-US" w:eastAsia="zh-CN"/>
        </w:rPr>
        <w:t>1.06</w:t>
      </w:r>
      <w:r>
        <w:rPr>
          <w:rFonts w:asciiTheme="majorEastAsia" w:hAnsiTheme="majorEastAsia" w:eastAsiaTheme="majorEastAsia"/>
          <w:color w:val="auto"/>
        </w:rPr>
        <w:t>万元。主要原因：</w:t>
      </w:r>
      <w:r>
        <w:rPr>
          <w:rFonts w:hint="eastAsia" w:asciiTheme="majorEastAsia" w:hAnsiTheme="majorEastAsia" w:eastAsiaTheme="majorEastAsia"/>
          <w:color w:val="auto"/>
          <w:lang w:val="en-US" w:eastAsia="zh-CN"/>
        </w:rPr>
        <w:t>保险部分调增。</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其中：基本支出</w:t>
      </w:r>
      <w:r>
        <w:rPr>
          <w:rFonts w:hint="eastAsia" w:asciiTheme="majorEastAsia" w:hAnsiTheme="majorEastAsia" w:eastAsiaTheme="majorEastAsia"/>
          <w:color w:val="auto"/>
          <w:lang w:val="en-US" w:eastAsia="zh-CN"/>
        </w:rPr>
        <w:t>19.57</w:t>
      </w:r>
      <w:r>
        <w:rPr>
          <w:rFonts w:asciiTheme="majorEastAsia" w:hAnsiTheme="majorEastAsia" w:eastAsiaTheme="majorEastAsia"/>
          <w:color w:val="auto"/>
        </w:rPr>
        <w:t>万元，占100%；项目支出0万元，占0%。</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基本支出，是用于保障乐山市五通桥区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rPr>
        <w:t>正常运转的日常支出，包括基本工资、津贴补贴等人员经费以及办公费、印刷费、水电费、办公设备购置等日常公用经费。</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项目支出</w:t>
      </w:r>
      <w:r>
        <w:rPr>
          <w:rFonts w:hint="eastAsia" w:asciiTheme="majorEastAsia" w:hAnsiTheme="majorEastAsia" w:eastAsiaTheme="majorEastAsia"/>
          <w:color w:val="auto"/>
          <w:lang w:val="en-US" w:eastAsia="zh-CN"/>
        </w:rPr>
        <w:t>为0。</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三、一般公共预算当年拨款情况说明</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（一）一般公共预算当年拨款规模变化情况</w:t>
      </w:r>
    </w:p>
    <w:p>
      <w:pPr>
        <w:pStyle w:val="5"/>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2023</w:t>
      </w:r>
      <w:r>
        <w:rPr>
          <w:rFonts w:hint="eastAsia" w:asciiTheme="majorEastAsia" w:hAnsiTheme="majorEastAsia" w:eastAsiaTheme="majorEastAsia"/>
          <w:color w:val="auto"/>
        </w:rPr>
        <w:t>年一</w:t>
      </w:r>
      <w:r>
        <w:rPr>
          <w:rFonts w:asciiTheme="majorEastAsia" w:hAnsiTheme="majorEastAsia" w:eastAsiaTheme="majorEastAsia"/>
          <w:color w:val="auto"/>
        </w:rPr>
        <w:t>般公共预算当年拨款</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18.51</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w:t>
      </w:r>
      <w:r>
        <w:rPr>
          <w:rFonts w:hint="eastAsia" w:asciiTheme="majorEastAsia" w:hAnsiTheme="majorEastAsia" w:eastAsiaTheme="majorEastAsia"/>
          <w:color w:val="auto"/>
          <w:lang w:val="en-US" w:eastAsia="zh-CN"/>
        </w:rPr>
        <w:t>1.06</w:t>
      </w:r>
      <w:r>
        <w:rPr>
          <w:rFonts w:asciiTheme="majorEastAsia" w:hAnsiTheme="majorEastAsia" w:eastAsiaTheme="majorEastAsia"/>
          <w:color w:val="auto"/>
        </w:rPr>
        <w:t>万元。主要原因：</w:t>
      </w:r>
      <w:r>
        <w:rPr>
          <w:rFonts w:hint="eastAsia" w:asciiTheme="majorEastAsia" w:hAnsiTheme="majorEastAsia" w:eastAsiaTheme="majorEastAsia"/>
          <w:color w:val="auto"/>
          <w:lang w:val="en-US" w:eastAsia="zh-CN"/>
        </w:rPr>
        <w:t>保险部分调增。</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（二）一般公共预算当年拨款结构情况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年一般公共预算支出</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万元，主要包括</w:t>
      </w:r>
      <w:r>
        <w:rPr>
          <w:rFonts w:hint="eastAsia" w:asciiTheme="majorEastAsia" w:hAnsiTheme="majorEastAsia" w:eastAsiaTheme="majorEastAsia"/>
          <w:color w:val="auto"/>
        </w:rPr>
        <w:t>文化旅游体育与传媒支出</w:t>
      </w:r>
      <w:r>
        <w:rPr>
          <w:rFonts w:hint="eastAsia" w:asciiTheme="majorEastAsia" w:hAnsiTheme="majorEastAsia" w:eastAsiaTheme="majorEastAsia"/>
          <w:color w:val="auto"/>
          <w:lang w:val="en-US" w:eastAsia="zh-CN"/>
        </w:rPr>
        <w:t>13.51</w:t>
      </w:r>
      <w:r>
        <w:rPr>
          <w:rFonts w:hint="eastAsia" w:asciiTheme="majorEastAsia" w:hAnsiTheme="majorEastAsia" w:eastAsiaTheme="majorEastAsia"/>
          <w:color w:val="auto"/>
        </w:rPr>
        <w:t>万元，</w:t>
      </w:r>
      <w:r>
        <w:rPr>
          <w:rFonts w:asciiTheme="majorEastAsia" w:hAnsiTheme="majorEastAsia" w:eastAsiaTheme="majorEastAsia"/>
          <w:color w:val="auto"/>
        </w:rPr>
        <w:t>占</w:t>
      </w:r>
      <w:r>
        <w:rPr>
          <w:rFonts w:hint="eastAsia" w:asciiTheme="majorEastAsia" w:hAnsiTheme="majorEastAsia" w:eastAsiaTheme="majorEastAsia"/>
          <w:color w:val="auto"/>
        </w:rPr>
        <w:t>69.03</w:t>
      </w:r>
      <w:r>
        <w:rPr>
          <w:rFonts w:asciiTheme="majorEastAsia" w:hAnsiTheme="majorEastAsia" w:eastAsiaTheme="majorEastAsia"/>
          <w:color w:val="auto"/>
        </w:rPr>
        <w:t>%、社会保障和就业支出3.</w:t>
      </w:r>
      <w:r>
        <w:rPr>
          <w:rFonts w:hint="eastAsia" w:asciiTheme="majorEastAsia" w:hAnsiTheme="majorEastAsia" w:eastAsiaTheme="majorEastAsia"/>
          <w:color w:val="auto"/>
          <w:lang w:val="en-US" w:eastAsia="zh-CN"/>
        </w:rPr>
        <w:t>79</w:t>
      </w:r>
      <w:r>
        <w:rPr>
          <w:rFonts w:asciiTheme="majorEastAsia" w:hAnsiTheme="majorEastAsia" w:eastAsiaTheme="majorEastAsia"/>
          <w:color w:val="auto"/>
        </w:rPr>
        <w:t>万元，占</w:t>
      </w:r>
      <w:r>
        <w:rPr>
          <w:rFonts w:hint="eastAsia" w:asciiTheme="majorEastAsia" w:hAnsiTheme="majorEastAsia" w:eastAsiaTheme="majorEastAsia"/>
          <w:color w:val="auto"/>
        </w:rPr>
        <w:t>19.37%</w:t>
      </w:r>
      <w:r>
        <w:rPr>
          <w:rFonts w:asciiTheme="majorEastAsia" w:hAnsiTheme="majorEastAsia" w:eastAsiaTheme="majorEastAsia"/>
          <w:color w:val="auto"/>
        </w:rPr>
        <w:t>、卫生健康支出</w:t>
      </w:r>
      <w:r>
        <w:rPr>
          <w:rFonts w:hint="eastAsia" w:asciiTheme="majorEastAsia" w:hAnsiTheme="majorEastAsia" w:eastAsiaTheme="majorEastAsia"/>
          <w:color w:val="auto"/>
          <w:lang w:val="en-US" w:eastAsia="zh-CN"/>
        </w:rPr>
        <w:t>0</w:t>
      </w:r>
      <w:r>
        <w:rPr>
          <w:rFonts w:asciiTheme="majorEastAsia" w:hAnsiTheme="majorEastAsia" w:eastAsiaTheme="majorEastAsia"/>
          <w:color w:val="auto"/>
        </w:rPr>
        <w:t>.</w:t>
      </w:r>
      <w:r>
        <w:rPr>
          <w:rFonts w:hint="eastAsia" w:asciiTheme="majorEastAsia" w:hAnsiTheme="majorEastAsia" w:eastAsiaTheme="majorEastAsia"/>
          <w:color w:val="auto"/>
          <w:lang w:val="en-US" w:eastAsia="zh-CN"/>
        </w:rPr>
        <w:t>73</w:t>
      </w:r>
      <w:r>
        <w:rPr>
          <w:rFonts w:asciiTheme="majorEastAsia" w:hAnsiTheme="majorEastAsia" w:eastAsiaTheme="majorEastAsia"/>
          <w:color w:val="auto"/>
        </w:rPr>
        <w:t>万元，占</w:t>
      </w:r>
      <w:r>
        <w:rPr>
          <w:rFonts w:hint="eastAsia" w:asciiTheme="majorEastAsia" w:hAnsiTheme="majorEastAsia" w:eastAsiaTheme="majorEastAsia"/>
          <w:color w:val="auto"/>
        </w:rPr>
        <w:t>3.73%</w:t>
      </w:r>
      <w:r>
        <w:rPr>
          <w:rFonts w:asciiTheme="majorEastAsia" w:hAnsiTheme="majorEastAsia" w:eastAsiaTheme="majorEastAsia"/>
          <w:color w:val="auto"/>
        </w:rPr>
        <w:t>、住房保障支出1.</w:t>
      </w:r>
      <w:r>
        <w:rPr>
          <w:rFonts w:hint="eastAsia" w:asciiTheme="majorEastAsia" w:hAnsiTheme="majorEastAsia" w:eastAsiaTheme="majorEastAsia"/>
          <w:color w:val="auto"/>
          <w:lang w:val="en-US" w:eastAsia="zh-CN"/>
        </w:rPr>
        <w:t>53</w:t>
      </w:r>
      <w:r>
        <w:rPr>
          <w:rFonts w:asciiTheme="majorEastAsia" w:hAnsiTheme="majorEastAsia" w:eastAsiaTheme="majorEastAsia"/>
          <w:color w:val="auto"/>
        </w:rPr>
        <w:t>万元，占7.8</w:t>
      </w:r>
      <w:r>
        <w:rPr>
          <w:rFonts w:hint="eastAsia" w:asciiTheme="majorEastAsia" w:hAnsiTheme="majorEastAsia" w:eastAsiaTheme="majorEastAsia"/>
          <w:color w:val="auto"/>
          <w:lang w:val="en-US" w:eastAsia="zh-CN"/>
        </w:rPr>
        <w:t>2</w:t>
      </w:r>
      <w:r>
        <w:rPr>
          <w:rFonts w:asciiTheme="majorEastAsia" w:hAnsiTheme="majorEastAsia" w:eastAsiaTheme="majorEastAsia"/>
          <w:color w:val="auto"/>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（三）一般公共预算当年拨款具体使用情况</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1、住房保障支出（类）住房改革支出（款）住房公积金（项）: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1.53</w:t>
      </w:r>
      <w:r>
        <w:rPr>
          <w:rFonts w:asciiTheme="majorEastAsia" w:hAnsiTheme="majorEastAsia" w:eastAsiaTheme="majorEastAsia"/>
          <w:color w:val="auto"/>
        </w:rPr>
        <w:t>万元，主要用于：部门按人力资源和社会保障部、财政部规定的基本工资和津贴补贴以及规定比例为职工缴纳的住房公积金支出。</w:t>
      </w:r>
    </w:p>
    <w:p>
      <w:pPr>
        <w:pStyle w:val="5"/>
        <w:spacing w:before="300" w:after="120" w:afterLines="50" w:line="360" w:lineRule="auto"/>
        <w:ind w:firstLine="640" w:firstLineChars="200"/>
        <w:outlineLvl w:val="1"/>
        <w:rPr>
          <w:rFonts w:hint="eastAsia" w:asciiTheme="majorEastAsia" w:hAnsiTheme="majorEastAsia" w:eastAsiaTheme="majorEastAsia"/>
          <w:color w:val="auto"/>
          <w:lang w:eastAsia="zh-CN"/>
        </w:rPr>
      </w:pPr>
      <w:r>
        <w:rPr>
          <w:rFonts w:hint="eastAsia" w:asciiTheme="majorEastAsia" w:hAnsiTheme="majorEastAsia" w:eastAsiaTheme="majorEastAsia"/>
          <w:color w:val="auto"/>
        </w:rPr>
        <w:t>2、文化旅游体育与传媒支出（类）文物（款）其他</w:t>
      </w:r>
      <w:r>
        <w:rPr>
          <w:rFonts w:asciiTheme="majorEastAsia" w:hAnsiTheme="majorEastAsia" w:eastAsiaTheme="majorEastAsia"/>
          <w:color w:val="auto"/>
        </w:rPr>
        <w:t>文物支出（项）: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13.51</w:t>
      </w:r>
      <w:r>
        <w:rPr>
          <w:rFonts w:asciiTheme="majorEastAsia" w:hAnsiTheme="majorEastAsia" w:eastAsiaTheme="majorEastAsia"/>
          <w:color w:val="auto"/>
        </w:rPr>
        <w:t>万元，主要用于：</w:t>
      </w:r>
      <w:r>
        <w:rPr>
          <w:rFonts w:hint="eastAsia" w:asciiTheme="majorEastAsia" w:hAnsiTheme="majorEastAsia" w:eastAsiaTheme="majorEastAsia"/>
          <w:color w:val="auto"/>
          <w:lang w:val="en-US"/>
        </w:rPr>
        <w:t>单位正常运转的基本支出，包括基本工资、津贴补贴等人员经费以及办公费、印刷费、水电费等日常公用经费</w:t>
      </w:r>
      <w:r>
        <w:rPr>
          <w:rFonts w:hint="eastAsia" w:asciiTheme="majorEastAsia" w:hAnsiTheme="majorEastAsia" w:eastAsiaTheme="majorEastAsia"/>
          <w:color w:val="auto"/>
          <w:lang w:val="en-US" w:eastAsia="zh-CN"/>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3、卫生健康支出（类）行政事业单位医疗（款）事业单位医疗（项）: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0.53</w:t>
      </w:r>
      <w:r>
        <w:rPr>
          <w:rFonts w:asciiTheme="majorEastAsia" w:hAnsiTheme="majorEastAsia" w:eastAsiaTheme="majorEastAsia"/>
          <w:color w:val="auto"/>
        </w:rPr>
        <w:t>万元，主要用于：事业单位基本医疗保险缴费支出。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4、社会保障和就业支出（类）行政事业单位养老支出（款）机关事业单位职业年金缴费支出（项）: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0.93</w:t>
      </w:r>
      <w:r>
        <w:rPr>
          <w:rFonts w:asciiTheme="majorEastAsia" w:hAnsiTheme="majorEastAsia" w:eastAsiaTheme="majorEastAsia"/>
          <w:color w:val="auto"/>
        </w:rPr>
        <w:t>万元，主要用于：实施养老保险制度后，部门按规定由单位缴纳的职业年金支出。</w:t>
      </w:r>
    </w:p>
    <w:p>
      <w:pPr>
        <w:pStyle w:val="5"/>
        <w:spacing w:before="300" w:after="120" w:afterLines="50" w:line="360" w:lineRule="auto"/>
        <w:ind w:firstLine="640" w:firstLineChars="200"/>
        <w:outlineLvl w:val="1"/>
        <w:rPr>
          <w:rFonts w:asciiTheme="majorEastAsia" w:hAnsiTheme="majorEastAsia" w:eastAsiaTheme="majorEastAsia"/>
          <w:color w:val="auto"/>
          <w:highlight w:val="none"/>
        </w:rPr>
      </w:pPr>
      <w:r>
        <w:rPr>
          <w:rFonts w:asciiTheme="majorEastAsia" w:hAnsiTheme="majorEastAsia" w:eastAsiaTheme="majorEastAsia"/>
          <w:color w:val="auto"/>
          <w:highlight w:val="none"/>
        </w:rPr>
        <w:t>5、社会保障和就业支出（类）行政事业单位养老支出（款）其他行政事业单位养老支出（项）:</w:t>
      </w:r>
      <w:r>
        <w:rPr>
          <w:rFonts w:hint="eastAsia" w:asciiTheme="majorEastAsia" w:hAnsiTheme="majorEastAsia" w:eastAsiaTheme="majorEastAsia"/>
          <w:color w:val="auto"/>
          <w:highlight w:val="none"/>
          <w:lang w:eastAsia="zh-CN"/>
        </w:rPr>
        <w:t>2024</w:t>
      </w:r>
      <w:r>
        <w:rPr>
          <w:rFonts w:asciiTheme="majorEastAsia" w:hAnsiTheme="majorEastAsia" w:eastAsiaTheme="majorEastAsia"/>
          <w:color w:val="auto"/>
          <w:highlight w:val="none"/>
        </w:rPr>
        <w:t>年预算数为0.83万元，主要用于：退休人员春节慰问费及活动经费等。</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6、社会保障和就业支出（类）行政事业单位养老支出（款）机关事业单位基本养老保险缴费支出（项）: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年预算数为1.</w:t>
      </w:r>
      <w:r>
        <w:rPr>
          <w:rFonts w:hint="eastAsia" w:asciiTheme="majorEastAsia" w:hAnsiTheme="majorEastAsia" w:eastAsiaTheme="majorEastAsia"/>
          <w:color w:val="auto"/>
          <w:lang w:val="en-US" w:eastAsia="zh-CN"/>
        </w:rPr>
        <w:t>87</w:t>
      </w:r>
      <w:r>
        <w:rPr>
          <w:rFonts w:asciiTheme="majorEastAsia" w:hAnsiTheme="majorEastAsia" w:eastAsiaTheme="majorEastAsia"/>
          <w:color w:val="auto"/>
        </w:rPr>
        <w:t>万元，主要用于：实施养老保险制度后，部门按规定由单位缴纳的基本养老保险费支出。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7、卫生健康支出（类）行政事业单位医疗（款）  其他行政事业单位医疗支出（项）: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年预算数为0.2万元，主要用于：事业单位其他医疗保险缴费支出。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8</w:t>
      </w:r>
      <w:r>
        <w:rPr>
          <w:rFonts w:hint="eastAsia" w:asciiTheme="majorEastAsia" w:hAnsiTheme="majorEastAsia" w:eastAsiaTheme="majorEastAsia"/>
          <w:color w:val="auto"/>
          <w:lang w:val="en-US"/>
        </w:rPr>
        <w:t>、社会保障和就业支出（类）其他社会保障和就业支出（款）其他社会保障和就业支出（项）:</w:t>
      </w:r>
      <w:r>
        <w:rPr>
          <w:rFonts w:hint="eastAsia" w:asciiTheme="majorEastAsia" w:hAnsiTheme="majorEastAsia" w:eastAsiaTheme="majorEastAsia"/>
          <w:color w:val="auto"/>
          <w:lang w:val="en-US" w:eastAsia="zh-CN"/>
        </w:rPr>
        <w:t>2024</w:t>
      </w:r>
      <w:r>
        <w:rPr>
          <w:rFonts w:hint="eastAsia" w:asciiTheme="majorEastAsia" w:hAnsiTheme="majorEastAsia" w:eastAsiaTheme="majorEastAsia"/>
          <w:color w:val="auto"/>
          <w:lang w:val="en-US"/>
        </w:rPr>
        <w:t>年预算数为</w:t>
      </w:r>
      <w:r>
        <w:rPr>
          <w:rFonts w:hint="eastAsia" w:asciiTheme="majorEastAsia" w:hAnsiTheme="majorEastAsia" w:eastAsiaTheme="majorEastAsia"/>
          <w:color w:val="auto"/>
          <w:lang w:val="en-US" w:eastAsia="zh-CN"/>
        </w:rPr>
        <w:t>0.16</w:t>
      </w:r>
      <w:r>
        <w:rPr>
          <w:rFonts w:hint="eastAsia" w:asciiTheme="majorEastAsia" w:hAnsiTheme="majorEastAsia" w:eastAsiaTheme="majorEastAsia"/>
          <w:color w:val="auto"/>
          <w:lang w:val="en-US"/>
        </w:rPr>
        <w:t>万元，主要用于：</w:t>
      </w:r>
      <w:r>
        <w:rPr>
          <w:rFonts w:hint="eastAsia" w:asciiTheme="majorEastAsia" w:hAnsiTheme="majorEastAsia" w:eastAsiaTheme="majorEastAsia"/>
          <w:color w:val="auto"/>
          <w:lang w:val="en-US" w:eastAsia="zh-CN"/>
        </w:rPr>
        <w:t>职工其它保险经费支出</w:t>
      </w:r>
      <w:r>
        <w:rPr>
          <w:rFonts w:hint="eastAsia" w:asciiTheme="majorEastAsia" w:hAnsiTheme="majorEastAsia" w:eastAsiaTheme="majorEastAsia"/>
          <w:color w:val="auto"/>
          <w:lang w:val="en-US"/>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四、一般公共预算基本支出情况说明</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乐山市五通桥区</w:t>
      </w:r>
      <w:r>
        <w:rPr>
          <w:rFonts w:hint="eastAsia" w:asciiTheme="majorEastAsia" w:hAnsiTheme="majorEastAsia" w:eastAsiaTheme="majorEastAsia"/>
          <w:color w:val="auto"/>
          <w:lang w:val="en-US" w:eastAsia="zh-CN"/>
        </w:rPr>
        <w:t>文物保护管理所</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一般公共预算基本支出</w:t>
      </w:r>
      <w:r>
        <w:rPr>
          <w:rFonts w:hint="eastAsia" w:asciiTheme="majorEastAsia" w:hAnsiTheme="majorEastAsia" w:eastAsiaTheme="majorEastAsia"/>
          <w:color w:val="auto"/>
          <w:lang w:eastAsia="zh-CN"/>
        </w:rPr>
        <w:t>19.57</w:t>
      </w:r>
      <w:r>
        <w:rPr>
          <w:rFonts w:asciiTheme="majorEastAsia" w:hAnsiTheme="majorEastAsia" w:eastAsiaTheme="majorEastAsia"/>
          <w:color w:val="auto"/>
        </w:rPr>
        <w:t>万元，其中：</w:t>
      </w:r>
    </w:p>
    <w:p>
      <w:pPr>
        <w:pStyle w:val="5"/>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人员经费</w:t>
      </w:r>
      <w:r>
        <w:rPr>
          <w:rFonts w:hint="eastAsia" w:asciiTheme="majorEastAsia" w:hAnsiTheme="majorEastAsia" w:eastAsiaTheme="majorEastAsia"/>
          <w:color w:val="auto"/>
          <w:lang w:eastAsia="zh-CN"/>
        </w:rPr>
        <w:t>18.17</w:t>
      </w:r>
      <w:r>
        <w:rPr>
          <w:rFonts w:asciiTheme="majorEastAsia" w:hAnsiTheme="majorEastAsia" w:eastAsiaTheme="majorEastAsia"/>
          <w:color w:val="auto"/>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5"/>
        <w:spacing w:before="300" w:after="120" w:afterLines="50" w:line="360" w:lineRule="auto"/>
        <w:ind w:firstLine="640" w:firstLineChars="200"/>
        <w:outlineLvl w:val="1"/>
        <w:rPr>
          <w:rFonts w:hint="eastAsia" w:asciiTheme="majorEastAsia" w:hAnsiTheme="majorEastAsia" w:eastAsiaTheme="majorEastAsia"/>
          <w:color w:val="auto"/>
        </w:rPr>
      </w:pPr>
      <w:r>
        <w:rPr>
          <w:rFonts w:hint="eastAsia" w:asciiTheme="majorEastAsia" w:hAnsiTheme="majorEastAsia" w:eastAsiaTheme="majorEastAsia"/>
          <w:color w:val="auto"/>
        </w:rPr>
        <w:t>公用经费</w:t>
      </w:r>
      <w:r>
        <w:rPr>
          <w:rFonts w:hint="eastAsia" w:asciiTheme="majorEastAsia" w:hAnsiTheme="majorEastAsia" w:eastAsiaTheme="majorEastAsia"/>
          <w:color w:val="auto"/>
          <w:lang w:eastAsia="zh-CN"/>
        </w:rPr>
        <w:t>1.4</w:t>
      </w:r>
      <w:r>
        <w:rPr>
          <w:rFonts w:asciiTheme="majorEastAsia" w:hAnsiTheme="majorEastAsia" w:eastAsiaTheme="majorEastAsia"/>
          <w:color w:val="auto"/>
        </w:rPr>
        <w:t>万元，主要包括：主要包括：办公费、印刷费、水费、电费、邮电费、差旅费、维修（护）费、会议费、培训费、公务接待费、劳务费、工会经费、福利费、公务用车运行维护费、其他交通费、其他商品和服务支出。</w:t>
      </w:r>
    </w:p>
    <w:p>
      <w:pPr>
        <w:pStyle w:val="5"/>
        <w:spacing w:before="300" w:after="120" w:afterLines="5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bookmarkEnd w:id="22"/>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五通桥区文物保护管理所</w:t>
      </w:r>
      <w:r>
        <w:rPr>
          <w:rFonts w:hint="eastAsia" w:ascii="宋体" w:hAnsi="宋体"/>
          <w:color w:val="auto"/>
          <w:sz w:val="32"/>
          <w:lang w:val="en-US" w:eastAsia="zh-CN"/>
        </w:rPr>
        <w:t>2024</w:t>
      </w:r>
      <w:r>
        <w:rPr>
          <w:rFonts w:hint="eastAsia" w:ascii="宋体" w:hAnsi="宋体"/>
          <w:color w:val="auto"/>
          <w:sz w:val="32"/>
          <w:lang w:val="en-US"/>
        </w:rPr>
        <w:t>年“三公”经费财政拨款预算数0万元，其中：公务接待费0万元，公务用车购置0万元，公车运行维护费0万元。</w:t>
      </w:r>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eastAsia="zh-CN"/>
        </w:rPr>
        <w:t>2024</w:t>
      </w:r>
      <w:r>
        <w:rPr>
          <w:rFonts w:hint="eastAsia" w:ascii="宋体" w:hAnsi="宋体"/>
          <w:color w:val="auto"/>
          <w:sz w:val="32"/>
          <w:lang w:val="en-US"/>
        </w:rPr>
        <w:t>年公务接待费</w:t>
      </w:r>
      <w:r>
        <w:rPr>
          <w:rFonts w:hint="eastAsia" w:ascii="宋体" w:hAnsi="宋体"/>
          <w:color w:val="auto"/>
          <w:sz w:val="32"/>
          <w:lang w:val="en-US" w:eastAsia="zh-CN"/>
        </w:rPr>
        <w:t>无</w:t>
      </w:r>
      <w:r>
        <w:rPr>
          <w:rFonts w:hint="eastAsia" w:ascii="宋体" w:hAnsi="宋体"/>
          <w:color w:val="auto"/>
          <w:sz w:val="32"/>
          <w:lang w:val="en-US"/>
        </w:rPr>
        <w:t>计划</w:t>
      </w:r>
      <w:r>
        <w:rPr>
          <w:rFonts w:hint="eastAsia" w:ascii="宋体" w:hAnsi="宋体"/>
          <w:color w:val="auto"/>
          <w:sz w:val="32"/>
          <w:lang w:val="en-US" w:eastAsia="zh-CN"/>
        </w:rPr>
        <w:t>。</w:t>
      </w:r>
    </w:p>
    <w:p>
      <w:pPr>
        <w:pStyle w:val="3"/>
        <w:spacing w:before="100" w:after="120" w:afterLines="50"/>
        <w:ind w:left="0" w:firstLine="964" w:firstLineChars="300"/>
        <w:rPr>
          <w:rFonts w:ascii="宋体" w:hAnsi="宋体"/>
          <w:color w:val="auto"/>
        </w:rPr>
      </w:pPr>
      <w:bookmarkStart w:id="23" w:name="_Toc10802"/>
      <w:r>
        <w:rPr>
          <w:rFonts w:ascii="宋体" w:hAnsi="宋体"/>
          <w:color w:val="auto"/>
        </w:rPr>
        <w:t>（一）</w:t>
      </w:r>
      <w:r>
        <w:rPr>
          <w:rFonts w:hint="eastAsia" w:ascii="宋体" w:hAnsi="宋体"/>
          <w:color w:val="auto"/>
          <w:lang w:val="en-US"/>
        </w:rPr>
        <w:t>公务接待费变化情况</w:t>
      </w:r>
      <w:bookmarkEnd w:id="23"/>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公务接待费较</w:t>
      </w:r>
      <w:r>
        <w:rPr>
          <w:rFonts w:hint="eastAsia" w:ascii="宋体" w:hAnsi="宋体"/>
          <w:color w:val="auto"/>
          <w:sz w:val="32"/>
          <w:lang w:val="en-US" w:eastAsia="zh-CN"/>
        </w:rPr>
        <w:t>2023</w:t>
      </w:r>
      <w:r>
        <w:rPr>
          <w:rFonts w:ascii="宋体" w:hAnsi="宋体"/>
          <w:color w:val="auto"/>
          <w:sz w:val="32"/>
          <w:lang w:val="en-US"/>
        </w:rPr>
        <w:t>年预算</w:t>
      </w:r>
      <w:r>
        <w:rPr>
          <w:rFonts w:hint="eastAsia" w:ascii="宋体" w:hAnsi="宋体"/>
          <w:color w:val="auto"/>
          <w:sz w:val="32"/>
          <w:lang w:val="en-US" w:eastAsia="zh-CN"/>
        </w:rPr>
        <w:t>0</w:t>
      </w:r>
      <w:r>
        <w:rPr>
          <w:rFonts w:ascii="宋体" w:hAnsi="宋体"/>
          <w:color w:val="auto"/>
          <w:sz w:val="32"/>
          <w:lang w:val="en-US"/>
        </w:rPr>
        <w:t>万元</w:t>
      </w:r>
      <w:r>
        <w:rPr>
          <w:rFonts w:hint="eastAsia" w:ascii="宋体" w:hAnsi="宋体"/>
          <w:color w:val="auto"/>
          <w:sz w:val="32"/>
          <w:lang w:val="en-US" w:eastAsia="zh-CN"/>
        </w:rPr>
        <w:t>无变化</w:t>
      </w:r>
      <w:r>
        <w:rPr>
          <w:rFonts w:ascii="宋体" w:hAnsi="宋体"/>
          <w:color w:val="auto"/>
          <w:sz w:val="32"/>
          <w:lang w:val="en-US"/>
        </w:rPr>
        <w:t>。</w:t>
      </w:r>
    </w:p>
    <w:p>
      <w:pPr>
        <w:pStyle w:val="3"/>
        <w:spacing w:before="100" w:after="120" w:afterLines="50"/>
        <w:ind w:left="0" w:firstLine="964" w:firstLineChars="300"/>
        <w:rPr>
          <w:rFonts w:ascii="宋体" w:hAnsi="宋体"/>
          <w:color w:val="auto"/>
        </w:rPr>
      </w:pPr>
      <w:bookmarkStart w:id="24" w:name="_Toc17768"/>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24"/>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公务用车购置及运行维护费较</w:t>
      </w:r>
      <w:r>
        <w:rPr>
          <w:rFonts w:hint="eastAsia" w:ascii="宋体" w:hAnsi="宋体"/>
          <w:color w:val="auto"/>
          <w:sz w:val="32"/>
          <w:lang w:val="en-US" w:eastAsia="zh-CN"/>
        </w:rPr>
        <w:t>2023</w:t>
      </w:r>
      <w:r>
        <w:rPr>
          <w:rFonts w:ascii="宋体" w:hAnsi="宋体"/>
          <w:color w:val="auto"/>
          <w:sz w:val="32"/>
          <w:lang w:val="en-US"/>
        </w:rPr>
        <w:t>预算</w:t>
      </w:r>
      <w:r>
        <w:rPr>
          <w:rFonts w:hint="eastAsia" w:ascii="宋体" w:hAnsi="宋体"/>
          <w:color w:val="auto"/>
          <w:sz w:val="32"/>
          <w:lang w:val="en-US"/>
        </w:rPr>
        <w:t>0</w:t>
      </w:r>
      <w:r>
        <w:rPr>
          <w:rFonts w:ascii="宋体" w:hAnsi="宋体"/>
          <w:color w:val="auto"/>
          <w:sz w:val="32"/>
          <w:lang w:val="en-US"/>
        </w:rPr>
        <w:t>万元预算持平。主要原因是厉行节约，规范公务出行，尽量乘坐公共交通工具。</w:t>
      </w:r>
    </w:p>
    <w:p>
      <w:pPr>
        <w:pStyle w:val="5"/>
        <w:spacing w:before="300" w:after="120" w:afterLines="50" w:line="360" w:lineRule="auto"/>
        <w:ind w:firstLine="640" w:firstLineChars="200"/>
        <w:outlineLvl w:val="1"/>
        <w:rPr>
          <w:rFonts w:asciiTheme="majorEastAsia" w:hAnsiTheme="majorEastAsia" w:eastAsiaTheme="majorEastAsia"/>
          <w:color w:val="auto"/>
          <w:lang w:val="en-US"/>
        </w:rPr>
      </w:pPr>
      <w:r>
        <w:rPr>
          <w:rFonts w:asciiTheme="majorEastAsia" w:hAnsiTheme="majorEastAsia" w:eastAsiaTheme="majorEastAsia"/>
          <w:color w:val="auto"/>
          <w:lang w:val="en-US"/>
        </w:rPr>
        <w:t>单位实有公务用车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辆，其中：轿车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辆，多功能乘用车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ascii="宋体" w:hAnsi="宋体"/>
          <w:color w:val="auto"/>
          <w:sz w:val="32"/>
          <w:lang w:val="en-US"/>
        </w:rPr>
        <w:t>年安排公务用车购置费</w:t>
      </w:r>
      <w:r>
        <w:rPr>
          <w:rFonts w:hint="eastAsia" w:ascii="宋体" w:hAnsi="宋体"/>
          <w:color w:val="auto"/>
          <w:sz w:val="32"/>
          <w:lang w:val="en-US"/>
        </w:rPr>
        <w:t>0</w:t>
      </w:r>
      <w:r>
        <w:rPr>
          <w:rFonts w:ascii="宋体" w:hAnsi="宋体"/>
          <w:color w:val="auto"/>
          <w:sz w:val="32"/>
          <w:lang w:val="en-US"/>
        </w:rPr>
        <w:t>万元 。</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highlight w:val="cyan"/>
          <w:lang w:val="en-US"/>
        </w:rPr>
      </w:pPr>
      <w:r>
        <w:rPr>
          <w:rFonts w:hint="eastAsia" w:ascii="宋体" w:hAnsi="宋体"/>
          <w:color w:val="auto"/>
          <w:sz w:val="32"/>
          <w:lang w:val="en-US" w:eastAsia="zh-CN"/>
        </w:rPr>
        <w:t>2024</w:t>
      </w:r>
      <w:r>
        <w:rPr>
          <w:rFonts w:ascii="宋体" w:hAnsi="宋体"/>
          <w:color w:val="auto"/>
          <w:sz w:val="32"/>
          <w:lang w:val="en-US"/>
        </w:rPr>
        <w:t>年安排公务用车运行维护费</w:t>
      </w:r>
      <w:r>
        <w:rPr>
          <w:rFonts w:hint="eastAsia" w:ascii="宋体" w:hAnsi="宋体"/>
          <w:color w:val="auto"/>
          <w:sz w:val="32"/>
          <w:lang w:val="en-US"/>
        </w:rPr>
        <w:t>0</w:t>
      </w:r>
      <w:r>
        <w:rPr>
          <w:rFonts w:ascii="宋体" w:hAnsi="宋体"/>
          <w:color w:val="auto"/>
          <w:sz w:val="32"/>
          <w:lang w:val="en-US"/>
        </w:rPr>
        <w:t>万元。</w:t>
      </w:r>
    </w:p>
    <w:p>
      <w:pPr>
        <w:pStyle w:val="5"/>
        <w:spacing w:before="300" w:after="120" w:afterLines="50"/>
        <w:ind w:firstLine="640" w:firstLineChars="200"/>
        <w:outlineLvl w:val="1"/>
        <w:rPr>
          <w:rFonts w:ascii="宋体" w:hAnsi="宋体" w:eastAsia="黑体"/>
          <w:color w:val="auto"/>
        </w:rPr>
      </w:pPr>
      <w:bookmarkStart w:id="25" w:name="_Toc2610"/>
      <w:r>
        <w:rPr>
          <w:rFonts w:hint="eastAsia" w:ascii="宋体" w:hAnsi="宋体" w:eastAsia="黑体"/>
          <w:color w:val="auto"/>
        </w:rPr>
        <w:t>六、政府性基金预算支出情况说明</w:t>
      </w:r>
      <w:bookmarkEnd w:id="25"/>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五通桥区文物保护管理所</w:t>
      </w:r>
      <w:r>
        <w:rPr>
          <w:rFonts w:hint="eastAsia" w:ascii="宋体" w:hAnsi="宋体"/>
          <w:color w:val="auto"/>
          <w:sz w:val="32"/>
          <w:lang w:val="en-US" w:eastAsia="zh-CN"/>
        </w:rPr>
        <w:t>2024</w:t>
      </w:r>
      <w:r>
        <w:rPr>
          <w:rFonts w:ascii="宋体" w:hAnsi="宋体"/>
          <w:color w:val="auto"/>
          <w:sz w:val="32"/>
          <w:lang w:val="en-US"/>
        </w:rPr>
        <w:t>年政府性基金预算拨款安排支出</w:t>
      </w:r>
      <w:r>
        <w:rPr>
          <w:rFonts w:hint="eastAsia" w:ascii="宋体" w:hAnsi="宋体"/>
          <w:color w:val="auto"/>
          <w:sz w:val="32"/>
          <w:lang w:val="en-US"/>
        </w:rPr>
        <w:t>0万元，较上年预算数持平。</w:t>
      </w:r>
    </w:p>
    <w:p>
      <w:pPr>
        <w:pStyle w:val="5"/>
        <w:spacing w:before="300" w:after="120" w:afterLines="50"/>
        <w:ind w:firstLine="640" w:firstLineChars="200"/>
        <w:outlineLvl w:val="1"/>
        <w:rPr>
          <w:rFonts w:ascii="宋体" w:hAnsi="宋体" w:eastAsia="黑体"/>
          <w:color w:val="auto"/>
        </w:rPr>
      </w:pPr>
      <w:bookmarkStart w:id="26" w:name="_Toc17731"/>
      <w:r>
        <w:rPr>
          <w:rFonts w:hint="eastAsia" w:ascii="宋体" w:hAnsi="宋体" w:eastAsia="黑体"/>
          <w:color w:val="auto"/>
          <w:lang w:val="en-US"/>
        </w:rPr>
        <w:t>七、</w:t>
      </w:r>
      <w:r>
        <w:rPr>
          <w:rFonts w:hint="eastAsia" w:ascii="宋体" w:hAnsi="宋体" w:eastAsia="黑体"/>
          <w:color w:val="auto"/>
        </w:rPr>
        <w:t>国有资本经营预算情况说明</w:t>
      </w:r>
      <w:bookmarkEnd w:id="26"/>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五通桥区文物保护管理所</w:t>
      </w:r>
      <w:r>
        <w:rPr>
          <w:rFonts w:hint="eastAsia" w:ascii="宋体" w:hAnsi="宋体"/>
          <w:color w:val="auto"/>
          <w:sz w:val="32"/>
          <w:lang w:val="en-US" w:eastAsia="zh-CN"/>
        </w:rPr>
        <w:t>2024</w:t>
      </w:r>
      <w:r>
        <w:rPr>
          <w:rFonts w:hint="eastAsia" w:ascii="宋体" w:hAnsi="宋体"/>
          <w:color w:val="auto"/>
          <w:sz w:val="32"/>
          <w:lang w:val="en-US"/>
        </w:rPr>
        <w:t>年国有资本经营预算拨款安排支出0万元,较上年预算数持平。</w:t>
      </w:r>
    </w:p>
    <w:p>
      <w:pPr>
        <w:pStyle w:val="5"/>
        <w:spacing w:before="300" w:after="120" w:afterLines="50"/>
        <w:ind w:firstLine="640" w:firstLineChars="200"/>
        <w:outlineLvl w:val="1"/>
        <w:rPr>
          <w:rFonts w:ascii="宋体" w:hAnsi="宋体" w:eastAsia="黑体"/>
          <w:color w:val="auto"/>
          <w:lang w:val="en-US"/>
        </w:rPr>
      </w:pPr>
      <w:bookmarkStart w:id="27" w:name="_Toc20919"/>
      <w:r>
        <w:rPr>
          <w:rFonts w:hint="eastAsia" w:ascii="宋体" w:hAnsi="宋体" w:eastAsia="黑体"/>
          <w:color w:val="auto"/>
          <w:lang w:val="en-US"/>
        </w:rPr>
        <w:t>八、其他重要事项的情况说明</w:t>
      </w:r>
      <w:bookmarkEnd w:id="27"/>
    </w:p>
    <w:p>
      <w:pPr>
        <w:pStyle w:val="3"/>
        <w:spacing w:before="100" w:after="120" w:afterLines="50"/>
        <w:ind w:left="0" w:firstLine="964" w:firstLineChars="300"/>
        <w:rPr>
          <w:rFonts w:ascii="宋体" w:hAnsi="宋体"/>
          <w:color w:val="auto"/>
        </w:rPr>
      </w:pPr>
      <w:bookmarkStart w:id="28" w:name="_Toc9621"/>
      <w:r>
        <w:rPr>
          <w:rFonts w:ascii="宋体" w:hAnsi="宋体"/>
          <w:color w:val="auto"/>
        </w:rPr>
        <w:t>（一）机关运行经费情况</w:t>
      </w:r>
      <w:bookmarkEnd w:id="28"/>
    </w:p>
    <w:p>
      <w:pPr>
        <w:rPr>
          <w:rFonts w:hint="eastAsia" w:ascii="宋体" w:hAnsi="宋体" w:eastAsia="宋体" w:cs="宋体"/>
          <w:color w:val="auto"/>
          <w:sz w:val="32"/>
          <w:szCs w:val="22"/>
          <w:lang w:val="en-US" w:eastAsia="zh-CN" w:bidi="zh-CN"/>
        </w:rPr>
      </w:pPr>
      <w:r>
        <w:rPr>
          <w:rFonts w:hint="eastAsia"/>
          <w:color w:val="auto"/>
          <w:lang w:val="en-US"/>
        </w:rPr>
        <w:t xml:space="preserve">      </w:t>
      </w:r>
      <w:r>
        <w:rPr>
          <w:rFonts w:hint="eastAsia" w:ascii="宋体" w:hAnsi="宋体" w:eastAsia="宋体" w:cs="宋体"/>
          <w:color w:val="auto"/>
          <w:sz w:val="32"/>
          <w:szCs w:val="22"/>
          <w:lang w:val="en-US" w:eastAsia="zh-CN" w:bidi="zh-CN"/>
        </w:rPr>
        <w:t xml:space="preserve">    </w:t>
      </w:r>
      <w:r>
        <w:rPr>
          <w:rFonts w:hint="eastAsia" w:cs="宋体"/>
          <w:color w:val="auto"/>
          <w:sz w:val="32"/>
          <w:szCs w:val="22"/>
          <w:lang w:val="en-US" w:eastAsia="zh-CN" w:bidi="zh-CN"/>
        </w:rPr>
        <w:t>2024</w:t>
      </w:r>
      <w:r>
        <w:rPr>
          <w:rFonts w:hint="eastAsia" w:ascii="宋体" w:hAnsi="宋体" w:eastAsia="宋体" w:cs="宋体"/>
          <w:color w:val="auto"/>
          <w:sz w:val="32"/>
          <w:szCs w:val="22"/>
          <w:lang w:val="en-US" w:eastAsia="zh-CN" w:bidi="zh-CN"/>
        </w:rPr>
        <w:t>年，五通桥区文物保护管理所无机关运行经费。</w:t>
      </w:r>
    </w:p>
    <w:p>
      <w:pPr>
        <w:pStyle w:val="3"/>
        <w:spacing w:before="100" w:after="120" w:afterLines="50"/>
        <w:ind w:left="0" w:firstLine="964" w:firstLineChars="300"/>
        <w:rPr>
          <w:rFonts w:ascii="宋体" w:hAnsi="宋体"/>
          <w:color w:val="auto"/>
        </w:rPr>
      </w:pPr>
      <w:bookmarkStart w:id="29" w:name="_Toc26552"/>
      <w:r>
        <w:rPr>
          <w:rFonts w:ascii="宋体" w:hAnsi="宋体"/>
          <w:color w:val="auto"/>
        </w:rPr>
        <w:t>（二）政府采购情况</w:t>
      </w:r>
      <w:bookmarkEnd w:id="29"/>
    </w:p>
    <w:p>
      <w:pPr>
        <w:pStyle w:val="12"/>
        <w:tabs>
          <w:tab w:val="left" w:pos="1784"/>
        </w:tabs>
        <w:spacing w:before="240" w:beforeLines="100" w:after="120" w:afterLines="50" w:line="560" w:lineRule="exact"/>
        <w:ind w:left="660" w:leftChars="300" w:right="660" w:rightChars="300" w:firstLineChars="200"/>
        <w:rPr>
          <w:rFonts w:ascii="宋体" w:hAnsi="宋体" w:eastAsia="宋体" w:cs="宋体"/>
          <w:color w:val="auto"/>
          <w:sz w:val="32"/>
          <w:szCs w:val="22"/>
          <w:lang w:val="en-US" w:eastAsia="zh-CN" w:bidi="zh-CN"/>
        </w:rPr>
      </w:pPr>
      <w:r>
        <w:rPr>
          <w:rFonts w:hint="eastAsia" w:ascii="宋体" w:hAnsi="宋体" w:eastAsia="宋体" w:cs="宋体"/>
          <w:color w:val="auto"/>
          <w:sz w:val="32"/>
          <w:szCs w:val="22"/>
          <w:lang w:val="en-US" w:eastAsia="zh-CN" w:bidi="zh-CN"/>
        </w:rPr>
        <w:t>2024年，</w:t>
      </w:r>
      <w:r>
        <w:rPr>
          <w:rFonts w:ascii="宋体" w:hAnsi="宋体" w:eastAsia="宋体" w:cs="宋体"/>
          <w:color w:val="auto"/>
          <w:sz w:val="32"/>
          <w:szCs w:val="22"/>
          <w:lang w:val="en-US" w:eastAsia="zh-CN" w:bidi="zh-CN"/>
        </w:rPr>
        <w:t>五通桥区文物保护管理所</w:t>
      </w:r>
      <w:r>
        <w:rPr>
          <w:rFonts w:hint="eastAsia" w:ascii="宋体" w:hAnsi="宋体" w:eastAsia="宋体" w:cs="宋体"/>
          <w:color w:val="auto"/>
          <w:sz w:val="32"/>
          <w:szCs w:val="22"/>
          <w:lang w:val="en-US" w:eastAsia="zh-CN" w:bidi="zh-CN"/>
        </w:rPr>
        <w:t>政府采购项目0万元。其中，政府采购货物预算0万元；政府采购工程预算0万元；政府采购服务预算0万元。</w:t>
      </w:r>
    </w:p>
    <w:p>
      <w:pPr>
        <w:pStyle w:val="3"/>
        <w:spacing w:before="100" w:after="120" w:afterLines="50"/>
        <w:ind w:left="0" w:firstLine="964" w:firstLineChars="300"/>
        <w:rPr>
          <w:rFonts w:ascii="宋体" w:hAnsi="宋体" w:eastAsia="宋体" w:cs="宋体"/>
          <w:color w:val="auto"/>
          <w:sz w:val="32"/>
          <w:szCs w:val="22"/>
          <w:lang w:val="en-US" w:eastAsia="zh-CN" w:bidi="zh-CN"/>
        </w:rPr>
      </w:pPr>
      <w:bookmarkStart w:id="30" w:name="_Toc11208"/>
      <w:r>
        <w:rPr>
          <w:rFonts w:ascii="宋体" w:hAnsi="宋体" w:eastAsia="宋体" w:cs="宋体"/>
          <w:color w:val="auto"/>
          <w:sz w:val="32"/>
          <w:szCs w:val="22"/>
          <w:lang w:val="en-US" w:eastAsia="zh-CN" w:bidi="zh-CN"/>
        </w:rPr>
        <w:t>（三）国有资产占有使用情况</w:t>
      </w:r>
      <w:bookmarkEnd w:id="30"/>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w:t>
      </w:r>
      <w:r>
        <w:rPr>
          <w:rFonts w:hint="eastAsia" w:ascii="宋体" w:hAnsi="宋体"/>
          <w:color w:val="auto"/>
          <w:sz w:val="32"/>
          <w:lang w:val="en-US" w:eastAsia="zh-CN"/>
        </w:rPr>
        <w:t>2024</w:t>
      </w:r>
      <w:r>
        <w:rPr>
          <w:rFonts w:hint="eastAsia" w:ascii="宋体" w:hAnsi="宋体"/>
          <w:color w:val="auto"/>
          <w:sz w:val="32"/>
          <w:lang w:val="en-US"/>
        </w:rPr>
        <w:t>年底，</w:t>
      </w:r>
      <w:r>
        <w:rPr>
          <w:rFonts w:ascii="宋体" w:hAnsi="宋体"/>
          <w:color w:val="auto"/>
          <w:sz w:val="32"/>
          <w:lang w:val="en-US"/>
        </w:rPr>
        <w:t>五通桥区文物保护管理所</w:t>
      </w:r>
      <w:r>
        <w:rPr>
          <w:rFonts w:hint="eastAsia" w:ascii="宋体" w:hAnsi="宋体"/>
          <w:color w:val="auto"/>
          <w:sz w:val="32"/>
          <w:lang w:val="en-US"/>
        </w:rPr>
        <w:t>所属各预算单位共有车辆0辆。单位价值100万元以上大型设备0套。</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年部门预算未安排购置车辆及单位价值100万元以上大型设备。</w:t>
      </w:r>
    </w:p>
    <w:p>
      <w:pPr>
        <w:pStyle w:val="3"/>
        <w:spacing w:before="100" w:after="120" w:afterLines="50"/>
        <w:ind w:left="0" w:firstLine="964" w:firstLineChars="300"/>
        <w:rPr>
          <w:rFonts w:ascii="宋体" w:hAnsi="宋体"/>
          <w:color w:val="auto"/>
        </w:rPr>
      </w:pPr>
      <w:bookmarkStart w:id="31" w:name="_Toc13599"/>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31"/>
    </w:p>
    <w:p>
      <w:pPr>
        <w:pStyle w:val="12"/>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2024年五通桥区文物保护管理所开展绩效目标管理的项目12个，涉及预算19.57万元。其中：人员类项目11个，涉及预算18.17万元；运转类项目1个，涉及预算1.4万元；特定目标类项目0个，涉及预算0万元。</w:t>
      </w:r>
    </w:p>
    <w:p>
      <w:pPr>
        <w:pStyle w:val="12"/>
        <w:tabs>
          <w:tab w:val="left" w:pos="1784"/>
        </w:tabs>
        <w:spacing w:before="240" w:beforeLines="100" w:after="120" w:afterLines="50" w:line="560" w:lineRule="exact"/>
        <w:ind w:left="660" w:leftChars="300" w:right="660" w:rightChars="300" w:firstLineChars="200"/>
        <w:rPr>
          <w:rFonts w:hint="eastAsia" w:ascii="宋体" w:hAnsi="宋体" w:eastAsia="宋体" w:cs="宋体"/>
          <w:color w:val="auto"/>
          <w:sz w:val="32"/>
          <w:szCs w:val="22"/>
          <w:lang w:val="en-US" w:eastAsia="zh-CN" w:bidi="zh-CN"/>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32" w:name="_Toc31157"/>
      <w:r>
        <w:rPr>
          <w:rFonts w:hint="eastAsia" w:ascii="宋体" w:hAnsi="宋体" w:eastAsia="方正小标宋简体" w:cs="方正小标宋简体"/>
          <w:color w:val="auto"/>
          <w:sz w:val="52"/>
          <w:szCs w:val="52"/>
          <w:lang w:val="en-US"/>
        </w:rPr>
        <w:t>第四部分  名词解释</w:t>
      </w:r>
      <w:bookmarkEnd w:id="32"/>
    </w:p>
    <w:p>
      <w:pPr>
        <w:rPr>
          <w:color w:val="auto"/>
          <w:sz w:val="20"/>
        </w:rPr>
        <w:sectPr>
          <w:headerReference r:id="rId7" w:type="default"/>
          <w:footerReference r:id="rId8" w:type="default"/>
          <w:pgSz w:w="11910" w:h="16840"/>
          <w:pgMar w:top="1587" w:right="964" w:bottom="1701" w:left="1134" w:header="737" w:footer="737" w:gutter="0"/>
          <w:cols w:space="0" w:num="1"/>
        </w:sectPr>
      </w:pP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2"/>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bookmarkEnd w:id="33"/>
    <w:sectPr>
      <w:headerReference r:id="rId9" w:type="default"/>
      <w:footerReference r:id="rId10"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106010300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15</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abstractNum w:abstractNumId="2">
    <w:nsid w:val="70FA7E9B"/>
    <w:multiLevelType w:val="singleLevel"/>
    <w:tmpl w:val="70FA7E9B"/>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2M5YTE0YzExZDc4NzJkZTlkZTk3MzRkN2NmMGMifQ=="/>
  </w:docVars>
  <w:rsids>
    <w:rsidRoot w:val="00E24CB9"/>
    <w:rsid w:val="000169E7"/>
    <w:rsid w:val="00050CBC"/>
    <w:rsid w:val="000728D5"/>
    <w:rsid w:val="000F0F28"/>
    <w:rsid w:val="000F5FCE"/>
    <w:rsid w:val="001F1539"/>
    <w:rsid w:val="00294646"/>
    <w:rsid w:val="00296030"/>
    <w:rsid w:val="002E59B1"/>
    <w:rsid w:val="00352117"/>
    <w:rsid w:val="003E010F"/>
    <w:rsid w:val="00497650"/>
    <w:rsid w:val="004B04A5"/>
    <w:rsid w:val="00552E56"/>
    <w:rsid w:val="005B103A"/>
    <w:rsid w:val="005F1DAA"/>
    <w:rsid w:val="006C081D"/>
    <w:rsid w:val="006F1C55"/>
    <w:rsid w:val="00715118"/>
    <w:rsid w:val="00745054"/>
    <w:rsid w:val="00746441"/>
    <w:rsid w:val="00876F23"/>
    <w:rsid w:val="008A3563"/>
    <w:rsid w:val="008C1809"/>
    <w:rsid w:val="008E066F"/>
    <w:rsid w:val="00A43BFB"/>
    <w:rsid w:val="00A5515E"/>
    <w:rsid w:val="00AA0A42"/>
    <w:rsid w:val="00C10200"/>
    <w:rsid w:val="00C2054A"/>
    <w:rsid w:val="00C95851"/>
    <w:rsid w:val="00CA0E68"/>
    <w:rsid w:val="00CB1B8A"/>
    <w:rsid w:val="00CD48F9"/>
    <w:rsid w:val="00D51E25"/>
    <w:rsid w:val="00DE0A28"/>
    <w:rsid w:val="00E2194E"/>
    <w:rsid w:val="00E24CB9"/>
    <w:rsid w:val="00E3718F"/>
    <w:rsid w:val="00E87151"/>
    <w:rsid w:val="00EF6528"/>
    <w:rsid w:val="00F96A42"/>
    <w:rsid w:val="02ED1707"/>
    <w:rsid w:val="08D37816"/>
    <w:rsid w:val="0E977311"/>
    <w:rsid w:val="13CB5FFB"/>
    <w:rsid w:val="171E6442"/>
    <w:rsid w:val="19511AD4"/>
    <w:rsid w:val="1BF42337"/>
    <w:rsid w:val="1C4565B4"/>
    <w:rsid w:val="1D041A4B"/>
    <w:rsid w:val="1DBF62C1"/>
    <w:rsid w:val="1E9115A9"/>
    <w:rsid w:val="20D9567F"/>
    <w:rsid w:val="21211D8E"/>
    <w:rsid w:val="227B44EE"/>
    <w:rsid w:val="23960825"/>
    <w:rsid w:val="247F2477"/>
    <w:rsid w:val="2AF15297"/>
    <w:rsid w:val="2B1C380A"/>
    <w:rsid w:val="2B82427E"/>
    <w:rsid w:val="2BD66371"/>
    <w:rsid w:val="2EE3754B"/>
    <w:rsid w:val="2F4F47F0"/>
    <w:rsid w:val="30054E2B"/>
    <w:rsid w:val="3170631D"/>
    <w:rsid w:val="33045768"/>
    <w:rsid w:val="36CF383A"/>
    <w:rsid w:val="445C4026"/>
    <w:rsid w:val="4D3C563B"/>
    <w:rsid w:val="527069F5"/>
    <w:rsid w:val="54C30EEA"/>
    <w:rsid w:val="5543046B"/>
    <w:rsid w:val="563B020F"/>
    <w:rsid w:val="565808A5"/>
    <w:rsid w:val="56BF2B93"/>
    <w:rsid w:val="571B393E"/>
    <w:rsid w:val="58EE6347"/>
    <w:rsid w:val="595E3E2E"/>
    <w:rsid w:val="5AE90F4A"/>
    <w:rsid w:val="5B65451D"/>
    <w:rsid w:val="5CA92336"/>
    <w:rsid w:val="5EE47445"/>
    <w:rsid w:val="5F466247"/>
    <w:rsid w:val="68227747"/>
    <w:rsid w:val="6E71128C"/>
    <w:rsid w:val="7209340F"/>
    <w:rsid w:val="721F4C1B"/>
    <w:rsid w:val="75F91A11"/>
    <w:rsid w:val="766C31BB"/>
    <w:rsid w:val="76A30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3">
    <w:name w:val="heading 2"/>
    <w:basedOn w:val="1"/>
    <w:next w:val="1"/>
    <w:qFormat/>
    <w:uiPriority w:val="1"/>
    <w:pPr>
      <w:ind w:left="923"/>
      <w:outlineLvl w:val="1"/>
    </w:pPr>
    <w:rPr>
      <w:rFonts w:ascii="楷体" w:hAnsi="楷体" w:eastAsia="楷体" w:cs="楷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Salutation"/>
    <w:basedOn w:val="1"/>
    <w:next w:val="1"/>
    <w:qFormat/>
    <w:uiPriority w:val="0"/>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280" w:firstLine="640"/>
      <w:jc w:val="both"/>
    </w:pPr>
    <w:rPr>
      <w:rFonts w:ascii="仿宋_GB2312" w:hAnsi="仿宋_GB2312" w:eastAsia="仿宋_GB2312" w:cs="仿宋_GB2312"/>
    </w:rPr>
  </w:style>
  <w:style w:type="paragraph" w:customStyle="1" w:styleId="13">
    <w:name w:val="Table Paragraph"/>
    <w:basedOn w:val="1"/>
    <w:qFormat/>
    <w:uiPriority w:val="1"/>
  </w:style>
  <w:style w:type="paragraph" w:customStyle="1" w:styleId="14">
    <w:name w:val="WPSOffice手动目录 1"/>
    <w:qFormat/>
    <w:uiPriority w:val="0"/>
    <w:rPr>
      <w:rFonts w:asciiTheme="minorHAnsi" w:hAnsiTheme="minorHAnsi" w:eastAsiaTheme="minorHAnsi" w:cstheme="minorBidi"/>
      <w:lang w:val="en-US" w:eastAsia="zh-CN" w:bidi="ar-SA"/>
    </w:rPr>
  </w:style>
  <w:style w:type="paragraph" w:customStyle="1" w:styleId="15">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6">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7">
    <w:name w:val="批注框文本 Char"/>
    <w:basedOn w:val="10"/>
    <w:link w:val="6"/>
    <w:qFormat/>
    <w:uiPriority w:val="0"/>
    <w:rPr>
      <w:rFonts w:ascii="宋体" w:hAnsi="宋体" w:eastAsia="宋体" w:cs="宋体"/>
      <w:sz w:val="18"/>
      <w:szCs w:val="18"/>
      <w:lang w:val="zh-CN" w:bidi="zh-CN"/>
    </w:rPr>
  </w:style>
  <w:style w:type="paragraph" w:customStyle="1" w:styleId="18">
    <w:name w:val="BodyText"/>
    <w:basedOn w:val="1"/>
    <w:qFormat/>
    <w:uiPriority w:val="0"/>
    <w:pPr>
      <w:spacing w:line="700" w:lineRule="exact"/>
      <w:jc w:val="center"/>
    </w:pPr>
    <w:rPr>
      <w:rFonts w:ascii="Calibri" w:hAnsi="Calibri" w:eastAsia="方正大标宋简体" w:cs="Times New Roman"/>
      <w:spacing w:val="14"/>
      <w:sz w:val="44"/>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19</Pages>
  <Words>1182</Words>
  <Characters>6739</Characters>
  <Lines>56</Lines>
  <Paragraphs>15</Paragraphs>
  <TotalTime>0</TotalTime>
  <ScaleCrop>false</ScaleCrop>
  <LinksUpToDate>false</LinksUpToDate>
  <CharactersWithSpaces>7906</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dcterms:modified xsi:type="dcterms:W3CDTF">2024-02-26T06:50:34Z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DAAB36FEDE0E400898A713FC8A12582D_13</vt:lpwstr>
  </property>
</Properties>
</file>