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乐山市五通桥区政协办公室</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2024部门预算编制说明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_Toc1665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_Toc1665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_Toc12547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_Toc12547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_Toc31376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_Toc31376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_Toc15457 </w:instrText>
          </w:r>
          <w:r>
            <w:rPr>
              <w:rFonts w:hint="eastAsia" w:ascii="宋体" w:hAnsi="宋体" w:eastAsia="方正小标宋简体" w:cs="方正小标宋简体"/>
              <w:bCs/>
              <w:szCs w:val="48"/>
              <w:lang w:val="en-US" w:eastAsia="zh-CN"/>
            </w:rPr>
            <w:fldChar w:fldCharType="separate"/>
          </w:r>
          <w:r>
            <w:rPr>
              <w:rFonts w:ascii="宋体" w:hAnsi="宋体"/>
              <w:highlight w:val="none"/>
            </w:rPr>
            <w:t>（二）部门</w:t>
          </w:r>
          <w:r>
            <w:rPr>
              <w:rFonts w:hint="eastAsia" w:ascii="宋体" w:hAnsi="宋体"/>
              <w:highlight w:val="none"/>
              <w:lang w:val="en-US" w:eastAsia="zh-CN"/>
            </w:rPr>
            <w:t>2024</w:t>
          </w:r>
          <w:r>
            <w:rPr>
              <w:rFonts w:ascii="宋体" w:hAnsi="宋体"/>
              <w:highlight w:val="none"/>
            </w:rPr>
            <w:t>年重点工</w:t>
          </w:r>
          <w:r>
            <w:rPr>
              <w:rFonts w:hint="eastAsia" w:ascii="宋体" w:hAnsi="宋体"/>
              <w:highlight w:val="none"/>
            </w:rPr>
            <w:t>作</w:t>
          </w:r>
          <w:r>
            <w:tab/>
          </w:r>
          <w:r>
            <w:fldChar w:fldCharType="begin"/>
          </w:r>
          <w:r>
            <w:instrText xml:space="preserve"> PAGEREF _Toc15457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_Toc28277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 部门预算单位构成</w:t>
          </w:r>
          <w:r>
            <w:tab/>
          </w:r>
          <w:r>
            <w:fldChar w:fldCharType="begin"/>
          </w:r>
          <w:r>
            <w:instrText xml:space="preserve"> PAGEREF _Toc28277 \h </w:instrText>
          </w:r>
          <w:r>
            <w:fldChar w:fldCharType="separate"/>
          </w:r>
          <w:r>
            <w:t>3</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_Toc14544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w:t>
          </w:r>
          <w:r>
            <w:rPr>
              <w:rFonts w:hint="eastAsia" w:ascii="宋体" w:hAnsi="宋体" w:eastAsia="方正小标宋简体" w:cs="方正小标宋简体"/>
              <w:bCs/>
              <w:szCs w:val="44"/>
              <w:lang w:val="en-US" w:eastAsia="zh-CN"/>
            </w:rPr>
            <w:t>五通桥区政协办公室</w:t>
          </w:r>
          <w:r>
            <w:tab/>
          </w:r>
          <w:r>
            <w:fldChar w:fldCharType="begin"/>
          </w:r>
          <w:r>
            <w:instrText xml:space="preserve"> PAGEREF _Toc14544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_Toc8807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2024年部门预算表</w:t>
          </w:r>
          <w:r>
            <w:tab/>
          </w:r>
          <w:r>
            <w:fldChar w:fldCharType="begin"/>
          </w:r>
          <w:r>
            <w:instrText xml:space="preserve"> PAGEREF _Toc8807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_Toc3162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一、部门收支总表（公开表 1）</w:t>
          </w:r>
          <w:r>
            <w:tab/>
          </w:r>
          <w:r>
            <w:fldChar w:fldCharType="begin"/>
          </w:r>
          <w:r>
            <w:instrText xml:space="preserve"> PAGEREF _Toc3162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_Toc6220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二、部门收入总表（公开表 1-1）</w:t>
          </w:r>
          <w:r>
            <w:tab/>
          </w:r>
          <w:r>
            <w:fldChar w:fldCharType="begin"/>
          </w:r>
          <w:r>
            <w:instrText xml:space="preserve"> PAGEREF _Toc6220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_Toc7493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三、部门支出总表（公开表 1-2）</w:t>
          </w:r>
          <w:r>
            <w:tab/>
          </w:r>
          <w:r>
            <w:fldChar w:fldCharType="begin"/>
          </w:r>
          <w:r>
            <w:instrText xml:space="preserve"> PAGEREF _Toc7493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_Toc16740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四、财政拨款收支预算总表（公开表 2）</w:t>
          </w:r>
          <w:r>
            <w:tab/>
          </w:r>
          <w:r>
            <w:fldChar w:fldCharType="begin"/>
          </w:r>
          <w:r>
            <w:instrText xml:space="preserve"> PAGEREF _Toc16740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_Toc29592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五、财政拨款支出预算表（部门经济分类科目）</w:t>
          </w:r>
          <w:r>
            <w:tab/>
          </w:r>
          <w:r>
            <w:fldChar w:fldCharType="begin"/>
          </w:r>
          <w:r>
            <w:instrText xml:space="preserve"> PAGEREF _Toc29592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_Toc6711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六、一般公共预算支出预算表（公开表 3）</w:t>
          </w:r>
          <w:r>
            <w:tab/>
          </w:r>
          <w:r>
            <w:fldChar w:fldCharType="begin"/>
          </w:r>
          <w:r>
            <w:instrText xml:space="preserve"> PAGEREF _Toc6711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_Toc25559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七、一般公共预算基本支出预算表（公开表 3-1）</w:t>
          </w:r>
          <w:r>
            <w:tab/>
          </w:r>
          <w:r>
            <w:fldChar w:fldCharType="begin"/>
          </w:r>
          <w:r>
            <w:instrText xml:space="preserve"> PAGEREF _Toc25559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_Toc12015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八、一般公共预算项目支出预算表（公开表 3-2）</w:t>
          </w:r>
          <w:r>
            <w:tab/>
          </w:r>
          <w:r>
            <w:fldChar w:fldCharType="begin"/>
          </w:r>
          <w:r>
            <w:instrText xml:space="preserve"> PAGEREF _Toc12015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_Toc29807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九、一般公共预算“三公”经费支出预算表</w:t>
          </w:r>
          <w:r>
            <w:tab/>
          </w:r>
          <w:r>
            <w:fldChar w:fldCharType="begin"/>
          </w:r>
          <w:r>
            <w:instrText xml:space="preserve"> PAGEREF _Toc29807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_Toc4999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十、政府性基金预算支出表（公开表 4）</w:t>
          </w:r>
          <w:r>
            <w:tab/>
          </w:r>
          <w:r>
            <w:fldChar w:fldCharType="begin"/>
          </w:r>
          <w:r>
            <w:instrText xml:space="preserve"> PAGEREF _Toc4999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_Toc31655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十一、政府性基金预算“三公”经费支出预算表</w:t>
          </w:r>
          <w:r>
            <w:tab/>
          </w:r>
          <w:r>
            <w:fldChar w:fldCharType="begin"/>
          </w:r>
          <w:r>
            <w:instrText xml:space="preserve"> PAGEREF _Toc31655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_Toc30329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十二、国有资本经营预算支出表（公开表 5）</w:t>
          </w:r>
          <w:r>
            <w:tab/>
          </w:r>
          <w:r>
            <w:fldChar w:fldCharType="begin"/>
          </w:r>
          <w:r>
            <w:instrText xml:space="preserve"> PAGEREF _Toc30329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_Toc8734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十三、部门整体支出绩效目标表（公开表 6）</w:t>
          </w:r>
          <w:r>
            <w:tab/>
          </w:r>
          <w:r>
            <w:fldChar w:fldCharType="begin"/>
          </w:r>
          <w:r>
            <w:instrText xml:space="preserve"> PAGEREF _Toc8734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_Toc27086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十四、部门预算项目支出绩效目标表（公开表 7）</w:t>
          </w:r>
          <w:r>
            <w:tab/>
          </w:r>
          <w:r>
            <w:fldChar w:fldCharType="begin"/>
          </w:r>
          <w:r>
            <w:instrText xml:space="preserve"> PAGEREF _Toc27086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_Toc5650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十五、政府采购预算表（公开表 8）</w:t>
          </w:r>
          <w:r>
            <w:tab/>
          </w:r>
          <w:r>
            <w:fldChar w:fldCharType="begin"/>
          </w:r>
          <w:r>
            <w:instrText xml:space="preserve"> PAGEREF _Toc5650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_Toc7613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_Toc7613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_Toc24069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 xml:space="preserve">第三部分 </w:t>
          </w:r>
          <w:r>
            <w:rPr>
              <w:rFonts w:hint="eastAsia" w:ascii="宋体" w:hAnsi="宋体" w:eastAsia="方正小标宋简体" w:cs="方正小标宋简体"/>
              <w:bCs/>
              <w:szCs w:val="44"/>
              <w:lang w:val="en-US" w:eastAsia="zh-CN"/>
            </w:rPr>
            <w:t>五通桥区政协办公室</w:t>
          </w:r>
          <w:r>
            <w:tab/>
          </w:r>
          <w:r>
            <w:fldChar w:fldCharType="begin"/>
          </w:r>
          <w:r>
            <w:instrText xml:space="preserve"> PAGEREF _Toc24069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_Toc24897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2024年部门预算情况说明</w:t>
          </w:r>
          <w:r>
            <w:tab/>
          </w:r>
          <w:r>
            <w:fldChar w:fldCharType="begin"/>
          </w:r>
          <w:r>
            <w:instrText xml:space="preserve"> PAGEREF _Toc24897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_Toc28035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_Toc28035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_Toc8262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_Toc8262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_Toc29970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_Toc29970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_Toc5217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_Toc5217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_Toc28300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_Toc28300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_Toc17458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_Toc17458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_Toc12669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_Toc12669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_Toc3803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_Toc3803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_Toc30518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_Toc30518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_Toc11317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_Toc11317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_Toc13493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_Toc13493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_Toc4012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_Toc4012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_Toc8341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 政府性基金预算支出情况说明</w:t>
          </w:r>
          <w:r>
            <w:tab/>
          </w:r>
          <w:r>
            <w:fldChar w:fldCharType="begin"/>
          </w:r>
          <w:r>
            <w:instrText xml:space="preserve"> PAGEREF _Toc8341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_Toc11674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_Toc11674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_Toc13960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_Toc13960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_Toc18079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_Toc18079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_Toc6948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_Toc6948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_Toc16108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_Toc16108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_Toc8317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_Toc8317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ind w:firstLine="440" w:firstLineChars="200"/>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_Toc16958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_Toc16958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3" w:type="default"/>
          <w:footerReference r:id="rId4"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665"/>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5"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2547"/>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eastAsia="楷体"/>
          <w:lang w:eastAsia="zh-CN"/>
        </w:rPr>
      </w:pPr>
      <w:bookmarkStart w:id="2" w:name="_Toc31376"/>
      <w:r>
        <w:rPr>
          <w:rFonts w:ascii="宋体" w:hAnsi="宋体"/>
        </w:rPr>
        <w:t>（一）部门职能简介</w:t>
      </w:r>
      <w:bookmarkEnd w:id="2"/>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1.</w:t>
      </w:r>
      <w:r>
        <w:rPr>
          <w:rFonts w:hint="eastAsia" w:ascii="宋体" w:hAnsi="宋体" w:eastAsia="仿宋_GB2312" w:cs="仿宋_GB2312"/>
          <w:kern w:val="0"/>
          <w:sz w:val="32"/>
          <w:szCs w:val="22"/>
          <w:lang w:val="en-US" w:eastAsia="zh-CN" w:bidi="zh-CN"/>
        </w:rPr>
        <w:t>负责政协乐山市五通桥区委员会全体会议、常委会会议、主席会议和其他重要会议的会务工作。</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2.</w:t>
      </w:r>
      <w:r>
        <w:rPr>
          <w:rFonts w:hint="eastAsia" w:ascii="宋体" w:hAnsi="宋体" w:eastAsia="仿宋_GB2312" w:cs="仿宋_GB2312"/>
          <w:kern w:val="0"/>
          <w:sz w:val="32"/>
          <w:szCs w:val="22"/>
          <w:lang w:val="en-US" w:eastAsia="zh-CN" w:bidi="zh-CN"/>
        </w:rPr>
        <w:t>组织实施政协乐山市五通桥区委员会全体会议、常委会会议、主席会议的决定、决议。</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3、</w:t>
      </w:r>
      <w:r>
        <w:rPr>
          <w:rFonts w:hint="eastAsia" w:ascii="宋体" w:hAnsi="宋体" w:eastAsia="仿宋_GB2312" w:cs="仿宋_GB2312"/>
          <w:kern w:val="0"/>
          <w:sz w:val="32"/>
          <w:szCs w:val="22"/>
          <w:lang w:val="en-US" w:eastAsia="zh-CN" w:bidi="zh-CN"/>
        </w:rPr>
        <w:t>负责委员视察、参观、调查、座谈、调研、研讨等日常活动的服务。</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4、</w:t>
      </w:r>
      <w:r>
        <w:rPr>
          <w:rFonts w:hint="eastAsia" w:ascii="宋体" w:hAnsi="宋体" w:eastAsia="仿宋_GB2312" w:cs="仿宋_GB2312"/>
          <w:kern w:val="0"/>
          <w:sz w:val="32"/>
          <w:szCs w:val="22"/>
          <w:lang w:val="en-US" w:eastAsia="zh-CN" w:bidi="zh-CN"/>
        </w:rPr>
        <w:t>研究统一战线和人民政协的理论、政策，供领导参考。负责收集政协提案，并做好提案办理的服务工作。</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5.</w:t>
      </w:r>
      <w:r>
        <w:rPr>
          <w:rFonts w:hint="eastAsia" w:ascii="宋体" w:hAnsi="宋体" w:eastAsia="仿宋_GB2312" w:cs="仿宋_GB2312"/>
          <w:kern w:val="0"/>
          <w:sz w:val="32"/>
          <w:szCs w:val="22"/>
          <w:lang w:val="en-US" w:eastAsia="zh-CN" w:bidi="zh-CN"/>
        </w:rPr>
        <w:t>负责统一战线和人民政协理论、方针、政策和政协重大工作的宣传报道，收集反映各界人士的意见建议，办理人民来信来访。</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6.</w:t>
      </w:r>
      <w:r>
        <w:rPr>
          <w:rFonts w:hint="eastAsia" w:ascii="宋体" w:hAnsi="宋体" w:eastAsia="仿宋_GB2312" w:cs="仿宋_GB2312"/>
          <w:kern w:val="0"/>
          <w:sz w:val="32"/>
          <w:szCs w:val="22"/>
          <w:lang w:val="en-US" w:eastAsia="zh-CN" w:bidi="zh-CN"/>
        </w:rPr>
        <w:t>联系区委、区人大、区政府有关部门，互相配合，协调工作。</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7.</w:t>
      </w:r>
      <w:r>
        <w:rPr>
          <w:rFonts w:hint="eastAsia" w:ascii="宋体" w:hAnsi="宋体" w:eastAsia="仿宋_GB2312" w:cs="仿宋_GB2312"/>
          <w:kern w:val="0"/>
          <w:sz w:val="32"/>
          <w:szCs w:val="22"/>
          <w:lang w:val="en-US" w:eastAsia="zh-CN" w:bidi="zh-CN"/>
        </w:rPr>
        <w:t>负责区政协开展活动的后勤保障及经费管理工作。</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8.</w:t>
      </w:r>
      <w:r>
        <w:rPr>
          <w:rFonts w:hint="eastAsia" w:ascii="宋体" w:hAnsi="宋体" w:eastAsia="仿宋_GB2312" w:cs="仿宋_GB2312"/>
          <w:kern w:val="0"/>
          <w:sz w:val="32"/>
          <w:szCs w:val="22"/>
          <w:lang w:val="en-US" w:eastAsia="zh-CN" w:bidi="zh-CN"/>
        </w:rPr>
        <w:t>负责权限范围内的人事任免和机构调整。</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lang w:val="en-US" w:eastAsia="zh-CN" w:bidi="zh-CN"/>
        </w:rPr>
      </w:pPr>
      <w:r>
        <w:rPr>
          <w:rFonts w:hint="eastAsia" w:eastAsia="仿宋_GB2312" w:cs="仿宋_GB2312"/>
          <w:kern w:val="0"/>
          <w:sz w:val="32"/>
          <w:szCs w:val="22"/>
          <w:lang w:val="en-US" w:eastAsia="zh-CN" w:bidi="zh-CN"/>
        </w:rPr>
        <w:t>9.</w:t>
      </w:r>
      <w:r>
        <w:rPr>
          <w:rFonts w:hint="eastAsia" w:ascii="宋体" w:hAnsi="宋体" w:eastAsia="仿宋_GB2312" w:cs="仿宋_GB2312"/>
          <w:kern w:val="0"/>
          <w:sz w:val="32"/>
          <w:szCs w:val="22"/>
          <w:lang w:val="en-US" w:eastAsia="zh-CN" w:bidi="zh-CN"/>
        </w:rPr>
        <w:t>承担区政协主席、副主席交办的其它事项。</w:t>
      </w:r>
    </w:p>
    <w:p>
      <w:pPr>
        <w:pStyle w:val="10"/>
        <w:keepNext w:val="0"/>
        <w:keepLines w:val="0"/>
        <w:widowControl/>
        <w:suppressLineNumbers w:val="0"/>
        <w:shd w:val="clear" w:color="auto" w:fill="FFFFFF"/>
        <w:spacing w:before="315" w:beforeAutospacing="0" w:after="315" w:afterAutospacing="0" w:line="18" w:lineRule="atLeast"/>
        <w:ind w:firstLine="640" w:firstLineChars="200"/>
        <w:jc w:val="both"/>
        <w:rPr>
          <w:rFonts w:hint="eastAsia" w:ascii="宋体" w:hAnsi="宋体" w:eastAsia="仿宋_GB2312" w:cs="仿宋_GB2312"/>
          <w:kern w:val="0"/>
          <w:sz w:val="32"/>
          <w:szCs w:val="22"/>
          <w:highlight w:val="none"/>
          <w:lang w:val="en-US" w:eastAsia="zh-CN" w:bidi="zh-CN"/>
        </w:rPr>
      </w:pPr>
      <w:r>
        <w:rPr>
          <w:rFonts w:hint="eastAsia" w:eastAsia="仿宋_GB2312" w:cs="仿宋_GB2312"/>
          <w:kern w:val="0"/>
          <w:sz w:val="32"/>
          <w:szCs w:val="22"/>
          <w:highlight w:val="none"/>
          <w:lang w:val="en-US" w:eastAsia="zh-CN" w:bidi="zh-CN"/>
        </w:rPr>
        <w:t>10.</w:t>
      </w:r>
      <w:r>
        <w:rPr>
          <w:rFonts w:hint="eastAsia" w:ascii="宋体" w:hAnsi="宋体" w:eastAsia="仿宋_GB2312" w:cs="仿宋_GB2312"/>
          <w:kern w:val="0"/>
          <w:sz w:val="32"/>
          <w:szCs w:val="22"/>
          <w:highlight w:val="none"/>
          <w:lang w:val="en-US" w:eastAsia="zh-CN" w:bidi="zh-CN"/>
        </w:rPr>
        <w:t>承办区委、区政府交办的其它事项。</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643" w:firstLineChars="200"/>
        <w:textAlignment w:val="auto"/>
        <w:rPr>
          <w:rFonts w:hint="eastAsia" w:ascii="宋体" w:hAnsi="宋体"/>
          <w:highlight w:val="none"/>
        </w:rPr>
      </w:pPr>
      <w:bookmarkStart w:id="3" w:name="_Toc15457"/>
      <w:r>
        <w:rPr>
          <w:rFonts w:ascii="宋体" w:hAnsi="宋体"/>
          <w:highlight w:val="none"/>
        </w:rPr>
        <w:t>（二）部门</w:t>
      </w:r>
      <w:r>
        <w:rPr>
          <w:rFonts w:hint="eastAsia" w:ascii="宋体" w:hAnsi="宋体"/>
          <w:highlight w:val="none"/>
          <w:lang w:val="en-US" w:eastAsia="zh-CN"/>
        </w:rPr>
        <w:t>2024</w:t>
      </w:r>
      <w:r>
        <w:rPr>
          <w:rFonts w:ascii="宋体" w:hAnsi="宋体"/>
          <w:highlight w:val="none"/>
        </w:rPr>
        <w:t>年重点工</w:t>
      </w:r>
      <w:r>
        <w:rPr>
          <w:rFonts w:hint="eastAsia" w:ascii="宋体" w:hAnsi="宋体"/>
          <w:highlight w:val="none"/>
        </w:rPr>
        <w:t>作</w:t>
      </w:r>
      <w:bookmarkEnd w:id="3"/>
    </w:p>
    <w:p>
      <w:pPr>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eastAsia" w:ascii="宋体" w:hAnsi="宋体" w:eastAsia="仿宋_GB2312" w:cs="仿宋_GB2312"/>
          <w:kern w:val="0"/>
          <w:sz w:val="32"/>
          <w:szCs w:val="22"/>
          <w:lang w:val="en-US" w:eastAsia="zh-CN" w:bidi="zh-CN"/>
        </w:rPr>
      </w:pPr>
      <w:bookmarkStart w:id="4" w:name="_Toc28277"/>
      <w:r>
        <w:rPr>
          <w:rFonts w:hint="eastAsia" w:ascii="宋体" w:hAnsi="宋体" w:eastAsia="仿宋_GB2312" w:cs="仿宋_GB2312"/>
          <w:kern w:val="0"/>
          <w:sz w:val="32"/>
          <w:szCs w:val="22"/>
          <w:lang w:val="en-US" w:eastAsia="zh-CN" w:bidi="zh-CN"/>
        </w:rPr>
        <w:t>1.协助区政协开展2024年协商议政、视察调研、民主评议、重点提案办理等工作。</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600" w:lineRule="exact"/>
        <w:ind w:right="660" w:rightChars="300" w:firstLine="640" w:firstLineChars="200"/>
        <w:jc w:val="both"/>
        <w:textAlignment w:val="auto"/>
        <w:rPr>
          <w:rFonts w:hint="default" w:ascii="宋体" w:hAnsi="宋体" w:cs="仿宋_GB2312"/>
          <w:kern w:val="0"/>
          <w:sz w:val="32"/>
          <w:szCs w:val="22"/>
          <w:lang w:val="en-US" w:eastAsia="zh-CN" w:bidi="zh-CN"/>
        </w:rPr>
      </w:pPr>
      <w:r>
        <w:rPr>
          <w:rFonts w:hint="eastAsia" w:ascii="宋体" w:hAnsi="宋体" w:cs="仿宋_GB2312"/>
          <w:kern w:val="0"/>
          <w:sz w:val="32"/>
          <w:szCs w:val="22"/>
          <w:lang w:val="en-US" w:eastAsia="zh-CN" w:bidi="zh-CN"/>
        </w:rPr>
        <w:t>2.推动区政协“同心共建现代化五通桥”专项行动、“有事来协商”等工作。</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600" w:lineRule="exact"/>
        <w:ind w:right="660" w:rightChars="300" w:firstLine="640" w:firstLineChars="200"/>
        <w:jc w:val="both"/>
        <w:textAlignment w:val="auto"/>
        <w:rPr>
          <w:rFonts w:hint="eastAsia" w:ascii="宋体" w:hAnsi="宋体"/>
          <w:sz w:val="32"/>
          <w:lang w:val="en-US" w:eastAsia="zh-CN"/>
        </w:rPr>
      </w:pPr>
      <w:r>
        <w:rPr>
          <w:rFonts w:hint="eastAsia" w:ascii="宋体" w:hAnsi="宋体" w:cs="仿宋_GB2312"/>
          <w:kern w:val="0"/>
          <w:sz w:val="32"/>
          <w:szCs w:val="22"/>
          <w:lang w:val="en-US" w:eastAsia="zh-CN" w:bidi="zh-CN"/>
        </w:rPr>
        <w:t>3.</w:t>
      </w:r>
      <w:r>
        <w:rPr>
          <w:rFonts w:hint="eastAsia" w:ascii="宋体" w:hAnsi="宋体" w:eastAsia="仿宋_GB2312" w:cs="仿宋_GB2312"/>
          <w:kern w:val="0"/>
          <w:sz w:val="32"/>
          <w:szCs w:val="22"/>
          <w:lang w:val="en-US" w:eastAsia="zh-CN" w:bidi="zh-CN"/>
        </w:rPr>
        <w:t>立足办公室职能职责，做好办文办会、</w:t>
      </w:r>
      <w:r>
        <w:rPr>
          <w:rFonts w:hint="eastAsia" w:ascii="宋体" w:hAnsi="宋体" w:cs="仿宋_GB2312"/>
          <w:kern w:val="0"/>
          <w:sz w:val="32"/>
          <w:szCs w:val="22"/>
          <w:lang w:val="en-US" w:eastAsia="zh-CN" w:bidi="zh-CN"/>
        </w:rPr>
        <w:t>上传下达、</w:t>
      </w:r>
      <w:r>
        <w:rPr>
          <w:rFonts w:hint="eastAsia" w:ascii="宋体" w:hAnsi="宋体" w:eastAsia="仿宋_GB2312" w:cs="仿宋_GB2312"/>
          <w:kern w:val="0"/>
          <w:sz w:val="32"/>
          <w:szCs w:val="22"/>
          <w:lang w:val="en-US" w:eastAsia="zh-CN" w:bidi="zh-CN"/>
        </w:rPr>
        <w:t>后勤服务等工作。</w:t>
      </w:r>
    </w:p>
    <w:p>
      <w:pPr>
        <w:pStyle w:val="4"/>
        <w:keepNext w:val="0"/>
        <w:keepLines w:val="0"/>
        <w:pageBreakBefore w:val="0"/>
        <w:widowControl w:val="0"/>
        <w:numPr>
          <w:ilvl w:val="0"/>
          <w:numId w:val="2"/>
        </w:numPr>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部门预算单位构成</w:t>
      </w:r>
      <w:bookmarkEnd w:id="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黑体"/>
          <w:color w:val="333333"/>
        </w:rPr>
      </w:pPr>
      <w:r>
        <w:rPr>
          <w:rFonts w:hint="eastAsia" w:ascii="宋体" w:hAnsi="宋体"/>
          <w:sz w:val="32"/>
          <w:lang w:val="en-US" w:eastAsia="zh-CN"/>
        </w:rPr>
        <w:t>部门下属预算单位0个（含机关），其中行政单位0个，参照公务员法管理的事业单位0个，其他事业单位0个。主要包括：</w:t>
      </w:r>
    </w:p>
    <w:tbl>
      <w:tblPr>
        <w:tblStyle w:val="11"/>
        <w:tblW w:w="8289" w:type="dxa"/>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trPr>
        <w:tc>
          <w:tcPr>
            <w:tcW w:w="2007" w:type="dxa"/>
          </w:tcPr>
          <w:p>
            <w:pPr>
              <w:pStyle w:val="15"/>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5"/>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1" w:hRule="atLeast"/>
        </w:trPr>
        <w:tc>
          <w:tcPr>
            <w:tcW w:w="2007" w:type="dxa"/>
          </w:tcPr>
          <w:p>
            <w:pPr>
              <w:pStyle w:val="15"/>
              <w:spacing w:before="181"/>
              <w:ind w:left="748"/>
              <w:rPr>
                <w:rFonts w:ascii="宋体" w:hAnsi="宋体"/>
                <w:sz w:val="32"/>
              </w:rPr>
            </w:pPr>
            <w:r>
              <w:rPr>
                <w:rFonts w:ascii="宋体" w:hAnsi="宋体"/>
                <w:color w:val="333333"/>
                <w:w w:val="99"/>
                <w:sz w:val="32"/>
              </w:rPr>
              <w:t>1</w:t>
            </w:r>
          </w:p>
        </w:tc>
        <w:tc>
          <w:tcPr>
            <w:tcW w:w="6282" w:type="dxa"/>
          </w:tcPr>
          <w:p>
            <w:pPr>
              <w:pStyle w:val="15"/>
              <w:spacing w:before="160"/>
              <w:ind w:left="746"/>
              <w:rPr>
                <w:rFonts w:hint="eastAsia" w:ascii="宋体" w:hAnsi="宋体" w:eastAsia="仿宋_GB2312"/>
                <w:sz w:val="32"/>
              </w:rPr>
            </w:pPr>
            <w:r>
              <w:rPr>
                <w:rFonts w:hint="eastAsia" w:ascii="宋体" w:hAnsi="宋体" w:eastAsia="仿宋_GB2312"/>
                <w:sz w:val="32"/>
              </w:rPr>
              <w:t>401001</w:t>
            </w:r>
            <w:r>
              <w:rPr>
                <w:rFonts w:hint="eastAsia" w:eastAsia="仿宋_GB2312"/>
                <w:sz w:val="32"/>
                <w:lang w:val="en-US" w:eastAsia="zh-CN"/>
              </w:rPr>
              <w:t>-</w:t>
            </w:r>
            <w:r>
              <w:rPr>
                <w:rFonts w:hint="eastAsia" w:ascii="宋体" w:hAnsi="宋体" w:eastAsia="仿宋_GB2312"/>
                <w:sz w:val="32"/>
              </w:rPr>
              <w:t>五通桥区政协办公室机关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2</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3</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3" w:hRule="atLeast"/>
        </w:trPr>
        <w:tc>
          <w:tcPr>
            <w:tcW w:w="2007" w:type="dxa"/>
          </w:tcPr>
          <w:p>
            <w:pPr>
              <w:pStyle w:val="15"/>
              <w:spacing w:before="183"/>
              <w:ind w:left="748"/>
              <w:rPr>
                <w:rFonts w:ascii="宋体" w:hAnsi="宋体"/>
                <w:sz w:val="32"/>
              </w:rPr>
            </w:pPr>
            <w:r>
              <w:rPr>
                <w:rFonts w:ascii="宋体" w:hAnsi="宋体"/>
                <w:color w:val="333333"/>
                <w:w w:val="99"/>
                <w:sz w:val="32"/>
              </w:rPr>
              <w:t>4</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5</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trPr>
        <w:tc>
          <w:tcPr>
            <w:tcW w:w="2007" w:type="dxa"/>
          </w:tcPr>
          <w:p>
            <w:pPr>
              <w:pStyle w:val="15"/>
              <w:spacing w:before="184"/>
              <w:ind w:left="748"/>
              <w:rPr>
                <w:rFonts w:ascii="宋体" w:hAnsi="宋体"/>
                <w:sz w:val="32"/>
              </w:rPr>
            </w:pPr>
            <w:r>
              <w:rPr>
                <w:rFonts w:ascii="宋体" w:hAnsi="宋体"/>
                <w:color w:val="333333"/>
                <w:w w:val="99"/>
                <w:sz w:val="32"/>
              </w:rPr>
              <w:t>6</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3" w:hRule="atLeast"/>
        </w:trPr>
        <w:tc>
          <w:tcPr>
            <w:tcW w:w="2007" w:type="dxa"/>
          </w:tcPr>
          <w:p>
            <w:pPr>
              <w:pStyle w:val="15"/>
              <w:spacing w:before="183"/>
              <w:ind w:left="748"/>
              <w:rPr>
                <w:rFonts w:ascii="宋体" w:hAnsi="宋体"/>
                <w:sz w:val="32"/>
              </w:rPr>
            </w:pPr>
            <w:r>
              <w:rPr>
                <w:rFonts w:ascii="宋体" w:hAnsi="宋体"/>
                <w:color w:val="333333"/>
                <w:w w:val="99"/>
                <w:sz w:val="32"/>
              </w:rPr>
              <w:t>7</w:t>
            </w:r>
          </w:p>
        </w:tc>
        <w:tc>
          <w:tcPr>
            <w:tcW w:w="6282" w:type="dxa"/>
          </w:tcPr>
          <w:p>
            <w:pPr>
              <w:pStyle w:val="15"/>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3"/>
        </w:numPr>
        <w:jc w:val="center"/>
        <w:outlineLvl w:val="0"/>
        <w:rPr>
          <w:rFonts w:hint="default" w:ascii="宋体" w:hAnsi="宋体" w:eastAsia="方正小标宋简体" w:cs="方正小标宋简体"/>
          <w:b/>
          <w:bCs/>
          <w:sz w:val="52"/>
          <w:szCs w:val="52"/>
          <w:lang w:val="en-US" w:eastAsia="zh-CN"/>
        </w:rPr>
      </w:pPr>
      <w:bookmarkStart w:id="5" w:name="_Toc14544"/>
      <w:r>
        <w:rPr>
          <w:rFonts w:hint="eastAsia" w:ascii="宋体" w:hAnsi="宋体" w:eastAsia="方正小标宋简体" w:cs="方正小标宋简体"/>
          <w:b/>
          <w:bCs/>
          <w:sz w:val="44"/>
          <w:szCs w:val="44"/>
          <w:lang w:val="en-US" w:eastAsia="zh-CN"/>
        </w:rPr>
        <w:t>五通桥区政协办公室</w:t>
      </w:r>
      <w:bookmarkEnd w:id="5"/>
    </w:p>
    <w:p>
      <w:pPr>
        <w:pStyle w:val="4"/>
        <w:numPr>
          <w:ilvl w:val="0"/>
          <w:numId w:val="0"/>
        </w:numPr>
        <w:ind w:right="0" w:rightChars="0" w:firstLine="4176" w:firstLineChars="800"/>
        <w:jc w:val="both"/>
        <w:outlineLvl w:val="0"/>
        <w:rPr>
          <w:rFonts w:hint="default" w:ascii="宋体" w:hAnsi="宋体" w:eastAsia="方正小标宋简体" w:cs="方正小标宋简体"/>
          <w:b/>
          <w:bCs/>
          <w:sz w:val="52"/>
          <w:szCs w:val="52"/>
          <w:lang w:val="en-US" w:eastAsia="zh-CN"/>
        </w:rPr>
      </w:pPr>
      <w:bookmarkStart w:id="6" w:name="_Toc8807"/>
      <w:r>
        <w:rPr>
          <w:rFonts w:hint="eastAsia" w:ascii="宋体" w:hAnsi="宋体" w:eastAsia="方正小标宋简体" w:cs="方正小标宋简体"/>
          <w:b/>
          <w:bCs/>
          <w:sz w:val="52"/>
          <w:szCs w:val="52"/>
          <w:lang w:val="en-US" w:eastAsia="zh-CN"/>
        </w:rPr>
        <w:t>2024年部门预算表</w:t>
      </w:r>
      <w:bookmarkEnd w:id="6"/>
    </w:p>
    <w:p>
      <w:pPr>
        <w:rPr>
          <w:rFonts w:hint="eastAsia" w:ascii="宋体" w:hAnsi="宋体"/>
          <w:sz w:val="32"/>
          <w:lang w:val="en-US" w:eastAsia="zh-CN"/>
        </w:rPr>
      </w:pPr>
      <w:r>
        <w:rPr>
          <w:rFonts w:ascii="宋体" w:hAnsi="宋体"/>
          <w:color w:val="333333"/>
        </w:rPr>
        <w:br w:type="page"/>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3162"/>
      <w:r>
        <w:rPr>
          <w:rFonts w:hint="eastAsia" w:ascii="宋体" w:hAnsi="宋体"/>
          <w:sz w:val="32"/>
          <w:lang w:val="en-US" w:eastAsia="zh-CN"/>
        </w:rPr>
        <w:t>一、部门收支总表（公开表 1）</w:t>
      </w:r>
      <w:bookmarkEnd w:id="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6220"/>
      <w:r>
        <w:rPr>
          <w:rFonts w:hint="eastAsia" w:ascii="宋体" w:hAnsi="宋体"/>
          <w:sz w:val="32"/>
          <w:lang w:val="en-US" w:eastAsia="zh-CN"/>
        </w:rPr>
        <w:t>二、部门收入总表（公开表 1-1）</w:t>
      </w:r>
      <w:bookmarkEnd w:id="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7493"/>
      <w:r>
        <w:rPr>
          <w:rFonts w:hint="eastAsia" w:ascii="宋体" w:hAnsi="宋体"/>
          <w:sz w:val="32"/>
          <w:lang w:val="en-US" w:eastAsia="zh-CN"/>
        </w:rPr>
        <w:t>三、部门支出总表（公开表 1-2）</w:t>
      </w:r>
      <w:bookmarkEnd w:id="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16740"/>
      <w:r>
        <w:rPr>
          <w:rFonts w:hint="eastAsia" w:ascii="宋体" w:hAnsi="宋体"/>
          <w:sz w:val="32"/>
          <w:lang w:val="en-US" w:eastAsia="zh-CN"/>
        </w:rPr>
        <w:t>四、财政拨款收支预算总表（公开表 2）</w:t>
      </w:r>
      <w:bookmarkEnd w:id="1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9592"/>
      <w:r>
        <w:rPr>
          <w:rFonts w:hint="eastAsia" w:ascii="宋体" w:hAnsi="宋体"/>
          <w:sz w:val="32"/>
          <w:lang w:val="en-US" w:eastAsia="zh-CN"/>
        </w:rPr>
        <w:t>五、财政拨款支出预算表（部门经济分类科目）</w:t>
      </w:r>
      <w:bookmarkEnd w:id="1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firstLine="438" w:firstLineChars="137"/>
        <w:jc w:val="left"/>
        <w:textAlignment w:val="auto"/>
        <w:rPr>
          <w:rFonts w:hint="eastAsia" w:ascii="宋体" w:hAnsi="宋体"/>
          <w:sz w:val="32"/>
          <w:lang w:val="en-US" w:eastAsia="zh-CN"/>
        </w:rPr>
      </w:pPr>
      <w:r>
        <w:rPr>
          <w:rFonts w:hint="eastAsia" w:ascii="宋体" w:hAnsi="宋体"/>
          <w:sz w:val="32"/>
          <w:lang w:val="en-US" w:eastAsia="zh-CN"/>
        </w:rPr>
        <w:t>（公开表 2-1）</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6711"/>
      <w:r>
        <w:rPr>
          <w:rFonts w:hint="eastAsia" w:ascii="宋体" w:hAnsi="宋体"/>
          <w:sz w:val="32"/>
          <w:lang w:val="en-US" w:eastAsia="zh-CN"/>
        </w:rPr>
        <w:t>六、一般公共预算支出预算表（公开表 3）</w:t>
      </w:r>
      <w:bookmarkEnd w:id="1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5559"/>
      <w:r>
        <w:rPr>
          <w:rFonts w:hint="eastAsia" w:ascii="宋体" w:hAnsi="宋体"/>
          <w:sz w:val="32"/>
          <w:lang w:val="en-US" w:eastAsia="zh-CN"/>
        </w:rPr>
        <w:t>七、一般公共预算基本支出预算表（公开表 3-1）</w:t>
      </w:r>
      <w:bookmarkEnd w:id="13"/>
      <w:r>
        <w:rPr>
          <w:rFonts w:hint="eastAsia" w:ascii="宋体" w:hAnsi="宋体"/>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12015"/>
      <w:r>
        <w:rPr>
          <w:rFonts w:hint="eastAsia" w:ascii="宋体" w:hAnsi="宋体"/>
          <w:sz w:val="32"/>
          <w:lang w:val="en-US" w:eastAsia="zh-CN"/>
        </w:rPr>
        <w:t>八、一般公共预算项目支出预算表（公开表 3-2）</w:t>
      </w:r>
      <w:bookmarkEnd w:id="1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29807"/>
      <w:r>
        <w:rPr>
          <w:rFonts w:hint="eastAsia" w:ascii="宋体" w:hAnsi="宋体"/>
          <w:sz w:val="32"/>
          <w:lang w:val="en-US" w:eastAsia="zh-CN"/>
        </w:rPr>
        <w:t>九、一般公共预算“三公”经费支出预算表</w:t>
      </w:r>
      <w:bookmarkEnd w:id="1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firstLine="438" w:firstLineChars="137"/>
        <w:jc w:val="left"/>
        <w:textAlignment w:val="auto"/>
        <w:rPr>
          <w:rFonts w:hint="eastAsia" w:ascii="宋体" w:hAnsi="宋体"/>
          <w:sz w:val="32"/>
          <w:lang w:val="en-US" w:eastAsia="zh-CN"/>
        </w:rPr>
      </w:pPr>
      <w:r>
        <w:rPr>
          <w:rFonts w:hint="eastAsia" w:ascii="宋体" w:hAnsi="宋体"/>
          <w:sz w:val="32"/>
          <w:lang w:val="en-US" w:eastAsia="zh-CN"/>
        </w:rPr>
        <w:t xml:space="preserve">（公开表 3-3）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4999"/>
      <w:r>
        <w:rPr>
          <w:rFonts w:hint="eastAsia" w:ascii="宋体" w:hAnsi="宋体"/>
          <w:sz w:val="32"/>
          <w:lang w:val="en-US" w:eastAsia="zh-CN"/>
        </w:rPr>
        <w:t>十、政府性基金预算支出表（公开表 4）</w:t>
      </w:r>
      <w:bookmarkEnd w:id="1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31655"/>
      <w:r>
        <w:rPr>
          <w:rFonts w:hint="eastAsia" w:ascii="宋体" w:hAnsi="宋体"/>
          <w:sz w:val="32"/>
          <w:lang w:val="en-US" w:eastAsia="zh-CN"/>
        </w:rPr>
        <w:t>十一、政府性基金预算“三公”经费支出预算表</w:t>
      </w:r>
      <w:bookmarkEnd w:id="1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firstLine="438" w:firstLineChars="137"/>
        <w:jc w:val="left"/>
        <w:textAlignment w:val="auto"/>
        <w:rPr>
          <w:rFonts w:hint="eastAsia" w:ascii="宋体" w:hAnsi="宋体"/>
          <w:sz w:val="32"/>
          <w:lang w:val="en-US" w:eastAsia="zh-CN"/>
        </w:rPr>
      </w:pPr>
      <w:r>
        <w:rPr>
          <w:rFonts w:hint="eastAsia" w:ascii="宋体" w:hAnsi="宋体"/>
          <w:sz w:val="32"/>
          <w:lang w:val="en-US" w:eastAsia="zh-CN"/>
        </w:rPr>
        <w:t>（公开表 4-1）</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30329"/>
      <w:r>
        <w:rPr>
          <w:rFonts w:hint="eastAsia" w:ascii="宋体" w:hAnsi="宋体"/>
          <w:sz w:val="32"/>
          <w:lang w:val="en-US" w:eastAsia="zh-CN"/>
        </w:rPr>
        <w:t>十二、国有资本经营预算支出表（公开表 5）</w:t>
      </w:r>
      <w:bookmarkEnd w:id="1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8734"/>
      <w:r>
        <w:rPr>
          <w:rFonts w:hint="eastAsia" w:ascii="宋体" w:hAnsi="宋体"/>
          <w:sz w:val="32"/>
          <w:lang w:val="en-US" w:eastAsia="zh-CN"/>
        </w:rPr>
        <w:t>十三、部门整体支出绩效目标表（公开表 6）</w:t>
      </w:r>
      <w:bookmarkEnd w:id="19"/>
      <w:r>
        <w:rPr>
          <w:rFonts w:hint="eastAsia" w:ascii="宋体" w:hAnsi="宋体"/>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7086"/>
      <w:r>
        <w:rPr>
          <w:rFonts w:hint="eastAsia" w:ascii="宋体" w:hAnsi="宋体"/>
          <w:sz w:val="32"/>
          <w:lang w:val="en-US" w:eastAsia="zh-CN"/>
        </w:rPr>
        <w:t>十四、部门预算项目支出绩效目标表（公开表 7）</w:t>
      </w:r>
      <w:bookmarkEnd w:id="2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5650"/>
      <w:r>
        <w:rPr>
          <w:rFonts w:hint="eastAsia" w:ascii="宋体" w:hAnsi="宋体"/>
          <w:sz w:val="32"/>
          <w:lang w:val="en-US" w:eastAsia="zh-CN"/>
        </w:rPr>
        <w:t>十五、政府采购预算表（公开表 8）</w:t>
      </w:r>
      <w:bookmarkEnd w:id="2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default" w:ascii="宋体" w:hAnsi="宋体"/>
          <w:b/>
          <w:bCs/>
          <w:sz w:val="32"/>
          <w:lang w:val="en-US" w:eastAsia="zh-CN"/>
        </w:rPr>
      </w:pPr>
      <w:bookmarkStart w:id="22" w:name="_Toc16458"/>
      <w:bookmarkStart w:id="23" w:name="_Toc7613"/>
      <w:r>
        <w:rPr>
          <w:rFonts w:hint="eastAsia" w:ascii="宋体" w:hAnsi="宋体"/>
          <w:b/>
          <w:bCs/>
          <w:sz w:val="32"/>
          <w:lang w:val="en-US" w:eastAsia="zh-CN"/>
        </w:rPr>
        <w:t>以上所有表格详见部门说明后附件。</w:t>
      </w:r>
      <w:bookmarkEnd w:id="22"/>
      <w:bookmarkEnd w:id="23"/>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3"/>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24" w:name="_Toc24069"/>
      <w:r>
        <w:rPr>
          <w:rFonts w:hint="eastAsia" w:ascii="宋体" w:hAnsi="宋体" w:eastAsia="方正小标宋简体" w:cs="方正小标宋简体"/>
          <w:b/>
          <w:bCs/>
          <w:sz w:val="44"/>
          <w:szCs w:val="44"/>
          <w:lang w:val="en-US" w:eastAsia="zh-CN"/>
        </w:rPr>
        <w:t>五通桥区政协办公室</w:t>
      </w:r>
      <w:bookmarkEnd w:id="24"/>
    </w:p>
    <w:p>
      <w:pPr>
        <w:pStyle w:val="4"/>
        <w:numPr>
          <w:ilvl w:val="0"/>
          <w:numId w:val="0"/>
        </w:numPr>
        <w:spacing w:before="6"/>
        <w:ind w:leftChars="0" w:right="0" w:rightChars="0" w:firstLine="2600" w:firstLineChars="500"/>
        <w:jc w:val="both"/>
        <w:outlineLvl w:val="0"/>
        <w:rPr>
          <w:rFonts w:hint="default" w:ascii="宋体" w:hAnsi="宋体"/>
          <w:sz w:val="20"/>
          <w:lang w:val="en-US"/>
        </w:rPr>
        <w:sectPr>
          <w:headerReference r:id="rId6" w:type="default"/>
          <w:pgSz w:w="11910" w:h="16840"/>
          <w:pgMar w:top="1587" w:right="964" w:bottom="1701" w:left="1134" w:header="737" w:footer="737" w:gutter="0"/>
          <w:pgNumType w:fmt="decimal"/>
          <w:cols w:space="0" w:num="1"/>
          <w:rtlGutter w:val="0"/>
          <w:docGrid w:linePitch="0" w:charSpace="0"/>
        </w:sectPr>
      </w:pPr>
      <w:bookmarkStart w:id="25" w:name="_Toc24897"/>
      <w:r>
        <w:rPr>
          <w:rFonts w:hint="eastAsia" w:ascii="宋体" w:hAnsi="宋体" w:eastAsia="方正小标宋简体" w:cs="方正小标宋简体"/>
          <w:sz w:val="52"/>
          <w:szCs w:val="52"/>
          <w:lang w:val="en-US" w:eastAsia="zh-CN"/>
        </w:rPr>
        <w:t>2024年</w:t>
      </w:r>
      <w:bookmarkStart w:id="26" w:name="_Toc1047"/>
      <w:r>
        <w:rPr>
          <w:rFonts w:hint="eastAsia" w:ascii="宋体" w:hAnsi="宋体" w:eastAsia="方正小标宋简体" w:cs="方正小标宋简体"/>
          <w:sz w:val="52"/>
          <w:szCs w:val="52"/>
          <w:lang w:val="en-US" w:eastAsia="zh-CN"/>
        </w:rPr>
        <w:t>部门预算情况说明</w:t>
      </w:r>
      <w:bookmarkEnd w:id="25"/>
      <w:bookmarkEnd w:id="26"/>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7" w:name="_Toc28035"/>
      <w:r>
        <w:rPr>
          <w:rFonts w:hint="eastAsia" w:ascii="宋体" w:hAnsi="宋体" w:eastAsia="黑体"/>
          <w:color w:val="333333"/>
        </w:rPr>
        <w:t>一、收支预算情况说明</w:t>
      </w:r>
      <w:bookmarkEnd w:id="2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政协办公室部门所有收入和支出均纳入部门预算管理。收入包括：一般公共预算拨款收入；支出包括：一般公共服务支出、社会保障和就业支出、卫生健康支出、住房保障支出。五通桥区政协办公室部门2024年收支预算总数409.66万元,比2023年收支预算总数385.25万元增加24.41万元。主要原因：一般公共服务支出比上年增加20.78万元、社会保障和就业支出比上年增加3.81万元、卫生健康支出比上年增加0.40万元、住房保障支出比上年减少0.58万元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8" w:name="_Toc8262"/>
      <w:r>
        <w:rPr>
          <w:rFonts w:ascii="宋体" w:hAnsi="宋体"/>
        </w:rPr>
        <w:t>（一）收入预算情况</w:t>
      </w:r>
      <w:bookmarkEnd w:id="2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协办公室部门2024年收入预算409.66万元，其中：上年结转0万元，占0%；一般公共预算拨款收入409.66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9" w:name="_Toc29970"/>
      <w:r>
        <w:rPr>
          <w:rFonts w:ascii="宋体" w:hAnsi="宋体"/>
        </w:rPr>
        <w:t>（二）支出预算情况</w:t>
      </w:r>
      <w:bookmarkEnd w:id="2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五通桥区政协办公室部门2024年支出预算409.66万元，其中：人员支出256.18万元，日常公用支出36.00万元，对个人和家庭的补助支出15.77万元，专项支出101.71万元。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0" w:name="_Toc5217"/>
      <w:r>
        <w:rPr>
          <w:rFonts w:hint="eastAsia" w:ascii="宋体" w:hAnsi="宋体" w:eastAsia="黑体"/>
          <w:color w:val="333333"/>
        </w:rPr>
        <w:t>二、财政拨款收支预算情况说明</w:t>
      </w:r>
      <w:bookmarkEnd w:id="3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协办公室部门2024年财政拨款收支预算总数409.66万元,比2023年财政拨款收支预算总数385.25万元增加24.41万元。主要原因：一般公共服务支出比上年增加20.78万元、社会保障和就业支出比上年增加3.81万元、卫生健康支出比上年增加0.40万元、住房保障支出比上年减少0.58万元所致。</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其中：基本支出307.95万元，占75.17%；项目支出101.71万元，占24.83%。</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基本支出，是用于保障五通桥区政协办公室机关（无下属事业单位）等机构正常运转的日常支出，包括基本工资、津贴补贴等人员经费以及办公费、印刷费、水电费、办公设备购置等日常公用经费。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项目支出，是用于保障五通桥区政协办公室机关（无下属事业单位）等机构为完成特定的行政工作任务或事业发展目标，用于专项业务工作的经费支出。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1" w:name="_Toc28300"/>
      <w:r>
        <w:rPr>
          <w:rFonts w:hint="eastAsia" w:ascii="宋体" w:hAnsi="宋体" w:eastAsia="黑体"/>
          <w:color w:val="333333"/>
        </w:rPr>
        <w:t>三、一般公共预算当年拨款情况说明</w:t>
      </w:r>
      <w:bookmarkEnd w:id="3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2" w:name="_Toc17458"/>
      <w:r>
        <w:rPr>
          <w:rFonts w:ascii="宋体" w:hAnsi="宋体"/>
        </w:rPr>
        <w:t>（一）一般公共预算当年拨款规模变化情况</w:t>
      </w:r>
      <w:bookmarkEnd w:id="3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协办公室部门2024年一般公共预算当年拨款409.66万元，比2023年财政拨款收支预算总数385.25万元增加24.41万元。主要原因：一般公共服务支出比上年增加20.78万元、社会保障和就业支出比上年增加3.81万元、卫生健康支出比上年增加0.40万元、住房保障支出比上年减少0.58万元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3" w:name="_Toc12669"/>
      <w:r>
        <w:rPr>
          <w:rFonts w:ascii="宋体" w:hAnsi="宋体"/>
        </w:rPr>
        <w:t>（二）一般公共预算当年拨款结构情况</w:t>
      </w:r>
      <w:bookmarkEnd w:id="3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协办公室部门2024年一般公共预算支出409.66万元，主要包括一般公共服务支出327.04万元，占79.83%；外交支出0万元，占0%；国防支出0万元，占0%；公共安全支出0万元，占0%；教育支出0万元，占0%；科学技术支出0万元，占0%；文化旅游体育与传媒支出0万元，占0%；社会保障和就业支出53.24万元，占13.00%；卫生健康支出9.26万元，占2.26%；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20.12万元，占4.91%；粮油物资储备支出0万元，占0%；灾害防治及应急管理支出0万元，占0%；预备费0万元，占0%；其他支出0万元，占0%；转移性支出0万元，占0%；债务还本支出0万元，占0%；债务付息支出0万元，占0%；债务发行费支出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34" w:name="_Toc3803"/>
      <w:r>
        <w:rPr>
          <w:rFonts w:ascii="宋体" w:hAnsi="宋体"/>
        </w:rPr>
        <w:t>（三）一般公共预算当年拨款具体使用情况</w:t>
      </w:r>
      <w:bookmarkEnd w:id="3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政协事务（款）行政运行（项）（项）:2024年预算数为225.33万元，主要用于：机关及参公管理事业单位正常运转的基本支出，包括基本工资、津贴补贴等人员经费以及办公费、印刷费、水电费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w:t>
      </w:r>
      <w:r>
        <w:rPr>
          <w:rFonts w:hint="eastAsia" w:ascii="宋体" w:hAnsi="宋体" w:eastAsia="宋体" w:cs="宋体"/>
          <w:i w:val="0"/>
          <w:iCs w:val="0"/>
          <w:caps w:val="0"/>
          <w:color w:val="000000"/>
          <w:spacing w:val="0"/>
          <w:sz w:val="24"/>
          <w:szCs w:val="24"/>
          <w:shd w:val="clear" w:color="auto" w:fill="FFFFFF"/>
        </w:rPr>
        <w:t>一</w:t>
      </w:r>
      <w:r>
        <w:rPr>
          <w:rFonts w:hint="eastAsia" w:ascii="宋体" w:hAnsi="宋体"/>
          <w:sz w:val="32"/>
          <w:lang w:val="en-US" w:eastAsia="zh-CN"/>
        </w:rPr>
        <w:t>般公共服务（类）政协事务（款）一般行政管理事务（项）:2024年预算数为81.71万元，主要用于：机关综合业务的项目支出。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3.一般公共服务支出（类）政协事务（款）政协会议（项）2024年预算数为20.00万元，主要用于：保障政协全会召开相关费用。</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4.社会保障和就业（类）行政事业单位离退休（款）机关事业单位基本养老保险缴费支出（项）:2024年预算数为23.85万元，主要用于：实施养老保险制度后，部门按规定由单位缴纳的基本养老保险费支出。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5.社会保障和就业（类）行政事业单位离退休（款）机关事业单位职业年金缴费支出（项）:2024年预算数为11.93万元，主要用于：实施养老保险制度后，部门按规定由单位缴纳的职业年金支出。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6.社会保障和就业（类）行政事业单位离退休（款）其他行政事业单位养老支出（项）:2024年预算数为15.77万元，主要用于：保障离退休人员经费支出。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7.社会保障和就业（类）其他社会保障和就业支出（款）其他社会保障和就业支出（项）:2024年预算数为1.69万元，主要用于：其他社会保障和就业方面的支出。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8.卫生健康（类）行政事业单位医疗（款）行政单位医疗（项）:2024年预算数为6.16万元，主要用于：机关及参公管理事业单位基本医疗保险缴费支出。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9.卫生健康（类）行政事业单位医疗（款）公务员医疗补助（项）:2024年预算数为3.10万元，主要用于：机关单位公务员医疗补助保险缴费支出。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10.住房保障（类）住房改革支出（款）住房公积金（项）:2024年预算数为20.12万元，主要用于：部门按人力资源和社会保障部、财政部规定的基本工资和津贴补贴以及规定比例为职工缴纳的住房公积金支出。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5" w:name="_Toc30518"/>
      <w:r>
        <w:rPr>
          <w:rFonts w:hint="eastAsia" w:ascii="宋体" w:hAnsi="宋体" w:eastAsia="黑体"/>
          <w:color w:val="333333"/>
        </w:rPr>
        <w:t>四、一般公共预算基本支出情况说明</w:t>
      </w:r>
      <w:bookmarkEnd w:id="3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五通桥区政协办公室部门2024年一般公共预算基本支出307.95万元，其中：</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271.95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36.00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11317"/>
      <w:r>
        <w:rPr>
          <w:rFonts w:hint="eastAsia" w:ascii="宋体" w:hAnsi="宋体" w:eastAsia="黑体"/>
          <w:color w:val="333333"/>
        </w:rPr>
        <w:t>五、“三公”经费财政拨款预算安排情况说明</w:t>
      </w:r>
      <w:bookmarkEnd w:id="3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五通桥区政协办公室部门2024年“三公”经费财政拨款预算数4.40万元，其中：公务接待费4.40万元，公务用车购置0万元，公车运行维护费0万元。</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2024年安排公务接待费支出计划日常运转工作和特定工作的接待事项。</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13493"/>
      <w:r>
        <w:rPr>
          <w:rFonts w:ascii="宋体" w:hAnsi="宋体"/>
        </w:rPr>
        <w:t>（一）</w:t>
      </w:r>
      <w:r>
        <w:rPr>
          <w:rFonts w:hint="eastAsia" w:ascii="宋体" w:hAnsi="宋体"/>
          <w:lang w:val="en-US" w:eastAsia="zh-CN"/>
        </w:rPr>
        <w:t>公务接待费变化情况</w:t>
      </w:r>
      <w:bookmarkEnd w:id="3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2023</w:t>
      </w:r>
      <w:r>
        <w:rPr>
          <w:rFonts w:hint="default" w:ascii="宋体" w:hAnsi="宋体"/>
          <w:sz w:val="32"/>
          <w:lang w:val="en-US" w:eastAsia="zh-CN"/>
        </w:rPr>
        <w:t>年预算</w:t>
      </w:r>
      <w:r>
        <w:rPr>
          <w:rFonts w:hint="eastAsia" w:ascii="宋体" w:hAnsi="宋体"/>
          <w:sz w:val="32"/>
          <w:lang w:val="en-US" w:eastAsia="zh-CN"/>
        </w:rPr>
        <w:t>3.20</w:t>
      </w:r>
      <w:r>
        <w:rPr>
          <w:rFonts w:hint="default" w:ascii="宋体" w:hAnsi="宋体"/>
          <w:sz w:val="32"/>
          <w:lang w:val="en-US" w:eastAsia="zh-CN"/>
        </w:rPr>
        <w:t>万元</w:t>
      </w:r>
      <w:r>
        <w:rPr>
          <w:rFonts w:hint="eastAsia" w:ascii="宋体" w:hAnsi="宋体"/>
          <w:sz w:val="32"/>
          <w:lang w:val="en-US" w:eastAsia="zh-CN"/>
        </w:rPr>
        <w:t>增加1.20</w:t>
      </w:r>
      <w:r>
        <w:rPr>
          <w:rFonts w:hint="default" w:ascii="宋体" w:hAnsi="宋体"/>
          <w:sz w:val="32"/>
          <w:lang w:val="en-US" w:eastAsia="zh-CN"/>
        </w:rPr>
        <w:t>万元。主要原因是</w:t>
      </w:r>
      <w:r>
        <w:rPr>
          <w:rFonts w:hint="eastAsia" w:ascii="宋体" w:hAnsi="宋体"/>
          <w:sz w:val="32"/>
          <w:lang w:val="en-US" w:eastAsia="zh-CN"/>
        </w:rPr>
        <w:t>工作需要增加了</w:t>
      </w:r>
      <w:r>
        <w:rPr>
          <w:rFonts w:hint="default" w:ascii="宋体" w:hAnsi="宋体"/>
          <w:sz w:val="32"/>
          <w:lang w:val="en-US" w:eastAsia="zh-CN"/>
        </w:rPr>
        <w:t>接待费用。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4012"/>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2023</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4</w:t>
      </w:r>
      <w:r>
        <w:rPr>
          <w:rFonts w:hint="default" w:ascii="宋体" w:hAnsi="宋体"/>
          <w:sz w:val="32"/>
          <w:lang w:val="en-US" w:eastAsia="zh-CN"/>
        </w:rPr>
        <w:t>辆，其中：轿车</w:t>
      </w:r>
      <w:r>
        <w:rPr>
          <w:rFonts w:hint="eastAsia" w:ascii="宋体" w:hAnsi="宋体"/>
          <w:sz w:val="32"/>
          <w:lang w:val="en-US" w:eastAsia="zh-CN"/>
        </w:rPr>
        <w:t>4</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2024</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202</w:t>
      </w:r>
      <w:r>
        <w:rPr>
          <w:rFonts w:hint="eastAsia" w:ascii="宋体" w:hAnsi="宋体"/>
          <w:sz w:val="32"/>
          <w:lang w:val="en-US" w:eastAsia="zh-CN"/>
        </w:rPr>
        <w:t>4</w:t>
      </w:r>
      <w:r>
        <w:rPr>
          <w:rFonts w:hint="default" w:ascii="宋体" w:hAnsi="宋体"/>
          <w:sz w:val="32"/>
          <w:lang w:val="en-US" w:eastAsia="zh-CN"/>
        </w:rPr>
        <w:t>年</w:t>
      </w:r>
      <w:r>
        <w:rPr>
          <w:rFonts w:hint="eastAsia" w:ascii="宋体" w:hAnsi="宋体"/>
          <w:sz w:val="32"/>
          <w:lang w:val="en-US" w:eastAsia="zh-CN"/>
        </w:rPr>
        <w:t>未</w:t>
      </w:r>
      <w:r>
        <w:rPr>
          <w:rFonts w:hint="default" w:ascii="宋体" w:hAnsi="宋体"/>
          <w:sz w:val="32"/>
          <w:lang w:val="en-US" w:eastAsia="zh-CN"/>
        </w:rPr>
        <w:t>安排公务用车运行维护费</w:t>
      </w:r>
      <w:r>
        <w:rPr>
          <w:rFonts w:hint="eastAsia" w:ascii="宋体" w:hAnsi="宋体"/>
          <w:sz w:val="32"/>
          <w:lang w:val="en-US" w:eastAsia="zh-CN"/>
        </w:rPr>
        <w:t>。</w:t>
      </w:r>
    </w:p>
    <w:p>
      <w:pPr>
        <w:pStyle w:val="4"/>
        <w:keepNext w:val="0"/>
        <w:keepLines w:val="0"/>
        <w:pageBreakBefore w:val="0"/>
        <w:widowControl w:val="0"/>
        <w:numPr>
          <w:ilvl w:val="0"/>
          <w:numId w:val="4"/>
        </w:numPr>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39" w:name="_Toc8341"/>
      <w:r>
        <w:rPr>
          <w:rFonts w:hint="eastAsia" w:ascii="宋体" w:hAnsi="宋体" w:eastAsia="黑体"/>
          <w:color w:val="333333"/>
        </w:rPr>
        <w:t>政府性基金预算支出情况说明</w:t>
      </w:r>
      <w:bookmarkEnd w:id="39"/>
    </w:p>
    <w:p>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300" w:after="0" w:afterLines="50"/>
        <w:ind w:left="638" w:leftChars="290" w:right="0" w:rightChars="0" w:firstLine="640" w:firstLineChars="200"/>
        <w:textAlignment w:val="auto"/>
        <w:outlineLvl w:val="1"/>
        <w:rPr>
          <w:rFonts w:hint="default" w:ascii="宋体" w:hAnsi="宋体"/>
          <w:sz w:val="32"/>
          <w:lang w:val="en-US" w:eastAsia="zh-CN"/>
        </w:rPr>
      </w:pPr>
      <w:bookmarkStart w:id="40" w:name="_Toc19169"/>
      <w:r>
        <w:rPr>
          <w:rFonts w:hint="eastAsia" w:ascii="宋体" w:hAnsi="宋体"/>
          <w:sz w:val="32"/>
          <w:lang w:val="en-US" w:eastAsia="zh-CN"/>
        </w:rPr>
        <w:t>五通桥区政协办公室</w:t>
      </w:r>
      <w:r>
        <w:rPr>
          <w:rFonts w:hint="default" w:ascii="宋体" w:hAnsi="宋体"/>
          <w:sz w:val="32"/>
          <w:lang w:val="en-US" w:eastAsia="zh-CN"/>
        </w:rPr>
        <w:t>部门</w:t>
      </w:r>
      <w:r>
        <w:rPr>
          <w:rFonts w:hint="eastAsia" w:ascii="宋体" w:hAnsi="宋体"/>
          <w:sz w:val="32"/>
          <w:lang w:val="en-US" w:eastAsia="zh-CN"/>
        </w:rPr>
        <w:t>2024</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bookmarkEnd w:id="40"/>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11674"/>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五通桥区政协办公室</w:t>
      </w:r>
      <w:bookmarkStart w:id="48" w:name="_GoBack"/>
      <w:r>
        <w:rPr>
          <w:rFonts w:hint="eastAsia" w:ascii="宋体" w:hAnsi="宋体"/>
          <w:sz w:val="32"/>
          <w:lang w:val="en-US" w:eastAsia="zh-CN"/>
        </w:rPr>
        <w:t>部</w:t>
      </w:r>
      <w:bookmarkEnd w:id="48"/>
      <w:r>
        <w:rPr>
          <w:rFonts w:hint="eastAsia" w:ascii="宋体" w:hAnsi="宋体"/>
          <w:sz w:val="32"/>
          <w:lang w:val="en-US" w:eastAsia="zh-CN"/>
        </w:rPr>
        <w:t>门2024年国有资本经营预算拨款安排支出0万元,较上年预算数持平。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2" w:name="_Toc13960"/>
      <w:r>
        <w:rPr>
          <w:rFonts w:hint="eastAsia" w:ascii="宋体" w:hAnsi="宋体" w:eastAsia="黑体"/>
          <w:color w:val="333333"/>
          <w:lang w:val="en-US" w:eastAsia="zh-CN"/>
        </w:rPr>
        <w:t>八、其他重要事项的情况说明</w:t>
      </w:r>
      <w:bookmarkEnd w:id="42"/>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3" w:name="_Toc18079"/>
      <w:r>
        <w:rPr>
          <w:rFonts w:ascii="宋体" w:hAnsi="宋体"/>
        </w:rPr>
        <w:t>（一）机关运行经费情况</w:t>
      </w:r>
      <w:bookmarkEnd w:id="4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sz w:val="32"/>
          <w:lang w:val="en-US" w:eastAsia="zh-CN"/>
        </w:rPr>
        <w:t>2024年，五通桥区政协办公室部门下属五通桥区政协办公室机关1家行政单</w:t>
      </w:r>
      <w:r>
        <w:rPr>
          <w:rFonts w:hint="eastAsia" w:ascii="宋体" w:hAnsi="宋体"/>
          <w:color w:val="auto"/>
          <w:sz w:val="32"/>
          <w:lang w:val="en-US" w:eastAsia="zh-CN"/>
        </w:rPr>
        <w:t>位,0家参公管理事业单位以及0家事业单位的机关运行经费财政拨款预算为36.00万元，比2023年预算40.80万元减少4.80万元，减少11.76%。主要原因是伙食补助费等减少所致。</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6948"/>
      <w:r>
        <w:rPr>
          <w:rFonts w:ascii="宋体" w:hAnsi="宋体"/>
        </w:rPr>
        <w:t>（二）政府采购情况</w:t>
      </w:r>
      <w:bookmarkEnd w:id="4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2024年，五通桥区政协办公室部门政府采购项目0万元。其中，政府采购货物预算0万元；政府采购工程预算0万元；政府采购服务预算0万元。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16108"/>
      <w:r>
        <w:rPr>
          <w:rFonts w:ascii="宋体" w:hAnsi="宋体"/>
        </w:rPr>
        <w:t>（三）国有资产占有使用情况</w:t>
      </w:r>
      <w:bookmarkEnd w:id="4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截至2024年底，五通桥区政协办公室部门所属各预算单位共有车辆4辆。单位价值100万元以上大型设备0套。</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2024年部门预算未安排购置车辆及单位价值100万元以上大型设备。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8317"/>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4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2024年五通桥区政协办公室开展绩效目标管理的项目6个，涉及预算101.71万元。其中：人员类项目0个，涉及预算0万元；运转类项目0个，涉及预算0万元；特定目标类项目6个，涉及预算101.71万元。</w:t>
      </w:r>
    </w:p>
    <w:p>
      <w:pPr>
        <w:pStyle w:val="4"/>
        <w:spacing w:before="0"/>
        <w:ind w:right="0"/>
        <w:jc w:val="both"/>
        <w:rPr>
          <w:rFonts w:ascii="宋体" w:hAnsi="宋体"/>
          <w:spacing w:val="6"/>
        </w:rPr>
        <w:sectPr>
          <w:headerReference r:id="rId7" w:type="default"/>
          <w:footerReference r:id="rId8"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47" w:name="_Toc16958"/>
      <w:r>
        <w:rPr>
          <w:rFonts w:hint="eastAsia" w:ascii="宋体" w:hAnsi="宋体" w:eastAsia="方正小标宋简体" w:cs="方正小标宋简体"/>
          <w:sz w:val="52"/>
          <w:szCs w:val="52"/>
          <w:lang w:val="en-US" w:eastAsia="zh-CN"/>
        </w:rPr>
        <w:t>第四部分  名词解释</w:t>
      </w:r>
      <w:bookmarkEnd w:id="47"/>
    </w:p>
    <w:p>
      <w:pPr>
        <w:spacing w:after="0"/>
        <w:rPr>
          <w:rFonts w:ascii="宋体" w:hAnsi="宋体"/>
          <w:sz w:val="20"/>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b/>
          <w:bCs/>
          <w:sz w:val="32"/>
          <w:lang w:val="en-US" w:eastAsia="zh-CN"/>
        </w:rPr>
      </w:pPr>
      <w:r>
        <w:rPr>
          <w:rFonts w:hint="eastAsia" w:ascii="宋体" w:hAnsi="宋体"/>
          <w:sz w:val="32"/>
          <w:lang w:val="en-US" w:eastAsia="zh-CN"/>
        </w:rPr>
        <w:t>8、一般公共服务（类）政协事务（款）行政运行（项）（项）:指机关及参公管理事业单位正常运转的基本支出，包括基本工资、津贴补贴等人员经费以及办公费、印刷费、水电费等日常公用经费。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9.社会保障和就业（类）行政事业单位离退休（款）事业单位离退休（项）：指离退休人员的支出。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10.社会保障和就业（类）行政事业单位离退休（款）未归口管理的行政单位离退休（项）：指离退休人员的支出。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11.社会保障和就业（类）行政事业单位离退休（款）机关事业单位基本养老保险缴费支出（项）：指部门实施养老保险制度由单位缴纳的养老保险费的支出。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12.社会保障和就业（类）行政事业单位离退休（款）机关事业单位职业年金缴费支出（项）：指部门实施养老保险制度由单位缴纳的职业年金的支出。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13.社会保障和就业（类）其他社会保障和就业（款）其他社会保障和就业支出（项）：指除上述项目外，其他用于行政事业单位离退休方面的支出。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14.卫生健康（类）行政事业单位医疗（款）行政单位医疗（项）：指行政单位及参公管理事业单位用于缴纳单位基本医疗保险支出。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15.卫生健康（类）行政事业单位医疗（款）事业单位医疗（项）：指事业单位用于缴纳单位基本医疗保险支出。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16.卫生健康（类）行政事业单位医疗（款）公务员医疗补助（项）：指行政单位及参公管理事业单位用于集中缴纳公务员医疗补助支出。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17.住房保障（类）住房改革支出（款）住房公积金（项）：指由单位及其在职职工按规定缴存的住房公积金支出。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18.基本支出：指为保证机构正常运转，完成日常工作任务而发生的人员支出和公用支出。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19.项目支出：指在基本支出之外为完成特定行政任务和事业发展目标所发生的支出。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F483A6B9-4D0A-414C-B7A8-1F8211396E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F0192726-70C6-4FC0-8EF0-2A3380BA073D}"/>
  </w:font>
  <w:font w:name="仿宋_GB2312">
    <w:panose1 w:val="02010609030101010101"/>
    <w:charset w:val="86"/>
    <w:family w:val="modern"/>
    <w:pitch w:val="default"/>
    <w:sig w:usb0="00000001" w:usb1="080E0000" w:usb2="00000000" w:usb3="00000000" w:csb0="00040000" w:csb1="00000000"/>
    <w:embedRegular r:id="rId3" w:fontKey="{318505DB-0C48-4FDE-8A82-832042F5FC4B}"/>
  </w:font>
  <w:font w:name="方正小标宋简体">
    <w:panose1 w:val="03000509000000000000"/>
    <w:charset w:val="86"/>
    <w:family w:val="script"/>
    <w:pitch w:val="default"/>
    <w:sig w:usb0="00000001" w:usb1="080E0000" w:usb2="00000000" w:usb3="00000000" w:csb0="00040000" w:csb1="00000000"/>
    <w:embedRegular r:id="rId4" w:fontKey="{1510B31A-D1CC-4232-B8EB-B69925F157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abstractNum w:abstractNumId="2">
    <w:nsid w:val="6F39553F"/>
    <w:multiLevelType w:val="singleLevel"/>
    <w:tmpl w:val="6F39553F"/>
    <w:lvl w:ilvl="0" w:tentative="0">
      <w:start w:val="6"/>
      <w:numFmt w:val="chineseCounting"/>
      <w:suff w:val="nothing"/>
      <w:lvlText w:val="%1、"/>
      <w:lvlJc w:val="left"/>
      <w:rPr>
        <w:rFonts w:hint="eastAsia"/>
      </w:rPr>
    </w:lvl>
  </w:abstractNum>
  <w:abstractNum w:abstractNumId="3">
    <w:nsid w:val="7804C307"/>
    <w:multiLevelType w:val="singleLevel"/>
    <w:tmpl w:val="7804C307"/>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N2FkNWE1ZmE1ZDZiZmU5NTNkMjNlMWFiMjE4NGQifQ=="/>
    <w:docVar w:name="KSO_WPS_MARK_KEY" w:val="48d2c7c5-5ca7-4a62-94c0-78ba1c7e0ebc"/>
  </w:docVars>
  <w:rsids>
    <w:rsidRoot w:val="00000000"/>
    <w:rsid w:val="008B2F82"/>
    <w:rsid w:val="02ED1707"/>
    <w:rsid w:val="02F925FF"/>
    <w:rsid w:val="03395962"/>
    <w:rsid w:val="049F4027"/>
    <w:rsid w:val="056A59A3"/>
    <w:rsid w:val="07E710DD"/>
    <w:rsid w:val="09C17C45"/>
    <w:rsid w:val="0F65617D"/>
    <w:rsid w:val="13CB5FFB"/>
    <w:rsid w:val="18D94D16"/>
    <w:rsid w:val="1C4565B4"/>
    <w:rsid w:val="1E9115A9"/>
    <w:rsid w:val="20D9567F"/>
    <w:rsid w:val="21211D8E"/>
    <w:rsid w:val="2276797D"/>
    <w:rsid w:val="240622C9"/>
    <w:rsid w:val="247F2477"/>
    <w:rsid w:val="2A7614CF"/>
    <w:rsid w:val="2BD66371"/>
    <w:rsid w:val="2E756471"/>
    <w:rsid w:val="2EDE64E6"/>
    <w:rsid w:val="2FDF35AF"/>
    <w:rsid w:val="3170631D"/>
    <w:rsid w:val="3220394A"/>
    <w:rsid w:val="325D5243"/>
    <w:rsid w:val="33EF318A"/>
    <w:rsid w:val="3B602D90"/>
    <w:rsid w:val="3C440F6E"/>
    <w:rsid w:val="40AE18BB"/>
    <w:rsid w:val="4C327499"/>
    <w:rsid w:val="4C832E0B"/>
    <w:rsid w:val="4D3C563B"/>
    <w:rsid w:val="54C30EEA"/>
    <w:rsid w:val="5543046B"/>
    <w:rsid w:val="58EE6347"/>
    <w:rsid w:val="595E3E2E"/>
    <w:rsid w:val="5AE90F4A"/>
    <w:rsid w:val="5B65451D"/>
    <w:rsid w:val="6B4A2A11"/>
    <w:rsid w:val="70441671"/>
    <w:rsid w:val="7209340F"/>
    <w:rsid w:val="76A30804"/>
    <w:rsid w:val="7A1D2879"/>
    <w:rsid w:val="7B3A0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13">
    <w:name w:val="Table Normal"/>
    <w:semiHidden/>
    <w:unhideWhenUsed/>
    <w:qFormat/>
    <w:uiPriority w:val="2"/>
    <w:tblPr>
      <w:tblLayout w:type="fixed"/>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5875</Words>
  <Characters>6584</Characters>
  <TotalTime>16</TotalTime>
  <ScaleCrop>false</ScaleCrop>
  <LinksUpToDate>false</LinksUpToDate>
  <CharactersWithSpaces>8008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cp:lastModifiedBy>
  <dcterms:modified xsi:type="dcterms:W3CDTF">2024-02-20T06:36:57Z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2052-11.1.0.9021</vt:lpwstr>
  </property>
  <property fmtid="{D5CDD505-2E9C-101B-9397-08002B2CF9AE}" pid="6" name="ICV">
    <vt:lpwstr>19A6489293D14499A2E447A850DEABA6</vt:lpwstr>
  </property>
</Properties>
</file>