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18"/>
        <w:rPr>
          <w:sz w:val="52"/>
          <w:szCs w:val="52"/>
        </w:rPr>
      </w:pPr>
      <w:r>
        <w:rPr>
          <w:rFonts w:hint="eastAsia"/>
          <w:sz w:val="52"/>
          <w:szCs w:val="52"/>
        </w:rPr>
        <w:t>关于五通桥区</w:t>
      </w:r>
      <w:r>
        <w:rPr>
          <w:rFonts w:hint="eastAsia"/>
          <w:sz w:val="52"/>
          <w:szCs w:val="52"/>
          <w:lang w:val="en-US" w:eastAsia="zh-CN"/>
        </w:rPr>
        <w:t>建设工程质量安全监督站</w:t>
      </w:r>
      <w:r>
        <w:rPr>
          <w:sz w:val="52"/>
          <w:szCs w:val="52"/>
        </w:rPr>
        <w:br w:type="textWrapping"/>
      </w:r>
      <w:r>
        <w:rPr>
          <w:rFonts w:hint="eastAsia"/>
          <w:sz w:val="52"/>
          <w:szCs w:val="52"/>
          <w:lang w:eastAsia="zh-CN"/>
        </w:rPr>
        <w:t>2024</w:t>
      </w:r>
      <w:r>
        <w:rPr>
          <w:rFonts w:hint="eastAsia"/>
          <w:sz w:val="52"/>
          <w:szCs w:val="52"/>
        </w:rPr>
        <w:t>年部门预算编制</w:t>
      </w:r>
    </w:p>
    <w:p>
      <w:pPr>
        <w:pStyle w:val="4"/>
        <w:jc w:val="center"/>
        <w:rPr>
          <w:rFonts w:hint="eastAsia" w:ascii="宋体" w:hAnsi="宋体" w:eastAsia="宋体" w:cs="宋体"/>
          <w:b/>
          <w:bCs/>
          <w:sz w:val="52"/>
          <w:szCs w:val="52"/>
          <w:shd w:val="clear" w:color="auto" w:fill="auto"/>
          <w:lang w:val="en-US" w:eastAsia="zh-CN"/>
        </w:rPr>
      </w:pP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p>
    <w:sdt>
      <w:sdtPr>
        <w:rPr>
          <w:rFonts w:ascii="宋体" w:hAnsi="宋体" w:eastAsia="宋体" w:cs="宋体"/>
          <w:sz w:val="21"/>
          <w:szCs w:val="22"/>
          <w:lang w:val="zh-CN" w:eastAsia="zh-CN" w:bidi="zh-CN"/>
        </w:rPr>
        <w:id w:val="147474297"/>
        <w15:color w:val="DBDBDB"/>
        <w:docPartObj>
          <w:docPartGallery w:val="Table of Contents"/>
          <w:docPartUnique/>
        </w:docPartObj>
      </w:sdtPr>
      <w:sdtEndPr>
        <w:rPr>
          <w:rFonts w:ascii="宋体" w:hAnsi="宋体" w:eastAsia="仿宋_GB2312" w:cs="仿宋_GB2312"/>
          <w:b/>
          <w:sz w:val="32"/>
          <w:szCs w:val="32"/>
          <w:lang w:val="zh-CN" w:eastAsia="zh-CN" w:bidi="zh-CN"/>
        </w:rPr>
      </w:sdtEndPr>
      <w:sdtContent>
        <w:p>
          <w:pPr>
            <w:spacing w:before="0" w:beforeLines="0" w:after="0" w:afterLines="0" w:line="240" w:lineRule="auto"/>
            <w:ind w:left="0" w:leftChars="0" w:right="0" w:rightChars="0" w:firstLine="0" w:firstLineChars="0"/>
            <w:jc w:val="center"/>
            <w:rPr>
              <w:rFonts w:hint="eastAsia" w:ascii="宋体" w:hAnsi="宋体" w:eastAsia="方正小标宋简体" w:cs="方正小标宋简体"/>
              <w:b/>
              <w:bCs/>
              <w:sz w:val="48"/>
              <w:szCs w:val="48"/>
              <w:lang w:val="en-US" w:eastAsia="zh-CN" w:bidi="zh-CN"/>
            </w:rPr>
          </w:pPr>
          <w:r>
            <w:rPr>
              <w:rFonts w:hint="eastAsia" w:ascii="宋体" w:hAnsi="宋体" w:eastAsia="方正小标宋简体" w:cs="方正小标宋简体"/>
              <w:b/>
              <w:bCs/>
              <w:sz w:val="48"/>
              <w:szCs w:val="48"/>
              <w:lang w:val="en-US" w:eastAsia="zh-CN" w:bidi="zh-CN"/>
            </w:rPr>
            <w:t>目</w:t>
          </w:r>
          <w:r>
            <w:rPr>
              <w:rFonts w:hint="eastAsia" w:eastAsia="方正小标宋简体" w:cs="方正小标宋简体"/>
              <w:b/>
              <w:bCs/>
              <w:sz w:val="48"/>
              <w:szCs w:val="48"/>
              <w:lang w:val="en-US" w:eastAsia="zh-CN" w:bidi="zh-CN"/>
            </w:rPr>
            <w:t xml:space="preserve"> </w:t>
          </w:r>
          <w:r>
            <w:rPr>
              <w:rFonts w:hint="eastAsia" w:ascii="宋体" w:hAnsi="宋体" w:eastAsia="方正小标宋简体" w:cs="方正小标宋简体"/>
              <w:b/>
              <w:bCs/>
              <w:sz w:val="48"/>
              <w:szCs w:val="48"/>
              <w:lang w:val="en-US" w:eastAsia="zh-CN" w:bidi="zh-CN"/>
            </w:rPr>
            <w:t>录</w:t>
          </w:r>
        </w:p>
        <w:p>
          <w:pPr>
            <w:pStyle w:val="15"/>
            <w:tabs>
              <w:tab w:val="right" w:leader="dot" w:pos="8882"/>
            </w:tabs>
            <w:spacing w:line="360" w:lineRule="auto"/>
            <w:rPr>
              <w:b/>
              <w:sz w:val="32"/>
              <w:szCs w:val="32"/>
            </w:rPr>
          </w:pPr>
          <w:r>
            <w:rPr>
              <w:rFonts w:ascii="宋体" w:hAnsi="宋体"/>
              <w:sz w:val="21"/>
              <w:szCs w:val="21"/>
            </w:rPr>
            <w:fldChar w:fldCharType="begin"/>
          </w:r>
          <w:r>
            <w:rPr>
              <w:rFonts w:ascii="宋体" w:hAnsi="宋体"/>
              <w:sz w:val="21"/>
              <w:szCs w:val="21"/>
            </w:rPr>
            <w:instrText xml:space="preserve">TOC \o "1-2" \h \u </w:instrText>
          </w:r>
          <w:r>
            <w:rPr>
              <w:rFonts w:ascii="宋体" w:hAnsi="宋体"/>
              <w:sz w:val="21"/>
              <w:szCs w:val="21"/>
            </w:rPr>
            <w:fldChar w:fldCharType="separate"/>
          </w:r>
          <w:r>
            <w:rPr>
              <w:rFonts w:ascii="宋体" w:hAnsi="宋体"/>
              <w:b/>
              <w:sz w:val="32"/>
              <w:szCs w:val="32"/>
            </w:rPr>
            <w:fldChar w:fldCharType="begin"/>
          </w:r>
          <w:r>
            <w:rPr>
              <w:rFonts w:ascii="宋体" w:hAnsi="宋体"/>
              <w:b/>
              <w:sz w:val="32"/>
              <w:szCs w:val="32"/>
            </w:rPr>
            <w:instrText xml:space="preserve"> HYPERLINK \l _Toc23642 </w:instrText>
          </w:r>
          <w:r>
            <w:rPr>
              <w:rFonts w:ascii="宋体" w:hAnsi="宋体"/>
              <w:b/>
              <w:sz w:val="32"/>
              <w:szCs w:val="32"/>
            </w:rPr>
            <w:fldChar w:fldCharType="separate"/>
          </w:r>
          <w:r>
            <w:rPr>
              <w:rFonts w:hint="eastAsia" w:ascii="宋体" w:hAnsi="宋体" w:eastAsia="方正小标宋简体" w:cs="方正小标宋简体"/>
              <w:b/>
              <w:bCs/>
              <w:sz w:val="32"/>
              <w:szCs w:val="96"/>
              <w:lang w:val="en-US" w:eastAsia="zh-CN"/>
            </w:rPr>
            <w:t xml:space="preserve">第一部分 </w:t>
          </w:r>
          <w:r>
            <w:rPr>
              <w:rFonts w:hint="eastAsia" w:ascii="宋体" w:hAnsi="宋体" w:eastAsia="方正小标宋简体" w:cs="方正小标宋简体"/>
              <w:b/>
              <w:bCs/>
              <w:sz w:val="32"/>
              <w:szCs w:val="144"/>
              <w:lang w:val="en-US" w:eastAsia="zh-CN"/>
            </w:rPr>
            <w:t>部门概况</w:t>
          </w:r>
          <w:r>
            <w:rPr>
              <w:b/>
              <w:sz w:val="32"/>
              <w:szCs w:val="32"/>
            </w:rPr>
            <w:tab/>
          </w:r>
          <w:r>
            <w:rPr>
              <w:b/>
              <w:sz w:val="32"/>
              <w:szCs w:val="32"/>
            </w:rPr>
            <w:fldChar w:fldCharType="begin"/>
          </w:r>
          <w:r>
            <w:rPr>
              <w:b/>
              <w:sz w:val="32"/>
              <w:szCs w:val="32"/>
            </w:rPr>
            <w:instrText xml:space="preserve"> PAGEREF _Toc23642 \h </w:instrText>
          </w:r>
          <w:r>
            <w:rPr>
              <w:b/>
              <w:sz w:val="32"/>
              <w:szCs w:val="32"/>
            </w:rPr>
            <w:fldChar w:fldCharType="separate"/>
          </w:r>
          <w:r>
            <w:rPr>
              <w:b/>
              <w:sz w:val="32"/>
              <w:szCs w:val="32"/>
            </w:rPr>
            <w:t>1</w:t>
          </w:r>
          <w:r>
            <w:rPr>
              <w:b/>
              <w:sz w:val="32"/>
              <w:szCs w:val="32"/>
            </w:rPr>
            <w:fldChar w:fldCharType="end"/>
          </w:r>
          <w:r>
            <w:rPr>
              <w:rFonts w:ascii="宋体" w:hAnsi="宋体"/>
              <w:b/>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_Toc15520 </w:instrText>
          </w:r>
          <w:r>
            <w:rPr>
              <w:rFonts w:ascii="宋体" w:hAnsi="宋体"/>
              <w:sz w:val="32"/>
              <w:szCs w:val="32"/>
            </w:rPr>
            <w:fldChar w:fldCharType="separate"/>
          </w:r>
          <w:r>
            <w:rPr>
              <w:rFonts w:hint="eastAsia" w:ascii="宋体" w:hAnsi="宋体" w:eastAsia="黑体"/>
              <w:bCs/>
              <w:sz w:val="32"/>
              <w:szCs w:val="32"/>
              <w:lang w:val="en-US" w:eastAsia="zh-CN"/>
            </w:rPr>
            <w:t>一、</w:t>
          </w:r>
          <w:r>
            <w:rPr>
              <w:rFonts w:hint="eastAsia" w:ascii="宋体" w:hAnsi="宋体" w:eastAsia="黑体"/>
              <w:bCs/>
              <w:sz w:val="32"/>
              <w:szCs w:val="32"/>
            </w:rPr>
            <w:t>基本职能及主要工作</w:t>
          </w:r>
          <w:r>
            <w:rPr>
              <w:sz w:val="32"/>
              <w:szCs w:val="32"/>
            </w:rPr>
            <w:tab/>
          </w:r>
          <w:r>
            <w:rPr>
              <w:sz w:val="32"/>
              <w:szCs w:val="32"/>
            </w:rPr>
            <w:fldChar w:fldCharType="begin"/>
          </w:r>
          <w:r>
            <w:rPr>
              <w:sz w:val="32"/>
              <w:szCs w:val="32"/>
            </w:rPr>
            <w:instrText xml:space="preserve"> PAGEREF _Toc15520 \h </w:instrText>
          </w:r>
          <w:r>
            <w:rPr>
              <w:sz w:val="32"/>
              <w:szCs w:val="32"/>
            </w:rPr>
            <w:fldChar w:fldCharType="separate"/>
          </w:r>
          <w:r>
            <w:rPr>
              <w:sz w:val="32"/>
              <w:szCs w:val="32"/>
            </w:rPr>
            <w:t>2</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_Toc17199 </w:instrText>
          </w:r>
          <w:r>
            <w:rPr>
              <w:rFonts w:ascii="宋体" w:hAnsi="宋体"/>
              <w:sz w:val="32"/>
              <w:szCs w:val="32"/>
            </w:rPr>
            <w:fldChar w:fldCharType="separate"/>
          </w:r>
          <w:r>
            <w:rPr>
              <w:rFonts w:hint="eastAsia" w:ascii="仿宋_GB2312" w:hAnsi="仿宋_GB2312" w:eastAsia="仿宋_GB2312" w:cs="仿宋_GB2312"/>
              <w:bCs/>
              <w:sz w:val="32"/>
              <w:szCs w:val="32"/>
            </w:rPr>
            <w:t>（一）部门职能简介</w:t>
          </w:r>
          <w:r>
            <w:rPr>
              <w:sz w:val="32"/>
              <w:szCs w:val="32"/>
            </w:rPr>
            <w:tab/>
          </w:r>
          <w:r>
            <w:rPr>
              <w:sz w:val="32"/>
              <w:szCs w:val="32"/>
            </w:rPr>
            <w:fldChar w:fldCharType="begin"/>
          </w:r>
          <w:r>
            <w:rPr>
              <w:sz w:val="32"/>
              <w:szCs w:val="32"/>
            </w:rPr>
            <w:instrText xml:space="preserve"> PAGEREF _Toc17199 \h </w:instrText>
          </w:r>
          <w:r>
            <w:rPr>
              <w:sz w:val="32"/>
              <w:szCs w:val="32"/>
            </w:rPr>
            <w:fldChar w:fldCharType="separate"/>
          </w:r>
          <w:r>
            <w:rPr>
              <w:sz w:val="32"/>
              <w:szCs w:val="32"/>
            </w:rPr>
            <w:t>2</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_Toc10058 </w:instrText>
          </w:r>
          <w:r>
            <w:rPr>
              <w:rFonts w:ascii="宋体" w:hAnsi="宋体"/>
              <w:sz w:val="32"/>
              <w:szCs w:val="32"/>
            </w:rPr>
            <w:fldChar w:fldCharType="separate"/>
          </w:r>
          <w:r>
            <w:rPr>
              <w:rFonts w:hint="eastAsia" w:ascii="仿宋_GB2312" w:hAnsi="仿宋_GB2312" w:eastAsia="仿宋_GB2312" w:cs="仿宋_GB2312"/>
              <w:bCs/>
              <w:sz w:val="32"/>
              <w:szCs w:val="32"/>
            </w:rPr>
            <w:t>（二）部门</w:t>
          </w:r>
          <w:r>
            <w:rPr>
              <w:rFonts w:hint="eastAsia" w:ascii="仿宋_GB2312" w:hAnsi="仿宋_GB2312" w:eastAsia="仿宋_GB2312" w:cs="仿宋_GB2312"/>
              <w:bCs/>
              <w:sz w:val="32"/>
              <w:szCs w:val="32"/>
              <w:lang w:val="en-US" w:eastAsia="zh-CN"/>
            </w:rPr>
            <w:t>2024</w:t>
          </w:r>
          <w:r>
            <w:rPr>
              <w:rFonts w:hint="eastAsia" w:ascii="仿宋_GB2312" w:hAnsi="仿宋_GB2312" w:eastAsia="仿宋_GB2312" w:cs="仿宋_GB2312"/>
              <w:bCs/>
              <w:sz w:val="32"/>
              <w:szCs w:val="32"/>
            </w:rPr>
            <w:t>年重点工作</w:t>
          </w:r>
          <w:r>
            <w:rPr>
              <w:sz w:val="32"/>
              <w:szCs w:val="32"/>
            </w:rPr>
            <w:tab/>
          </w:r>
          <w:r>
            <w:rPr>
              <w:sz w:val="32"/>
              <w:szCs w:val="32"/>
            </w:rPr>
            <w:fldChar w:fldCharType="begin"/>
          </w:r>
          <w:r>
            <w:rPr>
              <w:sz w:val="32"/>
              <w:szCs w:val="32"/>
            </w:rPr>
            <w:instrText xml:space="preserve"> PAGEREF _Toc10058 \h </w:instrText>
          </w:r>
          <w:r>
            <w:rPr>
              <w:sz w:val="32"/>
              <w:szCs w:val="32"/>
            </w:rPr>
            <w:fldChar w:fldCharType="separate"/>
          </w:r>
          <w:r>
            <w:rPr>
              <w:sz w:val="32"/>
              <w:szCs w:val="32"/>
            </w:rPr>
            <w:t>2</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_Toc2513 </w:instrText>
          </w:r>
          <w:r>
            <w:rPr>
              <w:rFonts w:ascii="宋体" w:hAnsi="宋体"/>
              <w:sz w:val="32"/>
              <w:szCs w:val="32"/>
            </w:rPr>
            <w:fldChar w:fldCharType="separate"/>
          </w:r>
          <w:r>
            <w:rPr>
              <w:rFonts w:hint="eastAsia" w:ascii="宋体" w:hAnsi="宋体" w:eastAsia="黑体"/>
              <w:bCs/>
              <w:sz w:val="32"/>
              <w:szCs w:val="32"/>
            </w:rPr>
            <w:t>二、部门预算单位构成</w:t>
          </w:r>
          <w:r>
            <w:rPr>
              <w:sz w:val="32"/>
              <w:szCs w:val="32"/>
            </w:rPr>
            <w:tab/>
          </w:r>
          <w:r>
            <w:rPr>
              <w:sz w:val="32"/>
              <w:szCs w:val="32"/>
            </w:rPr>
            <w:fldChar w:fldCharType="begin"/>
          </w:r>
          <w:r>
            <w:rPr>
              <w:sz w:val="32"/>
              <w:szCs w:val="32"/>
            </w:rPr>
            <w:instrText xml:space="preserve"> PAGEREF _Toc2513 \h </w:instrText>
          </w:r>
          <w:r>
            <w:rPr>
              <w:sz w:val="32"/>
              <w:szCs w:val="32"/>
            </w:rPr>
            <w:fldChar w:fldCharType="separate"/>
          </w:r>
          <w:r>
            <w:rPr>
              <w:sz w:val="32"/>
              <w:szCs w:val="32"/>
            </w:rPr>
            <w:t>2</w:t>
          </w:r>
          <w:r>
            <w:rPr>
              <w:sz w:val="32"/>
              <w:szCs w:val="32"/>
            </w:rPr>
            <w:fldChar w:fldCharType="end"/>
          </w:r>
          <w:r>
            <w:rPr>
              <w:rFonts w:ascii="宋体" w:hAnsi="宋体"/>
              <w:sz w:val="32"/>
              <w:szCs w:val="32"/>
            </w:rPr>
            <w:fldChar w:fldCharType="end"/>
          </w:r>
        </w:p>
        <w:p>
          <w:pPr>
            <w:pStyle w:val="15"/>
            <w:tabs>
              <w:tab w:val="right" w:leader="dot" w:pos="8882"/>
            </w:tabs>
            <w:spacing w:line="360" w:lineRule="auto"/>
            <w:rPr>
              <w:b/>
              <w:sz w:val="32"/>
              <w:szCs w:val="32"/>
            </w:rPr>
          </w:pPr>
          <w:r>
            <w:rPr>
              <w:rFonts w:ascii="宋体" w:hAnsi="宋体"/>
              <w:b/>
              <w:sz w:val="32"/>
              <w:szCs w:val="32"/>
            </w:rPr>
            <w:fldChar w:fldCharType="begin"/>
          </w:r>
          <w:r>
            <w:rPr>
              <w:rFonts w:ascii="宋体" w:hAnsi="宋体"/>
              <w:b/>
              <w:sz w:val="32"/>
              <w:szCs w:val="32"/>
            </w:rPr>
            <w:instrText xml:space="preserve"> HYPERLINK \l _Toc4899 </w:instrText>
          </w:r>
          <w:r>
            <w:rPr>
              <w:rFonts w:ascii="宋体" w:hAnsi="宋体"/>
              <w:b/>
              <w:sz w:val="32"/>
              <w:szCs w:val="32"/>
            </w:rPr>
            <w:fldChar w:fldCharType="separate"/>
          </w:r>
          <w:r>
            <w:rPr>
              <w:rFonts w:hint="eastAsia" w:ascii="方正小标宋简体" w:hAnsi="方正小标宋简体" w:eastAsia="方正小标宋简体" w:cs="方正小标宋简体"/>
              <w:b/>
              <w:bCs/>
              <w:sz w:val="32"/>
              <w:szCs w:val="96"/>
              <w:lang w:val="en-US" w:eastAsia="zh-CN"/>
            </w:rPr>
            <w:t xml:space="preserve">第二部分 </w:t>
          </w:r>
          <w:r>
            <w:rPr>
              <w:rFonts w:hint="eastAsia" w:ascii="方正小标宋简体" w:hAnsi="方正小标宋简体" w:eastAsia="方正小标宋简体" w:cs="方正小标宋简体"/>
              <w:b/>
              <w:bCs/>
              <w:sz w:val="32"/>
              <w:szCs w:val="144"/>
              <w:lang w:val="en-US" w:eastAsia="zh-CN"/>
            </w:rPr>
            <w:t>五通桥区建设工程质量安全监督站2024年部门预算表</w:t>
          </w:r>
          <w:r>
            <w:rPr>
              <w:b/>
              <w:sz w:val="32"/>
              <w:szCs w:val="32"/>
            </w:rPr>
            <w:tab/>
          </w:r>
          <w:r>
            <w:rPr>
              <w:b/>
              <w:sz w:val="32"/>
              <w:szCs w:val="32"/>
            </w:rPr>
            <w:fldChar w:fldCharType="begin"/>
          </w:r>
          <w:r>
            <w:rPr>
              <w:b/>
              <w:sz w:val="32"/>
              <w:szCs w:val="32"/>
            </w:rPr>
            <w:instrText xml:space="preserve"> PAGEREF _Toc4899 \h </w:instrText>
          </w:r>
          <w:r>
            <w:rPr>
              <w:b/>
              <w:sz w:val="32"/>
              <w:szCs w:val="32"/>
            </w:rPr>
            <w:fldChar w:fldCharType="separate"/>
          </w:r>
          <w:r>
            <w:rPr>
              <w:b/>
              <w:sz w:val="32"/>
              <w:szCs w:val="32"/>
            </w:rPr>
            <w:t>3</w:t>
          </w:r>
          <w:r>
            <w:rPr>
              <w:b/>
              <w:sz w:val="32"/>
              <w:szCs w:val="32"/>
            </w:rPr>
            <w:fldChar w:fldCharType="end"/>
          </w:r>
          <w:r>
            <w:rPr>
              <w:rFonts w:ascii="宋体" w:hAnsi="宋体"/>
              <w:b/>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_Toc3115 </w:instrText>
          </w:r>
          <w:r>
            <w:rPr>
              <w:rFonts w:ascii="宋体" w:hAnsi="宋体"/>
              <w:sz w:val="32"/>
              <w:szCs w:val="32"/>
            </w:rPr>
            <w:fldChar w:fldCharType="separate"/>
          </w:r>
          <w:r>
            <w:rPr>
              <w:rFonts w:hint="eastAsia" w:ascii="宋体" w:hAnsi="宋体"/>
              <w:sz w:val="32"/>
              <w:szCs w:val="32"/>
              <w:lang w:val="en-US" w:eastAsia="zh-CN"/>
            </w:rPr>
            <w:t>一、部门收支总表（公开表 1）</w:t>
          </w:r>
          <w:r>
            <w:rPr>
              <w:sz w:val="32"/>
              <w:szCs w:val="32"/>
            </w:rPr>
            <w:tab/>
          </w:r>
          <w:r>
            <w:rPr>
              <w:sz w:val="32"/>
              <w:szCs w:val="32"/>
            </w:rPr>
            <w:fldChar w:fldCharType="begin"/>
          </w:r>
          <w:r>
            <w:rPr>
              <w:sz w:val="32"/>
              <w:szCs w:val="32"/>
            </w:rPr>
            <w:instrText xml:space="preserve"> PAGEREF _Toc3115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_Toc11018 </w:instrText>
          </w:r>
          <w:r>
            <w:rPr>
              <w:rFonts w:ascii="宋体" w:hAnsi="宋体"/>
              <w:sz w:val="32"/>
              <w:szCs w:val="32"/>
            </w:rPr>
            <w:fldChar w:fldCharType="separate"/>
          </w:r>
          <w:r>
            <w:rPr>
              <w:rFonts w:hint="eastAsia" w:ascii="宋体" w:hAnsi="宋体"/>
              <w:sz w:val="32"/>
              <w:szCs w:val="32"/>
              <w:lang w:val="en-US" w:eastAsia="zh-CN"/>
            </w:rPr>
            <w:t>二、部门收入总表（公开表 1-1）</w:t>
          </w:r>
          <w:r>
            <w:rPr>
              <w:sz w:val="32"/>
              <w:szCs w:val="32"/>
            </w:rPr>
            <w:tab/>
          </w:r>
          <w:r>
            <w:rPr>
              <w:sz w:val="32"/>
              <w:szCs w:val="32"/>
            </w:rPr>
            <w:fldChar w:fldCharType="begin"/>
          </w:r>
          <w:r>
            <w:rPr>
              <w:sz w:val="32"/>
              <w:szCs w:val="32"/>
            </w:rPr>
            <w:instrText xml:space="preserve"> PAGEREF _Toc11018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_Toc5558 </w:instrText>
          </w:r>
          <w:r>
            <w:rPr>
              <w:rFonts w:ascii="宋体" w:hAnsi="宋体"/>
              <w:sz w:val="32"/>
              <w:szCs w:val="32"/>
            </w:rPr>
            <w:fldChar w:fldCharType="separate"/>
          </w:r>
          <w:r>
            <w:rPr>
              <w:rFonts w:hint="eastAsia" w:ascii="宋体" w:hAnsi="宋体"/>
              <w:sz w:val="32"/>
              <w:szCs w:val="32"/>
              <w:lang w:val="en-US" w:eastAsia="zh-CN"/>
            </w:rPr>
            <w:t>三、部门支出总表（公开表 1-2）</w:t>
          </w:r>
          <w:r>
            <w:rPr>
              <w:sz w:val="32"/>
              <w:szCs w:val="32"/>
            </w:rPr>
            <w:tab/>
          </w:r>
          <w:r>
            <w:rPr>
              <w:sz w:val="32"/>
              <w:szCs w:val="32"/>
            </w:rPr>
            <w:fldChar w:fldCharType="begin"/>
          </w:r>
          <w:r>
            <w:rPr>
              <w:sz w:val="32"/>
              <w:szCs w:val="32"/>
            </w:rPr>
            <w:instrText xml:space="preserve"> PAGEREF _Toc5558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_Toc4166 </w:instrText>
          </w:r>
          <w:r>
            <w:rPr>
              <w:rFonts w:ascii="宋体" w:hAnsi="宋体"/>
              <w:sz w:val="32"/>
              <w:szCs w:val="32"/>
            </w:rPr>
            <w:fldChar w:fldCharType="separate"/>
          </w:r>
          <w:r>
            <w:rPr>
              <w:rFonts w:hint="eastAsia" w:ascii="宋体" w:hAnsi="宋体"/>
              <w:sz w:val="32"/>
              <w:szCs w:val="32"/>
              <w:lang w:val="en-US" w:eastAsia="zh-CN"/>
            </w:rPr>
            <w:t>四、财政拨款收支预算总表（公开表 2）</w:t>
          </w:r>
          <w:r>
            <w:rPr>
              <w:sz w:val="32"/>
              <w:szCs w:val="32"/>
            </w:rPr>
            <w:tab/>
          </w:r>
          <w:r>
            <w:rPr>
              <w:sz w:val="32"/>
              <w:szCs w:val="32"/>
            </w:rPr>
            <w:fldChar w:fldCharType="begin"/>
          </w:r>
          <w:r>
            <w:rPr>
              <w:sz w:val="32"/>
              <w:szCs w:val="32"/>
            </w:rPr>
            <w:instrText xml:space="preserve"> PAGEREF _Toc4166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_Toc32650 </w:instrText>
          </w:r>
          <w:r>
            <w:rPr>
              <w:rFonts w:ascii="宋体" w:hAnsi="宋体"/>
              <w:sz w:val="32"/>
              <w:szCs w:val="32"/>
            </w:rPr>
            <w:fldChar w:fldCharType="separate"/>
          </w:r>
          <w:r>
            <w:rPr>
              <w:rFonts w:hint="eastAsia" w:ascii="宋体" w:hAnsi="宋体"/>
              <w:sz w:val="32"/>
              <w:szCs w:val="32"/>
              <w:lang w:val="en-US" w:eastAsia="zh-CN"/>
            </w:rPr>
            <w:t>五、财政拨款支出预算表（部门经济分类科目）</w:t>
          </w:r>
          <w:r>
            <w:rPr>
              <w:sz w:val="32"/>
              <w:szCs w:val="32"/>
            </w:rPr>
            <w:tab/>
          </w:r>
          <w:r>
            <w:rPr>
              <w:sz w:val="32"/>
              <w:szCs w:val="32"/>
            </w:rPr>
            <w:fldChar w:fldCharType="begin"/>
          </w:r>
          <w:r>
            <w:rPr>
              <w:sz w:val="32"/>
              <w:szCs w:val="32"/>
            </w:rPr>
            <w:instrText xml:space="preserve"> PAGEREF _Toc32650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_Toc10451 </w:instrText>
          </w:r>
          <w:r>
            <w:rPr>
              <w:rFonts w:ascii="宋体" w:hAnsi="宋体"/>
              <w:sz w:val="32"/>
              <w:szCs w:val="32"/>
            </w:rPr>
            <w:fldChar w:fldCharType="separate"/>
          </w:r>
          <w:r>
            <w:rPr>
              <w:rFonts w:hint="eastAsia" w:ascii="宋体" w:hAnsi="宋体"/>
              <w:sz w:val="32"/>
              <w:szCs w:val="32"/>
              <w:lang w:val="en-US" w:eastAsia="zh-CN"/>
            </w:rPr>
            <w:t>六、一般公共预算支出预算表（公开表 3）</w:t>
          </w:r>
          <w:r>
            <w:rPr>
              <w:sz w:val="32"/>
              <w:szCs w:val="32"/>
            </w:rPr>
            <w:tab/>
          </w:r>
          <w:r>
            <w:rPr>
              <w:sz w:val="32"/>
              <w:szCs w:val="32"/>
            </w:rPr>
            <w:fldChar w:fldCharType="begin"/>
          </w:r>
          <w:r>
            <w:rPr>
              <w:sz w:val="32"/>
              <w:szCs w:val="32"/>
            </w:rPr>
            <w:instrText xml:space="preserve"> PAGEREF _Toc10451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_Toc19436 </w:instrText>
          </w:r>
          <w:r>
            <w:rPr>
              <w:rFonts w:ascii="宋体" w:hAnsi="宋体"/>
              <w:sz w:val="32"/>
              <w:szCs w:val="32"/>
            </w:rPr>
            <w:fldChar w:fldCharType="separate"/>
          </w:r>
          <w:r>
            <w:rPr>
              <w:rFonts w:hint="eastAsia" w:ascii="宋体" w:hAnsi="宋体"/>
              <w:sz w:val="32"/>
              <w:szCs w:val="32"/>
              <w:lang w:val="en-US" w:eastAsia="zh-CN"/>
            </w:rPr>
            <w:t>七、一般公共预算基本支出预算表（公开表 3-1）</w:t>
          </w:r>
          <w:r>
            <w:rPr>
              <w:sz w:val="32"/>
              <w:szCs w:val="32"/>
            </w:rPr>
            <w:tab/>
          </w:r>
          <w:r>
            <w:rPr>
              <w:sz w:val="32"/>
              <w:szCs w:val="32"/>
            </w:rPr>
            <w:fldChar w:fldCharType="begin"/>
          </w:r>
          <w:r>
            <w:rPr>
              <w:sz w:val="32"/>
              <w:szCs w:val="32"/>
            </w:rPr>
            <w:instrText xml:space="preserve"> PAGEREF _Toc19436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_Toc14639 </w:instrText>
          </w:r>
          <w:r>
            <w:rPr>
              <w:rFonts w:ascii="宋体" w:hAnsi="宋体"/>
              <w:sz w:val="32"/>
              <w:szCs w:val="32"/>
            </w:rPr>
            <w:fldChar w:fldCharType="separate"/>
          </w:r>
          <w:r>
            <w:rPr>
              <w:rFonts w:hint="eastAsia" w:ascii="宋体" w:hAnsi="宋体"/>
              <w:sz w:val="32"/>
              <w:szCs w:val="32"/>
              <w:lang w:val="en-US" w:eastAsia="zh-CN"/>
            </w:rPr>
            <w:t>八、一般公共预算项目支出预算表（公开表 3-2）</w:t>
          </w:r>
          <w:r>
            <w:rPr>
              <w:sz w:val="32"/>
              <w:szCs w:val="32"/>
            </w:rPr>
            <w:tab/>
          </w:r>
          <w:r>
            <w:rPr>
              <w:sz w:val="32"/>
              <w:szCs w:val="32"/>
            </w:rPr>
            <w:fldChar w:fldCharType="begin"/>
          </w:r>
          <w:r>
            <w:rPr>
              <w:sz w:val="32"/>
              <w:szCs w:val="32"/>
            </w:rPr>
            <w:instrText xml:space="preserve"> PAGEREF _Toc14639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_Toc4974 </w:instrText>
          </w:r>
          <w:r>
            <w:rPr>
              <w:rFonts w:ascii="宋体" w:hAnsi="宋体"/>
              <w:sz w:val="32"/>
              <w:szCs w:val="32"/>
            </w:rPr>
            <w:fldChar w:fldCharType="separate"/>
          </w:r>
          <w:r>
            <w:rPr>
              <w:rFonts w:hint="eastAsia" w:ascii="宋体" w:hAnsi="宋体"/>
              <w:sz w:val="32"/>
              <w:szCs w:val="32"/>
              <w:lang w:val="en-US" w:eastAsia="zh-CN"/>
            </w:rPr>
            <w:t>九、一般公共预算“三公”经费支出预算表</w:t>
          </w:r>
          <w:r>
            <w:rPr>
              <w:sz w:val="32"/>
              <w:szCs w:val="32"/>
            </w:rPr>
            <w:tab/>
          </w:r>
          <w:r>
            <w:rPr>
              <w:sz w:val="32"/>
              <w:szCs w:val="32"/>
            </w:rPr>
            <w:fldChar w:fldCharType="begin"/>
          </w:r>
          <w:r>
            <w:rPr>
              <w:sz w:val="32"/>
              <w:szCs w:val="32"/>
            </w:rPr>
            <w:instrText xml:space="preserve"> PAGEREF _Toc4974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_Toc28043 </w:instrText>
          </w:r>
          <w:r>
            <w:rPr>
              <w:rFonts w:ascii="宋体" w:hAnsi="宋体"/>
              <w:sz w:val="32"/>
              <w:szCs w:val="32"/>
            </w:rPr>
            <w:fldChar w:fldCharType="separate"/>
          </w:r>
          <w:r>
            <w:rPr>
              <w:rFonts w:hint="eastAsia" w:ascii="宋体" w:hAnsi="宋体"/>
              <w:sz w:val="32"/>
              <w:szCs w:val="32"/>
              <w:lang w:val="en-US" w:eastAsia="zh-CN"/>
            </w:rPr>
            <w:t>十、政府性基金预算支出表（公开表 4）</w:t>
          </w:r>
          <w:r>
            <w:rPr>
              <w:sz w:val="32"/>
              <w:szCs w:val="32"/>
            </w:rPr>
            <w:tab/>
          </w:r>
          <w:r>
            <w:rPr>
              <w:sz w:val="32"/>
              <w:szCs w:val="32"/>
            </w:rPr>
            <w:fldChar w:fldCharType="begin"/>
          </w:r>
          <w:r>
            <w:rPr>
              <w:sz w:val="32"/>
              <w:szCs w:val="32"/>
            </w:rPr>
            <w:instrText xml:space="preserve"> PAGEREF _Toc28043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_Toc30676 </w:instrText>
          </w:r>
          <w:r>
            <w:rPr>
              <w:rFonts w:ascii="宋体" w:hAnsi="宋体"/>
              <w:sz w:val="32"/>
              <w:szCs w:val="32"/>
            </w:rPr>
            <w:fldChar w:fldCharType="separate"/>
          </w:r>
          <w:r>
            <w:rPr>
              <w:rFonts w:hint="eastAsia" w:ascii="宋体" w:hAnsi="宋体"/>
              <w:sz w:val="32"/>
              <w:szCs w:val="32"/>
              <w:lang w:val="en-US" w:eastAsia="zh-CN"/>
            </w:rPr>
            <w:t>十一、政府性基金预算“三公”经费支出预算表</w:t>
          </w:r>
          <w:r>
            <w:rPr>
              <w:sz w:val="32"/>
              <w:szCs w:val="32"/>
            </w:rPr>
            <w:tab/>
          </w:r>
          <w:r>
            <w:rPr>
              <w:sz w:val="32"/>
              <w:szCs w:val="32"/>
            </w:rPr>
            <w:fldChar w:fldCharType="begin"/>
          </w:r>
          <w:r>
            <w:rPr>
              <w:sz w:val="32"/>
              <w:szCs w:val="32"/>
            </w:rPr>
            <w:instrText xml:space="preserve"> PAGEREF _Toc30676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_Toc21900 </w:instrText>
          </w:r>
          <w:r>
            <w:rPr>
              <w:rFonts w:ascii="宋体" w:hAnsi="宋体"/>
              <w:sz w:val="32"/>
              <w:szCs w:val="32"/>
            </w:rPr>
            <w:fldChar w:fldCharType="separate"/>
          </w:r>
          <w:r>
            <w:rPr>
              <w:rFonts w:hint="eastAsia" w:ascii="宋体" w:hAnsi="宋体"/>
              <w:sz w:val="32"/>
              <w:szCs w:val="32"/>
              <w:lang w:val="en-US" w:eastAsia="zh-CN"/>
            </w:rPr>
            <w:t>十二、国有资本经营预算支出表（公开表 5）</w:t>
          </w:r>
          <w:r>
            <w:rPr>
              <w:sz w:val="32"/>
              <w:szCs w:val="32"/>
            </w:rPr>
            <w:tab/>
          </w:r>
          <w:r>
            <w:rPr>
              <w:sz w:val="32"/>
              <w:szCs w:val="32"/>
            </w:rPr>
            <w:fldChar w:fldCharType="begin"/>
          </w:r>
          <w:r>
            <w:rPr>
              <w:sz w:val="32"/>
              <w:szCs w:val="32"/>
            </w:rPr>
            <w:instrText xml:space="preserve"> PAGEREF _Toc21900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_Toc13147 </w:instrText>
          </w:r>
          <w:r>
            <w:rPr>
              <w:rFonts w:ascii="宋体" w:hAnsi="宋体"/>
              <w:sz w:val="32"/>
              <w:szCs w:val="32"/>
            </w:rPr>
            <w:fldChar w:fldCharType="separate"/>
          </w:r>
          <w:r>
            <w:rPr>
              <w:rFonts w:hint="eastAsia" w:ascii="宋体" w:hAnsi="宋体"/>
              <w:sz w:val="32"/>
              <w:szCs w:val="32"/>
              <w:lang w:val="en-US" w:eastAsia="zh-CN"/>
            </w:rPr>
            <w:t>十三、部门整体支出绩效目标表（公开表 6）</w:t>
          </w:r>
          <w:r>
            <w:rPr>
              <w:sz w:val="32"/>
              <w:szCs w:val="32"/>
            </w:rPr>
            <w:tab/>
          </w:r>
          <w:r>
            <w:rPr>
              <w:sz w:val="32"/>
              <w:szCs w:val="32"/>
            </w:rPr>
            <w:fldChar w:fldCharType="begin"/>
          </w:r>
          <w:r>
            <w:rPr>
              <w:sz w:val="32"/>
              <w:szCs w:val="32"/>
            </w:rPr>
            <w:instrText xml:space="preserve"> PAGEREF _Toc13147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_Toc12027 </w:instrText>
          </w:r>
          <w:r>
            <w:rPr>
              <w:rFonts w:ascii="宋体" w:hAnsi="宋体"/>
              <w:sz w:val="32"/>
              <w:szCs w:val="32"/>
            </w:rPr>
            <w:fldChar w:fldCharType="separate"/>
          </w:r>
          <w:r>
            <w:rPr>
              <w:rFonts w:hint="eastAsia" w:ascii="宋体" w:hAnsi="宋体"/>
              <w:sz w:val="32"/>
              <w:szCs w:val="32"/>
              <w:lang w:val="en-US" w:eastAsia="zh-CN"/>
            </w:rPr>
            <w:t>十四、部门预算项目支出绩效目标表（公开表 7）</w:t>
          </w:r>
          <w:r>
            <w:rPr>
              <w:sz w:val="32"/>
              <w:szCs w:val="32"/>
            </w:rPr>
            <w:tab/>
          </w:r>
          <w:r>
            <w:rPr>
              <w:sz w:val="32"/>
              <w:szCs w:val="32"/>
            </w:rPr>
            <w:fldChar w:fldCharType="begin"/>
          </w:r>
          <w:r>
            <w:rPr>
              <w:sz w:val="32"/>
              <w:szCs w:val="32"/>
            </w:rPr>
            <w:instrText xml:space="preserve"> PAGEREF _Toc12027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_Toc20254 </w:instrText>
          </w:r>
          <w:r>
            <w:rPr>
              <w:rFonts w:ascii="宋体" w:hAnsi="宋体"/>
              <w:sz w:val="32"/>
              <w:szCs w:val="32"/>
            </w:rPr>
            <w:fldChar w:fldCharType="separate"/>
          </w:r>
          <w:r>
            <w:rPr>
              <w:rFonts w:hint="eastAsia" w:ascii="宋体" w:hAnsi="宋体"/>
              <w:sz w:val="32"/>
              <w:szCs w:val="32"/>
              <w:lang w:val="en-US" w:eastAsia="zh-CN"/>
            </w:rPr>
            <w:t>十五、政府采购预算表（公开表 8）</w:t>
          </w:r>
          <w:r>
            <w:rPr>
              <w:sz w:val="32"/>
              <w:szCs w:val="32"/>
            </w:rPr>
            <w:tab/>
          </w:r>
          <w:r>
            <w:rPr>
              <w:sz w:val="32"/>
              <w:szCs w:val="32"/>
            </w:rPr>
            <w:fldChar w:fldCharType="begin"/>
          </w:r>
          <w:r>
            <w:rPr>
              <w:sz w:val="32"/>
              <w:szCs w:val="32"/>
            </w:rPr>
            <w:instrText xml:space="preserve"> PAGEREF _Toc20254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_Toc32539 </w:instrText>
          </w:r>
          <w:r>
            <w:rPr>
              <w:rFonts w:ascii="宋体" w:hAnsi="宋体"/>
              <w:sz w:val="32"/>
              <w:szCs w:val="32"/>
            </w:rPr>
            <w:fldChar w:fldCharType="separate"/>
          </w:r>
          <w:r>
            <w:rPr>
              <w:rFonts w:hint="eastAsia" w:ascii="宋体" w:hAnsi="宋体"/>
              <w:bCs/>
              <w:sz w:val="32"/>
              <w:szCs w:val="32"/>
              <w:lang w:val="en-US" w:eastAsia="zh-CN"/>
            </w:rPr>
            <w:t>以上所有表格详见部门说明后附件。</w:t>
          </w:r>
          <w:r>
            <w:rPr>
              <w:sz w:val="32"/>
              <w:szCs w:val="32"/>
            </w:rPr>
            <w:tab/>
          </w:r>
          <w:r>
            <w:rPr>
              <w:sz w:val="32"/>
              <w:szCs w:val="32"/>
            </w:rPr>
            <w:fldChar w:fldCharType="begin"/>
          </w:r>
          <w:r>
            <w:rPr>
              <w:sz w:val="32"/>
              <w:szCs w:val="32"/>
            </w:rPr>
            <w:instrText xml:space="preserve"> PAGEREF _Toc32539 \h </w:instrText>
          </w:r>
          <w:r>
            <w:rPr>
              <w:sz w:val="32"/>
              <w:szCs w:val="32"/>
            </w:rPr>
            <w:fldChar w:fldCharType="separate"/>
          </w:r>
          <w:r>
            <w:rPr>
              <w:sz w:val="32"/>
              <w:szCs w:val="32"/>
            </w:rPr>
            <w:t>4</w:t>
          </w:r>
          <w:r>
            <w:rPr>
              <w:sz w:val="32"/>
              <w:szCs w:val="32"/>
            </w:rPr>
            <w:fldChar w:fldCharType="end"/>
          </w:r>
          <w:r>
            <w:rPr>
              <w:rFonts w:ascii="宋体" w:hAnsi="宋体"/>
              <w:sz w:val="32"/>
              <w:szCs w:val="32"/>
            </w:rPr>
            <w:fldChar w:fldCharType="end"/>
          </w:r>
        </w:p>
        <w:p>
          <w:pPr>
            <w:pStyle w:val="15"/>
            <w:tabs>
              <w:tab w:val="right" w:leader="dot" w:pos="8882"/>
            </w:tabs>
            <w:spacing w:line="360" w:lineRule="auto"/>
            <w:rPr>
              <w:b/>
              <w:sz w:val="32"/>
              <w:szCs w:val="32"/>
            </w:rPr>
          </w:pPr>
          <w:r>
            <w:rPr>
              <w:rFonts w:ascii="宋体" w:hAnsi="宋体"/>
              <w:b/>
              <w:sz w:val="32"/>
              <w:szCs w:val="32"/>
            </w:rPr>
            <w:fldChar w:fldCharType="begin"/>
          </w:r>
          <w:r>
            <w:rPr>
              <w:rFonts w:ascii="宋体" w:hAnsi="宋体"/>
              <w:b/>
              <w:sz w:val="32"/>
              <w:szCs w:val="32"/>
            </w:rPr>
            <w:instrText xml:space="preserve"> HYPERLINK \l _Toc8612 </w:instrText>
          </w:r>
          <w:r>
            <w:rPr>
              <w:rFonts w:ascii="宋体" w:hAnsi="宋体"/>
              <w:b/>
              <w:sz w:val="32"/>
              <w:szCs w:val="32"/>
            </w:rPr>
            <w:fldChar w:fldCharType="separate"/>
          </w:r>
          <w:r>
            <w:rPr>
              <w:rFonts w:hint="eastAsia" w:ascii="方正小标宋简体" w:hAnsi="方正小标宋简体" w:eastAsia="方正小标宋简体" w:cs="方正小标宋简体"/>
              <w:b/>
              <w:bCs/>
              <w:sz w:val="32"/>
              <w:szCs w:val="96"/>
              <w:lang w:val="en-US" w:eastAsia="zh-CN"/>
            </w:rPr>
            <w:t xml:space="preserve">第三部分 </w:t>
          </w:r>
          <w:r>
            <w:rPr>
              <w:rFonts w:hint="eastAsia" w:ascii="方正小标宋简体" w:hAnsi="方正小标宋简体" w:eastAsia="方正小标宋简体" w:cs="方正小标宋简体"/>
              <w:b/>
              <w:bCs/>
              <w:sz w:val="32"/>
              <w:szCs w:val="144"/>
              <w:lang w:val="en-US" w:eastAsia="zh-CN"/>
            </w:rPr>
            <w:t>五通桥区建设工程质量安全监督站2024年部门预算情况</w:t>
          </w:r>
          <w:r>
            <w:rPr>
              <w:b/>
              <w:sz w:val="32"/>
              <w:szCs w:val="32"/>
            </w:rPr>
            <w:tab/>
          </w:r>
          <w:r>
            <w:rPr>
              <w:b/>
              <w:sz w:val="32"/>
              <w:szCs w:val="32"/>
            </w:rPr>
            <w:fldChar w:fldCharType="begin"/>
          </w:r>
          <w:r>
            <w:rPr>
              <w:b/>
              <w:sz w:val="32"/>
              <w:szCs w:val="32"/>
            </w:rPr>
            <w:instrText xml:space="preserve"> PAGEREF _Toc8612 \h </w:instrText>
          </w:r>
          <w:r>
            <w:rPr>
              <w:b/>
              <w:sz w:val="32"/>
              <w:szCs w:val="32"/>
            </w:rPr>
            <w:fldChar w:fldCharType="separate"/>
          </w:r>
          <w:r>
            <w:rPr>
              <w:b/>
              <w:sz w:val="32"/>
              <w:szCs w:val="32"/>
            </w:rPr>
            <w:t>5</w:t>
          </w:r>
          <w:r>
            <w:rPr>
              <w:b/>
              <w:sz w:val="32"/>
              <w:szCs w:val="32"/>
            </w:rPr>
            <w:fldChar w:fldCharType="end"/>
          </w:r>
          <w:r>
            <w:rPr>
              <w:rFonts w:ascii="宋体" w:hAnsi="宋体"/>
              <w:b/>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_Toc14201 </w:instrText>
          </w:r>
          <w:r>
            <w:rPr>
              <w:rFonts w:ascii="宋体" w:hAnsi="宋体"/>
              <w:sz w:val="32"/>
              <w:szCs w:val="32"/>
            </w:rPr>
            <w:fldChar w:fldCharType="separate"/>
          </w:r>
          <w:r>
            <w:rPr>
              <w:rFonts w:hint="eastAsia" w:ascii="宋体" w:hAnsi="宋体" w:eastAsia="黑体"/>
              <w:bCs/>
              <w:sz w:val="32"/>
              <w:szCs w:val="32"/>
            </w:rPr>
            <w:t>一、收支预算情况说明</w:t>
          </w:r>
          <w:r>
            <w:rPr>
              <w:sz w:val="32"/>
              <w:szCs w:val="32"/>
            </w:rPr>
            <w:tab/>
          </w:r>
          <w:r>
            <w:rPr>
              <w:sz w:val="32"/>
              <w:szCs w:val="32"/>
            </w:rPr>
            <w:fldChar w:fldCharType="begin"/>
          </w:r>
          <w:r>
            <w:rPr>
              <w:sz w:val="32"/>
              <w:szCs w:val="32"/>
            </w:rPr>
            <w:instrText xml:space="preserve"> PAGEREF _Toc14201 \h </w:instrText>
          </w:r>
          <w:r>
            <w:rPr>
              <w:sz w:val="32"/>
              <w:szCs w:val="32"/>
            </w:rPr>
            <w:fldChar w:fldCharType="separate"/>
          </w:r>
          <w:r>
            <w:rPr>
              <w:sz w:val="32"/>
              <w:szCs w:val="32"/>
            </w:rPr>
            <w:t>6</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_Toc32479 </w:instrText>
          </w:r>
          <w:r>
            <w:rPr>
              <w:rFonts w:ascii="宋体" w:hAnsi="宋体"/>
              <w:sz w:val="32"/>
              <w:szCs w:val="32"/>
            </w:rPr>
            <w:fldChar w:fldCharType="separate"/>
          </w:r>
          <w:r>
            <w:rPr>
              <w:rFonts w:hint="eastAsia" w:ascii="宋体" w:hAnsi="宋体" w:eastAsia="黑体"/>
              <w:bCs/>
              <w:sz w:val="32"/>
              <w:szCs w:val="32"/>
            </w:rPr>
            <w:t>二、财政拨款收支预算情况说明</w:t>
          </w:r>
          <w:r>
            <w:rPr>
              <w:sz w:val="32"/>
              <w:szCs w:val="32"/>
            </w:rPr>
            <w:tab/>
          </w:r>
          <w:r>
            <w:rPr>
              <w:sz w:val="32"/>
              <w:szCs w:val="32"/>
            </w:rPr>
            <w:fldChar w:fldCharType="begin"/>
          </w:r>
          <w:r>
            <w:rPr>
              <w:sz w:val="32"/>
              <w:szCs w:val="32"/>
            </w:rPr>
            <w:instrText xml:space="preserve"> PAGEREF _Toc32479 \h </w:instrText>
          </w:r>
          <w:r>
            <w:rPr>
              <w:sz w:val="32"/>
              <w:szCs w:val="32"/>
            </w:rPr>
            <w:fldChar w:fldCharType="separate"/>
          </w:r>
          <w:r>
            <w:rPr>
              <w:sz w:val="32"/>
              <w:szCs w:val="32"/>
            </w:rPr>
            <w:t>6</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_Toc19056 </w:instrText>
          </w:r>
          <w:r>
            <w:rPr>
              <w:rFonts w:ascii="宋体" w:hAnsi="宋体"/>
              <w:sz w:val="32"/>
              <w:szCs w:val="32"/>
            </w:rPr>
            <w:fldChar w:fldCharType="separate"/>
          </w:r>
          <w:r>
            <w:rPr>
              <w:rFonts w:hint="eastAsia" w:ascii="宋体" w:hAnsi="宋体" w:eastAsia="黑体"/>
              <w:bCs/>
              <w:sz w:val="32"/>
              <w:szCs w:val="32"/>
            </w:rPr>
            <w:t>三、一般公共预算当年拨款情况说明</w:t>
          </w:r>
          <w:r>
            <w:rPr>
              <w:sz w:val="32"/>
              <w:szCs w:val="32"/>
            </w:rPr>
            <w:tab/>
          </w:r>
          <w:r>
            <w:rPr>
              <w:sz w:val="32"/>
              <w:szCs w:val="32"/>
            </w:rPr>
            <w:fldChar w:fldCharType="begin"/>
          </w:r>
          <w:r>
            <w:rPr>
              <w:sz w:val="32"/>
              <w:szCs w:val="32"/>
            </w:rPr>
            <w:instrText xml:space="preserve"> PAGEREF _Toc19056 \h </w:instrText>
          </w:r>
          <w:r>
            <w:rPr>
              <w:sz w:val="32"/>
              <w:szCs w:val="32"/>
            </w:rPr>
            <w:fldChar w:fldCharType="separate"/>
          </w:r>
          <w:r>
            <w:rPr>
              <w:sz w:val="32"/>
              <w:szCs w:val="32"/>
            </w:rPr>
            <w:t>7</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_Toc3363 </w:instrText>
          </w:r>
          <w:r>
            <w:rPr>
              <w:rFonts w:ascii="宋体" w:hAnsi="宋体"/>
              <w:sz w:val="32"/>
              <w:szCs w:val="32"/>
            </w:rPr>
            <w:fldChar w:fldCharType="separate"/>
          </w:r>
          <w:r>
            <w:rPr>
              <w:rFonts w:hint="eastAsia" w:ascii="宋体" w:hAnsi="宋体" w:eastAsia="黑体"/>
              <w:bCs/>
              <w:sz w:val="32"/>
              <w:szCs w:val="32"/>
            </w:rPr>
            <w:t>四、一般公共预算基本支出情况说明</w:t>
          </w:r>
          <w:r>
            <w:rPr>
              <w:sz w:val="32"/>
              <w:szCs w:val="32"/>
            </w:rPr>
            <w:tab/>
          </w:r>
          <w:r>
            <w:rPr>
              <w:sz w:val="32"/>
              <w:szCs w:val="32"/>
            </w:rPr>
            <w:fldChar w:fldCharType="begin"/>
          </w:r>
          <w:r>
            <w:rPr>
              <w:sz w:val="32"/>
              <w:szCs w:val="32"/>
            </w:rPr>
            <w:instrText xml:space="preserve"> PAGEREF _Toc3363 \h </w:instrText>
          </w:r>
          <w:r>
            <w:rPr>
              <w:sz w:val="32"/>
              <w:szCs w:val="32"/>
            </w:rPr>
            <w:fldChar w:fldCharType="separate"/>
          </w:r>
          <w:r>
            <w:rPr>
              <w:sz w:val="32"/>
              <w:szCs w:val="32"/>
            </w:rPr>
            <w:t>9</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_Toc29892 </w:instrText>
          </w:r>
          <w:r>
            <w:rPr>
              <w:rFonts w:ascii="宋体" w:hAnsi="宋体"/>
              <w:sz w:val="32"/>
              <w:szCs w:val="32"/>
            </w:rPr>
            <w:fldChar w:fldCharType="separate"/>
          </w:r>
          <w:r>
            <w:rPr>
              <w:rFonts w:hint="eastAsia" w:ascii="宋体" w:hAnsi="宋体" w:eastAsia="黑体"/>
              <w:bCs/>
              <w:sz w:val="32"/>
              <w:szCs w:val="52"/>
            </w:rPr>
            <w:t>五、“三公”经费财政拨款预算安排情况说明</w:t>
          </w:r>
          <w:r>
            <w:rPr>
              <w:sz w:val="32"/>
              <w:szCs w:val="32"/>
            </w:rPr>
            <w:tab/>
          </w:r>
          <w:r>
            <w:rPr>
              <w:sz w:val="32"/>
              <w:szCs w:val="32"/>
            </w:rPr>
            <w:fldChar w:fldCharType="begin"/>
          </w:r>
          <w:r>
            <w:rPr>
              <w:sz w:val="32"/>
              <w:szCs w:val="32"/>
            </w:rPr>
            <w:instrText xml:space="preserve"> PAGEREF _Toc29892 \h </w:instrText>
          </w:r>
          <w:r>
            <w:rPr>
              <w:sz w:val="32"/>
              <w:szCs w:val="32"/>
            </w:rPr>
            <w:fldChar w:fldCharType="separate"/>
          </w:r>
          <w:r>
            <w:rPr>
              <w:sz w:val="32"/>
              <w:szCs w:val="32"/>
            </w:rPr>
            <w:t>10</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_Toc3811 </w:instrText>
          </w:r>
          <w:r>
            <w:rPr>
              <w:rFonts w:ascii="宋体" w:hAnsi="宋体"/>
              <w:sz w:val="32"/>
              <w:szCs w:val="32"/>
            </w:rPr>
            <w:fldChar w:fldCharType="separate"/>
          </w:r>
          <w:r>
            <w:rPr>
              <w:rFonts w:hint="eastAsia" w:ascii="宋体" w:hAnsi="宋体" w:eastAsia="黑体"/>
              <w:bCs/>
              <w:sz w:val="32"/>
              <w:szCs w:val="32"/>
            </w:rPr>
            <w:t>六、政府性基金预算支出情况说明</w:t>
          </w:r>
          <w:r>
            <w:rPr>
              <w:sz w:val="32"/>
              <w:szCs w:val="32"/>
            </w:rPr>
            <w:tab/>
          </w:r>
          <w:r>
            <w:rPr>
              <w:sz w:val="32"/>
              <w:szCs w:val="32"/>
            </w:rPr>
            <w:fldChar w:fldCharType="begin"/>
          </w:r>
          <w:r>
            <w:rPr>
              <w:sz w:val="32"/>
              <w:szCs w:val="32"/>
            </w:rPr>
            <w:instrText xml:space="preserve"> PAGEREF _Toc3811 \h </w:instrText>
          </w:r>
          <w:r>
            <w:rPr>
              <w:sz w:val="32"/>
              <w:szCs w:val="32"/>
            </w:rPr>
            <w:fldChar w:fldCharType="separate"/>
          </w:r>
          <w:r>
            <w:rPr>
              <w:sz w:val="32"/>
              <w:szCs w:val="32"/>
            </w:rPr>
            <w:t>11</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_Toc27891 </w:instrText>
          </w:r>
          <w:r>
            <w:rPr>
              <w:rFonts w:ascii="宋体" w:hAnsi="宋体"/>
              <w:sz w:val="32"/>
              <w:szCs w:val="32"/>
            </w:rPr>
            <w:fldChar w:fldCharType="separate"/>
          </w:r>
          <w:r>
            <w:rPr>
              <w:rFonts w:hint="eastAsia" w:ascii="宋体" w:hAnsi="宋体" w:eastAsia="黑体"/>
              <w:bCs/>
              <w:sz w:val="32"/>
              <w:szCs w:val="32"/>
              <w:lang w:val="en-US" w:eastAsia="zh-CN"/>
            </w:rPr>
            <w:t>七、</w:t>
          </w:r>
          <w:r>
            <w:rPr>
              <w:rFonts w:hint="eastAsia" w:ascii="宋体" w:hAnsi="宋体" w:eastAsia="黑体"/>
              <w:bCs/>
              <w:sz w:val="32"/>
              <w:szCs w:val="32"/>
            </w:rPr>
            <w:t>国有资本经营预算情况说明</w:t>
          </w:r>
          <w:r>
            <w:rPr>
              <w:sz w:val="32"/>
              <w:szCs w:val="32"/>
            </w:rPr>
            <w:tab/>
          </w:r>
          <w:r>
            <w:rPr>
              <w:sz w:val="32"/>
              <w:szCs w:val="32"/>
            </w:rPr>
            <w:fldChar w:fldCharType="begin"/>
          </w:r>
          <w:r>
            <w:rPr>
              <w:sz w:val="32"/>
              <w:szCs w:val="32"/>
            </w:rPr>
            <w:instrText xml:space="preserve"> PAGEREF _Toc27891 \h </w:instrText>
          </w:r>
          <w:r>
            <w:rPr>
              <w:sz w:val="32"/>
              <w:szCs w:val="32"/>
            </w:rPr>
            <w:fldChar w:fldCharType="separate"/>
          </w:r>
          <w:r>
            <w:rPr>
              <w:sz w:val="32"/>
              <w:szCs w:val="32"/>
            </w:rPr>
            <w:t>11</w:t>
          </w:r>
          <w:r>
            <w:rPr>
              <w:sz w:val="32"/>
              <w:szCs w:val="32"/>
            </w:rPr>
            <w:fldChar w:fldCharType="end"/>
          </w:r>
          <w:r>
            <w:rPr>
              <w:rFonts w:ascii="宋体" w:hAnsi="宋体"/>
              <w:sz w:val="32"/>
              <w:szCs w:val="32"/>
            </w:rPr>
            <w:fldChar w:fldCharType="end"/>
          </w:r>
        </w:p>
        <w:p>
          <w:pPr>
            <w:pStyle w:val="16"/>
            <w:tabs>
              <w:tab w:val="right" w:leader="dot" w:pos="8882"/>
            </w:tabs>
            <w:spacing w:line="360" w:lineRule="auto"/>
            <w:rPr>
              <w:sz w:val="32"/>
              <w:szCs w:val="32"/>
            </w:rPr>
          </w:pPr>
          <w:r>
            <w:rPr>
              <w:rFonts w:ascii="宋体" w:hAnsi="宋体"/>
              <w:sz w:val="32"/>
              <w:szCs w:val="32"/>
            </w:rPr>
            <w:fldChar w:fldCharType="begin"/>
          </w:r>
          <w:r>
            <w:rPr>
              <w:rFonts w:ascii="宋体" w:hAnsi="宋体"/>
              <w:sz w:val="32"/>
              <w:szCs w:val="32"/>
            </w:rPr>
            <w:instrText xml:space="preserve"> HYPERLINK \l _Toc12077 </w:instrText>
          </w:r>
          <w:r>
            <w:rPr>
              <w:rFonts w:ascii="宋体" w:hAnsi="宋体"/>
              <w:sz w:val="32"/>
              <w:szCs w:val="32"/>
            </w:rPr>
            <w:fldChar w:fldCharType="separate"/>
          </w:r>
          <w:r>
            <w:rPr>
              <w:rFonts w:hint="eastAsia" w:ascii="宋体" w:hAnsi="宋体" w:eastAsia="黑体"/>
              <w:bCs/>
              <w:sz w:val="32"/>
              <w:szCs w:val="32"/>
              <w:lang w:val="en-US" w:eastAsia="zh-CN"/>
            </w:rPr>
            <w:t>八、其他重要事项的情况说明</w:t>
          </w:r>
          <w:r>
            <w:rPr>
              <w:sz w:val="32"/>
              <w:szCs w:val="32"/>
            </w:rPr>
            <w:tab/>
          </w:r>
          <w:r>
            <w:rPr>
              <w:sz w:val="32"/>
              <w:szCs w:val="32"/>
            </w:rPr>
            <w:fldChar w:fldCharType="begin"/>
          </w:r>
          <w:r>
            <w:rPr>
              <w:sz w:val="32"/>
              <w:szCs w:val="32"/>
            </w:rPr>
            <w:instrText xml:space="preserve"> PAGEREF _Toc12077 \h </w:instrText>
          </w:r>
          <w:r>
            <w:rPr>
              <w:sz w:val="32"/>
              <w:szCs w:val="32"/>
            </w:rPr>
            <w:fldChar w:fldCharType="separate"/>
          </w:r>
          <w:r>
            <w:rPr>
              <w:sz w:val="32"/>
              <w:szCs w:val="32"/>
            </w:rPr>
            <w:t>11</w:t>
          </w:r>
          <w:r>
            <w:rPr>
              <w:sz w:val="32"/>
              <w:szCs w:val="32"/>
            </w:rPr>
            <w:fldChar w:fldCharType="end"/>
          </w:r>
          <w:r>
            <w:rPr>
              <w:rFonts w:ascii="宋体" w:hAnsi="宋体"/>
              <w:sz w:val="32"/>
              <w:szCs w:val="32"/>
            </w:rPr>
            <w:fldChar w:fldCharType="end"/>
          </w:r>
        </w:p>
        <w:p>
          <w:pPr>
            <w:pStyle w:val="15"/>
            <w:tabs>
              <w:tab w:val="right" w:leader="dot" w:pos="8882"/>
            </w:tabs>
            <w:spacing w:line="360" w:lineRule="auto"/>
            <w:rPr>
              <w:b/>
              <w:sz w:val="21"/>
              <w:szCs w:val="21"/>
            </w:rPr>
          </w:pPr>
          <w:r>
            <w:rPr>
              <w:rFonts w:ascii="宋体" w:hAnsi="宋体"/>
              <w:b/>
              <w:sz w:val="32"/>
              <w:szCs w:val="32"/>
            </w:rPr>
            <w:fldChar w:fldCharType="begin"/>
          </w:r>
          <w:r>
            <w:rPr>
              <w:rFonts w:ascii="宋体" w:hAnsi="宋体"/>
              <w:b/>
              <w:sz w:val="32"/>
              <w:szCs w:val="32"/>
            </w:rPr>
            <w:instrText xml:space="preserve"> HYPERLINK \l _Toc28207 </w:instrText>
          </w:r>
          <w:r>
            <w:rPr>
              <w:rFonts w:ascii="宋体" w:hAnsi="宋体"/>
              <w:b/>
              <w:sz w:val="32"/>
              <w:szCs w:val="32"/>
            </w:rPr>
            <w:fldChar w:fldCharType="separate"/>
          </w:r>
          <w:r>
            <w:rPr>
              <w:rFonts w:hint="eastAsia" w:ascii="方正小标宋简体" w:hAnsi="方正小标宋简体" w:eastAsia="方正小标宋简体" w:cs="方正小标宋简体"/>
              <w:b/>
              <w:bCs/>
              <w:sz w:val="32"/>
              <w:szCs w:val="144"/>
              <w:lang w:val="en-US" w:eastAsia="zh-CN"/>
            </w:rPr>
            <w:t>第四部分  名词解释</w:t>
          </w:r>
          <w:r>
            <w:rPr>
              <w:b/>
              <w:sz w:val="32"/>
              <w:szCs w:val="32"/>
            </w:rPr>
            <w:tab/>
          </w:r>
          <w:r>
            <w:rPr>
              <w:b/>
              <w:sz w:val="32"/>
              <w:szCs w:val="32"/>
            </w:rPr>
            <w:fldChar w:fldCharType="begin"/>
          </w:r>
          <w:r>
            <w:rPr>
              <w:b/>
              <w:sz w:val="32"/>
              <w:szCs w:val="32"/>
            </w:rPr>
            <w:instrText xml:space="preserve"> PAGEREF _Toc28207 \h </w:instrText>
          </w:r>
          <w:r>
            <w:rPr>
              <w:b/>
              <w:sz w:val="32"/>
              <w:szCs w:val="32"/>
            </w:rPr>
            <w:fldChar w:fldCharType="separate"/>
          </w:r>
          <w:r>
            <w:rPr>
              <w:b/>
              <w:sz w:val="32"/>
              <w:szCs w:val="32"/>
            </w:rPr>
            <w:t>12</w:t>
          </w:r>
          <w:r>
            <w:rPr>
              <w:b/>
              <w:sz w:val="32"/>
              <w:szCs w:val="32"/>
            </w:rPr>
            <w:fldChar w:fldCharType="end"/>
          </w:r>
          <w:r>
            <w:rPr>
              <w:rFonts w:ascii="宋体" w:hAnsi="宋体"/>
              <w:b/>
              <w:sz w:val="32"/>
              <w:szCs w:val="32"/>
            </w:rPr>
            <w:fldChar w:fldCharType="end"/>
          </w:r>
        </w:p>
        <w:p>
          <w:pPr>
            <w:pStyle w:val="4"/>
            <w:rPr>
              <w:rFonts w:ascii="宋体" w:hAnsi="宋体"/>
              <w:sz w:val="20"/>
            </w:rPr>
          </w:pPr>
          <w:r>
            <w:rPr>
              <w:rFonts w:ascii="宋体" w:hAnsi="宋体"/>
              <w:b/>
              <w:sz w:val="36"/>
              <w:szCs w:val="36"/>
            </w:rPr>
            <w:fldChar w:fldCharType="end"/>
          </w:r>
        </w:p>
      </w:sdtContent>
    </w:sdt>
    <w:p>
      <w:pPr>
        <w:pStyle w:val="4"/>
        <w:rPr>
          <w:rFonts w:ascii="宋体" w:hAnsi="宋体"/>
          <w:sz w:val="20"/>
        </w:rPr>
        <w:sectPr>
          <w:headerReference r:id="rId3" w:type="default"/>
          <w:footerReference r:id="rId4" w:type="default"/>
          <w:pgSz w:w="11910" w:h="16840"/>
          <w:pgMar w:top="1440" w:right="1514" w:bottom="1440" w:left="1514" w:header="850" w:footer="850"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48"/>
          <w:szCs w:val="48"/>
          <w:lang w:val="en-US" w:eastAsia="zh-CN"/>
        </w:rPr>
      </w:pPr>
      <w:bookmarkStart w:id="0" w:name="_Toc23642"/>
      <w:r>
        <w:rPr>
          <w:rFonts w:hint="eastAsia" w:ascii="宋体" w:hAnsi="宋体" w:eastAsia="方正小标宋简体" w:cs="方正小标宋简体"/>
          <w:b/>
          <w:bCs/>
          <w:sz w:val="48"/>
          <w:szCs w:val="48"/>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5" w:type="default"/>
          <w:pgSz w:w="11910" w:h="16840"/>
          <w:pgMar w:top="1440" w:right="1514" w:bottom="1440" w:left="1514" w:header="850" w:footer="850" w:gutter="0"/>
          <w:pgNumType w:fmt="decimal" w:start="1"/>
          <w:cols w:space="0" w:num="1"/>
          <w:rtlGutter w:val="0"/>
          <w:docGrid w:linePitch="0" w:charSpace="0"/>
        </w:sectPr>
      </w:pP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40" w:after="0" w:afterLines="50" w:line="360" w:lineRule="auto"/>
        <w:ind w:right="0" w:rightChars="0"/>
        <w:jc w:val="both"/>
        <w:textAlignment w:val="auto"/>
        <w:outlineLvl w:val="1"/>
        <w:rPr>
          <w:rFonts w:hint="eastAsia" w:ascii="宋体" w:hAnsi="宋体" w:eastAsia="黑体"/>
          <w:b/>
          <w:bCs/>
          <w:color w:val="333333"/>
        </w:rPr>
      </w:pPr>
      <w:bookmarkStart w:id="1" w:name="_Toc15520"/>
      <w:r>
        <w:rPr>
          <w:rFonts w:hint="eastAsia" w:ascii="宋体" w:hAnsi="宋体" w:eastAsia="黑体"/>
          <w:b/>
          <w:bCs/>
          <w:color w:val="333333"/>
          <w:lang w:val="en-US" w:eastAsia="zh-CN"/>
        </w:rPr>
        <w:t>一、</w:t>
      </w:r>
      <w:r>
        <w:rPr>
          <w:rFonts w:hint="eastAsia" w:ascii="宋体" w:hAnsi="宋体" w:eastAsia="黑体"/>
          <w:b/>
          <w:bCs/>
          <w:color w:val="333333"/>
        </w:rPr>
        <w:t>基本职能及主要工作</w:t>
      </w:r>
      <w:bookmarkEnd w:id="1"/>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40" w:after="0" w:afterLines="50" w:line="360" w:lineRule="auto"/>
        <w:ind w:leftChars="200" w:right="0" w:rightChars="0"/>
        <w:textAlignment w:val="auto"/>
        <w:outlineLvl w:val="1"/>
        <w:rPr>
          <w:rFonts w:hint="eastAsia" w:ascii="宋体" w:hAnsi="宋体" w:eastAsia="楷体"/>
          <w:b/>
          <w:bCs/>
          <w:lang w:eastAsia="zh-CN"/>
        </w:rPr>
      </w:pPr>
      <w:bookmarkStart w:id="2" w:name="_Toc17199"/>
      <w:r>
        <w:rPr>
          <w:rFonts w:hint="eastAsia" w:ascii="仿宋_GB2312" w:hAnsi="仿宋_GB2312" w:eastAsia="仿宋_GB2312" w:cs="仿宋_GB2312"/>
          <w:b/>
          <w:bCs/>
        </w:rPr>
        <w:t>（一）部门职能简介</w:t>
      </w:r>
      <w:bookmarkEnd w:id="2"/>
    </w:p>
    <w:p>
      <w:pPr>
        <w:spacing w:line="360" w:lineRule="auto"/>
        <w:ind w:right="-18" w:rightChars="-8" w:firstLine="640" w:firstLineChars="200"/>
        <w:jc w:val="left"/>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1.主要职能:</w:t>
      </w:r>
      <w:r>
        <w:rPr>
          <w:rFonts w:hint="eastAsia" w:ascii="仿宋_GB2312" w:hAnsi="仿宋_GB2312" w:eastAsia="仿宋_GB2312" w:cs="仿宋_GB2312"/>
          <w:b w:val="0"/>
          <w:bCs w:val="0"/>
          <w:sz w:val="32"/>
          <w:szCs w:val="32"/>
        </w:rPr>
        <w:t>对区境内建设工程质量、安全行为进行监督。</w:t>
      </w:r>
    </w:p>
    <w:p>
      <w:pPr>
        <w:spacing w:line="360" w:lineRule="auto"/>
        <w:ind w:right="-18" w:rightChars="-8"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2.机构情况:独立编制机构1个，独立核算机构1个，财政全额拨款的</w:t>
      </w:r>
      <w:r>
        <w:rPr>
          <w:rFonts w:hint="eastAsia" w:ascii="仿宋_GB2312" w:hAnsi="仿宋_GB2312" w:eastAsia="仿宋_GB2312" w:cs="仿宋_GB2312"/>
          <w:b w:val="0"/>
          <w:bCs w:val="0"/>
          <w:sz w:val="32"/>
          <w:szCs w:val="32"/>
        </w:rPr>
        <w:t>事业单位</w:t>
      </w:r>
      <w:r>
        <w:rPr>
          <w:rFonts w:hint="eastAsia" w:ascii="仿宋_GB2312" w:hAnsi="仿宋_GB2312" w:eastAsia="仿宋_GB2312" w:cs="仿宋_GB2312"/>
          <w:b w:val="0"/>
          <w:bCs w:val="0"/>
          <w:sz w:val="32"/>
          <w:szCs w:val="32"/>
          <w:lang w:eastAsia="zh-CN"/>
        </w:rPr>
        <w:t>。</w:t>
      </w:r>
    </w:p>
    <w:p>
      <w:pPr>
        <w:spacing w:line="360" w:lineRule="auto"/>
        <w:ind w:right="-130" w:rightChars="-59"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人员</w:t>
      </w:r>
      <w:r>
        <w:rPr>
          <w:rFonts w:hint="eastAsia" w:ascii="仿宋_GB2312" w:hAnsi="仿宋_GB2312" w:eastAsia="仿宋_GB2312" w:cs="仿宋_GB2312"/>
          <w:b w:val="0"/>
          <w:bCs w:val="0"/>
          <w:sz w:val="32"/>
          <w:szCs w:val="32"/>
          <w:lang w:eastAsia="zh-CN"/>
        </w:rPr>
        <w:t>情况</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人员编制数为</w:t>
      </w: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其中：事业编制数为</w:t>
      </w: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年实有人数</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在职</w:t>
      </w:r>
      <w:r>
        <w:rPr>
          <w:rFonts w:hint="eastAsia" w:ascii="仿宋_GB2312" w:hAnsi="仿宋_GB2312" w:eastAsia="仿宋_GB2312" w:cs="仿宋_GB2312"/>
          <w:b w:val="0"/>
          <w:bCs w:val="0"/>
          <w:sz w:val="32"/>
          <w:szCs w:val="32"/>
          <w:lang w:eastAsia="zh-CN"/>
        </w:rPr>
        <w:t>在编</w:t>
      </w:r>
      <w:r>
        <w:rPr>
          <w:rFonts w:hint="eastAsia" w:ascii="仿宋_GB2312" w:hAnsi="仿宋_GB2312" w:eastAsia="仿宋_GB2312" w:cs="仿宋_GB2312"/>
          <w:b w:val="0"/>
          <w:bCs w:val="0"/>
          <w:sz w:val="32"/>
          <w:szCs w:val="32"/>
        </w:rPr>
        <w:t>人员</w:t>
      </w: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退休人员</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人。</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40" w:after="0" w:afterLines="50" w:line="360" w:lineRule="auto"/>
        <w:ind w:leftChars="200" w:right="0" w:rightChars="0"/>
        <w:textAlignment w:val="auto"/>
        <w:outlineLvl w:val="1"/>
        <w:rPr>
          <w:rFonts w:hint="eastAsia" w:ascii="宋体" w:hAnsi="宋体"/>
        </w:rPr>
      </w:pPr>
      <w:bookmarkStart w:id="3" w:name="_Toc10058"/>
      <w:r>
        <w:rPr>
          <w:rFonts w:hint="eastAsia" w:ascii="仿宋_GB2312" w:hAnsi="仿宋_GB2312" w:eastAsia="仿宋_GB2312" w:cs="仿宋_GB2312"/>
          <w:b/>
          <w:bCs/>
        </w:rPr>
        <w:t>（二）</w:t>
      </w:r>
      <w:bookmarkStart w:id="34" w:name="_GoBack"/>
      <w:r>
        <w:rPr>
          <w:rFonts w:hint="eastAsia" w:ascii="仿宋_GB2312" w:hAnsi="仿宋_GB2312" w:eastAsia="仿宋_GB2312" w:cs="仿宋_GB2312"/>
          <w:b/>
          <w:bCs/>
          <w:highlight w:val="none"/>
        </w:rPr>
        <w:t>部门</w:t>
      </w:r>
      <w:r>
        <w:rPr>
          <w:rFonts w:hint="eastAsia" w:cs="仿宋_GB2312"/>
          <w:b/>
          <w:bCs/>
          <w:highlight w:val="none"/>
          <w:lang w:val="en-US" w:eastAsia="zh-CN"/>
        </w:rPr>
        <w:t>2024</w:t>
      </w:r>
      <w:r>
        <w:rPr>
          <w:rFonts w:hint="eastAsia" w:ascii="仿宋_GB2312" w:hAnsi="仿宋_GB2312" w:eastAsia="仿宋_GB2312" w:cs="仿宋_GB2312"/>
          <w:b/>
          <w:bCs/>
          <w:highlight w:val="none"/>
        </w:rPr>
        <w:t>年重点工作</w:t>
      </w:r>
      <w:bookmarkEnd w:id="34"/>
      <w:bookmarkEnd w:id="3"/>
    </w:p>
    <w:p>
      <w:pPr>
        <w:spacing w:line="360" w:lineRule="auto"/>
        <w:ind w:right="-130" w:rightChars="-59"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1、扎实开展建筑工程质量提升行动，达到工程受监率100%，工程质量合格率100%，杜绝建筑行业重大安全事故发生，切实保障在建工程质量和安全。</w:t>
      </w:r>
    </w:p>
    <w:p>
      <w:pPr>
        <w:spacing w:line="360" w:lineRule="auto"/>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2、打好蓝天保卫战，加强建筑工地文明施工管理，保证建筑扬尘污染治理工作稳步推进</w:t>
      </w:r>
    </w:p>
    <w:p>
      <w:pPr>
        <w:spacing w:line="360" w:lineRule="auto"/>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3、按文件要求开展安全生产、扬尘防治、起重机械等各项专项检查</w:t>
      </w:r>
    </w:p>
    <w:p>
      <w:pPr>
        <w:spacing w:line="360" w:lineRule="auto"/>
        <w:ind w:firstLine="640" w:firstLineChars="200"/>
        <w:jc w:val="both"/>
        <w:rPr>
          <w:rFonts w:hint="default"/>
          <w:lang w:val="en-US"/>
        </w:rPr>
      </w:pPr>
      <w:r>
        <w:rPr>
          <w:rFonts w:hint="eastAsia" w:ascii="仿宋_GB2312" w:hAnsi="仿宋_GB2312" w:eastAsia="仿宋_GB2312" w:cs="仿宋_GB2312"/>
          <w:b w:val="0"/>
          <w:bCs w:val="0"/>
          <w:sz w:val="32"/>
          <w:szCs w:val="32"/>
          <w:lang w:val="en-US" w:eastAsia="zh-CN"/>
        </w:rPr>
        <w:t>4、贯彻落实全省住建领域消防安全集中除患大整治行动方案，加强建设工程消防审验管理，强化消防安全源头管控</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line="360" w:lineRule="auto"/>
        <w:jc w:val="both"/>
        <w:textAlignment w:val="auto"/>
        <w:outlineLvl w:val="1"/>
        <w:rPr>
          <w:rFonts w:hint="eastAsia" w:ascii="宋体" w:hAnsi="宋体" w:eastAsia="黑体"/>
          <w:b/>
          <w:bCs/>
          <w:color w:val="333333"/>
        </w:rPr>
      </w:pPr>
      <w:bookmarkStart w:id="4" w:name="_Toc2513"/>
      <w:r>
        <w:rPr>
          <w:rFonts w:hint="eastAsia" w:ascii="宋体" w:hAnsi="宋体" w:eastAsia="黑体"/>
          <w:b/>
          <w:bCs/>
          <w:color w:val="333333"/>
        </w:rPr>
        <w:t>二、部门预算单位构成</w:t>
      </w:r>
      <w:bookmarkEnd w:id="4"/>
    </w:p>
    <w:p>
      <w:pPr>
        <w:spacing w:line="360" w:lineRule="auto"/>
        <w:ind w:right="-130" w:rightChars="-59"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五通桥区建设工程质量安全监督站是财政全额拨款的事业单位，纳入五通桥区财政2024年度部门预算编制范围。</w:t>
      </w:r>
    </w:p>
    <w:p>
      <w:pPr>
        <w:spacing w:line="360" w:lineRule="auto"/>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1"/>
        </w:numPr>
        <w:jc w:val="center"/>
        <w:outlineLvl w:val="0"/>
        <w:rPr>
          <w:rFonts w:hint="eastAsia" w:ascii="方正小标宋简体" w:hAnsi="方正小标宋简体" w:eastAsia="方正小标宋简体" w:cs="方正小标宋简体"/>
          <w:b/>
          <w:bCs/>
          <w:sz w:val="48"/>
          <w:szCs w:val="48"/>
          <w:lang w:val="en-US" w:eastAsia="zh-CN"/>
        </w:rPr>
      </w:pPr>
      <w:bookmarkStart w:id="5" w:name="_Toc4899"/>
      <w:r>
        <w:rPr>
          <w:rFonts w:hint="eastAsia" w:ascii="方正小标宋简体" w:hAnsi="方正小标宋简体" w:eastAsia="方正小标宋简体" w:cs="方正小标宋简体"/>
          <w:b/>
          <w:bCs/>
          <w:sz w:val="48"/>
          <w:szCs w:val="48"/>
          <w:lang w:val="en-US" w:eastAsia="zh-CN"/>
        </w:rPr>
        <w:t>五通桥区建设工程质量安全监督站2024年部门预算表</w:t>
      </w:r>
      <w:bookmarkEnd w:id="5"/>
    </w:p>
    <w:p>
      <w:pPr>
        <w:rPr>
          <w:rFonts w:hint="eastAsia" w:ascii="宋体" w:hAnsi="宋体"/>
          <w:sz w:val="32"/>
          <w:lang w:val="en-US" w:eastAsia="zh-CN"/>
        </w:rPr>
      </w:pPr>
      <w:r>
        <w:rPr>
          <w:rFonts w:ascii="宋体" w:hAnsi="宋体"/>
          <w:color w:val="333333"/>
        </w:rPr>
        <w:br w:type="page"/>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3115"/>
      <w:r>
        <w:rPr>
          <w:rFonts w:hint="eastAsia" w:ascii="宋体" w:hAnsi="宋体"/>
          <w:sz w:val="32"/>
          <w:lang w:val="en-US" w:eastAsia="zh-CN"/>
        </w:rPr>
        <w:t>一、部门收支总表（公开表1）</w:t>
      </w:r>
      <w:bookmarkEnd w:id="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11018"/>
      <w:r>
        <w:rPr>
          <w:rFonts w:hint="eastAsia" w:ascii="宋体" w:hAnsi="宋体"/>
          <w:sz w:val="32"/>
          <w:lang w:val="en-US" w:eastAsia="zh-CN"/>
        </w:rPr>
        <w:t>二、部门收入总表（公开表1-1）</w:t>
      </w:r>
      <w:bookmarkEnd w:id="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5558"/>
      <w:r>
        <w:rPr>
          <w:rFonts w:hint="eastAsia" w:ascii="宋体" w:hAnsi="宋体"/>
          <w:sz w:val="32"/>
          <w:lang w:val="en-US" w:eastAsia="zh-CN"/>
        </w:rPr>
        <w:t>三、部门支出总表（公开表1-2）</w:t>
      </w:r>
      <w:bookmarkEnd w:id="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4166"/>
      <w:r>
        <w:rPr>
          <w:rFonts w:hint="eastAsia" w:ascii="宋体" w:hAnsi="宋体"/>
          <w:sz w:val="32"/>
          <w:lang w:val="en-US" w:eastAsia="zh-CN"/>
        </w:rPr>
        <w:t>四、财政拨款收支预算总表（公开表2）</w:t>
      </w:r>
      <w:bookmarkEnd w:id="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18" w:rightChars="-8"/>
        <w:jc w:val="left"/>
        <w:textAlignment w:val="auto"/>
        <w:outlineLvl w:val="1"/>
        <w:rPr>
          <w:rFonts w:hint="eastAsia" w:ascii="宋体" w:hAnsi="宋体"/>
          <w:sz w:val="32"/>
          <w:lang w:val="en-US" w:eastAsia="zh-CN"/>
        </w:rPr>
      </w:pPr>
      <w:bookmarkStart w:id="10" w:name="_Toc32650"/>
      <w:r>
        <w:rPr>
          <w:rFonts w:hint="eastAsia" w:ascii="宋体" w:hAnsi="宋体"/>
          <w:sz w:val="32"/>
          <w:lang w:val="en-US" w:eastAsia="zh-CN"/>
        </w:rPr>
        <w:t>五、财政拨款支出预算表（部门经济分类科目）</w:t>
      </w:r>
      <w:bookmarkEnd w:id="10"/>
      <w:r>
        <w:rPr>
          <w:rFonts w:hint="eastAsia" w:ascii="宋体" w:hAnsi="宋体"/>
          <w:sz w:val="32"/>
          <w:lang w:val="en-US" w:eastAsia="zh-CN"/>
        </w:rPr>
        <w:t>（公开表2-1）</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10451"/>
      <w:r>
        <w:rPr>
          <w:rFonts w:hint="eastAsia" w:ascii="宋体" w:hAnsi="宋体"/>
          <w:sz w:val="32"/>
          <w:lang w:val="en-US" w:eastAsia="zh-CN"/>
        </w:rPr>
        <w:t>六、一般公共预算支出预算表（公开表3）</w:t>
      </w:r>
      <w:bookmarkEnd w:id="1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9436"/>
      <w:r>
        <w:rPr>
          <w:rFonts w:hint="eastAsia" w:ascii="宋体" w:hAnsi="宋体"/>
          <w:sz w:val="32"/>
          <w:lang w:val="en-US" w:eastAsia="zh-CN"/>
        </w:rPr>
        <w:t>七、一般公共预算基本支出预算表（公开表3-1）</w:t>
      </w:r>
      <w:bookmarkEnd w:id="12"/>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4639"/>
      <w:r>
        <w:rPr>
          <w:rFonts w:hint="eastAsia" w:ascii="宋体" w:hAnsi="宋体"/>
          <w:sz w:val="32"/>
          <w:lang w:val="en-US" w:eastAsia="zh-CN"/>
        </w:rPr>
        <w:t>八、一般公共预算项目支出预算表（公开表3-2）</w:t>
      </w:r>
      <w:bookmarkEnd w:id="1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130" w:rightChars="-59"/>
        <w:jc w:val="left"/>
        <w:textAlignment w:val="auto"/>
        <w:outlineLvl w:val="1"/>
        <w:rPr>
          <w:rFonts w:hint="eastAsia" w:ascii="宋体" w:hAnsi="宋体"/>
          <w:sz w:val="32"/>
          <w:lang w:val="en-US" w:eastAsia="zh-CN"/>
        </w:rPr>
      </w:pPr>
      <w:bookmarkStart w:id="14" w:name="_Toc4974"/>
      <w:r>
        <w:rPr>
          <w:rFonts w:hint="eastAsia" w:ascii="宋体" w:hAnsi="宋体"/>
          <w:sz w:val="32"/>
          <w:lang w:val="en-US" w:eastAsia="zh-CN"/>
        </w:rPr>
        <w:t>九、一般公共预算“三公”经费支出预算表</w:t>
      </w:r>
      <w:bookmarkEnd w:id="14"/>
      <w:r>
        <w:rPr>
          <w:rFonts w:hint="eastAsia" w:ascii="宋体" w:hAnsi="宋体"/>
          <w:sz w:val="32"/>
          <w:lang w:val="en-US" w:eastAsia="zh-CN"/>
        </w:rPr>
        <w:t xml:space="preserve">（公开表3-3）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28043"/>
      <w:r>
        <w:rPr>
          <w:rFonts w:hint="eastAsia" w:ascii="宋体" w:hAnsi="宋体"/>
          <w:sz w:val="32"/>
          <w:lang w:val="en-US" w:eastAsia="zh-CN"/>
        </w:rPr>
        <w:t>十、政府性基金预算支出表（公开表4）</w:t>
      </w:r>
      <w:bookmarkEnd w:id="1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130" w:rightChars="-59"/>
        <w:jc w:val="left"/>
        <w:textAlignment w:val="auto"/>
        <w:outlineLvl w:val="1"/>
        <w:rPr>
          <w:rFonts w:hint="eastAsia" w:ascii="宋体" w:hAnsi="宋体"/>
          <w:sz w:val="32"/>
          <w:lang w:val="en-US" w:eastAsia="zh-CN"/>
        </w:rPr>
      </w:pPr>
      <w:bookmarkStart w:id="16" w:name="_Toc30676"/>
      <w:r>
        <w:rPr>
          <w:rFonts w:hint="eastAsia" w:ascii="宋体" w:hAnsi="宋体"/>
          <w:sz w:val="32"/>
          <w:lang w:val="en-US" w:eastAsia="zh-CN"/>
        </w:rPr>
        <w:t>十一、政府性基金预算“三公”经费支出预算表</w:t>
      </w:r>
      <w:bookmarkEnd w:id="16"/>
      <w:r>
        <w:rPr>
          <w:rFonts w:hint="eastAsia" w:ascii="宋体" w:hAnsi="宋体"/>
          <w:sz w:val="32"/>
          <w:lang w:val="en-US" w:eastAsia="zh-CN"/>
        </w:rPr>
        <w:t>（公开表4-1）</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1900"/>
      <w:r>
        <w:rPr>
          <w:rFonts w:hint="eastAsia" w:ascii="宋体" w:hAnsi="宋体"/>
          <w:sz w:val="32"/>
          <w:lang w:val="en-US" w:eastAsia="zh-CN"/>
        </w:rPr>
        <w:t>十二、国有资本经营预算支出表（公开表5）</w:t>
      </w:r>
      <w:bookmarkEnd w:id="1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13147"/>
      <w:r>
        <w:rPr>
          <w:rFonts w:hint="eastAsia" w:ascii="宋体" w:hAnsi="宋体"/>
          <w:sz w:val="32"/>
          <w:lang w:val="en-US" w:eastAsia="zh-CN"/>
        </w:rPr>
        <w:t>十三、部门整体支出绩效目标表（公开表6）</w:t>
      </w:r>
      <w:bookmarkEnd w:id="18"/>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12027"/>
      <w:r>
        <w:rPr>
          <w:rFonts w:hint="eastAsia" w:ascii="宋体" w:hAnsi="宋体"/>
          <w:sz w:val="32"/>
          <w:lang w:val="en-US" w:eastAsia="zh-CN"/>
        </w:rPr>
        <w:t>十四、部门预算项目支出绩效目标表（公开表7）</w:t>
      </w:r>
      <w:bookmarkEnd w:id="1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20254"/>
      <w:r>
        <w:rPr>
          <w:rFonts w:hint="eastAsia" w:ascii="宋体" w:hAnsi="宋体"/>
          <w:sz w:val="32"/>
          <w:lang w:val="en-US" w:eastAsia="zh-CN"/>
        </w:rPr>
        <w:t>十五、政府采购预算表（公开表8）</w:t>
      </w:r>
      <w:bookmarkEnd w:id="2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21" w:name="_Toc32539"/>
      <w:bookmarkStart w:id="22" w:name="_Toc16458"/>
      <w:r>
        <w:rPr>
          <w:rFonts w:hint="eastAsia" w:ascii="宋体" w:hAnsi="宋体"/>
          <w:b/>
          <w:bCs/>
          <w:sz w:val="32"/>
          <w:lang w:val="en-US" w:eastAsia="zh-CN"/>
        </w:rPr>
        <w:t>以上所有表格详见部门说明后附件。</w:t>
      </w:r>
      <w:bookmarkEnd w:id="21"/>
      <w:bookmarkEnd w:id="22"/>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b/>
          <w:bCs/>
          <w:sz w:val="20"/>
        </w:rPr>
      </w:pPr>
    </w:p>
    <w:p>
      <w:pPr>
        <w:pStyle w:val="4"/>
        <w:numPr>
          <w:ilvl w:val="0"/>
          <w:numId w:val="1"/>
        </w:numPr>
        <w:jc w:val="center"/>
        <w:outlineLvl w:val="0"/>
        <w:rPr>
          <w:rFonts w:hint="default" w:ascii="方正小标宋简体" w:hAnsi="方正小标宋简体" w:eastAsia="方正小标宋简体" w:cs="方正小标宋简体"/>
          <w:b/>
          <w:bCs/>
          <w:sz w:val="48"/>
          <w:szCs w:val="48"/>
          <w:lang w:val="en-US" w:eastAsia="zh-CN"/>
        </w:rPr>
        <w:sectPr>
          <w:headerReference r:id="rId6" w:type="default"/>
          <w:pgSz w:w="11910" w:h="16840"/>
          <w:pgMar w:top="1440" w:right="1400" w:bottom="1440" w:left="1400" w:header="850" w:footer="850" w:gutter="0"/>
          <w:pgNumType w:fmt="decimal"/>
          <w:cols w:space="0" w:num="1"/>
          <w:rtlGutter w:val="0"/>
          <w:docGrid w:linePitch="0" w:charSpace="0"/>
        </w:sectPr>
      </w:pPr>
      <w:bookmarkStart w:id="23" w:name="_Toc8612"/>
      <w:r>
        <w:rPr>
          <w:rFonts w:hint="eastAsia" w:ascii="方正小标宋简体" w:hAnsi="方正小标宋简体" w:eastAsia="方正小标宋简体" w:cs="方正小标宋简体"/>
          <w:b/>
          <w:bCs/>
          <w:sz w:val="48"/>
          <w:szCs w:val="48"/>
          <w:lang w:val="en-US" w:eastAsia="zh-CN"/>
        </w:rPr>
        <w:t>五通桥区建设工程质量安全监督站2024年</w:t>
      </w:r>
      <w:bookmarkStart w:id="24" w:name="_Toc1047"/>
      <w:r>
        <w:rPr>
          <w:rFonts w:hint="eastAsia" w:ascii="方正小标宋简体" w:hAnsi="方正小标宋简体" w:eastAsia="方正小标宋简体" w:cs="方正小标宋简体"/>
          <w:b/>
          <w:bCs/>
          <w:sz w:val="48"/>
          <w:szCs w:val="48"/>
          <w:lang w:val="en-US" w:eastAsia="zh-CN"/>
        </w:rPr>
        <w:t>部门预算情况</w:t>
      </w:r>
      <w:bookmarkEnd w:id="23"/>
      <w:bookmarkEnd w:id="24"/>
    </w:p>
    <w:p>
      <w:pPr>
        <w:pStyle w:val="4"/>
        <w:keepNext w:val="0"/>
        <w:keepLines w:val="0"/>
        <w:pageBreakBefore w:val="0"/>
        <w:widowControl w:val="0"/>
        <w:kinsoku/>
        <w:wordWrap/>
        <w:overflowPunct/>
        <w:topLinePunct w:val="0"/>
        <w:autoSpaceDE w:val="0"/>
        <w:autoSpaceDN w:val="0"/>
        <w:bidi w:val="0"/>
        <w:adjustRightInd/>
        <w:snapToGrid/>
        <w:spacing w:before="300" w:after="0" w:afterLines="50"/>
        <w:jc w:val="both"/>
        <w:textAlignment w:val="auto"/>
        <w:outlineLvl w:val="1"/>
        <w:rPr>
          <w:rFonts w:hint="eastAsia" w:ascii="宋体" w:hAnsi="宋体" w:eastAsia="黑体"/>
          <w:b/>
          <w:bCs/>
          <w:color w:val="333333"/>
        </w:rPr>
      </w:pPr>
      <w:bookmarkStart w:id="25" w:name="_Toc14201"/>
      <w:r>
        <w:rPr>
          <w:rFonts w:hint="eastAsia" w:ascii="宋体" w:hAnsi="宋体" w:eastAsia="黑体"/>
          <w:b/>
          <w:bCs/>
          <w:color w:val="333333"/>
        </w:rPr>
        <w:t>一、收支预算情况说明</w:t>
      </w:r>
      <w:bookmarkEnd w:id="2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仿宋_GB2312" w:hAnsi="仿宋_GB2312" w:eastAsia="仿宋_GB2312" w:cs="仿宋_GB2312"/>
          <w:b w:val="0"/>
          <w:bCs w:val="0"/>
          <w:sz w:val="32"/>
          <w:szCs w:val="32"/>
          <w:lang w:val="en-US" w:eastAsia="zh-CN" w:bidi="zh-CN"/>
        </w:rPr>
      </w:pPr>
      <w:r>
        <w:rPr>
          <w:rFonts w:hint="eastAsia" w:ascii="仿宋_GB2312" w:hAnsi="仿宋_GB2312" w:eastAsia="仿宋_GB2312" w:cs="仿宋_GB2312"/>
          <w:b w:val="0"/>
          <w:bCs w:val="0"/>
          <w:sz w:val="32"/>
          <w:szCs w:val="32"/>
          <w:lang w:val="en-US" w:eastAsia="zh-CN" w:bidi="zh-CN"/>
        </w:rPr>
        <w:t>按照综合预算的原则，五通桥区建设工程质量安全监督站所有收入和支出均纳入部门预算管理。收入包括：一般公共预算拨款收入</w:t>
      </w:r>
      <w:r>
        <w:rPr>
          <w:rFonts w:hint="eastAsia" w:cs="仿宋_GB2312"/>
          <w:b w:val="0"/>
          <w:bCs w:val="0"/>
          <w:sz w:val="32"/>
          <w:szCs w:val="32"/>
          <w:lang w:val="en-US" w:eastAsia="zh-CN" w:bidi="zh-CN"/>
        </w:rPr>
        <w:t>138.50</w:t>
      </w:r>
      <w:r>
        <w:rPr>
          <w:rFonts w:hint="eastAsia" w:ascii="仿宋_GB2312" w:hAnsi="仿宋_GB2312" w:eastAsia="仿宋_GB2312" w:cs="仿宋_GB2312"/>
          <w:b w:val="0"/>
          <w:bCs w:val="0"/>
          <w:sz w:val="32"/>
          <w:szCs w:val="32"/>
          <w:lang w:val="en-US" w:eastAsia="zh-CN" w:bidi="zh-CN"/>
        </w:rPr>
        <w:t>万元；支出包括：一般公共服务支出</w:t>
      </w:r>
      <w:r>
        <w:rPr>
          <w:rFonts w:hint="eastAsia" w:cs="仿宋_GB2312"/>
          <w:b w:val="0"/>
          <w:bCs w:val="0"/>
          <w:sz w:val="32"/>
          <w:szCs w:val="32"/>
          <w:lang w:val="en-US" w:eastAsia="zh-CN" w:bidi="zh-CN"/>
        </w:rPr>
        <w:t>138.50</w:t>
      </w:r>
      <w:r>
        <w:rPr>
          <w:rFonts w:hint="eastAsia" w:ascii="仿宋_GB2312" w:hAnsi="仿宋_GB2312" w:eastAsia="仿宋_GB2312" w:cs="仿宋_GB2312"/>
          <w:b w:val="0"/>
          <w:bCs w:val="0"/>
          <w:sz w:val="32"/>
          <w:szCs w:val="32"/>
          <w:lang w:val="en-US" w:eastAsia="zh-CN" w:bidi="zh-CN"/>
        </w:rPr>
        <w:t>万元。五通桥区建设工程质量安全监督站</w:t>
      </w:r>
      <w:r>
        <w:rPr>
          <w:rFonts w:hint="eastAsia" w:cs="仿宋_GB2312"/>
          <w:b w:val="0"/>
          <w:bCs w:val="0"/>
          <w:sz w:val="32"/>
          <w:szCs w:val="32"/>
          <w:lang w:val="en-US" w:eastAsia="zh-CN" w:bidi="zh-CN"/>
        </w:rPr>
        <w:t>2024</w:t>
      </w:r>
      <w:r>
        <w:rPr>
          <w:rFonts w:hint="eastAsia" w:ascii="仿宋_GB2312" w:hAnsi="仿宋_GB2312" w:eastAsia="仿宋_GB2312" w:cs="仿宋_GB2312"/>
          <w:b w:val="0"/>
          <w:bCs w:val="0"/>
          <w:sz w:val="32"/>
          <w:szCs w:val="32"/>
          <w:lang w:val="en-US" w:eastAsia="zh-CN" w:bidi="zh-CN"/>
        </w:rPr>
        <w:t>年收支预算总数</w:t>
      </w:r>
      <w:r>
        <w:rPr>
          <w:rFonts w:hint="eastAsia" w:cs="仿宋_GB2312"/>
          <w:b w:val="0"/>
          <w:bCs w:val="0"/>
          <w:sz w:val="32"/>
          <w:szCs w:val="32"/>
          <w:lang w:val="en-US" w:eastAsia="zh-CN" w:bidi="zh-CN"/>
        </w:rPr>
        <w:t>138.50</w:t>
      </w:r>
      <w:r>
        <w:rPr>
          <w:rFonts w:hint="eastAsia" w:ascii="仿宋_GB2312" w:hAnsi="仿宋_GB2312" w:eastAsia="仿宋_GB2312" w:cs="仿宋_GB2312"/>
          <w:b w:val="0"/>
          <w:bCs w:val="0"/>
          <w:sz w:val="32"/>
          <w:szCs w:val="32"/>
          <w:lang w:val="en-US" w:eastAsia="zh-CN" w:bidi="zh-CN"/>
        </w:rPr>
        <w:t>万元,比202</w:t>
      </w:r>
      <w:r>
        <w:rPr>
          <w:rFonts w:hint="eastAsia" w:cs="仿宋_GB2312"/>
          <w:b w:val="0"/>
          <w:bCs w:val="0"/>
          <w:sz w:val="32"/>
          <w:szCs w:val="32"/>
          <w:lang w:val="en-US" w:eastAsia="zh-CN" w:bidi="zh-CN"/>
        </w:rPr>
        <w:t>3</w:t>
      </w:r>
      <w:r>
        <w:rPr>
          <w:rFonts w:hint="eastAsia" w:ascii="仿宋_GB2312" w:hAnsi="仿宋_GB2312" w:eastAsia="仿宋_GB2312" w:cs="仿宋_GB2312"/>
          <w:b w:val="0"/>
          <w:bCs w:val="0"/>
          <w:sz w:val="32"/>
          <w:szCs w:val="32"/>
          <w:lang w:val="en-US" w:eastAsia="zh-CN" w:bidi="zh-CN"/>
        </w:rPr>
        <w:t>年收支预算总数113.39万元增加</w:t>
      </w:r>
      <w:r>
        <w:rPr>
          <w:rFonts w:hint="eastAsia" w:cs="仿宋_GB2312"/>
          <w:b w:val="0"/>
          <w:bCs w:val="0"/>
          <w:sz w:val="32"/>
          <w:szCs w:val="32"/>
          <w:lang w:val="en-US" w:eastAsia="zh-CN" w:bidi="zh-CN"/>
        </w:rPr>
        <w:t>25.11</w:t>
      </w:r>
      <w:r>
        <w:rPr>
          <w:rFonts w:hint="eastAsia" w:ascii="仿宋_GB2312" w:hAnsi="仿宋_GB2312" w:eastAsia="仿宋_GB2312" w:cs="仿宋_GB2312"/>
          <w:b w:val="0"/>
          <w:bCs w:val="0"/>
          <w:sz w:val="32"/>
          <w:szCs w:val="32"/>
          <w:lang w:val="en-US" w:eastAsia="zh-CN" w:bidi="zh-CN"/>
        </w:rPr>
        <w:t>万元。主要原因：一是职工工资增加；二是住房保障支出增加</w:t>
      </w:r>
      <w:r>
        <w:rPr>
          <w:rFonts w:hint="eastAsia" w:cs="仿宋_GB2312"/>
          <w:b w:val="0"/>
          <w:bCs w:val="0"/>
          <w:sz w:val="32"/>
          <w:szCs w:val="32"/>
          <w:lang w:val="en-US" w:eastAsia="zh-CN" w:bidi="zh-CN"/>
        </w:rPr>
        <w:t>；三是职工养老保险增加。</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660" w:rightChars="300" w:firstLine="643" w:firstLineChars="200"/>
        <w:jc w:val="both"/>
        <w:textAlignment w:val="auto"/>
        <w:rPr>
          <w:rFonts w:ascii="宋体" w:hAnsi="宋体"/>
          <w:sz w:val="32"/>
          <w:szCs w:val="32"/>
        </w:rPr>
      </w:pPr>
      <w:r>
        <w:rPr>
          <w:rFonts w:ascii="宋体" w:hAnsi="宋体"/>
          <w:b/>
          <w:bCs/>
          <w:sz w:val="32"/>
          <w:szCs w:val="32"/>
        </w:rPr>
        <w:t>（一）收入预算情况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sz w:val="32"/>
          <w:lang w:val="en-US" w:eastAsia="zh-CN"/>
        </w:rPr>
      </w:pPr>
      <w:r>
        <w:rPr>
          <w:rFonts w:hint="eastAsia" w:ascii="仿宋_GB2312" w:hAnsi="仿宋_GB2312" w:eastAsia="仿宋_GB2312" w:cs="仿宋_GB2312"/>
          <w:b w:val="0"/>
          <w:bCs w:val="0"/>
          <w:sz w:val="32"/>
          <w:szCs w:val="32"/>
          <w:lang w:val="en-US" w:eastAsia="zh-CN" w:bidi="zh-CN"/>
        </w:rPr>
        <w:t>五通桥区建设工程质量安全监督站</w:t>
      </w:r>
      <w:r>
        <w:rPr>
          <w:rFonts w:hint="eastAsia" w:cs="仿宋_GB2312"/>
          <w:b w:val="0"/>
          <w:bCs w:val="0"/>
          <w:sz w:val="32"/>
          <w:szCs w:val="32"/>
          <w:lang w:val="en-US" w:eastAsia="zh-CN" w:bidi="zh-CN"/>
        </w:rPr>
        <w:t>2024</w:t>
      </w:r>
      <w:r>
        <w:rPr>
          <w:rFonts w:hint="eastAsia" w:ascii="仿宋_GB2312" w:hAnsi="仿宋_GB2312" w:eastAsia="仿宋_GB2312" w:cs="仿宋_GB2312"/>
          <w:b w:val="0"/>
          <w:bCs w:val="0"/>
          <w:sz w:val="32"/>
          <w:szCs w:val="32"/>
          <w:lang w:val="en-US" w:eastAsia="zh-CN" w:bidi="zh-CN"/>
        </w:rPr>
        <w:t>年收入预算</w:t>
      </w:r>
      <w:r>
        <w:rPr>
          <w:rFonts w:hint="eastAsia" w:cs="仿宋_GB2312"/>
          <w:b w:val="0"/>
          <w:bCs w:val="0"/>
          <w:sz w:val="32"/>
          <w:szCs w:val="32"/>
          <w:lang w:val="en-US" w:eastAsia="zh-CN" w:bidi="zh-CN"/>
        </w:rPr>
        <w:t>138.50</w:t>
      </w:r>
      <w:r>
        <w:rPr>
          <w:rFonts w:hint="eastAsia" w:ascii="仿宋_GB2312" w:hAnsi="仿宋_GB2312" w:eastAsia="仿宋_GB2312" w:cs="仿宋_GB2312"/>
          <w:b w:val="0"/>
          <w:bCs w:val="0"/>
          <w:sz w:val="32"/>
          <w:szCs w:val="32"/>
          <w:lang w:val="en-US" w:eastAsia="zh-CN" w:bidi="zh-CN"/>
        </w:rPr>
        <w:t>万元，其中：上年结转0万元，占0%；一般公共预算拨款收入</w:t>
      </w:r>
      <w:r>
        <w:rPr>
          <w:rFonts w:hint="eastAsia" w:cs="仿宋_GB2312"/>
          <w:b w:val="0"/>
          <w:bCs w:val="0"/>
          <w:sz w:val="32"/>
          <w:szCs w:val="32"/>
          <w:lang w:val="en-US" w:eastAsia="zh-CN" w:bidi="zh-CN"/>
        </w:rPr>
        <w:t>138.50</w:t>
      </w:r>
      <w:r>
        <w:rPr>
          <w:rFonts w:hint="eastAsia" w:ascii="仿宋_GB2312" w:hAnsi="仿宋_GB2312" w:eastAsia="仿宋_GB2312" w:cs="仿宋_GB2312"/>
          <w:b w:val="0"/>
          <w:bCs w:val="0"/>
          <w:sz w:val="32"/>
          <w:szCs w:val="32"/>
          <w:lang w:val="en-US" w:eastAsia="zh-CN" w:bidi="zh-CN"/>
        </w:rPr>
        <w:t>万元，占100%；政府基金预算拨款收入0万元，占0%；事业收入0万元，占0%；事业单位经营收入0万元，占0%；其他收入0万元，占0%</w:t>
      </w:r>
      <w:r>
        <w:rPr>
          <w:rFonts w:hint="eastAsia" w:ascii="宋体" w:hAnsi="宋体"/>
          <w:sz w:val="32"/>
          <w:lang w:val="en-US" w:eastAsia="zh-CN"/>
        </w:rPr>
        <w:t>。</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line="360" w:lineRule="auto"/>
        <w:ind w:left="0" w:leftChars="0" w:firstLine="643" w:firstLineChars="200"/>
        <w:textAlignment w:val="auto"/>
        <w:rPr>
          <w:rFonts w:ascii="宋体" w:hAnsi="宋体"/>
        </w:rPr>
      </w:pPr>
      <w:r>
        <w:rPr>
          <w:rFonts w:ascii="宋体" w:hAnsi="宋体"/>
        </w:rPr>
        <w:t>（二）支出预算情况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五通桥区建设工程质量安全监督站2024年支出预算</w:t>
      </w:r>
      <w:r>
        <w:rPr>
          <w:rFonts w:hint="eastAsia" w:cs="仿宋_GB2312"/>
          <w:b w:val="0"/>
          <w:bCs w:val="0"/>
          <w:sz w:val="32"/>
          <w:szCs w:val="32"/>
          <w:lang w:val="en-US" w:eastAsia="zh-CN" w:bidi="zh-CN"/>
        </w:rPr>
        <w:t>138.50</w:t>
      </w:r>
      <w:r>
        <w:rPr>
          <w:rFonts w:hint="eastAsia" w:ascii="宋体" w:hAnsi="宋体"/>
          <w:sz w:val="32"/>
          <w:lang w:val="en-US" w:eastAsia="zh-CN"/>
        </w:rPr>
        <w:t>万元，其中：人员支出118.1万元，日常公用支出8.4万元，对个人和家庭的补助支出0万元，专项支出12万元。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line="360" w:lineRule="auto"/>
        <w:jc w:val="both"/>
        <w:textAlignment w:val="auto"/>
        <w:outlineLvl w:val="1"/>
        <w:rPr>
          <w:rFonts w:hint="eastAsia" w:ascii="宋体" w:hAnsi="宋体" w:eastAsia="黑体"/>
          <w:b/>
          <w:bCs/>
          <w:color w:val="333333"/>
        </w:rPr>
      </w:pPr>
      <w:bookmarkStart w:id="26" w:name="_Toc32479"/>
      <w:r>
        <w:rPr>
          <w:rFonts w:hint="eastAsia" w:ascii="宋体" w:hAnsi="宋体" w:eastAsia="黑体"/>
          <w:b/>
          <w:bCs/>
          <w:color w:val="333333"/>
        </w:rPr>
        <w:t>二、财政拨款收支预算情况说明</w:t>
      </w:r>
      <w:bookmarkEnd w:id="2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五通桥区建设工程质量安全监督站2024年财政拨款收支预算总数</w:t>
      </w:r>
      <w:r>
        <w:rPr>
          <w:rFonts w:hint="eastAsia" w:cs="仿宋_GB2312"/>
          <w:b w:val="0"/>
          <w:bCs w:val="0"/>
          <w:sz w:val="32"/>
          <w:szCs w:val="32"/>
          <w:lang w:val="en-US" w:eastAsia="zh-CN" w:bidi="zh-CN"/>
        </w:rPr>
        <w:t>138.50</w:t>
      </w:r>
      <w:r>
        <w:rPr>
          <w:rFonts w:hint="eastAsia" w:ascii="宋体" w:hAnsi="宋体"/>
          <w:sz w:val="32"/>
          <w:lang w:val="en-US" w:eastAsia="zh-CN"/>
        </w:rPr>
        <w:t>万元,比2023年财政拨款收支预算总数</w:t>
      </w:r>
      <w:r>
        <w:rPr>
          <w:rFonts w:hint="eastAsia" w:ascii="仿宋_GB2312" w:hAnsi="仿宋_GB2312" w:eastAsia="仿宋_GB2312" w:cs="仿宋_GB2312"/>
          <w:b w:val="0"/>
          <w:bCs w:val="0"/>
          <w:sz w:val="32"/>
          <w:szCs w:val="32"/>
          <w:lang w:val="en-US" w:eastAsia="zh-CN" w:bidi="zh-CN"/>
        </w:rPr>
        <w:t>113.39</w:t>
      </w:r>
      <w:r>
        <w:rPr>
          <w:rFonts w:hint="eastAsia" w:ascii="宋体" w:hAnsi="宋体"/>
          <w:sz w:val="32"/>
          <w:lang w:val="en-US" w:eastAsia="zh-CN"/>
        </w:rPr>
        <w:t>万元增加25.11万元。主要原因：一是职工工资增加；二是住房保障支出增加；</w:t>
      </w:r>
      <w:r>
        <w:rPr>
          <w:rFonts w:hint="eastAsia" w:cs="仿宋_GB2312"/>
          <w:b w:val="0"/>
          <w:bCs w:val="0"/>
          <w:sz w:val="32"/>
          <w:szCs w:val="32"/>
          <w:lang w:val="en-US" w:eastAsia="zh-CN" w:bidi="zh-CN"/>
        </w:rPr>
        <w:t>三是职工养老保险增加</w:t>
      </w:r>
      <w:r>
        <w:rPr>
          <w:rFonts w:hint="eastAsia" w:ascii="宋体" w:hAnsi="宋体"/>
          <w:sz w:val="32"/>
          <w:lang w:val="en-US"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其中：基本支出126.5万元，占91.34%；项目支出12万元，占9.66%。</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基本支出，是用于保障五通桥区建设工程质量安全监督站正常运转的日常支出，包括基本工资、津贴补贴等人员经费以及办公费、印刷费、水电费、办公设备购置等日常公用经费。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项目支出，是用于保障五通桥区建设工程质量安全监督站为完成特定的事业发展目标，用于专项业务工作的经费支出。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line="360" w:lineRule="auto"/>
        <w:jc w:val="both"/>
        <w:textAlignment w:val="auto"/>
        <w:outlineLvl w:val="1"/>
        <w:rPr>
          <w:rFonts w:hint="eastAsia" w:ascii="宋体" w:hAnsi="宋体" w:eastAsia="黑体"/>
          <w:b/>
          <w:bCs/>
          <w:color w:val="333333"/>
        </w:rPr>
      </w:pPr>
      <w:bookmarkStart w:id="27" w:name="_Toc19056"/>
      <w:r>
        <w:rPr>
          <w:rFonts w:hint="eastAsia" w:ascii="宋体" w:hAnsi="宋体" w:eastAsia="黑体"/>
          <w:b/>
          <w:bCs/>
          <w:color w:val="333333"/>
        </w:rPr>
        <w:t>三、一般公共预算当年拨款情况说明</w:t>
      </w:r>
      <w:bookmarkEnd w:id="2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660" w:rightChars="300" w:firstLine="643" w:firstLineChars="200"/>
        <w:jc w:val="both"/>
        <w:textAlignment w:val="auto"/>
        <w:rPr>
          <w:rFonts w:ascii="宋体" w:hAnsi="宋体"/>
          <w:b/>
          <w:bCs/>
          <w:sz w:val="32"/>
          <w:szCs w:val="32"/>
        </w:rPr>
      </w:pPr>
      <w:r>
        <w:rPr>
          <w:rFonts w:ascii="宋体" w:hAnsi="宋体"/>
          <w:b/>
          <w:bCs/>
          <w:sz w:val="32"/>
          <w:szCs w:val="32"/>
        </w:rPr>
        <w:t>（一）一般公共预算当年拨款规模变化情况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五通桥区建设工程质量安全监督站2024年一般公共预算当年拨款</w:t>
      </w:r>
      <w:r>
        <w:rPr>
          <w:rFonts w:hint="eastAsia" w:cs="仿宋_GB2312"/>
          <w:b w:val="0"/>
          <w:bCs w:val="0"/>
          <w:sz w:val="32"/>
          <w:szCs w:val="32"/>
          <w:lang w:val="en-US" w:eastAsia="zh-CN" w:bidi="zh-CN"/>
        </w:rPr>
        <w:t>138.50</w:t>
      </w:r>
      <w:r>
        <w:rPr>
          <w:rFonts w:hint="eastAsia" w:ascii="宋体" w:hAnsi="宋体"/>
          <w:b w:val="0"/>
          <w:bCs w:val="0"/>
          <w:sz w:val="32"/>
          <w:szCs w:val="32"/>
          <w:lang w:val="en-US" w:eastAsia="zh-CN"/>
        </w:rPr>
        <w:t>万元，比2023年财政拨款收支预算总数</w:t>
      </w:r>
      <w:r>
        <w:rPr>
          <w:rFonts w:hint="eastAsia" w:ascii="仿宋_GB2312" w:hAnsi="仿宋_GB2312" w:eastAsia="仿宋_GB2312" w:cs="仿宋_GB2312"/>
          <w:b w:val="0"/>
          <w:bCs w:val="0"/>
          <w:sz w:val="32"/>
          <w:szCs w:val="32"/>
          <w:lang w:val="en-US" w:eastAsia="zh-CN" w:bidi="zh-CN"/>
        </w:rPr>
        <w:t>113.39</w:t>
      </w:r>
      <w:r>
        <w:rPr>
          <w:rFonts w:hint="eastAsia" w:ascii="宋体" w:hAnsi="宋体"/>
          <w:b w:val="0"/>
          <w:bCs w:val="0"/>
          <w:sz w:val="32"/>
          <w:szCs w:val="32"/>
          <w:lang w:val="en-US" w:eastAsia="zh-CN"/>
        </w:rPr>
        <w:t>万元增加</w:t>
      </w:r>
      <w:r>
        <w:rPr>
          <w:rFonts w:hint="eastAsia" w:ascii="宋体" w:hAnsi="宋体"/>
          <w:sz w:val="32"/>
          <w:lang w:val="en-US" w:eastAsia="zh-CN"/>
        </w:rPr>
        <w:t>25.11</w:t>
      </w:r>
      <w:r>
        <w:rPr>
          <w:rFonts w:hint="eastAsia" w:ascii="宋体" w:hAnsi="宋体"/>
          <w:b w:val="0"/>
          <w:bCs w:val="0"/>
          <w:sz w:val="32"/>
          <w:szCs w:val="32"/>
          <w:lang w:val="en-US" w:eastAsia="zh-CN"/>
        </w:rPr>
        <w:t>万元。主要原因：一是职工工资增加；二是住房保障支出增加；</w:t>
      </w:r>
      <w:r>
        <w:rPr>
          <w:rFonts w:hint="eastAsia" w:cs="仿宋_GB2312"/>
          <w:b w:val="0"/>
          <w:bCs w:val="0"/>
          <w:sz w:val="32"/>
          <w:szCs w:val="32"/>
          <w:lang w:val="en-US" w:eastAsia="zh-CN" w:bidi="zh-CN"/>
        </w:rPr>
        <w:t>三是职工养老保险增加</w:t>
      </w:r>
      <w:r>
        <w:rPr>
          <w:rFonts w:hint="eastAsia" w:ascii="宋体" w:hAnsi="宋体"/>
          <w:b w:val="0"/>
          <w:bCs w:val="0"/>
          <w:sz w:val="32"/>
          <w:szCs w:val="32"/>
          <w:lang w:val="en-US"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660" w:rightChars="300" w:firstLine="643" w:firstLineChars="200"/>
        <w:jc w:val="both"/>
        <w:textAlignment w:val="auto"/>
        <w:rPr>
          <w:rFonts w:ascii="宋体" w:hAnsi="宋体"/>
          <w:b/>
          <w:bCs/>
          <w:sz w:val="32"/>
          <w:szCs w:val="32"/>
        </w:rPr>
      </w:pPr>
      <w:r>
        <w:rPr>
          <w:rFonts w:ascii="宋体" w:hAnsi="宋体"/>
          <w:b/>
          <w:bCs/>
          <w:sz w:val="32"/>
          <w:szCs w:val="32"/>
        </w:rPr>
        <w:t>（二）一般公共预算当年拨款结构情况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五通桥区建设工程质量安全监督站2024年一般公共预算支出</w:t>
      </w:r>
      <w:r>
        <w:rPr>
          <w:rFonts w:hint="eastAsia" w:cs="仿宋_GB2312"/>
          <w:b w:val="0"/>
          <w:bCs w:val="0"/>
          <w:sz w:val="32"/>
          <w:szCs w:val="32"/>
          <w:lang w:val="en-US" w:eastAsia="zh-CN" w:bidi="zh-CN"/>
        </w:rPr>
        <w:t>138.50</w:t>
      </w:r>
      <w:r>
        <w:rPr>
          <w:rFonts w:hint="eastAsia" w:ascii="宋体" w:hAnsi="宋体"/>
          <w:b w:val="0"/>
          <w:bCs w:val="0"/>
          <w:sz w:val="32"/>
          <w:szCs w:val="32"/>
          <w:lang w:val="en-US" w:eastAsia="zh-CN"/>
        </w:rPr>
        <w:t>万元，主要包括一般公共服务支出0万元，占0%；外交支出0万元，占0%；国防支出0万元，占0%；公共安全支出0万元，占0%；教育支出0万元，占0%；科学技术支出0万元，占0%；文化旅游体育与传媒支出0万元，占0%；社会保障和就业支出22.15万元，占16.0%；卫生健康支出4.55万元，占3.29%；节能环保支出0万元，占0%；城乡社区支出102.42万元，占73.95%；农林水支出0万元，占0%；交通运输支出0万元，占0%；资源勘探工业信息等支出0万元，占0%；商业服务业等支出0万元，占0%；金融支出0万元，占0%；援助其他地区支出0万元，占0%；自然资源海洋气象等支出0万元，占0%；住房保障支出9.38万元，占6.76%；粮油物资储备支出0万元，占0%；灾害防治及应急管理支出0万元，占0%；预备费0万元，占0%；其他支出0万元，占0%；转移性支出0万元，占0%；债务还本支出0万元，占0%；债务付息支出0万元，占0%；债务发行费支出0万元，占0%。</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660" w:rightChars="300" w:firstLine="643" w:firstLineChars="200"/>
        <w:jc w:val="both"/>
        <w:textAlignment w:val="auto"/>
        <w:rPr>
          <w:rFonts w:hint="eastAsia" w:ascii="宋体" w:hAnsi="宋体"/>
          <w:b/>
          <w:bCs/>
          <w:sz w:val="32"/>
          <w:szCs w:val="32"/>
          <w:lang w:eastAsia="zh-CN"/>
        </w:rPr>
      </w:pPr>
      <w:r>
        <w:rPr>
          <w:rFonts w:ascii="宋体" w:hAnsi="宋体"/>
          <w:b/>
          <w:bCs/>
          <w:sz w:val="32"/>
          <w:szCs w:val="32"/>
        </w:rPr>
        <w:t>（三）一般公共预算当年拨款具体使用情况</w:t>
      </w:r>
      <w:r>
        <w:rPr>
          <w:rFonts w:hint="eastAsia" w:ascii="宋体" w:hAnsi="宋体"/>
          <w:b/>
          <w:bCs/>
          <w:sz w:val="32"/>
          <w:szCs w:val="32"/>
          <w:lang w:eastAsia="zh-CN"/>
        </w:rPr>
        <w:t>（</w:t>
      </w:r>
      <w:r>
        <w:rPr>
          <w:rFonts w:hint="eastAsia" w:ascii="宋体" w:hAnsi="宋体"/>
          <w:b/>
          <w:bCs/>
          <w:sz w:val="32"/>
          <w:szCs w:val="32"/>
          <w:lang w:val="en-US" w:eastAsia="zh-CN"/>
        </w:rPr>
        <w:t>按照功能科目类、款、项逐项说明</w:t>
      </w:r>
      <w:r>
        <w:rPr>
          <w:rFonts w:hint="eastAsia" w:ascii="宋体" w:hAnsi="宋体"/>
          <w:b/>
          <w:bCs/>
          <w:sz w:val="32"/>
          <w:szCs w:val="32"/>
          <w:lang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 xml:space="preserve">1.一般公共服务（类）城乡社区管理事务,建设市场管理与监督（款）其他城乡社区管理事务支出,建设市场管理与监督（项）: 2024年预算数为102.42万元，主要用于：事业单位正常运转的基本支出，包括基本工资、津贴补贴等人员经费以及办公费、印刷费、水电费等日常公用经费和开展财政综合业务、预决算编审等未单独设置项级科目的专门性财政管理工作的项目支出。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2、社会保障和就业（类）行政事业单位养老支出,行政事业单位离退休,行政事业单位养老支出（款）机关事业单位职业年金缴费支出,其他行政事业单位养老支出,机关事业单位基本养老保险缴费支出（项）:.2024年预算数为22.15万元，主要用于实施养老保险制度后，部门按规定由单位缴纳的基本养老保险费支出，部门按规定由单位缴纳的职业年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3、卫生健康（类）行政事业单位医疗（款）事业单位医疗（项）:2024年预算数为4.55万元，主要用于：事业单位基本医疗保险缴费支出。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4、住房保障（类）住房改革支出（款）住房公积金（项）:2024年预算数为9.38万元，主要用于：部门按人力资源和社会保障部、财政部规定的基本工资和津贴补贴以及规定比例为职工缴纳的住房公积金支出。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line="360" w:lineRule="auto"/>
        <w:jc w:val="both"/>
        <w:textAlignment w:val="auto"/>
        <w:outlineLvl w:val="1"/>
        <w:rPr>
          <w:rFonts w:hint="eastAsia" w:ascii="宋体" w:hAnsi="宋体" w:eastAsia="黑体"/>
          <w:b/>
          <w:bCs/>
          <w:color w:val="333333"/>
        </w:rPr>
      </w:pPr>
      <w:bookmarkStart w:id="28" w:name="_Toc3363"/>
      <w:r>
        <w:rPr>
          <w:rFonts w:hint="eastAsia" w:ascii="宋体" w:hAnsi="宋体" w:eastAsia="黑体"/>
          <w:b/>
          <w:bCs/>
          <w:color w:val="333333"/>
        </w:rPr>
        <w:t>四、一般公共预算基本支出情况说明</w:t>
      </w:r>
      <w:bookmarkEnd w:id="2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五通桥区建设工程质量安全监督站2024年一般公共预算基本支出126.5万元，其中：</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人员经费118.1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公用经费8.4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line="360" w:lineRule="auto"/>
        <w:jc w:val="both"/>
        <w:textAlignment w:val="auto"/>
        <w:outlineLvl w:val="1"/>
        <w:rPr>
          <w:rFonts w:hint="eastAsia" w:ascii="宋体" w:hAnsi="宋体" w:eastAsia="黑体"/>
          <w:b/>
          <w:bCs/>
          <w:color w:val="333333"/>
          <w:sz w:val="32"/>
          <w:szCs w:val="32"/>
        </w:rPr>
      </w:pPr>
      <w:bookmarkStart w:id="29" w:name="_Toc29892"/>
      <w:r>
        <w:rPr>
          <w:rFonts w:hint="eastAsia" w:ascii="宋体" w:hAnsi="宋体" w:eastAsia="黑体"/>
          <w:b/>
          <w:bCs/>
          <w:color w:val="333333"/>
          <w:sz w:val="32"/>
          <w:szCs w:val="32"/>
        </w:rPr>
        <w:t>五、“三公”经费财政拨款预算安排情况说明</w:t>
      </w:r>
      <w:bookmarkEnd w:id="2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五通桥区建设工程质量安全监督站部门2024年“三公”经费财政拨款预算数0万元，其中：公务接待费0万元，公务用车购置0万元，公车运行维护费0万元。</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3" w:firstLineChars="200"/>
        <w:jc w:val="both"/>
        <w:textAlignment w:val="auto"/>
        <w:rPr>
          <w:rFonts w:ascii="宋体" w:hAnsi="宋体"/>
          <w:b/>
          <w:bCs/>
          <w:sz w:val="32"/>
          <w:szCs w:val="32"/>
        </w:rPr>
      </w:pPr>
      <w:r>
        <w:rPr>
          <w:rFonts w:ascii="宋体" w:hAnsi="宋体"/>
          <w:b/>
          <w:bCs/>
          <w:sz w:val="32"/>
          <w:szCs w:val="32"/>
        </w:rPr>
        <w:t>（一）</w:t>
      </w:r>
      <w:r>
        <w:rPr>
          <w:rFonts w:hint="eastAsia" w:ascii="宋体" w:hAnsi="宋体"/>
          <w:b/>
          <w:bCs/>
          <w:sz w:val="32"/>
          <w:szCs w:val="32"/>
          <w:lang w:val="en-US" w:eastAsia="zh-CN"/>
        </w:rPr>
        <w:t>公务接待费变化情况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b w:val="0"/>
          <w:bCs w:val="0"/>
          <w:sz w:val="32"/>
          <w:szCs w:val="32"/>
          <w:lang w:val="en-US" w:eastAsia="zh-CN"/>
        </w:rPr>
      </w:pPr>
      <w:r>
        <w:rPr>
          <w:rFonts w:hint="default" w:ascii="宋体" w:hAnsi="宋体"/>
          <w:b w:val="0"/>
          <w:bCs w:val="0"/>
          <w:sz w:val="32"/>
          <w:szCs w:val="32"/>
          <w:lang w:val="en-US" w:eastAsia="zh-CN"/>
        </w:rPr>
        <w:t>公务接待费较</w:t>
      </w:r>
      <w:r>
        <w:rPr>
          <w:rFonts w:hint="eastAsia" w:ascii="宋体" w:hAnsi="宋体"/>
          <w:b w:val="0"/>
          <w:bCs w:val="0"/>
          <w:sz w:val="32"/>
          <w:szCs w:val="32"/>
          <w:lang w:val="en-US" w:eastAsia="zh-CN"/>
        </w:rPr>
        <w:t>2023</w:t>
      </w:r>
      <w:r>
        <w:rPr>
          <w:rFonts w:hint="default" w:ascii="宋体" w:hAnsi="宋体"/>
          <w:b w:val="0"/>
          <w:bCs w:val="0"/>
          <w:sz w:val="32"/>
          <w:szCs w:val="32"/>
          <w:lang w:val="en-US" w:eastAsia="zh-CN"/>
        </w:rPr>
        <w:t>年预算</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万元减少</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万元。</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3" w:firstLineChars="200"/>
        <w:jc w:val="both"/>
        <w:textAlignment w:val="auto"/>
        <w:rPr>
          <w:rFonts w:ascii="宋体" w:hAnsi="宋体"/>
          <w:b/>
          <w:bCs/>
          <w:sz w:val="32"/>
          <w:szCs w:val="32"/>
        </w:rPr>
      </w:pPr>
      <w:r>
        <w:rPr>
          <w:rFonts w:ascii="宋体" w:hAnsi="宋体"/>
          <w:b/>
          <w:bCs/>
          <w:sz w:val="32"/>
          <w:szCs w:val="32"/>
        </w:rPr>
        <w:t>（</w:t>
      </w:r>
      <w:r>
        <w:rPr>
          <w:rFonts w:hint="eastAsia" w:ascii="宋体" w:hAnsi="宋体"/>
          <w:b/>
          <w:bCs/>
          <w:sz w:val="32"/>
          <w:szCs w:val="32"/>
          <w:lang w:val="en-US" w:eastAsia="zh-CN"/>
        </w:rPr>
        <w:t>二</w:t>
      </w:r>
      <w:r>
        <w:rPr>
          <w:rFonts w:ascii="宋体" w:hAnsi="宋体"/>
          <w:b/>
          <w:bCs/>
          <w:sz w:val="32"/>
          <w:szCs w:val="32"/>
        </w:rPr>
        <w:t>）</w:t>
      </w:r>
      <w:r>
        <w:rPr>
          <w:rFonts w:hint="eastAsia" w:ascii="宋体" w:hAnsi="宋体"/>
          <w:b/>
          <w:bCs/>
          <w:sz w:val="32"/>
          <w:szCs w:val="32"/>
          <w:lang w:val="en-US" w:eastAsia="zh-CN"/>
        </w:rPr>
        <w:t>公务用车购置及运行维护费变化情况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b w:val="0"/>
          <w:bCs w:val="0"/>
          <w:sz w:val="32"/>
          <w:szCs w:val="32"/>
          <w:lang w:val="en-US" w:eastAsia="zh-CN"/>
        </w:rPr>
      </w:pPr>
      <w:r>
        <w:rPr>
          <w:rFonts w:hint="default" w:ascii="宋体" w:hAnsi="宋体"/>
          <w:b w:val="0"/>
          <w:bCs w:val="0"/>
          <w:sz w:val="32"/>
          <w:szCs w:val="32"/>
          <w:lang w:val="en-US" w:eastAsia="zh-CN"/>
        </w:rPr>
        <w:t>公务用车购置及运行维护费较</w:t>
      </w:r>
      <w:r>
        <w:rPr>
          <w:rFonts w:hint="eastAsia" w:ascii="宋体" w:hAnsi="宋体"/>
          <w:b w:val="0"/>
          <w:bCs w:val="0"/>
          <w:sz w:val="32"/>
          <w:szCs w:val="32"/>
          <w:lang w:val="en-US" w:eastAsia="zh-CN"/>
        </w:rPr>
        <w:t>2023</w:t>
      </w:r>
      <w:r>
        <w:rPr>
          <w:rFonts w:hint="default" w:ascii="宋体" w:hAnsi="宋体"/>
          <w:b w:val="0"/>
          <w:bCs w:val="0"/>
          <w:sz w:val="32"/>
          <w:szCs w:val="32"/>
          <w:lang w:val="en-US" w:eastAsia="zh-CN"/>
        </w:rPr>
        <w:t>预算</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万元预算减少</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万元。单位实有公务用车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辆，其中：轿车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辆，多功能乘用车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2024</w:t>
      </w:r>
      <w:r>
        <w:rPr>
          <w:rFonts w:hint="default" w:ascii="宋体" w:hAnsi="宋体"/>
          <w:b w:val="0"/>
          <w:bCs w:val="0"/>
          <w:sz w:val="32"/>
          <w:szCs w:val="32"/>
          <w:lang w:val="en-US" w:eastAsia="zh-CN"/>
        </w:rPr>
        <w:t>年安排公务用车购置费</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万元，拟购置公务用车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辆，其中：轿车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辆，旅行车（含商务车）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辆，越野车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辆，大型客、货车</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2024</w:t>
      </w:r>
      <w:r>
        <w:rPr>
          <w:rFonts w:hint="default" w:ascii="宋体" w:hAnsi="宋体"/>
          <w:b w:val="0"/>
          <w:bCs w:val="0"/>
          <w:sz w:val="32"/>
          <w:szCs w:val="32"/>
          <w:lang w:val="en-US" w:eastAsia="zh-CN"/>
        </w:rPr>
        <w:t>年安排公务用车运行维护费</w:t>
      </w:r>
      <w:r>
        <w:rPr>
          <w:rFonts w:hint="eastAsia" w:ascii="宋体" w:hAnsi="宋体"/>
          <w:b w:val="0"/>
          <w:bCs w:val="0"/>
          <w:sz w:val="32"/>
          <w:szCs w:val="32"/>
          <w:lang w:val="en-US" w:eastAsia="zh-CN"/>
        </w:rPr>
        <w:t>0</w:t>
      </w:r>
      <w:r>
        <w:rPr>
          <w:rFonts w:hint="default" w:ascii="宋体" w:hAnsi="宋体"/>
          <w:b w:val="0"/>
          <w:bCs w:val="0"/>
          <w:sz w:val="32"/>
          <w:szCs w:val="32"/>
          <w:lang w:val="en-US" w:eastAsia="zh-CN"/>
        </w:rPr>
        <w:t>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right="-136" w:rightChars="-62"/>
        <w:jc w:val="both"/>
        <w:textAlignment w:val="auto"/>
        <w:outlineLvl w:val="1"/>
        <w:rPr>
          <w:rFonts w:hint="eastAsia" w:ascii="宋体" w:hAnsi="宋体" w:eastAsia="黑体"/>
          <w:b/>
          <w:bCs/>
          <w:color w:val="333333"/>
        </w:rPr>
      </w:pPr>
      <w:bookmarkStart w:id="30" w:name="_Toc3811"/>
      <w:r>
        <w:rPr>
          <w:rFonts w:hint="eastAsia" w:ascii="宋体" w:hAnsi="宋体" w:eastAsia="黑体"/>
          <w:b/>
          <w:bCs/>
          <w:color w:val="333333"/>
        </w:rPr>
        <w:t>六、政府性基金预算支出情况说明</w:t>
      </w:r>
      <w:bookmarkEnd w:id="3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五通桥区建设工程质量安全监督站2024</w:t>
      </w:r>
      <w:r>
        <w:rPr>
          <w:rFonts w:hint="default" w:ascii="宋体" w:hAnsi="宋体"/>
          <w:b w:val="0"/>
          <w:bCs w:val="0"/>
          <w:sz w:val="32"/>
          <w:szCs w:val="32"/>
          <w:lang w:val="en-US" w:eastAsia="zh-CN"/>
        </w:rPr>
        <w:t>年政府性基金预算拨款安排支出</w:t>
      </w:r>
      <w:r>
        <w:rPr>
          <w:rFonts w:hint="eastAsia" w:ascii="宋体" w:hAnsi="宋体"/>
          <w:b w:val="0"/>
          <w:bCs w:val="0"/>
          <w:sz w:val="32"/>
          <w:szCs w:val="32"/>
          <w:lang w:val="en-US" w:eastAsia="zh-CN"/>
        </w:rPr>
        <w:t>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jc w:val="both"/>
        <w:textAlignment w:val="auto"/>
        <w:outlineLvl w:val="1"/>
        <w:rPr>
          <w:rFonts w:hint="eastAsia" w:ascii="宋体" w:hAnsi="宋体" w:eastAsia="黑体"/>
          <w:b/>
          <w:bCs/>
          <w:color w:val="333333"/>
        </w:rPr>
      </w:pPr>
      <w:bookmarkStart w:id="31" w:name="_Toc27891"/>
      <w:r>
        <w:rPr>
          <w:rFonts w:hint="eastAsia" w:ascii="宋体" w:hAnsi="宋体" w:eastAsia="黑体"/>
          <w:b/>
          <w:bCs/>
          <w:color w:val="333333"/>
          <w:lang w:val="en-US" w:eastAsia="zh-CN"/>
        </w:rPr>
        <w:t>七、</w:t>
      </w:r>
      <w:r>
        <w:rPr>
          <w:rFonts w:hint="eastAsia" w:ascii="宋体" w:hAnsi="宋体" w:eastAsia="黑体"/>
          <w:b/>
          <w:bCs/>
          <w:color w:val="333333"/>
        </w:rPr>
        <w:t>国有资本经营预算情况说明</w:t>
      </w:r>
      <w:bookmarkEnd w:id="31"/>
    </w:p>
    <w:p>
      <w:pPr>
        <w:pStyle w:val="13"/>
        <w:keepNext w:val="0"/>
        <w:keepLines w:val="0"/>
        <w:pageBreakBefore w:val="0"/>
        <w:widowControl w:val="0"/>
        <w:numPr>
          <w:ilvl w:val="0"/>
          <w:numId w:val="0"/>
        </w:numPr>
        <w:tabs>
          <w:tab w:val="left" w:pos="1784"/>
          <w:tab w:val="left" w:pos="8140"/>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五通桥区建设工程质量安全监督站2024年国有资本经营预算拨款安排支出0万元,较上年预算数持平。</w:t>
      </w:r>
    </w:p>
    <w:p>
      <w:pPr>
        <w:pStyle w:val="4"/>
        <w:keepNext w:val="0"/>
        <w:keepLines w:val="0"/>
        <w:pageBreakBefore w:val="0"/>
        <w:widowControl w:val="0"/>
        <w:tabs>
          <w:tab w:val="left" w:pos="8140"/>
        </w:tabs>
        <w:kinsoku/>
        <w:wordWrap/>
        <w:overflowPunct/>
        <w:topLinePunct w:val="0"/>
        <w:autoSpaceDE w:val="0"/>
        <w:autoSpaceDN w:val="0"/>
        <w:bidi w:val="0"/>
        <w:adjustRightInd/>
        <w:snapToGrid/>
        <w:spacing w:before="300" w:after="0" w:afterLines="50"/>
        <w:ind w:right="-136" w:rightChars="-62"/>
        <w:jc w:val="both"/>
        <w:textAlignment w:val="auto"/>
        <w:outlineLvl w:val="1"/>
        <w:rPr>
          <w:rFonts w:hint="eastAsia" w:ascii="宋体" w:hAnsi="宋体" w:eastAsia="黑体"/>
          <w:b/>
          <w:bCs/>
          <w:color w:val="333333"/>
          <w:lang w:val="en-US" w:eastAsia="zh-CN"/>
        </w:rPr>
      </w:pPr>
      <w:bookmarkStart w:id="32" w:name="_Toc12077"/>
      <w:r>
        <w:rPr>
          <w:rFonts w:hint="eastAsia" w:ascii="宋体" w:hAnsi="宋体" w:eastAsia="黑体"/>
          <w:b/>
          <w:bCs/>
          <w:color w:val="333333"/>
          <w:lang w:val="en-US" w:eastAsia="zh-CN"/>
        </w:rPr>
        <w:t>八、其他重要事项的情况说明</w:t>
      </w:r>
      <w:bookmarkEnd w:id="32"/>
    </w:p>
    <w:p>
      <w:pPr>
        <w:pStyle w:val="3"/>
        <w:keepNext w:val="0"/>
        <w:keepLines w:val="0"/>
        <w:pageBreakBefore w:val="0"/>
        <w:widowControl w:val="0"/>
        <w:tabs>
          <w:tab w:val="left" w:pos="8140"/>
        </w:tabs>
        <w:kinsoku/>
        <w:wordWrap/>
        <w:overflowPunct/>
        <w:topLinePunct w:val="0"/>
        <w:autoSpaceDE w:val="0"/>
        <w:autoSpaceDN w:val="0"/>
        <w:bidi w:val="0"/>
        <w:adjustRightInd/>
        <w:snapToGrid/>
        <w:spacing w:before="100" w:after="0" w:afterLines="50"/>
        <w:ind w:left="0" w:leftChars="0" w:right="-136" w:rightChars="-62" w:firstLine="643" w:firstLineChars="200"/>
        <w:textAlignment w:val="auto"/>
        <w:rPr>
          <w:rFonts w:ascii="宋体" w:hAnsi="宋体"/>
        </w:rPr>
      </w:pPr>
      <w:r>
        <w:rPr>
          <w:rFonts w:ascii="宋体" w:hAnsi="宋体"/>
        </w:rPr>
        <w:t>（</w:t>
      </w:r>
      <w:r>
        <w:rPr>
          <w:rFonts w:hint="eastAsia" w:ascii="宋体" w:hAnsi="宋体"/>
          <w:lang w:val="en-US" w:eastAsia="zh-CN"/>
        </w:rPr>
        <w:t>一</w:t>
      </w:r>
      <w:r>
        <w:rPr>
          <w:rFonts w:ascii="宋体" w:hAnsi="宋体"/>
        </w:rPr>
        <w:t>）政府采购情况</w:t>
      </w:r>
    </w:p>
    <w:p>
      <w:pPr>
        <w:pStyle w:val="13"/>
        <w:keepNext w:val="0"/>
        <w:keepLines w:val="0"/>
        <w:pageBreakBefore w:val="0"/>
        <w:widowControl w:val="0"/>
        <w:numPr>
          <w:ilvl w:val="0"/>
          <w:numId w:val="0"/>
        </w:numPr>
        <w:tabs>
          <w:tab w:val="left" w:pos="1784"/>
          <w:tab w:val="left" w:pos="8140"/>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2024年，五通桥区建设工程质量安全监督站政府采购项目0万元。其中，政府采购货物预算0万元；政府采购工程预算0万元；政府采购服务预算0万元。</w:t>
      </w:r>
    </w:p>
    <w:p>
      <w:pPr>
        <w:pStyle w:val="3"/>
        <w:keepNext w:val="0"/>
        <w:keepLines w:val="0"/>
        <w:pageBreakBefore w:val="0"/>
        <w:widowControl w:val="0"/>
        <w:tabs>
          <w:tab w:val="left" w:pos="8140"/>
        </w:tabs>
        <w:kinsoku/>
        <w:wordWrap/>
        <w:overflowPunct/>
        <w:topLinePunct w:val="0"/>
        <w:autoSpaceDE w:val="0"/>
        <w:autoSpaceDN w:val="0"/>
        <w:bidi w:val="0"/>
        <w:adjustRightInd/>
        <w:snapToGrid/>
        <w:spacing w:before="100" w:after="0" w:afterLines="50"/>
        <w:ind w:left="0" w:leftChars="0" w:right="-136" w:rightChars="-62" w:firstLine="643" w:firstLineChars="200"/>
        <w:textAlignment w:val="auto"/>
        <w:rPr>
          <w:rFonts w:ascii="宋体" w:hAnsi="宋体"/>
        </w:rPr>
      </w:pPr>
      <w:r>
        <w:rPr>
          <w:rFonts w:ascii="宋体" w:hAnsi="宋体"/>
        </w:rPr>
        <w:t>（三）国有资产占有使用情况</w:t>
      </w:r>
    </w:p>
    <w:p>
      <w:pPr>
        <w:pStyle w:val="13"/>
        <w:keepNext w:val="0"/>
        <w:keepLines w:val="0"/>
        <w:pageBreakBefore w:val="0"/>
        <w:widowControl w:val="0"/>
        <w:numPr>
          <w:ilvl w:val="0"/>
          <w:numId w:val="0"/>
        </w:numPr>
        <w:tabs>
          <w:tab w:val="left" w:pos="1784"/>
          <w:tab w:val="left" w:pos="8140"/>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eastAsia" w:ascii="宋体" w:hAnsi="宋体"/>
          <w:b w:val="0"/>
          <w:bCs w:val="0"/>
          <w:sz w:val="32"/>
          <w:szCs w:val="32"/>
          <w:lang w:val="en-US" w:eastAsia="zh-CN"/>
        </w:rPr>
      </w:pPr>
      <w:r>
        <w:rPr>
          <w:rFonts w:hint="eastAsia" w:ascii="宋体" w:hAnsi="宋体"/>
          <w:b w:val="0"/>
          <w:bCs w:val="0"/>
          <w:sz w:val="32"/>
          <w:szCs w:val="32"/>
          <w:lang w:val="en-US" w:eastAsia="zh-CN"/>
        </w:rPr>
        <w:t>截至2024年底，五通桥区建设工程质量安全监督站共有车辆0辆。单位价值100万元以上大型设备0套。</w:t>
      </w:r>
    </w:p>
    <w:p>
      <w:pPr>
        <w:pStyle w:val="13"/>
        <w:keepNext w:val="0"/>
        <w:keepLines w:val="0"/>
        <w:pageBreakBefore w:val="0"/>
        <w:widowControl w:val="0"/>
        <w:numPr>
          <w:ilvl w:val="0"/>
          <w:numId w:val="0"/>
        </w:numPr>
        <w:tabs>
          <w:tab w:val="left" w:pos="1784"/>
          <w:tab w:val="left" w:pos="8140"/>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hint="default" w:ascii="宋体" w:hAnsi="宋体"/>
          <w:b w:val="0"/>
          <w:bCs w:val="0"/>
          <w:sz w:val="32"/>
          <w:szCs w:val="32"/>
          <w:lang w:val="en-US" w:eastAsia="zh-CN"/>
        </w:rPr>
      </w:pPr>
      <w:r>
        <w:rPr>
          <w:rFonts w:hint="eastAsia" w:ascii="宋体" w:hAnsi="宋体"/>
          <w:b w:val="0"/>
          <w:bCs w:val="0"/>
          <w:sz w:val="32"/>
          <w:szCs w:val="32"/>
          <w:lang w:val="en-US" w:eastAsia="zh-CN"/>
        </w:rPr>
        <w:t>2024年部门预算未安排购置车辆及单位价值100万元以上大型设备。</w:t>
      </w:r>
    </w:p>
    <w:p>
      <w:pPr>
        <w:pStyle w:val="3"/>
        <w:keepNext w:val="0"/>
        <w:keepLines w:val="0"/>
        <w:pageBreakBefore w:val="0"/>
        <w:widowControl w:val="0"/>
        <w:tabs>
          <w:tab w:val="left" w:pos="8140"/>
        </w:tabs>
        <w:kinsoku/>
        <w:wordWrap/>
        <w:overflowPunct/>
        <w:topLinePunct w:val="0"/>
        <w:autoSpaceDE w:val="0"/>
        <w:autoSpaceDN w:val="0"/>
        <w:bidi w:val="0"/>
        <w:adjustRightInd/>
        <w:snapToGrid/>
        <w:spacing w:before="100" w:after="0" w:afterLines="50"/>
        <w:ind w:left="0" w:leftChars="0" w:right="-136" w:rightChars="-62" w:firstLine="643" w:firstLineChars="200"/>
        <w:textAlignment w:val="auto"/>
        <w:rPr>
          <w:rFonts w:ascii="宋体" w:hAnsi="宋体"/>
        </w:rPr>
      </w:pP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p>
    <w:p>
      <w:pPr>
        <w:pStyle w:val="13"/>
        <w:keepNext w:val="0"/>
        <w:keepLines w:val="0"/>
        <w:pageBreakBefore w:val="0"/>
        <w:widowControl w:val="0"/>
        <w:numPr>
          <w:ilvl w:val="0"/>
          <w:numId w:val="0"/>
        </w:numPr>
        <w:tabs>
          <w:tab w:val="left" w:pos="1784"/>
          <w:tab w:val="left" w:pos="8140"/>
        </w:tabs>
        <w:kinsoku/>
        <w:wordWrap/>
        <w:overflowPunct/>
        <w:topLinePunct w:val="0"/>
        <w:autoSpaceDE w:val="0"/>
        <w:autoSpaceDN w:val="0"/>
        <w:bidi w:val="0"/>
        <w:adjustRightInd/>
        <w:snapToGrid/>
        <w:spacing w:before="0" w:beforeLines="100" w:after="0" w:afterLines="50" w:line="360" w:lineRule="auto"/>
        <w:ind w:right="-136" w:rightChars="-62" w:firstLine="640" w:firstLineChars="200"/>
        <w:jc w:val="both"/>
        <w:textAlignment w:val="auto"/>
        <w:rPr>
          <w:rFonts w:ascii="宋体" w:hAnsi="宋体"/>
          <w:spacing w:val="6"/>
        </w:rPr>
        <w:sectPr>
          <w:headerReference r:id="rId7" w:type="default"/>
          <w:footerReference r:id="rId8" w:type="default"/>
          <w:pgSz w:w="11910" w:h="16840"/>
          <w:pgMar w:top="1440" w:right="1400" w:bottom="1440" w:left="1400" w:header="850" w:footer="850" w:gutter="0"/>
          <w:pgNumType w:fmt="decimal"/>
          <w:cols w:space="0" w:num="1"/>
          <w:rtlGutter w:val="0"/>
          <w:docGrid w:linePitch="0" w:charSpace="0"/>
        </w:sectPr>
      </w:pPr>
      <w:r>
        <w:rPr>
          <w:rFonts w:hint="eastAsia"/>
          <w:sz w:val="32"/>
          <w:szCs w:val="32"/>
        </w:rPr>
        <w:t>202</w:t>
      </w:r>
      <w:r>
        <w:rPr>
          <w:rFonts w:hint="eastAsia"/>
          <w:sz w:val="32"/>
          <w:szCs w:val="32"/>
          <w:lang w:val="en-US" w:eastAsia="zh-CN"/>
        </w:rPr>
        <w:t>4</w:t>
      </w:r>
      <w:r>
        <w:rPr>
          <w:rFonts w:hint="eastAsia"/>
          <w:sz w:val="32"/>
          <w:szCs w:val="32"/>
        </w:rPr>
        <w:t>年，</w:t>
      </w:r>
      <w:r>
        <w:rPr>
          <w:rFonts w:hint="eastAsia"/>
          <w:sz w:val="32"/>
          <w:szCs w:val="32"/>
          <w:lang w:val="en-US" w:eastAsia="zh-CN"/>
        </w:rPr>
        <w:t>质安站</w:t>
      </w:r>
      <w:r>
        <w:rPr>
          <w:rFonts w:hint="eastAsia"/>
          <w:sz w:val="32"/>
          <w:szCs w:val="32"/>
        </w:rPr>
        <w:t>按要求实行绩效目标管理，部门整体绩效目标涉及预算安排</w:t>
      </w:r>
      <w:r>
        <w:rPr>
          <w:rFonts w:hint="eastAsia"/>
          <w:sz w:val="32"/>
          <w:szCs w:val="32"/>
          <w:lang w:val="en-US" w:eastAsia="zh-CN"/>
        </w:rPr>
        <w:t>138.5</w:t>
      </w:r>
      <w:r>
        <w:rPr>
          <w:rFonts w:hint="eastAsia"/>
          <w:sz w:val="32"/>
          <w:szCs w:val="32"/>
        </w:rPr>
        <w:t>万元，其中编制了</w:t>
      </w:r>
      <w:r>
        <w:rPr>
          <w:rFonts w:hint="eastAsia" w:ascii="宋体" w:hAnsi="宋体"/>
          <w:sz w:val="32"/>
          <w:lang w:val="en-US" w:eastAsia="zh-CN"/>
        </w:rPr>
        <w:t>特定目标类</w:t>
      </w:r>
      <w:r>
        <w:rPr>
          <w:rFonts w:hint="eastAsia"/>
          <w:sz w:val="32"/>
          <w:szCs w:val="32"/>
        </w:rPr>
        <w:t>项目</w:t>
      </w:r>
      <w:r>
        <w:rPr>
          <w:rFonts w:hint="eastAsia"/>
          <w:sz w:val="32"/>
          <w:szCs w:val="32"/>
          <w:lang w:val="en-US" w:eastAsia="zh-CN"/>
        </w:rPr>
        <w:t>2个，</w:t>
      </w:r>
      <w:r>
        <w:rPr>
          <w:rFonts w:hint="eastAsia" w:ascii="宋体" w:hAnsi="宋体"/>
          <w:sz w:val="32"/>
          <w:lang w:val="en-US" w:eastAsia="zh-CN"/>
        </w:rPr>
        <w:t>涉及</w:t>
      </w:r>
      <w:r>
        <w:rPr>
          <w:rFonts w:hint="eastAsia"/>
          <w:sz w:val="32"/>
          <w:szCs w:val="32"/>
        </w:rPr>
        <w:t>预算</w:t>
      </w:r>
      <w:r>
        <w:rPr>
          <w:rFonts w:hint="eastAsia"/>
          <w:sz w:val="32"/>
          <w:szCs w:val="32"/>
          <w:lang w:val="en-US" w:eastAsia="zh-CN"/>
        </w:rPr>
        <w:t>12</w:t>
      </w:r>
      <w:r>
        <w:rPr>
          <w:rFonts w:hint="eastAsia"/>
          <w:sz w:val="32"/>
          <w:szCs w:val="32"/>
        </w:rPr>
        <w:t>万元</w:t>
      </w:r>
      <w:r>
        <w:rPr>
          <w:rFonts w:hint="eastAsia"/>
          <w:sz w:val="32"/>
          <w:szCs w:val="32"/>
          <w:lang w:eastAsia="zh-CN"/>
        </w:rPr>
        <w:t>。</w:t>
      </w: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0"/>
        </w:numPr>
        <w:ind w:right="0" w:rightChars="0"/>
        <w:jc w:val="center"/>
        <w:outlineLvl w:val="0"/>
        <w:rPr>
          <w:rFonts w:hint="eastAsia" w:ascii="方正小标宋简体" w:hAnsi="方正小标宋简体" w:eastAsia="方正小标宋简体" w:cs="方正小标宋简体"/>
          <w:b/>
          <w:bCs/>
          <w:sz w:val="48"/>
          <w:szCs w:val="48"/>
          <w:lang w:val="en-US" w:eastAsia="zh-CN"/>
        </w:rPr>
      </w:pPr>
      <w:bookmarkStart w:id="33" w:name="_Toc28207"/>
      <w:r>
        <w:rPr>
          <w:rFonts w:hint="eastAsia" w:ascii="方正小标宋简体" w:hAnsi="方正小标宋简体" w:eastAsia="方正小标宋简体" w:cs="方正小标宋简体"/>
          <w:b/>
          <w:bCs/>
          <w:sz w:val="48"/>
          <w:szCs w:val="48"/>
          <w:lang w:val="en-US" w:eastAsia="zh-CN"/>
        </w:rPr>
        <w:t>第四部分  名词解释</w:t>
      </w:r>
      <w:bookmarkEnd w:id="33"/>
    </w:p>
    <w:p>
      <w:pPr>
        <w:pStyle w:val="4"/>
        <w:numPr>
          <w:ilvl w:val="0"/>
          <w:numId w:val="1"/>
        </w:numPr>
        <w:jc w:val="center"/>
        <w:outlineLvl w:val="0"/>
        <w:rPr>
          <w:rFonts w:hint="eastAsia" w:ascii="方正小标宋简体" w:hAnsi="方正小标宋简体" w:eastAsia="方正小标宋简体" w:cs="方正小标宋简体"/>
          <w:b/>
          <w:bCs/>
          <w:sz w:val="48"/>
          <w:szCs w:val="48"/>
          <w:lang w:val="en-US" w:eastAsia="zh-CN"/>
        </w:rPr>
        <w:sectPr>
          <w:headerReference r:id="rId9" w:type="default"/>
          <w:footerReference r:id="rId10" w:type="default"/>
          <w:pgSz w:w="11910" w:h="16840"/>
          <w:pgMar w:top="1440" w:right="1514" w:bottom="1440" w:left="1514" w:header="850" w:footer="850" w:gutter="0"/>
          <w:pgNumType w:fmt="decimal"/>
          <w:cols w:space="0" w:num="1"/>
          <w:rtlGutter w:val="0"/>
          <w:docGrid w:linePitch="0" w:charSpace="0"/>
        </w:sectPr>
      </w:pP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0" w:leftChars="0" w:right="-136" w:rightChars="-62" w:firstLine="697" w:firstLineChars="218"/>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0" w:leftChars="0" w:right="-136" w:rightChars="-62" w:firstLine="697" w:firstLineChars="218"/>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0" w:leftChars="0" w:right="-136" w:rightChars="-62" w:firstLine="697" w:firstLineChars="218"/>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0" w:leftChars="0" w:right="-136" w:rightChars="-62" w:firstLine="697" w:firstLineChars="218"/>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0" w:leftChars="0" w:right="-136" w:rightChars="-62" w:firstLine="697" w:firstLineChars="218"/>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136" w:rightChars="-62"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1" w:type="default"/>
      <w:footerReference r:id="rId12" w:type="default"/>
      <w:pgSz w:w="11910" w:h="16840"/>
      <w:pgMar w:top="1440" w:right="1400" w:bottom="1440" w:left="1400" w:header="850" w:footer="850"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7E4DA"/>
    <w:multiLevelType w:val="singleLevel"/>
    <w:tmpl w:val="3C57E4DA"/>
    <w:lvl w:ilvl="0" w:tentative="0">
      <w:start w:val="1"/>
      <w:numFmt w:val="chineseCounting"/>
      <w:suff w:val="space"/>
      <w:lvlText w:val="第%1部分"/>
      <w:lvlJc w:val="left"/>
      <w:rPr>
        <w:rFonts w:hint="eastAsia"/>
        <w:sz w:val="44"/>
        <w:szCs w:val="4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4F41"/>
    <w:rsid w:val="014347D5"/>
    <w:rsid w:val="02ED1707"/>
    <w:rsid w:val="07083F02"/>
    <w:rsid w:val="0E9A7AEE"/>
    <w:rsid w:val="10342D08"/>
    <w:rsid w:val="10A623B3"/>
    <w:rsid w:val="13CB5FFB"/>
    <w:rsid w:val="1463212E"/>
    <w:rsid w:val="169B7FCD"/>
    <w:rsid w:val="17F76BFD"/>
    <w:rsid w:val="1C3B5BE6"/>
    <w:rsid w:val="1C4565B4"/>
    <w:rsid w:val="1D173C90"/>
    <w:rsid w:val="1D28090B"/>
    <w:rsid w:val="1E9115A9"/>
    <w:rsid w:val="1F501E21"/>
    <w:rsid w:val="20D9567F"/>
    <w:rsid w:val="21211D8E"/>
    <w:rsid w:val="23E07F60"/>
    <w:rsid w:val="241156AE"/>
    <w:rsid w:val="247F2477"/>
    <w:rsid w:val="27470A2F"/>
    <w:rsid w:val="2BD66371"/>
    <w:rsid w:val="2BE87042"/>
    <w:rsid w:val="2D1F191B"/>
    <w:rsid w:val="2EAA5ECF"/>
    <w:rsid w:val="2FD439AC"/>
    <w:rsid w:val="3170631D"/>
    <w:rsid w:val="339035A3"/>
    <w:rsid w:val="34951D1B"/>
    <w:rsid w:val="35CB1AE4"/>
    <w:rsid w:val="37435AB2"/>
    <w:rsid w:val="383C348A"/>
    <w:rsid w:val="3BEE72DE"/>
    <w:rsid w:val="3DFD6839"/>
    <w:rsid w:val="3ED4621B"/>
    <w:rsid w:val="41701248"/>
    <w:rsid w:val="421A3AB4"/>
    <w:rsid w:val="450D039E"/>
    <w:rsid w:val="45963284"/>
    <w:rsid w:val="47923240"/>
    <w:rsid w:val="485F60B9"/>
    <w:rsid w:val="4D3C563B"/>
    <w:rsid w:val="4D754068"/>
    <w:rsid w:val="4E2E3808"/>
    <w:rsid w:val="532F608D"/>
    <w:rsid w:val="54422713"/>
    <w:rsid w:val="54C30EEA"/>
    <w:rsid w:val="54E3768C"/>
    <w:rsid w:val="5543046B"/>
    <w:rsid w:val="57F3623E"/>
    <w:rsid w:val="58EE6347"/>
    <w:rsid w:val="595E3E2E"/>
    <w:rsid w:val="5AE90F4A"/>
    <w:rsid w:val="5B235354"/>
    <w:rsid w:val="5B65451D"/>
    <w:rsid w:val="5B845B89"/>
    <w:rsid w:val="5C4F69D4"/>
    <w:rsid w:val="5C5370ED"/>
    <w:rsid w:val="63401438"/>
    <w:rsid w:val="63A7331C"/>
    <w:rsid w:val="641A2A6C"/>
    <w:rsid w:val="65403A87"/>
    <w:rsid w:val="669849C7"/>
    <w:rsid w:val="67B31F4C"/>
    <w:rsid w:val="6A5A54DC"/>
    <w:rsid w:val="6B4B4EFE"/>
    <w:rsid w:val="6C3426BC"/>
    <w:rsid w:val="6C782D71"/>
    <w:rsid w:val="6D5504A1"/>
    <w:rsid w:val="6FDB2B06"/>
    <w:rsid w:val="7072596A"/>
    <w:rsid w:val="708C7A38"/>
    <w:rsid w:val="7209340F"/>
    <w:rsid w:val="7347184B"/>
    <w:rsid w:val="76A30804"/>
    <w:rsid w:val="7BED1D90"/>
    <w:rsid w:val="7BFB1BE4"/>
    <w:rsid w:val="7EAC1E57"/>
    <w:rsid w:val="7ED11E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uiPriority w:val="0"/>
  </w:style>
  <w:style w:type="paragraph" w:styleId="9">
    <w:name w:val="toc 2"/>
    <w:basedOn w:val="1"/>
    <w:next w:val="1"/>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 w:type="paragraph" w:customStyle="1" w:styleId="18">
    <w:name w:val="〖A08〗公文标题"/>
    <w:basedOn w:val="1"/>
    <w:next w:val="1"/>
    <w:qFormat/>
    <w:uiPriority w:val="0"/>
    <w:pPr>
      <w:topLinePunct/>
      <w:spacing w:line="600" w:lineRule="exact"/>
      <w:jc w:val="center"/>
    </w:pPr>
    <w:rPr>
      <w:rFonts w:ascii="方正小标宋简体" w:hAnsi="Calibri" w:eastAsia="方正小标宋简体"/>
      <w:sz w:val="44"/>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ScaleCrop>false</ScaleCrop>
  <LinksUpToDate>false</LinksUpToDate>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dcterms:modified xsi:type="dcterms:W3CDTF">2024-03-07T07:28:51Z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2052-11.8.6.9023</vt:lpwstr>
  </property>
  <property fmtid="{D5CDD505-2E9C-101B-9397-08002B2CF9AE}" pid="6" name="ICV">
    <vt:lpwstr>19A6489293D14499A2E447A850DEABA6</vt:lpwstr>
  </property>
</Properties>
</file>