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eastAsia" w:ascii="宋体" w:hAnsi="宋体" w:eastAsia="方正小标宋简体" w:cs="方正小标宋简体"/>
          <w:b w:val="0"/>
          <w:bCs w:val="0"/>
          <w:sz w:val="52"/>
          <w:szCs w:val="52"/>
          <w:shd w:val="clear" w:color="auto" w:fill="auto"/>
          <w:lang w:val="en-US" w:eastAsia="zh-CN"/>
        </w:rPr>
      </w:pPr>
      <w:r>
        <w:rPr>
          <w:rFonts w:hint="eastAsia" w:ascii="宋体" w:hAnsi="宋体" w:eastAsia="方正小标宋简体" w:cs="方正小标宋简体"/>
          <w:b w:val="0"/>
          <w:bCs w:val="0"/>
          <w:sz w:val="52"/>
          <w:szCs w:val="52"/>
          <w:shd w:val="clear" w:color="auto" w:fill="auto"/>
          <w:lang w:val="en-US" w:eastAsia="zh-CN"/>
        </w:rPr>
        <w:t>乐山市五通桥区住房和城乡建设局</w:t>
      </w:r>
    </w:p>
    <w:p>
      <w:pPr>
        <w:pStyle w:val="5"/>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default" w:ascii="宋体" w:hAnsi="宋体" w:eastAsia="方正小标宋简体" w:cs="方正小标宋简体"/>
          <w:b w:val="0"/>
          <w:bCs w:val="0"/>
          <w:sz w:val="52"/>
          <w:szCs w:val="52"/>
          <w:shd w:val="clear" w:color="auto" w:fill="auto"/>
          <w:lang w:val="en-US" w:eastAsia="zh-CN"/>
        </w:rPr>
      </w:pPr>
      <w:r>
        <w:rPr>
          <w:rFonts w:hint="eastAsia" w:ascii="宋体" w:hAnsi="宋体" w:eastAsia="方正小标宋简体" w:cs="方正小标宋简体"/>
          <w:b w:val="0"/>
          <w:bCs w:val="0"/>
          <w:sz w:val="52"/>
          <w:szCs w:val="52"/>
          <w:shd w:val="clear" w:color="auto" w:fill="auto"/>
          <w:lang w:val="en-US" w:eastAsia="zh-CN"/>
        </w:rPr>
        <w:t>2024年部门预算编制说明</w:t>
      </w:r>
    </w:p>
    <w:p>
      <w:pPr>
        <w:pStyle w:val="5"/>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eastAsia" w:ascii="宋体" w:hAnsi="宋体" w:eastAsia="方正小标宋简体" w:cs="方正小标宋简体"/>
          <w:b w:val="0"/>
          <w:bCs w:val="0"/>
          <w:sz w:val="52"/>
          <w:szCs w:val="52"/>
          <w:highlight w:val="none"/>
          <w:shd w:val="clear" w:color="auto" w:fill="auto"/>
          <w:lang w:val="en-US" w:eastAsia="zh-CN"/>
        </w:rPr>
      </w:pPr>
      <w:r>
        <w:rPr>
          <w:rFonts w:hint="eastAsia" w:ascii="宋体" w:hAnsi="宋体" w:eastAsia="方正小标宋简体" w:cs="方正小标宋简体"/>
          <w:b w:val="0"/>
          <w:bCs w:val="0"/>
          <w:sz w:val="52"/>
          <w:szCs w:val="52"/>
          <w:highlight w:val="none"/>
          <w:shd w:val="clear" w:color="auto" w:fill="auto"/>
          <w:lang w:val="en-US" w:eastAsia="zh-CN"/>
        </w:rPr>
        <w:t>（报告范围包括机关和下属单位）</w:t>
      </w:r>
    </w:p>
    <w:p>
      <w:pPr>
        <w:spacing w:after="0"/>
        <w:rPr>
          <w:rFonts w:ascii="宋体" w:hAnsi="宋体"/>
        </w:rPr>
      </w:pPr>
    </w:p>
    <w:p>
      <w:pPr>
        <w:rPr>
          <w:rFonts w:ascii="宋体" w:hAnsi="宋体"/>
          <w:sz w:val="4"/>
        </w:rPr>
      </w:pPr>
      <w:r>
        <w:rPr>
          <w:rFonts w:ascii="宋体" w:hAnsi="宋体"/>
          <w:sz w:val="4"/>
        </w:rPr>
        <w:br w:type="page"/>
      </w:r>
    </w:p>
    <w:p>
      <w:pPr>
        <w:rPr>
          <w:rFonts w:ascii="宋体" w:hAnsi="宋体"/>
          <w:sz w:val="4"/>
        </w:rPr>
      </w:pPr>
    </w:p>
    <w:p>
      <w:pPr>
        <w:pStyle w:val="5"/>
        <w:spacing w:before="2"/>
        <w:rPr>
          <w:rFonts w:ascii="宋体" w:hAnsi="宋体"/>
          <w:sz w:val="4"/>
        </w:rPr>
      </w:pPr>
    </w:p>
    <w:p>
      <w:pPr>
        <w:pStyle w:val="5"/>
        <w:tabs>
          <w:tab w:val="left" w:pos="4798"/>
        </w:tabs>
        <w:jc w:val="center"/>
        <w:rPr>
          <w:rFonts w:hint="eastAsia" w:ascii="宋体" w:hAnsi="宋体" w:eastAsia="方正小标宋简体" w:cs="方正小标宋简体"/>
          <w:b/>
          <w:bCs/>
          <w:sz w:val="48"/>
          <w:szCs w:val="48"/>
          <w:lang w:val="en-US" w:eastAsia="zh-CN"/>
        </w:rPr>
      </w:pPr>
      <w:r>
        <w:rPr>
          <w:rFonts w:hint="eastAsia" w:ascii="宋体" w:hAnsi="宋体" w:eastAsia="方正小标宋简体" w:cs="方正小标宋简体"/>
          <w:b/>
          <w:bCs/>
          <w:sz w:val="48"/>
          <w:szCs w:val="48"/>
          <w:lang w:val="en-US" w:eastAsia="zh-CN"/>
        </w:rPr>
        <w:t>目  录</w:t>
      </w:r>
    </w:p>
    <w:sdt>
      <w:sdtPr>
        <w:rPr>
          <w:rFonts w:ascii="宋体" w:hAnsi="宋体" w:eastAsia="宋体" w:cs="宋体"/>
          <w:sz w:val="21"/>
          <w:szCs w:val="22"/>
          <w:lang w:val="zh-CN" w:eastAsia="zh-CN" w:bidi="zh-CN"/>
        </w:rPr>
        <w:id w:val="147453385"/>
        <w15:color w:val="DBDBDB"/>
        <w:docPartObj>
          <w:docPartGallery w:val="Table of Contents"/>
          <w:docPartUnique/>
        </w:docPartObj>
      </w:sdtPr>
      <w:sdtEndPr>
        <w:rPr>
          <w:rFonts w:hint="eastAsia" w:ascii="宋体" w:hAnsi="宋体" w:eastAsia="方正小标宋简体" w:cs="方正小标宋简体"/>
          <w:bCs/>
          <w:sz w:val="32"/>
          <w:szCs w:val="48"/>
          <w:lang w:val="en-US" w:eastAsia="zh-CN" w:bidi="zh-CN"/>
        </w:rPr>
      </w:sdtEndPr>
      <w:sdtContent>
        <w:p>
          <w:pPr>
            <w:spacing w:before="0" w:beforeLines="0" w:after="0" w:afterLines="0" w:line="240" w:lineRule="auto"/>
            <w:ind w:left="0" w:leftChars="0" w:right="0" w:rightChars="0" w:firstLine="0" w:firstLineChars="0"/>
            <w:jc w:val="center"/>
            <w:rPr>
              <w:rFonts w:ascii="宋体" w:hAnsi="宋体"/>
            </w:rPr>
          </w:pPr>
        </w:p>
        <w:p>
          <w:pPr>
            <w:pStyle w:val="14"/>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
              <w:bCs/>
              <w:sz w:val="48"/>
              <w:szCs w:val="48"/>
              <w:lang w:val="en-US" w:eastAsia="zh-CN"/>
            </w:rPr>
            <w:fldChar w:fldCharType="begin"/>
          </w:r>
          <w:r>
            <w:rPr>
              <w:rFonts w:hint="eastAsia" w:ascii="宋体" w:hAnsi="宋体" w:eastAsia="方正小标宋简体" w:cs="方正小标宋简体"/>
              <w:b/>
              <w:bCs/>
              <w:sz w:val="48"/>
              <w:szCs w:val="48"/>
              <w:lang w:val="en-US" w:eastAsia="zh-CN"/>
            </w:rPr>
            <w:instrText xml:space="preserve">TOC \o "1-3" \h \u </w:instrText>
          </w:r>
          <w:r>
            <w:rPr>
              <w:rFonts w:hint="eastAsia" w:ascii="宋体" w:hAnsi="宋体" w:eastAsia="方正小标宋简体" w:cs="方正小标宋简体"/>
              <w:b/>
              <w:bCs/>
              <w:sz w:val="48"/>
              <w:szCs w:val="48"/>
              <w:lang w:val="en-US" w:eastAsia="zh-CN"/>
            </w:rPr>
            <w:fldChar w:fldCharType="separate"/>
          </w: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_Toc24981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eastAsia="方正小标宋简体" w:cs="方正小标宋简体"/>
              <w:bCs/>
              <w:sz w:val="32"/>
              <w:szCs w:val="32"/>
              <w:lang w:val="en-US" w:eastAsia="zh-CN"/>
            </w:rPr>
            <w:t>第一部分 部门概况</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_Toc24981 \h </w:instrText>
          </w:r>
          <w:r>
            <w:rPr>
              <w:rFonts w:ascii="宋体" w:hAnsi="宋体"/>
              <w:sz w:val="32"/>
              <w:szCs w:val="32"/>
            </w:rPr>
            <w:fldChar w:fldCharType="separate"/>
          </w:r>
          <w:r>
            <w:rPr>
              <w:rFonts w:ascii="宋体" w:hAnsi="宋体"/>
              <w:sz w:val="32"/>
              <w:szCs w:val="32"/>
            </w:rPr>
            <w:t>1</w:t>
          </w:r>
          <w:r>
            <w:rPr>
              <w:rFonts w:ascii="宋体" w:hAnsi="宋体"/>
              <w:sz w:val="32"/>
              <w:szCs w:val="32"/>
            </w:rPr>
            <w:fldChar w:fldCharType="end"/>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_Toc977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eastAsia="黑体"/>
              <w:sz w:val="32"/>
              <w:szCs w:val="32"/>
            </w:rPr>
            <w:t>一、基本职能及主要工作</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_Toc977 \h </w:instrText>
          </w:r>
          <w:r>
            <w:rPr>
              <w:rFonts w:ascii="宋体" w:hAnsi="宋体"/>
              <w:sz w:val="32"/>
              <w:szCs w:val="32"/>
            </w:rPr>
            <w:fldChar w:fldCharType="separate"/>
          </w:r>
          <w:r>
            <w:rPr>
              <w:rFonts w:ascii="宋体" w:hAnsi="宋体"/>
              <w:sz w:val="32"/>
              <w:szCs w:val="32"/>
            </w:rPr>
            <w:t>2</w:t>
          </w:r>
          <w:r>
            <w:rPr>
              <w:rFonts w:ascii="宋体" w:hAnsi="宋体"/>
              <w:sz w:val="32"/>
              <w:szCs w:val="32"/>
            </w:rPr>
            <w:fldChar w:fldCharType="end"/>
          </w:r>
          <w:r>
            <w:rPr>
              <w:rFonts w:hint="eastAsia" w:ascii="宋体" w:hAnsi="宋体" w:eastAsia="方正小标宋简体" w:cs="方正小标宋简体"/>
              <w:bCs/>
              <w:sz w:val="32"/>
              <w:szCs w:val="32"/>
              <w:lang w:val="en-US" w:eastAsia="zh-CN"/>
            </w:rPr>
            <w:fldChar w:fldCharType="end"/>
          </w:r>
        </w:p>
        <w:p>
          <w:pPr>
            <w:pStyle w:val="16"/>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_Toc5540 </w:instrText>
          </w:r>
          <w:r>
            <w:rPr>
              <w:rFonts w:hint="eastAsia" w:ascii="宋体" w:hAnsi="宋体" w:eastAsia="方正小标宋简体" w:cs="方正小标宋简体"/>
              <w:bCs/>
              <w:sz w:val="32"/>
              <w:szCs w:val="32"/>
              <w:lang w:val="en-US" w:eastAsia="zh-CN"/>
            </w:rPr>
            <w:fldChar w:fldCharType="separate"/>
          </w:r>
          <w:r>
            <w:rPr>
              <w:rFonts w:ascii="宋体" w:hAnsi="宋体"/>
              <w:sz w:val="32"/>
              <w:szCs w:val="32"/>
            </w:rPr>
            <w:t>（一）部门职能简介</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_Toc5540 \h </w:instrText>
          </w:r>
          <w:r>
            <w:rPr>
              <w:rFonts w:ascii="宋体" w:hAnsi="宋体"/>
              <w:sz w:val="32"/>
              <w:szCs w:val="32"/>
            </w:rPr>
            <w:fldChar w:fldCharType="separate"/>
          </w:r>
          <w:r>
            <w:rPr>
              <w:rFonts w:ascii="宋体" w:hAnsi="宋体"/>
              <w:sz w:val="32"/>
              <w:szCs w:val="32"/>
            </w:rPr>
            <w:t>2</w:t>
          </w:r>
          <w:r>
            <w:rPr>
              <w:rFonts w:ascii="宋体" w:hAnsi="宋体"/>
              <w:sz w:val="32"/>
              <w:szCs w:val="32"/>
            </w:rPr>
            <w:fldChar w:fldCharType="end"/>
          </w:r>
          <w:r>
            <w:rPr>
              <w:rFonts w:hint="eastAsia" w:ascii="宋体" w:hAnsi="宋体" w:eastAsia="方正小标宋简体" w:cs="方正小标宋简体"/>
              <w:bCs/>
              <w:sz w:val="32"/>
              <w:szCs w:val="32"/>
              <w:lang w:val="en-US" w:eastAsia="zh-CN"/>
            </w:rPr>
            <w:fldChar w:fldCharType="end"/>
          </w:r>
        </w:p>
        <w:p>
          <w:pPr>
            <w:pStyle w:val="16"/>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_Toc29132 </w:instrText>
          </w:r>
          <w:r>
            <w:rPr>
              <w:rFonts w:hint="eastAsia" w:ascii="宋体" w:hAnsi="宋体" w:eastAsia="方正小标宋简体" w:cs="方正小标宋简体"/>
              <w:bCs/>
              <w:sz w:val="32"/>
              <w:szCs w:val="32"/>
              <w:lang w:val="en-US" w:eastAsia="zh-CN"/>
            </w:rPr>
            <w:fldChar w:fldCharType="separate"/>
          </w:r>
          <w:r>
            <w:rPr>
              <w:rFonts w:ascii="宋体" w:hAnsi="宋体"/>
              <w:sz w:val="32"/>
              <w:szCs w:val="32"/>
            </w:rPr>
            <w:t>（二）部门</w:t>
          </w:r>
          <w:r>
            <w:rPr>
              <w:rFonts w:hint="eastAsia" w:ascii="宋体" w:hAnsi="宋体"/>
              <w:sz w:val="32"/>
              <w:szCs w:val="32"/>
              <w:lang w:val="en-US" w:eastAsia="zh-CN"/>
            </w:rPr>
            <w:t>2024</w:t>
          </w:r>
          <w:r>
            <w:rPr>
              <w:rFonts w:ascii="宋体" w:hAnsi="宋体"/>
              <w:sz w:val="32"/>
              <w:szCs w:val="32"/>
            </w:rPr>
            <w:t>年重点工</w:t>
          </w:r>
          <w:r>
            <w:rPr>
              <w:rFonts w:hint="eastAsia" w:ascii="宋体" w:hAnsi="宋体"/>
              <w:sz w:val="32"/>
              <w:szCs w:val="32"/>
            </w:rPr>
            <w:t>作</w:t>
          </w:r>
          <w:r>
            <w:rPr>
              <w:rFonts w:ascii="宋体" w:hAnsi="宋体"/>
              <w:sz w:val="32"/>
              <w:szCs w:val="32"/>
            </w:rPr>
            <w:tab/>
          </w:r>
          <w:r>
            <w:rPr>
              <w:rFonts w:hint="eastAsia" w:ascii="宋体" w:hAnsi="宋体" w:eastAsia="宋体"/>
              <w:sz w:val="32"/>
              <w:szCs w:val="32"/>
              <w:lang w:val="en-US" w:eastAsia="zh-CN"/>
            </w:rPr>
            <w:t>3</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_Toc30432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eastAsia="黑体"/>
              <w:sz w:val="32"/>
              <w:szCs w:val="32"/>
            </w:rPr>
            <w:t>二、部门预算单位构成</w:t>
          </w:r>
          <w:r>
            <w:rPr>
              <w:rFonts w:ascii="宋体" w:hAnsi="宋体"/>
              <w:sz w:val="32"/>
              <w:szCs w:val="32"/>
            </w:rPr>
            <w:tab/>
          </w:r>
          <w:r>
            <w:rPr>
              <w:rFonts w:hint="eastAsia" w:ascii="宋体" w:hAnsi="宋体" w:eastAsia="宋体"/>
              <w:sz w:val="32"/>
              <w:szCs w:val="32"/>
              <w:lang w:val="en-US" w:eastAsia="zh-CN"/>
            </w:rPr>
            <w:t>4</w:t>
          </w:r>
          <w:r>
            <w:rPr>
              <w:rFonts w:hint="eastAsia" w:ascii="宋体" w:hAnsi="宋体" w:eastAsia="方正小标宋简体" w:cs="方正小标宋简体"/>
              <w:bCs/>
              <w:sz w:val="32"/>
              <w:szCs w:val="32"/>
              <w:lang w:val="en-US" w:eastAsia="zh-CN"/>
            </w:rPr>
            <w:fldChar w:fldCharType="end"/>
          </w:r>
        </w:p>
        <w:p>
          <w:pPr>
            <w:pStyle w:val="14"/>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_Toc28587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eastAsia="方正小标宋简体" w:cs="方正小标宋简体"/>
              <w:bCs/>
              <w:sz w:val="32"/>
              <w:szCs w:val="32"/>
              <w:lang w:val="en-US" w:eastAsia="zh-CN"/>
            </w:rPr>
            <w:t>第二部分 区住建局2024年部门预算表</w:t>
          </w:r>
          <w:r>
            <w:rPr>
              <w:rFonts w:ascii="宋体" w:hAnsi="宋体"/>
              <w:sz w:val="32"/>
              <w:szCs w:val="32"/>
            </w:rPr>
            <w:tab/>
          </w:r>
          <w:r>
            <w:rPr>
              <w:rFonts w:hint="eastAsia" w:ascii="宋体" w:hAnsi="宋体" w:eastAsia="宋体"/>
              <w:sz w:val="32"/>
              <w:szCs w:val="32"/>
              <w:lang w:val="en-US" w:eastAsia="zh-CN"/>
            </w:rPr>
            <w:t>6</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_Toc12069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val="en-US" w:eastAsia="zh-CN"/>
            </w:rPr>
            <w:t>一、部门收支总表</w:t>
          </w:r>
          <w:r>
            <w:rPr>
              <w:rFonts w:ascii="宋体" w:hAnsi="宋体"/>
              <w:sz w:val="32"/>
              <w:szCs w:val="32"/>
            </w:rPr>
            <w:tab/>
          </w:r>
          <w:r>
            <w:rPr>
              <w:rFonts w:hint="eastAsia" w:ascii="宋体" w:hAnsi="宋体" w:eastAsia="宋体"/>
              <w:sz w:val="32"/>
              <w:szCs w:val="32"/>
              <w:lang w:val="en-US" w:eastAsia="zh-CN"/>
            </w:rPr>
            <w:t>7</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_Toc27995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val="en-US" w:eastAsia="zh-CN"/>
            </w:rPr>
            <w:t>二、部门收入总表</w:t>
          </w:r>
          <w:r>
            <w:rPr>
              <w:rFonts w:ascii="宋体" w:hAnsi="宋体"/>
              <w:sz w:val="32"/>
              <w:szCs w:val="32"/>
            </w:rPr>
            <w:tab/>
          </w:r>
          <w:r>
            <w:rPr>
              <w:rFonts w:hint="eastAsia" w:ascii="宋体" w:hAnsi="宋体" w:eastAsia="宋体"/>
              <w:sz w:val="32"/>
              <w:szCs w:val="32"/>
              <w:lang w:val="en-US" w:eastAsia="zh-CN"/>
            </w:rPr>
            <w:t>7</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_Toc3639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val="en-US" w:eastAsia="zh-CN"/>
            </w:rPr>
            <w:t>三、部门支出总表</w:t>
          </w:r>
          <w:r>
            <w:rPr>
              <w:rFonts w:ascii="宋体" w:hAnsi="宋体"/>
              <w:sz w:val="32"/>
              <w:szCs w:val="32"/>
            </w:rPr>
            <w:tab/>
          </w:r>
          <w:r>
            <w:rPr>
              <w:rFonts w:hint="eastAsia" w:ascii="宋体" w:hAnsi="宋体" w:eastAsia="宋体"/>
              <w:sz w:val="32"/>
              <w:szCs w:val="32"/>
              <w:lang w:val="en-US" w:eastAsia="zh-CN"/>
            </w:rPr>
            <w:t>7</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_Toc25815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val="en-US" w:eastAsia="zh-CN"/>
            </w:rPr>
            <w:t>四、财政拨款收支预算总表</w:t>
          </w:r>
          <w:r>
            <w:rPr>
              <w:rFonts w:ascii="宋体" w:hAnsi="宋体"/>
              <w:sz w:val="32"/>
              <w:szCs w:val="32"/>
            </w:rPr>
            <w:tab/>
          </w:r>
          <w:r>
            <w:rPr>
              <w:rFonts w:hint="eastAsia" w:ascii="宋体" w:hAnsi="宋体" w:eastAsia="宋体"/>
              <w:sz w:val="32"/>
              <w:szCs w:val="32"/>
              <w:lang w:val="en-US" w:eastAsia="zh-CN"/>
            </w:rPr>
            <w:t>7</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_Toc4686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val="en-US" w:eastAsia="zh-CN"/>
            </w:rPr>
            <w:t>五、财政拨款支出预算表</w:t>
          </w:r>
          <w:r>
            <w:rPr>
              <w:rFonts w:ascii="宋体" w:hAnsi="宋体"/>
              <w:sz w:val="32"/>
              <w:szCs w:val="32"/>
            </w:rPr>
            <w:tab/>
          </w:r>
          <w:r>
            <w:rPr>
              <w:rFonts w:hint="eastAsia" w:ascii="宋体" w:hAnsi="宋体" w:eastAsia="宋体"/>
              <w:sz w:val="32"/>
              <w:szCs w:val="32"/>
              <w:lang w:val="en-US" w:eastAsia="zh-CN"/>
            </w:rPr>
            <w:t>7</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_Toc7952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val="en-US" w:eastAsia="zh-CN"/>
            </w:rPr>
            <w:t>六、一般公共预算支出预算表</w:t>
          </w:r>
          <w:r>
            <w:rPr>
              <w:rFonts w:ascii="宋体" w:hAnsi="宋体"/>
              <w:sz w:val="32"/>
              <w:szCs w:val="32"/>
            </w:rPr>
            <w:tab/>
          </w:r>
          <w:r>
            <w:rPr>
              <w:rFonts w:hint="eastAsia" w:ascii="宋体" w:hAnsi="宋体" w:eastAsia="宋体"/>
              <w:sz w:val="32"/>
              <w:szCs w:val="32"/>
              <w:lang w:val="en-US" w:eastAsia="zh-CN"/>
            </w:rPr>
            <w:t>7</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_Toc32200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val="en-US" w:eastAsia="zh-CN"/>
            </w:rPr>
            <w:t>七、一般公共预算基本支出预算表</w:t>
          </w:r>
          <w:r>
            <w:rPr>
              <w:rFonts w:ascii="宋体" w:hAnsi="宋体"/>
              <w:sz w:val="32"/>
              <w:szCs w:val="32"/>
            </w:rPr>
            <w:tab/>
          </w:r>
          <w:r>
            <w:rPr>
              <w:rFonts w:hint="eastAsia" w:ascii="宋体" w:hAnsi="宋体" w:eastAsia="宋体"/>
              <w:sz w:val="32"/>
              <w:szCs w:val="32"/>
              <w:lang w:val="en-US" w:eastAsia="zh-CN"/>
            </w:rPr>
            <w:t>7</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_Toc17751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val="en-US" w:eastAsia="zh-CN"/>
            </w:rPr>
            <w:t>八、一般公共预算项目支出预算表</w:t>
          </w:r>
          <w:r>
            <w:rPr>
              <w:rFonts w:ascii="宋体" w:hAnsi="宋体"/>
              <w:sz w:val="32"/>
              <w:szCs w:val="32"/>
            </w:rPr>
            <w:tab/>
          </w:r>
          <w:r>
            <w:rPr>
              <w:rFonts w:hint="eastAsia" w:ascii="宋体" w:hAnsi="宋体" w:eastAsia="宋体"/>
              <w:sz w:val="32"/>
              <w:szCs w:val="32"/>
              <w:lang w:val="en-US" w:eastAsia="zh-CN"/>
            </w:rPr>
            <w:t>7</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_Toc11119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val="en-US" w:eastAsia="zh-CN"/>
            </w:rPr>
            <w:t>九、一般公共预算“三公”经费支出预算表</w:t>
          </w:r>
          <w:r>
            <w:rPr>
              <w:rFonts w:ascii="宋体" w:hAnsi="宋体"/>
              <w:sz w:val="32"/>
              <w:szCs w:val="32"/>
            </w:rPr>
            <w:tab/>
          </w:r>
          <w:r>
            <w:rPr>
              <w:rFonts w:hint="eastAsia" w:ascii="宋体" w:hAnsi="宋体" w:eastAsia="宋体"/>
              <w:sz w:val="32"/>
              <w:szCs w:val="32"/>
              <w:lang w:val="en-US" w:eastAsia="zh-CN"/>
            </w:rPr>
            <w:t>7</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_Toc19211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val="en-US" w:eastAsia="zh-CN"/>
            </w:rPr>
            <w:t>十、政府性基金预算支出表</w:t>
          </w:r>
          <w:r>
            <w:rPr>
              <w:rFonts w:ascii="宋体" w:hAnsi="宋体"/>
              <w:sz w:val="32"/>
              <w:szCs w:val="32"/>
            </w:rPr>
            <w:tab/>
          </w:r>
          <w:r>
            <w:rPr>
              <w:rFonts w:hint="eastAsia" w:ascii="宋体" w:hAnsi="宋体" w:eastAsia="宋体"/>
              <w:sz w:val="32"/>
              <w:szCs w:val="32"/>
              <w:lang w:val="en-US" w:eastAsia="zh-CN"/>
            </w:rPr>
            <w:t>7</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_Toc7676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val="en-US" w:eastAsia="zh-CN"/>
            </w:rPr>
            <w:t>十一、政府性基金预算“三公”经费支出预算表</w:t>
          </w:r>
          <w:r>
            <w:rPr>
              <w:rFonts w:ascii="宋体" w:hAnsi="宋体"/>
              <w:sz w:val="32"/>
              <w:szCs w:val="32"/>
            </w:rPr>
            <w:tab/>
          </w:r>
          <w:r>
            <w:rPr>
              <w:rFonts w:hint="eastAsia" w:ascii="宋体" w:hAnsi="宋体" w:eastAsia="宋体"/>
              <w:sz w:val="32"/>
              <w:szCs w:val="32"/>
              <w:lang w:val="en-US" w:eastAsia="zh-CN"/>
            </w:rPr>
            <w:t>7</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_Toc22917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val="en-US" w:eastAsia="zh-CN"/>
            </w:rPr>
            <w:t>十二、国有资本经营预算支出表</w:t>
          </w:r>
          <w:r>
            <w:rPr>
              <w:rFonts w:ascii="宋体" w:hAnsi="宋体"/>
              <w:sz w:val="32"/>
              <w:szCs w:val="32"/>
            </w:rPr>
            <w:tab/>
          </w:r>
          <w:r>
            <w:rPr>
              <w:rFonts w:hint="eastAsia" w:ascii="宋体" w:hAnsi="宋体" w:eastAsia="宋体"/>
              <w:sz w:val="32"/>
              <w:szCs w:val="32"/>
              <w:lang w:val="en-US" w:eastAsia="zh-CN"/>
            </w:rPr>
            <w:t>7</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_Toc27847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val="en-US" w:eastAsia="zh-CN"/>
            </w:rPr>
            <w:t>十三、部门整体支出绩效目标表</w:t>
          </w:r>
          <w:r>
            <w:rPr>
              <w:rFonts w:ascii="宋体" w:hAnsi="宋体"/>
              <w:sz w:val="32"/>
              <w:szCs w:val="32"/>
            </w:rPr>
            <w:tab/>
          </w:r>
          <w:r>
            <w:rPr>
              <w:rFonts w:hint="eastAsia" w:ascii="宋体" w:hAnsi="宋体" w:eastAsia="宋体"/>
              <w:sz w:val="32"/>
              <w:szCs w:val="32"/>
              <w:lang w:val="en-US" w:eastAsia="zh-CN"/>
            </w:rPr>
            <w:t>7</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_Toc30878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val="en-US" w:eastAsia="zh-CN"/>
            </w:rPr>
            <w:t>十四、部门预算项目支出绩效目标表</w:t>
          </w:r>
          <w:r>
            <w:rPr>
              <w:rFonts w:ascii="宋体" w:hAnsi="宋体"/>
              <w:sz w:val="32"/>
              <w:szCs w:val="32"/>
            </w:rPr>
            <w:tab/>
          </w:r>
          <w:r>
            <w:rPr>
              <w:rFonts w:hint="eastAsia" w:ascii="宋体" w:hAnsi="宋体" w:eastAsia="宋体"/>
              <w:sz w:val="32"/>
              <w:szCs w:val="32"/>
              <w:lang w:val="en-US" w:eastAsia="zh-CN"/>
            </w:rPr>
            <w:t>7</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_Toc32437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val="en-US" w:eastAsia="zh-CN"/>
            </w:rPr>
            <w:t>十五、政府采购预算表</w:t>
          </w:r>
          <w:r>
            <w:rPr>
              <w:rFonts w:ascii="宋体" w:hAnsi="宋体"/>
              <w:sz w:val="32"/>
              <w:szCs w:val="32"/>
            </w:rPr>
            <w:tab/>
          </w:r>
          <w:r>
            <w:rPr>
              <w:rFonts w:hint="eastAsia" w:ascii="宋体" w:hAnsi="宋体" w:eastAsia="宋体"/>
              <w:sz w:val="32"/>
              <w:szCs w:val="32"/>
              <w:lang w:val="en-US" w:eastAsia="zh-CN"/>
            </w:rPr>
            <w:t>7</w:t>
          </w:r>
          <w:r>
            <w:rPr>
              <w:rFonts w:hint="eastAsia" w:ascii="宋体" w:hAnsi="宋体" w:eastAsia="方正小标宋简体" w:cs="方正小标宋简体"/>
              <w:bCs/>
              <w:sz w:val="32"/>
              <w:szCs w:val="32"/>
              <w:lang w:val="en-US" w:eastAsia="zh-CN"/>
            </w:rPr>
            <w:fldChar w:fldCharType="end"/>
          </w:r>
        </w:p>
        <w:p>
          <w:pPr>
            <w:pStyle w:val="14"/>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_Toc19948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eastAsia="方正小标宋简体" w:cs="方正小标宋简体"/>
              <w:sz w:val="32"/>
              <w:szCs w:val="32"/>
              <w:lang w:val="en-US" w:eastAsia="zh-CN"/>
            </w:rPr>
            <w:t>第三部分 区住建局2024年部门预算情况说明</w:t>
          </w:r>
          <w:r>
            <w:rPr>
              <w:rFonts w:ascii="宋体" w:hAnsi="宋体"/>
              <w:sz w:val="32"/>
              <w:szCs w:val="32"/>
            </w:rPr>
            <w:tab/>
          </w:r>
          <w:r>
            <w:rPr>
              <w:rFonts w:hint="eastAsia" w:ascii="宋体" w:hAnsi="宋体" w:eastAsia="宋体"/>
              <w:sz w:val="32"/>
              <w:szCs w:val="32"/>
              <w:lang w:val="en-US" w:eastAsia="zh-CN"/>
            </w:rPr>
            <w:t>9</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ind w:leftChars="0" w:firstLine="640" w:firstLineChars="200"/>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_Toc469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eastAsia="黑体"/>
              <w:sz w:val="32"/>
              <w:szCs w:val="32"/>
            </w:rPr>
            <w:t>一、收支预算情况说明</w:t>
          </w:r>
          <w:r>
            <w:rPr>
              <w:rFonts w:ascii="宋体" w:hAnsi="宋体"/>
              <w:sz w:val="32"/>
              <w:szCs w:val="32"/>
            </w:rPr>
            <w:tab/>
          </w:r>
          <w:r>
            <w:rPr>
              <w:rFonts w:hint="eastAsia" w:ascii="宋体" w:hAnsi="宋体" w:eastAsia="宋体"/>
              <w:sz w:val="32"/>
              <w:szCs w:val="32"/>
              <w:lang w:val="en-US" w:eastAsia="zh-CN"/>
            </w:rPr>
            <w:t>9</w:t>
          </w:r>
          <w:r>
            <w:rPr>
              <w:rFonts w:hint="eastAsia" w:ascii="宋体" w:hAnsi="宋体" w:eastAsia="方正小标宋简体" w:cs="方正小标宋简体"/>
              <w:bCs/>
              <w:sz w:val="32"/>
              <w:szCs w:val="32"/>
              <w:lang w:val="en-US" w:eastAsia="zh-CN"/>
            </w:rPr>
            <w:fldChar w:fldCharType="end"/>
          </w:r>
        </w:p>
        <w:p>
          <w:pPr>
            <w:pStyle w:val="16"/>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_Toc12176 </w:instrText>
          </w:r>
          <w:r>
            <w:rPr>
              <w:rFonts w:hint="eastAsia" w:ascii="宋体" w:hAnsi="宋体" w:eastAsia="方正小标宋简体" w:cs="方正小标宋简体"/>
              <w:bCs/>
              <w:sz w:val="32"/>
              <w:szCs w:val="32"/>
              <w:lang w:val="en-US" w:eastAsia="zh-CN"/>
            </w:rPr>
            <w:fldChar w:fldCharType="separate"/>
          </w:r>
          <w:r>
            <w:rPr>
              <w:rFonts w:ascii="宋体" w:hAnsi="宋体"/>
              <w:sz w:val="32"/>
              <w:szCs w:val="32"/>
            </w:rPr>
            <w:t>（一）收入预算情况</w:t>
          </w:r>
          <w:r>
            <w:rPr>
              <w:rFonts w:ascii="宋体" w:hAnsi="宋体"/>
              <w:sz w:val="32"/>
              <w:szCs w:val="32"/>
            </w:rPr>
            <w:tab/>
          </w:r>
          <w:r>
            <w:rPr>
              <w:rFonts w:hint="eastAsia" w:ascii="宋体" w:hAnsi="宋体" w:eastAsia="宋体"/>
              <w:sz w:val="32"/>
              <w:szCs w:val="32"/>
              <w:lang w:val="en-US" w:eastAsia="zh-CN"/>
            </w:rPr>
            <w:t>9</w:t>
          </w:r>
          <w:r>
            <w:rPr>
              <w:rFonts w:hint="eastAsia" w:ascii="宋体" w:hAnsi="宋体" w:eastAsia="方正小标宋简体" w:cs="方正小标宋简体"/>
              <w:bCs/>
              <w:sz w:val="32"/>
              <w:szCs w:val="32"/>
              <w:lang w:val="en-US" w:eastAsia="zh-CN"/>
            </w:rPr>
            <w:fldChar w:fldCharType="end"/>
          </w:r>
        </w:p>
        <w:p>
          <w:pPr>
            <w:pStyle w:val="16"/>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_Toc23149 </w:instrText>
          </w:r>
          <w:r>
            <w:rPr>
              <w:rFonts w:hint="eastAsia" w:ascii="宋体" w:hAnsi="宋体" w:eastAsia="方正小标宋简体" w:cs="方正小标宋简体"/>
              <w:bCs/>
              <w:sz w:val="32"/>
              <w:szCs w:val="32"/>
              <w:lang w:val="en-US" w:eastAsia="zh-CN"/>
            </w:rPr>
            <w:fldChar w:fldCharType="separate"/>
          </w:r>
          <w:r>
            <w:rPr>
              <w:rFonts w:ascii="宋体" w:hAnsi="宋体"/>
              <w:sz w:val="32"/>
              <w:szCs w:val="32"/>
            </w:rPr>
            <w:t>（二）支出预算情况</w:t>
          </w:r>
          <w:r>
            <w:rPr>
              <w:rFonts w:ascii="宋体" w:hAnsi="宋体"/>
              <w:sz w:val="32"/>
              <w:szCs w:val="32"/>
            </w:rPr>
            <w:tab/>
          </w:r>
          <w:r>
            <w:rPr>
              <w:rFonts w:hint="eastAsia" w:ascii="宋体" w:hAnsi="宋体" w:eastAsia="宋体"/>
              <w:sz w:val="32"/>
              <w:szCs w:val="32"/>
              <w:lang w:val="en-US" w:eastAsia="zh-CN"/>
            </w:rPr>
            <w:t>9</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_Toc729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eastAsia="黑体"/>
              <w:sz w:val="32"/>
              <w:szCs w:val="32"/>
            </w:rPr>
            <w:t>二、财政拨款收支预算情况说明</w:t>
          </w:r>
          <w:r>
            <w:rPr>
              <w:rFonts w:ascii="宋体" w:hAnsi="宋体"/>
              <w:sz w:val="32"/>
              <w:szCs w:val="32"/>
            </w:rPr>
            <w:tab/>
          </w:r>
          <w:r>
            <w:rPr>
              <w:rFonts w:hint="eastAsia" w:ascii="宋体" w:hAnsi="宋体" w:eastAsia="宋体"/>
              <w:sz w:val="32"/>
              <w:szCs w:val="32"/>
              <w:lang w:val="en-US" w:eastAsia="zh-CN"/>
            </w:rPr>
            <w:t>9</w:t>
          </w:r>
          <w:r>
            <w:rPr>
              <w:rFonts w:hint="eastAsia" w:ascii="宋体" w:hAnsi="宋体" w:eastAsia="方正小标宋简体" w:cs="方正小标宋简体"/>
              <w:bCs/>
              <w:sz w:val="32"/>
              <w:szCs w:val="32"/>
              <w:lang w:val="en-US" w:eastAsia="zh-CN"/>
            </w:rPr>
            <w:fldChar w:fldCharType="end"/>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sz w:val="32"/>
              <w:szCs w:val="32"/>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_Toc32511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eastAsia="黑体"/>
              <w:sz w:val="32"/>
              <w:szCs w:val="32"/>
            </w:rPr>
            <w:t>三、一般公共预算当年拨款情况说明</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0</w:t>
          </w:r>
        </w:p>
        <w:p>
          <w:pPr>
            <w:pStyle w:val="16"/>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sz w:val="32"/>
              <w:szCs w:val="32"/>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_Toc6394 </w:instrText>
          </w:r>
          <w:r>
            <w:rPr>
              <w:rFonts w:hint="eastAsia" w:ascii="宋体" w:hAnsi="宋体" w:eastAsia="方正小标宋简体" w:cs="方正小标宋简体"/>
              <w:bCs/>
              <w:sz w:val="32"/>
              <w:szCs w:val="32"/>
              <w:lang w:val="en-US" w:eastAsia="zh-CN"/>
            </w:rPr>
            <w:fldChar w:fldCharType="separate"/>
          </w:r>
          <w:r>
            <w:rPr>
              <w:rFonts w:ascii="宋体" w:hAnsi="宋体"/>
              <w:sz w:val="32"/>
              <w:szCs w:val="32"/>
            </w:rPr>
            <w:t>（一）一般公共预算当年拨款规模变化情况</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0</w:t>
          </w:r>
        </w:p>
        <w:p>
          <w:pPr>
            <w:pStyle w:val="16"/>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sz w:val="32"/>
              <w:szCs w:val="32"/>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_Toc5045 </w:instrText>
          </w:r>
          <w:r>
            <w:rPr>
              <w:rFonts w:hint="eastAsia" w:ascii="宋体" w:hAnsi="宋体" w:eastAsia="方正小标宋简体" w:cs="方正小标宋简体"/>
              <w:bCs/>
              <w:sz w:val="32"/>
              <w:szCs w:val="32"/>
              <w:lang w:val="en-US" w:eastAsia="zh-CN"/>
            </w:rPr>
            <w:fldChar w:fldCharType="separate"/>
          </w:r>
          <w:r>
            <w:rPr>
              <w:rFonts w:ascii="宋体" w:hAnsi="宋体"/>
              <w:sz w:val="32"/>
              <w:szCs w:val="32"/>
            </w:rPr>
            <w:t>（二）一般公共预算当年拨款结构情况</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0</w:t>
          </w:r>
        </w:p>
        <w:p>
          <w:pPr>
            <w:pStyle w:val="16"/>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sz w:val="32"/>
              <w:szCs w:val="32"/>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_Toc11698 </w:instrText>
          </w:r>
          <w:r>
            <w:rPr>
              <w:rFonts w:hint="eastAsia" w:ascii="宋体" w:hAnsi="宋体" w:eastAsia="方正小标宋简体" w:cs="方正小标宋简体"/>
              <w:bCs/>
              <w:sz w:val="32"/>
              <w:szCs w:val="32"/>
              <w:lang w:val="en-US" w:eastAsia="zh-CN"/>
            </w:rPr>
            <w:fldChar w:fldCharType="separate"/>
          </w:r>
          <w:r>
            <w:rPr>
              <w:rFonts w:ascii="宋体" w:hAnsi="宋体"/>
              <w:sz w:val="32"/>
              <w:szCs w:val="32"/>
            </w:rPr>
            <w:t>（三）一般公共预算当年拨款具体使用情况</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1</w:t>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sz w:val="32"/>
              <w:szCs w:val="32"/>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_Toc21665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eastAsia="黑体"/>
              <w:sz w:val="32"/>
              <w:szCs w:val="32"/>
            </w:rPr>
            <w:t>四、一般公共预算基本支出情况说明</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4</w:t>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sz w:val="32"/>
              <w:szCs w:val="32"/>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_Toc1746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eastAsia="黑体"/>
              <w:sz w:val="32"/>
              <w:szCs w:val="32"/>
            </w:rPr>
            <w:t>五、“三公”经费财政拨款预算安排情况说明</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4</w:t>
          </w:r>
        </w:p>
        <w:p>
          <w:pPr>
            <w:pStyle w:val="16"/>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sz w:val="32"/>
              <w:szCs w:val="32"/>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_Toc10802 </w:instrText>
          </w:r>
          <w:r>
            <w:rPr>
              <w:rFonts w:hint="eastAsia" w:ascii="宋体" w:hAnsi="宋体" w:eastAsia="方正小标宋简体" w:cs="方正小标宋简体"/>
              <w:bCs/>
              <w:sz w:val="32"/>
              <w:szCs w:val="32"/>
              <w:lang w:val="en-US" w:eastAsia="zh-CN"/>
            </w:rPr>
            <w:fldChar w:fldCharType="separate"/>
          </w:r>
          <w:r>
            <w:rPr>
              <w:rFonts w:ascii="宋体" w:hAnsi="宋体"/>
              <w:sz w:val="32"/>
              <w:szCs w:val="32"/>
            </w:rPr>
            <w:t>（一）</w:t>
          </w:r>
          <w:r>
            <w:rPr>
              <w:rFonts w:hint="eastAsia" w:ascii="宋体" w:hAnsi="宋体"/>
              <w:sz w:val="32"/>
              <w:szCs w:val="32"/>
              <w:lang w:val="en-US" w:eastAsia="zh-CN"/>
            </w:rPr>
            <w:t>公务接待费变化情况</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5</w:t>
          </w:r>
        </w:p>
        <w:p>
          <w:pPr>
            <w:pStyle w:val="16"/>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sz w:val="32"/>
              <w:szCs w:val="32"/>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_Toc17768 </w:instrText>
          </w:r>
          <w:r>
            <w:rPr>
              <w:rFonts w:hint="eastAsia" w:ascii="宋体" w:hAnsi="宋体" w:eastAsia="方正小标宋简体" w:cs="方正小标宋简体"/>
              <w:bCs/>
              <w:sz w:val="32"/>
              <w:szCs w:val="32"/>
              <w:lang w:val="en-US" w:eastAsia="zh-CN"/>
            </w:rPr>
            <w:fldChar w:fldCharType="separate"/>
          </w:r>
          <w:r>
            <w:rPr>
              <w:rFonts w:ascii="宋体" w:hAnsi="宋体"/>
              <w:sz w:val="32"/>
              <w:szCs w:val="32"/>
            </w:rPr>
            <w:t>（</w:t>
          </w:r>
          <w:r>
            <w:rPr>
              <w:rFonts w:hint="eastAsia" w:ascii="宋体" w:hAnsi="宋体"/>
              <w:sz w:val="32"/>
              <w:szCs w:val="32"/>
              <w:lang w:val="en-US" w:eastAsia="zh-CN"/>
            </w:rPr>
            <w:t>二</w:t>
          </w:r>
          <w:r>
            <w:rPr>
              <w:rFonts w:ascii="宋体" w:hAnsi="宋体"/>
              <w:sz w:val="32"/>
              <w:szCs w:val="32"/>
            </w:rPr>
            <w:t>）</w:t>
          </w:r>
          <w:r>
            <w:rPr>
              <w:rFonts w:hint="eastAsia" w:ascii="宋体" w:hAnsi="宋体"/>
              <w:sz w:val="32"/>
              <w:szCs w:val="32"/>
              <w:lang w:val="en-US" w:eastAsia="zh-CN"/>
            </w:rPr>
            <w:t>公务用车购置及运行维护费变化情况</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5</w:t>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sz w:val="32"/>
              <w:szCs w:val="32"/>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_Toc2610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eastAsia="黑体"/>
              <w:sz w:val="32"/>
              <w:szCs w:val="32"/>
            </w:rPr>
            <w:t>六、政府性基金预算支出情况说明</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5</w:t>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sz w:val="32"/>
              <w:szCs w:val="32"/>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_Toc17731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eastAsia="黑体"/>
              <w:sz w:val="32"/>
              <w:szCs w:val="32"/>
              <w:lang w:val="en-US" w:eastAsia="zh-CN"/>
            </w:rPr>
            <w:t>七、</w:t>
          </w:r>
          <w:r>
            <w:rPr>
              <w:rFonts w:hint="eastAsia" w:ascii="宋体" w:hAnsi="宋体" w:eastAsia="黑体"/>
              <w:sz w:val="32"/>
              <w:szCs w:val="32"/>
            </w:rPr>
            <w:t>国有资本经营预算情况说明</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6</w:t>
          </w:r>
        </w:p>
        <w:p>
          <w:pPr>
            <w:pStyle w:val="15"/>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sz w:val="32"/>
              <w:szCs w:val="32"/>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_Toc20919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eastAsia="黑体"/>
              <w:sz w:val="32"/>
              <w:szCs w:val="32"/>
              <w:lang w:val="en-US" w:eastAsia="zh-CN"/>
            </w:rPr>
            <w:t>八、其他重要事项的情况说明</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6</w:t>
          </w:r>
        </w:p>
        <w:p>
          <w:pPr>
            <w:pStyle w:val="16"/>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sz w:val="32"/>
              <w:szCs w:val="32"/>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_Toc9621 </w:instrText>
          </w:r>
          <w:r>
            <w:rPr>
              <w:rFonts w:hint="eastAsia" w:ascii="宋体" w:hAnsi="宋体" w:eastAsia="方正小标宋简体" w:cs="方正小标宋简体"/>
              <w:bCs/>
              <w:sz w:val="32"/>
              <w:szCs w:val="32"/>
              <w:lang w:val="en-US" w:eastAsia="zh-CN"/>
            </w:rPr>
            <w:fldChar w:fldCharType="separate"/>
          </w:r>
          <w:r>
            <w:rPr>
              <w:rFonts w:ascii="宋体" w:hAnsi="宋体"/>
              <w:sz w:val="32"/>
              <w:szCs w:val="32"/>
            </w:rPr>
            <w:t>（一）机关运行经费情况</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6</w:t>
          </w:r>
        </w:p>
        <w:p>
          <w:pPr>
            <w:pStyle w:val="16"/>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sz w:val="32"/>
              <w:szCs w:val="32"/>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_Toc26552 </w:instrText>
          </w:r>
          <w:r>
            <w:rPr>
              <w:rFonts w:hint="eastAsia" w:ascii="宋体" w:hAnsi="宋体" w:eastAsia="方正小标宋简体" w:cs="方正小标宋简体"/>
              <w:bCs/>
              <w:sz w:val="32"/>
              <w:szCs w:val="32"/>
              <w:lang w:val="en-US" w:eastAsia="zh-CN"/>
            </w:rPr>
            <w:fldChar w:fldCharType="separate"/>
          </w:r>
          <w:r>
            <w:rPr>
              <w:rFonts w:ascii="宋体" w:hAnsi="宋体"/>
              <w:sz w:val="32"/>
              <w:szCs w:val="32"/>
            </w:rPr>
            <w:t>（二）政府采购情况</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7</w:t>
          </w:r>
        </w:p>
        <w:p>
          <w:pPr>
            <w:pStyle w:val="16"/>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sz w:val="32"/>
              <w:szCs w:val="32"/>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_Toc11208 </w:instrText>
          </w:r>
          <w:r>
            <w:rPr>
              <w:rFonts w:hint="eastAsia" w:ascii="宋体" w:hAnsi="宋体" w:eastAsia="方正小标宋简体" w:cs="方正小标宋简体"/>
              <w:bCs/>
              <w:sz w:val="32"/>
              <w:szCs w:val="32"/>
              <w:lang w:val="en-US" w:eastAsia="zh-CN"/>
            </w:rPr>
            <w:fldChar w:fldCharType="separate"/>
          </w:r>
          <w:r>
            <w:rPr>
              <w:rFonts w:ascii="宋体" w:hAnsi="宋体"/>
              <w:sz w:val="32"/>
              <w:szCs w:val="32"/>
            </w:rPr>
            <w:t>（三）国有资产占有使用情况</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7</w:t>
          </w:r>
        </w:p>
        <w:p>
          <w:pPr>
            <w:pStyle w:val="16"/>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sz w:val="32"/>
              <w:szCs w:val="32"/>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_Toc13599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sz w:val="32"/>
              <w:szCs w:val="32"/>
              <w:lang w:eastAsia="zh-CN"/>
            </w:rPr>
            <w:t>（</w:t>
          </w:r>
          <w:r>
            <w:rPr>
              <w:rFonts w:hint="eastAsia" w:ascii="宋体" w:hAnsi="宋体"/>
              <w:sz w:val="32"/>
              <w:szCs w:val="32"/>
              <w:lang w:val="en-US" w:eastAsia="zh-CN"/>
            </w:rPr>
            <w:t>四</w:t>
          </w:r>
          <w:r>
            <w:rPr>
              <w:rFonts w:hint="eastAsia" w:ascii="宋体" w:hAnsi="宋体"/>
              <w:sz w:val="32"/>
              <w:szCs w:val="32"/>
              <w:lang w:eastAsia="zh-CN"/>
            </w:rPr>
            <w:t>）</w:t>
          </w:r>
          <w:r>
            <w:rPr>
              <w:rFonts w:ascii="宋体" w:hAnsi="宋体"/>
              <w:sz w:val="32"/>
              <w:szCs w:val="32"/>
            </w:rPr>
            <w:t>预算绩效情况</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7</w:t>
          </w:r>
        </w:p>
        <w:p>
          <w:pPr>
            <w:pStyle w:val="14"/>
            <w:keepNext w:val="0"/>
            <w:keepLines w:val="0"/>
            <w:pageBreakBefore w:val="0"/>
            <w:widowControl/>
            <w:tabs>
              <w:tab w:val="right" w:leader="dot" w:pos="9812"/>
            </w:tabs>
            <w:kinsoku/>
            <w:wordWrap/>
            <w:overflowPunct/>
            <w:topLinePunct w:val="0"/>
            <w:autoSpaceDE/>
            <w:autoSpaceDN/>
            <w:bidi w:val="0"/>
            <w:adjustRightInd/>
            <w:snapToGrid/>
            <w:spacing w:line="560" w:lineRule="exact"/>
            <w:textAlignment w:val="auto"/>
            <w:rPr>
              <w:rFonts w:hint="default" w:ascii="宋体" w:hAnsi="宋体"/>
              <w:lang w:val="en-US"/>
            </w:rPr>
          </w:pPr>
          <w:r>
            <w:rPr>
              <w:rFonts w:hint="eastAsia" w:ascii="宋体" w:hAnsi="宋体" w:eastAsia="方正小标宋简体" w:cs="方正小标宋简体"/>
              <w:bCs/>
              <w:sz w:val="32"/>
              <w:szCs w:val="32"/>
              <w:lang w:val="en-US" w:eastAsia="zh-CN"/>
            </w:rPr>
            <w:fldChar w:fldCharType="begin"/>
          </w:r>
          <w:r>
            <w:rPr>
              <w:rFonts w:hint="eastAsia" w:ascii="宋体" w:hAnsi="宋体" w:eastAsia="方正小标宋简体" w:cs="方正小标宋简体"/>
              <w:bCs/>
              <w:sz w:val="32"/>
              <w:szCs w:val="32"/>
              <w:lang w:val="en-US" w:eastAsia="zh-CN"/>
            </w:rPr>
            <w:instrText xml:space="preserve"> HYPERLINK \l _Toc31157 </w:instrText>
          </w:r>
          <w:r>
            <w:rPr>
              <w:rFonts w:hint="eastAsia" w:ascii="宋体" w:hAnsi="宋体" w:eastAsia="方正小标宋简体" w:cs="方正小标宋简体"/>
              <w:bCs/>
              <w:sz w:val="32"/>
              <w:szCs w:val="32"/>
              <w:lang w:val="en-US" w:eastAsia="zh-CN"/>
            </w:rPr>
            <w:fldChar w:fldCharType="separate"/>
          </w:r>
          <w:r>
            <w:rPr>
              <w:rFonts w:hint="eastAsia" w:ascii="宋体" w:hAnsi="宋体" w:eastAsia="方正小标宋简体" w:cs="方正小标宋简体"/>
              <w:sz w:val="32"/>
              <w:szCs w:val="32"/>
              <w:lang w:val="en-US" w:eastAsia="zh-CN"/>
            </w:rPr>
            <w:t>第四部分  名词解释</w:t>
          </w:r>
          <w:r>
            <w:rPr>
              <w:rFonts w:ascii="宋体" w:hAnsi="宋体"/>
              <w:sz w:val="32"/>
              <w:szCs w:val="32"/>
            </w:rPr>
            <w:tab/>
          </w:r>
          <w:r>
            <w:rPr>
              <w:rFonts w:hint="eastAsia" w:ascii="宋体" w:hAnsi="宋体" w:eastAsia="宋体"/>
              <w:sz w:val="32"/>
              <w:szCs w:val="32"/>
              <w:lang w:val="en-US" w:eastAsia="zh-CN"/>
            </w:rPr>
            <w:t>1</w:t>
          </w:r>
          <w:r>
            <w:rPr>
              <w:rFonts w:hint="eastAsia" w:ascii="宋体" w:hAnsi="宋体" w:eastAsia="方正小标宋简体" w:cs="方正小标宋简体"/>
              <w:bCs/>
              <w:sz w:val="32"/>
              <w:szCs w:val="32"/>
              <w:lang w:val="en-US" w:eastAsia="zh-CN"/>
            </w:rPr>
            <w:fldChar w:fldCharType="end"/>
          </w:r>
          <w:r>
            <w:rPr>
              <w:rFonts w:hint="eastAsia" w:ascii="宋体" w:hAnsi="宋体" w:eastAsia="方正小标宋简体" w:cs="方正小标宋简体"/>
              <w:bCs/>
              <w:sz w:val="32"/>
              <w:szCs w:val="32"/>
              <w:lang w:val="en-US" w:eastAsia="zh-CN"/>
            </w:rPr>
            <w:t>8</w:t>
          </w:r>
        </w:p>
        <w:p>
          <w:pPr>
            <w:pStyle w:val="5"/>
            <w:tabs>
              <w:tab w:val="left" w:pos="4798"/>
            </w:tabs>
            <w:jc w:val="both"/>
            <w:rPr>
              <w:rFonts w:hint="eastAsia" w:ascii="宋体" w:hAnsi="宋体" w:eastAsia="方正小标宋简体" w:cs="方正小标宋简体"/>
              <w:b/>
              <w:bCs/>
              <w:sz w:val="48"/>
              <w:szCs w:val="48"/>
              <w:lang w:val="en-US" w:eastAsia="zh-CN"/>
            </w:rPr>
          </w:pPr>
          <w:r>
            <w:rPr>
              <w:rFonts w:hint="eastAsia" w:ascii="宋体" w:hAnsi="宋体" w:eastAsia="方正小标宋简体" w:cs="方正小标宋简体"/>
              <w:bCs/>
              <w:szCs w:val="48"/>
              <w:lang w:val="en-US" w:eastAsia="zh-CN"/>
            </w:rPr>
            <w:fldChar w:fldCharType="end"/>
          </w:r>
        </w:p>
      </w:sdtContent>
    </w:sdt>
    <w:p>
      <w:pPr>
        <w:pStyle w:val="5"/>
        <w:rPr>
          <w:rFonts w:ascii="宋体" w:hAnsi="宋体"/>
          <w:sz w:val="20"/>
        </w:rPr>
        <w:sectPr>
          <w:headerReference r:id="rId5" w:type="default"/>
          <w:footerReference r:id="rId6" w:type="default"/>
          <w:pgSz w:w="11910" w:h="16840"/>
          <w:pgMar w:top="1587" w:right="964" w:bottom="1701" w:left="1134" w:header="737" w:footer="737" w:gutter="0"/>
          <w:pgNumType w:fmt="decimal" w:start="1"/>
          <w:cols w:space="0" w:num="1"/>
          <w:rtlGutter w:val="0"/>
          <w:docGrid w:linePitch="0" w:charSpace="0"/>
        </w:sect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spacing w:before="3"/>
        <w:rPr>
          <w:rFonts w:ascii="宋体" w:hAnsi="宋体"/>
          <w:sz w:val="28"/>
        </w:rPr>
      </w:pPr>
    </w:p>
    <w:p>
      <w:pPr>
        <w:pStyle w:val="5"/>
        <w:numPr>
          <w:ilvl w:val="0"/>
          <w:numId w:val="3"/>
        </w:numPr>
        <w:jc w:val="center"/>
        <w:outlineLvl w:val="0"/>
        <w:rPr>
          <w:rFonts w:hint="eastAsia" w:ascii="宋体" w:hAnsi="宋体" w:eastAsia="方正小标宋简体" w:cs="方正小标宋简体"/>
          <w:b/>
          <w:bCs/>
          <w:sz w:val="52"/>
          <w:szCs w:val="52"/>
          <w:lang w:val="en-US" w:eastAsia="zh-CN"/>
        </w:rPr>
      </w:pPr>
      <w:bookmarkStart w:id="0" w:name="_Toc24981"/>
      <w:r>
        <w:rPr>
          <w:rFonts w:hint="eastAsia" w:ascii="宋体" w:hAnsi="宋体" w:eastAsia="方正小标宋简体" w:cs="方正小标宋简体"/>
          <w:b/>
          <w:bCs/>
          <w:sz w:val="52"/>
          <w:szCs w:val="52"/>
          <w:lang w:val="en-US" w:eastAsia="zh-CN"/>
        </w:rPr>
        <w:t>部门概况</w:t>
      </w:r>
      <w:bookmarkEnd w:id="0"/>
    </w:p>
    <w:p>
      <w:pPr>
        <w:pStyle w:val="5"/>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pPr>
    </w:p>
    <w:p>
      <w:pPr>
        <w:pStyle w:val="5"/>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pPr>
    </w:p>
    <w:p>
      <w:pPr>
        <w:pStyle w:val="5"/>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sectPr>
          <w:footerReference r:id="rId7" w:type="default"/>
          <w:pgSz w:w="11910" w:h="16840"/>
          <w:pgMar w:top="1587" w:right="964" w:bottom="1701" w:left="1134" w:header="737" w:footer="737" w:gutter="0"/>
          <w:pgNumType w:fmt="decimal" w:start="1"/>
          <w:cols w:space="0" w:num="1"/>
          <w:rtlGutter w:val="0"/>
          <w:docGrid w:linePitch="0" w:charSpace="0"/>
        </w:sectPr>
      </w:pPr>
    </w:p>
    <w:p>
      <w:pPr>
        <w:pStyle w:val="5"/>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outlineLvl w:val="1"/>
        <w:rPr>
          <w:rFonts w:hint="eastAsia" w:ascii="宋体" w:hAnsi="宋体" w:eastAsia="黑体"/>
          <w:color w:val="333333"/>
        </w:rPr>
      </w:pPr>
      <w:bookmarkStart w:id="1" w:name="_Toc977"/>
      <w:r>
        <w:rPr>
          <w:rFonts w:hint="eastAsia" w:ascii="宋体" w:hAnsi="宋体" w:eastAsia="黑体"/>
          <w:color w:val="333333"/>
        </w:rPr>
        <w:t>一、基本职能及主要工作</w:t>
      </w:r>
      <w:bookmarkEnd w:id="1"/>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hint="eastAsia" w:ascii="宋体" w:hAnsi="宋体" w:eastAsia="楷体"/>
          <w:lang w:eastAsia="zh-CN"/>
        </w:rPr>
      </w:pPr>
      <w:bookmarkStart w:id="2" w:name="_Toc5540"/>
      <w:r>
        <w:rPr>
          <w:rFonts w:ascii="宋体" w:hAnsi="宋体"/>
        </w:rPr>
        <w:t>（一）部门职能简介</w:t>
      </w:r>
      <w:bookmarkEnd w:id="2"/>
    </w:p>
    <w:p>
      <w:pPr>
        <w:keepNext w:val="0"/>
        <w:keepLines w:val="0"/>
        <w:pageBreakBefore w:val="0"/>
        <w:widowControl w:val="0"/>
        <w:kinsoku/>
        <w:wordWrap/>
        <w:overflowPunct/>
        <w:topLinePunct w:val="0"/>
        <w:autoSpaceDE/>
        <w:autoSpaceDN/>
        <w:bidi w:val="0"/>
        <w:adjustRightInd/>
        <w:spacing w:line="540" w:lineRule="exact"/>
        <w:ind w:firstLine="600" w:firstLineChars="200"/>
        <w:textAlignment w:val="auto"/>
        <w:rPr>
          <w:rFonts w:hint="eastAsia" w:ascii="仿宋_GB2312" w:hAnsi="仿宋_GB2312" w:eastAsia="仿宋_GB2312" w:cs="仿宋_GB2312"/>
          <w:sz w:val="32"/>
          <w:szCs w:val="32"/>
          <w:lang w:val="en-US" w:eastAsia="zh-CN"/>
        </w:rPr>
      </w:pPr>
      <w:bookmarkStart w:id="3" w:name="_Toc29132"/>
      <w:r>
        <w:rPr>
          <w:rFonts w:hint="eastAsia" w:ascii="宋体" w:hAnsi="宋体" w:cs="宋体"/>
          <w:bCs/>
          <w:color w:val="000000"/>
          <w:sz w:val="30"/>
          <w:szCs w:val="30"/>
        </w:rPr>
        <w:t>主要职能。</w:t>
      </w:r>
      <w:bookmarkStart w:id="4" w:name="_Toc15378446"/>
      <w:bookmarkStart w:id="5" w:name="_Toc15377199"/>
      <w:r>
        <w:rPr>
          <w:rFonts w:hint="eastAsia" w:ascii="仿宋_GB2312" w:hAnsi="Calibri" w:eastAsia="仿宋_GB2312" w:cs="Times New Roman"/>
          <w:kern w:val="2"/>
          <w:sz w:val="32"/>
          <w:szCs w:val="32"/>
          <w:lang w:val="zh-CN" w:eastAsia="zh-CN" w:bidi="ar-SA"/>
        </w:rPr>
        <w:t>根据乐山市五通桥区委办公室、乐山市五通桥区人民政府办公室《关于印发乐山市五通桥区住房和城乡建设局职能配置、内设机构和人员编制规定的通知》（五委办发〔2019〕27 号）的精神，贯彻国家、省、市住房和城乡建设的法律、法规和方针、政策。研究拟订全区住房保障、工程建设、城市建设、村镇建设、建筑业、房屋装饰装修业、住宅与房地产业、市政公用、园林绿化和城市市容环境卫生管理的有关规定以及相关发展战略并指导实施，进行行业管理；负责本系统、本部门依法行政工作。承担推进住房制度改革，保障城镇低收入家庭住房的职责。贯彻国家、省、市住房及住房保障相关政策，会同有关部门做好国家、省、市有关保障性住房资金安排并组织实施；编制住房保障发展规划和年度计划并组织实施。承担规范全区房地产市场秩序、监督管理房地产市场的职责。贯彻执行房地产市场监督管理政策，会同有关部门拟订相关配套办法；指导城镇土地使用有偿转让和开发利用工作；拟订房地产业发展规划；贯彻房地产业政策和房地产开发、房屋租赁、房屋面积管理、危房鉴定、白蚁防治、房地产估价与经济管理、物业管理、国有土地上房屋征收、棚户区改造的规章制度并监督执行。承担监督管理建筑市场、规范市场各方主体行为的职责。承担全区城镇基础设施建设项目的实施工作和建设管理的责任。承担城市园林绿化管理和历史文化名城保护工作。负责城市公园、城市广场、城市雕塑的建设、维护和管理工作；负责城区古树名木的管理工作；负责城市园林绿化中有害生物的防治工作。承担市容市貌和环境卫生管理的职责。承担推进建筑节能、城镇减排的职责。承担贯彻执行国家关于人民防空工作的方针、政策和法律、法规。负责制定防空袭各种保障计划、方案；检查、指导城市防空抗毁能力各项措施的落实；制定人民防空工程、通信、警报建设的规划和计划；组织对城市和经济目标的防控建设进行监督、检查和管理。拟定住房和城乡建设行业人才培养和教育发展规划并组织实施；指导住房和城乡建设行业科技人才队伍建设和执业资格管理工作；指导和监督管理住房和城乡建设行业协会、学会以及相关社会中介组织。负责建设工程抗震设防工作；执行房屋建筑和市政设施抗震技术地方规范和标准图集；负责编制城镇建设抗震规划，组织开展全区建筑物抗震性能普查、鉴定加固和改造工作；指导我区城市地下空间的开发利用；指导和组织灾后恢复重建工作。承担全区工程建设标准体系组织实施的责任。组织实施工程建设实施阶段的国家标准、全国统一定额和行业标准定额；贯彻执行建设项目可行性研究评价方法、经济参数、建设标准和工程造价的管理制度，拟订工程建设的地方标准并上报审批；指导监督各类工程建设标准定额的实施和工程造价计价；组织发布工程造价信息。承担贯彻执行区政府非经营性投资项目“代建制”的责任。负责区政府非经营性投资有关项目“代建制”的推行。负责职责范围内的安全生产和职业健康、生态环境保护等工作。完成区委、区政府交办的其他任务。</w:t>
      </w:r>
    </w:p>
    <w:p>
      <w:pPr>
        <w:pStyle w:val="4"/>
        <w:keepNext w:val="0"/>
        <w:keepLines w:val="0"/>
        <w:pageBreakBefore w:val="0"/>
        <w:widowControl w:val="0"/>
        <w:kinsoku/>
        <w:wordWrap/>
        <w:overflowPunct/>
        <w:topLinePunct w:val="0"/>
        <w:autoSpaceDE w:val="0"/>
        <w:autoSpaceDN w:val="0"/>
        <w:bidi w:val="0"/>
        <w:adjustRightInd/>
        <w:snapToGrid/>
        <w:spacing w:before="190"/>
        <w:ind w:left="0" w:leftChars="0" w:firstLine="964" w:firstLineChars="300"/>
        <w:textAlignment w:val="auto"/>
        <w:rPr>
          <w:rFonts w:hint="eastAsia" w:ascii="宋体" w:hAnsi="宋体"/>
        </w:rPr>
      </w:pPr>
      <w:r>
        <w:rPr>
          <w:rFonts w:ascii="宋体" w:hAnsi="宋体"/>
        </w:rPr>
        <w:t>（二）部门</w:t>
      </w:r>
      <w:r>
        <w:rPr>
          <w:rFonts w:hint="eastAsia" w:ascii="宋体" w:hAnsi="宋体"/>
          <w:lang w:val="en-US" w:eastAsia="zh-CN"/>
        </w:rPr>
        <w:t>2024</w:t>
      </w:r>
      <w:r>
        <w:rPr>
          <w:rFonts w:ascii="宋体" w:hAnsi="宋体"/>
        </w:rPr>
        <w:t>年重点工</w:t>
      </w:r>
      <w:r>
        <w:rPr>
          <w:rFonts w:hint="eastAsia" w:ascii="宋体" w:hAnsi="宋体"/>
        </w:rPr>
        <w:t>作</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sz w:val="32"/>
          <w:szCs w:val="32"/>
          <w:lang w:val="en-US" w:eastAsia="zh-CN"/>
        </w:rPr>
        <w:t>1.</w:t>
      </w:r>
      <w:r>
        <w:rPr>
          <w:rFonts w:hint="eastAsia" w:ascii="楷体_GB2312" w:hAnsi="楷体_GB2312" w:eastAsia="楷体_GB2312" w:cs="楷体_GB2312"/>
          <w:b/>
          <w:bCs/>
          <w:sz w:val="32"/>
          <w:szCs w:val="32"/>
          <w:lang w:val="en-US" w:eastAsia="zh-CN"/>
        </w:rPr>
        <w:t>项目建设方面。</w:t>
      </w:r>
      <w:r>
        <w:rPr>
          <w:rFonts w:hint="eastAsia" w:ascii="仿宋_GB2312" w:hAnsi="仿宋_GB2312" w:eastAsia="仿宋_GB2312" w:cs="仿宋_GB2312"/>
          <w:sz w:val="32"/>
          <w:szCs w:val="32"/>
          <w:lang w:val="en-US" w:eastAsia="zh-CN"/>
        </w:rPr>
        <w:t>开工建设五通桥区长江经济带绿色发展（岷江流域）建设项目一期一标段（汤家坝大桥至连接线大桥段）、乐山市五通桥区长江经济带绿色发展（岷江流域）建设项目一期二标段、乐山市五通桥区长江经济带绿色发展（岷江流域）建设项目一期三标段、老旧小区改造、王爷庙农贸市场改造5个重点项目。全力推进2023年第三轮“三大目标”百日攻坚行动重点项目实施。</w:t>
      </w:r>
    </w:p>
    <w:p>
      <w:pPr>
        <w:pStyle w:val="2"/>
        <w:keepNext w:val="0"/>
        <w:keepLines w:val="0"/>
        <w:pageBreakBefore w:val="0"/>
        <w:kinsoku/>
        <w:wordWrap/>
        <w:overflowPunct/>
        <w:topLinePunct w:val="0"/>
        <w:autoSpaceDE/>
        <w:autoSpaceDN/>
        <w:bidi w:val="0"/>
        <w:adjustRightInd/>
        <w:snapToGrid/>
        <w:spacing w:line="50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2.城市管理方面。</w:t>
      </w:r>
      <w:r>
        <w:rPr>
          <w:rFonts w:hint="eastAsia" w:ascii="仿宋_GB2312" w:hAnsi="仿宋_GB2312" w:eastAsia="仿宋_GB2312" w:cs="仿宋_GB2312"/>
          <w:b w:val="0"/>
          <w:bCs w:val="0"/>
          <w:color w:val="auto"/>
          <w:sz w:val="32"/>
          <w:szCs w:val="32"/>
          <w:lang w:val="en-US" w:eastAsia="zh-CN"/>
        </w:rPr>
        <w:t>一是继续抓好市政设施的维护和管理，加强对市政设施、路灯以及提升泵站的日常巡查力度，发现问题及时处理，做到路平、灯亮、下水道畅通、市政设施完好。二是加强中心城区清扫保洁力度，城市生活垃圾做到日产日清，加强环卫设施管理，继续推进城乡生活垃圾分类工作等。三是加强城区绿化带定人定岗日常巡查、保洁管理，认真抓好城区园林绿化排危除险以及各公园的清洁维护和森林防火等工作，做好节假日鲜花摆放工作。</w:t>
      </w:r>
    </w:p>
    <w:p>
      <w:pPr>
        <w:keepNext w:val="0"/>
        <w:keepLines w:val="0"/>
        <w:pageBreakBefore w:val="0"/>
        <w:kinsoku/>
        <w:wordWrap/>
        <w:overflowPunct/>
        <w:topLinePunct w:val="0"/>
        <w:autoSpaceDE/>
        <w:autoSpaceDN/>
        <w:bidi w:val="0"/>
        <w:adjustRightInd/>
        <w:snapToGrid/>
        <w:spacing w:line="500" w:lineRule="exact"/>
        <w:ind w:firstLine="643" w:firstLineChars="200"/>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val="en-US"/>
        </w:rPr>
        <w:t>行业监管方面。</w:t>
      </w:r>
      <w:r>
        <w:rPr>
          <w:rFonts w:hint="eastAsia" w:ascii="仿宋_GB2312" w:hAnsi="仿宋_GB2312" w:eastAsia="仿宋_GB2312" w:cs="仿宋_GB2312"/>
          <w:sz w:val="32"/>
          <w:szCs w:val="32"/>
          <w:lang w:val="en-US"/>
        </w:rPr>
        <w:t>一是持续强化监管力度，落实监管责任，做好安全生产“排险除患”专项执法行动相关工作，推进建设工程施工质量标准化管理工作，进一步规范和提升施工现场质量管理水平，提升工程质量品质。二是进一步加强房地产法律、法规的宣传和贯彻执行，进一步加强房地产市场监管，促进我区房地产市场健康发展。三是深入指导物业管理工作，加大相关政策宣传力度，使物业管理行业工作更规范。</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4.住房保障方面。</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加强督促指导，</w:t>
      </w:r>
      <w:r>
        <w:rPr>
          <w:rFonts w:hint="eastAsia" w:ascii="仿宋_GB2312" w:hAnsi="仿宋_GB2312" w:eastAsia="仿宋_GB2312" w:cs="仿宋_GB2312"/>
          <w:sz w:val="32"/>
          <w:szCs w:val="32"/>
          <w:lang w:val="en-US" w:eastAsia="zh-CN"/>
        </w:rPr>
        <w:t>加快老旧小区改造和电梯加装进度，力争保质保量完成目标任务，改善居民生活小区人居环境。</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进一步规范保障性住房日常管理制度，严格执行动态管理。加强公房巡查、维修力度，确保住户生命财产安全。</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积极开展自建房安全隐患排查工作，有效保障住房安全。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32"/>
          <w:lang w:val="en-US" w:eastAsia="zh-CN"/>
        </w:rPr>
      </w:pPr>
    </w:p>
    <w:p>
      <w:pPr>
        <w:spacing w:line="640" w:lineRule="exact"/>
        <w:ind w:firstLine="640" w:firstLineChars="200"/>
        <w:rPr>
          <w:rFonts w:hint="eastAsia" w:ascii="仿宋_GB2312" w:hAnsi="Calibri" w:eastAsia="仿宋_GB2312" w:cs="Times New Roman"/>
          <w:kern w:val="2"/>
          <w:sz w:val="32"/>
          <w:szCs w:val="32"/>
          <w:lang w:val="zh-CN" w:eastAsia="zh-CN" w:bidi="ar-SA"/>
        </w:rPr>
      </w:pPr>
    </w:p>
    <w:bookmarkEnd w:id="3"/>
    <w:bookmarkEnd w:id="4"/>
    <w:bookmarkEnd w:id="5"/>
    <w:p>
      <w:pPr>
        <w:pStyle w:val="5"/>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outlineLvl w:val="1"/>
        <w:rPr>
          <w:rFonts w:hint="eastAsia" w:ascii="宋体" w:hAnsi="宋体" w:eastAsia="黑体"/>
          <w:color w:val="333333"/>
        </w:rPr>
      </w:pPr>
      <w:bookmarkStart w:id="6" w:name="_Toc30432"/>
      <w:r>
        <w:rPr>
          <w:rFonts w:hint="eastAsia" w:ascii="宋体" w:hAnsi="宋体" w:eastAsia="黑体"/>
          <w:color w:val="333333"/>
        </w:rPr>
        <w:t>二、部门预算单位构成</w:t>
      </w:r>
      <w:bookmarkEnd w:id="6"/>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部门下属预算单位6个（含局机关），其中行政单位1个，参照公务员法管理的事业单位0个，其他事业单位5个。主要包括：</w:t>
      </w:r>
    </w:p>
    <w:tbl>
      <w:tblPr>
        <w:tblStyle w:val="8"/>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7"/>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007" w:type="dxa"/>
          </w:tcPr>
          <w:p>
            <w:pPr>
              <w:pStyle w:val="13"/>
              <w:spacing w:before="159"/>
              <w:ind w:left="748"/>
              <w:rPr>
                <w:rFonts w:hint="eastAsia" w:ascii="宋体" w:hAnsi="宋体" w:eastAsia="仿宋_GB2312"/>
                <w:sz w:val="32"/>
              </w:rPr>
            </w:pPr>
            <w:r>
              <w:rPr>
                <w:rFonts w:hint="eastAsia" w:ascii="宋体" w:hAnsi="宋体" w:eastAsia="仿宋_GB2312"/>
                <w:color w:val="333333"/>
                <w:sz w:val="32"/>
              </w:rPr>
              <w:t>序号</w:t>
            </w:r>
          </w:p>
        </w:tc>
        <w:tc>
          <w:tcPr>
            <w:tcW w:w="6282" w:type="dxa"/>
          </w:tcPr>
          <w:p>
            <w:pPr>
              <w:pStyle w:val="13"/>
              <w:spacing w:before="159"/>
              <w:ind w:left="2498"/>
              <w:rPr>
                <w:rFonts w:hint="eastAsia" w:ascii="宋体" w:hAnsi="宋体" w:eastAsia="仿宋_GB2312"/>
                <w:sz w:val="32"/>
              </w:rPr>
            </w:pPr>
            <w:r>
              <w:rPr>
                <w:rFonts w:hint="eastAsia" w:ascii="宋体" w:hAnsi="宋体" w:eastAsia="仿宋_GB2312"/>
                <w:color w:val="333333"/>
                <w:sz w:val="32"/>
              </w:rPr>
              <w:t>预算单位名称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007" w:type="dxa"/>
          </w:tcPr>
          <w:p>
            <w:pPr>
              <w:pStyle w:val="13"/>
              <w:spacing w:before="181"/>
              <w:ind w:left="748"/>
              <w:rPr>
                <w:rFonts w:ascii="宋体" w:hAnsi="宋体"/>
                <w:sz w:val="32"/>
              </w:rPr>
            </w:pPr>
            <w:r>
              <w:rPr>
                <w:rFonts w:ascii="宋体" w:hAnsi="宋体"/>
                <w:color w:val="333333"/>
                <w:w w:val="99"/>
                <w:sz w:val="32"/>
              </w:rPr>
              <w:t>1</w:t>
            </w:r>
          </w:p>
        </w:tc>
        <w:tc>
          <w:tcPr>
            <w:tcW w:w="6282" w:type="dxa"/>
            <w:vAlign w:val="top"/>
          </w:tcPr>
          <w:p>
            <w:pPr>
              <w:pStyle w:val="13"/>
              <w:spacing w:before="160"/>
              <w:ind w:left="746" w:leftChars="0" w:right="0" w:rightChars="0"/>
              <w:rPr>
                <w:rFonts w:hint="eastAsia" w:ascii="宋体" w:hAnsi="宋体" w:eastAsia="仿宋_GB2312"/>
                <w:sz w:val="32"/>
              </w:rPr>
            </w:pPr>
            <w:r>
              <w:rPr>
                <w:rFonts w:hint="eastAsia" w:ascii="仿宋" w:hAnsi="仿宋" w:eastAsia="仿宋" w:cs="仿宋"/>
                <w:color w:val="333333"/>
                <w:lang w:eastAsia="zh-CN"/>
              </w:rPr>
              <w:t>乐山市五通桥区住房和城乡建设局机关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3"/>
              <w:spacing w:before="183"/>
              <w:ind w:left="748"/>
              <w:rPr>
                <w:rFonts w:ascii="宋体" w:hAnsi="宋体"/>
                <w:sz w:val="32"/>
              </w:rPr>
            </w:pPr>
            <w:r>
              <w:rPr>
                <w:rFonts w:ascii="宋体" w:hAnsi="宋体"/>
                <w:color w:val="333333"/>
                <w:w w:val="99"/>
                <w:sz w:val="32"/>
              </w:rPr>
              <w:t>2</w:t>
            </w:r>
          </w:p>
        </w:tc>
        <w:tc>
          <w:tcPr>
            <w:tcW w:w="6282" w:type="dxa"/>
            <w:vAlign w:val="top"/>
          </w:tcPr>
          <w:p>
            <w:pPr>
              <w:pStyle w:val="13"/>
              <w:spacing w:before="162"/>
              <w:ind w:left="746" w:leftChars="0" w:right="0" w:rightChars="0"/>
              <w:rPr>
                <w:rFonts w:hint="eastAsia" w:ascii="宋体" w:hAnsi="宋体" w:eastAsia="仿宋_GB2312"/>
                <w:sz w:val="32"/>
              </w:rPr>
            </w:pPr>
            <w:r>
              <w:rPr>
                <w:rFonts w:hint="eastAsia" w:ascii="仿宋" w:hAnsi="仿宋" w:eastAsia="仿宋" w:cs="仿宋"/>
                <w:color w:val="333333"/>
                <w:lang w:eastAsia="zh-CN"/>
              </w:rPr>
              <w:t>五通桥区住房和城乡建设局环境卫生管理所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3"/>
              <w:spacing w:before="183"/>
              <w:ind w:left="748"/>
              <w:rPr>
                <w:rFonts w:ascii="宋体" w:hAnsi="宋体"/>
                <w:sz w:val="32"/>
              </w:rPr>
            </w:pPr>
            <w:r>
              <w:rPr>
                <w:rFonts w:ascii="宋体" w:hAnsi="宋体"/>
                <w:color w:val="333333"/>
                <w:w w:val="99"/>
                <w:sz w:val="32"/>
              </w:rPr>
              <w:t>3</w:t>
            </w:r>
          </w:p>
        </w:tc>
        <w:tc>
          <w:tcPr>
            <w:tcW w:w="6282" w:type="dxa"/>
            <w:vAlign w:val="top"/>
          </w:tcPr>
          <w:p>
            <w:pPr>
              <w:pStyle w:val="13"/>
              <w:spacing w:before="162"/>
              <w:ind w:left="746" w:leftChars="0" w:right="0" w:rightChars="0"/>
              <w:rPr>
                <w:rFonts w:hint="eastAsia" w:ascii="宋体" w:hAnsi="宋体" w:eastAsia="仿宋_GB2312"/>
                <w:sz w:val="32"/>
              </w:rPr>
            </w:pPr>
            <w:r>
              <w:rPr>
                <w:rFonts w:hint="eastAsia" w:ascii="仿宋" w:hAnsi="仿宋" w:eastAsia="仿宋" w:cs="仿宋"/>
                <w:color w:val="333333"/>
                <w:lang w:eastAsia="zh-CN"/>
              </w:rPr>
              <w:t>五通桥区住房和城乡建设局市政管理所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07" w:type="dxa"/>
          </w:tcPr>
          <w:p>
            <w:pPr>
              <w:pStyle w:val="13"/>
              <w:spacing w:before="183"/>
              <w:ind w:left="748"/>
              <w:rPr>
                <w:rFonts w:ascii="宋体" w:hAnsi="宋体"/>
                <w:sz w:val="32"/>
              </w:rPr>
            </w:pPr>
            <w:r>
              <w:rPr>
                <w:rFonts w:ascii="宋体" w:hAnsi="宋体"/>
                <w:color w:val="333333"/>
                <w:w w:val="99"/>
                <w:sz w:val="32"/>
              </w:rPr>
              <w:t>4</w:t>
            </w:r>
          </w:p>
        </w:tc>
        <w:tc>
          <w:tcPr>
            <w:tcW w:w="6282" w:type="dxa"/>
            <w:vAlign w:val="top"/>
          </w:tcPr>
          <w:p>
            <w:pPr>
              <w:pStyle w:val="13"/>
              <w:spacing w:before="162"/>
              <w:ind w:left="746" w:leftChars="0" w:right="0" w:rightChars="0"/>
              <w:rPr>
                <w:rFonts w:hint="eastAsia" w:ascii="宋体" w:hAnsi="宋体" w:eastAsia="仿宋_GB2312"/>
                <w:sz w:val="32"/>
              </w:rPr>
            </w:pPr>
            <w:r>
              <w:rPr>
                <w:rFonts w:hint="eastAsia" w:ascii="仿宋" w:hAnsi="仿宋" w:eastAsia="仿宋" w:cs="仿宋"/>
                <w:color w:val="333333"/>
                <w:lang w:eastAsia="zh-CN"/>
              </w:rPr>
              <w:t>五通桥区住房和城乡建设局风景园林所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3"/>
              <w:spacing w:before="183"/>
              <w:ind w:left="748"/>
              <w:rPr>
                <w:rFonts w:ascii="宋体" w:hAnsi="宋体"/>
                <w:sz w:val="32"/>
              </w:rPr>
            </w:pPr>
            <w:r>
              <w:rPr>
                <w:rFonts w:ascii="宋体" w:hAnsi="宋体"/>
                <w:color w:val="333333"/>
                <w:w w:val="99"/>
                <w:sz w:val="32"/>
              </w:rPr>
              <w:t>5</w:t>
            </w:r>
          </w:p>
        </w:tc>
        <w:tc>
          <w:tcPr>
            <w:tcW w:w="6282" w:type="dxa"/>
            <w:vAlign w:val="top"/>
          </w:tcPr>
          <w:p>
            <w:pPr>
              <w:pStyle w:val="13"/>
              <w:spacing w:before="162"/>
              <w:ind w:left="746" w:leftChars="0" w:right="0" w:rightChars="0"/>
              <w:rPr>
                <w:rFonts w:hint="eastAsia" w:ascii="宋体" w:hAnsi="宋体" w:eastAsia="仿宋_GB2312"/>
                <w:sz w:val="32"/>
              </w:rPr>
            </w:pPr>
            <w:r>
              <w:rPr>
                <w:rFonts w:hint="eastAsia" w:ascii="仿宋" w:hAnsi="仿宋" w:eastAsia="仿宋" w:cs="仿宋"/>
                <w:color w:val="333333"/>
                <w:lang w:eastAsia="zh-CN"/>
              </w:rPr>
              <w:t>五通桥区住房和城乡建设局房地产管理所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3"/>
              <w:spacing w:before="184"/>
              <w:ind w:left="748"/>
              <w:rPr>
                <w:rFonts w:ascii="宋体" w:hAnsi="宋体"/>
                <w:sz w:val="32"/>
              </w:rPr>
            </w:pPr>
            <w:r>
              <w:rPr>
                <w:rFonts w:ascii="宋体" w:hAnsi="宋体"/>
                <w:color w:val="333333"/>
                <w:w w:val="99"/>
                <w:sz w:val="32"/>
              </w:rPr>
              <w:t>6</w:t>
            </w:r>
          </w:p>
        </w:tc>
        <w:tc>
          <w:tcPr>
            <w:tcW w:w="6282" w:type="dxa"/>
            <w:vAlign w:val="top"/>
          </w:tcPr>
          <w:p>
            <w:pPr>
              <w:pStyle w:val="13"/>
              <w:spacing w:before="162"/>
              <w:ind w:left="746" w:leftChars="0" w:right="0" w:rightChars="0"/>
              <w:rPr>
                <w:rFonts w:hint="eastAsia" w:ascii="宋体" w:hAnsi="宋体" w:eastAsia="仿宋_GB2312"/>
                <w:sz w:val="32"/>
              </w:rPr>
            </w:pPr>
            <w:r>
              <w:rPr>
                <w:rFonts w:hint="eastAsia" w:ascii="仿宋" w:hAnsi="仿宋" w:eastAsia="仿宋" w:cs="仿宋"/>
                <w:color w:val="333333"/>
                <w:lang w:eastAsia="zh-CN"/>
              </w:rPr>
              <w:t>五通桥区建设工程质量安全监督站</w:t>
            </w:r>
          </w:p>
        </w:tc>
      </w:tr>
    </w:tbl>
    <w:p>
      <w:pPr>
        <w:rPr>
          <w:rFonts w:ascii="宋体" w:hAnsi="宋体"/>
          <w:sz w:val="20"/>
        </w:rPr>
      </w:pPr>
      <w:r>
        <w:rPr>
          <w:rFonts w:ascii="宋体" w:hAnsi="宋体"/>
          <w:sz w:val="20"/>
        </w:rPr>
        <w:br w:type="page"/>
      </w:r>
    </w:p>
    <w:p>
      <w:pPr>
        <w:pStyle w:val="5"/>
        <w:numPr>
          <w:ilvl w:val="0"/>
          <w:numId w:val="4"/>
        </w:numPr>
        <w:jc w:val="center"/>
        <w:outlineLvl w:val="0"/>
        <w:rPr>
          <w:rFonts w:hint="default" w:ascii="宋体" w:hAnsi="宋体" w:eastAsia="方正小标宋简体" w:cs="方正小标宋简体"/>
          <w:b/>
          <w:bCs/>
          <w:sz w:val="52"/>
          <w:szCs w:val="52"/>
          <w:lang w:val="en-US" w:eastAsia="zh-CN"/>
        </w:rPr>
      </w:pPr>
      <w:bookmarkStart w:id="7" w:name="_Toc28587"/>
      <w:r>
        <w:rPr>
          <w:rFonts w:hint="eastAsia" w:ascii="宋体" w:hAnsi="宋体" w:eastAsia="方正小标宋简体" w:cs="方正小标宋简体"/>
          <w:b/>
          <w:bCs/>
          <w:sz w:val="52"/>
          <w:szCs w:val="52"/>
          <w:lang w:val="en-US" w:eastAsia="zh-CN"/>
        </w:rPr>
        <w:t>区住建局2024年部门预算表</w:t>
      </w:r>
      <w:bookmarkEnd w:id="7"/>
    </w:p>
    <w:p>
      <w:pPr>
        <w:keepNext w:val="0"/>
        <w:keepLines w:val="0"/>
        <w:pageBreakBefore w:val="0"/>
        <w:widowControl w:val="0"/>
        <w:kinsoku/>
        <w:wordWrap/>
        <w:overflowPunct/>
        <w:topLinePunct w:val="0"/>
        <w:autoSpaceDE/>
        <w:autoSpaceDN/>
        <w:bidi w:val="0"/>
        <w:adjustRightInd/>
        <w:spacing w:line="540" w:lineRule="exact"/>
        <w:rPr>
          <w:rFonts w:hint="eastAsia" w:ascii="仿宋_GB2312" w:hAnsi="仿宋_GB2312" w:eastAsia="仿宋_GB2312" w:cs="仿宋_GB2312"/>
          <w:sz w:val="32"/>
          <w:szCs w:val="32"/>
          <w:lang w:eastAsia="zh-CN"/>
        </w:rPr>
      </w:pP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p>
    <w:p>
      <w:pPr>
        <w:rPr>
          <w:rFonts w:hint="eastAsia" w:ascii="宋体" w:hAnsi="宋体"/>
          <w:sz w:val="32"/>
          <w:lang w:val="en-US" w:eastAsia="zh-CN"/>
        </w:rPr>
      </w:pPr>
      <w:r>
        <w:rPr>
          <w:rFonts w:ascii="宋体" w:hAnsi="宋体"/>
          <w:color w:val="333333"/>
        </w:rPr>
        <w:br w:type="page"/>
      </w: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right="660" w:rightChars="300" w:firstLine="640" w:firstLineChars="200"/>
        <w:jc w:val="left"/>
        <w:textAlignment w:val="auto"/>
        <w:outlineLvl w:val="1"/>
        <w:rPr>
          <w:rFonts w:hint="eastAsia" w:ascii="宋体" w:hAnsi="宋体"/>
          <w:sz w:val="32"/>
          <w:lang w:val="en-US" w:eastAsia="zh-CN"/>
        </w:rPr>
      </w:pPr>
      <w:bookmarkStart w:id="8" w:name="_Toc12069"/>
      <w:r>
        <w:rPr>
          <w:rFonts w:hint="eastAsia" w:ascii="宋体" w:hAnsi="宋体"/>
          <w:sz w:val="32"/>
          <w:lang w:val="en-US" w:eastAsia="zh-CN"/>
        </w:rPr>
        <w:t>一、部门收支总表（公开表 1）</w:t>
      </w:r>
      <w:bookmarkEnd w:id="8"/>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9" w:name="_Toc27995"/>
      <w:r>
        <w:rPr>
          <w:rFonts w:hint="eastAsia" w:ascii="宋体" w:hAnsi="宋体"/>
          <w:sz w:val="32"/>
          <w:lang w:val="en-US" w:eastAsia="zh-CN"/>
        </w:rPr>
        <w:t>二、部门收入总表（公开表 1-1）</w:t>
      </w:r>
      <w:bookmarkEnd w:id="9"/>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0" w:name="_Toc3639"/>
      <w:r>
        <w:rPr>
          <w:rFonts w:hint="eastAsia" w:ascii="宋体" w:hAnsi="宋体"/>
          <w:sz w:val="32"/>
          <w:lang w:val="en-US" w:eastAsia="zh-CN"/>
        </w:rPr>
        <w:t>三、部门支出总表（公开表 1-2）</w:t>
      </w:r>
      <w:bookmarkEnd w:id="10"/>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1" w:name="_Toc25815"/>
      <w:r>
        <w:rPr>
          <w:rFonts w:hint="eastAsia" w:ascii="宋体" w:hAnsi="宋体"/>
          <w:sz w:val="32"/>
          <w:lang w:val="en-US" w:eastAsia="zh-CN"/>
        </w:rPr>
        <w:t>四、财政拨款收支预算总表（公开表 2）</w:t>
      </w:r>
      <w:bookmarkEnd w:id="11"/>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2" w:name="_Toc4686"/>
      <w:r>
        <w:rPr>
          <w:rFonts w:hint="eastAsia" w:ascii="宋体" w:hAnsi="宋体"/>
          <w:sz w:val="32"/>
          <w:lang w:val="en-US" w:eastAsia="zh-CN"/>
        </w:rPr>
        <w:t>五、财政拨款支出预算表（部门经济分类科目）</w:t>
      </w:r>
      <w:bookmarkEnd w:id="12"/>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right="660" w:rightChars="300"/>
        <w:jc w:val="left"/>
        <w:textAlignment w:val="auto"/>
        <w:rPr>
          <w:rFonts w:hint="eastAsia" w:ascii="宋体" w:hAnsi="宋体"/>
          <w:sz w:val="32"/>
          <w:lang w:val="en-US" w:eastAsia="zh-CN"/>
        </w:rPr>
      </w:pPr>
      <w:r>
        <w:rPr>
          <w:rFonts w:hint="eastAsia" w:ascii="宋体" w:hAnsi="宋体"/>
          <w:sz w:val="32"/>
          <w:lang w:val="en-US" w:eastAsia="zh-CN"/>
        </w:rPr>
        <w:t>（公开表 2-1）</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3" w:name="_Toc7952"/>
      <w:r>
        <w:rPr>
          <w:rFonts w:hint="eastAsia" w:ascii="宋体" w:hAnsi="宋体"/>
          <w:sz w:val="32"/>
          <w:lang w:val="en-US" w:eastAsia="zh-CN"/>
        </w:rPr>
        <w:t>六、一般公共预算支出预算表（公开表 3）</w:t>
      </w:r>
      <w:bookmarkEnd w:id="13"/>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4" w:name="_Toc32200"/>
      <w:r>
        <w:rPr>
          <w:rFonts w:hint="eastAsia" w:ascii="宋体" w:hAnsi="宋体"/>
          <w:sz w:val="32"/>
          <w:lang w:val="en-US" w:eastAsia="zh-CN"/>
        </w:rPr>
        <w:t>七、一般公共预算基本支出预算表（公开表 3-1）</w:t>
      </w:r>
      <w:bookmarkEnd w:id="14"/>
      <w:r>
        <w:rPr>
          <w:rFonts w:hint="eastAsia" w:ascii="宋体" w:hAnsi="宋体"/>
          <w:sz w:val="32"/>
          <w:lang w:val="en-US" w:eastAsia="zh-CN"/>
        </w:rPr>
        <w:t xml:space="preserve"> </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5" w:name="_Toc17751"/>
      <w:r>
        <w:rPr>
          <w:rFonts w:hint="eastAsia" w:ascii="宋体" w:hAnsi="宋体"/>
          <w:sz w:val="32"/>
          <w:lang w:val="en-US" w:eastAsia="zh-CN"/>
        </w:rPr>
        <w:t>八、一般公共预算项目支出预算表（公开表 3-2）</w:t>
      </w:r>
      <w:bookmarkEnd w:id="15"/>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6" w:name="_Toc11119"/>
      <w:r>
        <w:rPr>
          <w:rFonts w:hint="eastAsia" w:ascii="宋体" w:hAnsi="宋体"/>
          <w:sz w:val="32"/>
          <w:lang w:val="en-US" w:eastAsia="zh-CN"/>
        </w:rPr>
        <w:t>九、一般公共预算“三公”经费支出预算表</w:t>
      </w:r>
      <w:bookmarkEnd w:id="16"/>
      <w:r>
        <w:rPr>
          <w:rFonts w:hint="eastAsia" w:ascii="宋体" w:hAnsi="宋体"/>
          <w:sz w:val="32"/>
          <w:lang w:val="en-US" w:eastAsia="zh-CN"/>
        </w:rPr>
        <w:t xml:space="preserve">（公开表 3-3） </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7" w:name="_Toc19211"/>
      <w:r>
        <w:rPr>
          <w:rFonts w:hint="eastAsia" w:ascii="宋体" w:hAnsi="宋体"/>
          <w:sz w:val="32"/>
          <w:lang w:val="en-US" w:eastAsia="zh-CN"/>
        </w:rPr>
        <w:t>十、政府性基金预算支出表（公开表 4）</w:t>
      </w:r>
      <w:bookmarkEnd w:id="17"/>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8" w:name="_Toc7676"/>
      <w:r>
        <w:rPr>
          <w:rFonts w:hint="eastAsia" w:ascii="宋体" w:hAnsi="宋体"/>
          <w:sz w:val="32"/>
          <w:lang w:val="en-US" w:eastAsia="zh-CN"/>
        </w:rPr>
        <w:t>十一、政府性基金预算“三公”经费支出预算表</w:t>
      </w:r>
      <w:bookmarkEnd w:id="18"/>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r>
        <w:rPr>
          <w:rFonts w:hint="eastAsia" w:ascii="宋体" w:hAnsi="宋体"/>
          <w:sz w:val="32"/>
          <w:lang w:val="en-US" w:eastAsia="zh-CN"/>
        </w:rPr>
        <w:t>（公开表 4-1）</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9" w:name="_Toc22917"/>
      <w:r>
        <w:rPr>
          <w:rFonts w:hint="eastAsia" w:ascii="宋体" w:hAnsi="宋体"/>
          <w:sz w:val="32"/>
          <w:lang w:val="en-US" w:eastAsia="zh-CN"/>
        </w:rPr>
        <w:t>十二、国有资本经营预算支出表（公开表 5）</w:t>
      </w:r>
      <w:bookmarkEnd w:id="19"/>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0" w:name="_Toc27847"/>
      <w:r>
        <w:rPr>
          <w:rFonts w:hint="eastAsia" w:ascii="宋体" w:hAnsi="宋体"/>
          <w:sz w:val="32"/>
          <w:lang w:val="en-US" w:eastAsia="zh-CN"/>
        </w:rPr>
        <w:t>十三、部门整体支出绩效目标表（公开表 6）</w:t>
      </w:r>
      <w:bookmarkEnd w:id="20"/>
      <w:r>
        <w:rPr>
          <w:rFonts w:hint="eastAsia" w:ascii="宋体" w:hAnsi="宋体"/>
          <w:sz w:val="32"/>
          <w:lang w:val="en-US" w:eastAsia="zh-CN"/>
        </w:rPr>
        <w:t xml:space="preserve"> </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1" w:name="_Toc30878"/>
      <w:r>
        <w:rPr>
          <w:rFonts w:hint="eastAsia" w:ascii="宋体" w:hAnsi="宋体"/>
          <w:sz w:val="32"/>
          <w:lang w:val="en-US" w:eastAsia="zh-CN"/>
        </w:rPr>
        <w:t>十四、部门预算项目支出绩效目标表（公开表 7）</w:t>
      </w:r>
      <w:bookmarkEnd w:id="21"/>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2" w:name="_Toc32437"/>
      <w:r>
        <w:rPr>
          <w:rFonts w:hint="eastAsia" w:ascii="宋体" w:hAnsi="宋体"/>
          <w:sz w:val="32"/>
          <w:lang w:val="en-US" w:eastAsia="zh-CN"/>
        </w:rPr>
        <w:t>十五、政府采购预算表（公开表 8）</w:t>
      </w:r>
      <w:bookmarkEnd w:id="22"/>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default" w:ascii="宋体" w:hAnsi="宋体"/>
          <w:b/>
          <w:bCs/>
          <w:sz w:val="32"/>
          <w:lang w:val="en-US" w:eastAsia="zh-CN"/>
        </w:rPr>
      </w:pPr>
      <w:bookmarkStart w:id="23" w:name="_Toc16458"/>
      <w:r>
        <w:rPr>
          <w:rFonts w:hint="eastAsia" w:ascii="宋体" w:hAnsi="宋体"/>
          <w:b/>
          <w:bCs/>
          <w:sz w:val="32"/>
          <w:lang w:val="en-US" w:eastAsia="zh-CN"/>
        </w:rPr>
        <w:t>以上所有表格详见部门说明后附件。</w:t>
      </w:r>
      <w:bookmarkEnd w:id="23"/>
    </w:p>
    <w:p>
      <w:pPr>
        <w:rPr>
          <w:rFonts w:ascii="宋体" w:hAnsi="宋体"/>
          <w:sz w:val="20"/>
        </w:rPr>
      </w:pPr>
      <w:r>
        <w:rPr>
          <w:rFonts w:ascii="宋体" w:hAnsi="宋体"/>
          <w:sz w:val="20"/>
        </w:rPr>
        <w:br w:type="page"/>
      </w:r>
    </w:p>
    <w:p>
      <w:pPr>
        <w:pStyle w:val="5"/>
        <w:rPr>
          <w:rFonts w:ascii="宋体" w:hAnsi="宋体"/>
          <w:sz w:val="20"/>
        </w:rPr>
      </w:pPr>
    </w:p>
    <w:p>
      <w:pPr>
        <w:pStyle w:val="5"/>
        <w:numPr>
          <w:ilvl w:val="0"/>
          <w:numId w:val="0"/>
        </w:numPr>
        <w:spacing w:before="6"/>
        <w:ind w:leftChars="0" w:right="0" w:rightChars="0"/>
        <w:jc w:val="center"/>
        <w:outlineLvl w:val="1"/>
        <w:rPr>
          <w:rFonts w:hint="eastAsia" w:ascii="宋体" w:hAnsi="宋体" w:eastAsia="方正小标宋简体" w:cs="方正小标宋简体"/>
          <w:sz w:val="52"/>
          <w:szCs w:val="52"/>
          <w:lang w:val="en-US" w:eastAsia="zh-CN"/>
        </w:rPr>
      </w:pPr>
      <w:bookmarkStart w:id="24" w:name="_Toc19948"/>
    </w:p>
    <w:p>
      <w:pPr>
        <w:pStyle w:val="5"/>
        <w:numPr>
          <w:ilvl w:val="0"/>
          <w:numId w:val="0"/>
        </w:numPr>
        <w:spacing w:before="6"/>
        <w:ind w:leftChars="0" w:right="0" w:rightChars="0"/>
        <w:jc w:val="center"/>
        <w:outlineLvl w:val="1"/>
        <w:rPr>
          <w:rFonts w:hint="eastAsia" w:ascii="宋体" w:hAnsi="宋体" w:eastAsia="方正小标宋简体" w:cs="方正小标宋简体"/>
          <w:sz w:val="52"/>
          <w:szCs w:val="52"/>
          <w:lang w:val="en-US" w:eastAsia="zh-CN"/>
        </w:rPr>
      </w:pPr>
    </w:p>
    <w:p>
      <w:pPr>
        <w:pStyle w:val="5"/>
        <w:numPr>
          <w:ilvl w:val="0"/>
          <w:numId w:val="0"/>
        </w:numPr>
        <w:spacing w:before="6"/>
        <w:ind w:leftChars="0" w:right="0" w:rightChars="0"/>
        <w:jc w:val="center"/>
        <w:outlineLvl w:val="1"/>
        <w:rPr>
          <w:rFonts w:hint="eastAsia" w:ascii="宋体" w:hAnsi="宋体" w:eastAsia="方正小标宋简体" w:cs="方正小标宋简体"/>
          <w:sz w:val="52"/>
          <w:szCs w:val="52"/>
          <w:lang w:val="en-US" w:eastAsia="zh-CN"/>
        </w:rPr>
      </w:pPr>
    </w:p>
    <w:p>
      <w:pPr>
        <w:pStyle w:val="5"/>
        <w:numPr>
          <w:ilvl w:val="0"/>
          <w:numId w:val="0"/>
        </w:numPr>
        <w:spacing w:before="6"/>
        <w:ind w:leftChars="0" w:right="0" w:rightChars="0"/>
        <w:jc w:val="center"/>
        <w:outlineLvl w:val="1"/>
        <w:rPr>
          <w:rFonts w:hint="eastAsia" w:ascii="宋体" w:hAnsi="宋体" w:eastAsia="方正小标宋简体" w:cs="方正小标宋简体"/>
          <w:sz w:val="52"/>
          <w:szCs w:val="52"/>
          <w:lang w:val="en-US" w:eastAsia="zh-CN"/>
        </w:rPr>
      </w:pPr>
    </w:p>
    <w:p>
      <w:pPr>
        <w:pStyle w:val="5"/>
        <w:numPr>
          <w:ilvl w:val="0"/>
          <w:numId w:val="0"/>
        </w:numPr>
        <w:spacing w:before="6"/>
        <w:ind w:leftChars="0" w:right="0" w:rightChars="0"/>
        <w:jc w:val="center"/>
        <w:outlineLvl w:val="1"/>
        <w:rPr>
          <w:rFonts w:hint="eastAsia" w:ascii="宋体" w:hAnsi="宋体" w:eastAsia="方正小标宋简体" w:cs="方正小标宋简体"/>
          <w:sz w:val="52"/>
          <w:szCs w:val="52"/>
          <w:lang w:val="en-US" w:eastAsia="zh-CN"/>
        </w:rPr>
      </w:pPr>
    </w:p>
    <w:bookmarkEnd w:id="24"/>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numPr>
          <w:ilvl w:val="0"/>
          <w:numId w:val="0"/>
        </w:numPr>
        <w:spacing w:before="6"/>
        <w:ind w:leftChars="0" w:right="0" w:rightChars="0"/>
        <w:jc w:val="center"/>
        <w:outlineLvl w:val="1"/>
        <w:rPr>
          <w:rFonts w:hint="eastAsia" w:ascii="宋体" w:hAnsi="宋体" w:eastAsia="方正小标宋简体" w:cs="方正小标宋简体"/>
          <w:sz w:val="52"/>
          <w:szCs w:val="52"/>
          <w:lang w:val="en-US" w:eastAsia="zh-CN"/>
        </w:rPr>
      </w:pPr>
      <w:r>
        <w:rPr>
          <w:rFonts w:hint="eastAsia" w:ascii="宋体" w:hAnsi="宋体" w:eastAsia="方正小标宋简体" w:cs="方正小标宋简体"/>
          <w:sz w:val="52"/>
          <w:szCs w:val="52"/>
          <w:lang w:val="en-US" w:eastAsia="zh-CN"/>
        </w:rPr>
        <w:t>第三部分  五通桥区住房和城乡建设局</w:t>
      </w:r>
    </w:p>
    <w:p>
      <w:pPr>
        <w:pStyle w:val="5"/>
        <w:numPr>
          <w:ilvl w:val="0"/>
          <w:numId w:val="0"/>
        </w:numPr>
        <w:spacing w:before="6"/>
        <w:ind w:leftChars="0" w:right="0" w:rightChars="0"/>
        <w:jc w:val="center"/>
        <w:outlineLvl w:val="1"/>
        <w:rPr>
          <w:rFonts w:hint="default" w:ascii="宋体" w:hAnsi="宋体"/>
          <w:sz w:val="20"/>
          <w:lang w:val="en-US"/>
        </w:rPr>
        <w:sectPr>
          <w:headerReference r:id="rId8" w:type="default"/>
          <w:pgSz w:w="11910" w:h="16840"/>
          <w:pgMar w:top="1587" w:right="964" w:bottom="1701" w:left="1134" w:header="737" w:footer="737" w:gutter="0"/>
          <w:pgNumType w:fmt="decimal"/>
          <w:cols w:space="0" w:num="1"/>
          <w:rtlGutter w:val="0"/>
          <w:docGrid w:linePitch="0" w:charSpace="0"/>
        </w:sectPr>
      </w:pPr>
      <w:r>
        <w:rPr>
          <w:rFonts w:hint="eastAsia" w:ascii="宋体" w:hAnsi="宋体" w:eastAsia="方正小标宋简体" w:cs="方正小标宋简体"/>
          <w:sz w:val="52"/>
          <w:szCs w:val="52"/>
          <w:lang w:val="en-US" w:eastAsia="zh-CN"/>
        </w:rPr>
        <w:t>2024年部门预算情况说</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960" w:firstLineChars="300"/>
        <w:textAlignment w:val="auto"/>
        <w:outlineLvl w:val="1"/>
        <w:rPr>
          <w:rFonts w:hint="eastAsia" w:ascii="宋体" w:hAnsi="宋体" w:eastAsia="黑体"/>
          <w:color w:val="333333"/>
        </w:rPr>
      </w:pPr>
      <w:bookmarkStart w:id="25" w:name="_Toc469"/>
      <w:r>
        <w:rPr>
          <w:rFonts w:hint="eastAsia" w:ascii="宋体" w:hAnsi="宋体" w:eastAsia="黑体"/>
          <w:color w:val="333333"/>
        </w:rPr>
        <w:t>一、收支预算情况说明</w:t>
      </w:r>
      <w:bookmarkEnd w:id="25"/>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按照综合预算的原则，区住建局部门所有收入和支出均纳入部门预算管理。收入包括：一般公共预算拨款收入、政府性基金预算拨款收入 ；支出包括：社会保障和就业支出、卫生健康支出、城乡社区支出、住房保障支出。区住建局部门2024年收支预算总数18931.22万元,比2023年收支预算总数31195.84万元减少12264.62万元。主要原因：一是本年项目减少；二是棚改支出减少。</w:t>
      </w:r>
    </w:p>
    <w:p>
      <w:pPr>
        <w:pStyle w:val="4"/>
        <w:keepNext w:val="0"/>
        <w:keepLines w:val="0"/>
        <w:pageBreakBefore w:val="0"/>
        <w:widowControl w:val="0"/>
        <w:numPr>
          <w:ilvl w:val="0"/>
          <w:numId w:val="5"/>
        </w:numPr>
        <w:kinsoku/>
        <w:wordWrap/>
        <w:overflowPunct/>
        <w:topLinePunct w:val="0"/>
        <w:autoSpaceDE w:val="0"/>
        <w:autoSpaceDN w:val="0"/>
        <w:bidi w:val="0"/>
        <w:adjustRightInd/>
        <w:snapToGrid/>
        <w:spacing w:before="100" w:after="0" w:afterLines="50"/>
        <w:ind w:left="0" w:leftChars="0" w:firstLine="964" w:firstLineChars="300"/>
        <w:textAlignment w:val="auto"/>
      </w:pPr>
      <w:bookmarkStart w:id="26" w:name="_Toc12176"/>
      <w:r>
        <w:rPr>
          <w:rFonts w:ascii="宋体" w:hAnsi="宋体"/>
        </w:rPr>
        <w:t>收入预算情况</w:t>
      </w:r>
      <w:bookmarkEnd w:id="26"/>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五通桥区住建局部门2024年收入预算18931.22万元，其中：上年结转26.38万元，占0.14%；一般公共预算拨款收入15739.17万元，占83.14%；政府基金预算拨款收入3165.68万元，占16.72%；事业收入0万元，占0%；事业单位经营收入0万元，占0%；其他收入0万元，占0%。</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27" w:name="_Toc23149"/>
      <w:r>
        <w:rPr>
          <w:rFonts w:ascii="宋体" w:hAnsi="宋体"/>
        </w:rPr>
        <w:t>（二）支出预算情况</w:t>
      </w:r>
      <w:bookmarkEnd w:id="27"/>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五通桥区住建局部门2024年支出预算18931.22万元，其中：人员支出3120.28万元，日常公用支出123.20万元，对个人和家庭的补助支出159.76万元，专项支出15527.98万元。</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28" w:name="_Toc729"/>
      <w:r>
        <w:rPr>
          <w:rFonts w:hint="eastAsia" w:ascii="宋体" w:hAnsi="宋体" w:eastAsia="黑体"/>
          <w:color w:val="333333"/>
        </w:rPr>
        <w:t>二、财政拨款收支预算情况说明</w:t>
      </w:r>
      <w:bookmarkEnd w:id="28"/>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五通桥区住建局部门2024年收支预算总数18931.22万元,比2023年收支预算总数31195.84万元减少12264.62万元。主要原因：一是本年项目减少；二是棚改支出减少。</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其中：基本支出3403.25万元，占17.98%；项目支出15527.98万元，占82.02%。</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基本支出，是用于保障区住建局机关、下属事业单位等机构正常运转的日常支出，包括基本工资、津贴补贴等人员经费以及办公费、印刷费、水电费、办公设备购置等日常公用经费。</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项目支出，是用于保障区住建局机关、下属事业单位等机构为完成特定的行政工作任务或事业发展目标，用于专项业务工作的经费支出。</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29" w:name="_Toc32511"/>
      <w:r>
        <w:rPr>
          <w:rFonts w:hint="eastAsia" w:ascii="宋体" w:hAnsi="宋体" w:eastAsia="黑体"/>
          <w:color w:val="333333"/>
        </w:rPr>
        <w:t>三、一般公共预算当年拨款情况说明</w:t>
      </w:r>
      <w:bookmarkEnd w:id="29"/>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0" w:name="_Toc6394"/>
      <w:r>
        <w:rPr>
          <w:rFonts w:ascii="宋体" w:hAnsi="宋体"/>
        </w:rPr>
        <w:t>（一）一般公共预算当年拨款规模变化情况</w:t>
      </w:r>
      <w:bookmarkEnd w:id="30"/>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五通桥区住建局部门2024年一般公共预算当年拨款15739.17万元，比2023年一般公共预算当年拨款27123.26万元减少11384.09万元。主要原因：一是本年项目减少；二是棚改支出减少。</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1" w:name="_Toc5045"/>
      <w:r>
        <w:rPr>
          <w:rFonts w:ascii="宋体" w:hAnsi="宋体"/>
        </w:rPr>
        <w:t>（二）一般公共预算当年拨款结构情况</w:t>
      </w:r>
      <w:bookmarkEnd w:id="31"/>
    </w:p>
    <w:p>
      <w:pPr>
        <w:pStyle w:val="4"/>
        <w:keepNext w:val="0"/>
        <w:keepLines w:val="0"/>
        <w:pageBreakBefore w:val="0"/>
        <w:widowControl w:val="0"/>
        <w:kinsoku/>
        <w:wordWrap/>
        <w:overflowPunct/>
        <w:topLinePunct w:val="0"/>
        <w:autoSpaceDE w:val="0"/>
        <w:autoSpaceDN w:val="0"/>
        <w:bidi w:val="0"/>
        <w:adjustRightInd/>
        <w:snapToGrid/>
        <w:spacing w:before="100" w:after="0" w:afterLines="50" w:line="360" w:lineRule="auto"/>
        <w:ind w:left="0" w:leftChars="0" w:firstLine="1280" w:firstLineChars="400"/>
        <w:textAlignment w:val="auto"/>
        <w:rPr>
          <w:rFonts w:hint="eastAsia" w:ascii="宋体" w:hAnsi="宋体" w:eastAsia="仿宋_GB2312" w:cs="仿宋_GB2312"/>
          <w:b w:val="0"/>
          <w:bCs w:val="0"/>
          <w:sz w:val="32"/>
          <w:szCs w:val="22"/>
          <w:lang w:val="en-US" w:eastAsia="zh-CN" w:bidi="zh-CN"/>
        </w:rPr>
      </w:pPr>
      <w:bookmarkStart w:id="32" w:name="_Toc11698"/>
      <w:r>
        <w:rPr>
          <w:rFonts w:hint="eastAsia" w:ascii="宋体" w:hAnsi="宋体" w:eastAsia="仿宋_GB2312" w:cs="仿宋_GB2312"/>
          <w:b w:val="0"/>
          <w:bCs w:val="0"/>
          <w:sz w:val="32"/>
          <w:szCs w:val="22"/>
          <w:lang w:val="en-US" w:eastAsia="zh-CN" w:bidi="zh-CN"/>
        </w:rPr>
        <w:t>五通桥区住建局部门2024年一般公共预算支出15739.17万元，主要包括一般公共服务支出0万元，占0%；外交支出0万元，占0%；国防支出0万元，占0%；公共安全支出0万元，占0%；教育支出0万元，占0%；科学技术支出0万元，占0%；文化旅游体育与传媒支出0万元，占0%；社会保障和就业支出387.61万元，占2.46%；卫生健康支出68.68万元，占0.44%；节能环保支出0万元，占0%；城乡社区支出9372.03万元，占59.55%；农林水支出0万元，占0%；交通运输支出0万元，占0%；资源勘探工业信息等支出0万元，占0%；商业服务业等支出0万元，占0%；金融支出0万元，占0%；援助其他地区支出0万元，占0%；自然资源海洋气象等支出0万元，占0%；住房保障支出5910.84万元，占37.55%；粮油物资储备支出0万元，占0%；灾害防治及应急管理支出0万元，占0%；预备费0万元，占0%；其他支出0万元，占0%；转移性支出0万元，占0%；债务还本支出0万元，占0%；债务付息支出0万元，占0%；债务发行费支出0万元，占0%。</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643" w:firstLineChars="200"/>
        <w:textAlignment w:val="auto"/>
        <w:rPr>
          <w:rFonts w:hint="eastAsia" w:ascii="宋体" w:hAnsi="宋体" w:eastAsia="楷体"/>
          <w:highlight w:val="yellow"/>
          <w:lang w:eastAsia="zh-CN"/>
        </w:rPr>
      </w:pPr>
      <w:r>
        <w:rPr>
          <w:rFonts w:ascii="宋体" w:hAnsi="宋体"/>
        </w:rPr>
        <w:t>（三）一般公共预算当年拨款具体使用情况</w:t>
      </w:r>
      <w:bookmarkEnd w:id="32"/>
    </w:p>
    <w:p>
      <w:pPr>
        <w:pStyle w:val="5"/>
        <w:keepNext w:val="0"/>
        <w:keepLines w:val="0"/>
        <w:pageBreakBefore w:val="0"/>
        <w:widowControl w:val="0"/>
        <w:kinsoku/>
        <w:wordWrap/>
        <w:overflowPunct/>
        <w:topLinePunct w:val="0"/>
        <w:autoSpaceDE w:val="0"/>
        <w:autoSpaceDN w:val="0"/>
        <w:bidi w:val="0"/>
        <w:adjustRightInd/>
        <w:snapToGrid/>
        <w:spacing w:before="300" w:after="0" w:afterLines="50" w:line="360" w:lineRule="auto"/>
        <w:ind w:firstLine="640" w:firstLineChars="200"/>
        <w:textAlignment w:val="auto"/>
        <w:outlineLvl w:val="1"/>
        <w:rPr>
          <w:rFonts w:hint="eastAsia" w:ascii="宋体" w:hAnsi="宋体" w:eastAsia="仿宋_GB2312" w:cs="仿宋_GB2312"/>
          <w:sz w:val="32"/>
          <w:szCs w:val="22"/>
          <w:lang w:val="en-US" w:eastAsia="zh-CN" w:bidi="zh-CN"/>
        </w:rPr>
      </w:pPr>
      <w:bookmarkStart w:id="33" w:name="_Toc21665"/>
      <w:r>
        <w:rPr>
          <w:rFonts w:hint="eastAsia" w:ascii="宋体" w:hAnsi="宋体" w:eastAsia="仿宋_GB2312" w:cs="仿宋_GB2312"/>
          <w:sz w:val="32"/>
          <w:szCs w:val="22"/>
          <w:lang w:val="en-US" w:eastAsia="zh-CN" w:bidi="zh-CN"/>
        </w:rPr>
        <w:t>1.社会保障和就业（208）行政事业单位养老支出（05）机关事业单位基本养老保险缴费支出（05）:2024年预算数为147.88万元，主要用于：部门按规定由单位缴纳的养老保险支出。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line="360" w:lineRule="auto"/>
        <w:ind w:firstLine="640" w:firstLineChars="200"/>
        <w:textAlignment w:val="auto"/>
        <w:outlineLvl w:val="1"/>
        <w:rPr>
          <w:rFonts w:hint="eastAsia" w:ascii="宋体" w:hAnsi="宋体" w:eastAsia="仿宋_GB2312" w:cs="仿宋_GB2312"/>
          <w:sz w:val="32"/>
          <w:szCs w:val="22"/>
          <w:lang w:val="en-US" w:eastAsia="zh-CN" w:bidi="zh-CN"/>
        </w:rPr>
      </w:pPr>
      <w:r>
        <w:rPr>
          <w:rFonts w:hint="eastAsia" w:ascii="宋体" w:hAnsi="宋体" w:eastAsia="仿宋_GB2312" w:cs="仿宋_GB2312"/>
          <w:sz w:val="32"/>
          <w:szCs w:val="22"/>
          <w:lang w:val="en-US" w:eastAsia="zh-CN" w:bidi="zh-CN"/>
        </w:rPr>
        <w:t>2.社会保障和就业（208）行政事业单位养老支出（05）机关事业单位职业年金缴费支出（06）:2024年预算数为73.94万元，主要用于：部门按规定由单位缴纳的职业年金缴费支出。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line="360" w:lineRule="auto"/>
        <w:ind w:firstLine="640" w:firstLineChars="200"/>
        <w:textAlignment w:val="auto"/>
        <w:outlineLvl w:val="1"/>
        <w:rPr>
          <w:rFonts w:hint="eastAsia" w:ascii="宋体" w:hAnsi="宋体" w:eastAsia="仿宋_GB2312" w:cs="仿宋_GB2312"/>
          <w:sz w:val="32"/>
          <w:szCs w:val="22"/>
          <w:lang w:val="en-US" w:eastAsia="zh-CN" w:bidi="zh-CN"/>
        </w:rPr>
      </w:pPr>
      <w:r>
        <w:rPr>
          <w:rFonts w:hint="eastAsia" w:ascii="宋体" w:hAnsi="宋体" w:eastAsia="仿宋_GB2312" w:cs="仿宋_GB2312"/>
          <w:sz w:val="32"/>
          <w:szCs w:val="22"/>
          <w:lang w:val="en-US" w:eastAsia="zh-CN" w:bidi="zh-CN"/>
        </w:rPr>
        <w:t>3.社会保障和就业（208）行政事业单位养老支出（05）其他行政事业单位养老支出（99）:2024年预算数为154.21万元，主要用于：主要用于：部门按规定由单位缴纳的工伤保险和失业保险支出。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line="360" w:lineRule="auto"/>
        <w:ind w:firstLine="640" w:firstLineChars="200"/>
        <w:textAlignment w:val="auto"/>
        <w:outlineLvl w:val="1"/>
        <w:rPr>
          <w:rFonts w:hint="eastAsia" w:ascii="宋体" w:hAnsi="宋体" w:eastAsia="仿宋_GB2312" w:cs="仿宋_GB2312"/>
          <w:sz w:val="32"/>
          <w:szCs w:val="22"/>
          <w:lang w:val="en-US" w:eastAsia="zh-CN" w:bidi="zh-CN"/>
        </w:rPr>
      </w:pPr>
      <w:r>
        <w:rPr>
          <w:rFonts w:hint="eastAsia" w:ascii="宋体" w:hAnsi="宋体" w:eastAsia="仿宋_GB2312" w:cs="仿宋_GB2312"/>
          <w:sz w:val="32"/>
          <w:szCs w:val="22"/>
          <w:lang w:val="en-US" w:eastAsia="zh-CN" w:bidi="zh-CN"/>
        </w:rPr>
        <w:t>4.社会保障和就业（208）其他社会保障和就业支出（99）其他社会保障和就业支出（99）:2024年预算数为11.57万元，主要用于：用于其他社会保障和就业支出。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line="360" w:lineRule="auto"/>
        <w:ind w:firstLine="640" w:firstLineChars="200"/>
        <w:textAlignment w:val="auto"/>
        <w:outlineLvl w:val="1"/>
        <w:rPr>
          <w:rFonts w:hint="eastAsia" w:ascii="宋体" w:hAnsi="宋体" w:eastAsia="仿宋_GB2312" w:cs="仿宋_GB2312"/>
          <w:sz w:val="32"/>
          <w:szCs w:val="22"/>
          <w:lang w:val="en-US" w:eastAsia="zh-CN" w:bidi="zh-CN"/>
        </w:rPr>
      </w:pPr>
      <w:r>
        <w:rPr>
          <w:rFonts w:hint="eastAsia" w:ascii="宋体" w:hAnsi="宋体" w:eastAsia="仿宋_GB2312" w:cs="仿宋_GB2312"/>
          <w:sz w:val="32"/>
          <w:szCs w:val="22"/>
          <w:lang w:val="en-US" w:eastAsia="zh-CN" w:bidi="zh-CN"/>
        </w:rPr>
        <w:t>5.卫生健康（210）行政事业单位医疗（11）行政单位医疗（01）:2024年预算数为7.33万元，主要用于：机关及参公管理事业单位基本医疗保险缴费支出。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line="360" w:lineRule="auto"/>
        <w:ind w:firstLine="640" w:firstLineChars="200"/>
        <w:textAlignment w:val="auto"/>
        <w:outlineLvl w:val="1"/>
        <w:rPr>
          <w:rFonts w:hint="eastAsia" w:ascii="宋体" w:hAnsi="宋体" w:eastAsia="仿宋_GB2312" w:cs="仿宋_GB2312"/>
          <w:sz w:val="32"/>
          <w:szCs w:val="22"/>
          <w:lang w:val="en-US" w:eastAsia="zh-CN" w:bidi="zh-CN"/>
        </w:rPr>
      </w:pPr>
      <w:r>
        <w:rPr>
          <w:rFonts w:hint="eastAsia" w:ascii="宋体" w:hAnsi="宋体" w:eastAsia="仿宋_GB2312" w:cs="仿宋_GB2312"/>
          <w:sz w:val="32"/>
          <w:szCs w:val="22"/>
          <w:lang w:val="en-US" w:eastAsia="zh-CN" w:bidi="zh-CN"/>
        </w:rPr>
        <w:t>6.卫生健康（210）行政事业单位医疗（11）事业单位医疗（02）:2024年预算数为34.45万元，主要用于：部门下属事业单位基本医疗保险缴费支出。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line="360" w:lineRule="auto"/>
        <w:ind w:firstLine="640" w:firstLineChars="200"/>
        <w:textAlignment w:val="auto"/>
        <w:outlineLvl w:val="1"/>
        <w:rPr>
          <w:rFonts w:hint="eastAsia" w:ascii="宋体" w:hAnsi="宋体" w:eastAsia="仿宋_GB2312" w:cs="仿宋_GB2312"/>
          <w:sz w:val="32"/>
          <w:szCs w:val="22"/>
          <w:lang w:val="en-US" w:eastAsia="zh-CN" w:bidi="zh-CN"/>
        </w:rPr>
      </w:pPr>
      <w:r>
        <w:rPr>
          <w:rFonts w:hint="eastAsia" w:ascii="宋体" w:hAnsi="宋体" w:eastAsia="仿宋_GB2312" w:cs="仿宋_GB2312"/>
          <w:sz w:val="32"/>
          <w:szCs w:val="22"/>
          <w:lang w:val="en-US" w:eastAsia="zh-CN" w:bidi="zh-CN"/>
        </w:rPr>
        <w:t>7.卫生健康（210）行政事业单位医疗（11）公务员医疗补助（03）:2024年预算数为26.90万元，主要用于：公务员医疗补助缴费支出。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line="360" w:lineRule="auto"/>
        <w:ind w:firstLine="640" w:firstLineChars="200"/>
        <w:textAlignment w:val="auto"/>
        <w:outlineLvl w:val="1"/>
        <w:rPr>
          <w:rFonts w:hint="eastAsia" w:ascii="宋体" w:hAnsi="宋体" w:eastAsia="仿宋_GB2312" w:cs="仿宋_GB2312"/>
          <w:sz w:val="32"/>
          <w:szCs w:val="22"/>
          <w:lang w:val="en-US" w:eastAsia="zh-CN" w:bidi="zh-CN"/>
        </w:rPr>
      </w:pPr>
      <w:r>
        <w:rPr>
          <w:rFonts w:hint="eastAsia" w:ascii="宋体" w:hAnsi="宋体" w:eastAsia="仿宋_GB2312" w:cs="仿宋_GB2312"/>
          <w:sz w:val="32"/>
          <w:szCs w:val="22"/>
          <w:lang w:val="en-US" w:eastAsia="zh-CN" w:bidi="zh-CN"/>
        </w:rPr>
        <w:t>8.城乡社区支出（212）城乡社区管理事务（01）行政运行（01）:2024年预算数为230.00万元，主要用于：机关及参公管理事业单位正常运转的基本支出，包括基本工资、津贴补贴等人员经费以及办公费、印刷费、水电费等日常公用经费。</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line="360" w:lineRule="auto"/>
        <w:ind w:firstLine="640" w:firstLineChars="200"/>
        <w:textAlignment w:val="auto"/>
        <w:outlineLvl w:val="1"/>
        <w:rPr>
          <w:rFonts w:hint="eastAsia" w:ascii="宋体" w:hAnsi="宋体" w:eastAsia="仿宋_GB2312" w:cs="仿宋_GB2312"/>
          <w:sz w:val="32"/>
          <w:szCs w:val="22"/>
          <w:lang w:val="en-US" w:eastAsia="zh-CN" w:bidi="zh-CN"/>
        </w:rPr>
      </w:pPr>
      <w:r>
        <w:rPr>
          <w:rFonts w:hint="eastAsia" w:ascii="宋体" w:hAnsi="宋体" w:eastAsia="仿宋_GB2312" w:cs="仿宋_GB2312"/>
          <w:sz w:val="32"/>
          <w:szCs w:val="22"/>
          <w:lang w:val="en-US" w:eastAsia="zh-CN" w:bidi="zh-CN"/>
        </w:rPr>
        <w:t>9.城乡社区支出（212）城乡社区管理事务（01）其他城乡社区管理事务支出（99）:2024年预算数为7916.76万元，主要用于：其他城乡社区管理事务支出。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line="360" w:lineRule="auto"/>
        <w:ind w:firstLine="640" w:firstLineChars="200"/>
        <w:textAlignment w:val="auto"/>
        <w:outlineLvl w:val="1"/>
        <w:rPr>
          <w:rFonts w:hint="eastAsia" w:ascii="宋体" w:hAnsi="宋体" w:eastAsia="仿宋_GB2312" w:cs="仿宋_GB2312"/>
          <w:sz w:val="32"/>
          <w:szCs w:val="22"/>
          <w:lang w:val="en-US" w:eastAsia="zh-CN" w:bidi="zh-CN"/>
        </w:rPr>
      </w:pPr>
      <w:r>
        <w:rPr>
          <w:rFonts w:hint="eastAsia" w:ascii="宋体" w:hAnsi="宋体" w:eastAsia="仿宋_GB2312" w:cs="仿宋_GB2312"/>
          <w:sz w:val="32"/>
          <w:szCs w:val="22"/>
          <w:lang w:val="en-US" w:eastAsia="zh-CN" w:bidi="zh-CN"/>
        </w:rPr>
        <w:t>10.城乡社区支出（212）城乡社区公共设施（03） 其他城乡社区公共设施支出（99）:2024年预算数为173.00万元，主要用于：市政设施维修零星工程支出，节日亮化及美化工程，市政设施维修零星工程支出，污水管网维护维修费等方面的项目支出。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line="360" w:lineRule="auto"/>
        <w:ind w:firstLine="640" w:firstLineChars="200"/>
        <w:textAlignment w:val="auto"/>
        <w:outlineLvl w:val="1"/>
        <w:rPr>
          <w:rFonts w:hint="eastAsia" w:ascii="宋体" w:hAnsi="宋体" w:eastAsia="仿宋_GB2312" w:cs="仿宋_GB2312"/>
          <w:sz w:val="32"/>
          <w:szCs w:val="22"/>
          <w:lang w:val="en-US" w:eastAsia="zh-CN" w:bidi="zh-CN"/>
        </w:rPr>
      </w:pPr>
      <w:r>
        <w:rPr>
          <w:rFonts w:hint="eastAsia" w:ascii="宋体" w:hAnsi="宋体" w:eastAsia="仿宋_GB2312" w:cs="仿宋_GB2312"/>
          <w:sz w:val="32"/>
          <w:szCs w:val="22"/>
          <w:lang w:val="en-US" w:eastAsia="zh-CN" w:bidi="zh-CN"/>
        </w:rPr>
        <w:t>11.城乡社区支出（212）城乡社区环境卫生（05）城乡社区环境卫生（01）: 2024年预算数为1045.80万元，主要用于：垃圾处费，乐山市餐厨垃圾资源化利用和无害化处理设施建设项目餐厨垃圾收运处理服务费，垃圾处理费征收经费， 森林防火防控设施配置经费，特色花卉生态苗圃维护管理，城区绿化维护管理，节假日鲜花栽植，公厕三防设施及维护，环卫车辆油款，环卫车辆日常管理事务，环卫车辆日常管理事务等方面的项目支出。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line="360" w:lineRule="auto"/>
        <w:ind w:firstLine="640" w:firstLineChars="200"/>
        <w:textAlignment w:val="auto"/>
        <w:outlineLvl w:val="1"/>
        <w:rPr>
          <w:rFonts w:hint="eastAsia" w:ascii="宋体" w:hAnsi="宋体" w:eastAsia="仿宋_GB2312" w:cs="仿宋_GB2312"/>
          <w:sz w:val="32"/>
          <w:szCs w:val="22"/>
          <w:lang w:val="en-US" w:eastAsia="zh-CN" w:bidi="zh-CN"/>
        </w:rPr>
      </w:pPr>
      <w:r>
        <w:rPr>
          <w:rFonts w:hint="eastAsia" w:ascii="宋体" w:hAnsi="宋体" w:eastAsia="仿宋_GB2312" w:cs="仿宋_GB2312"/>
          <w:sz w:val="32"/>
          <w:szCs w:val="22"/>
          <w:lang w:val="en-US" w:eastAsia="zh-CN" w:bidi="zh-CN"/>
        </w:rPr>
        <w:t>12.城乡社区支出（212）建设市场管理与监督（06）建设市场管理与监督（01）:2024年预算数为12.00万元，主要用于：开展消防安全检查、验收专家费,公务用车租赁费等方面的项目支出。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line="360" w:lineRule="auto"/>
        <w:ind w:firstLine="640" w:firstLineChars="200"/>
        <w:textAlignment w:val="auto"/>
        <w:outlineLvl w:val="1"/>
        <w:rPr>
          <w:rFonts w:hint="eastAsia" w:ascii="宋体" w:hAnsi="宋体" w:eastAsia="仿宋_GB2312" w:cs="仿宋_GB2312"/>
          <w:sz w:val="32"/>
          <w:szCs w:val="22"/>
          <w:lang w:val="en-US" w:eastAsia="zh-CN" w:bidi="zh-CN"/>
        </w:rPr>
      </w:pPr>
      <w:r>
        <w:rPr>
          <w:rFonts w:hint="eastAsia" w:ascii="宋体" w:hAnsi="宋体" w:eastAsia="仿宋_GB2312" w:cs="仿宋_GB2312"/>
          <w:sz w:val="32"/>
          <w:szCs w:val="22"/>
          <w:lang w:val="en-US" w:eastAsia="zh-CN" w:bidi="zh-CN"/>
        </w:rPr>
        <w:t>13.住房保障支出（221）保障性安居工程（01）棚户区改造（03）:2024年预算数为5756.00万元，主要用于：棚户区改造等专门性工作任务的项目支出。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line="360" w:lineRule="auto"/>
        <w:ind w:firstLine="640" w:firstLineChars="200"/>
        <w:textAlignment w:val="auto"/>
        <w:outlineLvl w:val="1"/>
        <w:rPr>
          <w:rFonts w:hint="eastAsia" w:ascii="宋体" w:hAnsi="宋体" w:eastAsia="仿宋_GB2312" w:cs="仿宋_GB2312"/>
          <w:sz w:val="32"/>
          <w:szCs w:val="22"/>
          <w:lang w:val="en-US" w:eastAsia="zh-CN" w:bidi="zh-CN"/>
        </w:rPr>
      </w:pPr>
      <w:r>
        <w:rPr>
          <w:rFonts w:hint="eastAsia" w:ascii="宋体" w:hAnsi="宋体" w:eastAsia="仿宋_GB2312" w:cs="仿宋_GB2312"/>
          <w:sz w:val="32"/>
          <w:szCs w:val="22"/>
          <w:lang w:val="en-US" w:eastAsia="zh-CN" w:bidi="zh-CN"/>
        </w:rPr>
        <w:t>14.住房保障支出（221）保障性安居工程（01） 保障性住房租金补贴（07）:2024年预算数为30.00万元，主要用于： 公共租赁住房租赁补贴专门性工作任务的项目支出。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line="360" w:lineRule="auto"/>
        <w:ind w:firstLine="640" w:firstLineChars="200"/>
        <w:textAlignment w:val="auto"/>
        <w:outlineLvl w:val="1"/>
        <w:rPr>
          <w:rFonts w:hint="eastAsia" w:ascii="宋体" w:hAnsi="宋体" w:eastAsia="仿宋_GB2312" w:cs="仿宋_GB2312"/>
          <w:sz w:val="32"/>
          <w:szCs w:val="22"/>
          <w:lang w:val="en-US" w:eastAsia="zh-CN" w:bidi="zh-CN"/>
        </w:rPr>
      </w:pPr>
      <w:r>
        <w:rPr>
          <w:rFonts w:hint="eastAsia" w:ascii="宋体" w:hAnsi="宋体" w:eastAsia="仿宋_GB2312" w:cs="仿宋_GB2312"/>
          <w:sz w:val="32"/>
          <w:szCs w:val="22"/>
          <w:lang w:val="en-US" w:eastAsia="zh-CN" w:bidi="zh-CN"/>
        </w:rPr>
        <w:t>15.住房保障（221）住房改革支出（02）住房公积金（01）:2024年预算数为124.84万元，主要用于：部门按人力资源和社会保障部、财政部规定的基本工资和津贴补贴以及规定比例为职工缴纳的住房公积金支出。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r>
        <w:rPr>
          <w:rFonts w:hint="eastAsia" w:ascii="宋体" w:hAnsi="宋体" w:eastAsia="黑体"/>
          <w:color w:val="333333"/>
        </w:rPr>
        <w:t>四、一般公共预算基本支出情况说明</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五通桥区住建局部门2024年一般公共预算基本支出3403.25万元，其中：</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人员经费3280.05万元，主要包括：基本工资、津贴补贴、奖金、伙食补助费、绩效工资、机关事业单位基本养老保险缴费、职业年金缴费、职工基本医疗保险缴费、其他社会保障缴费、住房公积金、其他工资福利支出、离休费、抚恤金、生活补助、其他对个人和家庭的补助支出。</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公用经费123.20万元，主要包括：主要包括：办公费、印刷费、水费、电费、邮电费、差旅费、维修（护）费、会议费、培训费、公务接待费、劳务费、工会经费、福利费、公务用车运行维护费、其他交通费、其他商品和服务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1280" w:firstLineChars="400"/>
        <w:textAlignment w:val="auto"/>
        <w:outlineLvl w:val="1"/>
        <w:rPr>
          <w:rFonts w:hint="eastAsia" w:ascii="宋体" w:hAnsi="宋体" w:eastAsia="黑体"/>
          <w:color w:val="333333"/>
        </w:rPr>
      </w:pPr>
      <w:bookmarkStart w:id="34" w:name="_Toc1746"/>
      <w:r>
        <w:rPr>
          <w:rFonts w:hint="eastAsia" w:ascii="宋体" w:hAnsi="宋体" w:eastAsia="黑体"/>
          <w:color w:val="333333"/>
        </w:rPr>
        <w:t>五、“三公”经费财政拨款预算安排情况说明</w:t>
      </w:r>
      <w:bookmarkEnd w:id="34"/>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五通桥区住建局部门2024年“三公”经费财政拨款预算数4.45万元，其中：公务接待费0.80万元，公务用车购置0万元，公车运行维护费3.65万元。</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2024年公务接待费计划用于上级部门领导调研、保障性安居工程建设、征地拆迁、重点工作和专项工作检查、城市建设招商引资项目、交流和学习、业务工作用餐等。</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5" w:name="_Toc10802"/>
      <w:r>
        <w:rPr>
          <w:rFonts w:ascii="宋体" w:hAnsi="宋体"/>
        </w:rPr>
        <w:t>（一）</w:t>
      </w:r>
      <w:r>
        <w:rPr>
          <w:rFonts w:hint="eastAsia" w:ascii="宋体" w:hAnsi="宋体"/>
          <w:lang w:val="en-US" w:eastAsia="zh-CN"/>
        </w:rPr>
        <w:t>公务接待费变化情况</w:t>
      </w:r>
      <w:bookmarkEnd w:id="35"/>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default" w:ascii="宋体" w:hAnsi="宋体"/>
          <w:sz w:val="32"/>
          <w:lang w:val="en-US" w:eastAsia="zh-CN"/>
        </w:rPr>
        <w:t>公务接待费较</w:t>
      </w:r>
      <w:r>
        <w:rPr>
          <w:rFonts w:hint="eastAsia" w:ascii="宋体" w:hAnsi="宋体"/>
          <w:sz w:val="32"/>
          <w:lang w:val="en-US" w:eastAsia="zh-CN"/>
        </w:rPr>
        <w:t>2023</w:t>
      </w:r>
      <w:r>
        <w:rPr>
          <w:rFonts w:hint="default" w:ascii="宋体" w:hAnsi="宋体"/>
          <w:sz w:val="32"/>
          <w:lang w:val="en-US" w:eastAsia="zh-CN"/>
        </w:rPr>
        <w:t>年预算</w:t>
      </w:r>
      <w:r>
        <w:rPr>
          <w:rFonts w:hint="eastAsia" w:ascii="宋体" w:hAnsi="宋体"/>
          <w:sz w:val="32"/>
          <w:lang w:val="en-US" w:eastAsia="zh-CN"/>
        </w:rPr>
        <w:t>0.8</w:t>
      </w:r>
      <w:r>
        <w:rPr>
          <w:rFonts w:hint="default" w:ascii="宋体" w:hAnsi="宋体"/>
          <w:sz w:val="32"/>
          <w:lang w:val="en-US" w:eastAsia="zh-CN"/>
        </w:rPr>
        <w:t>万元</w:t>
      </w:r>
      <w:r>
        <w:rPr>
          <w:rFonts w:hint="eastAsia" w:ascii="宋体" w:hAnsi="宋体"/>
          <w:sz w:val="32"/>
          <w:lang w:val="en-US" w:eastAsia="zh-CN"/>
        </w:rPr>
        <w:t>持平</w:t>
      </w:r>
      <w:r>
        <w:rPr>
          <w:rFonts w:hint="default" w:ascii="宋体" w:hAnsi="宋体"/>
          <w:sz w:val="32"/>
          <w:lang w:val="en-US" w:eastAsia="zh-CN"/>
        </w:rPr>
        <w:t>。主要原因是厉行节约，压缩接待规模和接待费用。</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6" w:name="_Toc17768"/>
      <w:r>
        <w:rPr>
          <w:rFonts w:ascii="宋体" w:hAnsi="宋体"/>
        </w:rPr>
        <w:t>（</w:t>
      </w:r>
      <w:r>
        <w:rPr>
          <w:rFonts w:hint="eastAsia" w:ascii="宋体" w:hAnsi="宋体"/>
          <w:lang w:val="en-US" w:eastAsia="zh-CN"/>
        </w:rPr>
        <w:t>二</w:t>
      </w:r>
      <w:r>
        <w:rPr>
          <w:rFonts w:ascii="宋体" w:hAnsi="宋体"/>
        </w:rPr>
        <w:t>）</w:t>
      </w:r>
      <w:r>
        <w:rPr>
          <w:rFonts w:hint="eastAsia" w:ascii="宋体" w:hAnsi="宋体"/>
          <w:lang w:val="en-US" w:eastAsia="zh-CN"/>
        </w:rPr>
        <w:t>公务用车购置及运行维护费变化情况</w:t>
      </w:r>
      <w:bookmarkEnd w:id="36"/>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default" w:ascii="宋体" w:hAnsi="宋体"/>
          <w:sz w:val="32"/>
          <w:lang w:val="en-US" w:eastAsia="zh-CN"/>
        </w:rPr>
        <w:t>公务用车购置及运行维护费较</w:t>
      </w:r>
      <w:r>
        <w:rPr>
          <w:rFonts w:hint="eastAsia" w:ascii="宋体" w:hAnsi="宋体"/>
          <w:sz w:val="32"/>
          <w:lang w:val="en-US" w:eastAsia="zh-CN"/>
        </w:rPr>
        <w:t>2023</w:t>
      </w:r>
      <w:r>
        <w:rPr>
          <w:rFonts w:hint="default" w:ascii="宋体" w:hAnsi="宋体"/>
          <w:sz w:val="32"/>
          <w:lang w:val="en-US" w:eastAsia="zh-CN"/>
        </w:rPr>
        <w:t>预算</w:t>
      </w:r>
      <w:r>
        <w:rPr>
          <w:rFonts w:hint="eastAsia" w:ascii="宋体" w:hAnsi="宋体"/>
          <w:sz w:val="32"/>
          <w:lang w:val="en-US" w:eastAsia="zh-CN"/>
        </w:rPr>
        <w:t>3.00</w:t>
      </w:r>
      <w:r>
        <w:rPr>
          <w:rFonts w:hint="default" w:ascii="宋体" w:hAnsi="宋体"/>
          <w:sz w:val="32"/>
          <w:lang w:val="en-US" w:eastAsia="zh-CN"/>
        </w:rPr>
        <w:t>万元</w:t>
      </w:r>
      <w:r>
        <w:rPr>
          <w:rFonts w:hint="eastAsia" w:ascii="宋体" w:hAnsi="宋体"/>
          <w:sz w:val="32"/>
          <w:lang w:val="en-US" w:eastAsia="zh-CN"/>
        </w:rPr>
        <w:t>增加0.65</w:t>
      </w:r>
      <w:r>
        <w:rPr>
          <w:rFonts w:hint="default" w:ascii="宋体" w:hAnsi="宋体"/>
          <w:sz w:val="32"/>
          <w:lang w:val="en-US" w:eastAsia="zh-CN"/>
        </w:rPr>
        <w:t>万元。主要原因是</w:t>
      </w:r>
      <w:r>
        <w:rPr>
          <w:rFonts w:hint="eastAsia" w:ascii="宋体" w:hAnsi="宋体"/>
          <w:sz w:val="32"/>
          <w:lang w:val="en-US" w:eastAsia="zh-CN"/>
        </w:rPr>
        <w:t>根据2023年下乡频率测算</w:t>
      </w:r>
      <w:r>
        <w:rPr>
          <w:rFonts w:hint="default" w:ascii="宋体" w:hAnsi="宋体"/>
          <w:sz w:val="32"/>
          <w:lang w:val="en-US" w:eastAsia="zh-CN"/>
        </w:rPr>
        <w:t>。</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default" w:ascii="宋体" w:hAnsi="宋体"/>
          <w:sz w:val="32"/>
          <w:lang w:val="en-US" w:eastAsia="zh-CN"/>
        </w:rPr>
        <w:t>单位实有公务用车</w:t>
      </w:r>
      <w:r>
        <w:rPr>
          <w:rFonts w:hint="eastAsia" w:ascii="宋体" w:hAnsi="宋体"/>
          <w:sz w:val="32"/>
          <w:lang w:val="en-US" w:eastAsia="zh-CN"/>
        </w:rPr>
        <w:t>3</w:t>
      </w:r>
      <w:r>
        <w:rPr>
          <w:rFonts w:hint="default" w:ascii="宋体" w:hAnsi="宋体"/>
          <w:sz w:val="32"/>
          <w:lang w:val="en-US" w:eastAsia="zh-CN"/>
        </w:rPr>
        <w:t>辆，其中：轿车</w:t>
      </w:r>
      <w:r>
        <w:rPr>
          <w:rFonts w:hint="eastAsia" w:ascii="宋体" w:hAnsi="宋体"/>
          <w:sz w:val="32"/>
          <w:lang w:val="en-US" w:eastAsia="zh-CN"/>
        </w:rPr>
        <w:t>2</w:t>
      </w:r>
      <w:r>
        <w:rPr>
          <w:rFonts w:hint="default" w:ascii="宋体" w:hAnsi="宋体"/>
          <w:sz w:val="32"/>
          <w:lang w:val="en-US" w:eastAsia="zh-CN"/>
        </w:rPr>
        <w:t>辆，多功能乘用车</w:t>
      </w:r>
      <w:r>
        <w:rPr>
          <w:rFonts w:hint="eastAsia" w:ascii="宋体" w:hAnsi="宋体"/>
          <w:sz w:val="32"/>
          <w:lang w:val="en-US" w:eastAsia="zh-CN"/>
        </w:rPr>
        <w:t>0</w:t>
      </w:r>
      <w:r>
        <w:rPr>
          <w:rFonts w:hint="default" w:ascii="宋体" w:hAnsi="宋体"/>
          <w:sz w:val="32"/>
          <w:lang w:val="en-US" w:eastAsia="zh-CN"/>
        </w:rPr>
        <w:t>辆。</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2024</w:t>
      </w:r>
      <w:r>
        <w:rPr>
          <w:rFonts w:hint="default" w:ascii="宋体" w:hAnsi="宋体"/>
          <w:sz w:val="32"/>
          <w:lang w:val="en-US" w:eastAsia="zh-CN"/>
        </w:rPr>
        <w:t>年安排公务用车购置费</w:t>
      </w:r>
      <w:r>
        <w:rPr>
          <w:rFonts w:hint="eastAsia" w:ascii="宋体" w:hAnsi="宋体"/>
          <w:sz w:val="32"/>
          <w:lang w:val="en-US" w:eastAsia="zh-CN"/>
        </w:rPr>
        <w:t>0</w:t>
      </w:r>
      <w:r>
        <w:rPr>
          <w:rFonts w:hint="default" w:ascii="宋体" w:hAnsi="宋体"/>
          <w:sz w:val="32"/>
          <w:lang w:val="en-US" w:eastAsia="zh-CN"/>
        </w:rPr>
        <w:t>万元，拟购置公务用车</w:t>
      </w:r>
      <w:r>
        <w:rPr>
          <w:rFonts w:hint="eastAsia" w:ascii="宋体" w:hAnsi="宋体"/>
          <w:sz w:val="32"/>
          <w:lang w:val="en-US" w:eastAsia="zh-CN"/>
        </w:rPr>
        <w:t>0</w:t>
      </w:r>
      <w:r>
        <w:rPr>
          <w:rFonts w:hint="default" w:ascii="宋体" w:hAnsi="宋体"/>
          <w:sz w:val="32"/>
          <w:lang w:val="en-US" w:eastAsia="zh-CN"/>
        </w:rPr>
        <w:t>辆，其中：轿车</w:t>
      </w:r>
      <w:r>
        <w:rPr>
          <w:rFonts w:hint="eastAsia" w:ascii="宋体" w:hAnsi="宋体"/>
          <w:sz w:val="32"/>
          <w:lang w:val="en-US" w:eastAsia="zh-CN"/>
        </w:rPr>
        <w:t>0</w:t>
      </w:r>
      <w:r>
        <w:rPr>
          <w:rFonts w:hint="default" w:ascii="宋体" w:hAnsi="宋体"/>
          <w:sz w:val="32"/>
          <w:lang w:val="en-US" w:eastAsia="zh-CN"/>
        </w:rPr>
        <w:t>辆，旅行车（含商务车）</w:t>
      </w:r>
      <w:r>
        <w:rPr>
          <w:rFonts w:hint="eastAsia" w:ascii="宋体" w:hAnsi="宋体"/>
          <w:sz w:val="32"/>
          <w:lang w:val="en-US" w:eastAsia="zh-CN"/>
        </w:rPr>
        <w:t>0</w:t>
      </w:r>
      <w:r>
        <w:rPr>
          <w:rFonts w:hint="default" w:ascii="宋体" w:hAnsi="宋体"/>
          <w:sz w:val="32"/>
          <w:lang w:val="en-US" w:eastAsia="zh-CN"/>
        </w:rPr>
        <w:t>辆，越野车</w:t>
      </w:r>
      <w:r>
        <w:rPr>
          <w:rFonts w:hint="eastAsia" w:ascii="宋体" w:hAnsi="宋体"/>
          <w:sz w:val="32"/>
          <w:lang w:val="en-US" w:eastAsia="zh-CN"/>
        </w:rPr>
        <w:t>0</w:t>
      </w:r>
      <w:r>
        <w:rPr>
          <w:rFonts w:hint="default" w:ascii="宋体" w:hAnsi="宋体"/>
          <w:sz w:val="32"/>
          <w:lang w:val="en-US" w:eastAsia="zh-CN"/>
        </w:rPr>
        <w:t>辆，大型客、货车</w:t>
      </w:r>
      <w:r>
        <w:rPr>
          <w:rFonts w:hint="eastAsia" w:ascii="宋体" w:hAnsi="宋体"/>
          <w:sz w:val="32"/>
          <w:lang w:val="en-US" w:eastAsia="zh-CN"/>
        </w:rPr>
        <w:t>0</w:t>
      </w:r>
      <w:r>
        <w:rPr>
          <w:rFonts w:hint="default" w:ascii="宋体" w:hAnsi="宋体"/>
          <w:sz w:val="32"/>
          <w:lang w:val="en-US" w:eastAsia="zh-CN"/>
        </w:rPr>
        <w:t>辆。</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2024</w:t>
      </w:r>
      <w:r>
        <w:rPr>
          <w:rFonts w:hint="default" w:ascii="宋体" w:hAnsi="宋体"/>
          <w:sz w:val="32"/>
          <w:lang w:val="en-US" w:eastAsia="zh-CN"/>
        </w:rPr>
        <w:t>年安排公务用车运行维护费</w:t>
      </w:r>
      <w:r>
        <w:rPr>
          <w:rFonts w:hint="eastAsia" w:ascii="宋体" w:hAnsi="宋体"/>
          <w:sz w:val="32"/>
          <w:lang w:val="en-US" w:eastAsia="zh-CN"/>
        </w:rPr>
        <w:t>3.65</w:t>
      </w:r>
      <w:r>
        <w:rPr>
          <w:rFonts w:hint="default" w:ascii="宋体" w:hAnsi="宋体"/>
          <w:sz w:val="32"/>
          <w:lang w:val="en-US" w:eastAsia="zh-CN"/>
        </w:rPr>
        <w:t>万元，</w:t>
      </w:r>
      <w:r>
        <w:rPr>
          <w:rFonts w:hint="eastAsia" w:ascii="宋体" w:hAnsi="宋体"/>
          <w:sz w:val="32"/>
          <w:lang w:val="en-US" w:eastAsia="zh-CN"/>
        </w:rPr>
        <w:t>用于3</w:t>
      </w:r>
      <w:r>
        <w:rPr>
          <w:rFonts w:hint="default" w:ascii="宋体" w:hAnsi="宋体"/>
          <w:sz w:val="32"/>
          <w:lang w:val="en-US" w:eastAsia="zh-CN"/>
        </w:rPr>
        <w:t>辆公务用车</w:t>
      </w:r>
      <w:r>
        <w:rPr>
          <w:rFonts w:hint="eastAsia" w:ascii="仿宋_GB2312" w:hAnsi="Calibri" w:eastAsia="仿宋_GB2312"/>
          <w:sz w:val="32"/>
          <w:szCs w:val="32"/>
        </w:rPr>
        <w:t>用于保障出差、各镇乡建设业务工作指导、住房保障和房地产市场监督、全区建筑业安全质量监督工作检查、防震减灾培训指导和应急工作、人防基地建设培训、公房管理和维修</w:t>
      </w:r>
      <w:r>
        <w:rPr>
          <w:rFonts w:hint="default" w:ascii="宋体" w:hAnsi="宋体"/>
          <w:sz w:val="32"/>
          <w:lang w:val="en-US" w:eastAsia="zh-CN"/>
        </w:rPr>
        <w:t>等工作所需的公务用车汽油费、维修费、过路过桥费、保险费、停车费等支出。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1280" w:firstLineChars="400"/>
        <w:textAlignment w:val="auto"/>
        <w:outlineLvl w:val="1"/>
        <w:rPr>
          <w:rFonts w:hint="eastAsia" w:ascii="宋体" w:hAnsi="宋体" w:eastAsia="黑体"/>
          <w:color w:val="333333"/>
        </w:rPr>
      </w:pPr>
      <w:bookmarkStart w:id="37" w:name="_Toc2610"/>
      <w:r>
        <w:rPr>
          <w:rFonts w:hint="eastAsia" w:ascii="宋体" w:hAnsi="宋体" w:eastAsia="黑体"/>
          <w:color w:val="333333"/>
        </w:rPr>
        <w:t>六、政府性基金预算支出情况说明</w:t>
      </w:r>
      <w:bookmarkEnd w:id="37"/>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五通桥区住建局</w:t>
      </w:r>
      <w:r>
        <w:rPr>
          <w:rFonts w:hint="default" w:ascii="宋体" w:hAnsi="宋体"/>
          <w:sz w:val="32"/>
          <w:lang w:val="en-US" w:eastAsia="zh-CN"/>
        </w:rPr>
        <w:t>部门</w:t>
      </w:r>
      <w:r>
        <w:rPr>
          <w:rFonts w:hint="eastAsia" w:ascii="宋体" w:hAnsi="宋体"/>
          <w:sz w:val="32"/>
          <w:lang w:val="en-US" w:eastAsia="zh-CN"/>
        </w:rPr>
        <w:t>2024</w:t>
      </w:r>
      <w:r>
        <w:rPr>
          <w:rFonts w:hint="default" w:ascii="宋体" w:hAnsi="宋体"/>
          <w:sz w:val="32"/>
          <w:lang w:val="en-US" w:eastAsia="zh-CN"/>
        </w:rPr>
        <w:t>年政府性基金预算拨款安排支出</w:t>
      </w:r>
      <w:r>
        <w:rPr>
          <w:rFonts w:hint="eastAsia" w:ascii="宋体" w:hAnsi="宋体"/>
          <w:sz w:val="32"/>
          <w:lang w:val="en-US" w:eastAsia="zh-CN"/>
        </w:rPr>
        <w:t>3165.68万元，较上年预算数4072.59万元减少906.91万元。主要用于：(按实结算)垃圾处理费316.80万元，污水处理二厂经营服务费（每月按56.2万元预算）562.00万元，污水处理费征收经费（根据收入定支出）78万元，城市路灯照明费（包含牛华镇）、进港大道等路灯照明费项目[以实际发生的支出为准]450万元，乐山市餐厨垃圾资源化利用和无害化处理设施建设项目餐厨垃圾收运处理服务费(按实结算)192.00万元，冠英镇、牛华镇、桥沟镇污水处理厂管网工程、污水处理服务费（每月按81.8万元预算）981.60万元，5个乡镇污水处理厂在线监测设备采购93.28万元，中心城区52座公厕管理及维护等社会力量购买服务项目252.00万元，6个厂区及管网的综合运营维护费预支付项目240万元。</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1280" w:firstLineChars="400"/>
        <w:textAlignment w:val="auto"/>
        <w:outlineLvl w:val="1"/>
        <w:rPr>
          <w:rFonts w:hint="eastAsia" w:ascii="宋体" w:hAnsi="宋体" w:eastAsia="黑体"/>
          <w:color w:val="333333"/>
        </w:rPr>
      </w:pPr>
      <w:bookmarkStart w:id="38" w:name="_Toc17731"/>
      <w:r>
        <w:rPr>
          <w:rFonts w:hint="eastAsia" w:ascii="宋体" w:hAnsi="宋体" w:eastAsia="黑体"/>
          <w:color w:val="333333"/>
          <w:lang w:val="en-US" w:eastAsia="zh-CN"/>
        </w:rPr>
        <w:t>七、</w:t>
      </w:r>
      <w:r>
        <w:rPr>
          <w:rFonts w:hint="eastAsia" w:ascii="宋体" w:hAnsi="宋体" w:eastAsia="黑体"/>
          <w:color w:val="333333"/>
        </w:rPr>
        <w:t>国有资本经营预算情况说明</w:t>
      </w:r>
      <w:bookmarkEnd w:id="38"/>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五通桥区住建局部门2024年国有资本经营预算拨款安排支出0万元,与上年预算数持平。</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1280" w:firstLineChars="400"/>
        <w:textAlignment w:val="auto"/>
        <w:outlineLvl w:val="1"/>
        <w:rPr>
          <w:rFonts w:hint="eastAsia" w:ascii="宋体" w:hAnsi="宋体" w:eastAsia="黑体"/>
          <w:color w:val="333333"/>
          <w:lang w:val="en-US" w:eastAsia="zh-CN"/>
        </w:rPr>
      </w:pPr>
      <w:bookmarkStart w:id="39" w:name="_Toc20919"/>
      <w:r>
        <w:rPr>
          <w:rFonts w:hint="eastAsia" w:ascii="宋体" w:hAnsi="宋体" w:eastAsia="黑体"/>
          <w:color w:val="333333"/>
          <w:lang w:val="en-US" w:eastAsia="zh-CN"/>
        </w:rPr>
        <w:t>八、其他重要事项的情况说明</w:t>
      </w:r>
      <w:bookmarkEnd w:id="39"/>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hint="default" w:ascii="宋体" w:hAnsi="宋体"/>
          <w:lang w:val="en-US" w:eastAsia="zh-CN"/>
        </w:rPr>
      </w:pPr>
      <w:bookmarkStart w:id="40" w:name="_Toc9621"/>
      <w:r>
        <w:rPr>
          <w:rFonts w:ascii="宋体" w:hAnsi="宋体"/>
        </w:rPr>
        <w:t>（一）机关运行经费情况</w:t>
      </w:r>
      <w:bookmarkEnd w:id="40"/>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2024年，五通桥区住建局部门下属住建局（局机关）、1家行政单位，0家参公管理事业单位以及环卫所、园林所、市政管理所、房地产管理所、质量监督站5家事业单位的机关运行经费财政拨款预算为123.20万元，比2023年预算172.09万元增减少48.89万元，下降28.41%。主要原因是厉行勤俭节约，节约开支。</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41" w:name="_Toc26552"/>
      <w:r>
        <w:rPr>
          <w:rFonts w:ascii="宋体" w:hAnsi="宋体"/>
        </w:rPr>
        <w:t>（二）政府采购情况</w:t>
      </w:r>
      <w:bookmarkEnd w:id="41"/>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eastAsia="仿宋_GB2312"/>
          <w:sz w:val="32"/>
          <w:lang w:val="en-US" w:eastAsia="zh-CN"/>
        </w:rPr>
      </w:pPr>
      <w:r>
        <w:rPr>
          <w:rFonts w:hint="eastAsia" w:ascii="宋体" w:hAnsi="宋体"/>
          <w:sz w:val="32"/>
          <w:lang w:val="en-US" w:eastAsia="zh-CN"/>
        </w:rPr>
        <w:t>2024年，五通桥区住建局部门政府采购项目0万元。其中，政府采购货物预算0万元；政府采购工程预算0万元；政府采购服务预算203.20万元，主要用于乐山市餐厨垃圾资源化利用和无害化处理设施建设项目餐厨垃圾收运处理服务费(按实结算)项目服务采购。</w:t>
      </w:r>
      <w:bookmarkStart w:id="45" w:name="_GoBack"/>
      <w:bookmarkEnd w:id="45"/>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42" w:name="_Toc11208"/>
      <w:r>
        <w:rPr>
          <w:rFonts w:ascii="宋体" w:hAnsi="宋体"/>
        </w:rPr>
        <w:t>（三）国有资产占有使用情况</w:t>
      </w:r>
      <w:bookmarkEnd w:id="42"/>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auto"/>
          <w:sz w:val="32"/>
          <w:highlight w:val="none"/>
          <w:lang w:val="en-US" w:eastAsia="zh-CN"/>
        </w:rPr>
      </w:pPr>
      <w:r>
        <w:rPr>
          <w:rFonts w:hint="eastAsia" w:ascii="宋体" w:hAnsi="宋体"/>
          <w:color w:val="auto"/>
          <w:sz w:val="32"/>
          <w:highlight w:val="none"/>
          <w:lang w:val="en-US" w:eastAsia="zh-CN"/>
        </w:rPr>
        <w:t>截至2023年底，五通桥区住建局部门所属各预算单位共有车辆45辆。单位价值100万元以上大型设备0套。</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2024年区住建局部门预算未安排购置车辆及单位价值100万元以上大型设备。</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43" w:name="_Toc13599"/>
      <w:r>
        <w:rPr>
          <w:rFonts w:hint="eastAsia" w:ascii="宋体" w:hAnsi="宋体"/>
          <w:lang w:eastAsia="zh-CN"/>
        </w:rPr>
        <w:t>（</w:t>
      </w:r>
      <w:r>
        <w:rPr>
          <w:rFonts w:hint="eastAsia" w:ascii="宋体" w:hAnsi="宋体"/>
          <w:lang w:val="en-US" w:eastAsia="zh-CN"/>
        </w:rPr>
        <w:t>四</w:t>
      </w:r>
      <w:r>
        <w:rPr>
          <w:rFonts w:hint="eastAsia" w:ascii="宋体" w:hAnsi="宋体"/>
          <w:lang w:eastAsia="zh-CN"/>
        </w:rPr>
        <w:t>）</w:t>
      </w:r>
      <w:r>
        <w:rPr>
          <w:rFonts w:ascii="宋体" w:hAnsi="宋体"/>
        </w:rPr>
        <w:t>预算绩效情况</w:t>
      </w:r>
      <w:bookmarkEnd w:id="43"/>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ascii="宋体" w:hAnsi="宋体"/>
          <w:spacing w:val="6"/>
        </w:rPr>
      </w:pPr>
      <w:r>
        <w:rPr>
          <w:rFonts w:hint="eastAsia" w:ascii="宋体" w:hAnsi="宋体"/>
          <w:sz w:val="32"/>
          <w:lang w:val="en-US" w:eastAsia="zh-CN"/>
        </w:rPr>
        <w:t>2024年五通桥区住建局开展绩效目标管理的项目43个，涉及预算18931.23万元。其中：人员类项目6个，涉及预算3403.25万元；运转类项目37个，涉及预算15527.98万元；特定目标类项目 0个，涉及预算0万元。</w:t>
      </w:r>
    </w:p>
    <w:p>
      <w:pPr>
        <w:pStyle w:val="5"/>
        <w:spacing w:before="0"/>
        <w:ind w:right="0"/>
        <w:jc w:val="both"/>
        <w:rPr>
          <w:rFonts w:ascii="宋体" w:hAnsi="宋体"/>
          <w:spacing w:val="6"/>
        </w:rPr>
        <w:sectPr>
          <w:headerReference r:id="rId9" w:type="default"/>
          <w:footerReference r:id="rId10" w:type="default"/>
          <w:pgSz w:w="11910" w:h="16840"/>
          <w:pgMar w:top="1587" w:right="964" w:bottom="1701" w:left="1134" w:header="737" w:footer="737" w:gutter="0"/>
          <w:pgNumType w:fmt="decimal"/>
          <w:cols w:space="0" w:num="1"/>
          <w:rtlGutter w:val="0"/>
          <w:docGrid w:linePitch="0" w:charSpace="0"/>
        </w:sectPr>
      </w:pP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p>
    <w:p>
      <w:pPr>
        <w:pStyle w:val="17"/>
        <w:rPr>
          <w:rFonts w:hint="eastAsia"/>
        </w:rPr>
      </w:pPr>
    </w:p>
    <w:p>
      <w:pPr>
        <w:pStyle w:val="5"/>
        <w:jc w:val="center"/>
        <w:outlineLvl w:val="0"/>
        <w:rPr>
          <w:rFonts w:hint="eastAsia" w:ascii="宋体" w:hAnsi="宋体" w:eastAsia="方正小标宋简体" w:cs="方正小标宋简体"/>
          <w:sz w:val="52"/>
          <w:szCs w:val="52"/>
          <w:lang w:val="en-US" w:eastAsia="zh-CN"/>
        </w:rPr>
      </w:pPr>
      <w:bookmarkStart w:id="44" w:name="_Toc31157"/>
      <w:r>
        <w:rPr>
          <w:rFonts w:hint="eastAsia" w:ascii="宋体" w:hAnsi="宋体" w:eastAsia="方正小标宋简体" w:cs="方正小标宋简体"/>
          <w:sz w:val="52"/>
          <w:szCs w:val="52"/>
          <w:lang w:val="en-US" w:eastAsia="zh-CN"/>
        </w:rPr>
        <w:t>第四部分  名词解释</w:t>
      </w:r>
      <w:bookmarkEnd w:id="44"/>
    </w:p>
    <w:p>
      <w:pPr>
        <w:spacing w:after="0"/>
        <w:rPr>
          <w:rFonts w:ascii="宋体" w:hAnsi="宋体"/>
          <w:sz w:val="20"/>
        </w:rPr>
        <w:sectPr>
          <w:headerReference r:id="rId11" w:type="default"/>
          <w:footerReference r:id="rId12" w:type="default"/>
          <w:pgSz w:w="11910" w:h="16840"/>
          <w:pgMar w:top="1587" w:right="964" w:bottom="1701" w:left="1134" w:header="737" w:footer="737" w:gutter="0"/>
          <w:pgNumType w:fmt="decimal"/>
          <w:cols w:space="0" w:num="1"/>
          <w:rtlGutter w:val="0"/>
          <w:docGrid w:linePitch="0" w:charSpace="0"/>
        </w:sect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1280" w:firstLineChars="400"/>
        <w:textAlignment w:val="auto"/>
        <w:outlineLvl w:val="1"/>
        <w:rPr>
          <w:rFonts w:hint="eastAsia" w:ascii="宋体" w:hAnsi="宋体"/>
          <w:sz w:val="32"/>
          <w:lang w:val="en-US" w:eastAsia="zh-CN"/>
        </w:rPr>
      </w:pPr>
      <w:r>
        <w:rPr>
          <w:rFonts w:hint="eastAsia" w:ascii="宋体" w:hAnsi="宋体"/>
          <w:sz w:val="32"/>
          <w:lang w:val="en-US" w:eastAsia="zh-CN"/>
        </w:rPr>
        <w:t>1.财政拨款收支情况：是指一般公共预算、政府</w:t>
      </w:r>
      <w:bookmarkEnd w:id="33"/>
      <w:r>
        <w:rPr>
          <w:rFonts w:hint="eastAsia" w:ascii="宋体" w:hAnsi="宋体"/>
          <w:sz w:val="32"/>
          <w:lang w:val="en-US" w:eastAsia="zh-CN"/>
        </w:rPr>
        <w:t>性基金预算、国有资本经营预算拨款收支情况。</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2.一般公共预算拨款收入：指区级财政当年拨付的资金。</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3.事业收入：指事业单位开展专业业务活动及辅助活动所取得的收入。</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4.事业单位经营收入：指事业单位在专业业务活动及其辅助活动之外开展非独立核算经营活动取得的收入。</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5.其他收入：指除上述“一般公共预算拨款收入”、“事业收入”、“事业单位经营收入”等以外的收入。主要是利息收入、国有资产出租收入等。</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6.用事业基金弥补收支差额：指事业单位在当年的收入不足以安排当年支出的情况下，使用以前年度积累的事业基金（事业单位当年收支相抵后按国家规定提取、用于弥补以后年度收支差额的基金）弥补本年度收支缺口的资金。</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7.上年结转：指以前年度尚未完成，结转到本年仍按原规定用途继续使用的资金。</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8.社会保障和就业（类）行政事业单位离退休（款）事业单位离退休（项）：指离退休人员的支出。</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9.社会保障和就业（类）行政事业单位离退休（款）未归口管理的行政单位离退休（项）：指离退休人员的支出。</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10.社会保障和就业（类）行政事业单位离退休（款）机关事业单位基本养老保险缴费支出（项）：指部门实施养老保险制度由单位缴纳的养老保险费的支出。</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11.社会保障和就业（类）行政事业单位离退休（款）机关事业单位职业年金缴费支出（项）：指部门实施养老保险制度由单位缴纳的职业年金的支出。</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12.社会保障和就业（类）其他社会保障和就业（款）其他社会保障和就业支出（项）：指除上述项目外，其他用于行政事业单位离退休方面的支出。</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13.卫生健康（类）行政事业单位医疗（款）行政单位医疗（项）：指行政单位及参公管理事业单位用于缴纳单位基本医疗保险支出。</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14.卫生健康（类）行政事业单位医疗（款）事业单位医疗（项）：指事业单位用于缴纳单位基本医疗保险支出。</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15.卫生健康（类）行政事业单位医疗（款）公务员医疗补助（项）：指行政单位及参公管理事业单位用于集中缴纳公务员医疗补助支出。</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16.住房保障（类）住房改革支出（款）住房公积金（项）：指由单位及其在职职工按规定缴存的住房公积金支出。</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17.基本支出：指为保证机构正常运转，完成日常工作任务而发生的人员支出和公用支出。</w:t>
      </w:r>
    </w:p>
    <w:p>
      <w:pPr>
        <w:pStyle w:val="12"/>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18.项目支出：指在基本支出之外为完成特定行政任务和事业发展目标所发生的支出。</w:t>
      </w:r>
    </w:p>
    <w:p>
      <w:pPr>
        <w:pStyle w:val="18"/>
        <w:numPr>
          <w:ilvl w:val="0"/>
          <w:numId w:val="0"/>
        </w:numPr>
        <w:ind w:left="638" w:leftChars="290" w:right="0" w:rightChars="0" w:firstLine="640" w:firstLineChars="200"/>
        <w:rPr>
          <w:rFonts w:hint="eastAsia" w:ascii="仿宋_GB2312" w:eastAsia="仿宋_GB2312"/>
        </w:rPr>
      </w:pPr>
      <w:r>
        <w:rPr>
          <w:rFonts w:hint="eastAsia" w:ascii="宋体" w:hAnsi="宋体"/>
          <w:sz w:val="32"/>
          <w:lang w:val="en-US" w:eastAsia="zh-CN"/>
        </w:rPr>
        <w:t>19.</w:t>
      </w:r>
      <w:r>
        <w:rPr>
          <w:rFonts w:hint="eastAsia" w:ascii="仿宋_GB2312" w:eastAsia="仿宋_GB2312"/>
        </w:rPr>
        <w:t>城乡社区支出（类）城乡社区管理事务（款）其他城乡社区管理事务支出（项）: 指反映其他城乡社区管理事务方面专门性工作任务的支出。</w:t>
      </w:r>
    </w:p>
    <w:p>
      <w:pPr>
        <w:pStyle w:val="18"/>
        <w:numPr>
          <w:ilvl w:val="0"/>
          <w:numId w:val="0"/>
        </w:numPr>
        <w:ind w:left="635" w:leftChars="0" w:right="0" w:rightChars="0" w:firstLine="640" w:firstLineChars="200"/>
        <w:rPr>
          <w:rFonts w:hint="eastAsia" w:ascii="仿宋_GB2312" w:eastAsia="仿宋_GB2312"/>
        </w:rPr>
      </w:pPr>
      <w:r>
        <w:rPr>
          <w:rFonts w:hint="eastAsia" w:ascii="宋体" w:hAnsi="宋体"/>
          <w:sz w:val="32"/>
          <w:lang w:val="en-US" w:eastAsia="zh-CN"/>
        </w:rPr>
        <w:t>20.</w:t>
      </w:r>
      <w:r>
        <w:rPr>
          <w:rFonts w:hint="eastAsia" w:ascii="仿宋_GB2312" w:eastAsia="仿宋_GB2312"/>
        </w:rPr>
        <w:t>城乡社区支出（类）城乡社区公共设施（款） 其他城乡社区公共设施支出（项）: 指反映城乡社区道路、桥涵、燃气、供暖、公共交通（含轮渡、轻轨、地铁）、道路照明等公共设施建设维护与管理及其他用于城乡社区公共设施方面的支出。</w:t>
      </w:r>
    </w:p>
    <w:p>
      <w:pPr>
        <w:pStyle w:val="18"/>
        <w:numPr>
          <w:ilvl w:val="0"/>
          <w:numId w:val="0"/>
        </w:numPr>
        <w:ind w:left="635" w:leftChars="0" w:right="0" w:rightChars="0" w:firstLine="640" w:firstLineChars="200"/>
        <w:rPr>
          <w:rFonts w:hint="eastAsia" w:ascii="仿宋_GB2312" w:eastAsia="仿宋_GB2312"/>
        </w:rPr>
      </w:pPr>
      <w:r>
        <w:rPr>
          <w:rFonts w:hint="eastAsia" w:ascii="宋体" w:hAnsi="宋体"/>
          <w:sz w:val="32"/>
          <w:lang w:val="en-US" w:eastAsia="zh-CN"/>
        </w:rPr>
        <w:t>21.</w:t>
      </w:r>
      <w:r>
        <w:rPr>
          <w:rFonts w:hint="eastAsia" w:ascii="仿宋_GB2312" w:eastAsia="仿宋_GB2312"/>
        </w:rPr>
        <w:t>城乡社区支出（类）社区环境卫生（款）城乡社区环境卫生（项）: 指反映城乡社区道路清扫、垃圾清运与处理、公厕建设与维护、园林绿化等方面的支出。</w:t>
      </w:r>
    </w:p>
    <w:p>
      <w:pPr>
        <w:pStyle w:val="18"/>
        <w:numPr>
          <w:ilvl w:val="0"/>
          <w:numId w:val="0"/>
        </w:numPr>
        <w:ind w:left="635"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22.城乡社区支出（类）建设市场管理与监督（款）建设市场管理与监督（项）: 指反映各类建筑工程强制性和推荐性标准及规范的制定与修改、建筑工程招投标市场管理、建筑工程质量与安全监督等方面的支出。</w:t>
      </w:r>
    </w:p>
    <w:p>
      <w:pPr>
        <w:pStyle w:val="18"/>
        <w:numPr>
          <w:ilvl w:val="0"/>
          <w:numId w:val="0"/>
        </w:numPr>
        <w:ind w:left="635"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23.住房保障支出（类）保障性安居工程（款）棚户区改造（项）:指反映用于棚户区改造方面的支出。</w:t>
      </w:r>
    </w:p>
    <w:p>
      <w:pPr>
        <w:pStyle w:val="18"/>
        <w:numPr>
          <w:ilvl w:val="0"/>
          <w:numId w:val="0"/>
        </w:numPr>
        <w:ind w:left="635"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纳入预决算管理的“三公”经费，是指部门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headerReference r:id="rId13" w:type="default"/>
      <w:footerReference r:id="rId14" w:type="default"/>
      <w:pgSz w:w="11910" w:h="16840"/>
      <w:pgMar w:top="1587" w:right="964" w:bottom="1701" w:left="1134" w:header="737" w:footer="73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- 7 -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- 7 -</w:t>
                    </w:r>
                    <w:r>
                      <w:fldChar w:fldCharType="end"/>
                    </w:r>
                    <w:r>
                      <w:t xml:space="preserve"> —</w:t>
                    </w:r>
                  </w:p>
                </w:txbxContent>
              </v:textbox>
            </v:shape>
          </w:pict>
        </mc:Fallback>
      </mc:AlternateContent>
    </w:r>
    <w:r>
      <w:drawing>
        <wp:anchor distT="0" distB="0" distL="0" distR="0" simplePos="0" relativeHeight="251659264" behindDoc="1" locked="0" layoutInCell="1" allowOverlap="1">
          <wp:simplePos x="0" y="0"/>
          <wp:positionH relativeFrom="page">
            <wp:posOffset>3512820</wp:posOffset>
          </wp:positionH>
          <wp:positionV relativeFrom="page">
            <wp:posOffset>10094595</wp:posOffset>
          </wp:positionV>
          <wp:extent cx="534670" cy="229870"/>
          <wp:effectExtent l="0" t="0" r="0" b="0"/>
          <wp:wrapNone/>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4.png"/>
                  <pic:cNvPicPr>
                    <a:picLocks noChangeAspect="1"/>
                  </pic:cNvPicPr>
                </pic:nvPicPr>
                <pic:blipFill>
                  <a:blip r:embed="rId1" cstate="print"/>
                  <a:stretch>
                    <a:fillRect/>
                  </a:stretch>
                </pic:blipFill>
                <pic:spPr>
                  <a:xfrm>
                    <a:off x="0" y="0"/>
                    <a:ext cx="534924" cy="230124"/>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- 12 -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- 12 -</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- 13 -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- 13 -</w:t>
                    </w:r>
                    <w:r>
                      <w:fldChar w:fldCharType="end"/>
                    </w:r>
                    <w:r>
                      <w:t xml:space="preserve"> —</w:t>
                    </w:r>
                  </w:p>
                </w:txbxContent>
              </v:textbox>
            </v:shape>
          </w:pict>
        </mc:Fallback>
      </mc:AlternateContent>
    </w:r>
    <w:r>
      <w:drawing>
        <wp:anchor distT="0" distB="0" distL="0" distR="0" simplePos="0" relativeHeight="251660288" behindDoc="1" locked="0" layoutInCell="1" allowOverlap="1">
          <wp:simplePos x="0" y="0"/>
          <wp:positionH relativeFrom="page">
            <wp:posOffset>3512820</wp:posOffset>
          </wp:positionH>
          <wp:positionV relativeFrom="page">
            <wp:posOffset>10094595</wp:posOffset>
          </wp:positionV>
          <wp:extent cx="534670" cy="229870"/>
          <wp:effectExtent l="0" t="0" r="0" b="0"/>
          <wp:wrapNone/>
          <wp:docPr id="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4.png"/>
                  <pic:cNvPicPr>
                    <a:picLocks noChangeAspect="1"/>
                  </pic:cNvPicPr>
                </pic:nvPicPr>
                <pic:blipFill>
                  <a:blip r:embed="rId1" cstate="print"/>
                  <a:stretch>
                    <a:fillRect/>
                  </a:stretch>
                </pic:blipFill>
                <pic:spPr>
                  <a:xfrm>
                    <a:off x="0" y="0"/>
                    <a:ext cx="534924" cy="23012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spacing w:after="0" w:afterLines="201" w:afterAutospacing="0"/>
      <w:ind w:firstLine="404"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85EAF"/>
    <w:multiLevelType w:val="multilevel"/>
    <w:tmpl w:val="34F85EAF"/>
    <w:lvl w:ilvl="0" w:tentative="0">
      <w:start w:val="1"/>
      <w:numFmt w:val="chineseCountingThousand"/>
      <w:pStyle w:val="19"/>
      <w:suff w:val="nothing"/>
      <w:lvlText w:val="%1、"/>
      <w:lvlJc w:val="left"/>
      <w:pPr>
        <w:ind w:left="945" w:hanging="420"/>
      </w:pPr>
      <w:rPr>
        <w:rFonts w:hint="eastAsia"/>
      </w:rPr>
    </w:lvl>
    <w:lvl w:ilvl="1" w:tentative="0">
      <w:start w:val="1"/>
      <w:numFmt w:val="lowerLetter"/>
      <w:lvlText w:val="%2)"/>
      <w:lvlJc w:val="left"/>
      <w:pPr>
        <w:ind w:left="1372" w:hanging="420"/>
      </w:pPr>
    </w:lvl>
    <w:lvl w:ilvl="2" w:tentative="0">
      <w:start w:val="1"/>
      <w:numFmt w:val="lowerRoman"/>
      <w:lvlText w:val="%3."/>
      <w:lvlJc w:val="right"/>
      <w:pPr>
        <w:ind w:left="1792" w:hanging="420"/>
      </w:pPr>
    </w:lvl>
    <w:lvl w:ilvl="3" w:tentative="0">
      <w:start w:val="1"/>
      <w:numFmt w:val="decimal"/>
      <w:lvlText w:val="%4."/>
      <w:lvlJc w:val="left"/>
      <w:pPr>
        <w:ind w:left="2212" w:hanging="420"/>
      </w:pPr>
    </w:lvl>
    <w:lvl w:ilvl="4" w:tentative="0">
      <w:start w:val="1"/>
      <w:numFmt w:val="lowerLetter"/>
      <w:lvlText w:val="%5)"/>
      <w:lvlJc w:val="left"/>
      <w:pPr>
        <w:ind w:left="2632" w:hanging="420"/>
      </w:pPr>
    </w:lvl>
    <w:lvl w:ilvl="5" w:tentative="0">
      <w:start w:val="1"/>
      <w:numFmt w:val="lowerRoman"/>
      <w:lvlText w:val="%6."/>
      <w:lvlJc w:val="right"/>
      <w:pPr>
        <w:ind w:left="3052" w:hanging="420"/>
      </w:pPr>
    </w:lvl>
    <w:lvl w:ilvl="6" w:tentative="0">
      <w:start w:val="1"/>
      <w:numFmt w:val="decimal"/>
      <w:lvlText w:val="%7."/>
      <w:lvlJc w:val="left"/>
      <w:pPr>
        <w:ind w:left="3472" w:hanging="420"/>
      </w:pPr>
    </w:lvl>
    <w:lvl w:ilvl="7" w:tentative="0">
      <w:start w:val="1"/>
      <w:numFmt w:val="lowerLetter"/>
      <w:lvlText w:val="%8)"/>
      <w:lvlJc w:val="left"/>
      <w:pPr>
        <w:ind w:left="3892" w:hanging="420"/>
      </w:pPr>
    </w:lvl>
    <w:lvl w:ilvl="8" w:tentative="0">
      <w:start w:val="1"/>
      <w:numFmt w:val="lowerRoman"/>
      <w:lvlText w:val="%9."/>
      <w:lvlJc w:val="right"/>
      <w:pPr>
        <w:ind w:left="4312" w:hanging="420"/>
      </w:pPr>
    </w:lvl>
  </w:abstractNum>
  <w:abstractNum w:abstractNumId="1">
    <w:nsid w:val="3C57E4DA"/>
    <w:multiLevelType w:val="singleLevel"/>
    <w:tmpl w:val="3C57E4DA"/>
    <w:lvl w:ilvl="0" w:tentative="0">
      <w:start w:val="1"/>
      <w:numFmt w:val="chineseCounting"/>
      <w:suff w:val="space"/>
      <w:lvlText w:val="第%1部分"/>
      <w:lvlJc w:val="left"/>
      <w:rPr>
        <w:rFonts w:hint="eastAsia"/>
      </w:rPr>
    </w:lvl>
  </w:abstractNum>
  <w:abstractNum w:abstractNumId="2">
    <w:nsid w:val="501035D5"/>
    <w:multiLevelType w:val="singleLevel"/>
    <w:tmpl w:val="501035D5"/>
    <w:lvl w:ilvl="0" w:tentative="0">
      <w:start w:val="2"/>
      <w:numFmt w:val="chineseCounting"/>
      <w:suff w:val="space"/>
      <w:lvlText w:val="第%1部分"/>
      <w:lvlJc w:val="left"/>
      <w:rPr>
        <w:rFonts w:hint="eastAsia"/>
      </w:rPr>
    </w:lvl>
  </w:abstractNum>
  <w:abstractNum w:abstractNumId="3">
    <w:nsid w:val="5B63281F"/>
    <w:multiLevelType w:val="multilevel"/>
    <w:tmpl w:val="5B63281F"/>
    <w:lvl w:ilvl="0" w:tentative="0">
      <w:start w:val="1"/>
      <w:numFmt w:val="decimal"/>
      <w:pStyle w:val="18"/>
      <w:suff w:val="nothing"/>
      <w:lvlText w:val="%1."/>
      <w:lvlJc w:val="left"/>
      <w:pPr>
        <w:ind w:left="205" w:firstLine="635"/>
      </w:pPr>
      <w:rPr>
        <w:rFonts w:hint="eastAsia"/>
      </w:rPr>
    </w:lvl>
    <w:lvl w:ilvl="1" w:tentative="0">
      <w:start w:val="1"/>
      <w:numFmt w:val="lowerLetter"/>
      <w:lvlText w:val="%2)"/>
      <w:lvlJc w:val="left"/>
      <w:pPr>
        <w:ind w:left="1475" w:hanging="420"/>
      </w:pPr>
    </w:lvl>
    <w:lvl w:ilvl="2" w:tentative="0">
      <w:start w:val="1"/>
      <w:numFmt w:val="lowerRoman"/>
      <w:lvlText w:val="%3."/>
      <w:lvlJc w:val="right"/>
      <w:pPr>
        <w:ind w:left="1895" w:hanging="420"/>
      </w:pPr>
    </w:lvl>
    <w:lvl w:ilvl="3" w:tentative="0">
      <w:start w:val="1"/>
      <w:numFmt w:val="decimal"/>
      <w:lvlText w:val="%4."/>
      <w:lvlJc w:val="left"/>
      <w:pPr>
        <w:ind w:left="2315" w:hanging="420"/>
      </w:pPr>
    </w:lvl>
    <w:lvl w:ilvl="4" w:tentative="0">
      <w:start w:val="1"/>
      <w:numFmt w:val="lowerLetter"/>
      <w:lvlText w:val="%5)"/>
      <w:lvlJc w:val="left"/>
      <w:pPr>
        <w:ind w:left="2735" w:hanging="420"/>
      </w:pPr>
    </w:lvl>
    <w:lvl w:ilvl="5" w:tentative="0">
      <w:start w:val="1"/>
      <w:numFmt w:val="lowerRoman"/>
      <w:lvlText w:val="%6."/>
      <w:lvlJc w:val="right"/>
      <w:pPr>
        <w:ind w:left="3155" w:hanging="420"/>
      </w:pPr>
    </w:lvl>
    <w:lvl w:ilvl="6" w:tentative="0">
      <w:start w:val="1"/>
      <w:numFmt w:val="decimal"/>
      <w:lvlText w:val="%7."/>
      <w:lvlJc w:val="left"/>
      <w:pPr>
        <w:ind w:left="3575" w:hanging="420"/>
      </w:pPr>
    </w:lvl>
    <w:lvl w:ilvl="7" w:tentative="0">
      <w:start w:val="1"/>
      <w:numFmt w:val="lowerLetter"/>
      <w:lvlText w:val="%8)"/>
      <w:lvlJc w:val="left"/>
      <w:pPr>
        <w:ind w:left="3995" w:hanging="420"/>
      </w:pPr>
    </w:lvl>
    <w:lvl w:ilvl="8" w:tentative="0">
      <w:start w:val="1"/>
      <w:numFmt w:val="lowerRoman"/>
      <w:lvlText w:val="%9."/>
      <w:lvlJc w:val="right"/>
      <w:pPr>
        <w:ind w:left="4415" w:hanging="420"/>
      </w:pPr>
    </w:lvl>
  </w:abstractNum>
  <w:abstractNum w:abstractNumId="4">
    <w:nsid w:val="5E4BA84F"/>
    <w:multiLevelType w:val="singleLevel"/>
    <w:tmpl w:val="5E4BA84F"/>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MWQ3ZGNhZGU1YmExMDMzZDI1YjQxM2JhNTQ3NDIifQ=="/>
    <w:docVar w:name="KSO_WPS_MARK_KEY" w:val="1f0ba509-76ee-4063-8234-4a89aa4bb834"/>
  </w:docVars>
  <w:rsids>
    <w:rsidRoot w:val="00000000"/>
    <w:rsid w:val="000223DA"/>
    <w:rsid w:val="000901D2"/>
    <w:rsid w:val="000A2693"/>
    <w:rsid w:val="003A1322"/>
    <w:rsid w:val="009D4968"/>
    <w:rsid w:val="00FD5216"/>
    <w:rsid w:val="02ED1707"/>
    <w:rsid w:val="0329336A"/>
    <w:rsid w:val="032D22D1"/>
    <w:rsid w:val="0467349F"/>
    <w:rsid w:val="04931550"/>
    <w:rsid w:val="04A54949"/>
    <w:rsid w:val="04D055E9"/>
    <w:rsid w:val="04D84780"/>
    <w:rsid w:val="04FE26C7"/>
    <w:rsid w:val="05040F9C"/>
    <w:rsid w:val="052B0ACF"/>
    <w:rsid w:val="05D36833"/>
    <w:rsid w:val="05D97C10"/>
    <w:rsid w:val="05ED2A31"/>
    <w:rsid w:val="063E02E6"/>
    <w:rsid w:val="06981A8E"/>
    <w:rsid w:val="069B7255"/>
    <w:rsid w:val="06C626CC"/>
    <w:rsid w:val="07521C7B"/>
    <w:rsid w:val="07A57588"/>
    <w:rsid w:val="07E57EB3"/>
    <w:rsid w:val="07F75885"/>
    <w:rsid w:val="088237DC"/>
    <w:rsid w:val="08F36764"/>
    <w:rsid w:val="094979AE"/>
    <w:rsid w:val="09725B8E"/>
    <w:rsid w:val="0A0228C1"/>
    <w:rsid w:val="0AB21CBF"/>
    <w:rsid w:val="0B0C422B"/>
    <w:rsid w:val="0B165EB0"/>
    <w:rsid w:val="0B6D6042"/>
    <w:rsid w:val="0B7B5087"/>
    <w:rsid w:val="0BAE1513"/>
    <w:rsid w:val="0C80347F"/>
    <w:rsid w:val="0CC47A73"/>
    <w:rsid w:val="0CD24832"/>
    <w:rsid w:val="0E331AC1"/>
    <w:rsid w:val="0E5E55AF"/>
    <w:rsid w:val="0E6A7DF0"/>
    <w:rsid w:val="0E6D633B"/>
    <w:rsid w:val="0F573E9E"/>
    <w:rsid w:val="0F86221B"/>
    <w:rsid w:val="0F99429C"/>
    <w:rsid w:val="0FB3217F"/>
    <w:rsid w:val="0FD8262B"/>
    <w:rsid w:val="108F0E8A"/>
    <w:rsid w:val="116A4977"/>
    <w:rsid w:val="11930B87"/>
    <w:rsid w:val="12014BAC"/>
    <w:rsid w:val="121E0FC1"/>
    <w:rsid w:val="12272F66"/>
    <w:rsid w:val="124D6A0C"/>
    <w:rsid w:val="128053C3"/>
    <w:rsid w:val="13AC4321"/>
    <w:rsid w:val="13CB5FFB"/>
    <w:rsid w:val="13CB72E6"/>
    <w:rsid w:val="146B63C7"/>
    <w:rsid w:val="14C55C7A"/>
    <w:rsid w:val="15081D80"/>
    <w:rsid w:val="15271B06"/>
    <w:rsid w:val="15EF1B20"/>
    <w:rsid w:val="160E0104"/>
    <w:rsid w:val="16832F64"/>
    <w:rsid w:val="16C24ABA"/>
    <w:rsid w:val="16EC7CDF"/>
    <w:rsid w:val="175C1360"/>
    <w:rsid w:val="18746BED"/>
    <w:rsid w:val="18B84F77"/>
    <w:rsid w:val="19132A68"/>
    <w:rsid w:val="195855F7"/>
    <w:rsid w:val="19985AB9"/>
    <w:rsid w:val="19990174"/>
    <w:rsid w:val="19A8311B"/>
    <w:rsid w:val="19DB2383"/>
    <w:rsid w:val="1A6129A4"/>
    <w:rsid w:val="1A8E5C92"/>
    <w:rsid w:val="1A911FB1"/>
    <w:rsid w:val="1A9C1E99"/>
    <w:rsid w:val="1AB0299B"/>
    <w:rsid w:val="1B5673E1"/>
    <w:rsid w:val="1C4565B4"/>
    <w:rsid w:val="1C4D5295"/>
    <w:rsid w:val="1D12341D"/>
    <w:rsid w:val="1D185917"/>
    <w:rsid w:val="1D343C1C"/>
    <w:rsid w:val="1D4833B8"/>
    <w:rsid w:val="1DF95CAC"/>
    <w:rsid w:val="1E213A1E"/>
    <w:rsid w:val="1E2D4F75"/>
    <w:rsid w:val="1E3B3099"/>
    <w:rsid w:val="1E3D7E64"/>
    <w:rsid w:val="1E590292"/>
    <w:rsid w:val="1E6D685D"/>
    <w:rsid w:val="1E9115A9"/>
    <w:rsid w:val="1E9F75D5"/>
    <w:rsid w:val="20152D31"/>
    <w:rsid w:val="205F1588"/>
    <w:rsid w:val="207B051B"/>
    <w:rsid w:val="209600F0"/>
    <w:rsid w:val="20D9567F"/>
    <w:rsid w:val="20E70E0A"/>
    <w:rsid w:val="20FB47BB"/>
    <w:rsid w:val="21211D8E"/>
    <w:rsid w:val="2232276B"/>
    <w:rsid w:val="224A4F6D"/>
    <w:rsid w:val="226513C9"/>
    <w:rsid w:val="22C4348A"/>
    <w:rsid w:val="22E93421"/>
    <w:rsid w:val="22FF6D33"/>
    <w:rsid w:val="239607F4"/>
    <w:rsid w:val="23B77911"/>
    <w:rsid w:val="241604E6"/>
    <w:rsid w:val="247F2477"/>
    <w:rsid w:val="24A006C9"/>
    <w:rsid w:val="24B47C1E"/>
    <w:rsid w:val="24C473D2"/>
    <w:rsid w:val="24C90AB6"/>
    <w:rsid w:val="251A2046"/>
    <w:rsid w:val="25437B8C"/>
    <w:rsid w:val="26632637"/>
    <w:rsid w:val="275B0D2F"/>
    <w:rsid w:val="27773A03"/>
    <w:rsid w:val="294E369D"/>
    <w:rsid w:val="298D2958"/>
    <w:rsid w:val="29BD04E2"/>
    <w:rsid w:val="29C545AB"/>
    <w:rsid w:val="2AC557FC"/>
    <w:rsid w:val="2B0067D0"/>
    <w:rsid w:val="2B1B11BE"/>
    <w:rsid w:val="2B8019DE"/>
    <w:rsid w:val="2BD66371"/>
    <w:rsid w:val="2BFB3CA8"/>
    <w:rsid w:val="2C30390A"/>
    <w:rsid w:val="2C972A3E"/>
    <w:rsid w:val="2D093F8C"/>
    <w:rsid w:val="2D7160CB"/>
    <w:rsid w:val="2D8C5357"/>
    <w:rsid w:val="2D9B7016"/>
    <w:rsid w:val="2DA725E9"/>
    <w:rsid w:val="2DCB7821"/>
    <w:rsid w:val="2E7051C9"/>
    <w:rsid w:val="2ED753FC"/>
    <w:rsid w:val="2EFE1385"/>
    <w:rsid w:val="2F1E4ED1"/>
    <w:rsid w:val="2F677EB3"/>
    <w:rsid w:val="2FBD6296"/>
    <w:rsid w:val="30C963C3"/>
    <w:rsid w:val="30F82B38"/>
    <w:rsid w:val="3170631D"/>
    <w:rsid w:val="31712F39"/>
    <w:rsid w:val="31A940C7"/>
    <w:rsid w:val="31E927F9"/>
    <w:rsid w:val="3324697D"/>
    <w:rsid w:val="33425672"/>
    <w:rsid w:val="335258A9"/>
    <w:rsid w:val="33AE6005"/>
    <w:rsid w:val="33AF1585"/>
    <w:rsid w:val="34132425"/>
    <w:rsid w:val="343A6832"/>
    <w:rsid w:val="346D76BF"/>
    <w:rsid w:val="347F3620"/>
    <w:rsid w:val="34A631C5"/>
    <w:rsid w:val="358D2CB9"/>
    <w:rsid w:val="35A24C75"/>
    <w:rsid w:val="35F229B3"/>
    <w:rsid w:val="36422FA0"/>
    <w:rsid w:val="3687346B"/>
    <w:rsid w:val="36AE2B62"/>
    <w:rsid w:val="373826D9"/>
    <w:rsid w:val="37AB5C1C"/>
    <w:rsid w:val="386F098E"/>
    <w:rsid w:val="38E54BBA"/>
    <w:rsid w:val="396C5CC6"/>
    <w:rsid w:val="3A9706D1"/>
    <w:rsid w:val="3ACD3B57"/>
    <w:rsid w:val="3B8F441B"/>
    <w:rsid w:val="3BBF3E09"/>
    <w:rsid w:val="3C0B1F3E"/>
    <w:rsid w:val="3C3F2833"/>
    <w:rsid w:val="3C505361"/>
    <w:rsid w:val="3C7822B8"/>
    <w:rsid w:val="3D9D19BB"/>
    <w:rsid w:val="3D9F7A2D"/>
    <w:rsid w:val="3DAA7B54"/>
    <w:rsid w:val="3DE1439E"/>
    <w:rsid w:val="3E20210C"/>
    <w:rsid w:val="3E831516"/>
    <w:rsid w:val="3ED16484"/>
    <w:rsid w:val="3F051AC8"/>
    <w:rsid w:val="3F37318F"/>
    <w:rsid w:val="3F9E5406"/>
    <w:rsid w:val="401B1D91"/>
    <w:rsid w:val="4054788A"/>
    <w:rsid w:val="40722D96"/>
    <w:rsid w:val="40D16C69"/>
    <w:rsid w:val="40FB141E"/>
    <w:rsid w:val="41232656"/>
    <w:rsid w:val="41322966"/>
    <w:rsid w:val="42415557"/>
    <w:rsid w:val="42DF342E"/>
    <w:rsid w:val="42FF4873"/>
    <w:rsid w:val="432372F6"/>
    <w:rsid w:val="433A3D54"/>
    <w:rsid w:val="43497143"/>
    <w:rsid w:val="436237C4"/>
    <w:rsid w:val="43D77ECD"/>
    <w:rsid w:val="44592548"/>
    <w:rsid w:val="451F7559"/>
    <w:rsid w:val="46C5127E"/>
    <w:rsid w:val="46E61B72"/>
    <w:rsid w:val="46F87168"/>
    <w:rsid w:val="470551DC"/>
    <w:rsid w:val="4777770C"/>
    <w:rsid w:val="47947ACF"/>
    <w:rsid w:val="47AC00DC"/>
    <w:rsid w:val="47C6205A"/>
    <w:rsid w:val="482E1FB6"/>
    <w:rsid w:val="48A00B7F"/>
    <w:rsid w:val="48A35CCC"/>
    <w:rsid w:val="48BF1EE2"/>
    <w:rsid w:val="49353161"/>
    <w:rsid w:val="49886893"/>
    <w:rsid w:val="49B55750"/>
    <w:rsid w:val="4A26745A"/>
    <w:rsid w:val="4AD45F34"/>
    <w:rsid w:val="4B1E766A"/>
    <w:rsid w:val="4B256E76"/>
    <w:rsid w:val="4B9A35F0"/>
    <w:rsid w:val="4C7D7984"/>
    <w:rsid w:val="4C9B2BBE"/>
    <w:rsid w:val="4CCA41DF"/>
    <w:rsid w:val="4D3C563B"/>
    <w:rsid w:val="4D9237D1"/>
    <w:rsid w:val="4E2B59E9"/>
    <w:rsid w:val="4E972DD7"/>
    <w:rsid w:val="4EAB0C55"/>
    <w:rsid w:val="4EAB6B79"/>
    <w:rsid w:val="4EE76D91"/>
    <w:rsid w:val="4F0D1C4D"/>
    <w:rsid w:val="4FE579BE"/>
    <w:rsid w:val="50010ABF"/>
    <w:rsid w:val="50A309A8"/>
    <w:rsid w:val="511E3AFD"/>
    <w:rsid w:val="51335C83"/>
    <w:rsid w:val="513738CA"/>
    <w:rsid w:val="528D1C2E"/>
    <w:rsid w:val="52961DA7"/>
    <w:rsid w:val="529D0DE1"/>
    <w:rsid w:val="545151A1"/>
    <w:rsid w:val="5469447E"/>
    <w:rsid w:val="54931A3C"/>
    <w:rsid w:val="54B77418"/>
    <w:rsid w:val="54C30EEA"/>
    <w:rsid w:val="553A60D5"/>
    <w:rsid w:val="5543046B"/>
    <w:rsid w:val="56E26F1B"/>
    <w:rsid w:val="57D13A15"/>
    <w:rsid w:val="58750FE7"/>
    <w:rsid w:val="588B171F"/>
    <w:rsid w:val="58EE6347"/>
    <w:rsid w:val="593D2098"/>
    <w:rsid w:val="59501FCE"/>
    <w:rsid w:val="595E3E2E"/>
    <w:rsid w:val="597B3294"/>
    <w:rsid w:val="59C84A0C"/>
    <w:rsid w:val="59F03BB1"/>
    <w:rsid w:val="5A451238"/>
    <w:rsid w:val="5A676681"/>
    <w:rsid w:val="5A9D2595"/>
    <w:rsid w:val="5AAA62C4"/>
    <w:rsid w:val="5AE66825"/>
    <w:rsid w:val="5AE90F4A"/>
    <w:rsid w:val="5B121CE6"/>
    <w:rsid w:val="5B2D71A3"/>
    <w:rsid w:val="5B306BC9"/>
    <w:rsid w:val="5B65451D"/>
    <w:rsid w:val="5B694199"/>
    <w:rsid w:val="5C753B63"/>
    <w:rsid w:val="5C8D1CDB"/>
    <w:rsid w:val="5CA50038"/>
    <w:rsid w:val="5D8171D3"/>
    <w:rsid w:val="5DBE580F"/>
    <w:rsid w:val="5E52627C"/>
    <w:rsid w:val="5E72478C"/>
    <w:rsid w:val="5F7E1132"/>
    <w:rsid w:val="5FF0795E"/>
    <w:rsid w:val="5FF31E84"/>
    <w:rsid w:val="605402AB"/>
    <w:rsid w:val="60E31E47"/>
    <w:rsid w:val="611C4058"/>
    <w:rsid w:val="61F744BF"/>
    <w:rsid w:val="62367A46"/>
    <w:rsid w:val="62606C07"/>
    <w:rsid w:val="631D29C8"/>
    <w:rsid w:val="636D1F4D"/>
    <w:rsid w:val="641B7EFA"/>
    <w:rsid w:val="64255083"/>
    <w:rsid w:val="65370514"/>
    <w:rsid w:val="65534AD5"/>
    <w:rsid w:val="660309D6"/>
    <w:rsid w:val="66E473C6"/>
    <w:rsid w:val="67567B46"/>
    <w:rsid w:val="67AF51EC"/>
    <w:rsid w:val="67C417DD"/>
    <w:rsid w:val="68762D2F"/>
    <w:rsid w:val="687A7871"/>
    <w:rsid w:val="68ED2BD7"/>
    <w:rsid w:val="695C6752"/>
    <w:rsid w:val="69EB3B5C"/>
    <w:rsid w:val="6A111490"/>
    <w:rsid w:val="6A263FA2"/>
    <w:rsid w:val="6ADD580F"/>
    <w:rsid w:val="6AE77ABB"/>
    <w:rsid w:val="6AEA61D2"/>
    <w:rsid w:val="6B012DC3"/>
    <w:rsid w:val="6B0A71D6"/>
    <w:rsid w:val="6B2D533B"/>
    <w:rsid w:val="6BED1142"/>
    <w:rsid w:val="6C5D26DE"/>
    <w:rsid w:val="6C7C7FAF"/>
    <w:rsid w:val="6D003795"/>
    <w:rsid w:val="6D964906"/>
    <w:rsid w:val="6DA61115"/>
    <w:rsid w:val="6DB16CB4"/>
    <w:rsid w:val="6DCD5740"/>
    <w:rsid w:val="6EBB2D05"/>
    <w:rsid w:val="6F20155B"/>
    <w:rsid w:val="6F44407B"/>
    <w:rsid w:val="6F991C7F"/>
    <w:rsid w:val="70DC1E23"/>
    <w:rsid w:val="713B3F4A"/>
    <w:rsid w:val="714C777F"/>
    <w:rsid w:val="7209340F"/>
    <w:rsid w:val="7224255D"/>
    <w:rsid w:val="72A51B27"/>
    <w:rsid w:val="746826CA"/>
    <w:rsid w:val="747D38CC"/>
    <w:rsid w:val="74BD2ADA"/>
    <w:rsid w:val="74D53CC6"/>
    <w:rsid w:val="750970DF"/>
    <w:rsid w:val="753F2837"/>
    <w:rsid w:val="7589007A"/>
    <w:rsid w:val="75D31A09"/>
    <w:rsid w:val="75ED4253"/>
    <w:rsid w:val="762B5843"/>
    <w:rsid w:val="7673550E"/>
    <w:rsid w:val="76A30804"/>
    <w:rsid w:val="76CB3B61"/>
    <w:rsid w:val="779925BC"/>
    <w:rsid w:val="77D62804"/>
    <w:rsid w:val="77F72DEB"/>
    <w:rsid w:val="784B3FB0"/>
    <w:rsid w:val="78583E22"/>
    <w:rsid w:val="78770C71"/>
    <w:rsid w:val="78C812C1"/>
    <w:rsid w:val="78E74719"/>
    <w:rsid w:val="794606AA"/>
    <w:rsid w:val="799608E2"/>
    <w:rsid w:val="79B0209F"/>
    <w:rsid w:val="79E16703"/>
    <w:rsid w:val="7A1A101B"/>
    <w:rsid w:val="7A7001A1"/>
    <w:rsid w:val="7AB93EF6"/>
    <w:rsid w:val="7AD002DC"/>
    <w:rsid w:val="7B061E97"/>
    <w:rsid w:val="7B470F2D"/>
    <w:rsid w:val="7B634078"/>
    <w:rsid w:val="7BFC6670"/>
    <w:rsid w:val="7C005DBB"/>
    <w:rsid w:val="7C4F3FBF"/>
    <w:rsid w:val="7C666E9B"/>
    <w:rsid w:val="7CCA652A"/>
    <w:rsid w:val="7CD10873"/>
    <w:rsid w:val="7CE73728"/>
    <w:rsid w:val="7D312C5D"/>
    <w:rsid w:val="7D7C0178"/>
    <w:rsid w:val="7DD301F1"/>
    <w:rsid w:val="7E2D2328"/>
    <w:rsid w:val="7E784ECC"/>
    <w:rsid w:val="7F7234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79"/>
      <w:ind w:left="2747"/>
      <w:outlineLvl w:val="1"/>
    </w:pPr>
    <w:rPr>
      <w:rFonts w:ascii="Times New Roman" w:hAnsi="Times New Roman" w:eastAsia="Times New Roman" w:cs="Times New Roman"/>
      <w:sz w:val="52"/>
      <w:szCs w:val="52"/>
      <w:lang w:val="zh-CN" w:eastAsia="zh-CN" w:bidi="zh-CN"/>
    </w:rPr>
  </w:style>
  <w:style w:type="paragraph" w:styleId="4">
    <w:name w:val="heading 2"/>
    <w:basedOn w:val="1"/>
    <w:next w:val="1"/>
    <w:qFormat/>
    <w:uiPriority w:val="1"/>
    <w:pPr>
      <w:ind w:left="923"/>
      <w:outlineLvl w:val="2"/>
    </w:pPr>
    <w:rPr>
      <w:rFonts w:ascii="楷体" w:hAnsi="楷体" w:eastAsia="楷体" w:cs="楷体"/>
      <w:b/>
      <w:bCs/>
      <w:sz w:val="32"/>
      <w:szCs w:val="32"/>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widowControl w:val="0"/>
      <w:jc w:val="both"/>
      <w:textAlignment w:val="baseline"/>
    </w:pPr>
    <w:rPr>
      <w:rFonts w:ascii="Times New Roman" w:hAnsi="Times New Roman" w:eastAsia="宋体" w:cs="Times New Roman"/>
      <w:kern w:val="2"/>
      <w:sz w:val="21"/>
      <w:szCs w:val="24"/>
      <w:lang w:val="en-US" w:eastAsia="zh-CN" w:bidi="ar-SA"/>
    </w:rPr>
  </w:style>
  <w:style w:type="paragraph" w:styleId="5">
    <w:name w:val="Body Text"/>
    <w:basedOn w:val="1"/>
    <w:qFormat/>
    <w:uiPriority w:val="1"/>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Emphasis"/>
    <w:basedOn w:val="9"/>
    <w:qFormat/>
    <w:uiPriority w:val="0"/>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280" w:firstLine="640"/>
      <w:jc w:val="both"/>
    </w:pPr>
    <w:rPr>
      <w:rFonts w:ascii="仿宋_GB2312" w:hAnsi="仿宋_GB2312" w:eastAsia="仿宋_GB2312" w:cs="仿宋_GB2312"/>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WPSOffice手动目录 1"/>
    <w:qFormat/>
    <w:uiPriority w:val="0"/>
    <w:pPr>
      <w:ind w:leftChars="0"/>
    </w:pPr>
    <w:rPr>
      <w:rFonts w:asciiTheme="minorHAnsi" w:hAnsiTheme="minorHAnsi" w:eastAsiaTheme="minorHAnsi" w:cstheme="minorBidi"/>
      <w:sz w:val="20"/>
      <w:szCs w:val="20"/>
    </w:rPr>
  </w:style>
  <w:style w:type="paragraph" w:customStyle="1" w:styleId="15">
    <w:name w:val="WPSOffice手动目录 2"/>
    <w:qFormat/>
    <w:uiPriority w:val="0"/>
    <w:pPr>
      <w:ind w:leftChars="200"/>
    </w:pPr>
    <w:rPr>
      <w:rFonts w:asciiTheme="minorHAnsi" w:hAnsiTheme="minorHAnsi" w:eastAsiaTheme="minorHAnsi" w:cstheme="minorBidi"/>
      <w:sz w:val="20"/>
      <w:szCs w:val="20"/>
    </w:rPr>
  </w:style>
  <w:style w:type="paragraph" w:customStyle="1" w:styleId="16">
    <w:name w:val="WPSOffice手动目录 3"/>
    <w:qFormat/>
    <w:uiPriority w:val="0"/>
    <w:pPr>
      <w:ind w:leftChars="400"/>
    </w:pPr>
    <w:rPr>
      <w:rFonts w:asciiTheme="minorHAnsi" w:hAnsiTheme="minorHAnsi" w:eastAsiaTheme="minorHAnsi" w:cstheme="minorBidi"/>
      <w:sz w:val="20"/>
      <w:szCs w:val="20"/>
    </w:rPr>
  </w:style>
  <w:style w:type="paragraph" w:customStyle="1" w:styleId="17">
    <w:name w:val="〖C01〗正文"/>
    <w:basedOn w:val="1"/>
    <w:qFormat/>
    <w:uiPriority w:val="0"/>
    <w:pPr>
      <w:topLinePunct/>
      <w:spacing w:line="600" w:lineRule="exact"/>
      <w:ind w:firstLine="640" w:firstLineChars="200"/>
    </w:pPr>
    <w:rPr>
      <w:rFonts w:ascii="仿宋_GB2312" w:hAnsi="Calibri" w:eastAsia="仿宋_GB2312"/>
      <w:sz w:val="32"/>
      <w:szCs w:val="32"/>
    </w:rPr>
  </w:style>
  <w:style w:type="paragraph" w:customStyle="1" w:styleId="18">
    <w:name w:val="〖B03〗三级标题"/>
    <w:basedOn w:val="1"/>
    <w:qFormat/>
    <w:uiPriority w:val="0"/>
    <w:pPr>
      <w:numPr>
        <w:ilvl w:val="0"/>
        <w:numId w:val="1"/>
      </w:numPr>
      <w:topLinePunct/>
      <w:spacing w:line="600" w:lineRule="exact"/>
      <w:outlineLvl w:val="2"/>
    </w:pPr>
    <w:rPr>
      <w:rFonts w:ascii="楷体_GB2312" w:hAnsi="Calibri" w:eastAsia="楷体_GB2312"/>
      <w:sz w:val="32"/>
      <w:szCs w:val="32"/>
    </w:rPr>
  </w:style>
  <w:style w:type="paragraph" w:customStyle="1" w:styleId="19">
    <w:name w:val="〖B01〗一级标题"/>
    <w:basedOn w:val="1"/>
    <w:next w:val="1"/>
    <w:qFormat/>
    <w:uiPriority w:val="0"/>
    <w:pPr>
      <w:numPr>
        <w:ilvl w:val="0"/>
        <w:numId w:val="2"/>
      </w:numPr>
      <w:topLinePunct/>
      <w:spacing w:line="600" w:lineRule="exact"/>
      <w:outlineLvl w:val="0"/>
    </w:pPr>
    <w:rPr>
      <w:rFonts w:ascii="黑体" w:hAnsi="Calibri"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8519</Words>
  <Characters>9279</Characters>
  <TotalTime>59</TotalTime>
  <ScaleCrop>false</ScaleCrop>
  <LinksUpToDate>false</LinksUpToDate>
  <CharactersWithSpaces>9447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2022-05-05T02:14:00Z</dcterms:created>
  <dc:creator>user</dc:creator>
  <cp:lastModifiedBy>Administrator</cp:lastModifiedBy>
  <dcterms:modified xsi:type="dcterms:W3CDTF">2024-03-07T01:32:47Z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2010</vt:lpwstr>
  </property>
  <property fmtid="{D5CDD505-2E9C-101B-9397-08002B2CF9AE}" pid="4" name="LastSaved">
    <vt:filetime>2022-05-05T00:00:00Z</vt:filetime>
  </property>
  <property fmtid="{D5CDD505-2E9C-101B-9397-08002B2CF9AE}" pid="5" name="KSOProductBuildVer">
    <vt:lpwstr>2052-11.1.0.12763</vt:lpwstr>
  </property>
  <property fmtid="{D5CDD505-2E9C-101B-9397-08002B2CF9AE}" pid="6" name="ICV">
    <vt:lpwstr>DF53DDDF0FCF457FA70D1E9E3C698723</vt:lpwstr>
  </property>
</Properties>
</file>