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szCs w:val="21"/>
        </w:rPr>
      </w:pPr>
      <w:bookmarkStart w:id="0" w:name="_Toc15306267"/>
    </w:p>
    <w:p>
      <w:pPr>
        <w:pStyle w:val="6"/>
        <w:spacing w:before="93"/>
      </w:pPr>
    </w:p>
    <w:p>
      <w:pPr>
        <w:spacing w:line="600" w:lineRule="exact"/>
        <w:jc w:val="center"/>
        <w:outlineLvl w:val="9"/>
        <w:rPr>
          <w:rFonts w:ascii="方正小标宋简体" w:hAnsi="宋体" w:eastAsia="方正小标宋简体"/>
          <w:sz w:val="72"/>
          <w:szCs w:val="72"/>
        </w:rPr>
      </w:pPr>
    </w:p>
    <w:p>
      <w:pPr>
        <w:spacing w:line="600" w:lineRule="exact"/>
        <w:jc w:val="center"/>
        <w:outlineLvl w:val="9"/>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475"/>
      <w:bookmarkStart w:id="2" w:name="_Toc15378441"/>
      <w:bookmarkStart w:id="3" w:name="_Toc15396597"/>
      <w:bookmarkStart w:id="4" w:name="_Toc6328"/>
      <w:bookmarkStart w:id="5" w:name="_Toc15377193"/>
      <w:bookmarkStart w:id="6" w:name="_Toc15377425"/>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7" w:name="_Toc15396476"/>
      <w:bookmarkStart w:id="8" w:name="_Toc14397"/>
      <w:bookmarkStart w:id="9" w:name="_Toc15377194"/>
      <w:bookmarkStart w:id="10" w:name="_Toc15396598"/>
      <w:bookmarkStart w:id="11" w:name="_Toc15377426"/>
      <w:bookmarkStart w:id="12" w:name="_Toc15378442"/>
      <w:r>
        <w:rPr>
          <w:rFonts w:hint="eastAsia" w:ascii="方正小标宋简体" w:hAnsi="方正小标宋简体" w:eastAsia="方正小标宋简体" w:cs="方正小标宋简体"/>
          <w:sz w:val="72"/>
          <w:szCs w:val="72"/>
        </w:rPr>
        <w:t>四川省</w:t>
      </w:r>
      <w:bookmarkEnd w:id="0"/>
      <w:bookmarkStart w:id="13" w:name="_Toc15306268"/>
      <w:r>
        <w:rPr>
          <w:rFonts w:hint="eastAsia" w:ascii="方正小标宋简体" w:hAnsi="方正小标宋简体" w:eastAsia="方正小标宋简体" w:cs="方正小标宋简体"/>
          <w:sz w:val="72"/>
          <w:szCs w:val="72"/>
          <w:lang w:val="en-US" w:eastAsia="zh-CN"/>
        </w:rPr>
        <w:t>乐山市五通桥区统计局（本级）</w:t>
      </w:r>
      <w:r>
        <w:rPr>
          <w:rFonts w:hint="eastAsia" w:ascii="方正小标宋简体" w:hAnsi="方正小标宋简体" w:eastAsia="方正小标宋简体" w:cs="方正小标宋简体"/>
          <w:sz w:val="72"/>
          <w:szCs w:val="72"/>
        </w:rPr>
        <w:t>单位决算</w:t>
      </w:r>
      <w:bookmarkEnd w:id="7"/>
      <w:bookmarkEnd w:id="8"/>
      <w:bookmarkEnd w:id="9"/>
      <w:bookmarkEnd w:id="10"/>
      <w:bookmarkEnd w:id="11"/>
      <w:bookmarkEnd w:id="12"/>
      <w:bookmarkEnd w:id="13"/>
    </w:p>
    <w:p>
      <w:pPr>
        <w:widowControl/>
        <w:jc w:val="center"/>
        <w:rPr>
          <w:rFonts w:ascii="黑体" w:hAnsi="黑体" w:eastAsia="黑体"/>
          <w:sz w:val="48"/>
          <w:szCs w:val="48"/>
        </w:rPr>
      </w:pPr>
      <w:r>
        <w:rPr>
          <w:rFonts w:ascii="方正小标宋简体" w:hAnsi="宋体" w:eastAsia="方正小标宋简体"/>
          <w:sz w:val="36"/>
          <w:szCs w:val="36"/>
        </w:rPr>
        <w:br w:type="page"/>
      </w:r>
    </w:p>
    <w:p>
      <w:pPr>
        <w:rPr>
          <w:rFonts w:hint="default" w:eastAsia="宋体"/>
          <w:lang w:val="en-US" w:eastAsia="zh-CN"/>
        </w:rPr>
      </w:pPr>
    </w:p>
    <w:p>
      <w:pPr>
        <w:widowControl/>
        <w:spacing w:line="440" w:lineRule="exact"/>
        <w:jc w:val="center"/>
        <w:rPr>
          <w:rFonts w:hint="eastAsia" w:ascii="仿宋" w:hAnsi="仿宋" w:eastAsia="仿宋"/>
          <w:b/>
          <w:sz w:val="40"/>
          <w:szCs w:val="40"/>
          <w:lang w:val="en-US" w:eastAsia="zh-CN"/>
        </w:rPr>
      </w:pPr>
      <w:bookmarkStart w:id="14" w:name="_Toc15396599"/>
      <w:bookmarkStart w:id="15" w:name="_Toc15377196"/>
      <w:r>
        <w:rPr>
          <w:rFonts w:hint="eastAsia" w:ascii="仿宋" w:hAnsi="仿宋" w:eastAsia="仿宋"/>
          <w:b/>
          <w:sz w:val="40"/>
          <w:szCs w:val="40"/>
          <w:lang w:val="en-US" w:eastAsia="zh-CN"/>
        </w:rPr>
        <w:t>目录</w:t>
      </w:r>
    </w:p>
    <w:p>
      <w:pPr>
        <w:jc w:val="center"/>
        <w:rPr>
          <w:rFonts w:hint="eastAsia"/>
          <w:lang w:val="en-US" w:eastAsia="zh-CN"/>
        </w:rPr>
      </w:pPr>
      <w:r>
        <w:rPr>
          <w:rFonts w:hint="eastAsia"/>
          <w:lang w:val="en-US" w:eastAsia="zh-CN"/>
        </w:rPr>
        <w:t>公开时间：2024年10月23</w:t>
      </w:r>
      <w:bookmarkStart w:id="112" w:name="_GoBack"/>
      <w:bookmarkEnd w:id="112"/>
      <w:r>
        <w:rPr>
          <w:rFonts w:hint="eastAsia"/>
          <w:lang w:val="en-US" w:eastAsia="zh-CN"/>
        </w:rPr>
        <w:t>日</w:t>
      </w:r>
    </w:p>
    <w:sdt>
      <w:sdtPr>
        <w:rPr>
          <w:rFonts w:ascii="宋体" w:hAnsi="宋体" w:eastAsia="宋体" w:cs="Times New Roman"/>
          <w:kern w:val="2"/>
          <w:sz w:val="21"/>
          <w:szCs w:val="24"/>
          <w:lang w:val="en-US" w:eastAsia="zh-CN" w:bidi="ar-SA"/>
        </w:rPr>
        <w:id w:val="147467764"/>
        <w15:color w:val="DBDBDB"/>
        <w:docPartObj>
          <w:docPartGallery w:val="Table of Contents"/>
          <w:docPartUnique/>
        </w:docPartObj>
      </w:sdtPr>
      <w:sdtEndPr>
        <w:rPr>
          <w:rFonts w:ascii="Arial" w:hAnsi="Arial" w:eastAsia="黑体" w:cs="Times New Roman"/>
          <w:b/>
          <w:kern w:val="2"/>
          <w:sz w:val="24"/>
          <w:szCs w:val="28"/>
          <w:lang w:val="en-US" w:eastAsia="zh-CN" w:bidi="ar-SA"/>
        </w:rPr>
      </w:sdtEndPr>
      <w:sdtContent>
        <w:p>
          <w:pPr>
            <w:spacing w:before="0" w:beforeLines="0" w:after="0" w:afterLines="0" w:line="240" w:lineRule="auto"/>
            <w:ind w:left="0" w:leftChars="0" w:right="0" w:rightChars="0" w:firstLine="0" w:firstLineChars="0"/>
            <w:jc w:val="center"/>
          </w:pPr>
        </w:p>
        <w:p>
          <w:pPr>
            <w:pStyle w:val="33"/>
            <w:tabs>
              <w:tab w:val="right" w:leader="dot" w:pos="8306"/>
            </w:tabs>
            <w:rPr>
              <w:rFonts w:hint="eastAsia" w:asciiTheme="minorEastAsia" w:hAnsiTheme="minorEastAsia" w:eastAsiaTheme="minorEastAsia" w:cstheme="minorEastAsia"/>
            </w:rPr>
          </w:pPr>
          <w:r>
            <w:fldChar w:fldCharType="begin"/>
          </w:r>
          <w:r>
            <w:instrText xml:space="preserve">TOC \o "1-3" \h \u </w:instrText>
          </w:r>
          <w:r>
            <w:fldChar w:fldCharType="separate"/>
          </w:r>
        </w:p>
        <w:p>
          <w:pPr>
            <w:pStyle w:val="33"/>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_Toc236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第一部分 单位</w:t>
          </w:r>
          <w:r>
            <w:rPr>
              <w:rFonts w:hint="eastAsia" w:asciiTheme="minorEastAsia" w:hAnsiTheme="minorEastAsia" w:eastAsiaTheme="minorEastAsia" w:cstheme="minorEastAsia"/>
              <w:bCs w:val="0"/>
            </w:rPr>
            <w:t>概况</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4"/>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_Toc7409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bCs w:val="0"/>
            </w:rPr>
            <w:t>一、 主要职责</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_Toc7409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4"/>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_Toc19238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二、机构设置</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_Toc19238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3"/>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_Toc19072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第二部分 2023年度</w:t>
          </w:r>
          <w:r>
            <w:rPr>
              <w:rFonts w:hint="eastAsia" w:asciiTheme="minorEastAsia" w:hAnsiTheme="minorEastAsia" w:eastAsiaTheme="minorEastAsia" w:cstheme="minorEastAsia"/>
              <w:bCs/>
            </w:rPr>
            <w:t>单位决算情况说明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_Toc19072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4"/>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_Toc23585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 xml:space="preserve">一、 </w:t>
          </w:r>
          <w:r>
            <w:rPr>
              <w:rFonts w:hint="eastAsia" w:asciiTheme="minorEastAsia" w:hAnsiTheme="minorEastAsia" w:eastAsiaTheme="minorEastAsia" w:cstheme="minorEastAsia"/>
              <w:szCs w:val="32"/>
            </w:rPr>
            <w:t>收</w:t>
          </w:r>
          <w:r>
            <w:rPr>
              <w:rFonts w:hint="eastAsia" w:asciiTheme="minorEastAsia" w:hAnsiTheme="minorEastAsia" w:eastAsiaTheme="minorEastAsia" w:cstheme="minorEastAsia"/>
            </w:rPr>
            <w:t>入支出决算总体情况说明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_Toc23585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4"/>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_Toc8352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 xml:space="preserve">二、 </w:t>
          </w:r>
          <w:r>
            <w:rPr>
              <w:rFonts w:hint="eastAsia" w:asciiTheme="minorEastAsia" w:hAnsiTheme="minorEastAsia" w:eastAsiaTheme="minorEastAsia" w:cstheme="minorEastAsia"/>
              <w:szCs w:val="32"/>
            </w:rPr>
            <w:t>收</w:t>
          </w:r>
          <w:r>
            <w:rPr>
              <w:rFonts w:hint="eastAsia" w:asciiTheme="minorEastAsia" w:hAnsiTheme="minorEastAsia" w:eastAsiaTheme="minorEastAsia" w:cstheme="minorEastAsia"/>
            </w:rPr>
            <w:t>入决算情况说明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_Toc8352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4"/>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_Toc11695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 xml:space="preserve">三、 </w:t>
          </w:r>
          <w:r>
            <w:rPr>
              <w:rFonts w:hint="eastAsia" w:asciiTheme="minorEastAsia" w:hAnsiTheme="minorEastAsia" w:eastAsiaTheme="minorEastAsia" w:cstheme="minorEastAsia"/>
              <w:szCs w:val="32"/>
            </w:rPr>
            <w:t>支</w:t>
          </w:r>
          <w:r>
            <w:rPr>
              <w:rFonts w:hint="eastAsia" w:asciiTheme="minorEastAsia" w:hAnsiTheme="minorEastAsia" w:eastAsiaTheme="minorEastAsia" w:cstheme="minorEastAsia"/>
            </w:rPr>
            <w:t>出决算情况说明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_Toc11695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4"/>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_Toc25298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四、财</w:t>
          </w:r>
          <w:r>
            <w:rPr>
              <w:rFonts w:hint="eastAsia" w:asciiTheme="minorEastAsia" w:hAnsiTheme="minorEastAsia" w:eastAsiaTheme="minorEastAsia" w:cstheme="minorEastAsia"/>
            </w:rPr>
            <w:t>政拨款收入支出决算总体情况说明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_Toc25298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4"/>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_Toc10917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五、一</w:t>
          </w:r>
          <w:r>
            <w:rPr>
              <w:rFonts w:hint="eastAsia" w:asciiTheme="minorEastAsia" w:hAnsiTheme="minorEastAsia" w:eastAsiaTheme="minorEastAsia" w:cstheme="minorEastAsia"/>
            </w:rPr>
            <w:t>般公共预算财政拨款支出决算情况说明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_Toc10917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5"/>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_Toc26856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（一）一般公共预算财政拨款支出决算总体情况</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_Toc26856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5"/>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_Toc19101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（二）一般公共预算财政拨款支出决算结构情况</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_Toc19101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7</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5"/>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_Toc30455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（三）一般公共预算财政拨款支出决算具体情况</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_Toc30455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4"/>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_Toc18606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六、一</w:t>
          </w:r>
          <w:r>
            <w:rPr>
              <w:rFonts w:hint="eastAsia" w:asciiTheme="minorEastAsia" w:hAnsiTheme="minorEastAsia" w:eastAsiaTheme="minorEastAsia" w:cstheme="minorEastAsia"/>
            </w:rPr>
            <w:t>般公共预算财政拨款基本支出决算情况说明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_Toc18606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4"/>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_Toc11689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七、</w:t>
          </w:r>
          <w:r>
            <w:rPr>
              <w:rFonts w:hint="eastAsia" w:asciiTheme="minorEastAsia" w:hAnsiTheme="minorEastAsia" w:eastAsiaTheme="minorEastAsia" w:cstheme="minorEastAsia"/>
            </w:rPr>
            <w:t>财政拨款“三公”经费支出决算情况说明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_Toc11689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5"/>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_Toc5379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（一）“三公”经费财政拨款支出决算总体情况说明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_Toc5379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5"/>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_Toc28162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（二）“三公”经费财政拨款支出决算具体情况说明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_Toc28162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4"/>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_Toc14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八、</w:t>
          </w:r>
          <w:r>
            <w:rPr>
              <w:rFonts w:hint="eastAsia" w:asciiTheme="minorEastAsia" w:hAnsiTheme="minorEastAsia" w:eastAsiaTheme="minorEastAsia" w:cstheme="minorEastAsia"/>
            </w:rPr>
            <w:t>政府性基金预算支出决算情况说明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4"/>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_Toc21565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九、 国有资本经营预算支出决算情况说明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_Toc21565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4"/>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_Toc21608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十、 其他重要事项的情况说明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_Toc21608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5"/>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_Toc19123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（一）机关运行经费支出情况</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_Toc19123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5"/>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_Toc31901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（二）政府采购支出情况</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_Toc31901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5"/>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_Toc31982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（三）国有资产占有使用情况</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_Toc31982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5"/>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_Toc31864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（四）预算绩效管理情况</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_Toc31864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3"/>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_Toc29779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44"/>
            </w:rPr>
            <w:t>第三部分 名</w:t>
          </w:r>
          <w:r>
            <w:rPr>
              <w:rFonts w:hint="eastAsia" w:asciiTheme="minorEastAsia" w:hAnsiTheme="minorEastAsia" w:eastAsiaTheme="minorEastAsia" w:cstheme="minorEastAsia"/>
            </w:rPr>
            <w:t>词解释</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_Toc29779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3"/>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_Toc13057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44"/>
            </w:rPr>
            <w:t>第</w:t>
          </w:r>
          <w:r>
            <w:rPr>
              <w:rFonts w:hint="eastAsia" w:asciiTheme="minorEastAsia" w:hAnsiTheme="minorEastAsia" w:eastAsiaTheme="minorEastAsia" w:cstheme="minorEastAsia"/>
            </w:rPr>
            <w:t>四部分 附件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_Toc13057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4"/>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_Toc11514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32"/>
            </w:rPr>
            <w:t>部门预算项目支出绩效自评表（2023年度）</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_Toc11514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33"/>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_Toc1760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44"/>
            </w:rPr>
            <w:t>第</w:t>
          </w:r>
          <w:r>
            <w:rPr>
              <w:rFonts w:hint="eastAsia" w:asciiTheme="minorEastAsia" w:hAnsiTheme="minorEastAsia" w:eastAsiaTheme="minorEastAsia" w:cstheme="minorEastAsia"/>
            </w:rPr>
            <w:t>五部分 附表</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_Toc1760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
          </w:pPr>
        </w:p>
        <w:p>
          <w:pPr>
            <w:pStyle w:val="2"/>
          </w:pPr>
          <w:r>
            <w:fldChar w:fldCharType="end"/>
          </w:r>
        </w:p>
        <w:p>
          <w:pPr>
            <w:pStyle w:val="2"/>
            <w:rPr>
              <w:rFonts w:ascii="Arial" w:hAnsi="Arial" w:eastAsia="黑体" w:cs="Times New Roman"/>
              <w:b/>
              <w:kern w:val="2"/>
              <w:sz w:val="24"/>
              <w:szCs w:val="28"/>
              <w:lang w:val="en-US" w:eastAsia="zh-CN" w:bidi="ar-SA"/>
            </w:rPr>
          </w:pPr>
        </w:p>
      </w:sdtContent>
    </w:sdt>
    <w:p/>
    <w:p>
      <w:pPr>
        <w:pStyle w:val="3"/>
        <w:jc w:val="center"/>
        <w:rPr>
          <w:rFonts w:hint="eastAsia" w:ascii="黑体" w:hAnsi="黑体" w:eastAsia="黑体"/>
          <w:b w:val="0"/>
        </w:rPr>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425" w:num="1"/>
          <w:titlePg/>
          <w:docGrid w:type="lines" w:linePitch="312" w:charSpace="0"/>
        </w:sectPr>
      </w:pPr>
      <w:bookmarkStart w:id="16" w:name="_Toc236"/>
    </w:p>
    <w:p>
      <w:pPr>
        <w:pStyle w:val="3"/>
        <w:jc w:val="center"/>
        <w:rPr>
          <w:rFonts w:ascii="黑体" w:eastAsia="黑体"/>
          <w:sz w:val="32"/>
          <w:szCs w:val="32"/>
        </w:rPr>
      </w:pPr>
      <w:r>
        <w:rPr>
          <w:rFonts w:hint="eastAsia" w:ascii="黑体" w:hAnsi="黑体" w:eastAsia="黑体"/>
          <w:b w:val="0"/>
        </w:rPr>
        <w:t>第一部分 单位</w:t>
      </w:r>
      <w:r>
        <w:rPr>
          <w:rStyle w:val="27"/>
          <w:rFonts w:hint="eastAsia" w:ascii="黑体" w:hAnsi="黑体" w:eastAsia="黑体"/>
          <w:b w:val="0"/>
          <w:bCs w:val="0"/>
        </w:rPr>
        <w:t>概况</w:t>
      </w:r>
      <w:bookmarkEnd w:id="14"/>
      <w:bookmarkEnd w:id="15"/>
      <w:bookmarkEnd w:id="16"/>
    </w:p>
    <w:p>
      <w:pPr>
        <w:pStyle w:val="4"/>
        <w:numPr>
          <w:ilvl w:val="0"/>
          <w:numId w:val="1"/>
        </w:numPr>
        <w:rPr>
          <w:rStyle w:val="28"/>
          <w:rFonts w:ascii="黑体" w:hAnsi="黑体" w:eastAsia="黑体"/>
          <w:b w:val="0"/>
          <w:bCs w:val="0"/>
        </w:rPr>
      </w:pPr>
      <w:bookmarkStart w:id="17" w:name="_Toc7409"/>
      <w:bookmarkStart w:id="18" w:name="_Toc15377197"/>
      <w:bookmarkStart w:id="19" w:name="_Toc15396600"/>
      <w:r>
        <w:rPr>
          <w:rStyle w:val="28"/>
          <w:rFonts w:hint="eastAsia" w:ascii="黑体" w:hAnsi="黑体" w:eastAsia="黑体"/>
          <w:b w:val="0"/>
          <w:bCs w:val="0"/>
        </w:rPr>
        <w:t>主要职责</w:t>
      </w:r>
      <w:bookmarkEnd w:id="17"/>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贯彻执行国家有关统计工作的法律、法规，草拟全区统计工作的规范性文件、统计现代化建设规划和统计调查计划，组织领导和监督检查全区各部门、单位的统计和国民经济核算工作，监督检查统计法律、法规的实施。</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2．建立健全全区国民经济核算体系和统计指标体系；建立和管理全区基本统计报表；制定全区统计标准，审定部门统计标准；管理全区统计调查项目。</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3．组织实施全区重大的国情国力普查和专项统计调查；汇总、整理全区的基本统计资料；对国民经济运行、科技进步和社会发展情况进行统计分析、预测和监督，向省、市统计局和区委、区政府及有关部门提供统计信息和咨询建议。</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4．统一核定、管理、公布全区性的基本统计资料，定期向社会公众发布全区国民经济和社会发展情况的统计信息。</w:t>
      </w:r>
    </w:p>
    <w:p>
      <w:pPr>
        <w:spacing w:line="600" w:lineRule="exact"/>
        <w:ind w:firstLine="640" w:firstLineChars="200"/>
        <w:outlineLvl w:val="9"/>
        <w:rPr>
          <w:rFonts w:hint="eastAsia" w:ascii="仿宋" w:hAnsi="仿宋" w:eastAsia="仿宋"/>
          <w:sz w:val="32"/>
          <w:szCs w:val="32"/>
        </w:rPr>
      </w:pPr>
      <w:bookmarkStart w:id="20" w:name="_Toc13888"/>
      <w:r>
        <w:rPr>
          <w:rFonts w:hint="eastAsia" w:ascii="仿宋" w:hAnsi="仿宋" w:eastAsia="仿宋"/>
          <w:sz w:val="32"/>
          <w:szCs w:val="32"/>
        </w:rPr>
        <w:t>5．建立健全和管理全区统计信息自动化系统的统计数据库体系。</w:t>
      </w:r>
      <w:bookmarkEnd w:id="20"/>
    </w:p>
    <w:p>
      <w:pPr>
        <w:spacing w:line="600" w:lineRule="exact"/>
        <w:ind w:firstLine="640" w:firstLineChars="200"/>
        <w:outlineLvl w:val="9"/>
        <w:rPr>
          <w:rFonts w:hint="eastAsia" w:ascii="仿宋" w:hAnsi="仿宋" w:eastAsia="仿宋"/>
          <w:sz w:val="32"/>
          <w:szCs w:val="32"/>
        </w:rPr>
      </w:pPr>
      <w:r>
        <w:rPr>
          <w:rFonts w:hint="eastAsia" w:ascii="仿宋" w:hAnsi="仿宋" w:eastAsia="仿宋"/>
          <w:sz w:val="32"/>
          <w:szCs w:val="32"/>
        </w:rPr>
        <w:t>6．组织指导全区统计教育、统计干部培训、统计信息资料的发行工作。</w:t>
      </w:r>
    </w:p>
    <w:p>
      <w:pPr>
        <w:spacing w:line="600" w:lineRule="exact"/>
        <w:ind w:firstLine="640" w:firstLineChars="200"/>
        <w:outlineLvl w:val="9"/>
        <w:rPr>
          <w:rFonts w:hint="eastAsia" w:ascii="仿宋" w:hAnsi="仿宋" w:eastAsia="仿宋"/>
          <w:sz w:val="32"/>
          <w:szCs w:val="32"/>
        </w:rPr>
      </w:pPr>
      <w:bookmarkStart w:id="21" w:name="_Toc6055"/>
      <w:r>
        <w:rPr>
          <w:rFonts w:hint="eastAsia" w:ascii="仿宋" w:hAnsi="仿宋" w:eastAsia="仿宋"/>
          <w:sz w:val="32"/>
          <w:szCs w:val="32"/>
        </w:rPr>
        <w:t>7．承办区政府交办的其他工作。</w:t>
      </w:r>
      <w:bookmarkEnd w:id="21"/>
    </w:p>
    <w:p>
      <w:pPr>
        <w:pStyle w:val="4"/>
        <w:rPr>
          <w:rFonts w:ascii="黑体" w:hAnsi="黑体" w:eastAsia="黑体"/>
          <w:b w:val="0"/>
        </w:rPr>
      </w:pPr>
      <w:bookmarkStart w:id="22" w:name="_Toc19238"/>
      <w:r>
        <w:rPr>
          <w:rFonts w:hint="eastAsia" w:ascii="黑体" w:hAnsi="黑体" w:eastAsia="黑体"/>
          <w:b w:val="0"/>
        </w:rPr>
        <w:t>二、机构设置</w:t>
      </w:r>
      <w:bookmarkEnd w:id="22"/>
    </w:p>
    <w:bookmarkEnd w:id="18"/>
    <w:bookmarkEnd w:id="19"/>
    <w:p>
      <w:pPr>
        <w:widowControl/>
        <w:ind w:firstLine="640" w:firstLineChars="200"/>
        <w:jc w:val="left"/>
        <w:rPr>
          <w:rFonts w:ascii="仿宋" w:hAnsi="仿宋" w:eastAsia="仿宋"/>
          <w:kern w:val="0"/>
          <w:sz w:val="32"/>
          <w:szCs w:val="32"/>
        </w:rPr>
      </w:pPr>
      <w:r>
        <w:rPr>
          <w:rFonts w:hint="eastAsia" w:ascii="仿宋" w:hAnsi="仿宋" w:eastAsia="仿宋"/>
          <w:sz w:val="32"/>
          <w:szCs w:val="32"/>
        </w:rPr>
        <w:t>五通桥区统计局</w:t>
      </w:r>
      <w:r>
        <w:rPr>
          <w:rFonts w:hint="eastAsia" w:ascii="仿宋" w:hAnsi="仿宋" w:eastAsia="仿宋"/>
          <w:sz w:val="32"/>
          <w:szCs w:val="32"/>
          <w:lang w:val="en-US" w:eastAsia="zh-CN"/>
        </w:rPr>
        <w:t>机关属</w:t>
      </w:r>
      <w:r>
        <w:rPr>
          <w:rFonts w:hint="eastAsia" w:ascii="仿宋" w:hAnsi="仿宋" w:eastAsia="仿宋"/>
          <w:sz w:val="32"/>
          <w:szCs w:val="32"/>
        </w:rPr>
        <w:t>行政单位</w:t>
      </w:r>
      <w:r>
        <w:rPr>
          <w:rFonts w:hint="eastAsia" w:ascii="仿宋" w:hAnsi="仿宋" w:eastAsia="仿宋"/>
          <w:sz w:val="32"/>
          <w:szCs w:val="32"/>
          <w:lang w:eastAsia="zh-CN"/>
        </w:rPr>
        <w:t>，</w:t>
      </w:r>
      <w:r>
        <w:rPr>
          <w:rFonts w:hint="eastAsia" w:ascii="仿宋" w:hAnsi="仿宋" w:eastAsia="仿宋"/>
          <w:sz w:val="32"/>
          <w:szCs w:val="32"/>
        </w:rPr>
        <w:t>在职职工</w:t>
      </w:r>
      <w:r>
        <w:rPr>
          <w:rFonts w:hint="eastAsia" w:ascii="仿宋" w:hAnsi="仿宋" w:eastAsia="仿宋"/>
          <w:sz w:val="32"/>
          <w:szCs w:val="32"/>
          <w:lang w:val="en-US" w:eastAsia="zh-CN"/>
        </w:rPr>
        <w:t>8</w:t>
      </w:r>
      <w:r>
        <w:rPr>
          <w:rFonts w:hint="eastAsia" w:ascii="仿宋" w:hAnsi="仿宋" w:eastAsia="仿宋"/>
          <w:sz w:val="32"/>
          <w:szCs w:val="32"/>
        </w:rPr>
        <w:t>人</w:t>
      </w:r>
      <w:r>
        <w:rPr>
          <w:rFonts w:hint="eastAsia" w:ascii="仿宋" w:hAnsi="仿宋" w:eastAsia="仿宋"/>
          <w:sz w:val="32"/>
          <w:szCs w:val="32"/>
          <w:lang w:eastAsia="zh-CN"/>
        </w:rPr>
        <w:t>。</w:t>
      </w:r>
      <w:r>
        <w:rPr>
          <w:rFonts w:ascii="仿宋" w:hAnsi="仿宋" w:eastAsia="仿宋"/>
          <w:sz w:val="32"/>
          <w:szCs w:val="32"/>
        </w:rPr>
        <w:br w:type="page"/>
      </w:r>
    </w:p>
    <w:p>
      <w:pPr>
        <w:pStyle w:val="3"/>
        <w:ind w:right="440"/>
        <w:jc w:val="center"/>
      </w:pPr>
      <w:bookmarkStart w:id="23" w:name="_Toc15377204"/>
      <w:bookmarkStart w:id="24" w:name="_Toc19072"/>
      <w:bookmarkStart w:id="25" w:name="_Toc15396602"/>
      <w:r>
        <w:rPr>
          <w:rFonts w:hint="eastAsia" w:ascii="黑体" w:hAnsi="黑体" w:eastAsia="黑体"/>
          <w:b w:val="0"/>
        </w:rPr>
        <w:t>第二部分 2023年度</w:t>
      </w:r>
      <w:r>
        <w:rPr>
          <w:rStyle w:val="27"/>
          <w:rFonts w:hint="eastAsia" w:ascii="黑体" w:hAnsi="黑体" w:eastAsia="黑体"/>
          <w:b w:val="0"/>
          <w:bCs/>
        </w:rPr>
        <w:t>单位决算情况说明</w:t>
      </w:r>
      <w:bookmarkEnd w:id="23"/>
      <w:bookmarkEnd w:id="24"/>
      <w:bookmarkEnd w:id="25"/>
    </w:p>
    <w:p>
      <w:pPr>
        <w:pStyle w:val="26"/>
        <w:numPr>
          <w:ilvl w:val="0"/>
          <w:numId w:val="2"/>
        </w:numPr>
        <w:spacing w:line="600" w:lineRule="exact"/>
        <w:ind w:firstLineChars="0"/>
        <w:outlineLvl w:val="1"/>
        <w:rPr>
          <w:rStyle w:val="28"/>
          <w:rFonts w:ascii="黑体" w:hAnsi="黑体" w:eastAsia="黑体"/>
          <w:b w:val="0"/>
        </w:rPr>
      </w:pPr>
      <w:bookmarkStart w:id="26" w:name="_Toc23585"/>
      <w:bookmarkStart w:id="27" w:name="_Toc15396603"/>
      <w:bookmarkStart w:id="28" w:name="_Toc15377205"/>
      <w:r>
        <w:rPr>
          <w:rFonts w:hint="eastAsia" w:ascii="黑体" w:hAnsi="黑体" w:eastAsia="黑体"/>
          <w:sz w:val="32"/>
          <w:szCs w:val="32"/>
        </w:rPr>
        <w:t>收</w:t>
      </w:r>
      <w:r>
        <w:rPr>
          <w:rStyle w:val="28"/>
          <w:rFonts w:hint="eastAsia" w:ascii="黑体" w:hAnsi="黑体" w:eastAsia="黑体"/>
          <w:b w:val="0"/>
        </w:rPr>
        <w:t>入支出决算总体情况说明</w:t>
      </w:r>
      <w:bookmarkEnd w:id="26"/>
      <w:bookmarkEnd w:id="27"/>
      <w:bookmarkEnd w:id="28"/>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2023年度收</w:t>
      </w:r>
      <w:r>
        <w:rPr>
          <w:rFonts w:hint="eastAsia" w:ascii="仿宋" w:hAnsi="仿宋" w:eastAsia="仿宋"/>
          <w:sz w:val="32"/>
          <w:szCs w:val="32"/>
          <w:lang w:val="en-US" w:eastAsia="zh-CN"/>
        </w:rPr>
        <w:t>入</w:t>
      </w:r>
      <w:r>
        <w:rPr>
          <w:rFonts w:hint="eastAsia" w:ascii="仿宋" w:hAnsi="仿宋" w:eastAsia="仿宋"/>
          <w:sz w:val="32"/>
          <w:szCs w:val="32"/>
        </w:rPr>
        <w:t>为</w:t>
      </w:r>
      <w:r>
        <w:rPr>
          <w:rFonts w:hint="eastAsia" w:ascii="仿宋" w:hAnsi="仿宋" w:eastAsia="仿宋"/>
          <w:b w:val="0"/>
          <w:bCs/>
          <w:sz w:val="32"/>
          <w:szCs w:val="32"/>
        </w:rPr>
        <w:t>460.14</w:t>
      </w:r>
      <w:r>
        <w:rPr>
          <w:rFonts w:hint="eastAsia" w:ascii="仿宋" w:hAnsi="仿宋" w:eastAsia="仿宋"/>
          <w:sz w:val="32"/>
          <w:szCs w:val="32"/>
        </w:rPr>
        <w:t>万元。与2022年度相比，收</w:t>
      </w:r>
      <w:r>
        <w:rPr>
          <w:rFonts w:hint="eastAsia" w:ascii="仿宋" w:hAnsi="仿宋" w:eastAsia="仿宋"/>
          <w:sz w:val="32"/>
          <w:szCs w:val="32"/>
          <w:lang w:val="en-US" w:eastAsia="zh-CN"/>
        </w:rPr>
        <w:t>入</w:t>
      </w:r>
      <w:r>
        <w:rPr>
          <w:rFonts w:hint="eastAsia" w:ascii="仿宋" w:hAnsi="仿宋" w:eastAsia="仿宋"/>
          <w:sz w:val="32"/>
          <w:szCs w:val="32"/>
        </w:rPr>
        <w:t>增加19.78万元，增长4.49</w:t>
      </w:r>
      <w:r>
        <w:rPr>
          <w:rFonts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lang w:val="en-US" w:eastAsia="zh-CN"/>
        </w:rPr>
        <w:t>为正常变动</w:t>
      </w:r>
      <w:r>
        <w:rPr>
          <w:rFonts w:hint="eastAsia" w:ascii="仿宋" w:hAnsi="仿宋" w:eastAsia="仿宋"/>
          <w:sz w:val="32"/>
          <w:szCs w:val="32"/>
        </w:rPr>
        <w:t>。</w:t>
      </w:r>
      <w:r>
        <w:rPr>
          <w:rFonts w:hint="eastAsia" w:ascii="仿宋" w:hAnsi="仿宋" w:eastAsia="仿宋"/>
          <w:sz w:val="32"/>
          <w:szCs w:val="32"/>
          <w:lang w:val="en-US" w:eastAsia="zh-CN"/>
        </w:rPr>
        <w:t>2023年支出为458.49万元，与2022年度相比，增加18.13万元，增长4.12%，变化幅度小，为正常变动。</w:t>
      </w:r>
    </w:p>
    <w:p>
      <w:pPr>
        <w:pStyle w:val="2"/>
        <w:outlineLvl w:val="9"/>
        <w:rPr>
          <w:rFonts w:hint="default"/>
          <w:lang w:val="en-US" w:eastAsia="zh-CN"/>
        </w:rPr>
      </w:pPr>
      <w:r>
        <w:rPr>
          <w:rFonts w:hint="default"/>
          <w:lang w:val="en-US" w:eastAsia="zh-CN"/>
        </w:rPr>
        <w:drawing>
          <wp:inline distT="0" distB="0" distL="114300" distR="114300">
            <wp:extent cx="5256530" cy="2988310"/>
            <wp:effectExtent l="0" t="0" r="1270" b="254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spacing w:line="600" w:lineRule="exact"/>
        <w:ind w:firstLine="640" w:firstLineChars="200"/>
        <w:jc w:val="left"/>
        <w:rPr>
          <w:rFonts w:ascii="仿宋_GB2312" w:eastAsia="仿宋_GB2312"/>
          <w:sz w:val="32"/>
          <w:szCs w:val="32"/>
        </w:rPr>
      </w:pPr>
    </w:p>
    <w:p>
      <w:pPr>
        <w:pStyle w:val="26"/>
        <w:numPr>
          <w:ilvl w:val="0"/>
          <w:numId w:val="2"/>
        </w:numPr>
        <w:spacing w:line="600" w:lineRule="exact"/>
        <w:ind w:firstLineChars="0"/>
        <w:outlineLvl w:val="1"/>
        <w:rPr>
          <w:rStyle w:val="28"/>
          <w:rFonts w:ascii="黑体" w:hAnsi="黑体" w:eastAsia="黑体"/>
          <w:b w:val="0"/>
        </w:rPr>
      </w:pPr>
      <w:bookmarkStart w:id="29" w:name="_Toc15377206"/>
      <w:bookmarkStart w:id="30" w:name="_Toc15396604"/>
      <w:bookmarkStart w:id="31" w:name="_Toc8352"/>
      <w:r>
        <w:rPr>
          <w:rFonts w:hint="eastAsia" w:ascii="黑体" w:hAnsi="黑体" w:eastAsia="黑体"/>
          <w:sz w:val="32"/>
          <w:szCs w:val="32"/>
        </w:rPr>
        <w:t>收</w:t>
      </w:r>
      <w:r>
        <w:rPr>
          <w:rStyle w:val="28"/>
          <w:rFonts w:hint="eastAsia" w:ascii="黑体" w:hAnsi="黑体" w:eastAsia="黑体"/>
          <w:b w:val="0"/>
        </w:rPr>
        <w:t>入决算情况说明</w:t>
      </w:r>
      <w:bookmarkEnd w:id="29"/>
      <w:bookmarkEnd w:id="30"/>
      <w:bookmarkEnd w:id="31"/>
    </w:p>
    <w:p>
      <w:pPr>
        <w:spacing w:line="600" w:lineRule="exact"/>
        <w:ind w:firstLine="640" w:firstLineChars="200"/>
        <w:outlineLvl w:val="9"/>
        <w:rPr>
          <w:rFonts w:hint="eastAsia" w:ascii="仿宋" w:hAnsi="仿宋" w:eastAsia="仿宋"/>
          <w:b w:val="0"/>
          <w:bCs w:val="0"/>
          <w:sz w:val="32"/>
          <w:szCs w:val="32"/>
          <w:lang w:eastAsia="zh-CN"/>
        </w:rPr>
      </w:pPr>
      <w:r>
        <w:rPr>
          <w:rFonts w:hint="eastAsia" w:ascii="仿宋" w:hAnsi="仿宋" w:eastAsia="仿宋"/>
          <w:b w:val="0"/>
          <w:bCs w:val="0"/>
          <w:sz w:val="32"/>
          <w:szCs w:val="32"/>
        </w:rPr>
        <w:t>2023年度本年收入合计</w:t>
      </w:r>
      <w:r>
        <w:rPr>
          <w:rFonts w:ascii="仿宋" w:hAnsi="仿宋" w:eastAsia="仿宋"/>
          <w:b w:val="0"/>
          <w:bCs w:val="0"/>
          <w:sz w:val="32"/>
          <w:szCs w:val="32"/>
        </w:rPr>
        <w:t>460.14</w:t>
      </w:r>
      <w:r>
        <w:rPr>
          <w:rFonts w:hint="eastAsia" w:ascii="仿宋" w:hAnsi="仿宋" w:eastAsia="仿宋"/>
          <w:b w:val="0"/>
          <w:bCs w:val="0"/>
          <w:sz w:val="32"/>
          <w:szCs w:val="32"/>
        </w:rPr>
        <w:t>万元，其中：一般公共预算财政拨款收入</w:t>
      </w:r>
      <w:r>
        <w:rPr>
          <w:rFonts w:ascii="仿宋" w:hAnsi="仿宋" w:eastAsia="仿宋"/>
          <w:b w:val="0"/>
          <w:bCs w:val="0"/>
          <w:sz w:val="32"/>
          <w:szCs w:val="32"/>
        </w:rPr>
        <w:t>451.13</w:t>
      </w:r>
      <w:r>
        <w:rPr>
          <w:rFonts w:hint="eastAsia" w:ascii="仿宋" w:hAnsi="仿宋" w:eastAsia="仿宋"/>
          <w:b w:val="0"/>
          <w:bCs w:val="0"/>
          <w:sz w:val="32"/>
          <w:szCs w:val="32"/>
        </w:rPr>
        <w:t>万元，占</w:t>
      </w:r>
      <w:r>
        <w:rPr>
          <w:rFonts w:ascii="仿宋" w:hAnsi="仿宋" w:eastAsia="仿宋"/>
          <w:b w:val="0"/>
          <w:bCs w:val="0"/>
          <w:sz w:val="32"/>
          <w:szCs w:val="32"/>
        </w:rPr>
        <w:t>98.0</w:t>
      </w:r>
      <w:r>
        <w:rPr>
          <w:rFonts w:hint="eastAsia" w:ascii="仿宋" w:hAnsi="仿宋" w:eastAsia="仿宋"/>
          <w:b w:val="0"/>
          <w:bCs w:val="0"/>
          <w:sz w:val="32"/>
          <w:szCs w:val="32"/>
          <w:lang w:val="en-US" w:eastAsia="zh-CN"/>
        </w:rPr>
        <w:t>5</w:t>
      </w:r>
      <w:r>
        <w:rPr>
          <w:rFonts w:ascii="仿宋" w:hAnsi="仿宋" w:eastAsia="仿宋"/>
          <w:b w:val="0"/>
          <w:bCs w:val="0"/>
          <w:sz w:val="32"/>
          <w:szCs w:val="32"/>
        </w:rPr>
        <w:t>%</w:t>
      </w:r>
      <w:r>
        <w:rPr>
          <w:rFonts w:hint="eastAsia" w:ascii="仿宋" w:hAnsi="仿宋" w:eastAsia="仿宋"/>
          <w:b w:val="0"/>
          <w:bCs w:val="0"/>
          <w:sz w:val="32"/>
          <w:szCs w:val="32"/>
        </w:rPr>
        <w:t>；政府性基金预算财政拨款收入</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；国有资本经营预算财政拨款收入</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；上级补助收入</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；事业收入</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；经营收入</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；附属单位上缴收入</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；其他收入</w:t>
      </w:r>
      <w:r>
        <w:rPr>
          <w:rFonts w:ascii="仿宋" w:hAnsi="仿宋" w:eastAsia="仿宋"/>
          <w:b w:val="0"/>
          <w:bCs w:val="0"/>
          <w:sz w:val="32"/>
          <w:szCs w:val="32"/>
        </w:rPr>
        <w:t>9.01</w:t>
      </w:r>
      <w:r>
        <w:rPr>
          <w:rFonts w:hint="eastAsia" w:ascii="仿宋" w:hAnsi="仿宋" w:eastAsia="仿宋"/>
          <w:b w:val="0"/>
          <w:bCs w:val="0"/>
          <w:sz w:val="32"/>
          <w:szCs w:val="32"/>
        </w:rPr>
        <w:t>万元，占</w:t>
      </w:r>
      <w:r>
        <w:rPr>
          <w:rFonts w:ascii="仿宋" w:hAnsi="仿宋" w:eastAsia="仿宋"/>
          <w:b w:val="0"/>
          <w:bCs w:val="0"/>
          <w:sz w:val="32"/>
          <w:szCs w:val="32"/>
        </w:rPr>
        <w:t>1.95%</w:t>
      </w:r>
      <w:r>
        <w:rPr>
          <w:rFonts w:hint="eastAsia" w:ascii="仿宋" w:hAnsi="仿宋" w:eastAsia="仿宋"/>
          <w:b w:val="0"/>
          <w:bCs w:val="0"/>
          <w:sz w:val="32"/>
          <w:szCs w:val="32"/>
          <w:lang w:eastAsia="zh-CN"/>
        </w:rPr>
        <w:t>。</w:t>
      </w:r>
    </w:p>
    <w:p>
      <w:pPr>
        <w:spacing w:line="600" w:lineRule="exact"/>
        <w:ind w:firstLine="643" w:firstLineChars="200"/>
        <w:outlineLvl w:val="9"/>
        <w:rPr>
          <w:rFonts w:ascii="仿宋" w:hAnsi="仿宋" w:eastAsia="仿宋"/>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p>
    <w:p>
      <w:pPr>
        <w:rPr>
          <w:rFonts w:hint="eastAsia" w:eastAsia="仿宋"/>
          <w:lang w:eastAsia="zh-CN"/>
        </w:rPr>
      </w:pPr>
      <w:r>
        <w:rPr>
          <w:rFonts w:hint="eastAsia" w:eastAsia="仿宋"/>
          <w:lang w:eastAsia="zh-CN"/>
        </w:rPr>
        <w:drawing>
          <wp:inline distT="0" distB="0" distL="114300" distR="114300">
            <wp:extent cx="5256530" cy="2988310"/>
            <wp:effectExtent l="0" t="0" r="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_GB2312" w:eastAsia="仿宋_GB2312"/>
          <w:sz w:val="32"/>
          <w:szCs w:val="32"/>
        </w:rPr>
      </w:pPr>
      <w:r>
        <w:rPr>
          <w:rFonts w:hint="eastAsia" w:ascii="仿宋" w:hAnsi="仿宋" w:eastAsia="仿宋"/>
          <w:sz w:val="32"/>
          <w:szCs w:val="32"/>
        </w:rPr>
        <w:t>（图2：收入决算结构图）</w:t>
      </w:r>
    </w:p>
    <w:p>
      <w:pPr>
        <w:pStyle w:val="26"/>
        <w:numPr>
          <w:ilvl w:val="0"/>
          <w:numId w:val="2"/>
        </w:numPr>
        <w:spacing w:line="600" w:lineRule="exact"/>
        <w:ind w:firstLineChars="0"/>
        <w:outlineLvl w:val="1"/>
        <w:rPr>
          <w:rStyle w:val="28"/>
          <w:rFonts w:ascii="黑体" w:hAnsi="黑体" w:eastAsia="黑体"/>
          <w:b w:val="0"/>
        </w:rPr>
      </w:pPr>
      <w:bookmarkStart w:id="32" w:name="_Toc11695"/>
      <w:bookmarkStart w:id="33" w:name="_Toc15396605"/>
      <w:bookmarkStart w:id="34" w:name="_Toc15377207"/>
      <w:r>
        <w:rPr>
          <w:rFonts w:hint="eastAsia" w:ascii="黑体" w:hAnsi="黑体" w:eastAsia="黑体"/>
          <w:sz w:val="32"/>
          <w:szCs w:val="32"/>
        </w:rPr>
        <w:t>支</w:t>
      </w:r>
      <w:r>
        <w:rPr>
          <w:rStyle w:val="28"/>
          <w:rFonts w:hint="eastAsia" w:ascii="黑体" w:hAnsi="黑体" w:eastAsia="黑体"/>
          <w:b w:val="0"/>
        </w:rPr>
        <w:t>出决算情况说明</w:t>
      </w:r>
      <w:bookmarkEnd w:id="32"/>
      <w:bookmarkEnd w:id="33"/>
      <w:bookmarkEnd w:id="34"/>
    </w:p>
    <w:p>
      <w:pPr>
        <w:spacing w:line="600" w:lineRule="exact"/>
        <w:ind w:firstLine="640" w:firstLineChars="200"/>
        <w:outlineLvl w:val="9"/>
        <w:rPr>
          <w:rFonts w:ascii="仿宋" w:hAnsi="仿宋" w:eastAsia="仿宋"/>
          <w:sz w:val="32"/>
          <w:szCs w:val="32"/>
        </w:rPr>
      </w:pPr>
      <w:r>
        <w:rPr>
          <w:rFonts w:hint="eastAsia" w:ascii="仿宋" w:hAnsi="仿宋" w:eastAsia="仿宋"/>
          <w:b w:val="0"/>
          <w:bCs w:val="0"/>
          <w:sz w:val="32"/>
          <w:szCs w:val="32"/>
        </w:rPr>
        <w:t>2023年度本年支出合计</w:t>
      </w:r>
      <w:r>
        <w:rPr>
          <w:rFonts w:ascii="仿宋" w:hAnsi="仿宋" w:eastAsia="仿宋"/>
          <w:b w:val="0"/>
          <w:bCs w:val="0"/>
          <w:sz w:val="32"/>
          <w:szCs w:val="32"/>
        </w:rPr>
        <w:t>458.49</w:t>
      </w:r>
      <w:r>
        <w:rPr>
          <w:rFonts w:hint="eastAsia" w:ascii="仿宋" w:hAnsi="仿宋" w:eastAsia="仿宋"/>
          <w:b w:val="0"/>
          <w:bCs w:val="0"/>
          <w:sz w:val="32"/>
          <w:szCs w:val="32"/>
        </w:rPr>
        <w:t>万元，其中：基本支出</w:t>
      </w:r>
      <w:r>
        <w:rPr>
          <w:rFonts w:ascii="仿宋" w:hAnsi="仿宋" w:eastAsia="仿宋"/>
          <w:b w:val="0"/>
          <w:bCs w:val="0"/>
          <w:sz w:val="32"/>
          <w:szCs w:val="32"/>
        </w:rPr>
        <w:t>211.48</w:t>
      </w:r>
      <w:r>
        <w:rPr>
          <w:rFonts w:hint="eastAsia" w:ascii="仿宋" w:hAnsi="仿宋" w:eastAsia="仿宋"/>
          <w:b w:val="0"/>
          <w:bCs w:val="0"/>
          <w:sz w:val="32"/>
          <w:szCs w:val="32"/>
        </w:rPr>
        <w:t>万元，占</w:t>
      </w:r>
      <w:r>
        <w:rPr>
          <w:rFonts w:ascii="仿宋" w:hAnsi="仿宋" w:eastAsia="仿宋"/>
          <w:b w:val="0"/>
          <w:bCs w:val="0"/>
          <w:sz w:val="32"/>
          <w:szCs w:val="32"/>
        </w:rPr>
        <w:t>46.12%</w:t>
      </w:r>
      <w:r>
        <w:rPr>
          <w:rFonts w:hint="eastAsia" w:ascii="仿宋" w:hAnsi="仿宋" w:eastAsia="仿宋"/>
          <w:b w:val="0"/>
          <w:bCs w:val="0"/>
          <w:sz w:val="32"/>
          <w:szCs w:val="32"/>
        </w:rPr>
        <w:t>；项目支出</w:t>
      </w:r>
      <w:r>
        <w:rPr>
          <w:rFonts w:ascii="仿宋" w:hAnsi="仿宋" w:eastAsia="仿宋"/>
          <w:b w:val="0"/>
          <w:bCs w:val="0"/>
          <w:sz w:val="32"/>
          <w:szCs w:val="32"/>
        </w:rPr>
        <w:t>247.01</w:t>
      </w:r>
      <w:r>
        <w:rPr>
          <w:rFonts w:hint="eastAsia" w:ascii="仿宋" w:hAnsi="仿宋" w:eastAsia="仿宋"/>
          <w:b w:val="0"/>
          <w:bCs w:val="0"/>
          <w:sz w:val="32"/>
          <w:szCs w:val="32"/>
        </w:rPr>
        <w:t>万元，占</w:t>
      </w:r>
      <w:r>
        <w:rPr>
          <w:rFonts w:ascii="仿宋" w:hAnsi="仿宋" w:eastAsia="仿宋"/>
          <w:b w:val="0"/>
          <w:bCs w:val="0"/>
          <w:sz w:val="32"/>
          <w:szCs w:val="32"/>
        </w:rPr>
        <w:t>53.87%</w:t>
      </w:r>
      <w:r>
        <w:rPr>
          <w:rFonts w:hint="eastAsia" w:ascii="仿宋" w:hAnsi="仿宋" w:eastAsia="仿宋"/>
          <w:b w:val="0"/>
          <w:bCs w:val="0"/>
          <w:sz w:val="32"/>
          <w:szCs w:val="32"/>
        </w:rPr>
        <w:t>；上缴上级支出</w:t>
      </w:r>
      <w:r>
        <w:rPr>
          <w:rFonts w:ascii="仿宋" w:hAnsi="仿宋" w:eastAsia="仿宋"/>
          <w:b w:val="0"/>
          <w:bCs w:val="0"/>
          <w:sz w:val="32"/>
          <w:szCs w:val="32"/>
        </w:rPr>
        <w:t>0</w:t>
      </w:r>
      <w:r>
        <w:rPr>
          <w:rFonts w:hint="eastAsia" w:ascii="仿宋" w:hAnsi="仿宋" w:eastAsia="仿宋"/>
          <w:b w:val="0"/>
          <w:bCs w:val="0"/>
          <w:sz w:val="32"/>
          <w:szCs w:val="32"/>
        </w:rPr>
        <w:t>万元，占0</w:t>
      </w:r>
      <w:r>
        <w:rPr>
          <w:rFonts w:ascii="仿宋" w:hAnsi="仿宋" w:eastAsia="仿宋"/>
          <w:b w:val="0"/>
          <w:bCs w:val="0"/>
          <w:sz w:val="32"/>
          <w:szCs w:val="32"/>
        </w:rPr>
        <w:t>%</w:t>
      </w:r>
      <w:r>
        <w:rPr>
          <w:rFonts w:hint="eastAsia" w:ascii="仿宋" w:hAnsi="仿宋" w:eastAsia="仿宋"/>
          <w:b w:val="0"/>
          <w:bCs w:val="0"/>
          <w:sz w:val="32"/>
          <w:szCs w:val="32"/>
        </w:rPr>
        <w:t>；经营支出</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；对附属单位补助支出</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w:t>
      </w:r>
    </w:p>
    <w:p>
      <w:pPr>
        <w:spacing w:line="600" w:lineRule="exact"/>
        <w:ind w:firstLine="643" w:firstLineChars="200"/>
        <w:outlineLvl w:val="9"/>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p>
    <w:p>
      <w:pPr>
        <w:spacing w:line="600" w:lineRule="exact"/>
        <w:ind w:firstLine="640"/>
        <w:rPr>
          <w:rFonts w:ascii="仿宋" w:hAnsi="仿宋" w:eastAsia="仿宋"/>
          <w:sz w:val="32"/>
          <w:szCs w:val="32"/>
          <w:shd w:val="pct10" w:color="auto" w:fill="FFFFFF"/>
        </w:rPr>
      </w:pPr>
    </w:p>
    <w:p>
      <w:pPr>
        <w:rPr>
          <w:rFonts w:hint="eastAsia" w:eastAsia="仿宋"/>
          <w:lang w:eastAsia="zh-CN"/>
        </w:rPr>
      </w:pPr>
      <w:r>
        <w:rPr>
          <w:rFonts w:hint="eastAsia" w:eastAsia="仿宋"/>
          <w:lang w:eastAsia="zh-CN"/>
        </w:rPr>
        <w:drawing>
          <wp:inline distT="0" distB="0" distL="114300" distR="114300">
            <wp:extent cx="5256530" cy="2988310"/>
            <wp:effectExtent l="5080" t="4445" r="15240" b="1714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w:t>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Style w:val="28"/>
          <w:rFonts w:ascii="黑体" w:hAnsi="黑体" w:eastAsia="黑体"/>
          <w:b w:val="0"/>
        </w:rPr>
      </w:pPr>
      <w:bookmarkStart w:id="35" w:name="_Toc15396606"/>
      <w:bookmarkStart w:id="36" w:name="_Toc25298"/>
      <w:bookmarkStart w:id="37" w:name="_Toc15377208"/>
      <w:r>
        <w:rPr>
          <w:rFonts w:hint="eastAsia" w:ascii="黑体" w:hAnsi="黑体" w:eastAsia="黑体"/>
          <w:sz w:val="32"/>
          <w:szCs w:val="32"/>
        </w:rPr>
        <w:t>四、财</w:t>
      </w:r>
      <w:r>
        <w:rPr>
          <w:rStyle w:val="28"/>
          <w:rFonts w:hint="eastAsia" w:ascii="黑体" w:hAnsi="黑体" w:eastAsia="黑体"/>
          <w:b w:val="0"/>
        </w:rPr>
        <w:t>政拨款收入支出决算总体情况说明</w:t>
      </w:r>
      <w:bookmarkEnd w:id="35"/>
      <w:bookmarkEnd w:id="36"/>
      <w:bookmarkEnd w:id="37"/>
    </w:p>
    <w:p>
      <w:pPr>
        <w:spacing w:line="600" w:lineRule="exact"/>
        <w:ind w:firstLine="640"/>
        <w:rPr>
          <w:rFonts w:hint="default" w:ascii="仿宋" w:hAnsi="仿宋" w:eastAsia="仿宋"/>
          <w:sz w:val="32"/>
          <w:szCs w:val="32"/>
          <w:lang w:val="en-US" w:eastAsia="zh-CN"/>
        </w:rPr>
      </w:pPr>
      <w:r>
        <w:rPr>
          <w:rFonts w:hint="eastAsia" w:ascii="仿宋" w:hAnsi="仿宋" w:eastAsia="仿宋"/>
          <w:sz w:val="32"/>
          <w:szCs w:val="32"/>
        </w:rPr>
        <w:t>2023年度财政拨款收、支总计均为</w:t>
      </w:r>
      <w:r>
        <w:rPr>
          <w:rFonts w:ascii="仿宋" w:hAnsi="仿宋" w:eastAsia="仿宋"/>
          <w:b w:val="0"/>
          <w:bCs/>
          <w:sz w:val="32"/>
          <w:szCs w:val="32"/>
        </w:rPr>
        <w:t>451.13</w:t>
      </w:r>
      <w:r>
        <w:rPr>
          <w:rFonts w:hint="eastAsia" w:ascii="仿宋" w:hAnsi="仿宋" w:eastAsia="仿宋"/>
          <w:sz w:val="32"/>
          <w:szCs w:val="32"/>
        </w:rPr>
        <w:t>万元。与2022年度相比，财政拨款收、支总计各增加10.77万元，增长2.45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lang w:val="en-US" w:eastAsia="zh-CN"/>
        </w:rPr>
        <w:t>较上年度相比，变动幅度小，为正常变动。</w:t>
      </w:r>
    </w:p>
    <w:p>
      <w:pPr>
        <w:spacing w:line="600" w:lineRule="exact"/>
        <w:ind w:firstLine="640"/>
        <w:rPr>
          <w:rFonts w:hint="eastAsia" w:ascii="仿宋" w:hAnsi="仿宋" w:eastAsia="仿宋"/>
          <w:sz w:val="32"/>
          <w:szCs w:val="32"/>
          <w:lang w:eastAsia="zh-CN"/>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pPr>
        <w:pStyle w:val="2"/>
        <w:outlineLvl w:val="9"/>
        <w:rPr>
          <w:rFonts w:hint="eastAsia"/>
          <w:lang w:eastAsia="zh-CN"/>
        </w:rPr>
      </w:pPr>
      <w:r>
        <w:rPr>
          <w:rFonts w:hint="eastAsia"/>
          <w:lang w:eastAsia="zh-CN"/>
        </w:rPr>
        <w:drawing>
          <wp:inline distT="0" distB="0" distL="114300" distR="114300">
            <wp:extent cx="5256530" cy="3178175"/>
            <wp:effectExtent l="4445" t="4445" r="15875" b="1778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w:t>
      </w:r>
      <w:r>
        <w:rPr>
          <w:rFonts w:hint="eastAsia" w:ascii="仿宋" w:hAnsi="仿宋" w:eastAsia="仿宋"/>
          <w:sz w:val="32"/>
          <w:szCs w:val="32"/>
          <w:lang w:val="en-US" w:eastAsia="zh-CN"/>
        </w:rPr>
        <w:t>图</w:t>
      </w:r>
      <w:r>
        <w:rPr>
          <w:rFonts w:hint="eastAsia" w:ascii="仿宋" w:hAnsi="仿宋" w:eastAsia="仿宋"/>
          <w:sz w:val="32"/>
          <w:szCs w:val="32"/>
        </w:rPr>
        <w:t>）</w:t>
      </w:r>
    </w:p>
    <w:p>
      <w:pPr>
        <w:spacing w:line="600" w:lineRule="exact"/>
        <w:ind w:firstLine="640"/>
        <w:rPr>
          <w:rFonts w:ascii="仿宋" w:hAnsi="仿宋" w:eastAsia="仿宋"/>
          <w:b/>
          <w:sz w:val="32"/>
          <w:szCs w:val="32"/>
        </w:rPr>
      </w:pPr>
    </w:p>
    <w:p>
      <w:pPr>
        <w:spacing w:line="600" w:lineRule="exact"/>
        <w:ind w:firstLine="640" w:firstLineChars="200"/>
        <w:outlineLvl w:val="1"/>
        <w:rPr>
          <w:rStyle w:val="28"/>
          <w:rFonts w:ascii="黑体" w:hAnsi="黑体" w:eastAsia="黑体"/>
          <w:b w:val="0"/>
        </w:rPr>
      </w:pPr>
      <w:bookmarkStart w:id="38" w:name="_Toc15396607"/>
      <w:bookmarkStart w:id="39" w:name="_Toc15377209"/>
      <w:bookmarkStart w:id="40" w:name="_Toc10917"/>
      <w:r>
        <w:rPr>
          <w:rFonts w:hint="eastAsia" w:ascii="黑体" w:hAnsi="黑体" w:eastAsia="黑体"/>
          <w:sz w:val="32"/>
          <w:szCs w:val="32"/>
        </w:rPr>
        <w:t>五、</w:t>
      </w:r>
      <w:r>
        <w:rPr>
          <w:rFonts w:hint="eastAsia" w:ascii="黑体" w:hAnsi="黑体" w:eastAsia="黑体"/>
          <w:b/>
          <w:sz w:val="32"/>
          <w:szCs w:val="32"/>
        </w:rPr>
        <w:t>一</w:t>
      </w:r>
      <w:r>
        <w:rPr>
          <w:rStyle w:val="28"/>
          <w:rFonts w:hint="eastAsia" w:ascii="黑体" w:hAnsi="黑体" w:eastAsia="黑体"/>
          <w:b w:val="0"/>
        </w:rPr>
        <w:t>般公共预算财政拨款支出决算情况说明</w:t>
      </w:r>
      <w:bookmarkEnd w:id="38"/>
      <w:bookmarkEnd w:id="39"/>
      <w:bookmarkEnd w:id="40"/>
    </w:p>
    <w:p>
      <w:pPr>
        <w:spacing w:line="600" w:lineRule="exact"/>
        <w:ind w:firstLine="643" w:firstLineChars="200"/>
        <w:outlineLvl w:val="2"/>
        <w:rPr>
          <w:rFonts w:ascii="仿宋" w:hAnsi="仿宋" w:eastAsia="仿宋"/>
          <w:b/>
          <w:sz w:val="32"/>
          <w:szCs w:val="32"/>
        </w:rPr>
      </w:pPr>
      <w:bookmarkStart w:id="41" w:name="_Toc15377210"/>
      <w:bookmarkStart w:id="42" w:name="_Toc26856"/>
      <w:r>
        <w:rPr>
          <w:rFonts w:hint="eastAsia" w:ascii="仿宋" w:hAnsi="仿宋" w:eastAsia="仿宋"/>
          <w:b/>
          <w:sz w:val="32"/>
          <w:szCs w:val="32"/>
        </w:rPr>
        <w:t>（一）一般公共预算财政拨款支出决算总体情况</w:t>
      </w:r>
      <w:bookmarkEnd w:id="41"/>
      <w:bookmarkEnd w:id="42"/>
    </w:p>
    <w:p>
      <w:pPr>
        <w:spacing w:line="600" w:lineRule="exact"/>
        <w:ind w:firstLine="640" w:firstLineChars="200"/>
        <w:rPr>
          <w:rFonts w:hint="eastAsia" w:ascii="仿宋" w:hAnsi="仿宋" w:eastAsia="仿宋"/>
          <w:sz w:val="32"/>
          <w:szCs w:val="32"/>
        </w:rPr>
      </w:pPr>
      <w:r>
        <w:rPr>
          <w:rFonts w:hint="eastAsia" w:ascii="仿宋" w:hAnsi="仿宋" w:eastAsia="仿宋"/>
          <w:b w:val="0"/>
          <w:bCs w:val="0"/>
          <w:sz w:val="32"/>
          <w:szCs w:val="32"/>
        </w:rPr>
        <w:t>2023年度</w:t>
      </w:r>
      <w:r>
        <w:rPr>
          <w:rFonts w:hint="eastAsia" w:ascii="仿宋" w:hAnsi="仿宋" w:eastAsia="仿宋"/>
          <w:b w:val="0"/>
          <w:bCs w:val="0"/>
          <w:sz w:val="32"/>
          <w:szCs w:val="32"/>
          <w:lang w:val="en-US" w:eastAsia="zh-CN"/>
        </w:rPr>
        <w:t>一般公共预算财政拨款支出</w:t>
      </w:r>
      <w:r>
        <w:rPr>
          <w:rFonts w:ascii="仿宋" w:hAnsi="仿宋" w:eastAsia="仿宋"/>
          <w:b w:val="0"/>
          <w:bCs w:val="0"/>
          <w:sz w:val="32"/>
          <w:szCs w:val="32"/>
        </w:rPr>
        <w:t>451.13</w:t>
      </w:r>
      <w:r>
        <w:rPr>
          <w:rFonts w:hint="eastAsia" w:ascii="仿宋" w:hAnsi="仿宋" w:eastAsia="仿宋"/>
          <w:b w:val="0"/>
          <w:bCs w:val="0"/>
          <w:sz w:val="32"/>
          <w:szCs w:val="32"/>
        </w:rPr>
        <w:t>万元，占本年支出合计的</w:t>
      </w:r>
      <w:r>
        <w:rPr>
          <w:rFonts w:ascii="仿宋" w:hAnsi="仿宋" w:eastAsia="仿宋"/>
          <w:b w:val="0"/>
          <w:bCs w:val="0"/>
          <w:sz w:val="32"/>
          <w:szCs w:val="32"/>
        </w:rPr>
        <w:t>98.39%</w:t>
      </w:r>
      <w:r>
        <w:rPr>
          <w:rFonts w:hint="eastAsia" w:ascii="仿宋" w:hAnsi="仿宋" w:eastAsia="仿宋"/>
          <w:b w:val="0"/>
          <w:bCs w:val="0"/>
          <w:sz w:val="32"/>
          <w:szCs w:val="32"/>
        </w:rPr>
        <w:t>。与2022年度相比，一般公共预算财政拨款支出增加10.77万元，增长2.45</w:t>
      </w:r>
      <w:r>
        <w:rPr>
          <w:rFonts w:ascii="仿宋" w:hAnsi="仿宋" w:eastAsia="仿宋"/>
          <w:b w:val="0"/>
          <w:bCs w:val="0"/>
          <w:sz w:val="32"/>
          <w:szCs w:val="32"/>
        </w:rPr>
        <w:t>%</w:t>
      </w:r>
      <w:r>
        <w:rPr>
          <w:rFonts w:hint="eastAsia" w:ascii="仿宋" w:hAnsi="仿宋" w:eastAsia="仿宋"/>
          <w:b w:val="0"/>
          <w:bCs w:val="0"/>
          <w:sz w:val="32"/>
          <w:szCs w:val="32"/>
        </w:rPr>
        <w:t>。</w:t>
      </w:r>
      <w:r>
        <w:rPr>
          <w:rFonts w:hint="eastAsia" w:ascii="仿宋" w:hAnsi="仿宋" w:eastAsia="仿宋"/>
          <w:b w:val="0"/>
          <w:bCs w:val="0"/>
          <w:sz w:val="32"/>
          <w:szCs w:val="32"/>
          <w:lang w:val="en-US" w:eastAsia="zh-CN"/>
        </w:rPr>
        <w:t>较上年度变动幅度小，为正常变动。</w:t>
      </w:r>
    </w:p>
    <w:p>
      <w:pPr>
        <w:pStyle w:val="2"/>
        <w:outlineLvl w:val="9"/>
        <w:rPr>
          <w:rFonts w:hint="eastAsia" w:ascii="仿宋" w:hAnsi="仿宋" w:eastAsia="仿宋"/>
          <w:sz w:val="32"/>
          <w:szCs w:val="32"/>
        </w:rPr>
      </w:pPr>
    </w:p>
    <w:p>
      <w:pPr>
        <w:rPr>
          <w:rFonts w:hint="eastAsia" w:ascii="仿宋" w:hAnsi="仿宋" w:eastAsia="仿宋"/>
          <w:sz w:val="32"/>
          <w:szCs w:val="32"/>
          <w:lang w:eastAsia="zh-CN"/>
        </w:rPr>
      </w:pPr>
      <w:r>
        <w:rPr>
          <w:rFonts w:hint="eastAsia" w:eastAsia="宋体"/>
          <w:lang w:eastAsia="zh-CN"/>
        </w:rPr>
        <w:drawing>
          <wp:inline distT="0" distB="0" distL="114300" distR="114300">
            <wp:extent cx="5256530" cy="3455035"/>
            <wp:effectExtent l="4445" t="4445" r="15875" b="76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rPr>
          <w:rFonts w:hint="eastAsia"/>
          <w:lang w:eastAsia="zh-CN"/>
        </w:rPr>
      </w:pPr>
    </w:p>
    <w:p>
      <w:pPr>
        <w:spacing w:line="600" w:lineRule="exact"/>
        <w:rPr>
          <w:rFonts w:ascii="仿宋" w:hAnsi="仿宋" w:eastAsia="仿宋"/>
          <w:sz w:val="32"/>
          <w:szCs w:val="32"/>
        </w:rPr>
      </w:pPr>
      <w:r>
        <w:rPr>
          <w:rFonts w:hint="eastAsia" w:ascii="仿宋" w:hAnsi="仿宋" w:eastAsia="仿宋"/>
          <w:sz w:val="32"/>
          <w:szCs w:val="32"/>
        </w:rPr>
        <w:t>（图5：一般公共预算财政拨款支出决算变动情况）</w:t>
      </w:r>
    </w:p>
    <w:p>
      <w:pPr>
        <w:spacing w:line="600" w:lineRule="exact"/>
        <w:ind w:firstLine="643" w:firstLineChars="200"/>
        <w:outlineLvl w:val="2"/>
        <w:rPr>
          <w:rFonts w:ascii="仿宋" w:hAnsi="仿宋" w:eastAsia="仿宋"/>
          <w:b/>
          <w:sz w:val="32"/>
          <w:szCs w:val="32"/>
        </w:rPr>
      </w:pPr>
      <w:bookmarkStart w:id="43" w:name="_Toc19101"/>
      <w:bookmarkStart w:id="44" w:name="_Toc15377211"/>
      <w:r>
        <w:rPr>
          <w:rFonts w:hint="eastAsia" w:ascii="仿宋" w:hAnsi="仿宋" w:eastAsia="仿宋"/>
          <w:b/>
          <w:sz w:val="32"/>
          <w:szCs w:val="32"/>
        </w:rPr>
        <w:t>（二）一般公共预算财政拨款支出决算结构情况</w:t>
      </w:r>
      <w:bookmarkEnd w:id="43"/>
      <w:bookmarkEnd w:id="44"/>
    </w:p>
    <w:p>
      <w:pPr>
        <w:spacing w:line="600" w:lineRule="exact"/>
        <w:ind w:firstLine="640"/>
        <w:rPr>
          <w:rFonts w:ascii="仿宋" w:hAnsi="仿宋" w:eastAsia="仿宋"/>
          <w:b w:val="0"/>
          <w:bCs w:val="0"/>
          <w:sz w:val="32"/>
          <w:szCs w:val="32"/>
        </w:rPr>
      </w:pPr>
      <w:r>
        <w:rPr>
          <w:rFonts w:hint="eastAsia" w:ascii="仿宋" w:hAnsi="仿宋" w:eastAsia="仿宋"/>
          <w:b w:val="0"/>
          <w:bCs w:val="0"/>
          <w:sz w:val="32"/>
          <w:szCs w:val="32"/>
        </w:rPr>
        <w:t>2023年度一般公共预算财政拨款支出</w:t>
      </w:r>
      <w:r>
        <w:rPr>
          <w:rFonts w:ascii="仿宋" w:hAnsi="仿宋" w:eastAsia="仿宋"/>
          <w:b w:val="0"/>
          <w:bCs w:val="0"/>
          <w:sz w:val="32"/>
          <w:szCs w:val="32"/>
        </w:rPr>
        <w:t>451.13</w:t>
      </w:r>
      <w:r>
        <w:rPr>
          <w:rFonts w:hint="eastAsia" w:ascii="仿宋" w:hAnsi="仿宋" w:eastAsia="仿宋"/>
          <w:b w:val="0"/>
          <w:bCs w:val="0"/>
          <w:sz w:val="32"/>
          <w:szCs w:val="32"/>
        </w:rPr>
        <w:t>万元，主要用于以下方面</w:t>
      </w:r>
      <w:r>
        <w:rPr>
          <w:rFonts w:ascii="仿宋" w:hAnsi="仿宋" w:eastAsia="仿宋"/>
          <w:b w:val="0"/>
          <w:bCs w:val="0"/>
          <w:sz w:val="32"/>
          <w:szCs w:val="32"/>
        </w:rPr>
        <w:t>:</w:t>
      </w:r>
      <w:r>
        <w:rPr>
          <w:rFonts w:hint="eastAsia" w:ascii="仿宋" w:hAnsi="仿宋" w:eastAsia="仿宋"/>
          <w:b w:val="0"/>
          <w:bCs w:val="0"/>
          <w:sz w:val="32"/>
          <w:szCs w:val="32"/>
        </w:rPr>
        <w:t>一般公共服务支出394.86万元，占</w:t>
      </w:r>
      <w:r>
        <w:rPr>
          <w:rFonts w:hint="eastAsia" w:ascii="仿宋" w:hAnsi="仿宋" w:eastAsia="仿宋"/>
          <w:b w:val="0"/>
          <w:bCs w:val="0"/>
          <w:sz w:val="32"/>
          <w:szCs w:val="32"/>
          <w:lang w:val="en-US" w:eastAsia="zh-CN"/>
        </w:rPr>
        <w:t>87.53</w:t>
      </w:r>
      <w:r>
        <w:rPr>
          <w:rFonts w:ascii="仿宋" w:hAnsi="仿宋" w:eastAsia="仿宋"/>
          <w:b w:val="0"/>
          <w:bCs w:val="0"/>
          <w:sz w:val="32"/>
          <w:szCs w:val="32"/>
        </w:rPr>
        <w:t>%</w:t>
      </w:r>
      <w:r>
        <w:rPr>
          <w:rFonts w:hint="eastAsia" w:ascii="仿宋" w:hAnsi="仿宋" w:eastAsia="仿宋"/>
          <w:b w:val="0"/>
          <w:bCs w:val="0"/>
          <w:sz w:val="32"/>
          <w:szCs w:val="32"/>
        </w:rPr>
        <w:t>；社会保障和就业支出38.18万元，占</w:t>
      </w:r>
      <w:r>
        <w:rPr>
          <w:rFonts w:hint="eastAsia" w:ascii="仿宋" w:hAnsi="仿宋" w:eastAsia="仿宋"/>
          <w:b w:val="0"/>
          <w:bCs w:val="0"/>
          <w:sz w:val="32"/>
          <w:szCs w:val="32"/>
          <w:lang w:val="en-US" w:eastAsia="zh-CN"/>
        </w:rPr>
        <w:t>8.46</w:t>
      </w:r>
      <w:r>
        <w:rPr>
          <w:rFonts w:ascii="仿宋" w:hAnsi="仿宋" w:eastAsia="仿宋"/>
          <w:b w:val="0"/>
          <w:bCs w:val="0"/>
          <w:sz w:val="32"/>
          <w:szCs w:val="32"/>
        </w:rPr>
        <w:t>%</w:t>
      </w:r>
      <w:r>
        <w:rPr>
          <w:rFonts w:hint="eastAsia" w:ascii="仿宋" w:hAnsi="仿宋" w:eastAsia="仿宋"/>
          <w:b w:val="0"/>
          <w:bCs w:val="0"/>
          <w:sz w:val="32"/>
          <w:szCs w:val="32"/>
        </w:rPr>
        <w:t>；卫生健康支出6.22万元，占</w:t>
      </w:r>
      <w:r>
        <w:rPr>
          <w:rFonts w:hint="eastAsia" w:ascii="仿宋" w:hAnsi="仿宋" w:eastAsia="仿宋"/>
          <w:b w:val="0"/>
          <w:bCs w:val="0"/>
          <w:sz w:val="32"/>
          <w:szCs w:val="32"/>
          <w:lang w:val="en-US" w:eastAsia="zh-CN"/>
        </w:rPr>
        <w:t>1.38</w:t>
      </w:r>
      <w:r>
        <w:rPr>
          <w:rFonts w:ascii="仿宋" w:hAnsi="仿宋" w:eastAsia="仿宋"/>
          <w:b w:val="0"/>
          <w:bCs w:val="0"/>
          <w:sz w:val="32"/>
          <w:szCs w:val="32"/>
        </w:rPr>
        <w:t>%</w:t>
      </w:r>
      <w:r>
        <w:rPr>
          <w:rFonts w:hint="eastAsia" w:ascii="仿宋" w:hAnsi="仿宋" w:eastAsia="仿宋"/>
          <w:b w:val="0"/>
          <w:bCs w:val="0"/>
          <w:sz w:val="32"/>
          <w:szCs w:val="32"/>
        </w:rPr>
        <w:t>；住房保障支出11.86万元，占</w:t>
      </w:r>
      <w:r>
        <w:rPr>
          <w:rFonts w:hint="eastAsia" w:ascii="仿宋" w:hAnsi="仿宋" w:eastAsia="仿宋"/>
          <w:b w:val="0"/>
          <w:bCs w:val="0"/>
          <w:sz w:val="32"/>
          <w:szCs w:val="32"/>
          <w:lang w:val="en-US" w:eastAsia="zh-CN"/>
        </w:rPr>
        <w:t>2.63</w:t>
      </w:r>
      <w:r>
        <w:rPr>
          <w:rFonts w:ascii="仿宋" w:hAnsi="仿宋" w:eastAsia="仿宋"/>
          <w:b w:val="0"/>
          <w:bCs w:val="0"/>
          <w:sz w:val="32"/>
          <w:szCs w:val="32"/>
        </w:rPr>
        <w:t>%</w:t>
      </w:r>
      <w:r>
        <w:rPr>
          <w:rFonts w:hint="eastAsia" w:ascii="仿宋" w:hAnsi="仿宋" w:eastAsia="仿宋"/>
          <w:b w:val="0"/>
          <w:bCs w:val="0"/>
          <w:sz w:val="32"/>
          <w:szCs w:val="32"/>
        </w:rPr>
        <w:t>。</w:t>
      </w:r>
    </w:p>
    <w:p>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pPr>
        <w:spacing w:line="600" w:lineRule="exact"/>
        <w:ind w:firstLine="640"/>
        <w:rPr>
          <w:rFonts w:ascii="仿宋" w:hAnsi="仿宋" w:eastAsia="仿宋"/>
          <w:sz w:val="32"/>
          <w:szCs w:val="32"/>
        </w:rPr>
      </w:pPr>
    </w:p>
    <w:p>
      <w:pPr>
        <w:pStyle w:val="2"/>
        <w:outlineLvl w:val="9"/>
      </w:pPr>
      <w:r>
        <w:rPr>
          <w:rFonts w:hint="eastAsia" w:ascii="仿宋" w:hAnsi="仿宋" w:eastAsia="仿宋"/>
          <w:sz w:val="32"/>
          <w:szCs w:val="32"/>
          <w:lang w:eastAsia="zh-CN"/>
        </w:rPr>
        <w:drawing>
          <wp:inline distT="0" distB="0" distL="114300" distR="114300">
            <wp:extent cx="5256530" cy="2988310"/>
            <wp:effectExtent l="5080" t="4445" r="15240" b="1714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w:t>
      </w:r>
      <w:r>
        <w:rPr>
          <w:rFonts w:hint="eastAsia" w:ascii="仿宋" w:hAnsi="仿宋" w:eastAsia="仿宋"/>
          <w:sz w:val="32"/>
          <w:szCs w:val="32"/>
          <w:lang w:val="en-US" w:eastAsia="zh-CN"/>
        </w:rPr>
        <w:t>图</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p>
    <w:p>
      <w:pPr>
        <w:spacing w:line="600" w:lineRule="exact"/>
        <w:ind w:firstLine="643" w:firstLineChars="200"/>
        <w:outlineLvl w:val="2"/>
        <w:rPr>
          <w:rFonts w:ascii="仿宋" w:hAnsi="仿宋" w:eastAsia="仿宋"/>
          <w:b/>
          <w:sz w:val="32"/>
          <w:szCs w:val="32"/>
        </w:rPr>
      </w:pPr>
      <w:bookmarkStart w:id="45" w:name="_Toc30455"/>
      <w:bookmarkStart w:id="46" w:name="_Toc15377212"/>
      <w:r>
        <w:rPr>
          <w:rFonts w:hint="eastAsia" w:ascii="仿宋" w:hAnsi="仿宋" w:eastAsia="仿宋"/>
          <w:b/>
          <w:sz w:val="32"/>
          <w:szCs w:val="32"/>
        </w:rPr>
        <w:t>（三）一般公共预算财政拨款支出决算具体情况</w:t>
      </w:r>
      <w:bookmarkEnd w:id="45"/>
      <w:bookmarkEnd w:id="46"/>
    </w:p>
    <w:p>
      <w:pPr>
        <w:spacing w:line="600" w:lineRule="exact"/>
        <w:ind w:firstLine="643" w:firstLineChars="200"/>
        <w:outlineLvl w:val="9"/>
        <w:rPr>
          <w:rFonts w:ascii="仿宋" w:hAnsi="仿宋" w:eastAsia="仿宋"/>
          <w:sz w:val="32"/>
          <w:szCs w:val="32"/>
        </w:rPr>
      </w:pPr>
      <w:bookmarkStart w:id="47" w:name="_Toc15377213"/>
      <w:bookmarkStart w:id="48" w:name="_Toc15377444"/>
      <w:bookmarkStart w:id="49" w:name="_Toc15378460"/>
      <w:r>
        <w:rPr>
          <w:rFonts w:hint="eastAsia" w:ascii="仿宋" w:hAnsi="仿宋" w:eastAsia="仿宋"/>
          <w:b/>
          <w:sz w:val="32"/>
          <w:szCs w:val="32"/>
        </w:rPr>
        <w:t>2023年度一般公共预算支出决算数为</w:t>
      </w:r>
      <w:r>
        <w:rPr>
          <w:rFonts w:ascii="仿宋" w:hAnsi="仿宋" w:eastAsia="仿宋"/>
          <w:b/>
          <w:sz w:val="32"/>
          <w:szCs w:val="32"/>
        </w:rPr>
        <w:t>451.13</w:t>
      </w:r>
      <w:r>
        <w:rPr>
          <w:rFonts w:hint="eastAsia" w:ascii="仿宋" w:hAnsi="仿宋" w:eastAsia="仿宋"/>
          <w:b/>
          <w:sz w:val="32"/>
          <w:szCs w:val="32"/>
          <w:lang w:val="en-US" w:eastAsia="zh-CN"/>
        </w:rPr>
        <w:t>万元</w:t>
      </w:r>
      <w:r>
        <w:rPr>
          <w:rFonts w:hint="eastAsia" w:ascii="仿宋" w:hAnsi="仿宋" w:eastAsia="仿宋"/>
          <w:sz w:val="32"/>
          <w:szCs w:val="32"/>
        </w:rPr>
        <w:t>，</w:t>
      </w:r>
      <w:r>
        <w:rPr>
          <w:rStyle w:val="17"/>
          <w:rFonts w:hint="eastAsia" w:ascii="仿宋" w:hAnsi="仿宋" w:eastAsia="仿宋"/>
          <w:bCs/>
          <w:sz w:val="32"/>
          <w:szCs w:val="32"/>
        </w:rPr>
        <w:t>完成预算</w:t>
      </w:r>
      <w:r>
        <w:rPr>
          <w:rStyle w:val="17"/>
          <w:rFonts w:hint="eastAsia" w:ascii="仿宋" w:hAnsi="仿宋" w:eastAsia="仿宋"/>
          <w:bCs/>
          <w:sz w:val="32"/>
          <w:szCs w:val="32"/>
          <w:lang w:val="en-US" w:eastAsia="zh-CN"/>
        </w:rPr>
        <w:t>100</w:t>
      </w:r>
      <w:r>
        <w:rPr>
          <w:rStyle w:val="17"/>
          <w:rFonts w:ascii="仿宋" w:hAnsi="仿宋" w:eastAsia="仿宋"/>
          <w:bCs/>
          <w:sz w:val="32"/>
          <w:szCs w:val="32"/>
        </w:rPr>
        <w:t>%</w:t>
      </w:r>
      <w:r>
        <w:rPr>
          <w:rStyle w:val="17"/>
          <w:rFonts w:hint="eastAsia" w:ascii="仿宋" w:hAnsi="仿宋" w:eastAsia="仿宋"/>
          <w:bCs/>
          <w:sz w:val="32"/>
          <w:szCs w:val="32"/>
        </w:rPr>
        <w:t>。其中：</w:t>
      </w:r>
      <w:bookmarkEnd w:id="47"/>
      <w:bookmarkEnd w:id="48"/>
      <w:bookmarkEnd w:id="49"/>
    </w:p>
    <w:p>
      <w:pPr>
        <w:spacing w:line="600" w:lineRule="exact"/>
        <w:ind w:firstLine="643" w:firstLineChars="200"/>
        <w:outlineLvl w:val="9"/>
        <w:rPr>
          <w:rFonts w:ascii="仿宋" w:hAnsi="仿宋" w:eastAsia="仿宋"/>
          <w:b/>
          <w:sz w:val="32"/>
          <w:szCs w:val="32"/>
        </w:rPr>
      </w:pPr>
      <w:r>
        <w:rPr>
          <w:rStyle w:val="17"/>
          <w:rFonts w:ascii="仿宋" w:hAnsi="仿宋" w:eastAsia="仿宋"/>
          <w:bCs/>
          <w:sz w:val="32"/>
          <w:szCs w:val="32"/>
        </w:rPr>
        <w:t>1.</w:t>
      </w:r>
      <w:r>
        <w:rPr>
          <w:rStyle w:val="17"/>
          <w:rFonts w:hint="eastAsia" w:ascii="仿宋" w:hAnsi="仿宋" w:eastAsia="仿宋"/>
          <w:bCs/>
          <w:sz w:val="32"/>
          <w:szCs w:val="32"/>
        </w:rPr>
        <w:t>一般公共服务（类）统计信息事务（款）行政运行（项）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支出决算为149.82万元，完成预算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3" w:firstLineChars="200"/>
        <w:outlineLvl w:val="9"/>
        <w:rPr>
          <w:rFonts w:ascii="仿宋" w:hAnsi="仿宋" w:eastAsia="仿宋"/>
          <w:b/>
          <w:sz w:val="32"/>
          <w:szCs w:val="32"/>
        </w:rPr>
      </w:pPr>
      <w:r>
        <w:rPr>
          <w:rStyle w:val="17"/>
          <w:rFonts w:ascii="仿宋" w:hAnsi="仿宋" w:eastAsia="仿宋"/>
          <w:bCs/>
          <w:sz w:val="32"/>
          <w:szCs w:val="32"/>
        </w:rPr>
        <w:t>2.</w:t>
      </w:r>
      <w:r>
        <w:rPr>
          <w:rStyle w:val="17"/>
          <w:rFonts w:hint="eastAsia" w:ascii="仿宋" w:hAnsi="仿宋" w:eastAsia="仿宋"/>
          <w:bCs/>
          <w:sz w:val="32"/>
          <w:szCs w:val="32"/>
        </w:rPr>
        <w:t>一般公共服务（类）统计信息事务（款）专项统计业务（项）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支出决算为245.04万元，完成预算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3" w:firstLineChars="200"/>
        <w:outlineLvl w:val="9"/>
        <w:rPr>
          <w:rFonts w:ascii="仿宋" w:hAnsi="仿宋" w:eastAsia="仿宋"/>
          <w:b/>
          <w:sz w:val="32"/>
          <w:szCs w:val="32"/>
        </w:rPr>
      </w:pPr>
      <w:r>
        <w:rPr>
          <w:rStyle w:val="17"/>
          <w:rFonts w:ascii="仿宋" w:hAnsi="仿宋" w:eastAsia="仿宋"/>
          <w:bCs/>
          <w:sz w:val="32"/>
          <w:szCs w:val="32"/>
        </w:rPr>
        <w:t>3.</w:t>
      </w:r>
      <w:r>
        <w:rPr>
          <w:rStyle w:val="17"/>
          <w:rFonts w:hint="eastAsia" w:ascii="仿宋" w:hAnsi="仿宋" w:eastAsia="仿宋"/>
          <w:bCs/>
          <w:sz w:val="32"/>
          <w:szCs w:val="32"/>
        </w:rPr>
        <w:t>社会保障和就业支出（类）行政事业单位养老支出（款）机关事业单位基本养老保险缴费支出（项）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支出决算为17.58万元，完成预算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3" w:firstLineChars="200"/>
        <w:outlineLvl w:val="9"/>
        <w:rPr>
          <w:rFonts w:ascii="仿宋" w:hAnsi="仿宋" w:eastAsia="仿宋"/>
          <w:b/>
          <w:sz w:val="32"/>
          <w:szCs w:val="32"/>
        </w:rPr>
      </w:pPr>
      <w:r>
        <w:rPr>
          <w:rStyle w:val="17"/>
          <w:rFonts w:ascii="仿宋" w:hAnsi="仿宋" w:eastAsia="仿宋"/>
          <w:bCs/>
          <w:sz w:val="32"/>
          <w:szCs w:val="32"/>
        </w:rPr>
        <w:t>4.</w:t>
      </w:r>
      <w:r>
        <w:rPr>
          <w:rStyle w:val="17"/>
          <w:rFonts w:hint="eastAsia" w:ascii="仿宋" w:hAnsi="仿宋" w:eastAsia="仿宋"/>
          <w:bCs/>
          <w:sz w:val="32"/>
          <w:szCs w:val="32"/>
        </w:rPr>
        <w:t>社会保障和就业支出（类）行政事业单位养老支出（款）机关事业单位职业年金缴费支出（项）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支出决算为10.43万元，完成预算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3" w:firstLineChars="200"/>
        <w:outlineLvl w:val="9"/>
      </w:pPr>
      <w:r>
        <w:rPr>
          <w:rStyle w:val="17"/>
          <w:rFonts w:ascii="仿宋" w:hAnsi="仿宋" w:eastAsia="仿宋"/>
          <w:bCs/>
          <w:sz w:val="32"/>
          <w:szCs w:val="32"/>
        </w:rPr>
        <w:t>5.</w:t>
      </w:r>
      <w:r>
        <w:rPr>
          <w:rStyle w:val="17"/>
          <w:rFonts w:hint="eastAsia" w:ascii="仿宋" w:hAnsi="仿宋" w:eastAsia="仿宋"/>
          <w:bCs/>
          <w:sz w:val="32"/>
          <w:szCs w:val="32"/>
        </w:rPr>
        <w:t>社会保障和就业支出（类）行政事业单位养老支出（款）其他行政事业单位养老支出（项）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支出决算为8.21万元，完成预算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3" w:firstLineChars="200"/>
        <w:outlineLvl w:val="9"/>
        <w:rPr>
          <w:rStyle w:val="17"/>
          <w:rFonts w:hint="eastAsia" w:ascii="仿宋" w:hAnsi="仿宋" w:eastAsia="仿宋"/>
          <w:b w:val="0"/>
          <w:bCs/>
          <w:sz w:val="32"/>
          <w:szCs w:val="32"/>
        </w:rPr>
      </w:pPr>
      <w:r>
        <w:rPr>
          <w:rStyle w:val="17"/>
          <w:rFonts w:ascii="仿宋" w:hAnsi="仿宋" w:eastAsia="仿宋"/>
          <w:bCs/>
          <w:sz w:val="32"/>
          <w:szCs w:val="32"/>
        </w:rPr>
        <w:t>6.</w:t>
      </w:r>
      <w:r>
        <w:rPr>
          <w:rStyle w:val="17"/>
          <w:rFonts w:hint="eastAsia" w:ascii="仿宋" w:hAnsi="仿宋" w:eastAsia="仿宋"/>
          <w:bCs/>
          <w:sz w:val="32"/>
          <w:szCs w:val="32"/>
        </w:rPr>
        <w:t>社会保障和就业支出（类）就业补助（款）其他就业补助支出（项）</w:t>
      </w:r>
      <w:r>
        <w:rPr>
          <w:rStyle w:val="17"/>
          <w:rFonts w:ascii="仿宋" w:hAnsi="仿宋" w:eastAsia="仿宋"/>
          <w:bCs/>
          <w:sz w:val="32"/>
          <w:szCs w:val="32"/>
        </w:rPr>
        <w:t>:</w:t>
      </w:r>
      <w:r>
        <w:rPr>
          <w:rStyle w:val="17"/>
          <w:rFonts w:hint="eastAsia" w:ascii="仿宋" w:hAnsi="仿宋" w:eastAsia="仿宋"/>
          <w:b w:val="0"/>
          <w:bCs/>
          <w:sz w:val="32"/>
          <w:szCs w:val="32"/>
        </w:rPr>
        <w:t>支出决算为1.97万元，完成预算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3" w:firstLineChars="200"/>
        <w:outlineLvl w:val="9"/>
        <w:rPr>
          <w:rStyle w:val="17"/>
          <w:rFonts w:hint="eastAsia" w:ascii="仿宋" w:hAnsi="仿宋" w:eastAsia="仿宋"/>
          <w:bCs/>
          <w:sz w:val="32"/>
          <w:szCs w:val="32"/>
        </w:rPr>
      </w:pPr>
      <w:r>
        <w:rPr>
          <w:rStyle w:val="17"/>
          <w:rFonts w:hint="eastAsia" w:ascii="仿宋" w:hAnsi="仿宋" w:eastAsia="仿宋"/>
          <w:bCs/>
          <w:sz w:val="32"/>
          <w:szCs w:val="32"/>
          <w:lang w:val="en-US" w:eastAsia="zh-CN"/>
        </w:rPr>
        <w:t>7</w:t>
      </w:r>
      <w:r>
        <w:rPr>
          <w:rStyle w:val="17"/>
          <w:rFonts w:ascii="仿宋" w:hAnsi="仿宋" w:eastAsia="仿宋"/>
          <w:bCs/>
          <w:sz w:val="32"/>
          <w:szCs w:val="32"/>
        </w:rPr>
        <w:t>.</w:t>
      </w:r>
      <w:r>
        <w:rPr>
          <w:rStyle w:val="17"/>
          <w:rFonts w:hint="eastAsia" w:ascii="仿宋" w:hAnsi="仿宋" w:eastAsia="仿宋"/>
          <w:bCs/>
          <w:sz w:val="32"/>
          <w:szCs w:val="32"/>
        </w:rPr>
        <w:t>卫生健康支出（类）行政事业单位医疗（款）行政单位医疗（项）</w:t>
      </w:r>
      <w:r>
        <w:rPr>
          <w:rStyle w:val="17"/>
          <w:rFonts w:hint="eastAsia" w:ascii="仿宋" w:hAnsi="仿宋" w:eastAsia="仿宋"/>
          <w:bCs/>
          <w:sz w:val="32"/>
          <w:szCs w:val="32"/>
          <w:lang w:eastAsia="zh-CN"/>
        </w:rPr>
        <w:t>：</w:t>
      </w:r>
      <w:r>
        <w:rPr>
          <w:rStyle w:val="17"/>
          <w:rFonts w:hint="eastAsia" w:ascii="仿宋" w:hAnsi="仿宋" w:eastAsia="仿宋"/>
          <w:b w:val="0"/>
          <w:bCs w:val="0"/>
          <w:sz w:val="32"/>
          <w:szCs w:val="32"/>
        </w:rPr>
        <w:t>支出决算为3.72万元，完成预算</w:t>
      </w:r>
      <w:r>
        <w:rPr>
          <w:rStyle w:val="17"/>
          <w:rFonts w:hint="eastAsia" w:ascii="仿宋" w:hAnsi="仿宋" w:eastAsia="仿宋"/>
          <w:b w:val="0"/>
          <w:bCs w:val="0"/>
          <w:sz w:val="32"/>
          <w:szCs w:val="32"/>
          <w:lang w:val="en-US" w:eastAsia="zh-CN"/>
        </w:rPr>
        <w:t>100</w:t>
      </w:r>
      <w:r>
        <w:rPr>
          <w:rStyle w:val="17"/>
          <w:rFonts w:ascii="仿宋" w:hAnsi="仿宋" w:eastAsia="仿宋"/>
          <w:b w:val="0"/>
          <w:bCs w:val="0"/>
          <w:sz w:val="32"/>
          <w:szCs w:val="32"/>
        </w:rPr>
        <w:t>%</w:t>
      </w:r>
      <w:r>
        <w:rPr>
          <w:rStyle w:val="17"/>
          <w:rFonts w:hint="eastAsia" w:ascii="仿宋" w:hAnsi="仿宋" w:eastAsia="仿宋"/>
          <w:b w:val="0"/>
          <w:bCs w:val="0"/>
          <w:sz w:val="32"/>
          <w:szCs w:val="32"/>
        </w:rPr>
        <w:t>，决算数</w:t>
      </w:r>
      <w:r>
        <w:rPr>
          <w:rStyle w:val="17"/>
          <w:rFonts w:hint="eastAsia" w:ascii="仿宋" w:hAnsi="仿宋" w:eastAsia="仿宋"/>
          <w:b w:val="0"/>
          <w:bCs w:val="0"/>
          <w:sz w:val="32"/>
          <w:szCs w:val="32"/>
          <w:lang w:val="en-US" w:eastAsia="zh-CN"/>
        </w:rPr>
        <w:t>与</w:t>
      </w:r>
      <w:r>
        <w:rPr>
          <w:rStyle w:val="17"/>
          <w:rFonts w:hint="eastAsia" w:ascii="仿宋" w:hAnsi="仿宋" w:eastAsia="仿宋"/>
          <w:b w:val="0"/>
          <w:bCs w:val="0"/>
          <w:sz w:val="32"/>
          <w:szCs w:val="32"/>
        </w:rPr>
        <w:t>预算数</w:t>
      </w:r>
      <w:r>
        <w:rPr>
          <w:rStyle w:val="17"/>
          <w:rFonts w:hint="eastAsia" w:ascii="仿宋" w:hAnsi="仿宋" w:eastAsia="仿宋"/>
          <w:b w:val="0"/>
          <w:bCs w:val="0"/>
          <w:sz w:val="32"/>
          <w:szCs w:val="32"/>
          <w:lang w:val="en-US" w:eastAsia="zh-CN"/>
        </w:rPr>
        <w:t>持平</w:t>
      </w:r>
      <w:r>
        <w:rPr>
          <w:rStyle w:val="17"/>
          <w:rFonts w:hint="eastAsia" w:ascii="仿宋" w:hAnsi="仿宋" w:eastAsia="仿宋"/>
          <w:b w:val="0"/>
          <w:bCs w:val="0"/>
          <w:sz w:val="32"/>
          <w:szCs w:val="32"/>
        </w:rPr>
        <w:t>。</w:t>
      </w:r>
    </w:p>
    <w:p>
      <w:pPr>
        <w:spacing w:line="600" w:lineRule="exact"/>
        <w:ind w:firstLine="643" w:firstLineChars="200"/>
        <w:outlineLvl w:val="9"/>
        <w:rPr>
          <w:rStyle w:val="17"/>
          <w:rFonts w:hint="eastAsia" w:ascii="仿宋" w:hAnsi="仿宋" w:eastAsia="仿宋"/>
          <w:bCs/>
          <w:sz w:val="32"/>
          <w:szCs w:val="32"/>
        </w:rPr>
      </w:pPr>
      <w:r>
        <w:rPr>
          <w:rStyle w:val="17"/>
          <w:rFonts w:hint="eastAsia" w:ascii="仿宋" w:hAnsi="仿宋" w:eastAsia="仿宋"/>
          <w:bCs/>
          <w:sz w:val="32"/>
          <w:szCs w:val="32"/>
          <w:lang w:val="en-US" w:eastAsia="zh-CN"/>
        </w:rPr>
        <w:t>8</w:t>
      </w:r>
      <w:r>
        <w:rPr>
          <w:rStyle w:val="17"/>
          <w:rFonts w:ascii="仿宋" w:hAnsi="仿宋" w:eastAsia="仿宋"/>
          <w:bCs/>
          <w:sz w:val="32"/>
          <w:szCs w:val="32"/>
        </w:rPr>
        <w:t>.</w:t>
      </w:r>
      <w:r>
        <w:rPr>
          <w:rStyle w:val="17"/>
          <w:rFonts w:hint="eastAsia" w:ascii="仿宋" w:hAnsi="仿宋" w:eastAsia="仿宋"/>
          <w:bCs/>
          <w:sz w:val="32"/>
          <w:szCs w:val="32"/>
        </w:rPr>
        <w:t>卫生健康支出（类）行政事业单位医疗（款）公务员医疗补助（项）</w:t>
      </w:r>
      <w:r>
        <w:rPr>
          <w:rStyle w:val="17"/>
          <w:rFonts w:hint="eastAsia" w:ascii="仿宋" w:hAnsi="仿宋" w:eastAsia="仿宋"/>
          <w:bCs/>
          <w:sz w:val="32"/>
          <w:szCs w:val="32"/>
          <w:lang w:eastAsia="zh-CN"/>
        </w:rPr>
        <w:t>：</w:t>
      </w:r>
      <w:r>
        <w:rPr>
          <w:rStyle w:val="17"/>
          <w:rFonts w:hint="eastAsia" w:ascii="仿宋" w:hAnsi="仿宋" w:eastAsia="仿宋"/>
          <w:b w:val="0"/>
          <w:bCs w:val="0"/>
          <w:sz w:val="32"/>
          <w:szCs w:val="32"/>
        </w:rPr>
        <w:t>支出决算为2.50万元，完成预算</w:t>
      </w:r>
      <w:r>
        <w:rPr>
          <w:rStyle w:val="17"/>
          <w:rFonts w:hint="eastAsia" w:ascii="仿宋" w:hAnsi="仿宋" w:eastAsia="仿宋"/>
          <w:b w:val="0"/>
          <w:bCs w:val="0"/>
          <w:sz w:val="32"/>
          <w:szCs w:val="32"/>
          <w:lang w:val="en-US" w:eastAsia="zh-CN"/>
        </w:rPr>
        <w:t>100</w:t>
      </w:r>
      <w:r>
        <w:rPr>
          <w:rStyle w:val="17"/>
          <w:rFonts w:ascii="仿宋" w:hAnsi="仿宋" w:eastAsia="仿宋"/>
          <w:b w:val="0"/>
          <w:bCs w:val="0"/>
          <w:sz w:val="32"/>
          <w:szCs w:val="32"/>
        </w:rPr>
        <w:t>%</w:t>
      </w:r>
      <w:r>
        <w:rPr>
          <w:rStyle w:val="17"/>
          <w:rFonts w:hint="eastAsia" w:ascii="仿宋" w:hAnsi="仿宋" w:eastAsia="仿宋"/>
          <w:b w:val="0"/>
          <w:bCs w:val="0"/>
          <w:sz w:val="32"/>
          <w:szCs w:val="32"/>
        </w:rPr>
        <w:t>，决算数</w:t>
      </w:r>
      <w:r>
        <w:rPr>
          <w:rStyle w:val="17"/>
          <w:rFonts w:hint="eastAsia" w:ascii="仿宋" w:hAnsi="仿宋" w:eastAsia="仿宋"/>
          <w:b w:val="0"/>
          <w:bCs w:val="0"/>
          <w:sz w:val="32"/>
          <w:szCs w:val="32"/>
          <w:lang w:val="en-US" w:eastAsia="zh-CN"/>
        </w:rPr>
        <w:t>与</w:t>
      </w:r>
      <w:r>
        <w:rPr>
          <w:rStyle w:val="17"/>
          <w:rFonts w:hint="eastAsia" w:ascii="仿宋" w:hAnsi="仿宋" w:eastAsia="仿宋"/>
          <w:b w:val="0"/>
          <w:bCs w:val="0"/>
          <w:sz w:val="32"/>
          <w:szCs w:val="32"/>
        </w:rPr>
        <w:t>预算数</w:t>
      </w:r>
      <w:r>
        <w:rPr>
          <w:rStyle w:val="17"/>
          <w:rFonts w:hint="eastAsia" w:ascii="仿宋" w:hAnsi="仿宋" w:eastAsia="仿宋"/>
          <w:b w:val="0"/>
          <w:bCs w:val="0"/>
          <w:sz w:val="32"/>
          <w:szCs w:val="32"/>
          <w:lang w:val="en-US" w:eastAsia="zh-CN"/>
        </w:rPr>
        <w:t>持平</w:t>
      </w:r>
      <w:r>
        <w:rPr>
          <w:rStyle w:val="17"/>
          <w:rFonts w:hint="eastAsia" w:ascii="仿宋" w:hAnsi="仿宋" w:eastAsia="仿宋"/>
          <w:b w:val="0"/>
          <w:bCs w:val="0"/>
          <w:sz w:val="32"/>
          <w:szCs w:val="32"/>
        </w:rPr>
        <w:t>。</w:t>
      </w:r>
    </w:p>
    <w:p>
      <w:pPr>
        <w:spacing w:line="600" w:lineRule="exact"/>
        <w:ind w:firstLine="643" w:firstLineChars="200"/>
        <w:outlineLvl w:val="9"/>
        <w:rPr>
          <w:rFonts w:hint="eastAsia"/>
          <w:lang w:eastAsia="zh-CN"/>
        </w:rPr>
      </w:pPr>
      <w:r>
        <w:rPr>
          <w:rStyle w:val="17"/>
          <w:rFonts w:hint="eastAsia" w:ascii="仿宋" w:hAnsi="仿宋" w:eastAsia="仿宋"/>
          <w:bCs/>
          <w:sz w:val="32"/>
          <w:szCs w:val="32"/>
          <w:lang w:val="en-US" w:eastAsia="zh-CN"/>
        </w:rPr>
        <w:t>9</w:t>
      </w:r>
      <w:r>
        <w:rPr>
          <w:rStyle w:val="17"/>
          <w:rFonts w:ascii="仿宋" w:hAnsi="仿宋" w:eastAsia="仿宋"/>
          <w:bCs/>
          <w:sz w:val="32"/>
          <w:szCs w:val="32"/>
        </w:rPr>
        <w:t>.</w:t>
      </w:r>
      <w:r>
        <w:rPr>
          <w:rStyle w:val="17"/>
          <w:rFonts w:hint="eastAsia" w:ascii="仿宋" w:hAnsi="仿宋" w:eastAsia="仿宋"/>
          <w:bCs/>
          <w:sz w:val="32"/>
          <w:szCs w:val="32"/>
        </w:rPr>
        <w:t>住房保障支出（类）住房改革支出（款）住房公积金（项）</w:t>
      </w:r>
      <w:r>
        <w:rPr>
          <w:rStyle w:val="17"/>
          <w:rFonts w:hint="eastAsia" w:ascii="仿宋" w:hAnsi="仿宋" w:eastAsia="仿宋"/>
          <w:bCs/>
          <w:sz w:val="32"/>
          <w:szCs w:val="32"/>
          <w:lang w:eastAsia="zh-CN"/>
        </w:rPr>
        <w:t>：</w:t>
      </w:r>
      <w:r>
        <w:rPr>
          <w:rStyle w:val="17"/>
          <w:rFonts w:hint="eastAsia" w:ascii="仿宋" w:hAnsi="仿宋" w:eastAsia="仿宋"/>
          <w:b w:val="0"/>
          <w:bCs w:val="0"/>
          <w:sz w:val="32"/>
          <w:szCs w:val="32"/>
        </w:rPr>
        <w:t>支出决算为11.86万元，完成预算</w:t>
      </w:r>
      <w:r>
        <w:rPr>
          <w:rStyle w:val="17"/>
          <w:rFonts w:hint="eastAsia" w:ascii="仿宋" w:hAnsi="仿宋" w:eastAsia="仿宋"/>
          <w:b w:val="0"/>
          <w:bCs w:val="0"/>
          <w:sz w:val="32"/>
          <w:szCs w:val="32"/>
          <w:lang w:val="en-US" w:eastAsia="zh-CN"/>
        </w:rPr>
        <w:t>100</w:t>
      </w:r>
      <w:r>
        <w:rPr>
          <w:rStyle w:val="17"/>
          <w:rFonts w:ascii="仿宋" w:hAnsi="仿宋" w:eastAsia="仿宋"/>
          <w:b w:val="0"/>
          <w:bCs w:val="0"/>
          <w:sz w:val="32"/>
          <w:szCs w:val="32"/>
        </w:rPr>
        <w:t>%</w:t>
      </w:r>
      <w:r>
        <w:rPr>
          <w:rStyle w:val="17"/>
          <w:rFonts w:hint="eastAsia" w:ascii="仿宋" w:hAnsi="仿宋" w:eastAsia="仿宋"/>
          <w:b w:val="0"/>
          <w:bCs w:val="0"/>
          <w:sz w:val="32"/>
          <w:szCs w:val="32"/>
        </w:rPr>
        <w:t>，决算数</w:t>
      </w:r>
      <w:r>
        <w:rPr>
          <w:rStyle w:val="17"/>
          <w:rFonts w:hint="eastAsia" w:ascii="仿宋" w:hAnsi="仿宋" w:eastAsia="仿宋"/>
          <w:b w:val="0"/>
          <w:bCs w:val="0"/>
          <w:sz w:val="32"/>
          <w:szCs w:val="32"/>
          <w:lang w:val="en-US" w:eastAsia="zh-CN"/>
        </w:rPr>
        <w:t>与</w:t>
      </w:r>
      <w:r>
        <w:rPr>
          <w:rStyle w:val="17"/>
          <w:rFonts w:hint="eastAsia" w:ascii="仿宋" w:hAnsi="仿宋" w:eastAsia="仿宋"/>
          <w:b w:val="0"/>
          <w:bCs w:val="0"/>
          <w:sz w:val="32"/>
          <w:szCs w:val="32"/>
        </w:rPr>
        <w:t>预算数</w:t>
      </w:r>
      <w:r>
        <w:rPr>
          <w:rStyle w:val="17"/>
          <w:rFonts w:hint="eastAsia" w:ascii="仿宋" w:hAnsi="仿宋" w:eastAsia="仿宋"/>
          <w:b w:val="0"/>
          <w:bCs w:val="0"/>
          <w:sz w:val="32"/>
          <w:szCs w:val="32"/>
          <w:lang w:val="en-US" w:eastAsia="zh-CN"/>
        </w:rPr>
        <w:t>持平</w:t>
      </w:r>
      <w:r>
        <w:rPr>
          <w:rStyle w:val="17"/>
          <w:rFonts w:hint="eastAsia" w:ascii="仿宋" w:hAnsi="仿宋" w:eastAsia="仿宋"/>
          <w:b w:val="0"/>
          <w:bCs w:val="0"/>
          <w:sz w:val="32"/>
          <w:szCs w:val="32"/>
        </w:rPr>
        <w:t>。</w:t>
      </w:r>
    </w:p>
    <w:p>
      <w:pPr>
        <w:spacing w:line="600" w:lineRule="exact"/>
        <w:ind w:firstLine="643" w:firstLineChars="200"/>
        <w:outlineLvl w:val="9"/>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1-1表和财决08表，仅罗列本单位涉及的全部功能分类科目，至项级。上述“预算”口径为全年预算数。增减变动原因为决算数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和全年预算数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pPr>
        <w:spacing w:line="600" w:lineRule="exact"/>
        <w:ind w:firstLine="640"/>
        <w:rPr>
          <w:rFonts w:ascii="仿宋" w:hAnsi="仿宋" w:eastAsia="仿宋"/>
          <w:b/>
          <w:sz w:val="32"/>
          <w:szCs w:val="32"/>
        </w:rPr>
      </w:pPr>
    </w:p>
    <w:p>
      <w:pPr>
        <w:tabs>
          <w:tab w:val="right" w:pos="8306"/>
        </w:tabs>
        <w:spacing w:line="600" w:lineRule="exact"/>
        <w:ind w:firstLine="640"/>
        <w:outlineLvl w:val="1"/>
        <w:rPr>
          <w:rStyle w:val="28"/>
        </w:rPr>
      </w:pPr>
      <w:bookmarkStart w:id="50" w:name="_Toc18606"/>
      <w:bookmarkStart w:id="51" w:name="_Toc15377214"/>
      <w:bookmarkStart w:id="52"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8"/>
          <w:rFonts w:hint="eastAsia" w:ascii="黑体" w:hAnsi="黑体" w:eastAsia="黑体"/>
          <w:b w:val="0"/>
        </w:rPr>
        <w:t>般公共预算财政拨款基本支出决算情况说明</w:t>
      </w:r>
      <w:bookmarkEnd w:id="50"/>
      <w:bookmarkEnd w:id="51"/>
      <w:bookmarkEnd w:id="52"/>
      <w:r>
        <w:rPr>
          <w:rStyle w:val="28"/>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2023年度一般公共预算财政拨款基本支出</w:t>
      </w:r>
      <w:r>
        <w:rPr>
          <w:rFonts w:ascii="仿宋" w:hAnsi="仿宋" w:eastAsia="仿宋"/>
          <w:b/>
          <w:sz w:val="32"/>
          <w:szCs w:val="32"/>
        </w:rPr>
        <w:t>204.12</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ascii="仿宋" w:hAnsi="仿宋" w:eastAsia="仿宋"/>
          <w:b/>
          <w:sz w:val="32"/>
          <w:szCs w:val="32"/>
        </w:rPr>
        <w:t>183.44</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生活补助、医疗费补助、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20.68</w:t>
      </w:r>
      <w:r>
        <w:rPr>
          <w:rFonts w:hint="eastAsia" w:ascii="仿宋" w:hAnsi="仿宋" w:eastAsia="仿宋"/>
          <w:sz w:val="32"/>
          <w:szCs w:val="32"/>
        </w:rPr>
        <w:t>万元，主要包括：办公费、印刷费、手续费、水费、电费、邮电费、差旅费、维修（护）费、会议费、培训费、公务接待费、劳务费、委托业务费、工会经费、福利费、公务用车运行维护费、其他交通费、其他商品和服务支出、办公设备购置等。</w:t>
      </w:r>
    </w:p>
    <w:p>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pPr>
        <w:spacing w:line="600" w:lineRule="exact"/>
        <w:ind w:firstLine="640"/>
        <w:outlineLvl w:val="1"/>
        <w:rPr>
          <w:rStyle w:val="28"/>
          <w:rFonts w:ascii="黑体" w:hAnsi="黑体" w:eastAsia="黑体"/>
          <w:b w:val="0"/>
        </w:rPr>
      </w:pPr>
      <w:bookmarkStart w:id="53" w:name="_Toc15377215"/>
      <w:bookmarkStart w:id="54" w:name="_Toc11689"/>
      <w:bookmarkStart w:id="55" w:name="_Toc15396609"/>
      <w:r>
        <w:rPr>
          <w:rFonts w:hint="eastAsia" w:ascii="黑体" w:eastAsia="黑体"/>
          <w:sz w:val="32"/>
          <w:szCs w:val="32"/>
        </w:rPr>
        <w:t>七、</w:t>
      </w:r>
      <w:r>
        <w:rPr>
          <w:rStyle w:val="28"/>
          <w:rFonts w:hint="eastAsia" w:ascii="黑体" w:hAnsi="黑体" w:eastAsia="黑体"/>
          <w:b w:val="0"/>
        </w:rPr>
        <w:t>财政拨款</w:t>
      </w:r>
      <w:r>
        <w:rPr>
          <w:rStyle w:val="28"/>
          <w:rFonts w:hint="eastAsia" w:ascii="黑体" w:hAnsi="黑体" w:eastAsia="黑体"/>
        </w:rPr>
        <w:t>“</w:t>
      </w:r>
      <w:r>
        <w:rPr>
          <w:rStyle w:val="28"/>
          <w:rFonts w:hint="eastAsia" w:ascii="黑体" w:hAnsi="黑体" w:eastAsia="黑体"/>
          <w:b w:val="0"/>
        </w:rPr>
        <w:t>三公”经费支出决算情况说明</w:t>
      </w:r>
      <w:bookmarkEnd w:id="53"/>
      <w:bookmarkEnd w:id="54"/>
      <w:bookmarkEnd w:id="55"/>
    </w:p>
    <w:p>
      <w:pPr>
        <w:spacing w:line="600" w:lineRule="exact"/>
        <w:ind w:firstLine="640"/>
        <w:outlineLvl w:val="2"/>
        <w:rPr>
          <w:rFonts w:ascii="仿宋" w:hAnsi="仿宋" w:eastAsia="仿宋"/>
          <w:b/>
          <w:sz w:val="32"/>
          <w:szCs w:val="32"/>
        </w:rPr>
      </w:pPr>
      <w:bookmarkStart w:id="56" w:name="_Toc5379"/>
      <w:bookmarkStart w:id="57" w:name="_Toc15377216"/>
      <w:r>
        <w:rPr>
          <w:rFonts w:hint="eastAsia" w:ascii="仿宋" w:hAnsi="仿宋" w:eastAsia="仿宋"/>
          <w:b/>
          <w:sz w:val="32"/>
          <w:szCs w:val="32"/>
        </w:rPr>
        <w:t>（一）“三公”经费财政拨款支出决算总体情况说明</w:t>
      </w:r>
      <w:bookmarkEnd w:id="56"/>
      <w:bookmarkEnd w:id="57"/>
    </w:p>
    <w:p>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0.57</w:t>
      </w:r>
      <w:r>
        <w:rPr>
          <w:rFonts w:hint="eastAsia" w:ascii="仿宋" w:hAnsi="仿宋" w:eastAsia="仿宋"/>
          <w:sz w:val="32"/>
          <w:szCs w:val="32"/>
        </w:rPr>
        <w:t>万元，完成预算</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，较上年度减少2.48万元，下降</w:t>
      </w:r>
      <w:r>
        <w:rPr>
          <w:rFonts w:hint="eastAsia" w:ascii="仿宋" w:hAnsi="仿宋" w:eastAsia="仿宋"/>
          <w:sz w:val="32"/>
          <w:szCs w:val="32"/>
          <w:lang w:val="en-US" w:eastAsia="zh-CN"/>
        </w:rPr>
        <w:t>81.42</w:t>
      </w:r>
      <w:r>
        <w:rPr>
          <w:rFonts w:hint="eastAsia" w:ascii="仿宋" w:hAnsi="仿宋" w:eastAsia="仿宋"/>
          <w:sz w:val="32"/>
          <w:szCs w:val="32"/>
        </w:rPr>
        <w:t>%。决算数预算数持平。</w:t>
      </w:r>
    </w:p>
    <w:p>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（注：上述“预算”口径为全年预算数，包括一般公共预算和政府性基金预算财政拨款支出决算情况。）</w:t>
      </w:r>
    </w:p>
    <w:p>
      <w:pPr>
        <w:spacing w:line="600" w:lineRule="exact"/>
        <w:ind w:firstLine="640"/>
        <w:outlineLvl w:val="2"/>
        <w:rPr>
          <w:rFonts w:ascii="仿宋" w:hAnsi="仿宋" w:eastAsia="仿宋"/>
          <w:b/>
          <w:sz w:val="32"/>
          <w:szCs w:val="32"/>
        </w:rPr>
      </w:pPr>
      <w:bookmarkStart w:id="58" w:name="_Toc28162"/>
      <w:bookmarkStart w:id="59" w:name="_Toc15377217"/>
      <w:r>
        <w:rPr>
          <w:rFonts w:hint="eastAsia" w:ascii="仿宋" w:hAnsi="仿宋" w:eastAsia="仿宋"/>
          <w:b/>
          <w:sz w:val="32"/>
          <w:szCs w:val="32"/>
        </w:rPr>
        <w:t>（二）“三公”经费财政拨款支出决算具体情况说明</w:t>
      </w:r>
      <w:bookmarkEnd w:id="58"/>
      <w:bookmarkEnd w:id="59"/>
    </w:p>
    <w:p>
      <w:pPr>
        <w:spacing w:line="600" w:lineRule="exact"/>
        <w:ind w:firstLine="640"/>
        <w:rPr>
          <w:rFonts w:hint="eastAsia"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0.57</w:t>
      </w:r>
      <w:r>
        <w:rPr>
          <w:rFonts w:hint="eastAsia" w:ascii="仿宋" w:hAnsi="仿宋" w:eastAsia="仿宋"/>
          <w:sz w:val="32"/>
          <w:szCs w:val="32"/>
        </w:rPr>
        <w:t>万元，占</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。具体情况如下：</w:t>
      </w:r>
    </w:p>
    <w:p>
      <w:pPr>
        <w:pStyle w:val="2"/>
        <w:outlineLvl w:val="9"/>
      </w:pPr>
      <w:r>
        <w:rPr>
          <w:rFonts w:hint="eastAsia" w:ascii="仿宋" w:hAnsi="仿宋" w:eastAsia="仿宋"/>
          <w:sz w:val="32"/>
          <w:szCs w:val="32"/>
          <w:lang w:eastAsia="zh-CN"/>
        </w:rPr>
        <w:drawing>
          <wp:inline distT="0" distB="0" distL="114300" distR="114300">
            <wp:extent cx="5256530" cy="2988310"/>
            <wp:effectExtent l="5080" t="4445" r="15240" b="1714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w:t>
      </w:r>
    </w:p>
    <w:p>
      <w:pPr>
        <w:spacing w:line="600" w:lineRule="exact"/>
        <w:ind w:firstLine="640"/>
        <w:rPr>
          <w:rFonts w:hint="eastAsia" w:ascii="仿宋_GB2312" w:eastAsia="仿宋_GB2312"/>
          <w:sz w:val="32"/>
          <w:szCs w:val="32"/>
        </w:rPr>
      </w:pPr>
      <w:bookmarkStart w:id="60" w:name="_Toc15377218"/>
      <w:bookmarkStart w:id="61" w:name="_Toc15396610"/>
      <w:r>
        <w:rPr>
          <w:rFonts w:hint="eastAsia" w:ascii="仿宋_GB2312" w:eastAsia="仿宋_GB2312"/>
          <w:b/>
          <w:sz w:val="32"/>
          <w:szCs w:val="32"/>
        </w:rPr>
        <w:t>公务接待费支出</w:t>
      </w:r>
      <w:r>
        <w:rPr>
          <w:rFonts w:ascii="仿宋" w:hAnsi="仿宋" w:eastAsia="仿宋"/>
          <w:b/>
          <w:sz w:val="32"/>
          <w:szCs w:val="32"/>
        </w:rPr>
        <w:t>0.57</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 w:val="0"/>
          <w:bCs/>
          <w:sz w:val="32"/>
          <w:szCs w:val="32"/>
        </w:rPr>
        <w:t>100%</w:t>
      </w:r>
      <w:r>
        <w:rPr>
          <w:rStyle w:val="17"/>
          <w:rFonts w:hint="eastAsia" w:ascii="仿宋" w:hAnsi="仿宋" w:eastAsia="仿宋"/>
          <w:b w:val="0"/>
          <w:bCs/>
          <w:sz w:val="32"/>
          <w:szCs w:val="32"/>
        </w:rPr>
        <w:t>。</w:t>
      </w:r>
      <w:r>
        <w:rPr>
          <w:rFonts w:hint="eastAsia" w:ascii="仿宋_GB2312" w:eastAsia="仿宋_GB2312"/>
          <w:sz w:val="32"/>
          <w:szCs w:val="32"/>
        </w:rPr>
        <w:t>公务接待费支出决算比2022年度减少</w:t>
      </w:r>
      <w:r>
        <w:rPr>
          <w:rFonts w:hint="eastAsia" w:ascii="仿宋" w:hAnsi="仿宋" w:eastAsia="仿宋"/>
          <w:sz w:val="32"/>
          <w:szCs w:val="32"/>
        </w:rPr>
        <w:t>2.48万元，下降</w:t>
      </w:r>
      <w:r>
        <w:rPr>
          <w:rFonts w:hint="eastAsia" w:ascii="仿宋" w:hAnsi="仿宋" w:eastAsia="仿宋"/>
          <w:sz w:val="32"/>
          <w:szCs w:val="32"/>
          <w:lang w:val="en-US" w:eastAsia="zh-CN"/>
        </w:rPr>
        <w:t>81.42</w:t>
      </w:r>
      <w:r>
        <w:rPr>
          <w:rFonts w:hint="eastAsia" w:ascii="仿宋" w:hAnsi="仿宋" w:eastAsia="仿宋"/>
          <w:sz w:val="32"/>
          <w:szCs w:val="32"/>
        </w:rPr>
        <w:t>%</w:t>
      </w:r>
      <w:r>
        <w:rPr>
          <w:rFonts w:hint="eastAsia" w:ascii="仿宋_GB2312" w:eastAsia="仿宋_GB2312"/>
          <w:sz w:val="32"/>
          <w:szCs w:val="32"/>
        </w:rPr>
        <w:t>。</w:t>
      </w:r>
      <w:r>
        <w:rPr>
          <w:rFonts w:hint="eastAsia" w:ascii="仿宋" w:hAnsi="仿宋" w:eastAsia="仿宋"/>
          <w:sz w:val="32"/>
          <w:szCs w:val="32"/>
          <w:lang w:val="en-US" w:eastAsia="zh-CN"/>
        </w:rPr>
        <w:t>主要变动原因为本年度中心账务与机关分离。</w:t>
      </w:r>
    </w:p>
    <w:p>
      <w:pPr>
        <w:spacing w:line="600" w:lineRule="exact"/>
        <w:rPr>
          <w:rFonts w:ascii="黑体" w:eastAsia="黑体"/>
          <w:sz w:val="32"/>
          <w:szCs w:val="32"/>
        </w:rPr>
      </w:pPr>
      <w:r>
        <w:rPr>
          <w:rFonts w:hint="eastAsia" w:ascii="仿宋_GB2312" w:eastAsia="仿宋_GB2312"/>
          <w:sz w:val="32"/>
          <w:szCs w:val="32"/>
        </w:rPr>
        <w:t>其中：</w:t>
      </w:r>
      <w:r>
        <w:rPr>
          <w:rFonts w:hint="eastAsia" w:ascii="仿宋" w:hAnsi="仿宋" w:eastAsia="仿宋"/>
          <w:b/>
          <w:sz w:val="32"/>
          <w:szCs w:val="32"/>
        </w:rPr>
        <w:t>国内公务接待支出</w:t>
      </w:r>
      <w:r>
        <w:rPr>
          <w:rFonts w:ascii="仿宋" w:hAnsi="仿宋" w:eastAsia="仿宋"/>
          <w:b/>
          <w:sz w:val="32"/>
          <w:szCs w:val="32"/>
        </w:rPr>
        <w:t>0.57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color w:val="auto"/>
          <w:sz w:val="32"/>
          <w:szCs w:val="32"/>
        </w:rPr>
        <w:t>主要用于执行公务、开展业务活动开支的交通费、住宿费、用餐费等</w:t>
      </w:r>
      <w:r>
        <w:rPr>
          <w:rFonts w:hint="eastAsia" w:ascii="仿宋_GB2312" w:eastAsia="仿宋_GB2312"/>
          <w:sz w:val="32"/>
          <w:szCs w:val="32"/>
          <w:lang w:val="en-US" w:eastAsia="zh-CN"/>
        </w:rPr>
        <w:t>接待上级以及同级部门来本单位调研审计工作接待支出</w:t>
      </w:r>
      <w:r>
        <w:rPr>
          <w:rFonts w:hint="eastAsia" w:ascii="仿宋_GB2312" w:eastAsia="仿宋_GB2312"/>
          <w:sz w:val="32"/>
          <w:szCs w:val="32"/>
        </w:rPr>
        <w:t>。国内公务接待</w:t>
      </w:r>
      <w:r>
        <w:rPr>
          <w:rFonts w:hint="eastAsia" w:ascii="仿宋_GB2312" w:eastAsia="仿宋_GB2312"/>
          <w:sz w:val="32"/>
          <w:szCs w:val="32"/>
          <w:lang w:val="en-US" w:eastAsia="zh-CN"/>
        </w:rPr>
        <w:t>16</w:t>
      </w:r>
      <w:r>
        <w:rPr>
          <w:rFonts w:hint="eastAsia" w:ascii="仿宋_GB2312" w:eastAsia="仿宋_GB2312"/>
          <w:sz w:val="32"/>
          <w:szCs w:val="32"/>
        </w:rPr>
        <w:t>批次，</w:t>
      </w:r>
      <w:r>
        <w:rPr>
          <w:rFonts w:hint="eastAsia" w:ascii="仿宋_GB2312" w:eastAsia="仿宋_GB2312"/>
          <w:sz w:val="32"/>
          <w:szCs w:val="32"/>
          <w:lang w:val="en-US" w:eastAsia="zh-CN"/>
        </w:rPr>
        <w:t>86</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0.57</w:t>
      </w:r>
      <w:r>
        <w:rPr>
          <w:rFonts w:hint="eastAsia" w:ascii="仿宋_GB2312" w:eastAsia="仿宋_GB2312"/>
          <w:sz w:val="32"/>
          <w:szCs w:val="32"/>
        </w:rPr>
        <w:t>万元，具体内容包括：</w:t>
      </w:r>
      <w:r>
        <w:rPr>
          <w:rFonts w:hint="eastAsia" w:ascii="仿宋_GB2312" w:eastAsia="仿宋_GB2312"/>
          <w:sz w:val="32"/>
          <w:szCs w:val="32"/>
          <w:lang w:val="en-US" w:eastAsia="zh-CN"/>
        </w:rPr>
        <w:t>接待上级以及同级部门来本单位调研审计工作用餐，第五次全国经济普查开展工作和常规专业统计工作走访用餐支出等</w:t>
      </w:r>
      <w:r>
        <w:rPr>
          <w:rFonts w:hint="eastAsia" w:ascii="仿宋_GB2312" w:eastAsia="仿宋_GB2312"/>
          <w:sz w:val="32"/>
          <w:szCs w:val="32"/>
        </w:rPr>
        <w:t>。</w:t>
      </w:r>
    </w:p>
    <w:p>
      <w:pPr>
        <w:spacing w:line="600" w:lineRule="exact"/>
        <w:ind w:firstLine="640"/>
        <w:outlineLvl w:val="1"/>
        <w:rPr>
          <w:rStyle w:val="28"/>
          <w:rFonts w:ascii="黑体" w:hAnsi="黑体" w:eastAsia="黑体"/>
        </w:rPr>
      </w:pPr>
      <w:bookmarkStart w:id="62" w:name="_Toc14"/>
      <w:r>
        <w:rPr>
          <w:rFonts w:hint="eastAsia" w:ascii="黑体" w:eastAsia="黑体"/>
          <w:sz w:val="32"/>
          <w:szCs w:val="32"/>
        </w:rPr>
        <w:t>八、</w:t>
      </w:r>
      <w:r>
        <w:rPr>
          <w:rStyle w:val="28"/>
          <w:rFonts w:hint="eastAsia" w:ascii="黑体" w:hAnsi="黑体" w:eastAsia="黑体"/>
          <w:b w:val="0"/>
        </w:rPr>
        <w:t>政府性基金预算支出决算情况说明</w:t>
      </w:r>
      <w:bookmarkEnd w:id="60"/>
      <w:bookmarkEnd w:id="61"/>
      <w:bookmarkEnd w:id="62"/>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pPr>
        <w:numPr>
          <w:ilvl w:val="0"/>
          <w:numId w:val="3"/>
        </w:numPr>
        <w:spacing w:line="600" w:lineRule="exact"/>
        <w:ind w:firstLine="640"/>
        <w:outlineLvl w:val="1"/>
        <w:rPr>
          <w:rStyle w:val="28"/>
          <w:rFonts w:ascii="黑体" w:hAnsi="黑体" w:eastAsia="黑体"/>
          <w:b w:val="0"/>
        </w:rPr>
      </w:pPr>
      <w:bookmarkStart w:id="63" w:name="_Toc15377219"/>
      <w:bookmarkStart w:id="64" w:name="_Toc15396611"/>
      <w:bookmarkStart w:id="65" w:name="_Toc21565"/>
      <w:r>
        <w:rPr>
          <w:rStyle w:val="28"/>
          <w:rFonts w:hint="eastAsia" w:ascii="黑体" w:hAnsi="黑体" w:eastAsia="黑体"/>
          <w:b w:val="0"/>
        </w:rPr>
        <w:t>国有资本经营预算支出决算情况说明</w:t>
      </w:r>
      <w:bookmarkEnd w:id="63"/>
      <w:bookmarkEnd w:id="64"/>
      <w:bookmarkEnd w:id="65"/>
    </w:p>
    <w:p>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pPr>
        <w:numPr>
          <w:ilvl w:val="0"/>
          <w:numId w:val="3"/>
        </w:numPr>
        <w:spacing w:line="600" w:lineRule="exact"/>
        <w:ind w:firstLine="640"/>
        <w:outlineLvl w:val="1"/>
        <w:rPr>
          <w:rStyle w:val="28"/>
          <w:rFonts w:ascii="黑体" w:hAnsi="黑体" w:eastAsia="黑体"/>
          <w:b w:val="0"/>
        </w:rPr>
      </w:pPr>
      <w:bookmarkStart w:id="66" w:name="_Toc15396612"/>
      <w:bookmarkStart w:id="67" w:name="_Toc21608"/>
      <w:bookmarkStart w:id="68" w:name="_Toc15377221"/>
      <w:r>
        <w:rPr>
          <w:rStyle w:val="28"/>
          <w:rFonts w:hint="eastAsia" w:ascii="黑体" w:hAnsi="黑体" w:eastAsia="黑体"/>
          <w:b w:val="0"/>
        </w:rPr>
        <w:t>其他重要事项的情况说明</w:t>
      </w:r>
      <w:bookmarkEnd w:id="66"/>
      <w:bookmarkEnd w:id="67"/>
      <w:bookmarkEnd w:id="68"/>
    </w:p>
    <w:p>
      <w:pPr>
        <w:spacing w:line="600" w:lineRule="exact"/>
        <w:ind w:firstLine="643" w:firstLineChars="200"/>
        <w:outlineLvl w:val="2"/>
        <w:rPr>
          <w:rFonts w:ascii="仿宋" w:hAnsi="仿宋" w:eastAsia="仿宋"/>
          <w:sz w:val="32"/>
          <w:szCs w:val="32"/>
        </w:rPr>
      </w:pPr>
      <w:bookmarkStart w:id="69" w:name="_Toc19123"/>
      <w:bookmarkStart w:id="70" w:name="_Toc15377222"/>
      <w:r>
        <w:rPr>
          <w:rFonts w:hint="eastAsia" w:ascii="仿宋" w:hAnsi="仿宋" w:eastAsia="仿宋"/>
          <w:b/>
          <w:sz w:val="32"/>
          <w:szCs w:val="32"/>
        </w:rPr>
        <w:t>（一）机关运行经费支出情况</w:t>
      </w:r>
      <w:bookmarkEnd w:id="69"/>
      <w:bookmarkEnd w:id="70"/>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乐山市五通桥区统计局（本级）</w:t>
      </w:r>
      <w:r>
        <w:rPr>
          <w:rFonts w:hint="eastAsia" w:ascii="仿宋_GB2312" w:eastAsia="仿宋_GB2312"/>
          <w:sz w:val="32"/>
          <w:szCs w:val="32"/>
        </w:rPr>
        <w:t>机关运行经费支出</w:t>
      </w:r>
      <w:r>
        <w:rPr>
          <w:rFonts w:ascii="仿宋" w:hAnsi="仿宋" w:eastAsia="仿宋"/>
          <w:b/>
          <w:sz w:val="32"/>
          <w:szCs w:val="32"/>
        </w:rPr>
        <w:t>20.68</w:t>
      </w:r>
      <w:r>
        <w:rPr>
          <w:rFonts w:hint="eastAsia" w:ascii="仿宋_GB2312" w:eastAsia="仿宋_GB2312"/>
          <w:sz w:val="32"/>
          <w:szCs w:val="32"/>
        </w:rPr>
        <w:t>万元，比2022年度减少</w:t>
      </w:r>
      <w:r>
        <w:rPr>
          <w:rFonts w:hint="eastAsia" w:ascii="仿宋_GB2312" w:eastAsia="仿宋_GB2312"/>
          <w:sz w:val="32"/>
          <w:szCs w:val="32"/>
          <w:lang w:val="en-US" w:eastAsia="zh-CN"/>
        </w:rPr>
        <w:t>2.07</w:t>
      </w:r>
      <w:r>
        <w:rPr>
          <w:rFonts w:hint="eastAsia" w:ascii="仿宋_GB2312" w:eastAsia="仿宋_GB2312"/>
          <w:sz w:val="32"/>
          <w:szCs w:val="32"/>
        </w:rPr>
        <w:t>万元，下降</w:t>
      </w:r>
      <w:r>
        <w:rPr>
          <w:rFonts w:hint="eastAsia" w:ascii="仿宋_GB2312" w:eastAsia="仿宋_GB2312"/>
          <w:sz w:val="32"/>
          <w:szCs w:val="32"/>
          <w:lang w:val="en-US" w:eastAsia="zh-CN"/>
        </w:rPr>
        <w:t>9.11</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单位积极履行中央八项规定，厉行节约，反对浪费，减少单位机关运行经费支出</w:t>
      </w:r>
      <w:r>
        <w:rPr>
          <w:rFonts w:hint="eastAsia" w:ascii="仿宋_GB2312" w:eastAsia="仿宋_GB2312"/>
          <w:sz w:val="32"/>
          <w:szCs w:val="32"/>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71" w:name="_Toc15377223"/>
      <w:bookmarkStart w:id="72" w:name="_Toc31901"/>
      <w:r>
        <w:rPr>
          <w:rFonts w:hint="eastAsia" w:ascii="仿宋" w:hAnsi="仿宋" w:eastAsia="仿宋"/>
          <w:b/>
          <w:sz w:val="32"/>
          <w:szCs w:val="32"/>
        </w:rPr>
        <w:t>（二）政府采购支出情况</w:t>
      </w:r>
      <w:bookmarkEnd w:id="71"/>
      <w:bookmarkEnd w:id="72"/>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乐山市五通桥区统计局（本级）</w:t>
      </w:r>
      <w:r>
        <w:rPr>
          <w:rFonts w:hint="eastAsia" w:ascii="仿宋_GB2312" w:eastAsia="仿宋_GB2312"/>
          <w:sz w:val="32"/>
          <w:szCs w:val="32"/>
        </w:rPr>
        <w:t>政府采购支出总额</w:t>
      </w:r>
      <w:r>
        <w:rPr>
          <w:rFonts w:ascii="仿宋" w:hAnsi="仿宋" w:eastAsia="仿宋"/>
          <w:b/>
          <w:sz w:val="32"/>
          <w:szCs w:val="32"/>
        </w:rPr>
        <w:t>0</w:t>
      </w:r>
      <w:r>
        <w:rPr>
          <w:rFonts w:hint="eastAsia" w:ascii="仿宋_GB2312" w:eastAsia="仿宋_GB2312"/>
          <w:sz w:val="32"/>
          <w:szCs w:val="32"/>
        </w:rPr>
        <w:t>万元，其中：政府采购货物支出</w:t>
      </w:r>
      <w:r>
        <w:rPr>
          <w:rFonts w:ascii="仿宋" w:hAnsi="仿宋" w:eastAsia="仿宋"/>
          <w:b/>
          <w:sz w:val="32"/>
          <w:szCs w:val="32"/>
        </w:rPr>
        <w:t>0</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73" w:name="_Toc31982"/>
      <w:bookmarkStart w:id="74" w:name="_Toc15377224"/>
      <w:r>
        <w:rPr>
          <w:rFonts w:hint="eastAsia" w:ascii="仿宋" w:hAnsi="仿宋" w:eastAsia="仿宋"/>
          <w:b/>
          <w:sz w:val="32"/>
          <w:szCs w:val="32"/>
        </w:rPr>
        <w:t>（三）国有资产占有使用情况</w:t>
      </w:r>
      <w:bookmarkEnd w:id="73"/>
      <w:bookmarkEnd w:id="74"/>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乐山市五通桥区统计局（本级）</w:t>
      </w:r>
      <w:r>
        <w:rPr>
          <w:rFonts w:hint="eastAsia" w:ascii="仿宋_GB2312" w:eastAsia="仿宋_GB2312"/>
          <w:sz w:val="32"/>
          <w:szCs w:val="32"/>
        </w:rPr>
        <w:t>共有车辆</w:t>
      </w:r>
      <w:r>
        <w:rPr>
          <w:rFonts w:hint="eastAsia" w:ascii="仿宋_GB2312" w:eastAsia="仿宋_GB2312"/>
          <w:b/>
          <w:sz w:val="32"/>
          <w:szCs w:val="32"/>
        </w:rPr>
        <w:t>1</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1</w:t>
      </w:r>
      <w:r>
        <w:rPr>
          <w:rFonts w:hint="eastAsia" w:ascii="仿宋_GB2312" w:eastAsia="仿宋_GB2312"/>
          <w:sz w:val="32"/>
          <w:szCs w:val="32"/>
        </w:rPr>
        <w:t>辆，其他用车主要是用于</w:t>
      </w:r>
      <w:r>
        <w:rPr>
          <w:rFonts w:hint="eastAsia" w:ascii="仿宋_GB2312" w:eastAsia="仿宋_GB2312"/>
          <w:sz w:val="32"/>
          <w:szCs w:val="32"/>
          <w:lang w:val="en-US" w:eastAsia="zh-CN"/>
        </w:rPr>
        <w:t>单位普查业务开展，以及日常工作事项需要</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75" w:name="_Toc31864"/>
      <w:r>
        <w:rPr>
          <w:rFonts w:hint="eastAsia" w:ascii="仿宋" w:hAnsi="仿宋" w:eastAsia="仿宋"/>
          <w:b/>
          <w:sz w:val="32"/>
          <w:szCs w:val="32"/>
        </w:rPr>
        <w:t>（四）预算绩效管理情况</w:t>
      </w:r>
      <w:bookmarkEnd w:id="75"/>
    </w:p>
    <w:p>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根据预算绩效管理要求，本单位在2023年度预算编制阶段，组织对常规专业统计工作项目等</w:t>
      </w:r>
      <w:r>
        <w:rPr>
          <w:rFonts w:hint="eastAsia" w:ascii="仿宋_GB2312" w:eastAsia="仿宋_GB2312"/>
          <w:sz w:val="32"/>
          <w:szCs w:val="32"/>
          <w:lang w:val="en-US" w:eastAsia="zh-CN"/>
        </w:rPr>
        <w:t>7</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7</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7</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7</w:t>
      </w:r>
      <w:r>
        <w:rPr>
          <w:rFonts w:hint="eastAsia" w:ascii="仿宋_GB2312" w:eastAsia="仿宋_GB2312"/>
          <w:sz w:val="32"/>
          <w:szCs w:val="32"/>
        </w:rPr>
        <w:t>个项目开展绩效自评，绩效自评表详见第四部分附件。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pPr>
        <w:numPr>
          <w:ilvl w:val="0"/>
          <w:numId w:val="4"/>
        </w:numPr>
        <w:spacing w:line="600" w:lineRule="exact"/>
        <w:ind w:firstLine="660" w:firstLineChars="150"/>
        <w:jc w:val="center"/>
        <w:outlineLvl w:val="0"/>
        <w:rPr>
          <w:rFonts w:ascii="宋体"/>
          <w:b/>
          <w:sz w:val="44"/>
          <w:szCs w:val="44"/>
        </w:rPr>
      </w:pPr>
      <w:bookmarkStart w:id="76" w:name="_Toc15396613"/>
      <w:bookmarkStart w:id="77" w:name="_Toc29779"/>
      <w:bookmarkStart w:id="78" w:name="_Toc15377225"/>
      <w:r>
        <w:rPr>
          <w:rFonts w:hint="eastAsia" w:ascii="黑体" w:hAnsi="黑体" w:eastAsia="黑体"/>
          <w:sz w:val="44"/>
          <w:szCs w:val="44"/>
        </w:rPr>
        <w:t>名</w:t>
      </w:r>
      <w:r>
        <w:rPr>
          <w:rStyle w:val="27"/>
          <w:rFonts w:hint="eastAsia" w:ascii="黑体" w:hAnsi="黑体" w:eastAsia="黑体"/>
          <w:b w:val="0"/>
        </w:rPr>
        <w:t>词解释</w:t>
      </w:r>
      <w:bookmarkEnd w:id="76"/>
      <w:bookmarkEnd w:id="77"/>
      <w:bookmarkEnd w:id="78"/>
    </w:p>
    <w:p>
      <w:pPr>
        <w:spacing w:line="600" w:lineRule="exact"/>
        <w:ind w:firstLine="640"/>
        <w:outlineLvl w:val="9"/>
        <w:rPr>
          <w:rFonts w:hint="eastAsia" w:ascii="仿宋_GB2312" w:eastAsia="仿宋_GB2312"/>
          <w:color w:val="auto"/>
          <w:sz w:val="32"/>
          <w:szCs w:val="32"/>
        </w:rPr>
      </w:pPr>
      <w:bookmarkStart w:id="79" w:name="_Toc394"/>
      <w:r>
        <w:rPr>
          <w:rFonts w:hint="eastAsia" w:ascii="仿宋_GB2312" w:eastAsia="仿宋_GB2312"/>
          <w:color w:val="auto"/>
          <w:sz w:val="32"/>
          <w:szCs w:val="32"/>
        </w:rPr>
        <w:t>1.财政拨款收入：指单位从同级财政部门取得的财政预算资金。</w:t>
      </w:r>
      <w:bookmarkEnd w:id="79"/>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2.事业收入：指事业单位开展专业业务活动及辅助活动取得的收入。如…（二级预算单位事业收入情况）等。</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3.经营收入：指事业单位在专业业务活动及其辅助活动之外开展非独立核算经营活动取得的收入。如…（二级预算单位经营收入情况）等。</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 xml:space="preserve">4.其他收入：指单位取得的除上述收入以外的各项收入。主要是…（收入类型）等。 </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 xml:space="preserve">5.使用非财政拨款结余：指事业单位使用以前年度积累的非财政拨款结余弥补当年收支差额的金额。 </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 xml:space="preserve">6.年初结转和结余：指以前年度尚未完成、结转到本年按有关规定继续使用的资金。 </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7.结余分配：指事业单位按照会计制度规定缴纳的所得税、提取的专用结余以及转入非财政拨款结余的金额等。</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8.年末结转和结余：指单位按有关规定结转到下年或以后年度继续使用的资金。</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9．社会保障和就业（类）行政事业单位养老支出（款）机关事业单位基本养老保险缴费支出（项）：指机关事业单位实施养老保险制度由单位缴纳的基本养老保险费支出。</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10．社会保障和就业（类）行政事业单位养老支出（款）机关事业单位职业年金缴费支出（项）：指机关事业单位实施养老保险制度由单位缴纳的职业年金支出。</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11．社会保障和就业（类）行政事业单位养老支出（款）其他行政事业单位养老支出（项）：指除上述项目以外其他用于行政事业单位养老方面的支出。</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12．社会保障和就业（类）其他社会保障和就业支出（款）其他社会保障和就业支出（项）：指除上述项目以外其他用于社会保障和就业方面的支出。</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13．卫生健康（类）行政事业单位医疗（款）行政单位医疗（项）：指财政部门安排的行政单位（包括实行公务员管理的事业单位）基本医疗保险缴费经费，未参加医疗保险的行政单位的公费医疗经费，按国家规定享受离休人员、红军老战士待遇人员的医疗经费。</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14．卫生健康（类）行政事业单位医疗（款）事业单位医疗（项）：指财政部门安排的事业单位基本医疗保险缴费经费，未参加医疗保险的事业单位的公费医疗经费，按国家规定享受离休人员待遇的医疗经费。</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15．住房保障（类）住房改革支出（款）住房公积金（项）：指行政事业单位按人力资源和社会保障部、财政部规定的基本工资和津贴补贴以及规定比例为职工缴纳的住房公积金。</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16．基本支出：指为保障机构正常运转、完成日常工作任务而发生的人员支出和公用支出。</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17．项目支出：指在基本支出之外为完成特定行政任务和事业发展目标所发生的支出。</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18．经营支出：指事业单位在专业业务活动及其辅助活动之外开展非独立核算经营活动发生的支出。</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19．“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20．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21．基本支出：指为保障机构正常运转、完成日常工作任务而发生的人员支出和公用支出。</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22．项目支出：指在基本支出之外为完成特定行政任务和事业发展目标所发生的支出。</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23．经营支出：指事业单位在专业业务活动及其辅助活动之外开展非独立核算经营活动发生的支出。</w:t>
      </w:r>
    </w:p>
    <w:p>
      <w:pPr>
        <w:spacing w:line="600" w:lineRule="exact"/>
        <w:ind w:firstLine="640"/>
        <w:rPr>
          <w:rFonts w:hint="eastAsia" w:ascii="仿宋_GB2312" w:eastAsia="仿宋_GB2312"/>
          <w:color w:val="auto"/>
          <w:sz w:val="32"/>
          <w:szCs w:val="32"/>
        </w:rPr>
      </w:pPr>
      <w:r>
        <w:rPr>
          <w:rFonts w:hint="eastAsia" w:ascii="仿宋_GB2312" w:eastAsia="仿宋_GB2312"/>
          <w:color w:val="auto"/>
          <w:sz w:val="32"/>
          <w:szCs w:val="32"/>
        </w:rPr>
        <w:t>24．“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ascii="仿宋" w:hAnsi="仿宋" w:eastAsia="仿宋"/>
          <w:b/>
          <w:sz w:val="32"/>
          <w:szCs w:val="32"/>
        </w:rPr>
      </w:pPr>
      <w:r>
        <w:rPr>
          <w:rFonts w:hint="eastAsia" w:ascii="仿宋_GB2312" w:eastAsia="仿宋_GB2312"/>
          <w:color w:val="auto"/>
          <w:sz w:val="32"/>
          <w:szCs w:val="32"/>
        </w:rPr>
        <w:t>25．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ascii="仿宋" w:hAnsi="仿宋" w:eastAsia="仿宋"/>
          <w:b/>
          <w:sz w:val="32"/>
          <w:szCs w:val="32"/>
        </w:rPr>
        <w:t>（解释本单位决算报表中涉及的全部功能分类科目至项级，不涉及的科目请自行删除。请参照《2023年政府收支分类科目》增减内容。）</w:t>
      </w:r>
    </w:p>
    <w:p>
      <w:pPr>
        <w:ind w:firstLine="643" w:firstLineChars="200"/>
        <w:rPr>
          <w:rFonts w:ascii="仿宋" w:hAnsi="仿宋" w:eastAsia="仿宋"/>
          <w:b/>
          <w:sz w:val="32"/>
          <w:szCs w:val="32"/>
        </w:rPr>
      </w:pPr>
      <w:r>
        <w:rPr>
          <w:rFonts w:hint="eastAsia" w:ascii="仿宋" w:hAnsi="仿宋" w:eastAsia="仿宋"/>
          <w:b/>
          <w:sz w:val="32"/>
          <w:szCs w:val="32"/>
        </w:rPr>
        <w:t>（名词解释部分请根据各单位实际列支情况罗列，并根据本单位职责职能增减名词解释内容。）</w:t>
      </w:r>
    </w:p>
    <w:p>
      <w:pPr>
        <w:spacing w:line="600" w:lineRule="exact"/>
        <w:jc w:val="center"/>
        <w:outlineLvl w:val="0"/>
        <w:rPr>
          <w:rStyle w:val="27"/>
          <w:rFonts w:ascii="黑体" w:hAnsi="黑体" w:eastAsia="黑体"/>
          <w:b w:val="0"/>
        </w:rPr>
      </w:pPr>
      <w:bookmarkStart w:id="80" w:name="_Toc15377226"/>
      <w:r>
        <w:rPr>
          <w:rFonts w:ascii="宋体"/>
          <w:b/>
          <w:sz w:val="44"/>
          <w:szCs w:val="44"/>
        </w:rPr>
        <w:br w:type="page"/>
      </w:r>
      <w:bookmarkStart w:id="81" w:name="_Toc15396614"/>
      <w:bookmarkStart w:id="82" w:name="_Toc13057"/>
      <w:r>
        <w:rPr>
          <w:rFonts w:hint="eastAsia" w:ascii="黑体" w:hAnsi="黑体" w:eastAsia="黑体"/>
          <w:sz w:val="44"/>
          <w:szCs w:val="44"/>
        </w:rPr>
        <w:t>第</w:t>
      </w:r>
      <w:r>
        <w:rPr>
          <w:rStyle w:val="27"/>
          <w:rFonts w:hint="eastAsia" w:ascii="黑体" w:hAnsi="黑体" w:eastAsia="黑体"/>
          <w:b w:val="0"/>
        </w:rPr>
        <w:t>四部分 附件</w:t>
      </w:r>
      <w:bookmarkEnd w:id="81"/>
      <w:bookmarkEnd w:id="82"/>
    </w:p>
    <w:p>
      <w:pPr>
        <w:spacing w:line="572" w:lineRule="exact"/>
        <w:jc w:val="left"/>
        <w:outlineLvl w:val="9"/>
        <w:rPr>
          <w:rFonts w:ascii="仿宋_GB2312" w:hAnsi="仿宋_GB2312" w:eastAsia="仿宋_GB2312" w:cs="仿宋_GB2312"/>
          <w:sz w:val="32"/>
          <w:szCs w:val="32"/>
        </w:rPr>
      </w:pPr>
    </w:p>
    <w:p>
      <w:pPr>
        <w:spacing w:line="600" w:lineRule="exact"/>
        <w:jc w:val="center"/>
        <w:outlineLvl w:val="1"/>
        <w:rPr>
          <w:rFonts w:ascii="黑体" w:hAnsi="黑体" w:eastAsia="黑体"/>
          <w:color w:val="FF0000"/>
          <w:sz w:val="44"/>
          <w:szCs w:val="44"/>
        </w:rPr>
      </w:pPr>
      <w:bookmarkStart w:id="83" w:name="_Toc11514"/>
      <w:bookmarkStart w:id="84" w:name="_Toc15396618"/>
      <w:r>
        <w:rPr>
          <w:rFonts w:hint="eastAsia"/>
          <w:sz w:val="32"/>
          <w:szCs w:val="32"/>
        </w:rPr>
        <w:t>部门预算项目支出绩效自评表（2023年度）</w:t>
      </w:r>
      <w:bookmarkEnd w:id="83"/>
    </w:p>
    <w:tbl>
      <w:tblPr>
        <w:tblStyle w:val="15"/>
        <w:tblW w:w="93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222"/>
        <w:gridCol w:w="1088"/>
        <w:gridCol w:w="1355"/>
        <w:gridCol w:w="396"/>
        <w:gridCol w:w="1050"/>
        <w:gridCol w:w="396"/>
        <w:gridCol w:w="846"/>
        <w:gridCol w:w="486"/>
        <w:gridCol w:w="396"/>
        <w:gridCol w:w="1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51111222T000000318806-常规专业统计工作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统计局</w:t>
            </w:r>
          </w:p>
        </w:tc>
        <w:tc>
          <w:tcPr>
            <w:tcW w:w="72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乐山市五通桥区统计局机关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6"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搜集整理与提供线管工业统计数据，防范惩治统计造假弄虚作假，进一步夯实统计基层基础，调查失业率，进一步做好“”稳就业“”、“”保就业“”，规范统计作为，持续提升统计数据质量。</w:t>
            </w: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43.83</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43.83</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43.83</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43.83</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9"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人口流动抽样调查、劳动力调查户数</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户</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规上工业企业网上联报企业</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82</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统计执法检查企业数量</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人口流动抽样调查、劳动力调查数据准确率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统计数据来源</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统计执法检查准确率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规上工业企业网上联报准确率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名录库维护数据准确率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人口流动抽样调查、劳动力调查及时率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统计执法检查及时率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规上工业企业网上联报及时率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名录库维护及时率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名录库维护结果利用率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人口流动抽样调查、劳动力调查结果利用率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统计执法检查工作正常运转率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统计工作促进地方经济发展</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规上工业企业网上联报企业结果利用率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人口流动抽样调查、劳动力调查管理机制健全性</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统计执法检查工作管理机制健全性</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名录库维护管理机制健全性</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规上工业企业网上联报管理机制健全性</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统计数据使用者满意度</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统计工作成本预算</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440000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702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结合自评情况，说明项目自评总分，说明项目实施取得的成效或成果。（200字以内）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结合自评情况，分析存在的问题及原因。（200字以内）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针对项目自评中发现的问题，提出下一步改进完善的意见及有关政策性建议。（200字以内）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5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7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1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51111223T000008549745-住户调查专项经费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统计局</w:t>
            </w:r>
          </w:p>
        </w:tc>
        <w:tc>
          <w:tcPr>
            <w:tcW w:w="72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乐山市五通桥区统计局机关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全面准确及时反映城乡居民收入与消费及其他生活状况，为党委政府推动经济社会高质量发展情况量化考核提供相关依据。</w:t>
            </w: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89.87</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89.87</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89.87</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89.87</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9"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住户调查全年入户次数</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住户调查工作全年开展培训次数</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住户调查户数</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户</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住户调查数据准确率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住户调查及时率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住户调查结果利用率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住户调查工作管理机制健全性</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数据使用者满意度</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住户调查工作成本预算</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702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结合自评情况，说明项目自评总分，说明项目实施取得的成效或成果。（200字以内）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结合自评情况，分析存在的问题及原因。（200字以内）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针对项目自评中发现的问题，提出下一步改进完善的意见及有关政策性建议。（200字以内）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5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7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1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51111223T000008549825-粮食测产专项经费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统计局</w:t>
            </w:r>
          </w:p>
        </w:tc>
        <w:tc>
          <w:tcPr>
            <w:tcW w:w="72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乐山市五通桥区统计局机关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及时准确反映粮食生产情况，进一步提高粮食生产统计调查数据质量，为各级党委政府制定粮食生产政策维护国家粮食安全提供参考依据。</w:t>
            </w: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9"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粮食测产农户数量</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户</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粮食测产数据准确率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粮食测产及时率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粮食测产结果利用率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粮食测产管理机制健全性</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数据使用者满意度</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相关部门对粮食测产数据满意度</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粮食测产成本预算</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702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结合自评情况，说明项目自评总分，说明项目实施取得的成效或成果。（200字以内）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结合自评情况，分析存在的问题及原因。（200字以内）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针对项目自评中发现的问题，提出下一步改进完善的意见及有关政策性建议。（200字以内）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5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7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1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51111223T000008669459-第五次全国经济普查专项经费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统计局</w:t>
            </w:r>
          </w:p>
        </w:tc>
        <w:tc>
          <w:tcPr>
            <w:tcW w:w="72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乐山市五通桥区统计局机关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6"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查我区第二产业第三产业的发展规模、布局、和效益，摸清各单位的基本情况，掌握国民经济行业间经济联系。推进统计现代化改革，构建形成大统计工作格局，推动建立经济发展责任体系，提供科学准确的统计信息支持。</w:t>
            </w: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41.72</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41.72</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41.72</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41.72</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9"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五经普普查户数</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21400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户</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经济普查准确率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五经普工作管理机制健全性</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数据使用者满意度</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五经普工作成本预算</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41.72</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702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结合自评情况，说明项目自评总分，说明项目实施取得的成效或成果。（200字以内）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结合自评情况，分析存在的问题及原因。（200字以内）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针对项目自评中发现的问题，提出下一步改进完善的意见及有关政策性建议。（200字以内）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5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7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1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51111223T000009013959-乐山市五通桥区统计局临聘人员支出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统计局</w:t>
            </w:r>
          </w:p>
        </w:tc>
        <w:tc>
          <w:tcPr>
            <w:tcW w:w="72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乐山市五通桥区统计局机关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严格执行相关政策、保障供自己是、足额发放或社保及时足额缴纳，预算编制科学合理，减少结余资金。</w:t>
            </w: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13.35</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13.35</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13.35</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13.35</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9"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702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结合自评情况，说明项目自评总分，说明项目实施取得的成效或成果。（200字以内）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结合自评情况，分析存在的问题及原因。（200字以内）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针对项目自评中发现的问题，提出下一步改进完善的意见及有关政策性建议。（200字以内）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5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7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1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51111224T000010235785-高校毕业生就业见习补助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统计局</w:t>
            </w:r>
          </w:p>
        </w:tc>
        <w:tc>
          <w:tcPr>
            <w:tcW w:w="72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乐山市五通桥区统计局机关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1.97</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1.97</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1.97</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1.97</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9"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702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结合自评情况，说明项目自评总分，说明项目实施取得的成效或成果。（200字以内）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结合自评情况，分析存在的问题及原因。（200字以内）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针对项目自评中发现的问题，提出下一步改进完善的意见及有关政策性建议。（200字以内）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5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7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1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51111224T000010633018-第五次经济普查两员劳动报酬补助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统计局</w:t>
            </w:r>
          </w:p>
        </w:tc>
        <w:tc>
          <w:tcPr>
            <w:tcW w:w="72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乐山市五通桥区统计局机关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5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50.27</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50.27</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50.27</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50.27</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9" w:hRule="atLeast"/>
        </w:trPr>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702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结合自评情况，说明项目自评总分，说明项目实施取得的成效或成果。（200字以内）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结合自评情况，分析存在的问题及原因。（200字以内）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9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针对项目自评中发现的问题，提出下一步改进完善的意见及有关政策性建议。（200字以内）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5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45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6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7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1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9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bl>
    <w:p>
      <w:pPr>
        <w:pStyle w:val="14"/>
        <w:spacing w:line="560" w:lineRule="exact"/>
        <w:ind w:left="0" w:leftChars="0" w:firstLine="640"/>
        <w:rPr>
          <w:sz w:val="32"/>
        </w:rPr>
      </w:pPr>
    </w:p>
    <w:p>
      <w:pPr>
        <w:pStyle w:val="14"/>
        <w:spacing w:line="560" w:lineRule="exact"/>
        <w:ind w:left="0" w:leftChars="0" w:firstLine="640"/>
        <w:rPr>
          <w:rFonts w:hAnsi="Calibri" w:eastAsia="仿宋_GB2312" w:cs="仿宋"/>
          <w:sz w:val="32"/>
          <w:lang w:val="zh-CN"/>
        </w:rPr>
      </w:pPr>
      <w:r>
        <w:rPr>
          <w:rFonts w:hint="eastAsia" w:hAnsi="Calibri" w:eastAsia="仿宋_GB2312" w:cs="仿宋"/>
          <w:sz w:val="32"/>
        </w:rPr>
        <w:t>（备注：按照绩效自评工作安排，各单位可在预算管理一体化系统—综合报表查询—预算绩效报表模块中下载本单位“部门预算项目支出绩效自评表（2023年度）”，该表格应作为附件予以公开。）</w:t>
      </w: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spacing w:line="600" w:lineRule="exact"/>
        <w:jc w:val="center"/>
        <w:outlineLvl w:val="0"/>
        <w:rPr>
          <w:rFonts w:ascii="仿宋" w:hAnsi="仿宋" w:eastAsia="仿宋"/>
        </w:rPr>
      </w:pPr>
      <w:bookmarkStart w:id="85" w:name="_Toc1760"/>
      <w:r>
        <w:rPr>
          <w:rFonts w:hint="eastAsia" w:ascii="黑体" w:hAnsi="黑体" w:eastAsia="黑体"/>
          <w:sz w:val="44"/>
          <w:szCs w:val="44"/>
        </w:rPr>
        <w:t>第</w:t>
      </w:r>
      <w:r>
        <w:rPr>
          <w:rStyle w:val="27"/>
          <w:rFonts w:hint="eastAsia" w:ascii="黑体" w:hAnsi="黑体" w:eastAsia="黑体"/>
          <w:b w:val="0"/>
        </w:rPr>
        <w:t>五部分 附表</w:t>
      </w:r>
      <w:bookmarkEnd w:id="80"/>
      <w:bookmarkEnd w:id="84"/>
      <w:bookmarkEnd w:id="85"/>
      <w:bookmarkStart w:id="86" w:name="_Toc15396619"/>
    </w:p>
    <w:p>
      <w:pPr>
        <w:outlineLvl w:val="9"/>
        <w:rPr>
          <w:rStyle w:val="28"/>
          <w:rFonts w:hint="eastAsia" w:ascii="仿宋" w:hAnsi="仿宋" w:eastAsia="仿宋"/>
          <w:b w:val="0"/>
          <w:bCs w:val="0"/>
        </w:rPr>
      </w:pPr>
      <w:bookmarkStart w:id="87" w:name="_Toc2286"/>
      <w:r>
        <w:rPr>
          <w:rStyle w:val="28"/>
          <w:rFonts w:hint="eastAsia" w:ascii="仿宋" w:hAnsi="仿宋" w:eastAsia="仿宋"/>
          <w:b w:val="0"/>
          <w:bCs w:val="0"/>
        </w:rPr>
        <w:t>一、收入支出决算总表</w:t>
      </w:r>
      <w:bookmarkEnd w:id="86"/>
    </w:p>
    <w:bookmarkEnd w:id="87"/>
    <w:p>
      <w:pPr>
        <w:outlineLvl w:val="9"/>
        <w:rPr>
          <w:rStyle w:val="28"/>
          <w:rFonts w:hint="eastAsia" w:ascii="仿宋" w:hAnsi="仿宋" w:eastAsia="仿宋"/>
          <w:b w:val="0"/>
          <w:bCs w:val="0"/>
        </w:rPr>
      </w:pPr>
      <w:bookmarkStart w:id="88" w:name="_Toc15396620"/>
      <w:bookmarkStart w:id="89" w:name="_Toc24052"/>
      <w:r>
        <w:rPr>
          <w:rStyle w:val="28"/>
          <w:rFonts w:hint="eastAsia" w:ascii="仿宋" w:hAnsi="仿宋" w:eastAsia="仿宋"/>
          <w:b w:val="0"/>
          <w:bCs w:val="0"/>
        </w:rPr>
        <w:t>二、收入决算表</w:t>
      </w:r>
      <w:bookmarkEnd w:id="88"/>
    </w:p>
    <w:bookmarkEnd w:id="89"/>
    <w:p>
      <w:pPr>
        <w:outlineLvl w:val="9"/>
        <w:rPr>
          <w:rStyle w:val="28"/>
          <w:rFonts w:hint="eastAsia" w:ascii="仿宋" w:hAnsi="仿宋" w:eastAsia="仿宋"/>
          <w:b w:val="0"/>
          <w:bCs w:val="0"/>
        </w:rPr>
      </w:pPr>
      <w:bookmarkStart w:id="90" w:name="_Toc15396621"/>
      <w:bookmarkStart w:id="91" w:name="_Toc28266"/>
      <w:r>
        <w:rPr>
          <w:rStyle w:val="28"/>
          <w:rFonts w:hint="eastAsia" w:ascii="仿宋" w:hAnsi="仿宋" w:eastAsia="仿宋"/>
          <w:b w:val="0"/>
          <w:bCs w:val="0"/>
        </w:rPr>
        <w:t>三、支出决算表</w:t>
      </w:r>
      <w:bookmarkEnd w:id="90"/>
    </w:p>
    <w:bookmarkEnd w:id="91"/>
    <w:p>
      <w:pPr>
        <w:outlineLvl w:val="9"/>
        <w:rPr>
          <w:rStyle w:val="28"/>
          <w:rFonts w:hint="eastAsia" w:ascii="仿宋" w:hAnsi="仿宋" w:eastAsia="仿宋"/>
          <w:b w:val="0"/>
          <w:bCs w:val="0"/>
        </w:rPr>
      </w:pPr>
      <w:bookmarkStart w:id="92" w:name="_Toc15396622"/>
      <w:bookmarkStart w:id="93" w:name="_Toc423"/>
      <w:r>
        <w:rPr>
          <w:rStyle w:val="28"/>
          <w:rFonts w:hint="eastAsia" w:ascii="仿宋" w:hAnsi="仿宋" w:eastAsia="仿宋"/>
          <w:b w:val="0"/>
          <w:bCs w:val="0"/>
        </w:rPr>
        <w:t>四、财政拨款收入支出决算总表</w:t>
      </w:r>
      <w:bookmarkEnd w:id="92"/>
    </w:p>
    <w:bookmarkEnd w:id="93"/>
    <w:p>
      <w:pPr>
        <w:outlineLvl w:val="9"/>
        <w:rPr>
          <w:rStyle w:val="28"/>
          <w:rFonts w:hint="eastAsia" w:ascii="仿宋" w:hAnsi="仿宋" w:eastAsia="仿宋"/>
          <w:b w:val="0"/>
          <w:bCs w:val="0"/>
        </w:rPr>
      </w:pPr>
      <w:bookmarkStart w:id="94" w:name="_Toc15396623"/>
      <w:bookmarkStart w:id="95" w:name="_Toc22531"/>
      <w:r>
        <w:rPr>
          <w:rStyle w:val="28"/>
          <w:rFonts w:hint="eastAsia" w:ascii="仿宋" w:hAnsi="仿宋" w:eastAsia="仿宋"/>
          <w:b w:val="0"/>
          <w:bCs w:val="0"/>
        </w:rPr>
        <w:t>五、财政拨款支出决算明细表</w:t>
      </w:r>
      <w:bookmarkEnd w:id="94"/>
      <w:bookmarkStart w:id="96" w:name="_Toc15396624"/>
    </w:p>
    <w:bookmarkEnd w:id="95"/>
    <w:p>
      <w:pPr>
        <w:outlineLvl w:val="9"/>
        <w:rPr>
          <w:rStyle w:val="28"/>
          <w:rFonts w:hint="eastAsia" w:ascii="仿宋" w:hAnsi="仿宋" w:eastAsia="仿宋"/>
          <w:b w:val="0"/>
          <w:bCs w:val="0"/>
        </w:rPr>
      </w:pPr>
      <w:bookmarkStart w:id="97" w:name="_Toc31848"/>
      <w:r>
        <w:rPr>
          <w:rStyle w:val="28"/>
          <w:rFonts w:hint="eastAsia" w:ascii="仿宋" w:hAnsi="仿宋" w:eastAsia="仿宋"/>
          <w:b w:val="0"/>
          <w:bCs w:val="0"/>
        </w:rPr>
        <w:t>六、一般公共预算财政拨款支出决算表</w:t>
      </w:r>
      <w:bookmarkEnd w:id="96"/>
    </w:p>
    <w:bookmarkEnd w:id="97"/>
    <w:p>
      <w:pPr>
        <w:outlineLvl w:val="9"/>
        <w:rPr>
          <w:rStyle w:val="28"/>
          <w:rFonts w:hint="eastAsia" w:ascii="仿宋" w:hAnsi="仿宋" w:eastAsia="仿宋"/>
          <w:b w:val="0"/>
          <w:bCs w:val="0"/>
        </w:rPr>
      </w:pPr>
      <w:bookmarkStart w:id="98" w:name="_Toc15396625"/>
      <w:bookmarkStart w:id="99" w:name="_Toc20925"/>
      <w:r>
        <w:rPr>
          <w:rStyle w:val="28"/>
          <w:rFonts w:hint="eastAsia" w:ascii="仿宋" w:hAnsi="仿宋" w:eastAsia="仿宋"/>
          <w:b w:val="0"/>
          <w:bCs w:val="0"/>
        </w:rPr>
        <w:t>七、一般公共预算财政拨款支出决算明细表</w:t>
      </w:r>
      <w:bookmarkEnd w:id="98"/>
    </w:p>
    <w:bookmarkEnd w:id="99"/>
    <w:p>
      <w:pPr>
        <w:outlineLvl w:val="9"/>
        <w:rPr>
          <w:rStyle w:val="28"/>
          <w:rFonts w:hint="eastAsia" w:ascii="仿宋" w:hAnsi="仿宋" w:eastAsia="仿宋"/>
          <w:b w:val="0"/>
          <w:bCs w:val="0"/>
        </w:rPr>
      </w:pPr>
      <w:bookmarkStart w:id="100" w:name="_Toc15396626"/>
      <w:bookmarkStart w:id="101" w:name="_Toc8035"/>
      <w:r>
        <w:rPr>
          <w:rStyle w:val="28"/>
          <w:rFonts w:hint="eastAsia" w:ascii="仿宋" w:hAnsi="仿宋" w:eastAsia="仿宋"/>
          <w:b w:val="0"/>
          <w:bCs w:val="0"/>
        </w:rPr>
        <w:t>八、一般公共预算财政拨款基本支出决算表</w:t>
      </w:r>
      <w:bookmarkEnd w:id="100"/>
    </w:p>
    <w:bookmarkEnd w:id="101"/>
    <w:p>
      <w:pPr>
        <w:outlineLvl w:val="9"/>
        <w:rPr>
          <w:rStyle w:val="28"/>
          <w:rFonts w:hint="eastAsia" w:ascii="仿宋" w:hAnsi="仿宋" w:eastAsia="仿宋"/>
          <w:b w:val="0"/>
          <w:bCs w:val="0"/>
        </w:rPr>
      </w:pPr>
      <w:bookmarkStart w:id="102" w:name="_Toc15396627"/>
      <w:bookmarkStart w:id="103" w:name="_Toc19953"/>
      <w:r>
        <w:rPr>
          <w:rStyle w:val="28"/>
          <w:rFonts w:hint="eastAsia" w:ascii="仿宋" w:hAnsi="仿宋" w:eastAsia="仿宋"/>
          <w:b w:val="0"/>
          <w:bCs w:val="0"/>
        </w:rPr>
        <w:t>九、一般公共预算财政拨款项目支出决算表</w:t>
      </w:r>
      <w:bookmarkEnd w:id="102"/>
    </w:p>
    <w:bookmarkEnd w:id="103"/>
    <w:p>
      <w:pPr>
        <w:outlineLvl w:val="9"/>
        <w:rPr>
          <w:rStyle w:val="28"/>
          <w:rFonts w:hint="eastAsia" w:ascii="仿宋" w:hAnsi="仿宋" w:eastAsia="仿宋"/>
          <w:b w:val="0"/>
          <w:bCs w:val="0"/>
        </w:rPr>
      </w:pPr>
      <w:bookmarkStart w:id="104" w:name="_Toc15396628"/>
      <w:bookmarkStart w:id="105" w:name="_Toc14968"/>
      <w:r>
        <w:rPr>
          <w:rStyle w:val="28"/>
          <w:rFonts w:hint="eastAsia" w:ascii="仿宋" w:hAnsi="仿宋" w:eastAsia="仿宋"/>
          <w:b w:val="0"/>
          <w:bCs w:val="0"/>
        </w:rPr>
        <w:t>十、</w:t>
      </w:r>
      <w:bookmarkEnd w:id="104"/>
      <w:r>
        <w:rPr>
          <w:rStyle w:val="28"/>
          <w:rFonts w:hint="eastAsia" w:ascii="仿宋" w:hAnsi="仿宋" w:eastAsia="仿宋"/>
          <w:b w:val="0"/>
          <w:bCs w:val="0"/>
        </w:rPr>
        <w:t>政府性基金预算财政拨款收入支出决算表</w:t>
      </w:r>
    </w:p>
    <w:bookmarkEnd w:id="105"/>
    <w:p>
      <w:pPr>
        <w:outlineLvl w:val="9"/>
        <w:rPr>
          <w:rStyle w:val="28"/>
          <w:rFonts w:hint="eastAsia" w:ascii="仿宋" w:hAnsi="仿宋" w:eastAsia="仿宋"/>
          <w:b w:val="0"/>
          <w:bCs w:val="0"/>
        </w:rPr>
      </w:pPr>
      <w:bookmarkStart w:id="106" w:name="_Toc15396629"/>
      <w:bookmarkStart w:id="107" w:name="_Toc4160"/>
      <w:r>
        <w:rPr>
          <w:rStyle w:val="28"/>
          <w:rFonts w:hint="eastAsia" w:ascii="仿宋" w:hAnsi="仿宋" w:eastAsia="仿宋"/>
          <w:b w:val="0"/>
          <w:bCs w:val="0"/>
        </w:rPr>
        <w:t>十一、</w:t>
      </w:r>
      <w:bookmarkEnd w:id="106"/>
      <w:r>
        <w:rPr>
          <w:rStyle w:val="28"/>
          <w:rFonts w:hint="eastAsia" w:ascii="仿宋" w:hAnsi="仿宋" w:eastAsia="仿宋"/>
          <w:b w:val="0"/>
          <w:bCs w:val="0"/>
        </w:rPr>
        <w:t>国有资本经营预算财政拨款收入支出决算表</w:t>
      </w:r>
    </w:p>
    <w:bookmarkEnd w:id="107"/>
    <w:p>
      <w:pPr>
        <w:outlineLvl w:val="9"/>
        <w:rPr>
          <w:rStyle w:val="28"/>
          <w:rFonts w:hint="eastAsia" w:ascii="仿宋" w:hAnsi="仿宋" w:eastAsia="仿宋"/>
          <w:b w:val="0"/>
          <w:bCs w:val="0"/>
        </w:rPr>
      </w:pPr>
      <w:bookmarkStart w:id="108" w:name="_Toc15396630"/>
      <w:bookmarkStart w:id="109" w:name="_Toc28923"/>
      <w:r>
        <w:rPr>
          <w:rStyle w:val="28"/>
          <w:rFonts w:hint="eastAsia" w:ascii="仿宋" w:hAnsi="仿宋" w:eastAsia="仿宋"/>
          <w:b w:val="0"/>
          <w:bCs w:val="0"/>
        </w:rPr>
        <w:t>十二、</w:t>
      </w:r>
      <w:bookmarkEnd w:id="108"/>
      <w:r>
        <w:rPr>
          <w:rStyle w:val="28"/>
          <w:rFonts w:hint="eastAsia" w:ascii="仿宋" w:hAnsi="仿宋" w:eastAsia="仿宋"/>
          <w:b w:val="0"/>
          <w:bCs w:val="0"/>
        </w:rPr>
        <w:t>国有资本经营预算财政拨款支出决算表</w:t>
      </w:r>
    </w:p>
    <w:bookmarkEnd w:id="109"/>
    <w:p>
      <w:pPr>
        <w:outlineLvl w:val="9"/>
        <w:rPr>
          <w:rStyle w:val="28"/>
          <w:rFonts w:hint="eastAsia" w:ascii="仿宋" w:hAnsi="仿宋" w:eastAsia="仿宋"/>
          <w:b w:val="0"/>
          <w:bCs w:val="0"/>
        </w:rPr>
      </w:pPr>
      <w:bookmarkStart w:id="110" w:name="_Toc15396631"/>
      <w:bookmarkStart w:id="111" w:name="_Toc19460"/>
      <w:r>
        <w:rPr>
          <w:rStyle w:val="28"/>
          <w:rFonts w:hint="eastAsia" w:ascii="仿宋" w:hAnsi="仿宋" w:eastAsia="仿宋"/>
          <w:b w:val="0"/>
          <w:bCs w:val="0"/>
        </w:rPr>
        <w:t>十三、</w:t>
      </w:r>
      <w:bookmarkEnd w:id="110"/>
      <w:r>
        <w:rPr>
          <w:rStyle w:val="28"/>
          <w:rFonts w:hint="eastAsia" w:ascii="仿宋" w:hAnsi="仿宋" w:eastAsia="仿宋"/>
          <w:b w:val="0"/>
          <w:bCs w:val="0"/>
        </w:rPr>
        <w:t>财政拨款“三公”经费支出决算表</w:t>
      </w:r>
    </w:p>
    <w:bookmarkEnd w:id="111"/>
    <w:sectPr>
      <w:footerReference r:id="rId8" w:type="first"/>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01964440-81FF-44FA-B355-1DF1C7990215}"/>
  </w:font>
  <w:font w:name="黑体">
    <w:panose1 w:val="02010609060101010101"/>
    <w:charset w:val="86"/>
    <w:family w:val="auto"/>
    <w:pitch w:val="default"/>
    <w:sig w:usb0="800002BF" w:usb1="38CF7CFA" w:usb2="00000016" w:usb3="00000000" w:csb0="00040001" w:csb1="00000000"/>
    <w:embedRegular r:id="rId2" w:fontKey="{1BB012FE-94F6-4D37-BA06-11311462075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E681D2A8-0C5D-4120-88FD-DA63EE3D3AEC}"/>
  </w:font>
  <w:font w:name="Cambria">
    <w:panose1 w:val="02040503050406030204"/>
    <w:charset w:val="00"/>
    <w:family w:val="roman"/>
    <w:pitch w:val="default"/>
    <w:sig w:usb0="E00002FF" w:usb1="400004FF" w:usb2="00000000" w:usb3="00000000" w:csb0="2000019F" w:csb1="00000000"/>
    <w:embedRegular r:id="rId4" w:fontKey="{827FDBD2-D85D-4CA5-8A69-30185BF156B8}"/>
  </w:font>
  <w:font w:name="仿宋_GB2312">
    <w:panose1 w:val="02010609030101010101"/>
    <w:charset w:val="86"/>
    <w:family w:val="auto"/>
    <w:pitch w:val="default"/>
    <w:sig w:usb0="00000001" w:usb1="080E0000" w:usb2="00000000" w:usb3="00000000" w:csb0="00040000" w:csb1="00000000"/>
    <w:embedRegular r:id="rId5" w:fontKey="{9635667F-5744-40C2-87AA-279702C5C298}"/>
  </w:font>
  <w:font w:name="仿宋">
    <w:panose1 w:val="02010609060101010101"/>
    <w:charset w:val="86"/>
    <w:family w:val="modern"/>
    <w:pitch w:val="default"/>
    <w:sig w:usb0="800002BF" w:usb1="38CF7CFA" w:usb2="00000016" w:usb3="00000000" w:csb0="00040001" w:csb1="00000000"/>
    <w:embedRegular r:id="rId6" w:fontKey="{97B8FA11-049E-45DC-97DF-38B1C5C900A7}"/>
  </w:font>
  <w:font w:name="方正小标宋简体">
    <w:panose1 w:val="03000509000000000000"/>
    <w:charset w:val="86"/>
    <w:family w:val="script"/>
    <w:pitch w:val="default"/>
    <w:sig w:usb0="00000001" w:usb1="080E0000" w:usb2="00000000" w:usb3="00000000" w:csb0="00040000" w:csb1="00000000"/>
    <w:embedRegular r:id="rId7" w:fontKey="{FC65B47E-C479-4B67-82A0-8AC56BA7C90C}"/>
  </w:font>
  <w:font w:name="微软雅黑">
    <w:panose1 w:val="020B0503020204020204"/>
    <w:charset w:val="86"/>
    <w:family w:val="auto"/>
    <w:pitch w:val="default"/>
    <w:sig w:usb0="80000287" w:usb1="280F3C52" w:usb2="00000016" w:usb3="00000000" w:csb0="0004001F" w:csb1="00000000"/>
    <w:embedRegular r:id="rId8" w:fontKey="{8EED9B75-AC16-4435-B860-2DC4031DE8F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15</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2001"/>
                          </w:sdtPr>
                          <w:sdtContent>
                            <w:p>
                              <w:pPr>
                                <w:pStyle w:val="10"/>
                                <w:jc w:val="center"/>
                              </w:pPr>
                              <w:r>
                                <w:fldChar w:fldCharType="begin"/>
                              </w:r>
                              <w:r>
                                <w:instrText xml:space="preserve">PAGE   \* MERGEFORMAT</w:instrText>
                              </w:r>
                              <w:r>
                                <w:fldChar w:fldCharType="separate"/>
                              </w:r>
                              <w:r>
                                <w:rPr>
                                  <w:lang w:val="zh-CN"/>
                                </w:rPr>
                                <w:t>15</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47472001"/>
                    </w:sdtPr>
                    <w:sdtContent>
                      <w:p>
                        <w:pPr>
                          <w:pStyle w:val="10"/>
                          <w:jc w:val="center"/>
                        </w:pPr>
                        <w:r>
                          <w:fldChar w:fldCharType="begin"/>
                        </w:r>
                        <w:r>
                          <w:instrText xml:space="preserve">PAGE   \* MERGEFORMAT</w:instrText>
                        </w:r>
                        <w:r>
                          <w:fldChar w:fldCharType="separate"/>
                        </w:r>
                        <w:r>
                          <w:rPr>
                            <w:lang w:val="zh-CN"/>
                          </w:rPr>
                          <w:t>15</w:t>
                        </w:r>
                        <w:r>
                          <w:fldChar w:fldCharType="end"/>
                        </w:r>
                      </w:p>
                    </w:sdtContent>
                  </w:sdt>
                  <w:p>
                    <w:pPr>
                      <w:pStyle w:val="2"/>
                    </w:pP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hMTZjMWZmNWJhYmRlZmZhOWYzOGZhZjAwYjAzMj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7144A43"/>
    <w:rsid w:val="081B5E94"/>
    <w:rsid w:val="093E4099"/>
    <w:rsid w:val="0A2032A3"/>
    <w:rsid w:val="0B8A37D8"/>
    <w:rsid w:val="0F5FFB2F"/>
    <w:rsid w:val="0FFFCF60"/>
    <w:rsid w:val="10C055FF"/>
    <w:rsid w:val="118107EC"/>
    <w:rsid w:val="11DD6519"/>
    <w:rsid w:val="13C41980"/>
    <w:rsid w:val="15445A1E"/>
    <w:rsid w:val="16BB723D"/>
    <w:rsid w:val="18015F3F"/>
    <w:rsid w:val="1BE8440E"/>
    <w:rsid w:val="1D155CEE"/>
    <w:rsid w:val="1EE271FB"/>
    <w:rsid w:val="1FDBBF84"/>
    <w:rsid w:val="20F57F95"/>
    <w:rsid w:val="23827D58"/>
    <w:rsid w:val="240371BF"/>
    <w:rsid w:val="25711CC6"/>
    <w:rsid w:val="25C741E6"/>
    <w:rsid w:val="276F80C0"/>
    <w:rsid w:val="27842671"/>
    <w:rsid w:val="29FD04D3"/>
    <w:rsid w:val="2ABE7A3E"/>
    <w:rsid w:val="2AFF09B6"/>
    <w:rsid w:val="2CA234A8"/>
    <w:rsid w:val="2EFA178C"/>
    <w:rsid w:val="2EFDF86C"/>
    <w:rsid w:val="2F9D17E1"/>
    <w:rsid w:val="30B46D73"/>
    <w:rsid w:val="319F7F4E"/>
    <w:rsid w:val="356A28F1"/>
    <w:rsid w:val="357C035A"/>
    <w:rsid w:val="368E000D"/>
    <w:rsid w:val="383D272C"/>
    <w:rsid w:val="39AE70AB"/>
    <w:rsid w:val="3A4DCE41"/>
    <w:rsid w:val="3BCB56FA"/>
    <w:rsid w:val="3C0C0783"/>
    <w:rsid w:val="3EE7C2F4"/>
    <w:rsid w:val="3F371B56"/>
    <w:rsid w:val="3F792ED8"/>
    <w:rsid w:val="3F9F3A96"/>
    <w:rsid w:val="3FECA4B2"/>
    <w:rsid w:val="3FF58C48"/>
    <w:rsid w:val="42FF6694"/>
    <w:rsid w:val="48BF60AB"/>
    <w:rsid w:val="493C27E9"/>
    <w:rsid w:val="496F39ED"/>
    <w:rsid w:val="49FF41D3"/>
    <w:rsid w:val="4BE068DB"/>
    <w:rsid w:val="4BF6002B"/>
    <w:rsid w:val="4BFFC6BE"/>
    <w:rsid w:val="4DD30211"/>
    <w:rsid w:val="4ECE2238"/>
    <w:rsid w:val="4F9F48BB"/>
    <w:rsid w:val="51DB4B86"/>
    <w:rsid w:val="51F64DB0"/>
    <w:rsid w:val="55333C3E"/>
    <w:rsid w:val="5F67802D"/>
    <w:rsid w:val="5F7DC4F2"/>
    <w:rsid w:val="5FB36814"/>
    <w:rsid w:val="5FBB8E56"/>
    <w:rsid w:val="5FFB5535"/>
    <w:rsid w:val="64CA39A1"/>
    <w:rsid w:val="66172573"/>
    <w:rsid w:val="69630ADE"/>
    <w:rsid w:val="69BD5F13"/>
    <w:rsid w:val="69FB0B4B"/>
    <w:rsid w:val="6BFFE1FB"/>
    <w:rsid w:val="6C4A05C8"/>
    <w:rsid w:val="6D3B1A89"/>
    <w:rsid w:val="6DB7D8A3"/>
    <w:rsid w:val="6EC78701"/>
    <w:rsid w:val="6F7A5481"/>
    <w:rsid w:val="6FFE07A9"/>
    <w:rsid w:val="712E4649"/>
    <w:rsid w:val="71BF4EC2"/>
    <w:rsid w:val="72734D90"/>
    <w:rsid w:val="73E75B71"/>
    <w:rsid w:val="74004A04"/>
    <w:rsid w:val="7412278C"/>
    <w:rsid w:val="75DDCDA9"/>
    <w:rsid w:val="75FF44B1"/>
    <w:rsid w:val="77633872"/>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6">
    <w:name w:val="Body Text"/>
    <w:basedOn w:val="1"/>
    <w:link w:val="24"/>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0"/>
    <w:semiHidden/>
    <w:unhideWhenUsed/>
    <w:qFormat/>
    <w:uiPriority w:val="99"/>
    <w:rPr>
      <w:sz w:val="18"/>
      <w:szCs w:val="18"/>
    </w:rPr>
  </w:style>
  <w:style w:type="paragraph" w:styleId="10">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Body Text First Indent 2"/>
    <w:basedOn w:val="7"/>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Header Char"/>
    <w:basedOn w:val="16"/>
    <w:semiHidden/>
    <w:qFormat/>
    <w:uiPriority w:val="99"/>
    <w:rPr>
      <w:rFonts w:ascii="Times New Roman" w:hAnsi="Times New Roman"/>
      <w:sz w:val="18"/>
      <w:szCs w:val="18"/>
    </w:rPr>
  </w:style>
  <w:style w:type="character" w:customStyle="1" w:styleId="20">
    <w:name w:val="页眉 字符"/>
    <w:link w:val="11"/>
    <w:semiHidden/>
    <w:qFormat/>
    <w:locked/>
    <w:uiPriority w:val="99"/>
    <w:rPr>
      <w:sz w:val="18"/>
    </w:rPr>
  </w:style>
  <w:style w:type="character" w:customStyle="1" w:styleId="21">
    <w:name w:val="Footer Char"/>
    <w:basedOn w:val="16"/>
    <w:semiHidden/>
    <w:qFormat/>
    <w:uiPriority w:val="99"/>
    <w:rPr>
      <w:rFonts w:ascii="Times New Roman" w:hAnsi="Times New Roman"/>
      <w:sz w:val="18"/>
      <w:szCs w:val="18"/>
    </w:rPr>
  </w:style>
  <w:style w:type="character" w:customStyle="1" w:styleId="22">
    <w:name w:val="页脚 字符"/>
    <w:link w:val="10"/>
    <w:qFormat/>
    <w:locked/>
    <w:uiPriority w:val="99"/>
    <w:rPr>
      <w:sz w:val="18"/>
    </w:rPr>
  </w:style>
  <w:style w:type="character" w:customStyle="1" w:styleId="23">
    <w:name w:val="Body Text Char"/>
    <w:basedOn w:val="16"/>
    <w:semiHidden/>
    <w:qFormat/>
    <w:uiPriority w:val="99"/>
    <w:rPr>
      <w:rFonts w:ascii="Times New Roman" w:hAnsi="Times New Roman"/>
      <w:szCs w:val="24"/>
    </w:rPr>
  </w:style>
  <w:style w:type="character" w:customStyle="1" w:styleId="24">
    <w:name w:val="正文文本 字符"/>
    <w:link w:val="6"/>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character" w:customStyle="1" w:styleId="27">
    <w:name w:val="标题 1 字符"/>
    <w:basedOn w:val="16"/>
    <w:link w:val="3"/>
    <w:qFormat/>
    <w:uiPriority w:val="9"/>
    <w:rPr>
      <w:rFonts w:ascii="Times New Roman" w:hAnsi="Times New Roman"/>
      <w:b/>
      <w:bCs/>
      <w:kern w:val="44"/>
      <w:sz w:val="44"/>
      <w:szCs w:val="44"/>
    </w:rPr>
  </w:style>
  <w:style w:type="character" w:customStyle="1" w:styleId="28">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字符"/>
    <w:basedOn w:val="16"/>
    <w:link w:val="9"/>
    <w:semiHidden/>
    <w:qFormat/>
    <w:uiPriority w:val="99"/>
    <w:rPr>
      <w:rFonts w:ascii="Times New Roman" w:hAnsi="Times New Roman"/>
      <w:kern w:val="2"/>
      <w:sz w:val="18"/>
      <w:szCs w:val="18"/>
    </w:rPr>
  </w:style>
  <w:style w:type="character" w:customStyle="1" w:styleId="31">
    <w:name w:val="标题 3 字符"/>
    <w:basedOn w:val="16"/>
    <w:link w:val="5"/>
    <w:qFormat/>
    <w:uiPriority w:val="9"/>
    <w:rPr>
      <w:rFonts w:ascii="Times New Roman" w:hAnsi="Times New Roman"/>
      <w:b/>
      <w:bCs/>
      <w:kern w:val="2"/>
      <w:sz w:val="32"/>
      <w:szCs w:val="32"/>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3">
    <w:name w:val="WPSOffice手动目录 1"/>
    <w:qFormat/>
    <w:uiPriority w:val="0"/>
    <w:pPr>
      <w:ind w:leftChars="0"/>
    </w:pPr>
    <w:rPr>
      <w:rFonts w:ascii="Times New Roman" w:hAnsi="Times New Roman" w:eastAsia="宋体" w:cs="Times New Roman"/>
      <w:sz w:val="20"/>
      <w:szCs w:val="20"/>
    </w:rPr>
  </w:style>
  <w:style w:type="paragraph" w:customStyle="1" w:styleId="34">
    <w:name w:val="WPSOffice手动目录 2"/>
    <w:qFormat/>
    <w:uiPriority w:val="0"/>
    <w:pPr>
      <w:ind w:leftChars="200"/>
    </w:pPr>
    <w:rPr>
      <w:rFonts w:ascii="Times New Roman" w:hAnsi="Times New Roman" w:eastAsia="宋体" w:cs="Times New Roman"/>
      <w:sz w:val="20"/>
      <w:szCs w:val="20"/>
    </w:rPr>
  </w:style>
  <w:style w:type="paragraph" w:customStyle="1" w:styleId="35">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200" b="1" i="0" u="none" strike="noStrike" kern="1200" baseline="0">
                <a:solidFill>
                  <a:schemeClr val="tx1">
                    <a:lumMod val="75000"/>
                    <a:lumOff val="25000"/>
                  </a:schemeClr>
                </a:solidFill>
                <a:latin typeface="+mn-lt"/>
                <a:ea typeface="+mn-ea"/>
                <a:cs typeface="+mn-cs"/>
              </a:defRPr>
            </a:pPr>
            <a:r>
              <a:rPr sz="1200"/>
              <a:t>收支决算总计变动图</a:t>
            </a:r>
            <a:r>
              <a:rPr sz="750"/>
              <a:t>（单位：万元）</a:t>
            </a:r>
            <a:endParaRPr sz="75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2022</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General</c:formatCode>
                <c:ptCount val="2"/>
                <c:pt idx="0">
                  <c:v>440.36</c:v>
                </c:pt>
                <c:pt idx="1">
                  <c:v>440.36</c:v>
                </c:pt>
              </c:numCache>
            </c:numRef>
          </c:val>
        </c:ser>
        <c:ser>
          <c:idx val="1"/>
          <c:order val="1"/>
          <c:tx>
            <c:strRef>
              <c:f>Sheet1!$C$1</c:f>
              <c:strCache>
                <c:ptCount val="1"/>
                <c:pt idx="0">
                  <c:v>2023</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460.14</c:v>
                </c:pt>
                <c:pt idx="1">
                  <c:v>458.49</c:v>
                </c:pt>
              </c:numCache>
            </c:numRef>
          </c:val>
        </c:ser>
        <c:dLbls>
          <c:showLegendKey val="0"/>
          <c:showVal val="1"/>
          <c:showCatName val="0"/>
          <c:showSerName val="0"/>
          <c:showPercent val="0"/>
          <c:showBubbleSize val="0"/>
        </c:dLbls>
        <c:gapWidth val="246"/>
        <c:overlap val="-28"/>
        <c:axId val="37286844"/>
        <c:axId val="556116903"/>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delete val="1"/>
                </c:dLbls>
                <c:cat>
                  <c:strRef>
                    <c:extLst>
                      <c:ext uri="{02D57815-91ED-43cb-92C2-25804820EDAC}">
                        <c15:fullRef>
                          <c15:sqref/>
                        </c15:fullRef>
                        <c15:formulaRef>
                          <c15:sqref>Sheet1!$A$2:$A$3</c15:sqref>
                        </c15:formulaRef>
                      </c:ext>
                    </c:extLst>
                    <c:strCache>
                      <c:ptCount val="2"/>
                      <c:pt idx="0">
                        <c:v>收入</c:v>
                      </c:pt>
                      <c:pt idx="1">
                        <c:v>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3728684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556116903"/>
        <c:crosses val="autoZero"/>
        <c:auto val="1"/>
        <c:lblAlgn val="ctr"/>
        <c:lblOffset val="100"/>
        <c:noMultiLvlLbl val="0"/>
      </c:catAx>
      <c:valAx>
        <c:axId val="556116903"/>
        <c:scaling>
          <c:orientation val="minMax"/>
        </c:scaling>
        <c:delete val="0"/>
        <c:axPos val="l"/>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3728684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2"/>
    </a:solidFill>
    <a:ln w="9525" cap="flat" cmpd="sng" algn="ctr">
      <a:noFill/>
      <a:round/>
    </a:ln>
    <a:effectLst/>
  </c:spPr>
  <c:txPr>
    <a:bodyPr/>
    <a:lstStyle/>
    <a:p>
      <a:pPr>
        <a:defRPr lang="zh-CN" sz="1000"/>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a:t>
            </a:r>
          </a:p>
        </c:rich>
      </c:tx>
      <c:layout>
        <c:manualLayout>
          <c:xMode val="edge"/>
          <c:yMode val="edge"/>
          <c:x val="0.370379318676009"/>
          <c:y val="0.0191245218869528"/>
        </c:manualLayout>
      </c:layout>
      <c:overlay val="0"/>
      <c:spPr>
        <a:noFill/>
        <a:ln>
          <a:noFill/>
        </a:ln>
        <a:effectLst/>
      </c:spPr>
    </c:title>
    <c:autoTitleDeleted val="0"/>
    <c:plotArea>
      <c:layout/>
      <c:pieChart>
        <c:varyColors val="1"/>
        <c:ser>
          <c:idx val="0"/>
          <c:order val="0"/>
          <c:tx>
            <c:strRef>
              <c:f>Sheet1!$B$1</c:f>
              <c:strCache>
                <c:ptCount val="1"/>
                <c:pt idx="0">
                  <c:v>收入情况占比图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其他收入</c:v>
                </c:pt>
              </c:strCache>
            </c:strRef>
          </c:cat>
          <c:val>
            <c:numRef>
              <c:f>Sheet1!$B$2:$B$3</c:f>
              <c:numCache>
                <c:formatCode>0.00%</c:formatCode>
                <c:ptCount val="2"/>
                <c:pt idx="0">
                  <c:v>0.9805</c:v>
                </c:pt>
                <c:pt idx="1">
                  <c:v>0.0195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2"/>
    </a:solidFill>
    <a:ln w="9525" cap="flat" cmpd="sng" algn="ctr">
      <a:no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0.4612</c:v>
                </c:pt>
                <c:pt idx="1">
                  <c:v>0.5387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2"/>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200" b="1" i="0" u="none" strike="noStrike" kern="1200" baseline="0">
                <a:solidFill>
                  <a:schemeClr val="tx1">
                    <a:lumMod val="75000"/>
                    <a:lumOff val="25000"/>
                  </a:schemeClr>
                </a:solidFill>
                <a:latin typeface="+mn-lt"/>
                <a:ea typeface="+mn-ea"/>
                <a:cs typeface="+mn-cs"/>
              </a:defRPr>
            </a:pPr>
            <a:r>
              <a:rPr sz="1200"/>
              <a:t>财政拨款收、支决算总计变动情况图</a:t>
            </a:r>
            <a:r>
              <a:rPr sz="900"/>
              <a:t>（单位：万元）</a:t>
            </a:r>
            <a:endParaRPr sz="900"/>
          </a:p>
        </c:rich>
      </c:tx>
      <c:layout/>
      <c:overlay val="0"/>
      <c:spPr>
        <a:noFill/>
        <a:ln>
          <a:noFill/>
        </a:ln>
        <a:effectLst/>
      </c:spPr>
    </c:title>
    <c:autoTitleDeleted val="0"/>
    <c:plotArea>
      <c:layout>
        <c:manualLayout>
          <c:layoutTarget val="inner"/>
          <c:xMode val="edge"/>
          <c:yMode val="edge"/>
          <c:x val="0.0727228799226866"/>
          <c:y val="0.154740287336972"/>
          <c:w val="0.902512684223242"/>
          <c:h val="0.631959201019974"/>
        </c:manualLayout>
      </c:layout>
      <c:barChart>
        <c:barDir val="col"/>
        <c:grouping val="clustered"/>
        <c:varyColors val="0"/>
        <c:ser>
          <c:idx val="0"/>
          <c:order val="0"/>
          <c:tx>
            <c:strRef>
              <c:f>Sheet1!$B$1</c:f>
              <c:strCache>
                <c:ptCount val="1"/>
                <c:pt idx="0">
                  <c:v>2022</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General</c:formatCode>
                <c:ptCount val="2"/>
                <c:pt idx="0">
                  <c:v>440.36</c:v>
                </c:pt>
                <c:pt idx="1">
                  <c:v>440.36</c:v>
                </c:pt>
              </c:numCache>
            </c:numRef>
          </c:val>
        </c:ser>
        <c:ser>
          <c:idx val="1"/>
          <c:order val="1"/>
          <c:tx>
            <c:strRef>
              <c:f>Sheet1!$C$1</c:f>
              <c:strCache>
                <c:ptCount val="1"/>
                <c:pt idx="0">
                  <c:v>2023</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General</c:formatCode>
                <c:ptCount val="2"/>
                <c:pt idx="0">
                  <c:v>451.13</c:v>
                </c:pt>
                <c:pt idx="1">
                  <c:v>451.13</c:v>
                </c:pt>
              </c:numCache>
            </c:numRef>
          </c:val>
        </c:ser>
        <c:dLbls>
          <c:showLegendKey val="0"/>
          <c:showVal val="1"/>
          <c:showCatName val="0"/>
          <c:showSerName val="0"/>
          <c:showPercent val="0"/>
          <c:showBubbleSize val="0"/>
        </c:dLbls>
        <c:gapWidth val="246"/>
        <c:overlap val="-28"/>
        <c:axId val="589457536"/>
        <c:axId val="278020800"/>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delete val="1"/>
                </c:dLbls>
                <c:cat>
                  <c:strRef>
                    <c:extLst>
                      <c:ext uri="{02D57815-91ED-43cb-92C2-25804820EDAC}">
                        <c15:fullRef>
                          <c15:sqref/>
                        </c15:fullRef>
                        <c15:formulaRef>
                          <c15:sqref>Sheet1!$A$2:$A$3</c15:sqref>
                        </c15:formulaRef>
                      </c:ext>
                    </c:extLst>
                    <c:strCache>
                      <c:ptCount val="2"/>
                      <c:pt idx="0">
                        <c:v>财政拨款收入</c:v>
                      </c:pt>
                      <c:pt idx="1">
                        <c:v>财政拨款支出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58945753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278020800"/>
        <c:crosses val="autoZero"/>
        <c:auto val="1"/>
        <c:lblAlgn val="ctr"/>
        <c:lblOffset val="100"/>
        <c:noMultiLvlLbl val="0"/>
      </c:catAx>
      <c:valAx>
        <c:axId val="278020800"/>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589457536"/>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420995409519208"/>
          <c:y val="0.904495504495505"/>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2"/>
    </a:solidFill>
    <a:ln w="9525" cap="flat" cmpd="sng" algn="ctr">
      <a:solidFill>
        <a:schemeClr val="tx1">
          <a:lumMod val="15000"/>
          <a:lumOff val="85000"/>
        </a:schemeClr>
      </a:solidFill>
      <a:round/>
    </a:ln>
    <a:effectLst/>
  </c:spPr>
  <c:txPr>
    <a:bodyPr/>
    <a:lstStyle/>
    <a:p>
      <a:pPr>
        <a:defRPr lang="zh-CN" sz="1000"/>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一般公共预算财政拨款支出决算变动情况表</a:t>
            </a:r>
            <a:r>
              <a:rPr sz="800"/>
              <a:t>（单位：万元）</a:t>
            </a:r>
            <a:endParaRPr sz="800"/>
          </a:p>
        </c:rich>
      </c:tx>
      <c:layout>
        <c:manualLayout>
          <c:xMode val="edge"/>
          <c:yMode val="edge"/>
          <c:x val="0.0898767818313602"/>
          <c:y val="0.02549936251593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2022年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c:formatCode>
                <c:ptCount val="1"/>
                <c:pt idx="0">
                  <c:v>440.36</c:v>
                </c:pt>
              </c:numCache>
            </c:numRef>
          </c:val>
        </c:ser>
        <c:ser>
          <c:idx val="1"/>
          <c:order val="1"/>
          <c:tx>
            <c:strRef>
              <c:f>Sheet1!$C$1</c:f>
              <c:strCache>
                <c:ptCount val="1"/>
                <c:pt idx="0">
                  <c:v>2023年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451.13</c:v>
                </c:pt>
              </c:numCache>
            </c:numRef>
          </c:val>
        </c:ser>
        <c:dLbls>
          <c:showLegendKey val="0"/>
          <c:showVal val="0"/>
          <c:showCatName val="0"/>
          <c:showSerName val="0"/>
          <c:showPercent val="0"/>
          <c:showBubbleSize val="0"/>
        </c:dLbls>
        <c:gapWidth val="246"/>
        <c:overlap val="-28"/>
        <c:axId val="131764593"/>
        <c:axId val="217707104"/>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delete val="1"/>
                </c:dLbls>
                <c:cat>
                  <c:strRef>
                    <c:extLst>
                      <c:ext uri="{02D57815-91ED-43cb-92C2-25804820EDAC}">
                        <c15:fullRef>
                          <c15:sqref/>
                        </c15:fullRef>
                        <c15:formulaRef>
                          <c15:sqref>Sheet1!$A$2</c15:sqref>
                        </c15:formulaRef>
                      </c:ext>
                    </c:extLst>
                    <c:strCache>
                      <c:ptCount val="1"/>
                      <c:pt idx="0">
                        <c:v>一般公共预算财政拨款支出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13176459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7707104"/>
        <c:crosses val="autoZero"/>
        <c:auto val="1"/>
        <c:lblAlgn val="ctr"/>
        <c:lblOffset val="100"/>
        <c:noMultiLvlLbl val="0"/>
      </c:catAx>
      <c:valAx>
        <c:axId val="217707104"/>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176459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2"/>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solidFill>
          <a:schemeClr val="bg2"/>
        </a:solid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2"/>
              <c:layout>
                <c:manualLayout>
                  <c:x val="-0.0328433179929801"/>
                  <c:y val="-0.011058549617308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682654936029297"/>
                  <c:y val="0.011299550431240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0.00%</c:formatCode>
                <c:ptCount val="4"/>
                <c:pt idx="0">
                  <c:v>0.8753</c:v>
                </c:pt>
                <c:pt idx="1">
                  <c:v>0.0846</c:v>
                </c:pt>
                <c:pt idx="2">
                  <c:v>0.0138</c:v>
                </c:pt>
                <c:pt idx="3">
                  <c:v>0.0263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2"/>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delete val="1"/>
            </c:dLbl>
            <c:dLbl>
              <c:idx val="1"/>
              <c:delete val="1"/>
            </c:dLbl>
            <c:dLbl>
              <c:idx val="2"/>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公务用车购置及运行维护费</c:v>
                </c:pt>
                <c:pt idx="2">
                  <c:v>公务接待费支出</c:v>
                </c:pt>
              </c:strCache>
            </c:strRef>
          </c:cat>
          <c:val>
            <c:numRef>
              <c:f>Sheet1!$B$2:$B$4</c:f>
              <c:numCache>
                <c:formatCode>General</c:formatCode>
                <c:ptCount val="3"/>
                <c:pt idx="0">
                  <c:v>0</c:v>
                </c:pt>
                <c:pt idx="1">
                  <c:v>0</c:v>
                </c:pt>
                <c:pt idx="2" c:formatCode="0%">
                  <c:v>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2"/>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30</Pages>
  <Words>10779</Words>
  <Characters>12071</Characters>
  <Lines>54</Lines>
  <Paragraphs>15</Paragraphs>
  <TotalTime>1</TotalTime>
  <ScaleCrop>false</ScaleCrop>
  <LinksUpToDate>false</LinksUpToDate>
  <CharactersWithSpaces>12188</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Administrator</cp:lastModifiedBy>
  <cp:lastPrinted>2023-08-03T02:35:00Z</cp:lastPrinted>
  <dcterms:modified xsi:type="dcterms:W3CDTF">2024-10-23T03:55:51Z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2052-12.8.2.15292</vt:lpwstr>
  </property>
  <property fmtid="{D5CDD505-2E9C-101B-9397-08002B2CF9AE}" pid="3" name="ICV">
    <vt:lpwstr>E20F10DDC20A47CEAA53D161BC905DA5_12</vt:lpwstr>
  </property>
</Properties>
</file>