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9"/>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pacing w:val="-20"/>
          <w:sz w:val="72"/>
          <w:szCs w:val="72"/>
        </w:rPr>
      </w:pPr>
      <w:bookmarkStart w:id="1" w:name="_Toc15377193"/>
      <w:bookmarkStart w:id="2" w:name="_Toc10125"/>
      <w:bookmarkStart w:id="3" w:name="_Toc15377425"/>
      <w:bookmarkStart w:id="4" w:name="_Toc15378441"/>
      <w:bookmarkStart w:id="5" w:name="_Toc15396475"/>
      <w:bookmarkStart w:id="6" w:name="_Toc15396597"/>
      <w:r>
        <w:rPr>
          <w:rFonts w:hint="eastAsia" w:ascii="方正小标宋简体" w:hAnsi="方正小标宋简体" w:eastAsia="方正小标宋简体" w:cs="方正小标宋简体"/>
          <w:spacing w:val="-20"/>
          <w:sz w:val="72"/>
          <w:szCs w:val="72"/>
        </w:rPr>
        <w:t>2023年度</w:t>
      </w:r>
      <w:bookmarkEnd w:id="1"/>
      <w:bookmarkEnd w:id="2"/>
      <w:bookmarkEnd w:id="3"/>
      <w:bookmarkEnd w:id="4"/>
      <w:bookmarkEnd w:id="5"/>
      <w:bookmarkEnd w:id="6"/>
    </w:p>
    <w:bookmarkEnd w:id="0"/>
    <w:p>
      <w:pPr>
        <w:adjustRightInd w:val="0"/>
        <w:snapToGrid w:val="0"/>
        <w:spacing w:line="360" w:lineRule="auto"/>
        <w:jc w:val="center"/>
        <w:outlineLvl w:val="0"/>
        <w:rPr>
          <w:rFonts w:ascii="方正小标宋简体" w:hAnsi="方正小标宋简体" w:eastAsia="方正小标宋简体" w:cs="方正小标宋简体"/>
          <w:spacing w:val="-20"/>
          <w:sz w:val="72"/>
          <w:szCs w:val="72"/>
        </w:rPr>
      </w:pPr>
      <w:bookmarkStart w:id="7" w:name="_Toc15378442"/>
      <w:bookmarkStart w:id="8" w:name="_Toc15377194"/>
      <w:bookmarkStart w:id="9" w:name="_Toc15396598"/>
      <w:bookmarkStart w:id="10" w:name="_Toc18218"/>
      <w:bookmarkStart w:id="11" w:name="_Toc15396476"/>
      <w:bookmarkStart w:id="12" w:name="_Toc15377426"/>
      <w:bookmarkStart w:id="13" w:name="_Toc15306268"/>
      <w:r>
        <w:rPr>
          <w:rFonts w:hint="eastAsia" w:ascii="方正小标宋简体" w:hAnsi="方正小标宋简体" w:eastAsia="方正小标宋简体" w:cs="方正小标宋简体"/>
          <w:spacing w:val="-20"/>
          <w:sz w:val="72"/>
          <w:szCs w:val="72"/>
        </w:rPr>
        <w:t>五通桥区体育中心单位决算</w:t>
      </w:r>
      <w:bookmarkEnd w:id="7"/>
      <w:bookmarkEnd w:id="8"/>
      <w:bookmarkEnd w:id="9"/>
      <w:bookmarkEnd w:id="10"/>
      <w:bookmarkEnd w:id="11"/>
      <w:bookmarkEnd w:id="12"/>
      <w:bookmarkEnd w:id="13"/>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4"/>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sdt>
      <w:sdtPr>
        <w:rPr>
          <w:rFonts w:ascii="宋体" w:hAnsi="宋体" w:eastAsia="宋体" w:cs="Times New Roman"/>
          <w:b w:val="0"/>
          <w:bCs w:val="0"/>
          <w:kern w:val="2"/>
          <w:sz w:val="21"/>
          <w:szCs w:val="24"/>
          <w:lang w:val="en-US" w:eastAsia="zh-CN" w:bidi="ar-SA"/>
        </w:rPr>
        <w:id w:val="147465328"/>
        <w15:color w:val="DBDBDB"/>
        <w:docPartObj>
          <w:docPartGallery w:val="Table of Contents"/>
          <w:docPartUnique/>
        </w:docPartObj>
      </w:sdtPr>
      <w:sdtEndPr>
        <w:rPr>
          <w:rFonts w:ascii="Times New Roman" w:hAnsi="Times New Roman" w:eastAsia="宋体" w:cs="Times New Roman"/>
          <w:b/>
          <w:bCs w:val="0"/>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val="0"/>
              <w:bCs w:val="0"/>
            </w:rPr>
          </w:pPr>
          <w:r>
            <w:rPr>
              <w:b w:val="0"/>
              <w:bCs w:val="0"/>
              <w:sz w:val="24"/>
            </w:rPr>
            <w:fldChar w:fldCharType="begin"/>
          </w:r>
          <w:r>
            <w:rPr>
              <w:b w:val="0"/>
              <w:bCs w:val="0"/>
              <w:sz w:val="24"/>
            </w:rPr>
            <w:instrText xml:space="preserve">TOC \o "1-2" \h \u </w:instrText>
          </w:r>
          <w:r>
            <w:rPr>
              <w:b w:val="0"/>
              <w:bCs w:val="0"/>
              <w:sz w:val="24"/>
            </w:rPr>
            <w:fldChar w:fldCharType="separate"/>
          </w:r>
        </w:p>
        <w:p>
          <w:pPr>
            <w:pStyle w:val="35"/>
            <w:tabs>
              <w:tab w:val="right" w:leader="dot" w:pos="8306"/>
            </w:tabs>
            <w:rPr>
              <w:b w:val="0"/>
              <w:bCs w:val="0"/>
            </w:rPr>
          </w:pPr>
          <w:r>
            <w:rPr>
              <w:b w:val="0"/>
              <w:bCs w:val="0"/>
            </w:rPr>
            <w:fldChar w:fldCharType="begin"/>
          </w:r>
          <w:r>
            <w:rPr>
              <w:b w:val="0"/>
              <w:bCs w:val="0"/>
            </w:rPr>
            <w:instrText xml:space="preserve"> HYPERLINK \l _Toc3704 </w:instrText>
          </w:r>
          <w:r>
            <w:rPr>
              <w:b w:val="0"/>
              <w:bCs w:val="0"/>
            </w:rPr>
            <w:fldChar w:fldCharType="separate"/>
          </w:r>
          <w:r>
            <w:rPr>
              <w:rFonts w:hint="eastAsia" w:ascii="仿宋" w:hAnsi="仿宋" w:eastAsia="仿宋" w:cs="仿宋"/>
              <w:b w:val="0"/>
              <w:bCs w:val="0"/>
              <w:sz w:val="24"/>
              <w:szCs w:val="24"/>
            </w:rPr>
            <w:t>第一部分 单位概况</w:t>
          </w:r>
          <w:r>
            <w:rPr>
              <w:rFonts w:hint="eastAsia" w:ascii="仿宋" w:hAnsi="仿宋" w:eastAsia="仿宋" w:cs="仿宋"/>
              <w:b w:val="0"/>
              <w:bCs w:val="0"/>
              <w:sz w:val="24"/>
              <w:szCs w:val="24"/>
            </w:rPr>
            <w:tab/>
          </w:r>
          <w:r>
            <w:rPr>
              <w:b w:val="0"/>
              <w:bCs w:val="0"/>
            </w:rPr>
            <w:fldChar w:fldCharType="begin"/>
          </w:r>
          <w:r>
            <w:rPr>
              <w:b w:val="0"/>
              <w:bCs w:val="0"/>
            </w:rPr>
            <w:instrText xml:space="preserve"> PAGEREF _Toc3704 \h </w:instrText>
          </w:r>
          <w:r>
            <w:rPr>
              <w:b w:val="0"/>
              <w:bCs w:val="0"/>
            </w:rPr>
            <w:fldChar w:fldCharType="separate"/>
          </w:r>
          <w:r>
            <w:rPr>
              <w:b w:val="0"/>
              <w:bCs w:val="0"/>
            </w:rPr>
            <w:t>3</w:t>
          </w:r>
          <w:r>
            <w:rPr>
              <w:b w:val="0"/>
              <w:bCs w:val="0"/>
            </w:rPr>
            <w:fldChar w:fldCharType="end"/>
          </w:r>
          <w:r>
            <w:rPr>
              <w:b w:val="0"/>
              <w:bCs w:val="0"/>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_Toc14031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一、主要职责</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_Toc14031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3</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b w:val="0"/>
              <w:bCs w:val="0"/>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_Toc12532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二、机构设置</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_Toc12532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3</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5"/>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_Toc24381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第二部分 2023年度单位决算情况说明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_Toc24381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_Toc23464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一、收入支出决算总体情况说明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_Toc23464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4</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_Toc30787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二、收入决算情况说明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_Toc30787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4</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_Toc13770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三、支出决算情况说明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_Toc13770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5</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_Toc24467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四、财政拨款收入支出决算总体情况说明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_Toc24467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5</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_Toc21907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五、一般公共预算财政拨款支出决算情况说明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_Toc21907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_Toc24853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六、一般公共预算财政拨款基本支出决算情况说明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_Toc24853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8</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_Toc18300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七、财政拨款“三公”经费支出决算情况说明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_Toc18300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8</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_Toc7982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八、政府性基金预算支出决算情况说明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_Toc7982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10</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_Toc18005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九、国有资本经营预算支出决算情况说明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_Toc18005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10</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b w:val="0"/>
              <w:bCs w:val="0"/>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_Toc6495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十、其他重要事项的情况说明</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_Toc6495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10</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5"/>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_Toc3380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第三部分 名词解释</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_Toc3380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5"/>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_Toc22409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第四部分 附件</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_Toc22409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15</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5"/>
            <w:tabs>
              <w:tab w:val="right" w:leader="dot" w:pos="8306"/>
            </w:tabs>
            <w:rPr>
              <w:b w:val="0"/>
              <w:bCs w:val="0"/>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_Toc15756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第</w:t>
          </w:r>
          <w:r>
            <w:rPr>
              <w:rFonts w:hint="eastAsia" w:ascii="仿宋" w:hAnsi="仿宋" w:eastAsia="仿宋" w:cs="仿宋"/>
              <w:b w:val="0"/>
              <w:bCs w:val="0"/>
              <w:sz w:val="24"/>
              <w:szCs w:val="24"/>
              <w:lang w:val="en-US" w:eastAsia="zh-CN"/>
            </w:rPr>
            <w:t>五</w:t>
          </w:r>
          <w:r>
            <w:rPr>
              <w:rFonts w:hint="eastAsia" w:ascii="仿宋" w:hAnsi="仿宋" w:eastAsia="仿宋" w:cs="仿宋"/>
              <w:b w:val="0"/>
              <w:bCs w:val="0"/>
              <w:sz w:val="24"/>
              <w:szCs w:val="24"/>
            </w:rPr>
            <w:t>部分 附表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_Toc15756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16</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_Toc9881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一、收入支出决算总表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_Toc9881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_Toc29395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二、收入决算表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_Toc29395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_Toc3317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三、支出决算表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_Toc3317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_Toc17234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四、财政拨款收入支出决算总表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_Toc17234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_Toc20061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五、财政拨款支出决算明细表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_Toc20061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_Toc11652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六、一般公共预算财政拨款支出决算表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_Toc11652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_Toc12072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七、一般公共预算财政拨款支出决算明细表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_Toc12072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_Toc11550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八、一般公共预算财政拨款基本支出决算表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_Toc11550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_Toc18953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九、一般公共预算财政拨款项目支出决算表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_Toc18953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_Toc4243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十、政府性基金预算财政拨款收入支出决算表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_Toc4243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_Toc5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十一、国有资本经营预算财政拨款收入支出决算表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_Toc5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_Toc22441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十二、国有资本经营预算财政拨款支出决算表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_Toc22441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36"/>
            <w:tabs>
              <w:tab w:val="right" w:leader="dot" w:pos="8306"/>
            </w:tabs>
            <w:rPr>
              <w:b w:val="0"/>
              <w:bCs w:val="0"/>
            </w:rPr>
          </w:pP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\l _Toc20801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十三、财政拨款“三公”经费支出决算表</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_Toc20801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16</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fldChar w:fldCharType="end"/>
          </w:r>
        </w:p>
        <w:p>
          <w:pPr>
            <w:pStyle w:val="15"/>
            <w:adjustRightInd w:val="0"/>
            <w:snapToGrid w:val="0"/>
            <w:spacing w:line="440" w:lineRule="exact"/>
            <w:jc w:val="left"/>
            <w:rPr>
              <w:sz w:val="24"/>
            </w:rPr>
          </w:pPr>
          <w:r>
            <w:rPr>
              <w:b w:val="0"/>
              <w:bCs w:val="0"/>
            </w:rPr>
            <w:fldChar w:fldCharType="end"/>
          </w:r>
        </w:p>
      </w:sdtContent>
    </w:sdt>
    <w:p>
      <w:pPr>
        <w:widowControl/>
        <w:spacing w:line="440" w:lineRule="exact"/>
        <w:jc w:val="left"/>
        <w:rPr>
          <w:rFonts w:ascii="仿宋" w:hAnsi="仿宋" w:eastAsia="仿宋"/>
          <w:bCs/>
          <w:kern w:val="44"/>
          <w:sz w:val="24"/>
        </w:rPr>
      </w:pPr>
      <w:bookmarkStart w:id="14" w:name="_Toc15377196"/>
      <w:bookmarkStart w:id="15" w:name="_Toc15396599"/>
      <w:r>
        <w:rPr>
          <w:rFonts w:ascii="仿宋" w:hAnsi="仿宋" w:eastAsia="仿宋"/>
          <w:b/>
          <w:sz w:val="24"/>
        </w:rPr>
        <w:br w:type="page"/>
      </w:r>
    </w:p>
    <w:p>
      <w:pPr>
        <w:pStyle w:val="5"/>
        <w:numPr>
          <w:ilvl w:val="0"/>
          <w:numId w:val="1"/>
        </w:numPr>
        <w:jc w:val="center"/>
        <w:rPr>
          <w:rStyle w:val="29"/>
          <w:rFonts w:hint="eastAsia" w:ascii="黑体" w:hAnsi="黑体" w:eastAsia="黑体"/>
          <w:b w:val="0"/>
          <w:bCs w:val="0"/>
        </w:rPr>
      </w:pPr>
      <w:bookmarkStart w:id="16" w:name="_Toc3704"/>
      <w:r>
        <w:rPr>
          <w:rFonts w:hint="eastAsia" w:ascii="黑体" w:hAnsi="黑体" w:eastAsia="黑体"/>
          <w:b w:val="0"/>
        </w:rPr>
        <w:t>单位</w:t>
      </w:r>
      <w:r>
        <w:rPr>
          <w:rStyle w:val="29"/>
          <w:rFonts w:hint="eastAsia" w:ascii="黑体" w:hAnsi="黑体" w:eastAsia="黑体"/>
          <w:b w:val="0"/>
          <w:bCs w:val="0"/>
        </w:rPr>
        <w:t>概况</w:t>
      </w:r>
      <w:bookmarkEnd w:id="14"/>
      <w:bookmarkEnd w:id="15"/>
      <w:bookmarkEnd w:id="16"/>
    </w:p>
    <w:p>
      <w:pPr>
        <w:numPr>
          <w:ilvl w:val="0"/>
          <w:numId w:val="0"/>
        </w:numPr>
      </w:pPr>
    </w:p>
    <w:p>
      <w:pPr>
        <w:pStyle w:val="6"/>
        <w:numPr>
          <w:ilvl w:val="0"/>
          <w:numId w:val="2"/>
        </w:numPr>
        <w:rPr>
          <w:rStyle w:val="30"/>
          <w:rFonts w:ascii="黑体" w:hAnsi="黑体" w:eastAsia="黑体"/>
          <w:b w:val="0"/>
          <w:bCs w:val="0"/>
        </w:rPr>
      </w:pPr>
      <w:bookmarkStart w:id="17" w:name="_Toc14031"/>
      <w:bookmarkStart w:id="18" w:name="_Toc15377197"/>
      <w:bookmarkStart w:id="19" w:name="_Toc15396600"/>
      <w:r>
        <w:rPr>
          <w:rStyle w:val="30"/>
          <w:rFonts w:hint="eastAsia" w:ascii="黑体" w:hAnsi="黑体" w:eastAsia="黑体"/>
          <w:b w:val="0"/>
          <w:bCs w:val="0"/>
        </w:rPr>
        <w:t>主要职责</w:t>
      </w:r>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体育中心主要负责组织开展群众性体育活动，组织实施国家体育锻炼标准，开展国民体质检测，管理体育场免费和低收费对外开放，负责公共体育设施的建设，负责公共体育设施的管理使用，承办各级各类赛事活动</w:t>
      </w:r>
      <w:r>
        <w:rPr>
          <w:rFonts w:hint="eastAsia" w:ascii="仿宋_GB2312" w:hAnsi="仿宋_GB2312" w:eastAsia="仿宋_GB2312" w:cs="仿宋_GB2312"/>
          <w:sz w:val="32"/>
          <w:szCs w:val="32"/>
          <w:lang w:val="en-US" w:eastAsia="zh-CN"/>
        </w:rPr>
        <w:t>。</w:t>
      </w:r>
    </w:p>
    <w:p>
      <w:pPr>
        <w:pStyle w:val="6"/>
        <w:numPr>
          <w:ilvl w:val="0"/>
          <w:numId w:val="2"/>
        </w:numPr>
        <w:ind w:left="0" w:leftChars="0" w:firstLine="0" w:firstLineChars="0"/>
        <w:rPr>
          <w:rFonts w:hint="eastAsia" w:ascii="黑体" w:hAnsi="黑体" w:eastAsia="黑体"/>
          <w:b w:val="0"/>
        </w:rPr>
      </w:pPr>
      <w:bookmarkStart w:id="20" w:name="_Toc12532"/>
      <w:r>
        <w:rPr>
          <w:rFonts w:hint="eastAsia" w:ascii="黑体" w:hAnsi="黑体" w:eastAsia="黑体"/>
          <w:b w:val="0"/>
        </w:rPr>
        <w:t>机构设置</w:t>
      </w:r>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本单位为乐山市五通桥区文化体育和旅游局下属二级预算单位，单位性质为全额拨款事业单位，决算编报类型为单户表，按照政府会计制度填报决算数据。</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纳入本套决算编制范围的独立核算单位共1个，比上年增加1个，原因是上年度本单位无在职人员，</w:t>
      </w:r>
      <w:r>
        <w:rPr>
          <w:rFonts w:hint="eastAsia" w:ascii="仿宋" w:hAnsi="仿宋" w:eastAsia="仿宋" w:cs="仿宋"/>
          <w:sz w:val="32"/>
          <w:szCs w:val="32"/>
        </w:rPr>
        <w:t>为新纳入决算单位</w:t>
      </w:r>
      <w:r>
        <w:rPr>
          <w:rFonts w:hint="eastAsia" w:ascii="仿宋" w:hAnsi="仿宋" w:eastAsia="仿宋" w:cs="仿宋"/>
          <w:sz w:val="32"/>
          <w:szCs w:val="32"/>
          <w:lang w:eastAsia="zh-CN"/>
        </w:rPr>
        <w:t>。</w:t>
      </w:r>
    </w:p>
    <w:p>
      <w:pPr>
        <w:spacing w:line="6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人员情况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本单位事业</w:t>
      </w:r>
      <w:r>
        <w:rPr>
          <w:rFonts w:hint="eastAsia" w:ascii="仿宋" w:hAnsi="仿宋" w:eastAsia="仿宋" w:cs="仿宋"/>
          <w:sz w:val="32"/>
          <w:szCs w:val="32"/>
        </w:rPr>
        <w:t>编制1人</w:t>
      </w:r>
      <w:r>
        <w:rPr>
          <w:rFonts w:hint="eastAsia" w:ascii="仿宋" w:hAnsi="仿宋" w:eastAsia="仿宋" w:cs="仿宋"/>
          <w:sz w:val="32"/>
          <w:szCs w:val="32"/>
          <w:lang w:eastAsia="zh-CN"/>
        </w:rPr>
        <w:t>，</w:t>
      </w:r>
      <w:r>
        <w:rPr>
          <w:rFonts w:hint="eastAsia" w:ascii="仿宋" w:hAnsi="仿宋" w:eastAsia="仿宋" w:cs="仿宋"/>
          <w:sz w:val="32"/>
          <w:szCs w:val="32"/>
        </w:rPr>
        <w:t>2023年末在职1人，</w:t>
      </w:r>
      <w:r>
        <w:rPr>
          <w:rFonts w:hint="eastAsia" w:ascii="仿宋" w:hAnsi="仿宋" w:eastAsia="仿宋" w:cs="仿宋"/>
          <w:sz w:val="32"/>
          <w:szCs w:val="32"/>
          <w:lang w:val="en-US" w:eastAsia="zh-CN"/>
        </w:rPr>
        <w:t>为当年7月新进人员</w:t>
      </w:r>
      <w:r>
        <w:rPr>
          <w:rFonts w:hint="eastAsia" w:ascii="仿宋" w:hAnsi="仿宋" w:eastAsia="仿宋" w:cs="仿宋"/>
          <w:sz w:val="32"/>
          <w:szCs w:val="32"/>
          <w:lang w:eastAsia="zh-CN"/>
        </w:rPr>
        <w:t>。</w:t>
      </w:r>
    </w:p>
    <w:p>
      <w:pPr>
        <w:rPr>
          <w:rFonts w:hint="eastAsia" w:ascii="仿宋" w:hAnsi="仿宋" w:eastAsia="仿宋"/>
          <w:sz w:val="32"/>
          <w:szCs w:val="32"/>
          <w:lang w:eastAsia="zh-CN"/>
        </w:rPr>
      </w:pPr>
      <w:r>
        <w:rPr>
          <w:rFonts w:hint="eastAsia" w:ascii="仿宋" w:hAnsi="仿宋" w:eastAsia="仿宋"/>
          <w:sz w:val="32"/>
          <w:szCs w:val="32"/>
          <w:lang w:eastAsia="zh-CN"/>
        </w:rPr>
        <w:br w:type="page"/>
      </w:r>
    </w:p>
    <w:bookmarkEnd w:id="18"/>
    <w:bookmarkEnd w:id="19"/>
    <w:p>
      <w:pPr>
        <w:pStyle w:val="5"/>
        <w:ind w:right="440"/>
        <w:jc w:val="center"/>
      </w:pPr>
      <w:bookmarkStart w:id="21" w:name="_Toc15396602"/>
      <w:bookmarkStart w:id="22" w:name="_Toc15377204"/>
      <w:bookmarkStart w:id="23" w:name="_Toc24381"/>
      <w:r>
        <w:rPr>
          <w:rFonts w:hint="eastAsia" w:ascii="黑体" w:hAnsi="黑体" w:eastAsia="黑体"/>
          <w:b w:val="0"/>
        </w:rPr>
        <w:t>第二部分 2023年度</w:t>
      </w:r>
      <w:r>
        <w:rPr>
          <w:rStyle w:val="29"/>
          <w:rFonts w:hint="eastAsia" w:ascii="黑体" w:hAnsi="黑体" w:eastAsia="黑体"/>
          <w:b w:val="0"/>
          <w:bCs/>
        </w:rPr>
        <w:t>单位决算情况说明</w:t>
      </w:r>
      <w:bookmarkEnd w:id="21"/>
      <w:bookmarkEnd w:id="22"/>
      <w:bookmarkEnd w:id="23"/>
    </w:p>
    <w:p>
      <w:pPr>
        <w:pStyle w:val="28"/>
        <w:numPr>
          <w:ilvl w:val="0"/>
          <w:numId w:val="3"/>
        </w:numPr>
        <w:spacing w:line="600" w:lineRule="exact"/>
        <w:ind w:firstLineChars="0"/>
        <w:outlineLvl w:val="1"/>
        <w:rPr>
          <w:rFonts w:hint="eastAsia" w:ascii="宋体" w:hAnsi="宋体"/>
          <w:b/>
          <w:sz w:val="32"/>
          <w:szCs w:val="32"/>
        </w:rPr>
      </w:pPr>
      <w:bookmarkStart w:id="24" w:name="_Toc15377205"/>
      <w:bookmarkStart w:id="25" w:name="_Toc15396603"/>
      <w:bookmarkStart w:id="26" w:name="_Toc23464"/>
      <w:r>
        <w:rPr>
          <w:rFonts w:hint="eastAsia" w:ascii="黑体" w:hAnsi="黑体" w:eastAsia="黑体"/>
          <w:sz w:val="32"/>
          <w:szCs w:val="32"/>
        </w:rPr>
        <w:t>收</w:t>
      </w:r>
      <w:r>
        <w:rPr>
          <w:rStyle w:val="30"/>
          <w:rFonts w:hint="eastAsia" w:ascii="黑体" w:hAnsi="黑体" w:eastAsia="黑体"/>
          <w:b w:val="0"/>
        </w:rPr>
        <w:t>入支出决算总体情况说明</w:t>
      </w:r>
      <w:bookmarkEnd w:id="24"/>
      <w:bookmarkEnd w:id="25"/>
      <w:bookmarkEnd w:id="26"/>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2023年度收、支总计均为</w:t>
      </w:r>
      <w:r>
        <w:rPr>
          <w:rFonts w:hint="eastAsia" w:ascii="宋体" w:hAnsi="宋体"/>
          <w:sz w:val="32"/>
          <w:szCs w:val="32"/>
          <w:lang w:val="en-US" w:eastAsia="zh-CN"/>
        </w:rPr>
        <w:t>5.96万</w:t>
      </w:r>
      <w:r>
        <w:rPr>
          <w:rFonts w:hint="eastAsia" w:ascii="宋体" w:hAnsi="宋体"/>
          <w:sz w:val="32"/>
          <w:szCs w:val="32"/>
        </w:rPr>
        <w:t>元</w:t>
      </w:r>
      <w:r>
        <w:rPr>
          <w:rFonts w:hint="eastAsia"/>
          <w:sz w:val="32"/>
          <w:szCs w:val="32"/>
        </w:rPr>
        <w:t>。</w:t>
      </w:r>
      <w:r>
        <w:rPr>
          <w:rFonts w:hint="eastAsia" w:ascii="仿宋" w:hAnsi="仿宋" w:eastAsia="仿宋"/>
          <w:sz w:val="32"/>
          <w:szCs w:val="32"/>
        </w:rPr>
        <w:t>与2022年度相比，收、支总计各增加</w:t>
      </w:r>
      <w:r>
        <w:rPr>
          <w:rFonts w:hint="eastAsia" w:ascii="宋体" w:hAnsi="宋体"/>
          <w:sz w:val="32"/>
          <w:szCs w:val="32"/>
          <w:lang w:val="en-US" w:eastAsia="zh-CN"/>
        </w:rPr>
        <w:t>5.96万</w:t>
      </w:r>
      <w:r>
        <w:rPr>
          <w:rFonts w:hint="eastAsia" w:ascii="宋体" w:hAnsi="宋体"/>
          <w:sz w:val="32"/>
          <w:szCs w:val="32"/>
        </w:rPr>
        <w:t>元</w:t>
      </w:r>
      <w:r>
        <w:rPr>
          <w:rFonts w:hint="eastAsia" w:ascii="仿宋" w:hAnsi="仿宋" w:eastAsia="仿宋"/>
          <w:sz w:val="32"/>
          <w:szCs w:val="32"/>
        </w:rPr>
        <w:t>，增长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。主要变动原因是本单位</w:t>
      </w:r>
      <w:r>
        <w:rPr>
          <w:rFonts w:hint="eastAsia" w:ascii="仿宋" w:hAnsi="仿宋" w:eastAsia="仿宋"/>
          <w:sz w:val="32"/>
          <w:szCs w:val="32"/>
          <w:lang w:val="en-US" w:eastAsia="zh-CN"/>
        </w:rPr>
        <w:t>新进人员1名。</w:t>
      </w:r>
    </w:p>
    <w:p>
      <w:pPr>
        <w:spacing w:line="600" w:lineRule="exact"/>
        <w:ind w:firstLine="640" w:firstLineChars="200"/>
        <w:jc w:val="left"/>
        <w:rPr>
          <w:rStyle w:val="30"/>
          <w:rFonts w:ascii="黑体" w:hAnsi="黑体" w:eastAsia="黑体"/>
          <w:b w:val="0"/>
        </w:rPr>
      </w:pPr>
      <w:bookmarkStart w:id="27" w:name="_Toc15377206"/>
      <w:bookmarkStart w:id="28" w:name="_Toc15396604"/>
      <w:r>
        <w:rPr>
          <w:rFonts w:hint="eastAsia" w:ascii="仿宋" w:hAnsi="仿宋" w:eastAsia="仿宋"/>
          <w:sz w:val="32"/>
          <w:szCs w:val="32"/>
          <w:lang w:eastAsia="zh-CN"/>
        </w:rPr>
        <w:drawing>
          <wp:anchor distT="0" distB="0" distL="114300" distR="114300" simplePos="0" relativeHeight="251659264" behindDoc="0" locked="0" layoutInCell="1" allowOverlap="1">
            <wp:simplePos x="0" y="0"/>
            <wp:positionH relativeFrom="column">
              <wp:posOffset>335915</wp:posOffset>
            </wp:positionH>
            <wp:positionV relativeFrom="paragraph">
              <wp:posOffset>23495</wp:posOffset>
            </wp:positionV>
            <wp:extent cx="4638040" cy="2409825"/>
            <wp:effectExtent l="0" t="0" r="10160" b="9525"/>
            <wp:wrapTopAndBottom/>
            <wp:docPr id="10" name="图片 10" descr="图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0"/>
                    <pic:cNvPicPr>
                      <a:picLocks noChangeAspect="1"/>
                    </pic:cNvPicPr>
                  </pic:nvPicPr>
                  <pic:blipFill>
                    <a:blip r:embed="rId6"/>
                    <a:stretch>
                      <a:fillRect/>
                    </a:stretch>
                  </pic:blipFill>
                  <pic:spPr>
                    <a:xfrm>
                      <a:off x="0" y="0"/>
                      <a:ext cx="4638040" cy="2409825"/>
                    </a:xfrm>
                    <a:prstGeom prst="rect">
                      <a:avLst/>
                    </a:prstGeom>
                  </pic:spPr>
                </pic:pic>
              </a:graphicData>
            </a:graphic>
          </wp:anchor>
        </w:drawing>
      </w: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8"/>
        <w:numPr>
          <w:ilvl w:val="0"/>
          <w:numId w:val="3"/>
        </w:numPr>
        <w:spacing w:line="600" w:lineRule="exact"/>
        <w:ind w:firstLineChars="0"/>
        <w:outlineLvl w:val="1"/>
        <w:rPr>
          <w:rStyle w:val="30"/>
          <w:rFonts w:ascii="黑体" w:hAnsi="黑体" w:eastAsia="黑体"/>
          <w:b w:val="0"/>
        </w:rPr>
      </w:pPr>
      <w:bookmarkStart w:id="29" w:name="_Toc30787"/>
      <w:r>
        <w:rPr>
          <w:rFonts w:hint="eastAsia" w:ascii="黑体" w:hAnsi="黑体" w:eastAsia="黑体"/>
          <w:sz w:val="32"/>
          <w:szCs w:val="32"/>
        </w:rPr>
        <w:t>收</w:t>
      </w:r>
      <w:r>
        <w:rPr>
          <w:rStyle w:val="30"/>
          <w:rFonts w:hint="eastAsia" w:ascii="黑体" w:hAnsi="黑体" w:eastAsia="黑体"/>
          <w:b w:val="0"/>
        </w:rPr>
        <w:t>入决算情况说明</w:t>
      </w:r>
      <w:bookmarkEnd w:id="27"/>
      <w:bookmarkEnd w:id="28"/>
      <w:bookmarkEnd w:id="29"/>
    </w:p>
    <w:p>
      <w:p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drawing>
          <wp:anchor distT="0" distB="0" distL="114300" distR="114300" simplePos="0" relativeHeight="251660288" behindDoc="0" locked="0" layoutInCell="1" allowOverlap="1">
            <wp:simplePos x="0" y="0"/>
            <wp:positionH relativeFrom="column">
              <wp:posOffset>403860</wp:posOffset>
            </wp:positionH>
            <wp:positionV relativeFrom="paragraph">
              <wp:posOffset>956945</wp:posOffset>
            </wp:positionV>
            <wp:extent cx="3567430" cy="1772285"/>
            <wp:effectExtent l="4445" t="4445" r="9525" b="13970"/>
            <wp:wrapTopAndBottom/>
            <wp:docPr id="1026"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 w:hAnsi="仿宋" w:eastAsia="仿宋" w:cs="仿宋"/>
          <w:sz w:val="32"/>
          <w:szCs w:val="32"/>
          <w:lang w:val="en-US" w:eastAsia="zh-CN"/>
        </w:rPr>
        <w:t>2023年度本年收入</w:t>
      </w:r>
      <w:r>
        <w:rPr>
          <w:rFonts w:hint="eastAsia" w:ascii="仿宋" w:hAnsi="仿宋" w:eastAsia="仿宋" w:cs="仿宋"/>
          <w:color w:val="auto"/>
          <w:sz w:val="32"/>
          <w:szCs w:val="32"/>
          <w:highlight w:val="none"/>
        </w:rPr>
        <w:t>合计</w:t>
      </w:r>
      <w:r>
        <w:rPr>
          <w:rFonts w:hint="eastAsia" w:ascii="仿宋" w:hAnsi="仿宋" w:eastAsia="仿宋" w:cs="仿宋"/>
          <w:sz w:val="32"/>
          <w:szCs w:val="32"/>
          <w:lang w:val="en-US" w:eastAsia="zh-CN"/>
        </w:rPr>
        <w:t>5.96万元，其中一般公共预算财政拨款收入5.96万元，占收入的100%。如下图所示：</w:t>
      </w:r>
    </w:p>
    <w:p>
      <w:pPr>
        <w:spacing w:line="600" w:lineRule="exact"/>
        <w:ind w:firstLine="640" w:firstLineChars="200"/>
        <w:rPr>
          <w:rFonts w:hint="eastAsia" w:ascii="宋体" w:hAnsi="宋体"/>
          <w:sz w:val="32"/>
          <w:szCs w:val="32"/>
        </w:rPr>
      </w:pPr>
      <w:r>
        <w:rPr>
          <w:rFonts w:hint="eastAsia" w:ascii="仿宋" w:hAnsi="仿宋" w:eastAsia="仿宋"/>
          <w:sz w:val="32"/>
          <w:szCs w:val="32"/>
        </w:rPr>
        <w:t>（图</w:t>
      </w:r>
      <w:r>
        <w:rPr>
          <w:rFonts w:hint="eastAsia" w:ascii="仿宋" w:hAnsi="仿宋" w:eastAsia="仿宋"/>
          <w:sz w:val="32"/>
          <w:szCs w:val="32"/>
          <w:lang w:val="en-US" w:eastAsia="zh-CN"/>
        </w:rPr>
        <w:t>2</w:t>
      </w:r>
      <w:r>
        <w:rPr>
          <w:rFonts w:hint="eastAsia" w:ascii="仿宋" w:hAnsi="仿宋" w:eastAsia="仿宋"/>
          <w:sz w:val="32"/>
          <w:szCs w:val="32"/>
        </w:rPr>
        <w:t>：收入决算结构图）（饼状图）</w:t>
      </w:r>
    </w:p>
    <w:p>
      <w:pPr>
        <w:pStyle w:val="28"/>
        <w:numPr>
          <w:ilvl w:val="0"/>
          <w:numId w:val="3"/>
        </w:numPr>
        <w:spacing w:line="600" w:lineRule="exact"/>
        <w:ind w:firstLineChars="0"/>
        <w:outlineLvl w:val="1"/>
        <w:rPr>
          <w:rFonts w:hint="eastAsia"/>
        </w:rPr>
      </w:pPr>
      <w:bookmarkStart w:id="30" w:name="_Toc15377207"/>
      <w:bookmarkStart w:id="31" w:name="_Toc13770"/>
      <w:bookmarkStart w:id="32" w:name="_Toc15396605"/>
      <w:r>
        <w:rPr>
          <w:rFonts w:hint="eastAsia" w:ascii="黑体" w:hAnsi="黑体" w:eastAsia="黑体"/>
          <w:sz w:val="32"/>
          <w:szCs w:val="32"/>
        </w:rPr>
        <w:t>支</w:t>
      </w:r>
      <w:r>
        <w:rPr>
          <w:rStyle w:val="30"/>
          <w:rFonts w:hint="eastAsia" w:ascii="黑体" w:hAnsi="黑体" w:eastAsia="黑体"/>
          <w:b w:val="0"/>
        </w:rPr>
        <w:t>出决算情况说明</w:t>
      </w:r>
      <w:bookmarkEnd w:id="30"/>
      <w:bookmarkEnd w:id="31"/>
      <w:bookmarkEnd w:id="32"/>
    </w:p>
    <w:p>
      <w:pPr>
        <w:spacing w:line="600" w:lineRule="exact"/>
        <w:ind w:firstLine="640" w:firstLineChars="200"/>
        <w:outlineLvl w:val="1"/>
        <w:rPr>
          <w:rFonts w:hint="eastAsia" w:ascii="仿宋" w:hAnsi="仿宋" w:eastAsia="仿宋"/>
          <w:color w:val="auto"/>
          <w:sz w:val="32"/>
          <w:szCs w:val="32"/>
          <w:highlight w:val="none"/>
          <w:lang w:val="en-US" w:eastAsia="zh-CN"/>
        </w:rPr>
      </w:pPr>
      <w:bookmarkStart w:id="33" w:name="_Toc10335"/>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本年支出合计</w:t>
      </w:r>
      <w:r>
        <w:rPr>
          <w:rFonts w:hint="eastAsia" w:ascii="仿宋" w:hAnsi="仿宋" w:eastAsia="仿宋"/>
          <w:color w:val="auto"/>
          <w:sz w:val="32"/>
          <w:szCs w:val="32"/>
          <w:highlight w:val="none"/>
          <w:lang w:val="en-US" w:eastAsia="zh-CN"/>
        </w:rPr>
        <w:t>5.96</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5.96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bookmarkEnd w:id="33"/>
    </w:p>
    <w:p>
      <w:pPr>
        <w:ind w:firstLine="840" w:firstLineChars="400"/>
        <w:rPr>
          <w:rFonts w:hint="eastAsia" w:ascii="宋体" w:hAnsi="宋体"/>
          <w:sz w:val="32"/>
          <w:szCs w:val="32"/>
        </w:rPr>
      </w:pPr>
      <w:r>
        <w:drawing>
          <wp:inline distT="0" distB="0" distL="114300" distR="114300">
            <wp:extent cx="3147695" cy="2548255"/>
            <wp:effectExtent l="4445" t="4445" r="10160" b="19050"/>
            <wp:docPr id="1027"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hint="eastAsia" w:ascii="仿宋" w:hAnsi="仿宋" w:eastAsia="仿宋"/>
          <w:sz w:val="32"/>
          <w:szCs w:val="32"/>
          <w:lang w:val="en-US" w:eastAsia="zh-CN"/>
        </w:rPr>
        <w:t>3</w:t>
      </w:r>
      <w:r>
        <w:rPr>
          <w:rFonts w:hint="eastAsia" w:ascii="仿宋" w:hAnsi="仿宋" w:eastAsia="仿宋"/>
          <w:sz w:val="32"/>
          <w:szCs w:val="32"/>
        </w:rPr>
        <w:t>：支出决算结构图）（饼状图）</w:t>
      </w:r>
    </w:p>
    <w:p>
      <w:pPr>
        <w:spacing w:line="600" w:lineRule="exact"/>
        <w:ind w:firstLine="640" w:firstLineChars="200"/>
        <w:outlineLvl w:val="1"/>
        <w:rPr>
          <w:rStyle w:val="30"/>
          <w:rFonts w:ascii="黑体" w:hAnsi="黑体" w:eastAsia="黑体"/>
          <w:b w:val="0"/>
        </w:rPr>
      </w:pPr>
      <w:bookmarkStart w:id="34" w:name="_Toc15396606"/>
      <w:bookmarkStart w:id="35" w:name="_Toc15377208"/>
      <w:bookmarkStart w:id="36" w:name="_Toc24467"/>
      <w:r>
        <w:rPr>
          <w:rFonts w:hint="eastAsia" w:ascii="黑体" w:hAnsi="黑体" w:eastAsia="黑体"/>
          <w:sz w:val="32"/>
          <w:szCs w:val="32"/>
        </w:rPr>
        <w:t>四、财</w:t>
      </w:r>
      <w:r>
        <w:rPr>
          <w:rStyle w:val="30"/>
          <w:rFonts w:hint="eastAsia" w:ascii="黑体" w:hAnsi="黑体" w:eastAsia="黑体"/>
          <w:b w:val="0"/>
        </w:rPr>
        <w:t>政拨款收入支出决算总体情况说明</w:t>
      </w:r>
      <w:bookmarkEnd w:id="34"/>
      <w:bookmarkEnd w:id="35"/>
      <w:bookmarkEnd w:id="36"/>
    </w:p>
    <w:p>
      <w:pPr>
        <w:snapToGrid w:val="0"/>
        <w:spacing w:line="52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1312" behindDoc="0" locked="0" layoutInCell="1" allowOverlap="1">
            <wp:simplePos x="0" y="0"/>
            <wp:positionH relativeFrom="column">
              <wp:posOffset>467995</wp:posOffset>
            </wp:positionH>
            <wp:positionV relativeFrom="paragraph">
              <wp:posOffset>1060450</wp:posOffset>
            </wp:positionV>
            <wp:extent cx="4283710" cy="2510790"/>
            <wp:effectExtent l="0" t="0" r="2540" b="3810"/>
            <wp:wrapTopAndBottom/>
            <wp:docPr id="5" name="图片 5"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1"/>
                    <pic:cNvPicPr>
                      <a:picLocks noChangeAspect="1"/>
                    </pic:cNvPicPr>
                  </pic:nvPicPr>
                  <pic:blipFill>
                    <a:blip r:embed="rId9"/>
                    <a:stretch>
                      <a:fillRect/>
                    </a:stretch>
                  </pic:blipFill>
                  <pic:spPr>
                    <a:xfrm>
                      <a:off x="0" y="0"/>
                      <a:ext cx="4283710" cy="2510790"/>
                    </a:xfrm>
                    <a:prstGeom prst="rect">
                      <a:avLst/>
                    </a:prstGeom>
                  </pic:spPr>
                </pic:pic>
              </a:graphicData>
            </a:graphic>
          </wp:anchor>
        </w:drawing>
      </w:r>
      <w:r>
        <w:rPr>
          <w:rFonts w:hint="eastAsia" w:ascii="仿宋" w:hAnsi="仿宋" w:eastAsia="仿宋"/>
          <w:sz w:val="32"/>
          <w:szCs w:val="32"/>
        </w:rPr>
        <w:t>2023年度财政拨款收、支总计均为</w:t>
      </w:r>
      <w:r>
        <w:rPr>
          <w:rFonts w:ascii="宋体" w:hAnsi="宋体"/>
          <w:sz w:val="32"/>
          <w:szCs w:val="32"/>
          <w:highlight w:val="none"/>
        </w:rPr>
        <w:t>5</w:t>
      </w:r>
      <w:r>
        <w:rPr>
          <w:rFonts w:hint="eastAsia" w:ascii="宋体" w:hAnsi="宋体"/>
          <w:sz w:val="32"/>
          <w:szCs w:val="32"/>
          <w:highlight w:val="none"/>
          <w:lang w:val="en-US" w:eastAsia="zh-CN"/>
        </w:rPr>
        <w:t>.</w:t>
      </w:r>
      <w:r>
        <w:rPr>
          <w:rFonts w:ascii="宋体" w:hAnsi="宋体"/>
          <w:sz w:val="32"/>
          <w:szCs w:val="32"/>
          <w:highlight w:val="none"/>
        </w:rPr>
        <w:t>9</w:t>
      </w:r>
      <w:r>
        <w:rPr>
          <w:rFonts w:hint="eastAsia" w:ascii="宋体" w:hAnsi="宋体"/>
          <w:sz w:val="32"/>
          <w:szCs w:val="32"/>
          <w:highlight w:val="none"/>
          <w:lang w:val="en-US" w:eastAsia="zh-CN"/>
        </w:rPr>
        <w:t>6万</w:t>
      </w:r>
      <w:r>
        <w:rPr>
          <w:rFonts w:hint="eastAsia" w:ascii="仿宋" w:hAnsi="仿宋" w:eastAsia="仿宋"/>
          <w:sz w:val="32"/>
          <w:szCs w:val="32"/>
          <w:highlight w:val="none"/>
        </w:rPr>
        <w:t>元</w:t>
      </w:r>
      <w:r>
        <w:rPr>
          <w:rFonts w:hint="eastAsia" w:ascii="仿宋" w:hAnsi="仿宋" w:eastAsia="仿宋"/>
          <w:sz w:val="32"/>
          <w:szCs w:val="32"/>
        </w:rPr>
        <w:t>。与2022年度相比，财政拨款收、支总计各增加</w:t>
      </w:r>
      <w:r>
        <w:rPr>
          <w:rFonts w:ascii="宋体" w:hAnsi="宋体"/>
          <w:sz w:val="32"/>
          <w:szCs w:val="32"/>
          <w:highlight w:val="none"/>
        </w:rPr>
        <w:t>5</w:t>
      </w:r>
      <w:r>
        <w:rPr>
          <w:rFonts w:hint="eastAsia" w:ascii="宋体" w:hAnsi="宋体"/>
          <w:sz w:val="32"/>
          <w:szCs w:val="32"/>
          <w:highlight w:val="none"/>
          <w:lang w:val="en-US" w:eastAsia="zh-CN"/>
        </w:rPr>
        <w:t>.</w:t>
      </w:r>
      <w:r>
        <w:rPr>
          <w:rFonts w:ascii="宋体" w:hAnsi="宋体"/>
          <w:sz w:val="32"/>
          <w:szCs w:val="32"/>
          <w:highlight w:val="none"/>
        </w:rPr>
        <w:t>9</w:t>
      </w:r>
      <w:r>
        <w:rPr>
          <w:rFonts w:hint="eastAsia" w:ascii="宋体" w:hAnsi="宋体"/>
          <w:sz w:val="32"/>
          <w:szCs w:val="32"/>
          <w:highlight w:val="none"/>
          <w:lang w:val="en-US" w:eastAsia="zh-CN"/>
        </w:rPr>
        <w:t>6万</w:t>
      </w:r>
      <w:r>
        <w:rPr>
          <w:rFonts w:hint="eastAsia" w:ascii="仿宋" w:hAnsi="仿宋" w:eastAsia="仿宋"/>
          <w:sz w:val="32"/>
          <w:szCs w:val="32"/>
          <w:highlight w:val="none"/>
        </w:rPr>
        <w:t>元</w:t>
      </w:r>
      <w:r>
        <w:rPr>
          <w:rFonts w:hint="eastAsia" w:ascii="仿宋" w:hAnsi="仿宋" w:eastAsia="仿宋"/>
          <w:sz w:val="32"/>
          <w:szCs w:val="32"/>
        </w:rPr>
        <w:t>，增长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w:t>
      </w:r>
      <w:bookmarkStart w:id="37" w:name="_Toc15377209"/>
      <w:bookmarkStart w:id="38" w:name="_Toc15396607"/>
      <w:r>
        <w:rPr>
          <w:rFonts w:hint="eastAsia" w:ascii="仿宋" w:hAnsi="仿宋" w:eastAsia="仿宋"/>
          <w:sz w:val="32"/>
          <w:szCs w:val="32"/>
        </w:rPr>
        <w:t>主要变动原因是本单位</w:t>
      </w:r>
      <w:r>
        <w:rPr>
          <w:rFonts w:hint="eastAsia" w:ascii="仿宋" w:hAnsi="仿宋" w:eastAsia="仿宋"/>
          <w:sz w:val="32"/>
          <w:szCs w:val="32"/>
          <w:lang w:val="en-US" w:eastAsia="zh-CN"/>
        </w:rPr>
        <w:t>新进人员1名</w:t>
      </w:r>
      <w:r>
        <w:rPr>
          <w:rFonts w:hint="eastAsia" w:ascii="仿宋" w:hAnsi="仿宋" w:eastAsia="仿宋"/>
          <w:sz w:val="32"/>
          <w:szCs w:val="32"/>
        </w:rPr>
        <w:t>。</w:t>
      </w:r>
    </w:p>
    <w:p>
      <w:pPr>
        <w:spacing w:line="600" w:lineRule="exact"/>
        <w:ind w:firstLine="640" w:firstLineChars="200"/>
        <w:outlineLvl w:val="1"/>
        <w:rPr>
          <w:rFonts w:hint="eastAsia" w:ascii="仿宋" w:hAnsi="仿宋" w:eastAsia="仿宋"/>
          <w:sz w:val="32"/>
          <w:szCs w:val="32"/>
        </w:rPr>
      </w:pPr>
      <w:bookmarkStart w:id="39" w:name="_Toc7116"/>
      <w:r>
        <w:rPr>
          <w:rFonts w:hint="eastAsia" w:ascii="仿宋" w:hAnsi="仿宋" w:eastAsia="仿宋"/>
          <w:sz w:val="32"/>
          <w:szCs w:val="32"/>
        </w:rPr>
        <w:t>（图4：财政拨款收、支决算总计变动情况）（柱状图）</w:t>
      </w:r>
      <w:bookmarkEnd w:id="39"/>
    </w:p>
    <w:p>
      <w:pPr>
        <w:pStyle w:val="2"/>
        <w:rPr>
          <w:rFonts w:hint="eastAsia"/>
        </w:rPr>
      </w:pPr>
    </w:p>
    <w:p>
      <w:pPr>
        <w:spacing w:line="600" w:lineRule="exact"/>
        <w:outlineLvl w:val="1"/>
        <w:rPr>
          <w:rStyle w:val="30"/>
          <w:rFonts w:ascii="黑体" w:hAnsi="黑体" w:eastAsia="黑体"/>
          <w:b w:val="0"/>
        </w:rPr>
      </w:pPr>
      <w:bookmarkStart w:id="40" w:name="_Toc21907"/>
      <w:r>
        <w:rPr>
          <w:rFonts w:hint="eastAsia" w:ascii="黑体" w:hAnsi="黑体" w:eastAsia="黑体"/>
          <w:sz w:val="32"/>
          <w:szCs w:val="32"/>
        </w:rPr>
        <w:t>五、</w:t>
      </w:r>
      <w:r>
        <w:rPr>
          <w:rFonts w:hint="eastAsia" w:ascii="黑体" w:hAnsi="黑体" w:eastAsia="黑体"/>
          <w:b/>
          <w:sz w:val="32"/>
          <w:szCs w:val="32"/>
        </w:rPr>
        <w:t>一</w:t>
      </w:r>
      <w:r>
        <w:rPr>
          <w:rStyle w:val="30"/>
          <w:rFonts w:hint="eastAsia" w:ascii="黑体" w:hAnsi="黑体" w:eastAsia="黑体"/>
          <w:b w:val="0"/>
        </w:rPr>
        <w:t>般公共预算财政拨款支出决算情况说明</w:t>
      </w:r>
      <w:bookmarkEnd w:id="37"/>
      <w:bookmarkEnd w:id="38"/>
      <w:bookmarkEnd w:id="40"/>
    </w:p>
    <w:p>
      <w:pPr>
        <w:spacing w:line="600" w:lineRule="exact"/>
        <w:ind w:firstLine="643" w:firstLineChars="200"/>
        <w:outlineLvl w:val="2"/>
        <w:rPr>
          <w:rFonts w:ascii="仿宋" w:hAnsi="仿宋" w:eastAsia="仿宋"/>
          <w:b/>
          <w:sz w:val="32"/>
          <w:szCs w:val="32"/>
        </w:rPr>
      </w:pPr>
      <w:bookmarkStart w:id="41" w:name="_Toc15377210"/>
      <w:r>
        <w:rPr>
          <w:rFonts w:hint="eastAsia" w:ascii="仿宋" w:hAnsi="仿宋" w:eastAsia="仿宋"/>
          <w:b/>
          <w:sz w:val="32"/>
          <w:szCs w:val="32"/>
        </w:rPr>
        <w:t>（一）一般公共预算财政拨款支出决算总体情况</w:t>
      </w:r>
      <w:bookmarkEnd w:id="41"/>
    </w:p>
    <w:p>
      <w:pPr>
        <w:spacing w:line="600" w:lineRule="exact"/>
        <w:ind w:firstLine="640" w:firstLineChars="200"/>
        <w:rPr>
          <w:rFonts w:hint="eastAsia" w:ascii="仿宋" w:hAnsi="仿宋" w:eastAsia="仿宋"/>
          <w:b w:val="0"/>
          <w:bCs w:val="0"/>
          <w:sz w:val="32"/>
          <w:szCs w:val="32"/>
          <w:highlight w:val="none"/>
        </w:rPr>
      </w:pPr>
      <w:r>
        <w:rPr>
          <w:rFonts w:hint="eastAsia" w:ascii="仿宋" w:hAnsi="仿宋" w:eastAsia="仿宋"/>
          <w:sz w:val="32"/>
          <w:szCs w:val="32"/>
          <w:highlight w:val="none"/>
        </w:rPr>
        <w:t>2023年度一般公共预算财政拨款支出</w:t>
      </w:r>
      <w:r>
        <w:rPr>
          <w:rFonts w:ascii="宋体" w:hAnsi="宋体"/>
          <w:sz w:val="32"/>
          <w:szCs w:val="32"/>
          <w:highlight w:val="none"/>
        </w:rPr>
        <w:t>5</w:t>
      </w:r>
      <w:r>
        <w:rPr>
          <w:rFonts w:hint="eastAsia" w:ascii="宋体" w:hAnsi="宋体"/>
          <w:sz w:val="32"/>
          <w:szCs w:val="32"/>
          <w:highlight w:val="none"/>
          <w:lang w:val="en-US" w:eastAsia="zh-CN"/>
        </w:rPr>
        <w:t>.</w:t>
      </w:r>
      <w:r>
        <w:rPr>
          <w:rFonts w:ascii="宋体" w:hAnsi="宋体"/>
          <w:sz w:val="32"/>
          <w:szCs w:val="32"/>
          <w:highlight w:val="none"/>
        </w:rPr>
        <w:t>9</w:t>
      </w:r>
      <w:r>
        <w:rPr>
          <w:rFonts w:hint="eastAsia" w:ascii="宋体" w:hAnsi="宋体"/>
          <w:sz w:val="32"/>
          <w:szCs w:val="32"/>
          <w:highlight w:val="none"/>
          <w:lang w:val="en-US" w:eastAsia="zh-CN"/>
        </w:rPr>
        <w:t>6万</w:t>
      </w:r>
      <w:r>
        <w:rPr>
          <w:rFonts w:hint="eastAsia" w:ascii="仿宋" w:hAnsi="仿宋" w:eastAsia="仿宋"/>
          <w:sz w:val="32"/>
          <w:szCs w:val="32"/>
          <w:highlight w:val="none"/>
        </w:rPr>
        <w:t>元，占本</w:t>
      </w:r>
      <w:r>
        <w:rPr>
          <w:rFonts w:hint="eastAsia" w:ascii="仿宋" w:hAnsi="仿宋" w:eastAsia="仿宋"/>
          <w:b w:val="0"/>
          <w:bCs w:val="0"/>
          <w:sz w:val="32"/>
          <w:szCs w:val="32"/>
          <w:highlight w:val="none"/>
        </w:rPr>
        <w:t>年支出合计的</w:t>
      </w:r>
      <w:r>
        <w:rPr>
          <w:rFonts w:hint="eastAsia" w:ascii="仿宋" w:hAnsi="仿宋" w:eastAsia="仿宋"/>
          <w:b w:val="0"/>
          <w:bCs w:val="0"/>
          <w:sz w:val="32"/>
          <w:szCs w:val="32"/>
          <w:highlight w:val="none"/>
          <w:lang w:val="en-US" w:eastAsia="zh-CN"/>
        </w:rPr>
        <w:t>100</w:t>
      </w:r>
      <w:r>
        <w:rPr>
          <w:rFonts w:ascii="仿宋" w:hAnsi="仿宋" w:eastAsia="仿宋"/>
          <w:b w:val="0"/>
          <w:bCs w:val="0"/>
          <w:sz w:val="32"/>
          <w:szCs w:val="32"/>
          <w:highlight w:val="none"/>
        </w:rPr>
        <w:t>%</w:t>
      </w:r>
      <w:r>
        <w:rPr>
          <w:rFonts w:hint="eastAsia" w:ascii="仿宋" w:hAnsi="仿宋" w:eastAsia="仿宋"/>
          <w:b w:val="0"/>
          <w:bCs w:val="0"/>
          <w:sz w:val="32"/>
          <w:szCs w:val="32"/>
          <w:highlight w:val="none"/>
        </w:rPr>
        <w:t>。与2022年度相比，一般公共预算财政拨款支出增加</w:t>
      </w:r>
      <w:r>
        <w:rPr>
          <w:rFonts w:ascii="宋体" w:hAnsi="宋体"/>
          <w:sz w:val="32"/>
          <w:szCs w:val="32"/>
          <w:highlight w:val="none"/>
        </w:rPr>
        <w:t>5</w:t>
      </w:r>
      <w:r>
        <w:rPr>
          <w:rFonts w:hint="eastAsia" w:ascii="宋体" w:hAnsi="宋体"/>
          <w:sz w:val="32"/>
          <w:szCs w:val="32"/>
          <w:highlight w:val="none"/>
          <w:lang w:val="en-US" w:eastAsia="zh-CN"/>
        </w:rPr>
        <w:t>.</w:t>
      </w:r>
      <w:r>
        <w:rPr>
          <w:rFonts w:ascii="宋体" w:hAnsi="宋体"/>
          <w:sz w:val="32"/>
          <w:szCs w:val="32"/>
          <w:highlight w:val="none"/>
        </w:rPr>
        <w:t>9</w:t>
      </w:r>
      <w:r>
        <w:rPr>
          <w:rFonts w:hint="eastAsia" w:ascii="宋体" w:hAnsi="宋体"/>
          <w:sz w:val="32"/>
          <w:szCs w:val="32"/>
          <w:highlight w:val="none"/>
          <w:lang w:val="en-US" w:eastAsia="zh-CN"/>
        </w:rPr>
        <w:t>6万</w:t>
      </w:r>
      <w:r>
        <w:rPr>
          <w:rFonts w:hint="eastAsia" w:ascii="仿宋" w:hAnsi="仿宋" w:eastAsia="仿宋"/>
          <w:sz w:val="32"/>
          <w:szCs w:val="32"/>
          <w:highlight w:val="none"/>
        </w:rPr>
        <w:t>元</w:t>
      </w:r>
      <w:r>
        <w:rPr>
          <w:rFonts w:hint="eastAsia" w:ascii="仿宋" w:hAnsi="仿宋" w:eastAsia="仿宋"/>
          <w:b w:val="0"/>
          <w:bCs w:val="0"/>
          <w:sz w:val="32"/>
          <w:szCs w:val="32"/>
          <w:highlight w:val="none"/>
        </w:rPr>
        <w:t>，增长</w:t>
      </w:r>
      <w:r>
        <w:rPr>
          <w:rFonts w:hint="eastAsia" w:ascii="仿宋" w:hAnsi="仿宋" w:eastAsia="仿宋"/>
          <w:b w:val="0"/>
          <w:bCs w:val="0"/>
          <w:sz w:val="32"/>
          <w:szCs w:val="32"/>
          <w:highlight w:val="none"/>
          <w:lang w:val="en-US" w:eastAsia="zh-CN"/>
        </w:rPr>
        <w:t>100</w:t>
      </w:r>
      <w:r>
        <w:rPr>
          <w:rFonts w:ascii="仿宋" w:hAnsi="仿宋" w:eastAsia="仿宋"/>
          <w:b w:val="0"/>
          <w:bCs w:val="0"/>
          <w:sz w:val="32"/>
          <w:szCs w:val="32"/>
          <w:highlight w:val="none"/>
        </w:rPr>
        <w:t>%</w:t>
      </w:r>
      <w:r>
        <w:rPr>
          <w:rFonts w:hint="eastAsia" w:ascii="仿宋" w:hAnsi="仿宋" w:eastAsia="仿宋"/>
          <w:b w:val="0"/>
          <w:bCs w:val="0"/>
          <w:sz w:val="32"/>
          <w:szCs w:val="32"/>
          <w:highlight w:val="none"/>
        </w:rPr>
        <w:t>。</w:t>
      </w:r>
      <w:r>
        <w:rPr>
          <w:rFonts w:hint="eastAsia" w:ascii="仿宋" w:hAnsi="仿宋" w:eastAsia="仿宋"/>
          <w:sz w:val="32"/>
          <w:szCs w:val="32"/>
        </w:rPr>
        <w:t>主要变动原因是本单位</w:t>
      </w:r>
      <w:r>
        <w:rPr>
          <w:rFonts w:hint="eastAsia" w:ascii="仿宋" w:hAnsi="仿宋" w:eastAsia="仿宋"/>
          <w:sz w:val="32"/>
          <w:szCs w:val="32"/>
          <w:lang w:val="en-US" w:eastAsia="zh-CN"/>
        </w:rPr>
        <w:t>新进人员1名</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b w:val="0"/>
          <w:bCs w:val="0"/>
          <w:sz w:val="32"/>
          <w:szCs w:val="32"/>
          <w:highlight w:val="none"/>
          <w:lang w:eastAsia="zh-CN"/>
        </w:rPr>
        <w:drawing>
          <wp:anchor distT="0" distB="0" distL="114300" distR="114300" simplePos="0" relativeHeight="251662336" behindDoc="0" locked="0" layoutInCell="1" allowOverlap="1">
            <wp:simplePos x="0" y="0"/>
            <wp:positionH relativeFrom="column">
              <wp:posOffset>293370</wp:posOffset>
            </wp:positionH>
            <wp:positionV relativeFrom="paragraph">
              <wp:posOffset>220345</wp:posOffset>
            </wp:positionV>
            <wp:extent cx="4883150" cy="2724785"/>
            <wp:effectExtent l="0" t="0" r="12700" b="18415"/>
            <wp:wrapTopAndBottom/>
            <wp:docPr id="6" name="图片 6" descr="图片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2"/>
                    <pic:cNvPicPr>
                      <a:picLocks noChangeAspect="1"/>
                    </pic:cNvPicPr>
                  </pic:nvPicPr>
                  <pic:blipFill>
                    <a:blip r:embed="rId10"/>
                    <a:stretch>
                      <a:fillRect/>
                    </a:stretch>
                  </pic:blipFill>
                  <pic:spPr>
                    <a:xfrm>
                      <a:off x="0" y="0"/>
                      <a:ext cx="4883150" cy="2724785"/>
                    </a:xfrm>
                    <a:prstGeom prst="rect">
                      <a:avLst/>
                    </a:prstGeom>
                  </pic:spPr>
                </pic:pic>
              </a:graphicData>
            </a:graphic>
          </wp:anchor>
        </w:drawing>
      </w:r>
      <w:r>
        <w:rPr>
          <w:rFonts w:hint="eastAsia" w:ascii="仿宋" w:hAnsi="仿宋" w:eastAsia="仿宋"/>
          <w:sz w:val="32"/>
          <w:szCs w:val="32"/>
        </w:rPr>
        <w:t>（图5：一般公共预算财政拨款支出决算变动情况）（柱状图）</w:t>
      </w:r>
    </w:p>
    <w:p>
      <w:pPr>
        <w:spacing w:line="600" w:lineRule="exact"/>
        <w:ind w:firstLine="643" w:firstLineChars="200"/>
        <w:outlineLvl w:val="2"/>
        <w:rPr>
          <w:rFonts w:ascii="仿宋" w:hAnsi="仿宋" w:eastAsia="仿宋"/>
          <w:b/>
          <w:sz w:val="32"/>
          <w:szCs w:val="32"/>
        </w:rPr>
      </w:pPr>
      <w:bookmarkStart w:id="42" w:name="_Toc15377211"/>
      <w:r>
        <w:rPr>
          <w:rFonts w:hint="eastAsia" w:ascii="仿宋" w:hAnsi="仿宋" w:eastAsia="仿宋"/>
          <w:b/>
          <w:sz w:val="32"/>
          <w:szCs w:val="32"/>
        </w:rPr>
        <w:t>（二）一般公共预算财政拨款支出决算结构情况</w:t>
      </w:r>
      <w:bookmarkEnd w:id="42"/>
    </w:p>
    <w:p>
      <w:pPr>
        <w:spacing w:line="600" w:lineRule="exact"/>
        <w:ind w:firstLine="640"/>
        <w:rPr>
          <w:rFonts w:hint="eastAsia" w:ascii="仿宋" w:hAnsi="仿宋" w:eastAsia="仿宋"/>
          <w:sz w:val="32"/>
          <w:szCs w:val="32"/>
        </w:rPr>
      </w:pPr>
      <w:bookmarkStart w:id="43" w:name="_Toc15377212"/>
      <w:r>
        <w:rPr>
          <w:rFonts w:hint="eastAsia" w:ascii="仿宋" w:hAnsi="仿宋" w:eastAsia="仿宋"/>
          <w:sz w:val="32"/>
          <w:szCs w:val="32"/>
        </w:rPr>
        <w:t>2023年度一般公共预算财政拨款支出</w:t>
      </w:r>
      <w:r>
        <w:rPr>
          <w:rFonts w:hint="eastAsia" w:ascii="宋体" w:hAnsi="宋体"/>
          <w:sz w:val="32"/>
          <w:szCs w:val="32"/>
          <w:lang w:val="en-US" w:eastAsia="zh-CN"/>
        </w:rPr>
        <w:t>5.96</w:t>
      </w:r>
      <w:r>
        <w:rPr>
          <w:rFonts w:hint="eastAsia" w:ascii="仿宋" w:hAnsi="仿宋" w:eastAsia="仿宋"/>
          <w:sz w:val="32"/>
          <w:szCs w:val="32"/>
        </w:rPr>
        <w:t>万元，主要用于以下方面:文化旅游体育与传媒支出</w:t>
      </w:r>
      <w:r>
        <w:rPr>
          <w:rFonts w:hint="eastAsia" w:ascii="仿宋" w:hAnsi="仿宋" w:eastAsia="仿宋"/>
          <w:sz w:val="32"/>
          <w:szCs w:val="32"/>
          <w:lang w:val="en-US" w:eastAsia="zh-CN"/>
        </w:rPr>
        <w:t>4.56</w:t>
      </w:r>
      <w:r>
        <w:rPr>
          <w:rFonts w:hint="eastAsia" w:ascii="仿宋" w:hAnsi="仿宋" w:eastAsia="仿宋"/>
          <w:sz w:val="32"/>
          <w:szCs w:val="32"/>
        </w:rPr>
        <w:t>万元，占</w:t>
      </w:r>
      <w:r>
        <w:rPr>
          <w:rFonts w:hint="eastAsia" w:ascii="仿宋" w:hAnsi="仿宋" w:eastAsia="仿宋"/>
          <w:sz w:val="32"/>
          <w:szCs w:val="32"/>
          <w:lang w:val="en-US" w:eastAsia="zh-CN"/>
        </w:rPr>
        <w:t>76.51</w:t>
      </w:r>
      <w:r>
        <w:rPr>
          <w:rFonts w:hint="eastAsia" w:ascii="仿宋" w:hAnsi="仿宋" w:eastAsia="仿宋"/>
          <w:sz w:val="32"/>
          <w:szCs w:val="32"/>
        </w:rPr>
        <w:t>%；社会保障和就业支出</w:t>
      </w:r>
      <w:r>
        <w:rPr>
          <w:rFonts w:hint="eastAsia" w:ascii="仿宋" w:hAnsi="仿宋" w:eastAsia="仿宋"/>
          <w:sz w:val="32"/>
          <w:szCs w:val="32"/>
          <w:lang w:val="en-US" w:eastAsia="zh-CN"/>
        </w:rPr>
        <w:t>0.91</w:t>
      </w:r>
      <w:r>
        <w:rPr>
          <w:rFonts w:hint="eastAsia" w:ascii="仿宋" w:hAnsi="仿宋" w:eastAsia="仿宋"/>
          <w:sz w:val="32"/>
          <w:szCs w:val="32"/>
        </w:rPr>
        <w:t>万元，占</w:t>
      </w:r>
      <w:r>
        <w:rPr>
          <w:rFonts w:hint="eastAsia" w:ascii="仿宋" w:hAnsi="仿宋" w:eastAsia="仿宋"/>
          <w:sz w:val="32"/>
          <w:szCs w:val="32"/>
          <w:lang w:val="en-US" w:eastAsia="zh-CN"/>
        </w:rPr>
        <w:t>15.27</w:t>
      </w:r>
      <w:r>
        <w:rPr>
          <w:rFonts w:hint="eastAsia" w:ascii="仿宋" w:hAnsi="仿宋" w:eastAsia="仿宋"/>
          <w:sz w:val="32"/>
          <w:szCs w:val="32"/>
        </w:rPr>
        <w:t>%；卫生健康支出</w:t>
      </w:r>
      <w:r>
        <w:rPr>
          <w:rFonts w:hint="eastAsia" w:ascii="仿宋" w:hAnsi="仿宋" w:eastAsia="仿宋"/>
          <w:sz w:val="32"/>
          <w:szCs w:val="32"/>
          <w:lang w:val="en-US" w:eastAsia="zh-CN"/>
        </w:rPr>
        <w:t>0.22</w:t>
      </w:r>
      <w:r>
        <w:rPr>
          <w:rFonts w:hint="eastAsia" w:ascii="仿宋" w:hAnsi="仿宋" w:eastAsia="仿宋"/>
          <w:sz w:val="32"/>
          <w:szCs w:val="32"/>
        </w:rPr>
        <w:t>万元，占</w:t>
      </w:r>
      <w:r>
        <w:rPr>
          <w:rFonts w:hint="eastAsia" w:ascii="仿宋" w:hAnsi="仿宋" w:eastAsia="仿宋"/>
          <w:sz w:val="32"/>
          <w:szCs w:val="32"/>
          <w:lang w:val="en-US" w:eastAsia="zh-CN"/>
        </w:rPr>
        <w:t>3.69</w:t>
      </w:r>
      <w:r>
        <w:rPr>
          <w:rFonts w:hint="eastAsia" w:ascii="仿宋" w:hAnsi="仿宋" w:eastAsia="仿宋"/>
          <w:sz w:val="32"/>
          <w:szCs w:val="32"/>
        </w:rPr>
        <w:t>%；住房保障支出</w:t>
      </w:r>
      <w:r>
        <w:rPr>
          <w:rFonts w:hint="eastAsia" w:ascii="仿宋" w:hAnsi="仿宋" w:eastAsia="仿宋"/>
          <w:sz w:val="32"/>
          <w:szCs w:val="32"/>
          <w:lang w:val="en-US" w:eastAsia="zh-CN"/>
        </w:rPr>
        <w:t>0.27</w:t>
      </w:r>
      <w:r>
        <w:rPr>
          <w:rFonts w:hint="eastAsia" w:ascii="仿宋" w:hAnsi="仿宋" w:eastAsia="仿宋"/>
          <w:sz w:val="32"/>
          <w:szCs w:val="32"/>
        </w:rPr>
        <w:t>万元，占</w:t>
      </w:r>
      <w:r>
        <w:rPr>
          <w:rFonts w:hint="eastAsia" w:ascii="仿宋" w:hAnsi="仿宋" w:eastAsia="仿宋"/>
          <w:sz w:val="32"/>
          <w:szCs w:val="32"/>
          <w:lang w:val="en-US" w:eastAsia="zh-CN"/>
        </w:rPr>
        <w:t>4.53</w:t>
      </w:r>
      <w:r>
        <w:rPr>
          <w:rFonts w:hint="eastAsia" w:ascii="仿宋" w:hAnsi="仿宋" w:eastAsia="仿宋"/>
          <w:sz w:val="32"/>
          <w:szCs w:val="32"/>
        </w:rPr>
        <w:t>%。</w:t>
      </w:r>
    </w:p>
    <w:p>
      <w:pPr>
        <w:spacing w:line="600" w:lineRule="exact"/>
        <w:ind w:firstLine="640"/>
        <w:rPr>
          <w:rFonts w:hint="eastAsia"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3360" behindDoc="0" locked="0" layoutInCell="1" allowOverlap="1">
            <wp:simplePos x="0" y="0"/>
            <wp:positionH relativeFrom="column">
              <wp:posOffset>60325</wp:posOffset>
            </wp:positionH>
            <wp:positionV relativeFrom="paragraph">
              <wp:posOffset>417830</wp:posOffset>
            </wp:positionV>
            <wp:extent cx="4565650" cy="2477770"/>
            <wp:effectExtent l="0" t="0" r="6350" b="17780"/>
            <wp:wrapTopAndBottom/>
            <wp:docPr id="7" name="图片 7" descr="图片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3"/>
                    <pic:cNvPicPr>
                      <a:picLocks noChangeAspect="1"/>
                    </pic:cNvPicPr>
                  </pic:nvPicPr>
                  <pic:blipFill>
                    <a:blip r:embed="rId11"/>
                    <a:stretch>
                      <a:fillRect/>
                    </a:stretch>
                  </pic:blipFill>
                  <pic:spPr>
                    <a:xfrm>
                      <a:off x="0" y="0"/>
                      <a:ext cx="4565650" cy="2477770"/>
                    </a:xfrm>
                    <a:prstGeom prst="rect">
                      <a:avLst/>
                    </a:prstGeom>
                  </pic:spPr>
                </pic:pic>
              </a:graphicData>
            </a:graphic>
          </wp:anchor>
        </w:drawing>
      </w:r>
    </w:p>
    <w:p>
      <w:pPr>
        <w:spacing w:line="600" w:lineRule="exact"/>
        <w:ind w:firstLine="640" w:firstLineChars="200"/>
        <w:rPr>
          <w:rFonts w:hint="eastAsia" w:ascii="仿宋" w:hAnsi="仿宋" w:eastAsia="仿宋"/>
          <w:b/>
          <w:sz w:val="32"/>
          <w:szCs w:val="32"/>
        </w:rPr>
      </w:pPr>
      <w:r>
        <w:rPr>
          <w:rFonts w:hint="eastAsia" w:ascii="仿宋" w:hAnsi="仿宋" w:eastAsia="仿宋"/>
          <w:sz w:val="32"/>
          <w:szCs w:val="32"/>
        </w:rPr>
        <w:t>（图</w:t>
      </w:r>
      <w:r>
        <w:rPr>
          <w:rFonts w:hint="eastAsia" w:ascii="仿宋" w:hAnsi="仿宋" w:eastAsia="仿宋"/>
          <w:sz w:val="32"/>
          <w:szCs w:val="32"/>
          <w:lang w:val="en-US" w:eastAsia="zh-CN"/>
        </w:rPr>
        <w:t>6</w:t>
      </w:r>
      <w:r>
        <w:rPr>
          <w:rFonts w:hint="eastAsia" w:ascii="仿宋" w:hAnsi="仿宋" w:eastAsia="仿宋"/>
          <w:sz w:val="32"/>
          <w:szCs w:val="32"/>
        </w:rPr>
        <w:t>：一般公共预算财政拨款支出决算结构）（饼状图）</w:t>
      </w:r>
    </w:p>
    <w:p>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（三）一般公共预算财政拨款支出决算具体情况</w:t>
      </w:r>
      <w:bookmarkEnd w:id="43"/>
    </w:p>
    <w:p>
      <w:pPr>
        <w:spacing w:line="600" w:lineRule="exact"/>
        <w:ind w:firstLine="643" w:firstLineChars="200"/>
        <w:outlineLvl w:val="2"/>
        <w:rPr>
          <w:rFonts w:ascii="仿宋" w:hAnsi="仿宋" w:eastAsia="仿宋"/>
          <w:sz w:val="32"/>
          <w:szCs w:val="32"/>
        </w:rPr>
      </w:pPr>
      <w:bookmarkStart w:id="44" w:name="_Toc15377213"/>
      <w:bookmarkStart w:id="45" w:name="_Toc15377444"/>
      <w:bookmarkStart w:id="46" w:name="_Toc15378460"/>
      <w:bookmarkStart w:id="47" w:name="_Toc15396608"/>
      <w:bookmarkStart w:id="48" w:name="_Toc15377214"/>
      <w:r>
        <w:rPr>
          <w:rFonts w:hint="eastAsia" w:ascii="仿宋" w:hAnsi="仿宋" w:eastAsia="仿宋"/>
          <w:b/>
          <w:sz w:val="32"/>
          <w:szCs w:val="32"/>
        </w:rPr>
        <w:t>2023年度一般公共预算支出决算数为</w:t>
      </w:r>
      <w:r>
        <w:rPr>
          <w:rFonts w:hint="eastAsia" w:ascii="宋体" w:hAnsi="宋体"/>
          <w:sz w:val="32"/>
          <w:szCs w:val="32"/>
          <w:lang w:val="en-US" w:eastAsia="zh-CN"/>
        </w:rPr>
        <w:t>5.96</w:t>
      </w:r>
      <w:r>
        <w:rPr>
          <w:rFonts w:hint="eastAsia" w:ascii="宋体" w:hAnsi="宋体"/>
          <w:sz w:val="32"/>
          <w:szCs w:val="32"/>
          <w:highlight w:val="none"/>
          <w:lang w:val="en-US" w:eastAsia="zh-CN"/>
        </w:rPr>
        <w:t>万元</w:t>
      </w:r>
      <w:r>
        <w:rPr>
          <w:rFonts w:hint="eastAsia" w:ascii="仿宋" w:hAnsi="仿宋" w:eastAsia="仿宋"/>
          <w:sz w:val="32"/>
          <w:szCs w:val="32"/>
        </w:rPr>
        <w:t>，</w:t>
      </w:r>
      <w:r>
        <w:rPr>
          <w:rStyle w:val="18"/>
          <w:rFonts w:hint="eastAsia" w:ascii="仿宋" w:hAnsi="仿宋" w:eastAsia="仿宋"/>
          <w:bCs/>
          <w:sz w:val="32"/>
          <w:szCs w:val="32"/>
        </w:rPr>
        <w:t>完成预算</w:t>
      </w:r>
      <w:r>
        <w:rPr>
          <w:rStyle w:val="18"/>
          <w:rFonts w:hint="eastAsia" w:ascii="仿宋" w:hAnsi="仿宋" w:eastAsia="仿宋"/>
          <w:bCs/>
          <w:sz w:val="32"/>
          <w:szCs w:val="32"/>
          <w:lang w:val="en-US" w:eastAsia="zh-CN"/>
        </w:rPr>
        <w:t>100</w:t>
      </w:r>
      <w:r>
        <w:rPr>
          <w:rStyle w:val="18"/>
          <w:rFonts w:ascii="仿宋" w:hAnsi="仿宋" w:eastAsia="仿宋"/>
          <w:bCs/>
          <w:sz w:val="32"/>
          <w:szCs w:val="32"/>
        </w:rPr>
        <w:t>%</w:t>
      </w:r>
      <w:r>
        <w:rPr>
          <w:rStyle w:val="18"/>
          <w:rFonts w:hint="eastAsia" w:ascii="仿宋" w:hAnsi="仿宋" w:eastAsia="仿宋"/>
          <w:bCs/>
          <w:sz w:val="32"/>
          <w:szCs w:val="32"/>
        </w:rPr>
        <w:t>。其中：</w:t>
      </w:r>
      <w:bookmarkEnd w:id="44"/>
      <w:bookmarkEnd w:id="45"/>
      <w:bookmarkEnd w:id="46"/>
    </w:p>
    <w:p>
      <w:pPr>
        <w:spacing w:line="600"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1.文化旅游体育与传媒（类）体育（款）群众体育（项）: 支出决算为0.09万元，完成预算100%。</w:t>
      </w:r>
    </w:p>
    <w:p>
      <w:pPr>
        <w:spacing w:line="600"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2.文化旅游体育与传媒（类）体育（款）其他体育支出（项）: 支出决算为4.47万元，完成预算100%。</w:t>
      </w:r>
    </w:p>
    <w:p>
      <w:pPr>
        <w:spacing w:line="600"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3.社会保障和就业支出（类）行政事业单位养老支出（款）机关事业单位基本养老保险缴费支出（项）: 支出决算为0.6万元，完成预算100%。</w:t>
      </w:r>
    </w:p>
    <w:p>
      <w:pPr>
        <w:spacing w:line="600"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4.社会保障和就业支出（类）行政事业单位养老支出（款）机关事业单位职业年金缴费支出（项）: 支出决算为0.31万元，完成预算100%。</w:t>
      </w:r>
    </w:p>
    <w:p>
      <w:pPr>
        <w:spacing w:line="600"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5.卫生健康支出（类）行政事业单位医疗（款）事业单位医疗（项）:支出决算为0.22万元，完成预算100%。</w:t>
      </w:r>
    </w:p>
    <w:p>
      <w:pPr>
        <w:spacing w:line="600" w:lineRule="exact"/>
        <w:ind w:firstLine="640"/>
        <w:rPr>
          <w:rFonts w:hint="eastAsia" w:ascii="黑体" w:eastAsia="黑体"/>
          <w:sz w:val="32"/>
          <w:szCs w:val="32"/>
        </w:rPr>
      </w:pPr>
      <w:r>
        <w:rPr>
          <w:rFonts w:hint="eastAsia" w:ascii="仿宋" w:hAnsi="仿宋" w:eastAsia="仿宋"/>
          <w:sz w:val="32"/>
          <w:szCs w:val="32"/>
          <w:lang w:val="en-US" w:eastAsia="zh-CN"/>
        </w:rPr>
        <w:t>6.住房保障支出（类）住房改革支出（款）住房公积金（项）:支出决算为0.27万元，完成预算100%。</w:t>
      </w:r>
    </w:p>
    <w:p>
      <w:pPr>
        <w:tabs>
          <w:tab w:val="right" w:pos="8306"/>
        </w:tabs>
        <w:spacing w:line="600" w:lineRule="exact"/>
        <w:ind w:firstLine="640"/>
        <w:outlineLvl w:val="1"/>
        <w:rPr>
          <w:rStyle w:val="30"/>
        </w:rPr>
      </w:pPr>
      <w:bookmarkStart w:id="49" w:name="_Toc24853"/>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47"/>
      <w:bookmarkEnd w:id="48"/>
      <w:bookmarkEnd w:id="49"/>
      <w:r>
        <w:rPr>
          <w:rStyle w:val="30"/>
          <w:rFonts w:ascii="黑体" w:hAnsi="黑体" w:eastAsia="黑体"/>
          <w:b w:val="0"/>
        </w:rPr>
        <w:tab/>
      </w:r>
    </w:p>
    <w:p>
      <w:pPr>
        <w:spacing w:line="600" w:lineRule="exact"/>
        <w:ind w:firstLine="645"/>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2023年度一般公共预算财政拨款基本支出</w:t>
      </w:r>
      <w:r>
        <w:rPr>
          <w:rFonts w:hint="eastAsia" w:ascii="仿宋" w:hAnsi="仿宋" w:eastAsia="仿宋"/>
          <w:b/>
          <w:color w:val="000000" w:themeColor="text1"/>
          <w:sz w:val="32"/>
          <w:szCs w:val="32"/>
          <w:lang w:val="en-US" w:eastAsia="zh-CN"/>
          <w14:textFill>
            <w14:solidFill>
              <w14:schemeClr w14:val="tx1"/>
            </w14:solidFill>
          </w14:textFill>
        </w:rPr>
        <w:t>5.96</w:t>
      </w:r>
      <w:r>
        <w:rPr>
          <w:rFonts w:hint="eastAsia" w:ascii="仿宋" w:hAnsi="仿宋" w:eastAsia="仿宋"/>
          <w:color w:val="000000" w:themeColor="text1"/>
          <w:sz w:val="32"/>
          <w:szCs w:val="32"/>
          <w14:textFill>
            <w14:solidFill>
              <w14:schemeClr w14:val="tx1"/>
            </w14:solidFill>
          </w14:textFill>
        </w:rPr>
        <w:t>万元，其中：</w:t>
      </w:r>
    </w:p>
    <w:p>
      <w:pPr>
        <w:spacing w:line="600" w:lineRule="exact"/>
        <w:ind w:firstLine="645"/>
        <w:rPr>
          <w:rFonts w:hint="eastAsia" w:ascii="仿宋" w:hAnsi="仿宋" w:eastAsia="仿宋" w:cs="Times New Roman"/>
          <w:color w:val="000000" w:themeColor="text1"/>
          <w:sz w:val="32"/>
          <w:szCs w:val="32"/>
          <w:lang w:val="en-US" w:eastAsia="zh-CN"/>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人员经费</w:t>
      </w:r>
      <w:r>
        <w:rPr>
          <w:rFonts w:hint="eastAsia" w:ascii="仿宋" w:hAnsi="仿宋" w:eastAsia="仿宋" w:cs="Times New Roman"/>
          <w:color w:val="000000" w:themeColor="text1"/>
          <w:sz w:val="32"/>
          <w:szCs w:val="32"/>
          <w:lang w:val="en-US" w:eastAsia="zh-CN"/>
          <w14:textFill>
            <w14:solidFill>
              <w14:schemeClr w14:val="tx1"/>
            </w14:solidFill>
          </w14:textFill>
        </w:rPr>
        <w:t>5.57</w:t>
      </w:r>
      <w:r>
        <w:rPr>
          <w:rFonts w:hint="eastAsia" w:ascii="仿宋" w:hAnsi="仿宋" w:eastAsia="仿宋" w:cs="Times New Roman"/>
          <w:color w:val="000000" w:themeColor="text1"/>
          <w:sz w:val="32"/>
          <w:szCs w:val="32"/>
          <w14:textFill>
            <w14:solidFill>
              <w14:schemeClr w14:val="tx1"/>
            </w14:solidFill>
          </w14:textFill>
        </w:rPr>
        <w:t>万元，主要包括：基本工资、津贴补贴、伙食补助费、绩效工资、机关事业单位基本养老保险缴费、职业年金缴费、</w:t>
      </w:r>
      <w:r>
        <w:rPr>
          <w:rFonts w:hint="eastAsia" w:ascii="仿宋" w:hAnsi="仿宋" w:eastAsia="仿宋" w:cs="Times New Roman"/>
          <w:color w:val="000000" w:themeColor="text1"/>
          <w:sz w:val="32"/>
          <w:szCs w:val="32"/>
          <w:lang w:val="en-US" w:eastAsia="zh-CN"/>
          <w14:textFill>
            <w14:solidFill>
              <w14:schemeClr w14:val="tx1"/>
            </w14:solidFill>
          </w14:textFill>
        </w:rPr>
        <w:t>职工基本医疗保障缴费</w:t>
      </w:r>
      <w:r>
        <w:rPr>
          <w:rFonts w:hint="eastAsia" w:ascii="仿宋" w:hAnsi="仿宋" w:eastAsia="仿宋" w:cs="Times New Roman"/>
          <w:color w:val="000000" w:themeColor="text1"/>
          <w:sz w:val="32"/>
          <w:szCs w:val="32"/>
          <w14:textFill>
            <w14:solidFill>
              <w14:schemeClr w14:val="tx1"/>
            </w14:solidFill>
          </w14:textFill>
        </w:rPr>
        <w:t>、住房公积金。</w:t>
      </w:r>
      <w:r>
        <w:rPr>
          <w:rFonts w:hint="eastAsia" w:ascii="仿宋" w:hAnsi="仿宋" w:eastAsia="仿宋" w:cs="Times New Roman"/>
          <w:color w:val="000000" w:themeColor="text1"/>
          <w:sz w:val="32"/>
          <w:szCs w:val="32"/>
          <w14:textFill>
            <w14:solidFill>
              <w14:schemeClr w14:val="tx1"/>
            </w14:solidFill>
          </w14:textFill>
        </w:rPr>
        <w:br w:type="textWrapping"/>
      </w:r>
      <w:r>
        <w:rPr>
          <w:rFonts w:hint="eastAsia" w:ascii="仿宋" w:hAnsi="仿宋" w:eastAsia="仿宋" w:cs="Times New Roman"/>
          <w:color w:val="000000" w:themeColor="text1"/>
          <w:sz w:val="32"/>
          <w:szCs w:val="32"/>
          <w:lang w:val="en-US" w:eastAsia="zh-CN"/>
          <w14:textFill>
            <w14:solidFill>
              <w14:schemeClr w14:val="tx1"/>
            </w14:solidFill>
          </w14:textFill>
        </w:rPr>
        <w:t xml:space="preserve">    </w:t>
      </w:r>
      <w:bookmarkStart w:id="102" w:name="_GoBack"/>
      <w:bookmarkEnd w:id="102"/>
      <w:r>
        <w:rPr>
          <w:rFonts w:hint="eastAsia" w:ascii="仿宋" w:hAnsi="仿宋" w:eastAsia="仿宋" w:cs="Times New Roman"/>
          <w:color w:val="000000" w:themeColor="text1"/>
          <w:sz w:val="32"/>
          <w:szCs w:val="32"/>
          <w14:textFill>
            <w14:solidFill>
              <w14:schemeClr w14:val="tx1"/>
            </w14:solidFill>
          </w14:textFill>
        </w:rPr>
        <w:t>公用经费</w:t>
      </w:r>
      <w:r>
        <w:rPr>
          <w:rFonts w:hint="eastAsia" w:ascii="仿宋" w:hAnsi="仿宋" w:eastAsia="仿宋" w:cs="Times New Roman"/>
          <w:color w:val="000000" w:themeColor="text1"/>
          <w:sz w:val="32"/>
          <w:szCs w:val="32"/>
          <w:lang w:val="en-US" w:eastAsia="zh-CN"/>
          <w14:textFill>
            <w14:solidFill>
              <w14:schemeClr w14:val="tx1"/>
            </w14:solidFill>
          </w14:textFill>
        </w:rPr>
        <w:t>0.39</w:t>
      </w:r>
      <w:r>
        <w:rPr>
          <w:rFonts w:hint="eastAsia" w:ascii="仿宋" w:hAnsi="仿宋" w:eastAsia="仿宋" w:cs="Times New Roman"/>
          <w:color w:val="000000" w:themeColor="text1"/>
          <w:sz w:val="32"/>
          <w:szCs w:val="32"/>
          <w14:textFill>
            <w14:solidFill>
              <w14:schemeClr w14:val="tx1"/>
            </w14:solidFill>
          </w14:textFill>
        </w:rPr>
        <w:t>万元，主要包括：办公费</w:t>
      </w:r>
      <w:r>
        <w:rPr>
          <w:rFonts w:hint="eastAsia" w:ascii="仿宋" w:hAnsi="仿宋" w:eastAsia="仿宋" w:cs="Times New Roman"/>
          <w:color w:val="000000" w:themeColor="text1"/>
          <w:sz w:val="32"/>
          <w:szCs w:val="32"/>
          <w:lang w:eastAsia="zh-CN"/>
          <w14:textFill>
            <w14:solidFill>
              <w14:schemeClr w14:val="tx1"/>
            </w14:solidFill>
          </w14:textFill>
        </w:rPr>
        <w:t>、</w:t>
      </w:r>
      <w:r>
        <w:rPr>
          <w:rFonts w:hint="eastAsia" w:ascii="仿宋" w:hAnsi="仿宋" w:eastAsia="仿宋" w:cs="Times New Roman"/>
          <w:color w:val="000000" w:themeColor="text1"/>
          <w:sz w:val="32"/>
          <w:szCs w:val="32"/>
          <w14:textFill>
            <w14:solidFill>
              <w14:schemeClr w14:val="tx1"/>
            </w14:solidFill>
          </w14:textFill>
        </w:rPr>
        <w:t>差旅费</w:t>
      </w:r>
      <w:r>
        <w:rPr>
          <w:rFonts w:hint="eastAsia" w:ascii="仿宋" w:hAnsi="仿宋" w:eastAsia="仿宋" w:cs="Times New Roman"/>
          <w:color w:val="000000" w:themeColor="text1"/>
          <w:sz w:val="32"/>
          <w:szCs w:val="32"/>
          <w:lang w:eastAsia="zh-CN"/>
          <w14:textFill>
            <w14:solidFill>
              <w14:schemeClr w14:val="tx1"/>
            </w14:solidFill>
          </w14:textFill>
        </w:rPr>
        <w:t>、</w:t>
      </w:r>
      <w:r>
        <w:rPr>
          <w:rFonts w:hint="eastAsia" w:ascii="仿宋" w:hAnsi="仿宋" w:eastAsia="仿宋" w:cs="Times New Roman"/>
          <w:color w:val="000000" w:themeColor="text1"/>
          <w:sz w:val="32"/>
          <w:szCs w:val="32"/>
          <w14:textFill>
            <w14:solidFill>
              <w14:schemeClr w14:val="tx1"/>
            </w14:solidFill>
          </w14:textFill>
        </w:rPr>
        <w:t>工会经费、福利费。</w:t>
      </w:r>
    </w:p>
    <w:p>
      <w:pPr>
        <w:spacing w:line="600" w:lineRule="exact"/>
        <w:ind w:firstLine="640"/>
        <w:outlineLvl w:val="1"/>
        <w:rPr>
          <w:rStyle w:val="30"/>
          <w:rFonts w:ascii="黑体" w:hAnsi="黑体" w:eastAsia="黑体"/>
          <w:b w:val="0"/>
        </w:rPr>
      </w:pPr>
      <w:bookmarkStart w:id="50" w:name="_Toc18300"/>
      <w:bookmarkStart w:id="51" w:name="_Toc15396609"/>
      <w:bookmarkStart w:id="52" w:name="_Toc15377215"/>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50"/>
      <w:bookmarkEnd w:id="51"/>
      <w:bookmarkEnd w:id="52"/>
    </w:p>
    <w:p>
      <w:pPr>
        <w:spacing w:line="600" w:lineRule="exact"/>
        <w:ind w:firstLine="640"/>
        <w:outlineLvl w:val="2"/>
        <w:rPr>
          <w:rFonts w:ascii="仿宋" w:hAnsi="仿宋" w:eastAsia="仿宋"/>
          <w:b/>
          <w:sz w:val="32"/>
          <w:szCs w:val="32"/>
        </w:rPr>
      </w:pPr>
      <w:bookmarkStart w:id="53" w:name="_Toc15377216"/>
      <w:r>
        <w:rPr>
          <w:rFonts w:hint="eastAsia" w:ascii="仿宋" w:hAnsi="仿宋" w:eastAsia="仿宋"/>
          <w:b/>
          <w:sz w:val="32"/>
          <w:szCs w:val="32"/>
        </w:rPr>
        <w:t>（一）“三公”经费财政拨款支出决算总体情况说明</w:t>
      </w:r>
      <w:bookmarkEnd w:id="53"/>
    </w:p>
    <w:p>
      <w:pPr>
        <w:spacing w:line="600" w:lineRule="exact"/>
        <w:ind w:firstLine="640"/>
        <w:rPr>
          <w:rFonts w:ascii="仿宋" w:hAnsi="仿宋" w:eastAsia="仿宋"/>
          <w:color w:val="auto"/>
          <w:sz w:val="32"/>
          <w:szCs w:val="32"/>
          <w:highlight w:val="none"/>
        </w:rPr>
      </w:pPr>
      <w:bookmarkStart w:id="54" w:name="_Toc15377217"/>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较上年度增加</w:t>
      </w:r>
      <w:r>
        <w:rPr>
          <w:rFonts w:hint="eastAsia" w:ascii="仿宋" w:hAnsi="仿宋" w:eastAsia="仿宋"/>
          <w:color w:val="auto"/>
          <w:sz w:val="32"/>
          <w:szCs w:val="32"/>
          <w:highlight w:val="none"/>
          <w:lang w:val="en-US" w:eastAsia="zh-CN"/>
        </w:rPr>
        <w:t>0万元，增长0%。</w:t>
      </w:r>
    </w:p>
    <w:p>
      <w:pPr>
        <w:numPr>
          <w:ilvl w:val="0"/>
          <w:numId w:val="4"/>
        </w:numPr>
        <w:spacing w:line="600" w:lineRule="exact"/>
        <w:ind w:firstLine="640"/>
        <w:outlineLvl w:val="2"/>
        <w:rPr>
          <w:rFonts w:hint="eastAsia" w:ascii="仿宋" w:hAnsi="仿宋" w:eastAsia="仿宋"/>
          <w:b/>
          <w:sz w:val="32"/>
          <w:szCs w:val="32"/>
        </w:rPr>
      </w:pPr>
      <w:r>
        <w:rPr>
          <w:rFonts w:hint="eastAsia" w:ascii="仿宋" w:hAnsi="仿宋" w:eastAsia="仿宋"/>
          <w:b/>
          <w:sz w:val="32"/>
          <w:szCs w:val="32"/>
        </w:rPr>
        <w:t>“三公”经费财政拨款支出决算具体情况说明</w:t>
      </w:r>
      <w:bookmarkEnd w:id="54"/>
    </w:p>
    <w:p>
      <w:pPr>
        <w:spacing w:line="600" w:lineRule="exact"/>
        <w:ind w:firstLine="640"/>
        <w:rPr>
          <w:rFonts w:hint="eastAsia" w:ascii="仿宋" w:hAnsi="仿宋" w:eastAsia="仿宋" w:cs="Times New Roman"/>
          <w:sz w:val="32"/>
          <w:szCs w:val="32"/>
        </w:rPr>
      </w:pPr>
      <w:r>
        <w:rPr>
          <w:rFonts w:hint="eastAsia" w:ascii="仿宋" w:hAnsi="仿宋" w:eastAsia="仿宋" w:cs="Times New Roman"/>
          <w:sz w:val="32"/>
          <w:szCs w:val="32"/>
        </w:rPr>
        <w:t>2023年度“三公”经费财政拨款支出决算中，因公出国（境）费支出决算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；公务用车购置及运行维护费支出决算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；公务接待费支出决算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。具体情况如下：</w:t>
      </w:r>
    </w:p>
    <w:p>
      <w:pPr>
        <w:pStyle w:val="2"/>
        <w:rPr>
          <w:rFonts w:hint="eastAsia" w:ascii="仿宋" w:hAnsi="仿宋" w:eastAsia="仿宋" w:cs="Times New Roman"/>
          <w:sz w:val="32"/>
          <w:szCs w:val="32"/>
        </w:rPr>
      </w:pPr>
    </w:p>
    <w:p>
      <w:pPr>
        <w:pStyle w:val="3"/>
        <w:rPr>
          <w:rFonts w:hint="eastAsia" w:ascii="仿宋" w:hAnsi="仿宋" w:eastAsia="仿宋" w:cs="Times New Roman"/>
          <w:sz w:val="32"/>
          <w:szCs w:val="32"/>
        </w:rPr>
      </w:pPr>
      <w:r>
        <w:rPr>
          <w:rFonts w:hint="eastAsia" w:ascii="Arial" w:hAnsi="Arial" w:eastAsia="仿宋" w:cs="Times New Roman"/>
          <w:b/>
          <w:kern w:val="2"/>
          <w:sz w:val="24"/>
          <w:szCs w:val="28"/>
          <w:lang w:val="en-US" w:eastAsia="zh-CN" w:bidi="ar-SA"/>
        </w:rPr>
        <w:drawing>
          <wp:inline distT="0" distB="0" distL="114300" distR="114300">
            <wp:extent cx="3958590" cy="2733675"/>
            <wp:effectExtent l="0" t="0" r="381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lum/>
                    </a:blip>
                    <a:stretch>
                      <a:fillRect/>
                    </a:stretch>
                  </pic:blipFill>
                  <pic:spPr>
                    <a:xfrm>
                      <a:off x="0" y="0"/>
                      <a:ext cx="3958590" cy="2733675"/>
                    </a:xfrm>
                    <a:prstGeom prst="rect">
                      <a:avLst/>
                    </a:prstGeom>
                    <a:noFill/>
                    <a:ln>
                      <a:noFill/>
                    </a:ln>
                  </pic:spPr>
                </pic:pic>
              </a:graphicData>
            </a:graphic>
          </wp:inline>
        </w:drawing>
      </w:r>
    </w:p>
    <w:p>
      <w:pPr>
        <w:spacing w:line="600" w:lineRule="exact"/>
        <w:ind w:firstLine="640"/>
      </w:pPr>
      <w:r>
        <w:rPr>
          <w:rFonts w:hint="eastAsia" w:ascii="仿宋" w:hAnsi="仿宋" w:eastAsia="仿宋" w:cs="Times New Roman"/>
          <w:sz w:val="32"/>
          <w:szCs w:val="32"/>
        </w:rPr>
        <w:t>（图7：“三公”经费财政拨款支出结构）（饼状图）</w:t>
      </w:r>
    </w:p>
    <w:p>
      <w:pPr>
        <w:numPr>
          <w:ilvl w:val="0"/>
          <w:numId w:val="5"/>
        </w:numPr>
        <w:spacing w:line="600" w:lineRule="exact"/>
        <w:ind w:firstLine="640"/>
        <w:rPr>
          <w:rFonts w:hint="eastAsia" w:ascii="仿宋" w:hAnsi="仿宋" w:eastAsia="仿宋" w:cs="仿宋"/>
          <w:color w:val="auto"/>
          <w:sz w:val="32"/>
          <w:szCs w:val="32"/>
          <w:highlight w:val="none"/>
        </w:rPr>
      </w:pPr>
      <w:bookmarkStart w:id="55" w:name="_Toc15396610"/>
      <w:bookmarkStart w:id="56" w:name="_Toc15377218"/>
      <w:r>
        <w:rPr>
          <w:rFonts w:hint="eastAsia" w:ascii="仿宋" w:hAnsi="仿宋" w:eastAsia="仿宋" w:cs="仿宋"/>
          <w:b/>
          <w:color w:val="auto"/>
          <w:sz w:val="32"/>
          <w:szCs w:val="32"/>
          <w:highlight w:val="none"/>
        </w:rPr>
        <w:t>因公出国（境）经费支出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8"/>
          <w:rFonts w:hint="eastAsia" w:ascii="仿宋" w:hAnsi="仿宋" w:eastAsia="仿宋" w:cs="仿宋"/>
          <w:b w:val="0"/>
          <w:bCs/>
          <w:color w:val="auto"/>
          <w:sz w:val="32"/>
          <w:szCs w:val="32"/>
          <w:highlight w:val="none"/>
        </w:rPr>
        <w:t>完成预算</w:t>
      </w:r>
      <w:r>
        <w:rPr>
          <w:rStyle w:val="18"/>
          <w:rFonts w:hint="eastAsia" w:ascii="仿宋" w:hAnsi="仿宋" w:eastAsia="仿宋" w:cs="仿宋"/>
          <w:b w:val="0"/>
          <w:bCs/>
          <w:color w:val="auto"/>
          <w:sz w:val="32"/>
          <w:szCs w:val="32"/>
          <w:highlight w:val="none"/>
          <w:lang w:val="en-US" w:eastAsia="zh-CN"/>
        </w:rPr>
        <w:t>0</w:t>
      </w:r>
      <w:r>
        <w:rPr>
          <w:rStyle w:val="18"/>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全年安排因公出国（境）团组</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次，出国（境）</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人。因公出国（境）支出决算比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p>
    <w:p>
      <w:pPr>
        <w:spacing w:line="600" w:lineRule="exact"/>
        <w:ind w:firstLine="640"/>
        <w:rPr>
          <w:rFonts w:hint="eastAsia" w:ascii="仿宋" w:hAnsi="仿宋" w:eastAsia="仿宋" w:cs="仿宋"/>
          <w:b/>
          <w:color w:val="auto"/>
          <w:sz w:val="32"/>
          <w:szCs w:val="32"/>
          <w:highlight w:val="none"/>
          <w:lang w:eastAsia="zh-CN"/>
        </w:rPr>
      </w:pPr>
      <w:r>
        <w:rPr>
          <w:rFonts w:ascii="仿宋_GB2312" w:eastAsia="仿宋_GB2312"/>
          <w:b/>
          <w:color w:val="auto"/>
          <w:sz w:val="32"/>
          <w:szCs w:val="32"/>
          <w:highlight w:val="none"/>
        </w:rPr>
        <w:t>2.</w:t>
      </w:r>
      <w:r>
        <w:rPr>
          <w:rFonts w:hint="eastAsia" w:ascii="仿宋" w:hAnsi="仿宋" w:eastAsia="仿宋" w:cs="仿宋"/>
          <w:b/>
          <w:color w:val="auto"/>
          <w:sz w:val="32"/>
          <w:szCs w:val="32"/>
          <w:highlight w:val="none"/>
        </w:rPr>
        <w:t>公务用车购置及运行维护费支出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8"/>
          <w:rFonts w:hint="eastAsia" w:ascii="仿宋" w:hAnsi="仿宋" w:eastAsia="仿宋" w:cs="仿宋"/>
          <w:b w:val="0"/>
          <w:bCs/>
          <w:color w:val="auto"/>
          <w:sz w:val="32"/>
          <w:szCs w:val="32"/>
          <w:highlight w:val="none"/>
        </w:rPr>
        <w:t>完成预算</w:t>
      </w:r>
      <w:r>
        <w:rPr>
          <w:rStyle w:val="18"/>
          <w:rFonts w:hint="eastAsia" w:ascii="仿宋" w:hAnsi="仿宋" w:eastAsia="仿宋" w:cs="仿宋"/>
          <w:b w:val="0"/>
          <w:bCs/>
          <w:color w:val="auto"/>
          <w:sz w:val="32"/>
          <w:szCs w:val="32"/>
          <w:highlight w:val="none"/>
          <w:lang w:val="en-US" w:eastAsia="zh-CN"/>
        </w:rPr>
        <w:t>0</w:t>
      </w:r>
      <w:r>
        <w:rPr>
          <w:rStyle w:val="18"/>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公务用车购置及运行维护费支出决算比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，主要原因是无公务用车。</w:t>
      </w:r>
    </w:p>
    <w:p>
      <w:pPr>
        <w:spacing w:line="600" w:lineRule="exact"/>
        <w:ind w:firstLine="640" w:firstLineChars="200"/>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t>其中：</w:t>
      </w:r>
      <w:r>
        <w:rPr>
          <w:rFonts w:hint="eastAsia" w:ascii="仿宋" w:hAnsi="仿宋" w:eastAsia="仿宋" w:cs="仿宋"/>
          <w:b/>
          <w:color w:val="auto"/>
          <w:sz w:val="32"/>
          <w:szCs w:val="32"/>
          <w:highlight w:val="none"/>
        </w:rPr>
        <w:t>公务用车购置支出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万元。全年按规定更新购置公务用车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辆，其中：轿车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万元，越野车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万元，载客汽车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辆、金额</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万元。截至</w:t>
      </w:r>
      <w:r>
        <w:rPr>
          <w:rFonts w:hint="eastAsia" w:ascii="仿宋" w:hAnsi="仿宋" w:eastAsia="仿宋" w:cs="仿宋"/>
          <w:color w:val="auto"/>
          <w:sz w:val="32"/>
          <w:szCs w:val="32"/>
          <w:highlight w:val="none"/>
          <w:lang w:eastAsia="zh-CN"/>
        </w:rPr>
        <w:t>2023</w:t>
      </w:r>
      <w:r>
        <w:rPr>
          <w:rFonts w:hint="eastAsia" w:ascii="仿宋" w:hAnsi="仿宋" w:eastAsia="仿宋" w:cs="仿宋"/>
          <w:color w:val="auto"/>
          <w:sz w:val="32"/>
          <w:szCs w:val="32"/>
          <w:highlight w:val="none"/>
        </w:rPr>
        <w:t>年12月</w:t>
      </w:r>
      <w:r>
        <w:rPr>
          <w:rFonts w:hint="eastAsia" w:ascii="仿宋" w:hAnsi="仿宋" w:eastAsia="仿宋" w:cs="仿宋"/>
          <w:color w:val="auto"/>
          <w:sz w:val="32"/>
          <w:szCs w:val="32"/>
          <w:highlight w:val="none"/>
          <w:lang w:val="en-US" w:eastAsia="zh-CN"/>
        </w:rPr>
        <w:t>31日</w:t>
      </w:r>
      <w:r>
        <w:rPr>
          <w:rFonts w:hint="eastAsia" w:ascii="仿宋" w:hAnsi="仿宋" w:eastAsia="仿宋" w:cs="仿宋"/>
          <w:color w:val="auto"/>
          <w:sz w:val="32"/>
          <w:szCs w:val="32"/>
          <w:highlight w:val="none"/>
        </w:rPr>
        <w:t>，单位共有公务用车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辆，其中：轿车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辆、越野车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辆、载客汽车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w:t>
      </w:r>
    </w:p>
    <w:p>
      <w:p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公务用车运行维护费支出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万元。主要用于</w:t>
      </w:r>
      <w:r>
        <w:rPr>
          <w:rFonts w:hint="eastAsia" w:ascii="仿宋" w:hAnsi="仿宋" w:eastAsia="仿宋" w:cs="仿宋"/>
          <w:color w:val="000000" w:themeColor="text1"/>
          <w:sz w:val="32"/>
          <w:szCs w:val="32"/>
          <w:highlight w:val="none"/>
          <w:lang w:val="en-US" w:eastAsia="zh-CN"/>
          <w14:textFill>
            <w14:solidFill>
              <w14:schemeClr w14:val="tx1"/>
            </w14:solidFill>
          </w14:textFill>
        </w:rPr>
        <w:t>日常</w:t>
      </w:r>
      <w:r>
        <w:rPr>
          <w:rFonts w:hint="eastAsia" w:ascii="仿宋" w:hAnsi="仿宋" w:eastAsia="仿宋" w:cs="仿宋"/>
          <w:color w:val="000000" w:themeColor="text1"/>
          <w:sz w:val="32"/>
          <w:szCs w:val="32"/>
          <w:highlight w:val="none"/>
          <w14:textFill>
            <w14:solidFill>
              <w14:schemeClr w14:val="tx1"/>
            </w14:solidFill>
          </w14:textFill>
        </w:rPr>
        <w:t>工作</w:t>
      </w:r>
      <w:r>
        <w:rPr>
          <w:rFonts w:hint="eastAsia" w:ascii="仿宋" w:hAnsi="仿宋" w:eastAsia="仿宋" w:cs="仿宋"/>
          <w:color w:val="000000" w:themeColor="text1"/>
          <w:sz w:val="32"/>
          <w:szCs w:val="32"/>
          <w:highlight w:val="none"/>
          <w:lang w:val="en-US" w:eastAsia="zh-CN"/>
          <w14:textFill>
            <w14:solidFill>
              <w14:schemeClr w14:val="tx1"/>
            </w14:solidFill>
          </w14:textFill>
        </w:rPr>
        <w:t>中</w:t>
      </w:r>
      <w:r>
        <w:rPr>
          <w:rFonts w:hint="eastAsia" w:ascii="仿宋" w:hAnsi="仿宋" w:eastAsia="仿宋" w:cs="仿宋"/>
          <w:color w:val="auto"/>
          <w:sz w:val="32"/>
          <w:szCs w:val="32"/>
          <w:highlight w:val="none"/>
        </w:rPr>
        <w:t>所需的公务用车燃料费、维修费、过路过桥费、保险费等支出。</w:t>
      </w:r>
    </w:p>
    <w:p>
      <w:pPr>
        <w:spacing w:line="600" w:lineRule="exact"/>
        <w:ind w:firstLine="640"/>
        <w:rPr>
          <w:rFonts w:hint="eastAsia" w:ascii="仿宋" w:hAnsi="仿宋" w:eastAsia="仿宋" w:cs="仿宋"/>
          <w:color w:val="auto"/>
          <w:sz w:val="32"/>
          <w:szCs w:val="32"/>
          <w:highlight w:val="none"/>
        </w:rPr>
      </w:pPr>
      <w:r>
        <w:rPr>
          <w:rFonts w:ascii="仿宋_GB2312" w:eastAsia="仿宋_GB2312"/>
          <w:b/>
          <w:color w:val="auto"/>
          <w:sz w:val="32"/>
          <w:szCs w:val="32"/>
          <w:highlight w:val="none"/>
        </w:rPr>
        <w:t>3.</w:t>
      </w:r>
      <w:r>
        <w:rPr>
          <w:rFonts w:hint="eastAsia" w:ascii="仿宋" w:hAnsi="仿宋" w:eastAsia="仿宋" w:cs="仿宋"/>
          <w:b/>
          <w:color w:val="auto"/>
          <w:sz w:val="32"/>
          <w:szCs w:val="32"/>
          <w:highlight w:val="none"/>
        </w:rPr>
        <w:t>公务接待费支出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Style w:val="18"/>
          <w:rFonts w:hint="eastAsia" w:ascii="仿宋" w:hAnsi="仿宋" w:eastAsia="仿宋" w:cs="仿宋"/>
          <w:b w:val="0"/>
          <w:bCs/>
          <w:color w:val="auto"/>
          <w:sz w:val="32"/>
          <w:szCs w:val="32"/>
          <w:highlight w:val="none"/>
        </w:rPr>
        <w:t>完成预算</w:t>
      </w:r>
      <w:r>
        <w:rPr>
          <w:rStyle w:val="18"/>
          <w:rFonts w:hint="eastAsia" w:ascii="仿宋" w:hAnsi="仿宋" w:eastAsia="仿宋" w:cs="仿宋"/>
          <w:b w:val="0"/>
          <w:bCs/>
          <w:color w:val="auto"/>
          <w:sz w:val="32"/>
          <w:szCs w:val="32"/>
          <w:highlight w:val="none"/>
          <w:lang w:val="en-US" w:eastAsia="zh-CN"/>
        </w:rPr>
        <w:t>0</w:t>
      </w:r>
      <w:r>
        <w:rPr>
          <w:rStyle w:val="18"/>
          <w:rFonts w:hint="eastAsia" w:ascii="仿宋" w:hAnsi="仿宋" w:eastAsia="仿宋" w:cs="仿宋"/>
          <w:b w:val="0"/>
          <w:bCs/>
          <w:color w:val="auto"/>
          <w:sz w:val="32"/>
          <w:szCs w:val="32"/>
          <w:highlight w:val="none"/>
        </w:rPr>
        <w:t>%。</w:t>
      </w:r>
      <w:r>
        <w:rPr>
          <w:rFonts w:hint="eastAsia" w:ascii="仿宋" w:hAnsi="仿宋" w:eastAsia="仿宋" w:cs="仿宋"/>
          <w:color w:val="auto"/>
          <w:sz w:val="32"/>
          <w:szCs w:val="32"/>
          <w:highlight w:val="none"/>
        </w:rPr>
        <w:t>公务接待费支出决算比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%。其中：</w:t>
      </w:r>
    </w:p>
    <w:p>
      <w:p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国内公务接待支出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万元，国内公务接待</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批次，</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人次（不包括陪同人员），共计支出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p>
    <w:p>
      <w:pPr>
        <w:spacing w:line="600" w:lineRule="exact"/>
        <w:ind w:firstLine="643" w:firstLineChars="20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外事接待支出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万元，外事接待</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批次，</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次（不包括陪同人员）</w:t>
      </w:r>
      <w:r>
        <w:rPr>
          <w:rFonts w:hint="eastAsia" w:ascii="仿宋" w:hAnsi="仿宋" w:eastAsia="仿宋" w:cs="仿宋"/>
          <w:color w:val="auto"/>
          <w:sz w:val="32"/>
          <w:szCs w:val="32"/>
          <w:highlight w:val="none"/>
        </w:rPr>
        <w:t>，共计支出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w:t>
      </w:r>
    </w:p>
    <w:p>
      <w:pPr>
        <w:spacing w:line="600" w:lineRule="exact"/>
        <w:ind w:firstLine="640"/>
        <w:outlineLvl w:val="1"/>
        <w:rPr>
          <w:rStyle w:val="30"/>
          <w:rFonts w:ascii="黑体" w:hAnsi="黑体" w:eastAsia="黑体"/>
        </w:rPr>
      </w:pPr>
      <w:bookmarkStart w:id="57" w:name="_Toc7982"/>
      <w:r>
        <w:rPr>
          <w:rFonts w:hint="eastAsia" w:ascii="黑体" w:eastAsia="黑体"/>
          <w:sz w:val="32"/>
          <w:szCs w:val="32"/>
        </w:rPr>
        <w:t>八、</w:t>
      </w:r>
      <w:r>
        <w:rPr>
          <w:rStyle w:val="30"/>
          <w:rFonts w:hint="eastAsia" w:ascii="黑体" w:hAnsi="黑体" w:eastAsia="黑体"/>
          <w:b w:val="0"/>
        </w:rPr>
        <w:t>政府性基金预算支出决算情况说明</w:t>
      </w:r>
      <w:bookmarkEnd w:id="55"/>
      <w:bookmarkEnd w:id="56"/>
      <w:bookmarkEnd w:id="57"/>
    </w:p>
    <w:p>
      <w:pPr>
        <w:spacing w:line="600" w:lineRule="exact"/>
        <w:ind w:firstLine="640"/>
        <w:rPr>
          <w:rFonts w:ascii="仿宋_GB2312" w:eastAsia="仿宋_GB2312"/>
          <w:sz w:val="32"/>
          <w:szCs w:val="32"/>
        </w:rPr>
      </w:pPr>
      <w:r>
        <w:rPr>
          <w:rFonts w:hint="eastAsia" w:ascii="仿宋" w:hAnsi="仿宋" w:eastAsia="仿宋" w:cs="仿宋"/>
          <w:sz w:val="32"/>
          <w:szCs w:val="32"/>
        </w:rPr>
        <w:t>2023年度政府性基金预算财政拨款支出</w:t>
      </w:r>
      <w:r>
        <w:rPr>
          <w:rFonts w:hint="eastAsia" w:ascii="仿宋" w:hAnsi="仿宋" w:eastAsia="仿宋" w:cs="仿宋"/>
          <w:b/>
          <w:sz w:val="32"/>
          <w:szCs w:val="32"/>
          <w:lang w:val="en-US" w:eastAsia="zh-CN"/>
        </w:rPr>
        <w:t>0</w:t>
      </w:r>
      <w:r>
        <w:rPr>
          <w:rFonts w:hint="eastAsia" w:ascii="仿宋" w:hAnsi="仿宋" w:eastAsia="仿宋" w:cs="仿宋"/>
          <w:sz w:val="32"/>
          <w:szCs w:val="32"/>
        </w:rPr>
        <w:t>万元</w:t>
      </w:r>
      <w:r>
        <w:rPr>
          <w:rFonts w:hint="eastAsia" w:ascii="仿宋_GB2312" w:eastAsia="仿宋_GB2312"/>
          <w:sz w:val="32"/>
          <w:szCs w:val="32"/>
        </w:rPr>
        <w:t>。</w:t>
      </w:r>
    </w:p>
    <w:p>
      <w:pPr>
        <w:numPr>
          <w:ilvl w:val="0"/>
          <w:numId w:val="6"/>
        </w:numPr>
        <w:spacing w:line="600" w:lineRule="exact"/>
        <w:ind w:firstLine="640"/>
        <w:outlineLvl w:val="1"/>
        <w:rPr>
          <w:rStyle w:val="30"/>
          <w:rFonts w:ascii="黑体" w:hAnsi="黑体" w:eastAsia="黑体"/>
          <w:b w:val="0"/>
        </w:rPr>
      </w:pPr>
      <w:bookmarkStart w:id="58" w:name="_Toc15396611"/>
      <w:bookmarkStart w:id="59" w:name="_Toc15377219"/>
      <w:bookmarkStart w:id="60" w:name="_Toc18005"/>
      <w:r>
        <w:rPr>
          <w:rStyle w:val="30"/>
          <w:rFonts w:hint="eastAsia" w:ascii="黑体" w:hAnsi="黑体" w:eastAsia="黑体"/>
          <w:b w:val="0"/>
        </w:rPr>
        <w:t>国有资本经营预算支出决算情况说明</w:t>
      </w:r>
      <w:bookmarkEnd w:id="58"/>
      <w:bookmarkEnd w:id="59"/>
      <w:bookmarkEnd w:id="60"/>
    </w:p>
    <w:p>
      <w:pPr>
        <w:spacing w:line="600" w:lineRule="exact"/>
        <w:ind w:firstLine="640"/>
        <w:rPr>
          <w:rFonts w:hint="eastAsia" w:ascii="仿宋" w:hAnsi="仿宋" w:eastAsia="仿宋" w:cs="仿宋"/>
          <w:sz w:val="32"/>
          <w:szCs w:val="32"/>
        </w:rPr>
      </w:pPr>
      <w:r>
        <w:rPr>
          <w:rFonts w:hint="eastAsia" w:ascii="仿宋" w:hAnsi="仿宋" w:eastAsia="仿宋" w:cs="仿宋"/>
          <w:sz w:val="32"/>
          <w:szCs w:val="32"/>
        </w:rPr>
        <w:t>2023年度国有资本经营预算财政拨款支出</w:t>
      </w:r>
      <w:r>
        <w:rPr>
          <w:rFonts w:hint="eastAsia" w:ascii="仿宋" w:hAnsi="仿宋" w:eastAsia="仿宋" w:cs="仿宋"/>
          <w:b/>
          <w:sz w:val="32"/>
          <w:szCs w:val="32"/>
        </w:rPr>
        <w:t>0</w:t>
      </w:r>
      <w:r>
        <w:rPr>
          <w:rFonts w:hint="eastAsia" w:ascii="仿宋" w:hAnsi="仿宋" w:eastAsia="仿宋" w:cs="仿宋"/>
          <w:sz w:val="32"/>
          <w:szCs w:val="32"/>
        </w:rPr>
        <w:t>万元。</w:t>
      </w:r>
    </w:p>
    <w:p>
      <w:pPr>
        <w:numPr>
          <w:ilvl w:val="0"/>
          <w:numId w:val="6"/>
        </w:numPr>
        <w:spacing w:line="600" w:lineRule="exact"/>
        <w:ind w:firstLine="640"/>
        <w:outlineLvl w:val="1"/>
        <w:rPr>
          <w:rStyle w:val="30"/>
          <w:rFonts w:ascii="黑体" w:hAnsi="黑体" w:eastAsia="黑体"/>
          <w:b w:val="0"/>
        </w:rPr>
      </w:pPr>
      <w:bookmarkStart w:id="61" w:name="_Toc15377221"/>
      <w:bookmarkStart w:id="62" w:name="_Toc15396612"/>
      <w:bookmarkStart w:id="63" w:name="_Toc6495"/>
      <w:r>
        <w:rPr>
          <w:rStyle w:val="30"/>
          <w:rFonts w:hint="eastAsia" w:ascii="黑体" w:hAnsi="黑体" w:eastAsia="黑体"/>
          <w:b w:val="0"/>
        </w:rPr>
        <w:t>其他重要事项的情况说明</w:t>
      </w:r>
      <w:bookmarkEnd w:id="61"/>
      <w:bookmarkEnd w:id="62"/>
      <w:bookmarkEnd w:id="63"/>
    </w:p>
    <w:p>
      <w:pPr>
        <w:spacing w:line="600" w:lineRule="exact"/>
        <w:ind w:firstLine="643" w:firstLineChars="200"/>
        <w:outlineLvl w:val="2"/>
        <w:rPr>
          <w:rFonts w:ascii="仿宋" w:hAnsi="仿宋" w:eastAsia="仿宋"/>
          <w:sz w:val="32"/>
          <w:szCs w:val="32"/>
        </w:rPr>
      </w:pPr>
      <w:bookmarkStart w:id="64" w:name="_Toc15377222"/>
      <w:r>
        <w:rPr>
          <w:rFonts w:hint="eastAsia" w:ascii="仿宋" w:hAnsi="仿宋" w:eastAsia="仿宋"/>
          <w:b/>
          <w:sz w:val="32"/>
          <w:szCs w:val="32"/>
        </w:rPr>
        <w:t>（一）机关运行经费支出情况</w:t>
      </w:r>
      <w:bookmarkEnd w:id="64"/>
    </w:p>
    <w:p>
      <w:pPr>
        <w:spacing w:line="600" w:lineRule="exact"/>
        <w:ind w:firstLine="640" w:firstLineChars="200"/>
        <w:rPr>
          <w:rFonts w:hint="eastAsia" w:ascii="仿宋" w:hAnsi="仿宋" w:eastAsia="仿宋" w:cs="仿宋"/>
          <w:color w:val="auto"/>
          <w:sz w:val="32"/>
          <w:szCs w:val="32"/>
          <w:highlight w:val="none"/>
          <w:lang w:eastAsia="zh-CN"/>
        </w:rPr>
      </w:pPr>
      <w:bookmarkStart w:id="65" w:name="_Toc15377223"/>
      <w:r>
        <w:rPr>
          <w:rFonts w:hint="eastAsia" w:ascii="仿宋" w:hAnsi="仿宋" w:eastAsia="仿宋" w:cs="仿宋"/>
          <w:color w:val="auto"/>
          <w:sz w:val="32"/>
          <w:szCs w:val="32"/>
          <w:highlight w:val="none"/>
          <w:lang w:eastAsia="zh-CN"/>
        </w:rPr>
        <w:t>2023</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w:t>
      </w:r>
      <w:r>
        <w:rPr>
          <w:rFonts w:hint="eastAsia" w:ascii="仿宋" w:hAnsi="仿宋" w:eastAsia="仿宋" w:cs="仿宋"/>
          <w:sz w:val="32"/>
          <w:szCs w:val="32"/>
          <w:lang w:val="en-US" w:eastAsia="zh-CN"/>
        </w:rPr>
        <w:t>五通桥区体育中心</w:t>
      </w:r>
      <w:r>
        <w:rPr>
          <w:rFonts w:hint="eastAsia" w:ascii="仿宋" w:hAnsi="仿宋" w:eastAsia="仿宋" w:cs="仿宋"/>
          <w:color w:val="auto"/>
          <w:sz w:val="32"/>
          <w:szCs w:val="32"/>
          <w:highlight w:val="none"/>
        </w:rPr>
        <w:t>机关运行经费支出</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万元，比</w:t>
      </w:r>
      <w:r>
        <w:rPr>
          <w:rFonts w:hint="eastAsia" w:ascii="仿宋" w:hAnsi="仿宋" w:eastAsia="仿宋" w:cs="仿宋"/>
          <w:color w:val="auto"/>
          <w:sz w:val="32"/>
          <w:szCs w:val="32"/>
          <w:highlight w:val="none"/>
          <w:lang w:eastAsia="zh-CN"/>
        </w:rPr>
        <w:t>2022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，主要原因是本单位为事业单位，无机关运行经费。</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（二）政府采购支出情况</w:t>
      </w:r>
      <w:bookmarkEnd w:id="65"/>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2023年度，五通桥区体育中心政府采购支出总额</w:t>
      </w:r>
      <w:r>
        <w:rPr>
          <w:rFonts w:hint="eastAsia" w:ascii="仿宋" w:hAnsi="仿宋" w:eastAsia="仿宋" w:cs="仿宋"/>
          <w:b/>
          <w:sz w:val="32"/>
          <w:szCs w:val="32"/>
        </w:rPr>
        <w:t>0</w:t>
      </w:r>
      <w:r>
        <w:rPr>
          <w:rFonts w:hint="eastAsia" w:ascii="仿宋" w:hAnsi="仿宋" w:eastAsia="仿宋" w:cs="仿宋"/>
          <w:sz w:val="32"/>
          <w:szCs w:val="32"/>
        </w:rPr>
        <w:t>万元，其中：政府采购货物支出</w:t>
      </w:r>
      <w:r>
        <w:rPr>
          <w:rFonts w:hint="eastAsia" w:ascii="仿宋" w:hAnsi="仿宋" w:eastAsia="仿宋" w:cs="仿宋"/>
          <w:b/>
          <w:sz w:val="32"/>
          <w:szCs w:val="32"/>
        </w:rPr>
        <w:t>0</w:t>
      </w:r>
      <w:r>
        <w:rPr>
          <w:rFonts w:hint="eastAsia" w:ascii="仿宋" w:hAnsi="仿宋" w:eastAsia="仿宋" w:cs="仿宋"/>
          <w:sz w:val="32"/>
          <w:szCs w:val="32"/>
        </w:rPr>
        <w:t>万元、政府采购工程支出</w:t>
      </w:r>
      <w:r>
        <w:rPr>
          <w:rFonts w:hint="eastAsia" w:ascii="仿宋" w:hAnsi="仿宋" w:eastAsia="仿宋" w:cs="仿宋"/>
          <w:b/>
          <w:sz w:val="32"/>
          <w:szCs w:val="32"/>
        </w:rPr>
        <w:t>0</w:t>
      </w:r>
      <w:r>
        <w:rPr>
          <w:rFonts w:hint="eastAsia" w:ascii="仿宋" w:hAnsi="仿宋" w:eastAsia="仿宋" w:cs="仿宋"/>
          <w:sz w:val="32"/>
          <w:szCs w:val="32"/>
        </w:rPr>
        <w:t>万元、政府采购服务支出</w:t>
      </w:r>
      <w:r>
        <w:rPr>
          <w:rFonts w:hint="eastAsia" w:ascii="仿宋" w:hAnsi="仿宋" w:eastAsia="仿宋" w:cs="仿宋"/>
          <w:b/>
          <w:sz w:val="32"/>
          <w:szCs w:val="32"/>
        </w:rPr>
        <w:t>0</w:t>
      </w:r>
      <w:r>
        <w:rPr>
          <w:rFonts w:hint="eastAsia" w:ascii="仿宋" w:hAnsi="仿宋" w:eastAsia="仿宋" w:cs="仿宋"/>
          <w:sz w:val="32"/>
          <w:szCs w:val="32"/>
        </w:rPr>
        <w:t>万元。授予中小企业合同金额</w:t>
      </w:r>
      <w:r>
        <w:rPr>
          <w:rFonts w:hint="eastAsia" w:ascii="仿宋" w:hAnsi="仿宋" w:eastAsia="仿宋" w:cs="仿宋"/>
          <w:b/>
          <w:sz w:val="32"/>
          <w:szCs w:val="32"/>
        </w:rPr>
        <w:t>0</w:t>
      </w:r>
      <w:r>
        <w:rPr>
          <w:rFonts w:hint="eastAsia" w:ascii="仿宋" w:hAnsi="仿宋" w:eastAsia="仿宋" w:cs="仿宋"/>
          <w:sz w:val="32"/>
          <w:szCs w:val="32"/>
        </w:rPr>
        <w:t>万元，占政府采购支出总额的0%，其中：授予小微企业合同金额</w:t>
      </w:r>
      <w:r>
        <w:rPr>
          <w:rFonts w:hint="eastAsia" w:ascii="仿宋" w:hAnsi="仿宋" w:eastAsia="仿宋" w:cs="仿宋"/>
          <w:b/>
          <w:sz w:val="32"/>
          <w:szCs w:val="32"/>
        </w:rPr>
        <w:t>0</w:t>
      </w:r>
      <w:r>
        <w:rPr>
          <w:rFonts w:hint="eastAsia" w:ascii="仿宋" w:hAnsi="仿宋" w:eastAsia="仿宋" w:cs="仿宋"/>
          <w:sz w:val="32"/>
          <w:szCs w:val="32"/>
        </w:rPr>
        <w:t>万元，占政府采购支出总额的</w:t>
      </w:r>
      <w:r>
        <w:rPr>
          <w:rFonts w:hint="eastAsia" w:ascii="仿宋" w:hAnsi="仿宋" w:eastAsia="仿宋" w:cs="仿宋"/>
          <w:b/>
          <w:sz w:val="32"/>
          <w:szCs w:val="32"/>
        </w:rPr>
        <w:t>0</w:t>
      </w:r>
      <w:r>
        <w:rPr>
          <w:rFonts w:hint="eastAsia" w:ascii="仿宋" w:hAnsi="仿宋" w:eastAsia="仿宋" w:cs="仿宋"/>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6" w:name="_Toc15377224"/>
      <w:r>
        <w:rPr>
          <w:rFonts w:hint="eastAsia" w:ascii="仿宋" w:hAnsi="仿宋" w:eastAsia="仿宋"/>
          <w:b/>
          <w:sz w:val="32"/>
          <w:szCs w:val="32"/>
        </w:rPr>
        <w:t>（三）国有资产占有使用情况</w:t>
      </w:r>
      <w:bookmarkEnd w:id="66"/>
    </w:p>
    <w:p>
      <w:pPr>
        <w:autoSpaceDE w:val="0"/>
        <w:autoSpaceDN w:val="0"/>
        <w:adjustRightInd w:val="0"/>
        <w:spacing w:line="600" w:lineRule="exact"/>
        <w:ind w:firstLine="640" w:firstLineChars="200"/>
        <w:jc w:val="left"/>
        <w:rPr>
          <w:rFonts w:hint="eastAsia" w:ascii="仿宋" w:hAnsi="仿宋" w:eastAsia="仿宋" w:cs="仿宋"/>
          <w:b/>
          <w:sz w:val="32"/>
          <w:szCs w:val="32"/>
          <w:lang w:val="en-US" w:eastAsia="zh-CN"/>
        </w:rPr>
      </w:pPr>
      <w:r>
        <w:rPr>
          <w:rFonts w:hint="eastAsia" w:ascii="仿宋" w:hAnsi="仿宋" w:eastAsia="仿宋" w:cs="仿宋"/>
          <w:color w:val="auto"/>
          <w:sz w:val="32"/>
          <w:szCs w:val="32"/>
          <w:highlight w:val="none"/>
        </w:rPr>
        <w:t>截至</w:t>
      </w:r>
      <w:r>
        <w:rPr>
          <w:rFonts w:hint="eastAsia" w:ascii="仿宋" w:hAnsi="仿宋" w:eastAsia="仿宋" w:cs="仿宋"/>
          <w:color w:val="auto"/>
          <w:sz w:val="32"/>
          <w:szCs w:val="32"/>
          <w:highlight w:val="none"/>
          <w:lang w:eastAsia="zh-CN"/>
        </w:rPr>
        <w:t>2023</w:t>
      </w:r>
      <w:r>
        <w:rPr>
          <w:rFonts w:hint="eastAsia" w:ascii="仿宋" w:hAnsi="仿宋" w:eastAsia="仿宋" w:cs="仿宋"/>
          <w:color w:val="auto"/>
          <w:sz w:val="32"/>
          <w:szCs w:val="32"/>
          <w:highlight w:val="none"/>
        </w:rPr>
        <w:t>年12月31日，</w:t>
      </w:r>
      <w:r>
        <w:rPr>
          <w:rFonts w:hint="eastAsia" w:ascii="仿宋" w:hAnsi="仿宋" w:eastAsia="仿宋" w:cs="仿宋"/>
          <w:sz w:val="32"/>
          <w:szCs w:val="32"/>
          <w:lang w:val="en-US" w:eastAsia="zh-CN"/>
        </w:rPr>
        <w:t>五通桥区体育中心</w:t>
      </w:r>
      <w:r>
        <w:rPr>
          <w:rFonts w:hint="eastAsia" w:ascii="仿宋" w:hAnsi="仿宋" w:eastAsia="仿宋" w:cs="仿宋"/>
          <w:color w:val="auto"/>
          <w:sz w:val="32"/>
          <w:szCs w:val="32"/>
          <w:highlight w:val="none"/>
        </w:rPr>
        <w:t>共有车辆</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辆，其中：主要领导干部用车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辆、机要通信用车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辆、应急保障用车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辆、其他用车</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单价50万元以上通用设备</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台（套），单价100万元以上专用设备</w:t>
      </w:r>
      <w:r>
        <w:rPr>
          <w:rFonts w:hint="eastAsia" w:ascii="仿宋" w:hAnsi="仿宋" w:eastAsia="仿宋" w:cs="仿宋"/>
          <w:color w:val="auto"/>
          <w:sz w:val="32"/>
          <w:szCs w:val="32"/>
          <w:highlight w:val="none"/>
          <w:lang w:eastAsia="zh-CN"/>
        </w:rPr>
        <w:t>（不含车辆）</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autoSpaceDE w:val="0"/>
        <w:autoSpaceDN w:val="0"/>
        <w:adjustRightInd w:val="0"/>
        <w:spacing w:line="600" w:lineRule="exact"/>
        <w:ind w:firstLine="640" w:firstLineChars="200"/>
        <w:jc w:val="left"/>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预算绩效管理要求，本单位在2023年度预算编制阶段，组织对0个项目等0个项目开展了预算事前绩效评估，对0个项目编制了绩效目标，预算执行过程中，选取0个项目开展绩效监控，组织对0个项目开展绩效自评，绩效自评表详见第四部分附件。</w:t>
      </w:r>
    </w:p>
    <w:p>
      <w:pPr>
        <w:autoSpaceDE w:val="0"/>
        <w:autoSpaceDN w:val="0"/>
        <w:adjustRightInd w:val="0"/>
        <w:spacing w:line="600" w:lineRule="exact"/>
        <w:ind w:firstLine="640" w:firstLineChars="200"/>
        <w:jc w:val="left"/>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br w:type="page"/>
      </w:r>
    </w:p>
    <w:p>
      <w:pPr>
        <w:numPr>
          <w:ilvl w:val="0"/>
          <w:numId w:val="7"/>
        </w:numPr>
        <w:spacing w:line="600" w:lineRule="exact"/>
        <w:ind w:firstLine="660" w:firstLineChars="150"/>
        <w:jc w:val="center"/>
        <w:outlineLvl w:val="0"/>
        <w:rPr>
          <w:rStyle w:val="29"/>
          <w:rFonts w:ascii="黑体" w:hAnsi="黑体" w:eastAsia="黑体"/>
          <w:b w:val="0"/>
        </w:rPr>
      </w:pPr>
      <w:bookmarkStart w:id="67" w:name="_Toc15377225"/>
      <w:bookmarkStart w:id="68" w:name="_Toc15396613"/>
      <w:bookmarkStart w:id="69" w:name="_Toc3380"/>
      <w:r>
        <w:rPr>
          <w:rFonts w:hint="eastAsia" w:ascii="黑体" w:hAnsi="黑体" w:eastAsia="黑体"/>
          <w:sz w:val="44"/>
          <w:szCs w:val="44"/>
        </w:rPr>
        <w:t>名</w:t>
      </w:r>
      <w:r>
        <w:rPr>
          <w:rStyle w:val="29"/>
          <w:rFonts w:hint="eastAsia" w:ascii="黑体" w:hAnsi="黑体" w:eastAsia="黑体"/>
          <w:b w:val="0"/>
        </w:rPr>
        <w:t>词解释</w:t>
      </w:r>
      <w:bookmarkEnd w:id="67"/>
      <w:bookmarkEnd w:id="68"/>
      <w:bookmarkEnd w:id="69"/>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1.财政拨款收入：指单位从同级财政部门取得的财政预算资金。</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2.事业收入：指事业单位开展专业业务活动及辅助活动取得的收入。</w:t>
      </w:r>
    </w:p>
    <w:p>
      <w:pPr>
        <w:pStyle w:val="27"/>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3.经营收入：指事业单位在专业业务活动及其辅助活动之外开展非独立核算经营活动取得的收入</w:t>
      </w:r>
      <w:r>
        <w:rPr>
          <w:rFonts w:hint="eastAsia" w:ascii="仿宋" w:hAnsi="仿宋" w:eastAsia="仿宋" w:cs="仿宋"/>
          <w:color w:val="auto"/>
          <w:sz w:val="32"/>
          <w:szCs w:val="32"/>
          <w:highlight w:val="none"/>
          <w:lang w:eastAsia="zh-CN"/>
        </w:rPr>
        <w:t>。</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4.其他收入：指单位取得的除上述收入以外的各项收入。</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w:t>
      </w:r>
      <w:r>
        <w:rPr>
          <w:rFonts w:hint="eastAsia" w:ascii="仿宋" w:hAnsi="仿宋" w:eastAsia="仿宋" w:cs="仿宋"/>
          <w:color w:val="auto"/>
          <w:sz w:val="32"/>
          <w:szCs w:val="32"/>
          <w:highlight w:val="none"/>
          <w:lang w:eastAsia="zh-CN"/>
        </w:rPr>
        <w:t>使用非财政拨款结余（含专用结余）</w:t>
      </w:r>
      <w:r>
        <w:rPr>
          <w:rFonts w:hint="eastAsia" w:ascii="仿宋" w:hAnsi="仿宋" w:eastAsia="仿宋" w:cs="仿宋"/>
          <w:color w:val="auto"/>
          <w:sz w:val="32"/>
          <w:szCs w:val="32"/>
          <w:highlight w:val="none"/>
        </w:rPr>
        <w:t>：指事业单位</w:t>
      </w:r>
      <w:r>
        <w:rPr>
          <w:rFonts w:hint="eastAsia" w:ascii="仿宋" w:hAnsi="仿宋" w:eastAsia="仿宋" w:cs="仿宋"/>
          <w:color w:val="auto"/>
          <w:sz w:val="32"/>
          <w:szCs w:val="32"/>
          <w:highlight w:val="none"/>
          <w:lang w:eastAsia="zh-CN"/>
        </w:rPr>
        <w:t>使用以前年度积累的非财政拨款结余弥补当年收支差额的金额。</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6.年初结转和结余：指以前年度尚未完成、结转到本年按有关规定继续使用的资金。</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7.结余分配：指事业单位按照会计制度规定</w:t>
      </w:r>
      <w:r>
        <w:rPr>
          <w:rFonts w:hint="eastAsia" w:ascii="仿宋" w:hAnsi="仿宋" w:eastAsia="仿宋" w:cs="仿宋"/>
          <w:color w:val="auto"/>
          <w:sz w:val="32"/>
          <w:szCs w:val="32"/>
          <w:highlight w:val="none"/>
          <w:lang w:eastAsia="zh-CN"/>
        </w:rPr>
        <w:t>缴纳的所得税、提取的专用结余以及转入非财政拨款结余的金额</w:t>
      </w:r>
      <w:r>
        <w:rPr>
          <w:rFonts w:hint="eastAsia" w:ascii="仿宋" w:hAnsi="仿宋" w:eastAsia="仿宋" w:cs="仿宋"/>
          <w:color w:val="auto"/>
          <w:sz w:val="32"/>
          <w:szCs w:val="32"/>
          <w:highlight w:val="none"/>
        </w:rPr>
        <w:t>等。</w:t>
      </w:r>
    </w:p>
    <w:p>
      <w:pPr>
        <w:pStyle w:val="27"/>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8</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年末结转和结余：指单位按有关规定结转到下年或以后年度继续使用的资金。</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9.文化旅游体育与传媒（类）文化和旅游（款）其他文化和旅游支出（项）：指反映除上述项目以外其他用于文化和旅游方面的支出。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10.社会保障和就业支出（类）行政事业单位养老支出（款）机关事业单位基本养老保险缴费支出（项）：指反映机关事业单位实施养老保险制度由单位缴纳的基本养老保险费支出。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11.社会保障和就业（类）行政事业单位养老支出（款）机关事业单位职业年金缴费支出（项）：指反映机关事业单位实施养老保险制度由单位实际缴纳的职业年金支出（含职业年金补计支出）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12.卫生健康（类）行政事业单位医疗（款）事业单位医疗（项）：指反映财政部门安排的事业单位基本医疗保险缴费经费，未参加医疗保险的事业单位的公费医疗经费，按国家规定享受离休人员待遇的医疗经费。</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13.卫生健康（类）行政事业单位医疗（款）其他行政事业单位医疗支出（项）：指反映除上述项目以外的其他用于行政事业单位医疗方面的支出.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14.住房保障支出（类）住房改革支出（款）住房公积金（项）：指反映行政事业单位按人力资源和社会保障部、财政部规定的基本工资和津贴补贴以及规定比例为职工缴纳的住房公积金。</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15.基本支出：指为保障机构正常运转、完成日常工作任务而发生的人员支出和公用支出。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16.项目支出：指在基本支出之外为完成特定行政任务和事业发展目标所发生的支出。 </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17.“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7"/>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18.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9"/>
        <w:rPr>
          <w:rFonts w:hint="eastAsia" w:ascii="黑体" w:hAnsi="黑体" w:eastAsia="黑体"/>
          <w:sz w:val="44"/>
          <w:szCs w:val="44"/>
        </w:rPr>
      </w:pPr>
      <w:bookmarkStart w:id="70" w:name="_Toc15396614"/>
      <w:bookmarkStart w:id="71" w:name="_Toc15377226"/>
    </w:p>
    <w:p>
      <w:pPr>
        <w:spacing w:line="600" w:lineRule="exact"/>
        <w:jc w:val="center"/>
        <w:outlineLvl w:val="9"/>
        <w:rPr>
          <w:rFonts w:hint="eastAsia" w:ascii="黑体" w:hAnsi="黑体" w:eastAsia="黑体"/>
          <w:sz w:val="44"/>
          <w:szCs w:val="44"/>
        </w:rPr>
      </w:pPr>
    </w:p>
    <w:bookmarkEnd w:id="70"/>
    <w:p>
      <w:pPr>
        <w:spacing w:line="600" w:lineRule="exact"/>
        <w:jc w:val="both"/>
        <w:outlineLvl w:val="9"/>
        <w:rPr>
          <w:rFonts w:hAnsi="Calibri" w:cs="仿宋"/>
          <w:sz w:val="32"/>
          <w:szCs w:val="32"/>
        </w:rPr>
      </w:pPr>
      <w:bookmarkStart w:id="72" w:name="_Toc15396618"/>
    </w:p>
    <w:p>
      <w:pPr>
        <w:pStyle w:val="2"/>
        <w:rPr>
          <w:rFonts w:hAnsi="Calibri" w:cs="仿宋"/>
          <w:sz w:val="32"/>
          <w:szCs w:val="32"/>
        </w:rPr>
      </w:pPr>
    </w:p>
    <w:p>
      <w:pPr>
        <w:pStyle w:val="3"/>
        <w:rPr>
          <w:rFonts w:hAnsi="Calibri" w:cs="仿宋"/>
          <w:sz w:val="32"/>
          <w:szCs w:val="32"/>
        </w:rPr>
      </w:pPr>
    </w:p>
    <w:p>
      <w:pPr>
        <w:rPr>
          <w:rFonts w:hAnsi="Calibri" w:cs="仿宋"/>
          <w:sz w:val="32"/>
          <w:szCs w:val="32"/>
        </w:rPr>
      </w:pPr>
    </w:p>
    <w:p>
      <w:pPr>
        <w:pStyle w:val="2"/>
        <w:rPr>
          <w:rFonts w:hAnsi="Calibri" w:cs="仿宋"/>
          <w:sz w:val="32"/>
          <w:szCs w:val="32"/>
        </w:rPr>
      </w:pPr>
    </w:p>
    <w:p>
      <w:pPr>
        <w:pStyle w:val="3"/>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spacing w:line="600" w:lineRule="exact"/>
        <w:jc w:val="center"/>
        <w:outlineLvl w:val="9"/>
        <w:rPr>
          <w:rFonts w:hint="eastAsia" w:ascii="黑体" w:hAnsi="黑体" w:eastAsia="黑体"/>
          <w:sz w:val="44"/>
          <w:szCs w:val="44"/>
        </w:rPr>
      </w:pPr>
    </w:p>
    <w:p>
      <w:pPr>
        <w:spacing w:line="600" w:lineRule="exact"/>
        <w:jc w:val="center"/>
        <w:outlineLvl w:val="0"/>
        <w:rPr>
          <w:rFonts w:ascii="仿宋_GB2312" w:hAnsi="仿宋_GB2312" w:eastAsia="仿宋_GB2312" w:cs="仿宋_GB2312"/>
          <w:sz w:val="32"/>
          <w:szCs w:val="32"/>
        </w:rPr>
      </w:pPr>
      <w:bookmarkStart w:id="73" w:name="_Toc22409"/>
      <w:r>
        <w:rPr>
          <w:rFonts w:hint="eastAsia" w:ascii="黑体" w:hAnsi="黑体" w:eastAsia="黑体"/>
          <w:sz w:val="44"/>
          <w:szCs w:val="44"/>
        </w:rPr>
        <w:t>第</w:t>
      </w:r>
      <w:r>
        <w:rPr>
          <w:rStyle w:val="29"/>
          <w:rFonts w:hint="eastAsia" w:ascii="黑体" w:hAnsi="黑体" w:eastAsia="黑体"/>
          <w:b w:val="0"/>
        </w:rPr>
        <w:t>四部分 附件</w:t>
      </w:r>
      <w:bookmarkEnd w:id="73"/>
    </w:p>
    <w:p>
      <w:pPr>
        <w:spacing w:line="600" w:lineRule="exact"/>
        <w:jc w:val="center"/>
        <w:outlineLvl w:val="0"/>
        <w:rPr>
          <w:rFonts w:hint="eastAsia" w:ascii="仿宋" w:hAnsi="仿宋" w:eastAsia="仿宋" w:cs="仿宋"/>
          <w:color w:val="FF0000"/>
          <w:sz w:val="32"/>
          <w:szCs w:val="32"/>
        </w:rPr>
      </w:pPr>
      <w:bookmarkStart w:id="74" w:name="_Toc249"/>
      <w:r>
        <w:rPr>
          <w:rFonts w:hint="eastAsia" w:ascii="仿宋" w:hAnsi="仿宋" w:eastAsia="仿宋" w:cs="仿宋"/>
          <w:sz w:val="32"/>
          <w:szCs w:val="32"/>
        </w:rPr>
        <w:t>部门预算项目支出绩效自评表（2023年度）</w:t>
      </w:r>
      <w:bookmarkEnd w:id="74"/>
    </w:p>
    <w:p>
      <w:pPr>
        <w:pStyle w:val="9"/>
        <w:spacing w:before="93"/>
        <w:ind w:firstLine="1600" w:firstLineChars="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该单位2023年无项目支出</w:t>
      </w:r>
    </w:p>
    <w:p>
      <w:pPr>
        <w:pStyle w:val="9"/>
        <w:spacing w:before="93"/>
        <w:rPr>
          <w:rFonts w:hint="eastAsia" w:ascii="仿宋" w:hAnsi="仿宋" w:eastAsia="仿宋"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pStyle w:val="9"/>
        <w:spacing w:before="93"/>
        <w:rPr>
          <w:rFonts w:hAnsi="Calibri" w:cs="仿宋"/>
          <w:sz w:val="32"/>
          <w:szCs w:val="32"/>
        </w:rPr>
      </w:pPr>
    </w:p>
    <w:p>
      <w:pPr>
        <w:spacing w:line="600" w:lineRule="exact"/>
        <w:jc w:val="center"/>
        <w:outlineLvl w:val="9"/>
        <w:rPr>
          <w:rFonts w:hint="eastAsia" w:ascii="黑体" w:hAnsi="黑体" w:eastAsia="黑体"/>
          <w:sz w:val="44"/>
          <w:szCs w:val="44"/>
        </w:rPr>
      </w:pPr>
    </w:p>
    <w:p>
      <w:pPr>
        <w:spacing w:line="600" w:lineRule="exact"/>
        <w:jc w:val="center"/>
        <w:outlineLvl w:val="9"/>
        <w:rPr>
          <w:rFonts w:hint="eastAsia" w:ascii="黑体" w:hAnsi="黑体" w:eastAsia="黑体"/>
          <w:sz w:val="44"/>
          <w:szCs w:val="44"/>
        </w:rPr>
      </w:pPr>
    </w:p>
    <w:p>
      <w:pPr>
        <w:spacing w:line="600" w:lineRule="exact"/>
        <w:jc w:val="both"/>
        <w:outlineLvl w:val="9"/>
        <w:rPr>
          <w:rFonts w:hint="eastAsia" w:ascii="黑体" w:hAnsi="黑体" w:eastAsia="黑体"/>
          <w:sz w:val="44"/>
          <w:szCs w:val="44"/>
        </w:rPr>
      </w:pPr>
    </w:p>
    <w:p>
      <w:pPr>
        <w:spacing w:line="600" w:lineRule="exact"/>
        <w:jc w:val="both"/>
        <w:outlineLvl w:val="9"/>
        <w:rPr>
          <w:rFonts w:hint="eastAsia" w:ascii="黑体" w:hAnsi="黑体" w:eastAsia="黑体"/>
          <w:sz w:val="44"/>
          <w:szCs w:val="44"/>
        </w:rPr>
      </w:pPr>
    </w:p>
    <w:p>
      <w:pPr>
        <w:spacing w:line="600" w:lineRule="exact"/>
        <w:jc w:val="center"/>
        <w:outlineLvl w:val="0"/>
        <w:rPr>
          <w:rFonts w:hint="eastAsia" w:ascii="黑体" w:hAnsi="黑体" w:eastAsia="黑体"/>
          <w:sz w:val="44"/>
          <w:szCs w:val="44"/>
        </w:rPr>
      </w:pPr>
      <w:bookmarkStart w:id="75" w:name="_Toc15756"/>
    </w:p>
    <w:p>
      <w:pPr>
        <w:spacing w:line="600" w:lineRule="exact"/>
        <w:jc w:val="center"/>
        <w:outlineLvl w:val="0"/>
        <w:rPr>
          <w:rFonts w:ascii="仿宋" w:hAnsi="仿宋" w:eastAsia="仿宋"/>
        </w:rPr>
      </w:pPr>
      <w:r>
        <w:rPr>
          <w:rFonts w:hint="eastAsia" w:ascii="黑体" w:hAnsi="黑体" w:eastAsia="黑体"/>
          <w:sz w:val="44"/>
          <w:szCs w:val="44"/>
        </w:rPr>
        <w:t>第</w:t>
      </w:r>
      <w:r>
        <w:rPr>
          <w:rStyle w:val="29"/>
          <w:rFonts w:hint="eastAsia" w:ascii="黑体" w:hAnsi="黑体" w:eastAsia="黑体"/>
          <w:b w:val="0"/>
          <w:lang w:val="en-US" w:eastAsia="zh-CN"/>
        </w:rPr>
        <w:t>五</w:t>
      </w:r>
      <w:r>
        <w:rPr>
          <w:rStyle w:val="29"/>
          <w:rFonts w:hint="eastAsia" w:ascii="黑体" w:hAnsi="黑体" w:eastAsia="黑体"/>
          <w:b w:val="0"/>
        </w:rPr>
        <w:t>部分 附表</w:t>
      </w:r>
      <w:bookmarkEnd w:id="71"/>
      <w:bookmarkEnd w:id="72"/>
      <w:bookmarkEnd w:id="75"/>
      <w:bookmarkStart w:id="76" w:name="_Toc15396619"/>
    </w:p>
    <w:p>
      <w:pPr>
        <w:pStyle w:val="6"/>
        <w:rPr>
          <w:rFonts w:ascii="仿宋" w:hAnsi="仿宋" w:eastAsia="仿宋"/>
        </w:rPr>
      </w:pPr>
      <w:bookmarkStart w:id="77" w:name="_Toc9881"/>
      <w:r>
        <w:rPr>
          <w:rFonts w:hint="eastAsia" w:ascii="仿宋" w:hAnsi="仿宋" w:eastAsia="仿宋"/>
          <w:b w:val="0"/>
        </w:rPr>
        <w:t>一、收</w:t>
      </w:r>
      <w:r>
        <w:rPr>
          <w:rStyle w:val="30"/>
          <w:rFonts w:hint="eastAsia" w:ascii="仿宋" w:hAnsi="仿宋" w:eastAsia="仿宋"/>
          <w:b w:val="0"/>
          <w:bCs w:val="0"/>
        </w:rPr>
        <w:t>入支出决算总表</w:t>
      </w:r>
      <w:bookmarkEnd w:id="76"/>
      <w:bookmarkEnd w:id="77"/>
    </w:p>
    <w:p>
      <w:pPr>
        <w:pStyle w:val="6"/>
        <w:rPr>
          <w:rFonts w:ascii="仿宋" w:hAnsi="仿宋" w:eastAsia="仿宋"/>
        </w:rPr>
      </w:pPr>
      <w:bookmarkStart w:id="78" w:name="_Toc29395"/>
      <w:bookmarkStart w:id="79" w:name="_Toc15396620"/>
      <w:r>
        <w:rPr>
          <w:rFonts w:hint="eastAsia" w:ascii="仿宋" w:hAnsi="仿宋" w:eastAsia="仿宋"/>
          <w:b w:val="0"/>
        </w:rPr>
        <w:t>二、收</w:t>
      </w:r>
      <w:r>
        <w:rPr>
          <w:rStyle w:val="30"/>
          <w:rFonts w:hint="eastAsia" w:ascii="仿宋" w:hAnsi="仿宋" w:eastAsia="仿宋"/>
          <w:b w:val="0"/>
          <w:bCs w:val="0"/>
        </w:rPr>
        <w:t>入决算表</w:t>
      </w:r>
      <w:bookmarkEnd w:id="78"/>
      <w:bookmarkEnd w:id="79"/>
    </w:p>
    <w:p>
      <w:pPr>
        <w:pStyle w:val="6"/>
        <w:rPr>
          <w:rFonts w:ascii="仿宋" w:hAnsi="仿宋" w:eastAsia="仿宋"/>
        </w:rPr>
      </w:pPr>
      <w:bookmarkStart w:id="80" w:name="_Toc15396621"/>
      <w:bookmarkStart w:id="81" w:name="_Toc3317"/>
      <w:r>
        <w:rPr>
          <w:rStyle w:val="30"/>
          <w:rFonts w:hint="eastAsia" w:ascii="仿宋" w:hAnsi="仿宋" w:eastAsia="仿宋"/>
          <w:b w:val="0"/>
          <w:bCs w:val="0"/>
        </w:rPr>
        <w:t>三、</w:t>
      </w:r>
      <w:r>
        <w:rPr>
          <w:rFonts w:hint="eastAsia" w:ascii="仿宋" w:hAnsi="仿宋" w:eastAsia="仿宋"/>
          <w:b w:val="0"/>
        </w:rPr>
        <w:t>支</w:t>
      </w:r>
      <w:r>
        <w:rPr>
          <w:rStyle w:val="30"/>
          <w:rFonts w:hint="eastAsia" w:ascii="仿宋" w:hAnsi="仿宋" w:eastAsia="仿宋"/>
          <w:b w:val="0"/>
          <w:bCs w:val="0"/>
        </w:rPr>
        <w:t>出决算表</w:t>
      </w:r>
      <w:bookmarkEnd w:id="80"/>
      <w:bookmarkEnd w:id="81"/>
    </w:p>
    <w:p>
      <w:pPr>
        <w:pStyle w:val="6"/>
        <w:rPr>
          <w:rFonts w:ascii="仿宋" w:hAnsi="仿宋" w:eastAsia="仿宋"/>
          <w:b w:val="0"/>
        </w:rPr>
      </w:pPr>
      <w:bookmarkStart w:id="82" w:name="_Toc17234"/>
      <w:bookmarkStart w:id="83" w:name="_Toc15396622"/>
      <w:r>
        <w:rPr>
          <w:rStyle w:val="30"/>
          <w:rFonts w:hint="eastAsia" w:ascii="仿宋" w:hAnsi="仿宋" w:eastAsia="仿宋"/>
          <w:b w:val="0"/>
          <w:bCs w:val="0"/>
        </w:rPr>
        <w:t>四、</w:t>
      </w:r>
      <w:r>
        <w:rPr>
          <w:rFonts w:hint="eastAsia" w:ascii="仿宋" w:hAnsi="仿宋" w:eastAsia="仿宋"/>
          <w:b w:val="0"/>
        </w:rPr>
        <w:t>财</w:t>
      </w:r>
      <w:r>
        <w:rPr>
          <w:rStyle w:val="30"/>
          <w:rFonts w:hint="eastAsia" w:ascii="仿宋" w:hAnsi="仿宋" w:eastAsia="仿宋"/>
          <w:b w:val="0"/>
          <w:bCs w:val="0"/>
        </w:rPr>
        <w:t>政拨款收入支出决算总表</w:t>
      </w:r>
      <w:bookmarkEnd w:id="82"/>
      <w:bookmarkEnd w:id="83"/>
    </w:p>
    <w:p>
      <w:pPr>
        <w:pStyle w:val="6"/>
        <w:rPr>
          <w:rStyle w:val="30"/>
          <w:rFonts w:ascii="仿宋" w:hAnsi="仿宋" w:eastAsia="仿宋"/>
          <w:b w:val="0"/>
          <w:bCs w:val="0"/>
        </w:rPr>
      </w:pPr>
      <w:bookmarkStart w:id="84" w:name="_Toc20061"/>
      <w:bookmarkStart w:id="85" w:name="_Toc15396623"/>
      <w:r>
        <w:rPr>
          <w:rStyle w:val="30"/>
          <w:rFonts w:hint="eastAsia" w:ascii="仿宋" w:hAnsi="仿宋" w:eastAsia="仿宋"/>
          <w:b w:val="0"/>
          <w:bCs w:val="0"/>
        </w:rPr>
        <w:t>五、</w:t>
      </w:r>
      <w:r>
        <w:rPr>
          <w:rFonts w:hint="eastAsia" w:ascii="仿宋" w:hAnsi="仿宋" w:eastAsia="仿宋"/>
          <w:b w:val="0"/>
        </w:rPr>
        <w:t>财</w:t>
      </w:r>
      <w:r>
        <w:rPr>
          <w:rStyle w:val="30"/>
          <w:rFonts w:hint="eastAsia" w:ascii="仿宋" w:hAnsi="仿宋" w:eastAsia="仿宋"/>
          <w:b w:val="0"/>
          <w:bCs w:val="0"/>
        </w:rPr>
        <w:t>政拨款支出决算明细表</w:t>
      </w:r>
      <w:bookmarkEnd w:id="84"/>
      <w:bookmarkEnd w:id="85"/>
      <w:bookmarkStart w:id="86" w:name="_Toc15396624"/>
    </w:p>
    <w:p>
      <w:pPr>
        <w:pStyle w:val="6"/>
        <w:rPr>
          <w:rFonts w:ascii="仿宋" w:hAnsi="仿宋" w:eastAsia="仿宋"/>
        </w:rPr>
      </w:pPr>
      <w:bookmarkStart w:id="87" w:name="_Toc11652"/>
      <w:r>
        <w:rPr>
          <w:rStyle w:val="30"/>
          <w:rFonts w:hint="eastAsia" w:ascii="仿宋" w:hAnsi="仿宋" w:eastAsia="仿宋"/>
          <w:b w:val="0"/>
          <w:bCs w:val="0"/>
        </w:rPr>
        <w:t>六、</w:t>
      </w:r>
      <w:r>
        <w:rPr>
          <w:rFonts w:hint="eastAsia" w:ascii="仿宋" w:hAnsi="仿宋" w:eastAsia="仿宋"/>
          <w:b w:val="0"/>
        </w:rPr>
        <w:t>一</w:t>
      </w:r>
      <w:r>
        <w:rPr>
          <w:rStyle w:val="30"/>
          <w:rFonts w:hint="eastAsia" w:ascii="仿宋" w:hAnsi="仿宋" w:eastAsia="仿宋"/>
          <w:b w:val="0"/>
          <w:bCs w:val="0"/>
        </w:rPr>
        <w:t>般公共预算财政拨款支出决算表</w:t>
      </w:r>
      <w:bookmarkEnd w:id="86"/>
      <w:bookmarkEnd w:id="87"/>
    </w:p>
    <w:p>
      <w:pPr>
        <w:pStyle w:val="6"/>
        <w:rPr>
          <w:rFonts w:ascii="仿宋" w:hAnsi="仿宋" w:eastAsia="仿宋"/>
        </w:rPr>
      </w:pPr>
      <w:bookmarkStart w:id="88" w:name="_Toc12072"/>
      <w:bookmarkStart w:id="89" w:name="_Toc15396625"/>
      <w:r>
        <w:rPr>
          <w:rStyle w:val="30"/>
          <w:rFonts w:hint="eastAsia" w:ascii="仿宋" w:hAnsi="仿宋" w:eastAsia="仿宋"/>
          <w:b w:val="0"/>
          <w:bCs w:val="0"/>
        </w:rPr>
        <w:t>七、</w:t>
      </w:r>
      <w:r>
        <w:rPr>
          <w:rFonts w:hint="eastAsia" w:ascii="仿宋" w:hAnsi="仿宋" w:eastAsia="仿宋"/>
          <w:b w:val="0"/>
        </w:rPr>
        <w:t>一</w:t>
      </w:r>
      <w:r>
        <w:rPr>
          <w:rStyle w:val="30"/>
          <w:rFonts w:hint="eastAsia" w:ascii="仿宋" w:hAnsi="仿宋" w:eastAsia="仿宋"/>
          <w:b w:val="0"/>
          <w:bCs w:val="0"/>
        </w:rPr>
        <w:t>般公共预算财政拨款支出决算明细表</w:t>
      </w:r>
      <w:bookmarkEnd w:id="88"/>
      <w:bookmarkEnd w:id="89"/>
    </w:p>
    <w:p>
      <w:pPr>
        <w:pStyle w:val="6"/>
        <w:rPr>
          <w:rFonts w:ascii="仿宋" w:hAnsi="仿宋" w:eastAsia="仿宋"/>
        </w:rPr>
      </w:pPr>
      <w:bookmarkStart w:id="90" w:name="_Toc15396626"/>
      <w:bookmarkStart w:id="91" w:name="_Toc11550"/>
      <w:r>
        <w:rPr>
          <w:rStyle w:val="30"/>
          <w:rFonts w:hint="eastAsia" w:ascii="仿宋" w:hAnsi="仿宋" w:eastAsia="仿宋"/>
          <w:b w:val="0"/>
          <w:bCs w:val="0"/>
        </w:rPr>
        <w:t>八、</w:t>
      </w:r>
      <w:r>
        <w:rPr>
          <w:rFonts w:hint="eastAsia" w:ascii="仿宋" w:hAnsi="仿宋" w:eastAsia="仿宋"/>
          <w:b w:val="0"/>
        </w:rPr>
        <w:t>一</w:t>
      </w:r>
      <w:r>
        <w:rPr>
          <w:rStyle w:val="30"/>
          <w:rFonts w:hint="eastAsia" w:ascii="仿宋" w:hAnsi="仿宋" w:eastAsia="仿宋"/>
          <w:b w:val="0"/>
          <w:bCs w:val="0"/>
        </w:rPr>
        <w:t>般公共预算财政拨款基本支出决算表</w:t>
      </w:r>
      <w:bookmarkEnd w:id="90"/>
      <w:bookmarkEnd w:id="91"/>
    </w:p>
    <w:p>
      <w:pPr>
        <w:pStyle w:val="6"/>
        <w:rPr>
          <w:rFonts w:ascii="仿宋" w:hAnsi="仿宋" w:eastAsia="仿宋"/>
        </w:rPr>
      </w:pPr>
      <w:bookmarkStart w:id="92" w:name="_Toc18953"/>
      <w:bookmarkStart w:id="93" w:name="_Toc15396627"/>
      <w:r>
        <w:rPr>
          <w:rStyle w:val="30"/>
          <w:rFonts w:hint="eastAsia" w:ascii="仿宋" w:hAnsi="仿宋" w:eastAsia="仿宋"/>
          <w:b w:val="0"/>
          <w:bCs w:val="0"/>
        </w:rPr>
        <w:t>九、</w:t>
      </w:r>
      <w:r>
        <w:rPr>
          <w:rFonts w:hint="eastAsia" w:ascii="仿宋" w:hAnsi="仿宋" w:eastAsia="仿宋"/>
          <w:b w:val="0"/>
        </w:rPr>
        <w:t>一</w:t>
      </w:r>
      <w:r>
        <w:rPr>
          <w:rStyle w:val="30"/>
          <w:rFonts w:hint="eastAsia" w:ascii="仿宋" w:hAnsi="仿宋" w:eastAsia="仿宋"/>
          <w:b w:val="0"/>
          <w:bCs w:val="0"/>
        </w:rPr>
        <w:t>般公共预算财政拨款项目支出决算表</w:t>
      </w:r>
      <w:bookmarkEnd w:id="92"/>
      <w:bookmarkEnd w:id="93"/>
    </w:p>
    <w:p>
      <w:pPr>
        <w:pStyle w:val="6"/>
        <w:rPr>
          <w:rFonts w:ascii="仿宋" w:hAnsi="仿宋" w:eastAsia="仿宋"/>
        </w:rPr>
      </w:pPr>
      <w:bookmarkStart w:id="94" w:name="_Toc15396628"/>
      <w:bookmarkStart w:id="95" w:name="_Toc4243"/>
      <w:r>
        <w:rPr>
          <w:rStyle w:val="30"/>
          <w:rFonts w:hint="eastAsia" w:ascii="仿宋" w:hAnsi="仿宋" w:eastAsia="仿宋"/>
          <w:b w:val="0"/>
          <w:bCs w:val="0"/>
        </w:rPr>
        <w:t>十、</w:t>
      </w:r>
      <w:bookmarkEnd w:id="94"/>
      <w:r>
        <w:rPr>
          <w:rFonts w:hint="eastAsia" w:ascii="仿宋" w:hAnsi="仿宋" w:eastAsia="仿宋"/>
          <w:b w:val="0"/>
        </w:rPr>
        <w:t>政</w:t>
      </w:r>
      <w:r>
        <w:rPr>
          <w:rStyle w:val="30"/>
          <w:rFonts w:hint="eastAsia" w:ascii="仿宋" w:hAnsi="仿宋" w:eastAsia="仿宋"/>
          <w:b w:val="0"/>
          <w:bCs w:val="0"/>
        </w:rPr>
        <w:t>府性基金预算财政拨款收入支出决算表</w:t>
      </w:r>
      <w:bookmarkEnd w:id="95"/>
    </w:p>
    <w:p>
      <w:pPr>
        <w:pStyle w:val="6"/>
        <w:rPr>
          <w:rFonts w:ascii="仿宋" w:hAnsi="仿宋" w:eastAsia="仿宋"/>
        </w:rPr>
      </w:pPr>
      <w:bookmarkStart w:id="96" w:name="_Toc15396629"/>
      <w:bookmarkStart w:id="97" w:name="_Toc5"/>
      <w:r>
        <w:rPr>
          <w:rStyle w:val="30"/>
          <w:rFonts w:hint="eastAsia" w:ascii="仿宋" w:hAnsi="仿宋" w:eastAsia="仿宋"/>
          <w:b w:val="0"/>
          <w:bCs w:val="0"/>
        </w:rPr>
        <w:t>十一、</w:t>
      </w:r>
      <w:bookmarkEnd w:id="96"/>
      <w:r>
        <w:rPr>
          <w:rFonts w:hint="eastAsia" w:ascii="仿宋" w:hAnsi="仿宋" w:eastAsia="仿宋"/>
          <w:b w:val="0"/>
        </w:rPr>
        <w:t>国</w:t>
      </w:r>
      <w:r>
        <w:rPr>
          <w:rStyle w:val="30"/>
          <w:rFonts w:hint="eastAsia" w:ascii="仿宋" w:hAnsi="仿宋" w:eastAsia="仿宋"/>
          <w:b w:val="0"/>
          <w:bCs w:val="0"/>
        </w:rPr>
        <w:t>有资本经营预算财政拨款收入支出决算表</w:t>
      </w:r>
      <w:bookmarkEnd w:id="97"/>
    </w:p>
    <w:p>
      <w:pPr>
        <w:pStyle w:val="6"/>
        <w:rPr>
          <w:rFonts w:ascii="仿宋" w:hAnsi="仿宋" w:eastAsia="仿宋"/>
        </w:rPr>
      </w:pPr>
      <w:bookmarkStart w:id="98" w:name="_Toc15396630"/>
      <w:bookmarkStart w:id="99" w:name="_Toc22441"/>
      <w:r>
        <w:rPr>
          <w:rStyle w:val="30"/>
          <w:rFonts w:hint="eastAsia" w:ascii="仿宋" w:hAnsi="仿宋" w:eastAsia="仿宋"/>
          <w:b w:val="0"/>
          <w:bCs w:val="0"/>
        </w:rPr>
        <w:t>十二、</w:t>
      </w:r>
      <w:bookmarkEnd w:id="98"/>
      <w:r>
        <w:rPr>
          <w:rStyle w:val="30"/>
          <w:rFonts w:hint="eastAsia" w:ascii="仿宋" w:hAnsi="仿宋" w:eastAsia="仿宋"/>
          <w:b w:val="0"/>
          <w:bCs w:val="0"/>
        </w:rPr>
        <w:t>国有资本经营预算财政拨款支出决算表</w:t>
      </w:r>
      <w:bookmarkEnd w:id="99"/>
    </w:p>
    <w:p>
      <w:pPr>
        <w:pStyle w:val="6"/>
        <w:rPr>
          <w:rFonts w:eastAsia="仿宋"/>
        </w:rPr>
      </w:pPr>
      <w:bookmarkStart w:id="100" w:name="_Toc15396631"/>
      <w:bookmarkStart w:id="101" w:name="_Toc20801"/>
      <w:r>
        <w:rPr>
          <w:rStyle w:val="30"/>
          <w:rFonts w:hint="eastAsia" w:ascii="仿宋" w:hAnsi="仿宋" w:eastAsia="仿宋"/>
          <w:b w:val="0"/>
          <w:bCs w:val="0"/>
        </w:rPr>
        <w:t>十三、</w:t>
      </w:r>
      <w:bookmarkEnd w:id="100"/>
      <w:r>
        <w:rPr>
          <w:rStyle w:val="30"/>
          <w:rFonts w:hint="eastAsia" w:ascii="仿宋" w:hAnsi="仿宋" w:eastAsia="仿宋"/>
          <w:b w:val="0"/>
          <w:bCs w:val="0"/>
        </w:rPr>
        <w:t>财政拨款“三公”经费支出决算表</w:t>
      </w:r>
      <w:bookmarkEnd w:id="101"/>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2"/>
          <w:jc w:val="center"/>
        </w:pPr>
        <w:r>
          <w:fldChar w:fldCharType="begin"/>
        </w:r>
        <w:r>
          <w:instrText xml:space="preserve">PAGE   \* MERGEFORMAT</w:instrText>
        </w:r>
        <w:r>
          <w:fldChar w:fldCharType="separate"/>
        </w:r>
        <w:r>
          <w:rPr>
            <w:lang w:val="zh-CN"/>
          </w:rPr>
          <w:t>15</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6E49F0"/>
    <w:multiLevelType w:val="singleLevel"/>
    <w:tmpl w:val="C56E49F0"/>
    <w:lvl w:ilvl="0" w:tentative="0">
      <w:start w:val="1"/>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E7D85A5B"/>
    <w:multiLevelType w:val="singleLevel"/>
    <w:tmpl w:val="E7D85A5B"/>
    <w:lvl w:ilvl="0" w:tentative="0">
      <w:start w:val="2"/>
      <w:numFmt w:val="chineseCounting"/>
      <w:suff w:val="nothing"/>
      <w:lvlText w:val="（%1）"/>
      <w:lvlJc w:val="left"/>
      <w:rPr>
        <w:rFonts w:hint="eastAsia"/>
      </w:rPr>
    </w:lvl>
  </w:abstractNum>
  <w:abstractNum w:abstractNumId="4">
    <w:nsid w:val="F78C10FA"/>
    <w:multiLevelType w:val="singleLevel"/>
    <w:tmpl w:val="F78C10FA"/>
    <w:lvl w:ilvl="0" w:tentative="0">
      <w:start w:val="1"/>
      <w:numFmt w:val="chineseCounting"/>
      <w:suff w:val="space"/>
      <w:lvlText w:val="第%1部分"/>
      <w:lvlJc w:val="left"/>
      <w:rPr>
        <w:rFonts w:hint="eastAsia"/>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3818A09A"/>
    <w:multiLevelType w:val="singleLevel"/>
    <w:tmpl w:val="3818A09A"/>
    <w:lvl w:ilvl="0" w:tentative="0">
      <w:start w:val="1"/>
      <w:numFmt w:val="chineseCounting"/>
      <w:suff w:val="nothing"/>
      <w:lvlText w:val="%1、"/>
      <w:lvlJc w:val="left"/>
      <w:rPr>
        <w:rFonts w:hint="eastAsia"/>
      </w:rPr>
    </w:lvl>
  </w:abstractNum>
  <w:num w:numId="1">
    <w:abstractNumId w:val="4"/>
  </w:num>
  <w:num w:numId="2">
    <w:abstractNumId w:val="6"/>
  </w:num>
  <w:num w:numId="3">
    <w:abstractNumId w:val="5"/>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221991"/>
    <w:rsid w:val="02652AD8"/>
    <w:rsid w:val="02B83004"/>
    <w:rsid w:val="03DC2831"/>
    <w:rsid w:val="04D14A28"/>
    <w:rsid w:val="052A227F"/>
    <w:rsid w:val="056D40CE"/>
    <w:rsid w:val="05B13809"/>
    <w:rsid w:val="06C409B5"/>
    <w:rsid w:val="081B5E94"/>
    <w:rsid w:val="0A2032A3"/>
    <w:rsid w:val="0B8A37D8"/>
    <w:rsid w:val="0CC66AA3"/>
    <w:rsid w:val="0EC4253F"/>
    <w:rsid w:val="0F5FFB2F"/>
    <w:rsid w:val="0FFFCF60"/>
    <w:rsid w:val="10C055FF"/>
    <w:rsid w:val="118107EC"/>
    <w:rsid w:val="11DD6519"/>
    <w:rsid w:val="15FE1523"/>
    <w:rsid w:val="16BB723D"/>
    <w:rsid w:val="172B0263"/>
    <w:rsid w:val="18015F3F"/>
    <w:rsid w:val="1A136DD5"/>
    <w:rsid w:val="1BE31618"/>
    <w:rsid w:val="1BE8440E"/>
    <w:rsid w:val="1D155CEE"/>
    <w:rsid w:val="1EB021DD"/>
    <w:rsid w:val="1FDBBF84"/>
    <w:rsid w:val="20F57F95"/>
    <w:rsid w:val="240371BF"/>
    <w:rsid w:val="25711CC6"/>
    <w:rsid w:val="25C741E6"/>
    <w:rsid w:val="276F80C0"/>
    <w:rsid w:val="27842671"/>
    <w:rsid w:val="29FD04D3"/>
    <w:rsid w:val="2ABE7A3E"/>
    <w:rsid w:val="2AFF09B6"/>
    <w:rsid w:val="2CA234A8"/>
    <w:rsid w:val="2CFD4D5E"/>
    <w:rsid w:val="2EFA178C"/>
    <w:rsid w:val="2EFDF86C"/>
    <w:rsid w:val="2F9D17E1"/>
    <w:rsid w:val="2FBE18B9"/>
    <w:rsid w:val="30B46D73"/>
    <w:rsid w:val="319F7F4E"/>
    <w:rsid w:val="331B5235"/>
    <w:rsid w:val="335B0A0D"/>
    <w:rsid w:val="34C8066C"/>
    <w:rsid w:val="356A28F1"/>
    <w:rsid w:val="357C035A"/>
    <w:rsid w:val="368E000D"/>
    <w:rsid w:val="3693625D"/>
    <w:rsid w:val="383D272C"/>
    <w:rsid w:val="39AE70AB"/>
    <w:rsid w:val="3A4DCE41"/>
    <w:rsid w:val="3BCB56FA"/>
    <w:rsid w:val="3C0C0783"/>
    <w:rsid w:val="3EE7C2F4"/>
    <w:rsid w:val="3F371B56"/>
    <w:rsid w:val="3F792ED8"/>
    <w:rsid w:val="3F9F3A96"/>
    <w:rsid w:val="3FAD0B9F"/>
    <w:rsid w:val="3FECA4B2"/>
    <w:rsid w:val="3FF58C48"/>
    <w:rsid w:val="42FF6694"/>
    <w:rsid w:val="447D264B"/>
    <w:rsid w:val="44FD72C2"/>
    <w:rsid w:val="48BF60AB"/>
    <w:rsid w:val="493C27E9"/>
    <w:rsid w:val="496F39ED"/>
    <w:rsid w:val="49FF41D3"/>
    <w:rsid w:val="4BE068DB"/>
    <w:rsid w:val="4BF6002B"/>
    <w:rsid w:val="4BFFC6BE"/>
    <w:rsid w:val="4C4B778B"/>
    <w:rsid w:val="4E8F0C6E"/>
    <w:rsid w:val="4ECE2238"/>
    <w:rsid w:val="51DB4B86"/>
    <w:rsid w:val="51F64DB0"/>
    <w:rsid w:val="534021ED"/>
    <w:rsid w:val="550B7D18"/>
    <w:rsid w:val="55333C3E"/>
    <w:rsid w:val="58AA64A0"/>
    <w:rsid w:val="59D05F0B"/>
    <w:rsid w:val="5B8245E3"/>
    <w:rsid w:val="5C0F7D59"/>
    <w:rsid w:val="5C183C23"/>
    <w:rsid w:val="5CC663AE"/>
    <w:rsid w:val="5DE57F4F"/>
    <w:rsid w:val="5F67802D"/>
    <w:rsid w:val="5F7DC4F2"/>
    <w:rsid w:val="5FB36814"/>
    <w:rsid w:val="5FBB8E56"/>
    <w:rsid w:val="5FFB5535"/>
    <w:rsid w:val="63E96934"/>
    <w:rsid w:val="64CA39A1"/>
    <w:rsid w:val="66181EF5"/>
    <w:rsid w:val="66337CF5"/>
    <w:rsid w:val="66B85ACA"/>
    <w:rsid w:val="67C67387"/>
    <w:rsid w:val="69630ADE"/>
    <w:rsid w:val="69BD5F13"/>
    <w:rsid w:val="69FB0B4B"/>
    <w:rsid w:val="6BFE2F92"/>
    <w:rsid w:val="6BFFE1FB"/>
    <w:rsid w:val="6C4A05C8"/>
    <w:rsid w:val="6D3B1A89"/>
    <w:rsid w:val="6DB7D8A3"/>
    <w:rsid w:val="6EC78701"/>
    <w:rsid w:val="6F7A5481"/>
    <w:rsid w:val="6F985032"/>
    <w:rsid w:val="6FFE07A9"/>
    <w:rsid w:val="70E91556"/>
    <w:rsid w:val="71BF4EC2"/>
    <w:rsid w:val="72734D90"/>
    <w:rsid w:val="73E75B71"/>
    <w:rsid w:val="73FA5747"/>
    <w:rsid w:val="7412278C"/>
    <w:rsid w:val="74593A9D"/>
    <w:rsid w:val="74C4753B"/>
    <w:rsid w:val="75DDCDA9"/>
    <w:rsid w:val="75FF44B1"/>
    <w:rsid w:val="765D4F88"/>
    <w:rsid w:val="77670518"/>
    <w:rsid w:val="777FA627"/>
    <w:rsid w:val="77DF1B5F"/>
    <w:rsid w:val="77EF2D9D"/>
    <w:rsid w:val="79A672ED"/>
    <w:rsid w:val="79C666F8"/>
    <w:rsid w:val="79E7B28D"/>
    <w:rsid w:val="7AC86FEC"/>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qFormat/>
    <w:uiPriority w:val="0"/>
    <w:pPr>
      <w:spacing w:after="120"/>
      <w:ind w:left="200" w:leftChars="200"/>
    </w:pPr>
    <w:rPr>
      <w:rFonts w:ascii="仿宋_GB2312"/>
      <w:szCs w:val="32"/>
    </w:rPr>
  </w:style>
  <w:style w:type="paragraph" w:styleId="8">
    <w:name w:val="annotation text"/>
    <w:basedOn w:val="1"/>
    <w:semiHidden/>
    <w:unhideWhenUsed/>
    <w:qFormat/>
    <w:uiPriority w:val="99"/>
    <w:pPr>
      <w:jc w:val="left"/>
    </w:pPr>
  </w:style>
  <w:style w:type="paragraph" w:styleId="9">
    <w:name w:val="Body Text"/>
    <w:basedOn w:val="1"/>
    <w:link w:val="26"/>
    <w:qFormat/>
    <w:uiPriority w:val="99"/>
    <w:pPr>
      <w:spacing w:beforeLines="30"/>
    </w:pPr>
    <w:rPr>
      <w:rFonts w:ascii="仿宋_GB2312" w:eastAsia="仿宋_GB2312"/>
      <w:kern w:val="0"/>
      <w:sz w:val="30"/>
    </w:rPr>
  </w:style>
  <w:style w:type="paragraph" w:styleId="10">
    <w:name w:val="toc 3"/>
    <w:basedOn w:val="1"/>
    <w:next w:val="1"/>
    <w:unhideWhenUsed/>
    <w:qFormat/>
    <w:uiPriority w:val="39"/>
    <w:pPr>
      <w:tabs>
        <w:tab w:val="right" w:leader="dot" w:pos="8296"/>
      </w:tabs>
      <w:ind w:left="840" w:leftChars="400"/>
    </w:pPr>
  </w:style>
  <w:style w:type="paragraph" w:styleId="11">
    <w:name w:val="Balloon Text"/>
    <w:basedOn w:val="1"/>
    <w:link w:val="32"/>
    <w:semiHidden/>
    <w:unhideWhenUsed/>
    <w:qFormat/>
    <w:uiPriority w:val="99"/>
    <w:rPr>
      <w:sz w:val="18"/>
      <w:szCs w:val="18"/>
    </w:rPr>
  </w:style>
  <w:style w:type="paragraph" w:styleId="12">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3">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4">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5">
    <w:name w:val="toc 2"/>
    <w:basedOn w:val="1"/>
    <w:next w:val="1"/>
    <w:unhideWhenUsed/>
    <w:qFormat/>
    <w:uiPriority w:val="39"/>
    <w:pPr>
      <w:tabs>
        <w:tab w:val="right" w:leader="dot" w:pos="8296"/>
      </w:tabs>
      <w:ind w:left="420" w:left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3"/>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2"/>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9"/>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5"/>
    <w:qFormat/>
    <w:uiPriority w:val="9"/>
    <w:rPr>
      <w:rFonts w:ascii="Times New Roman" w:hAnsi="Times New Roman"/>
      <w:b/>
      <w:bCs/>
      <w:kern w:val="44"/>
      <w:sz w:val="44"/>
      <w:szCs w:val="44"/>
    </w:rPr>
  </w:style>
  <w:style w:type="character" w:customStyle="1" w:styleId="30">
    <w:name w:val="标题 2 字符"/>
    <w:basedOn w:val="17"/>
    <w:link w:val="6"/>
    <w:qFormat/>
    <w:uiPriority w:val="9"/>
    <w:rPr>
      <w:rFonts w:asciiTheme="majorHAnsi" w:hAnsiTheme="majorHAnsi" w:eastAsiaTheme="majorEastAsia" w:cstheme="majorBidi"/>
      <w:b/>
      <w:bCs/>
      <w:kern w:val="2"/>
      <w:sz w:val="32"/>
      <w:szCs w:val="32"/>
    </w:rPr>
  </w:style>
  <w:style w:type="paragraph" w:customStyle="1" w:styleId="31">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11"/>
    <w:semiHidden/>
    <w:qFormat/>
    <w:uiPriority w:val="99"/>
    <w:rPr>
      <w:rFonts w:ascii="Times New Roman" w:hAnsi="Times New Roman"/>
      <w:kern w:val="2"/>
      <w:sz w:val="18"/>
      <w:szCs w:val="18"/>
    </w:rPr>
  </w:style>
  <w:style w:type="character" w:customStyle="1" w:styleId="33">
    <w:name w:val="标题 3 字符"/>
    <w:basedOn w:val="17"/>
    <w:link w:val="7"/>
    <w:qFormat/>
    <w:uiPriority w:val="9"/>
    <w:rPr>
      <w:rFonts w:ascii="Times New Roman" w:hAnsi="Times New Roman"/>
      <w:b/>
      <w:bCs/>
      <w:kern w:val="2"/>
      <w:sz w:val="32"/>
      <w:szCs w:val="32"/>
    </w:rPr>
  </w:style>
  <w:style w:type="paragraph" w:customStyle="1" w:styleId="34">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qFormat/>
    <w:uiPriority w:val="0"/>
    <w:pPr>
      <w:ind w:leftChars="0"/>
    </w:pPr>
    <w:rPr>
      <w:rFonts w:asciiTheme="minorHAnsi" w:hAnsiTheme="minorHAnsi" w:eastAsiaTheme="minorEastAsia" w:cstheme="minorBidi"/>
      <w:sz w:val="20"/>
      <w:szCs w:val="20"/>
    </w:rPr>
  </w:style>
  <w:style w:type="paragraph" w:customStyle="1" w:styleId="36">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1\AppData\Local\Temp\wps.Nl6008\Workbook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1\AppData\Local\Temp\wps.Nl6008\Workbook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zh-CN" sz="1800" b="0" i="0" baseline="0">
                <a:effectLst/>
              </a:rPr>
              <a:t>收入决算结构图</a:t>
            </a:r>
            <a:endParaRPr lang="zh-CN" altLang="zh-CN">
              <a:effectLst/>
            </a:endParaRPr>
          </a:p>
        </c:rich>
      </c:tx>
      <c:layout/>
      <c:overlay val="0"/>
      <c:spPr>
        <a:noFill/>
        <a:ln w="25400">
          <a:noFill/>
        </a:ln>
      </c:spPr>
    </c:title>
    <c:autoTitleDeleted val="0"/>
    <c:plotArea>
      <c:layout/>
      <c:pieChart>
        <c:varyColors val="1"/>
        <c:ser>
          <c:idx val="0"/>
          <c:order val="0"/>
          <c:explosion val="0"/>
          <c:dPt>
            <c:idx val="0"/>
            <c:bubble3D val="0"/>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100%</a:t>
                    </a:r>
                  </a:p>
                </c:rich>
              </c:tx>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w="25400">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[Workbook6.xlsx]决算公开!$A$25</c:f>
              <c:strCache>
                <c:ptCount val="1"/>
                <c:pt idx="0">
                  <c:v>一般公共预算财政拨款收入</c:v>
                </c:pt>
              </c:strCache>
            </c:strRef>
          </c:cat>
          <c:val>
            <c:numRef>
              <c:f>[Workbook6.xlsx]决算公开!$A$26</c:f>
              <c:numCache>
                <c:formatCode>#,##0.00</c:formatCode>
                <c:ptCount val="1"/>
                <c:pt idx="0">
                  <c:v>5.96</c:v>
                </c:pt>
              </c:numCache>
            </c:numRef>
          </c:val>
        </c:ser>
        <c:dLbls>
          <c:showLegendKey val="0"/>
          <c:showVal val="0"/>
          <c:showCatName val="0"/>
          <c:showSerName val="0"/>
          <c:showPercent val="1"/>
          <c:showBubbleSize val="0"/>
          <c:showLeaderLines val="1"/>
        </c:dLbls>
        <c:firstSliceAng val="0"/>
      </c:pieChart>
      <c:spPr>
        <a:noFill/>
        <a:ln w="25400">
          <a:noFill/>
        </a:ln>
      </c:spPr>
    </c:plotArea>
    <c:legend>
      <c:legendPos val="r"/>
      <c:layout>
        <c:manualLayout>
          <c:xMode val="edge"/>
          <c:yMode val="edge"/>
          <c:x val="0.569281251608255"/>
          <c:y val="0.183453237410072"/>
          <c:w val="0.33198559003654"/>
          <c:h val="0.434040672973432"/>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支出结构决算图</a:t>
            </a:r>
            <a:endParaRPr lang="zh-CN" altLang="en-US"/>
          </a:p>
        </c:rich>
      </c:tx>
      <c:layout/>
      <c:overlay val="0"/>
      <c:spPr>
        <a:noFill/>
        <a:ln w="25400">
          <a:noFill/>
        </a:ln>
      </c:spPr>
    </c:title>
    <c:autoTitleDeleted val="0"/>
    <c:plotArea>
      <c:layout/>
      <c:pieChart>
        <c:varyColors val="1"/>
        <c:ser>
          <c:idx val="0"/>
          <c:order val="0"/>
          <c:explosion val="0"/>
          <c:dPt>
            <c:idx val="0"/>
            <c:bubble3D val="0"/>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基本支出100%</a:t>
                    </a:r>
                  </a:p>
                </c:rich>
              </c:tx>
              <c:dLblPos val="bestFit"/>
              <c:showLegendKey val="0"/>
              <c:showVal val="0"/>
              <c:showCatName val="1"/>
              <c:showSerName val="0"/>
              <c:showPercent val="1"/>
              <c:showBubbleSize val="0"/>
              <c:separator>
</c:separator>
              <c:extLst>
                <c:ext xmlns:c15="http://schemas.microsoft.com/office/drawing/2012/chart" uri="{CE6537A1-D6FC-4f65-9D91-7224C49458BB}"/>
              </c:extLst>
            </c:dLbl>
            <c:numFmt formatCode="0.00%" sourceLinked="0"/>
            <c:spPr>
              <a:noFill/>
              <a:ln w="25400">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[Workbook6.xlsx]决算公开!$A$51</c:f>
              <c:strCache>
                <c:ptCount val="1"/>
                <c:pt idx="0">
                  <c:v>基本支出</c:v>
                </c:pt>
              </c:strCache>
            </c:strRef>
          </c:cat>
          <c:val>
            <c:numRef>
              <c:f>[Workbook6.xlsx]决算公开!$A$52</c:f>
              <c:numCache>
                <c:formatCode>#,##0.00</c:formatCode>
                <c:ptCount val="1"/>
                <c:pt idx="0">
                  <c:v>5.96</c:v>
                </c:pt>
              </c:numCache>
            </c:numRef>
          </c:val>
        </c:ser>
        <c:dLbls>
          <c:showLegendKey val="0"/>
          <c:showVal val="0"/>
          <c:showCatName val="1"/>
          <c:showSerName val="0"/>
          <c:showPercent val="1"/>
          <c:showBubbleSize val="0"/>
          <c:showLeaderLines val="1"/>
        </c:dLbls>
        <c:firstSliceAng val="0"/>
      </c:pieChart>
      <c:spPr>
        <a:noFill/>
        <a:ln w="25400">
          <a:noFill/>
        </a:ln>
      </c:spPr>
    </c:plotArea>
    <c:plotVisOnly val="1"/>
    <c:dispBlanksAs val="zero"/>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16</Pages>
  <Words>4421</Words>
  <Characters>4723</Characters>
  <Lines>54</Lines>
  <Paragraphs>15</Paragraphs>
  <TotalTime>4</TotalTime>
  <ScaleCrop>false</ScaleCrop>
  <LinksUpToDate>false</LinksUpToDate>
  <CharactersWithSpaces>4834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五通桥区文体旅游局</cp:lastModifiedBy>
  <cp:lastPrinted>2023-08-03T02:35:00Z</cp:lastPrinted>
  <dcterms:modified xsi:type="dcterms:W3CDTF">2024-10-28T02:47:54Z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837F97F1F4A54ACBB2BA717721B74650_13</vt:lpwstr>
  </property>
</Properties>
</file>