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ascii="方正小标宋简体" w:hAnsi="宋体" w:eastAsia="方正小标宋简体"/>
          <w:szCs w:val="21"/>
        </w:rPr>
      </w:pPr>
      <w:bookmarkStart w:id="0" w:name="_Toc15306267"/>
    </w:p>
    <w:p>
      <w:pPr>
        <w:pStyle w:val="9"/>
        <w:spacing w:before="93"/>
      </w:pPr>
    </w:p>
    <w:p>
      <w:pPr>
        <w:spacing w:line="600" w:lineRule="exact"/>
        <w:jc w:val="center"/>
        <w:outlineLvl w:val="9"/>
        <w:rPr>
          <w:rFonts w:ascii="方正小标宋简体" w:hAnsi="宋体" w:eastAsia="方正小标宋简体"/>
          <w:sz w:val="72"/>
          <w:szCs w:val="72"/>
        </w:rPr>
      </w:pPr>
    </w:p>
    <w:p>
      <w:pPr>
        <w:spacing w:line="600" w:lineRule="exact"/>
        <w:jc w:val="center"/>
        <w:outlineLvl w:val="9"/>
        <w:rPr>
          <w:rFonts w:ascii="方正小标宋简体" w:hAnsi="宋体" w:eastAsia="方正小标宋简体"/>
          <w:sz w:val="72"/>
          <w:szCs w:val="72"/>
        </w:rPr>
      </w:pPr>
    </w:p>
    <w:p>
      <w:pPr>
        <w:adjustRightInd w:val="0"/>
        <w:snapToGrid w:val="0"/>
        <w:spacing w:line="360" w:lineRule="auto"/>
        <w:jc w:val="center"/>
        <w:outlineLvl w:val="0"/>
        <w:rPr>
          <w:rFonts w:hint="eastAsia" w:ascii="方正小标宋简体" w:hAnsi="方正小标宋简体" w:eastAsia="方正小标宋简体" w:cs="方正小标宋简体"/>
          <w:sz w:val="72"/>
          <w:szCs w:val="72"/>
        </w:rPr>
      </w:pPr>
      <w:bookmarkStart w:id="1" w:name="_Toc28235"/>
      <w:bookmarkStart w:id="2" w:name="_Toc15378441"/>
      <w:bookmarkStart w:id="3" w:name="_Toc15377425"/>
      <w:bookmarkStart w:id="4" w:name="_Toc15396475"/>
      <w:bookmarkStart w:id="5" w:name="_Toc15396597"/>
      <w:bookmarkStart w:id="6" w:name="_Toc15377193"/>
      <w:r>
        <w:rPr>
          <w:rFonts w:hint="eastAsia" w:ascii="方正小标宋简体" w:hAnsi="方正小标宋简体" w:eastAsia="方正小标宋简体" w:cs="方正小标宋简体"/>
          <w:sz w:val="72"/>
          <w:szCs w:val="72"/>
        </w:rPr>
        <w:t>2023年度</w:t>
      </w:r>
      <w:bookmarkEnd w:id="0"/>
      <w:bookmarkEnd w:id="1"/>
      <w:bookmarkEnd w:id="2"/>
      <w:bookmarkEnd w:id="3"/>
      <w:bookmarkEnd w:id="4"/>
      <w:bookmarkEnd w:id="5"/>
      <w:bookmarkEnd w:id="6"/>
      <w:bookmarkStart w:id="7" w:name="_Toc15396598"/>
      <w:bookmarkStart w:id="8" w:name="_Toc15378442"/>
      <w:bookmarkStart w:id="9" w:name="_Toc15377426"/>
      <w:bookmarkStart w:id="10" w:name="_Toc15306268"/>
      <w:bookmarkStart w:id="11" w:name="_Toc15377194"/>
      <w:bookmarkStart w:id="12" w:name="_Toc15396476"/>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3" w:name="_Toc20774"/>
      <w:r>
        <w:rPr>
          <w:rFonts w:hint="eastAsia" w:ascii="方正小标宋简体" w:hAnsi="方正小标宋简体" w:eastAsia="方正小标宋简体" w:cs="方正小标宋简体"/>
          <w:sz w:val="72"/>
          <w:szCs w:val="72"/>
        </w:rPr>
        <w:t>五通桥区小西湖风景区服务中心单位决算</w:t>
      </w:r>
      <w:bookmarkEnd w:id="7"/>
      <w:bookmarkEnd w:id="8"/>
      <w:bookmarkEnd w:id="9"/>
      <w:bookmarkEnd w:id="10"/>
      <w:bookmarkEnd w:id="11"/>
      <w:bookmarkEnd w:id="12"/>
      <w:bookmarkEnd w:id="13"/>
    </w:p>
    <w:p>
      <w:pPr>
        <w:widowControl/>
        <w:jc w:val="center"/>
        <w:rPr>
          <w:rFonts w:ascii="黑体" w:hAnsi="黑体" w:eastAsia="黑体" w:cstheme="minorBidi"/>
          <w:sz w:val="28"/>
          <w:szCs w:val="28"/>
        </w:rPr>
      </w:pPr>
      <w:r>
        <w:rPr>
          <w:rFonts w:ascii="方正小标宋简体" w:hAnsi="宋体" w:eastAsia="方正小标宋简体"/>
          <w:sz w:val="36"/>
          <w:szCs w:val="36"/>
        </w:rPr>
        <w:br w:type="page"/>
      </w:r>
      <w:r>
        <w:rPr>
          <w:rFonts w:hint="eastAsia" w:ascii="黑体" w:hAnsi="黑体" w:eastAsia="黑体"/>
          <w:sz w:val="48"/>
          <w:szCs w:val="48"/>
        </w:rPr>
        <w:t>目录</w:t>
      </w:r>
    </w:p>
    <w:p>
      <w:pPr>
        <w:pStyle w:val="14"/>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25</w:t>
      </w:r>
      <w:r>
        <w:rPr>
          <w:rFonts w:hint="eastAsia"/>
        </w:rPr>
        <w:t>日</w:t>
      </w:r>
    </w:p>
    <w:sdt>
      <w:sdtPr>
        <w:rPr>
          <w:rFonts w:ascii="宋体" w:hAnsi="宋体" w:eastAsia="宋体" w:cs="Times New Roman"/>
          <w:kern w:val="2"/>
          <w:sz w:val="21"/>
          <w:szCs w:val="24"/>
          <w:lang w:val="en-US" w:eastAsia="zh-CN" w:bidi="ar-SA"/>
        </w:rPr>
        <w:id w:val="147483207"/>
        <w15:color w:val="DBDBDB"/>
        <w:docPartObj>
          <w:docPartGallery w:val="Table of Contents"/>
          <w:docPartUnique/>
        </w:docPartObj>
      </w:sdtPr>
      <w:sdtEndPr>
        <w:rPr>
          <w:rFonts w:ascii="仿宋" w:hAnsi="仿宋" w:eastAsia="仿宋"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r>
            <w:rPr>
              <w:rFonts w:ascii="仿宋" w:hAnsi="仿宋" w:eastAsia="仿宋"/>
              <w:sz w:val="24"/>
            </w:rPr>
            <w:fldChar w:fldCharType="begin"/>
          </w:r>
          <w:r>
            <w:rPr>
              <w:rFonts w:ascii="仿宋" w:hAnsi="仿宋" w:eastAsia="仿宋"/>
              <w:sz w:val="24"/>
            </w:rPr>
            <w:instrText xml:space="preserve">TOC \o "1-3" \h \u </w:instrText>
          </w:r>
          <w:r>
            <w:rPr>
              <w:rFonts w:ascii="仿宋" w:hAnsi="仿宋" w:eastAsia="仿宋"/>
              <w:sz w:val="24"/>
            </w:rPr>
            <w:fldChar w:fldCharType="separate"/>
          </w:r>
        </w:p>
        <w:p>
          <w:pPr>
            <w:pStyle w:val="35"/>
            <w:tabs>
              <w:tab w:val="right" w:leader="dot" w:pos="830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_Toc29795 </w:instrText>
          </w:r>
          <w:r>
            <w:rPr>
              <w:rFonts w:hint="eastAsia" w:ascii="仿宋" w:hAnsi="仿宋" w:eastAsia="仿宋" w:cs="仿宋"/>
              <w:sz w:val="24"/>
              <w:szCs w:val="24"/>
            </w:rPr>
            <w:fldChar w:fldCharType="separate"/>
          </w:r>
          <w:r>
            <w:rPr>
              <w:rFonts w:hint="eastAsia" w:ascii="仿宋" w:hAnsi="仿宋" w:eastAsia="仿宋" w:cs="仿宋"/>
              <w:sz w:val="24"/>
              <w:szCs w:val="24"/>
            </w:rPr>
            <w:t>第一部分 单位</w:t>
          </w:r>
          <w:r>
            <w:rPr>
              <w:rFonts w:hint="eastAsia" w:ascii="仿宋" w:hAnsi="仿宋" w:eastAsia="仿宋" w:cs="仿宋"/>
              <w:bCs w:val="0"/>
              <w:sz w:val="24"/>
              <w:szCs w:val="24"/>
            </w:rPr>
            <w:t>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_Toc29795 \h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_Toc7665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一、主要职责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_Toc7665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_Toc17251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二、机构设置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_Toc17251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5"/>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_Toc6374 </w:instrText>
          </w:r>
          <w:r>
            <w:rPr>
              <w:rFonts w:hint="eastAsia" w:asciiTheme="minorEastAsia" w:hAnsiTheme="minorEastAsia" w:eastAsiaTheme="minorEastAsia" w:cstheme="minorEastAsia"/>
              <w:sz w:val="24"/>
              <w:szCs w:val="24"/>
            </w:rPr>
            <w:fldChar w:fldCharType="separate"/>
          </w:r>
          <w:r>
            <w:rPr>
              <w:rFonts w:hint="eastAsia" w:ascii="仿宋" w:hAnsi="仿宋" w:eastAsia="仿宋" w:cs="仿宋"/>
              <w:sz w:val="24"/>
              <w:szCs w:val="24"/>
            </w:rPr>
            <w:t>第二部分 2023年度</w:t>
          </w:r>
          <w:r>
            <w:rPr>
              <w:rFonts w:hint="eastAsia" w:ascii="仿宋" w:hAnsi="仿宋" w:eastAsia="仿宋" w:cs="仿宋"/>
              <w:bCs/>
              <w:sz w:val="24"/>
              <w:szCs w:val="24"/>
            </w:rPr>
            <w:t>单位决算情况说明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_Toc6374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_Toc583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kern w:val="2"/>
              <w:sz w:val="24"/>
              <w:szCs w:val="24"/>
              <w:lang w:val="en-US" w:eastAsia="zh-CN" w:bidi="ar-SA"/>
            </w:rPr>
            <w:t>一、</w:t>
          </w:r>
          <w:r>
            <w:rPr>
              <w:rFonts w:hint="eastAsia" w:asciiTheme="minorEastAsia" w:hAnsiTheme="minorEastAsia" w:eastAsiaTheme="minorEastAsia" w:cstheme="minorEastAsia"/>
              <w:sz w:val="24"/>
              <w:szCs w:val="24"/>
            </w:rPr>
            <w:t>收入支出决算总体情况说明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_Toc583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_Toc418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kern w:val="2"/>
              <w:sz w:val="24"/>
              <w:szCs w:val="24"/>
              <w:lang w:val="en-US" w:eastAsia="zh-CN" w:bidi="ar-SA"/>
            </w:rPr>
            <w:t>二、</w:t>
          </w:r>
          <w:r>
            <w:rPr>
              <w:rFonts w:hint="eastAsia" w:asciiTheme="minorEastAsia" w:hAnsiTheme="minorEastAsia" w:eastAsiaTheme="minorEastAsia" w:cstheme="minorEastAsia"/>
              <w:sz w:val="24"/>
              <w:szCs w:val="24"/>
            </w:rPr>
            <w:t>收入决算情况说明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_Toc418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_Toc759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lang w:val="en-US" w:eastAsia="zh-CN"/>
            </w:rPr>
            <w:t>三、</w:t>
          </w:r>
          <w:r>
            <w:rPr>
              <w:rFonts w:hint="eastAsia" w:asciiTheme="minorEastAsia" w:hAnsiTheme="minorEastAsia" w:eastAsiaTheme="minorEastAsia" w:cstheme="minorEastAsia"/>
              <w:sz w:val="24"/>
              <w:szCs w:val="24"/>
            </w:rPr>
            <w:t>支出决算情况说明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_Toc759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_Toc32287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kern w:val="2"/>
              <w:sz w:val="24"/>
              <w:szCs w:val="24"/>
              <w:lang w:val="en-US" w:eastAsia="zh-CN" w:bidi="ar-SA"/>
            </w:rPr>
            <w:t>四、</w:t>
          </w:r>
          <w:r>
            <w:rPr>
              <w:rFonts w:hint="eastAsia" w:asciiTheme="minorEastAsia" w:hAnsiTheme="minorEastAsia" w:eastAsiaTheme="minorEastAsia" w:cstheme="minorEastAsia"/>
              <w:sz w:val="24"/>
              <w:szCs w:val="24"/>
            </w:rPr>
            <w:t>财政拨款收入支出决算总体情况说明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_Toc32287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_Toc26062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五、一般公共预算财政拨款支出决算情况说明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_Toc26062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_Toc1665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六、一般公共预算财政拨款基本支出决算情况说明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_Toc1665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_Toc22927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七、财政拨款“三公”经费支出决算情况说明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_Toc22927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_Toc28839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八、政府性基金预算支出决算情况说明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_Toc28839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_Toc8771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九、国有资本经营预算支出决算情况说明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_Toc8771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_Toc26505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十、其他重要事项的情况说明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_Toc26505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5"/>
            <w:tabs>
              <w:tab w:val="right" w:leader="dot" w:pos="830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_Toc15597 </w:instrText>
          </w:r>
          <w:r>
            <w:rPr>
              <w:rFonts w:hint="eastAsia" w:ascii="仿宋" w:hAnsi="仿宋" w:eastAsia="仿宋" w:cs="仿宋"/>
              <w:sz w:val="24"/>
              <w:szCs w:val="24"/>
            </w:rPr>
            <w:fldChar w:fldCharType="separate"/>
          </w:r>
          <w:r>
            <w:rPr>
              <w:rFonts w:hint="eastAsia" w:ascii="仿宋" w:hAnsi="仿宋" w:eastAsia="仿宋" w:cs="仿宋"/>
              <w:sz w:val="24"/>
              <w:szCs w:val="24"/>
            </w:rPr>
            <w:t>第三部分 名词解释</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_Toc15597 \h </w:instrText>
          </w:r>
          <w:r>
            <w:rPr>
              <w:rFonts w:hint="eastAsia" w:ascii="仿宋" w:hAnsi="仿宋" w:eastAsia="仿宋" w:cs="仿宋"/>
              <w:sz w:val="24"/>
              <w:szCs w:val="24"/>
            </w:rPr>
            <w:fldChar w:fldCharType="separate"/>
          </w:r>
          <w:r>
            <w:rPr>
              <w:rFonts w:hint="eastAsia"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35"/>
            <w:tabs>
              <w:tab w:val="right" w:leader="dot" w:pos="8306"/>
            </w:tabs>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_Toc22840 </w:instrText>
          </w:r>
          <w:r>
            <w:rPr>
              <w:rFonts w:hint="eastAsia" w:ascii="仿宋" w:hAnsi="仿宋" w:eastAsia="仿宋" w:cs="仿宋"/>
              <w:sz w:val="24"/>
              <w:szCs w:val="24"/>
            </w:rPr>
            <w:fldChar w:fldCharType="separate"/>
          </w:r>
          <w:r>
            <w:rPr>
              <w:rFonts w:hint="eastAsia" w:ascii="仿宋" w:hAnsi="仿宋" w:eastAsia="仿宋" w:cs="仿宋"/>
              <w:sz w:val="24"/>
              <w:szCs w:val="24"/>
            </w:rPr>
            <w:t>第四部分 附件</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_Toc22840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35"/>
            <w:tabs>
              <w:tab w:val="right" w:leader="dot" w:pos="8306"/>
            </w:tabs>
            <w:rPr>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\l _Toc12261 </w:instrText>
          </w:r>
          <w:r>
            <w:rPr>
              <w:rFonts w:hint="eastAsia" w:ascii="仿宋" w:hAnsi="仿宋" w:eastAsia="仿宋" w:cs="仿宋"/>
              <w:sz w:val="24"/>
              <w:szCs w:val="24"/>
            </w:rPr>
            <w:fldChar w:fldCharType="separate"/>
          </w:r>
          <w:r>
            <w:rPr>
              <w:rFonts w:hint="eastAsia" w:ascii="仿宋" w:hAnsi="仿宋" w:eastAsia="仿宋" w:cs="仿宋"/>
              <w:sz w:val="24"/>
              <w:szCs w:val="24"/>
            </w:rPr>
            <w:t>第五部分 附表</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_Toc12261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_Toc27816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一、收</w:t>
          </w:r>
          <w:r>
            <w:rPr>
              <w:rFonts w:hint="eastAsia" w:asciiTheme="minorEastAsia" w:hAnsiTheme="minorEastAsia" w:eastAsiaTheme="minorEastAsia" w:cstheme="minorEastAsia"/>
              <w:bCs w:val="0"/>
              <w:sz w:val="24"/>
              <w:szCs w:val="24"/>
            </w:rPr>
            <w:t>入支出决算总表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_Toc27816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_Toc25996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二、收</w:t>
          </w:r>
          <w:r>
            <w:rPr>
              <w:rFonts w:hint="eastAsia" w:asciiTheme="minorEastAsia" w:hAnsiTheme="minorEastAsia" w:eastAsiaTheme="minorEastAsia" w:cstheme="minorEastAsia"/>
              <w:bCs w:val="0"/>
              <w:sz w:val="24"/>
              <w:szCs w:val="24"/>
            </w:rPr>
            <w:t>入决算表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_Toc25996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_Toc20877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三、</w:t>
          </w:r>
          <w:r>
            <w:rPr>
              <w:rFonts w:hint="eastAsia" w:asciiTheme="minorEastAsia" w:hAnsiTheme="minorEastAsia" w:eastAsiaTheme="minorEastAsia" w:cstheme="minorEastAsia"/>
              <w:sz w:val="24"/>
              <w:szCs w:val="24"/>
            </w:rPr>
            <w:t>支</w:t>
          </w:r>
          <w:r>
            <w:rPr>
              <w:rFonts w:hint="eastAsia" w:asciiTheme="minorEastAsia" w:hAnsiTheme="minorEastAsia" w:eastAsiaTheme="minorEastAsia" w:cstheme="minorEastAsia"/>
              <w:bCs w:val="0"/>
              <w:sz w:val="24"/>
              <w:szCs w:val="24"/>
            </w:rPr>
            <w:t>出决算表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_Toc20877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_Toc7407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四、</w:t>
          </w:r>
          <w:r>
            <w:rPr>
              <w:rFonts w:hint="eastAsia" w:asciiTheme="minorEastAsia" w:hAnsiTheme="minorEastAsia" w:eastAsiaTheme="minorEastAsia" w:cstheme="minorEastAsia"/>
              <w:sz w:val="24"/>
              <w:szCs w:val="24"/>
            </w:rPr>
            <w:t>财</w:t>
          </w:r>
          <w:r>
            <w:rPr>
              <w:rFonts w:hint="eastAsia" w:asciiTheme="minorEastAsia" w:hAnsiTheme="minorEastAsia" w:eastAsiaTheme="minorEastAsia" w:cstheme="minorEastAsia"/>
              <w:bCs w:val="0"/>
              <w:sz w:val="24"/>
              <w:szCs w:val="24"/>
            </w:rPr>
            <w:t>政拨款收入支出决算总表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_Toc7407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_Toc4681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五、</w:t>
          </w:r>
          <w:r>
            <w:rPr>
              <w:rFonts w:hint="eastAsia" w:asciiTheme="minorEastAsia" w:hAnsiTheme="minorEastAsia" w:eastAsiaTheme="minorEastAsia" w:cstheme="minorEastAsia"/>
              <w:sz w:val="24"/>
              <w:szCs w:val="24"/>
            </w:rPr>
            <w:t>财</w:t>
          </w:r>
          <w:r>
            <w:rPr>
              <w:rFonts w:hint="eastAsia" w:asciiTheme="minorEastAsia" w:hAnsiTheme="minorEastAsia" w:eastAsiaTheme="minorEastAsia" w:cstheme="minorEastAsia"/>
              <w:bCs w:val="0"/>
              <w:sz w:val="24"/>
              <w:szCs w:val="24"/>
            </w:rPr>
            <w:t>政拨款支出决算明细表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_Toc4681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_Toc23213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六、</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bCs w:val="0"/>
              <w:sz w:val="24"/>
              <w:szCs w:val="24"/>
            </w:rPr>
            <w:t>般公共预算财政拨款支出决算表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_Toc23213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_Toc15193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七、</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bCs w:val="0"/>
              <w:sz w:val="24"/>
              <w:szCs w:val="24"/>
            </w:rPr>
            <w:t>般公共预算财政拨款支出决算明细表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_Toc15193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_Toc4671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八、</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bCs w:val="0"/>
              <w:sz w:val="24"/>
              <w:szCs w:val="24"/>
            </w:rPr>
            <w:t>般公共预算财政拨款基本支出决算表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_Toc4671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_Toc28539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九、</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bCs w:val="0"/>
              <w:sz w:val="24"/>
              <w:szCs w:val="24"/>
            </w:rPr>
            <w:t>般公共预算财政拨款项目支出决算表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_Toc28539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_Toc3053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十、</w:t>
          </w:r>
          <w:r>
            <w:rPr>
              <w:rFonts w:hint="eastAsia" w:asciiTheme="minorEastAsia" w:hAnsiTheme="minorEastAsia" w:eastAsiaTheme="minorEastAsia" w:cstheme="minorEastAsia"/>
              <w:sz w:val="24"/>
              <w:szCs w:val="24"/>
            </w:rPr>
            <w:t>政</w:t>
          </w:r>
          <w:r>
            <w:rPr>
              <w:rFonts w:hint="eastAsia" w:asciiTheme="minorEastAsia" w:hAnsiTheme="minorEastAsia" w:eastAsiaTheme="minorEastAsia" w:cstheme="minorEastAsia"/>
              <w:bCs w:val="0"/>
              <w:sz w:val="24"/>
              <w:szCs w:val="24"/>
            </w:rPr>
            <w:t>府性基金预算财政拨款收入支出决算表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_Toc3053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_Toc19540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十一、</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bCs w:val="0"/>
              <w:sz w:val="24"/>
              <w:szCs w:val="24"/>
            </w:rPr>
            <w:t>有资本经营预算财政拨款收入支出决算表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_Toc19540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_Toc29533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十二、国有资本经营预算财政拨款支出决算表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_Toc29533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36"/>
            <w:tabs>
              <w:tab w:val="right" w:leader="dot" w:pos="8306"/>
            </w:tabs>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_Toc2362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val="0"/>
              <w:sz w:val="24"/>
              <w:szCs w:val="24"/>
            </w:rPr>
            <w:t>十三、财政拨款“三公”经费支出决算表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_Toc2362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widowControl/>
            <w:adjustRightInd w:val="0"/>
            <w:snapToGrid w:val="0"/>
            <w:spacing w:line="440" w:lineRule="exact"/>
            <w:ind w:firstLine="1155" w:firstLineChars="550"/>
            <w:jc w:val="left"/>
            <w:rPr>
              <w:rFonts w:ascii="仿宋" w:hAnsi="仿宋" w:eastAsia="仿宋"/>
              <w:sz w:val="24"/>
            </w:rPr>
          </w:pPr>
          <w:r>
            <w:rPr>
              <w:rFonts w:ascii="仿宋" w:hAnsi="仿宋" w:eastAsia="仿宋"/>
            </w:rPr>
            <w:fldChar w:fldCharType="end"/>
          </w:r>
        </w:p>
      </w:sdtContent>
    </w:sdt>
    <w:p>
      <w:pPr>
        <w:widowControl/>
        <w:spacing w:line="440" w:lineRule="exact"/>
        <w:jc w:val="left"/>
        <w:rPr>
          <w:rFonts w:ascii="仿宋" w:hAnsi="仿宋" w:eastAsia="仿宋"/>
          <w:bCs/>
          <w:kern w:val="44"/>
          <w:sz w:val="24"/>
        </w:rPr>
      </w:pPr>
      <w:bookmarkStart w:id="14" w:name="_Toc15377196"/>
      <w:bookmarkStart w:id="15" w:name="_Toc15396599"/>
      <w:r>
        <w:rPr>
          <w:rFonts w:ascii="仿宋" w:hAnsi="仿宋" w:eastAsia="仿宋"/>
          <w:b/>
          <w:sz w:val="24"/>
        </w:rPr>
        <w:br w:type="page"/>
      </w:r>
    </w:p>
    <w:p>
      <w:pPr>
        <w:pStyle w:val="5"/>
        <w:jc w:val="center"/>
        <w:rPr>
          <w:rStyle w:val="29"/>
          <w:rFonts w:ascii="黑体" w:hAnsi="黑体" w:eastAsia="黑体"/>
          <w:b/>
          <w:bCs w:val="0"/>
        </w:rPr>
      </w:pPr>
      <w:bookmarkStart w:id="16" w:name="_Toc29795"/>
      <w:r>
        <w:rPr>
          <w:rFonts w:hint="eastAsia" w:ascii="黑体" w:hAnsi="黑体" w:eastAsia="黑体"/>
          <w:b w:val="0"/>
        </w:rPr>
        <w:t>第一部分 单位</w:t>
      </w:r>
      <w:r>
        <w:rPr>
          <w:rStyle w:val="29"/>
          <w:rFonts w:hint="eastAsia" w:ascii="黑体" w:hAnsi="黑体" w:eastAsia="黑体"/>
          <w:b w:val="0"/>
          <w:bCs w:val="0"/>
        </w:rPr>
        <w:t>概况</w:t>
      </w:r>
      <w:bookmarkEnd w:id="14"/>
      <w:bookmarkEnd w:id="15"/>
      <w:bookmarkEnd w:id="16"/>
    </w:p>
    <w:p>
      <w:pPr>
        <w:widowControl/>
        <w:jc w:val="left"/>
        <w:rPr>
          <w:rFonts w:ascii="黑体" w:eastAsia="黑体"/>
          <w:sz w:val="32"/>
          <w:szCs w:val="32"/>
        </w:rPr>
      </w:pPr>
    </w:p>
    <w:p>
      <w:pPr>
        <w:pStyle w:val="6"/>
        <w:numPr>
          <w:ilvl w:val="0"/>
          <w:numId w:val="1"/>
        </w:numPr>
        <w:rPr>
          <w:rStyle w:val="30"/>
          <w:rFonts w:ascii="黑体" w:hAnsi="黑体" w:eastAsia="黑体"/>
          <w:b w:val="0"/>
          <w:bCs w:val="0"/>
        </w:rPr>
      </w:pPr>
      <w:bookmarkStart w:id="17" w:name="_Toc7665"/>
      <w:bookmarkStart w:id="18" w:name="_Toc15396600"/>
      <w:bookmarkStart w:id="19" w:name="_Toc15377197"/>
      <w:r>
        <w:rPr>
          <w:rStyle w:val="30"/>
          <w:rFonts w:hint="eastAsia" w:ascii="黑体" w:hAnsi="黑体" w:eastAsia="黑体"/>
          <w:b w:val="0"/>
          <w:bCs w:val="0"/>
        </w:rPr>
        <w:t>主要职责</w:t>
      </w:r>
      <w:bookmarkEnd w:id="17"/>
    </w:p>
    <w:p>
      <w:pPr>
        <w:pageBreakBefore w:val="0"/>
        <w:kinsoku/>
        <w:wordWrap/>
        <w:overflowPunct/>
        <w:bidi w:val="0"/>
        <w:spacing w:line="580" w:lineRule="exact"/>
        <w:ind w:left="0" w:leftChars="0" w:right="0" w:firstLine="640"/>
      </w:pPr>
      <w:r>
        <w:rPr>
          <w:rFonts w:hint="eastAsia" w:ascii="仿宋_GB2312" w:hAnsi="仿宋" w:eastAsia="仿宋_GB2312"/>
          <w:sz w:val="32"/>
          <w:szCs w:val="32"/>
        </w:rPr>
        <w:t>对小西湖风景区的建设、开发提供服务工作。</w:t>
      </w:r>
      <w:r>
        <w:rPr>
          <w:rFonts w:hint="eastAsia" w:ascii="仿宋_GB2312" w:hAnsi="Times New Roman" w:eastAsia="仿宋_GB2312"/>
          <w:color w:val="000000"/>
          <w:sz w:val="32"/>
          <w:szCs w:val="32"/>
          <w:lang w:val="en-US" w:eastAsia="zh-CN"/>
        </w:rPr>
        <w:t>协助区文体旅游局，以项目为重点，推动旅游加快发展。</w:t>
      </w:r>
      <w:r>
        <w:rPr>
          <w:rFonts w:hint="eastAsia" w:ascii="仿宋_GB2312" w:eastAsia="仿宋_GB2312"/>
          <w:color w:val="000000"/>
          <w:sz w:val="32"/>
          <w:szCs w:val="32"/>
          <w:lang w:val="en-US" w:eastAsia="zh-CN"/>
        </w:rPr>
        <w:t>打造</w:t>
      </w:r>
      <w:r>
        <w:rPr>
          <w:rFonts w:hint="eastAsia" w:ascii="仿宋_GB2312" w:hAnsi="仿宋_GB2312" w:eastAsia="仿宋_GB2312" w:cs="仿宋_GB2312"/>
          <w:sz w:val="32"/>
          <w:szCs w:val="32"/>
        </w:rPr>
        <w:t>乐山市五通桥区中国根书文化 AAA 级景区配套</w:t>
      </w:r>
      <w:bookmarkStart w:id="115" w:name="_GoBack"/>
      <w:bookmarkEnd w:id="115"/>
      <w:r>
        <w:rPr>
          <w:rFonts w:hint="eastAsia" w:ascii="仿宋_GB2312" w:hAnsi="仿宋_GB2312" w:eastAsia="仿宋_GB2312" w:cs="仿宋_GB2312"/>
          <w:sz w:val="32"/>
          <w:szCs w:val="32"/>
          <w:lang w:eastAsia="zh-CN"/>
        </w:rPr>
        <w:t>基础设施</w:t>
      </w:r>
      <w:r>
        <w:rPr>
          <w:rFonts w:hint="eastAsia" w:ascii="仿宋_GB2312" w:hAnsi="仿宋_GB2312" w:eastAsia="仿宋_GB2312" w:cs="仿宋_GB2312"/>
          <w:sz w:val="32"/>
          <w:szCs w:val="32"/>
        </w:rPr>
        <w:t>建设项目（一期）</w:t>
      </w:r>
      <w:r>
        <w:rPr>
          <w:rFonts w:hint="eastAsia" w:ascii="仿宋_GB2312" w:hAnsi="仿宋_GB2312" w:eastAsia="仿宋_GB2312" w:cs="仿宋_GB2312"/>
          <w:sz w:val="32"/>
          <w:szCs w:val="32"/>
          <w:lang w:eastAsia="zh-CN"/>
        </w:rPr>
        <w:t>菩提山公园、两河口历史文化</w:t>
      </w:r>
      <w:r>
        <w:rPr>
          <w:rFonts w:hint="eastAsia" w:ascii="仿宋_GB2312" w:hAnsi="仿宋_GB2312" w:eastAsia="仿宋_GB2312" w:cs="仿宋_GB2312"/>
          <w:sz w:val="32"/>
          <w:szCs w:val="32"/>
          <w:lang w:val="en-US" w:eastAsia="zh-CN"/>
        </w:rPr>
        <w:t>街区工农街段建设</w:t>
      </w:r>
      <w:r>
        <w:rPr>
          <w:rFonts w:hint="eastAsia" w:ascii="仿宋_GB2312" w:hAnsi="仿宋_GB2312" w:eastAsia="仿宋_GB2312" w:cs="仿宋_GB2312"/>
          <w:sz w:val="32"/>
          <w:szCs w:val="32"/>
          <w:lang w:eastAsia="zh-CN"/>
        </w:rPr>
        <w:t>。</w:t>
      </w:r>
    </w:p>
    <w:p>
      <w:pPr>
        <w:pStyle w:val="6"/>
        <w:numPr>
          <w:ilvl w:val="0"/>
          <w:numId w:val="1"/>
        </w:numPr>
        <w:ind w:left="0" w:leftChars="0" w:firstLine="0" w:firstLineChars="0"/>
        <w:rPr>
          <w:rFonts w:hint="eastAsia" w:ascii="黑体" w:hAnsi="黑体" w:eastAsia="黑体"/>
          <w:b w:val="0"/>
        </w:rPr>
      </w:pPr>
      <w:bookmarkStart w:id="20" w:name="_Toc17251"/>
      <w:r>
        <w:rPr>
          <w:rFonts w:hint="eastAsia" w:ascii="黑体" w:hAnsi="黑体" w:eastAsia="黑体"/>
          <w:b w:val="0"/>
        </w:rPr>
        <w:t>机构设置</w:t>
      </w:r>
      <w:bookmarkEnd w:id="20"/>
    </w:p>
    <w:bookmarkEnd w:id="18"/>
    <w:bookmarkEnd w:id="19"/>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sz w:val="32"/>
          <w:szCs w:val="32"/>
          <w:lang w:val="en-US" w:eastAsia="zh-CN"/>
        </w:rPr>
      </w:pPr>
      <w:bookmarkStart w:id="21" w:name="_Toc15377204"/>
      <w:bookmarkStart w:id="22" w:name="_Toc15396602"/>
      <w:r>
        <w:rPr>
          <w:rFonts w:hint="eastAsia" w:ascii="仿宋" w:hAnsi="仿宋" w:eastAsia="仿宋" w:cs="仿宋"/>
          <w:sz w:val="32"/>
          <w:szCs w:val="32"/>
          <w:lang w:val="en-US" w:eastAsia="zh-CN"/>
        </w:rPr>
        <w:t>本单位为乐山市五通桥区文化体育和旅游局下属二级预算单位，单位性质为全额拨款事业单位，决算编报类型为单户表，按照政府会计制度填报决算数据。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纳入本套决算编制范围的独立核算单位共1个。</w:t>
      </w:r>
    </w:p>
    <w:p>
      <w:pPr>
        <w:spacing w:line="600"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人员情况</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单位</w:t>
      </w:r>
      <w:r>
        <w:rPr>
          <w:rFonts w:hint="eastAsia" w:ascii="仿宋" w:hAnsi="仿宋" w:eastAsia="仿宋" w:cs="仿宋"/>
          <w:sz w:val="32"/>
          <w:szCs w:val="32"/>
        </w:rPr>
        <w:t>编制</w:t>
      </w:r>
      <w:r>
        <w:rPr>
          <w:rFonts w:hint="eastAsia" w:ascii="仿宋" w:hAnsi="仿宋" w:eastAsia="仿宋" w:cs="仿宋"/>
          <w:sz w:val="32"/>
          <w:szCs w:val="32"/>
          <w:lang w:val="en-US" w:eastAsia="zh-CN"/>
        </w:rPr>
        <w:t>5</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rPr>
        <w:t>2023年末在职人数</w:t>
      </w:r>
      <w:r>
        <w:rPr>
          <w:rFonts w:hint="eastAsia" w:ascii="仿宋" w:hAnsi="仿宋" w:eastAsia="仿宋" w:cs="仿宋"/>
          <w:sz w:val="32"/>
          <w:szCs w:val="32"/>
          <w:lang w:val="en-US" w:eastAsia="zh-CN"/>
        </w:rPr>
        <w:t>5</w:t>
      </w:r>
      <w:r>
        <w:rPr>
          <w:rFonts w:hint="eastAsia" w:ascii="仿宋" w:hAnsi="仿宋" w:eastAsia="仿宋" w:cs="仿宋"/>
          <w:sz w:val="32"/>
          <w:szCs w:val="32"/>
        </w:rPr>
        <w:t>人</w:t>
      </w:r>
      <w:r>
        <w:rPr>
          <w:rFonts w:hint="eastAsia" w:ascii="仿宋" w:hAnsi="仿宋" w:eastAsia="仿宋" w:cs="仿宋"/>
          <w:sz w:val="32"/>
          <w:szCs w:val="32"/>
          <w:lang w:eastAsia="zh-CN"/>
        </w:rPr>
        <w:t>。</w:t>
      </w:r>
    </w:p>
    <w:p>
      <w:pPr>
        <w:pStyle w:val="2"/>
        <w:rPr>
          <w:rFonts w:hint="eastAsia" w:ascii="仿宋" w:hAnsi="仿宋" w:eastAsia="仿宋"/>
          <w:sz w:val="32"/>
          <w:szCs w:val="32"/>
          <w:lang w:eastAsia="zh-CN"/>
        </w:rPr>
      </w:pPr>
    </w:p>
    <w:p>
      <w:pPr>
        <w:pStyle w:val="3"/>
        <w:rPr>
          <w:rFonts w:hint="eastAsia" w:ascii="仿宋" w:hAnsi="仿宋" w:eastAsia="仿宋"/>
          <w:sz w:val="32"/>
          <w:szCs w:val="32"/>
          <w:lang w:eastAsia="zh-CN"/>
        </w:rPr>
      </w:pPr>
    </w:p>
    <w:p>
      <w:pPr>
        <w:rPr>
          <w:rFonts w:hint="eastAsia" w:ascii="仿宋" w:hAnsi="仿宋" w:eastAsia="仿宋"/>
          <w:sz w:val="32"/>
          <w:szCs w:val="32"/>
          <w:lang w:eastAsia="zh-CN"/>
        </w:rPr>
      </w:pPr>
    </w:p>
    <w:p>
      <w:pPr>
        <w:rPr>
          <w:rFonts w:hint="eastAsia"/>
        </w:rPr>
      </w:pPr>
      <w:r>
        <w:rPr>
          <w:rFonts w:hint="eastAsia"/>
        </w:rPr>
        <w:br w:type="page"/>
      </w:r>
    </w:p>
    <w:p>
      <w:pPr>
        <w:pStyle w:val="5"/>
        <w:keepNext/>
        <w:keepLines/>
        <w:pageBreakBefore w:val="0"/>
        <w:widowControl w:val="0"/>
        <w:kinsoku/>
        <w:wordWrap/>
        <w:overflowPunct/>
        <w:topLinePunct w:val="0"/>
        <w:autoSpaceDE/>
        <w:autoSpaceDN/>
        <w:bidi w:val="0"/>
        <w:adjustRightInd/>
        <w:snapToGrid/>
        <w:spacing w:line="579" w:lineRule="auto"/>
        <w:ind w:right="0"/>
        <w:jc w:val="center"/>
        <w:textAlignment w:val="auto"/>
      </w:pPr>
      <w:bookmarkStart w:id="23" w:name="_Toc6374"/>
      <w:r>
        <w:rPr>
          <w:rFonts w:hint="eastAsia" w:ascii="黑体" w:hAnsi="黑体" w:eastAsia="黑体"/>
          <w:b w:val="0"/>
        </w:rPr>
        <w:t>第二部分 2023年度</w:t>
      </w:r>
      <w:r>
        <w:rPr>
          <w:rStyle w:val="29"/>
          <w:rFonts w:hint="eastAsia" w:ascii="黑体" w:hAnsi="黑体" w:eastAsia="黑体"/>
          <w:b w:val="0"/>
          <w:bCs/>
        </w:rPr>
        <w:t>单位决算情况说明</w:t>
      </w:r>
      <w:bookmarkEnd w:id="21"/>
      <w:bookmarkEnd w:id="22"/>
      <w:bookmarkEnd w:id="23"/>
    </w:p>
    <w:p>
      <w:pPr>
        <w:pStyle w:val="28"/>
        <w:numPr>
          <w:ilvl w:val="0"/>
          <w:numId w:val="0"/>
        </w:numPr>
        <w:spacing w:line="600" w:lineRule="exact"/>
        <w:ind w:left="1360" w:leftChars="0" w:hanging="720" w:firstLineChars="0"/>
        <w:outlineLvl w:val="1"/>
        <w:rPr>
          <w:rStyle w:val="30"/>
          <w:rFonts w:ascii="黑体" w:hAnsi="黑体" w:eastAsia="黑体"/>
          <w:b w:val="0"/>
        </w:rPr>
      </w:pPr>
      <w:bookmarkStart w:id="24" w:name="_Toc583"/>
      <w:bookmarkStart w:id="25" w:name="_Toc15396603"/>
      <w:bookmarkStart w:id="26" w:name="_Toc15377205"/>
      <w:r>
        <w:rPr>
          <w:rFonts w:hint="default" w:ascii="黑体" w:hAnsi="黑体" w:eastAsia="黑体" w:cstheme="majorBidi"/>
          <w:b w:val="0"/>
          <w:bCs/>
          <w:kern w:val="2"/>
          <w:sz w:val="32"/>
          <w:szCs w:val="32"/>
          <w:lang w:val="en-US" w:eastAsia="zh-CN" w:bidi="ar-SA"/>
        </w:rPr>
        <w:t>一、</w:t>
      </w:r>
      <w:r>
        <w:rPr>
          <w:rFonts w:hint="eastAsia" w:ascii="黑体" w:hAnsi="黑体" w:eastAsia="黑体"/>
          <w:sz w:val="32"/>
          <w:szCs w:val="32"/>
        </w:rPr>
        <w:t>收</w:t>
      </w:r>
      <w:r>
        <w:rPr>
          <w:rStyle w:val="30"/>
          <w:rFonts w:hint="eastAsia" w:ascii="黑体" w:hAnsi="黑体" w:eastAsia="黑体"/>
          <w:b w:val="0"/>
        </w:rPr>
        <w:t>入支出决算总体情况说明</w:t>
      </w:r>
      <w:bookmarkEnd w:id="24"/>
      <w:bookmarkEnd w:id="25"/>
      <w:bookmarkEnd w:id="26"/>
    </w:p>
    <w:p>
      <w:pPr>
        <w:snapToGrid w:val="0"/>
        <w:spacing w:line="520" w:lineRule="exact"/>
        <w:ind w:firstLine="640" w:firstLineChars="200"/>
        <w:outlineLvl w:val="0"/>
        <w:rPr>
          <w:rFonts w:hint="eastAsia" w:ascii="仿宋_GB2312" w:hAnsi="仿宋" w:eastAsia="仿宋_GB2312" w:cs="Times New Roman"/>
          <w:sz w:val="32"/>
          <w:szCs w:val="32"/>
        </w:rPr>
      </w:pPr>
      <w:bookmarkStart w:id="27" w:name="_Toc5660"/>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年度收、支总计</w:t>
      </w:r>
      <w:r>
        <w:rPr>
          <w:rFonts w:hint="eastAsia" w:ascii="仿宋" w:hAnsi="仿宋" w:eastAsia="仿宋"/>
          <w:color w:val="auto"/>
          <w:sz w:val="32"/>
          <w:szCs w:val="32"/>
          <w:highlight w:val="none"/>
          <w:lang w:eastAsia="zh-CN"/>
        </w:rPr>
        <w:t>均为</w:t>
      </w:r>
      <w:r>
        <w:rPr>
          <w:rFonts w:hint="eastAsia" w:ascii="仿宋_GB2312" w:hAnsi="仿宋" w:eastAsia="仿宋_GB2312" w:cs="Times New Roman"/>
          <w:sz w:val="32"/>
          <w:szCs w:val="32"/>
        </w:rPr>
        <w:t>90.60万元，</w:t>
      </w:r>
      <w:r>
        <w:rPr>
          <w:rFonts w:hint="eastAsia" w:ascii="仿宋" w:hAnsi="仿宋" w:eastAsia="仿宋"/>
          <w:color w:val="auto"/>
          <w:sz w:val="32"/>
          <w:szCs w:val="32"/>
          <w:highlight w:val="none"/>
        </w:rPr>
        <w:t>与</w:t>
      </w:r>
      <w:r>
        <w:rPr>
          <w:rFonts w:hint="eastAsia" w:ascii="仿宋" w:hAnsi="仿宋" w:eastAsia="仿宋"/>
          <w:color w:val="auto"/>
          <w:sz w:val="32"/>
          <w:szCs w:val="32"/>
          <w:highlight w:val="none"/>
          <w:lang w:eastAsia="zh-CN"/>
        </w:rPr>
        <w:t>2022</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相比，收、支总计各增加</w:t>
      </w:r>
      <w:r>
        <w:rPr>
          <w:rFonts w:hint="eastAsia" w:ascii="仿宋" w:hAnsi="仿宋" w:eastAsia="仿宋"/>
          <w:color w:val="auto"/>
          <w:sz w:val="32"/>
          <w:szCs w:val="32"/>
          <w:highlight w:val="none"/>
          <w:lang w:val="en-US" w:eastAsia="zh-CN"/>
        </w:rPr>
        <w:t>7.04</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8.43</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w:t>
      </w:r>
      <w:r>
        <w:rPr>
          <w:rFonts w:hint="eastAsia" w:ascii="仿宋" w:hAnsi="仿宋" w:eastAsia="仿宋"/>
          <w:color w:val="auto"/>
          <w:sz w:val="32"/>
          <w:szCs w:val="32"/>
          <w:highlight w:val="none"/>
          <w:lang w:val="en-US" w:eastAsia="zh-CN"/>
        </w:rPr>
        <w:t>是</w:t>
      </w:r>
      <w:r>
        <w:rPr>
          <w:rFonts w:hint="eastAsia" w:ascii="仿宋_GB2312" w:hAnsi="仿宋" w:eastAsia="仿宋_GB2312" w:cs="Times New Roman"/>
          <w:sz w:val="32"/>
          <w:szCs w:val="32"/>
        </w:rPr>
        <w:t>本年人员</w:t>
      </w:r>
      <w:r>
        <w:rPr>
          <w:rFonts w:hint="eastAsia" w:ascii="仿宋_GB2312" w:hAnsi="仿宋" w:eastAsia="仿宋_GB2312" w:cs="Times New Roman"/>
          <w:sz w:val="32"/>
          <w:szCs w:val="32"/>
          <w:lang w:val="en-US" w:eastAsia="zh-CN"/>
        </w:rPr>
        <w:t>经费</w:t>
      </w:r>
      <w:r>
        <w:rPr>
          <w:rFonts w:hint="eastAsia" w:ascii="仿宋_GB2312" w:hAnsi="仿宋" w:eastAsia="仿宋_GB2312" w:cs="Times New Roman"/>
          <w:sz w:val="32"/>
          <w:szCs w:val="32"/>
        </w:rPr>
        <w:t>支出增加。</w:t>
      </w:r>
      <w:bookmarkEnd w:id="27"/>
    </w:p>
    <w:p>
      <w:pPr>
        <w:jc w:val="center"/>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eastAsia="zh-CN"/>
        </w:rPr>
        <w:drawing>
          <wp:inline distT="0" distB="0" distL="114300" distR="114300">
            <wp:extent cx="4101465" cy="2131060"/>
            <wp:effectExtent l="0" t="0" r="13335" b="2540"/>
            <wp:docPr id="1" name="图片 1" descr="图片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21"/>
                    <pic:cNvPicPr>
                      <a:picLocks noChangeAspect="1"/>
                    </pic:cNvPicPr>
                  </pic:nvPicPr>
                  <pic:blipFill>
                    <a:blip r:embed="rId6"/>
                    <a:stretch>
                      <a:fillRect/>
                    </a:stretch>
                  </pic:blipFill>
                  <pic:spPr>
                    <a:xfrm>
                      <a:off x="0" y="0"/>
                      <a:ext cx="4101465" cy="2131060"/>
                    </a:xfrm>
                    <a:prstGeom prst="rect">
                      <a:avLst/>
                    </a:prstGeom>
                  </pic:spPr>
                </pic:pic>
              </a:graphicData>
            </a:graphic>
          </wp:inline>
        </w:drawing>
      </w:r>
    </w:p>
    <w:p>
      <w:pPr>
        <w:ind w:firstLine="640" w:firstLineChars="200"/>
        <w:rPr>
          <w:rFonts w:ascii="仿宋_GB2312" w:eastAsia="仿宋_GB2312"/>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pStyle w:val="28"/>
        <w:numPr>
          <w:ilvl w:val="0"/>
          <w:numId w:val="0"/>
        </w:numPr>
        <w:spacing w:line="600" w:lineRule="exact"/>
        <w:ind w:left="1360" w:leftChars="0" w:hanging="720" w:firstLineChars="0"/>
        <w:outlineLvl w:val="1"/>
        <w:rPr>
          <w:rStyle w:val="30"/>
          <w:rFonts w:ascii="黑体" w:hAnsi="黑体" w:eastAsia="黑体"/>
          <w:b w:val="0"/>
        </w:rPr>
      </w:pPr>
      <w:bookmarkStart w:id="28" w:name="_Toc418"/>
      <w:bookmarkStart w:id="29" w:name="_Toc15377206"/>
      <w:bookmarkStart w:id="30" w:name="_Toc15396604"/>
      <w:r>
        <w:rPr>
          <w:rFonts w:hint="default" w:ascii="黑体" w:hAnsi="黑体" w:eastAsia="黑体" w:cstheme="majorBidi"/>
          <w:b w:val="0"/>
          <w:bCs/>
          <w:kern w:val="2"/>
          <w:sz w:val="32"/>
          <w:szCs w:val="32"/>
          <w:lang w:val="en-US" w:eastAsia="zh-CN" w:bidi="ar-SA"/>
        </w:rPr>
        <w:t>二、</w:t>
      </w:r>
      <w:r>
        <w:rPr>
          <w:rFonts w:hint="eastAsia" w:ascii="黑体" w:hAnsi="黑体" w:eastAsia="黑体"/>
          <w:sz w:val="32"/>
          <w:szCs w:val="32"/>
        </w:rPr>
        <w:t>收</w:t>
      </w:r>
      <w:r>
        <w:rPr>
          <w:rStyle w:val="30"/>
          <w:rFonts w:hint="eastAsia" w:ascii="黑体" w:hAnsi="黑体" w:eastAsia="黑体"/>
          <w:b w:val="0"/>
        </w:rPr>
        <w:t>入决算情况说明</w:t>
      </w:r>
      <w:bookmarkEnd w:id="28"/>
      <w:bookmarkEnd w:id="29"/>
      <w:bookmarkEnd w:id="30"/>
    </w:p>
    <w:p>
      <w:pPr>
        <w:spacing w:line="600" w:lineRule="exact"/>
        <w:ind w:firstLine="640" w:firstLineChars="200"/>
        <w:outlineLvl w:val="1"/>
        <w:rPr>
          <w:rFonts w:hint="eastAsia" w:ascii="仿宋" w:hAnsi="仿宋" w:eastAsia="仿宋"/>
          <w:sz w:val="32"/>
          <w:szCs w:val="32"/>
        </w:rPr>
      </w:pPr>
      <w:bookmarkStart w:id="31" w:name="_Toc17713"/>
      <w:r>
        <w:rPr>
          <w:rFonts w:hint="eastAsia" w:ascii="仿宋" w:hAnsi="仿宋" w:eastAsia="仿宋"/>
          <w:color w:val="auto"/>
          <w:sz w:val="32"/>
          <w:szCs w:val="32"/>
          <w:highlight w:val="none"/>
          <w:lang w:eastAsia="zh-CN"/>
        </w:rPr>
        <w:t>2023年度本年收入合计</w:t>
      </w:r>
      <w:r>
        <w:rPr>
          <w:rFonts w:hint="eastAsia" w:ascii="仿宋" w:hAnsi="仿宋" w:eastAsia="仿宋"/>
          <w:color w:val="auto"/>
          <w:sz w:val="32"/>
          <w:szCs w:val="32"/>
          <w:highlight w:val="none"/>
          <w:lang w:val="en-US" w:eastAsia="zh-CN"/>
        </w:rPr>
        <w:t>90.6</w:t>
      </w:r>
      <w:r>
        <w:rPr>
          <w:rFonts w:hint="eastAsia" w:ascii="仿宋" w:hAnsi="仿宋" w:eastAsia="仿宋"/>
          <w:color w:val="auto"/>
          <w:sz w:val="32"/>
          <w:szCs w:val="32"/>
          <w:highlight w:val="none"/>
          <w:lang w:eastAsia="zh-CN"/>
        </w:rPr>
        <w:t>万元，其中：一般公共预算财政拨款收入</w:t>
      </w:r>
      <w:r>
        <w:rPr>
          <w:rFonts w:hint="eastAsia" w:ascii="仿宋" w:hAnsi="仿宋" w:eastAsia="仿宋"/>
          <w:color w:val="auto"/>
          <w:sz w:val="32"/>
          <w:szCs w:val="32"/>
          <w:highlight w:val="none"/>
          <w:lang w:val="en-US" w:eastAsia="zh-CN"/>
        </w:rPr>
        <w:t>90.6</w:t>
      </w:r>
      <w:r>
        <w:rPr>
          <w:rFonts w:hint="eastAsia" w:ascii="仿宋" w:hAnsi="仿宋" w:eastAsia="仿宋"/>
          <w:color w:val="auto"/>
          <w:sz w:val="32"/>
          <w:szCs w:val="32"/>
          <w:highlight w:val="none"/>
          <w:lang w:eastAsia="zh-CN"/>
        </w:rPr>
        <w:t>万元，占</w:t>
      </w:r>
      <w:r>
        <w:rPr>
          <w:rFonts w:hint="eastAsia" w:ascii="仿宋" w:hAnsi="仿宋" w:eastAsia="仿宋"/>
          <w:color w:val="auto"/>
          <w:sz w:val="32"/>
          <w:szCs w:val="32"/>
          <w:highlight w:val="none"/>
          <w:lang w:val="en-US" w:eastAsia="zh-CN"/>
        </w:rPr>
        <w:t>100</w:t>
      </w:r>
      <w:r>
        <w:rPr>
          <w:rFonts w:hint="eastAsia" w:ascii="仿宋" w:hAnsi="仿宋" w:eastAsia="仿宋"/>
          <w:color w:val="auto"/>
          <w:sz w:val="32"/>
          <w:szCs w:val="32"/>
          <w:highlight w:val="none"/>
          <w:lang w:eastAsia="zh-CN"/>
        </w:rPr>
        <w:t>%。</w:t>
      </w:r>
      <w:bookmarkEnd w:id="31"/>
      <w:bookmarkStart w:id="32" w:name="_Toc15377207"/>
      <w:bookmarkStart w:id="33" w:name="_Toc15396605"/>
    </w:p>
    <w:p>
      <w:pPr>
        <w:pStyle w:val="28"/>
        <w:widowControl w:val="0"/>
        <w:numPr>
          <w:ilvl w:val="0"/>
          <w:numId w:val="0"/>
        </w:numPr>
        <w:spacing w:line="600" w:lineRule="exact"/>
        <w:ind w:firstLine="1280" w:firstLineChars="400"/>
        <w:jc w:val="both"/>
        <w:outlineLvl w:val="1"/>
        <w:rPr>
          <w:rStyle w:val="30"/>
          <w:rFonts w:ascii="黑体" w:hAnsi="黑体" w:eastAsia="黑体"/>
          <w:b w:val="0"/>
        </w:rPr>
      </w:pPr>
      <w:bookmarkStart w:id="34" w:name="_Toc13969"/>
      <w:r>
        <w:rPr>
          <w:rStyle w:val="30"/>
          <w:rFonts w:hint="eastAsia" w:ascii="黑体" w:hAnsi="黑体" w:eastAsia="黑体"/>
          <w:b w:val="0"/>
          <w:lang w:eastAsia="zh-CN"/>
        </w:rPr>
        <w:drawing>
          <wp:anchor distT="0" distB="0" distL="114300" distR="114300" simplePos="0" relativeHeight="251659264" behindDoc="0" locked="0" layoutInCell="1" allowOverlap="1">
            <wp:simplePos x="0" y="0"/>
            <wp:positionH relativeFrom="column">
              <wp:posOffset>528320</wp:posOffset>
            </wp:positionH>
            <wp:positionV relativeFrom="page">
              <wp:posOffset>6901815</wp:posOffset>
            </wp:positionV>
            <wp:extent cx="4206240" cy="2300605"/>
            <wp:effectExtent l="0" t="0" r="3810" b="4445"/>
            <wp:wrapTopAndBottom/>
            <wp:docPr id="2" name="图片 2" descr="图片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31"/>
                    <pic:cNvPicPr>
                      <a:picLocks noChangeAspect="1"/>
                    </pic:cNvPicPr>
                  </pic:nvPicPr>
                  <pic:blipFill>
                    <a:blip r:embed="rId7"/>
                    <a:stretch>
                      <a:fillRect/>
                    </a:stretch>
                  </pic:blipFill>
                  <pic:spPr>
                    <a:xfrm>
                      <a:off x="0" y="0"/>
                      <a:ext cx="4206240" cy="2300605"/>
                    </a:xfrm>
                    <a:prstGeom prst="rect">
                      <a:avLst/>
                    </a:prstGeom>
                  </pic:spPr>
                </pic:pic>
              </a:graphicData>
            </a:graphic>
          </wp:anchor>
        </w:drawing>
      </w:r>
      <w:r>
        <w:rPr>
          <w:rFonts w:hint="eastAsia" w:ascii="仿宋" w:hAnsi="仿宋" w:eastAsia="仿宋"/>
          <w:sz w:val="32"/>
          <w:szCs w:val="32"/>
        </w:rPr>
        <w:t>（图2：收入决算结构图）（饼状图）</w:t>
      </w:r>
      <w:bookmarkEnd w:id="34"/>
    </w:p>
    <w:p>
      <w:pPr>
        <w:pStyle w:val="28"/>
        <w:numPr>
          <w:ilvl w:val="0"/>
          <w:numId w:val="0"/>
        </w:numPr>
        <w:spacing w:line="600" w:lineRule="exact"/>
        <w:ind w:firstLine="640" w:firstLineChars="200"/>
        <w:outlineLvl w:val="1"/>
        <w:rPr>
          <w:rFonts w:hint="eastAsia"/>
          <w:lang w:eastAsia="zh-CN"/>
        </w:rPr>
      </w:pPr>
      <w:bookmarkStart w:id="35" w:name="_Toc759"/>
      <w:r>
        <w:rPr>
          <w:rFonts w:hint="eastAsia" w:ascii="黑体" w:hAnsi="黑体" w:eastAsia="黑体"/>
          <w:sz w:val="32"/>
          <w:szCs w:val="32"/>
          <w:lang w:val="en-US" w:eastAsia="zh-CN"/>
        </w:rPr>
        <w:t>三、</w:t>
      </w:r>
      <w:r>
        <w:rPr>
          <w:rFonts w:hint="eastAsia" w:ascii="黑体" w:hAnsi="黑体" w:eastAsia="黑体"/>
          <w:sz w:val="32"/>
          <w:szCs w:val="32"/>
        </w:rPr>
        <w:t>支</w:t>
      </w:r>
      <w:r>
        <w:rPr>
          <w:rStyle w:val="30"/>
          <w:rFonts w:hint="eastAsia" w:ascii="黑体" w:hAnsi="黑体" w:eastAsia="黑体"/>
          <w:b w:val="0"/>
        </w:rPr>
        <w:t>出决算情况说明</w:t>
      </w:r>
      <w:bookmarkEnd w:id="32"/>
      <w:bookmarkEnd w:id="33"/>
      <w:bookmarkEnd w:id="35"/>
    </w:p>
    <w:p>
      <w:pPr>
        <w:pStyle w:val="8"/>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 w:hAnsi="仿宋" w:eastAsia="仿宋"/>
          <w:color w:val="000000" w:themeColor="text1"/>
          <w:sz w:val="32"/>
          <w:szCs w:val="32"/>
          <w:highlight w:val="none"/>
          <w:lang w:eastAsia="zh-CN"/>
          <w14:textFill>
            <w14:solidFill>
              <w14:schemeClr w14:val="tx1"/>
            </w14:solidFill>
          </w14:textFill>
        </w:rPr>
        <w:t>2023</w:t>
      </w:r>
      <w:r>
        <w:rPr>
          <w:rFonts w:hint="eastAsia" w:ascii="仿宋" w:hAnsi="仿宋" w:eastAsia="仿宋"/>
          <w:color w:val="000000" w:themeColor="text1"/>
          <w:sz w:val="32"/>
          <w:szCs w:val="32"/>
          <w:highlight w:val="none"/>
          <w14:textFill>
            <w14:solidFill>
              <w14:schemeClr w14:val="tx1"/>
            </w14:solidFill>
          </w14:textFill>
        </w:rPr>
        <w:t>年</w:t>
      </w:r>
      <w:r>
        <w:rPr>
          <w:rFonts w:hint="eastAsia" w:ascii="仿宋" w:hAnsi="仿宋" w:eastAsia="仿宋"/>
          <w:color w:val="000000" w:themeColor="text1"/>
          <w:sz w:val="32"/>
          <w:szCs w:val="32"/>
          <w:highlight w:val="none"/>
          <w:lang w:eastAsia="zh-CN"/>
          <w14:textFill>
            <w14:solidFill>
              <w14:schemeClr w14:val="tx1"/>
            </w14:solidFill>
          </w14:textFill>
        </w:rPr>
        <w:t>度</w:t>
      </w:r>
      <w:r>
        <w:rPr>
          <w:rFonts w:hint="eastAsia" w:ascii="仿宋" w:hAnsi="仿宋" w:eastAsia="仿宋"/>
          <w:color w:val="000000" w:themeColor="text1"/>
          <w:sz w:val="32"/>
          <w:szCs w:val="32"/>
          <w:highlight w:val="none"/>
          <w14:textFill>
            <w14:solidFill>
              <w14:schemeClr w14:val="tx1"/>
            </w14:solidFill>
          </w14:textFill>
        </w:rPr>
        <w:t>本年支出合计</w:t>
      </w:r>
      <w:r>
        <w:rPr>
          <w:rFonts w:hint="eastAsia" w:ascii="仿宋" w:hAnsi="仿宋" w:eastAsia="仿宋"/>
          <w:color w:val="000000" w:themeColor="text1"/>
          <w:sz w:val="32"/>
          <w:szCs w:val="32"/>
          <w:highlight w:val="none"/>
          <w:lang w:val="en-US" w:eastAsia="zh-CN"/>
          <w14:textFill>
            <w14:solidFill>
              <w14:schemeClr w14:val="tx1"/>
            </w14:solidFill>
          </w14:textFill>
        </w:rPr>
        <w:t>90.6</w:t>
      </w:r>
      <w:r>
        <w:rPr>
          <w:rFonts w:hint="eastAsia" w:ascii="仿宋" w:hAnsi="仿宋" w:eastAsia="仿宋"/>
          <w:color w:val="000000" w:themeColor="text1"/>
          <w:sz w:val="32"/>
          <w:szCs w:val="32"/>
          <w:highlight w:val="none"/>
          <w14:textFill>
            <w14:solidFill>
              <w14:schemeClr w14:val="tx1"/>
            </w14:solidFill>
          </w14:textFill>
        </w:rPr>
        <w:t>万元，其中：基本支出</w:t>
      </w:r>
      <w:r>
        <w:rPr>
          <w:rFonts w:hint="eastAsia" w:ascii="仿宋" w:hAnsi="仿宋" w:eastAsia="仿宋"/>
          <w:color w:val="000000" w:themeColor="text1"/>
          <w:sz w:val="32"/>
          <w:szCs w:val="32"/>
          <w:highlight w:val="none"/>
          <w:lang w:val="en-US" w:eastAsia="zh-CN"/>
          <w14:textFill>
            <w14:solidFill>
              <w14:schemeClr w14:val="tx1"/>
            </w14:solidFill>
          </w14:textFill>
        </w:rPr>
        <w:t>85.28</w:t>
      </w:r>
      <w:r>
        <w:rPr>
          <w:rFonts w:hint="eastAsia" w:ascii="仿宋" w:hAnsi="仿宋" w:eastAsia="仿宋"/>
          <w:color w:val="000000" w:themeColor="text1"/>
          <w:sz w:val="32"/>
          <w:szCs w:val="32"/>
          <w:highlight w:val="none"/>
          <w14:textFill>
            <w14:solidFill>
              <w14:schemeClr w14:val="tx1"/>
            </w14:solidFill>
          </w14:textFill>
        </w:rPr>
        <w:t>万元，占</w:t>
      </w:r>
      <w:r>
        <w:rPr>
          <w:rFonts w:hint="eastAsia" w:ascii="仿宋" w:hAnsi="仿宋" w:eastAsia="仿宋"/>
          <w:color w:val="000000" w:themeColor="text1"/>
          <w:sz w:val="32"/>
          <w:szCs w:val="32"/>
          <w:highlight w:val="none"/>
          <w:lang w:val="en-US" w:eastAsia="zh-CN"/>
          <w14:textFill>
            <w14:solidFill>
              <w14:schemeClr w14:val="tx1"/>
            </w14:solidFill>
          </w14:textFill>
        </w:rPr>
        <w:t>94.13</w:t>
      </w:r>
      <w:r>
        <w:rPr>
          <w:rFonts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14:textFill>
            <w14:solidFill>
              <w14:schemeClr w14:val="tx1"/>
            </w14:solidFill>
          </w14:textFill>
        </w:rPr>
        <w:t>；项目支出</w:t>
      </w:r>
      <w:r>
        <w:rPr>
          <w:rFonts w:hint="eastAsia" w:ascii="仿宋" w:hAnsi="仿宋" w:eastAsia="仿宋"/>
          <w:color w:val="000000" w:themeColor="text1"/>
          <w:sz w:val="32"/>
          <w:szCs w:val="32"/>
          <w:highlight w:val="none"/>
          <w:lang w:val="en-US" w:eastAsia="zh-CN"/>
          <w14:textFill>
            <w14:solidFill>
              <w14:schemeClr w14:val="tx1"/>
            </w14:solidFill>
          </w14:textFill>
        </w:rPr>
        <w:t>5.32</w:t>
      </w:r>
      <w:r>
        <w:rPr>
          <w:rFonts w:hint="eastAsia" w:ascii="仿宋" w:hAnsi="仿宋" w:eastAsia="仿宋"/>
          <w:color w:val="000000" w:themeColor="text1"/>
          <w:sz w:val="32"/>
          <w:szCs w:val="32"/>
          <w:highlight w:val="none"/>
          <w14:textFill>
            <w14:solidFill>
              <w14:schemeClr w14:val="tx1"/>
            </w14:solidFill>
          </w14:textFill>
        </w:rPr>
        <w:t>万元，占</w:t>
      </w:r>
      <w:r>
        <w:rPr>
          <w:rFonts w:hint="eastAsia" w:ascii="仿宋" w:hAnsi="仿宋" w:eastAsia="仿宋"/>
          <w:color w:val="000000" w:themeColor="text1"/>
          <w:sz w:val="32"/>
          <w:szCs w:val="32"/>
          <w:highlight w:val="none"/>
          <w:lang w:val="en-US" w:eastAsia="zh-CN"/>
          <w14:textFill>
            <w14:solidFill>
              <w14:schemeClr w14:val="tx1"/>
            </w14:solidFill>
          </w14:textFill>
        </w:rPr>
        <w:t>5.87</w:t>
      </w:r>
      <w:r>
        <w:rPr>
          <w:rFonts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w:t>
      </w:r>
    </w:p>
    <w:p>
      <w:pPr>
        <w:pStyle w:val="8"/>
        <w:jc w:val="center"/>
        <w:rPr>
          <w:rFonts w:hint="eastAsia" w:ascii="黑体" w:hAnsi="黑体" w:eastAsia="黑体"/>
          <w:sz w:val="32"/>
          <w:szCs w:val="32"/>
        </w:rPr>
      </w:pPr>
      <w:r>
        <w:rPr>
          <w:rFonts w:hint="eastAsia" w:ascii="仿宋_GB2312" w:eastAsia="仿宋_GB2312"/>
          <w:sz w:val="32"/>
          <w:szCs w:val="32"/>
          <w:lang w:eastAsia="zh-CN"/>
        </w:rPr>
        <w:drawing>
          <wp:inline distT="0" distB="0" distL="114300" distR="114300">
            <wp:extent cx="3101975" cy="2514600"/>
            <wp:effectExtent l="0" t="0" r="3175" b="0"/>
            <wp:docPr id="3" name="图片 3"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
                    <pic:cNvPicPr>
                      <a:picLocks noChangeAspect="1"/>
                    </pic:cNvPicPr>
                  </pic:nvPicPr>
                  <pic:blipFill>
                    <a:blip r:embed="rId8"/>
                    <a:stretch>
                      <a:fillRect/>
                    </a:stretch>
                  </pic:blipFill>
                  <pic:spPr>
                    <a:xfrm>
                      <a:off x="0" y="0"/>
                      <a:ext cx="3101975" cy="2514600"/>
                    </a:xfrm>
                    <a:prstGeom prst="rect">
                      <a:avLst/>
                    </a:prstGeom>
                  </pic:spPr>
                </pic:pic>
              </a:graphicData>
            </a:graphic>
          </wp:inline>
        </w:drawing>
      </w:r>
      <w:bookmarkStart w:id="36" w:name="_Toc15396606"/>
      <w:bookmarkStart w:id="37" w:name="_Toc15377208"/>
    </w:p>
    <w:p>
      <w:pPr>
        <w:spacing w:line="600" w:lineRule="exact"/>
        <w:ind w:firstLine="1280" w:firstLineChars="400"/>
        <w:rPr>
          <w:rFonts w:hint="eastAsia" w:ascii="黑体" w:hAnsi="黑体" w:eastAsia="黑体"/>
          <w:sz w:val="32"/>
          <w:szCs w:val="32"/>
        </w:rPr>
      </w:pPr>
      <w:r>
        <w:rPr>
          <w:rFonts w:hint="eastAsia" w:ascii="仿宋" w:hAnsi="仿宋" w:eastAsia="仿宋"/>
          <w:sz w:val="32"/>
          <w:szCs w:val="32"/>
        </w:rPr>
        <w:t>（图3：支出决算结构图）（饼状图）</w:t>
      </w:r>
    </w:p>
    <w:p>
      <w:pPr>
        <w:numPr>
          <w:ilvl w:val="0"/>
          <w:numId w:val="0"/>
        </w:numPr>
        <w:spacing w:line="600" w:lineRule="exact"/>
        <w:ind w:left="1360" w:leftChars="0" w:hanging="720" w:firstLineChars="0"/>
        <w:outlineLvl w:val="1"/>
        <w:rPr>
          <w:rStyle w:val="30"/>
          <w:rFonts w:hint="eastAsia" w:ascii="黑体" w:hAnsi="黑体" w:eastAsia="黑体"/>
          <w:b w:val="0"/>
        </w:rPr>
      </w:pPr>
      <w:bookmarkStart w:id="38" w:name="_Toc32287"/>
      <w:r>
        <w:rPr>
          <w:rFonts w:hint="eastAsia" w:ascii="黑体" w:hAnsi="黑体" w:eastAsia="黑体" w:cstheme="majorBidi"/>
          <w:b w:val="0"/>
          <w:bCs/>
          <w:kern w:val="2"/>
          <w:sz w:val="32"/>
          <w:szCs w:val="32"/>
          <w:lang w:val="en-US" w:eastAsia="zh-CN" w:bidi="ar-SA"/>
        </w:rPr>
        <w:t>四</w:t>
      </w:r>
      <w:r>
        <w:rPr>
          <w:rFonts w:hint="default" w:ascii="黑体" w:hAnsi="黑体" w:eastAsia="黑体" w:cstheme="majorBidi"/>
          <w:b w:val="0"/>
          <w:bCs/>
          <w:kern w:val="2"/>
          <w:sz w:val="32"/>
          <w:szCs w:val="32"/>
          <w:lang w:val="en-US" w:eastAsia="zh-CN" w:bidi="ar-SA"/>
        </w:rPr>
        <w:t>、</w:t>
      </w:r>
      <w:r>
        <w:rPr>
          <w:rFonts w:hint="eastAsia" w:ascii="黑体" w:hAnsi="黑体" w:eastAsia="黑体"/>
          <w:sz w:val="32"/>
          <w:szCs w:val="32"/>
        </w:rPr>
        <w:t>财</w:t>
      </w:r>
      <w:r>
        <w:rPr>
          <w:rStyle w:val="30"/>
          <w:rFonts w:hint="eastAsia" w:ascii="黑体" w:hAnsi="黑体" w:eastAsia="黑体"/>
          <w:b w:val="0"/>
        </w:rPr>
        <w:t>政拨款收入支出决算总体情况说明</w:t>
      </w:r>
      <w:bookmarkEnd w:id="36"/>
      <w:bookmarkEnd w:id="37"/>
      <w:bookmarkEnd w:id="38"/>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rPr>
        <w:t>2023年度财政拨款收、支总计均为</w:t>
      </w:r>
      <w:r>
        <w:rPr>
          <w:rFonts w:hint="eastAsia" w:ascii="仿宋_GB2312" w:hAnsi="仿宋" w:eastAsia="仿宋_GB2312"/>
          <w:sz w:val="32"/>
          <w:szCs w:val="32"/>
          <w:highlight w:val="none"/>
          <w:lang w:val="en-US" w:eastAsia="zh-CN"/>
        </w:rPr>
        <w:t>90.6</w:t>
      </w:r>
      <w:r>
        <w:rPr>
          <w:rFonts w:hint="eastAsia" w:ascii="仿宋_GB2312" w:hAnsi="仿宋" w:eastAsia="仿宋_GB2312"/>
          <w:sz w:val="32"/>
          <w:szCs w:val="32"/>
          <w:highlight w:val="none"/>
        </w:rPr>
        <w:t>万元</w:t>
      </w:r>
      <w:r>
        <w:rPr>
          <w:rFonts w:hint="eastAsia" w:ascii="仿宋" w:hAnsi="仿宋" w:eastAsia="仿宋"/>
          <w:sz w:val="32"/>
          <w:szCs w:val="32"/>
          <w:highlight w:val="none"/>
        </w:rPr>
        <w:t>。与2022年度相比，财政拨款收、支总计各增加</w:t>
      </w:r>
      <w:r>
        <w:rPr>
          <w:rFonts w:hint="eastAsia" w:ascii="仿宋" w:hAnsi="仿宋" w:eastAsia="仿宋"/>
          <w:sz w:val="32"/>
          <w:szCs w:val="32"/>
          <w:highlight w:val="none"/>
          <w:lang w:val="en-US" w:eastAsia="zh-CN"/>
        </w:rPr>
        <w:t>7.04</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8.43</w:t>
      </w:r>
      <w:r>
        <w:rPr>
          <w:rFonts w:ascii="仿宋" w:hAnsi="仿宋" w:eastAsia="仿宋"/>
          <w:sz w:val="32"/>
          <w:szCs w:val="32"/>
          <w:highlight w:val="none"/>
        </w:rPr>
        <w:t>%</w:t>
      </w:r>
      <w:r>
        <w:rPr>
          <w:rFonts w:hint="eastAsia" w:ascii="仿宋" w:hAnsi="仿宋" w:eastAsia="仿宋"/>
          <w:sz w:val="32"/>
          <w:szCs w:val="32"/>
          <w:highlight w:val="none"/>
        </w:rPr>
        <w:t>。主要变动原因是</w:t>
      </w:r>
      <w:r>
        <w:rPr>
          <w:rFonts w:hint="eastAsia" w:ascii="仿宋" w:hAnsi="仿宋" w:eastAsia="仿宋"/>
          <w:sz w:val="32"/>
          <w:szCs w:val="32"/>
          <w:highlight w:val="none"/>
          <w:lang w:val="en-US" w:eastAsia="zh-CN"/>
        </w:rPr>
        <w:t>为本年保险调标，人员经费支出增加。</w:t>
      </w:r>
    </w:p>
    <w:p>
      <w:pPr>
        <w:pStyle w:val="2"/>
        <w:jc w:val="center"/>
      </w:pPr>
      <w:r>
        <w:rPr>
          <w:rFonts w:hint="eastAsia" w:ascii="仿宋_GB2312" w:hAnsi="仿宋" w:eastAsia="仿宋_GB2312" w:cs="Times New Roman"/>
          <w:sz w:val="32"/>
          <w:szCs w:val="32"/>
          <w:lang w:eastAsia="zh-CN"/>
        </w:rPr>
        <w:drawing>
          <wp:inline distT="0" distB="0" distL="114300" distR="114300">
            <wp:extent cx="4743450" cy="2465070"/>
            <wp:effectExtent l="0" t="0" r="0" b="11430"/>
            <wp:docPr id="4" name="图片 4" descr="图片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21"/>
                    <pic:cNvPicPr>
                      <a:picLocks noChangeAspect="1"/>
                    </pic:cNvPicPr>
                  </pic:nvPicPr>
                  <pic:blipFill>
                    <a:blip r:embed="rId6"/>
                    <a:stretch>
                      <a:fillRect/>
                    </a:stretch>
                  </pic:blipFill>
                  <pic:spPr>
                    <a:xfrm>
                      <a:off x="0" y="0"/>
                      <a:ext cx="4743450" cy="2465070"/>
                    </a:xfrm>
                    <a:prstGeom prst="rect">
                      <a:avLst/>
                    </a:prstGeom>
                  </pic:spPr>
                </pic:pic>
              </a:graphicData>
            </a:graphic>
          </wp:inline>
        </w:drawing>
      </w:r>
    </w:p>
    <w:p>
      <w:pPr>
        <w:spacing w:line="600" w:lineRule="exact"/>
        <w:ind w:firstLine="640" w:firstLineChars="200"/>
        <w:rPr>
          <w:rFonts w:ascii="仿宋" w:hAnsi="仿宋" w:eastAsia="仿宋"/>
          <w:sz w:val="32"/>
          <w:szCs w:val="32"/>
        </w:rPr>
      </w:pPr>
      <w:bookmarkStart w:id="39" w:name="_Toc15396607"/>
      <w:bookmarkStart w:id="40" w:name="_Toc15377209"/>
      <w:r>
        <w:rPr>
          <w:rFonts w:hint="eastAsia" w:ascii="仿宋" w:hAnsi="仿宋" w:eastAsia="仿宋"/>
          <w:sz w:val="32"/>
          <w:szCs w:val="32"/>
        </w:rPr>
        <w:t>（图4：财政拨款收、支决算总计变动情况）（柱状图）</w:t>
      </w:r>
    </w:p>
    <w:p>
      <w:pPr>
        <w:spacing w:line="600" w:lineRule="exact"/>
        <w:ind w:firstLine="640" w:firstLineChars="200"/>
        <w:outlineLvl w:val="1"/>
        <w:rPr>
          <w:rStyle w:val="30"/>
          <w:rFonts w:ascii="黑体" w:hAnsi="黑体" w:eastAsia="黑体"/>
          <w:b w:val="0"/>
        </w:rPr>
      </w:pPr>
      <w:bookmarkStart w:id="41" w:name="_Toc26062"/>
      <w:r>
        <w:rPr>
          <w:rFonts w:hint="eastAsia" w:ascii="黑体" w:hAnsi="黑体" w:eastAsia="黑体"/>
          <w:sz w:val="32"/>
          <w:szCs w:val="32"/>
        </w:rPr>
        <w:t>五、</w:t>
      </w:r>
      <w:r>
        <w:rPr>
          <w:rFonts w:hint="eastAsia" w:ascii="黑体" w:hAnsi="黑体" w:eastAsia="黑体"/>
          <w:b/>
          <w:sz w:val="32"/>
          <w:szCs w:val="32"/>
        </w:rPr>
        <w:t>一</w:t>
      </w:r>
      <w:r>
        <w:rPr>
          <w:rStyle w:val="30"/>
          <w:rFonts w:hint="eastAsia" w:ascii="黑体" w:hAnsi="黑体" w:eastAsia="黑体"/>
          <w:b w:val="0"/>
        </w:rPr>
        <w:t>般公共预算财政拨款支出决算情况说明</w:t>
      </w:r>
      <w:bookmarkEnd w:id="39"/>
      <w:bookmarkEnd w:id="40"/>
      <w:bookmarkEnd w:id="41"/>
    </w:p>
    <w:p>
      <w:pPr>
        <w:spacing w:line="600" w:lineRule="exact"/>
        <w:ind w:firstLine="643" w:firstLineChars="200"/>
        <w:outlineLvl w:val="2"/>
        <w:rPr>
          <w:rFonts w:ascii="仿宋" w:hAnsi="仿宋" w:eastAsia="仿宋"/>
          <w:b/>
          <w:sz w:val="32"/>
          <w:szCs w:val="32"/>
        </w:rPr>
      </w:pPr>
      <w:bookmarkStart w:id="42" w:name="_Toc15377210"/>
      <w:bookmarkStart w:id="43" w:name="_Toc29887"/>
      <w:r>
        <w:rPr>
          <w:rFonts w:hint="eastAsia" w:ascii="仿宋" w:hAnsi="仿宋" w:eastAsia="仿宋"/>
          <w:b/>
          <w:sz w:val="32"/>
          <w:szCs w:val="32"/>
        </w:rPr>
        <w:t>（一）一般公共预算财政拨款支出决算总体情况</w:t>
      </w:r>
      <w:bookmarkEnd w:id="42"/>
      <w:bookmarkEnd w:id="43"/>
    </w:p>
    <w:p>
      <w:pPr>
        <w:spacing w:line="600" w:lineRule="exact"/>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rPr>
        <w:t>2023年度一般公共预算财政拨款支出</w:t>
      </w:r>
      <w:r>
        <w:rPr>
          <w:rFonts w:hint="eastAsia" w:ascii="仿宋" w:hAnsi="仿宋" w:eastAsia="仿宋"/>
          <w:sz w:val="32"/>
          <w:szCs w:val="32"/>
          <w:highlight w:val="none"/>
          <w:lang w:val="en-US" w:eastAsia="zh-CN"/>
        </w:rPr>
        <w:t>90.6</w:t>
      </w:r>
      <w:r>
        <w:rPr>
          <w:rFonts w:hint="eastAsia" w:ascii="仿宋" w:hAnsi="仿宋" w:eastAsia="仿宋"/>
          <w:sz w:val="32"/>
          <w:szCs w:val="32"/>
          <w:highlight w:val="none"/>
        </w:rPr>
        <w:t>万元，占本年支出合计的</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%。与2022年度相比，一般公共预算财政拨款支出增加</w:t>
      </w:r>
      <w:r>
        <w:rPr>
          <w:rFonts w:hint="eastAsia" w:ascii="仿宋" w:hAnsi="仿宋" w:eastAsia="仿宋"/>
          <w:sz w:val="32"/>
          <w:szCs w:val="32"/>
          <w:highlight w:val="none"/>
          <w:lang w:val="en-US" w:eastAsia="zh-CN"/>
        </w:rPr>
        <w:t>7.04</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8.43</w:t>
      </w:r>
      <w:r>
        <w:rPr>
          <w:rFonts w:ascii="仿宋" w:hAnsi="仿宋" w:eastAsia="仿宋"/>
          <w:sz w:val="32"/>
          <w:szCs w:val="32"/>
          <w:highlight w:val="none"/>
        </w:rPr>
        <w:t>%</w:t>
      </w:r>
      <w:r>
        <w:rPr>
          <w:rFonts w:hint="eastAsia" w:ascii="仿宋" w:hAnsi="仿宋" w:eastAsia="仿宋"/>
          <w:sz w:val="32"/>
          <w:szCs w:val="32"/>
          <w:highlight w:val="none"/>
        </w:rPr>
        <w:t>。主要变动原因是</w:t>
      </w:r>
      <w:r>
        <w:rPr>
          <w:rFonts w:hint="eastAsia" w:ascii="仿宋" w:hAnsi="仿宋" w:eastAsia="仿宋"/>
          <w:sz w:val="32"/>
          <w:szCs w:val="32"/>
          <w:highlight w:val="none"/>
          <w:lang w:val="en-US" w:eastAsia="zh-CN"/>
        </w:rPr>
        <w:t>本年保险调标，人员经费支出增加。</w:t>
      </w:r>
    </w:p>
    <w:p>
      <w:pPr>
        <w:pStyle w:val="20"/>
        <w:jc w:val="center"/>
        <w:outlineLvl w:val="9"/>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drawing>
          <wp:inline distT="0" distB="0" distL="114300" distR="114300">
            <wp:extent cx="4682490" cy="2613660"/>
            <wp:effectExtent l="0" t="0" r="3810" b="15240"/>
            <wp:docPr id="5" name="图片 5" descr="图片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51"/>
                    <pic:cNvPicPr>
                      <a:picLocks noChangeAspect="1"/>
                    </pic:cNvPicPr>
                  </pic:nvPicPr>
                  <pic:blipFill>
                    <a:blip r:embed="rId9"/>
                    <a:stretch>
                      <a:fillRect/>
                    </a:stretch>
                  </pic:blipFill>
                  <pic:spPr>
                    <a:xfrm>
                      <a:off x="0" y="0"/>
                      <a:ext cx="4682490" cy="2613660"/>
                    </a:xfrm>
                    <a:prstGeom prst="rect">
                      <a:avLst/>
                    </a:prstGeom>
                  </pic:spPr>
                </pic:pic>
              </a:graphicData>
            </a:graphic>
          </wp:inline>
        </w:drawing>
      </w:r>
    </w:p>
    <w:p>
      <w:pPr>
        <w:rPr>
          <w:rFonts w:hint="eastAsia" w:ascii="仿宋" w:hAnsi="仿宋" w:eastAsia="仿宋"/>
          <w:sz w:val="32"/>
          <w:szCs w:val="32"/>
          <w:highlight w:val="none"/>
          <w:lang w:val="en-US" w:eastAsia="zh-CN"/>
        </w:rPr>
      </w:pPr>
      <w:r>
        <w:rPr>
          <w:rFonts w:hint="eastAsia" w:ascii="仿宋" w:hAnsi="仿宋" w:eastAsia="仿宋"/>
          <w:sz w:val="32"/>
          <w:szCs w:val="32"/>
        </w:rPr>
        <w:t>（图5：一般公共预算财政拨款支出决算变动情况）（柱状图）</w:t>
      </w:r>
    </w:p>
    <w:p>
      <w:pPr>
        <w:spacing w:line="600" w:lineRule="exact"/>
        <w:ind w:firstLine="643" w:firstLineChars="200"/>
        <w:outlineLvl w:val="2"/>
        <w:rPr>
          <w:rFonts w:ascii="仿宋" w:hAnsi="仿宋" w:eastAsia="仿宋"/>
          <w:b/>
          <w:sz w:val="32"/>
          <w:szCs w:val="32"/>
        </w:rPr>
      </w:pPr>
      <w:bookmarkStart w:id="44" w:name="_Toc16798"/>
      <w:bookmarkStart w:id="45" w:name="_Toc15377211"/>
      <w:r>
        <w:rPr>
          <w:rFonts w:hint="eastAsia" w:ascii="仿宋" w:hAnsi="仿宋" w:eastAsia="仿宋"/>
          <w:b/>
          <w:sz w:val="32"/>
          <w:szCs w:val="32"/>
        </w:rPr>
        <w:t>（二）一般公共预算财政拨款支出决算结构情况</w:t>
      </w:r>
      <w:bookmarkEnd w:id="44"/>
      <w:bookmarkEnd w:id="45"/>
    </w:p>
    <w:p>
      <w:pPr>
        <w:spacing w:line="600" w:lineRule="exact"/>
        <w:ind w:firstLine="640"/>
        <w:rPr>
          <w:rFonts w:hint="eastAsia" w:ascii="仿宋" w:hAnsi="仿宋" w:eastAsia="仿宋"/>
          <w:sz w:val="32"/>
          <w:szCs w:val="32"/>
          <w:highlight w:val="none"/>
        </w:rPr>
      </w:pPr>
      <w:bookmarkStart w:id="46" w:name="_Toc15377212"/>
      <w:r>
        <w:rPr>
          <w:rFonts w:hint="eastAsia" w:ascii="仿宋" w:hAnsi="仿宋" w:eastAsia="仿宋"/>
          <w:sz w:val="32"/>
          <w:szCs w:val="32"/>
          <w:highlight w:val="none"/>
        </w:rPr>
        <w:t>2023年度一般公共预算财政拨款支出</w:t>
      </w:r>
      <w:r>
        <w:rPr>
          <w:rFonts w:hint="eastAsia" w:ascii="仿宋" w:hAnsi="仿宋" w:eastAsia="仿宋"/>
          <w:color w:val="auto"/>
          <w:sz w:val="32"/>
          <w:szCs w:val="32"/>
          <w:highlight w:val="none"/>
          <w:lang w:val="en-US" w:eastAsia="zh-CN"/>
        </w:rPr>
        <w:t>90.6</w:t>
      </w:r>
      <w:r>
        <w:rPr>
          <w:rFonts w:hint="eastAsia" w:ascii="仿宋" w:hAnsi="仿宋" w:eastAsia="仿宋"/>
          <w:color w:val="auto"/>
          <w:sz w:val="32"/>
          <w:szCs w:val="32"/>
          <w:highlight w:val="none"/>
        </w:rPr>
        <w:t>万元，主要用于以下方面:文化旅游体育与传媒支出</w:t>
      </w:r>
      <w:r>
        <w:rPr>
          <w:rFonts w:hint="eastAsia" w:ascii="仿宋" w:hAnsi="仿宋" w:eastAsia="仿宋"/>
          <w:color w:val="auto"/>
          <w:sz w:val="32"/>
          <w:szCs w:val="32"/>
          <w:highlight w:val="none"/>
          <w:lang w:val="en-US" w:eastAsia="zh-CN"/>
        </w:rPr>
        <w:t>69.63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77</w:t>
      </w:r>
      <w:r>
        <w:rPr>
          <w:rFonts w:hint="eastAsia" w:ascii="仿宋" w:hAnsi="仿宋" w:eastAsia="仿宋"/>
          <w:color w:val="auto"/>
          <w:sz w:val="32"/>
          <w:szCs w:val="32"/>
          <w:highlight w:val="none"/>
        </w:rPr>
        <w:t>%；社会保障和就业支出11</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6</w:t>
      </w:r>
      <w:r>
        <w:rPr>
          <w:rFonts w:hint="eastAsia" w:ascii="仿宋" w:hAnsi="仿宋" w:eastAsia="仿宋"/>
          <w:color w:val="auto"/>
          <w:sz w:val="32"/>
          <w:szCs w:val="32"/>
          <w:highlight w:val="none"/>
          <w:lang w:val="en-US" w:eastAsia="zh-CN"/>
        </w:rPr>
        <w:t>9</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13</w:t>
      </w:r>
      <w:r>
        <w:rPr>
          <w:rFonts w:hint="eastAsia" w:ascii="仿宋" w:hAnsi="仿宋" w:eastAsia="仿宋"/>
          <w:color w:val="auto"/>
          <w:sz w:val="32"/>
          <w:szCs w:val="32"/>
          <w:highlight w:val="none"/>
        </w:rPr>
        <w:t>%；卫生健康支出2</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7</w:t>
      </w:r>
      <w:r>
        <w:rPr>
          <w:rFonts w:hint="eastAsia" w:ascii="仿宋" w:hAnsi="仿宋" w:eastAsia="仿宋"/>
          <w:color w:val="auto"/>
          <w:sz w:val="32"/>
          <w:szCs w:val="32"/>
          <w:highlight w:val="none"/>
          <w:lang w:val="en-US" w:eastAsia="zh-CN"/>
        </w:rPr>
        <w:t>4</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3</w:t>
      </w:r>
      <w:r>
        <w:rPr>
          <w:rFonts w:hint="eastAsia" w:ascii="仿宋" w:hAnsi="仿宋" w:eastAsia="仿宋"/>
          <w:color w:val="auto"/>
          <w:sz w:val="32"/>
          <w:szCs w:val="32"/>
          <w:highlight w:val="none"/>
        </w:rPr>
        <w:t>%；住房保障支出6</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5</w:t>
      </w:r>
      <w:r>
        <w:rPr>
          <w:rFonts w:hint="eastAsia" w:ascii="仿宋" w:hAnsi="仿宋" w:eastAsia="仿宋"/>
          <w:color w:val="auto"/>
          <w:sz w:val="32"/>
          <w:szCs w:val="32"/>
          <w:highlight w:val="none"/>
          <w:lang w:val="en-US" w:eastAsia="zh-CN"/>
        </w:rPr>
        <w:t>4</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7</w:t>
      </w:r>
      <w:r>
        <w:rPr>
          <w:rFonts w:hint="eastAsia" w:ascii="仿宋" w:hAnsi="仿宋" w:eastAsia="仿宋"/>
          <w:color w:val="auto"/>
          <w:sz w:val="32"/>
          <w:szCs w:val="32"/>
          <w:highlight w:val="none"/>
        </w:rPr>
        <w:t>%。</w:t>
      </w:r>
    </w:p>
    <w:p>
      <w:pPr>
        <w:pStyle w:val="2"/>
      </w:pPr>
      <w:r>
        <w:rPr>
          <w:rFonts w:hint="eastAsia"/>
          <w:lang w:val="en-US" w:eastAsia="zh-CN"/>
        </w:rPr>
        <w:t xml:space="preserve">             </w:t>
      </w:r>
      <w:r>
        <w:drawing>
          <wp:inline distT="0" distB="0" distL="114300" distR="114300">
            <wp:extent cx="3560445" cy="2242820"/>
            <wp:effectExtent l="4445" t="4445" r="16510" b="19685"/>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pStyle w:val="2"/>
        <w:rPr>
          <w:rFonts w:hint="eastAsia" w:ascii="仿宋" w:hAnsi="仿宋" w:eastAsia="仿宋"/>
          <w:b/>
          <w:sz w:val="32"/>
          <w:szCs w:val="32"/>
        </w:rPr>
      </w:pPr>
      <w:r>
        <w:rPr>
          <w:rFonts w:hint="eastAsia" w:ascii="仿宋" w:hAnsi="仿宋" w:eastAsia="仿宋"/>
          <w:sz w:val="32"/>
          <w:szCs w:val="32"/>
        </w:rPr>
        <w:t>（图6：一般公共预算财政拨款支出决算结构）（饼状图）</w:t>
      </w:r>
    </w:p>
    <w:p>
      <w:pPr>
        <w:spacing w:line="600" w:lineRule="exact"/>
        <w:ind w:firstLine="643" w:firstLineChars="200"/>
        <w:outlineLvl w:val="2"/>
        <w:rPr>
          <w:rFonts w:ascii="仿宋" w:hAnsi="仿宋" w:eastAsia="仿宋"/>
          <w:b/>
          <w:sz w:val="32"/>
          <w:szCs w:val="32"/>
          <w:highlight w:val="none"/>
        </w:rPr>
      </w:pPr>
      <w:bookmarkStart w:id="47" w:name="_Toc19164"/>
      <w:r>
        <w:rPr>
          <w:rFonts w:hint="eastAsia" w:ascii="仿宋" w:hAnsi="仿宋" w:eastAsia="仿宋"/>
          <w:b/>
          <w:sz w:val="32"/>
          <w:szCs w:val="32"/>
        </w:rPr>
        <w:t>（三）一般公共预算财政拨款支出决</w:t>
      </w:r>
      <w:r>
        <w:rPr>
          <w:rFonts w:hint="eastAsia" w:ascii="仿宋" w:hAnsi="仿宋" w:eastAsia="仿宋"/>
          <w:b/>
          <w:sz w:val="32"/>
          <w:szCs w:val="32"/>
          <w:highlight w:val="none"/>
        </w:rPr>
        <w:t>算具体情况</w:t>
      </w:r>
      <w:bookmarkEnd w:id="46"/>
      <w:bookmarkEnd w:id="47"/>
    </w:p>
    <w:p>
      <w:pPr>
        <w:spacing w:line="600" w:lineRule="exact"/>
        <w:ind w:firstLine="643" w:firstLineChars="200"/>
        <w:outlineLvl w:val="2"/>
        <w:rPr>
          <w:rFonts w:ascii="仿宋" w:hAnsi="仿宋" w:eastAsia="仿宋"/>
          <w:sz w:val="32"/>
          <w:szCs w:val="32"/>
          <w:highlight w:val="none"/>
        </w:rPr>
      </w:pPr>
      <w:bookmarkStart w:id="48" w:name="_Toc2248"/>
      <w:bookmarkStart w:id="49" w:name="_Toc15378460"/>
      <w:bookmarkStart w:id="50" w:name="_Toc15377213"/>
      <w:bookmarkStart w:id="51" w:name="_Toc15377444"/>
      <w:bookmarkStart w:id="52" w:name="_Toc15396608"/>
      <w:bookmarkStart w:id="53" w:name="_Toc15377214"/>
      <w:r>
        <w:rPr>
          <w:rFonts w:hint="eastAsia" w:ascii="仿宋" w:hAnsi="仿宋" w:eastAsia="仿宋"/>
          <w:b/>
          <w:sz w:val="32"/>
          <w:szCs w:val="32"/>
          <w:highlight w:val="none"/>
        </w:rPr>
        <w:t>2023年度一般公共预算支出决算数为90</w:t>
      </w:r>
      <w:r>
        <w:rPr>
          <w:rFonts w:hint="eastAsia" w:ascii="仿宋" w:hAnsi="仿宋" w:eastAsia="仿宋"/>
          <w:b/>
          <w:sz w:val="32"/>
          <w:szCs w:val="32"/>
          <w:highlight w:val="none"/>
          <w:lang w:val="en-US" w:eastAsia="zh-CN"/>
        </w:rPr>
        <w:t>.</w:t>
      </w:r>
      <w:r>
        <w:rPr>
          <w:rFonts w:hint="eastAsia" w:ascii="仿宋" w:hAnsi="仿宋" w:eastAsia="仿宋"/>
          <w:b/>
          <w:sz w:val="32"/>
          <w:szCs w:val="32"/>
          <w:highlight w:val="none"/>
        </w:rPr>
        <w:t>6</w:t>
      </w:r>
      <w:r>
        <w:rPr>
          <w:rFonts w:hint="eastAsia" w:ascii="仿宋" w:hAnsi="仿宋" w:eastAsia="仿宋"/>
          <w:b/>
          <w:sz w:val="32"/>
          <w:szCs w:val="32"/>
          <w:highlight w:val="none"/>
          <w:lang w:val="en-US" w:eastAsia="zh-CN"/>
        </w:rPr>
        <w:t>万元</w:t>
      </w:r>
      <w:r>
        <w:rPr>
          <w:rFonts w:hint="eastAsia" w:ascii="仿宋" w:hAnsi="仿宋" w:eastAsia="仿宋"/>
          <w:sz w:val="32"/>
          <w:szCs w:val="32"/>
          <w:highlight w:val="none"/>
        </w:rPr>
        <w:t>，</w:t>
      </w:r>
      <w:r>
        <w:rPr>
          <w:rStyle w:val="18"/>
          <w:rFonts w:hint="eastAsia" w:ascii="仿宋" w:hAnsi="仿宋" w:eastAsia="仿宋"/>
          <w:bCs/>
          <w:sz w:val="32"/>
          <w:szCs w:val="32"/>
          <w:highlight w:val="none"/>
        </w:rPr>
        <w:t>完成预算</w:t>
      </w:r>
      <w:r>
        <w:rPr>
          <w:rStyle w:val="18"/>
          <w:rFonts w:hint="eastAsia" w:ascii="仿宋" w:hAnsi="仿宋" w:eastAsia="仿宋"/>
          <w:bCs/>
          <w:sz w:val="32"/>
          <w:szCs w:val="32"/>
          <w:highlight w:val="none"/>
          <w:lang w:val="en-US" w:eastAsia="zh-CN"/>
        </w:rPr>
        <w:t>100</w:t>
      </w:r>
      <w:r>
        <w:rPr>
          <w:rStyle w:val="18"/>
          <w:rFonts w:ascii="仿宋" w:hAnsi="仿宋" w:eastAsia="仿宋"/>
          <w:bCs/>
          <w:sz w:val="32"/>
          <w:szCs w:val="32"/>
          <w:highlight w:val="none"/>
        </w:rPr>
        <w:t>%</w:t>
      </w:r>
      <w:r>
        <w:rPr>
          <w:rStyle w:val="18"/>
          <w:rFonts w:hint="eastAsia" w:ascii="仿宋" w:hAnsi="仿宋" w:eastAsia="仿宋"/>
          <w:bCs/>
          <w:sz w:val="32"/>
          <w:szCs w:val="32"/>
          <w:highlight w:val="none"/>
        </w:rPr>
        <w:t>。其中：</w:t>
      </w:r>
      <w:bookmarkEnd w:id="48"/>
      <w:bookmarkEnd w:id="49"/>
      <w:bookmarkEnd w:id="50"/>
      <w:bookmarkEnd w:id="51"/>
    </w:p>
    <w:p>
      <w:pPr>
        <w:spacing w:line="600" w:lineRule="exact"/>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.文化旅</w:t>
      </w:r>
      <w:r>
        <w:rPr>
          <w:rFonts w:hint="eastAsia" w:ascii="仿宋" w:hAnsi="仿宋" w:eastAsia="仿宋"/>
          <w:sz w:val="32"/>
          <w:szCs w:val="32"/>
          <w:highlight w:val="none"/>
          <w:lang w:val="en-US" w:eastAsia="zh-CN"/>
        </w:rPr>
        <w:t>游体育与传媒支出（类）文化和旅游（款）其他文化和旅游支出（项）:支出决算为69.63万元，</w:t>
      </w:r>
      <w:r>
        <w:rPr>
          <w:rFonts w:hint="eastAsia" w:ascii="仿宋" w:hAnsi="仿宋" w:eastAsia="仿宋"/>
          <w:color w:val="000000" w:themeColor="text1"/>
          <w:sz w:val="32"/>
          <w:szCs w:val="32"/>
          <w:highlight w:val="none"/>
          <w:lang w:val="en-US" w:eastAsia="zh-CN"/>
          <w14:textFill>
            <w14:solidFill>
              <w14:schemeClr w14:val="tx1"/>
            </w14:solidFill>
          </w14:textFill>
        </w:rPr>
        <w:t>完成预算100</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w:t>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2.社会保障和就业支出（类）行政事业单位养老支出（款）机关事业单位基本养老保险缴费支出（项）:支出决算为7.79万元，完成预算100%。</w:t>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3.社会保障和就业支出（类）行政事业单位养老支出（款）机关事业单位职业年金缴费支出（项）:支出决算为3.9万元，完成预算100%。</w:t>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4.卫生健康支出（类）行政事业单位医疗（款）事业单位医疗（项）:支出决算为2.24万元，完成预算100%。</w:t>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5.卫生健康支出（类）行政事业单位医疗（款）其他行政事业单位医疗支出（项）：支出决算为0.5万元，完成预算100%。</w:t>
      </w:r>
    </w:p>
    <w:p>
      <w:pPr>
        <w:spacing w:line="600" w:lineRule="exact"/>
        <w:ind w:firstLine="640"/>
        <w:rPr>
          <w:rFonts w:hint="eastAsia" w:ascii="仿宋" w:hAnsi="仿宋" w:eastAsia="仿宋" w:cs="Times New Roman"/>
          <w:sz w:val="32"/>
          <w:szCs w:val="32"/>
          <w:lang w:val="en-US" w:eastAsia="zh-CN"/>
        </w:rPr>
      </w:pPr>
      <w:r>
        <w:rPr>
          <w:rFonts w:hint="eastAsia" w:ascii="仿宋" w:hAnsi="仿宋" w:eastAsia="仿宋"/>
          <w:sz w:val="32"/>
          <w:szCs w:val="32"/>
          <w:highlight w:val="none"/>
          <w:lang w:val="en-US" w:eastAsia="zh-CN"/>
        </w:rPr>
        <w:t>6.住房保障支出（类）住房改革支出（款）住房公积金（项）：支出决算为6.54万元，完成预算100%。</w:t>
      </w:r>
    </w:p>
    <w:p>
      <w:pPr>
        <w:tabs>
          <w:tab w:val="right" w:pos="8306"/>
        </w:tabs>
        <w:spacing w:line="600" w:lineRule="exact"/>
        <w:ind w:firstLine="640"/>
        <w:outlineLvl w:val="1"/>
        <w:rPr>
          <w:rStyle w:val="30"/>
        </w:rPr>
      </w:pPr>
      <w:bookmarkStart w:id="54" w:name="_Toc1665"/>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30"/>
          <w:rFonts w:hint="eastAsia" w:ascii="黑体" w:hAnsi="黑体" w:eastAsia="黑体"/>
          <w:b w:val="0"/>
        </w:rPr>
        <w:t>般公共预算财政拨款基本支出决算情况说明</w:t>
      </w:r>
      <w:bookmarkEnd w:id="52"/>
      <w:bookmarkEnd w:id="53"/>
      <w:bookmarkEnd w:id="54"/>
      <w:r>
        <w:rPr>
          <w:rStyle w:val="30"/>
          <w:rFonts w:ascii="黑体" w:hAnsi="黑体" w:eastAsia="黑体"/>
          <w:b w:val="0"/>
        </w:rPr>
        <w:tab/>
      </w:r>
    </w:p>
    <w:p>
      <w:pPr>
        <w:spacing w:line="600" w:lineRule="exact"/>
        <w:ind w:firstLine="64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2023年度一般公共预算财政拨款基本支出85.28万元，其中：</w:t>
      </w:r>
    </w:p>
    <w:p>
      <w:pPr>
        <w:spacing w:line="600" w:lineRule="exact"/>
        <w:ind w:firstLine="640"/>
        <w:rPr>
          <w:rFonts w:hint="eastAsia" w:ascii="仿宋" w:hAnsi="仿宋" w:eastAsia="仿宋"/>
          <w:color w:val="000000" w:themeColor="text1"/>
          <w:sz w:val="32"/>
          <w:szCs w:val="32"/>
          <w:highlight w:val="none"/>
          <w:lang w:val="en-US" w:eastAsia="zh-CN"/>
          <w14:textFill>
            <w14:solidFill>
              <w14:schemeClr w14:val="tx1"/>
            </w14:solidFill>
          </w14:textFill>
        </w:rPr>
      </w:pPr>
      <w:r>
        <w:rPr>
          <w:rFonts w:hint="eastAsia" w:ascii="仿宋" w:hAnsi="仿宋" w:eastAsia="仿宋"/>
          <w:sz w:val="32"/>
          <w:szCs w:val="32"/>
          <w:highlight w:val="none"/>
          <w:lang w:val="en-US" w:eastAsia="zh-CN"/>
        </w:rPr>
        <w:t>人员经费76.71万元，主要包括：</w:t>
      </w:r>
      <w:r>
        <w:rPr>
          <w:rFonts w:hint="eastAsia" w:ascii="仿宋" w:hAnsi="仿宋" w:eastAsia="仿宋"/>
          <w:color w:val="000000" w:themeColor="text1"/>
          <w:sz w:val="32"/>
          <w:szCs w:val="32"/>
          <w:highlight w:val="none"/>
          <w:lang w:val="en-US" w:eastAsia="zh-CN"/>
          <w14:textFill>
            <w14:solidFill>
              <w14:schemeClr w14:val="tx1"/>
            </w14:solidFill>
          </w14:textFill>
        </w:rPr>
        <w:t>基本工资、津贴补贴、绩效工资、机关事业单位基本养老保险缴费、职业年金缴费、职工基本医疗保险缴费、其他社会保障缴费、住房公积金、等。</w:t>
      </w:r>
    </w:p>
    <w:p>
      <w:pPr>
        <w:spacing w:line="600" w:lineRule="exact"/>
        <w:ind w:firstLine="640"/>
        <w:rPr>
          <w:rFonts w:ascii="仿宋" w:hAnsi="仿宋" w:eastAsia="仿宋"/>
          <w:b/>
          <w:sz w:val="32"/>
          <w:szCs w:val="32"/>
        </w:rPr>
      </w:pPr>
      <w:r>
        <w:rPr>
          <w:rFonts w:hint="eastAsia" w:ascii="仿宋" w:hAnsi="仿宋" w:eastAsia="仿宋"/>
          <w:sz w:val="32"/>
          <w:szCs w:val="32"/>
          <w:highlight w:val="none"/>
          <w:lang w:val="en-US" w:eastAsia="zh-CN"/>
        </w:rPr>
        <w:t>公用经费8.57万元，主要包括：</w:t>
      </w:r>
      <w:r>
        <w:rPr>
          <w:rFonts w:hint="eastAsia" w:ascii="仿宋" w:hAnsi="仿宋" w:eastAsia="仿宋"/>
          <w:color w:val="000000" w:themeColor="text1"/>
          <w:sz w:val="32"/>
          <w:szCs w:val="32"/>
          <w14:textFill>
            <w14:solidFill>
              <w14:schemeClr w14:val="tx1"/>
            </w14:solidFill>
          </w14:textFill>
        </w:rPr>
        <w:t>办公费、印刷费、咨询费、水费、电费、邮电费、差旅费、劳务费、委托业务费、工会经费、福利费、其他商品和服务支出。</w:t>
      </w:r>
    </w:p>
    <w:p>
      <w:pPr>
        <w:spacing w:line="600" w:lineRule="exact"/>
        <w:ind w:firstLine="640"/>
        <w:outlineLvl w:val="1"/>
        <w:rPr>
          <w:rStyle w:val="30"/>
          <w:rFonts w:ascii="黑体" w:hAnsi="黑体" w:eastAsia="黑体"/>
          <w:b w:val="0"/>
        </w:rPr>
      </w:pPr>
      <w:bookmarkStart w:id="55" w:name="_Toc15396609"/>
      <w:bookmarkStart w:id="56" w:name="_Toc22927"/>
      <w:bookmarkStart w:id="57" w:name="_Toc15377215"/>
      <w:r>
        <w:rPr>
          <w:rFonts w:hint="eastAsia" w:ascii="黑体" w:eastAsia="黑体"/>
          <w:sz w:val="32"/>
          <w:szCs w:val="32"/>
        </w:rPr>
        <w:t>七、</w:t>
      </w:r>
      <w:r>
        <w:rPr>
          <w:rStyle w:val="30"/>
          <w:rFonts w:hint="eastAsia" w:ascii="黑体" w:hAnsi="黑体" w:eastAsia="黑体"/>
          <w:b w:val="0"/>
        </w:rPr>
        <w:t>财政拨款</w:t>
      </w:r>
      <w:r>
        <w:rPr>
          <w:rStyle w:val="30"/>
          <w:rFonts w:hint="eastAsia" w:ascii="黑体" w:hAnsi="黑体" w:eastAsia="黑体"/>
        </w:rPr>
        <w:t>“</w:t>
      </w:r>
      <w:r>
        <w:rPr>
          <w:rStyle w:val="30"/>
          <w:rFonts w:hint="eastAsia" w:ascii="黑体" w:hAnsi="黑体" w:eastAsia="黑体"/>
          <w:b w:val="0"/>
        </w:rPr>
        <w:t>三公”经费支出决算情况说明</w:t>
      </w:r>
      <w:bookmarkEnd w:id="55"/>
      <w:bookmarkEnd w:id="56"/>
      <w:bookmarkEnd w:id="57"/>
    </w:p>
    <w:p>
      <w:pPr>
        <w:spacing w:line="600" w:lineRule="exact"/>
        <w:ind w:firstLine="640"/>
        <w:outlineLvl w:val="2"/>
        <w:rPr>
          <w:rFonts w:ascii="仿宋" w:hAnsi="仿宋" w:eastAsia="仿宋"/>
          <w:b/>
          <w:sz w:val="32"/>
          <w:szCs w:val="32"/>
        </w:rPr>
      </w:pPr>
      <w:bookmarkStart w:id="58" w:name="_Toc25512"/>
      <w:bookmarkStart w:id="59" w:name="_Toc15377216"/>
      <w:r>
        <w:rPr>
          <w:rFonts w:hint="eastAsia" w:ascii="仿宋" w:hAnsi="仿宋" w:eastAsia="仿宋"/>
          <w:b/>
          <w:sz w:val="32"/>
          <w:szCs w:val="32"/>
        </w:rPr>
        <w:t>（一）“三公”经费财政拨款支出决算总体情况说明</w:t>
      </w:r>
      <w:bookmarkEnd w:id="58"/>
      <w:bookmarkEnd w:id="59"/>
    </w:p>
    <w:p>
      <w:pPr>
        <w:spacing w:line="600" w:lineRule="exact"/>
        <w:ind w:firstLine="640"/>
        <w:rPr>
          <w:rFonts w:ascii="仿宋" w:hAnsi="仿宋" w:eastAsia="仿宋"/>
          <w:color w:val="auto"/>
          <w:sz w:val="32"/>
          <w:szCs w:val="32"/>
          <w:highlight w:val="none"/>
        </w:rPr>
      </w:pPr>
      <w:bookmarkStart w:id="60" w:name="_Toc15377217"/>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“三公”经费财政拨款支出决算为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万元，完成预算</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较上年度增加</w:t>
      </w:r>
      <w:r>
        <w:rPr>
          <w:rFonts w:hint="eastAsia" w:ascii="仿宋" w:hAnsi="仿宋" w:eastAsia="仿宋"/>
          <w:color w:val="auto"/>
          <w:sz w:val="32"/>
          <w:szCs w:val="32"/>
          <w:highlight w:val="none"/>
          <w:lang w:val="en-US" w:eastAsia="zh-CN"/>
        </w:rPr>
        <w:t>0万元，增长0%。</w:t>
      </w:r>
    </w:p>
    <w:p>
      <w:pPr>
        <w:spacing w:line="600" w:lineRule="exact"/>
        <w:ind w:firstLine="640"/>
        <w:outlineLvl w:val="2"/>
        <w:rPr>
          <w:rFonts w:ascii="仿宋" w:hAnsi="仿宋" w:eastAsia="仿宋"/>
          <w:b/>
          <w:sz w:val="32"/>
          <w:szCs w:val="32"/>
        </w:rPr>
      </w:pPr>
      <w:bookmarkStart w:id="61" w:name="_Toc17345"/>
      <w:r>
        <w:rPr>
          <w:rFonts w:hint="eastAsia" w:ascii="仿宋" w:hAnsi="仿宋" w:eastAsia="仿宋"/>
          <w:b/>
          <w:sz w:val="32"/>
          <w:szCs w:val="32"/>
        </w:rPr>
        <w:t>（二）“三公”经费财政拨款支出决算具体情况说明</w:t>
      </w:r>
      <w:bookmarkEnd w:id="60"/>
      <w:bookmarkEnd w:id="61"/>
    </w:p>
    <w:p>
      <w:pPr>
        <w:spacing w:line="600" w:lineRule="exact"/>
        <w:ind w:firstLine="640"/>
        <w:rPr>
          <w:rFonts w:hint="eastAsia" w:ascii="仿宋" w:hAnsi="仿宋" w:eastAsia="仿宋"/>
          <w:color w:val="auto"/>
          <w:sz w:val="32"/>
          <w:szCs w:val="32"/>
          <w:highlight w:val="none"/>
        </w:rPr>
      </w:pPr>
      <w:bookmarkStart w:id="62" w:name="_Toc15396610"/>
      <w:bookmarkStart w:id="63" w:name="_Toc15377218"/>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“三公”经费财政拨款支出决算中，因公出国（境）费支出决算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；公务用车购置及运行维护费支出决算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；公务接待费支出决算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numPr>
          <w:ilvl w:val="0"/>
          <w:numId w:val="0"/>
        </w:numPr>
        <w:spacing w:line="600" w:lineRule="exact"/>
        <w:ind w:firstLine="643" w:firstLineChars="200"/>
        <w:rPr>
          <w:rFonts w:ascii="仿宋_GB2312" w:eastAsia="仿宋_GB2312"/>
          <w:color w:val="auto"/>
          <w:sz w:val="32"/>
          <w:szCs w:val="32"/>
          <w:highlight w:val="none"/>
        </w:rPr>
      </w:pPr>
      <w:r>
        <w:rPr>
          <w:rFonts w:hint="eastAsia" w:ascii="仿宋_GB2312" w:eastAsia="仿宋_GB2312"/>
          <w:b/>
          <w:color w:val="auto"/>
          <w:sz w:val="32"/>
          <w:szCs w:val="32"/>
          <w:highlight w:val="none"/>
          <w:lang w:val="en-US" w:eastAsia="zh-CN"/>
        </w:rPr>
        <w:t>1.</w:t>
      </w:r>
      <w:r>
        <w:rPr>
          <w:rFonts w:hint="eastAsia" w:ascii="仿宋_GB2312" w:eastAsia="仿宋_GB2312"/>
          <w:b/>
          <w:color w:val="auto"/>
          <w:sz w:val="32"/>
          <w:szCs w:val="32"/>
          <w:highlight w:val="none"/>
        </w:rPr>
        <w:t>因公出国（境）经费支出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Style w:val="18"/>
          <w:rFonts w:hint="eastAsia" w:ascii="仿宋" w:hAnsi="仿宋" w:eastAsia="仿宋"/>
          <w:b w:val="0"/>
          <w:bCs/>
          <w:color w:val="auto"/>
          <w:sz w:val="32"/>
          <w:szCs w:val="32"/>
          <w:highlight w:val="none"/>
        </w:rPr>
        <w:t>完成预算</w:t>
      </w:r>
      <w:r>
        <w:rPr>
          <w:rStyle w:val="18"/>
          <w:rFonts w:hint="eastAsia" w:ascii="仿宋" w:hAnsi="仿宋" w:eastAsia="仿宋"/>
          <w:b w:val="0"/>
          <w:bCs/>
          <w:color w:val="auto"/>
          <w:sz w:val="32"/>
          <w:szCs w:val="32"/>
          <w:highlight w:val="none"/>
          <w:lang w:val="en-US" w:eastAsia="zh-CN"/>
        </w:rPr>
        <w:t>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全年安排因公出国（境）团组</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次，出国（境）</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人。因公出国（境）支出决算比</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增加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pPr>
        <w:numPr>
          <w:ilvl w:val="0"/>
          <w:numId w:val="0"/>
        </w:num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lang w:val="en-US" w:eastAsia="zh-CN"/>
        </w:rPr>
        <w:t>2.</w:t>
      </w:r>
      <w:r>
        <w:rPr>
          <w:rFonts w:hint="eastAsia" w:ascii="仿宋_GB2312" w:eastAsia="仿宋_GB2312"/>
          <w:b/>
          <w:color w:val="auto"/>
          <w:sz w:val="32"/>
          <w:szCs w:val="32"/>
          <w:highlight w:val="none"/>
        </w:rPr>
        <w:t>公务用车购置及运行维护费支出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Style w:val="18"/>
          <w:rFonts w:hint="eastAsia" w:ascii="仿宋" w:hAnsi="仿宋" w:eastAsia="仿宋"/>
          <w:b w:val="0"/>
          <w:bCs/>
          <w:color w:val="auto"/>
          <w:sz w:val="32"/>
          <w:szCs w:val="32"/>
          <w:highlight w:val="none"/>
        </w:rPr>
        <w:t>完成预算</w:t>
      </w:r>
      <w:r>
        <w:rPr>
          <w:rStyle w:val="18"/>
          <w:rFonts w:hint="eastAsia" w:ascii="仿宋" w:hAnsi="仿宋" w:eastAsia="仿宋"/>
          <w:b w:val="0"/>
          <w:bCs/>
          <w:color w:val="auto"/>
          <w:sz w:val="32"/>
          <w:szCs w:val="32"/>
          <w:highlight w:val="none"/>
          <w:lang w:val="en-US" w:eastAsia="zh-CN"/>
        </w:rPr>
        <w:t>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公务用车购置及运行维护费支出决算比</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增加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p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rPr>
        <w:t>其中：</w:t>
      </w:r>
      <w:r>
        <w:rPr>
          <w:rFonts w:hint="eastAsia" w:ascii="仿宋_GB2312" w:eastAsia="仿宋_GB2312"/>
          <w:b/>
          <w:color w:val="auto"/>
          <w:sz w:val="32"/>
          <w:szCs w:val="32"/>
          <w:highlight w:val="none"/>
        </w:rPr>
        <w:t>公务用车购置支出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万元。全年按规定更新购置公务用车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万元。截至</w:t>
      </w: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hint="eastAsia" w:ascii="仿宋_GB2312" w:eastAsia="仿宋_GB2312"/>
          <w:color w:val="auto"/>
          <w:sz w:val="32"/>
          <w:szCs w:val="32"/>
          <w:highlight w:val="none"/>
          <w:lang w:val="en-US" w:eastAsia="zh-CN"/>
        </w:rPr>
        <w:t>31日</w:t>
      </w:r>
      <w:r>
        <w:rPr>
          <w:rFonts w:hint="eastAsia" w:ascii="仿宋_GB2312" w:eastAsia="仿宋_GB2312"/>
          <w:color w:val="auto"/>
          <w:sz w:val="32"/>
          <w:szCs w:val="32"/>
          <w:highlight w:val="none"/>
        </w:rPr>
        <w:t>，单位共有公务用车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w:t>
      </w:r>
    </w:p>
    <w:p>
      <w:pPr>
        <w:spacing w:line="600" w:lineRule="exact"/>
        <w:ind w:firstLine="640"/>
        <w:rPr>
          <w:rFonts w:hint="eastAsia" w:ascii="仿宋_GB2312" w:eastAsia="仿宋_GB2312"/>
          <w:color w:val="auto"/>
          <w:sz w:val="32"/>
          <w:szCs w:val="32"/>
          <w:highlight w:val="none"/>
        </w:rPr>
      </w:pPr>
      <w:r>
        <w:rPr>
          <w:rFonts w:hint="eastAsia" w:ascii="仿宋_GB2312" w:eastAsia="仿宋_GB2312"/>
          <w:b/>
          <w:color w:val="auto"/>
          <w:sz w:val="32"/>
          <w:szCs w:val="32"/>
          <w:highlight w:val="none"/>
        </w:rPr>
        <w:t>公务用车运行维护费支出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万元。主要用于具体工作</w:t>
      </w:r>
      <w:r>
        <w:rPr>
          <w:rFonts w:hint="eastAsia" w:ascii="仿宋_GB2312" w:eastAsia="仿宋_GB2312"/>
          <w:color w:val="auto"/>
          <w:sz w:val="32"/>
          <w:szCs w:val="32"/>
          <w:highlight w:val="none"/>
          <w:lang w:val="en-US" w:eastAsia="zh-CN"/>
        </w:rPr>
        <w:t>中</w:t>
      </w:r>
      <w:r>
        <w:rPr>
          <w:rFonts w:hint="eastAsia" w:ascii="仿宋_GB2312" w:eastAsia="仿宋_GB2312"/>
          <w:color w:val="auto"/>
          <w:sz w:val="32"/>
          <w:szCs w:val="32"/>
          <w:highlight w:val="none"/>
        </w:rPr>
        <w:t>所需的公务用车燃料费、维修费、过路过桥费、保险费等支出。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color w:val="auto"/>
          <w:sz w:val="32"/>
          <w:szCs w:val="32"/>
          <w:highlight w:val="none"/>
          <w:lang w:val="en-US" w:eastAsia="zh-CN"/>
        </w:rPr>
        <w:t>3.</w:t>
      </w:r>
      <w:r>
        <w:rPr>
          <w:rFonts w:hint="eastAsia" w:ascii="仿宋_GB2312" w:eastAsia="仿宋_GB2312"/>
          <w:b/>
          <w:color w:val="auto"/>
          <w:sz w:val="32"/>
          <w:szCs w:val="32"/>
          <w:highlight w:val="none"/>
        </w:rPr>
        <w:t>公务接待费支出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Style w:val="18"/>
          <w:rFonts w:hint="eastAsia" w:ascii="仿宋" w:hAnsi="仿宋" w:eastAsia="仿宋"/>
          <w:b w:val="0"/>
          <w:bCs/>
          <w:color w:val="auto"/>
          <w:sz w:val="32"/>
          <w:szCs w:val="32"/>
          <w:highlight w:val="none"/>
        </w:rPr>
        <w:t>完成预算</w:t>
      </w:r>
      <w:r>
        <w:rPr>
          <w:rStyle w:val="18"/>
          <w:rFonts w:hint="eastAsia" w:ascii="仿宋" w:hAnsi="仿宋" w:eastAsia="仿宋"/>
          <w:b w:val="0"/>
          <w:bCs/>
          <w:color w:val="auto"/>
          <w:sz w:val="32"/>
          <w:szCs w:val="32"/>
          <w:highlight w:val="none"/>
          <w:lang w:val="en-US" w:eastAsia="zh-CN"/>
        </w:rPr>
        <w:t>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公务接待费支出决算比</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增加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w:t>
      </w:r>
    </w:p>
    <w:p>
      <w:pPr>
        <w:spacing w:line="600" w:lineRule="exact"/>
        <w:ind w:firstLine="643" w:firstLineChars="200"/>
        <w:rPr>
          <w:rFonts w:hint="eastAsia" w:ascii="仿宋_GB2312" w:eastAsia="仿宋_GB2312"/>
          <w:color w:val="auto"/>
          <w:sz w:val="32"/>
          <w:szCs w:val="32"/>
          <w:highlight w:val="none"/>
          <w:lang w:eastAsia="zh-CN"/>
        </w:rPr>
      </w:pPr>
      <w:r>
        <w:rPr>
          <w:rFonts w:hint="eastAsia" w:ascii="仿宋" w:hAnsi="仿宋" w:eastAsia="仿宋"/>
          <w:b/>
          <w:color w:val="auto"/>
          <w:sz w:val="32"/>
          <w:szCs w:val="32"/>
          <w:highlight w:val="none"/>
        </w:rPr>
        <w:t>国内公务接待支出</w:t>
      </w:r>
      <w:r>
        <w:rPr>
          <w:rFonts w:hint="eastAsia" w:ascii="仿宋" w:hAnsi="仿宋" w:eastAsia="仿宋"/>
          <w:color w:val="auto"/>
          <w:sz w:val="32"/>
          <w:szCs w:val="32"/>
          <w:highlight w:val="none"/>
          <w:lang w:val="en-US" w:eastAsia="zh-CN"/>
        </w:rPr>
        <w:t>0</w:t>
      </w:r>
      <w:r>
        <w:rPr>
          <w:rFonts w:hint="eastAsia" w:ascii="仿宋_GB2312" w:eastAsia="仿宋_GB2312"/>
          <w:color w:val="auto"/>
          <w:sz w:val="32"/>
          <w:szCs w:val="32"/>
          <w:highlight w:val="none"/>
        </w:rPr>
        <w:t>万元，主要用于执行公务、开展业务活动开支的交通费、住宿费、用餐费等。国内公务接待</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人次（不包括陪同人员），共计支出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spacing w:line="600" w:lineRule="exact"/>
        <w:ind w:firstLine="640"/>
        <w:outlineLvl w:val="1"/>
        <w:rPr>
          <w:rFonts w:hint="eastAsia" w:ascii="仿宋_GB2312" w:eastAsia="仿宋_GB2312"/>
          <w:color w:val="auto"/>
          <w:sz w:val="32"/>
          <w:szCs w:val="32"/>
          <w:highlight w:val="none"/>
        </w:rPr>
      </w:pPr>
      <w:bookmarkStart w:id="64" w:name="_Toc20412"/>
      <w:r>
        <w:rPr>
          <w:rFonts w:hint="eastAsia" w:ascii="仿宋" w:hAnsi="仿宋" w:eastAsia="仿宋"/>
          <w:b/>
          <w:color w:val="auto"/>
          <w:sz w:val="32"/>
          <w:szCs w:val="32"/>
          <w:highlight w:val="none"/>
        </w:rPr>
        <w:t>外事接待支出</w:t>
      </w:r>
      <w:r>
        <w:rPr>
          <w:rFonts w:hint="eastAsia" w:ascii="仿宋" w:hAnsi="仿宋" w:eastAsia="仿宋"/>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外事接待</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次（不包括陪同人员）</w:t>
      </w:r>
      <w:r>
        <w:rPr>
          <w:rFonts w:hint="eastAsia" w:ascii="仿宋_GB2312" w:eastAsia="仿宋_GB2312"/>
          <w:color w:val="auto"/>
          <w:sz w:val="32"/>
          <w:szCs w:val="32"/>
          <w:highlight w:val="none"/>
        </w:rPr>
        <w:t>，共计支出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bookmarkEnd w:id="64"/>
    </w:p>
    <w:p>
      <w:pPr>
        <w:spacing w:line="600" w:lineRule="exact"/>
        <w:ind w:firstLine="640"/>
        <w:outlineLvl w:val="1"/>
        <w:rPr>
          <w:rStyle w:val="30"/>
          <w:rFonts w:ascii="黑体" w:hAnsi="黑体" w:eastAsia="黑体"/>
        </w:rPr>
      </w:pPr>
      <w:bookmarkStart w:id="65" w:name="_Toc28839"/>
      <w:r>
        <w:rPr>
          <w:rFonts w:hint="eastAsia" w:ascii="黑体" w:eastAsia="黑体"/>
          <w:sz w:val="32"/>
          <w:szCs w:val="32"/>
        </w:rPr>
        <w:t>八、</w:t>
      </w:r>
      <w:r>
        <w:rPr>
          <w:rStyle w:val="30"/>
          <w:rFonts w:hint="eastAsia" w:ascii="黑体" w:hAnsi="黑体" w:eastAsia="黑体"/>
          <w:b w:val="0"/>
        </w:rPr>
        <w:t>政府性基金预算支出决算情况说明</w:t>
      </w:r>
      <w:bookmarkEnd w:id="62"/>
      <w:bookmarkEnd w:id="63"/>
      <w:bookmarkEnd w:id="65"/>
    </w:p>
    <w:p>
      <w:pPr>
        <w:spacing w:line="600" w:lineRule="exact"/>
        <w:ind w:firstLine="640"/>
        <w:rPr>
          <w:rFonts w:ascii="仿宋_GB2312" w:eastAsia="仿宋_GB2312"/>
          <w:color w:val="auto"/>
          <w:sz w:val="32"/>
          <w:szCs w:val="32"/>
          <w:highlight w:val="none"/>
        </w:rPr>
      </w:pPr>
      <w:bookmarkStart w:id="66" w:name="_Toc15396611"/>
      <w:bookmarkStart w:id="67" w:name="_Toc15377219"/>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政府性基金预算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numPr>
          <w:ilvl w:val="0"/>
          <w:numId w:val="2"/>
        </w:numPr>
        <w:spacing w:line="600" w:lineRule="exact"/>
        <w:ind w:firstLine="640"/>
        <w:outlineLvl w:val="1"/>
        <w:rPr>
          <w:rStyle w:val="30"/>
          <w:rFonts w:ascii="黑体" w:hAnsi="黑体" w:eastAsia="黑体"/>
          <w:b w:val="0"/>
        </w:rPr>
      </w:pPr>
      <w:bookmarkStart w:id="68" w:name="_Toc8771"/>
      <w:r>
        <w:rPr>
          <w:rStyle w:val="30"/>
          <w:rFonts w:hint="eastAsia" w:ascii="黑体" w:hAnsi="黑体" w:eastAsia="黑体"/>
          <w:b w:val="0"/>
        </w:rPr>
        <w:t>国有资本经营预算支出决算情况说明</w:t>
      </w:r>
      <w:bookmarkEnd w:id="66"/>
      <w:bookmarkEnd w:id="67"/>
      <w:bookmarkEnd w:id="68"/>
    </w:p>
    <w:p>
      <w:pPr>
        <w:spacing w:line="600" w:lineRule="exact"/>
        <w:ind w:firstLine="640"/>
        <w:rPr>
          <w:rFonts w:ascii="方正小标宋简体" w:hAnsi="方正小标宋简体" w:eastAsia="方正小标宋简体" w:cs="方正小标宋简体"/>
          <w:sz w:val="44"/>
          <w:szCs w:val="44"/>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pPr>
        <w:numPr>
          <w:ilvl w:val="0"/>
          <w:numId w:val="2"/>
        </w:numPr>
        <w:spacing w:line="600" w:lineRule="exact"/>
        <w:ind w:firstLine="640"/>
        <w:outlineLvl w:val="1"/>
        <w:rPr>
          <w:rStyle w:val="30"/>
          <w:rFonts w:ascii="黑体" w:hAnsi="黑体" w:eastAsia="黑体"/>
          <w:b w:val="0"/>
        </w:rPr>
      </w:pPr>
      <w:bookmarkStart w:id="69" w:name="_Toc26505"/>
      <w:bookmarkStart w:id="70" w:name="_Toc15377221"/>
      <w:bookmarkStart w:id="71" w:name="_Toc15396612"/>
      <w:r>
        <w:rPr>
          <w:rStyle w:val="30"/>
          <w:rFonts w:hint="eastAsia" w:ascii="黑体" w:hAnsi="黑体" w:eastAsia="黑体"/>
          <w:b w:val="0"/>
        </w:rPr>
        <w:t>其他重要事项的情况说明</w:t>
      </w:r>
      <w:bookmarkEnd w:id="69"/>
      <w:bookmarkEnd w:id="70"/>
      <w:bookmarkEnd w:id="71"/>
    </w:p>
    <w:p>
      <w:pPr>
        <w:spacing w:line="600" w:lineRule="exact"/>
        <w:ind w:firstLine="643" w:firstLineChars="200"/>
        <w:outlineLvl w:val="2"/>
        <w:rPr>
          <w:rFonts w:ascii="仿宋" w:hAnsi="仿宋" w:eastAsia="仿宋"/>
          <w:sz w:val="32"/>
          <w:szCs w:val="32"/>
          <w:highlight w:val="none"/>
        </w:rPr>
      </w:pPr>
      <w:bookmarkStart w:id="72" w:name="_Toc980"/>
      <w:bookmarkStart w:id="73" w:name="_Toc15377222"/>
      <w:r>
        <w:rPr>
          <w:rFonts w:hint="eastAsia" w:ascii="仿宋" w:hAnsi="仿宋" w:eastAsia="仿宋"/>
          <w:b/>
          <w:sz w:val="32"/>
          <w:szCs w:val="32"/>
          <w:highlight w:val="none"/>
        </w:rPr>
        <w:t>（一）机关运行经费支出情况</w:t>
      </w:r>
      <w:bookmarkEnd w:id="72"/>
      <w:bookmarkEnd w:id="73"/>
    </w:p>
    <w:p>
      <w:pPr>
        <w:autoSpaceDE w:val="0"/>
        <w:autoSpaceDN w:val="0"/>
        <w:adjustRightInd w:val="0"/>
        <w:spacing w:line="600" w:lineRule="exact"/>
        <w:ind w:firstLine="640" w:firstLineChars="200"/>
        <w:jc w:val="left"/>
        <w:outlineLvl w:val="2"/>
        <w:rPr>
          <w:rFonts w:hint="default" w:ascii="仿宋_GB2312" w:eastAsia="仿宋_GB2312"/>
          <w:color w:val="auto"/>
          <w:sz w:val="32"/>
          <w:szCs w:val="32"/>
          <w:highlight w:val="none"/>
          <w:lang w:val="en-US" w:eastAsia="zh-CN"/>
        </w:rPr>
      </w:pPr>
      <w:bookmarkStart w:id="74" w:name="_Toc15181"/>
      <w:bookmarkStart w:id="75" w:name="_Toc15377223"/>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五通桥区小西湖风景区服务中心</w:t>
      </w:r>
      <w:r>
        <w:rPr>
          <w:rFonts w:hint="eastAsia" w:ascii="仿宋_GB2312" w:eastAsia="仿宋_GB2312"/>
          <w:color w:val="auto"/>
          <w:sz w:val="32"/>
          <w:szCs w:val="32"/>
          <w:highlight w:val="none"/>
        </w:rPr>
        <w:t>机关运行经费支出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万元，比</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增加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bookmarkEnd w:id="74"/>
      <w:r>
        <w:rPr>
          <w:rFonts w:hint="eastAsia" w:ascii="仿宋_GB2312" w:eastAsia="仿宋_GB2312"/>
          <w:color w:val="auto"/>
          <w:sz w:val="32"/>
          <w:szCs w:val="32"/>
          <w:highlight w:val="none"/>
          <w:lang w:val="en-US" w:eastAsia="zh-CN"/>
        </w:rPr>
        <w:t>主要原因是本单位为事业单位。</w:t>
      </w:r>
    </w:p>
    <w:p>
      <w:pPr>
        <w:autoSpaceDE w:val="0"/>
        <w:autoSpaceDN w:val="0"/>
        <w:adjustRightInd w:val="0"/>
        <w:spacing w:line="600" w:lineRule="exact"/>
        <w:ind w:firstLine="643" w:firstLineChars="200"/>
        <w:jc w:val="left"/>
        <w:outlineLvl w:val="2"/>
        <w:rPr>
          <w:rFonts w:ascii="仿宋" w:hAnsi="仿宋" w:eastAsia="仿宋"/>
          <w:b/>
          <w:sz w:val="32"/>
          <w:szCs w:val="32"/>
          <w:highlight w:val="none"/>
        </w:rPr>
      </w:pPr>
      <w:bookmarkStart w:id="76" w:name="_Toc15812"/>
      <w:r>
        <w:rPr>
          <w:rFonts w:hint="eastAsia" w:ascii="仿宋" w:hAnsi="仿宋" w:eastAsia="仿宋"/>
          <w:b/>
          <w:sz w:val="32"/>
          <w:szCs w:val="32"/>
          <w:highlight w:val="none"/>
        </w:rPr>
        <w:t>（二）政府采购支出情况</w:t>
      </w:r>
      <w:bookmarkEnd w:id="75"/>
      <w:bookmarkEnd w:id="76"/>
    </w:p>
    <w:p>
      <w:pPr>
        <w:spacing w:line="600" w:lineRule="exact"/>
        <w:ind w:firstLine="640" w:firstLineChars="200"/>
        <w:rPr>
          <w:rFonts w:ascii="仿宋_GB2312" w:eastAsia="仿宋_GB2312"/>
          <w:b w:val="0"/>
          <w:bCs w:val="0"/>
          <w:sz w:val="32"/>
          <w:szCs w:val="32"/>
          <w:highlight w:val="none"/>
        </w:rPr>
      </w:pPr>
      <w:r>
        <w:rPr>
          <w:rFonts w:hint="eastAsia" w:ascii="仿宋_GB2312" w:eastAsia="仿宋_GB2312"/>
          <w:b w:val="0"/>
          <w:bCs w:val="0"/>
          <w:sz w:val="32"/>
          <w:szCs w:val="32"/>
          <w:highlight w:val="none"/>
        </w:rPr>
        <w:t>2023年度，</w:t>
      </w:r>
      <w:r>
        <w:rPr>
          <w:rFonts w:hint="eastAsia" w:ascii="仿宋_GB2312" w:hAnsi="Times New Roman" w:eastAsia="仿宋_GB2312" w:cs="Times New Roman"/>
          <w:b w:val="0"/>
          <w:bCs w:val="0"/>
          <w:sz w:val="32"/>
          <w:szCs w:val="32"/>
          <w:highlight w:val="none"/>
        </w:rPr>
        <w:t>五通桥区小西湖风景区服务中心政</w:t>
      </w:r>
      <w:r>
        <w:rPr>
          <w:rFonts w:hint="eastAsia" w:ascii="仿宋_GB2312" w:eastAsia="仿宋_GB2312"/>
          <w:b w:val="0"/>
          <w:bCs w:val="0"/>
          <w:sz w:val="32"/>
          <w:szCs w:val="32"/>
          <w:highlight w:val="none"/>
        </w:rPr>
        <w:t>府采购支出总额</w:t>
      </w:r>
      <w:r>
        <w:rPr>
          <w:rFonts w:ascii="仿宋" w:hAnsi="仿宋" w:eastAsia="仿宋"/>
          <w:b w:val="0"/>
          <w:bCs w:val="0"/>
          <w:sz w:val="32"/>
          <w:szCs w:val="32"/>
          <w:highlight w:val="none"/>
        </w:rPr>
        <w:t>0</w:t>
      </w:r>
      <w:r>
        <w:rPr>
          <w:rFonts w:hint="eastAsia" w:ascii="仿宋_GB2312" w:eastAsia="仿宋_GB2312"/>
          <w:b w:val="0"/>
          <w:bCs w:val="0"/>
          <w:sz w:val="32"/>
          <w:szCs w:val="32"/>
          <w:highlight w:val="none"/>
        </w:rPr>
        <w:t>万元，其中：政府采购货物支出</w:t>
      </w:r>
      <w:r>
        <w:rPr>
          <w:rFonts w:ascii="仿宋" w:hAnsi="仿宋" w:eastAsia="仿宋"/>
          <w:b w:val="0"/>
          <w:bCs w:val="0"/>
          <w:sz w:val="32"/>
          <w:szCs w:val="32"/>
          <w:highlight w:val="none"/>
        </w:rPr>
        <w:t>0</w:t>
      </w:r>
      <w:r>
        <w:rPr>
          <w:rFonts w:hint="eastAsia" w:ascii="仿宋_GB2312" w:eastAsia="仿宋_GB2312"/>
          <w:b w:val="0"/>
          <w:bCs w:val="0"/>
          <w:sz w:val="32"/>
          <w:szCs w:val="32"/>
          <w:highlight w:val="none"/>
        </w:rPr>
        <w:t>万元、政府采购工程支出</w:t>
      </w:r>
      <w:r>
        <w:rPr>
          <w:rFonts w:ascii="仿宋" w:hAnsi="仿宋" w:eastAsia="仿宋"/>
          <w:b w:val="0"/>
          <w:bCs w:val="0"/>
          <w:sz w:val="32"/>
          <w:szCs w:val="32"/>
          <w:highlight w:val="none"/>
        </w:rPr>
        <w:t>0</w:t>
      </w:r>
      <w:r>
        <w:rPr>
          <w:rFonts w:hint="eastAsia" w:ascii="仿宋_GB2312" w:eastAsia="仿宋_GB2312"/>
          <w:b w:val="0"/>
          <w:bCs w:val="0"/>
          <w:sz w:val="32"/>
          <w:szCs w:val="32"/>
          <w:highlight w:val="none"/>
        </w:rPr>
        <w:t>万元、政府采购服务支出</w:t>
      </w:r>
      <w:r>
        <w:rPr>
          <w:rFonts w:ascii="仿宋" w:hAnsi="仿宋" w:eastAsia="仿宋"/>
          <w:b w:val="0"/>
          <w:bCs w:val="0"/>
          <w:sz w:val="32"/>
          <w:szCs w:val="32"/>
          <w:highlight w:val="none"/>
        </w:rPr>
        <w:t>0</w:t>
      </w:r>
      <w:r>
        <w:rPr>
          <w:rFonts w:hint="eastAsia" w:ascii="仿宋_GB2312" w:eastAsia="仿宋_GB2312"/>
          <w:b w:val="0"/>
          <w:bCs w:val="0"/>
          <w:sz w:val="32"/>
          <w:szCs w:val="32"/>
          <w:highlight w:val="none"/>
        </w:rPr>
        <w:t>万元。授予中小企业合同金额</w:t>
      </w:r>
      <w:r>
        <w:rPr>
          <w:rFonts w:ascii="仿宋" w:hAnsi="仿宋" w:eastAsia="仿宋"/>
          <w:b w:val="0"/>
          <w:bCs w:val="0"/>
          <w:sz w:val="32"/>
          <w:szCs w:val="32"/>
          <w:highlight w:val="none"/>
        </w:rPr>
        <w:t>0</w:t>
      </w:r>
      <w:r>
        <w:rPr>
          <w:rFonts w:hint="eastAsia" w:ascii="仿宋_GB2312" w:eastAsia="仿宋_GB2312"/>
          <w:b w:val="0"/>
          <w:bCs w:val="0"/>
          <w:sz w:val="32"/>
          <w:szCs w:val="32"/>
          <w:highlight w:val="none"/>
        </w:rPr>
        <w:t>万元，占政府采购支出总额的</w:t>
      </w:r>
      <w:r>
        <w:rPr>
          <w:rFonts w:ascii="仿宋_GB2312" w:eastAsia="仿宋_GB2312"/>
          <w:b w:val="0"/>
          <w:bCs w:val="0"/>
          <w:sz w:val="32"/>
          <w:szCs w:val="32"/>
          <w:highlight w:val="none"/>
        </w:rPr>
        <w:t>0%</w:t>
      </w:r>
      <w:r>
        <w:rPr>
          <w:rFonts w:hint="eastAsia" w:ascii="仿宋_GB2312" w:eastAsia="仿宋_GB2312"/>
          <w:b w:val="0"/>
          <w:bCs w:val="0"/>
          <w:sz w:val="32"/>
          <w:szCs w:val="32"/>
          <w:highlight w:val="none"/>
        </w:rPr>
        <w:t>，其中：授予小微企业合同金额</w:t>
      </w:r>
      <w:r>
        <w:rPr>
          <w:rFonts w:ascii="仿宋" w:hAnsi="仿宋" w:eastAsia="仿宋"/>
          <w:b w:val="0"/>
          <w:bCs w:val="0"/>
          <w:sz w:val="32"/>
          <w:szCs w:val="32"/>
          <w:highlight w:val="none"/>
        </w:rPr>
        <w:t>0</w:t>
      </w:r>
      <w:r>
        <w:rPr>
          <w:rFonts w:hint="eastAsia" w:ascii="仿宋_GB2312" w:eastAsia="仿宋_GB2312"/>
          <w:b w:val="0"/>
          <w:bCs w:val="0"/>
          <w:sz w:val="32"/>
          <w:szCs w:val="32"/>
          <w:highlight w:val="none"/>
        </w:rPr>
        <w:t>万元，占政府采购支出总额的</w:t>
      </w:r>
      <w:r>
        <w:rPr>
          <w:rFonts w:ascii="仿宋_GB2312" w:eastAsia="仿宋_GB2312"/>
          <w:b w:val="0"/>
          <w:bCs w:val="0"/>
          <w:sz w:val="32"/>
          <w:szCs w:val="32"/>
          <w:highlight w:val="none"/>
        </w:rPr>
        <w:t>0%</w:t>
      </w:r>
      <w:r>
        <w:rPr>
          <w:rFonts w:hint="eastAsia" w:ascii="仿宋_GB2312" w:eastAsia="仿宋_GB2312"/>
          <w:b w:val="0"/>
          <w:bCs w:val="0"/>
          <w:sz w:val="32"/>
          <w:szCs w:val="32"/>
          <w:highlight w:val="none"/>
        </w:rPr>
        <w:t>。</w:t>
      </w:r>
    </w:p>
    <w:p>
      <w:pPr>
        <w:autoSpaceDE w:val="0"/>
        <w:autoSpaceDN w:val="0"/>
        <w:adjustRightInd w:val="0"/>
        <w:spacing w:line="600" w:lineRule="exact"/>
        <w:ind w:firstLine="643" w:firstLineChars="200"/>
        <w:jc w:val="left"/>
        <w:outlineLvl w:val="2"/>
        <w:rPr>
          <w:rFonts w:ascii="仿宋" w:hAnsi="仿宋" w:eastAsia="仿宋"/>
          <w:b/>
          <w:sz w:val="32"/>
          <w:szCs w:val="32"/>
          <w:highlight w:val="none"/>
        </w:rPr>
      </w:pPr>
      <w:bookmarkStart w:id="77" w:name="_Toc4591"/>
      <w:bookmarkStart w:id="78" w:name="_Toc15377224"/>
      <w:r>
        <w:rPr>
          <w:rFonts w:hint="eastAsia" w:ascii="仿宋" w:hAnsi="仿宋" w:eastAsia="仿宋"/>
          <w:b/>
          <w:sz w:val="32"/>
          <w:szCs w:val="32"/>
          <w:highlight w:val="none"/>
        </w:rPr>
        <w:t>（三）国有资产占有使用情况</w:t>
      </w:r>
      <w:bookmarkEnd w:id="77"/>
      <w:bookmarkEnd w:id="78"/>
    </w:p>
    <w:p>
      <w:pPr>
        <w:autoSpaceDE w:val="0"/>
        <w:autoSpaceDN w:val="0"/>
        <w:adjustRightInd w:val="0"/>
        <w:spacing w:line="60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截至</w:t>
      </w: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31</w:t>
      </w:r>
      <w:r>
        <w:rPr>
          <w:rFonts w:hint="eastAsia" w:ascii="仿宋_GB2312" w:eastAsia="仿宋_GB2312"/>
          <w:color w:val="auto"/>
          <w:sz w:val="32"/>
          <w:szCs w:val="32"/>
          <w:highlight w:val="none"/>
        </w:rPr>
        <w:t>日，</w:t>
      </w:r>
      <w:r>
        <w:rPr>
          <w:rFonts w:hint="eastAsia" w:ascii="仿宋_GB2312" w:hAnsi="Times New Roman" w:eastAsia="仿宋_GB2312" w:cs="Times New Roman"/>
          <w:sz w:val="32"/>
          <w:szCs w:val="32"/>
          <w:highlight w:val="none"/>
        </w:rPr>
        <w:t>五通桥区小西湖风景区服务中心</w:t>
      </w:r>
      <w:r>
        <w:rPr>
          <w:rFonts w:hint="eastAsia" w:ascii="仿宋_GB2312" w:eastAsia="仿宋_GB2312"/>
          <w:color w:val="auto"/>
          <w:sz w:val="32"/>
          <w:szCs w:val="32"/>
          <w:highlight w:val="none"/>
        </w:rPr>
        <w:t>共有车辆</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辆，其中：主要领导干部用车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辆、机要通信用车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辆、应急保障用车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辆、其他用车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50</w:t>
      </w:r>
      <w:r>
        <w:rPr>
          <w:rFonts w:hint="eastAsia" w:ascii="仿宋_GB2312" w:eastAsia="仿宋_GB2312"/>
          <w:color w:val="auto"/>
          <w:sz w:val="32"/>
          <w:szCs w:val="32"/>
          <w:highlight w:val="none"/>
        </w:rPr>
        <w:t>万元以上通用设备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eastAsia="zh-CN"/>
        </w:rPr>
        <w:t>（不含车辆）</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w:t>
      </w:r>
    </w:p>
    <w:p>
      <w:pPr>
        <w:autoSpaceDE w:val="0"/>
        <w:autoSpaceDN w:val="0"/>
        <w:adjustRightInd w:val="0"/>
        <w:spacing w:line="600" w:lineRule="exact"/>
        <w:ind w:firstLine="643" w:firstLineChars="200"/>
        <w:jc w:val="left"/>
        <w:outlineLvl w:val="2"/>
        <w:rPr>
          <w:rFonts w:ascii="仿宋" w:hAnsi="仿宋" w:eastAsia="仿宋"/>
          <w:b/>
          <w:sz w:val="32"/>
          <w:szCs w:val="32"/>
          <w:highlight w:val="none"/>
        </w:rPr>
      </w:pPr>
      <w:bookmarkStart w:id="79" w:name="_Toc16427"/>
      <w:r>
        <w:rPr>
          <w:rFonts w:hint="eastAsia" w:ascii="仿宋" w:hAnsi="仿宋" w:eastAsia="仿宋"/>
          <w:b/>
          <w:sz w:val="32"/>
          <w:szCs w:val="32"/>
          <w:highlight w:val="none"/>
        </w:rPr>
        <w:t>（四）预算绩效管理情况</w:t>
      </w:r>
      <w:bookmarkEnd w:id="79"/>
    </w:p>
    <w:p>
      <w:pPr>
        <w:spacing w:line="600" w:lineRule="exact"/>
        <w:ind w:firstLine="640" w:firstLineChars="200"/>
        <w:rPr>
          <w:rFonts w:ascii="仿宋_GB2312" w:eastAsia="仿宋_GB2312"/>
          <w:sz w:val="32"/>
          <w:szCs w:val="32"/>
        </w:rPr>
      </w:pPr>
      <w:r>
        <w:rPr>
          <w:rFonts w:hint="eastAsia" w:ascii="仿宋_GB2312" w:eastAsia="仿宋_GB2312"/>
          <w:sz w:val="32"/>
          <w:szCs w:val="32"/>
          <w:highlight w:val="none"/>
        </w:rPr>
        <w:t>根据预算绩效管理要求，本单位在2023年度预算编制阶段，组织对</w:t>
      </w:r>
      <w:r>
        <w:rPr>
          <w:rFonts w:hint="eastAsia" w:ascii="仿宋_GB2312" w:eastAsia="仿宋_GB2312"/>
          <w:sz w:val="32"/>
          <w:szCs w:val="32"/>
          <w:highlight w:val="none"/>
          <w:lang w:val="en-US" w:eastAsia="zh-CN"/>
        </w:rPr>
        <w:t>小西湖风景区专项经费</w:t>
      </w:r>
      <w:r>
        <w:rPr>
          <w:rFonts w:hint="eastAsia" w:ascii="仿宋_GB2312" w:eastAsia="仿宋_GB2312"/>
          <w:sz w:val="32"/>
          <w:szCs w:val="32"/>
          <w:highlight w:val="none"/>
        </w:rPr>
        <w:t>等</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个项目开展了预算事前绩效评估，对</w:t>
      </w:r>
      <w:r>
        <w:rPr>
          <w:rFonts w:hint="eastAsia" w:ascii="仿宋_GB2312" w:eastAsia="仿宋_GB2312"/>
          <w:sz w:val="32"/>
          <w:szCs w:val="32"/>
          <w:highlight w:val="none"/>
          <w:lang w:val="en-US" w:eastAsia="zh-CN"/>
        </w:rPr>
        <w:t>小西湖风景区专项经费</w:t>
      </w:r>
      <w:r>
        <w:rPr>
          <w:rFonts w:hint="eastAsia" w:ascii="仿宋_GB2312" w:eastAsia="仿宋_GB2312"/>
          <w:sz w:val="32"/>
          <w:szCs w:val="32"/>
          <w:highlight w:val="none"/>
        </w:rPr>
        <w:t>个项目编制了绩效目标，预算执行过程中，选取</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个项目开展绩效监控，组织对</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个项目开展绩效自评，绩效自评表详见第四部分附件。</w:t>
      </w:r>
      <w:r>
        <w:rPr>
          <w:rFonts w:hint="eastAsia" w:ascii="仿宋_GB2312" w:eastAsia="仿宋_GB2312"/>
          <w:sz w:val="32"/>
          <w:szCs w:val="32"/>
        </w:rPr>
        <w:br w:type="page"/>
      </w:r>
    </w:p>
    <w:p>
      <w:pPr>
        <w:numPr>
          <w:ilvl w:val="0"/>
          <w:numId w:val="3"/>
        </w:numPr>
        <w:spacing w:line="600" w:lineRule="exact"/>
        <w:ind w:firstLine="660" w:firstLineChars="150"/>
        <w:jc w:val="center"/>
        <w:outlineLvl w:val="0"/>
        <w:rPr>
          <w:rFonts w:ascii="宋体"/>
          <w:b/>
          <w:sz w:val="44"/>
          <w:szCs w:val="44"/>
        </w:rPr>
      </w:pPr>
      <w:bookmarkStart w:id="80" w:name="_Toc15597"/>
      <w:bookmarkStart w:id="81" w:name="_Toc15377225"/>
      <w:bookmarkStart w:id="82" w:name="_Toc15396613"/>
      <w:r>
        <w:rPr>
          <w:rFonts w:hint="eastAsia" w:ascii="黑体" w:hAnsi="黑体" w:eastAsia="黑体"/>
          <w:sz w:val="44"/>
          <w:szCs w:val="44"/>
        </w:rPr>
        <w:t>名</w:t>
      </w:r>
      <w:r>
        <w:rPr>
          <w:rStyle w:val="29"/>
          <w:rFonts w:hint="eastAsia" w:ascii="黑体" w:hAnsi="黑体" w:eastAsia="黑体"/>
          <w:b w:val="0"/>
        </w:rPr>
        <w:t>词解释</w:t>
      </w:r>
      <w:bookmarkEnd w:id="80"/>
      <w:bookmarkEnd w:id="81"/>
      <w:bookmarkEnd w:id="82"/>
    </w:p>
    <w:p>
      <w:pPr>
        <w:pStyle w:val="27"/>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rPr>
        <w:t>财政拨款收入：指单位从同级财政部门取得的财政预算资金。</w:t>
      </w:r>
    </w:p>
    <w:p>
      <w:pPr>
        <w:pStyle w:val="27"/>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rPr>
        <w:t>事业收入：指事业单位开展专业业务活动及辅助活动取得的收入。</w:t>
      </w:r>
    </w:p>
    <w:p>
      <w:pPr>
        <w:pStyle w:val="27"/>
        <w:keepNext w:val="0"/>
        <w:keepLines w:val="0"/>
        <w:pageBreakBefore w:val="0"/>
        <w:widowControl w:val="0"/>
        <w:kinsoku/>
        <w:wordWrap/>
        <w:overflowPunct/>
        <w:topLinePunct w:val="0"/>
        <w:bidi w:val="0"/>
        <w:spacing w:line="560" w:lineRule="exact"/>
        <w:ind w:firstLine="640" w:firstLineChars="200"/>
        <w:jc w:val="left"/>
        <w:textAlignment w:val="auto"/>
        <w:rPr>
          <w:rFonts w:hint="eastAsia" w:ascii="仿宋_GB2312" w:eastAsia="仿宋_GB2312"/>
          <w:color w:val="auto"/>
          <w:sz w:val="32"/>
          <w:szCs w:val="32"/>
          <w:highlight w:val="none"/>
        </w:rPr>
      </w:pPr>
      <w:r>
        <w:rPr>
          <w:rFonts w:ascii="仿宋_GB2312" w:eastAsia="仿宋_GB2312"/>
          <w:color w:val="auto"/>
          <w:sz w:val="32"/>
          <w:szCs w:val="32"/>
          <w:highlight w:val="none"/>
        </w:rPr>
        <w:t>3.</w:t>
      </w:r>
      <w:r>
        <w:rPr>
          <w:rFonts w:hint="eastAsia" w:ascii="仿宋_GB2312" w:eastAsia="仿宋_GB2312"/>
          <w:color w:val="auto"/>
          <w:sz w:val="32"/>
          <w:szCs w:val="32"/>
          <w:highlight w:val="none"/>
        </w:rPr>
        <w:t>经营收入：指事业单位在专业业务活动及其辅助活动之外开展非独立核算经营活动取得的收入。</w:t>
      </w:r>
    </w:p>
    <w:p>
      <w:pPr>
        <w:pStyle w:val="27"/>
        <w:keepNext w:val="0"/>
        <w:keepLines w:val="0"/>
        <w:pageBreakBefore w:val="0"/>
        <w:widowControl w:val="0"/>
        <w:kinsoku/>
        <w:wordWrap/>
        <w:overflowPunct/>
        <w:topLinePunct w:val="0"/>
        <w:bidi w:val="0"/>
        <w:spacing w:line="560" w:lineRule="exact"/>
        <w:ind w:firstLine="640" w:firstLineChars="200"/>
        <w:jc w:val="left"/>
        <w:textAlignment w:val="auto"/>
        <w:rPr>
          <w:rFonts w:hint="eastAsia" w:ascii="仿宋_GB2312" w:eastAsia="仿宋_GB2312"/>
          <w:color w:val="auto"/>
          <w:sz w:val="32"/>
          <w:szCs w:val="32"/>
          <w:highlight w:val="none"/>
        </w:rPr>
      </w:pPr>
      <w:r>
        <w:rPr>
          <w:rFonts w:ascii="仿宋_GB2312" w:eastAsia="仿宋_GB2312"/>
          <w:color w:val="auto"/>
          <w:sz w:val="32"/>
          <w:szCs w:val="32"/>
          <w:highlight w:val="none"/>
        </w:rPr>
        <w:t>4.</w:t>
      </w:r>
      <w:r>
        <w:rPr>
          <w:rFonts w:hint="eastAsia" w:ascii="仿宋_GB2312" w:eastAsia="仿宋_GB2312"/>
          <w:color w:val="auto"/>
          <w:sz w:val="32"/>
          <w:szCs w:val="32"/>
          <w:highlight w:val="none"/>
        </w:rPr>
        <w:t>其他收入：指单位取得的除上述收入以外的各项收入。</w:t>
      </w:r>
    </w:p>
    <w:p>
      <w:pPr>
        <w:pStyle w:val="27"/>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color w:val="auto"/>
          <w:sz w:val="32"/>
          <w:szCs w:val="32"/>
          <w:highlight w:val="none"/>
        </w:rPr>
      </w:pPr>
      <w:r>
        <w:rPr>
          <w:rFonts w:ascii="仿宋_GB2312" w:eastAsia="仿宋_GB2312"/>
          <w:color w:val="auto"/>
          <w:sz w:val="32"/>
          <w:szCs w:val="32"/>
          <w:highlight w:val="none"/>
        </w:rPr>
        <w:t>5.</w:t>
      </w:r>
      <w:r>
        <w:rPr>
          <w:rFonts w:hint="eastAsia" w:ascii="仿宋_GB2312" w:hAnsi="华文中宋" w:eastAsia="仿宋_GB2312"/>
          <w:sz w:val="32"/>
          <w:szCs w:val="32"/>
          <w:u w:val="none"/>
          <w:lang w:eastAsia="zh-CN"/>
        </w:rPr>
        <w:t>使用非财政拨款结余（含专用结余）</w:t>
      </w:r>
      <w:r>
        <w:rPr>
          <w:rFonts w:hint="eastAsia" w:ascii="仿宋_GB2312" w:eastAsia="仿宋_GB2312"/>
          <w:color w:val="auto"/>
          <w:sz w:val="32"/>
          <w:szCs w:val="32"/>
          <w:highlight w:val="none"/>
        </w:rPr>
        <w:t>：指事业单位</w:t>
      </w:r>
      <w:r>
        <w:rPr>
          <w:rFonts w:hint="eastAsia" w:ascii="仿宋_GB2312" w:eastAsia="仿宋_GB2312"/>
          <w:color w:val="auto"/>
          <w:sz w:val="32"/>
          <w:szCs w:val="32"/>
          <w:highlight w:val="none"/>
          <w:lang w:eastAsia="zh-CN"/>
        </w:rPr>
        <w:t>使用以前年度积累的非财政拨款结余弥补当年收支差额的金额。</w:t>
      </w:r>
    </w:p>
    <w:p>
      <w:pPr>
        <w:pStyle w:val="27"/>
        <w:keepNext w:val="0"/>
        <w:keepLines w:val="0"/>
        <w:pageBreakBefore w:val="0"/>
        <w:widowControl w:val="0"/>
        <w:kinsoku/>
        <w:wordWrap/>
        <w:overflowPunct/>
        <w:topLinePunct w:val="0"/>
        <w:bidi w:val="0"/>
        <w:spacing w:line="560" w:lineRule="exact"/>
        <w:ind w:firstLine="640" w:firstLineChars="200"/>
        <w:jc w:val="left"/>
        <w:textAlignment w:val="auto"/>
        <w:rPr>
          <w:rFonts w:hint="default" w:ascii="仿宋_GB2312" w:eastAsia="仿宋_GB2312"/>
          <w:color w:val="auto"/>
          <w:sz w:val="32"/>
          <w:szCs w:val="32"/>
          <w:highlight w:val="none"/>
          <w:lang w:val="en-US" w:eastAsia="zh-CN"/>
        </w:rPr>
      </w:pPr>
      <w:r>
        <w:rPr>
          <w:rFonts w:ascii="仿宋_GB2312" w:eastAsia="仿宋_GB2312"/>
          <w:color w:val="auto"/>
          <w:sz w:val="32"/>
          <w:szCs w:val="32"/>
          <w:highlight w:val="none"/>
        </w:rPr>
        <w:t>6.</w:t>
      </w:r>
      <w:r>
        <w:rPr>
          <w:rFonts w:hint="eastAsia" w:ascii="仿宋_GB2312" w:eastAsia="仿宋_GB2312"/>
          <w:color w:val="auto"/>
          <w:sz w:val="32"/>
          <w:szCs w:val="32"/>
          <w:highlight w:val="none"/>
        </w:rPr>
        <w:t>年初结转和结余：指以前年度尚未完成、结转到本年按有关规定继续使用的资金。</w:t>
      </w:r>
    </w:p>
    <w:p>
      <w:pPr>
        <w:pStyle w:val="27"/>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color w:val="auto"/>
          <w:sz w:val="32"/>
          <w:szCs w:val="32"/>
          <w:highlight w:val="none"/>
        </w:rPr>
      </w:pPr>
      <w:r>
        <w:rPr>
          <w:rFonts w:ascii="仿宋_GB2312" w:eastAsia="仿宋_GB2312"/>
          <w:color w:val="auto"/>
          <w:sz w:val="32"/>
          <w:szCs w:val="32"/>
          <w:highlight w:val="none"/>
        </w:rPr>
        <w:t>7.</w:t>
      </w:r>
      <w:r>
        <w:rPr>
          <w:rFonts w:hint="eastAsia" w:ascii="仿宋_GB2312" w:eastAsia="仿宋_GB2312"/>
          <w:color w:val="auto"/>
          <w:sz w:val="32"/>
          <w:szCs w:val="32"/>
          <w:highlight w:val="none"/>
        </w:rPr>
        <w:t>结余分配：指事业单位按照会计制度规定</w:t>
      </w:r>
      <w:r>
        <w:rPr>
          <w:rFonts w:hint="eastAsia" w:ascii="仿宋_GB2312" w:eastAsia="仿宋_GB2312"/>
          <w:color w:val="auto"/>
          <w:sz w:val="32"/>
          <w:szCs w:val="32"/>
          <w:highlight w:val="none"/>
          <w:lang w:eastAsia="zh-CN"/>
        </w:rPr>
        <w:t>缴纳的所得税、提取的专用结余以及转入非财政拨款结余的金额</w:t>
      </w:r>
      <w:r>
        <w:rPr>
          <w:rFonts w:hint="eastAsia" w:ascii="仿宋_GB2312" w:eastAsia="仿宋_GB2312"/>
          <w:color w:val="auto"/>
          <w:sz w:val="32"/>
          <w:szCs w:val="32"/>
          <w:highlight w:val="none"/>
        </w:rPr>
        <w:t>等。</w:t>
      </w:r>
    </w:p>
    <w:p>
      <w:pPr>
        <w:pStyle w:val="27"/>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color w:val="auto"/>
          <w:sz w:val="32"/>
          <w:szCs w:val="32"/>
          <w:highlight w:val="none"/>
        </w:rPr>
      </w:pPr>
      <w:r>
        <w:rPr>
          <w:rFonts w:ascii="仿宋_GB2312" w:eastAsia="仿宋_GB2312"/>
          <w:color w:val="auto"/>
          <w:sz w:val="32"/>
          <w:szCs w:val="32"/>
          <w:highlight w:val="none"/>
        </w:rPr>
        <w:t>8</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年末结转和结余：指单位按有关规定结转到下年或以后年度继续使用的资金。</w:t>
      </w:r>
    </w:p>
    <w:p>
      <w:pPr>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lang w:val="en-US" w:eastAsia="zh-CN"/>
        </w:rPr>
        <w:t>9</w:t>
      </w:r>
      <w:r>
        <w:rPr>
          <w:rFonts w:ascii="仿宋_GB2312" w:eastAsia="仿宋_GB2312"/>
          <w:sz w:val="32"/>
          <w:szCs w:val="32"/>
        </w:rPr>
        <w:t>.</w:t>
      </w:r>
      <w:r>
        <w:rPr>
          <w:rFonts w:hint="eastAsia" w:ascii="仿宋" w:hAnsi="仿宋" w:eastAsia="仿宋"/>
          <w:sz w:val="32"/>
          <w:szCs w:val="32"/>
          <w:highlight w:val="none"/>
        </w:rPr>
        <w:t>文化旅</w:t>
      </w:r>
      <w:r>
        <w:rPr>
          <w:rFonts w:hint="eastAsia" w:ascii="仿宋" w:hAnsi="仿宋" w:eastAsia="仿宋"/>
          <w:sz w:val="32"/>
          <w:szCs w:val="32"/>
          <w:highlight w:val="none"/>
          <w:lang w:val="en-US" w:eastAsia="zh-CN"/>
        </w:rPr>
        <w:t>游体育与传媒支出（类）文化和旅游（款）其他文化和旅游支出（项）</w:t>
      </w:r>
      <w:r>
        <w:rPr>
          <w:rFonts w:hint="eastAsia" w:ascii="仿宋_GB2312" w:eastAsia="仿宋_GB2312"/>
          <w:sz w:val="32"/>
          <w:szCs w:val="32"/>
        </w:rPr>
        <w:t>：指反映除上述项目以外其他用于文化和旅游方面的支出。</w:t>
      </w:r>
    </w:p>
    <w:p>
      <w:pPr>
        <w:keepNext w:val="0"/>
        <w:keepLines w:val="0"/>
        <w:pageBreakBefore w:val="0"/>
        <w:widowControl w:val="0"/>
        <w:kinsoku/>
        <w:wordWrap/>
        <w:overflowPunct/>
        <w:topLinePunct w:val="0"/>
        <w:bidi w:val="0"/>
        <w:spacing w:line="560" w:lineRule="exact"/>
        <w:ind w:firstLine="640" w:firstLineChars="200"/>
        <w:jc w:val="left"/>
        <w:textAlignment w:val="auto"/>
        <w:rPr>
          <w:rFonts w:hint="eastAsia" w:ascii="仿宋_GB2312" w:eastAsia="仿宋_GB2312"/>
          <w:sz w:val="32"/>
          <w:szCs w:val="32"/>
        </w:rPr>
      </w:pPr>
      <w:r>
        <w:rPr>
          <w:rFonts w:ascii="仿宋_GB2312" w:eastAsia="仿宋_GB2312"/>
          <w:sz w:val="32"/>
          <w:szCs w:val="32"/>
        </w:rPr>
        <w:t>1</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 w:hAnsi="仿宋" w:eastAsia="仿宋"/>
          <w:sz w:val="32"/>
          <w:szCs w:val="32"/>
          <w:highlight w:val="none"/>
          <w:lang w:val="en-US" w:eastAsia="zh-CN"/>
        </w:rPr>
        <w:t>社会保障和就业支出（类）行政事业单位养老支出（款）机关事业单位基本养老保险缴费支出（项）</w:t>
      </w:r>
      <w:r>
        <w:rPr>
          <w:rFonts w:hint="eastAsia" w:ascii="仿宋_GB2312" w:eastAsia="仿宋_GB2312"/>
          <w:sz w:val="32"/>
          <w:szCs w:val="32"/>
        </w:rPr>
        <w:t>：指反映机关事业单位实施养老保险制度由单位缴纳的基本养老保险费支出。</w:t>
      </w:r>
    </w:p>
    <w:p>
      <w:pPr>
        <w:pStyle w:val="2"/>
        <w:keepNext w:val="0"/>
        <w:keepLines w:val="0"/>
        <w:pageBreakBefore w:val="0"/>
        <w:widowControl w:val="0"/>
        <w:kinsoku/>
        <w:wordWrap/>
        <w:overflowPunct/>
        <w:topLinePunct w:val="0"/>
        <w:bidi w:val="0"/>
        <w:spacing w:line="560" w:lineRule="exact"/>
        <w:ind w:firstLine="640" w:firstLineChars="200"/>
        <w:jc w:val="left"/>
        <w:textAlignment w:val="auto"/>
      </w:pPr>
      <w:r>
        <w:rPr>
          <w:rFonts w:hint="eastAsia" w:ascii="仿宋" w:hAnsi="仿宋" w:eastAsia="仿宋"/>
          <w:sz w:val="32"/>
          <w:szCs w:val="32"/>
          <w:highlight w:val="none"/>
          <w:lang w:val="en-US" w:eastAsia="zh-CN"/>
        </w:rPr>
        <w:t>11.社会保障和就业支出（类）行政事业单位养老支出（款）机关事业单位职业年金缴费支出（项）</w:t>
      </w:r>
      <w:r>
        <w:rPr>
          <w:rFonts w:hint="eastAsia" w:ascii="仿宋_GB2312" w:eastAsia="仿宋_GB2312"/>
          <w:sz w:val="32"/>
          <w:szCs w:val="32"/>
        </w:rPr>
        <w:t>：指反映机关事业单位实施养老保险制度由单位实际缴纳的职业年金支出（含职业年金补计支出）</w:t>
      </w:r>
    </w:p>
    <w:p>
      <w:pPr>
        <w:keepNext w:val="0"/>
        <w:keepLines w:val="0"/>
        <w:pageBreakBefore w:val="0"/>
        <w:widowControl w:val="0"/>
        <w:numPr>
          <w:ilvl w:val="0"/>
          <w:numId w:val="0"/>
        </w:numPr>
        <w:kinsoku/>
        <w:wordWrap/>
        <w:overflowPunct/>
        <w:topLinePunct w:val="0"/>
        <w:bidi w:val="0"/>
        <w:spacing w:line="560" w:lineRule="exact"/>
        <w:ind w:firstLine="640" w:firstLineChars="200"/>
        <w:jc w:val="left"/>
        <w:textAlignment w:val="auto"/>
      </w:pPr>
      <w:r>
        <w:rPr>
          <w:rFonts w:hint="eastAsia" w:ascii="仿宋" w:hAnsi="仿宋" w:eastAsia="仿宋" w:cs="Times New Roman"/>
          <w:kern w:val="2"/>
          <w:sz w:val="32"/>
          <w:szCs w:val="32"/>
          <w:highlight w:val="none"/>
          <w:lang w:val="en-US" w:eastAsia="zh-CN" w:bidi="ar-SA"/>
        </w:rPr>
        <w:t>12.</w:t>
      </w:r>
      <w:r>
        <w:rPr>
          <w:rFonts w:hint="eastAsia" w:ascii="仿宋" w:hAnsi="仿宋" w:eastAsia="仿宋"/>
          <w:sz w:val="32"/>
          <w:szCs w:val="32"/>
          <w:highlight w:val="none"/>
          <w:lang w:val="en-US" w:eastAsia="zh-CN"/>
        </w:rPr>
        <w:t>卫生健康支出（类）行政事业单位医疗（款）事业单位医疗（项）</w:t>
      </w:r>
      <w:r>
        <w:rPr>
          <w:rFonts w:hint="eastAsia" w:ascii="仿宋_GB2312" w:eastAsia="仿宋_GB2312"/>
          <w:sz w:val="32"/>
          <w:szCs w:val="32"/>
        </w:rPr>
        <w:t>：指反映财政部门安排的事业单位基本医疗保险缴费经费，未参加医疗保险的事业单位的公费医疗经费，按国家规定享受离休人员待遇的医疗经费。</w:t>
      </w:r>
    </w:p>
    <w:p>
      <w:pPr>
        <w:pStyle w:val="2"/>
        <w:keepNext w:val="0"/>
        <w:keepLines w:val="0"/>
        <w:pageBreakBefore w:val="0"/>
        <w:widowControl w:val="0"/>
        <w:kinsoku/>
        <w:wordWrap/>
        <w:overflowPunct/>
        <w:topLinePunct w:val="0"/>
        <w:bidi w:val="0"/>
        <w:spacing w:line="560" w:lineRule="exact"/>
        <w:ind w:firstLine="640" w:firstLineChars="200"/>
        <w:jc w:val="left"/>
        <w:textAlignment w:val="auto"/>
        <w:rPr>
          <w:rFonts w:hint="eastAsia" w:eastAsia="仿宋_GB2312"/>
          <w:lang w:val="en-US" w:eastAsia="zh-CN"/>
        </w:rPr>
      </w:pPr>
      <w:r>
        <w:rPr>
          <w:rFonts w:hint="eastAsia" w:ascii="仿宋" w:hAnsi="仿宋" w:eastAsia="仿宋"/>
          <w:sz w:val="32"/>
          <w:szCs w:val="32"/>
          <w:highlight w:val="none"/>
          <w:lang w:val="en-US" w:eastAsia="zh-CN"/>
        </w:rPr>
        <w:t>13.卫生健康支出（类）行政事业单位医疗（款）其他行政事业单位医疗支出（项）</w:t>
      </w:r>
      <w:r>
        <w:rPr>
          <w:rFonts w:hint="eastAsia" w:ascii="仿宋_GB2312" w:eastAsia="仿宋_GB2312"/>
          <w:sz w:val="32"/>
          <w:szCs w:val="32"/>
        </w:rPr>
        <w:t>：指反映除上述项目以外的其他用于行政事业单位医疗方面的支出</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lang w:val="en-US" w:eastAsia="zh-CN"/>
        </w:rPr>
        <w:t>14</w:t>
      </w:r>
      <w:r>
        <w:rPr>
          <w:rFonts w:ascii="仿宋_GB2312" w:eastAsia="仿宋_GB2312"/>
          <w:sz w:val="32"/>
          <w:szCs w:val="32"/>
        </w:rPr>
        <w:t>.</w:t>
      </w:r>
      <w:r>
        <w:rPr>
          <w:rFonts w:hint="eastAsia" w:ascii="仿宋" w:hAnsi="仿宋" w:eastAsia="仿宋"/>
          <w:sz w:val="32"/>
          <w:szCs w:val="32"/>
          <w:highlight w:val="none"/>
          <w:lang w:val="en-US" w:eastAsia="zh-CN"/>
        </w:rPr>
        <w:t>住房保障支出（类）住房改革支出（款）住房公积金（项）</w:t>
      </w:r>
      <w:r>
        <w:rPr>
          <w:rFonts w:hint="eastAsia" w:ascii="仿宋_GB2312" w:eastAsia="仿宋_GB2312"/>
          <w:sz w:val="32"/>
          <w:szCs w:val="32"/>
        </w:rPr>
        <w:t>：指反映行政事业单位按人力资源和社会保障部、财政部规定的基本工资和津贴补贴以及规定比例为职工缴纳的住房公积金。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color w:val="auto"/>
          <w:sz w:val="32"/>
          <w:szCs w:val="32"/>
          <w:highlight w:val="none"/>
        </w:rPr>
      </w:pPr>
      <w:bookmarkStart w:id="83" w:name="_Toc15396614"/>
      <w:bookmarkStart w:id="84" w:name="_Toc15377226"/>
      <w:r>
        <w:rPr>
          <w:rFonts w:hint="eastAsia" w:ascii="仿宋_GB2312" w:eastAsia="仿宋_GB2312"/>
          <w:color w:val="auto"/>
          <w:sz w:val="32"/>
          <w:szCs w:val="32"/>
          <w:highlight w:val="none"/>
          <w:lang w:val="en-US" w:eastAsia="zh-CN"/>
        </w:rPr>
        <w:t>15</w:t>
      </w:r>
      <w:r>
        <w:rPr>
          <w:rFonts w:ascii="仿宋_GB2312" w:eastAsia="仿宋_GB2312"/>
          <w:color w:val="auto"/>
          <w:sz w:val="32"/>
          <w:szCs w:val="32"/>
          <w:highlight w:val="none"/>
        </w:rPr>
        <w:t>.</w:t>
      </w:r>
      <w:r>
        <w:rPr>
          <w:rFonts w:hint="eastAsia" w:ascii="仿宋_GB2312" w:eastAsia="仿宋_GB2312"/>
          <w:color w:val="auto"/>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16</w:t>
      </w:r>
      <w:r>
        <w:rPr>
          <w:rFonts w:ascii="仿宋_GB2312" w:eastAsia="仿宋_GB2312"/>
          <w:color w:val="auto"/>
          <w:sz w:val="32"/>
          <w:szCs w:val="32"/>
          <w:highlight w:val="none"/>
        </w:rPr>
        <w:t>.</w:t>
      </w:r>
      <w:r>
        <w:rPr>
          <w:rFonts w:hint="eastAsia" w:ascii="仿宋_GB2312" w:eastAsia="仿宋_GB2312"/>
          <w:color w:val="auto"/>
          <w:sz w:val="32"/>
          <w:szCs w:val="32"/>
          <w:highlight w:val="none"/>
        </w:rPr>
        <w:t>项目支出：指在基本支出之外为完成特定行政任务和事业发展目标所发生的支出。</w:t>
      </w:r>
      <w:r>
        <w:rPr>
          <w:rFonts w:ascii="仿宋_GB2312" w:eastAsia="仿宋_GB2312"/>
          <w:color w:val="auto"/>
          <w:sz w:val="32"/>
          <w:szCs w:val="32"/>
          <w:highlight w:val="none"/>
        </w:rPr>
        <w:t xml:space="preserve"> </w:t>
      </w:r>
    </w:p>
    <w:p>
      <w:pPr>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17</w:t>
      </w:r>
      <w:r>
        <w:rPr>
          <w:rFonts w:ascii="仿宋_GB2312" w:eastAsia="仿宋_GB2312"/>
          <w:color w:val="auto"/>
          <w:sz w:val="32"/>
          <w:szCs w:val="32"/>
          <w:highlight w:val="none"/>
        </w:rPr>
        <w:t>.</w:t>
      </w:r>
      <w:r>
        <w:rPr>
          <w:rFonts w:hint="eastAsia" w:ascii="仿宋_GB2312" w:eastAsia="仿宋_GB2312"/>
          <w:color w:val="auto"/>
          <w:sz w:val="32"/>
          <w:szCs w:val="32"/>
          <w:highlight w:val="none"/>
        </w:rPr>
        <w:t>经营支出：指事业单位在专业业务活动及其辅助活动之外开展非独立核算经营活动发生的支出。</w:t>
      </w:r>
    </w:p>
    <w:p>
      <w:pPr>
        <w:pStyle w:val="27"/>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18</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“三公”经费：指</w:t>
      </w:r>
      <w:r>
        <w:rPr>
          <w:rFonts w:hint="eastAsia" w:ascii="仿宋_GB2312" w:eastAsia="仿宋_GB2312"/>
          <w:color w:val="auto"/>
          <w:sz w:val="32"/>
          <w:szCs w:val="32"/>
          <w:highlight w:val="none"/>
          <w:lang w:eastAsia="zh-CN"/>
        </w:rPr>
        <w:t>单位</w:t>
      </w:r>
      <w:r>
        <w:rPr>
          <w:rFonts w:hint="eastAsia" w:ascii="仿宋_GB2312" w:eastAsia="仿宋_GB2312"/>
          <w:color w:val="auto"/>
          <w:sz w:val="32"/>
          <w:szCs w:val="32"/>
          <w:highlight w:val="none"/>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7"/>
        <w:keepNext w:val="0"/>
        <w:keepLines w:val="0"/>
        <w:pageBreakBefore w:val="0"/>
        <w:widowControl w:val="0"/>
        <w:kinsoku/>
        <w:wordWrap/>
        <w:overflowPunct/>
        <w:topLinePunct w:val="0"/>
        <w:bidi w:val="0"/>
        <w:spacing w:line="560" w:lineRule="exact"/>
        <w:ind w:firstLine="640" w:firstLineChars="200"/>
        <w:jc w:val="lef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19</w:t>
      </w:r>
      <w:r>
        <w:rPr>
          <w:rFonts w:ascii="仿宋_GB2312" w:eastAsia="仿宋_GB2312"/>
          <w:color w:val="auto"/>
          <w:sz w:val="32"/>
          <w:szCs w:val="32"/>
          <w:highlight w:val="none"/>
        </w:rPr>
        <w:t>.</w:t>
      </w:r>
      <w:r>
        <w:rPr>
          <w:rFonts w:hint="eastAsia" w:ascii="仿宋_GB2312" w:eastAsia="仿宋_GB2312"/>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黑体" w:hAnsi="黑体" w:eastAsia="黑体"/>
          <w:sz w:val="44"/>
          <w:szCs w:val="44"/>
        </w:rPr>
      </w:pPr>
      <w:r>
        <w:rPr>
          <w:rFonts w:hint="eastAsia" w:ascii="黑体" w:hAnsi="黑体" w:eastAsia="黑体"/>
          <w:sz w:val="44"/>
          <w:szCs w:val="44"/>
        </w:rPr>
        <w:br w:type="page"/>
      </w:r>
    </w:p>
    <w:p>
      <w:pPr>
        <w:spacing w:line="600" w:lineRule="exact"/>
        <w:jc w:val="center"/>
        <w:outlineLvl w:val="0"/>
        <w:rPr>
          <w:rFonts w:ascii="仿宋_GB2312" w:hAnsi="仿宋_GB2312" w:eastAsia="仿宋_GB2312" w:cs="仿宋_GB2312"/>
          <w:sz w:val="32"/>
          <w:szCs w:val="32"/>
        </w:rPr>
      </w:pPr>
      <w:bookmarkStart w:id="85" w:name="_Toc22840"/>
      <w:r>
        <w:rPr>
          <w:rFonts w:hint="eastAsia" w:ascii="黑体" w:hAnsi="黑体" w:eastAsia="黑体"/>
          <w:sz w:val="44"/>
          <w:szCs w:val="44"/>
        </w:rPr>
        <w:t>第</w:t>
      </w:r>
      <w:r>
        <w:rPr>
          <w:rStyle w:val="29"/>
          <w:rFonts w:hint="eastAsia" w:ascii="黑体" w:hAnsi="黑体" w:eastAsia="黑体"/>
          <w:b w:val="0"/>
        </w:rPr>
        <w:t>四部分 附件</w:t>
      </w:r>
      <w:bookmarkEnd w:id="83"/>
      <w:bookmarkEnd w:id="85"/>
    </w:p>
    <w:p>
      <w:pPr>
        <w:spacing w:line="600" w:lineRule="exact"/>
        <w:jc w:val="center"/>
        <w:outlineLvl w:val="0"/>
        <w:rPr>
          <w:rFonts w:hint="eastAsia" w:hAnsi="Calibri" w:cs="仿宋"/>
          <w:sz w:val="32"/>
          <w:szCs w:val="32"/>
          <w:lang w:val="en-US" w:eastAsia="zh-CN"/>
        </w:rPr>
      </w:pPr>
      <w:bookmarkStart w:id="86" w:name="_Toc4567"/>
      <w:bookmarkStart w:id="87" w:name="_Toc15396618"/>
      <w:r>
        <w:rPr>
          <w:rFonts w:hint="eastAsia"/>
          <w:sz w:val="32"/>
          <w:szCs w:val="32"/>
        </w:rPr>
        <w:t>部门预算项目支出绩效自评表（2023年度）</w:t>
      </w:r>
      <w:bookmarkEnd w:id="86"/>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6"/>
        <w:gridCol w:w="1433"/>
        <w:gridCol w:w="1783"/>
        <w:gridCol w:w="1216"/>
        <w:gridCol w:w="1116"/>
        <w:gridCol w:w="576"/>
        <w:gridCol w:w="576"/>
        <w:gridCol w:w="4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区级项目支出绩效自评表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55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小西湖风景区专项经费</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19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155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乐山市五通桥区文化体育和旅游局</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9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小西湖风景区服务中心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452" w:type="pct"/>
            <w:gridSpan w:val="2"/>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33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34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5.32</w:t>
            </w:r>
          </w:p>
        </w:tc>
        <w:tc>
          <w:tcPr>
            <w:tcW w:w="133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5.32</w:t>
            </w:r>
          </w:p>
        </w:tc>
        <w:tc>
          <w:tcPr>
            <w:tcW w:w="134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8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5.32</w:t>
            </w:r>
          </w:p>
        </w:tc>
        <w:tc>
          <w:tcPr>
            <w:tcW w:w="133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5.32</w:t>
            </w:r>
          </w:p>
        </w:tc>
        <w:tc>
          <w:tcPr>
            <w:tcW w:w="134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8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w:t>
            </w:r>
          </w:p>
        </w:tc>
        <w:tc>
          <w:tcPr>
            <w:tcW w:w="133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w:t>
            </w:r>
          </w:p>
        </w:tc>
        <w:tc>
          <w:tcPr>
            <w:tcW w:w="134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75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26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19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262" w:type="pct"/>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2023年计划使用财政资金5.32万元，用于中国根书文化AAA级景区配套基础设施建设项目（一期）项目实施相关事宜。</w:t>
            </w:r>
          </w:p>
        </w:tc>
        <w:tc>
          <w:tcPr>
            <w:tcW w:w="1978" w:type="pct"/>
            <w:gridSpan w:val="4"/>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2023年使用财政资金5.32万元，用于中国根书文化AAA级景区配套基础设施建设项目（一期）项目实施相关事宜。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7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8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478"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365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16"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70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758"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694"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8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印制中国根书文化AAA级景区配套基础设施建设项目（一期）项目实施相关设计、施工图纸资料次数</w:t>
            </w:r>
          </w:p>
        </w:tc>
        <w:tc>
          <w:tcPr>
            <w:tcW w:w="7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》1批次</w:t>
            </w:r>
          </w:p>
        </w:tc>
        <w:tc>
          <w:tcPr>
            <w:tcW w:w="6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1批次</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758"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694"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8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印制中国根书文化AAA级景区配套基础设施建设项目（一期）项目实施相关设计、施工图纸资料的合格率</w:t>
            </w:r>
          </w:p>
        </w:tc>
        <w:tc>
          <w:tcPr>
            <w:tcW w:w="7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4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3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758"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694"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8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印制中国根书文化AAA级景区配套基础设施建设项目（一期）项目实施相关设计、施工图纸资料的及时率</w:t>
            </w:r>
          </w:p>
        </w:tc>
        <w:tc>
          <w:tcPr>
            <w:tcW w:w="7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4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3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758"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694"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8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小西湖风景区专项经费的预算成本</w:t>
            </w:r>
          </w:p>
        </w:tc>
        <w:tc>
          <w:tcPr>
            <w:tcW w:w="7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≤5.32</w:t>
            </w:r>
          </w:p>
        </w:tc>
        <w:tc>
          <w:tcPr>
            <w:tcW w:w="6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5.32万元</w:t>
            </w:r>
          </w:p>
        </w:tc>
        <w:tc>
          <w:tcPr>
            <w:tcW w:w="4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3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75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694"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8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印制中国根书文化AAA级景区配套基础设施建设项目（一期）项目实施相关设计、施工图纸资料使用率</w:t>
            </w:r>
          </w:p>
        </w:tc>
        <w:tc>
          <w:tcPr>
            <w:tcW w:w="7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定性</w:t>
            </w:r>
          </w:p>
        </w:tc>
        <w:tc>
          <w:tcPr>
            <w:tcW w:w="6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w:t>
            </w:r>
          </w:p>
        </w:tc>
        <w:tc>
          <w:tcPr>
            <w:tcW w:w="4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30</w:t>
            </w:r>
          </w:p>
        </w:tc>
        <w:tc>
          <w:tcPr>
            <w:tcW w:w="4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30</w:t>
            </w:r>
          </w:p>
        </w:tc>
        <w:tc>
          <w:tcPr>
            <w:tcW w:w="3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75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694"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86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使用印制资方满意率</w:t>
            </w:r>
          </w:p>
        </w:tc>
        <w:tc>
          <w:tcPr>
            <w:tcW w:w="70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》95%</w:t>
            </w:r>
          </w:p>
        </w:tc>
        <w:tc>
          <w:tcPr>
            <w:tcW w:w="6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95%</w:t>
            </w:r>
          </w:p>
        </w:tc>
        <w:tc>
          <w:tcPr>
            <w:tcW w:w="4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4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3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333333"/>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trPr>
        <w:tc>
          <w:tcPr>
            <w:tcW w:w="5000" w:type="pct"/>
            <w:gridSpan w:val="8"/>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bl>
    <w:p>
      <w:pPr>
        <w:pStyle w:val="9"/>
        <w:spacing w:before="93"/>
        <w:rPr>
          <w:rFonts w:hAnsi="Calibri" w:cs="仿宋"/>
          <w:sz w:val="32"/>
          <w:szCs w:val="32"/>
        </w:rPr>
      </w:pPr>
    </w:p>
    <w:p>
      <w:pPr>
        <w:rPr>
          <w:rFonts w:hint="eastAsia"/>
        </w:rPr>
      </w:pPr>
      <w:r>
        <w:rPr>
          <w:rFonts w:hint="eastAsia" w:ascii="黑体" w:hAnsi="黑体" w:eastAsia="黑体"/>
          <w:sz w:val="44"/>
          <w:szCs w:val="44"/>
        </w:rPr>
        <w:br w:type="page"/>
      </w:r>
    </w:p>
    <w:p>
      <w:pPr>
        <w:spacing w:line="600" w:lineRule="exact"/>
        <w:jc w:val="center"/>
        <w:outlineLvl w:val="0"/>
        <w:rPr>
          <w:rFonts w:ascii="仿宋" w:hAnsi="仿宋" w:eastAsia="仿宋"/>
        </w:rPr>
      </w:pPr>
      <w:bookmarkStart w:id="88" w:name="_Toc12261"/>
      <w:r>
        <w:rPr>
          <w:rFonts w:hint="eastAsia" w:ascii="黑体" w:hAnsi="黑体" w:eastAsia="黑体"/>
          <w:sz w:val="44"/>
          <w:szCs w:val="44"/>
        </w:rPr>
        <w:t>第</w:t>
      </w:r>
      <w:r>
        <w:rPr>
          <w:rStyle w:val="29"/>
          <w:rFonts w:hint="eastAsia" w:ascii="黑体" w:hAnsi="黑体" w:eastAsia="黑体"/>
          <w:b w:val="0"/>
        </w:rPr>
        <w:t>五部分 附表</w:t>
      </w:r>
      <w:bookmarkEnd w:id="84"/>
      <w:bookmarkEnd w:id="87"/>
      <w:bookmarkEnd w:id="88"/>
      <w:bookmarkStart w:id="89" w:name="_Toc15396619"/>
    </w:p>
    <w:p>
      <w:pPr>
        <w:pStyle w:val="6"/>
        <w:rPr>
          <w:rFonts w:ascii="仿宋" w:hAnsi="仿宋" w:eastAsia="仿宋"/>
        </w:rPr>
      </w:pPr>
      <w:bookmarkStart w:id="90" w:name="_Toc27816"/>
      <w:r>
        <w:rPr>
          <w:rFonts w:hint="eastAsia" w:ascii="仿宋" w:hAnsi="仿宋" w:eastAsia="仿宋"/>
          <w:b w:val="0"/>
        </w:rPr>
        <w:t>一、收</w:t>
      </w:r>
      <w:r>
        <w:rPr>
          <w:rStyle w:val="30"/>
          <w:rFonts w:hint="eastAsia" w:ascii="仿宋" w:hAnsi="仿宋" w:eastAsia="仿宋"/>
          <w:b w:val="0"/>
          <w:bCs w:val="0"/>
        </w:rPr>
        <w:t>入支出决算总表</w:t>
      </w:r>
      <w:bookmarkEnd w:id="89"/>
      <w:bookmarkEnd w:id="90"/>
    </w:p>
    <w:p>
      <w:pPr>
        <w:pStyle w:val="6"/>
        <w:rPr>
          <w:rFonts w:ascii="仿宋" w:hAnsi="仿宋" w:eastAsia="仿宋"/>
        </w:rPr>
      </w:pPr>
      <w:bookmarkStart w:id="91" w:name="_Toc25996"/>
      <w:bookmarkStart w:id="92" w:name="_Toc15396620"/>
      <w:r>
        <w:rPr>
          <w:rFonts w:hint="eastAsia" w:ascii="仿宋" w:hAnsi="仿宋" w:eastAsia="仿宋"/>
          <w:b w:val="0"/>
        </w:rPr>
        <w:t>二、收</w:t>
      </w:r>
      <w:r>
        <w:rPr>
          <w:rStyle w:val="30"/>
          <w:rFonts w:hint="eastAsia" w:ascii="仿宋" w:hAnsi="仿宋" w:eastAsia="仿宋"/>
          <w:b w:val="0"/>
          <w:bCs w:val="0"/>
        </w:rPr>
        <w:t>入决算表</w:t>
      </w:r>
      <w:bookmarkEnd w:id="91"/>
      <w:bookmarkEnd w:id="92"/>
    </w:p>
    <w:p>
      <w:pPr>
        <w:pStyle w:val="6"/>
        <w:rPr>
          <w:rFonts w:ascii="仿宋" w:hAnsi="仿宋" w:eastAsia="仿宋"/>
        </w:rPr>
      </w:pPr>
      <w:bookmarkStart w:id="93" w:name="_Toc20877"/>
      <w:bookmarkStart w:id="94" w:name="_Toc15396621"/>
      <w:r>
        <w:rPr>
          <w:rStyle w:val="30"/>
          <w:rFonts w:hint="eastAsia" w:ascii="仿宋" w:hAnsi="仿宋" w:eastAsia="仿宋"/>
          <w:b w:val="0"/>
          <w:bCs w:val="0"/>
        </w:rPr>
        <w:t>三、</w:t>
      </w:r>
      <w:r>
        <w:rPr>
          <w:rFonts w:hint="eastAsia" w:ascii="仿宋" w:hAnsi="仿宋" w:eastAsia="仿宋"/>
          <w:b w:val="0"/>
        </w:rPr>
        <w:t>支</w:t>
      </w:r>
      <w:r>
        <w:rPr>
          <w:rStyle w:val="30"/>
          <w:rFonts w:hint="eastAsia" w:ascii="仿宋" w:hAnsi="仿宋" w:eastAsia="仿宋"/>
          <w:b w:val="0"/>
          <w:bCs w:val="0"/>
        </w:rPr>
        <w:t>出决算表</w:t>
      </w:r>
      <w:bookmarkEnd w:id="93"/>
      <w:bookmarkEnd w:id="94"/>
    </w:p>
    <w:p>
      <w:pPr>
        <w:pStyle w:val="6"/>
        <w:rPr>
          <w:rFonts w:ascii="仿宋" w:hAnsi="仿宋" w:eastAsia="仿宋"/>
          <w:b w:val="0"/>
        </w:rPr>
      </w:pPr>
      <w:bookmarkStart w:id="95" w:name="_Toc15396622"/>
      <w:bookmarkStart w:id="96" w:name="_Toc7407"/>
      <w:r>
        <w:rPr>
          <w:rStyle w:val="30"/>
          <w:rFonts w:hint="eastAsia" w:ascii="仿宋" w:hAnsi="仿宋" w:eastAsia="仿宋"/>
          <w:b w:val="0"/>
          <w:bCs w:val="0"/>
        </w:rPr>
        <w:t>四、</w:t>
      </w:r>
      <w:r>
        <w:rPr>
          <w:rFonts w:hint="eastAsia" w:ascii="仿宋" w:hAnsi="仿宋" w:eastAsia="仿宋"/>
          <w:b w:val="0"/>
        </w:rPr>
        <w:t>财</w:t>
      </w:r>
      <w:r>
        <w:rPr>
          <w:rStyle w:val="30"/>
          <w:rFonts w:hint="eastAsia" w:ascii="仿宋" w:hAnsi="仿宋" w:eastAsia="仿宋"/>
          <w:b w:val="0"/>
          <w:bCs w:val="0"/>
        </w:rPr>
        <w:t>政拨款收入支出决算总表</w:t>
      </w:r>
      <w:bookmarkEnd w:id="95"/>
      <w:bookmarkEnd w:id="96"/>
    </w:p>
    <w:p>
      <w:pPr>
        <w:pStyle w:val="6"/>
        <w:rPr>
          <w:rStyle w:val="30"/>
          <w:rFonts w:ascii="仿宋" w:hAnsi="仿宋" w:eastAsia="仿宋"/>
          <w:b w:val="0"/>
          <w:bCs w:val="0"/>
        </w:rPr>
      </w:pPr>
      <w:bookmarkStart w:id="97" w:name="_Toc4681"/>
      <w:bookmarkStart w:id="98" w:name="_Toc15396623"/>
      <w:r>
        <w:rPr>
          <w:rStyle w:val="30"/>
          <w:rFonts w:hint="eastAsia" w:ascii="仿宋" w:hAnsi="仿宋" w:eastAsia="仿宋"/>
          <w:b w:val="0"/>
          <w:bCs w:val="0"/>
        </w:rPr>
        <w:t>五、</w:t>
      </w:r>
      <w:r>
        <w:rPr>
          <w:rFonts w:hint="eastAsia" w:ascii="仿宋" w:hAnsi="仿宋" w:eastAsia="仿宋"/>
          <w:b w:val="0"/>
        </w:rPr>
        <w:t>财</w:t>
      </w:r>
      <w:r>
        <w:rPr>
          <w:rStyle w:val="30"/>
          <w:rFonts w:hint="eastAsia" w:ascii="仿宋" w:hAnsi="仿宋" w:eastAsia="仿宋"/>
          <w:b w:val="0"/>
          <w:bCs w:val="0"/>
        </w:rPr>
        <w:t>政拨款支出决算明细表</w:t>
      </w:r>
      <w:bookmarkEnd w:id="97"/>
      <w:bookmarkEnd w:id="98"/>
      <w:bookmarkStart w:id="99" w:name="_Toc15396624"/>
    </w:p>
    <w:p>
      <w:pPr>
        <w:pStyle w:val="6"/>
        <w:rPr>
          <w:rFonts w:ascii="仿宋" w:hAnsi="仿宋" w:eastAsia="仿宋"/>
        </w:rPr>
      </w:pPr>
      <w:bookmarkStart w:id="100" w:name="_Toc23213"/>
      <w:r>
        <w:rPr>
          <w:rStyle w:val="30"/>
          <w:rFonts w:hint="eastAsia" w:ascii="仿宋" w:hAnsi="仿宋" w:eastAsia="仿宋"/>
          <w:b w:val="0"/>
          <w:bCs w:val="0"/>
        </w:rPr>
        <w:t>六、</w:t>
      </w:r>
      <w:r>
        <w:rPr>
          <w:rFonts w:hint="eastAsia" w:ascii="仿宋" w:hAnsi="仿宋" w:eastAsia="仿宋"/>
          <w:b w:val="0"/>
        </w:rPr>
        <w:t>一</w:t>
      </w:r>
      <w:r>
        <w:rPr>
          <w:rStyle w:val="30"/>
          <w:rFonts w:hint="eastAsia" w:ascii="仿宋" w:hAnsi="仿宋" w:eastAsia="仿宋"/>
          <w:b w:val="0"/>
          <w:bCs w:val="0"/>
        </w:rPr>
        <w:t>般公共预算财政拨款支出决算表</w:t>
      </w:r>
      <w:bookmarkEnd w:id="99"/>
      <w:bookmarkEnd w:id="100"/>
    </w:p>
    <w:p>
      <w:pPr>
        <w:pStyle w:val="6"/>
        <w:rPr>
          <w:rFonts w:ascii="仿宋" w:hAnsi="仿宋" w:eastAsia="仿宋"/>
        </w:rPr>
      </w:pPr>
      <w:bookmarkStart w:id="101" w:name="_Toc15396625"/>
      <w:bookmarkStart w:id="102" w:name="_Toc15193"/>
      <w:r>
        <w:rPr>
          <w:rStyle w:val="30"/>
          <w:rFonts w:hint="eastAsia" w:ascii="仿宋" w:hAnsi="仿宋" w:eastAsia="仿宋"/>
          <w:b w:val="0"/>
          <w:bCs w:val="0"/>
        </w:rPr>
        <w:t>七、</w:t>
      </w:r>
      <w:r>
        <w:rPr>
          <w:rFonts w:hint="eastAsia" w:ascii="仿宋" w:hAnsi="仿宋" w:eastAsia="仿宋"/>
          <w:b w:val="0"/>
        </w:rPr>
        <w:t>一</w:t>
      </w:r>
      <w:r>
        <w:rPr>
          <w:rStyle w:val="30"/>
          <w:rFonts w:hint="eastAsia" w:ascii="仿宋" w:hAnsi="仿宋" w:eastAsia="仿宋"/>
          <w:b w:val="0"/>
          <w:bCs w:val="0"/>
        </w:rPr>
        <w:t>般公共预算财政拨款支出决算明细表</w:t>
      </w:r>
      <w:bookmarkEnd w:id="101"/>
      <w:bookmarkEnd w:id="102"/>
    </w:p>
    <w:p>
      <w:pPr>
        <w:pStyle w:val="6"/>
        <w:rPr>
          <w:rFonts w:ascii="仿宋" w:hAnsi="仿宋" w:eastAsia="仿宋"/>
        </w:rPr>
      </w:pPr>
      <w:bookmarkStart w:id="103" w:name="_Toc4671"/>
      <w:bookmarkStart w:id="104" w:name="_Toc15396626"/>
      <w:r>
        <w:rPr>
          <w:rStyle w:val="30"/>
          <w:rFonts w:hint="eastAsia" w:ascii="仿宋" w:hAnsi="仿宋" w:eastAsia="仿宋"/>
          <w:b w:val="0"/>
          <w:bCs w:val="0"/>
        </w:rPr>
        <w:t>八、</w:t>
      </w:r>
      <w:r>
        <w:rPr>
          <w:rFonts w:hint="eastAsia" w:ascii="仿宋" w:hAnsi="仿宋" w:eastAsia="仿宋"/>
          <w:b w:val="0"/>
        </w:rPr>
        <w:t>一</w:t>
      </w:r>
      <w:r>
        <w:rPr>
          <w:rStyle w:val="30"/>
          <w:rFonts w:hint="eastAsia" w:ascii="仿宋" w:hAnsi="仿宋" w:eastAsia="仿宋"/>
          <w:b w:val="0"/>
          <w:bCs w:val="0"/>
        </w:rPr>
        <w:t>般公共预算财政拨款基本支出决算表</w:t>
      </w:r>
      <w:bookmarkEnd w:id="103"/>
      <w:bookmarkEnd w:id="104"/>
    </w:p>
    <w:p>
      <w:pPr>
        <w:pStyle w:val="6"/>
        <w:rPr>
          <w:rFonts w:ascii="仿宋" w:hAnsi="仿宋" w:eastAsia="仿宋"/>
        </w:rPr>
      </w:pPr>
      <w:bookmarkStart w:id="105" w:name="_Toc15396627"/>
      <w:bookmarkStart w:id="106" w:name="_Toc28539"/>
      <w:r>
        <w:rPr>
          <w:rStyle w:val="30"/>
          <w:rFonts w:hint="eastAsia" w:ascii="仿宋" w:hAnsi="仿宋" w:eastAsia="仿宋"/>
          <w:b w:val="0"/>
          <w:bCs w:val="0"/>
        </w:rPr>
        <w:t>九、</w:t>
      </w:r>
      <w:r>
        <w:rPr>
          <w:rFonts w:hint="eastAsia" w:ascii="仿宋" w:hAnsi="仿宋" w:eastAsia="仿宋"/>
          <w:b w:val="0"/>
        </w:rPr>
        <w:t>一</w:t>
      </w:r>
      <w:r>
        <w:rPr>
          <w:rStyle w:val="30"/>
          <w:rFonts w:hint="eastAsia" w:ascii="仿宋" w:hAnsi="仿宋" w:eastAsia="仿宋"/>
          <w:b w:val="0"/>
          <w:bCs w:val="0"/>
        </w:rPr>
        <w:t>般公共预算财政拨款项目支出决算表</w:t>
      </w:r>
      <w:bookmarkEnd w:id="105"/>
      <w:bookmarkEnd w:id="106"/>
    </w:p>
    <w:p>
      <w:pPr>
        <w:pStyle w:val="6"/>
        <w:rPr>
          <w:rFonts w:ascii="仿宋" w:hAnsi="仿宋" w:eastAsia="仿宋"/>
        </w:rPr>
      </w:pPr>
      <w:bookmarkStart w:id="107" w:name="_Toc15396628"/>
      <w:bookmarkStart w:id="108" w:name="_Toc3053"/>
      <w:r>
        <w:rPr>
          <w:rStyle w:val="30"/>
          <w:rFonts w:hint="eastAsia" w:ascii="仿宋" w:hAnsi="仿宋" w:eastAsia="仿宋"/>
          <w:b w:val="0"/>
          <w:bCs w:val="0"/>
        </w:rPr>
        <w:t>十、</w:t>
      </w:r>
      <w:bookmarkEnd w:id="107"/>
      <w:r>
        <w:rPr>
          <w:rFonts w:hint="eastAsia" w:ascii="仿宋" w:hAnsi="仿宋" w:eastAsia="仿宋"/>
          <w:b w:val="0"/>
        </w:rPr>
        <w:t>政</w:t>
      </w:r>
      <w:r>
        <w:rPr>
          <w:rStyle w:val="30"/>
          <w:rFonts w:hint="eastAsia" w:ascii="仿宋" w:hAnsi="仿宋" w:eastAsia="仿宋"/>
          <w:b w:val="0"/>
          <w:bCs w:val="0"/>
        </w:rPr>
        <w:t>府性基金预算财政拨款收入支出决算表</w:t>
      </w:r>
      <w:bookmarkEnd w:id="108"/>
    </w:p>
    <w:p>
      <w:pPr>
        <w:pStyle w:val="6"/>
        <w:rPr>
          <w:rFonts w:ascii="仿宋" w:hAnsi="仿宋" w:eastAsia="仿宋"/>
        </w:rPr>
      </w:pPr>
      <w:bookmarkStart w:id="109" w:name="_Toc15396629"/>
      <w:bookmarkStart w:id="110" w:name="_Toc19540"/>
      <w:r>
        <w:rPr>
          <w:rStyle w:val="30"/>
          <w:rFonts w:hint="eastAsia" w:ascii="仿宋" w:hAnsi="仿宋" w:eastAsia="仿宋"/>
          <w:b w:val="0"/>
          <w:bCs w:val="0"/>
        </w:rPr>
        <w:t>十一、</w:t>
      </w:r>
      <w:bookmarkEnd w:id="109"/>
      <w:r>
        <w:rPr>
          <w:rFonts w:hint="eastAsia" w:ascii="仿宋" w:hAnsi="仿宋" w:eastAsia="仿宋"/>
          <w:b w:val="0"/>
        </w:rPr>
        <w:t>国</w:t>
      </w:r>
      <w:r>
        <w:rPr>
          <w:rStyle w:val="30"/>
          <w:rFonts w:hint="eastAsia" w:ascii="仿宋" w:hAnsi="仿宋" w:eastAsia="仿宋"/>
          <w:b w:val="0"/>
          <w:bCs w:val="0"/>
        </w:rPr>
        <w:t>有资本经营预算财政拨款收入支出决算表</w:t>
      </w:r>
      <w:bookmarkEnd w:id="110"/>
    </w:p>
    <w:p>
      <w:pPr>
        <w:pStyle w:val="6"/>
        <w:rPr>
          <w:rFonts w:ascii="仿宋" w:hAnsi="仿宋" w:eastAsia="仿宋"/>
        </w:rPr>
      </w:pPr>
      <w:bookmarkStart w:id="111" w:name="_Toc15396630"/>
      <w:bookmarkStart w:id="112" w:name="_Toc29533"/>
      <w:r>
        <w:rPr>
          <w:rStyle w:val="30"/>
          <w:rFonts w:hint="eastAsia" w:ascii="仿宋" w:hAnsi="仿宋" w:eastAsia="仿宋"/>
          <w:b w:val="0"/>
          <w:bCs w:val="0"/>
        </w:rPr>
        <w:t>十二、</w:t>
      </w:r>
      <w:bookmarkEnd w:id="111"/>
      <w:r>
        <w:rPr>
          <w:rStyle w:val="30"/>
          <w:rFonts w:hint="eastAsia" w:ascii="仿宋" w:hAnsi="仿宋" w:eastAsia="仿宋"/>
          <w:b w:val="0"/>
          <w:bCs w:val="0"/>
        </w:rPr>
        <w:t>国有资本经营预算财政拨款支出决算表</w:t>
      </w:r>
      <w:bookmarkEnd w:id="112"/>
    </w:p>
    <w:p>
      <w:pPr>
        <w:pStyle w:val="6"/>
        <w:rPr>
          <w:rFonts w:eastAsia="仿宋"/>
        </w:rPr>
      </w:pPr>
      <w:bookmarkStart w:id="113" w:name="_Toc15396631"/>
      <w:bookmarkStart w:id="114" w:name="_Toc2362"/>
      <w:r>
        <w:rPr>
          <w:rStyle w:val="30"/>
          <w:rFonts w:hint="eastAsia" w:ascii="仿宋" w:hAnsi="仿宋" w:eastAsia="仿宋"/>
          <w:b w:val="0"/>
          <w:bCs w:val="0"/>
        </w:rPr>
        <w:t>十三、</w:t>
      </w:r>
      <w:bookmarkEnd w:id="113"/>
      <w:r>
        <w:rPr>
          <w:rStyle w:val="30"/>
          <w:rFonts w:hint="eastAsia" w:ascii="仿宋" w:hAnsi="仿宋" w:eastAsia="仿宋"/>
          <w:b w:val="0"/>
          <w:bCs w:val="0"/>
        </w:rPr>
        <w:t>财政拨款“三公”经费支出决算表</w:t>
      </w:r>
      <w:bookmarkEnd w:id="114"/>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2"/>
          <w:jc w:val="center"/>
        </w:pPr>
        <w:r>
          <w:fldChar w:fldCharType="begin"/>
        </w:r>
        <w:r>
          <w:instrText xml:space="preserve">PAGE   \* MERGEFORMAT</w:instrText>
        </w:r>
        <w:r>
          <w:fldChar w:fldCharType="separate"/>
        </w:r>
        <w:r>
          <w:rPr>
            <w:lang w:val="zh-CN"/>
          </w:rPr>
          <w:t>15</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3818A09A"/>
    <w:multiLevelType w:val="singleLevel"/>
    <w:tmpl w:val="3818A09A"/>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ZDQ0MWIzMzA5MWE5NjhlZmY0NGRhYTVjYWIxNGQ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08DC"/>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185ECE"/>
    <w:rsid w:val="01BC28E7"/>
    <w:rsid w:val="02D149AD"/>
    <w:rsid w:val="030E4812"/>
    <w:rsid w:val="03451922"/>
    <w:rsid w:val="03DC2831"/>
    <w:rsid w:val="04340F54"/>
    <w:rsid w:val="05804C44"/>
    <w:rsid w:val="05F81957"/>
    <w:rsid w:val="06C55827"/>
    <w:rsid w:val="0793411D"/>
    <w:rsid w:val="081B5E94"/>
    <w:rsid w:val="0A2032A3"/>
    <w:rsid w:val="0AC6703C"/>
    <w:rsid w:val="0ADA449D"/>
    <w:rsid w:val="0B7A3888"/>
    <w:rsid w:val="0B8A37D8"/>
    <w:rsid w:val="0BCC0092"/>
    <w:rsid w:val="0EE74FB8"/>
    <w:rsid w:val="0F162B4E"/>
    <w:rsid w:val="0F2243E3"/>
    <w:rsid w:val="0F5FFB2F"/>
    <w:rsid w:val="0FCB1378"/>
    <w:rsid w:val="0FEF02B3"/>
    <w:rsid w:val="0FFFCF60"/>
    <w:rsid w:val="10186709"/>
    <w:rsid w:val="10403535"/>
    <w:rsid w:val="10C055FF"/>
    <w:rsid w:val="10C72515"/>
    <w:rsid w:val="10D55EF7"/>
    <w:rsid w:val="117C0D3F"/>
    <w:rsid w:val="118107EC"/>
    <w:rsid w:val="11AE2EC1"/>
    <w:rsid w:val="11DD6519"/>
    <w:rsid w:val="128C2E91"/>
    <w:rsid w:val="12A16D14"/>
    <w:rsid w:val="133B3544"/>
    <w:rsid w:val="136449D9"/>
    <w:rsid w:val="13CF293D"/>
    <w:rsid w:val="147A2925"/>
    <w:rsid w:val="14AE053D"/>
    <w:rsid w:val="16BB723D"/>
    <w:rsid w:val="1777230E"/>
    <w:rsid w:val="18015F3F"/>
    <w:rsid w:val="1A5B5B54"/>
    <w:rsid w:val="1BBA134D"/>
    <w:rsid w:val="1BE8440E"/>
    <w:rsid w:val="1C4D491B"/>
    <w:rsid w:val="1D155CEE"/>
    <w:rsid w:val="1D557E55"/>
    <w:rsid w:val="1E785E11"/>
    <w:rsid w:val="1FDBBF84"/>
    <w:rsid w:val="2014472C"/>
    <w:rsid w:val="20F57F95"/>
    <w:rsid w:val="21001530"/>
    <w:rsid w:val="230022FA"/>
    <w:rsid w:val="240371BF"/>
    <w:rsid w:val="244009AF"/>
    <w:rsid w:val="2472601F"/>
    <w:rsid w:val="24F76BB2"/>
    <w:rsid w:val="25711CC6"/>
    <w:rsid w:val="25C741E6"/>
    <w:rsid w:val="26E32EDA"/>
    <w:rsid w:val="276F80C0"/>
    <w:rsid w:val="27842671"/>
    <w:rsid w:val="282A7014"/>
    <w:rsid w:val="29FD04D3"/>
    <w:rsid w:val="2ABE7A3E"/>
    <w:rsid w:val="2AF20181"/>
    <w:rsid w:val="2AFF09B6"/>
    <w:rsid w:val="2C493FB6"/>
    <w:rsid w:val="2CA234A8"/>
    <w:rsid w:val="2CED528F"/>
    <w:rsid w:val="2DC371D0"/>
    <w:rsid w:val="2EFA178C"/>
    <w:rsid w:val="2EFDF86C"/>
    <w:rsid w:val="2F9D17E1"/>
    <w:rsid w:val="2FA362B7"/>
    <w:rsid w:val="30B46D73"/>
    <w:rsid w:val="319F7F4E"/>
    <w:rsid w:val="32095247"/>
    <w:rsid w:val="338F0545"/>
    <w:rsid w:val="356A28F1"/>
    <w:rsid w:val="357C035A"/>
    <w:rsid w:val="368E000D"/>
    <w:rsid w:val="370E09E1"/>
    <w:rsid w:val="374C776A"/>
    <w:rsid w:val="383D272C"/>
    <w:rsid w:val="388E2157"/>
    <w:rsid w:val="38C44830"/>
    <w:rsid w:val="39AE70AB"/>
    <w:rsid w:val="3A4DCE41"/>
    <w:rsid w:val="3B6250F8"/>
    <w:rsid w:val="3BCB56FA"/>
    <w:rsid w:val="3BF51680"/>
    <w:rsid w:val="3C0C0783"/>
    <w:rsid w:val="3C4D10F4"/>
    <w:rsid w:val="3E7D7F9B"/>
    <w:rsid w:val="3E825F9A"/>
    <w:rsid w:val="3EE7C2F4"/>
    <w:rsid w:val="3F371B56"/>
    <w:rsid w:val="3F792ED8"/>
    <w:rsid w:val="3F9F3A96"/>
    <w:rsid w:val="3FECA4B2"/>
    <w:rsid w:val="3FF58C48"/>
    <w:rsid w:val="41300182"/>
    <w:rsid w:val="415C66C8"/>
    <w:rsid w:val="42FF6694"/>
    <w:rsid w:val="435A1A91"/>
    <w:rsid w:val="43614F34"/>
    <w:rsid w:val="4620247F"/>
    <w:rsid w:val="46D11FBC"/>
    <w:rsid w:val="46DA56DF"/>
    <w:rsid w:val="477766D9"/>
    <w:rsid w:val="48BF60AB"/>
    <w:rsid w:val="493C27E9"/>
    <w:rsid w:val="496F39ED"/>
    <w:rsid w:val="49AD39EF"/>
    <w:rsid w:val="49FF41D3"/>
    <w:rsid w:val="4A9A2372"/>
    <w:rsid w:val="4AC45E65"/>
    <w:rsid w:val="4ACD7E87"/>
    <w:rsid w:val="4B904E89"/>
    <w:rsid w:val="4BA076A2"/>
    <w:rsid w:val="4BCA6232"/>
    <w:rsid w:val="4BE068DB"/>
    <w:rsid w:val="4BF6002B"/>
    <w:rsid w:val="4BFFC6BE"/>
    <w:rsid w:val="4C847808"/>
    <w:rsid w:val="4DA621CD"/>
    <w:rsid w:val="4DC33921"/>
    <w:rsid w:val="4ECE2238"/>
    <w:rsid w:val="4F3B214B"/>
    <w:rsid w:val="4FF96494"/>
    <w:rsid w:val="500D0384"/>
    <w:rsid w:val="51104EEA"/>
    <w:rsid w:val="51865D1F"/>
    <w:rsid w:val="51BB5923"/>
    <w:rsid w:val="51DB4B86"/>
    <w:rsid w:val="51F64DB0"/>
    <w:rsid w:val="54E51D72"/>
    <w:rsid w:val="55000F83"/>
    <w:rsid w:val="55333C3E"/>
    <w:rsid w:val="555F6D9E"/>
    <w:rsid w:val="5647129A"/>
    <w:rsid w:val="564E572B"/>
    <w:rsid w:val="580561B3"/>
    <w:rsid w:val="58E41B62"/>
    <w:rsid w:val="59E70A4E"/>
    <w:rsid w:val="59E81790"/>
    <w:rsid w:val="5AFB2552"/>
    <w:rsid w:val="5C064E5A"/>
    <w:rsid w:val="5DD201F9"/>
    <w:rsid w:val="5F4F4C54"/>
    <w:rsid w:val="5F67802D"/>
    <w:rsid w:val="5F7DC4F2"/>
    <w:rsid w:val="5FB36814"/>
    <w:rsid w:val="5FBB8E56"/>
    <w:rsid w:val="5FFB5535"/>
    <w:rsid w:val="62400FC0"/>
    <w:rsid w:val="63162E27"/>
    <w:rsid w:val="635803CB"/>
    <w:rsid w:val="63AC2D96"/>
    <w:rsid w:val="64CA39A1"/>
    <w:rsid w:val="64ED07CF"/>
    <w:rsid w:val="65E374A1"/>
    <w:rsid w:val="66042321"/>
    <w:rsid w:val="661F4D98"/>
    <w:rsid w:val="669A4089"/>
    <w:rsid w:val="66FC41C8"/>
    <w:rsid w:val="67077294"/>
    <w:rsid w:val="69630ADE"/>
    <w:rsid w:val="69BD5F13"/>
    <w:rsid w:val="69FB0B4B"/>
    <w:rsid w:val="6AA8778B"/>
    <w:rsid w:val="6BFFE1FB"/>
    <w:rsid w:val="6C4A05C8"/>
    <w:rsid w:val="6D00278D"/>
    <w:rsid w:val="6D3B1A89"/>
    <w:rsid w:val="6DB7D8A3"/>
    <w:rsid w:val="6EC78701"/>
    <w:rsid w:val="6F7A5481"/>
    <w:rsid w:val="6FFE07A9"/>
    <w:rsid w:val="71BF4EC2"/>
    <w:rsid w:val="71DA61A2"/>
    <w:rsid w:val="725F709D"/>
    <w:rsid w:val="726D3849"/>
    <w:rsid w:val="72734D90"/>
    <w:rsid w:val="73445AAB"/>
    <w:rsid w:val="73D62E1B"/>
    <w:rsid w:val="73E75B71"/>
    <w:rsid w:val="7412278C"/>
    <w:rsid w:val="74A16D28"/>
    <w:rsid w:val="74C4753B"/>
    <w:rsid w:val="74F762D7"/>
    <w:rsid w:val="75DDCDA9"/>
    <w:rsid w:val="75FF44B1"/>
    <w:rsid w:val="77670518"/>
    <w:rsid w:val="777FA627"/>
    <w:rsid w:val="77DF1B5F"/>
    <w:rsid w:val="77EF2D9D"/>
    <w:rsid w:val="793F707A"/>
    <w:rsid w:val="79D143EB"/>
    <w:rsid w:val="79E7B28D"/>
    <w:rsid w:val="7ACFF0C2"/>
    <w:rsid w:val="7AD60594"/>
    <w:rsid w:val="7AFB9108"/>
    <w:rsid w:val="7BD5340C"/>
    <w:rsid w:val="7BFB19D2"/>
    <w:rsid w:val="7BFD1750"/>
    <w:rsid w:val="7BFDAA1B"/>
    <w:rsid w:val="7CDF9A82"/>
    <w:rsid w:val="7CFFA1BD"/>
    <w:rsid w:val="7D2E3F7A"/>
    <w:rsid w:val="7DB818AE"/>
    <w:rsid w:val="7DD00C43"/>
    <w:rsid w:val="7DED9490"/>
    <w:rsid w:val="7DF0095C"/>
    <w:rsid w:val="7DFF4872"/>
    <w:rsid w:val="7E6263E8"/>
    <w:rsid w:val="7E7487E6"/>
    <w:rsid w:val="7E7C2A54"/>
    <w:rsid w:val="7ED12997"/>
    <w:rsid w:val="7ED763A7"/>
    <w:rsid w:val="7EEEFD72"/>
    <w:rsid w:val="7F1D517C"/>
    <w:rsid w:val="7F5DA057"/>
    <w:rsid w:val="7F6C2237"/>
    <w:rsid w:val="7F7F319B"/>
    <w:rsid w:val="7F9F20EE"/>
    <w:rsid w:val="7FBBE890"/>
    <w:rsid w:val="7FBC2ABD"/>
    <w:rsid w:val="7FBF5D48"/>
    <w:rsid w:val="7FCCFC01"/>
    <w:rsid w:val="7FDD1748"/>
    <w:rsid w:val="7FE769C6"/>
    <w:rsid w:val="7FFD0387"/>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3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qFormat/>
    <w:uiPriority w:val="0"/>
    <w:pPr>
      <w:spacing w:after="120"/>
      <w:ind w:left="200" w:leftChars="200"/>
    </w:pPr>
    <w:rPr>
      <w:rFonts w:ascii="仿宋_GB2312"/>
      <w:szCs w:val="32"/>
    </w:rPr>
  </w:style>
  <w:style w:type="paragraph" w:styleId="8">
    <w:name w:val="Salutation"/>
    <w:basedOn w:val="1"/>
    <w:next w:val="1"/>
    <w:qFormat/>
    <w:uiPriority w:val="0"/>
  </w:style>
  <w:style w:type="paragraph" w:styleId="9">
    <w:name w:val="Body Text"/>
    <w:basedOn w:val="1"/>
    <w:link w:val="26"/>
    <w:qFormat/>
    <w:uiPriority w:val="99"/>
    <w:pPr>
      <w:spacing w:beforeLines="30"/>
    </w:pPr>
    <w:rPr>
      <w:rFonts w:ascii="仿宋_GB2312" w:eastAsia="仿宋_GB2312"/>
      <w:kern w:val="0"/>
      <w:sz w:val="30"/>
    </w:rPr>
  </w:style>
  <w:style w:type="paragraph" w:styleId="10">
    <w:name w:val="toc 3"/>
    <w:basedOn w:val="1"/>
    <w:next w:val="1"/>
    <w:unhideWhenUsed/>
    <w:qFormat/>
    <w:uiPriority w:val="39"/>
    <w:pPr>
      <w:tabs>
        <w:tab w:val="right" w:leader="dot" w:pos="8296"/>
      </w:tabs>
      <w:ind w:left="840" w:leftChars="400"/>
    </w:pPr>
  </w:style>
  <w:style w:type="paragraph" w:styleId="11">
    <w:name w:val="Balloon Text"/>
    <w:basedOn w:val="1"/>
    <w:link w:val="32"/>
    <w:semiHidden/>
    <w:unhideWhenUsed/>
    <w:qFormat/>
    <w:uiPriority w:val="99"/>
    <w:rPr>
      <w:sz w:val="18"/>
      <w:szCs w:val="18"/>
    </w:rPr>
  </w:style>
  <w:style w:type="paragraph" w:styleId="12">
    <w:name w:val="footer"/>
    <w:basedOn w:val="1"/>
    <w:link w:val="24"/>
    <w:qFormat/>
    <w:uiPriority w:val="99"/>
    <w:pPr>
      <w:tabs>
        <w:tab w:val="center" w:pos="4153"/>
        <w:tab w:val="right" w:pos="8306"/>
      </w:tabs>
      <w:snapToGrid w:val="0"/>
      <w:jc w:val="left"/>
    </w:pPr>
    <w:rPr>
      <w:rFonts w:ascii="Calibri" w:hAnsi="Calibri"/>
      <w:kern w:val="0"/>
      <w:sz w:val="18"/>
      <w:szCs w:val="18"/>
    </w:rPr>
  </w:style>
  <w:style w:type="paragraph" w:styleId="13">
    <w:name w:val="header"/>
    <w:basedOn w:val="1"/>
    <w:link w:val="22"/>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4">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5">
    <w:name w:val="toc 2"/>
    <w:basedOn w:val="1"/>
    <w:next w:val="1"/>
    <w:unhideWhenUsed/>
    <w:qFormat/>
    <w:uiPriority w:val="39"/>
    <w:pPr>
      <w:tabs>
        <w:tab w:val="right" w:leader="dot" w:pos="8296"/>
      </w:tabs>
      <w:ind w:left="420" w:leftChars="200"/>
    </w:pPr>
  </w:style>
  <w:style w:type="character" w:styleId="18">
    <w:name w:val="Strong"/>
    <w:basedOn w:val="17"/>
    <w:qFormat/>
    <w:uiPriority w:val="99"/>
    <w:rPr>
      <w:b/>
    </w:rPr>
  </w:style>
  <w:style w:type="character" w:styleId="19">
    <w:name w:val="Hyperlink"/>
    <w:basedOn w:val="17"/>
    <w:unhideWhenUsed/>
    <w:qFormat/>
    <w:uiPriority w:val="99"/>
    <w:rPr>
      <w:color w:val="0000FF" w:themeColor="hyperlink"/>
      <w:u w:val="single"/>
      <w14:textFill>
        <w14:solidFill>
          <w14:schemeClr w14:val="hlink"/>
        </w14:solidFill>
      </w14:textFill>
    </w:rPr>
  </w:style>
  <w:style w:type="paragraph" w:customStyle="1" w:styleId="20">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1">
    <w:name w:val="Header Char"/>
    <w:basedOn w:val="17"/>
    <w:semiHidden/>
    <w:qFormat/>
    <w:uiPriority w:val="99"/>
    <w:rPr>
      <w:rFonts w:ascii="Times New Roman" w:hAnsi="Times New Roman"/>
      <w:sz w:val="18"/>
      <w:szCs w:val="18"/>
    </w:rPr>
  </w:style>
  <w:style w:type="character" w:customStyle="1" w:styleId="22">
    <w:name w:val="页眉 字符"/>
    <w:link w:val="13"/>
    <w:semiHidden/>
    <w:qFormat/>
    <w:locked/>
    <w:uiPriority w:val="99"/>
    <w:rPr>
      <w:sz w:val="18"/>
    </w:rPr>
  </w:style>
  <w:style w:type="character" w:customStyle="1" w:styleId="23">
    <w:name w:val="Footer Char"/>
    <w:basedOn w:val="17"/>
    <w:semiHidden/>
    <w:qFormat/>
    <w:uiPriority w:val="99"/>
    <w:rPr>
      <w:rFonts w:ascii="Times New Roman" w:hAnsi="Times New Roman"/>
      <w:sz w:val="18"/>
      <w:szCs w:val="18"/>
    </w:rPr>
  </w:style>
  <w:style w:type="character" w:customStyle="1" w:styleId="24">
    <w:name w:val="页脚 字符"/>
    <w:link w:val="12"/>
    <w:qFormat/>
    <w:locked/>
    <w:uiPriority w:val="99"/>
    <w:rPr>
      <w:sz w:val="18"/>
    </w:rPr>
  </w:style>
  <w:style w:type="character" w:customStyle="1" w:styleId="25">
    <w:name w:val="Body Text Char"/>
    <w:basedOn w:val="17"/>
    <w:semiHidden/>
    <w:qFormat/>
    <w:uiPriority w:val="99"/>
    <w:rPr>
      <w:rFonts w:ascii="Times New Roman" w:hAnsi="Times New Roman"/>
      <w:szCs w:val="24"/>
    </w:rPr>
  </w:style>
  <w:style w:type="character" w:customStyle="1" w:styleId="26">
    <w:name w:val="正文文本 字符"/>
    <w:link w:val="9"/>
    <w:qFormat/>
    <w:locked/>
    <w:uiPriority w:val="99"/>
    <w:rPr>
      <w:rFonts w:ascii="仿宋_GB2312" w:hAnsi="Times New Roman" w:eastAsia="仿宋_GB2312"/>
      <w:sz w:val="24"/>
    </w:rPr>
  </w:style>
  <w:style w:type="paragraph" w:customStyle="1" w:styleId="2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8">
    <w:name w:val="List Paragraph"/>
    <w:basedOn w:val="1"/>
    <w:qFormat/>
    <w:uiPriority w:val="34"/>
    <w:pPr>
      <w:ind w:firstLine="420" w:firstLineChars="200"/>
    </w:pPr>
  </w:style>
  <w:style w:type="character" w:customStyle="1" w:styleId="29">
    <w:name w:val="标题 1 字符"/>
    <w:basedOn w:val="17"/>
    <w:link w:val="5"/>
    <w:qFormat/>
    <w:uiPriority w:val="9"/>
    <w:rPr>
      <w:rFonts w:ascii="Times New Roman" w:hAnsi="Times New Roman"/>
      <w:b/>
      <w:bCs/>
      <w:kern w:val="44"/>
      <w:sz w:val="44"/>
      <w:szCs w:val="44"/>
    </w:rPr>
  </w:style>
  <w:style w:type="character" w:customStyle="1" w:styleId="30">
    <w:name w:val="标题 2 字符"/>
    <w:basedOn w:val="17"/>
    <w:link w:val="6"/>
    <w:qFormat/>
    <w:uiPriority w:val="9"/>
    <w:rPr>
      <w:rFonts w:asciiTheme="majorHAnsi" w:hAnsiTheme="majorHAnsi" w:eastAsiaTheme="majorEastAsia" w:cstheme="majorBidi"/>
      <w:b/>
      <w:bCs/>
      <w:kern w:val="2"/>
      <w:sz w:val="32"/>
      <w:szCs w:val="32"/>
    </w:rPr>
  </w:style>
  <w:style w:type="paragraph" w:customStyle="1" w:styleId="31">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批注框文本 字符"/>
    <w:basedOn w:val="17"/>
    <w:link w:val="11"/>
    <w:semiHidden/>
    <w:qFormat/>
    <w:uiPriority w:val="99"/>
    <w:rPr>
      <w:rFonts w:ascii="Times New Roman" w:hAnsi="Times New Roman"/>
      <w:kern w:val="2"/>
      <w:sz w:val="18"/>
      <w:szCs w:val="18"/>
    </w:rPr>
  </w:style>
  <w:style w:type="character" w:customStyle="1" w:styleId="33">
    <w:name w:val="标题 3 字符"/>
    <w:basedOn w:val="17"/>
    <w:link w:val="7"/>
    <w:qFormat/>
    <w:uiPriority w:val="9"/>
    <w:rPr>
      <w:rFonts w:ascii="Times New Roman" w:hAnsi="Times New Roman"/>
      <w:b/>
      <w:bCs/>
      <w:kern w:val="2"/>
      <w:sz w:val="32"/>
      <w:szCs w:val="32"/>
    </w:rPr>
  </w:style>
  <w:style w:type="paragraph" w:customStyle="1" w:styleId="34">
    <w:name w:val="TOC 标题2"/>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 w:type="paragraph" w:customStyle="1" w:styleId="3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20116;&#36890;&#26725;&#25991;&#26053;\2023-326-&#25991;&#20307;&#26053;&#28216;&#23616;&#20915;&#31639;&#32479;&#35745;&#34920;\2023-326312-&#20116;&#36890;&#26725;&#21306;&#23567;&#35199;&#28246;&#39118;&#26223;&#21306;&#26381;&#21153;&#20013;&#24515;&#20915;&#31639;&#32479;&#35745;&#25253;&#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一般公共预算财政拨款支出决算结构</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'[2023-326312-五通桥区小西湖风景区服务中心决算统计报表.xls]Z01_1 财政拨款收入支出决算总表(财决01-1表)'!$D$55:$D$58</c:f>
              <c:strCache>
                <c:ptCount val="4"/>
                <c:pt idx="0">
                  <c:v>文化旅游体育与传媒支出</c:v>
                </c:pt>
                <c:pt idx="1">
                  <c:v>社会保障和就业支出</c:v>
                </c:pt>
                <c:pt idx="2">
                  <c:v>卫生健康支出</c:v>
                </c:pt>
                <c:pt idx="3">
                  <c:v>住房保障支出</c:v>
                </c:pt>
              </c:strCache>
            </c:strRef>
          </c:cat>
          <c:val>
            <c:numRef>
              <c:f>'[2023-326312-五通桥区小西湖风景区服务中心决算统计报表.xls]Z01_1 财政拨款收入支出决算总表(财决01-1表)'!$E$55:$E$58</c:f>
              <c:numCache>
                <c:formatCode>General</c:formatCode>
                <c:ptCount val="4"/>
                <c:pt idx="0">
                  <c:v>0.768586389838508</c:v>
                </c:pt>
                <c:pt idx="1">
                  <c:v>0.12900705010623</c:v>
                </c:pt>
                <c:pt idx="2">
                  <c:v>0.0301872421363835</c:v>
                </c:pt>
                <c:pt idx="3">
                  <c:v>0.0722193179188776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17</Pages>
  <Words>5162</Words>
  <Characters>5565</Characters>
  <Lines>54</Lines>
  <Paragraphs>15</Paragraphs>
  <TotalTime>1</TotalTime>
  <ScaleCrop>false</ScaleCrop>
  <LinksUpToDate>false</LinksUpToDate>
  <CharactersWithSpaces>5691</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张学琴</cp:lastModifiedBy>
  <cp:lastPrinted>2023-08-03T02:35:00Z</cp:lastPrinted>
  <dcterms:modified xsi:type="dcterms:W3CDTF">2025-01-21T07:28:21Z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A5B72BA90CEA46018B6E7BD6D1D87DA4_12</vt:lpwstr>
  </property>
</Properties>
</file>