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23E5AB">
      <w:pPr>
        <w:spacing w:line="600" w:lineRule="exact"/>
        <w:jc w:val="left"/>
        <w:outlineLvl w:val="0"/>
        <w:rPr>
          <w:rFonts w:ascii="方正小标宋简体" w:hAnsi="宋体" w:eastAsia="方正小标宋简体"/>
          <w:szCs w:val="21"/>
        </w:rPr>
      </w:pPr>
      <w:bookmarkStart w:id="0" w:name="_Toc15306267"/>
    </w:p>
    <w:p w14:paraId="06CEF42E">
      <w:pPr>
        <w:pStyle w:val="6"/>
        <w:spacing w:before="93"/>
      </w:pPr>
    </w:p>
    <w:p w14:paraId="6C90173D">
      <w:pPr>
        <w:spacing w:line="600" w:lineRule="exact"/>
        <w:jc w:val="center"/>
        <w:outlineLvl w:val="0"/>
        <w:rPr>
          <w:rFonts w:ascii="方正小标宋简体" w:hAnsi="宋体" w:eastAsia="方正小标宋简体"/>
          <w:sz w:val="72"/>
          <w:szCs w:val="72"/>
        </w:rPr>
      </w:pPr>
    </w:p>
    <w:p w14:paraId="60F0E963">
      <w:pPr>
        <w:spacing w:line="600" w:lineRule="exact"/>
        <w:jc w:val="center"/>
        <w:outlineLvl w:val="0"/>
        <w:rPr>
          <w:rFonts w:ascii="方正小标宋简体" w:hAnsi="宋体" w:eastAsia="方正小标宋简体"/>
          <w:sz w:val="72"/>
          <w:szCs w:val="72"/>
        </w:rPr>
      </w:pPr>
    </w:p>
    <w:p w14:paraId="34EB61AF">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96597"/>
      <w:bookmarkStart w:id="2" w:name="_Toc15377425"/>
      <w:bookmarkStart w:id="3" w:name="_Toc15377193"/>
      <w:bookmarkStart w:id="4" w:name="_Toc15396475"/>
      <w:bookmarkStart w:id="5" w:name="_Toc15378441"/>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bookmarkEnd w:id="0"/>
    <w:p w14:paraId="57460E33">
      <w:pPr>
        <w:adjustRightInd w:val="0"/>
        <w:snapToGrid w:val="0"/>
        <w:spacing w:line="360" w:lineRule="auto"/>
        <w:jc w:val="center"/>
        <w:outlineLvl w:val="0"/>
        <w:rPr>
          <w:rFonts w:hint="eastAsia" w:ascii="方正小标宋简体" w:hAnsi="方正小标宋简体" w:eastAsia="方正小标宋简体" w:cs="方正小标宋简体"/>
          <w:sz w:val="56"/>
          <w:szCs w:val="56"/>
          <w:lang w:eastAsia="zh-CN"/>
        </w:rPr>
      </w:pPr>
      <w:bookmarkStart w:id="6" w:name="_Toc15396598"/>
      <w:bookmarkStart w:id="7" w:name="_Toc15396476"/>
      <w:bookmarkStart w:id="8" w:name="_Toc15378442"/>
      <w:bookmarkStart w:id="9" w:name="_Toc15377426"/>
      <w:bookmarkStart w:id="10" w:name="_Toc15377194"/>
      <w:r>
        <w:rPr>
          <w:rFonts w:hint="eastAsia" w:ascii="方正小标宋简体" w:hAnsi="方正小标宋简体" w:eastAsia="方正小标宋简体" w:cs="方正小标宋简体"/>
          <w:sz w:val="56"/>
          <w:szCs w:val="56"/>
        </w:rPr>
        <w:t>四川省</w:t>
      </w:r>
      <w:bookmarkStart w:id="11" w:name="_Toc15306268"/>
      <w:r>
        <w:rPr>
          <w:rFonts w:hint="eastAsia" w:ascii="方正小标宋简体" w:hAnsi="方正小标宋简体" w:eastAsia="方正小标宋简体" w:cs="方正小标宋简体"/>
          <w:sz w:val="56"/>
          <w:szCs w:val="56"/>
          <w:lang w:eastAsia="zh-CN"/>
        </w:rPr>
        <w:t>乐山市五通桥区石麟镇</w:t>
      </w:r>
    </w:p>
    <w:p w14:paraId="238FD17A">
      <w:pPr>
        <w:adjustRightInd w:val="0"/>
        <w:snapToGrid w:val="0"/>
        <w:spacing w:line="360" w:lineRule="auto"/>
        <w:jc w:val="center"/>
        <w:outlineLvl w:val="0"/>
        <w:rPr>
          <w:rFonts w:ascii="方正小标宋简体" w:hAnsi="方正小标宋简体" w:eastAsia="方正小标宋简体" w:cs="方正小标宋简体"/>
          <w:sz w:val="56"/>
          <w:szCs w:val="56"/>
        </w:rPr>
      </w:pPr>
      <w:r>
        <w:rPr>
          <w:rFonts w:hint="eastAsia" w:ascii="方正小标宋简体" w:hAnsi="方正小标宋简体" w:eastAsia="方正小标宋简体" w:cs="方正小标宋简体"/>
          <w:sz w:val="56"/>
          <w:szCs w:val="56"/>
          <w:lang w:eastAsia="zh-CN"/>
        </w:rPr>
        <w:t>文化旅游服务中心</w:t>
      </w:r>
      <w:r>
        <w:rPr>
          <w:rFonts w:hint="eastAsia" w:ascii="方正小标宋简体" w:hAnsi="方正小标宋简体" w:eastAsia="方正小标宋简体" w:cs="方正小标宋简体"/>
          <w:sz w:val="56"/>
          <w:szCs w:val="56"/>
        </w:rPr>
        <w:t>单位决算</w:t>
      </w:r>
      <w:bookmarkEnd w:id="6"/>
      <w:bookmarkEnd w:id="7"/>
      <w:bookmarkEnd w:id="8"/>
      <w:bookmarkEnd w:id="9"/>
      <w:bookmarkEnd w:id="10"/>
      <w:bookmarkEnd w:id="11"/>
    </w:p>
    <w:p w14:paraId="3BD56A2B">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14:paraId="4036BC50">
      <w:pPr>
        <w:widowControl/>
        <w:jc w:val="center"/>
        <w:rPr>
          <w:rFonts w:ascii="黑体" w:hAnsi="黑体" w:eastAsia="黑体" w:cstheme="minorBidi"/>
          <w:sz w:val="28"/>
          <w:szCs w:val="28"/>
        </w:rPr>
      </w:pPr>
    </w:p>
    <w:p w14:paraId="45752AFF">
      <w:pPr>
        <w:pStyle w:val="12"/>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28</w:t>
      </w:r>
      <w:bookmarkStart w:id="67" w:name="_GoBack"/>
      <w:bookmarkEnd w:id="67"/>
      <w:r>
        <w:rPr>
          <w:rFonts w:hint="eastAsia"/>
        </w:rPr>
        <w:t>日</w:t>
      </w:r>
    </w:p>
    <w:p w14:paraId="6F8E6893"/>
    <w:p w14:paraId="16D1BA52">
      <w:pPr>
        <w:pStyle w:val="12"/>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单位概况</w:t>
      </w:r>
    </w:p>
    <w:p w14:paraId="7A202738">
      <w:pPr>
        <w:pStyle w:val="13"/>
        <w:adjustRightInd w:val="0"/>
        <w:snapToGrid w:val="0"/>
        <w:spacing w:line="440" w:lineRule="exact"/>
        <w:jc w:val="left"/>
        <w:rPr>
          <w:sz w:val="24"/>
        </w:rPr>
      </w:pPr>
      <w:r>
        <w:rPr>
          <w:rFonts w:hint="eastAsia"/>
          <w:sz w:val="24"/>
        </w:rPr>
        <w:t>一、主要职责</w:t>
      </w:r>
    </w:p>
    <w:p w14:paraId="18EF2E51">
      <w:pPr>
        <w:pStyle w:val="13"/>
        <w:adjustRightInd w:val="0"/>
        <w:snapToGrid w:val="0"/>
        <w:spacing w:line="440" w:lineRule="exact"/>
        <w:jc w:val="left"/>
      </w:pPr>
      <w:r>
        <w:rPr>
          <w:rFonts w:hint="eastAsia"/>
          <w:sz w:val="24"/>
        </w:rPr>
        <w:t>二、机构设置</w:t>
      </w:r>
    </w:p>
    <w:p w14:paraId="1F35B0B2">
      <w:pPr>
        <w:pStyle w:val="12"/>
        <w:adjustRightInd w:val="0"/>
        <w:snapToGrid w:val="0"/>
        <w:spacing w:before="0" w:line="440" w:lineRule="exact"/>
        <w:jc w:val="left"/>
        <w:rPr>
          <w:sz w:val="24"/>
          <w:szCs w:val="24"/>
        </w:rPr>
      </w:pPr>
      <w:r>
        <w:rPr>
          <w:rFonts w:hint="eastAsia"/>
          <w:sz w:val="24"/>
        </w:rPr>
        <w:t>第二部分 2023年度单位决算情况说明</w:t>
      </w:r>
    </w:p>
    <w:p w14:paraId="09E6CB73">
      <w:pPr>
        <w:pStyle w:val="13"/>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14:paraId="6FD180ED">
      <w:pPr>
        <w:pStyle w:val="13"/>
        <w:adjustRightInd w:val="0"/>
        <w:snapToGrid w:val="0"/>
        <w:spacing w:line="440" w:lineRule="exact"/>
        <w:jc w:val="left"/>
        <w:rPr>
          <w:rFonts w:ascii="仿宋" w:hAnsi="仿宋" w:eastAsia="仿宋" w:cstheme="minorBidi"/>
          <w:sz w:val="24"/>
        </w:rPr>
      </w:pPr>
      <w:r>
        <w:rPr>
          <w:rFonts w:hint="eastAsia"/>
          <w:sz w:val="24"/>
        </w:rPr>
        <w:t>二、收入决算情况说明</w:t>
      </w:r>
    </w:p>
    <w:p w14:paraId="2DF21C6F">
      <w:pPr>
        <w:pStyle w:val="13"/>
        <w:adjustRightInd w:val="0"/>
        <w:snapToGrid w:val="0"/>
        <w:spacing w:line="440" w:lineRule="exact"/>
        <w:jc w:val="left"/>
        <w:rPr>
          <w:rFonts w:ascii="仿宋" w:hAnsi="仿宋" w:eastAsia="仿宋" w:cstheme="minorBidi"/>
          <w:sz w:val="24"/>
        </w:rPr>
      </w:pPr>
      <w:r>
        <w:rPr>
          <w:rFonts w:hint="eastAsia"/>
          <w:sz w:val="24"/>
        </w:rPr>
        <w:t>三、支出决算情况说明</w:t>
      </w:r>
    </w:p>
    <w:p w14:paraId="6309B922">
      <w:pPr>
        <w:pStyle w:val="13"/>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14:paraId="15B2A77D">
      <w:pPr>
        <w:pStyle w:val="13"/>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14:paraId="7CE69A1F">
      <w:pPr>
        <w:pStyle w:val="13"/>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14:paraId="7CC97265">
      <w:pPr>
        <w:pStyle w:val="13"/>
        <w:adjustRightInd w:val="0"/>
        <w:snapToGrid w:val="0"/>
        <w:spacing w:line="440" w:lineRule="exact"/>
        <w:jc w:val="left"/>
        <w:rPr>
          <w:rFonts w:ascii="仿宋" w:hAnsi="仿宋" w:eastAsia="仿宋" w:cstheme="minorBidi"/>
          <w:sz w:val="24"/>
        </w:rPr>
      </w:pPr>
      <w:r>
        <w:rPr>
          <w:rFonts w:hint="eastAsia"/>
          <w:sz w:val="24"/>
        </w:rPr>
        <w:t>七、财政拨款“三公”经费支出决算情况说明</w:t>
      </w:r>
    </w:p>
    <w:p w14:paraId="114B48C3">
      <w:pPr>
        <w:pStyle w:val="13"/>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14:paraId="003B0406">
      <w:pPr>
        <w:pStyle w:val="13"/>
        <w:adjustRightInd w:val="0"/>
        <w:snapToGrid w:val="0"/>
        <w:spacing w:line="440" w:lineRule="exact"/>
        <w:jc w:val="left"/>
        <w:rPr>
          <w:sz w:val="24"/>
        </w:rPr>
      </w:pPr>
      <w:r>
        <w:rPr>
          <w:rFonts w:hint="eastAsia"/>
          <w:sz w:val="24"/>
        </w:rPr>
        <w:t>九、国有资本经营预算支出决算情况说明</w:t>
      </w:r>
    </w:p>
    <w:p w14:paraId="5B878386">
      <w:pPr>
        <w:pStyle w:val="13"/>
        <w:adjustRightInd w:val="0"/>
        <w:snapToGrid w:val="0"/>
        <w:spacing w:line="440" w:lineRule="exact"/>
        <w:jc w:val="left"/>
        <w:rPr>
          <w:sz w:val="24"/>
        </w:rPr>
      </w:pPr>
      <w:r>
        <w:rPr>
          <w:rFonts w:hint="eastAsia"/>
          <w:sz w:val="24"/>
        </w:rPr>
        <w:t>十、其他重要事项的情况说明</w:t>
      </w:r>
    </w:p>
    <w:p w14:paraId="3BE48C05">
      <w:pPr>
        <w:pStyle w:val="12"/>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14:paraId="7C13319F">
      <w:pPr>
        <w:pStyle w:val="12"/>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14:paraId="6D627B62">
      <w:pPr>
        <w:pStyle w:val="12"/>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14:paraId="2AC17AC3">
      <w:pPr>
        <w:pStyle w:val="13"/>
        <w:adjustRightInd w:val="0"/>
        <w:snapToGrid w:val="0"/>
        <w:spacing w:line="440" w:lineRule="exact"/>
        <w:jc w:val="left"/>
        <w:rPr>
          <w:sz w:val="24"/>
        </w:rPr>
      </w:pPr>
      <w:r>
        <w:rPr>
          <w:rFonts w:hint="eastAsia"/>
          <w:sz w:val="24"/>
        </w:rPr>
        <w:t>一、收入支出决算总表</w:t>
      </w:r>
    </w:p>
    <w:p w14:paraId="3150DCDB">
      <w:pPr>
        <w:pStyle w:val="13"/>
        <w:adjustRightInd w:val="0"/>
        <w:snapToGrid w:val="0"/>
        <w:spacing w:line="440" w:lineRule="exact"/>
        <w:jc w:val="left"/>
        <w:rPr>
          <w:sz w:val="24"/>
        </w:rPr>
      </w:pPr>
      <w:r>
        <w:rPr>
          <w:rFonts w:hint="eastAsia"/>
          <w:sz w:val="24"/>
        </w:rPr>
        <w:t>二、收入决算表</w:t>
      </w:r>
    </w:p>
    <w:p w14:paraId="6DB5C4BE">
      <w:pPr>
        <w:pStyle w:val="13"/>
        <w:adjustRightInd w:val="0"/>
        <w:snapToGrid w:val="0"/>
        <w:spacing w:line="440" w:lineRule="exact"/>
        <w:jc w:val="left"/>
        <w:rPr>
          <w:sz w:val="24"/>
        </w:rPr>
      </w:pPr>
      <w:r>
        <w:rPr>
          <w:rFonts w:hint="eastAsia"/>
          <w:sz w:val="24"/>
        </w:rPr>
        <w:t>三、支出决算表</w:t>
      </w:r>
    </w:p>
    <w:p w14:paraId="7F624B0C">
      <w:pPr>
        <w:pStyle w:val="13"/>
        <w:adjustRightInd w:val="0"/>
        <w:snapToGrid w:val="0"/>
        <w:spacing w:line="440" w:lineRule="exact"/>
        <w:jc w:val="left"/>
        <w:rPr>
          <w:sz w:val="24"/>
        </w:rPr>
      </w:pPr>
      <w:r>
        <w:rPr>
          <w:rFonts w:hint="eastAsia"/>
          <w:sz w:val="24"/>
        </w:rPr>
        <w:t>四、财政拨款收入支出决算总表</w:t>
      </w:r>
    </w:p>
    <w:p w14:paraId="7E3C9CDC">
      <w:pPr>
        <w:pStyle w:val="13"/>
        <w:adjustRightInd w:val="0"/>
        <w:snapToGrid w:val="0"/>
        <w:spacing w:line="440" w:lineRule="exact"/>
        <w:jc w:val="left"/>
        <w:rPr>
          <w:sz w:val="24"/>
        </w:rPr>
      </w:pPr>
      <w:r>
        <w:rPr>
          <w:rFonts w:hint="eastAsia"/>
          <w:sz w:val="24"/>
        </w:rPr>
        <w:t>五、财政拨款支出决算明细表</w:t>
      </w:r>
    </w:p>
    <w:p w14:paraId="720218BE">
      <w:pPr>
        <w:pStyle w:val="13"/>
        <w:adjustRightInd w:val="0"/>
        <w:snapToGrid w:val="0"/>
        <w:spacing w:line="440" w:lineRule="exact"/>
        <w:jc w:val="left"/>
        <w:rPr>
          <w:sz w:val="24"/>
        </w:rPr>
      </w:pPr>
      <w:r>
        <w:rPr>
          <w:rFonts w:hint="eastAsia"/>
          <w:sz w:val="24"/>
        </w:rPr>
        <w:t>六、一般公共预算财政拨款支出决算表</w:t>
      </w:r>
    </w:p>
    <w:p w14:paraId="211F0D3D">
      <w:pPr>
        <w:pStyle w:val="13"/>
        <w:adjustRightInd w:val="0"/>
        <w:snapToGrid w:val="0"/>
        <w:spacing w:line="440" w:lineRule="exact"/>
        <w:jc w:val="left"/>
        <w:rPr>
          <w:sz w:val="24"/>
        </w:rPr>
      </w:pPr>
      <w:r>
        <w:rPr>
          <w:rFonts w:hint="eastAsia"/>
          <w:sz w:val="24"/>
        </w:rPr>
        <w:t>七、一般公共预算财政拨款支出决算明细表</w:t>
      </w:r>
    </w:p>
    <w:p w14:paraId="0ED922ED">
      <w:pPr>
        <w:pStyle w:val="13"/>
        <w:adjustRightInd w:val="0"/>
        <w:snapToGrid w:val="0"/>
        <w:spacing w:line="440" w:lineRule="exact"/>
        <w:jc w:val="left"/>
        <w:rPr>
          <w:sz w:val="24"/>
        </w:rPr>
      </w:pPr>
      <w:r>
        <w:rPr>
          <w:rFonts w:hint="eastAsia"/>
          <w:sz w:val="24"/>
        </w:rPr>
        <w:t>八、一般公共预算财政拨款基本支出决算明细表</w:t>
      </w:r>
    </w:p>
    <w:p w14:paraId="6207A6CB">
      <w:pPr>
        <w:pStyle w:val="13"/>
        <w:adjustRightInd w:val="0"/>
        <w:snapToGrid w:val="0"/>
        <w:spacing w:line="440" w:lineRule="exact"/>
        <w:jc w:val="left"/>
        <w:rPr>
          <w:sz w:val="24"/>
        </w:rPr>
      </w:pPr>
      <w:r>
        <w:rPr>
          <w:rFonts w:hint="eastAsia"/>
          <w:sz w:val="24"/>
        </w:rPr>
        <w:t>九、一般公共预算财政拨款项目支出决算表</w:t>
      </w:r>
    </w:p>
    <w:p w14:paraId="76905D70">
      <w:pPr>
        <w:pStyle w:val="13"/>
        <w:adjustRightInd w:val="0"/>
        <w:snapToGrid w:val="0"/>
        <w:spacing w:line="440" w:lineRule="exact"/>
        <w:jc w:val="left"/>
        <w:rPr>
          <w:sz w:val="24"/>
        </w:rPr>
      </w:pPr>
      <w:r>
        <w:rPr>
          <w:rFonts w:hint="eastAsia"/>
          <w:sz w:val="24"/>
        </w:rPr>
        <w:t>十、政府性基金预算财政拨款收入支出决算表</w:t>
      </w:r>
    </w:p>
    <w:p w14:paraId="48FF125B">
      <w:pPr>
        <w:pStyle w:val="13"/>
        <w:adjustRightInd w:val="0"/>
        <w:snapToGrid w:val="0"/>
        <w:spacing w:line="440" w:lineRule="exact"/>
        <w:jc w:val="left"/>
        <w:rPr>
          <w:sz w:val="24"/>
        </w:rPr>
      </w:pPr>
      <w:r>
        <w:rPr>
          <w:rFonts w:hint="eastAsia"/>
          <w:sz w:val="24"/>
        </w:rPr>
        <w:t>十一、国有资本经营预算财政拨款收入支出决算表</w:t>
      </w:r>
    </w:p>
    <w:p w14:paraId="12DAF383">
      <w:pPr>
        <w:pStyle w:val="13"/>
        <w:adjustRightInd w:val="0"/>
        <w:snapToGrid w:val="0"/>
        <w:spacing w:line="440" w:lineRule="exact"/>
        <w:jc w:val="left"/>
        <w:rPr>
          <w:sz w:val="24"/>
        </w:rPr>
      </w:pPr>
      <w:r>
        <w:rPr>
          <w:rFonts w:hint="eastAsia"/>
          <w:sz w:val="24"/>
        </w:rPr>
        <w:t>十二、国有资本经营预算财政拨款支出决算表</w:t>
      </w:r>
    </w:p>
    <w:p w14:paraId="585D3DCF">
      <w:pPr>
        <w:pStyle w:val="13"/>
        <w:adjustRightInd w:val="0"/>
        <w:snapToGrid w:val="0"/>
        <w:spacing w:line="440" w:lineRule="exact"/>
        <w:jc w:val="left"/>
        <w:rPr>
          <w:sz w:val="24"/>
        </w:rPr>
      </w:pPr>
      <w:r>
        <w:rPr>
          <w:rFonts w:hint="eastAsia"/>
          <w:sz w:val="24"/>
        </w:rPr>
        <w:t>十三、财政拨款“三公”经费支出决算表</w:t>
      </w:r>
    </w:p>
    <w:p w14:paraId="77049314">
      <w:pPr>
        <w:widowControl/>
        <w:adjustRightInd w:val="0"/>
        <w:snapToGrid w:val="0"/>
        <w:spacing w:line="440" w:lineRule="exact"/>
        <w:ind w:firstLine="1320" w:firstLineChars="550"/>
        <w:jc w:val="left"/>
        <w:rPr>
          <w:rFonts w:ascii="仿宋" w:hAnsi="仿宋" w:eastAsia="仿宋"/>
          <w:sz w:val="24"/>
        </w:rPr>
      </w:pPr>
      <w:r>
        <w:rPr>
          <w:rFonts w:ascii="仿宋" w:hAnsi="仿宋" w:eastAsia="仿宋"/>
          <w:sz w:val="24"/>
        </w:rPr>
        <w:t>(注：</w:t>
      </w:r>
      <w:r>
        <w:rPr>
          <w:rFonts w:hint="eastAsia" w:ascii="仿宋" w:hAnsi="仿宋" w:eastAsia="仿宋"/>
          <w:sz w:val="24"/>
        </w:rPr>
        <w:t>请单位根据实际注明页码</w:t>
      </w:r>
      <w:r>
        <w:rPr>
          <w:rFonts w:ascii="仿宋" w:hAnsi="仿宋" w:eastAsia="仿宋"/>
          <w:sz w:val="24"/>
        </w:rPr>
        <w:t>)</w:t>
      </w:r>
    </w:p>
    <w:p w14:paraId="153621BB">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14:paraId="068C109C">
      <w:pPr>
        <w:pStyle w:val="3"/>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p>
    <w:p w14:paraId="54FBDE26">
      <w:pPr>
        <w:widowControl/>
        <w:jc w:val="left"/>
        <w:rPr>
          <w:rFonts w:ascii="黑体" w:eastAsia="黑体"/>
          <w:sz w:val="32"/>
          <w:szCs w:val="32"/>
        </w:rPr>
      </w:pPr>
    </w:p>
    <w:p w14:paraId="33BB1CBB">
      <w:pPr>
        <w:pStyle w:val="4"/>
        <w:numPr>
          <w:ilvl w:val="0"/>
          <w:numId w:val="1"/>
        </w:numPr>
        <w:rPr>
          <w:rStyle w:val="28"/>
          <w:rFonts w:ascii="黑体" w:hAnsi="黑体" w:eastAsia="黑体"/>
          <w:b w:val="0"/>
          <w:bCs w:val="0"/>
        </w:rPr>
      </w:pPr>
      <w:bookmarkStart w:id="14" w:name="_Toc15396600"/>
      <w:bookmarkStart w:id="15" w:name="_Toc15377197"/>
      <w:r>
        <w:rPr>
          <w:rStyle w:val="28"/>
          <w:rFonts w:hint="eastAsia" w:ascii="黑体" w:hAnsi="黑体" w:eastAsia="黑体"/>
          <w:b w:val="0"/>
          <w:bCs w:val="0"/>
        </w:rPr>
        <w:t>主要职责</w:t>
      </w:r>
    </w:p>
    <w:p w14:paraId="69A5D720">
      <w:pPr>
        <w:rPr>
          <w:rFonts w:hint="default" w:eastAsia="黑体"/>
          <w:lang w:val="en-US" w:eastAsia="zh-CN"/>
        </w:rPr>
      </w:pPr>
      <w:r>
        <w:rPr>
          <w:rStyle w:val="28"/>
          <w:rFonts w:hint="eastAsia" w:ascii="黑体" w:hAnsi="黑体" w:eastAsia="黑体"/>
          <w:b w:val="0"/>
          <w:bCs w:val="0"/>
          <w:lang w:val="en-US" w:eastAsia="zh-CN"/>
        </w:rPr>
        <w:t xml:space="preserve">  乐山市五通桥区石麟镇文化旅游服务中心负责文化宣传，广播电视，文艺演出，群众体育等公益服务工作；负责文化旅游项目建设，服务，推广等有关工作；完成镇党委，政府交办的其他工作。</w:t>
      </w:r>
    </w:p>
    <w:p w14:paraId="57175A43">
      <w:pPr>
        <w:pStyle w:val="4"/>
        <w:numPr>
          <w:ilvl w:val="0"/>
          <w:numId w:val="1"/>
        </w:numPr>
        <w:ind w:left="0" w:leftChars="0" w:firstLine="0" w:firstLineChars="0"/>
        <w:rPr>
          <w:rFonts w:hint="eastAsia" w:ascii="黑体" w:hAnsi="黑体" w:eastAsia="黑体"/>
          <w:b w:val="0"/>
        </w:rPr>
      </w:pPr>
      <w:r>
        <w:rPr>
          <w:rFonts w:hint="eastAsia" w:ascii="黑体" w:hAnsi="黑体" w:eastAsia="黑体"/>
          <w:b w:val="0"/>
        </w:rPr>
        <w:t>机构设置</w:t>
      </w:r>
    </w:p>
    <w:p w14:paraId="142FB705">
      <w:pPr>
        <w:numPr>
          <w:ilvl w:val="0"/>
          <w:numId w:val="0"/>
        </w:numPr>
        <w:ind w:leftChars="0"/>
        <w:rPr>
          <w:rFonts w:hint="default" w:eastAsia="宋体"/>
          <w:b w:val="0"/>
          <w:bCs w:val="0"/>
          <w:i w:val="0"/>
          <w:iCs w:val="0"/>
          <w:sz w:val="36"/>
          <w:szCs w:val="44"/>
          <w:lang w:val="en-US" w:eastAsia="zh-CN"/>
        </w:rPr>
      </w:pPr>
      <w:r>
        <w:rPr>
          <w:rFonts w:hint="eastAsia"/>
          <w:lang w:val="en-US" w:eastAsia="zh-CN"/>
        </w:rPr>
        <w:t xml:space="preserve">  </w:t>
      </w:r>
      <w:r>
        <w:rPr>
          <w:rFonts w:hint="eastAsia"/>
          <w:sz w:val="44"/>
          <w:szCs w:val="52"/>
          <w:lang w:val="en-US" w:eastAsia="zh-CN"/>
        </w:rPr>
        <w:t xml:space="preserve"> </w:t>
      </w:r>
      <w:r>
        <w:rPr>
          <w:rFonts w:hint="eastAsia"/>
          <w:b w:val="0"/>
          <w:bCs w:val="0"/>
          <w:i w:val="0"/>
          <w:iCs w:val="0"/>
          <w:sz w:val="36"/>
          <w:szCs w:val="44"/>
          <w:lang w:val="en-US" w:eastAsia="zh-CN"/>
        </w:rPr>
        <w:t>文化旅游中心已注销</w:t>
      </w:r>
    </w:p>
    <w:bookmarkEnd w:id="14"/>
    <w:bookmarkEnd w:id="15"/>
    <w:p w14:paraId="31AF4890">
      <w:pPr>
        <w:widowControl/>
        <w:jc w:val="left"/>
        <w:rPr>
          <w:rFonts w:ascii="仿宋" w:hAnsi="仿宋" w:eastAsia="仿宋"/>
          <w:kern w:val="0"/>
          <w:sz w:val="32"/>
          <w:szCs w:val="32"/>
        </w:rPr>
      </w:pPr>
      <w:r>
        <w:rPr>
          <w:rFonts w:ascii="仿宋" w:hAnsi="仿宋" w:eastAsia="仿宋"/>
          <w:sz w:val="32"/>
          <w:szCs w:val="32"/>
        </w:rPr>
        <w:br w:type="page"/>
      </w:r>
    </w:p>
    <w:p w14:paraId="1064B52C">
      <w:pPr>
        <w:pStyle w:val="3"/>
        <w:ind w:right="440"/>
        <w:jc w:val="center"/>
        <w:rPr>
          <w:rStyle w:val="27"/>
          <w:rFonts w:ascii="黑体" w:hAnsi="黑体" w:eastAsia="黑体"/>
          <w:b w:val="0"/>
          <w:bCs/>
        </w:rPr>
      </w:pPr>
      <w:bookmarkStart w:id="16" w:name="_Toc15396602"/>
      <w:bookmarkStart w:id="17" w:name="_Toc15377204"/>
      <w:r>
        <w:rPr>
          <w:rFonts w:hint="eastAsia" w:ascii="黑体" w:hAnsi="黑体" w:eastAsia="黑体"/>
          <w:b w:val="0"/>
        </w:rPr>
        <w:t>第二部分 2023年度</w:t>
      </w:r>
      <w:r>
        <w:rPr>
          <w:rStyle w:val="27"/>
          <w:rFonts w:hint="eastAsia" w:ascii="黑体" w:hAnsi="黑体" w:eastAsia="黑体"/>
          <w:b w:val="0"/>
          <w:bCs/>
        </w:rPr>
        <w:t>单位决算情况说明</w:t>
      </w:r>
      <w:bookmarkEnd w:id="16"/>
      <w:bookmarkEnd w:id="17"/>
    </w:p>
    <w:p w14:paraId="2A287EE4"/>
    <w:p w14:paraId="2C755E3D">
      <w:pPr>
        <w:pStyle w:val="26"/>
        <w:numPr>
          <w:ilvl w:val="0"/>
          <w:numId w:val="2"/>
        </w:numPr>
        <w:spacing w:line="600" w:lineRule="exact"/>
        <w:ind w:firstLineChars="0"/>
        <w:outlineLvl w:val="1"/>
        <w:rPr>
          <w:rStyle w:val="28"/>
          <w:rFonts w:ascii="黑体" w:hAnsi="黑体" w:eastAsia="黑体"/>
          <w:b w:val="0"/>
        </w:rPr>
      </w:pPr>
      <w:bookmarkStart w:id="18" w:name="_Toc15377205"/>
      <w:bookmarkStart w:id="19" w:name="_Toc15396603"/>
      <w:r>
        <w:rPr>
          <w:rFonts w:hint="eastAsia" w:ascii="黑体" w:hAnsi="黑体" w:eastAsia="黑体"/>
          <w:sz w:val="32"/>
          <w:szCs w:val="32"/>
        </w:rPr>
        <w:t>收</w:t>
      </w:r>
      <w:r>
        <w:rPr>
          <w:rStyle w:val="28"/>
          <w:rFonts w:hint="eastAsia" w:ascii="黑体" w:hAnsi="黑体" w:eastAsia="黑体"/>
          <w:b w:val="0"/>
        </w:rPr>
        <w:t>入支出决算总体情况说明</w:t>
      </w:r>
      <w:bookmarkEnd w:id="18"/>
      <w:bookmarkEnd w:id="19"/>
    </w:p>
    <w:p w14:paraId="4F424470">
      <w:pPr>
        <w:spacing w:line="600" w:lineRule="exact"/>
        <w:ind w:firstLine="640" w:firstLineChars="200"/>
        <w:rPr>
          <w:rFonts w:hint="default" w:eastAsia="仿宋"/>
          <w:lang w:val="en-US" w:eastAsia="zh-CN"/>
        </w:rPr>
      </w:pPr>
      <w:r>
        <w:rPr>
          <w:rFonts w:hint="eastAsia" w:ascii="仿宋" w:hAnsi="仿宋" w:eastAsia="仿宋"/>
          <w:sz w:val="32"/>
          <w:szCs w:val="32"/>
        </w:rPr>
        <w:t>2023年度收、支总计均为</w:t>
      </w:r>
      <w:r>
        <w:rPr>
          <w:rFonts w:hint="eastAsia" w:ascii="仿宋" w:hAnsi="仿宋" w:eastAsia="仿宋"/>
          <w:b/>
          <w:sz w:val="32"/>
          <w:szCs w:val="32"/>
        </w:rPr>
        <w:t>86.62</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2ABE0C7E">
      <w:pPr>
        <w:spacing w:line="600" w:lineRule="exact"/>
        <w:jc w:val="left"/>
        <w:rPr>
          <w:rFonts w:ascii="仿宋_GB2312" w:eastAsia="仿宋_GB2312"/>
          <w:sz w:val="32"/>
          <w:szCs w:val="32"/>
        </w:rPr>
      </w:pPr>
    </w:p>
    <w:p w14:paraId="4B5F86A2">
      <w:pPr>
        <w:pStyle w:val="26"/>
        <w:numPr>
          <w:ilvl w:val="0"/>
          <w:numId w:val="2"/>
        </w:numPr>
        <w:spacing w:line="600" w:lineRule="exact"/>
        <w:ind w:firstLineChars="0"/>
        <w:outlineLvl w:val="1"/>
        <w:rPr>
          <w:rStyle w:val="28"/>
          <w:rFonts w:ascii="黑体" w:hAnsi="黑体" w:eastAsia="黑体"/>
          <w:b w:val="0"/>
        </w:rPr>
      </w:pPr>
      <w:bookmarkStart w:id="20" w:name="_Toc15396604"/>
      <w:bookmarkStart w:id="21" w:name="_Toc15377206"/>
      <w:r>
        <w:rPr>
          <w:rFonts w:hint="eastAsia" w:ascii="黑体" w:hAnsi="黑体" w:eastAsia="黑体"/>
          <w:sz w:val="32"/>
          <w:szCs w:val="32"/>
        </w:rPr>
        <w:t>收</w:t>
      </w:r>
      <w:r>
        <w:rPr>
          <w:rStyle w:val="28"/>
          <w:rFonts w:hint="eastAsia" w:ascii="黑体" w:hAnsi="黑体" w:eastAsia="黑体"/>
          <w:b w:val="0"/>
        </w:rPr>
        <w:t>入决算情况说明</w:t>
      </w:r>
      <w:bookmarkEnd w:id="20"/>
      <w:bookmarkEnd w:id="21"/>
    </w:p>
    <w:p w14:paraId="035E1267">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86.62</w:t>
      </w:r>
      <w:r>
        <w:rPr>
          <w:rFonts w:hint="eastAsia" w:ascii="仿宋" w:hAnsi="仿宋" w:eastAsia="仿宋"/>
          <w:sz w:val="32"/>
          <w:szCs w:val="32"/>
        </w:rPr>
        <w:t>万元，其中：一般公共预算财政拨款收入</w:t>
      </w:r>
      <w:r>
        <w:rPr>
          <w:rFonts w:ascii="仿宋" w:hAnsi="仿宋" w:eastAsia="仿宋"/>
          <w:b/>
          <w:sz w:val="32"/>
          <w:szCs w:val="32"/>
        </w:rPr>
        <w:t>86.62</w:t>
      </w:r>
      <w:r>
        <w:rPr>
          <w:rFonts w:hint="eastAsia" w:ascii="仿宋" w:hAnsi="仿宋" w:eastAsia="仿宋"/>
          <w:sz w:val="32"/>
          <w:szCs w:val="32"/>
        </w:rPr>
        <w:t>万元，占</w:t>
      </w:r>
      <w:r>
        <w:rPr>
          <w:rFonts w:ascii="仿宋" w:hAnsi="仿宋" w:eastAsia="仿宋"/>
          <w:b/>
          <w:sz w:val="32"/>
          <w:szCs w:val="32"/>
        </w:rPr>
        <w:t>100%</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p>
    <w:p w14:paraId="08020154">
      <w:pPr>
        <w:spacing w:line="600" w:lineRule="exact"/>
        <w:ind w:firstLine="643" w:firstLineChars="200"/>
        <w:rPr>
          <w:rFonts w:hint="eastAsia" w:ascii="仿宋" w:hAnsi="仿宋" w:eastAsia="仿宋"/>
          <w:sz w:val="32"/>
          <w:szCs w:val="32"/>
          <w:lang w:eastAsia="zh-CN"/>
        </w:rPr>
      </w:pPr>
      <w:r>
        <w:rPr>
          <w:rFonts w:hint="eastAsia" w:ascii="仿宋" w:hAnsi="仿宋" w:eastAsia="仿宋"/>
          <w:b/>
          <w:sz w:val="32"/>
          <w:szCs w:val="32"/>
          <w:lang w:val="en-US" w:eastAsia="zh-CN"/>
        </w:rPr>
        <w:t xml:space="preserve"> </w:t>
      </w:r>
    </w:p>
    <w:p w14:paraId="6243312F">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59264" behindDoc="0" locked="0" layoutInCell="1" allowOverlap="1">
            <wp:simplePos x="0" y="0"/>
            <wp:positionH relativeFrom="column">
              <wp:posOffset>-61595</wp:posOffset>
            </wp:positionH>
            <wp:positionV relativeFrom="paragraph">
              <wp:posOffset>106680</wp:posOffset>
            </wp:positionV>
            <wp:extent cx="5267325" cy="2827020"/>
            <wp:effectExtent l="0" t="0" r="9525" b="11430"/>
            <wp:wrapNone/>
            <wp:docPr id="1" name="图片 1" descr="2023年度部门收入项目结构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3年度部门收入项目结构图(3)"/>
                    <pic:cNvPicPr>
                      <a:picLocks noChangeAspect="1"/>
                    </pic:cNvPicPr>
                  </pic:nvPicPr>
                  <pic:blipFill>
                    <a:blip r:embed="rId6"/>
                    <a:stretch>
                      <a:fillRect/>
                    </a:stretch>
                  </pic:blipFill>
                  <pic:spPr>
                    <a:xfrm>
                      <a:off x="0" y="0"/>
                      <a:ext cx="5267325" cy="2827020"/>
                    </a:xfrm>
                    <a:prstGeom prst="rect">
                      <a:avLst/>
                    </a:prstGeom>
                  </pic:spPr>
                </pic:pic>
              </a:graphicData>
            </a:graphic>
          </wp:anchor>
        </w:drawing>
      </w:r>
    </w:p>
    <w:p w14:paraId="5F1159E6">
      <w:pPr>
        <w:spacing w:line="600" w:lineRule="exact"/>
        <w:ind w:firstLine="640" w:firstLineChars="200"/>
        <w:rPr>
          <w:rFonts w:hint="eastAsia" w:ascii="仿宋" w:hAnsi="仿宋" w:eastAsia="仿宋"/>
          <w:sz w:val="32"/>
          <w:szCs w:val="32"/>
        </w:rPr>
      </w:pPr>
    </w:p>
    <w:p w14:paraId="520A565F">
      <w:pPr>
        <w:spacing w:line="600" w:lineRule="exact"/>
        <w:ind w:firstLine="640" w:firstLineChars="200"/>
        <w:rPr>
          <w:rFonts w:hint="eastAsia" w:ascii="仿宋" w:hAnsi="仿宋" w:eastAsia="仿宋"/>
          <w:sz w:val="32"/>
          <w:szCs w:val="32"/>
        </w:rPr>
      </w:pPr>
    </w:p>
    <w:p w14:paraId="513BF4C3">
      <w:pPr>
        <w:spacing w:line="600" w:lineRule="exact"/>
        <w:ind w:firstLine="640" w:firstLineChars="200"/>
        <w:rPr>
          <w:rFonts w:hint="eastAsia" w:ascii="仿宋" w:hAnsi="仿宋" w:eastAsia="仿宋"/>
          <w:sz w:val="32"/>
          <w:szCs w:val="32"/>
        </w:rPr>
      </w:pPr>
    </w:p>
    <w:p w14:paraId="06C5EE9E">
      <w:pPr>
        <w:spacing w:line="600" w:lineRule="exact"/>
        <w:ind w:firstLine="640" w:firstLineChars="200"/>
        <w:rPr>
          <w:rFonts w:hint="eastAsia" w:ascii="仿宋" w:hAnsi="仿宋" w:eastAsia="仿宋"/>
          <w:sz w:val="32"/>
          <w:szCs w:val="32"/>
        </w:rPr>
      </w:pPr>
    </w:p>
    <w:p w14:paraId="32CF2DF8">
      <w:pPr>
        <w:spacing w:line="600" w:lineRule="exact"/>
        <w:ind w:firstLine="640" w:firstLineChars="200"/>
        <w:rPr>
          <w:rFonts w:hint="eastAsia" w:ascii="仿宋" w:hAnsi="仿宋" w:eastAsia="仿宋"/>
          <w:sz w:val="32"/>
          <w:szCs w:val="32"/>
        </w:rPr>
      </w:pPr>
    </w:p>
    <w:p w14:paraId="0198E61E">
      <w:pPr>
        <w:spacing w:line="600" w:lineRule="exact"/>
        <w:ind w:firstLine="640" w:firstLineChars="200"/>
        <w:rPr>
          <w:rFonts w:hint="eastAsia" w:ascii="仿宋" w:hAnsi="仿宋" w:eastAsia="仿宋"/>
          <w:sz w:val="32"/>
          <w:szCs w:val="32"/>
        </w:rPr>
      </w:pPr>
    </w:p>
    <w:p w14:paraId="2003A478">
      <w:pPr>
        <w:spacing w:line="600" w:lineRule="exact"/>
        <w:rPr>
          <w:rFonts w:ascii="仿宋_GB2312" w:eastAsia="仿宋_GB2312"/>
          <w:sz w:val="32"/>
          <w:szCs w:val="32"/>
        </w:rPr>
      </w:pPr>
    </w:p>
    <w:p w14:paraId="64D2C8BF">
      <w:pPr>
        <w:pStyle w:val="26"/>
        <w:numPr>
          <w:ilvl w:val="0"/>
          <w:numId w:val="2"/>
        </w:numPr>
        <w:spacing w:line="600" w:lineRule="exact"/>
        <w:ind w:firstLineChars="0"/>
        <w:outlineLvl w:val="1"/>
        <w:rPr>
          <w:rStyle w:val="28"/>
          <w:rFonts w:ascii="黑体" w:hAnsi="黑体" w:eastAsia="黑体"/>
          <w:b w:val="0"/>
        </w:rPr>
      </w:pPr>
      <w:bookmarkStart w:id="22" w:name="_Toc15377207"/>
      <w:bookmarkStart w:id="23" w:name="_Toc15396605"/>
      <w:r>
        <w:rPr>
          <w:rFonts w:hint="eastAsia" w:ascii="黑体" w:hAnsi="黑体" w:eastAsia="黑体"/>
          <w:sz w:val="32"/>
          <w:szCs w:val="32"/>
        </w:rPr>
        <w:t>支</w:t>
      </w:r>
      <w:r>
        <w:rPr>
          <w:rStyle w:val="28"/>
          <w:rFonts w:hint="eastAsia" w:ascii="黑体" w:hAnsi="黑体" w:eastAsia="黑体"/>
          <w:b w:val="0"/>
        </w:rPr>
        <w:t>出决算情况说明</w:t>
      </w:r>
      <w:bookmarkEnd w:id="22"/>
      <w:bookmarkEnd w:id="23"/>
    </w:p>
    <w:p w14:paraId="31891C98">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86.62</w:t>
      </w:r>
      <w:r>
        <w:rPr>
          <w:rFonts w:hint="eastAsia" w:ascii="仿宋" w:hAnsi="仿宋" w:eastAsia="仿宋"/>
          <w:sz w:val="32"/>
          <w:szCs w:val="32"/>
        </w:rPr>
        <w:t>万元，其中：基本支出</w:t>
      </w:r>
      <w:r>
        <w:rPr>
          <w:rFonts w:ascii="仿宋" w:hAnsi="仿宋" w:eastAsia="仿宋"/>
          <w:b/>
          <w:sz w:val="32"/>
          <w:szCs w:val="32"/>
        </w:rPr>
        <w:t>86.62</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3261E45A">
      <w:pPr>
        <w:spacing w:line="600" w:lineRule="exact"/>
        <w:ind w:firstLine="643" w:firstLineChars="200"/>
        <w:outlineLvl w:val="1"/>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04</w:t>
      </w:r>
      <w:r>
        <w:rPr>
          <w:rFonts w:hint="eastAsia" w:ascii="仿宋" w:hAnsi="仿宋" w:eastAsia="仿宋"/>
          <w:b/>
          <w:sz w:val="32"/>
          <w:szCs w:val="32"/>
        </w:rPr>
        <w:t>表，仅罗列本单位涉及的支出。）</w:t>
      </w:r>
    </w:p>
    <w:p w14:paraId="126ADA50">
      <w:pPr>
        <w:spacing w:line="600" w:lineRule="exact"/>
        <w:ind w:firstLine="640"/>
        <w:rPr>
          <w:rFonts w:ascii="仿宋" w:hAnsi="仿宋" w:eastAsia="仿宋"/>
          <w:sz w:val="32"/>
          <w:szCs w:val="32"/>
          <w:shd w:val="pct10" w:color="auto" w:fill="FFFFFF"/>
        </w:rPr>
      </w:pPr>
    </w:p>
    <w:p w14:paraId="0D838282">
      <w:pPr>
        <w:spacing w:line="600" w:lineRule="exact"/>
        <w:ind w:firstLine="640" w:firstLineChars="200"/>
        <w:rPr>
          <w:rFonts w:hint="eastAsia" w:ascii="仿宋" w:hAnsi="仿宋" w:eastAsia="仿宋"/>
          <w:sz w:val="32"/>
          <w:szCs w:val="32"/>
        </w:rPr>
      </w:pPr>
    </w:p>
    <w:p w14:paraId="665DBC5E">
      <w:pPr>
        <w:spacing w:line="600" w:lineRule="exact"/>
        <w:ind w:firstLine="640" w:firstLineChars="200"/>
        <w:rPr>
          <w:rFonts w:hint="eastAsia" w:ascii="仿宋" w:hAnsi="仿宋" w:eastAsia="仿宋"/>
          <w:sz w:val="32"/>
          <w:szCs w:val="32"/>
        </w:rPr>
      </w:pPr>
    </w:p>
    <w:p w14:paraId="097804E9">
      <w:pPr>
        <w:spacing w:line="600" w:lineRule="exact"/>
        <w:ind w:firstLine="640" w:firstLineChars="200"/>
        <w:rPr>
          <w:rFonts w:hint="eastAsia" w:ascii="仿宋" w:hAnsi="仿宋" w:eastAsia="仿宋"/>
          <w:sz w:val="32"/>
          <w:szCs w:val="32"/>
        </w:rPr>
      </w:pPr>
    </w:p>
    <w:p w14:paraId="0F55AF34">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0288" behindDoc="0" locked="0" layoutInCell="1" allowOverlap="1">
            <wp:simplePos x="0" y="0"/>
            <wp:positionH relativeFrom="column">
              <wp:posOffset>198755</wp:posOffset>
            </wp:positionH>
            <wp:positionV relativeFrom="paragraph">
              <wp:posOffset>-212725</wp:posOffset>
            </wp:positionV>
            <wp:extent cx="5267325" cy="2827020"/>
            <wp:effectExtent l="0" t="0" r="9525" b="11430"/>
            <wp:wrapNone/>
            <wp:docPr id="3" name="图片 3" descr="2023年度部门收入项目结构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3年度部门收入项目结构图(4)"/>
                    <pic:cNvPicPr>
                      <a:picLocks noChangeAspect="1"/>
                    </pic:cNvPicPr>
                  </pic:nvPicPr>
                  <pic:blipFill>
                    <a:blip r:embed="rId7"/>
                    <a:stretch>
                      <a:fillRect/>
                    </a:stretch>
                  </pic:blipFill>
                  <pic:spPr>
                    <a:xfrm>
                      <a:off x="0" y="0"/>
                      <a:ext cx="5267325" cy="2827020"/>
                    </a:xfrm>
                    <a:prstGeom prst="rect">
                      <a:avLst/>
                    </a:prstGeom>
                  </pic:spPr>
                </pic:pic>
              </a:graphicData>
            </a:graphic>
          </wp:anchor>
        </w:drawing>
      </w:r>
    </w:p>
    <w:p w14:paraId="68CBAACA">
      <w:pPr>
        <w:spacing w:line="600" w:lineRule="exact"/>
        <w:ind w:firstLine="640" w:firstLineChars="200"/>
        <w:rPr>
          <w:rFonts w:hint="eastAsia" w:ascii="仿宋" w:hAnsi="仿宋" w:eastAsia="仿宋"/>
          <w:sz w:val="32"/>
          <w:szCs w:val="32"/>
        </w:rPr>
      </w:pPr>
    </w:p>
    <w:p w14:paraId="38607AA9">
      <w:pPr>
        <w:spacing w:line="600" w:lineRule="exact"/>
        <w:ind w:firstLine="640" w:firstLineChars="200"/>
        <w:rPr>
          <w:rFonts w:hint="eastAsia" w:ascii="仿宋" w:hAnsi="仿宋" w:eastAsia="仿宋"/>
          <w:sz w:val="32"/>
          <w:szCs w:val="32"/>
        </w:rPr>
      </w:pPr>
    </w:p>
    <w:p w14:paraId="1E12542F">
      <w:pPr>
        <w:spacing w:line="600" w:lineRule="exact"/>
        <w:ind w:firstLine="640" w:firstLineChars="200"/>
        <w:rPr>
          <w:rFonts w:hint="eastAsia" w:ascii="仿宋" w:hAnsi="仿宋" w:eastAsia="仿宋"/>
          <w:sz w:val="32"/>
          <w:szCs w:val="32"/>
        </w:rPr>
      </w:pPr>
    </w:p>
    <w:p w14:paraId="1C6E7B9D">
      <w:pPr>
        <w:spacing w:line="600" w:lineRule="exact"/>
        <w:ind w:firstLine="640" w:firstLineChars="200"/>
        <w:rPr>
          <w:rFonts w:hint="eastAsia" w:ascii="仿宋" w:hAnsi="仿宋" w:eastAsia="仿宋"/>
          <w:sz w:val="32"/>
          <w:szCs w:val="32"/>
        </w:rPr>
      </w:pPr>
    </w:p>
    <w:p w14:paraId="2DEB6CD0">
      <w:pPr>
        <w:spacing w:line="600" w:lineRule="exact"/>
        <w:ind w:firstLine="640" w:firstLineChars="200"/>
        <w:rPr>
          <w:rFonts w:hint="eastAsia" w:ascii="仿宋" w:hAnsi="仿宋" w:eastAsia="仿宋"/>
          <w:sz w:val="32"/>
          <w:szCs w:val="32"/>
          <w:lang w:eastAsia="zh-CN"/>
        </w:rPr>
      </w:pPr>
    </w:p>
    <w:p w14:paraId="5C00A5F4">
      <w:pPr>
        <w:spacing w:line="600" w:lineRule="exact"/>
        <w:ind w:firstLine="640" w:firstLineChars="200"/>
        <w:rPr>
          <w:rFonts w:hint="eastAsia" w:ascii="仿宋" w:hAnsi="仿宋" w:eastAsia="仿宋"/>
          <w:sz w:val="32"/>
          <w:szCs w:val="32"/>
        </w:rPr>
      </w:pPr>
    </w:p>
    <w:p w14:paraId="483B786C">
      <w:pPr>
        <w:spacing w:line="600" w:lineRule="exact"/>
        <w:ind w:firstLine="960" w:firstLineChars="300"/>
        <w:outlineLvl w:val="1"/>
        <w:rPr>
          <w:rFonts w:hint="eastAsia" w:ascii="黑体" w:hAnsi="黑体" w:eastAsia="黑体"/>
          <w:sz w:val="32"/>
          <w:szCs w:val="32"/>
        </w:rPr>
      </w:pPr>
      <w:bookmarkStart w:id="24" w:name="_Toc15396606"/>
      <w:bookmarkStart w:id="25" w:name="_Toc15377208"/>
    </w:p>
    <w:p w14:paraId="4138EDCD">
      <w:pPr>
        <w:spacing w:line="600" w:lineRule="exact"/>
        <w:ind w:firstLine="960" w:firstLineChars="300"/>
        <w:outlineLvl w:val="1"/>
        <w:rPr>
          <w:rStyle w:val="28"/>
          <w:rFonts w:ascii="黑体" w:hAnsi="黑体" w:eastAsia="黑体"/>
          <w:b w:val="0"/>
        </w:rPr>
      </w:pPr>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24"/>
      <w:bookmarkEnd w:id="25"/>
    </w:p>
    <w:p w14:paraId="69DEAAE7">
      <w:pPr>
        <w:spacing w:line="600" w:lineRule="exact"/>
        <w:ind w:firstLine="640" w:firstLineChars="200"/>
        <w:rPr>
          <w:rFonts w:hint="default" w:eastAsia="仿宋"/>
          <w:lang w:val="en-US" w:eastAsia="zh-CN"/>
        </w:rPr>
      </w:pPr>
      <w:r>
        <w:rPr>
          <w:rFonts w:hint="eastAsia" w:ascii="仿宋" w:hAnsi="仿宋" w:eastAsia="仿宋"/>
          <w:sz w:val="32"/>
          <w:szCs w:val="32"/>
        </w:rPr>
        <w:t>2023年度财政拨款收、支总计均为</w:t>
      </w:r>
      <w:r>
        <w:rPr>
          <w:rFonts w:ascii="仿宋" w:hAnsi="仿宋" w:eastAsia="仿宋"/>
          <w:b/>
          <w:sz w:val="32"/>
          <w:szCs w:val="32"/>
        </w:rPr>
        <w:t>86.62</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1603FC2E">
      <w:pPr>
        <w:spacing w:line="600" w:lineRule="exact"/>
        <w:ind w:firstLine="420" w:firstLineChars="200"/>
        <w:rPr>
          <w:rFonts w:hint="default" w:eastAsia="仿宋"/>
          <w:lang w:val="en-US" w:eastAsia="zh-CN"/>
        </w:rPr>
      </w:pPr>
    </w:p>
    <w:p w14:paraId="65FD7A94">
      <w:pPr>
        <w:spacing w:line="600" w:lineRule="exact"/>
        <w:ind w:firstLine="1600" w:firstLineChars="500"/>
        <w:outlineLvl w:val="1"/>
        <w:rPr>
          <w:rFonts w:hint="eastAsia" w:ascii="黑体" w:hAnsi="黑体" w:eastAsia="黑体"/>
          <w:sz w:val="32"/>
          <w:szCs w:val="32"/>
        </w:rPr>
      </w:pPr>
      <w:bookmarkStart w:id="26" w:name="_Toc15377209"/>
      <w:bookmarkStart w:id="27" w:name="_Toc15396607"/>
    </w:p>
    <w:p w14:paraId="71522924">
      <w:pPr>
        <w:spacing w:line="600" w:lineRule="exact"/>
        <w:ind w:firstLine="1600" w:firstLineChars="500"/>
        <w:outlineLvl w:val="1"/>
        <w:rPr>
          <w:rFonts w:hint="eastAsia" w:ascii="黑体" w:hAnsi="黑体" w:eastAsia="黑体"/>
          <w:sz w:val="32"/>
          <w:szCs w:val="32"/>
        </w:rPr>
      </w:pPr>
    </w:p>
    <w:p w14:paraId="42A75EE4">
      <w:pPr>
        <w:spacing w:line="600" w:lineRule="exact"/>
        <w:ind w:firstLine="960" w:firstLineChars="300"/>
        <w:outlineLvl w:val="1"/>
        <w:rPr>
          <w:rStyle w:val="28"/>
          <w:rFonts w:ascii="黑体" w:hAnsi="黑体" w:eastAsia="黑体"/>
          <w:b w:val="0"/>
        </w:rPr>
      </w:pPr>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26"/>
      <w:bookmarkEnd w:id="27"/>
    </w:p>
    <w:p w14:paraId="53AC8A2A">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14:paraId="7DC16339">
      <w:pPr>
        <w:spacing w:line="600" w:lineRule="exact"/>
        <w:ind w:firstLine="640" w:firstLineChars="200"/>
        <w:rPr>
          <w:rFonts w:hint="default" w:eastAsia="仿宋"/>
          <w:lang w:val="en-US" w:eastAsia="zh-CN"/>
        </w:rPr>
      </w:pPr>
      <w:r>
        <w:rPr>
          <w:rFonts w:hint="eastAsia" w:ascii="仿宋" w:hAnsi="仿宋" w:eastAsia="仿宋"/>
          <w:sz w:val="32"/>
          <w:szCs w:val="32"/>
        </w:rPr>
        <w:t>2023年度一般公共预算财政拨款支出</w:t>
      </w:r>
      <w:r>
        <w:rPr>
          <w:rFonts w:ascii="仿宋" w:hAnsi="仿宋" w:eastAsia="仿宋"/>
          <w:b/>
          <w:sz w:val="32"/>
          <w:szCs w:val="32"/>
        </w:rPr>
        <w:t>86.62</w:t>
      </w:r>
      <w:r>
        <w:rPr>
          <w:rFonts w:hint="eastAsia" w:ascii="仿宋" w:hAnsi="仿宋" w:eastAsia="仿宋"/>
          <w:sz w:val="32"/>
          <w:szCs w:val="32"/>
        </w:rPr>
        <w:t>万元，占本年支出合计的</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lang w:val="en-US" w:eastAsia="zh-CN"/>
        </w:rPr>
        <w:t>2022年与上属单位未分开做账核算，数据对比异常。</w:t>
      </w:r>
    </w:p>
    <w:p w14:paraId="0D7CA9B7">
      <w:pPr>
        <w:spacing w:line="600" w:lineRule="exact"/>
        <w:ind w:firstLine="420" w:firstLineChars="200"/>
        <w:rPr>
          <w:rFonts w:hint="default" w:eastAsia="仿宋"/>
          <w:lang w:val="en-US" w:eastAsia="zh-CN"/>
        </w:rPr>
      </w:pPr>
    </w:p>
    <w:p w14:paraId="774C4F57">
      <w:pPr>
        <w:spacing w:line="600" w:lineRule="exact"/>
        <w:ind w:firstLine="640" w:firstLineChars="200"/>
        <w:rPr>
          <w:rFonts w:ascii="仿宋" w:hAnsi="仿宋" w:eastAsia="仿宋"/>
          <w:sz w:val="32"/>
          <w:szCs w:val="32"/>
        </w:rPr>
      </w:pPr>
    </w:p>
    <w:p w14:paraId="3295FD67">
      <w:pPr>
        <w:spacing w:line="600" w:lineRule="exact"/>
        <w:ind w:firstLine="420" w:firstLineChars="200"/>
        <w:outlineLvl w:val="2"/>
        <w:rPr>
          <w:rFonts w:hint="eastAsia" w:ascii="仿宋" w:hAnsi="仿宋" w:eastAsia="仿宋"/>
          <w:b/>
          <w:sz w:val="32"/>
          <w:szCs w:val="32"/>
        </w:rPr>
      </w:pPr>
      <w:bookmarkStart w:id="29" w:name="_Toc15377211"/>
      <w:r>
        <w:rPr>
          <w:rFonts w:hint="default" w:eastAsia="仿宋"/>
          <w:lang w:val="en-US" w:eastAsia="zh-CN"/>
        </w:rPr>
        <w:drawing>
          <wp:anchor distT="0" distB="0" distL="114300" distR="114300" simplePos="0" relativeHeight="251661312" behindDoc="0" locked="0" layoutInCell="1" allowOverlap="1">
            <wp:simplePos x="0" y="0"/>
            <wp:positionH relativeFrom="column">
              <wp:posOffset>32385</wp:posOffset>
            </wp:positionH>
            <wp:positionV relativeFrom="paragraph">
              <wp:posOffset>107315</wp:posOffset>
            </wp:positionV>
            <wp:extent cx="5267325" cy="2827020"/>
            <wp:effectExtent l="0" t="0" r="9525" b="11430"/>
            <wp:wrapNone/>
            <wp:docPr id="5" name="图片 5" descr="2023年度部门收入项目结构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023年度部门收入项目结构图(3)"/>
                    <pic:cNvPicPr>
                      <a:picLocks noChangeAspect="1"/>
                    </pic:cNvPicPr>
                  </pic:nvPicPr>
                  <pic:blipFill>
                    <a:blip r:embed="rId6"/>
                    <a:stretch>
                      <a:fillRect/>
                    </a:stretch>
                  </pic:blipFill>
                  <pic:spPr>
                    <a:xfrm>
                      <a:off x="0" y="0"/>
                      <a:ext cx="5267325" cy="2827020"/>
                    </a:xfrm>
                    <a:prstGeom prst="rect">
                      <a:avLst/>
                    </a:prstGeom>
                  </pic:spPr>
                </pic:pic>
              </a:graphicData>
            </a:graphic>
          </wp:anchor>
        </w:drawing>
      </w:r>
    </w:p>
    <w:p w14:paraId="6021BEF2">
      <w:pPr>
        <w:spacing w:line="600" w:lineRule="exact"/>
        <w:ind w:firstLine="643" w:firstLineChars="200"/>
        <w:outlineLvl w:val="2"/>
        <w:rPr>
          <w:rFonts w:hint="eastAsia" w:ascii="仿宋" w:hAnsi="仿宋" w:eastAsia="仿宋"/>
          <w:b/>
          <w:sz w:val="32"/>
          <w:szCs w:val="32"/>
        </w:rPr>
      </w:pPr>
    </w:p>
    <w:p w14:paraId="686D613B">
      <w:pPr>
        <w:spacing w:line="600" w:lineRule="exact"/>
        <w:ind w:firstLine="643" w:firstLineChars="200"/>
        <w:outlineLvl w:val="2"/>
        <w:rPr>
          <w:rFonts w:hint="eastAsia" w:ascii="仿宋" w:hAnsi="仿宋" w:eastAsia="仿宋"/>
          <w:b/>
          <w:sz w:val="32"/>
          <w:szCs w:val="32"/>
        </w:rPr>
      </w:pPr>
    </w:p>
    <w:p w14:paraId="3F8D807C">
      <w:pPr>
        <w:spacing w:line="600" w:lineRule="exact"/>
        <w:ind w:firstLine="643" w:firstLineChars="200"/>
        <w:outlineLvl w:val="2"/>
        <w:rPr>
          <w:rFonts w:hint="eastAsia" w:ascii="仿宋" w:hAnsi="仿宋" w:eastAsia="仿宋"/>
          <w:b/>
          <w:sz w:val="32"/>
          <w:szCs w:val="32"/>
        </w:rPr>
      </w:pPr>
    </w:p>
    <w:p w14:paraId="77476B5A">
      <w:pPr>
        <w:spacing w:line="600" w:lineRule="exact"/>
        <w:ind w:firstLine="643" w:firstLineChars="200"/>
        <w:outlineLvl w:val="2"/>
        <w:rPr>
          <w:rFonts w:hint="eastAsia" w:ascii="仿宋" w:hAnsi="仿宋" w:eastAsia="仿宋"/>
          <w:b/>
          <w:sz w:val="32"/>
          <w:szCs w:val="32"/>
        </w:rPr>
      </w:pPr>
    </w:p>
    <w:p w14:paraId="1994D460">
      <w:pPr>
        <w:spacing w:line="600" w:lineRule="exact"/>
        <w:ind w:firstLine="643" w:firstLineChars="200"/>
        <w:outlineLvl w:val="2"/>
        <w:rPr>
          <w:rFonts w:hint="eastAsia" w:ascii="仿宋" w:hAnsi="仿宋" w:eastAsia="仿宋"/>
          <w:b/>
          <w:sz w:val="32"/>
          <w:szCs w:val="32"/>
        </w:rPr>
      </w:pPr>
    </w:p>
    <w:p w14:paraId="24665296">
      <w:pPr>
        <w:spacing w:line="600" w:lineRule="exact"/>
        <w:ind w:firstLine="643" w:firstLineChars="200"/>
        <w:outlineLvl w:val="2"/>
        <w:rPr>
          <w:rFonts w:hint="eastAsia" w:ascii="仿宋" w:hAnsi="仿宋" w:eastAsia="仿宋"/>
          <w:b/>
          <w:sz w:val="32"/>
          <w:szCs w:val="32"/>
        </w:rPr>
      </w:pPr>
    </w:p>
    <w:p w14:paraId="2EB21B69">
      <w:pPr>
        <w:spacing w:line="600" w:lineRule="exact"/>
        <w:ind w:firstLine="643" w:firstLineChars="200"/>
        <w:outlineLvl w:val="2"/>
        <w:rPr>
          <w:rFonts w:hint="eastAsia" w:ascii="仿宋" w:hAnsi="仿宋" w:eastAsia="仿宋"/>
          <w:b/>
          <w:sz w:val="32"/>
          <w:szCs w:val="32"/>
        </w:rPr>
      </w:pPr>
    </w:p>
    <w:p w14:paraId="63FE7ABF">
      <w:pPr>
        <w:spacing w:line="600" w:lineRule="exact"/>
        <w:ind w:firstLine="643" w:firstLineChars="200"/>
        <w:outlineLvl w:val="2"/>
        <w:rPr>
          <w:rFonts w:hint="eastAsia" w:ascii="仿宋" w:hAnsi="仿宋" w:eastAsia="仿宋"/>
          <w:b/>
          <w:sz w:val="32"/>
          <w:szCs w:val="32"/>
        </w:rPr>
      </w:pPr>
    </w:p>
    <w:p w14:paraId="0CD2D862">
      <w:pPr>
        <w:spacing w:line="600" w:lineRule="exact"/>
        <w:ind w:firstLine="420" w:firstLineChars="200"/>
        <w:rPr>
          <w:rFonts w:hint="default" w:eastAsia="仿宋"/>
          <w:lang w:val="en-US" w:eastAsia="zh-CN"/>
        </w:rPr>
      </w:pPr>
    </w:p>
    <w:p w14:paraId="6BF7CE6F">
      <w:pPr>
        <w:spacing w:line="600" w:lineRule="exact"/>
        <w:ind w:firstLine="643" w:firstLineChars="200"/>
        <w:outlineLvl w:val="2"/>
        <w:rPr>
          <w:rFonts w:hint="eastAsia" w:ascii="仿宋" w:hAnsi="仿宋" w:eastAsia="仿宋"/>
          <w:b/>
          <w:sz w:val="32"/>
          <w:szCs w:val="32"/>
        </w:rPr>
      </w:pPr>
    </w:p>
    <w:p w14:paraId="213904C7">
      <w:pPr>
        <w:spacing w:line="600" w:lineRule="exact"/>
        <w:ind w:firstLine="643" w:firstLineChars="200"/>
        <w:outlineLvl w:val="2"/>
        <w:rPr>
          <w:rFonts w:ascii="仿宋" w:hAnsi="仿宋" w:eastAsia="仿宋"/>
          <w:b/>
          <w:sz w:val="32"/>
          <w:szCs w:val="32"/>
        </w:rPr>
      </w:pPr>
      <w:r>
        <w:rPr>
          <w:rFonts w:hint="eastAsia" w:ascii="仿宋" w:hAnsi="仿宋" w:eastAsia="仿宋"/>
          <w:b/>
          <w:sz w:val="32"/>
          <w:szCs w:val="32"/>
        </w:rPr>
        <w:t>（二）一般公共预算财政拨款支出决算结构情况</w:t>
      </w:r>
      <w:bookmarkEnd w:id="29"/>
    </w:p>
    <w:p w14:paraId="649A3FAC">
      <w:pPr>
        <w:spacing w:line="600" w:lineRule="exact"/>
        <w:ind w:firstLine="640" w:firstLineChars="200"/>
        <w:rPr>
          <w:rFonts w:hint="default" w:eastAsia="仿宋"/>
          <w:lang w:val="en-US" w:eastAsia="zh-CN"/>
        </w:rPr>
      </w:pPr>
      <w:r>
        <w:rPr>
          <w:rFonts w:hint="eastAsia" w:ascii="仿宋" w:hAnsi="仿宋" w:eastAsia="仿宋"/>
          <w:sz w:val="32"/>
          <w:szCs w:val="32"/>
        </w:rPr>
        <w:t>2023年度一般公共预算财政拨款支出</w:t>
      </w:r>
      <w:r>
        <w:rPr>
          <w:rFonts w:ascii="仿宋" w:hAnsi="仿宋" w:eastAsia="仿宋"/>
          <w:b/>
          <w:sz w:val="32"/>
          <w:szCs w:val="32"/>
        </w:rPr>
        <w:t>86.62</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0275101C">
      <w:pPr>
        <w:spacing w:line="600" w:lineRule="exact"/>
        <w:ind w:firstLine="640"/>
        <w:rPr>
          <w:rFonts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2336" behindDoc="0" locked="0" layoutInCell="1" allowOverlap="1">
            <wp:simplePos x="0" y="0"/>
            <wp:positionH relativeFrom="column">
              <wp:posOffset>25400</wp:posOffset>
            </wp:positionH>
            <wp:positionV relativeFrom="paragraph">
              <wp:posOffset>367030</wp:posOffset>
            </wp:positionV>
            <wp:extent cx="5267325" cy="2827020"/>
            <wp:effectExtent l="0" t="0" r="9525" b="11430"/>
            <wp:wrapNone/>
            <wp:docPr id="6" name="图片 6" descr="2023年度部门收入项目结构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023年度部门收入项目结构图(5)"/>
                    <pic:cNvPicPr>
                      <a:picLocks noChangeAspect="1"/>
                    </pic:cNvPicPr>
                  </pic:nvPicPr>
                  <pic:blipFill>
                    <a:blip r:embed="rId8"/>
                    <a:stretch>
                      <a:fillRect/>
                    </a:stretch>
                  </pic:blipFill>
                  <pic:spPr>
                    <a:xfrm>
                      <a:off x="0" y="0"/>
                      <a:ext cx="5267325" cy="2827020"/>
                    </a:xfrm>
                    <a:prstGeom prst="rect">
                      <a:avLst/>
                    </a:prstGeom>
                  </pic:spPr>
                </pic:pic>
              </a:graphicData>
            </a:graphic>
          </wp:anchor>
        </w:drawing>
      </w:r>
    </w:p>
    <w:p w14:paraId="1719E25B">
      <w:pPr>
        <w:spacing w:line="600" w:lineRule="exact"/>
        <w:ind w:firstLine="640" w:firstLineChars="200"/>
        <w:rPr>
          <w:rFonts w:hint="eastAsia" w:ascii="仿宋" w:hAnsi="仿宋" w:eastAsia="仿宋"/>
          <w:sz w:val="32"/>
          <w:szCs w:val="32"/>
        </w:rPr>
      </w:pPr>
    </w:p>
    <w:p w14:paraId="69DB9A8F">
      <w:pPr>
        <w:spacing w:line="600" w:lineRule="exact"/>
        <w:ind w:firstLine="640" w:firstLineChars="200"/>
        <w:rPr>
          <w:rFonts w:hint="eastAsia" w:ascii="仿宋" w:hAnsi="仿宋" w:eastAsia="仿宋"/>
          <w:sz w:val="32"/>
          <w:szCs w:val="32"/>
        </w:rPr>
      </w:pPr>
    </w:p>
    <w:p w14:paraId="16259481">
      <w:pPr>
        <w:spacing w:line="600" w:lineRule="exact"/>
        <w:ind w:firstLine="640" w:firstLineChars="200"/>
        <w:rPr>
          <w:rFonts w:hint="eastAsia" w:ascii="仿宋" w:hAnsi="仿宋" w:eastAsia="仿宋"/>
          <w:sz w:val="32"/>
          <w:szCs w:val="32"/>
        </w:rPr>
      </w:pPr>
    </w:p>
    <w:p w14:paraId="1830AEDA">
      <w:pPr>
        <w:spacing w:line="600" w:lineRule="exact"/>
        <w:ind w:firstLine="640" w:firstLineChars="200"/>
        <w:rPr>
          <w:rFonts w:hint="eastAsia" w:ascii="仿宋" w:hAnsi="仿宋" w:eastAsia="仿宋"/>
          <w:sz w:val="32"/>
          <w:szCs w:val="32"/>
        </w:rPr>
      </w:pPr>
    </w:p>
    <w:p w14:paraId="52C1F6D3">
      <w:pPr>
        <w:spacing w:line="600" w:lineRule="exact"/>
        <w:ind w:firstLine="640" w:firstLineChars="200"/>
        <w:rPr>
          <w:rFonts w:hint="eastAsia" w:ascii="仿宋" w:hAnsi="仿宋" w:eastAsia="仿宋"/>
          <w:sz w:val="32"/>
          <w:szCs w:val="32"/>
        </w:rPr>
      </w:pPr>
    </w:p>
    <w:p w14:paraId="3FB2372D">
      <w:pPr>
        <w:spacing w:line="600" w:lineRule="exact"/>
        <w:ind w:firstLine="640" w:firstLineChars="200"/>
        <w:rPr>
          <w:rFonts w:hint="eastAsia" w:ascii="仿宋" w:hAnsi="仿宋" w:eastAsia="仿宋"/>
          <w:sz w:val="32"/>
          <w:szCs w:val="32"/>
        </w:rPr>
      </w:pPr>
    </w:p>
    <w:p w14:paraId="0A06E7B2">
      <w:pPr>
        <w:spacing w:line="600" w:lineRule="exact"/>
        <w:ind w:firstLine="640" w:firstLineChars="200"/>
        <w:rPr>
          <w:rFonts w:hint="eastAsia" w:ascii="仿宋" w:hAnsi="仿宋" w:eastAsia="仿宋"/>
          <w:sz w:val="32"/>
          <w:szCs w:val="32"/>
        </w:rPr>
      </w:pPr>
    </w:p>
    <w:p w14:paraId="293B22DE">
      <w:pPr>
        <w:spacing w:line="600" w:lineRule="exact"/>
        <w:ind w:firstLine="640" w:firstLineChars="200"/>
        <w:rPr>
          <w:rFonts w:hint="eastAsia" w:ascii="仿宋" w:hAnsi="仿宋" w:eastAsia="仿宋"/>
          <w:sz w:val="32"/>
          <w:szCs w:val="32"/>
        </w:rPr>
      </w:pPr>
    </w:p>
    <w:p w14:paraId="05A64791">
      <w:pPr>
        <w:spacing w:line="600" w:lineRule="exact"/>
        <w:ind w:firstLine="640" w:firstLineChars="200"/>
        <w:rPr>
          <w:rFonts w:hint="eastAsia" w:ascii="仿宋" w:hAnsi="仿宋" w:eastAsia="仿宋"/>
          <w:sz w:val="32"/>
          <w:szCs w:val="32"/>
          <w:lang w:eastAsia="zh-CN"/>
        </w:rPr>
      </w:pPr>
    </w:p>
    <w:p w14:paraId="2082741D">
      <w:pPr>
        <w:spacing w:line="600" w:lineRule="exact"/>
        <w:outlineLvl w:val="2"/>
        <w:rPr>
          <w:rFonts w:hint="eastAsia" w:ascii="仿宋" w:hAnsi="仿宋" w:eastAsia="仿宋"/>
          <w:b/>
          <w:sz w:val="32"/>
          <w:szCs w:val="32"/>
        </w:rPr>
      </w:pPr>
      <w:bookmarkStart w:id="30" w:name="_Toc15377212"/>
    </w:p>
    <w:p w14:paraId="654DAB04">
      <w:pPr>
        <w:spacing w:line="600" w:lineRule="exact"/>
        <w:ind w:firstLine="964" w:firstLineChars="300"/>
        <w:outlineLvl w:val="2"/>
        <w:rPr>
          <w:rFonts w:ascii="仿宋" w:hAnsi="仿宋" w:eastAsia="仿宋"/>
          <w:b/>
          <w:sz w:val="32"/>
          <w:szCs w:val="32"/>
        </w:rPr>
      </w:pPr>
      <w:r>
        <w:rPr>
          <w:rFonts w:hint="eastAsia" w:ascii="仿宋" w:hAnsi="仿宋" w:eastAsia="仿宋"/>
          <w:b/>
          <w:sz w:val="32"/>
          <w:szCs w:val="32"/>
        </w:rPr>
        <w:t>（三）一般公共预算财政拨款支出决算具体情况</w:t>
      </w:r>
      <w:bookmarkEnd w:id="30"/>
    </w:p>
    <w:p w14:paraId="77ACD4AD">
      <w:pPr>
        <w:spacing w:line="600" w:lineRule="exact"/>
        <w:ind w:firstLine="643" w:firstLineChars="200"/>
        <w:rPr>
          <w:rFonts w:hint="default" w:eastAsia="仿宋"/>
          <w:lang w:val="en-US" w:eastAsia="zh-CN"/>
        </w:rPr>
      </w:pPr>
      <w:bookmarkStart w:id="31" w:name="_Toc15377444"/>
      <w:bookmarkStart w:id="32" w:name="_Toc15378460"/>
      <w:bookmarkStart w:id="33" w:name="_Toc15377213"/>
      <w:r>
        <w:rPr>
          <w:rFonts w:hint="eastAsia" w:ascii="仿宋" w:hAnsi="仿宋" w:eastAsia="仿宋"/>
          <w:b/>
          <w:sz w:val="32"/>
          <w:szCs w:val="32"/>
        </w:rPr>
        <w:t>2023年度一般公共预算支出决算数为</w:t>
      </w:r>
      <w:r>
        <w:rPr>
          <w:rFonts w:ascii="仿宋" w:hAnsi="仿宋" w:eastAsia="仿宋"/>
          <w:b/>
          <w:sz w:val="32"/>
          <w:szCs w:val="32"/>
        </w:rPr>
        <w:t>86.62</w:t>
      </w:r>
      <w:r>
        <w:rPr>
          <w:rFonts w:hint="eastAsia" w:ascii="仿宋" w:hAnsi="仿宋" w:eastAsia="仿宋"/>
          <w:sz w:val="32"/>
          <w:szCs w:val="32"/>
        </w:rPr>
        <w:t>，</w:t>
      </w:r>
      <w:bookmarkEnd w:id="31"/>
      <w:bookmarkEnd w:id="32"/>
      <w:bookmarkEnd w:id="33"/>
      <w:r>
        <w:rPr>
          <w:rFonts w:hint="eastAsia" w:ascii="仿宋" w:hAnsi="仿宋" w:eastAsia="仿宋"/>
          <w:sz w:val="32"/>
          <w:szCs w:val="32"/>
          <w:lang w:val="en-US" w:eastAsia="zh-CN"/>
        </w:rPr>
        <w:t>2022年与上属单位未分开做账核算，数据对比异常。</w:t>
      </w:r>
    </w:p>
    <w:p w14:paraId="67821E67">
      <w:pPr>
        <w:spacing w:line="600" w:lineRule="exact"/>
        <w:ind w:firstLine="640" w:firstLineChars="200"/>
        <w:outlineLvl w:val="2"/>
        <w:rPr>
          <w:rFonts w:ascii="仿宋" w:hAnsi="仿宋" w:eastAsia="仿宋"/>
          <w:sz w:val="32"/>
          <w:szCs w:val="32"/>
        </w:rPr>
      </w:pPr>
    </w:p>
    <w:p w14:paraId="4FC0FB69">
      <w:pPr>
        <w:spacing w:line="600" w:lineRule="exact"/>
        <w:ind w:firstLine="643" w:firstLineChars="200"/>
        <w:rPr>
          <w:rFonts w:hint="default" w:eastAsia="仿宋"/>
          <w:lang w:val="en-US" w:eastAsia="zh-CN"/>
        </w:rPr>
      </w:pPr>
      <w:r>
        <w:rPr>
          <w:rStyle w:val="17"/>
          <w:rFonts w:hint="eastAsia" w:ascii="仿宋" w:hAnsi="仿宋" w:eastAsia="仿宋"/>
          <w:bCs/>
          <w:sz w:val="32"/>
          <w:szCs w:val="32"/>
          <w:lang w:val="en-US" w:eastAsia="zh-CN"/>
        </w:rPr>
        <w:t>1</w:t>
      </w:r>
      <w:r>
        <w:rPr>
          <w:rStyle w:val="17"/>
          <w:rFonts w:ascii="仿宋" w:hAnsi="仿宋" w:eastAsia="仿宋"/>
          <w:bCs/>
          <w:sz w:val="32"/>
          <w:szCs w:val="32"/>
        </w:rPr>
        <w:t>.</w:t>
      </w:r>
      <w:r>
        <w:rPr>
          <w:rStyle w:val="17"/>
          <w:rFonts w:hint="eastAsia" w:ascii="仿宋" w:hAnsi="仿宋" w:eastAsia="仿宋"/>
          <w:bCs/>
          <w:sz w:val="32"/>
          <w:szCs w:val="32"/>
        </w:rPr>
        <w:t>住房保障支出（类）住房改革支出（款）住房公积金（项）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6.41</w:t>
      </w:r>
      <w:r>
        <w:rPr>
          <w:rStyle w:val="17"/>
          <w:rFonts w:hint="eastAsia" w:ascii="仿宋" w:hAnsi="仿宋" w:eastAsia="仿宋"/>
          <w:b w:val="0"/>
          <w:bCs/>
          <w:sz w:val="32"/>
          <w:szCs w:val="32"/>
        </w:rPr>
        <w:t>万元</w:t>
      </w:r>
      <w:r>
        <w:rPr>
          <w:rStyle w:val="17"/>
          <w:rFonts w:hint="eastAsia" w:ascii="仿宋" w:hAnsi="仿宋" w:eastAsia="仿宋"/>
          <w:b w:val="0"/>
          <w:bCs/>
          <w:sz w:val="32"/>
          <w:szCs w:val="32"/>
          <w:lang w:eastAsia="zh-CN"/>
        </w:rPr>
        <w:t>，</w:t>
      </w:r>
      <w:r>
        <w:rPr>
          <w:rFonts w:hint="eastAsia" w:ascii="仿宋" w:hAnsi="仿宋" w:eastAsia="仿宋"/>
          <w:sz w:val="32"/>
          <w:szCs w:val="32"/>
          <w:lang w:val="en-US" w:eastAsia="zh-CN"/>
        </w:rPr>
        <w:t>2022年与上属单位未分开做账核算，数据对比异常。</w:t>
      </w:r>
    </w:p>
    <w:p w14:paraId="3A088C4F">
      <w:pPr>
        <w:spacing w:line="600" w:lineRule="exact"/>
        <w:ind w:firstLine="643" w:firstLineChars="200"/>
        <w:rPr>
          <w:rFonts w:hint="default" w:eastAsia="仿宋"/>
          <w:lang w:val="en-US" w:eastAsia="zh-CN"/>
        </w:rPr>
      </w:pPr>
      <w:r>
        <w:rPr>
          <w:rStyle w:val="17"/>
          <w:rFonts w:hint="eastAsia" w:ascii="仿宋" w:hAnsi="仿宋" w:eastAsia="仿宋"/>
          <w:bCs/>
          <w:sz w:val="32"/>
          <w:szCs w:val="32"/>
          <w:lang w:val="en-US" w:eastAsia="zh-CN"/>
        </w:rPr>
        <w:t>2</w:t>
      </w:r>
      <w:r>
        <w:rPr>
          <w:rStyle w:val="17"/>
          <w:rFonts w:ascii="仿宋" w:hAnsi="仿宋" w:eastAsia="仿宋"/>
          <w:bCs/>
          <w:sz w:val="32"/>
          <w:szCs w:val="32"/>
        </w:rPr>
        <w:t>.</w:t>
      </w:r>
      <w:r>
        <w:rPr>
          <w:rStyle w:val="17"/>
          <w:rFonts w:hint="eastAsia" w:ascii="仿宋" w:hAnsi="仿宋" w:eastAsia="仿宋"/>
          <w:bCs/>
          <w:sz w:val="32"/>
          <w:szCs w:val="32"/>
        </w:rPr>
        <w:t>社会保障和就业（类）民政管理事务（款）基层政权建设和社区治理（项）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13.23</w:t>
      </w:r>
      <w:r>
        <w:rPr>
          <w:rStyle w:val="17"/>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7DDDE06B">
      <w:pPr>
        <w:spacing w:line="600" w:lineRule="exact"/>
        <w:ind w:firstLine="643" w:firstLineChars="200"/>
        <w:rPr>
          <w:rFonts w:hint="default" w:eastAsia="仿宋"/>
          <w:lang w:val="en-US" w:eastAsia="zh-CN"/>
        </w:rPr>
      </w:pPr>
      <w:r>
        <w:rPr>
          <w:rStyle w:val="17"/>
          <w:rFonts w:hint="eastAsia" w:ascii="仿宋" w:hAnsi="仿宋" w:eastAsia="仿宋"/>
          <w:bCs/>
          <w:sz w:val="32"/>
          <w:szCs w:val="32"/>
          <w:lang w:val="en-US" w:eastAsia="zh-CN"/>
        </w:rPr>
        <w:t>3.</w:t>
      </w:r>
      <w:r>
        <w:rPr>
          <w:rFonts w:hint="eastAsia" w:ascii="仿宋" w:hAnsi="仿宋" w:eastAsia="仿宋"/>
          <w:b/>
          <w:bCs/>
          <w:sz w:val="32"/>
          <w:szCs w:val="32"/>
        </w:rPr>
        <w:t>卫生健康</w:t>
      </w:r>
      <w:r>
        <w:rPr>
          <w:rStyle w:val="17"/>
          <w:rFonts w:hint="eastAsia" w:ascii="仿宋" w:hAnsi="仿宋" w:eastAsia="仿宋"/>
          <w:bCs/>
          <w:sz w:val="32"/>
          <w:szCs w:val="32"/>
        </w:rPr>
        <w:t>（类）行政事业单位医疗（款）</w:t>
      </w:r>
      <w:r>
        <w:rPr>
          <w:rStyle w:val="17"/>
          <w:rFonts w:hint="eastAsia" w:ascii="仿宋" w:hAnsi="仿宋" w:eastAsia="仿宋"/>
          <w:bCs/>
          <w:sz w:val="32"/>
          <w:szCs w:val="32"/>
          <w:lang w:eastAsia="zh-CN"/>
        </w:rPr>
        <w:t>（其他）</w:t>
      </w:r>
      <w:r>
        <w:rPr>
          <w:rStyle w:val="17"/>
          <w:rFonts w:hint="eastAsia" w:ascii="仿宋" w:hAnsi="仿宋" w:eastAsia="仿宋"/>
          <w:bCs/>
          <w:sz w:val="32"/>
          <w:szCs w:val="32"/>
        </w:rPr>
        <w:t>行政单位医疗（项）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2.53</w:t>
      </w:r>
      <w:r>
        <w:rPr>
          <w:rStyle w:val="17"/>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363BCF9B">
      <w:pPr>
        <w:spacing w:line="600" w:lineRule="exact"/>
        <w:ind w:firstLine="643" w:firstLineChars="200"/>
        <w:rPr>
          <w:rFonts w:hint="default" w:eastAsia="仿宋"/>
          <w:lang w:val="en-US" w:eastAsia="zh-CN"/>
        </w:rPr>
      </w:pPr>
      <w:r>
        <w:rPr>
          <w:rStyle w:val="17"/>
          <w:rFonts w:ascii="仿宋" w:hAnsi="仿宋" w:eastAsia="仿宋"/>
          <w:bCs/>
          <w:sz w:val="32"/>
          <w:szCs w:val="32"/>
        </w:rPr>
        <w:t>4.</w:t>
      </w:r>
      <w:r>
        <w:rPr>
          <w:rStyle w:val="17"/>
          <w:rFonts w:hint="eastAsia" w:ascii="仿宋" w:hAnsi="仿宋" w:eastAsia="仿宋"/>
          <w:bCs/>
          <w:sz w:val="32"/>
          <w:szCs w:val="32"/>
        </w:rPr>
        <w:t>文化旅游体育与传媒（类）</w:t>
      </w:r>
      <w:r>
        <w:rPr>
          <w:rStyle w:val="17"/>
          <w:rFonts w:hint="eastAsia" w:ascii="仿宋" w:hAnsi="仿宋" w:eastAsia="仿宋"/>
          <w:bCs/>
          <w:sz w:val="32"/>
          <w:szCs w:val="32"/>
          <w:lang w:eastAsia="zh-CN"/>
        </w:rPr>
        <w:t>一般公共预算</w:t>
      </w:r>
      <w:r>
        <w:rPr>
          <w:rStyle w:val="17"/>
          <w:rFonts w:hint="eastAsia" w:ascii="仿宋" w:hAnsi="仿宋" w:eastAsia="仿宋"/>
          <w:bCs/>
          <w:sz w:val="32"/>
          <w:szCs w:val="32"/>
        </w:rPr>
        <w:t>（款）</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64.45</w:t>
      </w:r>
      <w:r>
        <w:rPr>
          <w:rStyle w:val="17"/>
          <w:rFonts w:hint="eastAsia" w:ascii="仿宋" w:hAnsi="仿宋" w:eastAsia="仿宋"/>
          <w:b w:val="0"/>
          <w:bCs/>
          <w:sz w:val="32"/>
          <w:szCs w:val="32"/>
        </w:rPr>
        <w:t>万元，</w:t>
      </w:r>
      <w:bookmarkStart w:id="34" w:name="_Toc15396608"/>
      <w:bookmarkStart w:id="35" w:name="_Toc15377214"/>
      <w:r>
        <w:rPr>
          <w:rFonts w:hint="eastAsia" w:ascii="仿宋" w:hAnsi="仿宋" w:eastAsia="仿宋"/>
          <w:sz w:val="32"/>
          <w:szCs w:val="32"/>
          <w:lang w:val="en-US" w:eastAsia="zh-CN"/>
        </w:rPr>
        <w:t>2022年与上属单位未分开做账核算，数据对比异常。</w:t>
      </w:r>
    </w:p>
    <w:p w14:paraId="4FB019FD">
      <w:pPr>
        <w:tabs>
          <w:tab w:val="right" w:pos="8306"/>
        </w:tabs>
        <w:spacing w:line="600" w:lineRule="exact"/>
        <w:ind w:firstLine="640"/>
        <w:outlineLvl w:val="1"/>
        <w:rPr>
          <w:rStyle w:val="28"/>
        </w:rPr>
      </w:pPr>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34"/>
      <w:bookmarkEnd w:id="35"/>
      <w:r>
        <w:rPr>
          <w:rStyle w:val="28"/>
          <w:rFonts w:ascii="黑体" w:hAnsi="黑体" w:eastAsia="黑体"/>
          <w:b w:val="0"/>
        </w:rPr>
        <w:tab/>
      </w:r>
    </w:p>
    <w:p w14:paraId="7B75F7B8">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86.62</w:t>
      </w:r>
      <w:r>
        <w:rPr>
          <w:rFonts w:hint="eastAsia" w:ascii="仿宋" w:hAnsi="仿宋" w:eastAsia="仿宋"/>
          <w:sz w:val="32"/>
          <w:szCs w:val="32"/>
        </w:rPr>
        <w:t>万元，其中：</w:t>
      </w:r>
    </w:p>
    <w:p w14:paraId="2D5000E4">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77.21</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9.41</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6CFE00C2">
      <w:pPr>
        <w:spacing w:line="600" w:lineRule="exact"/>
        <w:ind w:firstLine="640"/>
        <w:outlineLvl w:val="1"/>
        <w:rPr>
          <w:rStyle w:val="28"/>
          <w:rFonts w:ascii="黑体" w:hAnsi="黑体" w:eastAsia="黑体"/>
          <w:b w:val="0"/>
        </w:rPr>
      </w:pPr>
      <w:bookmarkStart w:id="36" w:name="_Toc15396609"/>
      <w:bookmarkStart w:id="37" w:name="_Toc15377215"/>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36"/>
      <w:bookmarkEnd w:id="37"/>
    </w:p>
    <w:p w14:paraId="517FF54A">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14:paraId="20F2F6B5">
      <w:pPr>
        <w:spacing w:line="600" w:lineRule="exact"/>
        <w:ind w:firstLine="640" w:firstLineChars="200"/>
        <w:rPr>
          <w:rFonts w:hint="default" w:eastAsia="仿宋"/>
          <w:lang w:val="en-US" w:eastAsia="zh-CN"/>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万元，完成预算</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lang w:val="en-US" w:eastAsia="zh-CN"/>
        </w:rPr>
        <w:t>2022年与上属单位未分开做账核算，数据对比异常。</w:t>
      </w:r>
    </w:p>
    <w:p w14:paraId="7051B446">
      <w:pPr>
        <w:spacing w:line="600" w:lineRule="exact"/>
        <w:ind w:firstLine="640"/>
        <w:rPr>
          <w:rFonts w:ascii="仿宋" w:hAnsi="仿宋" w:eastAsia="仿宋"/>
          <w:b/>
          <w:sz w:val="32"/>
          <w:szCs w:val="32"/>
        </w:rPr>
      </w:pPr>
    </w:p>
    <w:p w14:paraId="4BC84513">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14:paraId="0AF5EC6A">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41F84242">
      <w:pPr>
        <w:spacing w:line="600" w:lineRule="exact"/>
        <w:ind w:firstLine="640"/>
        <w:rPr>
          <w:rFonts w:ascii="仿宋_GB2312" w:eastAsia="仿宋_GB2312"/>
          <w:sz w:val="32"/>
          <w:szCs w:val="32"/>
        </w:rPr>
      </w:pPr>
      <w:bookmarkStart w:id="40" w:name="_Toc15396610"/>
      <w:bookmarkStart w:id="41" w:name="_Toc15377218"/>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Cs/>
          <w:sz w:val="32"/>
          <w:szCs w:val="32"/>
        </w:rPr>
        <w:t>0</w:t>
      </w:r>
      <w:r>
        <w:rPr>
          <w:rStyle w:val="17"/>
          <w:rFonts w:ascii="仿宋" w:hAnsi="仿宋" w:eastAsia="仿宋"/>
          <w:b w:val="0"/>
          <w:bCs/>
          <w:sz w:val="32"/>
          <w:szCs w:val="32"/>
        </w:rPr>
        <w:t>%</w:t>
      </w:r>
      <w:r>
        <w:rPr>
          <w:rStyle w:val="17"/>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w:t>
      </w:r>
    </w:p>
    <w:p w14:paraId="72579BF3">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Cs/>
          <w:sz w:val="32"/>
          <w:szCs w:val="32"/>
        </w:rPr>
        <w:t>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3DDE3D77">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14:paraId="4F89AEFE">
      <w:pPr>
        <w:spacing w:line="600" w:lineRule="exact"/>
        <w:ind w:firstLine="640"/>
        <w:rPr>
          <w:rFonts w:hint="eastAsia"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w:t>
      </w:r>
    </w:p>
    <w:p w14:paraId="2BF6993C">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w:t>
      </w:r>
    </w:p>
    <w:p w14:paraId="127736EB">
      <w:pPr>
        <w:spacing w:line="600" w:lineRule="exact"/>
        <w:ind w:firstLine="643" w:firstLineChars="200"/>
        <w:rPr>
          <w:rFonts w:ascii="仿宋_GB2312" w:eastAsia="仿宋_GB2312"/>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w:t>
      </w:r>
    </w:p>
    <w:p w14:paraId="02154AC1">
      <w:pPr>
        <w:spacing w:line="600" w:lineRule="exact"/>
        <w:ind w:firstLine="640"/>
        <w:outlineLvl w:val="1"/>
        <w:rPr>
          <w:rFonts w:ascii="黑体" w:eastAsia="黑体"/>
          <w:sz w:val="32"/>
          <w:szCs w:val="32"/>
        </w:rPr>
      </w:pPr>
    </w:p>
    <w:p w14:paraId="321F8BAC">
      <w:pPr>
        <w:spacing w:line="600" w:lineRule="exact"/>
        <w:ind w:firstLine="640"/>
        <w:outlineLvl w:val="1"/>
        <w:rPr>
          <w:rStyle w:val="28"/>
          <w:rFonts w:ascii="黑体" w:hAnsi="黑体" w:eastAsia="黑体"/>
        </w:rPr>
      </w:pPr>
      <w:r>
        <w:rPr>
          <w:rFonts w:hint="eastAsia" w:ascii="黑体" w:eastAsia="黑体"/>
          <w:sz w:val="32"/>
          <w:szCs w:val="32"/>
        </w:rPr>
        <w:t>八、</w:t>
      </w:r>
      <w:r>
        <w:rPr>
          <w:rStyle w:val="28"/>
          <w:rFonts w:hint="eastAsia" w:ascii="黑体" w:hAnsi="黑体" w:eastAsia="黑体"/>
          <w:b w:val="0"/>
        </w:rPr>
        <w:t>政府性基金预算支出决算情况说明</w:t>
      </w:r>
      <w:bookmarkEnd w:id="40"/>
      <w:bookmarkEnd w:id="41"/>
    </w:p>
    <w:p w14:paraId="15A190AB">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14:paraId="5C629AC6">
      <w:pPr>
        <w:spacing w:line="600" w:lineRule="exact"/>
        <w:ind w:firstLine="640"/>
        <w:rPr>
          <w:rFonts w:ascii="仿宋_GB2312" w:eastAsia="仿宋_GB2312"/>
          <w:sz w:val="32"/>
          <w:szCs w:val="32"/>
        </w:rPr>
      </w:pPr>
    </w:p>
    <w:p w14:paraId="3B139A3F">
      <w:pPr>
        <w:numPr>
          <w:ilvl w:val="0"/>
          <w:numId w:val="3"/>
        </w:numPr>
        <w:spacing w:line="600" w:lineRule="exact"/>
        <w:ind w:firstLine="640"/>
        <w:outlineLvl w:val="1"/>
        <w:rPr>
          <w:rStyle w:val="28"/>
          <w:rFonts w:ascii="黑体" w:hAnsi="黑体" w:eastAsia="黑体"/>
          <w:b w:val="0"/>
        </w:rPr>
      </w:pPr>
      <w:bookmarkStart w:id="42" w:name="_Toc15377219"/>
      <w:bookmarkStart w:id="43" w:name="_Toc15396611"/>
      <w:r>
        <w:rPr>
          <w:rStyle w:val="28"/>
          <w:rFonts w:hint="eastAsia" w:ascii="黑体" w:hAnsi="黑体" w:eastAsia="黑体"/>
          <w:b w:val="0"/>
        </w:rPr>
        <w:t>国有资本经营预算支出决算情况说明</w:t>
      </w:r>
      <w:bookmarkEnd w:id="42"/>
      <w:bookmarkEnd w:id="43"/>
    </w:p>
    <w:p w14:paraId="4A47DE18">
      <w:pPr>
        <w:spacing w:line="600" w:lineRule="exact"/>
        <w:ind w:firstLine="640"/>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14:paraId="7A1E86F0">
      <w:pPr>
        <w:spacing w:line="580" w:lineRule="exact"/>
        <w:jc w:val="center"/>
        <w:rPr>
          <w:rFonts w:ascii="方正小标宋简体" w:hAnsi="方正小标宋简体" w:eastAsia="方正小标宋简体" w:cs="方正小标宋简体"/>
          <w:sz w:val="44"/>
          <w:szCs w:val="44"/>
        </w:rPr>
      </w:pPr>
    </w:p>
    <w:p w14:paraId="2896F993">
      <w:pPr>
        <w:numPr>
          <w:ilvl w:val="0"/>
          <w:numId w:val="3"/>
        </w:numPr>
        <w:spacing w:line="600" w:lineRule="exact"/>
        <w:ind w:firstLine="640"/>
        <w:outlineLvl w:val="1"/>
        <w:rPr>
          <w:rStyle w:val="28"/>
          <w:rFonts w:ascii="黑体" w:hAnsi="黑体" w:eastAsia="黑体"/>
          <w:b w:val="0"/>
        </w:rPr>
      </w:pPr>
      <w:bookmarkStart w:id="44" w:name="_Toc15396612"/>
      <w:bookmarkStart w:id="45" w:name="_Toc15377221"/>
      <w:r>
        <w:rPr>
          <w:rStyle w:val="28"/>
          <w:rFonts w:hint="eastAsia" w:ascii="黑体" w:hAnsi="黑体" w:eastAsia="黑体"/>
          <w:b w:val="0"/>
        </w:rPr>
        <w:t>其他重要事项的情况说明</w:t>
      </w:r>
      <w:bookmarkEnd w:id="44"/>
      <w:bookmarkEnd w:id="45"/>
    </w:p>
    <w:p w14:paraId="515EDF55">
      <w:pPr>
        <w:spacing w:line="600" w:lineRule="exact"/>
        <w:ind w:firstLine="643"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14:paraId="005841F4">
      <w:pPr>
        <w:spacing w:line="600" w:lineRule="exact"/>
        <w:ind w:firstLine="640" w:firstLineChars="200"/>
        <w:rPr>
          <w:rFonts w:hint="default" w:eastAsia="仿宋"/>
          <w:lang w:val="en-US" w:eastAsia="zh-CN"/>
        </w:rPr>
      </w:pPr>
      <w:r>
        <w:rPr>
          <w:rFonts w:hint="eastAsia" w:ascii="仿宋_GB2312" w:eastAsia="仿宋_GB2312"/>
          <w:sz w:val="32"/>
          <w:szCs w:val="32"/>
        </w:rPr>
        <w:t>2023年度，</w:t>
      </w:r>
      <w:r>
        <w:rPr>
          <w:rFonts w:ascii="仿宋_GB2312" w:eastAsia="仿宋_GB2312"/>
          <w:b/>
          <w:sz w:val="32"/>
          <w:szCs w:val="32"/>
        </w:rPr>
        <w:t>乐山市五通桥区石麟镇文化旅游服务中心</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 w:hAnsi="仿宋" w:eastAsia="仿宋"/>
          <w:sz w:val="32"/>
          <w:szCs w:val="32"/>
          <w:lang w:val="en-US" w:eastAsia="zh-CN"/>
        </w:rPr>
        <w:t>2022年与上属单位未分开做账核算，数据对比异常。</w:t>
      </w:r>
    </w:p>
    <w:p w14:paraId="4CA4C7AD">
      <w:pPr>
        <w:spacing w:line="600" w:lineRule="exact"/>
        <w:ind w:firstLine="643" w:firstLineChars="200"/>
        <w:rPr>
          <w:rFonts w:ascii="仿宋" w:hAnsi="仿宋" w:eastAsia="仿宋"/>
          <w:b/>
          <w:sz w:val="32"/>
          <w:szCs w:val="32"/>
        </w:rPr>
      </w:pPr>
    </w:p>
    <w:p w14:paraId="1F52F02F">
      <w:pPr>
        <w:autoSpaceDE w:val="0"/>
        <w:autoSpaceDN w:val="0"/>
        <w:adjustRightInd w:val="0"/>
        <w:spacing w:line="600" w:lineRule="exact"/>
        <w:ind w:firstLine="643"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14:paraId="652214D3">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乐山市五通桥区石麟镇文化旅游服务中心</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14:paraId="31E74BB2">
      <w:pPr>
        <w:autoSpaceDE w:val="0"/>
        <w:autoSpaceDN w:val="0"/>
        <w:adjustRightInd w:val="0"/>
        <w:spacing w:line="600" w:lineRule="exact"/>
        <w:ind w:firstLine="643"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14:paraId="17DCED4C">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乐山市五通桥区石麟镇文化旅游服务中心</w:t>
      </w:r>
      <w:r>
        <w:rPr>
          <w:rFonts w:hint="eastAsia" w:ascii="仿宋_GB2312" w:eastAsia="仿宋_GB2312"/>
          <w:sz w:val="32"/>
          <w:szCs w:val="32"/>
        </w:rPr>
        <w:t>共有车辆</w:t>
      </w:r>
      <w:r>
        <w:rPr>
          <w:rFonts w:hint="eastAsia" w:ascii="仿宋_GB2312" w:eastAsia="仿宋_GB2312"/>
          <w:b/>
          <w:sz w:val="32"/>
          <w:szCs w:val="32"/>
        </w:rPr>
        <w:t>0</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6E6DC94C">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7B8A0D98">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val="en-US" w:eastAsia="zh-CN"/>
        </w:rPr>
        <w:t>0</w:t>
      </w:r>
      <w:r>
        <w:rPr>
          <w:rFonts w:hint="eastAsia" w:ascii="仿宋_GB2312" w:eastAsia="仿宋_GB2312"/>
          <w:sz w:val="32"/>
          <w:szCs w:val="32"/>
        </w:rPr>
        <w:t>项目（项目名称）等</w:t>
      </w:r>
      <w:r>
        <w:rPr>
          <w:rFonts w:hint="eastAsia" w:ascii="仿宋_GB2312" w:eastAsia="仿宋_GB2312"/>
          <w:sz w:val="32"/>
          <w:szCs w:val="32"/>
          <w:lang w:val="en-US" w:eastAsia="zh-CN"/>
        </w:rPr>
        <w:t>0</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0</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0</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0</w:t>
      </w:r>
      <w:r>
        <w:rPr>
          <w:rFonts w:hint="eastAsia" w:ascii="仿宋_GB2312" w:eastAsia="仿宋_GB2312"/>
          <w:sz w:val="32"/>
          <w:szCs w:val="32"/>
        </w:rPr>
        <w:t>个项目开展绩效自评，绩效自评表详见第四部分附件。</w:t>
      </w:r>
    </w:p>
    <w:p w14:paraId="0FEA5669">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5AA9195B">
      <w:pPr>
        <w:numPr>
          <w:ilvl w:val="0"/>
          <w:numId w:val="4"/>
        </w:numPr>
        <w:spacing w:line="600" w:lineRule="exact"/>
        <w:ind w:firstLine="660" w:firstLineChars="150"/>
        <w:jc w:val="center"/>
        <w:outlineLvl w:val="0"/>
        <w:rPr>
          <w:rStyle w:val="27"/>
          <w:rFonts w:ascii="黑体" w:hAnsi="黑体" w:eastAsia="黑体"/>
          <w:b w:val="0"/>
        </w:rPr>
      </w:pPr>
      <w:bookmarkStart w:id="49" w:name="_Toc15377225"/>
      <w:bookmarkStart w:id="50" w:name="_Toc15396613"/>
      <w:r>
        <w:rPr>
          <w:rFonts w:hint="eastAsia" w:ascii="黑体" w:hAnsi="黑体" w:eastAsia="黑体"/>
          <w:sz w:val="44"/>
          <w:szCs w:val="44"/>
        </w:rPr>
        <w:t>名</w:t>
      </w:r>
      <w:r>
        <w:rPr>
          <w:rStyle w:val="27"/>
          <w:rFonts w:hint="eastAsia" w:ascii="黑体" w:hAnsi="黑体" w:eastAsia="黑体"/>
          <w:b w:val="0"/>
        </w:rPr>
        <w:t>词解释</w:t>
      </w:r>
      <w:bookmarkEnd w:id="49"/>
      <w:bookmarkEnd w:id="50"/>
    </w:p>
    <w:p w14:paraId="61D5E69D">
      <w:pPr>
        <w:spacing w:line="600" w:lineRule="exact"/>
        <w:jc w:val="left"/>
        <w:rPr>
          <w:rFonts w:ascii="宋体"/>
          <w:b/>
          <w:sz w:val="44"/>
          <w:szCs w:val="44"/>
        </w:rPr>
      </w:pPr>
    </w:p>
    <w:p w14:paraId="4C547C63">
      <w:pPr>
        <w:spacing w:line="600" w:lineRule="exact"/>
        <w:jc w:val="left"/>
        <w:rPr>
          <w:rFonts w:ascii="宋体"/>
          <w:b/>
          <w:sz w:val="44"/>
          <w:szCs w:val="44"/>
        </w:rPr>
      </w:pPr>
      <w:bookmarkStart w:id="51" w:name="_Toc15377226"/>
    </w:p>
    <w:p w14:paraId="30B3708B">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5FE35EFC">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28B8160C">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14:paraId="32BE580A">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r>
        <w:rPr>
          <w:rFonts w:ascii="仿宋_GB2312" w:eastAsia="仿宋_GB2312"/>
          <w:color w:val="auto"/>
          <w:sz w:val="32"/>
          <w:szCs w:val="32"/>
        </w:rPr>
        <w:t xml:space="preserve"> </w:t>
      </w:r>
    </w:p>
    <w:p w14:paraId="3C83F4E2">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14:paraId="2AE54676">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17761D0C">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32EDA02B">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586DA4D5">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9、一般公共服务（类）政府办公厅(室)及相关机构事务（款）行政运行（项）:政府办公厅(室)及相关机构事务的基本支出。</w:t>
      </w:r>
    </w:p>
    <w:p w14:paraId="1C2ECBA4">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10、农林水支出（类）农村综合改革（款）对村民委员会和村党支部的补助（项）:村社区干部工资福利。</w:t>
      </w:r>
    </w:p>
    <w:p w14:paraId="161B2DAC">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11、社会保障和就业支出（类）行政事业单位养老支出 （款）行政事业单位基本养老保险缴费支出（项）:指机关 事业单位实施养老保险制度由单位缴纳的基本养老保险费 </w:t>
      </w:r>
    </w:p>
    <w:p w14:paraId="170A96F9">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支出。 </w:t>
      </w:r>
    </w:p>
    <w:p w14:paraId="48DAAC66">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12.社会保障和就业支出（类）行政事业单位养老支出 </w:t>
      </w:r>
    </w:p>
    <w:p w14:paraId="1E3FC6C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（款）行政事业单位职业年金缴费支出（项）：指机关事业 </w:t>
      </w:r>
    </w:p>
    <w:p w14:paraId="5830A553">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单位实施养老保险制度由单位实际缴纳的职业年金支出。 </w:t>
      </w:r>
    </w:p>
    <w:p w14:paraId="099E1AB2">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13.社会保障和就业支出（类）行政事业单位养老支出 </w:t>
      </w:r>
    </w:p>
    <w:p w14:paraId="7DEC0A3C">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（款）其他行政事业单位养老支出支出（项）: 指其他用于 </w:t>
      </w:r>
    </w:p>
    <w:p w14:paraId="1E741C2E">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行政事业单位养老方面的支出。 </w:t>
      </w:r>
    </w:p>
    <w:p w14:paraId="0629E381">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14.卫生健康支出（类）行政事业单位医疗（款）行政 </w:t>
      </w:r>
    </w:p>
    <w:p w14:paraId="78EE7283">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单位医疗（项）: 指财政部门安排的行政单位（包括实行公 </w:t>
      </w:r>
    </w:p>
    <w:p w14:paraId="22100A8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务员管理的事业单位）基本医疗保险缴费经费，未参加医疗 </w:t>
      </w:r>
    </w:p>
    <w:p w14:paraId="4EC8F643">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保险的行政事业单位的公费医疗经费，按国家规定享受离休 </w:t>
      </w:r>
    </w:p>
    <w:p w14:paraId="063D64FB">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人员、红军老战士待遇人员的医疗经费。 </w:t>
      </w:r>
    </w:p>
    <w:p w14:paraId="1FD841AB">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15、卫生健康支出（类）行政事业单位医疗（款）公务 </w:t>
      </w:r>
    </w:p>
    <w:p w14:paraId="74D73C26">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员医疗补助（项）:指财政部门安排的公务员医疗补助经费。 </w:t>
      </w:r>
    </w:p>
    <w:p w14:paraId="315A3DC3">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16.住房保障支出（类）住房改革支出（款）住房公积 </w:t>
      </w:r>
    </w:p>
    <w:p w14:paraId="3F158CE0">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金（项）：指行政事业单位按人力资源和社会保障部、财政 </w:t>
      </w:r>
    </w:p>
    <w:p w14:paraId="694CB28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部规定的基本工资和津贴补贴以及规定比例为职工缴纳的 </w:t>
      </w:r>
    </w:p>
    <w:p w14:paraId="603AE54B">
      <w:pPr>
        <w:keepNext w:val="0"/>
        <w:keepLines w:val="0"/>
        <w:widowControl/>
        <w:suppressLineNumbers w:val="0"/>
        <w:jc w:val="left"/>
        <w:rPr>
          <w:rFonts w:ascii="仿宋_GB2312" w:eastAsia="仿宋_GB2312"/>
          <w:sz w:val="32"/>
          <w:szCs w:val="32"/>
          <w:highlight w:val="yellow"/>
        </w:rPr>
      </w:pPr>
      <w:r>
        <w:rPr>
          <w:rFonts w:hint="eastAsia" w:ascii="仿宋" w:hAnsi="仿宋" w:eastAsia="仿宋" w:cs="仿宋"/>
          <w:color w:val="000000"/>
          <w:kern w:val="0"/>
          <w:sz w:val="31"/>
          <w:szCs w:val="31"/>
          <w:lang w:val="en-US" w:eastAsia="zh-CN" w:bidi="ar"/>
        </w:rPr>
        <w:t xml:space="preserve">住房公积金。 </w:t>
      </w:r>
    </w:p>
    <w:p w14:paraId="4B79C1AE">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1E1C6B02">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0E12F5C1">
      <w:pPr>
        <w:ind w:firstLine="640" w:firstLineChars="200"/>
        <w:rPr>
          <w:rFonts w:ascii="仿宋_GB2312" w:eastAsia="仿宋_GB2312"/>
          <w:sz w:val="32"/>
          <w:szCs w:val="32"/>
        </w:rPr>
      </w:pPr>
      <w:r>
        <w:rPr>
          <w:rFonts w:hint="eastAsia" w:ascii="仿宋_GB2312" w:eastAsia="仿宋_GB2312"/>
          <w:sz w:val="32"/>
          <w:szCs w:val="32"/>
          <w:lang w:val="en-US" w:eastAsia="zh-CN"/>
        </w:rPr>
        <w:t>19</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3D476239">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39015B4D">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21</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B3E3508">
      <w:pPr>
        <w:spacing w:line="600" w:lineRule="exact"/>
        <w:jc w:val="center"/>
        <w:outlineLvl w:val="0"/>
        <w:rPr>
          <w:rStyle w:val="27"/>
          <w:rFonts w:ascii="黑体" w:hAnsi="黑体" w:eastAsia="黑体"/>
          <w:b w:val="0"/>
        </w:rPr>
      </w:pPr>
      <w:r>
        <w:rPr>
          <w:rFonts w:ascii="宋体"/>
          <w:b/>
          <w:sz w:val="44"/>
          <w:szCs w:val="44"/>
        </w:rPr>
        <w:br w:type="page"/>
      </w:r>
      <w:bookmarkStart w:id="52" w:name="_Toc15396614"/>
      <w:r>
        <w:rPr>
          <w:rFonts w:hint="eastAsia" w:ascii="黑体" w:hAnsi="黑体" w:eastAsia="黑体"/>
          <w:sz w:val="44"/>
          <w:szCs w:val="44"/>
        </w:rPr>
        <w:t>第</w:t>
      </w:r>
      <w:r>
        <w:rPr>
          <w:rStyle w:val="27"/>
          <w:rFonts w:hint="eastAsia" w:ascii="黑体" w:hAnsi="黑体" w:eastAsia="黑体"/>
          <w:b w:val="0"/>
        </w:rPr>
        <w:t>四部分 附件</w:t>
      </w:r>
      <w:bookmarkEnd w:id="52"/>
    </w:p>
    <w:p w14:paraId="36E0C0D0">
      <w:pPr>
        <w:spacing w:line="572" w:lineRule="exact"/>
        <w:jc w:val="left"/>
        <w:outlineLvl w:val="0"/>
        <w:rPr>
          <w:rFonts w:ascii="仿宋_GB2312" w:hAnsi="仿宋_GB2312" w:eastAsia="仿宋_GB2312" w:cs="仿宋_GB2312"/>
          <w:sz w:val="32"/>
          <w:szCs w:val="32"/>
        </w:rPr>
      </w:pPr>
    </w:p>
    <w:p w14:paraId="51AC2C2A">
      <w:pPr>
        <w:spacing w:line="600" w:lineRule="exact"/>
        <w:jc w:val="center"/>
        <w:outlineLvl w:val="0"/>
        <w:rPr>
          <w:rFonts w:ascii="黑体" w:hAnsi="黑体" w:eastAsia="黑体"/>
          <w:color w:val="FF0000"/>
          <w:sz w:val="44"/>
          <w:szCs w:val="44"/>
        </w:rPr>
      </w:pPr>
      <w:bookmarkStart w:id="53" w:name="_Toc15396618"/>
      <w:r>
        <w:rPr>
          <w:rFonts w:hint="eastAsia"/>
          <w:sz w:val="32"/>
          <w:szCs w:val="32"/>
        </w:rPr>
        <w:t>部门预算项目支出绩效自评表（2023年度）</w:t>
      </w:r>
    </w:p>
    <w:p w14:paraId="500D22CE">
      <w:pPr>
        <w:pStyle w:val="14"/>
        <w:spacing w:line="560" w:lineRule="exact"/>
        <w:ind w:left="0" w:leftChars="0" w:firstLine="640"/>
        <w:rPr>
          <w:sz w:val="32"/>
        </w:rPr>
      </w:pPr>
    </w:p>
    <w:p w14:paraId="45FED127">
      <w:pPr>
        <w:pStyle w:val="6"/>
        <w:spacing w:before="93"/>
        <w:ind w:firstLine="1600" w:firstLineChars="500"/>
        <w:rPr>
          <w:rFonts w:hint="eastAsia" w:hAnsi="Calibri" w:eastAsia="仿宋_GB2312" w:cs="仿宋"/>
          <w:sz w:val="32"/>
          <w:szCs w:val="32"/>
          <w:lang w:eastAsia="zh-CN"/>
        </w:rPr>
      </w:pPr>
      <w:r>
        <w:rPr>
          <w:rFonts w:hint="eastAsia" w:hAnsi="Calibri" w:cs="仿宋"/>
          <w:sz w:val="32"/>
          <w:lang w:eastAsia="zh-CN"/>
        </w:rPr>
        <w:t>（本单位无特定目标类项目支出）</w:t>
      </w:r>
    </w:p>
    <w:p w14:paraId="003161CD">
      <w:pPr>
        <w:pStyle w:val="6"/>
        <w:spacing w:before="93"/>
        <w:rPr>
          <w:rFonts w:hAnsi="Calibri" w:cs="仿宋"/>
          <w:sz w:val="32"/>
          <w:szCs w:val="32"/>
        </w:rPr>
      </w:pPr>
    </w:p>
    <w:p w14:paraId="19604A0C">
      <w:pPr>
        <w:pStyle w:val="6"/>
        <w:spacing w:before="93"/>
        <w:rPr>
          <w:rFonts w:hAnsi="Calibri" w:cs="仿宋"/>
          <w:sz w:val="32"/>
          <w:szCs w:val="32"/>
        </w:rPr>
      </w:pPr>
    </w:p>
    <w:p w14:paraId="2F4A920A">
      <w:pPr>
        <w:pStyle w:val="6"/>
        <w:spacing w:before="93"/>
        <w:rPr>
          <w:rFonts w:hAnsi="Calibri" w:cs="仿宋"/>
          <w:sz w:val="32"/>
          <w:szCs w:val="32"/>
        </w:rPr>
      </w:pPr>
    </w:p>
    <w:p w14:paraId="2909FF79">
      <w:pPr>
        <w:pStyle w:val="6"/>
        <w:spacing w:before="93"/>
        <w:rPr>
          <w:rFonts w:hAnsi="Calibri" w:cs="仿宋"/>
          <w:sz w:val="32"/>
          <w:szCs w:val="32"/>
        </w:rPr>
      </w:pPr>
    </w:p>
    <w:p w14:paraId="2447CA65">
      <w:pPr>
        <w:pStyle w:val="6"/>
        <w:spacing w:before="93"/>
        <w:rPr>
          <w:rFonts w:hAnsi="Calibri" w:cs="仿宋"/>
          <w:sz w:val="32"/>
          <w:szCs w:val="32"/>
        </w:rPr>
      </w:pPr>
    </w:p>
    <w:p w14:paraId="7C39AB77">
      <w:pPr>
        <w:pStyle w:val="6"/>
        <w:spacing w:before="93"/>
        <w:rPr>
          <w:rFonts w:hAnsi="Calibri" w:cs="仿宋"/>
          <w:sz w:val="32"/>
          <w:szCs w:val="32"/>
        </w:rPr>
      </w:pPr>
    </w:p>
    <w:p w14:paraId="7FB3DA77">
      <w:pPr>
        <w:pStyle w:val="6"/>
        <w:spacing w:before="93"/>
        <w:rPr>
          <w:rFonts w:hAnsi="Calibri" w:cs="仿宋"/>
          <w:sz w:val="32"/>
          <w:szCs w:val="32"/>
        </w:rPr>
      </w:pPr>
    </w:p>
    <w:p w14:paraId="001942FA">
      <w:pPr>
        <w:pStyle w:val="6"/>
        <w:spacing w:before="93"/>
        <w:rPr>
          <w:rFonts w:hAnsi="Calibri" w:cs="仿宋"/>
          <w:sz w:val="32"/>
          <w:szCs w:val="32"/>
        </w:rPr>
      </w:pPr>
    </w:p>
    <w:p w14:paraId="1864B119">
      <w:pPr>
        <w:pStyle w:val="6"/>
        <w:spacing w:before="93"/>
        <w:rPr>
          <w:rFonts w:hAnsi="Calibri" w:cs="仿宋"/>
          <w:sz w:val="32"/>
          <w:szCs w:val="32"/>
        </w:rPr>
      </w:pPr>
    </w:p>
    <w:p w14:paraId="201338A4">
      <w:pPr>
        <w:pStyle w:val="6"/>
        <w:spacing w:before="93"/>
        <w:rPr>
          <w:rFonts w:hAnsi="Calibri" w:cs="仿宋"/>
          <w:sz w:val="32"/>
          <w:szCs w:val="32"/>
        </w:rPr>
      </w:pPr>
    </w:p>
    <w:p w14:paraId="05477242">
      <w:pPr>
        <w:pStyle w:val="6"/>
        <w:spacing w:before="93"/>
        <w:rPr>
          <w:rFonts w:hAnsi="Calibri" w:cs="仿宋"/>
          <w:sz w:val="32"/>
          <w:szCs w:val="32"/>
        </w:rPr>
      </w:pPr>
    </w:p>
    <w:p w14:paraId="25792C3E">
      <w:pPr>
        <w:pStyle w:val="6"/>
        <w:spacing w:before="93"/>
        <w:rPr>
          <w:rFonts w:hAnsi="Calibri" w:cs="仿宋"/>
          <w:sz w:val="32"/>
          <w:szCs w:val="32"/>
        </w:rPr>
      </w:pPr>
    </w:p>
    <w:p w14:paraId="5372FDEC">
      <w:pPr>
        <w:spacing w:line="600" w:lineRule="exact"/>
        <w:jc w:val="center"/>
        <w:outlineLvl w:val="0"/>
        <w:rPr>
          <w:rFonts w:hint="eastAsia" w:ascii="黑体" w:hAnsi="黑体" w:eastAsia="黑体"/>
          <w:sz w:val="44"/>
          <w:szCs w:val="44"/>
        </w:rPr>
      </w:pPr>
    </w:p>
    <w:p w14:paraId="4C49A159">
      <w:pPr>
        <w:spacing w:line="600" w:lineRule="exact"/>
        <w:jc w:val="center"/>
        <w:outlineLvl w:val="0"/>
        <w:rPr>
          <w:rFonts w:hint="eastAsia" w:ascii="黑体" w:hAnsi="黑体" w:eastAsia="黑体"/>
          <w:sz w:val="44"/>
          <w:szCs w:val="44"/>
        </w:rPr>
      </w:pPr>
    </w:p>
    <w:p w14:paraId="188984AC">
      <w:pPr>
        <w:spacing w:line="600" w:lineRule="exact"/>
        <w:jc w:val="center"/>
        <w:outlineLvl w:val="0"/>
        <w:rPr>
          <w:rFonts w:hint="eastAsia" w:ascii="黑体" w:hAnsi="黑体" w:eastAsia="黑体"/>
          <w:sz w:val="44"/>
          <w:szCs w:val="44"/>
        </w:rPr>
      </w:pPr>
    </w:p>
    <w:p w14:paraId="3B98C129">
      <w:pPr>
        <w:spacing w:line="600" w:lineRule="exact"/>
        <w:jc w:val="center"/>
        <w:outlineLvl w:val="0"/>
        <w:rPr>
          <w:rFonts w:ascii="仿宋" w:hAnsi="仿宋" w:eastAsia="仿宋"/>
        </w:rPr>
      </w:pPr>
      <w:r>
        <w:rPr>
          <w:rFonts w:hint="eastAsia" w:ascii="黑体" w:hAnsi="黑体" w:eastAsia="黑体"/>
          <w:sz w:val="44"/>
          <w:szCs w:val="44"/>
        </w:rPr>
        <w:t>第</w:t>
      </w:r>
      <w:r>
        <w:rPr>
          <w:rStyle w:val="27"/>
          <w:rFonts w:hint="eastAsia" w:ascii="黑体" w:hAnsi="黑体" w:eastAsia="黑体"/>
          <w:b w:val="0"/>
        </w:rPr>
        <w:t>五部分 附表</w:t>
      </w:r>
      <w:bookmarkEnd w:id="51"/>
      <w:bookmarkEnd w:id="53"/>
      <w:bookmarkStart w:id="54" w:name="_Toc15396619"/>
    </w:p>
    <w:p w14:paraId="6FFFF487">
      <w:pPr>
        <w:pStyle w:val="4"/>
        <w:rPr>
          <w:rFonts w:ascii="仿宋" w:hAnsi="仿宋" w:eastAsia="仿宋"/>
        </w:rPr>
      </w:pPr>
      <w:r>
        <w:rPr>
          <w:rFonts w:hint="eastAsia" w:ascii="仿宋" w:hAnsi="仿宋" w:eastAsia="仿宋"/>
          <w:b w:val="0"/>
        </w:rPr>
        <w:t>一、收</w:t>
      </w:r>
      <w:r>
        <w:rPr>
          <w:rStyle w:val="28"/>
          <w:rFonts w:hint="eastAsia" w:ascii="仿宋" w:hAnsi="仿宋" w:eastAsia="仿宋"/>
          <w:b w:val="0"/>
          <w:bCs w:val="0"/>
        </w:rPr>
        <w:t>入支出决算总表</w:t>
      </w:r>
      <w:bookmarkEnd w:id="54"/>
    </w:p>
    <w:p w14:paraId="0AC474AD">
      <w:pPr>
        <w:pStyle w:val="4"/>
        <w:rPr>
          <w:rFonts w:ascii="仿宋" w:hAnsi="仿宋" w:eastAsia="仿宋"/>
        </w:rPr>
      </w:pPr>
      <w:bookmarkStart w:id="55" w:name="_Toc15396620"/>
      <w:r>
        <w:rPr>
          <w:rFonts w:hint="eastAsia" w:ascii="仿宋" w:hAnsi="仿宋" w:eastAsia="仿宋"/>
          <w:b w:val="0"/>
        </w:rPr>
        <w:t>二、收</w:t>
      </w:r>
      <w:r>
        <w:rPr>
          <w:rStyle w:val="28"/>
          <w:rFonts w:hint="eastAsia" w:ascii="仿宋" w:hAnsi="仿宋" w:eastAsia="仿宋"/>
          <w:b w:val="0"/>
          <w:bCs w:val="0"/>
        </w:rPr>
        <w:t>入决算表</w:t>
      </w:r>
      <w:bookmarkEnd w:id="55"/>
    </w:p>
    <w:p w14:paraId="2AD83FC0">
      <w:pPr>
        <w:pStyle w:val="4"/>
        <w:rPr>
          <w:rFonts w:ascii="仿宋" w:hAnsi="仿宋" w:eastAsia="仿宋"/>
        </w:rPr>
      </w:pPr>
      <w:bookmarkStart w:id="56" w:name="_Toc15396621"/>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56"/>
    </w:p>
    <w:p w14:paraId="03D5F961">
      <w:pPr>
        <w:pStyle w:val="4"/>
        <w:rPr>
          <w:rFonts w:ascii="仿宋" w:hAnsi="仿宋" w:eastAsia="仿宋"/>
          <w:b w:val="0"/>
        </w:rPr>
      </w:pPr>
      <w:bookmarkStart w:id="57" w:name="_Toc15396622"/>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57"/>
    </w:p>
    <w:p w14:paraId="1C9B4548">
      <w:pPr>
        <w:pStyle w:val="4"/>
        <w:rPr>
          <w:rStyle w:val="28"/>
          <w:rFonts w:ascii="仿宋" w:hAnsi="仿宋" w:eastAsia="仿宋"/>
          <w:b w:val="0"/>
          <w:bCs w:val="0"/>
        </w:rPr>
      </w:pPr>
      <w:bookmarkStart w:id="58" w:name="_Toc15396623"/>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58"/>
      <w:bookmarkStart w:id="59" w:name="_Toc15396624"/>
    </w:p>
    <w:p w14:paraId="48028A76">
      <w:pPr>
        <w:pStyle w:val="4"/>
        <w:rPr>
          <w:rFonts w:ascii="仿宋" w:hAnsi="仿宋" w:eastAsia="仿宋"/>
        </w:rPr>
      </w:pPr>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59"/>
    </w:p>
    <w:p w14:paraId="2978CBA2">
      <w:pPr>
        <w:pStyle w:val="4"/>
        <w:rPr>
          <w:rFonts w:ascii="仿宋" w:hAnsi="仿宋" w:eastAsia="仿宋"/>
        </w:rPr>
      </w:pPr>
      <w:bookmarkStart w:id="60" w:name="_Toc15396625"/>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60"/>
    </w:p>
    <w:p w14:paraId="7C9B86DD">
      <w:pPr>
        <w:pStyle w:val="4"/>
        <w:rPr>
          <w:rFonts w:ascii="仿宋" w:hAnsi="仿宋" w:eastAsia="仿宋"/>
        </w:rPr>
      </w:pPr>
      <w:bookmarkStart w:id="61" w:name="_Toc15396626"/>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61"/>
    </w:p>
    <w:p w14:paraId="5C726F15">
      <w:pPr>
        <w:pStyle w:val="4"/>
        <w:rPr>
          <w:rFonts w:ascii="仿宋" w:hAnsi="仿宋" w:eastAsia="仿宋"/>
        </w:rPr>
      </w:pPr>
      <w:bookmarkStart w:id="62" w:name="_Toc15396627"/>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62"/>
    </w:p>
    <w:p w14:paraId="077161F9">
      <w:pPr>
        <w:pStyle w:val="4"/>
        <w:rPr>
          <w:rFonts w:ascii="仿宋" w:hAnsi="仿宋" w:eastAsia="仿宋"/>
        </w:rPr>
      </w:pPr>
      <w:bookmarkStart w:id="63" w:name="_Toc15396628"/>
      <w:r>
        <w:rPr>
          <w:rStyle w:val="28"/>
          <w:rFonts w:hint="eastAsia" w:ascii="仿宋" w:hAnsi="仿宋" w:eastAsia="仿宋"/>
          <w:b w:val="0"/>
          <w:bCs w:val="0"/>
        </w:rPr>
        <w:t>十、</w:t>
      </w:r>
      <w:bookmarkEnd w:id="63"/>
      <w:r>
        <w:rPr>
          <w:rFonts w:hint="eastAsia" w:ascii="仿宋" w:hAnsi="仿宋" w:eastAsia="仿宋"/>
          <w:b w:val="0"/>
        </w:rPr>
        <w:t>政</w:t>
      </w:r>
      <w:r>
        <w:rPr>
          <w:rStyle w:val="28"/>
          <w:rFonts w:hint="eastAsia" w:ascii="仿宋" w:hAnsi="仿宋" w:eastAsia="仿宋"/>
          <w:b w:val="0"/>
          <w:bCs w:val="0"/>
        </w:rPr>
        <w:t>府性基金预算财政拨款收入支出决算表</w:t>
      </w:r>
    </w:p>
    <w:p w14:paraId="067E23A6">
      <w:pPr>
        <w:pStyle w:val="4"/>
        <w:rPr>
          <w:rFonts w:ascii="仿宋" w:hAnsi="仿宋" w:eastAsia="仿宋"/>
        </w:rPr>
      </w:pPr>
      <w:bookmarkStart w:id="64" w:name="_Toc15396629"/>
      <w:r>
        <w:rPr>
          <w:rStyle w:val="28"/>
          <w:rFonts w:hint="eastAsia" w:ascii="仿宋" w:hAnsi="仿宋" w:eastAsia="仿宋"/>
          <w:b w:val="0"/>
          <w:bCs w:val="0"/>
        </w:rPr>
        <w:t>十一、</w:t>
      </w:r>
      <w:bookmarkEnd w:id="64"/>
      <w:r>
        <w:rPr>
          <w:rFonts w:hint="eastAsia" w:ascii="仿宋" w:hAnsi="仿宋" w:eastAsia="仿宋"/>
          <w:b w:val="0"/>
        </w:rPr>
        <w:t>国</w:t>
      </w:r>
      <w:r>
        <w:rPr>
          <w:rStyle w:val="28"/>
          <w:rFonts w:hint="eastAsia" w:ascii="仿宋" w:hAnsi="仿宋" w:eastAsia="仿宋"/>
          <w:b w:val="0"/>
          <w:bCs w:val="0"/>
        </w:rPr>
        <w:t>有资本经营预算财政拨款收入支出决算表</w:t>
      </w:r>
    </w:p>
    <w:p w14:paraId="0F0C3D97">
      <w:pPr>
        <w:pStyle w:val="4"/>
        <w:rPr>
          <w:rFonts w:ascii="仿宋" w:hAnsi="仿宋" w:eastAsia="仿宋"/>
        </w:rPr>
      </w:pPr>
      <w:bookmarkStart w:id="65" w:name="_Toc15396630"/>
      <w:r>
        <w:rPr>
          <w:rStyle w:val="28"/>
          <w:rFonts w:hint="eastAsia" w:ascii="仿宋" w:hAnsi="仿宋" w:eastAsia="仿宋"/>
          <w:b w:val="0"/>
          <w:bCs w:val="0"/>
        </w:rPr>
        <w:t>十二、</w:t>
      </w:r>
      <w:bookmarkEnd w:id="65"/>
      <w:r>
        <w:rPr>
          <w:rStyle w:val="28"/>
          <w:rFonts w:hint="eastAsia" w:ascii="仿宋" w:hAnsi="仿宋" w:eastAsia="仿宋"/>
          <w:b w:val="0"/>
          <w:bCs w:val="0"/>
        </w:rPr>
        <w:t>国有资本经营预算财政拨款支出决算表</w:t>
      </w:r>
    </w:p>
    <w:p w14:paraId="507A4804">
      <w:pPr>
        <w:pStyle w:val="4"/>
        <w:rPr>
          <w:rFonts w:eastAsia="仿宋"/>
        </w:rPr>
      </w:pPr>
      <w:bookmarkStart w:id="66" w:name="_Toc15396631"/>
      <w:r>
        <w:rPr>
          <w:rStyle w:val="28"/>
          <w:rFonts w:hint="eastAsia" w:ascii="仿宋" w:hAnsi="仿宋" w:eastAsia="仿宋"/>
          <w:b w:val="0"/>
          <w:bCs w:val="0"/>
        </w:rPr>
        <w:t>十三、</w:t>
      </w:r>
      <w:bookmarkEnd w:id="66"/>
      <w:r>
        <w:rPr>
          <w:rStyle w:val="28"/>
          <w:rFonts w:hint="eastAsia" w:ascii="仿宋" w:hAnsi="仿宋" w:eastAsia="仿宋"/>
          <w:b w:val="0"/>
          <w:bCs w:val="0"/>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14:paraId="35FB2E6C">
        <w:pPr>
          <w:pStyle w:val="10"/>
          <w:jc w:val="center"/>
        </w:pPr>
        <w:r>
          <w:fldChar w:fldCharType="begin"/>
        </w:r>
        <w:r>
          <w:instrText xml:space="preserve">PAGE   \* MERGEFORMAT</w:instrText>
        </w:r>
        <w:r>
          <w:fldChar w:fldCharType="separate"/>
        </w:r>
        <w:r>
          <w:rPr>
            <w:lang w:val="zh-CN"/>
          </w:rPr>
          <w:t>15</w:t>
        </w:r>
        <w:r>
          <w:fldChar w:fldCharType="end"/>
        </w:r>
      </w:p>
    </w:sdtContent>
  </w:sdt>
  <w:p w14:paraId="71405F1C">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57E2A">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jYjY0MTExM2RlM2JkMWZhNjNlMzgwMmFkNzZkZT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4EA0A26"/>
    <w:rsid w:val="081B5E94"/>
    <w:rsid w:val="0A2032A3"/>
    <w:rsid w:val="0B8A37D8"/>
    <w:rsid w:val="0F5FFB2F"/>
    <w:rsid w:val="0FFFCF60"/>
    <w:rsid w:val="10C055FF"/>
    <w:rsid w:val="118107EC"/>
    <w:rsid w:val="11DD6519"/>
    <w:rsid w:val="16BB723D"/>
    <w:rsid w:val="18015F3F"/>
    <w:rsid w:val="1BE8440E"/>
    <w:rsid w:val="1D155CEE"/>
    <w:rsid w:val="1FDBBF84"/>
    <w:rsid w:val="20F57F95"/>
    <w:rsid w:val="240371BF"/>
    <w:rsid w:val="25711CC6"/>
    <w:rsid w:val="25C741E6"/>
    <w:rsid w:val="276F80C0"/>
    <w:rsid w:val="27842671"/>
    <w:rsid w:val="288C6E61"/>
    <w:rsid w:val="29FD04D3"/>
    <w:rsid w:val="2ABE7A3E"/>
    <w:rsid w:val="2AFF09B6"/>
    <w:rsid w:val="2CA234A8"/>
    <w:rsid w:val="2EFA178C"/>
    <w:rsid w:val="2EFDF86C"/>
    <w:rsid w:val="2F9D17E1"/>
    <w:rsid w:val="30B46D73"/>
    <w:rsid w:val="319F7F4E"/>
    <w:rsid w:val="356A28F1"/>
    <w:rsid w:val="357C035A"/>
    <w:rsid w:val="368E000D"/>
    <w:rsid w:val="372F011D"/>
    <w:rsid w:val="383D272C"/>
    <w:rsid w:val="39AE70AB"/>
    <w:rsid w:val="3A4DCE41"/>
    <w:rsid w:val="3BCB56FA"/>
    <w:rsid w:val="3C0C0783"/>
    <w:rsid w:val="3EE7C2F4"/>
    <w:rsid w:val="3F371B56"/>
    <w:rsid w:val="3F792ED8"/>
    <w:rsid w:val="3F9F3A96"/>
    <w:rsid w:val="3FECA4B2"/>
    <w:rsid w:val="3FF58C48"/>
    <w:rsid w:val="42FF6694"/>
    <w:rsid w:val="48BF60AB"/>
    <w:rsid w:val="493C27E9"/>
    <w:rsid w:val="496F39ED"/>
    <w:rsid w:val="49FF41D3"/>
    <w:rsid w:val="4BA442A7"/>
    <w:rsid w:val="4BE068DB"/>
    <w:rsid w:val="4BF6002B"/>
    <w:rsid w:val="4BFFC6BE"/>
    <w:rsid w:val="4ECE2238"/>
    <w:rsid w:val="51DB4B86"/>
    <w:rsid w:val="51F64DB0"/>
    <w:rsid w:val="55333C3E"/>
    <w:rsid w:val="5A0C1B4F"/>
    <w:rsid w:val="5F67802D"/>
    <w:rsid w:val="5F7DC4F2"/>
    <w:rsid w:val="5FB36814"/>
    <w:rsid w:val="5FBB8E56"/>
    <w:rsid w:val="5FFB5535"/>
    <w:rsid w:val="64CA39A1"/>
    <w:rsid w:val="69630ADE"/>
    <w:rsid w:val="69BD5F13"/>
    <w:rsid w:val="69FB0B4B"/>
    <w:rsid w:val="6BFFE1FB"/>
    <w:rsid w:val="6C4A05C8"/>
    <w:rsid w:val="6D3B1A89"/>
    <w:rsid w:val="6DB7D8A3"/>
    <w:rsid w:val="6EC78701"/>
    <w:rsid w:val="6F7A5481"/>
    <w:rsid w:val="6FFE07A9"/>
    <w:rsid w:val="71BF4EC2"/>
    <w:rsid w:val="72734D90"/>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43DCA"/>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6">
    <w:name w:val="Body Text"/>
    <w:basedOn w:val="1"/>
    <w:link w:val="24"/>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0"/>
    <w:semiHidden/>
    <w:unhideWhenUsed/>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semiHidden/>
    <w:qFormat/>
    <w:uiPriority w:val="99"/>
    <w:rPr>
      <w:rFonts w:ascii="Times New Roman" w:hAnsi="Times New Roman"/>
      <w:sz w:val="18"/>
      <w:szCs w:val="18"/>
    </w:rPr>
  </w:style>
  <w:style w:type="character" w:customStyle="1" w:styleId="20">
    <w:name w:val="页眉 字符"/>
    <w:link w:val="11"/>
    <w:semiHidden/>
    <w:qFormat/>
    <w:locked/>
    <w:uiPriority w:val="99"/>
    <w:rPr>
      <w:sz w:val="18"/>
    </w:rPr>
  </w:style>
  <w:style w:type="character" w:customStyle="1" w:styleId="21">
    <w:name w:val="Footer Char"/>
    <w:basedOn w:val="16"/>
    <w:semiHidden/>
    <w:qFormat/>
    <w:uiPriority w:val="99"/>
    <w:rPr>
      <w:rFonts w:ascii="Times New Roman" w:hAnsi="Times New Roman"/>
      <w:sz w:val="18"/>
      <w:szCs w:val="18"/>
    </w:rPr>
  </w:style>
  <w:style w:type="character" w:customStyle="1" w:styleId="22">
    <w:name w:val="页脚 字符"/>
    <w:link w:val="10"/>
    <w:qFormat/>
    <w:locked/>
    <w:uiPriority w:val="99"/>
    <w:rPr>
      <w:sz w:val="18"/>
    </w:rPr>
  </w:style>
  <w:style w:type="character" w:customStyle="1" w:styleId="23">
    <w:name w:val="Body Text Char"/>
    <w:basedOn w:val="16"/>
    <w:semiHidden/>
    <w:qFormat/>
    <w:uiPriority w:val="99"/>
    <w:rPr>
      <w:rFonts w:ascii="Times New Roman" w:hAnsi="Times New Roman"/>
      <w:szCs w:val="24"/>
    </w:rPr>
  </w:style>
  <w:style w:type="character" w:customStyle="1" w:styleId="24">
    <w:name w:val="正文文本 字符"/>
    <w:link w:val="6"/>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6"/>
    <w:link w:val="3"/>
    <w:qFormat/>
    <w:uiPriority w:val="9"/>
    <w:rPr>
      <w:rFonts w:ascii="Times New Roman" w:hAnsi="Times New Roman"/>
      <w:b/>
      <w:bCs/>
      <w:kern w:val="44"/>
      <w:sz w:val="44"/>
      <w:szCs w:val="44"/>
    </w:rPr>
  </w:style>
  <w:style w:type="character" w:customStyle="1" w:styleId="28">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6"/>
    <w:link w:val="9"/>
    <w:semiHidden/>
    <w:qFormat/>
    <w:uiPriority w:val="99"/>
    <w:rPr>
      <w:rFonts w:ascii="Times New Roman" w:hAnsi="Times New Roman"/>
      <w:kern w:val="2"/>
      <w:sz w:val="18"/>
      <w:szCs w:val="18"/>
    </w:rPr>
  </w:style>
  <w:style w:type="character" w:customStyle="1" w:styleId="31">
    <w:name w:val="标题 3 字符"/>
    <w:basedOn w:val="16"/>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4289</Words>
  <Characters>4520</Characters>
  <Lines>54</Lines>
  <Paragraphs>15</Paragraphs>
  <TotalTime>4</TotalTime>
  <ScaleCrop>false</ScaleCrop>
  <LinksUpToDate>false</LinksUpToDate>
  <CharactersWithSpaces>4566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GOOD NIGHT</cp:lastModifiedBy>
  <cp:lastPrinted>2023-08-03T02:35:00Z</cp:lastPrinted>
  <dcterms:modified xsi:type="dcterms:W3CDTF">2024-10-28T03:42:56Z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61431CC374F84B4A8DD7B62A0D17C03F_13</vt:lpwstr>
  </property>
</Properties>
</file>