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szCs w:val="21"/>
        </w:rPr>
      </w:pPr>
      <w:bookmarkStart w:id="0" w:name="_Toc15306267"/>
    </w:p>
    <w:p>
      <w:pPr>
        <w:pStyle w:val="5"/>
        <w:spacing w:before="93"/>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96597"/>
      <w:bookmarkStart w:id="2" w:name="_Toc15378441"/>
      <w:bookmarkStart w:id="3" w:name="_Toc15396475"/>
      <w:bookmarkStart w:id="4" w:name="_Toc15377425"/>
      <w:bookmarkStart w:id="5" w:name="_Toc15377193"/>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p>
      <w:pPr>
        <w:adjustRightInd w:val="0"/>
        <w:snapToGrid w:val="0"/>
        <w:spacing w:line="360" w:lineRule="auto"/>
        <w:jc w:val="center"/>
        <w:outlineLvl w:val="0"/>
        <w:rPr>
          <w:rFonts w:hint="eastAsia" w:ascii="方正小标宋简体" w:hAnsi="方正小标宋简体" w:eastAsia="方正小标宋简体" w:cs="方正小标宋简体"/>
          <w:sz w:val="72"/>
          <w:szCs w:val="72"/>
          <w:lang w:eastAsia="zh-CN"/>
        </w:rPr>
      </w:pPr>
      <w:bookmarkStart w:id="6" w:name="_Toc15377426"/>
      <w:bookmarkStart w:id="7" w:name="_Toc15378442"/>
      <w:bookmarkStart w:id="8" w:name="_Toc15396598"/>
      <w:bookmarkStart w:id="9" w:name="_Toc15377194"/>
      <w:bookmarkStart w:id="10" w:name="_Toc15396476"/>
      <w:r>
        <w:rPr>
          <w:rFonts w:hint="eastAsia" w:ascii="方正小标宋简体" w:hAnsi="方正小标宋简体" w:eastAsia="方正小标宋简体" w:cs="方正小标宋简体"/>
          <w:sz w:val="72"/>
          <w:szCs w:val="72"/>
        </w:rPr>
        <w:t>四川省</w:t>
      </w:r>
      <w:bookmarkEnd w:id="0"/>
      <w:bookmarkStart w:id="11" w:name="_Toc15306268"/>
      <w:r>
        <w:rPr>
          <w:rFonts w:hint="eastAsia" w:ascii="方正小标宋简体" w:hAnsi="方正小标宋简体" w:eastAsia="方正小标宋简体" w:cs="方正小标宋简体"/>
          <w:sz w:val="72"/>
          <w:szCs w:val="72"/>
          <w:lang w:eastAsia="zh-CN"/>
        </w:rPr>
        <w:t>乐山市五通桥区</w:t>
      </w:r>
    </w:p>
    <w:p>
      <w:pPr>
        <w:adjustRightInd w:val="0"/>
        <w:snapToGrid w:val="0"/>
        <w:spacing w:line="360" w:lineRule="auto"/>
        <w:jc w:val="center"/>
        <w:outlineLvl w:val="0"/>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eastAsia="zh-CN"/>
        </w:rPr>
        <w:t>石麟镇人民政府</w:t>
      </w:r>
      <w:r>
        <w:rPr>
          <w:rFonts w:hint="eastAsia" w:ascii="方正小标宋简体" w:hAnsi="方正小标宋简体" w:eastAsia="方正小标宋简体" w:cs="方正小标宋简体"/>
          <w:sz w:val="72"/>
          <w:szCs w:val="72"/>
        </w:rPr>
        <w:t>单位决算</w:t>
      </w:r>
      <w:bookmarkEnd w:id="6"/>
      <w:bookmarkEnd w:id="7"/>
      <w:bookmarkEnd w:id="8"/>
      <w:bookmarkEnd w:id="9"/>
      <w:bookmarkEnd w:id="10"/>
      <w:bookmarkEnd w:id="11"/>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1"/>
        <w:rPr>
          <w:highlight w:val="none"/>
        </w:rPr>
      </w:pPr>
      <w:r>
        <w:rPr>
          <w:rFonts w:hint="eastAsia"/>
          <w:highlight w:val="none"/>
        </w:rPr>
        <w:t>公开时间：202</w:t>
      </w:r>
      <w:r>
        <w:rPr>
          <w:rFonts w:hint="eastAsia"/>
          <w:highlight w:val="none"/>
          <w:lang w:val="en-US" w:eastAsia="zh-CN"/>
        </w:rPr>
        <w:t>4</w:t>
      </w:r>
      <w:r>
        <w:rPr>
          <w:rFonts w:hint="eastAsia"/>
          <w:highlight w:val="none"/>
        </w:rPr>
        <w:t>年</w:t>
      </w:r>
      <w:r>
        <w:rPr>
          <w:rFonts w:hint="eastAsia"/>
          <w:highlight w:val="none"/>
          <w:lang w:val="en-US" w:eastAsia="zh-CN"/>
        </w:rPr>
        <w:t>10</w:t>
      </w:r>
      <w:r>
        <w:rPr>
          <w:rFonts w:hint="eastAsia"/>
          <w:highlight w:val="none"/>
        </w:rPr>
        <w:t>月</w:t>
      </w:r>
      <w:r>
        <w:rPr>
          <w:rFonts w:hint="eastAsia"/>
          <w:highlight w:val="none"/>
          <w:lang w:val="en-US" w:eastAsia="zh-CN"/>
        </w:rPr>
        <w:t>28</w:t>
      </w:r>
      <w:r>
        <w:rPr>
          <w:rFonts w:hint="eastAsia"/>
          <w:highlight w:val="none"/>
        </w:rPr>
        <w:t>日</w:t>
      </w:r>
    </w:p>
    <w:p/>
    <w:p>
      <w:pPr>
        <w:pStyle w:val="11"/>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单位概况</w:t>
      </w:r>
    </w:p>
    <w:p>
      <w:pPr>
        <w:pStyle w:val="12"/>
        <w:adjustRightInd w:val="0"/>
        <w:snapToGrid w:val="0"/>
        <w:spacing w:line="440" w:lineRule="exact"/>
        <w:jc w:val="left"/>
        <w:rPr>
          <w:sz w:val="24"/>
        </w:rPr>
      </w:pPr>
      <w:r>
        <w:rPr>
          <w:rFonts w:hint="eastAsia"/>
          <w:sz w:val="24"/>
        </w:rPr>
        <w:t>一、主要职责</w:t>
      </w:r>
    </w:p>
    <w:p>
      <w:pPr>
        <w:pStyle w:val="12"/>
        <w:adjustRightInd w:val="0"/>
        <w:snapToGrid w:val="0"/>
        <w:spacing w:line="440" w:lineRule="exact"/>
        <w:jc w:val="left"/>
      </w:pPr>
      <w:r>
        <w:rPr>
          <w:rFonts w:hint="eastAsia"/>
          <w:sz w:val="24"/>
        </w:rPr>
        <w:t>二、机构设置</w:t>
      </w:r>
    </w:p>
    <w:p>
      <w:pPr>
        <w:pStyle w:val="11"/>
        <w:adjustRightInd w:val="0"/>
        <w:snapToGrid w:val="0"/>
        <w:spacing w:before="0" w:line="440" w:lineRule="exact"/>
        <w:jc w:val="left"/>
        <w:rPr>
          <w:sz w:val="24"/>
          <w:szCs w:val="24"/>
        </w:rPr>
      </w:pPr>
      <w:r>
        <w:rPr>
          <w:rFonts w:hint="eastAsia"/>
          <w:sz w:val="24"/>
        </w:rPr>
        <w:t>第二部分 2023年度单位决算情况说明</w:t>
      </w:r>
    </w:p>
    <w:p>
      <w:pPr>
        <w:pStyle w:val="12"/>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pPr>
        <w:pStyle w:val="12"/>
        <w:adjustRightInd w:val="0"/>
        <w:snapToGrid w:val="0"/>
        <w:spacing w:line="440" w:lineRule="exact"/>
        <w:jc w:val="left"/>
        <w:rPr>
          <w:rFonts w:ascii="仿宋" w:hAnsi="仿宋" w:eastAsia="仿宋" w:cstheme="minorBidi"/>
          <w:sz w:val="24"/>
        </w:rPr>
      </w:pPr>
      <w:r>
        <w:rPr>
          <w:rFonts w:hint="eastAsia"/>
          <w:sz w:val="24"/>
        </w:rPr>
        <w:t>二、收入决算情况说明</w:t>
      </w:r>
    </w:p>
    <w:p>
      <w:pPr>
        <w:pStyle w:val="12"/>
        <w:adjustRightInd w:val="0"/>
        <w:snapToGrid w:val="0"/>
        <w:spacing w:line="440" w:lineRule="exact"/>
        <w:jc w:val="left"/>
        <w:rPr>
          <w:rFonts w:ascii="仿宋" w:hAnsi="仿宋" w:eastAsia="仿宋" w:cstheme="minorBidi"/>
          <w:sz w:val="24"/>
        </w:rPr>
      </w:pPr>
      <w:r>
        <w:rPr>
          <w:rFonts w:hint="eastAsia"/>
          <w:sz w:val="24"/>
        </w:rPr>
        <w:t>三、支出决算情况说明</w:t>
      </w:r>
    </w:p>
    <w:p>
      <w:pPr>
        <w:pStyle w:val="12"/>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pPr>
        <w:pStyle w:val="12"/>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pPr>
        <w:pStyle w:val="12"/>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pPr>
        <w:pStyle w:val="12"/>
        <w:adjustRightInd w:val="0"/>
        <w:snapToGrid w:val="0"/>
        <w:spacing w:line="440" w:lineRule="exact"/>
        <w:jc w:val="left"/>
        <w:rPr>
          <w:rFonts w:ascii="仿宋" w:hAnsi="仿宋" w:eastAsia="仿宋" w:cstheme="minorBidi"/>
          <w:sz w:val="24"/>
        </w:rPr>
      </w:pPr>
      <w:r>
        <w:rPr>
          <w:rFonts w:hint="eastAsia"/>
          <w:sz w:val="24"/>
        </w:rPr>
        <w:t>七、财政拨款“三公”经费支出决算情况说明</w:t>
      </w:r>
    </w:p>
    <w:p>
      <w:pPr>
        <w:pStyle w:val="12"/>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pPr>
        <w:pStyle w:val="12"/>
        <w:adjustRightInd w:val="0"/>
        <w:snapToGrid w:val="0"/>
        <w:spacing w:line="440" w:lineRule="exact"/>
        <w:jc w:val="left"/>
        <w:rPr>
          <w:sz w:val="24"/>
        </w:rPr>
      </w:pPr>
      <w:r>
        <w:rPr>
          <w:rFonts w:hint="eastAsia"/>
          <w:sz w:val="24"/>
        </w:rPr>
        <w:t>九、国有资本经营预算支出决算情况说明</w:t>
      </w:r>
    </w:p>
    <w:p>
      <w:pPr>
        <w:pStyle w:val="12"/>
        <w:adjustRightInd w:val="0"/>
        <w:snapToGrid w:val="0"/>
        <w:spacing w:line="440" w:lineRule="exact"/>
        <w:jc w:val="left"/>
        <w:rPr>
          <w:sz w:val="24"/>
        </w:rPr>
      </w:pPr>
      <w:r>
        <w:rPr>
          <w:rFonts w:hint="eastAsia"/>
          <w:sz w:val="24"/>
        </w:rPr>
        <w:t>十、其他重要事项的情况说明</w:t>
      </w:r>
    </w:p>
    <w:p>
      <w:pPr>
        <w:pStyle w:val="11"/>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1"/>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2"/>
        <w:adjustRightInd w:val="0"/>
        <w:snapToGrid w:val="0"/>
        <w:spacing w:line="440" w:lineRule="exact"/>
        <w:jc w:val="left"/>
        <w:rPr>
          <w:sz w:val="24"/>
        </w:rPr>
      </w:pPr>
      <w:r>
        <w:rPr>
          <w:rFonts w:hint="eastAsia"/>
          <w:sz w:val="24"/>
        </w:rPr>
        <w:t>一、收入支出决算总表</w:t>
      </w:r>
    </w:p>
    <w:p>
      <w:pPr>
        <w:pStyle w:val="12"/>
        <w:adjustRightInd w:val="0"/>
        <w:snapToGrid w:val="0"/>
        <w:spacing w:line="440" w:lineRule="exact"/>
        <w:jc w:val="left"/>
        <w:rPr>
          <w:sz w:val="24"/>
        </w:rPr>
      </w:pPr>
      <w:r>
        <w:rPr>
          <w:rFonts w:hint="eastAsia"/>
          <w:sz w:val="24"/>
        </w:rPr>
        <w:t>二、收入决算表</w:t>
      </w:r>
    </w:p>
    <w:p>
      <w:pPr>
        <w:pStyle w:val="12"/>
        <w:adjustRightInd w:val="0"/>
        <w:snapToGrid w:val="0"/>
        <w:spacing w:line="440" w:lineRule="exact"/>
        <w:jc w:val="left"/>
        <w:rPr>
          <w:sz w:val="24"/>
        </w:rPr>
      </w:pPr>
      <w:r>
        <w:rPr>
          <w:rFonts w:hint="eastAsia"/>
          <w:sz w:val="24"/>
        </w:rPr>
        <w:t>三、支出决算表</w:t>
      </w:r>
    </w:p>
    <w:p>
      <w:pPr>
        <w:pStyle w:val="12"/>
        <w:adjustRightInd w:val="0"/>
        <w:snapToGrid w:val="0"/>
        <w:spacing w:line="440" w:lineRule="exact"/>
        <w:jc w:val="left"/>
        <w:rPr>
          <w:sz w:val="24"/>
        </w:rPr>
      </w:pPr>
      <w:r>
        <w:rPr>
          <w:rFonts w:hint="eastAsia"/>
          <w:sz w:val="24"/>
        </w:rPr>
        <w:t>四、财政拨款收入支出决算总表</w:t>
      </w:r>
    </w:p>
    <w:p>
      <w:pPr>
        <w:pStyle w:val="12"/>
        <w:adjustRightInd w:val="0"/>
        <w:snapToGrid w:val="0"/>
        <w:spacing w:line="440" w:lineRule="exact"/>
        <w:jc w:val="left"/>
        <w:rPr>
          <w:sz w:val="24"/>
        </w:rPr>
      </w:pPr>
      <w:r>
        <w:rPr>
          <w:rFonts w:hint="eastAsia"/>
          <w:sz w:val="24"/>
        </w:rPr>
        <w:t>五、财政拨款支出决算明细表</w:t>
      </w:r>
    </w:p>
    <w:p>
      <w:pPr>
        <w:pStyle w:val="12"/>
        <w:adjustRightInd w:val="0"/>
        <w:snapToGrid w:val="0"/>
        <w:spacing w:line="440" w:lineRule="exact"/>
        <w:jc w:val="left"/>
        <w:rPr>
          <w:sz w:val="24"/>
        </w:rPr>
      </w:pPr>
      <w:r>
        <w:rPr>
          <w:rFonts w:hint="eastAsia"/>
          <w:sz w:val="24"/>
        </w:rPr>
        <w:t>六、一般公共预算财政拨款支出决算表</w:t>
      </w:r>
    </w:p>
    <w:p>
      <w:pPr>
        <w:pStyle w:val="12"/>
        <w:adjustRightInd w:val="0"/>
        <w:snapToGrid w:val="0"/>
        <w:spacing w:line="440" w:lineRule="exact"/>
        <w:jc w:val="left"/>
        <w:rPr>
          <w:sz w:val="24"/>
        </w:rPr>
      </w:pPr>
      <w:r>
        <w:rPr>
          <w:rFonts w:hint="eastAsia"/>
          <w:sz w:val="24"/>
        </w:rPr>
        <w:t>七、一般公共预算财政拨款支出决算明细表</w:t>
      </w:r>
    </w:p>
    <w:p>
      <w:pPr>
        <w:pStyle w:val="12"/>
        <w:adjustRightInd w:val="0"/>
        <w:snapToGrid w:val="0"/>
        <w:spacing w:line="440" w:lineRule="exact"/>
        <w:jc w:val="left"/>
        <w:rPr>
          <w:sz w:val="24"/>
        </w:rPr>
      </w:pPr>
      <w:r>
        <w:rPr>
          <w:rFonts w:hint="eastAsia"/>
          <w:sz w:val="24"/>
        </w:rPr>
        <w:t>八、一般公共预算财政拨款基本支出决算明细表</w:t>
      </w:r>
    </w:p>
    <w:p>
      <w:pPr>
        <w:pStyle w:val="12"/>
        <w:adjustRightInd w:val="0"/>
        <w:snapToGrid w:val="0"/>
        <w:spacing w:line="440" w:lineRule="exact"/>
        <w:jc w:val="left"/>
        <w:rPr>
          <w:sz w:val="24"/>
        </w:rPr>
      </w:pPr>
      <w:r>
        <w:rPr>
          <w:rFonts w:hint="eastAsia"/>
          <w:sz w:val="24"/>
        </w:rPr>
        <w:t>九、一般公共预算财政拨款项目支出决算表</w:t>
      </w:r>
    </w:p>
    <w:p>
      <w:pPr>
        <w:pStyle w:val="12"/>
        <w:adjustRightInd w:val="0"/>
        <w:snapToGrid w:val="0"/>
        <w:spacing w:line="440" w:lineRule="exact"/>
        <w:jc w:val="left"/>
        <w:rPr>
          <w:sz w:val="24"/>
        </w:rPr>
      </w:pPr>
      <w:r>
        <w:rPr>
          <w:rFonts w:hint="eastAsia"/>
          <w:sz w:val="24"/>
        </w:rPr>
        <w:t>十、政府性基金预算财政拨款收入支出决算表</w:t>
      </w:r>
    </w:p>
    <w:p>
      <w:pPr>
        <w:pStyle w:val="12"/>
        <w:adjustRightInd w:val="0"/>
        <w:snapToGrid w:val="0"/>
        <w:spacing w:line="440" w:lineRule="exact"/>
        <w:jc w:val="left"/>
        <w:rPr>
          <w:sz w:val="24"/>
        </w:rPr>
      </w:pPr>
      <w:r>
        <w:rPr>
          <w:rFonts w:hint="eastAsia"/>
          <w:sz w:val="24"/>
        </w:rPr>
        <w:t>十一、国有资本经营预算财政拨款收入支出决算表</w:t>
      </w:r>
    </w:p>
    <w:p>
      <w:pPr>
        <w:pStyle w:val="12"/>
        <w:adjustRightInd w:val="0"/>
        <w:snapToGrid w:val="0"/>
        <w:spacing w:line="440" w:lineRule="exact"/>
        <w:jc w:val="left"/>
        <w:rPr>
          <w:sz w:val="24"/>
        </w:rPr>
      </w:pPr>
      <w:r>
        <w:rPr>
          <w:rFonts w:hint="eastAsia"/>
          <w:sz w:val="24"/>
        </w:rPr>
        <w:t>十二、国有资本经营预算财政拨款支出决算表</w:t>
      </w:r>
    </w:p>
    <w:p>
      <w:pPr>
        <w:pStyle w:val="12"/>
        <w:adjustRightInd w:val="0"/>
        <w:snapToGrid w:val="0"/>
        <w:spacing w:line="440" w:lineRule="exact"/>
        <w:jc w:val="left"/>
        <w:rPr>
          <w:sz w:val="24"/>
        </w:rPr>
      </w:pPr>
      <w:r>
        <w:rPr>
          <w:rFonts w:hint="eastAsia"/>
          <w:sz w:val="24"/>
        </w:rPr>
        <w:t>十三、财政拨款“三公”经费支出决算表</w:t>
      </w:r>
    </w:p>
    <w:p>
      <w:pPr>
        <w:widowControl/>
        <w:adjustRightInd w:val="0"/>
        <w:snapToGrid w:val="0"/>
        <w:spacing w:line="440" w:lineRule="exact"/>
        <w:ind w:firstLine="1320" w:firstLineChars="550"/>
        <w:jc w:val="left"/>
        <w:rPr>
          <w:rFonts w:ascii="仿宋" w:hAnsi="仿宋" w:eastAsia="仿宋"/>
          <w:sz w:val="24"/>
        </w:rPr>
      </w:pPr>
      <w:r>
        <w:rPr>
          <w:rFonts w:ascii="仿宋" w:hAnsi="仿宋" w:eastAsia="仿宋"/>
          <w:sz w:val="24"/>
        </w:rPr>
        <w:t>(注：</w:t>
      </w:r>
      <w:r>
        <w:rPr>
          <w:rFonts w:hint="eastAsia" w:ascii="仿宋" w:hAnsi="仿宋" w:eastAsia="仿宋"/>
          <w:sz w:val="24"/>
        </w:rPr>
        <w:t>请单位根据实际注明页码</w:t>
      </w:r>
      <w:r>
        <w:rPr>
          <w:rFonts w:ascii="仿宋" w:hAnsi="仿宋" w:eastAsia="仿宋"/>
          <w:sz w:val="24"/>
        </w:rPr>
        <w:t>)</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p>
    <w:p>
      <w:pPr>
        <w:widowControl/>
        <w:jc w:val="left"/>
        <w:rPr>
          <w:rFonts w:ascii="黑体" w:eastAsia="黑体"/>
          <w:sz w:val="32"/>
          <w:szCs w:val="32"/>
        </w:rPr>
      </w:pPr>
    </w:p>
    <w:p>
      <w:pPr>
        <w:pStyle w:val="3"/>
        <w:numPr>
          <w:ilvl w:val="0"/>
          <w:numId w:val="1"/>
        </w:numPr>
        <w:rPr>
          <w:rStyle w:val="28"/>
          <w:rFonts w:ascii="黑体" w:hAnsi="黑体" w:eastAsia="黑体"/>
          <w:b w:val="0"/>
          <w:bCs w:val="0"/>
          <w:highlight w:val="yellow"/>
        </w:rPr>
      </w:pPr>
      <w:bookmarkStart w:id="14" w:name="_Toc15377197"/>
      <w:bookmarkStart w:id="15" w:name="_Toc15396600"/>
      <w:r>
        <w:rPr>
          <w:rStyle w:val="28"/>
          <w:rFonts w:hint="eastAsia" w:ascii="黑体" w:hAnsi="黑体" w:eastAsia="黑体"/>
          <w:b w:val="0"/>
          <w:bCs w:val="0"/>
          <w:highlight w:val="yellow"/>
        </w:rPr>
        <w:t>主要职责</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1.执行本级人民代表大会的决议和上级国家行政机关的决 定和命令，发布决定和命令。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2.执行本镇的经济和社会发展计划、预算，管理本镇的经济、 教育、科学、文化、卫生健康、体育等事业和生态环境保护、财 政、民政、社会保障、公安、司法行政等行政工作。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3.保护社会主义的全民所有的财产和劳动群众集体所有的 财产，保护公民私人所有的合法财产，维护社会秩序，保障公民 的人身权利、民主权利和其他权利。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4.保护各种经济组织的合法权益。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5.促进各民族广泛交往交流交融，保障少数民族的合法权利 和利益，保障少数民族保持或改革自己的风俗习惯的自由。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6.保障宪法和法律赋予妇女的男女平等、同工同酬和婚姻自由等各项权利。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7.完成区委、区政府交办的其他任务。</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
      <w:pPr>
        <w:pStyle w:val="3"/>
        <w:rPr>
          <w:rFonts w:ascii="黑体" w:hAnsi="黑体" w:eastAsia="黑体"/>
          <w:b w:val="0"/>
          <w:highlight w:val="yellow"/>
        </w:rPr>
      </w:pPr>
      <w:r>
        <w:rPr>
          <w:rFonts w:hint="eastAsia" w:ascii="黑体" w:hAnsi="黑体" w:eastAsia="黑体"/>
          <w:b w:val="0"/>
          <w:highlight w:val="yellow"/>
        </w:rPr>
        <w:t>二、机构设置</w:t>
      </w:r>
    </w:p>
    <w:bookmarkEnd w:id="14"/>
    <w:bookmarkEnd w:id="15"/>
    <w:p>
      <w:pPr>
        <w:keepNext w:val="0"/>
        <w:keepLines w:val="0"/>
        <w:widowControl/>
        <w:suppressLineNumbers w:val="0"/>
        <w:ind w:firstLine="620" w:firstLineChars="200"/>
        <w:jc w:val="left"/>
      </w:pPr>
      <w:r>
        <w:rPr>
          <w:rFonts w:ascii="楷体_GB2312" w:hAnsi="楷体_GB2312" w:eastAsia="楷体_GB2312" w:cs="楷体_GB2312"/>
          <w:color w:val="000000"/>
          <w:kern w:val="0"/>
          <w:sz w:val="31"/>
          <w:szCs w:val="31"/>
          <w:lang w:val="en-US" w:eastAsia="zh-CN" w:bidi="ar"/>
        </w:rPr>
        <w:t xml:space="preserve">（一）党政办公室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负责镇党委、人大主席团、政府等日常事务。负责机关日常 运转，承担综合协调、文秘档案、信息调研、党内法规、保密机要、目标绩效、值班值守、后勤服务和政府信息公开等工作。负 责机关及直属事业单位干部人事、机构编制和退休人员管理服务 工作。牵头制定完善权力清单、责任清单、公共服务清单。完成 镇党委、政府交办的其他工作。 </w:t>
      </w:r>
    </w:p>
    <w:p>
      <w:pPr>
        <w:keepNext w:val="0"/>
        <w:keepLines w:val="0"/>
        <w:widowControl/>
        <w:suppressLineNumbers w:val="0"/>
        <w:ind w:firstLine="620" w:firstLineChars="200"/>
        <w:jc w:val="left"/>
      </w:pPr>
      <w:r>
        <w:rPr>
          <w:rFonts w:ascii="楷体_GB2312" w:hAnsi="楷体_GB2312" w:eastAsia="楷体_GB2312" w:cs="楷体_GB2312"/>
          <w:color w:val="000000"/>
          <w:kern w:val="0"/>
          <w:sz w:val="31"/>
          <w:szCs w:val="31"/>
          <w:lang w:val="en-US" w:eastAsia="zh-CN" w:bidi="ar"/>
        </w:rPr>
        <w:t xml:space="preserve">（二）党建工作办公室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负责制定和落实党建工作计划和年度重点任务，编排和实施 基层党建书记项目，加强基层党组织建设，加强村（社区）干部 和基层党务工作者专业化建设，加强党员发展与教育管理，加强 基层阵地规范化建设，统筹党建考核和基层党组织书记抓党建述 职评议工作，党建带群建工作。牵头纪检监察、宣传、统战（民 族宗教）等工作。完成镇党委、政府交办的其他工作。 </w:t>
      </w:r>
    </w:p>
    <w:p>
      <w:pPr>
        <w:keepNext w:val="0"/>
        <w:keepLines w:val="0"/>
        <w:widowControl/>
        <w:suppressLineNumbers w:val="0"/>
        <w:ind w:firstLine="620" w:firstLineChars="200"/>
        <w:jc w:val="left"/>
      </w:pPr>
      <w:r>
        <w:rPr>
          <w:rFonts w:ascii="楷体_GB2312" w:hAnsi="楷体_GB2312" w:eastAsia="楷体_GB2312" w:cs="楷体_GB2312"/>
          <w:color w:val="000000"/>
          <w:kern w:val="0"/>
          <w:sz w:val="31"/>
          <w:szCs w:val="31"/>
          <w:lang w:val="en-US" w:eastAsia="zh-CN" w:bidi="ar"/>
        </w:rPr>
        <w:t xml:space="preserve">（三）经济发展和社会事务办公室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负责拟订经济发展规划并组织实施，推进一、二、三产业融 合发展。负责工业、农业农村（乡村振兴）、商贸服务业和招商 引资、市场监管、供销合作、电力通信、统计等工作。负责住房 城乡建设、自然资源、交通运输等工作。 负责拟订社会发展规划并组织实施。负责教育、科技、文化、 体育、旅游、广播电视、卫生健康、民政老龄、医保社保、就业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创业、人民武装、退役军人事务等工作。完成镇党委、政府交办 的其他工作。 </w:t>
      </w:r>
    </w:p>
    <w:p>
      <w:pPr>
        <w:keepNext w:val="0"/>
        <w:keepLines w:val="0"/>
        <w:widowControl/>
        <w:suppressLineNumbers w:val="0"/>
        <w:ind w:firstLine="310" w:firstLineChars="100"/>
        <w:jc w:val="left"/>
      </w:pPr>
      <w:r>
        <w:rPr>
          <w:rFonts w:ascii="楷体_GB2312" w:hAnsi="楷体_GB2312" w:eastAsia="楷体_GB2312" w:cs="楷体_GB2312"/>
          <w:color w:val="000000"/>
          <w:kern w:val="0"/>
          <w:sz w:val="31"/>
          <w:szCs w:val="31"/>
          <w:lang w:val="en-US" w:eastAsia="zh-CN" w:bidi="ar"/>
        </w:rPr>
        <w:t xml:space="preserve">（四）社会治理和综合执法办公室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负责社会治安综合治理、平安建设、信访维稳、法治宣传教 育、多元化解、司法调解、法律援助和外来人口管理工作；承担 基层社会治安综合防控体系建设、网格化管理职责。统筹推进党 建引领基层治理和基层政权建设，指导“两企三新”党建工作， 指导社会工作人才队伍建设，统筹协调志愿服务和心连心服务热 线办理工作。 负责统筹管理辖区内综合行政执法工作，统一指挥调度本镇 人员力量和区级部门派驻镇的行政执法力量，依法开展辖区内有 关行政执法工作。负责日常巡查，及时发现、制止违法行为。负 责城乡环境综合治理、场镇秩序管理维护等工作。完成镇党委、 政府交办的其他工作。 </w:t>
      </w:r>
    </w:p>
    <w:p>
      <w:pPr>
        <w:keepNext w:val="0"/>
        <w:keepLines w:val="0"/>
        <w:widowControl/>
        <w:suppressLineNumbers w:val="0"/>
        <w:ind w:firstLine="310" w:firstLineChars="100"/>
        <w:jc w:val="left"/>
      </w:pPr>
      <w:r>
        <w:rPr>
          <w:rFonts w:ascii="楷体_GB2312" w:hAnsi="楷体_GB2312" w:eastAsia="楷体_GB2312" w:cs="楷体_GB2312"/>
          <w:color w:val="000000"/>
          <w:kern w:val="0"/>
          <w:sz w:val="31"/>
          <w:szCs w:val="31"/>
          <w:lang w:val="en-US" w:eastAsia="zh-CN" w:bidi="ar"/>
        </w:rPr>
        <w:t xml:space="preserve">（五）应急管理办公室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负责辖区内应急管理、安全生产、生态环境保护等工作。负 责组织、指导、协调辖区内安全生产工作。负责自然灾害、事故 灾难、公共卫生突发事件和社会安全类等突发事件的应急管理和 应对处置工作。负责贯彻落实生态环境保护方面的政策法规，履 行生态环境保护职责。完成镇党委、政府交办的其他工作。 </w:t>
      </w:r>
    </w:p>
    <w:p>
      <w:pPr>
        <w:keepNext w:val="0"/>
        <w:keepLines w:val="0"/>
        <w:widowControl/>
        <w:suppressLineNumbers w:val="0"/>
        <w:ind w:firstLine="620" w:firstLineChars="200"/>
        <w:jc w:val="left"/>
      </w:pPr>
      <w:r>
        <w:rPr>
          <w:rFonts w:ascii="楷体_GB2312" w:hAnsi="楷体_GB2312" w:eastAsia="楷体_GB2312" w:cs="楷体_GB2312"/>
          <w:color w:val="000000"/>
          <w:kern w:val="0"/>
          <w:sz w:val="31"/>
          <w:szCs w:val="31"/>
          <w:lang w:val="en-US" w:eastAsia="zh-CN" w:bidi="ar"/>
        </w:rPr>
        <w:t xml:space="preserve">（六）财政所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负责抓好财源建设，做好预（决）算编制、预算执行及管理、 财政收支管理、财务审计、政府采购、政府性债券债务管理、财 政性资金使用管理、国有资产管理等工作。负责本级会计统一核 算事务、工资福利发放。负责对村（社区）财政扶持资金、村（社 区）级三资的日常管理及村级财务审计工作。完成镇党委、政府 交办的其他工作</w:t>
      </w:r>
      <w:r>
        <w:rPr>
          <w:rFonts w:hint="eastAsia" w:ascii="仿宋_GB2312" w:hAnsi="仿宋_GB2312" w:eastAsia="仿宋_GB2312" w:cs="仿宋_GB2312"/>
          <w:color w:val="000000"/>
          <w:kern w:val="0"/>
          <w:sz w:val="31"/>
          <w:szCs w:val="31"/>
          <w:lang w:val="en-US" w:eastAsia="zh-CN" w:bidi="ar"/>
        </w:rPr>
        <w:t>。</w:t>
      </w:r>
    </w:p>
    <w:p>
      <w:pPr>
        <w:widowControl/>
        <w:jc w:val="left"/>
        <w:rPr>
          <w:rFonts w:ascii="仿宋" w:hAnsi="仿宋" w:eastAsia="仿宋"/>
          <w:kern w:val="0"/>
          <w:sz w:val="32"/>
          <w:szCs w:val="32"/>
        </w:rPr>
      </w:pPr>
      <w:r>
        <w:rPr>
          <w:rFonts w:ascii="仿宋" w:hAnsi="仿宋" w:eastAsia="仿宋"/>
          <w:sz w:val="32"/>
          <w:szCs w:val="32"/>
        </w:rPr>
        <w:br w:type="page"/>
      </w:r>
    </w:p>
    <w:p>
      <w:pPr>
        <w:pStyle w:val="2"/>
        <w:ind w:right="440"/>
        <w:jc w:val="center"/>
        <w:rPr>
          <w:rStyle w:val="27"/>
          <w:rFonts w:ascii="黑体" w:hAnsi="黑体" w:eastAsia="黑体"/>
          <w:b w:val="0"/>
          <w:bCs/>
        </w:rPr>
      </w:pPr>
      <w:bookmarkStart w:id="16" w:name="_Toc15396602"/>
      <w:bookmarkStart w:id="17" w:name="_Toc15377204"/>
      <w:r>
        <w:rPr>
          <w:rFonts w:hint="eastAsia" w:ascii="黑体" w:hAnsi="黑体" w:eastAsia="黑体"/>
          <w:b w:val="0"/>
        </w:rPr>
        <w:t>第二部分 2023年度</w:t>
      </w:r>
      <w:r>
        <w:rPr>
          <w:rStyle w:val="27"/>
          <w:rFonts w:hint="eastAsia" w:ascii="黑体" w:hAnsi="黑体" w:eastAsia="黑体"/>
          <w:b w:val="0"/>
          <w:bCs/>
        </w:rPr>
        <w:t>单位决算情况说明</w:t>
      </w:r>
      <w:bookmarkEnd w:id="16"/>
      <w:bookmarkEnd w:id="17"/>
    </w:p>
    <w:p/>
    <w:p>
      <w:pPr>
        <w:pStyle w:val="26"/>
        <w:numPr>
          <w:ilvl w:val="0"/>
          <w:numId w:val="2"/>
        </w:numPr>
        <w:spacing w:line="600" w:lineRule="exact"/>
        <w:ind w:firstLineChars="0"/>
        <w:outlineLvl w:val="1"/>
        <w:rPr>
          <w:rStyle w:val="28"/>
          <w:rFonts w:ascii="黑体" w:hAnsi="黑体" w:eastAsia="黑体"/>
          <w:b w:val="0"/>
        </w:rPr>
      </w:pPr>
      <w:bookmarkStart w:id="18" w:name="_Toc15377205"/>
      <w:bookmarkStart w:id="19" w:name="_Toc15396603"/>
      <w:r>
        <w:rPr>
          <w:rFonts w:hint="eastAsia" w:ascii="黑体" w:hAnsi="黑体" w:eastAsia="黑体"/>
          <w:sz w:val="32"/>
          <w:szCs w:val="32"/>
        </w:rPr>
        <w:t>收</w:t>
      </w:r>
      <w:r>
        <w:rPr>
          <w:rStyle w:val="28"/>
          <w:rFonts w:hint="eastAsia" w:ascii="黑体" w:hAnsi="黑体" w:eastAsia="黑体"/>
          <w:b w:val="0"/>
        </w:rPr>
        <w:t>入支出决算总体情况说明</w:t>
      </w:r>
      <w:bookmarkEnd w:id="18"/>
      <w:bookmarkEnd w:id="19"/>
    </w:p>
    <w:p>
      <w:pPr>
        <w:spacing w:line="600" w:lineRule="exact"/>
        <w:ind w:firstLine="640" w:firstLineChars="200"/>
        <w:rPr>
          <w:rFonts w:hint="default" w:eastAsia="仿宋"/>
          <w:lang w:val="en-US" w:eastAsia="zh-CN"/>
        </w:rPr>
      </w:pPr>
      <w:r>
        <w:rPr>
          <w:rFonts w:hint="eastAsia" w:ascii="仿宋" w:hAnsi="仿宋" w:eastAsia="仿宋"/>
          <w:sz w:val="32"/>
          <w:szCs w:val="32"/>
        </w:rPr>
        <w:t>2023年度收、支总计均为</w:t>
      </w:r>
      <w:r>
        <w:rPr>
          <w:rFonts w:hint="eastAsia" w:ascii="仿宋" w:hAnsi="仿宋" w:eastAsia="仿宋"/>
          <w:b/>
          <w:sz w:val="32"/>
          <w:szCs w:val="32"/>
        </w:rPr>
        <w:t>1924.69</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lang w:val="en-US" w:eastAsia="zh-CN"/>
        </w:rPr>
        <w:t>2022年下属单位未分开做账核算，数据对比异常。</w:t>
      </w:r>
    </w:p>
    <w:p>
      <w:pPr>
        <w:pStyle w:val="26"/>
        <w:numPr>
          <w:ilvl w:val="0"/>
          <w:numId w:val="2"/>
        </w:numPr>
        <w:spacing w:line="600" w:lineRule="exact"/>
        <w:ind w:firstLineChars="0"/>
        <w:outlineLvl w:val="1"/>
        <w:rPr>
          <w:rStyle w:val="28"/>
          <w:rFonts w:ascii="黑体" w:hAnsi="黑体" w:eastAsia="黑体"/>
          <w:b w:val="0"/>
        </w:rPr>
      </w:pPr>
      <w:bookmarkStart w:id="20" w:name="_Toc15377206"/>
      <w:bookmarkStart w:id="21" w:name="_Toc15396604"/>
      <w:r>
        <w:rPr>
          <w:rFonts w:hint="eastAsia" w:ascii="黑体" w:hAnsi="黑体" w:eastAsia="黑体"/>
          <w:sz w:val="32"/>
          <w:szCs w:val="32"/>
        </w:rPr>
        <w:t>收</w:t>
      </w:r>
      <w:r>
        <w:rPr>
          <w:rStyle w:val="28"/>
          <w:rFonts w:hint="eastAsia" w:ascii="黑体" w:hAnsi="黑体" w:eastAsia="黑体"/>
          <w:b w:val="0"/>
        </w:rPr>
        <w:t>入决算情况说明</w:t>
      </w:r>
      <w:bookmarkEnd w:id="20"/>
      <w:bookmarkEnd w:id="21"/>
    </w:p>
    <w:p>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1905.16</w:t>
      </w:r>
      <w:r>
        <w:rPr>
          <w:rFonts w:hint="eastAsia" w:ascii="仿宋" w:hAnsi="仿宋" w:eastAsia="仿宋"/>
          <w:sz w:val="32"/>
          <w:szCs w:val="32"/>
        </w:rPr>
        <w:t>万元，其中：一般公共预算财政拨款收入</w:t>
      </w:r>
      <w:r>
        <w:rPr>
          <w:rFonts w:ascii="仿宋" w:hAnsi="仿宋" w:eastAsia="仿宋"/>
          <w:b/>
          <w:sz w:val="32"/>
          <w:szCs w:val="32"/>
        </w:rPr>
        <w:t>1870.42</w:t>
      </w:r>
      <w:r>
        <w:rPr>
          <w:rFonts w:hint="eastAsia" w:ascii="仿宋" w:hAnsi="仿宋" w:eastAsia="仿宋"/>
          <w:sz w:val="32"/>
          <w:szCs w:val="32"/>
        </w:rPr>
        <w:t>万元，占</w:t>
      </w:r>
      <w:r>
        <w:rPr>
          <w:rFonts w:ascii="仿宋" w:hAnsi="仿宋" w:eastAsia="仿宋"/>
          <w:b/>
          <w:sz w:val="32"/>
          <w:szCs w:val="32"/>
        </w:rPr>
        <w:t>98.17%</w:t>
      </w:r>
      <w:r>
        <w:rPr>
          <w:rFonts w:hint="eastAsia" w:ascii="仿宋" w:hAnsi="仿宋" w:eastAsia="仿宋"/>
          <w:sz w:val="32"/>
          <w:szCs w:val="32"/>
        </w:rPr>
        <w:t>；政府性基金预算财政拨款收入</w:t>
      </w:r>
      <w:r>
        <w:rPr>
          <w:rFonts w:ascii="仿宋" w:hAnsi="仿宋" w:eastAsia="仿宋"/>
          <w:b/>
          <w:sz w:val="32"/>
          <w:szCs w:val="32"/>
        </w:rPr>
        <w:t>31.24</w:t>
      </w:r>
      <w:r>
        <w:rPr>
          <w:rFonts w:hint="eastAsia" w:ascii="仿宋" w:hAnsi="仿宋" w:eastAsia="仿宋"/>
          <w:sz w:val="32"/>
          <w:szCs w:val="32"/>
        </w:rPr>
        <w:t>万元，占</w:t>
      </w:r>
      <w:r>
        <w:rPr>
          <w:rFonts w:ascii="仿宋" w:hAnsi="仿宋" w:eastAsia="仿宋"/>
          <w:b/>
          <w:sz w:val="32"/>
          <w:szCs w:val="32"/>
        </w:rPr>
        <w:t>1.63</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3.5</w:t>
      </w:r>
      <w:r>
        <w:rPr>
          <w:rFonts w:hint="eastAsia" w:ascii="仿宋" w:hAnsi="仿宋" w:eastAsia="仿宋"/>
          <w:sz w:val="32"/>
          <w:szCs w:val="32"/>
        </w:rPr>
        <w:t>万元，占</w:t>
      </w:r>
      <w:r>
        <w:rPr>
          <w:rFonts w:ascii="仿宋" w:hAnsi="仿宋" w:eastAsia="仿宋"/>
          <w:b/>
          <w:sz w:val="32"/>
          <w:szCs w:val="32"/>
        </w:rPr>
        <w:t>0.18</w:t>
      </w:r>
      <w:r>
        <w:rPr>
          <w:rFonts w:ascii="仿宋" w:hAnsi="仿宋" w:eastAsia="仿宋"/>
          <w:sz w:val="32"/>
          <w:szCs w:val="32"/>
        </w:rPr>
        <w:t>%</w:t>
      </w:r>
    </w:p>
    <w:p>
      <w:pPr>
        <w:pStyle w:val="18"/>
      </w:pPr>
      <w:r>
        <w:rPr>
          <w:rFonts w:hint="eastAsia" w:ascii="仿宋" w:hAnsi="仿宋" w:eastAsia="仿宋"/>
          <w:sz w:val="32"/>
          <w:szCs w:val="32"/>
          <w:lang w:eastAsia="zh-CN"/>
        </w:rPr>
        <w:drawing>
          <wp:inline distT="0" distB="0" distL="114300" distR="114300">
            <wp:extent cx="5273675" cy="3232785"/>
            <wp:effectExtent l="0" t="0" r="3175" b="5715"/>
            <wp:docPr id="1" name="图片 1" descr="2023年度部门收入项目结构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3年度部门收入项目结构图(3)"/>
                    <pic:cNvPicPr>
                      <a:picLocks noChangeAspect="1"/>
                    </pic:cNvPicPr>
                  </pic:nvPicPr>
                  <pic:blipFill>
                    <a:blip r:embed="rId6"/>
                    <a:stretch>
                      <a:fillRect/>
                    </a:stretch>
                  </pic:blipFill>
                  <pic:spPr>
                    <a:xfrm>
                      <a:off x="0" y="0"/>
                      <a:ext cx="5273675" cy="3232785"/>
                    </a:xfrm>
                    <a:prstGeom prst="rect">
                      <a:avLst/>
                    </a:prstGeom>
                  </pic:spPr>
                </pic:pic>
              </a:graphicData>
            </a:graphic>
          </wp:inline>
        </w:drawing>
      </w:r>
    </w:p>
    <w:p>
      <w:pPr>
        <w:pStyle w:val="26"/>
        <w:numPr>
          <w:ilvl w:val="0"/>
          <w:numId w:val="0"/>
        </w:numPr>
        <w:spacing w:line="600" w:lineRule="exact"/>
        <w:ind w:left="640" w:leftChars="0"/>
        <w:outlineLvl w:val="1"/>
        <w:rPr>
          <w:rStyle w:val="28"/>
          <w:rFonts w:ascii="黑体" w:hAnsi="黑体" w:eastAsia="黑体"/>
          <w:b w:val="0"/>
        </w:rPr>
      </w:pPr>
      <w:bookmarkStart w:id="22" w:name="_Toc15377207"/>
      <w:bookmarkStart w:id="23" w:name="_Toc15396605"/>
    </w:p>
    <w:p>
      <w:pPr>
        <w:pStyle w:val="26"/>
        <w:numPr>
          <w:ilvl w:val="0"/>
          <w:numId w:val="0"/>
        </w:numPr>
        <w:spacing w:line="600" w:lineRule="exact"/>
        <w:ind w:left="640" w:leftChars="0"/>
        <w:outlineLvl w:val="1"/>
        <w:rPr>
          <w:rFonts w:hint="eastAsia" w:ascii="黑体" w:hAnsi="黑体" w:eastAsia="黑体"/>
          <w:sz w:val="32"/>
          <w:szCs w:val="32"/>
          <w:lang w:eastAsia="zh-CN"/>
        </w:rPr>
      </w:pPr>
    </w:p>
    <w:p>
      <w:pPr>
        <w:pStyle w:val="26"/>
        <w:numPr>
          <w:ilvl w:val="0"/>
          <w:numId w:val="0"/>
        </w:numPr>
        <w:spacing w:line="600" w:lineRule="exact"/>
        <w:ind w:left="640" w:leftChars="0"/>
        <w:outlineLvl w:val="1"/>
        <w:rPr>
          <w:rFonts w:hint="eastAsia" w:ascii="黑体" w:hAnsi="黑体" w:eastAsia="黑体"/>
          <w:sz w:val="32"/>
          <w:szCs w:val="32"/>
          <w:lang w:eastAsia="zh-CN"/>
        </w:rPr>
      </w:pPr>
    </w:p>
    <w:p>
      <w:pPr>
        <w:pStyle w:val="26"/>
        <w:numPr>
          <w:ilvl w:val="0"/>
          <w:numId w:val="0"/>
        </w:numPr>
        <w:spacing w:line="600" w:lineRule="exact"/>
        <w:ind w:left="640" w:leftChars="0"/>
        <w:outlineLvl w:val="1"/>
        <w:rPr>
          <w:rStyle w:val="28"/>
          <w:rFonts w:ascii="黑体" w:hAnsi="黑体" w:eastAsia="黑体"/>
          <w:b w:val="0"/>
        </w:rPr>
      </w:pPr>
      <w:r>
        <w:rPr>
          <w:rFonts w:hint="eastAsia" w:ascii="黑体" w:hAnsi="黑体" w:eastAsia="黑体"/>
          <w:sz w:val="32"/>
          <w:szCs w:val="32"/>
          <w:lang w:eastAsia="zh-CN"/>
        </w:rPr>
        <w:t>三</w:t>
      </w:r>
      <w:r>
        <w:rPr>
          <w:rFonts w:hint="eastAsia" w:ascii="黑体" w:hAnsi="黑体" w:eastAsia="黑体"/>
          <w:sz w:val="32"/>
          <w:szCs w:val="32"/>
          <w:lang w:val="en-US" w:eastAsia="zh-CN"/>
        </w:rPr>
        <w:t>.</w:t>
      </w:r>
      <w:r>
        <w:rPr>
          <w:rFonts w:hint="eastAsia" w:ascii="黑体" w:hAnsi="黑体" w:eastAsia="黑体"/>
          <w:sz w:val="32"/>
          <w:szCs w:val="32"/>
        </w:rPr>
        <w:t>支</w:t>
      </w:r>
      <w:r>
        <w:rPr>
          <w:rStyle w:val="28"/>
          <w:rFonts w:hint="eastAsia" w:ascii="黑体" w:hAnsi="黑体" w:eastAsia="黑体"/>
          <w:b w:val="0"/>
        </w:rPr>
        <w:t>出决算情况说明</w:t>
      </w:r>
      <w:bookmarkEnd w:id="22"/>
      <w:bookmarkEnd w:id="23"/>
    </w:p>
    <w:p>
      <w:pPr>
        <w:spacing w:line="600" w:lineRule="exact"/>
        <w:ind w:firstLine="640" w:firstLineChars="200"/>
        <w:outlineLvl w:val="1"/>
        <w:rPr>
          <w:rFonts w:hint="eastAsia"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1907.98</w:t>
      </w:r>
      <w:r>
        <w:rPr>
          <w:rFonts w:hint="eastAsia" w:ascii="仿宋" w:hAnsi="仿宋" w:eastAsia="仿宋"/>
          <w:sz w:val="32"/>
          <w:szCs w:val="32"/>
        </w:rPr>
        <w:t>万元，其中：基本支出</w:t>
      </w:r>
      <w:r>
        <w:rPr>
          <w:rFonts w:ascii="仿宋" w:hAnsi="仿宋" w:eastAsia="仿宋"/>
          <w:b/>
          <w:sz w:val="32"/>
          <w:szCs w:val="32"/>
        </w:rPr>
        <w:t>969.3</w:t>
      </w:r>
      <w:r>
        <w:rPr>
          <w:rFonts w:hint="eastAsia" w:ascii="仿宋" w:hAnsi="仿宋" w:eastAsia="仿宋"/>
          <w:sz w:val="32"/>
          <w:szCs w:val="32"/>
        </w:rPr>
        <w:t>万元，占</w:t>
      </w:r>
      <w:r>
        <w:rPr>
          <w:rFonts w:ascii="仿宋" w:hAnsi="仿宋" w:eastAsia="仿宋"/>
          <w:b/>
          <w:sz w:val="32"/>
          <w:szCs w:val="32"/>
        </w:rPr>
        <w:t>50.8</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938.67</w:t>
      </w:r>
      <w:r>
        <w:rPr>
          <w:rFonts w:hint="eastAsia" w:ascii="仿宋" w:hAnsi="仿宋" w:eastAsia="仿宋"/>
          <w:sz w:val="32"/>
          <w:szCs w:val="32"/>
        </w:rPr>
        <w:t>万元，占</w:t>
      </w:r>
      <w:r>
        <w:rPr>
          <w:rFonts w:ascii="仿宋" w:hAnsi="仿宋" w:eastAsia="仿宋"/>
          <w:b/>
          <w:sz w:val="32"/>
          <w:szCs w:val="32"/>
        </w:rPr>
        <w:t>49.19</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pPr>
        <w:pStyle w:val="18"/>
      </w:pPr>
    </w:p>
    <w:p>
      <w:pPr>
        <w:pStyle w:val="18"/>
      </w:pPr>
      <w:r>
        <w:drawing>
          <wp:inline distT="0" distB="0" distL="114300" distR="114300">
            <wp:extent cx="5486400" cy="2684780"/>
            <wp:effectExtent l="5080" t="4445" r="13970" b="1587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Fonts w:hint="eastAsia" w:ascii="黑体" w:hAnsi="黑体" w:eastAsia="黑体"/>
          <w:sz w:val="32"/>
          <w:szCs w:val="32"/>
        </w:rPr>
      </w:pPr>
      <w:bookmarkStart w:id="24" w:name="_Toc15377208"/>
      <w:bookmarkStart w:id="25" w:name="_Toc15396606"/>
    </w:p>
    <w:p>
      <w:pPr>
        <w:spacing w:line="600" w:lineRule="exact"/>
        <w:ind w:firstLine="640" w:firstLineChars="200"/>
        <w:outlineLvl w:val="1"/>
        <w:rPr>
          <w:rFonts w:hint="eastAsia" w:ascii="黑体" w:hAnsi="黑体" w:eastAsia="黑体"/>
          <w:sz w:val="32"/>
          <w:szCs w:val="32"/>
        </w:rPr>
      </w:pPr>
    </w:p>
    <w:p>
      <w:pPr>
        <w:spacing w:line="600" w:lineRule="exact"/>
        <w:ind w:firstLine="640" w:firstLineChars="200"/>
        <w:outlineLvl w:val="1"/>
        <w:rPr>
          <w:rStyle w:val="28"/>
          <w:rFonts w:ascii="黑体" w:hAnsi="黑体" w:eastAsia="黑体"/>
          <w:b w:val="0"/>
        </w:rPr>
      </w:pPr>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24"/>
      <w:bookmarkEnd w:id="25"/>
    </w:p>
    <w:p>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2023年度财政拨款收、支总计均为</w:t>
      </w:r>
      <w:r>
        <w:rPr>
          <w:rFonts w:ascii="仿宋" w:hAnsi="仿宋" w:eastAsia="仿宋"/>
          <w:b/>
          <w:sz w:val="32"/>
          <w:szCs w:val="32"/>
        </w:rPr>
        <w:t>1901.66</w:t>
      </w:r>
      <w:r>
        <w:rPr>
          <w:rFonts w:hint="eastAsia" w:ascii="仿宋" w:hAnsi="仿宋" w:eastAsia="仿宋"/>
          <w:sz w:val="32"/>
          <w:szCs w:val="32"/>
        </w:rPr>
        <w:t>万元</w:t>
      </w:r>
      <w:bookmarkStart w:id="26" w:name="_Toc15377209"/>
      <w:bookmarkStart w:id="27" w:name="_Toc15396607"/>
      <w:r>
        <w:rPr>
          <w:rFonts w:hint="eastAsia" w:ascii="仿宋" w:hAnsi="仿宋" w:eastAsia="仿宋"/>
          <w:sz w:val="32"/>
          <w:szCs w:val="32"/>
          <w:lang w:eastAsia="zh-CN"/>
        </w:rPr>
        <w:t>，</w:t>
      </w:r>
      <w:r>
        <w:rPr>
          <w:rFonts w:hint="eastAsia" w:ascii="仿宋" w:hAnsi="仿宋" w:eastAsia="仿宋"/>
          <w:sz w:val="32"/>
          <w:szCs w:val="32"/>
          <w:lang w:val="en-US" w:eastAsia="zh-CN"/>
        </w:rPr>
        <w:t>2022年下属单位未分开做账核算，数据对比异常。</w:t>
      </w:r>
    </w:p>
    <w:p>
      <w:pPr>
        <w:pStyle w:val="18"/>
        <w:rPr>
          <w:rFonts w:hint="eastAsia" w:ascii="仿宋" w:hAnsi="仿宋" w:eastAsia="仿宋"/>
          <w:sz w:val="32"/>
          <w:szCs w:val="32"/>
          <w:lang w:val="en-US" w:eastAsia="zh-CN"/>
        </w:rPr>
      </w:pPr>
    </w:p>
    <w:p>
      <w:pPr>
        <w:rPr>
          <w:rFonts w:hint="eastAsia" w:ascii="仿宋" w:hAnsi="仿宋" w:eastAsia="仿宋"/>
          <w:sz w:val="32"/>
          <w:szCs w:val="32"/>
          <w:lang w:val="en-US" w:eastAsia="zh-CN"/>
        </w:rPr>
      </w:pPr>
    </w:p>
    <w:p>
      <w:pPr>
        <w:pStyle w:val="18"/>
        <w:rPr>
          <w:rFonts w:hint="eastAsia" w:ascii="仿宋" w:hAnsi="仿宋" w:eastAsia="仿宋"/>
          <w:sz w:val="32"/>
          <w:szCs w:val="32"/>
          <w:lang w:val="en-US" w:eastAsia="zh-CN"/>
        </w:rPr>
      </w:pPr>
    </w:p>
    <w:p>
      <w:pPr>
        <w:rPr>
          <w:rFonts w:hint="eastAsia" w:ascii="仿宋" w:hAnsi="仿宋" w:eastAsia="仿宋"/>
          <w:sz w:val="32"/>
          <w:szCs w:val="32"/>
          <w:lang w:val="en-US" w:eastAsia="zh-CN"/>
        </w:rPr>
      </w:pPr>
    </w:p>
    <w:p>
      <w:pPr>
        <w:pStyle w:val="18"/>
        <w:rPr>
          <w:rFonts w:hint="eastAsia"/>
          <w:lang w:eastAsia="zh-CN"/>
        </w:rPr>
      </w:pPr>
    </w:p>
    <w:p>
      <w:pPr>
        <w:spacing w:line="600" w:lineRule="exact"/>
        <w:ind w:firstLine="640" w:firstLineChars="200"/>
        <w:outlineLvl w:val="1"/>
        <w:rPr>
          <w:rStyle w:val="28"/>
          <w:rFonts w:ascii="黑体" w:hAnsi="黑体" w:eastAsia="黑体"/>
          <w:b w:val="0"/>
        </w:rPr>
      </w:pPr>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26"/>
      <w:bookmarkEnd w:id="27"/>
    </w:p>
    <w:p>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pPr>
        <w:spacing w:line="600" w:lineRule="exact"/>
        <w:ind w:firstLine="640" w:firstLineChars="200"/>
        <w:outlineLvl w:val="2"/>
        <w:rPr>
          <w:rFonts w:hint="eastAsia"/>
        </w:rPr>
      </w:pPr>
      <w:r>
        <w:rPr>
          <w:rFonts w:hint="eastAsia" w:ascii="仿宋" w:hAnsi="仿宋" w:eastAsia="仿宋"/>
          <w:sz w:val="32"/>
          <w:szCs w:val="32"/>
        </w:rPr>
        <w:t>2023年度一般公共预算财政拨款支出</w:t>
      </w:r>
      <w:r>
        <w:rPr>
          <w:rFonts w:ascii="仿宋" w:hAnsi="仿宋" w:eastAsia="仿宋"/>
          <w:b/>
          <w:sz w:val="32"/>
          <w:szCs w:val="32"/>
        </w:rPr>
        <w:t>1870.42</w:t>
      </w:r>
      <w:r>
        <w:rPr>
          <w:rFonts w:hint="eastAsia" w:ascii="仿宋" w:hAnsi="仿宋" w:eastAsia="仿宋"/>
          <w:sz w:val="32"/>
          <w:szCs w:val="32"/>
        </w:rPr>
        <w:t>万元，占本年支出合计的</w:t>
      </w:r>
      <w:r>
        <w:rPr>
          <w:rFonts w:ascii="仿宋" w:hAnsi="仿宋" w:eastAsia="仿宋"/>
          <w:b/>
          <w:sz w:val="32"/>
          <w:szCs w:val="32"/>
        </w:rPr>
        <w:t>98.03</w:t>
      </w:r>
      <w:r>
        <w:rPr>
          <w:rFonts w:ascii="仿宋" w:hAnsi="仿宋" w:eastAsia="仿宋"/>
          <w:sz w:val="32"/>
          <w:szCs w:val="32"/>
        </w:rPr>
        <w:t>%</w:t>
      </w:r>
      <w:r>
        <w:rPr>
          <w:rFonts w:hint="eastAsia" w:ascii="仿宋" w:hAnsi="仿宋" w:eastAsia="仿宋"/>
          <w:sz w:val="32"/>
          <w:szCs w:val="32"/>
        </w:rPr>
        <w:t>。</w:t>
      </w:r>
      <w:bookmarkStart w:id="29" w:name="_Toc15377211"/>
    </w:p>
    <w:p>
      <w:pPr>
        <w:rPr>
          <w:rFonts w:hint="eastAsia"/>
        </w:rPr>
      </w:pPr>
    </w:p>
    <w:p>
      <w:pPr>
        <w:pStyle w:val="18"/>
        <w:rPr>
          <w:rFonts w:hint="eastAsia"/>
        </w:rPr>
      </w:pPr>
      <w:r>
        <w:rPr>
          <w:rFonts w:hint="eastAsia" w:ascii="仿宋" w:hAnsi="仿宋" w:eastAsia="仿宋"/>
          <w:sz w:val="32"/>
          <w:szCs w:val="32"/>
          <w:lang w:eastAsia="zh-CN"/>
        </w:rPr>
        <w:drawing>
          <wp:inline distT="0" distB="0" distL="114300" distR="114300">
            <wp:extent cx="5273675" cy="3232785"/>
            <wp:effectExtent l="0" t="0" r="3175" b="5715"/>
            <wp:docPr id="2" name="图片 2" descr="2023年度部门收入项目结构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3年度部门收入项目结构图(3)"/>
                    <pic:cNvPicPr>
                      <a:picLocks noChangeAspect="1"/>
                    </pic:cNvPicPr>
                  </pic:nvPicPr>
                  <pic:blipFill>
                    <a:blip r:embed="rId6"/>
                    <a:stretch>
                      <a:fillRect/>
                    </a:stretch>
                  </pic:blipFill>
                  <pic:spPr>
                    <a:xfrm>
                      <a:off x="0" y="0"/>
                      <a:ext cx="5273675" cy="3232785"/>
                    </a:xfrm>
                    <a:prstGeom prst="rect">
                      <a:avLst/>
                    </a:prstGeom>
                  </pic:spPr>
                </pic:pic>
              </a:graphicData>
            </a:graphic>
          </wp:inline>
        </w:drawing>
      </w:r>
    </w:p>
    <w:p>
      <w:pPr>
        <w:spacing w:line="600" w:lineRule="exact"/>
        <w:ind w:firstLine="643" w:firstLineChars="200"/>
        <w:outlineLvl w:val="2"/>
        <w:rPr>
          <w:rFonts w:ascii="仿宋" w:hAnsi="仿宋" w:eastAsia="仿宋"/>
          <w:b/>
          <w:sz w:val="32"/>
          <w:szCs w:val="32"/>
        </w:rPr>
      </w:pPr>
      <w:r>
        <w:rPr>
          <w:rFonts w:hint="eastAsia" w:ascii="仿宋" w:hAnsi="仿宋" w:eastAsia="仿宋"/>
          <w:b/>
          <w:sz w:val="32"/>
          <w:szCs w:val="32"/>
        </w:rPr>
        <w:t>（二）一般公共预算财政拨款支出决算结构情况</w:t>
      </w:r>
      <w:bookmarkEnd w:id="29"/>
    </w:p>
    <w:p>
      <w:pPr>
        <w:spacing w:line="600" w:lineRule="exact"/>
        <w:ind w:firstLine="640"/>
        <w:rPr>
          <w:rFonts w:hint="eastAsia" w:ascii="仿宋" w:hAnsi="仿宋" w:eastAsia="仿宋"/>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1870.42</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sz w:val="32"/>
          <w:szCs w:val="32"/>
          <w:lang w:val="en-US" w:eastAsia="zh-CN"/>
        </w:rPr>
        <w:t>402.84</w:t>
      </w:r>
      <w:r>
        <w:rPr>
          <w:rFonts w:hint="eastAsia" w:ascii="仿宋" w:hAnsi="仿宋" w:eastAsia="仿宋"/>
          <w:sz w:val="32"/>
          <w:szCs w:val="32"/>
        </w:rPr>
        <w:t>万元，占</w:t>
      </w:r>
      <w:r>
        <w:rPr>
          <w:rFonts w:hint="eastAsia" w:ascii="仿宋" w:hAnsi="仿宋" w:eastAsia="仿宋"/>
          <w:sz w:val="32"/>
          <w:szCs w:val="32"/>
          <w:lang w:val="en-US" w:eastAsia="zh-CN"/>
        </w:rPr>
        <w:t>21.54</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w:t>
      </w:r>
      <w:r>
        <w:rPr>
          <w:rFonts w:hint="eastAsia" w:ascii="仿宋" w:hAnsi="仿宋" w:eastAsia="仿宋"/>
          <w:b/>
          <w:bCs/>
          <w:sz w:val="32"/>
          <w:szCs w:val="32"/>
        </w:rPr>
        <w:t>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文化旅游体育与传媒支出</w:t>
      </w:r>
      <w:r>
        <w:rPr>
          <w:rFonts w:hint="eastAsia" w:ascii="仿宋" w:hAnsi="仿宋" w:eastAsia="仿宋"/>
          <w:b/>
          <w:bCs/>
          <w:sz w:val="32"/>
          <w:szCs w:val="32"/>
          <w:lang w:val="en-US" w:eastAsia="zh-CN"/>
        </w:rPr>
        <w:t>4</w:t>
      </w:r>
      <w:r>
        <w:rPr>
          <w:rFonts w:hint="eastAsia" w:ascii="仿宋" w:hAnsi="仿宋" w:eastAsia="仿宋"/>
          <w:b/>
          <w:bCs/>
          <w:sz w:val="32"/>
          <w:szCs w:val="32"/>
        </w:rPr>
        <w:t>万元，占</w:t>
      </w:r>
      <w:r>
        <w:rPr>
          <w:rFonts w:hint="eastAsia" w:ascii="仿宋" w:hAnsi="仿宋" w:eastAsia="仿宋"/>
          <w:b/>
          <w:bCs/>
          <w:sz w:val="32"/>
          <w:szCs w:val="32"/>
          <w:lang w:val="en-US" w:eastAsia="zh-CN"/>
        </w:rPr>
        <w:t>0.21</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sz w:val="32"/>
          <w:szCs w:val="32"/>
        </w:rPr>
        <w:t>238.67万元，占</w:t>
      </w:r>
      <w:r>
        <w:rPr>
          <w:rFonts w:hint="eastAsia" w:ascii="仿宋" w:hAnsi="仿宋" w:eastAsia="仿宋"/>
          <w:sz w:val="32"/>
          <w:szCs w:val="32"/>
          <w:lang w:val="en-US" w:eastAsia="zh-CN"/>
        </w:rPr>
        <w:t>12.76</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rPr>
        <w:t>18.12万元，占</w:t>
      </w:r>
      <w:r>
        <w:rPr>
          <w:rFonts w:hint="eastAsia" w:ascii="仿宋" w:hAnsi="仿宋" w:eastAsia="仿宋"/>
          <w:sz w:val="32"/>
          <w:szCs w:val="32"/>
          <w:lang w:val="en-US" w:eastAsia="zh-CN"/>
        </w:rPr>
        <w:t>0.97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城乡社区支出</w:t>
      </w:r>
      <w:r>
        <w:rPr>
          <w:rFonts w:hint="eastAsia" w:ascii="仿宋" w:hAnsi="仿宋" w:eastAsia="仿宋"/>
          <w:sz w:val="32"/>
          <w:szCs w:val="32"/>
          <w:lang w:val="en-US" w:eastAsia="zh-CN"/>
        </w:rPr>
        <w:t>19.98</w:t>
      </w:r>
      <w:r>
        <w:rPr>
          <w:rFonts w:hint="eastAsia" w:ascii="仿宋" w:hAnsi="仿宋" w:eastAsia="仿宋"/>
          <w:sz w:val="32"/>
          <w:szCs w:val="32"/>
        </w:rPr>
        <w:t>万元，占</w:t>
      </w:r>
      <w:r>
        <w:rPr>
          <w:rFonts w:hint="eastAsia" w:ascii="仿宋" w:hAnsi="仿宋" w:eastAsia="仿宋"/>
          <w:sz w:val="32"/>
          <w:szCs w:val="32"/>
          <w:lang w:val="en-US" w:eastAsia="zh-CN"/>
        </w:rPr>
        <w:t>1.07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农林水支出</w:t>
      </w:r>
      <w:r>
        <w:rPr>
          <w:rFonts w:hint="eastAsia" w:ascii="仿宋" w:hAnsi="仿宋" w:eastAsia="仿宋"/>
          <w:sz w:val="32"/>
          <w:szCs w:val="32"/>
        </w:rPr>
        <w:t>875.19万元，占</w:t>
      </w:r>
      <w:r>
        <w:rPr>
          <w:rFonts w:hint="eastAsia" w:ascii="仿宋" w:hAnsi="仿宋" w:eastAsia="仿宋"/>
          <w:sz w:val="32"/>
          <w:szCs w:val="32"/>
          <w:lang w:val="en-US" w:eastAsia="zh-CN"/>
        </w:rPr>
        <w:t>46.79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交通运输支出</w:t>
      </w:r>
      <w:r>
        <w:rPr>
          <w:rFonts w:hint="eastAsia" w:ascii="仿宋" w:hAnsi="仿宋" w:eastAsia="仿宋"/>
          <w:sz w:val="32"/>
          <w:szCs w:val="32"/>
        </w:rPr>
        <w:t>210.51万元，占</w:t>
      </w:r>
      <w:r>
        <w:rPr>
          <w:rFonts w:hint="eastAsia" w:ascii="仿宋" w:hAnsi="仿宋" w:eastAsia="仿宋"/>
          <w:sz w:val="32"/>
          <w:szCs w:val="32"/>
          <w:lang w:val="en-US" w:eastAsia="zh-CN"/>
        </w:rPr>
        <w:t>11.25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自然资源海洋气象等支出</w:t>
      </w:r>
      <w:r>
        <w:rPr>
          <w:rFonts w:hint="eastAsia" w:ascii="仿宋" w:hAnsi="仿宋" w:eastAsia="仿宋"/>
          <w:sz w:val="32"/>
          <w:szCs w:val="32"/>
          <w:lang w:val="en-US" w:eastAsia="zh-CN"/>
        </w:rPr>
        <w:t>43.9</w:t>
      </w:r>
      <w:r>
        <w:rPr>
          <w:rFonts w:hint="eastAsia" w:ascii="仿宋" w:hAnsi="仿宋" w:eastAsia="仿宋"/>
          <w:sz w:val="32"/>
          <w:szCs w:val="32"/>
        </w:rPr>
        <w:t>万元，占</w:t>
      </w:r>
      <w:r>
        <w:rPr>
          <w:rFonts w:hint="eastAsia" w:ascii="仿宋" w:hAnsi="仿宋" w:eastAsia="仿宋"/>
          <w:sz w:val="32"/>
          <w:szCs w:val="32"/>
          <w:lang w:val="en-US" w:eastAsia="zh-CN"/>
        </w:rPr>
        <w:t>2.35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资源勘探工业信息等支出</w:t>
      </w:r>
      <w:r>
        <w:rPr>
          <w:rFonts w:hint="eastAsia" w:ascii="仿宋" w:hAnsi="仿宋" w:eastAsia="仿宋"/>
          <w:sz w:val="32"/>
          <w:szCs w:val="32"/>
          <w:lang w:val="en-US" w:eastAsia="zh-CN"/>
        </w:rPr>
        <w:t>0.7</w:t>
      </w:r>
      <w:r>
        <w:rPr>
          <w:rFonts w:hint="eastAsia" w:ascii="仿宋" w:hAnsi="仿宋" w:eastAsia="仿宋"/>
          <w:sz w:val="32"/>
          <w:szCs w:val="32"/>
        </w:rPr>
        <w:t>万元，占</w:t>
      </w:r>
      <w:r>
        <w:rPr>
          <w:rFonts w:hint="eastAsia" w:ascii="仿宋" w:hAnsi="仿宋" w:eastAsia="仿宋"/>
          <w:sz w:val="32"/>
          <w:szCs w:val="32"/>
          <w:lang w:val="en-US" w:eastAsia="zh-CN"/>
        </w:rPr>
        <w:t>0.037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lang w:val="en-US" w:eastAsia="zh-CN"/>
        </w:rPr>
        <w:t>31.81</w:t>
      </w:r>
      <w:r>
        <w:rPr>
          <w:rFonts w:hint="eastAsia" w:ascii="仿宋" w:hAnsi="仿宋" w:eastAsia="仿宋"/>
          <w:sz w:val="32"/>
          <w:szCs w:val="32"/>
        </w:rPr>
        <w:t>万元，占</w:t>
      </w:r>
      <w:r>
        <w:rPr>
          <w:rFonts w:hint="eastAsia" w:ascii="仿宋" w:hAnsi="仿宋" w:eastAsia="仿宋"/>
          <w:sz w:val="32"/>
          <w:szCs w:val="32"/>
          <w:lang w:val="en-US" w:eastAsia="zh-CN"/>
        </w:rPr>
        <w:t>1.7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灾害防治及应急管理支出</w:t>
      </w:r>
      <w:r>
        <w:rPr>
          <w:rFonts w:hint="eastAsia" w:ascii="仿宋" w:hAnsi="仿宋" w:eastAsia="仿宋"/>
          <w:sz w:val="32"/>
          <w:szCs w:val="32"/>
          <w:lang w:val="en-US" w:eastAsia="zh-CN"/>
        </w:rPr>
        <w:t>22.32</w:t>
      </w:r>
      <w:r>
        <w:rPr>
          <w:rFonts w:hint="eastAsia" w:ascii="仿宋" w:hAnsi="仿宋" w:eastAsia="仿宋"/>
          <w:sz w:val="32"/>
          <w:szCs w:val="32"/>
        </w:rPr>
        <w:t>万元，占</w:t>
      </w:r>
      <w:r>
        <w:rPr>
          <w:rFonts w:hint="eastAsia" w:ascii="仿宋" w:hAnsi="仿宋" w:eastAsia="仿宋"/>
          <w:sz w:val="32"/>
          <w:szCs w:val="32"/>
          <w:lang w:val="en-US" w:eastAsia="zh-CN"/>
        </w:rPr>
        <w:t>1.2</w:t>
      </w:r>
      <w:r>
        <w:rPr>
          <w:rFonts w:ascii="仿宋" w:hAnsi="仿宋" w:eastAsia="仿宋"/>
          <w:sz w:val="32"/>
          <w:szCs w:val="32"/>
        </w:rPr>
        <w:t>%</w:t>
      </w:r>
      <w:r>
        <w:rPr>
          <w:rFonts w:hint="eastAsia" w:ascii="仿宋" w:hAnsi="仿宋" w:eastAsia="仿宋"/>
          <w:sz w:val="32"/>
          <w:szCs w:val="32"/>
        </w:rPr>
        <w:t>。</w:t>
      </w:r>
    </w:p>
    <w:p>
      <w:pPr>
        <w:pStyle w:val="18"/>
        <w:rPr>
          <w:rFonts w:hint="eastAsia" w:ascii="仿宋" w:hAnsi="仿宋" w:eastAsia="仿宋"/>
          <w:sz w:val="32"/>
          <w:szCs w:val="32"/>
        </w:rPr>
      </w:pPr>
    </w:p>
    <w:p>
      <w:pPr>
        <w:rPr>
          <w:rFonts w:hint="eastAsia" w:eastAsia="仿宋"/>
          <w:lang w:eastAsia="zh-CN"/>
        </w:rPr>
      </w:pPr>
      <w:r>
        <w:rPr>
          <w:rFonts w:hint="eastAsia" w:eastAsia="仿宋"/>
          <w:lang w:eastAsia="zh-CN"/>
        </w:rPr>
        <w:drawing>
          <wp:inline distT="0" distB="0" distL="114300" distR="114300">
            <wp:extent cx="5273675" cy="3232785"/>
            <wp:effectExtent l="0" t="0" r="3175" b="5715"/>
            <wp:docPr id="3" name="图片 3" descr="2023年度部门收入项目结构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3年度部门收入项目结构图(4)"/>
                    <pic:cNvPicPr>
                      <a:picLocks noChangeAspect="1"/>
                    </pic:cNvPicPr>
                  </pic:nvPicPr>
                  <pic:blipFill>
                    <a:blip r:embed="rId8"/>
                    <a:stretch>
                      <a:fillRect/>
                    </a:stretch>
                  </pic:blipFill>
                  <pic:spPr>
                    <a:xfrm>
                      <a:off x="0" y="0"/>
                      <a:ext cx="5273675" cy="3232785"/>
                    </a:xfrm>
                    <a:prstGeom prst="rect">
                      <a:avLst/>
                    </a:prstGeom>
                  </pic:spPr>
                </pic:pic>
              </a:graphicData>
            </a:graphic>
          </wp:inline>
        </w:drawing>
      </w:r>
    </w:p>
    <w:p>
      <w:pPr>
        <w:pStyle w:val="18"/>
        <w:rPr>
          <w:rFonts w:hint="eastAsia" w:eastAsia="仿宋"/>
          <w:lang w:eastAsia="zh-CN"/>
        </w:rPr>
      </w:pPr>
    </w:p>
    <w:p>
      <w:pPr>
        <w:rPr>
          <w:rFonts w:hint="eastAsia"/>
          <w:lang w:eastAsia="zh-CN"/>
        </w:rPr>
      </w:pPr>
      <w:r>
        <w:rPr>
          <w:rFonts w:hint="eastAsia"/>
          <w:lang w:eastAsia="zh-CN"/>
        </w:rPr>
        <w:drawing>
          <wp:inline distT="0" distB="0" distL="114300" distR="114300">
            <wp:extent cx="5273675" cy="3232785"/>
            <wp:effectExtent l="0" t="0" r="3175" b="5715"/>
            <wp:docPr id="4" name="图片 4" descr="2023年度部门收入项目结构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23年度部门收入项目结构图(5)"/>
                    <pic:cNvPicPr>
                      <a:picLocks noChangeAspect="1"/>
                    </pic:cNvPicPr>
                  </pic:nvPicPr>
                  <pic:blipFill>
                    <a:blip r:embed="rId9"/>
                    <a:stretch>
                      <a:fillRect/>
                    </a:stretch>
                  </pic:blipFill>
                  <pic:spPr>
                    <a:xfrm>
                      <a:off x="0" y="0"/>
                      <a:ext cx="5273675" cy="3232785"/>
                    </a:xfrm>
                    <a:prstGeom prst="rect">
                      <a:avLst/>
                    </a:prstGeom>
                  </pic:spPr>
                </pic:pic>
              </a:graphicData>
            </a:graphic>
          </wp:inline>
        </w:drawing>
      </w:r>
    </w:p>
    <w:p>
      <w:pPr>
        <w:spacing w:line="600" w:lineRule="exact"/>
        <w:ind w:firstLine="643" w:firstLineChars="200"/>
        <w:outlineLvl w:val="2"/>
        <w:rPr>
          <w:rFonts w:ascii="仿宋" w:hAnsi="仿宋" w:eastAsia="仿宋"/>
          <w:b/>
          <w:sz w:val="32"/>
          <w:szCs w:val="32"/>
        </w:rPr>
      </w:pPr>
      <w:bookmarkStart w:id="30" w:name="_Toc15377212"/>
      <w:r>
        <w:rPr>
          <w:rFonts w:hint="eastAsia" w:ascii="仿宋" w:hAnsi="仿宋" w:eastAsia="仿宋"/>
          <w:b/>
          <w:sz w:val="32"/>
          <w:szCs w:val="32"/>
        </w:rPr>
        <w:t>（三）一般公共预算财政拨款支出决算具体情况</w:t>
      </w:r>
      <w:bookmarkEnd w:id="30"/>
    </w:p>
    <w:p>
      <w:pPr>
        <w:spacing w:line="600" w:lineRule="exact"/>
        <w:ind w:firstLine="643" w:firstLineChars="200"/>
        <w:outlineLvl w:val="2"/>
        <w:rPr>
          <w:rFonts w:ascii="仿宋" w:hAnsi="仿宋" w:eastAsia="仿宋"/>
          <w:sz w:val="32"/>
          <w:szCs w:val="32"/>
        </w:rPr>
      </w:pPr>
      <w:bookmarkStart w:id="31" w:name="_Toc15377213"/>
      <w:bookmarkStart w:id="32" w:name="_Toc15378460"/>
      <w:bookmarkStart w:id="33" w:name="_Toc15377444"/>
      <w:r>
        <w:rPr>
          <w:rFonts w:hint="eastAsia" w:ascii="仿宋" w:hAnsi="仿宋" w:eastAsia="仿宋"/>
          <w:b/>
          <w:sz w:val="32"/>
          <w:szCs w:val="32"/>
        </w:rPr>
        <w:t>2023年度一般公共预算支出决算数为</w:t>
      </w:r>
      <w:r>
        <w:rPr>
          <w:rFonts w:ascii="仿宋" w:hAnsi="仿宋" w:eastAsia="仿宋"/>
          <w:b/>
          <w:sz w:val="32"/>
          <w:szCs w:val="32"/>
        </w:rPr>
        <w:t>1870.42</w:t>
      </w:r>
      <w:r>
        <w:rPr>
          <w:rFonts w:hint="eastAsia" w:ascii="仿宋" w:hAnsi="仿宋" w:eastAsia="仿宋"/>
          <w:sz w:val="32"/>
          <w:szCs w:val="32"/>
        </w:rPr>
        <w:t>，</w:t>
      </w:r>
      <w:r>
        <w:rPr>
          <w:rStyle w:val="16"/>
          <w:rFonts w:hint="eastAsia" w:ascii="仿宋" w:hAnsi="仿宋" w:eastAsia="仿宋"/>
          <w:bCs/>
          <w:sz w:val="32"/>
          <w:szCs w:val="32"/>
        </w:rPr>
        <w:t>完成预算</w:t>
      </w:r>
      <w:r>
        <w:rPr>
          <w:rStyle w:val="16"/>
          <w:rFonts w:hint="eastAsia" w:ascii="仿宋" w:hAnsi="仿宋" w:eastAsia="仿宋"/>
          <w:bCs/>
          <w:sz w:val="32"/>
          <w:szCs w:val="32"/>
          <w:lang w:val="en-US" w:eastAsia="zh-CN"/>
        </w:rPr>
        <w:t>100</w:t>
      </w:r>
      <w:r>
        <w:rPr>
          <w:rStyle w:val="16"/>
          <w:rFonts w:ascii="仿宋" w:hAnsi="仿宋" w:eastAsia="仿宋"/>
          <w:bCs/>
          <w:sz w:val="32"/>
          <w:szCs w:val="32"/>
        </w:rPr>
        <w:t>%</w:t>
      </w:r>
      <w:r>
        <w:rPr>
          <w:rStyle w:val="16"/>
          <w:rFonts w:hint="eastAsia" w:ascii="仿宋" w:hAnsi="仿宋" w:eastAsia="仿宋"/>
          <w:bCs/>
          <w:sz w:val="32"/>
          <w:szCs w:val="32"/>
        </w:rPr>
        <w:t>。其中：</w:t>
      </w:r>
      <w:bookmarkEnd w:id="31"/>
      <w:bookmarkEnd w:id="32"/>
      <w:bookmarkEnd w:id="33"/>
    </w:p>
    <w:p>
      <w:pPr>
        <w:spacing w:line="600" w:lineRule="exact"/>
        <w:ind w:firstLine="643" w:firstLineChars="200"/>
        <w:rPr>
          <w:rFonts w:ascii="仿宋" w:hAnsi="仿宋" w:eastAsia="仿宋"/>
          <w:b/>
          <w:sz w:val="32"/>
          <w:szCs w:val="32"/>
        </w:rPr>
      </w:pPr>
      <w:r>
        <w:rPr>
          <w:rStyle w:val="16"/>
          <w:rFonts w:ascii="仿宋" w:hAnsi="仿宋" w:eastAsia="仿宋"/>
          <w:bCs/>
          <w:sz w:val="32"/>
          <w:szCs w:val="32"/>
        </w:rPr>
        <w:t>1.</w:t>
      </w:r>
      <w:r>
        <w:rPr>
          <w:rStyle w:val="16"/>
          <w:rFonts w:hint="eastAsia" w:ascii="仿宋" w:hAnsi="仿宋" w:eastAsia="仿宋"/>
          <w:bCs/>
          <w:sz w:val="32"/>
          <w:szCs w:val="32"/>
        </w:rPr>
        <w:t>一般公共服务（类）政府办公厅(室)及相关机构事务（款）行政运行（项）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支出决算为375</w:t>
      </w:r>
      <w:r>
        <w:rPr>
          <w:rStyle w:val="16"/>
          <w:rFonts w:hint="eastAsia" w:ascii="仿宋" w:hAnsi="仿宋" w:eastAsia="仿宋"/>
          <w:b w:val="0"/>
          <w:bCs/>
          <w:sz w:val="32"/>
          <w:szCs w:val="32"/>
          <w:lang w:val="en-US" w:eastAsia="zh-CN"/>
        </w:rPr>
        <w:t>.</w:t>
      </w:r>
      <w:r>
        <w:rPr>
          <w:rStyle w:val="16"/>
          <w:rFonts w:hint="eastAsia" w:ascii="仿宋" w:hAnsi="仿宋" w:eastAsia="仿宋"/>
          <w:b w:val="0"/>
          <w:bCs/>
          <w:sz w:val="32"/>
          <w:szCs w:val="32"/>
        </w:rPr>
        <w:t>6</w:t>
      </w:r>
      <w:r>
        <w:rPr>
          <w:rStyle w:val="16"/>
          <w:rFonts w:hint="eastAsia" w:ascii="仿宋" w:hAnsi="仿宋" w:eastAsia="仿宋"/>
          <w:b w:val="0"/>
          <w:bCs/>
          <w:sz w:val="32"/>
          <w:szCs w:val="32"/>
          <w:lang w:val="en-US" w:eastAsia="zh-CN"/>
        </w:rPr>
        <w:t>7</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spacing w:line="600" w:lineRule="exact"/>
        <w:ind w:firstLine="643" w:firstLineChars="200"/>
        <w:rPr>
          <w:rFonts w:ascii="仿宋" w:hAnsi="仿宋" w:eastAsia="仿宋"/>
          <w:b/>
          <w:sz w:val="32"/>
          <w:szCs w:val="32"/>
        </w:rPr>
      </w:pPr>
      <w:r>
        <w:rPr>
          <w:rStyle w:val="16"/>
          <w:rFonts w:ascii="仿宋" w:hAnsi="仿宋" w:eastAsia="仿宋"/>
          <w:bCs/>
          <w:sz w:val="32"/>
          <w:szCs w:val="32"/>
        </w:rPr>
        <w:t>2.</w:t>
      </w:r>
      <w:r>
        <w:rPr>
          <w:rStyle w:val="16"/>
          <w:rFonts w:hint="eastAsia" w:ascii="仿宋" w:hAnsi="仿宋" w:eastAsia="仿宋"/>
          <w:bCs/>
          <w:sz w:val="32"/>
          <w:szCs w:val="32"/>
        </w:rPr>
        <w:t>农林水支出（类）农村综合改革（款）对村民委员会和村党支部的补助（项）</w:t>
      </w:r>
      <w:r>
        <w:rPr>
          <w:rStyle w:val="16"/>
          <w:rFonts w:ascii="仿宋" w:hAnsi="仿宋" w:eastAsia="仿宋"/>
          <w:bCs/>
          <w:sz w:val="32"/>
          <w:szCs w:val="32"/>
        </w:rPr>
        <w:t>:</w:t>
      </w:r>
      <w:r>
        <w:rPr>
          <w:rStyle w:val="16"/>
          <w:rFonts w:hint="eastAsia" w:ascii="仿宋" w:hAnsi="仿宋" w:eastAsia="仿宋"/>
          <w:b w:val="0"/>
          <w:bCs/>
          <w:sz w:val="32"/>
          <w:szCs w:val="32"/>
        </w:rPr>
        <w:t>支出决算为393</w:t>
      </w:r>
      <w:r>
        <w:rPr>
          <w:rStyle w:val="16"/>
          <w:rFonts w:hint="eastAsia" w:ascii="仿宋" w:hAnsi="仿宋" w:eastAsia="仿宋"/>
          <w:b w:val="0"/>
          <w:bCs/>
          <w:sz w:val="32"/>
          <w:szCs w:val="32"/>
          <w:lang w:val="en-US" w:eastAsia="zh-CN"/>
        </w:rPr>
        <w:t>.</w:t>
      </w:r>
      <w:r>
        <w:rPr>
          <w:rStyle w:val="16"/>
          <w:rFonts w:hint="eastAsia" w:ascii="仿宋" w:hAnsi="仿宋" w:eastAsia="仿宋"/>
          <w:b w:val="0"/>
          <w:bCs/>
          <w:sz w:val="32"/>
          <w:szCs w:val="32"/>
        </w:rPr>
        <w:t>8</w:t>
      </w:r>
      <w:r>
        <w:rPr>
          <w:rStyle w:val="16"/>
          <w:rFonts w:hint="eastAsia" w:ascii="仿宋" w:hAnsi="仿宋" w:eastAsia="仿宋"/>
          <w:b w:val="0"/>
          <w:bCs/>
          <w:sz w:val="32"/>
          <w:szCs w:val="32"/>
          <w:lang w:val="en-US" w:eastAsia="zh-CN"/>
        </w:rPr>
        <w:t>1</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spacing w:line="600" w:lineRule="exact"/>
        <w:ind w:firstLine="643" w:firstLineChars="200"/>
        <w:rPr>
          <w:rFonts w:ascii="仿宋" w:hAnsi="仿宋" w:eastAsia="仿宋"/>
          <w:b/>
          <w:sz w:val="32"/>
          <w:szCs w:val="32"/>
        </w:rPr>
      </w:pPr>
      <w:r>
        <w:rPr>
          <w:rStyle w:val="16"/>
          <w:rFonts w:ascii="仿宋" w:hAnsi="仿宋" w:eastAsia="仿宋"/>
          <w:bCs/>
          <w:sz w:val="32"/>
          <w:szCs w:val="32"/>
        </w:rPr>
        <w:t>3.</w:t>
      </w:r>
      <w:r>
        <w:rPr>
          <w:rStyle w:val="16"/>
          <w:rFonts w:hint="eastAsia" w:ascii="仿宋" w:hAnsi="仿宋" w:eastAsia="仿宋"/>
          <w:bCs/>
          <w:sz w:val="32"/>
          <w:szCs w:val="32"/>
        </w:rPr>
        <w:t>住房保障支出（类）住房改革支出（款）住房公积金（项）</w:t>
      </w:r>
      <w:r>
        <w:rPr>
          <w:rStyle w:val="16"/>
          <w:rFonts w:ascii="仿宋" w:hAnsi="仿宋" w:eastAsia="仿宋"/>
          <w:bCs/>
          <w:sz w:val="32"/>
          <w:szCs w:val="32"/>
        </w:rPr>
        <w:t>:</w:t>
      </w:r>
      <w:r>
        <w:rPr>
          <w:rStyle w:val="16"/>
          <w:rFonts w:hint="eastAsia" w:ascii="仿宋" w:hAnsi="仿宋" w:eastAsia="仿宋"/>
          <w:b w:val="0"/>
          <w:bCs/>
          <w:sz w:val="32"/>
          <w:szCs w:val="32"/>
        </w:rPr>
        <w:t>支出决算为31</w:t>
      </w:r>
      <w:r>
        <w:rPr>
          <w:rStyle w:val="16"/>
          <w:rFonts w:hint="eastAsia" w:ascii="仿宋" w:hAnsi="仿宋" w:eastAsia="仿宋"/>
          <w:b w:val="0"/>
          <w:bCs/>
          <w:sz w:val="32"/>
          <w:szCs w:val="32"/>
          <w:lang w:val="en-US" w:eastAsia="zh-CN"/>
        </w:rPr>
        <w:t>.</w:t>
      </w:r>
      <w:r>
        <w:rPr>
          <w:rStyle w:val="16"/>
          <w:rFonts w:hint="eastAsia" w:ascii="仿宋" w:hAnsi="仿宋" w:eastAsia="仿宋"/>
          <w:b w:val="0"/>
          <w:bCs/>
          <w:sz w:val="32"/>
          <w:szCs w:val="32"/>
        </w:rPr>
        <w:t>81万元，完成预算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spacing w:line="600" w:lineRule="exact"/>
        <w:ind w:firstLine="643" w:firstLineChars="200"/>
        <w:rPr>
          <w:rStyle w:val="16"/>
          <w:rFonts w:hint="eastAsia" w:ascii="仿宋" w:hAnsi="仿宋" w:eastAsia="仿宋"/>
          <w:b w:val="0"/>
          <w:bCs/>
          <w:sz w:val="32"/>
          <w:szCs w:val="32"/>
        </w:rPr>
      </w:pPr>
      <w:r>
        <w:rPr>
          <w:rStyle w:val="16"/>
          <w:rFonts w:hint="eastAsia" w:ascii="仿宋" w:hAnsi="仿宋" w:eastAsia="仿宋"/>
          <w:bCs/>
          <w:sz w:val="32"/>
          <w:szCs w:val="32"/>
          <w:lang w:val="en-US" w:eastAsia="zh-CN"/>
        </w:rPr>
        <w:t>4</w:t>
      </w:r>
      <w:r>
        <w:rPr>
          <w:rStyle w:val="16"/>
          <w:rFonts w:ascii="仿宋" w:hAnsi="仿宋" w:eastAsia="仿宋"/>
          <w:bCs/>
          <w:sz w:val="32"/>
          <w:szCs w:val="32"/>
        </w:rPr>
        <w:t>.</w:t>
      </w:r>
      <w:r>
        <w:rPr>
          <w:rStyle w:val="16"/>
          <w:rFonts w:hint="eastAsia" w:ascii="仿宋" w:hAnsi="仿宋" w:eastAsia="仿宋"/>
          <w:bCs/>
          <w:sz w:val="32"/>
          <w:szCs w:val="32"/>
        </w:rPr>
        <w:t>社会保障和就业（类）民政管理事务（款）基层政权建设和社区治理（项）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支出决算为32</w:t>
      </w:r>
      <w:r>
        <w:rPr>
          <w:rStyle w:val="16"/>
          <w:rFonts w:hint="eastAsia" w:ascii="仿宋" w:hAnsi="仿宋" w:eastAsia="仿宋"/>
          <w:b w:val="0"/>
          <w:bCs/>
          <w:sz w:val="32"/>
          <w:szCs w:val="32"/>
          <w:lang w:val="en-US" w:eastAsia="zh-CN"/>
        </w:rPr>
        <w:t>.</w:t>
      </w:r>
      <w:r>
        <w:rPr>
          <w:rStyle w:val="16"/>
          <w:rFonts w:hint="eastAsia" w:ascii="仿宋" w:hAnsi="仿宋" w:eastAsia="仿宋"/>
          <w:b w:val="0"/>
          <w:bCs/>
          <w:sz w:val="32"/>
          <w:szCs w:val="32"/>
        </w:rPr>
        <w:t>90万元，完成预算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spacing w:line="600" w:lineRule="exact"/>
        <w:ind w:firstLine="643" w:firstLineChars="200"/>
      </w:pPr>
      <w:r>
        <w:rPr>
          <w:rStyle w:val="16"/>
          <w:rFonts w:ascii="仿宋" w:hAnsi="仿宋" w:eastAsia="仿宋"/>
          <w:bCs/>
          <w:sz w:val="32"/>
          <w:szCs w:val="32"/>
        </w:rPr>
        <w:t>5.</w:t>
      </w:r>
      <w:r>
        <w:rPr>
          <w:rStyle w:val="16"/>
          <w:rFonts w:hint="eastAsia" w:ascii="仿宋" w:hAnsi="仿宋" w:eastAsia="仿宋"/>
          <w:bCs/>
          <w:sz w:val="32"/>
          <w:szCs w:val="32"/>
        </w:rPr>
        <w:t>社会保障和就业（类）行政事业单位养老支出（款）机关事业单位基本养老保险缴费支出</w:t>
      </w:r>
      <w:r>
        <w:rPr>
          <w:rStyle w:val="16"/>
          <w:rFonts w:hint="eastAsia" w:ascii="仿宋" w:hAnsi="仿宋" w:eastAsia="仿宋"/>
          <w:bCs/>
          <w:sz w:val="32"/>
          <w:szCs w:val="32"/>
          <w:lang w:eastAsia="zh-CN"/>
        </w:rPr>
        <w:t>、机关事业单位职业年金缴费支出、其他行政事业单位养老支出</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 xml:space="preserve">114.47 </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spacing w:line="600" w:lineRule="exact"/>
        <w:ind w:firstLine="643" w:firstLineChars="200"/>
        <w:rPr>
          <w:rFonts w:ascii="仿宋" w:hAnsi="仿宋" w:eastAsia="仿宋"/>
          <w:b/>
          <w:sz w:val="32"/>
          <w:szCs w:val="32"/>
        </w:rPr>
      </w:pPr>
      <w:r>
        <w:rPr>
          <w:rStyle w:val="16"/>
          <w:rFonts w:ascii="仿宋" w:hAnsi="仿宋" w:eastAsia="仿宋"/>
          <w:bCs/>
          <w:sz w:val="32"/>
          <w:szCs w:val="32"/>
        </w:rPr>
        <w:t>6.</w:t>
      </w:r>
      <w:r>
        <w:rPr>
          <w:rFonts w:hint="eastAsia" w:ascii="仿宋" w:hAnsi="仿宋" w:eastAsia="仿宋"/>
          <w:b/>
          <w:bCs/>
          <w:sz w:val="32"/>
          <w:szCs w:val="32"/>
        </w:rPr>
        <w:t>卫生健康</w:t>
      </w:r>
      <w:r>
        <w:rPr>
          <w:rStyle w:val="16"/>
          <w:rFonts w:hint="eastAsia" w:ascii="仿宋" w:hAnsi="仿宋" w:eastAsia="仿宋"/>
          <w:bCs/>
          <w:sz w:val="32"/>
          <w:szCs w:val="32"/>
        </w:rPr>
        <w:t>（类）行政事业单位医疗（款）</w:t>
      </w:r>
      <w:r>
        <w:rPr>
          <w:rStyle w:val="16"/>
          <w:rFonts w:hint="eastAsia" w:ascii="仿宋" w:hAnsi="仿宋" w:eastAsia="仿宋"/>
          <w:bCs/>
          <w:sz w:val="32"/>
          <w:szCs w:val="32"/>
          <w:lang w:eastAsia="zh-CN"/>
        </w:rPr>
        <w:t>（其他）</w:t>
      </w:r>
      <w:r>
        <w:rPr>
          <w:rStyle w:val="16"/>
          <w:rFonts w:hint="eastAsia" w:ascii="仿宋" w:hAnsi="仿宋" w:eastAsia="仿宋"/>
          <w:bCs/>
          <w:sz w:val="32"/>
          <w:szCs w:val="32"/>
        </w:rPr>
        <w:t>行政单位医疗（项）</w:t>
      </w:r>
      <w:r>
        <w:rPr>
          <w:rStyle w:val="16"/>
          <w:rFonts w:ascii="仿宋" w:hAnsi="仿宋" w:eastAsia="仿宋"/>
          <w:bCs/>
          <w:sz w:val="32"/>
          <w:szCs w:val="32"/>
        </w:rPr>
        <w:t>:</w:t>
      </w:r>
      <w:r>
        <w:rPr>
          <w:rStyle w:val="16"/>
          <w:rFonts w:hint="eastAsia" w:ascii="仿宋" w:hAnsi="仿宋" w:eastAsia="仿宋"/>
          <w:b w:val="0"/>
          <w:bCs/>
          <w:sz w:val="32"/>
          <w:szCs w:val="32"/>
        </w:rPr>
        <w:t>支出决算为14</w:t>
      </w:r>
      <w:r>
        <w:rPr>
          <w:rStyle w:val="16"/>
          <w:rFonts w:hint="eastAsia" w:ascii="仿宋" w:hAnsi="仿宋" w:eastAsia="仿宋"/>
          <w:b w:val="0"/>
          <w:bCs/>
          <w:sz w:val="32"/>
          <w:szCs w:val="32"/>
          <w:lang w:val="en-US" w:eastAsia="zh-CN"/>
        </w:rPr>
        <w:t>.</w:t>
      </w:r>
      <w:r>
        <w:rPr>
          <w:rStyle w:val="16"/>
          <w:rFonts w:hint="eastAsia" w:ascii="仿宋" w:hAnsi="仿宋" w:eastAsia="仿宋"/>
          <w:b w:val="0"/>
          <w:bCs/>
          <w:sz w:val="32"/>
          <w:szCs w:val="32"/>
        </w:rPr>
        <w:t>3</w:t>
      </w:r>
      <w:r>
        <w:rPr>
          <w:rStyle w:val="16"/>
          <w:rFonts w:hint="eastAsia" w:ascii="仿宋" w:hAnsi="仿宋" w:eastAsia="仿宋"/>
          <w:b w:val="0"/>
          <w:bCs/>
          <w:sz w:val="32"/>
          <w:szCs w:val="32"/>
          <w:lang w:val="en-US" w:eastAsia="zh-CN"/>
        </w:rPr>
        <w:t>2</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tabs>
          <w:tab w:val="right" w:pos="8306"/>
        </w:tabs>
        <w:spacing w:line="600" w:lineRule="exact"/>
        <w:ind w:firstLine="640"/>
        <w:outlineLvl w:val="1"/>
        <w:rPr>
          <w:rStyle w:val="28"/>
        </w:rPr>
      </w:pPr>
      <w:bookmarkStart w:id="34" w:name="_Toc15396608"/>
      <w:bookmarkStart w:id="35"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34"/>
      <w:bookmarkEnd w:id="35"/>
      <w:r>
        <w:rPr>
          <w:rStyle w:val="28"/>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962.99</w:t>
      </w:r>
      <w:r>
        <w:rPr>
          <w:rFonts w:hint="eastAsia" w:ascii="仿宋" w:hAnsi="仿宋" w:eastAsia="仿宋"/>
          <w:sz w:val="32"/>
          <w:szCs w:val="32"/>
        </w:rPr>
        <w:t>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894.46</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68.53</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8"/>
          <w:rFonts w:ascii="黑体" w:hAnsi="黑体" w:eastAsia="黑体"/>
          <w:b w:val="0"/>
        </w:rPr>
      </w:pPr>
      <w:bookmarkStart w:id="36" w:name="_Toc15377215"/>
      <w:bookmarkStart w:id="37" w:name="_Toc15396609"/>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36"/>
      <w:bookmarkEnd w:id="37"/>
    </w:p>
    <w:p>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1.05</w:t>
      </w:r>
      <w:r>
        <w:rPr>
          <w:rFonts w:hint="eastAsia" w:ascii="仿宋" w:hAnsi="仿宋" w:eastAsia="仿宋"/>
          <w:sz w:val="32"/>
          <w:szCs w:val="32"/>
        </w:rPr>
        <w:t>万元，完成预算</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w:t>
      </w:r>
    </w:p>
    <w:p>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1.05</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rPr>
          <w:rFonts w:ascii="仿宋_GB2312" w:eastAsia="仿宋_GB2312"/>
          <w:sz w:val="32"/>
          <w:szCs w:val="32"/>
        </w:rPr>
      </w:pPr>
      <w:bookmarkStart w:id="40" w:name="_Toc15377218"/>
      <w:bookmarkStart w:id="41" w:name="_Toc15396610"/>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w:t>
      </w:r>
    </w:p>
    <w:p>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1.05</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1</w:t>
      </w:r>
      <w:r>
        <w:rPr>
          <w:rFonts w:hint="eastAsia" w:ascii="仿宋_GB2312" w:eastAsia="仿宋_GB2312"/>
          <w:sz w:val="32"/>
          <w:szCs w:val="32"/>
        </w:rPr>
        <w:t>辆，其中：轿车</w:t>
      </w:r>
      <w:r>
        <w:rPr>
          <w:rFonts w:hint="eastAsia" w:ascii="仿宋_GB2312" w:eastAsia="仿宋_GB2312"/>
          <w:sz w:val="32"/>
          <w:szCs w:val="32"/>
          <w:lang w:val="en-US" w:eastAsia="zh-CN"/>
        </w:rPr>
        <w:t>1</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1.05</w:t>
      </w:r>
      <w:r>
        <w:rPr>
          <w:rFonts w:hint="eastAsia" w:ascii="仿宋_GB2312" w:eastAsia="仿宋_GB2312"/>
          <w:sz w:val="32"/>
          <w:szCs w:val="32"/>
        </w:rPr>
        <w:t>万元。主要用于</w:t>
      </w:r>
      <w:r>
        <w:rPr>
          <w:rFonts w:hint="eastAsia" w:ascii="仿宋_GB2312" w:eastAsia="仿宋_GB2312"/>
          <w:sz w:val="32"/>
          <w:szCs w:val="32"/>
          <w:lang w:eastAsia="zh-CN"/>
        </w:rPr>
        <w:t>开会、区上领取资料、下村</w:t>
      </w:r>
      <w:r>
        <w:rPr>
          <w:rFonts w:hint="eastAsia" w:ascii="仿宋_GB2312" w:eastAsia="仿宋_GB2312"/>
          <w:sz w:val="32"/>
          <w:szCs w:val="32"/>
        </w:rPr>
        <w:t>等所需的公务用车燃料费、维修费、过路过桥费、保险费等支出。</w:t>
      </w:r>
    </w:p>
    <w:p>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 w:val="0"/>
          <w:bCs/>
          <w:sz w:val="32"/>
          <w:szCs w:val="32"/>
        </w:rPr>
        <w:t>0%</w:t>
      </w:r>
      <w:r>
        <w:rPr>
          <w:rStyle w:val="16"/>
          <w:rFonts w:hint="eastAsia" w:ascii="仿宋" w:hAnsi="仿宋" w:eastAsia="仿宋"/>
          <w:b w:val="0"/>
          <w:bCs/>
          <w:sz w:val="32"/>
          <w:szCs w:val="32"/>
        </w:rPr>
        <w:t>。</w:t>
      </w: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w:t>
      </w:r>
    </w:p>
    <w:p>
      <w:pPr>
        <w:spacing w:line="600" w:lineRule="exact"/>
        <w:ind w:firstLine="643" w:firstLineChars="200"/>
        <w:rPr>
          <w:rFonts w:ascii="黑体" w:eastAsia="黑体"/>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w:t>
      </w:r>
    </w:p>
    <w:p>
      <w:pPr>
        <w:spacing w:line="600" w:lineRule="exact"/>
        <w:ind w:firstLine="640"/>
        <w:outlineLvl w:val="1"/>
        <w:rPr>
          <w:rStyle w:val="28"/>
          <w:rFonts w:ascii="黑体" w:hAnsi="黑体" w:eastAsia="黑体"/>
        </w:rPr>
      </w:pPr>
      <w:r>
        <w:rPr>
          <w:rFonts w:hint="eastAsia" w:ascii="黑体" w:eastAsia="黑体"/>
          <w:sz w:val="32"/>
          <w:szCs w:val="32"/>
        </w:rPr>
        <w:t>八、</w:t>
      </w:r>
      <w:r>
        <w:rPr>
          <w:rStyle w:val="28"/>
          <w:rFonts w:hint="eastAsia" w:ascii="黑体" w:hAnsi="黑体" w:eastAsia="黑体"/>
          <w:b w:val="0"/>
        </w:rPr>
        <w:t>政府性基金预算支出决算情况说明</w:t>
      </w:r>
      <w:bookmarkEnd w:id="40"/>
      <w:bookmarkEnd w:id="41"/>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31.24</w:t>
      </w:r>
      <w:r>
        <w:rPr>
          <w:rFonts w:hint="eastAsia" w:ascii="仿宋_GB2312" w:eastAsia="仿宋_GB2312"/>
          <w:sz w:val="32"/>
          <w:szCs w:val="32"/>
        </w:rPr>
        <w:t>万元。</w:t>
      </w:r>
    </w:p>
    <w:p>
      <w:pPr>
        <w:spacing w:line="600" w:lineRule="exact"/>
        <w:ind w:firstLine="640"/>
        <w:rPr>
          <w:rFonts w:ascii="仿宋_GB2312" w:eastAsia="仿宋_GB2312"/>
          <w:sz w:val="32"/>
          <w:szCs w:val="32"/>
        </w:rPr>
      </w:pPr>
    </w:p>
    <w:p>
      <w:pPr>
        <w:numPr>
          <w:ilvl w:val="0"/>
          <w:numId w:val="3"/>
        </w:numPr>
        <w:spacing w:line="600" w:lineRule="exact"/>
        <w:ind w:firstLine="640"/>
        <w:outlineLvl w:val="1"/>
        <w:rPr>
          <w:rStyle w:val="28"/>
          <w:rFonts w:ascii="黑体" w:hAnsi="黑体" w:eastAsia="黑体"/>
          <w:b w:val="0"/>
        </w:rPr>
      </w:pPr>
      <w:bookmarkStart w:id="42" w:name="_Toc15377219"/>
      <w:bookmarkStart w:id="43" w:name="_Toc15396611"/>
      <w:r>
        <w:rPr>
          <w:rStyle w:val="28"/>
          <w:rFonts w:hint="eastAsia" w:ascii="黑体" w:hAnsi="黑体" w:eastAsia="黑体"/>
          <w:b w:val="0"/>
        </w:rPr>
        <w:t>国有资本经营预算支出决算情况说明</w:t>
      </w:r>
      <w:bookmarkEnd w:id="42"/>
      <w:bookmarkEnd w:id="43"/>
    </w:p>
    <w:p>
      <w:pPr>
        <w:spacing w:line="600" w:lineRule="exact"/>
        <w:ind w:firstLine="640"/>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spacing w:line="580" w:lineRule="exact"/>
        <w:jc w:val="center"/>
        <w:rPr>
          <w:rFonts w:ascii="方正小标宋简体" w:hAnsi="方正小标宋简体" w:eastAsia="方正小标宋简体" w:cs="方正小标宋简体"/>
          <w:sz w:val="44"/>
          <w:szCs w:val="44"/>
        </w:rPr>
      </w:pPr>
    </w:p>
    <w:p>
      <w:pPr>
        <w:numPr>
          <w:ilvl w:val="0"/>
          <w:numId w:val="3"/>
        </w:numPr>
        <w:spacing w:line="600" w:lineRule="exact"/>
        <w:ind w:firstLine="640"/>
        <w:outlineLvl w:val="1"/>
        <w:rPr>
          <w:rStyle w:val="28"/>
          <w:rFonts w:ascii="黑体" w:hAnsi="黑体" w:eastAsia="黑体"/>
          <w:b w:val="0"/>
        </w:rPr>
      </w:pPr>
      <w:bookmarkStart w:id="44" w:name="_Toc15396612"/>
      <w:bookmarkStart w:id="45" w:name="_Toc15377221"/>
      <w:r>
        <w:rPr>
          <w:rStyle w:val="28"/>
          <w:rFonts w:hint="eastAsia" w:ascii="黑体" w:hAnsi="黑体" w:eastAsia="黑体"/>
          <w:b w:val="0"/>
        </w:rPr>
        <w:t>其他重要事项的情况说明</w:t>
      </w:r>
      <w:bookmarkEnd w:id="44"/>
      <w:bookmarkEnd w:id="45"/>
    </w:p>
    <w:p>
      <w:pPr>
        <w:spacing w:line="600" w:lineRule="exact"/>
        <w:ind w:firstLine="643"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乐山市五通桥区石麟镇人民政府（本级）</w:t>
      </w:r>
      <w:r>
        <w:rPr>
          <w:rFonts w:hint="eastAsia" w:ascii="仿宋_GB2312" w:eastAsia="仿宋_GB2312"/>
          <w:sz w:val="32"/>
          <w:szCs w:val="32"/>
        </w:rPr>
        <w:t>机关运行经费支出</w:t>
      </w:r>
      <w:r>
        <w:rPr>
          <w:rFonts w:ascii="仿宋" w:hAnsi="仿宋" w:eastAsia="仿宋"/>
          <w:b/>
          <w:sz w:val="32"/>
          <w:szCs w:val="32"/>
        </w:rPr>
        <w:t>68.53</w:t>
      </w:r>
      <w:r>
        <w:rPr>
          <w:rFonts w:hint="eastAsia" w:ascii="仿宋_GB2312" w:eastAsia="仿宋_GB2312"/>
          <w:sz w:val="32"/>
          <w:szCs w:val="32"/>
        </w:rPr>
        <w:t>万元。</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乐山市五通桥区石麟镇人民政府（本级）</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乐山市五通桥区石麟镇人民政府（本级）</w:t>
      </w:r>
      <w:r>
        <w:rPr>
          <w:rFonts w:hint="eastAsia" w:ascii="仿宋_GB2312" w:eastAsia="仿宋_GB2312"/>
          <w:sz w:val="32"/>
          <w:szCs w:val="32"/>
        </w:rPr>
        <w:t>共有车辆</w:t>
      </w:r>
      <w:r>
        <w:rPr>
          <w:rFonts w:hint="eastAsia" w:ascii="仿宋_GB2312" w:eastAsia="仿宋_GB2312"/>
          <w:b/>
          <w:sz w:val="32"/>
          <w:szCs w:val="32"/>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1</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根据预算绩效管理要求，本单位在2023年度预算编制阶段，组织对社区基层组织活动及办公经费</w:t>
      </w:r>
      <w:r>
        <w:rPr>
          <w:rFonts w:hint="eastAsia" w:ascii="仿宋_GB2312" w:eastAsia="仿宋_GB2312"/>
          <w:sz w:val="32"/>
          <w:szCs w:val="32"/>
          <w:lang w:eastAsia="zh-CN"/>
        </w:rPr>
        <w:t>、场镇清扫保洁转运费用补助</w:t>
      </w:r>
      <w:r>
        <w:rPr>
          <w:rFonts w:hint="eastAsia" w:ascii="仿宋_GB2312" w:eastAsia="仿宋_GB2312"/>
          <w:sz w:val="32"/>
          <w:szCs w:val="32"/>
        </w:rPr>
        <w:t>项目等</w:t>
      </w:r>
      <w:r>
        <w:rPr>
          <w:rFonts w:hint="eastAsia" w:ascii="仿宋_GB2312" w:eastAsia="仿宋_GB2312"/>
          <w:sz w:val="32"/>
          <w:szCs w:val="32"/>
          <w:lang w:val="en-US" w:eastAsia="zh-CN"/>
        </w:rPr>
        <w:t>21</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21</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111</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113</w:t>
      </w:r>
      <w:r>
        <w:rPr>
          <w:rFonts w:hint="eastAsia" w:ascii="仿宋_GB2312" w:eastAsia="仿宋_GB2312"/>
          <w:sz w:val="32"/>
          <w:szCs w:val="32"/>
        </w:rPr>
        <w:t>个项目开展绩效自评，绩效自评表详见第四部分附件。</w:t>
      </w:r>
    </w:p>
    <w:p>
      <w:pPr>
        <w:pStyle w:val="18"/>
        <w:rPr>
          <w:rFonts w:hint="eastAsia" w:ascii="仿宋_GB2312" w:eastAsia="仿宋_GB2312"/>
          <w:sz w:val="32"/>
          <w:szCs w:val="32"/>
        </w:rPr>
      </w:pPr>
    </w:p>
    <w:p>
      <w:pPr>
        <w:rPr>
          <w:rFonts w:hint="eastAsia" w:ascii="仿宋_GB2312" w:eastAsia="仿宋_GB2312"/>
          <w:sz w:val="32"/>
          <w:szCs w:val="32"/>
        </w:rPr>
      </w:pPr>
    </w:p>
    <w:p>
      <w:pPr>
        <w:pStyle w:val="18"/>
        <w:rPr>
          <w:rFonts w:hint="eastAsia" w:ascii="仿宋_GB2312" w:eastAsia="仿宋_GB2312"/>
          <w:sz w:val="32"/>
          <w:szCs w:val="32"/>
        </w:rPr>
      </w:pPr>
    </w:p>
    <w:p>
      <w:pPr>
        <w:rPr>
          <w:rFonts w:hint="eastAsia" w:ascii="仿宋_GB2312" w:eastAsia="仿宋_GB2312"/>
          <w:sz w:val="32"/>
          <w:szCs w:val="32"/>
        </w:rPr>
      </w:pPr>
    </w:p>
    <w:p>
      <w:pPr>
        <w:pStyle w:val="18"/>
        <w:rPr>
          <w:rFonts w:hint="eastAsia" w:ascii="仿宋_GB2312" w:eastAsia="仿宋_GB2312"/>
          <w:sz w:val="32"/>
          <w:szCs w:val="32"/>
        </w:rPr>
      </w:pPr>
    </w:p>
    <w:p>
      <w:pPr>
        <w:rPr>
          <w:rFonts w:hint="eastAsia" w:ascii="仿宋_GB2312" w:eastAsia="仿宋_GB2312"/>
          <w:sz w:val="32"/>
          <w:szCs w:val="32"/>
        </w:rPr>
      </w:pPr>
    </w:p>
    <w:p>
      <w:pPr>
        <w:pStyle w:val="18"/>
        <w:rPr>
          <w:rFonts w:hint="eastAsia" w:ascii="仿宋_GB2312" w:eastAsia="仿宋_GB2312"/>
          <w:sz w:val="32"/>
          <w:szCs w:val="32"/>
        </w:rPr>
      </w:pPr>
    </w:p>
    <w:p>
      <w:pPr>
        <w:rPr>
          <w:rFonts w:hint="eastAsia" w:ascii="仿宋_GB2312" w:eastAsia="仿宋_GB2312"/>
          <w:sz w:val="32"/>
          <w:szCs w:val="32"/>
        </w:rPr>
      </w:pPr>
    </w:p>
    <w:p>
      <w:pPr>
        <w:pStyle w:val="18"/>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numPr>
          <w:ilvl w:val="0"/>
          <w:numId w:val="4"/>
        </w:numPr>
        <w:spacing w:line="600" w:lineRule="exact"/>
        <w:ind w:firstLine="660" w:firstLineChars="150"/>
        <w:jc w:val="center"/>
        <w:outlineLvl w:val="0"/>
        <w:rPr>
          <w:rStyle w:val="27"/>
          <w:rFonts w:ascii="黑体" w:hAnsi="黑体" w:eastAsia="黑体"/>
          <w:b w:val="0"/>
        </w:rPr>
      </w:pPr>
      <w:bookmarkStart w:id="49" w:name="_Toc15396613"/>
      <w:bookmarkStart w:id="50" w:name="_Toc15377225"/>
      <w:r>
        <w:rPr>
          <w:rFonts w:hint="eastAsia" w:ascii="黑体" w:hAnsi="黑体" w:eastAsia="黑体"/>
          <w:sz w:val="44"/>
          <w:szCs w:val="44"/>
        </w:rPr>
        <w:t>名</w:t>
      </w:r>
      <w:r>
        <w:rPr>
          <w:rStyle w:val="27"/>
          <w:rFonts w:hint="eastAsia" w:ascii="黑体" w:hAnsi="黑体" w:eastAsia="黑体"/>
          <w:b w:val="0"/>
        </w:rPr>
        <w:t>词解释</w:t>
      </w:r>
      <w:bookmarkEnd w:id="49"/>
      <w:bookmarkEnd w:id="50"/>
    </w:p>
    <w:p>
      <w:pPr>
        <w:spacing w:line="600" w:lineRule="exact"/>
        <w:jc w:val="left"/>
        <w:rPr>
          <w:rFonts w:ascii="宋体"/>
          <w:b/>
          <w:sz w:val="44"/>
          <w:szCs w:val="44"/>
        </w:rPr>
      </w:pP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r>
        <w:rPr>
          <w:rFonts w:ascii="仿宋_GB2312" w:eastAsia="仿宋_GB2312"/>
          <w:color w:val="auto"/>
          <w:sz w:val="32"/>
          <w:szCs w:val="32"/>
        </w:rPr>
        <w:t xml:space="preserve"> </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9、一般公共服务（类）政府办公厅(室)及相关机构事务（款）行政运行（项）:政府办公厅(室)及相关机构事务的基本支出。</w:t>
      </w:r>
    </w:p>
    <w:p>
      <w:pPr>
        <w:ind w:firstLine="640" w:firstLineChars="200"/>
        <w:rPr>
          <w:rFonts w:hint="eastAsia" w:ascii="仿宋_GB2312" w:hAnsi="Calibri" w:eastAsia="仿宋_GB2312" w:cs="仿宋"/>
          <w:color w:val="auto"/>
          <w:kern w:val="0"/>
          <w:sz w:val="32"/>
          <w:szCs w:val="32"/>
          <w:lang w:val="en-US" w:eastAsia="zh-CN" w:bidi="ar-SA"/>
        </w:rPr>
      </w:pPr>
      <w:r>
        <w:rPr>
          <w:rFonts w:hint="eastAsia" w:ascii="仿宋_GB2312" w:hAnsi="Calibri" w:eastAsia="仿宋_GB2312" w:cs="仿宋"/>
          <w:color w:val="auto"/>
          <w:kern w:val="0"/>
          <w:sz w:val="32"/>
          <w:szCs w:val="32"/>
          <w:lang w:val="en-US" w:eastAsia="zh-CN" w:bidi="ar-SA"/>
        </w:rPr>
        <w:t>10、农林水支出（类）农村综合改革（款）对村民委员会和村党支部的补助（项）:村社区干部工资福利。</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11、社会保障和就业支出（类）行政事业单位养老支出 （款）行政事业单位基本养老保险缴费支出（项）:指机关 事业单位实施养老保险制度由单位缴纳的基本养老保险费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支出。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12.社会保障和就业支出（类）行政事业单位养老支出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（款）行政事业单位职业年金缴费支出（项）：指机关事业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单位实施养老保险制度由单位实际缴纳的职业年金支出。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13.社会保障和就业支出（类）行政事业单位养老支出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（款）其他行政事业单位养老支出支出（项）: 指其他用于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行政事业单位养老方面的支出。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14.卫生健康支出（类）行政事业单位医疗（款）行政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单位医疗（项）: 指财政部门安排的行政单位（包括实行公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务员管理的事业单位）基本医疗保险缴费经费，未参加医疗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保险的行政事业单位的公费医疗经费，按国家规定享受离休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人员、红军老战士待遇人员的医疗经费。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15、卫生健康支出（类）行政事业单位医疗（款）公务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员医疗补助（项）:指财政部门安排的公务员医疗补助经费。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16.住房保障支出（类）住房改革支出（款）住房公积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金（项）：指行政事业单位按人力资源和社会保障部、财政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部规定的基本工资和津贴补贴以及规定比例为职工缴纳的 </w:t>
      </w:r>
    </w:p>
    <w:p>
      <w:pPr>
        <w:keepNext w:val="0"/>
        <w:keepLines w:val="0"/>
        <w:widowControl/>
        <w:suppressLineNumbers w:val="0"/>
        <w:jc w:val="left"/>
        <w:rPr>
          <w:rFonts w:ascii="仿宋_GB2312" w:eastAsia="仿宋_GB2312"/>
          <w:sz w:val="32"/>
          <w:szCs w:val="32"/>
          <w:highlight w:val="yellow"/>
        </w:rPr>
      </w:pPr>
      <w:r>
        <w:rPr>
          <w:rFonts w:hint="eastAsia" w:ascii="仿宋" w:hAnsi="仿宋" w:eastAsia="仿宋" w:cs="仿宋"/>
          <w:color w:val="000000"/>
          <w:kern w:val="0"/>
          <w:sz w:val="31"/>
          <w:szCs w:val="31"/>
          <w:lang w:val="en-US" w:eastAsia="zh-CN" w:bidi="ar"/>
        </w:rPr>
        <w:t xml:space="preserve">住房公积金。 </w:t>
      </w:r>
    </w:p>
    <w:p>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lang w:val="en-US" w:eastAsia="zh-CN"/>
        </w:rPr>
        <w:t>19</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21</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5"/>
        <w:spacing w:line="560" w:lineRule="exact"/>
        <w:ind w:firstLine="640" w:firstLineChars="200"/>
        <w:rPr>
          <w:rFonts w:ascii="仿宋_GB2312" w:eastAsia="仿宋_GB2312" w:cs="黑体"/>
          <w:color w:val="auto"/>
          <w:sz w:val="32"/>
          <w:szCs w:val="32"/>
        </w:rPr>
      </w:pPr>
    </w:p>
    <w:p>
      <w:pPr>
        <w:ind w:firstLine="643" w:firstLineChars="200"/>
        <w:rPr>
          <w:rFonts w:ascii="仿宋" w:hAnsi="仿宋" w:eastAsia="仿宋"/>
          <w:b/>
          <w:sz w:val="32"/>
          <w:szCs w:val="32"/>
        </w:rPr>
      </w:pPr>
    </w:p>
    <w:p>
      <w:pPr>
        <w:spacing w:line="600" w:lineRule="exact"/>
        <w:jc w:val="center"/>
        <w:outlineLvl w:val="0"/>
        <w:rPr>
          <w:rStyle w:val="27"/>
          <w:rFonts w:ascii="黑体" w:hAnsi="黑体" w:eastAsia="黑体"/>
          <w:b w:val="0"/>
        </w:rPr>
      </w:pPr>
      <w:bookmarkStart w:id="51" w:name="_Toc15377226"/>
      <w:r>
        <w:rPr>
          <w:rFonts w:ascii="宋体"/>
          <w:b/>
          <w:sz w:val="44"/>
          <w:szCs w:val="44"/>
        </w:rPr>
        <w:br w:type="page"/>
      </w:r>
      <w:bookmarkStart w:id="52" w:name="_Toc15396614"/>
      <w:r>
        <w:rPr>
          <w:rFonts w:hint="eastAsia" w:ascii="黑体" w:hAnsi="黑体" w:eastAsia="黑体"/>
          <w:sz w:val="44"/>
          <w:szCs w:val="44"/>
        </w:rPr>
        <w:t>第</w:t>
      </w:r>
      <w:r>
        <w:rPr>
          <w:rStyle w:val="27"/>
          <w:rFonts w:hint="eastAsia" w:ascii="黑体" w:hAnsi="黑体" w:eastAsia="黑体"/>
          <w:b w:val="0"/>
        </w:rPr>
        <w:t>四部分 附件</w:t>
      </w:r>
      <w:bookmarkEnd w:id="52"/>
    </w:p>
    <w:p>
      <w:pPr>
        <w:spacing w:line="572" w:lineRule="exact"/>
        <w:jc w:val="left"/>
        <w:outlineLvl w:val="0"/>
        <w:rPr>
          <w:rFonts w:ascii="仿宋_GB2312" w:hAnsi="仿宋_GB2312" w:eastAsia="仿宋_GB2312" w:cs="仿宋_GB2312"/>
          <w:sz w:val="32"/>
          <w:szCs w:val="32"/>
        </w:rPr>
      </w:pPr>
    </w:p>
    <w:p>
      <w:pPr>
        <w:spacing w:line="600" w:lineRule="exact"/>
        <w:jc w:val="center"/>
        <w:outlineLvl w:val="0"/>
        <w:rPr>
          <w:rFonts w:ascii="黑体" w:hAnsi="黑体" w:eastAsia="黑体"/>
          <w:color w:val="FF0000"/>
          <w:sz w:val="44"/>
          <w:szCs w:val="44"/>
        </w:rPr>
      </w:pPr>
      <w:bookmarkStart w:id="53" w:name="_Toc15396618"/>
      <w:r>
        <w:rPr>
          <w:rFonts w:hint="eastAsia"/>
          <w:sz w:val="32"/>
          <w:szCs w:val="32"/>
        </w:rPr>
        <w:t>部门预算项目支出绩效自评表（2023年度）</w:t>
      </w:r>
    </w:p>
    <w:tbl>
      <w:tblPr>
        <w:tblStyle w:val="14"/>
        <w:tblW w:w="94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9"/>
        <w:gridCol w:w="1757"/>
        <w:gridCol w:w="1151"/>
        <w:gridCol w:w="1486"/>
        <w:gridCol w:w="505"/>
        <w:gridCol w:w="576"/>
        <w:gridCol w:w="396"/>
        <w:gridCol w:w="846"/>
        <w:gridCol w:w="504"/>
        <w:gridCol w:w="453"/>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51111221R000000028011-工资性支出（行政）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158.79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165.63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165.63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158.79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165.63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165.63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51111221R000000028131-养老保险（行政）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51111221R000000028143-职业年金（行政）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18.39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36.29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36.29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18.39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36.29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36.29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51111221R000000028162-医疗保险（行政）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51111221R000000028170-工伤保险（行政）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51111221R000000028698-残疾人保障金（行政）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51111221R000000028725-住房公积金（行政）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32.94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31.81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31.81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32.94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31.81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31.81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51111221R000000028889-临聘人员工资福利支出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51111221R000000029929-公务交通补贴（行政）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51111221R000000029945-退休费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11.62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11.62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51111221R000000029950-其他对个人和家庭的补助支出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51111221R000000073524-村（社区）补助支出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426.71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426.71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426.71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426.71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51111221Y000000029357-日常公用经费（行政）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57.20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59.63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59.63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57.20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59.63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59.63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bookmarkStart w:id="67" w:name="_GoBack"/>
            <w:bookmarkEnd w:id="67"/>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51111221Y000000029857-工会及福利费（行政）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7.57</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7.57</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51111222R000000412377-公务员医疗补助缴费（行政）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51111222R000006333746-公务员基础绩效奖（含参公行政人员）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72.91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72.91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72.91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72.91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51111222R000006333991-公务员年终考核奖（含参公行政人员）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51111222T000000326468-村基层组织活动及办公经费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按照3万元/村/年，对本乡镇19个村进行补助（按照建制调整前计算），共计投入57万元，用于村级组织开展基层组织活动、服务群众活动等产生的活动费用及办公费，实现村级组织补助应补尽发率100%。</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覆盖辖区内的行政村</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补助村资格符合度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村个数准确率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村级补助资金发放及时率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村级补助资金应补尽发率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村级组织开展基层组织活动、服务群众活动保障程度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村级补助资金管理制度/机制的建设情况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村社群众满意度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51111222T000000326500-社区基层组织活动及办公经费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计划对1个社区（社区建制调整前的个数计算），按照每个社区3.5万元/年的标准进行补助，共计需要资金3.5万元，用于社区组织开展基层组织活动、服务群众活动等产生的活动费用及办公费，实现应补尽补率100%。 </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补助社区的个数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社区补助应补尽补率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社区补助资金管理制度/机制的建设情况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51111222T000000326553-乡村振兴驻村第一书记和工作队帮扶事务管理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驻村第一书记和工作队开展帮扶工作差旅预计1900天，按照我县差旅报销标准30元/人/天，预计需要5.6万元资金；帮扶工作采购物资的1批次采购费用预计0.9万元。实现帮扶工作的顺利开展。       </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 xml:space="preserve">       </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帮扶工作差旅预计人天</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采购物资的数量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各项物质验收合格率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差旅费报销准确率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各项物资投入使用及时率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差旅报销及时率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差旅费报销资金应发尽发率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物资投入使用率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帮扶工作各项资金管理制度/机制的建设情况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驻村第一书记和工作队满意度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村社群众满意度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51111222T000000326601-关心下一代工作事务管理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按照不低于200元/人（儿童）的标准，对本乡镇50名儿童在“六一”儿童节慰问，共计需要1.8万元资金。实现“六一”儿童节慰问的困难儿童、留守儿童全覆盖。</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困难儿童留守儿童关爱资金发放准确率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困难儿童、留守儿童资格符合度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困难儿童留守儿童关爱资金发放及时率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困难儿童、留守儿童关爱覆盖率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困难儿童、留守儿童关爱资金管理制度/机制的建设情况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困难儿童、留守儿童满意度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51111222T000000326609-宣传思想文化事务管理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计划开展思想文化宣传活动10场次，制作宣传牌5个、印制宣传资料1000份，共计需要资金5万元，实现基层宣传思想文化工作顺利开展。</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制作宣传牌的个数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开展思想文化宣传活动的场次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册</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印制宣传资料的份数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份</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宣传资料的验收合格率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开展思想文化宣传活动内容符合度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宣传牌的验收合格率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各项工作开展及时率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基层宣传思想文化工作保障度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基层宣传思想文化工作资金管理制度/机制的建设情况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51111222T000000326703-农村交通安全劝导员补助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计划对村（社区)农村交通安全劝导员10人，按照2000元/人/月补助，共计需要资金2万元，确保村（社区)农村交通安全劝导员开展安全宣传、隐患排查等工作的交通、务工补助应补尽补率100%。       </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补助村（社区)农村交通安全劝导员的人数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起</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补助资金发放拨付率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村（社区)农村交通安全劝导员补助应补尽补率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村（社区)农村交通安全劝导员机制的建设情况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村（社区)农村交通安全劝导员满意度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51111222T000000326706-双拥事务管理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计划对退役军人优抚对象（依据退役军人事务局确定人数），共需3万元资金，实现退役军人优抚对象慰问覆盖率100%。</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优抚对象到镇上参加活动的次数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慰问退役军人优抚的人数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慰问资金发放准确率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慰问资金发放及时率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退役军人优抚对象的满意度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51111222T000000326709-农村“爱心血库”农民交通与误工补贴费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结合辖区往年（三年）历史数据情况，预计2022年献血量为11万毫升，对参加农村“爱心血库”义务献血的农民，按照60元/100ml的标准给予其交通、误工补助，预计2022年共投入7.0782万元财政资金，实现应补尽补率100%的目标。     </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“爱心血库”献血量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献血量数据准确率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献血补助发放的准确率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“爱心血库”补助资金兑付及时率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“爱心血库”补助应补尽补率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“爱心血库”项目及补助资金管理制度/机制的建设情况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义务献血的群众的满意度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51111222T000000326717-村级公共服务运行维护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0"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按照5万元/村/年，对本乡镇19个村（按照村建制调整前的行政村个数计算）进行补助，共计投入95万元。主要用于农村基础设施和人居环境整治、农业生产服务、农村生活服务等项目的运行维护，保障村级公共基础设施正常运转，实现村级组织补助应补尽发率100%。 </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辖区内需要补助公共服务运行村的个数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补助公共服务运行村的资格符合度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补助公共服务运行村的个数准确率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村道维护、维修村级公共服务运行补助资金发放及时率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村级公共服务运行补助资金应补尽发率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村级公共服务运行保障程度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村级公共服务运行补助资金管理制度/机制的建设情况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51111222T000000326725-车福路占地粮食补偿经费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保障车福路占地粮食补偿款按到到位</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车福路占地土地赔付亩数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车福路占地赔付资金拨付准确率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及时拨付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车福路占地赔付应付尽付率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车福路占地赔付机制建设情况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农户满意度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51111222T000000329883-西坝电站水淹区土地赔付款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完成当年西坝电站水淹区土地赔付</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赔偿人员人数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满足赔偿或补偿条件的单位个人上访率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水淹区内赔偿人员覆盖率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水淹区内人员满意度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51111222T000000348475-农村生活垃圾处理经费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投入10万资金，对本乡镇内道路进行清洁费用保障，预计完成各村和社区场镇垃圾清运。实现本乡镇辖区内道路清洁、垃圾清运工作完成。 </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农村生活道路垃圾清运公里数 </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公里</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农村生活垃圾清运量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吨</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农村生活垃圾清运工作验收合格率 </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农村生活垃圾清运及时率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农村生活垃圾清运覆盖率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道路清洁度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农村生活垃圾处理管理机制健全性</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51111222T000005463186-春节走访慰问（民政分解）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春节走访慰问</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走访对象人数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走访重点对象覆盖率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春节走访慰问管理机制建设情况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51111222T000005463231-公益性岗位补贴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公益性岗位补贴</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57.54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57.54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57.54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57.54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费用拨付完成时限</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计划完成时限</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资金拨付公益性岗位人员覆盖率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公益性岗位补贴管理机制建设情况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公益性岗位人员满意度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相关部门满意度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51111222T000005463311-残疾人“量服”经费（残联分解）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残疾人“量服”</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1.37</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1.37</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1.37</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1.37</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录入系统条数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残疾人覆盖率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残疾人“量服”管理机制的建设情况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残疾人满意度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51111222T000005463651-春节走访慰问残疾人（残联分解）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春节走访慰问残疾人</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走访残疾人人数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残疾人覆盖率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春节走访慰问残疾人管理机制的建设情况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残疾人满意度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51111222T000005463733-基层平台绩效考核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基层平台绩效考核</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基层绩效平台个数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基层平台绩效考核管理机制建设情况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社区满意度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51111222T000005463769-困难职工春节慰问费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春节慰问困难职工</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慰问困难职工人数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资金拨付到位率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慰问对象覆盖率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春节慰问困难职工工作管理机制的建设情况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困难职工满意度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51111222T000005629292-一事一议（2018年杨林坳）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一事一议（2018年杨林坳</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修建的道路条数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一事一议管理机制的建设情况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51111222T000005630263-政府办公大楼维修改造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政府办公大楼维修改造</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维修改造几处</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处</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资金拨付到位率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安全检查覆盖率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政府办公大楼维修改造</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机关干部满意度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51111222T000005632254-方嘴村河堤垮塌治理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方嘴村河堤垮塌治理</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堤防维修养护长度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公里</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生态效益指标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施工污染次数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方嘴村河堤垮塌治理管理机制建设情况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运行管理单位满意度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51111222T000005743621-南山村道建设资金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南山村道建设资金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当年投资完成率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提供施工就业岗位数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交通事故下降率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51111222T000005743943-石麟镇白房子村牛沟煤矿项目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石麟镇白房子村牛沟煤矿项目</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19.60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19.60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19.60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19.60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当年投资完成率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工程建设按期完工比率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提供施工就业岗位数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51111222T000005745811-2018年村道加宽补助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2018年村道加宽补助</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既有道路完好率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当年投资完成率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工程建设按期完工比率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交通事故下降率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提供施工就业岗位数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51111222T000005751885-董家湾滑坡治理工程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董家湾滑坡治理工程</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防灾减灾知识资料验收合格率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灾害监测与评估业务平台合格率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地灾治理资金拨付机制建设情况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对社会防震减灾能力的促进作用</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灾区政府对应急救援的满意度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地方灾害管理部门的满意度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51111222T000005830847-2019年村道加宽补助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2019年村道加宽补助</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维护工作量完成率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项目实际完成率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既有道路完好率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加宽的村覆盖率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2019年村道加宽补助管理机制建设情况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51111222T000006244402-特困人员火化费（民政分解）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完成特困人员火化</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特困人员人数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51111222T000006721609-临时救助备用金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临时救助备用金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建档立卡贫困人口医疗救助人次数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临时救助管理机制建设情况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救助对象满意度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村社区满意度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51111222T000007007049-文化站免费开放经费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完成文化站免费开放工作</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公共文化服务活动举办次数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全国基层文化队伍培训人次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开展文化采风活动次数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开展文化活动完成率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保护传承传统文化技艺</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社区满意度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51111223T000007747675-农村综合改革转移支付资金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农村综合改革转移支付资金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开展资源评估鱼类种数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项目（工程）验收合格率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生态效益指标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环境污染次数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农村综合改革转移支付资金管理机制建设情况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51111223T000008159242-2023年杨超到省发改委顶岗锻炼经费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2023年杨超到省发改委顶岗锻炼经费，保障往返差旅、住房，使杨超同志全身心投入工作当中，为社会作出应有的贡献。</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杨超同志一年内顶岗锻炼天数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杨超同志交办工作完成率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杨超同志顶岗锻炼期间生活质量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经费划拨及时率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杨超同志到岗及时率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顶岗锻炼期间本人对社会贡献度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顶岗锻炼工作的持续性</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杨超满意度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51111223T000008159368-乡镇人大代表活动经费、主席团工作经费和人代会会议费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乡镇人大代表活动经费、主席团工作经费和人代会会议费，印刷费、会议期间伙食费等</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1.96</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1.96</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一年内人代会召开次数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每次会议参加人数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主席团工作成效</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会议召开及时率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镇代表提出问题解决率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对全镇经济社会贡献度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每年可持续召开</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镇人大代表满意度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51111223T000008637024-安全监管经费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安全监管经费，加强镇域内安全监管</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安全监管经费监管次数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次/年</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安全监管经费拨付率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安全监管经费拨付准确度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安全监管经费拨付符合度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安全监管经费机制建设情况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51111223T000008637632-场镇清扫保洁转运费用补助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场镇清扫保洁转运费用补助，保障场镇垃圾及时转运</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次/年</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场镇清扫保洁转运费用补助拨付准确率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场镇清扫保洁转运费用补助拨付符合度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场镇清扫保洁转运费用补助拨付内容契合度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场镇清扫保洁转运费用补助拨付及时率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场镇清扫保洁转运机制建设情况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51111223T000008924129-场镇内涝安全隐患工程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场镇内涝安全隐患工程</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开展综合督查工作</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开展专项督查工作</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规章和标准审查通过率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安全检查覆盖率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场镇内涝安全隐患工程管理机制的建设情况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社区满意度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51111223T000008924141-石麟镇人民政府原办公用房拆除排危项目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石麟镇人民政府原办公用房拆除</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需要拆除的大楼栋数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座</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石麟镇人民政府原办公用房拆除管理机制的建设情况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机关干部满意度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51111223T000008924155-石麟镇人民政府原办公用房鉴定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石麟镇人民政府原办公用房鉴定</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竣工验收合格率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监督覆盖率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鉴定结果采用率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51111223T000008924159-场镇雨污分流项目监理费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场镇雨污分流项目监理</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监理工程数量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场镇雨污分流项目监理机制建设情况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上级部门满意度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51111223T000008926190-2020年村道加宽补助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2020年村道加宽补助</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既有道路完好率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当年投资完成率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建制村通硬化路率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提供施工就业岗位数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群众投诉下降率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51111223T000008939324-2021年兴无村撤并建制村畅通工程改建项目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2021年兴无村撤并建制村畅通工程改建项目</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施工环境污染次数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项目质量达标率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路面完好率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项目完成进度延迟率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一般及以上安全事故</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行政村通车率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51111223T000008942337-农村杆管线建设项目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完成农村杆管线建设项目</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改造杆管线数量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杆管线建设村覆盖率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完成农村杆管线建设项目管理机制建设情况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51111223T000008943517-方嘴村官山坡处坡道改道项目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方嘴村官山坡处坡道改道</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需要改道的道路数量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乡镇通车率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道路修建管理机制的建设情况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51111223T000009052786-2022年第一批省级交通专项资金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2022年第一批省级交通专项资金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8.87</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99.37%</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8.87</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99.37%</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公路养护工程量完成率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公路养护工程合格率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路面完好率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乡镇通车率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超限超载率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生态效益指标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施工污染次数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51111223T000009052931-2022年第一批省级交通专项资金，用于农村公路养护补助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2022年第一批省级交通专项资金，用于农村公路养护补助</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资金补助村个数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当年投资完成率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交通事故下降率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提供施工就业岗位数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51111223T000009137785-石麟镇森林防灭火工作巡查经费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完成春节清明等节气的森林防火卡点蹲守工作，尽最大限度确保镇域内不发生火情</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日常巡查次数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8小时火灾扑灭率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森林火灾下降率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火灾案件查处率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森林防火管理机制建设情况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51111223T000009199255-“三支一扶”年终慰问金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“三支一扶”年终慰问金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慰问三支一扶人数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慰问三支一扶人员覆盖率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“三支一扶”年终慰问管理机制建设情况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三支一扶满意度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机关干部满意度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51111223T000009204732-石麟镇人民政府自有资金（基本户）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石麟镇人民政府自有资金（基本户）</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323.86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64.77%</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323.86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64.77%</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资金拨付到位率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石麟镇人民政府自有资金拨付机制建设</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区级满意度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51111223T000009544354-2023年省级财政民政事业发展补助资金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2023年省级财政民政事业发展补助资金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15.45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38.63%</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15.45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38.63%</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民政事业项目个数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资金拨付到位率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民政事业发展群众知晓率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民政事业发展管理机制的建设情况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51111223T000009665781-2020年农村综合改革扶持集体经济（共同村）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2020年农村综合改革扶持村集体经济</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帮扶的村个数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项目复核率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2020年农村综合改革扶持村集体经济管理机制的建设情况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51111223T000009728479-2023年中央对地方成品油税费改革转移支付资金，2023年农村公路养护资金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2023年农村公路养护资金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99.85%</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99.85%</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交工验收合格率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当年投资完成率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群众投诉下降率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交通事故下降率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提供施工就业岗位数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51111223T000009733865-地震监测站运维费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保障地震监测站运维</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每年运维次数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次/年</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资金拨付到位率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安全检查覆盖率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地震监测管理机制的建设情况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51111223T000009767146-2022年结转中央和省级自然灾害救灾资金（干旱灾害）（洪涝灾害）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2022年结转中央和省级自然灾害救灾资金（干旱洪涝灾害）</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日常巡查覆盖率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日常巡查次数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水旱灾害防御督察组、工作组、专家组现场检查指导人次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救灾培训人员覆盖率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保障专业设备正常使用年限</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受训学员满意度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灾后用种群众投诉率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51111223T000009767903-耕地恢复工作经费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耕地恢复工作经费</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43.90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43.90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43.90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43.90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永久基本农田监测监管系统数量</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耕地恢复亩数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资金拨付准确率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生态效益指标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耕地恢复覆盖率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耕地恢复工作管理机制建设情况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优良中低差</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村级满意度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51111223T000009919055-应急广播信息流量费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应急广播信息流量费</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应急通信保障演练次数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配置现场工作组现场应急工作装备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突发事件应急响应及时率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应急演练覆盖范围</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应急通信保障任务完成率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地方灾害管理部门的满意度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灾区政府对应急救援的满意度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51111224T000009960572-劳动保障员工资保险发放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保证劳动保障员工资保险按实发放缴纳</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领取补助人数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工作任务完成及时率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基本养老保险参保率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工伤保险参保人数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失业保险参保人数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劳动保障员满意度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51111224T000010946555-2023年村级公共服务运行经费市级配套资金（市级财政衔接资金）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2023年村级公共服务运行经费市级配套资金（市级财政衔接资金）19万元，解决村级公共服务运行维护相关事宜</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覆盖辖区内的行政村</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补助村覆盖率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从确定项目开始到项目完成的天数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天</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提高村民幸福感，增加社会凝聚力</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确保各村能够持续开展人居环境整治等活动正常进行</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优良</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村民满意度</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每个村运行维护费补助标准</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51111224T000011161781-2023年市级财政衔接推进乡村振兴补助资金（农村公路日常养护补助经费）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30.56</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30.56</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3.27</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3.27</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51111221R000000029945-退休费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51111221Y000000029861-工会及福利费（事业）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51111222R000000412382-公务员医疗补助缴费（事业）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石麟镇农业综合服务中心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63.22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63.22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65.50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63.22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63.22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14.81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14.81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0.57</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0.57</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0.57</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0.57</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51111221R000000029945-退休费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51111221Y000000029861-工会及福利费（事业）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51111222R000000412382-公务员医疗补助缴费（事业）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31.02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26.94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26.94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31.02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26.94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26.94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石麟镇便民服务中心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14.99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14.99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14.99</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14.99</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32.09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32.09</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32.26</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99.99%</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1.85</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99.99%</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6.41</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51111221R000000029945-退休费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0.83</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51111221Y000000029861-工会及福利费（事业）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51111222R000000412382-公务员医疗补助缴费（事业）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15.18</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15.13</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4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w:t>
            </w:r>
          </w:p>
        </w:tc>
        <w:tc>
          <w:tcPr>
            <w:tcW w:w="84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石麟镇文化旅游服务中心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7.14</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3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5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7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5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4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03"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1、报表说明:该报表查询项目信息、绩效目标信息、预算及执行情况，用于预算单位查询导出开展项目自评。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03"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2、取数口径：部门项目绩效目标表信息，包括年初预算、追加预算、结转预算和调整预算的绩效目标（以项目的最终绩效目标为准）。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03"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适用地区：全省范围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03"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适用用户：部门用户、单位用户</w:t>
            </w:r>
          </w:p>
        </w:tc>
      </w:tr>
    </w:tbl>
    <w:p>
      <w:pPr>
        <w:pStyle w:val="13"/>
        <w:spacing w:line="560" w:lineRule="exact"/>
        <w:ind w:left="0" w:leftChars="0" w:firstLine="640"/>
        <w:rPr>
          <w:sz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pStyle w:val="5"/>
        <w:spacing w:before="93"/>
        <w:rPr>
          <w:rFonts w:hAnsi="Calibri" w:cs="仿宋"/>
          <w:sz w:val="32"/>
          <w:szCs w:val="32"/>
        </w:rPr>
      </w:pPr>
    </w:p>
    <w:p>
      <w:pPr>
        <w:spacing w:line="600" w:lineRule="exact"/>
        <w:jc w:val="center"/>
        <w:outlineLvl w:val="0"/>
        <w:rPr>
          <w:rFonts w:ascii="仿宋" w:hAnsi="仿宋" w:eastAsia="仿宋"/>
        </w:rPr>
      </w:pPr>
      <w:r>
        <w:rPr>
          <w:rFonts w:hint="eastAsia" w:ascii="黑体" w:hAnsi="黑体" w:eastAsia="黑体"/>
          <w:sz w:val="44"/>
          <w:szCs w:val="44"/>
        </w:rPr>
        <w:t>第</w:t>
      </w:r>
      <w:r>
        <w:rPr>
          <w:rStyle w:val="27"/>
          <w:rFonts w:hint="eastAsia" w:ascii="黑体" w:hAnsi="黑体" w:eastAsia="黑体"/>
          <w:b w:val="0"/>
        </w:rPr>
        <w:t>五部分 附表</w:t>
      </w:r>
      <w:bookmarkEnd w:id="51"/>
      <w:bookmarkEnd w:id="53"/>
      <w:bookmarkStart w:id="54" w:name="_Toc15396619"/>
    </w:p>
    <w:p>
      <w:pPr>
        <w:pStyle w:val="3"/>
        <w:rPr>
          <w:rFonts w:ascii="仿宋" w:hAnsi="仿宋" w:eastAsia="仿宋"/>
        </w:rPr>
      </w:pPr>
      <w:r>
        <w:rPr>
          <w:rFonts w:hint="eastAsia" w:ascii="仿宋" w:hAnsi="仿宋" w:eastAsia="仿宋"/>
          <w:b w:val="0"/>
        </w:rPr>
        <w:t>一、收</w:t>
      </w:r>
      <w:r>
        <w:rPr>
          <w:rStyle w:val="28"/>
          <w:rFonts w:hint="eastAsia" w:ascii="仿宋" w:hAnsi="仿宋" w:eastAsia="仿宋"/>
          <w:b w:val="0"/>
          <w:bCs w:val="0"/>
        </w:rPr>
        <w:t>入支出决算总表</w:t>
      </w:r>
      <w:bookmarkEnd w:id="54"/>
    </w:p>
    <w:p>
      <w:pPr>
        <w:pStyle w:val="3"/>
        <w:rPr>
          <w:rFonts w:ascii="仿宋" w:hAnsi="仿宋" w:eastAsia="仿宋"/>
        </w:rPr>
      </w:pPr>
      <w:bookmarkStart w:id="55" w:name="_Toc15396620"/>
      <w:r>
        <w:rPr>
          <w:rFonts w:hint="eastAsia" w:ascii="仿宋" w:hAnsi="仿宋" w:eastAsia="仿宋"/>
          <w:b w:val="0"/>
        </w:rPr>
        <w:t>二、收</w:t>
      </w:r>
      <w:r>
        <w:rPr>
          <w:rStyle w:val="28"/>
          <w:rFonts w:hint="eastAsia" w:ascii="仿宋" w:hAnsi="仿宋" w:eastAsia="仿宋"/>
          <w:b w:val="0"/>
          <w:bCs w:val="0"/>
        </w:rPr>
        <w:t>入决算表</w:t>
      </w:r>
      <w:bookmarkEnd w:id="55"/>
    </w:p>
    <w:p>
      <w:pPr>
        <w:pStyle w:val="3"/>
        <w:rPr>
          <w:rFonts w:ascii="仿宋" w:hAnsi="仿宋" w:eastAsia="仿宋"/>
        </w:rPr>
      </w:pPr>
      <w:bookmarkStart w:id="56" w:name="_Toc15396621"/>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56"/>
    </w:p>
    <w:p>
      <w:pPr>
        <w:pStyle w:val="3"/>
        <w:rPr>
          <w:rFonts w:ascii="仿宋" w:hAnsi="仿宋" w:eastAsia="仿宋"/>
          <w:b w:val="0"/>
        </w:rPr>
      </w:pPr>
      <w:bookmarkStart w:id="57" w:name="_Toc15396622"/>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57"/>
    </w:p>
    <w:p>
      <w:pPr>
        <w:pStyle w:val="3"/>
        <w:rPr>
          <w:rStyle w:val="28"/>
          <w:rFonts w:ascii="仿宋" w:hAnsi="仿宋" w:eastAsia="仿宋"/>
          <w:b w:val="0"/>
          <w:bCs w:val="0"/>
        </w:rPr>
      </w:pPr>
      <w:bookmarkStart w:id="58" w:name="_Toc15396623"/>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58"/>
      <w:bookmarkStart w:id="59" w:name="_Toc15396624"/>
    </w:p>
    <w:p>
      <w:pPr>
        <w:pStyle w:val="3"/>
        <w:rPr>
          <w:rFonts w:ascii="仿宋" w:hAnsi="仿宋" w:eastAsia="仿宋"/>
        </w:rPr>
      </w:pPr>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59"/>
    </w:p>
    <w:p>
      <w:pPr>
        <w:pStyle w:val="3"/>
        <w:rPr>
          <w:rFonts w:ascii="仿宋" w:hAnsi="仿宋" w:eastAsia="仿宋"/>
        </w:rPr>
      </w:pPr>
      <w:bookmarkStart w:id="60" w:name="_Toc15396625"/>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60"/>
    </w:p>
    <w:p>
      <w:pPr>
        <w:pStyle w:val="3"/>
        <w:rPr>
          <w:rFonts w:ascii="仿宋" w:hAnsi="仿宋" w:eastAsia="仿宋"/>
        </w:rPr>
      </w:pPr>
      <w:bookmarkStart w:id="61" w:name="_Toc15396626"/>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61"/>
    </w:p>
    <w:p>
      <w:pPr>
        <w:pStyle w:val="3"/>
        <w:rPr>
          <w:rFonts w:ascii="仿宋" w:hAnsi="仿宋" w:eastAsia="仿宋"/>
        </w:rPr>
      </w:pPr>
      <w:bookmarkStart w:id="62" w:name="_Toc15396627"/>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62"/>
    </w:p>
    <w:p>
      <w:pPr>
        <w:pStyle w:val="3"/>
        <w:rPr>
          <w:rFonts w:ascii="仿宋" w:hAnsi="仿宋" w:eastAsia="仿宋"/>
        </w:rPr>
      </w:pPr>
      <w:bookmarkStart w:id="63" w:name="_Toc15396628"/>
      <w:r>
        <w:rPr>
          <w:rStyle w:val="28"/>
          <w:rFonts w:hint="eastAsia" w:ascii="仿宋" w:hAnsi="仿宋" w:eastAsia="仿宋"/>
          <w:b w:val="0"/>
          <w:bCs w:val="0"/>
        </w:rPr>
        <w:t>十、</w:t>
      </w:r>
      <w:bookmarkEnd w:id="63"/>
      <w:r>
        <w:rPr>
          <w:rFonts w:hint="eastAsia" w:ascii="仿宋" w:hAnsi="仿宋" w:eastAsia="仿宋"/>
          <w:b w:val="0"/>
        </w:rPr>
        <w:t>政</w:t>
      </w:r>
      <w:r>
        <w:rPr>
          <w:rStyle w:val="28"/>
          <w:rFonts w:hint="eastAsia" w:ascii="仿宋" w:hAnsi="仿宋" w:eastAsia="仿宋"/>
          <w:b w:val="0"/>
          <w:bCs w:val="0"/>
        </w:rPr>
        <w:t>府性基金预算财政拨款收入支出决算表</w:t>
      </w:r>
    </w:p>
    <w:p>
      <w:pPr>
        <w:pStyle w:val="3"/>
        <w:rPr>
          <w:rFonts w:ascii="仿宋" w:hAnsi="仿宋" w:eastAsia="仿宋"/>
        </w:rPr>
      </w:pPr>
      <w:bookmarkStart w:id="64" w:name="_Toc15396629"/>
      <w:r>
        <w:rPr>
          <w:rStyle w:val="28"/>
          <w:rFonts w:hint="eastAsia" w:ascii="仿宋" w:hAnsi="仿宋" w:eastAsia="仿宋"/>
          <w:b w:val="0"/>
          <w:bCs w:val="0"/>
        </w:rPr>
        <w:t>十一、</w:t>
      </w:r>
      <w:bookmarkEnd w:id="64"/>
      <w:r>
        <w:rPr>
          <w:rFonts w:hint="eastAsia" w:ascii="仿宋" w:hAnsi="仿宋" w:eastAsia="仿宋"/>
          <w:b w:val="0"/>
        </w:rPr>
        <w:t>国</w:t>
      </w:r>
      <w:r>
        <w:rPr>
          <w:rStyle w:val="28"/>
          <w:rFonts w:hint="eastAsia" w:ascii="仿宋" w:hAnsi="仿宋" w:eastAsia="仿宋"/>
          <w:b w:val="0"/>
          <w:bCs w:val="0"/>
        </w:rPr>
        <w:t>有资本经营预算财政拨款收入支出决算表</w:t>
      </w:r>
    </w:p>
    <w:p>
      <w:pPr>
        <w:pStyle w:val="3"/>
        <w:rPr>
          <w:rFonts w:ascii="仿宋" w:hAnsi="仿宋" w:eastAsia="仿宋"/>
        </w:rPr>
      </w:pPr>
      <w:bookmarkStart w:id="65" w:name="_Toc15396630"/>
      <w:r>
        <w:rPr>
          <w:rStyle w:val="28"/>
          <w:rFonts w:hint="eastAsia" w:ascii="仿宋" w:hAnsi="仿宋" w:eastAsia="仿宋"/>
          <w:b w:val="0"/>
          <w:bCs w:val="0"/>
        </w:rPr>
        <w:t>十二、</w:t>
      </w:r>
      <w:bookmarkEnd w:id="65"/>
      <w:r>
        <w:rPr>
          <w:rStyle w:val="28"/>
          <w:rFonts w:hint="eastAsia" w:ascii="仿宋" w:hAnsi="仿宋" w:eastAsia="仿宋"/>
          <w:b w:val="0"/>
          <w:bCs w:val="0"/>
        </w:rPr>
        <w:t>国有资本经营预算财政拨款支出决算表</w:t>
      </w:r>
    </w:p>
    <w:p>
      <w:pPr>
        <w:pStyle w:val="3"/>
        <w:rPr>
          <w:rFonts w:eastAsia="仿宋"/>
        </w:rPr>
      </w:pPr>
      <w:bookmarkStart w:id="66" w:name="_Toc15396631"/>
      <w:r>
        <w:rPr>
          <w:rStyle w:val="28"/>
          <w:rFonts w:hint="eastAsia" w:ascii="仿宋" w:hAnsi="仿宋" w:eastAsia="仿宋"/>
          <w:b w:val="0"/>
          <w:bCs w:val="0"/>
        </w:rPr>
        <w:t>十三、</w:t>
      </w:r>
      <w:bookmarkEnd w:id="66"/>
      <w:r>
        <w:rPr>
          <w:rStyle w:val="28"/>
          <w:rFonts w:hint="eastAsia" w:ascii="仿宋" w:hAnsi="仿宋" w:eastAsia="仿宋"/>
          <w:b w:val="0"/>
          <w:bCs w:val="0"/>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15</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jYjY0MTExM2RlM2JkMWZhNjNlMzgwMmFkNzZkZT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81B5E94"/>
    <w:rsid w:val="0A2032A3"/>
    <w:rsid w:val="0A314B36"/>
    <w:rsid w:val="0B8A37D8"/>
    <w:rsid w:val="0F5FFB2F"/>
    <w:rsid w:val="0FAE4A97"/>
    <w:rsid w:val="0FFFCF60"/>
    <w:rsid w:val="10C055FF"/>
    <w:rsid w:val="118107EC"/>
    <w:rsid w:val="11DD6519"/>
    <w:rsid w:val="168A33D0"/>
    <w:rsid w:val="16BB723D"/>
    <w:rsid w:val="18015F3F"/>
    <w:rsid w:val="1BE8440E"/>
    <w:rsid w:val="1D155CEE"/>
    <w:rsid w:val="1F531AEB"/>
    <w:rsid w:val="1FDBBF84"/>
    <w:rsid w:val="20F57F95"/>
    <w:rsid w:val="240371BF"/>
    <w:rsid w:val="255F6BFA"/>
    <w:rsid w:val="25711CC6"/>
    <w:rsid w:val="25C741E6"/>
    <w:rsid w:val="276F80C0"/>
    <w:rsid w:val="27842671"/>
    <w:rsid w:val="27D15918"/>
    <w:rsid w:val="29FD04D3"/>
    <w:rsid w:val="2ABE7A3E"/>
    <w:rsid w:val="2AFF09B6"/>
    <w:rsid w:val="2CA234A8"/>
    <w:rsid w:val="2EFA178C"/>
    <w:rsid w:val="2EFDF86C"/>
    <w:rsid w:val="2F9D17E1"/>
    <w:rsid w:val="305E650C"/>
    <w:rsid w:val="30B46D73"/>
    <w:rsid w:val="319F7F4E"/>
    <w:rsid w:val="356A28F1"/>
    <w:rsid w:val="357C035A"/>
    <w:rsid w:val="365A7A23"/>
    <w:rsid w:val="368E000D"/>
    <w:rsid w:val="383D272C"/>
    <w:rsid w:val="39AE70AB"/>
    <w:rsid w:val="3A4DCE41"/>
    <w:rsid w:val="3AEA5FA1"/>
    <w:rsid w:val="3BCB56FA"/>
    <w:rsid w:val="3C0C0783"/>
    <w:rsid w:val="3D08452F"/>
    <w:rsid w:val="3ED73D61"/>
    <w:rsid w:val="3EE7C2F4"/>
    <w:rsid w:val="3F371B56"/>
    <w:rsid w:val="3F792ED8"/>
    <w:rsid w:val="3F9F3A96"/>
    <w:rsid w:val="3FECA4B2"/>
    <w:rsid w:val="3FF58C48"/>
    <w:rsid w:val="40583C66"/>
    <w:rsid w:val="40D91972"/>
    <w:rsid w:val="42FF6694"/>
    <w:rsid w:val="45877724"/>
    <w:rsid w:val="46A37F14"/>
    <w:rsid w:val="48BF60AB"/>
    <w:rsid w:val="49167871"/>
    <w:rsid w:val="493C27E9"/>
    <w:rsid w:val="496F39ED"/>
    <w:rsid w:val="499B1B5A"/>
    <w:rsid w:val="49FF41D3"/>
    <w:rsid w:val="4BE068DB"/>
    <w:rsid w:val="4BF6002B"/>
    <w:rsid w:val="4BFFC6BE"/>
    <w:rsid w:val="4ECE2238"/>
    <w:rsid w:val="50B70714"/>
    <w:rsid w:val="51DB4B86"/>
    <w:rsid w:val="51F64DB0"/>
    <w:rsid w:val="523008F1"/>
    <w:rsid w:val="5433297B"/>
    <w:rsid w:val="55333C3E"/>
    <w:rsid w:val="5D6F20E2"/>
    <w:rsid w:val="5F67802D"/>
    <w:rsid w:val="5F7DC4F2"/>
    <w:rsid w:val="5FB36814"/>
    <w:rsid w:val="5FBB8E56"/>
    <w:rsid w:val="5FFB5535"/>
    <w:rsid w:val="627943A3"/>
    <w:rsid w:val="63633619"/>
    <w:rsid w:val="64CA39A1"/>
    <w:rsid w:val="66327212"/>
    <w:rsid w:val="6885230F"/>
    <w:rsid w:val="69630ADE"/>
    <w:rsid w:val="69BD5F13"/>
    <w:rsid w:val="69FB0B4B"/>
    <w:rsid w:val="6BFFE1FB"/>
    <w:rsid w:val="6C4A05C8"/>
    <w:rsid w:val="6C8D2240"/>
    <w:rsid w:val="6D3B1A89"/>
    <w:rsid w:val="6DB7D8A3"/>
    <w:rsid w:val="6EC78701"/>
    <w:rsid w:val="6F7A5481"/>
    <w:rsid w:val="6FFE07A9"/>
    <w:rsid w:val="71BF4EC2"/>
    <w:rsid w:val="71C77856"/>
    <w:rsid w:val="72734D90"/>
    <w:rsid w:val="73E75B71"/>
    <w:rsid w:val="7412278C"/>
    <w:rsid w:val="75970E98"/>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020C66"/>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4"/>
    <w:qFormat/>
    <w:uiPriority w:val="99"/>
    <w:pPr>
      <w:spacing w:beforeLines="30"/>
    </w:pPr>
    <w:rPr>
      <w:rFonts w:ascii="仿宋_GB2312" w:eastAsia="仿宋_GB2312"/>
      <w:kern w:val="0"/>
      <w:sz w:val="30"/>
    </w:rPr>
  </w:style>
  <w:style w:type="paragraph" w:styleId="6">
    <w:name w:val="Body Text Indent"/>
    <w:basedOn w:val="1"/>
    <w:qFormat/>
    <w:uiPriority w:val="0"/>
    <w:pPr>
      <w:spacing w:after="120"/>
      <w:ind w:left="200" w:leftChars="200"/>
    </w:pPr>
    <w:rPr>
      <w:rFonts w:ascii="仿宋_GB2312"/>
      <w:szCs w:val="32"/>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unhideWhenUsed/>
    <w:qFormat/>
    <w:uiPriority w:val="99"/>
    <w:pPr>
      <w:ind w:firstLine="420" w:firstLine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paragraph" w:customStyle="1" w:styleId="18">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字符"/>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字符"/>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字符"/>
    <w:link w:val="5"/>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5"/>
    <w:link w:val="2"/>
    <w:qFormat/>
    <w:uiPriority w:val="9"/>
    <w:rPr>
      <w:rFonts w:ascii="Times New Roman" w:hAnsi="Times New Roman"/>
      <w:b/>
      <w:bCs/>
      <w:kern w:val="44"/>
      <w:sz w:val="44"/>
      <w:szCs w:val="44"/>
    </w:rPr>
  </w:style>
  <w:style w:type="character" w:customStyle="1" w:styleId="28">
    <w:name w:val="标题 2 字符"/>
    <w:basedOn w:val="15"/>
    <w:link w:val="3"/>
    <w:qFormat/>
    <w:uiPriority w:val="9"/>
    <w:rPr>
      <w:rFonts w:asciiTheme="majorHAnsi" w:hAnsiTheme="majorHAnsi" w:eastAsiaTheme="majorEastAsia" w:cstheme="majorBidi"/>
      <w:b/>
      <w:bCs/>
      <w:kern w:val="2"/>
      <w:sz w:val="32"/>
      <w:szCs w:val="32"/>
    </w:rPr>
  </w:style>
  <w:style w:type="paragraph" w:customStyle="1" w:styleId="29">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5"/>
    <w:link w:val="8"/>
    <w:semiHidden/>
    <w:qFormat/>
    <w:uiPriority w:val="99"/>
    <w:rPr>
      <w:rFonts w:ascii="Times New Roman" w:hAnsi="Times New Roman"/>
      <w:kern w:val="2"/>
      <w:sz w:val="18"/>
      <w:szCs w:val="18"/>
    </w:rPr>
  </w:style>
  <w:style w:type="character" w:customStyle="1" w:styleId="31">
    <w:name w:val="标题 3 字符"/>
    <w:basedOn w:val="15"/>
    <w:link w:val="4"/>
    <w:qFormat/>
    <w:uiPriority w:val="9"/>
    <w:rPr>
      <w:rFonts w:ascii="Times New Roman" w:hAnsi="Times New Roman"/>
      <w:b/>
      <w:bCs/>
      <w:kern w:val="2"/>
      <w:sz w:val="32"/>
      <w:szCs w:val="32"/>
    </w:rPr>
  </w:style>
  <w:style w:type="paragraph" w:customStyle="1" w:styleId="32">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chart" Target="charts/chart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PC\Desktop\&#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2023</a:t>
            </a:r>
            <a:r>
              <a:rPr altLang="en-US"/>
              <a:t>年</a:t>
            </a:r>
            <a:r>
              <a:t>支出决算情况说明</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工作表.xlsx]Sheet1'!$B$14:$B$15</c:f>
              <c:strCache>
                <c:ptCount val="2"/>
                <c:pt idx="0">
                  <c:v>基本支出</c:v>
                </c:pt>
                <c:pt idx="1">
                  <c:v>项目支出</c:v>
                </c:pt>
              </c:strCache>
            </c:strRef>
          </c:cat>
          <c:val>
            <c:numRef>
              <c:f>'[新建 XLSX 工作表.xlsx]Sheet1'!$C$14:$C$15</c:f>
              <c:numCache>
                <c:formatCode>0.00%</c:formatCode>
                <c:ptCount val="2"/>
                <c:pt idx="0">
                  <c:v>0.508</c:v>
                </c:pt>
                <c:pt idx="1">
                  <c:v>0.4919</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170</Pages>
  <Words>75407</Words>
  <Characters>89029</Characters>
  <Lines>54</Lines>
  <Paragraphs>15</Paragraphs>
  <TotalTime>8</TotalTime>
  <ScaleCrop>false</ScaleCrop>
  <LinksUpToDate>false</LinksUpToDate>
  <CharactersWithSpaces>89288</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张学琴</cp:lastModifiedBy>
  <cp:lastPrinted>2023-08-03T02:35:00Z</cp:lastPrinted>
  <dcterms:modified xsi:type="dcterms:W3CDTF">2025-01-20T08:26:16Z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A18FAD14E7A849D49C3E0457331A9932_13</vt:lpwstr>
  </property>
</Properties>
</file>