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left"/>
        <w:outlineLvl w:val="9"/>
        <w:rPr>
          <w:rFonts w:ascii="方正小标宋简体" w:hAnsi="宋体" w:eastAsia="方正小标宋简体"/>
          <w:szCs w:val="21"/>
        </w:rPr>
      </w:pPr>
      <w:bookmarkStart w:id="0" w:name="_Toc15306267"/>
    </w:p>
    <w:p>
      <w:pPr>
        <w:pStyle w:val="6"/>
        <w:spacing w:before="93"/>
      </w:pPr>
    </w:p>
    <w:p>
      <w:pPr>
        <w:spacing w:line="600" w:lineRule="exact"/>
        <w:jc w:val="center"/>
        <w:outlineLvl w:val="9"/>
        <w:rPr>
          <w:rFonts w:ascii="方正小标宋简体" w:hAnsi="宋体" w:eastAsia="方正小标宋简体"/>
          <w:sz w:val="72"/>
          <w:szCs w:val="72"/>
        </w:rPr>
      </w:pPr>
    </w:p>
    <w:p>
      <w:pPr>
        <w:spacing w:line="600" w:lineRule="exact"/>
        <w:jc w:val="center"/>
        <w:outlineLvl w:val="9"/>
        <w:rPr>
          <w:rFonts w:ascii="方正小标宋简体" w:hAnsi="宋体" w:eastAsia="方正小标宋简体"/>
          <w:sz w:val="72"/>
          <w:szCs w:val="72"/>
        </w:rPr>
      </w:pPr>
    </w:p>
    <w:p>
      <w:pPr>
        <w:adjustRightInd w:val="0"/>
        <w:snapToGrid w:val="0"/>
        <w:spacing w:line="360" w:lineRule="auto"/>
        <w:jc w:val="center"/>
        <w:outlineLvl w:val="0"/>
        <w:rPr>
          <w:rFonts w:ascii="方正小标宋简体" w:hAnsi="方正小标宋简体" w:eastAsia="方正小标宋简体" w:cs="方正小标宋简体"/>
          <w:sz w:val="72"/>
          <w:szCs w:val="72"/>
        </w:rPr>
      </w:pPr>
      <w:bookmarkStart w:id="1" w:name="_Toc15377425"/>
      <w:bookmarkStart w:id="2" w:name="_Toc15396475"/>
      <w:bookmarkStart w:id="3" w:name="_Toc15378441"/>
      <w:bookmarkStart w:id="4" w:name="_Toc15396597"/>
      <w:bookmarkStart w:id="5" w:name="_Toc15377193"/>
      <w:bookmarkStart w:id="6" w:name="_Toc19732"/>
      <w:r>
        <w:rPr>
          <w:rFonts w:hint="eastAsia" w:ascii="方正小标宋简体" w:hAnsi="方正小标宋简体" w:eastAsia="方正小标宋简体" w:cs="方正小标宋简体"/>
          <w:sz w:val="72"/>
          <w:szCs w:val="72"/>
        </w:rPr>
        <w:t>2023年度</w:t>
      </w:r>
      <w:bookmarkEnd w:id="1"/>
      <w:bookmarkEnd w:id="2"/>
      <w:bookmarkEnd w:id="3"/>
      <w:bookmarkEnd w:id="4"/>
      <w:bookmarkEnd w:id="5"/>
      <w:bookmarkEnd w:id="6"/>
    </w:p>
    <w:p>
      <w:pPr>
        <w:adjustRightInd w:val="0"/>
        <w:snapToGrid w:val="0"/>
        <w:spacing w:line="360" w:lineRule="auto"/>
        <w:jc w:val="center"/>
        <w:outlineLvl w:val="0"/>
        <w:rPr>
          <w:rFonts w:hint="eastAsia" w:ascii="方正小标宋简体" w:hAnsi="方正小标宋简体" w:eastAsia="方正小标宋简体" w:cs="方正小标宋简体"/>
          <w:sz w:val="72"/>
          <w:szCs w:val="72"/>
          <w:lang w:eastAsia="zh-CN"/>
        </w:rPr>
      </w:pPr>
      <w:bookmarkStart w:id="7" w:name="_Toc27524"/>
      <w:bookmarkStart w:id="8" w:name="_Toc15396476"/>
      <w:bookmarkStart w:id="9" w:name="_Toc15377194"/>
      <w:bookmarkStart w:id="10" w:name="_Toc15377426"/>
      <w:bookmarkStart w:id="11" w:name="_Toc15378442"/>
      <w:bookmarkStart w:id="12" w:name="_Toc15396598"/>
      <w:r>
        <w:rPr>
          <w:rFonts w:hint="eastAsia" w:ascii="方正小标宋简体" w:hAnsi="方正小标宋简体" w:eastAsia="方正小标宋简体" w:cs="方正小标宋简体"/>
          <w:sz w:val="72"/>
          <w:szCs w:val="72"/>
        </w:rPr>
        <w:t>四川省</w:t>
      </w:r>
      <w:bookmarkEnd w:id="0"/>
      <w:bookmarkStart w:id="13" w:name="_Toc15306268"/>
      <w:r>
        <w:rPr>
          <w:rFonts w:hint="eastAsia" w:ascii="方正小标宋简体" w:hAnsi="方正小标宋简体" w:eastAsia="方正小标宋简体" w:cs="方正小标宋简体"/>
          <w:sz w:val="72"/>
          <w:szCs w:val="72"/>
        </w:rPr>
        <w:t>乐山市五通桥区文化体育和旅游局</w:t>
      </w:r>
      <w:r>
        <w:rPr>
          <w:rFonts w:hint="eastAsia" w:ascii="方正小标宋简体" w:hAnsi="方正小标宋简体" w:eastAsia="方正小标宋简体" w:cs="方正小标宋简体"/>
          <w:sz w:val="72"/>
          <w:szCs w:val="72"/>
          <w:lang w:eastAsia="zh-CN"/>
        </w:rPr>
        <w:t>（</w:t>
      </w:r>
      <w:r>
        <w:rPr>
          <w:rFonts w:hint="eastAsia" w:ascii="方正小标宋简体" w:hAnsi="方正小标宋简体" w:eastAsia="方正小标宋简体" w:cs="方正小标宋简体"/>
          <w:sz w:val="72"/>
          <w:szCs w:val="72"/>
          <w:lang w:val="en-US" w:eastAsia="zh-CN"/>
        </w:rPr>
        <w:t>机关</w:t>
      </w:r>
      <w:r>
        <w:rPr>
          <w:rFonts w:hint="eastAsia" w:ascii="方正小标宋简体" w:hAnsi="方正小标宋简体" w:eastAsia="方正小标宋简体" w:cs="方正小标宋简体"/>
          <w:sz w:val="72"/>
          <w:szCs w:val="72"/>
          <w:lang w:eastAsia="zh-CN"/>
        </w:rPr>
        <w:t>）</w:t>
      </w:r>
      <w:bookmarkEnd w:id="7"/>
    </w:p>
    <w:p>
      <w:pPr>
        <w:adjustRightInd w:val="0"/>
        <w:snapToGrid w:val="0"/>
        <w:spacing w:line="360" w:lineRule="auto"/>
        <w:jc w:val="center"/>
        <w:outlineLvl w:val="0"/>
        <w:rPr>
          <w:rFonts w:ascii="方正小标宋简体" w:hAnsi="方正小标宋简体" w:eastAsia="方正小标宋简体" w:cs="方正小标宋简体"/>
          <w:sz w:val="72"/>
          <w:szCs w:val="72"/>
        </w:rPr>
      </w:pPr>
      <w:bookmarkStart w:id="14" w:name="_Toc2155"/>
      <w:r>
        <w:rPr>
          <w:rFonts w:hint="eastAsia" w:ascii="方正小标宋简体" w:hAnsi="方正小标宋简体" w:eastAsia="方正小标宋简体" w:cs="方正小标宋简体"/>
          <w:sz w:val="72"/>
          <w:szCs w:val="72"/>
        </w:rPr>
        <w:t>单位决算</w:t>
      </w:r>
      <w:bookmarkEnd w:id="8"/>
      <w:bookmarkEnd w:id="9"/>
      <w:bookmarkEnd w:id="10"/>
      <w:bookmarkEnd w:id="11"/>
      <w:bookmarkEnd w:id="12"/>
      <w:bookmarkEnd w:id="13"/>
      <w:bookmarkEnd w:id="14"/>
    </w:p>
    <w:p>
      <w:pPr>
        <w:adjustRightInd w:val="0"/>
        <w:snapToGrid w:val="0"/>
        <w:spacing w:line="360" w:lineRule="auto"/>
        <w:jc w:val="center"/>
        <w:outlineLvl w:val="9"/>
        <w:rPr>
          <w:rFonts w:ascii="方正小标宋简体" w:hAnsi="宋体" w:eastAsia="方正小标宋简体"/>
          <w:sz w:val="52"/>
          <w:szCs w:val="52"/>
        </w:rPr>
      </w:pPr>
    </w:p>
    <w:p>
      <w:pPr>
        <w:widowControl/>
        <w:jc w:val="center"/>
        <w:rPr>
          <w:rFonts w:ascii="黑体" w:hAnsi="黑体" w:eastAsia="黑体" w:cstheme="minorBidi"/>
          <w:sz w:val="28"/>
          <w:szCs w:val="28"/>
        </w:rPr>
      </w:pPr>
      <w:r>
        <w:rPr>
          <w:rFonts w:ascii="方正小标宋简体" w:hAnsi="宋体" w:eastAsia="方正小标宋简体"/>
          <w:sz w:val="36"/>
          <w:szCs w:val="36"/>
        </w:rPr>
        <w:br w:type="page"/>
      </w:r>
      <w:r>
        <w:rPr>
          <w:rFonts w:hint="eastAsia" w:ascii="黑体" w:hAnsi="黑体" w:eastAsia="黑体"/>
          <w:sz w:val="48"/>
          <w:szCs w:val="48"/>
        </w:rPr>
        <w:t>目录</w:t>
      </w:r>
    </w:p>
    <w:p>
      <w:pPr>
        <w:pStyle w:val="13"/>
      </w:pPr>
      <w:r>
        <w:rPr>
          <w:rFonts w:hint="eastAsia"/>
        </w:rPr>
        <w:t>公开时间：202</w:t>
      </w:r>
      <w:r>
        <w:rPr>
          <w:rFonts w:hint="eastAsia"/>
          <w:lang w:val="en-US" w:eastAsia="zh-CN"/>
        </w:rPr>
        <w:t>4</w:t>
      </w:r>
      <w:r>
        <w:rPr>
          <w:rFonts w:hint="eastAsia"/>
        </w:rPr>
        <w:t>年</w:t>
      </w:r>
      <w:r>
        <w:rPr>
          <w:rFonts w:hint="eastAsia"/>
          <w:lang w:val="en-US" w:eastAsia="zh-CN"/>
        </w:rPr>
        <w:t>10</w:t>
      </w:r>
      <w:r>
        <w:rPr>
          <w:rFonts w:hint="eastAsia"/>
        </w:rPr>
        <w:t>月</w:t>
      </w:r>
      <w:r>
        <w:rPr>
          <w:rFonts w:hint="eastAsia"/>
          <w:lang w:val="en-US" w:eastAsia="zh-CN"/>
        </w:rPr>
        <w:t>25</w:t>
      </w:r>
      <w:r>
        <w:rPr>
          <w:rFonts w:hint="eastAsia"/>
        </w:rPr>
        <w:t>日</w:t>
      </w:r>
    </w:p>
    <w:sdt>
      <w:sdtPr>
        <w:rPr>
          <w:rFonts w:hint="eastAsia" w:asciiTheme="minorEastAsia" w:hAnsiTheme="minorEastAsia" w:eastAsiaTheme="minorEastAsia" w:cstheme="minorEastAsia"/>
          <w:kern w:val="2"/>
          <w:sz w:val="24"/>
          <w:szCs w:val="24"/>
          <w:lang w:val="en-US" w:eastAsia="zh-CN" w:bidi="ar-SA"/>
        </w:rPr>
        <w:id w:val="147460684"/>
        <w15:color w:val="DBDBDB"/>
        <w:docPartObj>
          <w:docPartGallery w:val="Table of Contents"/>
          <w:docPartUnique/>
        </w:docPartObj>
      </w:sdtPr>
      <w:sdtEndPr>
        <w:rPr>
          <w:rFonts w:hint="eastAsia" w:asciiTheme="minorEastAsia" w:hAnsiTheme="minorEastAsia" w:eastAsiaTheme="minorEastAsia" w:cstheme="minorEastAsia"/>
          <w:b/>
          <w:kern w:val="2"/>
          <w:sz w:val="24"/>
          <w:szCs w:val="24"/>
          <w:lang w:val="en-US" w:eastAsia="zh-CN" w:bidi="ar-SA"/>
        </w:rPr>
      </w:sdtEndPr>
      <w:sdtContent>
        <w:p>
          <w:pPr>
            <w:spacing w:before="0" w:beforeLines="0" w:after="0" w:afterLines="0" w:line="240" w:lineRule="auto"/>
            <w:ind w:left="0" w:leftChars="0" w:right="0" w:rightChars="0" w:firstLine="0" w:firstLineChars="0"/>
            <w:jc w:val="center"/>
            <w:rPr>
              <w:rFonts w:hint="eastAsia" w:asciiTheme="minorEastAsia" w:hAnsiTheme="minorEastAsia" w:eastAsiaTheme="minorEastAsia" w:cstheme="minorEastAsia"/>
              <w:b/>
              <w:sz w:val="24"/>
              <w:szCs w:val="24"/>
            </w:rPr>
          </w:pPr>
          <w:bookmarkStart w:id="15" w:name="_Toc15396599"/>
          <w:bookmarkStart w:id="16" w:name="_Toc15377196"/>
          <w:r>
            <w:rPr>
              <w:rFonts w:hint="eastAsia" w:asciiTheme="minorEastAsia" w:hAnsiTheme="minorEastAsia" w:eastAsiaTheme="minorEastAsia" w:cstheme="minorEastAsia"/>
              <w:sz w:val="24"/>
              <w:szCs w:val="24"/>
            </w:rPr>
            <w:fldChar w:fldCharType="begin"/>
          </w:r>
          <w:r>
            <w:rPr>
              <w:rFonts w:hint="eastAsia" w:asciiTheme="minorEastAsia" w:hAnsiTheme="minorEastAsia" w:eastAsiaTheme="minorEastAsia" w:cstheme="minorEastAsia"/>
              <w:sz w:val="24"/>
              <w:szCs w:val="24"/>
            </w:rPr>
            <w:instrText xml:space="preserve">TOC \o "1-2" \h \u </w:instrText>
          </w:r>
          <w:r>
            <w:rPr>
              <w:rFonts w:hint="eastAsia" w:asciiTheme="minorEastAsia" w:hAnsiTheme="minorEastAsia" w:eastAsiaTheme="minorEastAsia" w:cstheme="minorEastAsia"/>
              <w:sz w:val="24"/>
              <w:szCs w:val="24"/>
            </w:rPr>
            <w:fldChar w:fldCharType="separate"/>
          </w:r>
        </w:p>
        <w:p>
          <w:pPr>
            <w:pStyle w:val="36"/>
            <w:tabs>
              <w:tab w:val="right" w:leader="dot" w:pos="8306"/>
            </w:tabs>
            <w:rPr>
              <w:rFonts w:hint="eastAsia" w:ascii="仿宋" w:hAnsi="仿宋" w:eastAsia="仿宋" w:cs="仿宋"/>
              <w:b w:val="0"/>
              <w:bCs/>
              <w:sz w:val="24"/>
              <w:szCs w:val="24"/>
            </w:rPr>
          </w:pPr>
          <w:r>
            <w:rPr>
              <w:rFonts w:hint="eastAsia" w:ascii="仿宋" w:hAnsi="仿宋" w:eastAsia="仿宋" w:cs="仿宋"/>
              <w:b w:val="0"/>
              <w:bCs/>
              <w:sz w:val="24"/>
              <w:szCs w:val="24"/>
            </w:rPr>
            <w:fldChar w:fldCharType="begin"/>
          </w:r>
          <w:r>
            <w:rPr>
              <w:rFonts w:hint="eastAsia" w:ascii="仿宋" w:hAnsi="仿宋" w:eastAsia="仿宋" w:cs="仿宋"/>
              <w:b w:val="0"/>
              <w:bCs/>
              <w:sz w:val="24"/>
              <w:szCs w:val="24"/>
            </w:rPr>
            <w:instrText xml:space="preserve"> HYPERLINK \l _Toc25214 </w:instrText>
          </w:r>
          <w:r>
            <w:rPr>
              <w:rFonts w:hint="eastAsia" w:ascii="仿宋" w:hAnsi="仿宋" w:eastAsia="仿宋" w:cs="仿宋"/>
              <w:b w:val="0"/>
              <w:bCs/>
              <w:sz w:val="24"/>
              <w:szCs w:val="24"/>
            </w:rPr>
            <w:fldChar w:fldCharType="separate"/>
          </w:r>
          <w:r>
            <w:rPr>
              <w:rFonts w:hint="eastAsia" w:ascii="仿宋" w:hAnsi="仿宋" w:eastAsia="仿宋" w:cs="仿宋"/>
              <w:b w:val="0"/>
              <w:bCs/>
              <w:sz w:val="24"/>
              <w:szCs w:val="24"/>
            </w:rPr>
            <w:t>第一部分 单位概况</w:t>
          </w:r>
          <w:r>
            <w:rPr>
              <w:rFonts w:hint="eastAsia" w:ascii="仿宋" w:hAnsi="仿宋" w:eastAsia="仿宋" w:cs="仿宋"/>
              <w:b w:val="0"/>
              <w:bCs/>
              <w:sz w:val="24"/>
              <w:szCs w:val="24"/>
            </w:rPr>
            <w:tab/>
          </w:r>
          <w:r>
            <w:rPr>
              <w:rFonts w:hint="eastAsia" w:ascii="仿宋" w:hAnsi="仿宋" w:eastAsia="仿宋" w:cs="仿宋"/>
              <w:b w:val="0"/>
              <w:bCs/>
              <w:sz w:val="24"/>
              <w:szCs w:val="24"/>
            </w:rPr>
            <w:fldChar w:fldCharType="begin"/>
          </w:r>
          <w:r>
            <w:rPr>
              <w:rFonts w:hint="eastAsia" w:ascii="仿宋" w:hAnsi="仿宋" w:eastAsia="仿宋" w:cs="仿宋"/>
              <w:b w:val="0"/>
              <w:bCs/>
              <w:sz w:val="24"/>
              <w:szCs w:val="24"/>
            </w:rPr>
            <w:instrText xml:space="preserve"> PAGEREF _Toc25214 \h </w:instrText>
          </w:r>
          <w:r>
            <w:rPr>
              <w:rFonts w:hint="eastAsia" w:ascii="仿宋" w:hAnsi="仿宋" w:eastAsia="仿宋" w:cs="仿宋"/>
              <w:b w:val="0"/>
              <w:bCs/>
              <w:sz w:val="24"/>
              <w:szCs w:val="24"/>
            </w:rPr>
            <w:fldChar w:fldCharType="separate"/>
          </w:r>
          <w:r>
            <w:rPr>
              <w:rFonts w:hint="eastAsia" w:ascii="仿宋" w:hAnsi="仿宋" w:eastAsia="仿宋" w:cs="仿宋"/>
              <w:b w:val="0"/>
              <w:bCs/>
              <w:sz w:val="24"/>
              <w:szCs w:val="24"/>
            </w:rPr>
            <w:t>3</w:t>
          </w:r>
          <w:r>
            <w:rPr>
              <w:rFonts w:hint="eastAsia" w:ascii="仿宋" w:hAnsi="仿宋" w:eastAsia="仿宋" w:cs="仿宋"/>
              <w:b w:val="0"/>
              <w:bCs/>
              <w:sz w:val="24"/>
              <w:szCs w:val="24"/>
            </w:rPr>
            <w:fldChar w:fldCharType="end"/>
          </w:r>
          <w:r>
            <w:rPr>
              <w:rFonts w:hint="eastAsia" w:ascii="仿宋" w:hAnsi="仿宋" w:eastAsia="仿宋" w:cs="仿宋"/>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_Toc13722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一、主要职责</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_Toc13722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3</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_Toc32058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二、机构设置</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_Toc32058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3</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6"/>
            <w:tabs>
              <w:tab w:val="right" w:leader="dot" w:pos="8306"/>
            </w:tabs>
            <w:rPr>
              <w:rFonts w:hint="eastAsia" w:ascii="仿宋" w:hAnsi="仿宋" w:eastAsia="仿宋" w:cs="仿宋"/>
              <w:b w:val="0"/>
              <w:bCs/>
              <w:sz w:val="24"/>
              <w:szCs w:val="24"/>
            </w:rPr>
          </w:pPr>
          <w:r>
            <w:rPr>
              <w:rFonts w:hint="eastAsia" w:ascii="仿宋" w:hAnsi="仿宋" w:eastAsia="仿宋" w:cs="仿宋"/>
              <w:b w:val="0"/>
              <w:bCs/>
              <w:sz w:val="24"/>
              <w:szCs w:val="24"/>
            </w:rPr>
            <w:fldChar w:fldCharType="begin"/>
          </w:r>
          <w:r>
            <w:rPr>
              <w:rFonts w:hint="eastAsia" w:ascii="仿宋" w:hAnsi="仿宋" w:eastAsia="仿宋" w:cs="仿宋"/>
              <w:b w:val="0"/>
              <w:bCs/>
              <w:sz w:val="24"/>
              <w:szCs w:val="24"/>
            </w:rPr>
            <w:instrText xml:space="preserve"> HYPERLINK \l _Toc29875 </w:instrText>
          </w:r>
          <w:r>
            <w:rPr>
              <w:rFonts w:hint="eastAsia" w:ascii="仿宋" w:hAnsi="仿宋" w:eastAsia="仿宋" w:cs="仿宋"/>
              <w:b w:val="0"/>
              <w:bCs/>
              <w:sz w:val="24"/>
              <w:szCs w:val="24"/>
            </w:rPr>
            <w:fldChar w:fldCharType="separate"/>
          </w:r>
          <w:r>
            <w:rPr>
              <w:rFonts w:hint="eastAsia" w:ascii="仿宋" w:hAnsi="仿宋" w:eastAsia="仿宋" w:cs="仿宋"/>
              <w:b w:val="0"/>
              <w:bCs/>
              <w:sz w:val="24"/>
              <w:szCs w:val="24"/>
            </w:rPr>
            <w:t>第二部分 2023年度单位决算情况说明</w:t>
          </w:r>
          <w:r>
            <w:rPr>
              <w:rFonts w:hint="eastAsia" w:ascii="仿宋" w:hAnsi="仿宋" w:eastAsia="仿宋" w:cs="仿宋"/>
              <w:b w:val="0"/>
              <w:bCs/>
              <w:sz w:val="24"/>
              <w:szCs w:val="24"/>
            </w:rPr>
            <w:tab/>
          </w:r>
          <w:r>
            <w:rPr>
              <w:rFonts w:hint="eastAsia" w:ascii="仿宋" w:hAnsi="仿宋" w:eastAsia="仿宋" w:cs="仿宋"/>
              <w:b w:val="0"/>
              <w:bCs/>
              <w:sz w:val="24"/>
              <w:szCs w:val="24"/>
            </w:rPr>
            <w:fldChar w:fldCharType="begin"/>
          </w:r>
          <w:r>
            <w:rPr>
              <w:rFonts w:hint="eastAsia" w:ascii="仿宋" w:hAnsi="仿宋" w:eastAsia="仿宋" w:cs="仿宋"/>
              <w:b w:val="0"/>
              <w:bCs/>
              <w:sz w:val="24"/>
              <w:szCs w:val="24"/>
            </w:rPr>
            <w:instrText xml:space="preserve"> PAGEREF _Toc29875 \h </w:instrText>
          </w:r>
          <w:r>
            <w:rPr>
              <w:rFonts w:hint="eastAsia" w:ascii="仿宋" w:hAnsi="仿宋" w:eastAsia="仿宋" w:cs="仿宋"/>
              <w:b w:val="0"/>
              <w:bCs/>
              <w:sz w:val="24"/>
              <w:szCs w:val="24"/>
            </w:rPr>
            <w:fldChar w:fldCharType="separate"/>
          </w:r>
          <w:r>
            <w:rPr>
              <w:rFonts w:hint="eastAsia" w:ascii="仿宋" w:hAnsi="仿宋" w:eastAsia="仿宋" w:cs="仿宋"/>
              <w:b w:val="0"/>
              <w:bCs/>
              <w:sz w:val="24"/>
              <w:szCs w:val="24"/>
            </w:rPr>
            <w:t>5</w:t>
          </w:r>
          <w:r>
            <w:rPr>
              <w:rFonts w:hint="eastAsia" w:ascii="仿宋" w:hAnsi="仿宋" w:eastAsia="仿宋" w:cs="仿宋"/>
              <w:b w:val="0"/>
              <w:bCs/>
              <w:sz w:val="24"/>
              <w:szCs w:val="24"/>
            </w:rPr>
            <w:fldChar w:fldCharType="end"/>
          </w:r>
          <w:r>
            <w:rPr>
              <w:rFonts w:hint="eastAsia" w:ascii="仿宋" w:hAnsi="仿宋" w:eastAsia="仿宋" w:cs="仿宋"/>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_Toc12206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一、收入支出决算总体情况说明</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_Toc12206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5</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_Toc13625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二、收入决算情况说明</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_Toc13625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5</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_Toc18487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三、支出决算情况说明</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_Toc18487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_Toc4641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四、财政拨款收入支出决算总体情况说明</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_Toc4641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7</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_Toc14370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五、一般公共预算财政拨款支出决算情况说明</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_Toc14370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7</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_Toc9684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六、一般公共预算财政拨款基本支出决算情况说明</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_Toc9684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10</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_Toc15565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highlight w:val="none"/>
            </w:rPr>
            <w:t>七、财政拨款“三公”经费支出决算情况说明</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_Toc15565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11</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_Toc6696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八、政府性基金预算支出决算情况说明</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_Toc6696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13</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_Toc5108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九、国有资本经营预算支出决算情况说明</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_Toc5108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13</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_Toc18154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十、其他重要事项的情况说明</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_Toc18154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13</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6"/>
            <w:tabs>
              <w:tab w:val="right" w:leader="dot" w:pos="8306"/>
            </w:tabs>
            <w:rPr>
              <w:rFonts w:hint="eastAsia" w:ascii="仿宋" w:hAnsi="仿宋" w:eastAsia="仿宋" w:cs="仿宋"/>
              <w:b w:val="0"/>
              <w:bCs/>
              <w:sz w:val="24"/>
              <w:szCs w:val="24"/>
            </w:rPr>
          </w:pPr>
          <w:r>
            <w:rPr>
              <w:rFonts w:hint="eastAsia" w:ascii="仿宋" w:hAnsi="仿宋" w:eastAsia="仿宋" w:cs="仿宋"/>
              <w:b w:val="0"/>
              <w:bCs/>
              <w:sz w:val="24"/>
              <w:szCs w:val="24"/>
            </w:rPr>
            <w:fldChar w:fldCharType="begin"/>
          </w:r>
          <w:r>
            <w:rPr>
              <w:rFonts w:hint="eastAsia" w:ascii="仿宋" w:hAnsi="仿宋" w:eastAsia="仿宋" w:cs="仿宋"/>
              <w:b w:val="0"/>
              <w:bCs/>
              <w:sz w:val="24"/>
              <w:szCs w:val="24"/>
            </w:rPr>
            <w:instrText xml:space="preserve"> HYPERLINK \l _Toc2858 </w:instrText>
          </w:r>
          <w:r>
            <w:rPr>
              <w:rFonts w:hint="eastAsia" w:ascii="仿宋" w:hAnsi="仿宋" w:eastAsia="仿宋" w:cs="仿宋"/>
              <w:b w:val="0"/>
              <w:bCs/>
              <w:sz w:val="24"/>
              <w:szCs w:val="24"/>
            </w:rPr>
            <w:fldChar w:fldCharType="separate"/>
          </w:r>
          <w:r>
            <w:rPr>
              <w:rFonts w:hint="eastAsia" w:ascii="仿宋" w:hAnsi="仿宋" w:eastAsia="仿宋" w:cs="仿宋"/>
              <w:b w:val="0"/>
              <w:bCs/>
              <w:sz w:val="24"/>
              <w:szCs w:val="24"/>
            </w:rPr>
            <w:t>第三部分 名词解释</w:t>
          </w:r>
          <w:r>
            <w:rPr>
              <w:rFonts w:hint="eastAsia" w:ascii="仿宋" w:hAnsi="仿宋" w:eastAsia="仿宋" w:cs="仿宋"/>
              <w:b w:val="0"/>
              <w:bCs/>
              <w:sz w:val="24"/>
              <w:szCs w:val="24"/>
            </w:rPr>
            <w:tab/>
          </w:r>
          <w:r>
            <w:rPr>
              <w:rFonts w:hint="eastAsia" w:ascii="仿宋" w:hAnsi="仿宋" w:eastAsia="仿宋" w:cs="仿宋"/>
              <w:b w:val="0"/>
              <w:bCs/>
              <w:sz w:val="24"/>
              <w:szCs w:val="24"/>
            </w:rPr>
            <w:fldChar w:fldCharType="begin"/>
          </w:r>
          <w:r>
            <w:rPr>
              <w:rFonts w:hint="eastAsia" w:ascii="仿宋" w:hAnsi="仿宋" w:eastAsia="仿宋" w:cs="仿宋"/>
              <w:b w:val="0"/>
              <w:bCs/>
              <w:sz w:val="24"/>
              <w:szCs w:val="24"/>
            </w:rPr>
            <w:instrText xml:space="preserve"> PAGEREF _Toc2858 \h </w:instrText>
          </w:r>
          <w:r>
            <w:rPr>
              <w:rFonts w:hint="eastAsia" w:ascii="仿宋" w:hAnsi="仿宋" w:eastAsia="仿宋" w:cs="仿宋"/>
              <w:b w:val="0"/>
              <w:bCs/>
              <w:sz w:val="24"/>
              <w:szCs w:val="24"/>
            </w:rPr>
            <w:fldChar w:fldCharType="separate"/>
          </w:r>
          <w:r>
            <w:rPr>
              <w:rFonts w:hint="eastAsia" w:ascii="仿宋" w:hAnsi="仿宋" w:eastAsia="仿宋" w:cs="仿宋"/>
              <w:b w:val="0"/>
              <w:bCs/>
              <w:sz w:val="24"/>
              <w:szCs w:val="24"/>
            </w:rPr>
            <w:t>15</w:t>
          </w:r>
          <w:r>
            <w:rPr>
              <w:rFonts w:hint="eastAsia" w:ascii="仿宋" w:hAnsi="仿宋" w:eastAsia="仿宋" w:cs="仿宋"/>
              <w:b w:val="0"/>
              <w:bCs/>
              <w:sz w:val="24"/>
              <w:szCs w:val="24"/>
            </w:rPr>
            <w:fldChar w:fldCharType="end"/>
          </w:r>
          <w:r>
            <w:rPr>
              <w:rFonts w:hint="eastAsia" w:ascii="仿宋" w:hAnsi="仿宋" w:eastAsia="仿宋" w:cs="仿宋"/>
              <w:b w:val="0"/>
              <w:bCs/>
              <w:sz w:val="24"/>
              <w:szCs w:val="24"/>
            </w:rPr>
            <w:fldChar w:fldCharType="end"/>
          </w:r>
        </w:p>
        <w:p>
          <w:pPr>
            <w:pStyle w:val="36"/>
            <w:tabs>
              <w:tab w:val="right" w:leader="dot" w:pos="8306"/>
            </w:tabs>
            <w:rPr>
              <w:rFonts w:hint="eastAsia" w:ascii="仿宋" w:hAnsi="仿宋" w:eastAsia="仿宋" w:cs="仿宋"/>
              <w:b w:val="0"/>
              <w:bCs/>
              <w:sz w:val="24"/>
              <w:szCs w:val="24"/>
            </w:rPr>
          </w:pPr>
          <w:r>
            <w:rPr>
              <w:rFonts w:hint="eastAsia" w:ascii="仿宋" w:hAnsi="仿宋" w:eastAsia="仿宋" w:cs="仿宋"/>
              <w:b w:val="0"/>
              <w:bCs/>
              <w:sz w:val="24"/>
              <w:szCs w:val="24"/>
            </w:rPr>
            <w:fldChar w:fldCharType="begin"/>
          </w:r>
          <w:r>
            <w:rPr>
              <w:rFonts w:hint="eastAsia" w:ascii="仿宋" w:hAnsi="仿宋" w:eastAsia="仿宋" w:cs="仿宋"/>
              <w:b w:val="0"/>
              <w:bCs/>
              <w:sz w:val="24"/>
              <w:szCs w:val="24"/>
            </w:rPr>
            <w:instrText xml:space="preserve"> HYPERLINK \l _Toc11379 </w:instrText>
          </w:r>
          <w:r>
            <w:rPr>
              <w:rFonts w:hint="eastAsia" w:ascii="仿宋" w:hAnsi="仿宋" w:eastAsia="仿宋" w:cs="仿宋"/>
              <w:b w:val="0"/>
              <w:bCs/>
              <w:sz w:val="24"/>
              <w:szCs w:val="24"/>
            </w:rPr>
            <w:fldChar w:fldCharType="separate"/>
          </w:r>
          <w:r>
            <w:rPr>
              <w:rFonts w:hint="eastAsia" w:ascii="仿宋" w:hAnsi="仿宋" w:eastAsia="仿宋" w:cs="仿宋"/>
              <w:b w:val="0"/>
              <w:bCs/>
              <w:sz w:val="24"/>
              <w:szCs w:val="24"/>
            </w:rPr>
            <w:t>第四部分 附件</w:t>
          </w:r>
          <w:r>
            <w:rPr>
              <w:rFonts w:hint="eastAsia" w:ascii="仿宋" w:hAnsi="仿宋" w:eastAsia="仿宋" w:cs="仿宋"/>
              <w:b w:val="0"/>
              <w:bCs/>
              <w:sz w:val="24"/>
              <w:szCs w:val="24"/>
            </w:rPr>
            <w:tab/>
          </w:r>
          <w:r>
            <w:rPr>
              <w:rFonts w:hint="eastAsia" w:ascii="仿宋" w:hAnsi="仿宋" w:eastAsia="仿宋" w:cs="仿宋"/>
              <w:b w:val="0"/>
              <w:bCs/>
              <w:sz w:val="24"/>
              <w:szCs w:val="24"/>
            </w:rPr>
            <w:fldChar w:fldCharType="begin"/>
          </w:r>
          <w:r>
            <w:rPr>
              <w:rFonts w:hint="eastAsia" w:ascii="仿宋" w:hAnsi="仿宋" w:eastAsia="仿宋" w:cs="仿宋"/>
              <w:b w:val="0"/>
              <w:bCs/>
              <w:sz w:val="24"/>
              <w:szCs w:val="24"/>
            </w:rPr>
            <w:instrText xml:space="preserve"> PAGEREF _Toc11379 \h </w:instrText>
          </w:r>
          <w:r>
            <w:rPr>
              <w:rFonts w:hint="eastAsia" w:ascii="仿宋" w:hAnsi="仿宋" w:eastAsia="仿宋" w:cs="仿宋"/>
              <w:b w:val="0"/>
              <w:bCs/>
              <w:sz w:val="24"/>
              <w:szCs w:val="24"/>
            </w:rPr>
            <w:fldChar w:fldCharType="separate"/>
          </w:r>
          <w:r>
            <w:rPr>
              <w:rFonts w:hint="eastAsia" w:ascii="仿宋" w:hAnsi="仿宋" w:eastAsia="仿宋" w:cs="仿宋"/>
              <w:b w:val="0"/>
              <w:bCs/>
              <w:sz w:val="24"/>
              <w:szCs w:val="24"/>
            </w:rPr>
            <w:t>19</w:t>
          </w:r>
          <w:r>
            <w:rPr>
              <w:rFonts w:hint="eastAsia" w:ascii="仿宋" w:hAnsi="仿宋" w:eastAsia="仿宋" w:cs="仿宋"/>
              <w:b w:val="0"/>
              <w:bCs/>
              <w:sz w:val="24"/>
              <w:szCs w:val="24"/>
            </w:rPr>
            <w:fldChar w:fldCharType="end"/>
          </w:r>
          <w:r>
            <w:rPr>
              <w:rFonts w:hint="eastAsia" w:ascii="仿宋" w:hAnsi="仿宋" w:eastAsia="仿宋" w:cs="仿宋"/>
              <w:b w:val="0"/>
              <w:bCs/>
              <w:sz w:val="24"/>
              <w:szCs w:val="24"/>
            </w:rPr>
            <w:fldChar w:fldCharType="end"/>
          </w:r>
        </w:p>
        <w:p>
          <w:pPr>
            <w:pStyle w:val="36"/>
            <w:tabs>
              <w:tab w:val="right" w:leader="dot" w:pos="8306"/>
            </w:tabs>
            <w:rPr>
              <w:rFonts w:hint="eastAsia" w:ascii="仿宋" w:hAnsi="仿宋" w:eastAsia="仿宋" w:cs="仿宋"/>
              <w:b w:val="0"/>
              <w:bCs/>
              <w:sz w:val="24"/>
              <w:szCs w:val="24"/>
            </w:rPr>
          </w:pPr>
          <w:r>
            <w:rPr>
              <w:rFonts w:hint="eastAsia" w:ascii="仿宋" w:hAnsi="仿宋" w:eastAsia="仿宋" w:cs="仿宋"/>
              <w:b w:val="0"/>
              <w:bCs/>
              <w:sz w:val="24"/>
              <w:szCs w:val="24"/>
            </w:rPr>
            <w:fldChar w:fldCharType="begin"/>
          </w:r>
          <w:r>
            <w:rPr>
              <w:rFonts w:hint="eastAsia" w:ascii="仿宋" w:hAnsi="仿宋" w:eastAsia="仿宋" w:cs="仿宋"/>
              <w:b w:val="0"/>
              <w:bCs/>
              <w:sz w:val="24"/>
              <w:szCs w:val="24"/>
            </w:rPr>
            <w:instrText xml:space="preserve"> HYPERLINK \l _Toc11823 </w:instrText>
          </w:r>
          <w:r>
            <w:rPr>
              <w:rFonts w:hint="eastAsia" w:ascii="仿宋" w:hAnsi="仿宋" w:eastAsia="仿宋" w:cs="仿宋"/>
              <w:b w:val="0"/>
              <w:bCs/>
              <w:sz w:val="24"/>
              <w:szCs w:val="24"/>
            </w:rPr>
            <w:fldChar w:fldCharType="separate"/>
          </w:r>
          <w:r>
            <w:rPr>
              <w:rFonts w:hint="eastAsia" w:ascii="仿宋" w:hAnsi="仿宋" w:eastAsia="仿宋" w:cs="仿宋"/>
              <w:b w:val="0"/>
              <w:bCs/>
              <w:sz w:val="24"/>
              <w:szCs w:val="24"/>
            </w:rPr>
            <w:t>第五部分 附表</w:t>
          </w:r>
          <w:r>
            <w:rPr>
              <w:rFonts w:hint="eastAsia" w:ascii="仿宋" w:hAnsi="仿宋" w:eastAsia="仿宋" w:cs="仿宋"/>
              <w:b w:val="0"/>
              <w:bCs/>
              <w:sz w:val="24"/>
              <w:szCs w:val="24"/>
            </w:rPr>
            <w:tab/>
          </w:r>
          <w:r>
            <w:rPr>
              <w:rFonts w:hint="eastAsia" w:ascii="仿宋" w:hAnsi="仿宋" w:eastAsia="仿宋" w:cs="仿宋"/>
              <w:b w:val="0"/>
              <w:bCs/>
              <w:sz w:val="24"/>
              <w:szCs w:val="24"/>
            </w:rPr>
            <w:fldChar w:fldCharType="begin"/>
          </w:r>
          <w:r>
            <w:rPr>
              <w:rFonts w:hint="eastAsia" w:ascii="仿宋" w:hAnsi="仿宋" w:eastAsia="仿宋" w:cs="仿宋"/>
              <w:b w:val="0"/>
              <w:bCs/>
              <w:sz w:val="24"/>
              <w:szCs w:val="24"/>
            </w:rPr>
            <w:instrText xml:space="preserve"> PAGEREF _Toc11823 \h </w:instrText>
          </w:r>
          <w:r>
            <w:rPr>
              <w:rFonts w:hint="eastAsia" w:ascii="仿宋" w:hAnsi="仿宋" w:eastAsia="仿宋" w:cs="仿宋"/>
              <w:b w:val="0"/>
              <w:bCs/>
              <w:sz w:val="24"/>
              <w:szCs w:val="24"/>
            </w:rPr>
            <w:fldChar w:fldCharType="separate"/>
          </w:r>
          <w:r>
            <w:rPr>
              <w:rFonts w:hint="eastAsia" w:ascii="仿宋" w:hAnsi="仿宋" w:eastAsia="仿宋" w:cs="仿宋"/>
              <w:b w:val="0"/>
              <w:bCs/>
              <w:sz w:val="24"/>
              <w:szCs w:val="24"/>
            </w:rPr>
            <w:t>64</w:t>
          </w:r>
          <w:r>
            <w:rPr>
              <w:rFonts w:hint="eastAsia" w:ascii="仿宋" w:hAnsi="仿宋" w:eastAsia="仿宋" w:cs="仿宋"/>
              <w:b w:val="0"/>
              <w:bCs/>
              <w:sz w:val="24"/>
              <w:szCs w:val="24"/>
            </w:rPr>
            <w:fldChar w:fldCharType="end"/>
          </w:r>
          <w:r>
            <w:rPr>
              <w:rFonts w:hint="eastAsia" w:ascii="仿宋" w:hAnsi="仿宋" w:eastAsia="仿宋" w:cs="仿宋"/>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_Toc10532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一、收入支出决算总表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_Toc10532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_Toc25847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二、收入决算表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_Toc25847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_Toc25556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三、支出决算表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_Toc25556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_Toc26347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四、财政拨款收入支出决算总表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_Toc26347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_Toc23181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五、财政拨款支出决算明细表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_Toc23181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_Toc21800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六、一般公共预算财政拨款支出决算表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_Toc21800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_Toc16455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七、一般公共预算财政拨款支出决算明细表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_Toc16455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_Toc7114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八、一般公共预算财政拨款基本支出决算表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_Toc7114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_Toc27023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九、一般公共预算财政拨款项目支出决算表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_Toc27023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_Toc31369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十、政府性基金预算财政拨款收入支出决算表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_Toc31369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_Toc18224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十一、国有资本经营预算财政拨款收入支出决算表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_Toc18224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_Toc22315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十二、国有资本经营预算财政拨款支出决算表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_Toc22315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pPr>
            <w:pStyle w:val="37"/>
            <w:tabs>
              <w:tab w:val="right" w:leader="dot" w:pos="8306"/>
            </w:tabs>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HYPERLINK \l _Toc10074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十三、财政拨款“三公”经费支出决算表</w:t>
          </w:r>
          <w:r>
            <w:rPr>
              <w:rFonts w:hint="eastAsia" w:asciiTheme="minorEastAsia" w:hAnsiTheme="minorEastAsia" w:eastAsiaTheme="minorEastAsia" w:cstheme="minorEastAsia"/>
              <w:b w:val="0"/>
              <w:bCs/>
              <w:sz w:val="24"/>
              <w:szCs w:val="24"/>
            </w:rPr>
            <w:tab/>
          </w:r>
          <w:r>
            <w:rPr>
              <w:rFonts w:hint="eastAsia" w:asciiTheme="minorEastAsia" w:hAnsiTheme="minorEastAsia" w:eastAsiaTheme="minorEastAsia" w:cstheme="minorEastAsia"/>
              <w:b w:val="0"/>
              <w:bCs/>
              <w:sz w:val="24"/>
              <w:szCs w:val="24"/>
            </w:rPr>
            <w:fldChar w:fldCharType="begin"/>
          </w:r>
          <w:r>
            <w:rPr>
              <w:rFonts w:hint="eastAsia" w:asciiTheme="minorEastAsia" w:hAnsiTheme="minorEastAsia" w:eastAsiaTheme="minorEastAsia" w:cstheme="minorEastAsia"/>
              <w:b w:val="0"/>
              <w:bCs/>
              <w:sz w:val="24"/>
              <w:szCs w:val="24"/>
            </w:rPr>
            <w:instrText xml:space="preserve"> PAGEREF _Toc10074 \h </w:instrText>
          </w:r>
          <w:r>
            <w:rPr>
              <w:rFonts w:hint="eastAsia" w:asciiTheme="minorEastAsia" w:hAnsiTheme="minorEastAsia" w:eastAsiaTheme="minorEastAsia" w:cstheme="minorEastAsia"/>
              <w:b w:val="0"/>
              <w:bCs/>
              <w:sz w:val="24"/>
              <w:szCs w:val="24"/>
            </w:rPr>
            <w:fldChar w:fldCharType="separate"/>
          </w:r>
          <w:r>
            <w:rPr>
              <w:rFonts w:hint="eastAsia" w:asciiTheme="minorEastAsia" w:hAnsiTheme="minorEastAsia" w:eastAsiaTheme="minorEastAsia" w:cstheme="minorEastAsia"/>
              <w:b w:val="0"/>
              <w:bCs/>
              <w:sz w:val="24"/>
              <w:szCs w:val="24"/>
            </w:rPr>
            <w:t>64</w:t>
          </w:r>
          <w:r>
            <w:rPr>
              <w:rFonts w:hint="eastAsia" w:asciiTheme="minorEastAsia" w:hAnsiTheme="minorEastAsia" w:eastAsiaTheme="minorEastAsia" w:cstheme="minorEastAsia"/>
              <w:b w:val="0"/>
              <w:bCs/>
              <w:sz w:val="24"/>
              <w:szCs w:val="24"/>
            </w:rPr>
            <w:fldChar w:fldCharType="end"/>
          </w:r>
          <w:r>
            <w:rPr>
              <w:rFonts w:hint="eastAsia" w:asciiTheme="minorEastAsia" w:hAnsiTheme="minorEastAsia" w:eastAsiaTheme="minorEastAsia" w:cstheme="minorEastAsia"/>
              <w:b w:val="0"/>
              <w:bCs/>
              <w:sz w:val="24"/>
              <w:szCs w:val="24"/>
            </w:rPr>
            <w:fldChar w:fldCharType="end"/>
          </w:r>
        </w:p>
        <w:p>
          <w:r>
            <w:rPr>
              <w:rFonts w:hint="eastAsia" w:asciiTheme="minorEastAsia" w:hAnsiTheme="minorEastAsia" w:eastAsiaTheme="minorEastAsia" w:cstheme="minorEastAsia"/>
              <w:b/>
              <w:sz w:val="24"/>
              <w:szCs w:val="24"/>
            </w:rPr>
            <w:fldChar w:fldCharType="end"/>
          </w:r>
        </w:p>
      </w:sdtContent>
    </w:sdt>
    <w:p>
      <w:pPr>
        <w:widowControl/>
        <w:spacing w:line="440" w:lineRule="exact"/>
        <w:jc w:val="left"/>
        <w:rPr>
          <w:rFonts w:ascii="仿宋" w:hAnsi="仿宋" w:eastAsia="仿宋"/>
          <w:bCs/>
          <w:kern w:val="44"/>
          <w:sz w:val="24"/>
        </w:rPr>
      </w:pPr>
      <w:r>
        <w:rPr>
          <w:rFonts w:ascii="仿宋" w:hAnsi="仿宋" w:eastAsia="仿宋"/>
          <w:b/>
          <w:sz w:val="24"/>
        </w:rPr>
        <w:br w:type="page"/>
      </w:r>
    </w:p>
    <w:p>
      <w:pPr>
        <w:pStyle w:val="3"/>
        <w:jc w:val="center"/>
        <w:rPr>
          <w:rFonts w:ascii="黑体" w:eastAsia="黑体"/>
          <w:sz w:val="32"/>
          <w:szCs w:val="32"/>
        </w:rPr>
      </w:pPr>
      <w:bookmarkStart w:id="17" w:name="_Toc25214"/>
      <w:r>
        <w:rPr>
          <w:rFonts w:hint="eastAsia" w:ascii="黑体" w:hAnsi="黑体" w:eastAsia="黑体"/>
          <w:b w:val="0"/>
        </w:rPr>
        <w:t>第一部分 单位</w:t>
      </w:r>
      <w:r>
        <w:rPr>
          <w:rStyle w:val="29"/>
          <w:rFonts w:hint="eastAsia" w:ascii="黑体" w:hAnsi="黑体" w:eastAsia="黑体"/>
          <w:b w:val="0"/>
          <w:bCs w:val="0"/>
        </w:rPr>
        <w:t>概况</w:t>
      </w:r>
      <w:bookmarkEnd w:id="15"/>
      <w:bookmarkEnd w:id="16"/>
      <w:bookmarkEnd w:id="17"/>
    </w:p>
    <w:p>
      <w:pPr>
        <w:pStyle w:val="4"/>
        <w:numPr>
          <w:ilvl w:val="0"/>
          <w:numId w:val="1"/>
        </w:numPr>
        <w:rPr>
          <w:rStyle w:val="30"/>
          <w:rFonts w:ascii="黑体" w:hAnsi="黑体" w:eastAsia="黑体"/>
          <w:b w:val="0"/>
          <w:bCs w:val="0"/>
        </w:rPr>
      </w:pPr>
      <w:bookmarkStart w:id="18" w:name="_Toc13722"/>
      <w:bookmarkStart w:id="19" w:name="_Toc15396600"/>
      <w:bookmarkStart w:id="20" w:name="_Toc15377197"/>
      <w:r>
        <w:rPr>
          <w:rStyle w:val="30"/>
          <w:rFonts w:hint="eastAsia" w:ascii="黑体" w:hAnsi="黑体" w:eastAsia="黑体"/>
          <w:b w:val="0"/>
          <w:bCs w:val="0"/>
        </w:rPr>
        <w:t>主要职责</w:t>
      </w:r>
      <w:bookmarkEnd w:id="18"/>
    </w:p>
    <w:p>
      <w:pPr>
        <w:pageBreakBefore w:val="0"/>
        <w:kinsoku/>
        <w:wordWrap/>
        <w:overflowPunct/>
        <w:bidi w:val="0"/>
        <w:spacing w:line="600" w:lineRule="exact"/>
        <w:ind w:right="0" w:firstLine="640" w:firstLineChars="200"/>
        <w:rPr>
          <w:rFonts w:hint="eastAsia" w:ascii="仿宋" w:hAnsi="仿宋" w:eastAsia="仿宋"/>
          <w:bCs/>
          <w:sz w:val="32"/>
          <w:szCs w:val="32"/>
        </w:rPr>
      </w:pPr>
      <w:r>
        <w:rPr>
          <w:rFonts w:hint="eastAsia" w:ascii="仿宋_GB2312" w:hAnsi="Times New Roman" w:eastAsia="仿宋_GB2312"/>
          <w:color w:val="000000"/>
          <w:kern w:val="2"/>
          <w:sz w:val="32"/>
          <w:szCs w:val="32"/>
          <w:lang w:val="en-US" w:eastAsia="zh-CN" w:bidi="ar-SA"/>
        </w:rPr>
        <w:t>拟订文化、文物、体育、旅游、广播电视相关的政策措施和规范性文件并组织实施,管理全区重大文化、文物、体育、旅游、广播电视活动,指导全区重点文化、文物、体育、旅游、广播电视设施建设,推动全区文艺事业发展,负责公共文化事业发展,推进文化体育和旅游创新发展,负责非物质文化遗产保护,指导文化体育旅游和广播电视市场发展,负责管理文化、文物、体育、旅游、广播电视对外交流功能宣传推广工作,实施广播电视节目评价工作,拟定全区广播电视事业发展规划,管理和指导全区文物保护利用与考古工作,组织开展文化遗产申报、保护和管理,负责推动完善全区文物和博物馆(纪念馆)公共服务体系建设,统筹规划全区群众体育发展,统筹规划全区竞技体育发展,拟定全区体育产业发展政策,推进体育文化建设,负责职责范围内的安全生产和职业健康、生态环境保护等工作,完成区委、区政府交办的其他任务。</w:t>
      </w:r>
    </w:p>
    <w:p>
      <w:pPr>
        <w:pStyle w:val="4"/>
        <w:numPr>
          <w:ilvl w:val="0"/>
          <w:numId w:val="1"/>
        </w:numPr>
        <w:ind w:left="0" w:leftChars="0" w:firstLine="0" w:firstLineChars="0"/>
        <w:rPr>
          <w:rFonts w:hint="eastAsia" w:ascii="黑体" w:hAnsi="黑体" w:eastAsia="黑体"/>
          <w:b w:val="0"/>
        </w:rPr>
      </w:pPr>
      <w:bookmarkStart w:id="21" w:name="_Toc32058"/>
      <w:r>
        <w:rPr>
          <w:rFonts w:hint="eastAsia" w:ascii="黑体" w:hAnsi="黑体" w:eastAsia="黑体"/>
          <w:b w:val="0"/>
        </w:rPr>
        <w:t>机构设置</w:t>
      </w:r>
      <w:bookmarkEnd w:id="21"/>
    </w:p>
    <w:p>
      <w:pPr>
        <w:pageBreakBefore w:val="0"/>
        <w:numPr>
          <w:ilvl w:val="0"/>
          <w:numId w:val="0"/>
        </w:numPr>
        <w:overflowPunct/>
        <w:bidi w:val="0"/>
        <w:spacing w:line="580" w:lineRule="exact"/>
        <w:ind w:right="0" w:rightChars="0" w:firstLine="640" w:firstLineChars="200"/>
        <w:rPr>
          <w:rFonts w:ascii="仿宋_GB2312" w:hAnsi="仿宋" w:eastAsia="仿宋_GB2312"/>
          <w:sz w:val="32"/>
          <w:szCs w:val="32"/>
        </w:rPr>
      </w:pPr>
      <w:r>
        <w:rPr>
          <w:rFonts w:hint="eastAsia" w:ascii="仿宋_GB2312" w:hAnsi="仿宋" w:eastAsia="仿宋_GB2312" w:cs="仿宋_GB2312"/>
          <w:sz w:val="32"/>
          <w:szCs w:val="32"/>
        </w:rPr>
        <w:t>本单位为</w:t>
      </w:r>
      <w:r>
        <w:rPr>
          <w:rFonts w:hint="eastAsia" w:ascii="仿宋_GB2312" w:hAnsi="仿宋" w:eastAsia="仿宋_GB2312" w:cs="仿宋"/>
          <w:bCs/>
          <w:sz w:val="32"/>
          <w:szCs w:val="32"/>
          <w:u w:val="single"/>
        </w:rPr>
        <w:t>四川省乐山市五通桥区文化体育和旅游局</w:t>
      </w:r>
      <w:r>
        <w:rPr>
          <w:rFonts w:hint="eastAsia" w:ascii="仿宋_GB2312" w:hAnsi="仿宋" w:eastAsia="仿宋_GB2312" w:cs="仿宋_GB2312"/>
          <w:sz w:val="32"/>
          <w:szCs w:val="32"/>
        </w:rPr>
        <w:t>所属</w:t>
      </w:r>
      <w:r>
        <w:rPr>
          <w:rFonts w:hint="eastAsia" w:ascii="仿宋_GB2312" w:hAnsi="仿宋" w:eastAsia="仿宋_GB2312" w:cs="仿宋_GB2312"/>
          <w:sz w:val="32"/>
          <w:szCs w:val="32"/>
          <w:u w:val="single"/>
        </w:rPr>
        <w:t>一</w:t>
      </w:r>
      <w:r>
        <w:rPr>
          <w:rFonts w:hint="eastAsia" w:ascii="仿宋_GB2312" w:hAnsi="仿宋" w:eastAsia="仿宋_GB2312" w:cs="仿宋_GB2312"/>
          <w:sz w:val="32"/>
          <w:szCs w:val="32"/>
        </w:rPr>
        <w:t>级</w:t>
      </w:r>
      <w:r>
        <w:rPr>
          <w:rFonts w:hint="eastAsia" w:ascii="仿宋_GB2312" w:hAnsi="仿宋" w:eastAsia="仿宋_GB2312" w:cs="仿宋_GB2312"/>
          <w:spacing w:val="14"/>
          <w:sz w:val="32"/>
          <w:szCs w:val="32"/>
        </w:rPr>
        <w:t>预算单位，单位性质</w:t>
      </w:r>
      <w:r>
        <w:rPr>
          <w:rFonts w:hint="eastAsia" w:ascii="仿宋_GB2312" w:hAnsi="仿宋" w:eastAsia="仿宋_GB2312" w:cs="仿宋_GB2312"/>
          <w:sz w:val="32"/>
          <w:szCs w:val="32"/>
        </w:rPr>
        <w:t>为</w:t>
      </w:r>
      <w:r>
        <w:rPr>
          <w:rFonts w:hint="eastAsia" w:ascii="仿宋_GB2312" w:hAnsi="仿宋" w:eastAsia="仿宋_GB2312" w:cs="仿宋"/>
          <w:bCs/>
          <w:sz w:val="32"/>
          <w:szCs w:val="32"/>
          <w:u w:val="single"/>
        </w:rPr>
        <w:t>行政</w:t>
      </w:r>
      <w:r>
        <w:rPr>
          <w:rFonts w:hint="eastAsia" w:ascii="仿宋_GB2312" w:hAnsi="仿宋" w:eastAsia="仿宋_GB2312" w:cs="仿宋_GB2312"/>
          <w:sz w:val="32"/>
          <w:szCs w:val="32"/>
        </w:rPr>
        <w:t>单位，</w:t>
      </w:r>
      <w:r>
        <w:rPr>
          <w:rFonts w:hint="eastAsia" w:ascii="仿宋_GB2312" w:hAnsi="仿宋" w:eastAsia="仿宋_GB2312"/>
          <w:sz w:val="32"/>
          <w:szCs w:val="32"/>
          <w:lang w:val="en-US" w:eastAsia="zh-CN"/>
        </w:rPr>
        <w:t>我局行政编制10人，保留工勤1人，在职12人。</w:t>
      </w:r>
      <w:r>
        <w:rPr>
          <w:rFonts w:hint="eastAsia" w:ascii="仿宋_GB2312" w:hAnsi="仿宋" w:eastAsia="仿宋_GB2312" w:cs="仿宋_GB2312"/>
          <w:sz w:val="32"/>
          <w:szCs w:val="32"/>
        </w:rPr>
        <w:t>决算编报类型为</w:t>
      </w:r>
      <w:r>
        <w:rPr>
          <w:rFonts w:hint="eastAsia" w:ascii="仿宋_GB2312" w:hAnsi="仿宋" w:eastAsia="仿宋_GB2312" w:cs="仿宋_GB2312"/>
          <w:sz w:val="32"/>
          <w:szCs w:val="32"/>
          <w:u w:val="single"/>
        </w:rPr>
        <w:t>单户表</w:t>
      </w:r>
      <w:r>
        <w:rPr>
          <w:rFonts w:hint="eastAsia" w:ascii="仿宋_GB2312" w:hAnsi="仿宋" w:eastAsia="仿宋_GB2312" w:cs="仿宋_GB2312"/>
          <w:sz w:val="32"/>
          <w:szCs w:val="32"/>
        </w:rPr>
        <w:t>，按照</w:t>
      </w:r>
      <w:r>
        <w:rPr>
          <w:rFonts w:hint="eastAsia" w:ascii="仿宋_GB2312" w:hAnsi="仿宋" w:eastAsia="仿宋_GB2312" w:cs="仿宋"/>
          <w:bCs/>
          <w:sz w:val="32"/>
          <w:szCs w:val="32"/>
          <w:u w:val="single"/>
        </w:rPr>
        <w:t>政府</w:t>
      </w:r>
      <w:r>
        <w:rPr>
          <w:rFonts w:hint="eastAsia" w:ascii="仿宋_GB2312" w:hAnsi="仿宋" w:eastAsia="仿宋_GB2312" w:cs="仿宋_GB2312"/>
          <w:sz w:val="32"/>
          <w:szCs w:val="32"/>
          <w:u w:val="single"/>
        </w:rPr>
        <w:t>会计制度</w:t>
      </w:r>
      <w:r>
        <w:rPr>
          <w:rFonts w:hint="eastAsia" w:ascii="仿宋_GB2312" w:hAnsi="仿宋" w:eastAsia="仿宋_GB2312" w:cs="仿宋_GB2312"/>
          <w:sz w:val="32"/>
          <w:szCs w:val="32"/>
        </w:rPr>
        <w:t>填报决算数据。</w:t>
      </w:r>
    </w:p>
    <w:p>
      <w:pPr>
        <w:ind w:firstLine="640" w:firstLineChars="200"/>
        <w:rPr>
          <w:rFonts w:hint="eastAsia" w:eastAsia="仿宋_GB2312"/>
          <w:lang w:val="en-US" w:eastAsia="zh-CN"/>
        </w:rPr>
      </w:pPr>
      <w:r>
        <w:rPr>
          <w:rFonts w:hint="eastAsia" w:ascii="仿宋_GB2312" w:hAnsi="仿宋" w:eastAsia="仿宋_GB2312" w:cs="仿宋_GB2312"/>
          <w:sz w:val="32"/>
          <w:szCs w:val="32"/>
        </w:rPr>
        <w:t>纳入本套决算编制范围的独立核算单位共</w:t>
      </w:r>
      <w:r>
        <w:rPr>
          <w:rFonts w:hint="eastAsia" w:ascii="仿宋_GB2312" w:hAnsi="仿宋" w:eastAsia="仿宋_GB2312" w:cs="仿宋_GB2312"/>
          <w:sz w:val="32"/>
          <w:szCs w:val="32"/>
          <w:u w:val="single"/>
          <w:lang w:val="en-US" w:eastAsia="zh-CN"/>
        </w:rPr>
        <w:t>1</w:t>
      </w:r>
      <w:r>
        <w:rPr>
          <w:rFonts w:hint="eastAsia" w:ascii="仿宋_GB2312" w:hAnsi="仿宋" w:eastAsia="仿宋_GB2312" w:cs="仿宋_GB2312"/>
          <w:sz w:val="32"/>
          <w:szCs w:val="32"/>
        </w:rPr>
        <w:t>个</w:t>
      </w:r>
      <w:r>
        <w:rPr>
          <w:rFonts w:hint="eastAsia" w:ascii="仿宋_GB2312" w:hAnsi="仿宋" w:eastAsia="仿宋_GB2312" w:cs="仿宋_GB2312"/>
          <w:sz w:val="32"/>
          <w:szCs w:val="32"/>
          <w:lang w:eastAsia="zh-CN"/>
        </w:rPr>
        <w:t>。</w:t>
      </w:r>
    </w:p>
    <w:p>
      <w:pPr>
        <w:pStyle w:val="2"/>
      </w:pPr>
    </w:p>
    <w:bookmarkEnd w:id="19"/>
    <w:bookmarkEnd w:id="20"/>
    <w:p>
      <w:pPr>
        <w:widowControl/>
        <w:jc w:val="left"/>
        <w:rPr>
          <w:rFonts w:ascii="仿宋" w:hAnsi="仿宋" w:eastAsia="仿宋"/>
          <w:kern w:val="0"/>
          <w:sz w:val="32"/>
          <w:szCs w:val="32"/>
        </w:rPr>
      </w:pPr>
      <w:r>
        <w:rPr>
          <w:rFonts w:ascii="仿宋" w:hAnsi="仿宋" w:eastAsia="仿宋"/>
          <w:sz w:val="32"/>
          <w:szCs w:val="32"/>
        </w:rPr>
        <w:br w:type="page"/>
      </w:r>
    </w:p>
    <w:p>
      <w:pPr>
        <w:pStyle w:val="3"/>
        <w:ind w:right="440"/>
        <w:jc w:val="center"/>
        <w:rPr>
          <w:rStyle w:val="29"/>
          <w:rFonts w:ascii="黑体" w:hAnsi="黑体" w:eastAsia="黑体"/>
          <w:b w:val="0"/>
          <w:bCs/>
        </w:rPr>
      </w:pPr>
      <w:bookmarkStart w:id="22" w:name="_Toc15396602"/>
      <w:bookmarkStart w:id="23" w:name="_Toc15377204"/>
      <w:bookmarkStart w:id="24" w:name="_Toc29875"/>
      <w:r>
        <w:rPr>
          <w:rFonts w:hint="eastAsia" w:ascii="黑体" w:hAnsi="黑体" w:eastAsia="黑体"/>
          <w:b w:val="0"/>
        </w:rPr>
        <w:t>第二部分 2023年度</w:t>
      </w:r>
      <w:r>
        <w:rPr>
          <w:rStyle w:val="29"/>
          <w:rFonts w:hint="eastAsia" w:ascii="黑体" w:hAnsi="黑体" w:eastAsia="黑体"/>
          <w:b w:val="0"/>
          <w:bCs/>
        </w:rPr>
        <w:t>单位决算情况说明</w:t>
      </w:r>
      <w:bookmarkEnd w:id="22"/>
      <w:bookmarkEnd w:id="23"/>
      <w:bookmarkEnd w:id="24"/>
    </w:p>
    <w:p/>
    <w:p>
      <w:pPr>
        <w:pStyle w:val="28"/>
        <w:numPr>
          <w:ilvl w:val="0"/>
          <w:numId w:val="2"/>
        </w:numPr>
        <w:spacing w:line="600" w:lineRule="exact"/>
        <w:ind w:firstLineChars="0"/>
        <w:outlineLvl w:val="1"/>
        <w:rPr>
          <w:rStyle w:val="30"/>
          <w:rFonts w:ascii="黑体" w:hAnsi="黑体" w:eastAsia="黑体"/>
          <w:b w:val="0"/>
        </w:rPr>
      </w:pPr>
      <w:bookmarkStart w:id="25" w:name="_Toc15377205"/>
      <w:bookmarkStart w:id="26" w:name="_Toc15396603"/>
      <w:bookmarkStart w:id="27" w:name="_Toc12206"/>
      <w:r>
        <w:rPr>
          <w:rFonts w:hint="eastAsia" w:ascii="黑体" w:hAnsi="黑体" w:eastAsia="黑体"/>
          <w:sz w:val="32"/>
          <w:szCs w:val="32"/>
        </w:rPr>
        <w:t>收</w:t>
      </w:r>
      <w:r>
        <w:rPr>
          <w:rStyle w:val="30"/>
          <w:rFonts w:hint="eastAsia" w:ascii="黑体" w:hAnsi="黑体" w:eastAsia="黑体"/>
          <w:b w:val="0"/>
        </w:rPr>
        <w:t>入支出决算总体情况说明</w:t>
      </w:r>
      <w:bookmarkEnd w:id="25"/>
      <w:bookmarkEnd w:id="26"/>
      <w:bookmarkEnd w:id="27"/>
    </w:p>
    <w:p>
      <w:pPr>
        <w:keepLines/>
        <w:widowControl w:val="0"/>
        <w:wordWrap/>
        <w:adjustRightInd/>
        <w:snapToGrid/>
        <w:spacing w:before="0" w:after="0" w:line="600" w:lineRule="exact"/>
        <w:ind w:left="0" w:leftChars="0" w:right="0" w:firstLine="640" w:firstLineChars="200"/>
        <w:jc w:val="both"/>
        <w:textAlignment w:val="auto"/>
        <w:outlineLvl w:val="9"/>
        <w:rPr>
          <w:rFonts w:hint="eastAsia" w:ascii="仿宋" w:hAnsi="仿宋" w:eastAsia="仿宋"/>
          <w:sz w:val="32"/>
          <w:szCs w:val="32"/>
        </w:rPr>
      </w:pPr>
      <w:r>
        <w:rPr>
          <w:rFonts w:hint="eastAsia" w:ascii="仿宋" w:hAnsi="仿宋" w:eastAsia="仿宋"/>
          <w:color w:val="000000" w:themeColor="text1"/>
          <w:sz w:val="32"/>
          <w:szCs w:val="32"/>
          <w:highlight w:val="none"/>
          <w:lang w:eastAsia="zh-CN"/>
          <w14:textFill>
            <w14:solidFill>
              <w14:schemeClr w14:val="tx1"/>
            </w14:solidFill>
          </w14:textFill>
        </w:rPr>
        <w:t>2023</w:t>
      </w:r>
      <w:r>
        <w:rPr>
          <w:rFonts w:hint="eastAsia" w:ascii="仿宋" w:hAnsi="仿宋" w:eastAsia="仿宋"/>
          <w:color w:val="000000" w:themeColor="text1"/>
          <w:sz w:val="32"/>
          <w:szCs w:val="32"/>
          <w:highlight w:val="none"/>
          <w14:textFill>
            <w14:solidFill>
              <w14:schemeClr w14:val="tx1"/>
            </w14:solidFill>
          </w14:textFill>
        </w:rPr>
        <w:t>年度收、支总计</w:t>
      </w:r>
      <w:r>
        <w:rPr>
          <w:rFonts w:hint="eastAsia" w:ascii="仿宋" w:hAnsi="仿宋" w:eastAsia="仿宋"/>
          <w:color w:val="000000" w:themeColor="text1"/>
          <w:sz w:val="32"/>
          <w:szCs w:val="32"/>
          <w:highlight w:val="none"/>
          <w:lang w:eastAsia="zh-CN"/>
          <w14:textFill>
            <w14:solidFill>
              <w14:schemeClr w14:val="tx1"/>
            </w14:solidFill>
          </w14:textFill>
        </w:rPr>
        <w:t>均为</w:t>
      </w:r>
      <w:r>
        <w:rPr>
          <w:rFonts w:hint="eastAsia" w:ascii="仿宋" w:hAnsi="仿宋" w:eastAsia="仿宋"/>
          <w:sz w:val="32"/>
          <w:szCs w:val="32"/>
        </w:rPr>
        <w:t>14074.80万元。</w:t>
      </w:r>
      <w:r>
        <w:rPr>
          <w:rFonts w:hint="eastAsia" w:ascii="仿宋" w:hAnsi="仿宋" w:eastAsia="仿宋"/>
          <w:sz w:val="32"/>
          <w:szCs w:val="32"/>
          <w:lang w:val="en-US" w:eastAsia="zh-CN"/>
        </w:rPr>
        <w:t>2023年度</w:t>
      </w:r>
      <w:r>
        <w:rPr>
          <w:rFonts w:hint="eastAsia" w:ascii="仿宋" w:hAnsi="仿宋" w:eastAsia="仿宋"/>
          <w:sz w:val="32"/>
          <w:szCs w:val="32"/>
        </w:rPr>
        <w:t>收入与上年度</w:t>
      </w:r>
      <w:r>
        <w:rPr>
          <w:rFonts w:hint="eastAsia" w:ascii="仿宋" w:hAnsi="仿宋" w:eastAsia="仿宋"/>
          <w:sz w:val="32"/>
          <w:szCs w:val="32"/>
          <w:lang w:val="en-US" w:eastAsia="zh-CN"/>
        </w:rPr>
        <w:t>收入</w:t>
      </w:r>
      <w:r>
        <w:rPr>
          <w:rFonts w:hint="eastAsia" w:ascii="仿宋" w:hAnsi="仿宋" w:eastAsia="仿宋"/>
          <w:sz w:val="32"/>
          <w:szCs w:val="32"/>
        </w:rPr>
        <w:t>4220.66万元对比增加</w:t>
      </w:r>
      <w:r>
        <w:rPr>
          <w:rFonts w:hint="eastAsia" w:ascii="仿宋" w:hAnsi="仿宋" w:eastAsia="仿宋"/>
          <w:color w:val="000000" w:themeColor="text1"/>
          <w:sz w:val="32"/>
          <w:szCs w:val="32"/>
          <w:lang w:val="en-US" w:eastAsia="zh-CN"/>
          <w14:textFill>
            <w14:solidFill>
              <w14:schemeClr w14:val="tx1"/>
            </w14:solidFill>
          </w14:textFill>
        </w:rPr>
        <w:t>9851.14</w:t>
      </w:r>
      <w:r>
        <w:rPr>
          <w:rFonts w:hint="eastAsia" w:ascii="仿宋" w:hAnsi="仿宋" w:eastAsia="仿宋"/>
          <w:sz w:val="32"/>
          <w:szCs w:val="32"/>
        </w:rPr>
        <w:t>万元，</w:t>
      </w:r>
      <w:r>
        <w:rPr>
          <w:rFonts w:hint="eastAsia" w:ascii="仿宋" w:hAnsi="仿宋" w:eastAsia="仿宋"/>
          <w:sz w:val="32"/>
          <w:szCs w:val="32"/>
          <w:lang w:val="en-US" w:eastAsia="zh-CN"/>
        </w:rPr>
        <w:t>增长</w:t>
      </w:r>
      <w:r>
        <w:rPr>
          <w:rFonts w:hint="eastAsia" w:ascii="仿宋" w:hAnsi="仿宋" w:eastAsia="仿宋"/>
          <w:sz w:val="32"/>
          <w:szCs w:val="32"/>
        </w:rPr>
        <w:t>233.47%。变化原因</w:t>
      </w:r>
      <w:r>
        <w:rPr>
          <w:rFonts w:hint="eastAsia" w:ascii="仿宋" w:hAnsi="仿宋" w:eastAsia="仿宋"/>
          <w:sz w:val="32"/>
          <w:szCs w:val="32"/>
          <w:lang w:eastAsia="zh-CN"/>
        </w:rPr>
        <w:t>是</w:t>
      </w:r>
      <w:r>
        <w:rPr>
          <w:rFonts w:hint="eastAsia" w:ascii="仿宋" w:hAnsi="仿宋" w:eastAsia="仿宋"/>
          <w:sz w:val="32"/>
          <w:szCs w:val="32"/>
        </w:rPr>
        <w:t>本年度项目增加2023年专项债券中国根书文化AAA级景区配套</w:t>
      </w:r>
      <w:r>
        <w:rPr>
          <w:rFonts w:hint="eastAsia" w:ascii="仿宋" w:hAnsi="仿宋" w:eastAsia="仿宋"/>
          <w:sz w:val="32"/>
          <w:szCs w:val="32"/>
          <w:lang w:eastAsia="zh-CN"/>
        </w:rPr>
        <w:t>基础设施建设</w:t>
      </w:r>
      <w:r>
        <w:rPr>
          <w:rFonts w:hint="eastAsia" w:ascii="仿宋" w:hAnsi="仿宋" w:eastAsia="仿宋"/>
          <w:sz w:val="32"/>
          <w:szCs w:val="32"/>
        </w:rPr>
        <w:t>项目。</w:t>
      </w:r>
      <w:r>
        <w:rPr>
          <w:rFonts w:hint="eastAsia" w:ascii="仿宋" w:hAnsi="仿宋" w:eastAsia="仿宋"/>
          <w:sz w:val="32"/>
          <w:szCs w:val="32"/>
          <w:lang w:val="en-US" w:eastAsia="zh-CN"/>
        </w:rPr>
        <w:t>2023年度</w:t>
      </w:r>
      <w:r>
        <w:rPr>
          <w:rFonts w:hint="eastAsia" w:ascii="仿宋" w:hAnsi="仿宋" w:eastAsia="仿宋"/>
          <w:sz w:val="32"/>
          <w:szCs w:val="32"/>
        </w:rPr>
        <w:t>支出与上年度</w:t>
      </w:r>
      <w:r>
        <w:rPr>
          <w:rFonts w:hint="eastAsia" w:ascii="仿宋" w:hAnsi="仿宋" w:eastAsia="仿宋"/>
          <w:sz w:val="32"/>
          <w:szCs w:val="32"/>
          <w:lang w:val="en-US" w:eastAsia="zh-CN"/>
        </w:rPr>
        <w:t>支出</w:t>
      </w:r>
      <w:r>
        <w:rPr>
          <w:rFonts w:hint="eastAsia" w:ascii="仿宋" w:hAnsi="仿宋" w:eastAsia="仿宋"/>
          <w:sz w:val="32"/>
          <w:szCs w:val="32"/>
        </w:rPr>
        <w:t>4220.66万元对比增加9854.15万元，</w:t>
      </w:r>
      <w:r>
        <w:rPr>
          <w:rFonts w:hint="eastAsia" w:ascii="仿宋" w:hAnsi="仿宋" w:eastAsia="仿宋"/>
          <w:sz w:val="32"/>
          <w:szCs w:val="32"/>
          <w:lang w:val="en-US" w:eastAsia="zh-CN"/>
        </w:rPr>
        <w:t>增长</w:t>
      </w:r>
      <w:r>
        <w:rPr>
          <w:rFonts w:hint="eastAsia" w:ascii="仿宋" w:hAnsi="仿宋" w:eastAsia="仿宋"/>
          <w:sz w:val="32"/>
          <w:szCs w:val="32"/>
        </w:rPr>
        <w:t>233.47%</w:t>
      </w:r>
      <w:r>
        <w:rPr>
          <w:rFonts w:hint="eastAsia" w:ascii="仿宋" w:hAnsi="仿宋" w:eastAsia="仿宋"/>
          <w:sz w:val="32"/>
          <w:szCs w:val="32"/>
          <w:lang w:eastAsia="zh-CN"/>
        </w:rPr>
        <w:t>，</w:t>
      </w:r>
      <w:r>
        <w:rPr>
          <w:rFonts w:hint="eastAsia" w:ascii="仿宋" w:hAnsi="仿宋" w:eastAsia="仿宋"/>
          <w:sz w:val="32"/>
          <w:szCs w:val="32"/>
        </w:rPr>
        <w:t>变化原因</w:t>
      </w:r>
      <w:r>
        <w:rPr>
          <w:rFonts w:hint="eastAsia" w:ascii="仿宋" w:hAnsi="仿宋" w:eastAsia="仿宋"/>
          <w:sz w:val="32"/>
          <w:szCs w:val="32"/>
          <w:lang w:eastAsia="zh-CN"/>
        </w:rPr>
        <w:t>是</w:t>
      </w:r>
      <w:r>
        <w:rPr>
          <w:rFonts w:hint="eastAsia" w:ascii="仿宋" w:hAnsi="仿宋" w:eastAsia="仿宋"/>
          <w:sz w:val="32"/>
          <w:szCs w:val="32"/>
        </w:rPr>
        <w:t>本年度项目增加2023年专项债券中国根书文化AAA级景区配套</w:t>
      </w:r>
      <w:r>
        <w:rPr>
          <w:rFonts w:hint="eastAsia" w:ascii="仿宋" w:hAnsi="仿宋" w:eastAsia="仿宋"/>
          <w:sz w:val="32"/>
          <w:szCs w:val="32"/>
          <w:lang w:eastAsia="zh-CN"/>
        </w:rPr>
        <w:t>基础设施建设</w:t>
      </w:r>
      <w:r>
        <w:rPr>
          <w:rFonts w:hint="eastAsia" w:ascii="仿宋" w:hAnsi="仿宋" w:eastAsia="仿宋"/>
          <w:sz w:val="32"/>
          <w:szCs w:val="32"/>
        </w:rPr>
        <w:t>项目。</w:t>
      </w:r>
    </w:p>
    <w:p>
      <w:pPr>
        <w:rPr>
          <w:rFonts w:hint="eastAsia" w:ascii="仿宋" w:hAnsi="仿宋" w:eastAsia="仿宋"/>
          <w:sz w:val="32"/>
          <w:szCs w:val="32"/>
        </w:rPr>
      </w:pPr>
      <w:r>
        <w:rPr>
          <w:rFonts w:hint="eastAsia" w:ascii="仿宋_GB2312" w:hAnsi="Times New Roman" w:eastAsia="宋体" w:cs="Times New Roman"/>
          <w:kern w:val="0"/>
          <w:sz w:val="30"/>
          <w:szCs w:val="24"/>
          <w:lang w:val="en-US" w:eastAsia="zh-CN" w:bidi="ar-SA"/>
        </w:rPr>
        <w:drawing>
          <wp:inline distT="0" distB="0" distL="114300" distR="114300">
            <wp:extent cx="5186045" cy="2694305"/>
            <wp:effectExtent l="0" t="0" r="14605" b="1079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
                      <a:lum/>
                    </a:blip>
                    <a:stretch>
                      <a:fillRect/>
                    </a:stretch>
                  </pic:blipFill>
                  <pic:spPr>
                    <a:xfrm>
                      <a:off x="0" y="0"/>
                      <a:ext cx="5186045" cy="2694305"/>
                    </a:xfrm>
                    <a:prstGeom prst="rect">
                      <a:avLst/>
                    </a:prstGeom>
                    <a:noFill/>
                    <a:ln>
                      <a:noFill/>
                    </a:ln>
                  </pic:spPr>
                </pic:pic>
              </a:graphicData>
            </a:graphic>
          </wp:inline>
        </w:drawing>
      </w:r>
    </w:p>
    <w:p>
      <w:pPr>
        <w:spacing w:line="600" w:lineRule="exact"/>
        <w:rPr>
          <w:rFonts w:ascii="仿宋_GB2312" w:eastAsia="仿宋_GB2312"/>
          <w:sz w:val="32"/>
          <w:szCs w:val="32"/>
        </w:rPr>
      </w:pPr>
      <w:r>
        <w:rPr>
          <w:rFonts w:hint="eastAsia" w:ascii="仿宋" w:hAnsi="仿宋" w:eastAsia="仿宋"/>
          <w:sz w:val="32"/>
          <w:szCs w:val="32"/>
        </w:rPr>
        <w:t>（图</w:t>
      </w:r>
      <w:r>
        <w:rPr>
          <w:rFonts w:ascii="仿宋" w:hAnsi="仿宋" w:eastAsia="仿宋"/>
          <w:sz w:val="32"/>
          <w:szCs w:val="32"/>
        </w:rPr>
        <w:t>1</w:t>
      </w:r>
      <w:r>
        <w:rPr>
          <w:rFonts w:hint="eastAsia" w:ascii="仿宋" w:hAnsi="仿宋" w:eastAsia="仿宋"/>
          <w:sz w:val="32"/>
          <w:szCs w:val="32"/>
        </w:rPr>
        <w:t>：收、支决算总计变动情况图）（柱状图）</w:t>
      </w:r>
    </w:p>
    <w:p>
      <w:pPr>
        <w:pStyle w:val="28"/>
        <w:numPr>
          <w:ilvl w:val="0"/>
          <w:numId w:val="2"/>
        </w:numPr>
        <w:spacing w:line="600" w:lineRule="exact"/>
        <w:ind w:firstLineChars="0"/>
        <w:outlineLvl w:val="1"/>
        <w:rPr>
          <w:rStyle w:val="30"/>
          <w:rFonts w:ascii="黑体" w:hAnsi="黑体" w:eastAsia="黑体"/>
          <w:b w:val="0"/>
        </w:rPr>
      </w:pPr>
      <w:bookmarkStart w:id="28" w:name="_Toc13625"/>
      <w:bookmarkStart w:id="29" w:name="_Toc15396604"/>
      <w:bookmarkStart w:id="30" w:name="_Toc15377206"/>
      <w:r>
        <w:rPr>
          <w:rFonts w:hint="eastAsia" w:ascii="黑体" w:hAnsi="黑体" w:eastAsia="黑体"/>
          <w:sz w:val="32"/>
          <w:szCs w:val="32"/>
        </w:rPr>
        <w:t>收</w:t>
      </w:r>
      <w:r>
        <w:rPr>
          <w:rStyle w:val="30"/>
          <w:rFonts w:hint="eastAsia" w:ascii="黑体" w:hAnsi="黑体" w:eastAsia="黑体"/>
          <w:b w:val="0"/>
        </w:rPr>
        <w:t>入决算情况说明</w:t>
      </w:r>
      <w:bookmarkEnd w:id="28"/>
      <w:bookmarkEnd w:id="29"/>
      <w:bookmarkEnd w:id="30"/>
      <w:bookmarkStart w:id="97" w:name="_GoBack"/>
      <w:bookmarkEnd w:id="97"/>
    </w:p>
    <w:p>
      <w:pPr>
        <w:spacing w:line="600" w:lineRule="exact"/>
        <w:ind w:firstLine="640" w:firstLineChars="200"/>
        <w:outlineLvl w:val="1"/>
        <w:rPr>
          <w:rFonts w:ascii="仿宋" w:hAnsi="仿宋" w:eastAsia="仿宋"/>
          <w:color w:val="auto"/>
          <w:sz w:val="32"/>
          <w:szCs w:val="32"/>
          <w:highlight w:val="none"/>
        </w:rPr>
      </w:pPr>
      <w:bookmarkStart w:id="31" w:name="_Toc28949"/>
      <w:r>
        <w:rPr>
          <w:rFonts w:hint="eastAsia" w:ascii="仿宋" w:hAnsi="仿宋" w:eastAsia="仿宋" w:cs="Times New Roman"/>
          <w:sz w:val="32"/>
          <w:szCs w:val="32"/>
        </w:rPr>
        <w:t>2</w:t>
      </w:r>
      <w:r>
        <w:rPr>
          <w:rFonts w:hint="eastAsia" w:ascii="仿宋" w:hAnsi="仿宋" w:eastAsia="仿宋"/>
          <w:color w:val="auto"/>
          <w:sz w:val="32"/>
          <w:szCs w:val="32"/>
          <w:highlight w:val="none"/>
          <w:lang w:eastAsia="zh-CN"/>
        </w:rPr>
        <w:t>2023</w:t>
      </w:r>
      <w:r>
        <w:rPr>
          <w:rFonts w:hint="eastAsia" w:ascii="仿宋" w:hAnsi="仿宋" w:eastAsia="仿宋"/>
          <w:color w:val="auto"/>
          <w:sz w:val="32"/>
          <w:szCs w:val="32"/>
          <w:highlight w:val="none"/>
        </w:rPr>
        <w:t>年</w:t>
      </w:r>
      <w:r>
        <w:rPr>
          <w:rFonts w:hint="eastAsia" w:ascii="仿宋" w:hAnsi="仿宋" w:eastAsia="仿宋"/>
          <w:color w:val="auto"/>
          <w:sz w:val="32"/>
          <w:szCs w:val="32"/>
          <w:highlight w:val="none"/>
          <w:lang w:eastAsia="zh-CN"/>
        </w:rPr>
        <w:t>度</w:t>
      </w:r>
      <w:r>
        <w:rPr>
          <w:rFonts w:hint="eastAsia" w:ascii="仿宋" w:hAnsi="仿宋" w:eastAsia="仿宋"/>
          <w:color w:val="auto"/>
          <w:sz w:val="32"/>
          <w:szCs w:val="32"/>
          <w:highlight w:val="none"/>
        </w:rPr>
        <w:t>本年收入合计</w:t>
      </w:r>
      <w:r>
        <w:rPr>
          <w:rFonts w:hint="eastAsia" w:ascii="仿宋" w:hAnsi="仿宋" w:eastAsia="仿宋" w:cs="Times New Roman"/>
          <w:sz w:val="32"/>
          <w:szCs w:val="32"/>
        </w:rPr>
        <w:t>14074.8</w:t>
      </w:r>
      <w:r>
        <w:rPr>
          <w:rFonts w:hint="eastAsia" w:ascii="仿宋" w:hAnsi="仿宋" w:eastAsia="仿宋" w:cs="Times New Roman"/>
          <w:sz w:val="32"/>
          <w:szCs w:val="32"/>
          <w:lang w:val="en-US" w:eastAsia="zh-CN"/>
        </w:rPr>
        <w:t>0</w:t>
      </w:r>
      <w:r>
        <w:rPr>
          <w:rFonts w:hint="eastAsia" w:ascii="仿宋" w:hAnsi="仿宋" w:eastAsia="仿宋" w:cs="Times New Roman"/>
          <w:sz w:val="32"/>
          <w:szCs w:val="32"/>
        </w:rPr>
        <w:t>万元，其中：一般公共预算财政拨款收入1020.79万元，占7.25%；政府性基金预算财政拨款收入13054.01万元，占92.7</w:t>
      </w:r>
      <w:r>
        <w:rPr>
          <w:rFonts w:hint="eastAsia" w:ascii="仿宋" w:hAnsi="仿宋" w:eastAsia="仿宋" w:cs="Times New Roman"/>
          <w:sz w:val="32"/>
          <w:szCs w:val="32"/>
          <w:lang w:val="en-US" w:eastAsia="zh-CN"/>
        </w:rPr>
        <w:t>5</w:t>
      </w:r>
      <w:r>
        <w:rPr>
          <w:rFonts w:hint="eastAsia" w:ascii="仿宋" w:hAnsi="仿宋" w:eastAsia="仿宋" w:cs="Times New Roman"/>
          <w:sz w:val="32"/>
          <w:szCs w:val="32"/>
        </w:rPr>
        <w:t>%</w:t>
      </w:r>
      <w:r>
        <w:rPr>
          <w:rFonts w:hint="eastAsia" w:ascii="仿宋" w:hAnsi="仿宋" w:eastAsia="仿宋"/>
          <w:color w:val="auto"/>
          <w:sz w:val="32"/>
          <w:szCs w:val="32"/>
          <w:highlight w:val="none"/>
        </w:rPr>
        <w:t>。</w:t>
      </w:r>
      <w:bookmarkEnd w:id="31"/>
    </w:p>
    <w:p>
      <w:pPr>
        <w:spacing w:line="600" w:lineRule="exact"/>
        <w:ind w:firstLine="640" w:firstLineChars="200"/>
        <w:rPr>
          <w:rFonts w:ascii="仿宋_GB2312" w:eastAsia="仿宋_GB2312"/>
          <w:sz w:val="32"/>
          <w:szCs w:val="32"/>
        </w:rPr>
      </w:pPr>
      <w:r>
        <w:rPr>
          <w:rFonts w:hint="eastAsia" w:ascii="仿宋" w:hAnsi="仿宋" w:eastAsia="仿宋"/>
          <w:sz w:val="32"/>
          <w:szCs w:val="32"/>
        </w:rPr>
        <w:drawing>
          <wp:anchor distT="0" distB="0" distL="114300" distR="114300" simplePos="0" relativeHeight="251662336" behindDoc="0" locked="0" layoutInCell="1" allowOverlap="1">
            <wp:simplePos x="0" y="0"/>
            <wp:positionH relativeFrom="column">
              <wp:posOffset>320675</wp:posOffset>
            </wp:positionH>
            <wp:positionV relativeFrom="paragraph">
              <wp:posOffset>-19050</wp:posOffset>
            </wp:positionV>
            <wp:extent cx="4870450" cy="2663825"/>
            <wp:effectExtent l="0" t="0" r="6350" b="3175"/>
            <wp:wrapTopAndBottom/>
            <wp:docPr id="1" name="图片 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1"/>
                    <pic:cNvPicPr>
                      <a:picLocks noChangeAspect="1"/>
                    </pic:cNvPicPr>
                  </pic:nvPicPr>
                  <pic:blipFill>
                    <a:blip r:embed="rId7"/>
                    <a:stretch>
                      <a:fillRect/>
                    </a:stretch>
                  </pic:blipFill>
                  <pic:spPr>
                    <a:xfrm>
                      <a:off x="0" y="0"/>
                      <a:ext cx="4870450" cy="2663825"/>
                    </a:xfrm>
                    <a:prstGeom prst="rect">
                      <a:avLst/>
                    </a:prstGeom>
                  </pic:spPr>
                </pic:pic>
              </a:graphicData>
            </a:graphic>
          </wp:anchor>
        </w:drawing>
      </w:r>
      <w:r>
        <w:rPr>
          <w:rFonts w:hint="eastAsia" w:ascii="仿宋" w:hAnsi="仿宋" w:eastAsia="仿宋"/>
          <w:sz w:val="32"/>
          <w:szCs w:val="32"/>
        </w:rPr>
        <w:t>（图2：收入决算结构图）</w:t>
      </w:r>
    </w:p>
    <w:p>
      <w:pPr>
        <w:pStyle w:val="28"/>
        <w:numPr>
          <w:ilvl w:val="0"/>
          <w:numId w:val="2"/>
        </w:numPr>
        <w:spacing w:line="600" w:lineRule="exact"/>
        <w:ind w:firstLineChars="0"/>
        <w:outlineLvl w:val="1"/>
        <w:rPr>
          <w:rStyle w:val="30"/>
          <w:rFonts w:ascii="黑体" w:hAnsi="黑体" w:eastAsia="黑体"/>
          <w:b w:val="0"/>
        </w:rPr>
      </w:pPr>
      <w:bookmarkStart w:id="32" w:name="_Toc15396605"/>
      <w:bookmarkStart w:id="33" w:name="_Toc15377207"/>
      <w:bookmarkStart w:id="34" w:name="_Toc18487"/>
      <w:r>
        <w:rPr>
          <w:rFonts w:hint="eastAsia" w:ascii="黑体" w:hAnsi="黑体" w:eastAsia="黑体"/>
          <w:sz w:val="32"/>
          <w:szCs w:val="32"/>
        </w:rPr>
        <w:t>支</w:t>
      </w:r>
      <w:r>
        <w:rPr>
          <w:rStyle w:val="30"/>
          <w:rFonts w:hint="eastAsia" w:ascii="黑体" w:hAnsi="黑体" w:eastAsia="黑体"/>
          <w:b w:val="0"/>
        </w:rPr>
        <w:t>出决算情况说明</w:t>
      </w:r>
      <w:bookmarkEnd w:id="32"/>
      <w:bookmarkEnd w:id="33"/>
      <w:bookmarkEnd w:id="34"/>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shd w:val="pct10" w:color="auto" w:fill="FFFFFF"/>
          <w:lang w:eastAsia="zh-CN"/>
        </w:rPr>
        <w:drawing>
          <wp:anchor distT="0" distB="0" distL="114300" distR="114300" simplePos="0" relativeHeight="251659264" behindDoc="0" locked="0" layoutInCell="1" allowOverlap="1">
            <wp:simplePos x="0" y="0"/>
            <wp:positionH relativeFrom="column">
              <wp:posOffset>21590</wp:posOffset>
            </wp:positionH>
            <wp:positionV relativeFrom="paragraph">
              <wp:posOffset>788035</wp:posOffset>
            </wp:positionV>
            <wp:extent cx="4986655" cy="4041775"/>
            <wp:effectExtent l="0" t="0" r="4445" b="15875"/>
            <wp:wrapTopAndBottom/>
            <wp:docPr id="5" name="图片 3"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图片2"/>
                    <pic:cNvPicPr>
                      <a:picLocks noChangeAspect="1"/>
                    </pic:cNvPicPr>
                  </pic:nvPicPr>
                  <pic:blipFill>
                    <a:blip r:embed="rId8"/>
                    <a:stretch>
                      <a:fillRect/>
                    </a:stretch>
                  </pic:blipFill>
                  <pic:spPr>
                    <a:xfrm>
                      <a:off x="0" y="0"/>
                      <a:ext cx="4986655" cy="4041775"/>
                    </a:xfrm>
                    <a:prstGeom prst="rect">
                      <a:avLst/>
                    </a:prstGeom>
                    <a:noFill/>
                    <a:ln>
                      <a:noFill/>
                    </a:ln>
                  </pic:spPr>
                </pic:pic>
              </a:graphicData>
            </a:graphic>
          </wp:anchor>
        </w:drawing>
      </w:r>
      <w:r>
        <w:rPr>
          <w:rFonts w:hint="eastAsia" w:ascii="仿宋" w:hAnsi="仿宋" w:eastAsia="仿宋" w:cs="Times New Roman"/>
          <w:sz w:val="32"/>
          <w:szCs w:val="32"/>
        </w:rPr>
        <w:t>2023年度本年支出合计14074.8</w:t>
      </w:r>
      <w:r>
        <w:rPr>
          <w:rFonts w:hint="eastAsia" w:ascii="仿宋" w:hAnsi="仿宋" w:eastAsia="仿宋" w:cs="Times New Roman"/>
          <w:sz w:val="32"/>
          <w:szCs w:val="32"/>
          <w:lang w:val="en-US" w:eastAsia="zh-CN"/>
        </w:rPr>
        <w:t>0</w:t>
      </w:r>
      <w:r>
        <w:rPr>
          <w:rFonts w:hint="eastAsia" w:ascii="仿宋" w:hAnsi="仿宋" w:eastAsia="仿宋" w:cs="Times New Roman"/>
          <w:sz w:val="32"/>
          <w:szCs w:val="32"/>
        </w:rPr>
        <w:t>万元，其中：基本支出312万元，占2.2</w:t>
      </w:r>
      <w:r>
        <w:rPr>
          <w:rFonts w:hint="eastAsia" w:ascii="仿宋" w:hAnsi="仿宋" w:eastAsia="仿宋" w:cs="Times New Roman"/>
          <w:sz w:val="32"/>
          <w:szCs w:val="32"/>
          <w:lang w:val="en-US" w:eastAsia="zh-CN"/>
        </w:rPr>
        <w:t>2</w:t>
      </w:r>
      <w:r>
        <w:rPr>
          <w:rFonts w:hint="eastAsia" w:ascii="仿宋" w:hAnsi="仿宋" w:eastAsia="仿宋" w:cs="Times New Roman"/>
          <w:sz w:val="32"/>
          <w:szCs w:val="32"/>
        </w:rPr>
        <w:t>%；项目支出13762.8万元，占97.7</w:t>
      </w:r>
      <w:r>
        <w:rPr>
          <w:rFonts w:hint="eastAsia" w:ascii="仿宋" w:hAnsi="仿宋" w:eastAsia="仿宋" w:cs="Times New Roman"/>
          <w:sz w:val="32"/>
          <w:szCs w:val="32"/>
          <w:lang w:val="en-US" w:eastAsia="zh-CN"/>
        </w:rPr>
        <w:t>8</w:t>
      </w:r>
      <w:r>
        <w:rPr>
          <w:rFonts w:hint="eastAsia" w:ascii="仿宋" w:hAnsi="仿宋" w:eastAsia="仿宋" w:cs="Times New Roman"/>
          <w:sz w:val="32"/>
          <w:szCs w:val="32"/>
        </w:rPr>
        <w:t>%</w:t>
      </w:r>
      <w:r>
        <w:rPr>
          <w:rFonts w:hint="eastAsia" w:ascii="仿宋" w:hAnsi="仿宋" w:eastAsia="仿宋" w:cs="Times New Roman"/>
          <w:sz w:val="32"/>
          <w:szCs w:val="32"/>
          <w:lang w:eastAsia="zh-CN"/>
        </w:rPr>
        <w:t>。</w:t>
      </w:r>
    </w:p>
    <w:p>
      <w:pPr>
        <w:spacing w:line="600" w:lineRule="exact"/>
        <w:ind w:firstLine="640" w:firstLineChars="200"/>
        <w:rPr>
          <w:rFonts w:ascii="仿宋_GB2312" w:eastAsia="仿宋_GB2312"/>
          <w:sz w:val="32"/>
          <w:szCs w:val="32"/>
        </w:rPr>
      </w:pPr>
      <w:r>
        <w:rPr>
          <w:rFonts w:hint="eastAsia" w:ascii="仿宋" w:hAnsi="仿宋" w:eastAsia="仿宋"/>
          <w:sz w:val="32"/>
          <w:szCs w:val="32"/>
        </w:rPr>
        <w:t>（图3：支出决算结构图）（饼状图）</w:t>
      </w:r>
    </w:p>
    <w:p>
      <w:pPr>
        <w:spacing w:line="600" w:lineRule="exact"/>
        <w:ind w:firstLine="640" w:firstLineChars="200"/>
        <w:outlineLvl w:val="1"/>
        <w:rPr>
          <w:rStyle w:val="30"/>
          <w:rFonts w:ascii="黑体" w:hAnsi="黑体" w:eastAsia="黑体"/>
          <w:b w:val="0"/>
        </w:rPr>
      </w:pPr>
      <w:bookmarkStart w:id="35" w:name="_Toc4641"/>
      <w:bookmarkStart w:id="36" w:name="_Toc15396606"/>
      <w:bookmarkStart w:id="37" w:name="_Toc15377208"/>
      <w:r>
        <w:rPr>
          <w:rFonts w:hint="eastAsia" w:ascii="黑体" w:hAnsi="黑体" w:eastAsia="黑体"/>
          <w:sz w:val="32"/>
          <w:szCs w:val="32"/>
        </w:rPr>
        <w:t>四、财</w:t>
      </w:r>
      <w:r>
        <w:rPr>
          <w:rStyle w:val="30"/>
          <w:rFonts w:hint="eastAsia" w:ascii="黑体" w:hAnsi="黑体" w:eastAsia="黑体"/>
          <w:b w:val="0"/>
        </w:rPr>
        <w:t>政拨款收入支出决算总体情况说明</w:t>
      </w:r>
      <w:bookmarkEnd w:id="35"/>
      <w:bookmarkEnd w:id="36"/>
      <w:bookmarkEnd w:id="37"/>
    </w:p>
    <w:p>
      <w:pPr>
        <w:spacing w:line="600" w:lineRule="exact"/>
        <w:ind w:firstLine="640"/>
        <w:rPr>
          <w:rFonts w:hint="eastAsia"/>
          <w:color w:val="000000" w:themeColor="text1"/>
          <w14:textFill>
            <w14:solidFill>
              <w14:schemeClr w14:val="tx1"/>
            </w14:solidFill>
          </w14:textFill>
        </w:rPr>
      </w:pPr>
      <w:r>
        <w:rPr>
          <w:rFonts w:hint="eastAsia" w:ascii="仿宋" w:hAnsi="仿宋" w:eastAsia="仿宋"/>
          <w:color w:val="000000" w:themeColor="text1"/>
          <w:sz w:val="32"/>
          <w:szCs w:val="32"/>
          <w14:textFill>
            <w14:solidFill>
              <w14:schemeClr w14:val="tx1"/>
            </w14:solidFill>
          </w14:textFill>
        </w:rPr>
        <w:t>2</w:t>
      </w:r>
      <w:r>
        <w:rPr>
          <w:rFonts w:hint="eastAsia" w:ascii="仿宋" w:hAnsi="仿宋" w:eastAsia="仿宋" w:cs="Times New Roman"/>
          <w:color w:val="000000" w:themeColor="text1"/>
          <w:sz w:val="32"/>
          <w:szCs w:val="32"/>
          <w14:textFill>
            <w14:solidFill>
              <w14:schemeClr w14:val="tx1"/>
            </w14:solidFill>
          </w14:textFill>
        </w:rPr>
        <w:t>023年度财政拨款收、支总计均为14074.8万元。与2022年度相比，财政拨款收、支总计各增加9854.15万元，比上年增加233.47%。变化原因</w:t>
      </w:r>
      <w:r>
        <w:rPr>
          <w:rFonts w:hint="eastAsia" w:ascii="仿宋" w:hAnsi="仿宋" w:eastAsia="仿宋" w:cs="Times New Roman"/>
          <w:color w:val="000000" w:themeColor="text1"/>
          <w:sz w:val="32"/>
          <w:szCs w:val="32"/>
          <w:lang w:val="en-US" w:eastAsia="zh-CN"/>
          <w14:textFill>
            <w14:solidFill>
              <w14:schemeClr w14:val="tx1"/>
            </w14:solidFill>
          </w14:textFill>
        </w:rPr>
        <w:t>是</w:t>
      </w:r>
      <w:r>
        <w:rPr>
          <w:rFonts w:hint="eastAsia" w:ascii="仿宋" w:hAnsi="仿宋" w:eastAsia="仿宋" w:cs="Times New Roman"/>
          <w:color w:val="000000" w:themeColor="text1"/>
          <w:sz w:val="32"/>
          <w:szCs w:val="32"/>
          <w14:textFill>
            <w14:solidFill>
              <w14:schemeClr w14:val="tx1"/>
            </w14:solidFill>
          </w14:textFill>
        </w:rPr>
        <w:t>本年度项目增加2023年专项债券中国根书文化AAA级景区配套</w:t>
      </w:r>
      <w:r>
        <w:rPr>
          <w:rFonts w:hint="eastAsia" w:ascii="仿宋" w:hAnsi="仿宋" w:eastAsia="仿宋" w:cs="Times New Roman"/>
          <w:color w:val="000000" w:themeColor="text1"/>
          <w:sz w:val="32"/>
          <w:szCs w:val="32"/>
          <w:lang w:eastAsia="zh-CN"/>
          <w14:textFill>
            <w14:solidFill>
              <w14:schemeClr w14:val="tx1"/>
            </w14:solidFill>
          </w14:textFill>
        </w:rPr>
        <w:t>基础设施建设</w:t>
      </w:r>
      <w:r>
        <w:rPr>
          <w:rFonts w:hint="eastAsia" w:ascii="仿宋" w:hAnsi="仿宋" w:eastAsia="仿宋" w:cs="Times New Roman"/>
          <w:color w:val="000000" w:themeColor="text1"/>
          <w:sz w:val="32"/>
          <w:szCs w:val="32"/>
          <w14:textFill>
            <w14:solidFill>
              <w14:schemeClr w14:val="tx1"/>
            </w14:solidFill>
          </w14:textFill>
        </w:rPr>
        <w:t>项目。全年支出与上年度4220.66万元对比增加9854.15万元，比上年增加233.47%。变化原因</w:t>
      </w:r>
      <w:r>
        <w:rPr>
          <w:rFonts w:hint="eastAsia" w:ascii="仿宋" w:hAnsi="仿宋" w:eastAsia="仿宋" w:cs="Times New Roman"/>
          <w:color w:val="000000" w:themeColor="text1"/>
          <w:sz w:val="32"/>
          <w:szCs w:val="32"/>
          <w:lang w:val="en-US" w:eastAsia="zh-CN"/>
          <w14:textFill>
            <w14:solidFill>
              <w14:schemeClr w14:val="tx1"/>
            </w14:solidFill>
          </w14:textFill>
        </w:rPr>
        <w:t>是</w:t>
      </w:r>
      <w:r>
        <w:rPr>
          <w:rFonts w:hint="eastAsia" w:ascii="仿宋" w:hAnsi="仿宋" w:eastAsia="仿宋" w:cs="Times New Roman"/>
          <w:color w:val="000000" w:themeColor="text1"/>
          <w:sz w:val="32"/>
          <w:szCs w:val="32"/>
          <w14:textFill>
            <w14:solidFill>
              <w14:schemeClr w14:val="tx1"/>
            </w14:solidFill>
          </w14:textFill>
        </w:rPr>
        <w:t>：本年度项目增加2023年专项债券中国根书文化AAA级景区配套</w:t>
      </w:r>
      <w:r>
        <w:rPr>
          <w:rFonts w:hint="eastAsia" w:ascii="仿宋" w:hAnsi="仿宋" w:eastAsia="仿宋" w:cs="Times New Roman"/>
          <w:color w:val="000000" w:themeColor="text1"/>
          <w:sz w:val="32"/>
          <w:szCs w:val="32"/>
          <w:lang w:eastAsia="zh-CN"/>
          <w14:textFill>
            <w14:solidFill>
              <w14:schemeClr w14:val="tx1"/>
            </w14:solidFill>
          </w14:textFill>
        </w:rPr>
        <w:t>基础设施建设</w:t>
      </w:r>
      <w:r>
        <w:rPr>
          <w:rFonts w:hint="eastAsia" w:ascii="仿宋" w:hAnsi="仿宋" w:eastAsia="仿宋" w:cs="Times New Roman"/>
          <w:color w:val="000000" w:themeColor="text1"/>
          <w:sz w:val="32"/>
          <w:szCs w:val="32"/>
          <w14:textFill>
            <w14:solidFill>
              <w14:schemeClr w14:val="tx1"/>
            </w14:solidFill>
          </w14:textFill>
        </w:rPr>
        <w:t>项目。</w:t>
      </w:r>
    </w:p>
    <w:p>
      <w:pPr>
        <w:spacing w:line="600" w:lineRule="exact"/>
        <w:rPr>
          <w:rFonts w:ascii="仿宋" w:hAnsi="仿宋" w:eastAsia="仿宋"/>
          <w:b/>
          <w:sz w:val="32"/>
          <w:szCs w:val="32"/>
        </w:rPr>
      </w:pPr>
      <w:r>
        <w:rPr>
          <w:rFonts w:hint="eastAsia" w:ascii="仿宋" w:hAnsi="仿宋" w:eastAsia="仿宋"/>
          <w:sz w:val="32"/>
          <w:szCs w:val="32"/>
          <w:lang w:eastAsia="zh-CN"/>
        </w:rPr>
        <w:drawing>
          <wp:anchor distT="0" distB="0" distL="114300" distR="114300" simplePos="0" relativeHeight="251660288" behindDoc="0" locked="0" layoutInCell="1" allowOverlap="1">
            <wp:simplePos x="0" y="0"/>
            <wp:positionH relativeFrom="column">
              <wp:posOffset>18415</wp:posOffset>
            </wp:positionH>
            <wp:positionV relativeFrom="page">
              <wp:posOffset>3966845</wp:posOffset>
            </wp:positionV>
            <wp:extent cx="4815840" cy="2822575"/>
            <wp:effectExtent l="0" t="0" r="3810" b="15875"/>
            <wp:wrapTopAndBottom/>
            <wp:docPr id="6" name="图片 4"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图片3"/>
                    <pic:cNvPicPr>
                      <a:picLocks noChangeAspect="1"/>
                    </pic:cNvPicPr>
                  </pic:nvPicPr>
                  <pic:blipFill>
                    <a:blip r:embed="rId9"/>
                    <a:stretch>
                      <a:fillRect/>
                    </a:stretch>
                  </pic:blipFill>
                  <pic:spPr>
                    <a:xfrm>
                      <a:off x="0" y="0"/>
                      <a:ext cx="4815840" cy="2822575"/>
                    </a:xfrm>
                    <a:prstGeom prst="rect">
                      <a:avLst/>
                    </a:prstGeom>
                    <a:noFill/>
                    <a:ln>
                      <a:noFill/>
                    </a:ln>
                  </pic:spPr>
                </pic:pic>
              </a:graphicData>
            </a:graphic>
          </wp:anchor>
        </w:drawing>
      </w:r>
      <w:r>
        <w:rPr>
          <w:rFonts w:hint="eastAsia" w:ascii="仿宋" w:hAnsi="仿宋" w:eastAsia="仿宋"/>
          <w:sz w:val="32"/>
          <w:szCs w:val="32"/>
        </w:rPr>
        <w:t>（图4：财政拨款收、支决算总计变动情况）（柱状图）</w:t>
      </w:r>
    </w:p>
    <w:p>
      <w:pPr>
        <w:spacing w:line="600" w:lineRule="exact"/>
        <w:ind w:firstLine="640" w:firstLineChars="200"/>
        <w:outlineLvl w:val="1"/>
        <w:rPr>
          <w:rStyle w:val="30"/>
          <w:rFonts w:ascii="黑体" w:hAnsi="黑体" w:eastAsia="黑体"/>
          <w:b w:val="0"/>
        </w:rPr>
      </w:pPr>
      <w:bookmarkStart w:id="38" w:name="_Toc14370"/>
      <w:bookmarkStart w:id="39" w:name="_Toc15377209"/>
      <w:bookmarkStart w:id="40" w:name="_Toc15396607"/>
      <w:r>
        <w:rPr>
          <w:rFonts w:hint="eastAsia" w:ascii="黑体" w:hAnsi="黑体" w:eastAsia="黑体"/>
          <w:sz w:val="32"/>
          <w:szCs w:val="32"/>
        </w:rPr>
        <w:t>五、</w:t>
      </w:r>
      <w:r>
        <w:rPr>
          <w:rFonts w:hint="eastAsia" w:ascii="黑体" w:hAnsi="黑体" w:eastAsia="黑体"/>
          <w:b/>
          <w:sz w:val="32"/>
          <w:szCs w:val="32"/>
        </w:rPr>
        <w:t>一</w:t>
      </w:r>
      <w:r>
        <w:rPr>
          <w:rStyle w:val="30"/>
          <w:rFonts w:hint="eastAsia" w:ascii="黑体" w:hAnsi="黑体" w:eastAsia="黑体"/>
          <w:b w:val="0"/>
        </w:rPr>
        <w:t>般公共预算财政拨款支出决算情况说明</w:t>
      </w:r>
      <w:bookmarkEnd w:id="38"/>
      <w:bookmarkEnd w:id="39"/>
      <w:bookmarkEnd w:id="40"/>
    </w:p>
    <w:p>
      <w:pPr>
        <w:spacing w:line="600" w:lineRule="exact"/>
        <w:ind w:firstLine="643" w:firstLineChars="200"/>
        <w:outlineLvl w:val="2"/>
        <w:rPr>
          <w:rFonts w:ascii="仿宋" w:hAnsi="仿宋" w:eastAsia="仿宋"/>
          <w:b/>
          <w:sz w:val="32"/>
          <w:szCs w:val="32"/>
        </w:rPr>
      </w:pPr>
      <w:bookmarkStart w:id="41" w:name="_Toc15377210"/>
      <w:r>
        <w:rPr>
          <w:rFonts w:hint="eastAsia" w:ascii="仿宋" w:hAnsi="仿宋" w:eastAsia="仿宋"/>
          <w:b/>
          <w:sz w:val="32"/>
          <w:szCs w:val="32"/>
        </w:rPr>
        <w:t>（一）一般公共预算财政拨款支出决算总体情况</w:t>
      </w:r>
      <w:bookmarkEnd w:id="41"/>
    </w:p>
    <w:p>
      <w:pPr>
        <w:spacing w:line="600" w:lineRule="exact"/>
        <w:ind w:firstLine="640"/>
        <w:rPr>
          <w:rFonts w:hint="eastAsia" w:ascii="仿宋" w:hAnsi="仿宋" w:eastAsia="仿宋"/>
          <w:sz w:val="32"/>
          <w:szCs w:val="32"/>
          <w:lang w:eastAsia="zh-CN"/>
        </w:rPr>
      </w:pPr>
      <w:r>
        <w:rPr>
          <w:rFonts w:hint="eastAsia" w:ascii="仿宋" w:hAnsi="仿宋" w:eastAsia="仿宋" w:cs="Times New Roman"/>
          <w:sz w:val="32"/>
          <w:szCs w:val="32"/>
        </w:rPr>
        <w:t>2023年度一般公共预算财政拨款支出1020.79万元，占本年支出合计的7.25%。与2022年度相比，一般公共预算财政拨款支出减少</w:t>
      </w:r>
      <w:r>
        <w:rPr>
          <w:rFonts w:hint="eastAsia" w:ascii="仿宋" w:hAnsi="仿宋" w:eastAsia="仿宋" w:cs="Times New Roman"/>
          <w:sz w:val="32"/>
          <w:szCs w:val="32"/>
          <w:lang w:val="en-US" w:eastAsia="zh-CN"/>
        </w:rPr>
        <w:t>101.85</w:t>
      </w:r>
      <w:r>
        <w:rPr>
          <w:rFonts w:hint="eastAsia" w:ascii="仿宋" w:hAnsi="仿宋" w:eastAsia="仿宋" w:cs="Times New Roman"/>
          <w:sz w:val="32"/>
          <w:szCs w:val="32"/>
        </w:rPr>
        <w:t>万元，下降</w:t>
      </w:r>
      <w:r>
        <w:rPr>
          <w:rFonts w:hint="eastAsia" w:ascii="仿宋" w:hAnsi="仿宋" w:eastAsia="仿宋" w:cs="Times New Roman"/>
          <w:sz w:val="32"/>
          <w:szCs w:val="32"/>
          <w:lang w:val="en-US" w:eastAsia="zh-CN"/>
        </w:rPr>
        <w:t>9.07</w:t>
      </w:r>
      <w:r>
        <w:rPr>
          <w:rFonts w:hint="eastAsia" w:ascii="仿宋" w:hAnsi="仿宋" w:eastAsia="仿宋" w:cs="Times New Roman"/>
          <w:sz w:val="32"/>
          <w:szCs w:val="32"/>
        </w:rPr>
        <w:t>%。主要变动原因是本年度人员减少</w:t>
      </w:r>
      <w:r>
        <w:rPr>
          <w:rFonts w:hint="eastAsia" w:ascii="仿宋" w:hAnsi="仿宋" w:eastAsia="仿宋" w:cs="Times New Roman"/>
          <w:sz w:val="32"/>
          <w:szCs w:val="32"/>
          <w:lang w:eastAsia="zh-CN"/>
        </w:rPr>
        <w:t>。</w:t>
      </w:r>
    </w:p>
    <w:p>
      <w:pPr>
        <w:pStyle w:val="2"/>
        <w:rPr>
          <w:rFonts w:hint="eastAsia"/>
          <w:lang w:eastAsia="zh-CN"/>
        </w:rPr>
      </w:pPr>
      <w:r>
        <w:rPr>
          <w:rFonts w:hint="eastAsia" w:ascii="仿宋" w:hAnsi="仿宋" w:eastAsia="仿宋"/>
          <w:sz w:val="32"/>
          <w:szCs w:val="32"/>
          <w:lang w:eastAsia="zh-CN"/>
        </w:rPr>
        <w:drawing>
          <wp:inline distT="0" distB="0" distL="114300" distR="114300">
            <wp:extent cx="4883150" cy="2724785"/>
            <wp:effectExtent l="0" t="0" r="12700" b="18415"/>
            <wp:docPr id="7" name="图片 7"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片4"/>
                    <pic:cNvPicPr>
                      <a:picLocks noChangeAspect="1"/>
                    </pic:cNvPicPr>
                  </pic:nvPicPr>
                  <pic:blipFill>
                    <a:blip r:embed="rId10"/>
                    <a:stretch>
                      <a:fillRect/>
                    </a:stretch>
                  </pic:blipFill>
                  <pic:spPr>
                    <a:xfrm>
                      <a:off x="0" y="0"/>
                      <a:ext cx="4883150" cy="2724785"/>
                    </a:xfrm>
                    <a:prstGeom prst="rect">
                      <a:avLst/>
                    </a:prstGeom>
                  </pic:spPr>
                </pic:pic>
              </a:graphicData>
            </a:graphic>
          </wp:inline>
        </w:drawing>
      </w:r>
    </w:p>
    <w:p>
      <w:pPr>
        <w:spacing w:line="600" w:lineRule="exact"/>
        <w:rPr>
          <w:rFonts w:ascii="仿宋" w:hAnsi="仿宋" w:eastAsia="仿宋"/>
          <w:sz w:val="32"/>
          <w:szCs w:val="32"/>
        </w:rPr>
      </w:pPr>
      <w:r>
        <w:rPr>
          <w:rFonts w:hint="eastAsia" w:ascii="仿宋" w:hAnsi="仿宋" w:eastAsia="仿宋"/>
          <w:sz w:val="32"/>
          <w:szCs w:val="32"/>
        </w:rPr>
        <w:t>（图5：一般公共预算财政拨款支出决算变动情况）（柱状图）</w:t>
      </w:r>
    </w:p>
    <w:p>
      <w:pPr>
        <w:spacing w:line="600" w:lineRule="exact"/>
        <w:ind w:firstLine="643" w:firstLineChars="200"/>
        <w:outlineLvl w:val="2"/>
        <w:rPr>
          <w:rFonts w:ascii="仿宋" w:hAnsi="仿宋" w:eastAsia="仿宋"/>
          <w:b/>
          <w:sz w:val="32"/>
          <w:szCs w:val="32"/>
        </w:rPr>
      </w:pPr>
      <w:bookmarkStart w:id="42" w:name="_Toc15377211"/>
      <w:r>
        <w:rPr>
          <w:rFonts w:hint="eastAsia" w:ascii="仿宋" w:hAnsi="仿宋" w:eastAsia="仿宋"/>
          <w:b/>
          <w:sz w:val="32"/>
          <w:szCs w:val="32"/>
        </w:rPr>
        <w:t>（二）一般公共预算财政拨款支出决算结构情况</w:t>
      </w:r>
      <w:bookmarkEnd w:id="42"/>
    </w:p>
    <w:p>
      <w:pPr>
        <w:spacing w:line="600" w:lineRule="exact"/>
        <w:ind w:firstLine="640"/>
        <w:rPr>
          <w:rFonts w:hint="eastAsia" w:ascii="仿宋" w:hAnsi="仿宋" w:eastAsia="仿宋" w:cs="Times New Roman"/>
          <w:sz w:val="32"/>
          <w:szCs w:val="32"/>
          <w:lang w:eastAsia="zh-CN"/>
        </w:rPr>
      </w:pPr>
      <w:r>
        <w:rPr>
          <w:rFonts w:hint="eastAsia" w:eastAsia="宋体"/>
          <w:lang w:eastAsia="zh-CN"/>
        </w:rPr>
        <w:drawing>
          <wp:anchor distT="0" distB="0" distL="114300" distR="114300" simplePos="0" relativeHeight="251661312" behindDoc="0" locked="0" layoutInCell="1" allowOverlap="1">
            <wp:simplePos x="0" y="0"/>
            <wp:positionH relativeFrom="column">
              <wp:posOffset>379730</wp:posOffset>
            </wp:positionH>
            <wp:positionV relativeFrom="paragraph">
              <wp:posOffset>2071370</wp:posOffset>
            </wp:positionV>
            <wp:extent cx="4722495" cy="2689860"/>
            <wp:effectExtent l="0" t="0" r="1905" b="15240"/>
            <wp:wrapTopAndBottom/>
            <wp:docPr id="9" name="图片 9"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1"/>
                    <pic:cNvPicPr>
                      <a:picLocks noChangeAspect="1"/>
                    </pic:cNvPicPr>
                  </pic:nvPicPr>
                  <pic:blipFill>
                    <a:blip r:embed="rId11"/>
                    <a:stretch>
                      <a:fillRect/>
                    </a:stretch>
                  </pic:blipFill>
                  <pic:spPr>
                    <a:xfrm>
                      <a:off x="0" y="0"/>
                      <a:ext cx="4722495" cy="2689860"/>
                    </a:xfrm>
                    <a:prstGeom prst="rect">
                      <a:avLst/>
                    </a:prstGeom>
                  </pic:spPr>
                </pic:pic>
              </a:graphicData>
            </a:graphic>
          </wp:anchor>
        </w:drawing>
      </w:r>
      <w:r>
        <w:rPr>
          <w:rFonts w:hint="eastAsia" w:ascii="仿宋" w:hAnsi="仿宋" w:eastAsia="仿宋" w:cs="Times New Roman"/>
          <w:sz w:val="32"/>
          <w:szCs w:val="32"/>
        </w:rPr>
        <w:t>2023年度一般公共预算财政拨款支出1020.79万元，主要用于以下方面:一般公共服务支出15.16万元，占</w:t>
      </w:r>
      <w:r>
        <w:rPr>
          <w:rFonts w:hint="eastAsia" w:ascii="仿宋" w:hAnsi="仿宋" w:eastAsia="仿宋" w:cs="Times New Roman"/>
          <w:sz w:val="32"/>
          <w:szCs w:val="32"/>
          <w:lang w:val="en-US" w:eastAsia="zh-CN"/>
        </w:rPr>
        <w:t>1.48</w:t>
      </w:r>
      <w:r>
        <w:rPr>
          <w:rFonts w:hint="eastAsia" w:ascii="仿宋" w:hAnsi="仿宋" w:eastAsia="仿宋" w:cs="Times New Roman"/>
          <w:sz w:val="32"/>
          <w:szCs w:val="32"/>
        </w:rPr>
        <w:t>%；文化旅游体育与传媒支出931.68万元，占</w:t>
      </w:r>
      <w:r>
        <w:rPr>
          <w:rFonts w:hint="eastAsia" w:ascii="仿宋" w:hAnsi="仿宋" w:eastAsia="仿宋" w:cs="Times New Roman"/>
          <w:sz w:val="32"/>
          <w:szCs w:val="32"/>
          <w:lang w:val="en-US" w:eastAsia="zh-CN"/>
        </w:rPr>
        <w:t>91.27</w:t>
      </w:r>
      <w:r>
        <w:rPr>
          <w:rFonts w:hint="eastAsia" w:ascii="仿宋" w:hAnsi="仿宋" w:eastAsia="仿宋" w:cs="Times New Roman"/>
          <w:sz w:val="32"/>
          <w:szCs w:val="32"/>
        </w:rPr>
        <w:t>%；社会保障和就业支出44.49万元，占</w:t>
      </w:r>
      <w:r>
        <w:rPr>
          <w:rFonts w:hint="eastAsia" w:ascii="仿宋" w:hAnsi="仿宋" w:eastAsia="仿宋" w:cs="Times New Roman"/>
          <w:sz w:val="32"/>
          <w:szCs w:val="32"/>
          <w:lang w:val="en-US" w:eastAsia="zh-CN"/>
        </w:rPr>
        <w:t>4.35</w:t>
      </w:r>
      <w:r>
        <w:rPr>
          <w:rFonts w:hint="eastAsia" w:ascii="仿宋" w:hAnsi="仿宋" w:eastAsia="仿宋" w:cs="Times New Roman"/>
          <w:sz w:val="32"/>
          <w:szCs w:val="32"/>
        </w:rPr>
        <w:t>%；卫生健康支出</w:t>
      </w:r>
      <w:r>
        <w:rPr>
          <w:rFonts w:hint="eastAsia" w:ascii="仿宋" w:hAnsi="仿宋" w:eastAsia="仿宋" w:cs="Times New Roman"/>
          <w:sz w:val="32"/>
          <w:szCs w:val="32"/>
          <w:lang w:val="en-US" w:eastAsia="zh-CN"/>
        </w:rPr>
        <w:t>9.51</w:t>
      </w:r>
      <w:r>
        <w:rPr>
          <w:rFonts w:hint="eastAsia" w:ascii="仿宋" w:hAnsi="仿宋" w:eastAsia="仿宋" w:cs="Times New Roman"/>
          <w:sz w:val="32"/>
          <w:szCs w:val="32"/>
        </w:rPr>
        <w:t>万元，占0.</w:t>
      </w:r>
      <w:r>
        <w:rPr>
          <w:rFonts w:hint="eastAsia" w:ascii="仿宋" w:hAnsi="仿宋" w:eastAsia="仿宋" w:cs="Times New Roman"/>
          <w:sz w:val="32"/>
          <w:szCs w:val="32"/>
          <w:lang w:val="en-US" w:eastAsia="zh-CN"/>
        </w:rPr>
        <w:t>93</w:t>
      </w:r>
      <w:r>
        <w:rPr>
          <w:rFonts w:hint="eastAsia" w:ascii="仿宋" w:hAnsi="仿宋" w:eastAsia="仿宋" w:cs="Times New Roman"/>
          <w:sz w:val="32"/>
          <w:szCs w:val="32"/>
        </w:rPr>
        <w:t>%</w:t>
      </w:r>
      <w:r>
        <w:rPr>
          <w:rFonts w:hint="eastAsia" w:ascii="仿宋" w:hAnsi="仿宋" w:eastAsia="仿宋" w:cs="Times New Roman"/>
          <w:sz w:val="32"/>
          <w:szCs w:val="32"/>
          <w:lang w:val="en-US" w:eastAsia="zh-CN"/>
        </w:rPr>
        <w:t>；</w:t>
      </w:r>
      <w:r>
        <w:rPr>
          <w:rFonts w:hint="eastAsia" w:ascii="仿宋" w:hAnsi="仿宋" w:eastAsia="仿宋" w:cs="Times New Roman"/>
          <w:sz w:val="32"/>
          <w:szCs w:val="32"/>
        </w:rPr>
        <w:t>住房保障支出19.95万元，占</w:t>
      </w:r>
      <w:r>
        <w:rPr>
          <w:rFonts w:hint="eastAsia" w:ascii="仿宋" w:hAnsi="仿宋" w:eastAsia="仿宋" w:cs="Times New Roman"/>
          <w:sz w:val="32"/>
          <w:szCs w:val="32"/>
          <w:lang w:val="en-US" w:eastAsia="zh-CN"/>
        </w:rPr>
        <w:t>1.95</w:t>
      </w:r>
      <w:r>
        <w:rPr>
          <w:rFonts w:hint="eastAsia" w:ascii="仿宋" w:hAnsi="仿宋" w:eastAsia="仿宋" w:cs="Times New Roman"/>
          <w:sz w:val="32"/>
          <w:szCs w:val="32"/>
        </w:rPr>
        <w:t>%</w:t>
      </w:r>
      <w:r>
        <w:rPr>
          <w:rFonts w:hint="eastAsia" w:ascii="仿宋" w:hAnsi="仿宋" w:eastAsia="仿宋" w:cs="Times New Roman"/>
          <w:sz w:val="32"/>
          <w:szCs w:val="32"/>
          <w:lang w:eastAsia="zh-CN"/>
        </w:rPr>
        <w:t>。</w:t>
      </w:r>
    </w:p>
    <w:p>
      <w:pPr>
        <w:spacing w:line="600" w:lineRule="exact"/>
        <w:rPr>
          <w:rFonts w:ascii="仿宋" w:hAnsi="仿宋" w:eastAsia="仿宋"/>
          <w:sz w:val="32"/>
          <w:szCs w:val="32"/>
        </w:rPr>
      </w:pPr>
      <w:r>
        <w:rPr>
          <w:rFonts w:hint="eastAsia" w:ascii="仿宋" w:hAnsi="仿宋" w:eastAsia="仿宋"/>
          <w:sz w:val="32"/>
          <w:szCs w:val="32"/>
        </w:rPr>
        <w:t>（图6：一般公共预算财政拨款支出决算结构）（饼状图）</w:t>
      </w:r>
    </w:p>
    <w:p>
      <w:pPr>
        <w:spacing w:line="600" w:lineRule="exact"/>
        <w:ind w:firstLine="643" w:firstLineChars="200"/>
        <w:outlineLvl w:val="2"/>
        <w:rPr>
          <w:rFonts w:ascii="仿宋" w:hAnsi="仿宋" w:eastAsia="仿宋"/>
          <w:b/>
          <w:sz w:val="32"/>
          <w:szCs w:val="32"/>
        </w:rPr>
      </w:pPr>
      <w:bookmarkStart w:id="43" w:name="_Toc15377212"/>
      <w:r>
        <w:rPr>
          <w:rFonts w:hint="eastAsia" w:ascii="仿宋" w:hAnsi="仿宋" w:eastAsia="仿宋"/>
          <w:b/>
          <w:sz w:val="32"/>
          <w:szCs w:val="32"/>
        </w:rPr>
        <w:t>（三）一般公共预算财政拨款支出决算具体情况</w:t>
      </w:r>
      <w:bookmarkEnd w:id="43"/>
    </w:p>
    <w:p>
      <w:pPr>
        <w:spacing w:line="600" w:lineRule="exact"/>
        <w:ind w:firstLine="640"/>
        <w:rPr>
          <w:rFonts w:hint="eastAsia" w:ascii="仿宋" w:hAnsi="仿宋" w:eastAsia="仿宋" w:cs="Times New Roman"/>
          <w:sz w:val="32"/>
          <w:szCs w:val="32"/>
        </w:rPr>
      </w:pPr>
      <w:bookmarkStart w:id="44" w:name="_Toc15378460"/>
      <w:bookmarkStart w:id="45" w:name="_Toc15377213"/>
      <w:bookmarkStart w:id="46" w:name="_Toc15377444"/>
      <w:r>
        <w:rPr>
          <w:rFonts w:hint="eastAsia" w:ascii="仿宋" w:hAnsi="仿宋" w:eastAsia="仿宋" w:cs="Times New Roman"/>
          <w:sz w:val="32"/>
          <w:szCs w:val="32"/>
        </w:rPr>
        <w:t>2023年度一般公共预算支出决算数为1020.79</w:t>
      </w:r>
      <w:r>
        <w:rPr>
          <w:rFonts w:hint="eastAsia" w:ascii="仿宋" w:hAnsi="仿宋" w:eastAsia="仿宋" w:cs="Times New Roman"/>
          <w:sz w:val="32"/>
          <w:szCs w:val="32"/>
          <w:lang w:val="en-US" w:eastAsia="zh-CN"/>
        </w:rPr>
        <w:t>万元</w:t>
      </w:r>
      <w:r>
        <w:rPr>
          <w:rFonts w:hint="eastAsia" w:ascii="仿宋" w:hAnsi="仿宋" w:eastAsia="仿宋" w:cs="Times New Roman"/>
          <w:sz w:val="32"/>
          <w:szCs w:val="32"/>
        </w:rPr>
        <w:t>，完成预算</w:t>
      </w:r>
      <w:r>
        <w:rPr>
          <w:rFonts w:hint="eastAsia" w:ascii="仿宋" w:hAnsi="仿宋" w:eastAsia="仿宋" w:cs="Times New Roman"/>
          <w:sz w:val="32"/>
          <w:szCs w:val="32"/>
          <w:lang w:val="en-US" w:eastAsia="zh-CN"/>
        </w:rPr>
        <w:t>100</w:t>
      </w:r>
      <w:r>
        <w:rPr>
          <w:rFonts w:hint="eastAsia" w:ascii="仿宋" w:hAnsi="仿宋" w:eastAsia="仿宋" w:cs="Times New Roman"/>
          <w:sz w:val="32"/>
          <w:szCs w:val="32"/>
        </w:rPr>
        <w:t>%。其中：</w:t>
      </w:r>
      <w:bookmarkEnd w:id="44"/>
      <w:bookmarkEnd w:id="45"/>
      <w:bookmarkEnd w:id="46"/>
    </w:p>
    <w:p>
      <w:pPr>
        <w:numPr>
          <w:ilvl w:val="0"/>
          <w:numId w:val="3"/>
        </w:numPr>
        <w:spacing w:line="600" w:lineRule="exact"/>
        <w:ind w:left="425" w:leftChars="0" w:hanging="425" w:firstLineChars="0"/>
        <w:rPr>
          <w:rFonts w:hint="eastAsia" w:ascii="仿宋" w:hAnsi="仿宋" w:eastAsia="仿宋" w:cs="Times New Roman"/>
          <w:sz w:val="32"/>
          <w:szCs w:val="32"/>
          <w:lang w:eastAsia="zh-CN"/>
        </w:rPr>
      </w:pPr>
      <w:r>
        <w:rPr>
          <w:rFonts w:hint="eastAsia" w:ascii="仿宋" w:hAnsi="仿宋" w:eastAsia="仿宋" w:cs="Times New Roman"/>
          <w:sz w:val="32"/>
          <w:szCs w:val="32"/>
        </w:rPr>
        <w:t>一般公共服务支出（类）财政事务（款）其他财政事务支出（项）支出15.16万元，完成预算100%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lang w:eastAsia="zh-CN"/>
        </w:rPr>
      </w:pPr>
      <w:r>
        <w:rPr>
          <w:rFonts w:hint="eastAsia" w:ascii="仿宋" w:hAnsi="仿宋" w:eastAsia="仿宋" w:cs="Times New Roman"/>
          <w:sz w:val="32"/>
          <w:szCs w:val="32"/>
        </w:rPr>
        <w:t>文化旅游体育与传媒支出（类）文化和旅游（款）行政运行（项）支出236.38万元，完成预算100%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lang w:eastAsia="zh-CN"/>
        </w:rPr>
      </w:pPr>
      <w:r>
        <w:rPr>
          <w:rFonts w:hint="eastAsia" w:ascii="仿宋" w:hAnsi="仿宋" w:eastAsia="仿宋" w:cs="Times New Roman"/>
          <w:sz w:val="32"/>
          <w:szCs w:val="32"/>
        </w:rPr>
        <w:t>文化旅游体育与传媒支出（类）文化和旅游（款）一般行政管理事务（项）支出2.42万元，完成预算100%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rPr>
      </w:pPr>
      <w:r>
        <w:rPr>
          <w:rFonts w:hint="eastAsia" w:ascii="仿宋" w:hAnsi="仿宋" w:eastAsia="仿宋" w:cs="Times New Roman"/>
          <w:sz w:val="32"/>
          <w:szCs w:val="32"/>
        </w:rPr>
        <w:t>文化旅游体育与传媒支出（类）文化和旅游（款）其他文化和旅游支出（项）支出243.48万元，完成预算100%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rPr>
      </w:pPr>
      <w:r>
        <w:rPr>
          <w:rFonts w:hint="eastAsia" w:ascii="仿宋" w:hAnsi="仿宋" w:eastAsia="仿宋" w:cs="Times New Roman"/>
          <w:sz w:val="32"/>
          <w:szCs w:val="32"/>
        </w:rPr>
        <w:t>文化旅游体育与传媒支出（类）文物（款）其他文物支出（项）支出</w:t>
      </w:r>
      <w:r>
        <w:rPr>
          <w:rFonts w:hint="eastAsia" w:ascii="仿宋" w:hAnsi="仿宋" w:eastAsia="仿宋" w:cs="Times New Roman"/>
          <w:sz w:val="32"/>
          <w:szCs w:val="32"/>
          <w:lang w:val="en-US" w:eastAsia="zh-CN"/>
        </w:rPr>
        <w:t>1.70</w:t>
      </w:r>
      <w:r>
        <w:rPr>
          <w:rFonts w:hint="eastAsia" w:ascii="仿宋" w:hAnsi="仿宋" w:eastAsia="仿宋" w:cs="Times New Roman"/>
          <w:sz w:val="32"/>
          <w:szCs w:val="32"/>
        </w:rPr>
        <w:t>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rPr>
      </w:pPr>
      <w:r>
        <w:rPr>
          <w:rFonts w:hint="eastAsia" w:ascii="仿宋" w:hAnsi="仿宋" w:eastAsia="仿宋" w:cs="Times New Roman"/>
          <w:sz w:val="32"/>
          <w:szCs w:val="32"/>
        </w:rPr>
        <w:t>文化旅游体育与传媒支出（类）体育（款）行政运行（项）支出</w:t>
      </w:r>
      <w:r>
        <w:rPr>
          <w:rFonts w:hint="eastAsia" w:ascii="仿宋" w:hAnsi="仿宋" w:eastAsia="仿宋" w:cs="Times New Roman"/>
          <w:sz w:val="32"/>
          <w:szCs w:val="32"/>
          <w:lang w:val="en-US" w:eastAsia="zh-CN"/>
        </w:rPr>
        <w:t>1.67</w:t>
      </w:r>
      <w:r>
        <w:rPr>
          <w:rFonts w:hint="eastAsia" w:ascii="仿宋" w:hAnsi="仿宋" w:eastAsia="仿宋" w:cs="Times New Roman"/>
          <w:sz w:val="32"/>
          <w:szCs w:val="32"/>
        </w:rPr>
        <w:t>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highlight w:val="none"/>
        </w:rPr>
      </w:pPr>
      <w:r>
        <w:rPr>
          <w:rFonts w:hint="eastAsia" w:ascii="仿宋" w:hAnsi="仿宋" w:eastAsia="仿宋" w:cs="Times New Roman"/>
          <w:sz w:val="32"/>
          <w:szCs w:val="32"/>
        </w:rPr>
        <w:t>文化旅游体育与传媒支出（类）体育（款）体育场馆（项）支出</w:t>
      </w:r>
      <w:r>
        <w:rPr>
          <w:rFonts w:hint="eastAsia" w:ascii="仿宋" w:hAnsi="仿宋" w:eastAsia="仿宋" w:cs="Times New Roman"/>
          <w:sz w:val="32"/>
          <w:szCs w:val="32"/>
          <w:lang w:val="en-US" w:eastAsia="zh-CN"/>
        </w:rPr>
        <w:t>37.08</w:t>
      </w:r>
      <w:r>
        <w:rPr>
          <w:rFonts w:hint="eastAsia" w:ascii="仿宋" w:hAnsi="仿宋" w:eastAsia="仿宋" w:cs="Times New Roman"/>
          <w:sz w:val="32"/>
          <w:szCs w:val="32"/>
        </w:rPr>
        <w:t>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rPr>
      </w:pPr>
      <w:r>
        <w:rPr>
          <w:rFonts w:hint="eastAsia" w:ascii="仿宋" w:hAnsi="仿宋" w:eastAsia="仿宋" w:cs="Times New Roman"/>
          <w:sz w:val="32"/>
          <w:szCs w:val="32"/>
          <w:highlight w:val="none"/>
        </w:rPr>
        <w:t>文化旅游体育与传媒支出（类）体育（款）群众体育（项）支出</w:t>
      </w:r>
      <w:r>
        <w:rPr>
          <w:rFonts w:hint="eastAsia" w:ascii="仿宋" w:hAnsi="仿宋" w:eastAsia="仿宋" w:cs="Times New Roman"/>
          <w:sz w:val="32"/>
          <w:szCs w:val="32"/>
          <w:highlight w:val="none"/>
          <w:lang w:val="en-US" w:eastAsia="zh-CN"/>
        </w:rPr>
        <w:t>15</w:t>
      </w:r>
      <w:r>
        <w:rPr>
          <w:rFonts w:hint="eastAsia" w:ascii="仿宋" w:hAnsi="仿宋" w:eastAsia="仿宋" w:cs="Times New Roman"/>
          <w:sz w:val="32"/>
          <w:szCs w:val="32"/>
          <w:highlight w:val="none"/>
        </w:rPr>
        <w:t>万元，完成预算100%</w:t>
      </w:r>
      <w:r>
        <w:rPr>
          <w:rFonts w:hint="eastAsia" w:ascii="仿宋" w:hAnsi="仿宋" w:eastAsia="仿宋" w:cs="Times New Roman"/>
          <w:sz w:val="32"/>
          <w:szCs w:val="32"/>
          <w:highlight w:val="none"/>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rPr>
      </w:pPr>
      <w:r>
        <w:rPr>
          <w:rFonts w:hint="eastAsia" w:ascii="仿宋" w:hAnsi="仿宋" w:eastAsia="仿宋" w:cs="Times New Roman"/>
          <w:sz w:val="32"/>
          <w:szCs w:val="32"/>
        </w:rPr>
        <w:t>文化旅游体育与传媒支出（类）广播电视（款）其他广播电视支出（项）支出275.34万元，完成预算100%.</w:t>
      </w:r>
    </w:p>
    <w:p>
      <w:pPr>
        <w:numPr>
          <w:ilvl w:val="0"/>
          <w:numId w:val="3"/>
        </w:numPr>
        <w:spacing w:line="600" w:lineRule="exact"/>
        <w:ind w:left="425" w:leftChars="0" w:hanging="425" w:firstLineChars="0"/>
        <w:rPr>
          <w:rFonts w:hint="eastAsia" w:ascii="仿宋" w:hAnsi="仿宋" w:eastAsia="仿宋" w:cs="Times New Roman"/>
          <w:sz w:val="32"/>
          <w:szCs w:val="32"/>
        </w:rPr>
      </w:pPr>
      <w:r>
        <w:rPr>
          <w:rFonts w:hint="eastAsia" w:ascii="仿宋" w:hAnsi="仿宋" w:eastAsia="仿宋" w:cs="Times New Roman"/>
          <w:sz w:val="32"/>
          <w:szCs w:val="32"/>
        </w:rPr>
        <w:t>文化旅游体育与传媒支出（类）其他文化旅游体育与传媒支出（款）其他文化旅游体育与传媒支出（项）支出</w:t>
      </w:r>
      <w:r>
        <w:rPr>
          <w:rFonts w:hint="eastAsia" w:ascii="仿宋" w:hAnsi="仿宋" w:eastAsia="仿宋" w:cs="Times New Roman"/>
          <w:sz w:val="32"/>
          <w:szCs w:val="32"/>
          <w:highlight w:val="none"/>
          <w:lang w:val="en-US" w:eastAsia="zh-CN"/>
        </w:rPr>
        <w:t>118.61</w:t>
      </w:r>
      <w:r>
        <w:rPr>
          <w:rFonts w:hint="eastAsia" w:ascii="仿宋" w:hAnsi="仿宋" w:eastAsia="仿宋" w:cs="Times New Roman"/>
          <w:sz w:val="32"/>
          <w:szCs w:val="32"/>
        </w:rPr>
        <w:t>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rPr>
      </w:pPr>
      <w:r>
        <w:rPr>
          <w:rFonts w:hint="eastAsia" w:ascii="仿宋" w:hAnsi="仿宋" w:eastAsia="仿宋" w:cs="Times New Roman"/>
          <w:sz w:val="32"/>
          <w:szCs w:val="32"/>
        </w:rPr>
        <w:t>社会保障和就业支出（类）行政事业单位养老支出（款）机关事业单位基本养老保险缴费支出（项）支出23.13万元，完成预算100%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rPr>
      </w:pPr>
      <w:r>
        <w:rPr>
          <w:rFonts w:hint="eastAsia" w:ascii="仿宋" w:hAnsi="仿宋" w:eastAsia="仿宋" w:cs="Times New Roman"/>
          <w:sz w:val="32"/>
          <w:szCs w:val="32"/>
        </w:rPr>
        <w:t>社会保障和就业支出（类）行政事业单位养老支出（款）机关事业单位职业年金缴费支出（项）支出11.56万元，完成预算100%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rPr>
      </w:pPr>
      <w:r>
        <w:rPr>
          <w:rFonts w:hint="eastAsia" w:ascii="仿宋" w:hAnsi="仿宋" w:eastAsia="仿宋" w:cs="Times New Roman"/>
          <w:sz w:val="32"/>
          <w:szCs w:val="32"/>
        </w:rPr>
        <w:t>社会保障和就业支出（类）行政事业单位养老支出（款）其他行政事业单位养老支出（项）支出9.80万元，完成预算100%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hint="eastAsia" w:ascii="仿宋" w:hAnsi="仿宋" w:eastAsia="仿宋" w:cs="Times New Roman"/>
          <w:sz w:val="32"/>
          <w:szCs w:val="32"/>
        </w:rPr>
      </w:pPr>
      <w:r>
        <w:rPr>
          <w:rFonts w:hint="eastAsia" w:ascii="仿宋" w:hAnsi="仿宋" w:eastAsia="仿宋" w:cs="Times New Roman"/>
          <w:sz w:val="32"/>
          <w:szCs w:val="32"/>
        </w:rPr>
        <w:t>卫生健康支出（类）行政事业单位医疗（款）行政单位医疗（项）支出6.21万元，完成预算100%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ascii="仿宋" w:hAnsi="仿宋" w:eastAsia="仿宋"/>
          <w:b/>
          <w:sz w:val="32"/>
          <w:szCs w:val="32"/>
        </w:rPr>
      </w:pPr>
      <w:r>
        <w:rPr>
          <w:rFonts w:hint="eastAsia" w:ascii="仿宋" w:hAnsi="仿宋" w:eastAsia="仿宋" w:cs="Times New Roman"/>
          <w:sz w:val="32"/>
          <w:szCs w:val="32"/>
        </w:rPr>
        <w:t>卫生健康支出（类）行政事业单位医疗（款）公务员医疗补助（项）支出3.30万元，完成预算100%</w:t>
      </w:r>
      <w:r>
        <w:rPr>
          <w:rFonts w:hint="eastAsia" w:ascii="仿宋" w:hAnsi="仿宋" w:eastAsia="仿宋" w:cs="Times New Roman"/>
          <w:sz w:val="32"/>
          <w:szCs w:val="32"/>
          <w:lang w:eastAsia="zh-CN"/>
        </w:rPr>
        <w:t>。</w:t>
      </w:r>
    </w:p>
    <w:p>
      <w:pPr>
        <w:numPr>
          <w:ilvl w:val="0"/>
          <w:numId w:val="3"/>
        </w:numPr>
        <w:spacing w:line="600" w:lineRule="exact"/>
        <w:ind w:left="425" w:leftChars="0" w:hanging="425" w:firstLineChars="0"/>
        <w:rPr>
          <w:rFonts w:ascii="仿宋" w:hAnsi="仿宋" w:eastAsia="仿宋"/>
          <w:b/>
          <w:sz w:val="32"/>
          <w:szCs w:val="32"/>
        </w:rPr>
      </w:pPr>
      <w:r>
        <w:rPr>
          <w:rFonts w:hint="eastAsia" w:ascii="仿宋" w:hAnsi="仿宋" w:eastAsia="仿宋" w:cs="Times New Roman"/>
          <w:sz w:val="32"/>
          <w:szCs w:val="32"/>
        </w:rPr>
        <w:t>住房保障支出（类）住房改革支出（款）住房公积金（项）支出</w:t>
      </w:r>
      <w:r>
        <w:rPr>
          <w:rFonts w:hint="eastAsia" w:ascii="仿宋" w:hAnsi="仿宋" w:eastAsia="仿宋" w:cs="Times New Roman"/>
          <w:sz w:val="32"/>
          <w:szCs w:val="32"/>
          <w:lang w:val="en-US" w:eastAsia="zh-CN"/>
        </w:rPr>
        <w:t>19.95</w:t>
      </w:r>
      <w:r>
        <w:rPr>
          <w:rFonts w:hint="eastAsia" w:ascii="仿宋" w:hAnsi="仿宋" w:eastAsia="仿宋" w:cs="Times New Roman"/>
          <w:sz w:val="32"/>
          <w:szCs w:val="32"/>
        </w:rPr>
        <w:t>万元，完成预算100%</w:t>
      </w:r>
      <w:r>
        <w:rPr>
          <w:rFonts w:hint="eastAsia" w:ascii="仿宋" w:hAnsi="仿宋" w:eastAsia="仿宋" w:cs="Times New Roman"/>
          <w:sz w:val="32"/>
          <w:szCs w:val="32"/>
          <w:lang w:eastAsia="zh-CN"/>
        </w:rPr>
        <w:t>。</w:t>
      </w:r>
    </w:p>
    <w:p>
      <w:pPr>
        <w:tabs>
          <w:tab w:val="right" w:pos="8306"/>
        </w:tabs>
        <w:spacing w:line="600" w:lineRule="exact"/>
        <w:ind w:firstLine="640"/>
        <w:outlineLvl w:val="1"/>
        <w:rPr>
          <w:rStyle w:val="30"/>
        </w:rPr>
      </w:pPr>
      <w:bookmarkStart w:id="47" w:name="_Toc15377214"/>
      <w:bookmarkStart w:id="48" w:name="_Toc15396608"/>
      <w:bookmarkStart w:id="49" w:name="_Toc9684"/>
      <w:r>
        <w:rPr>
          <w:rFonts w:hint="eastAsia" w:ascii="黑体" w:eastAsia="黑体"/>
          <w:sz w:val="32"/>
          <w:szCs w:val="32"/>
        </w:rPr>
        <w:t>六</w:t>
      </w:r>
      <w:r>
        <w:rPr>
          <w:rFonts w:hint="eastAsia" w:ascii="黑体" w:eastAsia="黑体"/>
          <w:b/>
          <w:sz w:val="32"/>
          <w:szCs w:val="32"/>
        </w:rPr>
        <w:t>、</w:t>
      </w:r>
      <w:r>
        <w:rPr>
          <w:rFonts w:hint="eastAsia" w:ascii="黑体" w:hAnsi="黑体" w:eastAsia="黑体"/>
          <w:b/>
          <w:sz w:val="32"/>
          <w:szCs w:val="32"/>
        </w:rPr>
        <w:t>一</w:t>
      </w:r>
      <w:r>
        <w:rPr>
          <w:rStyle w:val="30"/>
          <w:rFonts w:hint="eastAsia" w:ascii="黑体" w:hAnsi="黑体" w:eastAsia="黑体"/>
          <w:b w:val="0"/>
        </w:rPr>
        <w:t>般公共预算财政拨款基本支出决算情况说明</w:t>
      </w:r>
      <w:bookmarkEnd w:id="47"/>
      <w:bookmarkEnd w:id="48"/>
      <w:bookmarkEnd w:id="49"/>
      <w:r>
        <w:rPr>
          <w:rStyle w:val="30"/>
          <w:rFonts w:ascii="黑体" w:hAnsi="黑体" w:eastAsia="黑体"/>
          <w:b w:val="0"/>
        </w:rPr>
        <w:tab/>
      </w:r>
    </w:p>
    <w:p>
      <w:pPr>
        <w:spacing w:line="600" w:lineRule="exact"/>
        <w:ind w:firstLine="640"/>
        <w:rPr>
          <w:rFonts w:hint="eastAsia" w:ascii="仿宋" w:hAnsi="仿宋" w:eastAsia="仿宋" w:cs="Times New Roman"/>
          <w:sz w:val="32"/>
          <w:szCs w:val="32"/>
        </w:rPr>
      </w:pPr>
      <w:r>
        <w:rPr>
          <w:rFonts w:hint="eastAsia" w:ascii="仿宋" w:hAnsi="仿宋" w:eastAsia="仿宋" w:cs="Times New Roman"/>
          <w:sz w:val="32"/>
          <w:szCs w:val="32"/>
        </w:rPr>
        <w:t>2023年度一般公共预算财政拨款基本支出312万元，其中：</w:t>
      </w:r>
    </w:p>
    <w:p>
      <w:pPr>
        <w:spacing w:line="600" w:lineRule="exact"/>
        <w:ind w:firstLine="640"/>
        <w:rPr>
          <w:rFonts w:hint="eastAsia" w:ascii="仿宋" w:hAnsi="仿宋" w:eastAsia="仿宋" w:cs="Times New Roman"/>
          <w:sz w:val="32"/>
          <w:szCs w:val="32"/>
        </w:rPr>
      </w:pPr>
      <w:r>
        <w:rPr>
          <w:rFonts w:hint="eastAsia" w:ascii="仿宋" w:hAnsi="仿宋" w:eastAsia="仿宋" w:cs="Times New Roman"/>
          <w:sz w:val="32"/>
          <w:szCs w:val="32"/>
        </w:rPr>
        <w:t>人员经费275.88万元，主要包括：基本工资、津贴补贴、奖金、伙食补助费、机关事业单位基本养老保险缴费、职业年金缴费、职工基本医疗保险缴费、公务员医疗补助缴费、其他社会保障缴费、住房公积金、其他工资福利支出、其他对个人和家庭的补助。</w:t>
      </w:r>
    </w:p>
    <w:p>
      <w:pPr>
        <w:spacing w:line="600" w:lineRule="exact"/>
        <w:ind w:firstLine="640"/>
        <w:rPr>
          <w:rFonts w:hint="eastAsia" w:ascii="仿宋" w:hAnsi="仿宋" w:eastAsia="仿宋" w:cs="Times New Roman"/>
          <w:sz w:val="32"/>
          <w:szCs w:val="32"/>
        </w:rPr>
      </w:pPr>
      <w:r>
        <w:rPr>
          <w:rFonts w:hint="eastAsia" w:ascii="仿宋" w:hAnsi="仿宋" w:eastAsia="仿宋" w:cs="Times New Roman"/>
          <w:sz w:val="32"/>
          <w:szCs w:val="32"/>
        </w:rPr>
        <w:t>公用经费36.12万元，主要包括：办公费、</w:t>
      </w:r>
      <w:r>
        <w:rPr>
          <w:rFonts w:hint="eastAsia" w:ascii="仿宋" w:hAnsi="仿宋" w:eastAsia="仿宋" w:cs="Times New Roman"/>
          <w:sz w:val="32"/>
          <w:szCs w:val="32"/>
          <w:lang w:val="en-US" w:eastAsia="zh-CN"/>
        </w:rPr>
        <w:t>印刷费、</w:t>
      </w:r>
      <w:r>
        <w:rPr>
          <w:rFonts w:hint="eastAsia" w:ascii="仿宋" w:hAnsi="仿宋" w:eastAsia="仿宋" w:cs="Times New Roman"/>
          <w:sz w:val="32"/>
          <w:szCs w:val="32"/>
        </w:rPr>
        <w:t>水费、电费、邮电费、差旅费、维修（护）费、劳务费、委托业务费、工会经费、福利费、</w:t>
      </w:r>
      <w:r>
        <w:rPr>
          <w:rFonts w:hint="eastAsia" w:ascii="仿宋" w:hAnsi="仿宋" w:eastAsia="仿宋" w:cs="Times New Roman"/>
          <w:sz w:val="32"/>
          <w:szCs w:val="32"/>
          <w:lang w:val="en-US" w:eastAsia="zh-CN"/>
        </w:rPr>
        <w:t>其他交通费用、</w:t>
      </w:r>
      <w:r>
        <w:rPr>
          <w:rFonts w:hint="eastAsia" w:ascii="仿宋" w:hAnsi="仿宋" w:eastAsia="仿宋" w:cs="Times New Roman"/>
          <w:sz w:val="32"/>
          <w:szCs w:val="32"/>
        </w:rPr>
        <w:t>其他商品和服务支出。</w:t>
      </w:r>
    </w:p>
    <w:p>
      <w:pPr>
        <w:spacing w:line="600" w:lineRule="exact"/>
        <w:ind w:firstLine="640"/>
        <w:outlineLvl w:val="1"/>
        <w:rPr>
          <w:rStyle w:val="35"/>
          <w:rFonts w:ascii="黑体" w:hAnsi="黑体" w:eastAsia="黑体"/>
          <w:b w:val="0"/>
          <w:color w:val="auto"/>
          <w:highlight w:val="none"/>
        </w:rPr>
      </w:pPr>
      <w:bookmarkStart w:id="50" w:name="_Toc15565"/>
      <w:r>
        <w:rPr>
          <w:rFonts w:hint="eastAsia" w:ascii="黑体" w:eastAsia="黑体"/>
          <w:color w:val="auto"/>
          <w:sz w:val="32"/>
          <w:szCs w:val="32"/>
          <w:highlight w:val="none"/>
        </w:rPr>
        <w:t>七、</w:t>
      </w:r>
      <w:r>
        <w:rPr>
          <w:rStyle w:val="35"/>
          <w:rFonts w:hint="eastAsia" w:ascii="黑体" w:hAnsi="黑体" w:eastAsia="黑体"/>
          <w:b w:val="0"/>
          <w:color w:val="auto"/>
          <w:highlight w:val="none"/>
        </w:rPr>
        <w:t>财政拨款</w:t>
      </w:r>
      <w:r>
        <w:rPr>
          <w:rStyle w:val="35"/>
          <w:rFonts w:hint="eastAsia" w:ascii="黑体" w:hAnsi="黑体" w:eastAsia="黑体"/>
          <w:color w:val="auto"/>
          <w:highlight w:val="none"/>
        </w:rPr>
        <w:t>“</w:t>
      </w:r>
      <w:r>
        <w:rPr>
          <w:rStyle w:val="35"/>
          <w:rFonts w:hint="eastAsia" w:ascii="黑体" w:hAnsi="黑体" w:eastAsia="黑体"/>
          <w:b w:val="0"/>
          <w:color w:val="auto"/>
          <w:highlight w:val="none"/>
        </w:rPr>
        <w:t>三公”经费支出决算情况说明</w:t>
      </w:r>
      <w:bookmarkEnd w:id="50"/>
    </w:p>
    <w:p>
      <w:pPr>
        <w:spacing w:line="600" w:lineRule="exact"/>
        <w:ind w:firstLine="640"/>
        <w:outlineLvl w:val="2"/>
        <w:rPr>
          <w:rFonts w:ascii="仿宋" w:hAnsi="仿宋" w:eastAsia="仿宋"/>
          <w:b/>
          <w:color w:val="auto"/>
          <w:sz w:val="32"/>
          <w:szCs w:val="32"/>
          <w:highlight w:val="none"/>
        </w:rPr>
      </w:pPr>
      <w:r>
        <w:rPr>
          <w:rFonts w:hint="eastAsia" w:ascii="仿宋" w:hAnsi="仿宋" w:eastAsia="仿宋"/>
          <w:b/>
          <w:color w:val="auto"/>
          <w:sz w:val="32"/>
          <w:szCs w:val="32"/>
          <w:highlight w:val="none"/>
        </w:rPr>
        <w:t>（一）“三公”经费财政拨款支出决算总体情况说明</w:t>
      </w:r>
    </w:p>
    <w:p>
      <w:pPr>
        <w:spacing w:line="600" w:lineRule="exact"/>
        <w:ind w:firstLine="640"/>
        <w:rPr>
          <w:rFonts w:hint="default" w:ascii="仿宋" w:hAnsi="仿宋" w:eastAsia="仿宋"/>
          <w:color w:val="auto"/>
          <w:sz w:val="32"/>
          <w:szCs w:val="32"/>
          <w:highlight w:val="none"/>
          <w:lang w:val="en-US" w:eastAsia="zh-CN"/>
        </w:rPr>
      </w:pPr>
      <w:r>
        <w:rPr>
          <w:rFonts w:hint="eastAsia" w:ascii="仿宋" w:hAnsi="仿宋" w:eastAsia="仿宋"/>
          <w:color w:val="auto"/>
          <w:sz w:val="32"/>
          <w:szCs w:val="32"/>
          <w:highlight w:val="none"/>
          <w:lang w:eastAsia="zh-CN"/>
        </w:rPr>
        <w:t>2023</w:t>
      </w:r>
      <w:r>
        <w:rPr>
          <w:rFonts w:hint="eastAsia" w:ascii="仿宋" w:hAnsi="仿宋" w:eastAsia="仿宋"/>
          <w:color w:val="auto"/>
          <w:sz w:val="32"/>
          <w:szCs w:val="32"/>
          <w:highlight w:val="none"/>
        </w:rPr>
        <w:t>年</w:t>
      </w:r>
      <w:r>
        <w:rPr>
          <w:rFonts w:hint="eastAsia" w:ascii="仿宋" w:hAnsi="仿宋" w:eastAsia="仿宋"/>
          <w:color w:val="auto"/>
          <w:sz w:val="32"/>
          <w:szCs w:val="32"/>
          <w:highlight w:val="none"/>
          <w:lang w:eastAsia="zh-CN"/>
        </w:rPr>
        <w:t>度</w:t>
      </w:r>
      <w:r>
        <w:rPr>
          <w:rFonts w:hint="eastAsia" w:ascii="仿宋" w:hAnsi="仿宋" w:eastAsia="仿宋"/>
          <w:color w:val="auto"/>
          <w:sz w:val="32"/>
          <w:szCs w:val="32"/>
          <w:highlight w:val="none"/>
        </w:rPr>
        <w:t>“三公”经费财政拨款支出决算为</w:t>
      </w:r>
      <w:r>
        <w:rPr>
          <w:rFonts w:hint="eastAsia" w:ascii="仿宋" w:hAnsi="仿宋" w:eastAsia="仿宋"/>
          <w:color w:val="auto"/>
          <w:sz w:val="32"/>
          <w:szCs w:val="32"/>
          <w:highlight w:val="none"/>
          <w:lang w:val="en-US" w:eastAsia="zh-CN"/>
        </w:rPr>
        <w:t>0</w:t>
      </w:r>
      <w:r>
        <w:rPr>
          <w:rFonts w:hint="eastAsia" w:ascii="仿宋" w:hAnsi="仿宋" w:eastAsia="仿宋"/>
          <w:color w:val="auto"/>
          <w:sz w:val="32"/>
          <w:szCs w:val="32"/>
          <w:highlight w:val="none"/>
        </w:rPr>
        <w:t>万元，完成预算</w:t>
      </w:r>
      <w:r>
        <w:rPr>
          <w:rFonts w:hint="eastAsia" w:ascii="仿宋" w:hAnsi="仿宋" w:eastAsia="仿宋"/>
          <w:color w:val="auto"/>
          <w:sz w:val="32"/>
          <w:szCs w:val="32"/>
          <w:highlight w:val="none"/>
          <w:lang w:val="en-US" w:eastAsia="zh-CN"/>
        </w:rPr>
        <w:t>0</w:t>
      </w:r>
      <w:r>
        <w:rPr>
          <w:rFonts w:ascii="仿宋" w:hAnsi="仿宋" w:eastAsia="仿宋"/>
          <w:color w:val="auto"/>
          <w:sz w:val="32"/>
          <w:szCs w:val="32"/>
          <w:highlight w:val="none"/>
        </w:rPr>
        <w:t>%</w:t>
      </w:r>
      <w:r>
        <w:rPr>
          <w:rFonts w:hint="eastAsia" w:ascii="仿宋" w:hAnsi="仿宋" w:eastAsia="仿宋"/>
          <w:color w:val="auto"/>
          <w:sz w:val="32"/>
          <w:szCs w:val="32"/>
          <w:highlight w:val="none"/>
        </w:rPr>
        <w:t>，</w:t>
      </w:r>
      <w:r>
        <w:rPr>
          <w:rFonts w:hint="eastAsia" w:ascii="仿宋" w:hAnsi="仿宋" w:eastAsia="仿宋"/>
          <w:color w:val="auto"/>
          <w:sz w:val="32"/>
          <w:szCs w:val="32"/>
          <w:highlight w:val="none"/>
          <w:lang w:eastAsia="zh-CN"/>
        </w:rPr>
        <w:t>较上年度</w:t>
      </w:r>
      <w:r>
        <w:rPr>
          <w:rFonts w:hint="eastAsia" w:ascii="仿宋" w:hAnsi="仿宋" w:eastAsia="仿宋"/>
          <w:color w:val="auto"/>
          <w:sz w:val="32"/>
          <w:szCs w:val="32"/>
          <w:highlight w:val="none"/>
          <w:lang w:val="en-US" w:eastAsia="zh-CN"/>
        </w:rPr>
        <w:t>增加0万元，增长0%。</w:t>
      </w:r>
    </w:p>
    <w:p>
      <w:pPr>
        <w:spacing w:line="600" w:lineRule="exact"/>
        <w:ind w:firstLine="640"/>
        <w:outlineLvl w:val="2"/>
        <w:rPr>
          <w:rFonts w:ascii="仿宋" w:hAnsi="仿宋" w:eastAsia="仿宋"/>
          <w:b/>
          <w:color w:val="auto"/>
          <w:sz w:val="32"/>
          <w:szCs w:val="32"/>
          <w:highlight w:val="none"/>
        </w:rPr>
      </w:pPr>
      <w:r>
        <w:rPr>
          <w:rFonts w:hint="eastAsia" w:ascii="仿宋" w:hAnsi="仿宋" w:eastAsia="仿宋"/>
          <w:b/>
          <w:color w:val="auto"/>
          <w:sz w:val="32"/>
          <w:szCs w:val="32"/>
          <w:highlight w:val="none"/>
        </w:rPr>
        <w:t>（二）“三公”经费财政拨款支出决算具体情况说明</w:t>
      </w:r>
    </w:p>
    <w:p>
      <w:pPr>
        <w:spacing w:line="600" w:lineRule="exact"/>
        <w:ind w:firstLine="640"/>
        <w:rPr>
          <w:rFonts w:hint="eastAsia" w:ascii="仿宋" w:hAnsi="仿宋" w:eastAsia="仿宋"/>
          <w:color w:val="auto"/>
          <w:sz w:val="32"/>
          <w:szCs w:val="32"/>
          <w:highlight w:val="none"/>
          <w:lang w:eastAsia="zh-CN"/>
        </w:rPr>
      </w:pPr>
      <w:r>
        <w:rPr>
          <w:rFonts w:hint="eastAsia" w:ascii="仿宋" w:hAnsi="仿宋" w:eastAsia="仿宋"/>
          <w:color w:val="auto"/>
          <w:sz w:val="32"/>
          <w:szCs w:val="32"/>
          <w:highlight w:val="none"/>
          <w:lang w:eastAsia="zh-CN"/>
        </w:rPr>
        <w:t>2023</w:t>
      </w:r>
      <w:r>
        <w:rPr>
          <w:rFonts w:hint="eastAsia" w:ascii="仿宋" w:hAnsi="仿宋" w:eastAsia="仿宋"/>
          <w:color w:val="auto"/>
          <w:sz w:val="32"/>
          <w:szCs w:val="32"/>
          <w:highlight w:val="none"/>
        </w:rPr>
        <w:t>年</w:t>
      </w:r>
      <w:r>
        <w:rPr>
          <w:rFonts w:hint="eastAsia" w:ascii="仿宋" w:hAnsi="仿宋" w:eastAsia="仿宋"/>
          <w:color w:val="auto"/>
          <w:sz w:val="32"/>
          <w:szCs w:val="32"/>
          <w:highlight w:val="none"/>
          <w:lang w:eastAsia="zh-CN"/>
        </w:rPr>
        <w:t>度</w:t>
      </w:r>
      <w:r>
        <w:rPr>
          <w:rFonts w:hint="eastAsia" w:ascii="仿宋" w:hAnsi="仿宋" w:eastAsia="仿宋"/>
          <w:color w:val="auto"/>
          <w:sz w:val="32"/>
          <w:szCs w:val="32"/>
          <w:highlight w:val="none"/>
        </w:rPr>
        <w:t>“三公”经费财政拨款支出决算中，因公出国（境）费支出决算</w:t>
      </w:r>
      <w:r>
        <w:rPr>
          <w:rFonts w:hint="eastAsia" w:ascii="仿宋" w:hAnsi="仿宋" w:eastAsia="仿宋"/>
          <w:color w:val="auto"/>
          <w:sz w:val="32"/>
          <w:szCs w:val="32"/>
          <w:highlight w:val="none"/>
          <w:lang w:val="en-US" w:eastAsia="zh-CN"/>
        </w:rPr>
        <w:t>0</w:t>
      </w:r>
      <w:r>
        <w:rPr>
          <w:rFonts w:hint="eastAsia" w:ascii="仿宋" w:hAnsi="仿宋" w:eastAsia="仿宋"/>
          <w:color w:val="auto"/>
          <w:sz w:val="32"/>
          <w:szCs w:val="32"/>
          <w:highlight w:val="none"/>
        </w:rPr>
        <w:t>万元，占</w:t>
      </w:r>
      <w:r>
        <w:rPr>
          <w:rFonts w:hint="eastAsia" w:ascii="仿宋" w:hAnsi="仿宋" w:eastAsia="仿宋"/>
          <w:color w:val="auto"/>
          <w:sz w:val="32"/>
          <w:szCs w:val="32"/>
          <w:highlight w:val="none"/>
          <w:lang w:val="en-US" w:eastAsia="zh-CN"/>
        </w:rPr>
        <w:t>0</w:t>
      </w:r>
      <w:r>
        <w:rPr>
          <w:rFonts w:ascii="仿宋" w:hAnsi="仿宋" w:eastAsia="仿宋"/>
          <w:color w:val="auto"/>
          <w:sz w:val="32"/>
          <w:szCs w:val="32"/>
          <w:highlight w:val="none"/>
        </w:rPr>
        <w:t>%</w:t>
      </w:r>
      <w:r>
        <w:rPr>
          <w:rFonts w:hint="eastAsia" w:ascii="仿宋" w:hAnsi="仿宋" w:eastAsia="仿宋"/>
          <w:color w:val="auto"/>
          <w:sz w:val="32"/>
          <w:szCs w:val="32"/>
          <w:highlight w:val="none"/>
        </w:rPr>
        <w:t>；公务用车购置及运行维护费支出决算</w:t>
      </w:r>
      <w:r>
        <w:rPr>
          <w:rFonts w:hint="eastAsia" w:ascii="仿宋" w:hAnsi="仿宋" w:eastAsia="仿宋"/>
          <w:color w:val="auto"/>
          <w:sz w:val="32"/>
          <w:szCs w:val="32"/>
          <w:highlight w:val="none"/>
          <w:lang w:val="en-US" w:eastAsia="zh-CN"/>
        </w:rPr>
        <w:t>0</w:t>
      </w:r>
      <w:r>
        <w:rPr>
          <w:rFonts w:hint="eastAsia" w:ascii="仿宋" w:hAnsi="仿宋" w:eastAsia="仿宋"/>
          <w:color w:val="auto"/>
          <w:sz w:val="32"/>
          <w:szCs w:val="32"/>
          <w:highlight w:val="none"/>
        </w:rPr>
        <w:t>万元，占</w:t>
      </w:r>
      <w:r>
        <w:rPr>
          <w:rFonts w:hint="eastAsia" w:ascii="仿宋" w:hAnsi="仿宋" w:eastAsia="仿宋"/>
          <w:color w:val="auto"/>
          <w:sz w:val="32"/>
          <w:szCs w:val="32"/>
          <w:highlight w:val="none"/>
          <w:lang w:val="en-US" w:eastAsia="zh-CN"/>
        </w:rPr>
        <w:t>0</w:t>
      </w:r>
      <w:r>
        <w:rPr>
          <w:rFonts w:ascii="仿宋" w:hAnsi="仿宋" w:eastAsia="仿宋"/>
          <w:color w:val="auto"/>
          <w:sz w:val="32"/>
          <w:szCs w:val="32"/>
          <w:highlight w:val="none"/>
        </w:rPr>
        <w:t>%</w:t>
      </w:r>
      <w:r>
        <w:rPr>
          <w:rFonts w:hint="eastAsia" w:ascii="仿宋" w:hAnsi="仿宋" w:eastAsia="仿宋"/>
          <w:color w:val="auto"/>
          <w:sz w:val="32"/>
          <w:szCs w:val="32"/>
          <w:highlight w:val="none"/>
        </w:rPr>
        <w:t>；公务接待费支出决算</w:t>
      </w:r>
      <w:r>
        <w:rPr>
          <w:rFonts w:hint="eastAsia" w:ascii="仿宋" w:hAnsi="仿宋" w:eastAsia="仿宋"/>
          <w:color w:val="auto"/>
          <w:sz w:val="32"/>
          <w:szCs w:val="32"/>
          <w:highlight w:val="none"/>
          <w:lang w:val="en-US" w:eastAsia="zh-CN"/>
        </w:rPr>
        <w:t>0</w:t>
      </w:r>
      <w:r>
        <w:rPr>
          <w:rFonts w:hint="eastAsia" w:ascii="仿宋" w:hAnsi="仿宋" w:eastAsia="仿宋"/>
          <w:color w:val="auto"/>
          <w:sz w:val="32"/>
          <w:szCs w:val="32"/>
          <w:highlight w:val="none"/>
        </w:rPr>
        <w:t>万元，占</w:t>
      </w:r>
      <w:r>
        <w:rPr>
          <w:rFonts w:hint="eastAsia" w:ascii="仿宋" w:hAnsi="仿宋" w:eastAsia="仿宋"/>
          <w:color w:val="auto"/>
          <w:sz w:val="32"/>
          <w:szCs w:val="32"/>
          <w:highlight w:val="none"/>
          <w:lang w:val="en-US" w:eastAsia="zh-CN"/>
        </w:rPr>
        <w:t>0</w:t>
      </w:r>
      <w:r>
        <w:rPr>
          <w:rFonts w:ascii="仿宋" w:hAnsi="仿宋" w:eastAsia="仿宋"/>
          <w:color w:val="auto"/>
          <w:sz w:val="32"/>
          <w:szCs w:val="32"/>
          <w:highlight w:val="none"/>
        </w:rPr>
        <w:t>%</w:t>
      </w:r>
      <w:r>
        <w:rPr>
          <w:rFonts w:hint="eastAsia" w:ascii="仿宋" w:hAnsi="仿宋" w:eastAsia="仿宋"/>
          <w:color w:val="auto"/>
          <w:sz w:val="32"/>
          <w:szCs w:val="32"/>
          <w:highlight w:val="none"/>
        </w:rPr>
        <w:t>。具体情况如下：</w:t>
      </w:r>
    </w:p>
    <w:p>
      <w:pPr>
        <w:pStyle w:val="2"/>
        <w:rPr>
          <w:rFonts w:hint="eastAsia" w:ascii="仿宋" w:hAnsi="仿宋" w:eastAsia="仿宋"/>
          <w:color w:val="auto"/>
          <w:sz w:val="32"/>
          <w:szCs w:val="32"/>
          <w:highlight w:val="none"/>
          <w:lang w:eastAsia="zh-CN"/>
        </w:rPr>
      </w:pPr>
      <w:r>
        <w:rPr>
          <w:rFonts w:hint="eastAsia" w:ascii="仿宋" w:hAnsi="仿宋" w:eastAsia="仿宋"/>
          <w:color w:val="auto"/>
          <w:sz w:val="32"/>
          <w:szCs w:val="32"/>
          <w:highlight w:val="none"/>
          <w:lang w:eastAsia="zh-CN"/>
        </w:rPr>
        <w:drawing>
          <wp:inline distT="0" distB="0" distL="114300" distR="114300">
            <wp:extent cx="4322445" cy="2984500"/>
            <wp:effectExtent l="0" t="0" r="1905" b="6350"/>
            <wp:docPr id="8" name="图片 8" descr="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片5"/>
                    <pic:cNvPicPr>
                      <a:picLocks noChangeAspect="1"/>
                    </pic:cNvPicPr>
                  </pic:nvPicPr>
                  <pic:blipFill>
                    <a:blip r:embed="rId12"/>
                    <a:stretch>
                      <a:fillRect/>
                    </a:stretch>
                  </pic:blipFill>
                  <pic:spPr>
                    <a:xfrm>
                      <a:off x="0" y="0"/>
                      <a:ext cx="4322445" cy="2984500"/>
                    </a:xfrm>
                    <a:prstGeom prst="rect">
                      <a:avLst/>
                    </a:prstGeom>
                  </pic:spPr>
                </pic:pic>
              </a:graphicData>
            </a:graphic>
          </wp:inline>
        </w:drawing>
      </w:r>
    </w:p>
    <w:p>
      <w:pPr>
        <w:pStyle w:val="2"/>
        <w:rPr>
          <w:rFonts w:ascii="仿宋" w:hAnsi="仿宋" w:eastAsia="仿宋"/>
          <w:color w:val="auto"/>
          <w:sz w:val="32"/>
          <w:szCs w:val="32"/>
          <w:highlight w:val="none"/>
        </w:rPr>
      </w:pPr>
      <w:r>
        <w:rPr>
          <w:rFonts w:hint="eastAsia" w:ascii="仿宋" w:hAnsi="仿宋" w:eastAsia="仿宋"/>
          <w:color w:val="auto"/>
          <w:sz w:val="32"/>
          <w:szCs w:val="32"/>
          <w:highlight w:val="none"/>
        </w:rPr>
        <w:t>（图7：“三公”经费财政拨款支出结构）（饼状图）</w:t>
      </w:r>
    </w:p>
    <w:p>
      <w:pPr>
        <w:numPr>
          <w:ilvl w:val="0"/>
          <w:numId w:val="4"/>
        </w:numPr>
        <w:spacing w:line="600" w:lineRule="exact"/>
        <w:ind w:firstLine="640"/>
        <w:rPr>
          <w:rFonts w:hint="eastAsia" w:ascii="仿宋_GB2312" w:eastAsia="仿宋_GB2312"/>
          <w:color w:val="auto"/>
          <w:sz w:val="32"/>
          <w:szCs w:val="32"/>
          <w:highlight w:val="none"/>
        </w:rPr>
      </w:pPr>
      <w:r>
        <w:rPr>
          <w:rFonts w:hint="eastAsia" w:ascii="仿宋_GB2312" w:eastAsia="仿宋_GB2312"/>
          <w:b/>
          <w:color w:val="auto"/>
          <w:sz w:val="32"/>
          <w:szCs w:val="32"/>
          <w:highlight w:val="none"/>
        </w:rPr>
        <w:t>因公出国（境）经费支出</w:t>
      </w:r>
      <w:r>
        <w:rPr>
          <w:rFonts w:hint="eastAsia" w:ascii="仿宋_GB2312" w:eastAsia="仿宋_GB2312"/>
          <w:b/>
          <w:color w:val="auto"/>
          <w:sz w:val="32"/>
          <w:szCs w:val="32"/>
          <w:highlight w:val="none"/>
          <w:lang w:val="en-US" w:eastAsia="zh-CN"/>
        </w:rPr>
        <w:t>0</w:t>
      </w:r>
      <w:r>
        <w:rPr>
          <w:rFonts w:hint="eastAsia" w:ascii="仿宋_GB2312" w:eastAsia="仿宋_GB2312"/>
          <w:color w:val="auto"/>
          <w:sz w:val="32"/>
          <w:szCs w:val="32"/>
          <w:highlight w:val="none"/>
        </w:rPr>
        <w:t>万元，</w:t>
      </w:r>
      <w:r>
        <w:rPr>
          <w:rStyle w:val="18"/>
          <w:rFonts w:hint="eastAsia" w:ascii="仿宋" w:hAnsi="仿宋" w:eastAsia="仿宋"/>
          <w:b w:val="0"/>
          <w:bCs/>
          <w:color w:val="auto"/>
          <w:sz w:val="32"/>
          <w:szCs w:val="32"/>
          <w:highlight w:val="none"/>
        </w:rPr>
        <w:t>完成预算</w:t>
      </w:r>
      <w:r>
        <w:rPr>
          <w:rStyle w:val="18"/>
          <w:rFonts w:hint="eastAsia" w:ascii="仿宋" w:hAnsi="仿宋" w:eastAsia="仿宋"/>
          <w:b w:val="0"/>
          <w:bCs/>
          <w:color w:val="auto"/>
          <w:sz w:val="32"/>
          <w:szCs w:val="32"/>
          <w:highlight w:val="none"/>
          <w:lang w:val="en-US" w:eastAsia="zh-CN"/>
        </w:rPr>
        <w:t>0</w:t>
      </w:r>
      <w:r>
        <w:rPr>
          <w:rStyle w:val="18"/>
          <w:rFonts w:ascii="仿宋" w:hAnsi="仿宋" w:eastAsia="仿宋"/>
          <w:b w:val="0"/>
          <w:bCs/>
          <w:color w:val="auto"/>
          <w:sz w:val="32"/>
          <w:szCs w:val="32"/>
          <w:highlight w:val="none"/>
        </w:rPr>
        <w:t>%</w:t>
      </w:r>
      <w:r>
        <w:rPr>
          <w:rStyle w:val="18"/>
          <w:rFonts w:hint="eastAsia" w:ascii="仿宋" w:hAnsi="仿宋" w:eastAsia="仿宋"/>
          <w:b w:val="0"/>
          <w:bCs/>
          <w:color w:val="auto"/>
          <w:sz w:val="32"/>
          <w:szCs w:val="32"/>
          <w:highlight w:val="none"/>
        </w:rPr>
        <w:t>。</w:t>
      </w:r>
      <w:r>
        <w:rPr>
          <w:rFonts w:hint="eastAsia" w:ascii="仿宋_GB2312" w:eastAsia="仿宋_GB2312"/>
          <w:color w:val="auto"/>
          <w:sz w:val="32"/>
          <w:szCs w:val="32"/>
          <w:highlight w:val="none"/>
        </w:rPr>
        <w:t>全年安排因公出国（境）团组</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次，出国（境）</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人。因公出国（境）支出决算比</w:t>
      </w:r>
      <w:r>
        <w:rPr>
          <w:rFonts w:hint="eastAsia" w:ascii="仿宋_GB2312" w:eastAsia="仿宋_GB2312"/>
          <w:color w:val="auto"/>
          <w:sz w:val="32"/>
          <w:szCs w:val="32"/>
          <w:highlight w:val="none"/>
          <w:lang w:eastAsia="zh-CN"/>
        </w:rPr>
        <w:t>2022</w:t>
      </w:r>
      <w:r>
        <w:rPr>
          <w:rFonts w:hint="eastAsia" w:ascii="仿宋_GB2312" w:eastAsia="仿宋_GB2312"/>
          <w:color w:val="auto"/>
          <w:sz w:val="32"/>
          <w:szCs w:val="32"/>
          <w:highlight w:val="none"/>
        </w:rPr>
        <w:t>年</w:t>
      </w:r>
      <w:r>
        <w:rPr>
          <w:rFonts w:hint="eastAsia" w:ascii="仿宋_GB2312" w:eastAsia="仿宋_GB2312"/>
          <w:color w:val="auto"/>
          <w:sz w:val="32"/>
          <w:szCs w:val="32"/>
          <w:highlight w:val="none"/>
          <w:lang w:eastAsia="zh-CN"/>
        </w:rPr>
        <w:t>度</w:t>
      </w:r>
      <w:r>
        <w:rPr>
          <w:rFonts w:hint="eastAsia" w:ascii="仿宋_GB2312" w:eastAsia="仿宋_GB2312"/>
          <w:color w:val="auto"/>
          <w:sz w:val="32"/>
          <w:szCs w:val="32"/>
          <w:highlight w:val="none"/>
        </w:rPr>
        <w:t>增加</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万元，增长</w:t>
      </w:r>
      <w:r>
        <w:rPr>
          <w:rFonts w:hint="eastAsia" w:ascii="仿宋_GB2312" w:eastAsia="仿宋_GB2312"/>
          <w:color w:val="auto"/>
          <w:sz w:val="32"/>
          <w:szCs w:val="32"/>
          <w:highlight w:val="none"/>
          <w:lang w:val="en-US" w:eastAsia="zh-CN"/>
        </w:rPr>
        <w:t>0</w:t>
      </w:r>
      <w:r>
        <w:rPr>
          <w:rFonts w:ascii="仿宋_GB2312" w:eastAsia="仿宋_GB2312"/>
          <w:color w:val="auto"/>
          <w:sz w:val="32"/>
          <w:szCs w:val="32"/>
          <w:highlight w:val="none"/>
        </w:rPr>
        <w:t>%</w:t>
      </w:r>
      <w:r>
        <w:rPr>
          <w:rFonts w:hint="eastAsia" w:ascii="仿宋_GB2312" w:eastAsia="仿宋_GB2312"/>
          <w:color w:val="auto"/>
          <w:sz w:val="32"/>
          <w:szCs w:val="32"/>
          <w:highlight w:val="none"/>
        </w:rPr>
        <w:t>。主要原因是</w:t>
      </w:r>
      <w:r>
        <w:rPr>
          <w:rFonts w:hint="eastAsia" w:ascii="仿宋_GB2312" w:eastAsia="仿宋_GB2312"/>
          <w:sz w:val="32"/>
          <w:szCs w:val="32"/>
        </w:rPr>
        <w:t>无因公出国（境）支出</w:t>
      </w:r>
      <w:r>
        <w:rPr>
          <w:rFonts w:hint="eastAsia" w:ascii="仿宋_GB2312" w:eastAsia="仿宋_GB2312"/>
          <w:color w:val="auto"/>
          <w:sz w:val="32"/>
          <w:szCs w:val="32"/>
          <w:highlight w:val="none"/>
        </w:rPr>
        <w:t>。</w:t>
      </w:r>
    </w:p>
    <w:p>
      <w:pPr>
        <w:spacing w:line="600" w:lineRule="exact"/>
        <w:ind w:firstLine="640"/>
        <w:rPr>
          <w:rFonts w:ascii="仿宋_GB2312" w:eastAsia="仿宋_GB2312"/>
          <w:b/>
          <w:color w:val="auto"/>
          <w:sz w:val="32"/>
          <w:szCs w:val="32"/>
          <w:highlight w:val="none"/>
        </w:rPr>
      </w:pPr>
      <w:r>
        <w:rPr>
          <w:rFonts w:ascii="仿宋_GB2312" w:eastAsia="仿宋_GB2312"/>
          <w:b/>
          <w:color w:val="auto"/>
          <w:sz w:val="32"/>
          <w:szCs w:val="32"/>
          <w:highlight w:val="none"/>
        </w:rPr>
        <w:t>2.</w:t>
      </w:r>
      <w:r>
        <w:rPr>
          <w:rFonts w:hint="eastAsia" w:ascii="仿宋_GB2312" w:eastAsia="仿宋_GB2312"/>
          <w:b/>
          <w:color w:val="auto"/>
          <w:sz w:val="32"/>
          <w:szCs w:val="32"/>
          <w:highlight w:val="none"/>
        </w:rPr>
        <w:t>公务用车购置及运行维护费支出</w:t>
      </w:r>
      <w:r>
        <w:rPr>
          <w:rFonts w:hint="eastAsia" w:ascii="仿宋_GB2312" w:eastAsia="仿宋_GB2312"/>
          <w:b/>
          <w:color w:val="auto"/>
          <w:sz w:val="32"/>
          <w:szCs w:val="32"/>
          <w:highlight w:val="none"/>
          <w:lang w:val="en-US" w:eastAsia="zh-CN"/>
        </w:rPr>
        <w:t>0</w:t>
      </w:r>
      <w:r>
        <w:rPr>
          <w:rFonts w:hint="eastAsia" w:ascii="仿宋_GB2312" w:eastAsia="仿宋_GB2312"/>
          <w:color w:val="auto"/>
          <w:sz w:val="32"/>
          <w:szCs w:val="32"/>
          <w:highlight w:val="none"/>
        </w:rPr>
        <w:t>万元,</w:t>
      </w:r>
      <w:r>
        <w:rPr>
          <w:rStyle w:val="18"/>
          <w:rFonts w:hint="eastAsia" w:ascii="仿宋" w:hAnsi="仿宋" w:eastAsia="仿宋"/>
          <w:b w:val="0"/>
          <w:bCs/>
          <w:color w:val="auto"/>
          <w:sz w:val="32"/>
          <w:szCs w:val="32"/>
          <w:highlight w:val="none"/>
        </w:rPr>
        <w:t>完成预算</w:t>
      </w:r>
      <w:r>
        <w:rPr>
          <w:rStyle w:val="18"/>
          <w:rFonts w:hint="eastAsia" w:ascii="仿宋" w:hAnsi="仿宋" w:eastAsia="仿宋"/>
          <w:b w:val="0"/>
          <w:bCs/>
          <w:color w:val="auto"/>
          <w:sz w:val="32"/>
          <w:szCs w:val="32"/>
          <w:highlight w:val="none"/>
          <w:lang w:val="en-US" w:eastAsia="zh-CN"/>
        </w:rPr>
        <w:t>0</w:t>
      </w:r>
      <w:r>
        <w:rPr>
          <w:rStyle w:val="18"/>
          <w:rFonts w:ascii="仿宋" w:hAnsi="仿宋" w:eastAsia="仿宋"/>
          <w:b w:val="0"/>
          <w:bCs/>
          <w:color w:val="auto"/>
          <w:sz w:val="32"/>
          <w:szCs w:val="32"/>
          <w:highlight w:val="none"/>
        </w:rPr>
        <w:t>%</w:t>
      </w:r>
      <w:r>
        <w:rPr>
          <w:rStyle w:val="18"/>
          <w:rFonts w:hint="eastAsia" w:ascii="仿宋" w:hAnsi="仿宋" w:eastAsia="仿宋"/>
          <w:b w:val="0"/>
          <w:bCs/>
          <w:color w:val="auto"/>
          <w:sz w:val="32"/>
          <w:szCs w:val="32"/>
          <w:highlight w:val="none"/>
        </w:rPr>
        <w:t>。</w:t>
      </w:r>
      <w:r>
        <w:rPr>
          <w:rFonts w:hint="eastAsia" w:ascii="仿宋_GB2312" w:eastAsia="仿宋_GB2312"/>
          <w:color w:val="auto"/>
          <w:sz w:val="32"/>
          <w:szCs w:val="32"/>
          <w:highlight w:val="none"/>
        </w:rPr>
        <w:t>公务用车购置及运行维护费支出决算比</w:t>
      </w:r>
      <w:r>
        <w:rPr>
          <w:rFonts w:hint="eastAsia" w:ascii="仿宋_GB2312" w:eastAsia="仿宋_GB2312"/>
          <w:color w:val="auto"/>
          <w:sz w:val="32"/>
          <w:szCs w:val="32"/>
          <w:highlight w:val="none"/>
          <w:lang w:eastAsia="zh-CN"/>
        </w:rPr>
        <w:t>2022</w:t>
      </w:r>
      <w:r>
        <w:rPr>
          <w:rFonts w:hint="eastAsia" w:ascii="仿宋_GB2312" w:eastAsia="仿宋_GB2312"/>
          <w:color w:val="auto"/>
          <w:sz w:val="32"/>
          <w:szCs w:val="32"/>
          <w:highlight w:val="none"/>
        </w:rPr>
        <w:t>年</w:t>
      </w:r>
      <w:r>
        <w:rPr>
          <w:rFonts w:hint="eastAsia" w:ascii="仿宋_GB2312" w:eastAsia="仿宋_GB2312"/>
          <w:color w:val="auto"/>
          <w:sz w:val="32"/>
          <w:szCs w:val="32"/>
          <w:highlight w:val="none"/>
          <w:lang w:eastAsia="zh-CN"/>
        </w:rPr>
        <w:t>度</w:t>
      </w:r>
      <w:r>
        <w:rPr>
          <w:rFonts w:hint="eastAsia" w:ascii="仿宋_GB2312" w:eastAsia="仿宋_GB2312"/>
          <w:color w:val="auto"/>
          <w:sz w:val="32"/>
          <w:szCs w:val="32"/>
          <w:highlight w:val="none"/>
        </w:rPr>
        <w:t>增加</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万元，增长</w:t>
      </w:r>
      <w:r>
        <w:rPr>
          <w:rFonts w:hint="eastAsia" w:ascii="仿宋_GB2312" w:eastAsia="仿宋_GB2312"/>
          <w:color w:val="auto"/>
          <w:sz w:val="32"/>
          <w:szCs w:val="32"/>
          <w:highlight w:val="none"/>
          <w:lang w:val="en-US" w:eastAsia="zh-CN"/>
        </w:rPr>
        <w:t>0</w:t>
      </w:r>
      <w:r>
        <w:rPr>
          <w:rFonts w:ascii="仿宋_GB2312" w:eastAsia="仿宋_GB2312"/>
          <w:color w:val="auto"/>
          <w:sz w:val="32"/>
          <w:szCs w:val="32"/>
          <w:highlight w:val="none"/>
        </w:rPr>
        <w:t>%</w:t>
      </w:r>
      <w:r>
        <w:rPr>
          <w:rFonts w:hint="eastAsia" w:ascii="仿宋_GB2312" w:eastAsia="仿宋_GB2312"/>
          <w:color w:val="auto"/>
          <w:sz w:val="32"/>
          <w:szCs w:val="32"/>
          <w:highlight w:val="none"/>
        </w:rPr>
        <w:t>。主要原因是</w:t>
      </w:r>
      <w:r>
        <w:rPr>
          <w:rFonts w:hint="eastAsia" w:ascii="仿宋_GB2312" w:eastAsia="仿宋_GB2312"/>
          <w:sz w:val="32"/>
          <w:szCs w:val="32"/>
        </w:rPr>
        <w:t>公务车统一由区机关事务局管理</w:t>
      </w:r>
      <w:r>
        <w:rPr>
          <w:rFonts w:hint="eastAsia" w:ascii="仿宋_GB2312" w:eastAsia="仿宋_GB2312"/>
          <w:color w:val="auto"/>
          <w:sz w:val="32"/>
          <w:szCs w:val="32"/>
          <w:highlight w:val="none"/>
        </w:rPr>
        <w:t>。</w:t>
      </w:r>
    </w:p>
    <w:p>
      <w:pPr>
        <w:spacing w:line="600" w:lineRule="exact"/>
        <w:ind w:firstLine="640" w:firstLineChars="200"/>
        <w:rPr>
          <w:rFonts w:ascii="仿宋_GB2312" w:eastAsia="仿宋_GB2312"/>
          <w:b/>
          <w:color w:val="auto"/>
          <w:sz w:val="32"/>
          <w:szCs w:val="32"/>
          <w:highlight w:val="none"/>
        </w:rPr>
      </w:pPr>
      <w:r>
        <w:rPr>
          <w:rFonts w:hint="eastAsia" w:ascii="仿宋_GB2312" w:eastAsia="仿宋_GB2312"/>
          <w:color w:val="auto"/>
          <w:sz w:val="32"/>
          <w:szCs w:val="32"/>
          <w:highlight w:val="none"/>
        </w:rPr>
        <w:t>其中：</w:t>
      </w:r>
      <w:r>
        <w:rPr>
          <w:rFonts w:hint="eastAsia" w:ascii="仿宋_GB2312" w:eastAsia="仿宋_GB2312"/>
          <w:b/>
          <w:color w:val="auto"/>
          <w:sz w:val="32"/>
          <w:szCs w:val="32"/>
          <w:highlight w:val="none"/>
        </w:rPr>
        <w:t>公务用车购置支出</w:t>
      </w:r>
      <w:r>
        <w:rPr>
          <w:rFonts w:hint="eastAsia" w:ascii="仿宋_GB2312" w:eastAsia="仿宋_GB2312"/>
          <w:b/>
          <w:color w:val="auto"/>
          <w:sz w:val="32"/>
          <w:szCs w:val="32"/>
          <w:highlight w:val="none"/>
          <w:lang w:val="en-US" w:eastAsia="zh-CN"/>
        </w:rPr>
        <w:t>0</w:t>
      </w:r>
      <w:r>
        <w:rPr>
          <w:rFonts w:hint="eastAsia" w:ascii="仿宋_GB2312" w:eastAsia="仿宋_GB2312"/>
          <w:color w:val="auto"/>
          <w:sz w:val="32"/>
          <w:szCs w:val="32"/>
          <w:highlight w:val="none"/>
        </w:rPr>
        <w:t>万元。全年按规定更新购置公务用车</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辆，其中：轿车</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辆、金额</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万元，越野车</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辆、金额</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万元，载客汽车</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辆、金额</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元</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截至</w:t>
      </w:r>
      <w:r>
        <w:rPr>
          <w:rFonts w:hint="eastAsia" w:ascii="仿宋_GB2312" w:eastAsia="仿宋_GB2312"/>
          <w:color w:val="auto"/>
          <w:sz w:val="32"/>
          <w:szCs w:val="32"/>
          <w:highlight w:val="none"/>
          <w:lang w:eastAsia="zh-CN"/>
        </w:rPr>
        <w:t>2023</w:t>
      </w:r>
      <w:r>
        <w:rPr>
          <w:rFonts w:hint="eastAsia" w:ascii="仿宋_GB2312" w:eastAsia="仿宋_GB2312"/>
          <w:color w:val="auto"/>
          <w:sz w:val="32"/>
          <w:szCs w:val="32"/>
          <w:highlight w:val="none"/>
        </w:rPr>
        <w:t>年</w:t>
      </w:r>
      <w:r>
        <w:rPr>
          <w:rFonts w:ascii="仿宋_GB2312" w:eastAsia="仿宋_GB2312"/>
          <w:color w:val="auto"/>
          <w:sz w:val="32"/>
          <w:szCs w:val="32"/>
          <w:highlight w:val="none"/>
        </w:rPr>
        <w:t>12</w:t>
      </w:r>
      <w:r>
        <w:rPr>
          <w:rFonts w:hint="eastAsia" w:ascii="仿宋_GB2312" w:eastAsia="仿宋_GB2312"/>
          <w:color w:val="auto"/>
          <w:sz w:val="32"/>
          <w:szCs w:val="32"/>
          <w:highlight w:val="none"/>
        </w:rPr>
        <w:t>月</w:t>
      </w:r>
      <w:r>
        <w:rPr>
          <w:rFonts w:hint="eastAsia" w:ascii="仿宋_GB2312" w:eastAsia="仿宋_GB2312"/>
          <w:color w:val="auto"/>
          <w:sz w:val="32"/>
          <w:szCs w:val="32"/>
          <w:highlight w:val="none"/>
          <w:lang w:val="en-US" w:eastAsia="zh-CN"/>
        </w:rPr>
        <w:t>31日</w:t>
      </w:r>
      <w:r>
        <w:rPr>
          <w:rFonts w:hint="eastAsia" w:ascii="仿宋_GB2312" w:eastAsia="仿宋_GB2312"/>
          <w:color w:val="auto"/>
          <w:sz w:val="32"/>
          <w:szCs w:val="32"/>
          <w:highlight w:val="none"/>
        </w:rPr>
        <w:t>，单位共有公务用车</w:t>
      </w:r>
      <w:r>
        <w:rPr>
          <w:rFonts w:hint="eastAsia" w:ascii="仿宋_GB2312" w:eastAsia="仿宋_GB2312"/>
          <w:color w:val="auto"/>
          <w:sz w:val="32"/>
          <w:szCs w:val="32"/>
          <w:highlight w:val="none"/>
          <w:lang w:val="en-US" w:eastAsia="zh-CN"/>
        </w:rPr>
        <w:t>2</w:t>
      </w:r>
      <w:r>
        <w:rPr>
          <w:rFonts w:hint="eastAsia" w:ascii="仿宋_GB2312" w:eastAsia="仿宋_GB2312"/>
          <w:color w:val="auto"/>
          <w:sz w:val="32"/>
          <w:szCs w:val="32"/>
          <w:highlight w:val="none"/>
        </w:rPr>
        <w:t>辆，其中：</w:t>
      </w:r>
      <w:r>
        <w:rPr>
          <w:rFonts w:hint="eastAsia" w:ascii="仿宋_GB2312" w:eastAsia="仿宋_GB2312"/>
          <w:sz w:val="32"/>
          <w:szCs w:val="32"/>
        </w:rPr>
        <w:t>轿车1辆、越野车0辆、载客汽车0辆，</w:t>
      </w:r>
      <w:r>
        <w:rPr>
          <w:rFonts w:hint="eastAsia" w:ascii="仿宋_GB2312" w:eastAsia="仿宋_GB2312"/>
          <w:color w:val="000000"/>
          <w:sz w:val="32"/>
          <w:szCs w:val="32"/>
        </w:rPr>
        <w:t>大中型载客汽车1辆（图书馆图书车）</w:t>
      </w:r>
      <w:r>
        <w:rPr>
          <w:rFonts w:hint="eastAsia" w:ascii="仿宋_GB2312" w:eastAsia="仿宋_GB2312"/>
          <w:color w:val="auto"/>
          <w:sz w:val="32"/>
          <w:szCs w:val="32"/>
          <w:highlight w:val="none"/>
        </w:rPr>
        <w:t>。</w:t>
      </w:r>
    </w:p>
    <w:p>
      <w:pPr>
        <w:spacing w:line="600" w:lineRule="exact"/>
        <w:ind w:firstLine="640"/>
        <w:rPr>
          <w:rFonts w:ascii="仿宋_GB2312" w:eastAsia="仿宋_GB2312"/>
          <w:color w:val="auto"/>
          <w:sz w:val="32"/>
          <w:szCs w:val="32"/>
          <w:highlight w:val="none"/>
        </w:rPr>
      </w:pPr>
      <w:r>
        <w:rPr>
          <w:rFonts w:hint="eastAsia" w:ascii="仿宋_GB2312" w:eastAsia="仿宋_GB2312"/>
          <w:b/>
          <w:color w:val="auto"/>
          <w:sz w:val="32"/>
          <w:szCs w:val="32"/>
          <w:highlight w:val="none"/>
        </w:rPr>
        <w:t>公务用车运行维护费支出</w:t>
      </w:r>
      <w:r>
        <w:rPr>
          <w:rFonts w:hint="eastAsia" w:ascii="仿宋_GB2312" w:eastAsia="仿宋_GB2312"/>
          <w:b/>
          <w:color w:val="auto"/>
          <w:sz w:val="32"/>
          <w:szCs w:val="32"/>
          <w:highlight w:val="none"/>
          <w:lang w:val="en-US" w:eastAsia="zh-CN"/>
        </w:rPr>
        <w:t>0</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val="en-US" w:eastAsia="zh-CN"/>
        </w:rPr>
        <w:t>主要用于具体工作中</w:t>
      </w:r>
      <w:r>
        <w:rPr>
          <w:rFonts w:hint="eastAsia" w:ascii="仿宋_GB2312" w:eastAsia="仿宋_GB2312"/>
          <w:color w:val="auto"/>
          <w:sz w:val="32"/>
          <w:szCs w:val="32"/>
          <w:highlight w:val="none"/>
        </w:rPr>
        <w:t>所需的公务用车燃料费、维修费、过路过桥费、保险费等支出。</w:t>
      </w:r>
    </w:p>
    <w:p>
      <w:pPr>
        <w:spacing w:line="600" w:lineRule="exact"/>
        <w:ind w:firstLine="640"/>
        <w:rPr>
          <w:rFonts w:ascii="仿宋_GB2312" w:eastAsia="仿宋_GB2312"/>
          <w:color w:val="auto"/>
          <w:sz w:val="32"/>
          <w:szCs w:val="32"/>
          <w:highlight w:val="none"/>
        </w:rPr>
      </w:pPr>
      <w:r>
        <w:rPr>
          <w:rFonts w:ascii="仿宋_GB2312" w:eastAsia="仿宋_GB2312"/>
          <w:b/>
          <w:color w:val="auto"/>
          <w:sz w:val="32"/>
          <w:szCs w:val="32"/>
          <w:highlight w:val="none"/>
        </w:rPr>
        <w:t>3.</w:t>
      </w:r>
      <w:r>
        <w:rPr>
          <w:rFonts w:hint="eastAsia" w:ascii="仿宋_GB2312" w:eastAsia="仿宋_GB2312"/>
          <w:b/>
          <w:color w:val="auto"/>
          <w:sz w:val="32"/>
          <w:szCs w:val="32"/>
          <w:highlight w:val="none"/>
        </w:rPr>
        <w:t>公务接待费支出</w:t>
      </w:r>
      <w:r>
        <w:rPr>
          <w:rFonts w:hint="eastAsia" w:ascii="仿宋_GB2312" w:eastAsia="仿宋_GB2312"/>
          <w:b/>
          <w:color w:val="auto"/>
          <w:sz w:val="32"/>
          <w:szCs w:val="32"/>
          <w:highlight w:val="none"/>
          <w:lang w:val="en-US" w:eastAsia="zh-CN"/>
        </w:rPr>
        <w:t>0</w:t>
      </w:r>
      <w:r>
        <w:rPr>
          <w:rFonts w:hint="eastAsia" w:ascii="仿宋_GB2312" w:eastAsia="仿宋_GB2312"/>
          <w:color w:val="auto"/>
          <w:sz w:val="32"/>
          <w:szCs w:val="32"/>
          <w:highlight w:val="none"/>
        </w:rPr>
        <w:t>万元，</w:t>
      </w:r>
      <w:r>
        <w:rPr>
          <w:rStyle w:val="18"/>
          <w:rFonts w:hint="eastAsia" w:ascii="仿宋" w:hAnsi="仿宋" w:eastAsia="仿宋"/>
          <w:b w:val="0"/>
          <w:bCs/>
          <w:color w:val="auto"/>
          <w:sz w:val="32"/>
          <w:szCs w:val="32"/>
          <w:highlight w:val="none"/>
        </w:rPr>
        <w:t>完成预算</w:t>
      </w:r>
      <w:r>
        <w:rPr>
          <w:rStyle w:val="18"/>
          <w:rFonts w:hint="eastAsia" w:ascii="仿宋" w:hAnsi="仿宋" w:eastAsia="仿宋"/>
          <w:b w:val="0"/>
          <w:bCs/>
          <w:color w:val="auto"/>
          <w:sz w:val="32"/>
          <w:szCs w:val="32"/>
          <w:highlight w:val="none"/>
          <w:lang w:val="en-US" w:eastAsia="zh-CN"/>
        </w:rPr>
        <w:t>0</w:t>
      </w:r>
      <w:r>
        <w:rPr>
          <w:rStyle w:val="18"/>
          <w:rFonts w:ascii="仿宋" w:hAnsi="仿宋" w:eastAsia="仿宋"/>
          <w:b w:val="0"/>
          <w:bCs/>
          <w:color w:val="auto"/>
          <w:sz w:val="32"/>
          <w:szCs w:val="32"/>
          <w:highlight w:val="none"/>
        </w:rPr>
        <w:t>%</w:t>
      </w:r>
      <w:r>
        <w:rPr>
          <w:rStyle w:val="18"/>
          <w:rFonts w:hint="eastAsia" w:ascii="仿宋" w:hAnsi="仿宋" w:eastAsia="仿宋"/>
          <w:b w:val="0"/>
          <w:bCs/>
          <w:color w:val="auto"/>
          <w:sz w:val="32"/>
          <w:szCs w:val="32"/>
          <w:highlight w:val="none"/>
        </w:rPr>
        <w:t>。</w:t>
      </w:r>
      <w:r>
        <w:rPr>
          <w:rFonts w:hint="eastAsia" w:ascii="仿宋_GB2312" w:eastAsia="仿宋_GB2312"/>
          <w:color w:val="auto"/>
          <w:sz w:val="32"/>
          <w:szCs w:val="32"/>
          <w:highlight w:val="none"/>
        </w:rPr>
        <w:t>公务接待费支出决算比</w:t>
      </w:r>
      <w:r>
        <w:rPr>
          <w:rFonts w:hint="eastAsia" w:ascii="仿宋_GB2312" w:eastAsia="仿宋_GB2312"/>
          <w:color w:val="auto"/>
          <w:sz w:val="32"/>
          <w:szCs w:val="32"/>
          <w:highlight w:val="none"/>
          <w:lang w:eastAsia="zh-CN"/>
        </w:rPr>
        <w:t>2022</w:t>
      </w:r>
      <w:r>
        <w:rPr>
          <w:rFonts w:hint="eastAsia" w:ascii="仿宋_GB2312" w:eastAsia="仿宋_GB2312"/>
          <w:color w:val="auto"/>
          <w:sz w:val="32"/>
          <w:szCs w:val="32"/>
          <w:highlight w:val="none"/>
        </w:rPr>
        <w:t>年</w:t>
      </w:r>
      <w:r>
        <w:rPr>
          <w:rFonts w:hint="eastAsia" w:ascii="仿宋_GB2312" w:eastAsia="仿宋_GB2312"/>
          <w:color w:val="auto"/>
          <w:sz w:val="32"/>
          <w:szCs w:val="32"/>
          <w:highlight w:val="none"/>
          <w:lang w:eastAsia="zh-CN"/>
        </w:rPr>
        <w:t>度</w:t>
      </w:r>
      <w:r>
        <w:rPr>
          <w:rFonts w:hint="eastAsia" w:ascii="仿宋_GB2312" w:eastAsia="仿宋_GB2312"/>
          <w:color w:val="auto"/>
          <w:sz w:val="32"/>
          <w:szCs w:val="32"/>
          <w:highlight w:val="none"/>
        </w:rPr>
        <w:t>增加</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万元，增长</w:t>
      </w:r>
      <w:r>
        <w:rPr>
          <w:rFonts w:hint="eastAsia" w:ascii="仿宋_GB2312" w:eastAsia="仿宋_GB2312"/>
          <w:color w:val="auto"/>
          <w:sz w:val="32"/>
          <w:szCs w:val="32"/>
          <w:highlight w:val="none"/>
          <w:lang w:val="en-US" w:eastAsia="zh-CN"/>
        </w:rPr>
        <w:t>0</w:t>
      </w:r>
      <w:r>
        <w:rPr>
          <w:rFonts w:ascii="仿宋_GB2312" w:eastAsia="仿宋_GB2312"/>
          <w:color w:val="auto"/>
          <w:sz w:val="32"/>
          <w:szCs w:val="32"/>
          <w:highlight w:val="none"/>
        </w:rPr>
        <w:t>%</w:t>
      </w:r>
      <w:r>
        <w:rPr>
          <w:rFonts w:hint="eastAsia" w:ascii="仿宋_GB2312" w:eastAsia="仿宋_GB2312"/>
          <w:color w:val="auto"/>
          <w:sz w:val="32"/>
          <w:szCs w:val="32"/>
          <w:highlight w:val="none"/>
        </w:rPr>
        <w:t>。主要原因是</w:t>
      </w:r>
      <w:r>
        <w:rPr>
          <w:rFonts w:hint="eastAsia" w:ascii="仿宋_GB2312" w:eastAsia="仿宋_GB2312"/>
          <w:sz w:val="32"/>
          <w:szCs w:val="32"/>
        </w:rPr>
        <w:t>无公务接待。</w:t>
      </w:r>
      <w:r>
        <w:rPr>
          <w:rFonts w:hint="eastAsia" w:ascii="仿宋_GB2312" w:eastAsia="仿宋_GB2312"/>
          <w:color w:val="auto"/>
          <w:sz w:val="32"/>
          <w:szCs w:val="32"/>
          <w:highlight w:val="none"/>
        </w:rPr>
        <w:t>其中：</w:t>
      </w:r>
    </w:p>
    <w:p>
      <w:pPr>
        <w:spacing w:line="600" w:lineRule="exact"/>
        <w:ind w:firstLine="640"/>
        <w:rPr>
          <w:rFonts w:hint="eastAsia" w:ascii="仿宋_GB2312" w:eastAsia="仿宋_GB2312"/>
          <w:color w:val="auto"/>
          <w:sz w:val="32"/>
          <w:szCs w:val="32"/>
          <w:highlight w:val="none"/>
          <w:lang w:val="en-US" w:eastAsia="zh-CN"/>
        </w:rPr>
      </w:pPr>
      <w:r>
        <w:rPr>
          <w:rFonts w:hint="eastAsia" w:ascii="仿宋" w:hAnsi="仿宋" w:eastAsia="仿宋"/>
          <w:b/>
          <w:color w:val="auto"/>
          <w:sz w:val="32"/>
          <w:szCs w:val="32"/>
          <w:highlight w:val="none"/>
        </w:rPr>
        <w:t>国内公务接待支出</w:t>
      </w:r>
      <w:r>
        <w:rPr>
          <w:rFonts w:hint="eastAsia" w:ascii="仿宋" w:hAnsi="仿宋" w:eastAsia="仿宋"/>
          <w:b/>
          <w:color w:val="auto"/>
          <w:sz w:val="32"/>
          <w:szCs w:val="32"/>
          <w:highlight w:val="none"/>
          <w:lang w:val="en-US" w:eastAsia="zh-CN"/>
        </w:rPr>
        <w:t>0</w:t>
      </w:r>
      <w:r>
        <w:rPr>
          <w:rFonts w:hint="eastAsia" w:ascii="仿宋_GB2312" w:eastAsia="仿宋_GB2312"/>
          <w:color w:val="auto"/>
          <w:sz w:val="32"/>
          <w:szCs w:val="32"/>
          <w:highlight w:val="none"/>
        </w:rPr>
        <w:t>万元，主要用于执行公务、开展业务活动开支的交通费、住宿费、用餐费等。国内公务接待</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批次，</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人次（不包括陪同人员），共计支出</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万元</w:t>
      </w:r>
      <w:r>
        <w:rPr>
          <w:rFonts w:hint="eastAsia" w:ascii="仿宋_GB2312" w:eastAsia="仿宋_GB2312"/>
          <w:color w:val="auto"/>
          <w:sz w:val="32"/>
          <w:szCs w:val="32"/>
          <w:highlight w:val="none"/>
          <w:lang w:eastAsia="zh-CN"/>
        </w:rPr>
        <w:t>。</w:t>
      </w:r>
    </w:p>
    <w:p>
      <w:pPr>
        <w:spacing w:line="600" w:lineRule="exact"/>
        <w:ind w:firstLine="643" w:firstLineChars="200"/>
        <w:rPr>
          <w:rFonts w:ascii="黑体" w:eastAsia="黑体"/>
          <w:sz w:val="32"/>
          <w:szCs w:val="32"/>
        </w:rPr>
      </w:pPr>
      <w:r>
        <w:rPr>
          <w:rFonts w:hint="eastAsia" w:ascii="仿宋" w:hAnsi="仿宋" w:eastAsia="仿宋"/>
          <w:b/>
          <w:color w:val="auto"/>
          <w:sz w:val="32"/>
          <w:szCs w:val="32"/>
          <w:highlight w:val="none"/>
        </w:rPr>
        <w:t>外事接待支出</w:t>
      </w:r>
      <w:r>
        <w:rPr>
          <w:rFonts w:hint="eastAsia" w:ascii="仿宋" w:hAnsi="仿宋" w:eastAsia="仿宋"/>
          <w:b/>
          <w:color w:val="auto"/>
          <w:sz w:val="32"/>
          <w:szCs w:val="32"/>
          <w:highlight w:val="none"/>
          <w:lang w:val="en-US" w:eastAsia="zh-CN"/>
        </w:rPr>
        <w:t>0</w:t>
      </w:r>
      <w:r>
        <w:rPr>
          <w:rFonts w:hint="eastAsia" w:ascii="仿宋_GB2312" w:eastAsia="仿宋_GB2312"/>
          <w:color w:val="auto"/>
          <w:sz w:val="32"/>
          <w:szCs w:val="32"/>
          <w:highlight w:val="none"/>
        </w:rPr>
        <w:t>万元，外事接待</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批次，</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人</w:t>
      </w:r>
      <w:r>
        <w:rPr>
          <w:rFonts w:hint="eastAsia" w:ascii="仿宋_GB2312" w:eastAsia="仿宋_GB2312"/>
          <w:color w:val="auto"/>
          <w:sz w:val="32"/>
          <w:szCs w:val="32"/>
          <w:highlight w:val="none"/>
          <w:lang w:eastAsia="zh-CN"/>
        </w:rPr>
        <w:t>次（不包括陪同人员）</w:t>
      </w:r>
      <w:r>
        <w:rPr>
          <w:rFonts w:hint="eastAsia" w:ascii="仿宋_GB2312" w:eastAsia="仿宋_GB2312"/>
          <w:color w:val="auto"/>
          <w:sz w:val="32"/>
          <w:szCs w:val="32"/>
          <w:highlight w:val="none"/>
        </w:rPr>
        <w:t>，共计支出</w:t>
      </w:r>
      <w:r>
        <w:rPr>
          <w:rFonts w:hint="eastAsia" w:ascii="仿宋_GB2312" w:eastAsia="仿宋_GB2312"/>
          <w:color w:val="auto"/>
          <w:sz w:val="32"/>
          <w:szCs w:val="32"/>
          <w:highlight w:val="none"/>
          <w:lang w:val="en-US" w:eastAsia="zh-CN"/>
        </w:rPr>
        <w:t>0</w:t>
      </w:r>
      <w:r>
        <w:rPr>
          <w:rFonts w:hint="eastAsia" w:ascii="仿宋_GB2312" w:eastAsia="仿宋_GB2312"/>
          <w:color w:val="auto"/>
          <w:sz w:val="32"/>
          <w:szCs w:val="32"/>
          <w:highlight w:val="none"/>
        </w:rPr>
        <w:t>万元。</w:t>
      </w:r>
      <w:bookmarkStart w:id="51" w:name="_Toc15377218"/>
      <w:bookmarkStart w:id="52" w:name="_Toc15396610"/>
    </w:p>
    <w:p>
      <w:pPr>
        <w:spacing w:line="600" w:lineRule="exact"/>
        <w:ind w:firstLine="640"/>
        <w:outlineLvl w:val="1"/>
        <w:rPr>
          <w:rStyle w:val="30"/>
          <w:rFonts w:ascii="黑体" w:hAnsi="黑体" w:eastAsia="黑体"/>
        </w:rPr>
      </w:pPr>
      <w:bookmarkStart w:id="53" w:name="_Toc6696"/>
      <w:r>
        <w:rPr>
          <w:rFonts w:hint="eastAsia" w:ascii="黑体" w:eastAsia="黑体"/>
          <w:sz w:val="32"/>
          <w:szCs w:val="32"/>
        </w:rPr>
        <w:t>八、</w:t>
      </w:r>
      <w:r>
        <w:rPr>
          <w:rStyle w:val="30"/>
          <w:rFonts w:hint="eastAsia" w:ascii="黑体" w:hAnsi="黑体" w:eastAsia="黑体"/>
          <w:b w:val="0"/>
        </w:rPr>
        <w:t>政府性基金预算支出决算情况说明</w:t>
      </w:r>
      <w:bookmarkEnd w:id="51"/>
      <w:bookmarkEnd w:id="52"/>
      <w:bookmarkEnd w:id="53"/>
    </w:p>
    <w:p>
      <w:pPr>
        <w:spacing w:line="600" w:lineRule="exact"/>
        <w:ind w:firstLine="640"/>
        <w:rPr>
          <w:rFonts w:ascii="仿宋_GB2312" w:eastAsia="仿宋_GB2312"/>
          <w:sz w:val="32"/>
          <w:szCs w:val="32"/>
        </w:rPr>
      </w:pPr>
      <w:r>
        <w:rPr>
          <w:rFonts w:hint="eastAsia" w:ascii="仿宋_GB2312" w:eastAsia="仿宋_GB2312"/>
          <w:sz w:val="32"/>
          <w:szCs w:val="32"/>
        </w:rPr>
        <w:t>2023年度政府性基金预算财政拨款支出</w:t>
      </w:r>
      <w:r>
        <w:rPr>
          <w:rFonts w:hint="eastAsia" w:ascii="仿宋" w:hAnsi="仿宋" w:eastAsia="仿宋" w:cs="Times New Roman"/>
          <w:sz w:val="32"/>
          <w:szCs w:val="32"/>
        </w:rPr>
        <w:t>13054.01</w:t>
      </w:r>
      <w:r>
        <w:rPr>
          <w:rFonts w:hint="eastAsia" w:ascii="仿宋_GB2312" w:eastAsia="仿宋_GB2312"/>
          <w:sz w:val="32"/>
          <w:szCs w:val="32"/>
        </w:rPr>
        <w:t>万元。</w:t>
      </w:r>
    </w:p>
    <w:p>
      <w:pPr>
        <w:numPr>
          <w:ilvl w:val="0"/>
          <w:numId w:val="5"/>
        </w:numPr>
        <w:spacing w:line="600" w:lineRule="exact"/>
        <w:ind w:firstLine="640"/>
        <w:outlineLvl w:val="1"/>
        <w:rPr>
          <w:rStyle w:val="30"/>
          <w:rFonts w:ascii="黑体" w:hAnsi="黑体" w:eastAsia="黑体"/>
          <w:b w:val="0"/>
        </w:rPr>
      </w:pPr>
      <w:bookmarkStart w:id="54" w:name="_Toc15396611"/>
      <w:bookmarkStart w:id="55" w:name="_Toc5108"/>
      <w:bookmarkStart w:id="56" w:name="_Toc15377219"/>
      <w:r>
        <w:rPr>
          <w:rStyle w:val="30"/>
          <w:rFonts w:hint="eastAsia" w:ascii="黑体" w:hAnsi="黑体" w:eastAsia="黑体"/>
          <w:b w:val="0"/>
        </w:rPr>
        <w:t>国有资本经营预算支出决算情况说明</w:t>
      </w:r>
      <w:bookmarkEnd w:id="54"/>
      <w:bookmarkEnd w:id="55"/>
      <w:bookmarkEnd w:id="56"/>
    </w:p>
    <w:p>
      <w:pPr>
        <w:spacing w:line="600" w:lineRule="exact"/>
        <w:ind w:firstLine="640"/>
        <w:rPr>
          <w:rFonts w:ascii="方正小标宋简体" w:hAnsi="方正小标宋简体" w:eastAsia="方正小标宋简体" w:cs="方正小标宋简体"/>
          <w:sz w:val="44"/>
          <w:szCs w:val="44"/>
        </w:rPr>
      </w:pPr>
      <w:r>
        <w:rPr>
          <w:rFonts w:hint="eastAsia" w:ascii="仿宋_GB2312" w:eastAsia="仿宋_GB2312"/>
          <w:sz w:val="32"/>
          <w:szCs w:val="32"/>
        </w:rPr>
        <w:t>2023年度国有资本经营预算财政拨款支出</w:t>
      </w:r>
      <w:r>
        <w:rPr>
          <w:rFonts w:ascii="仿宋" w:hAnsi="仿宋" w:eastAsia="仿宋"/>
          <w:b/>
          <w:sz w:val="32"/>
          <w:szCs w:val="32"/>
        </w:rPr>
        <w:t>0</w:t>
      </w:r>
      <w:r>
        <w:rPr>
          <w:rFonts w:hint="eastAsia" w:ascii="仿宋_GB2312" w:eastAsia="仿宋_GB2312"/>
          <w:sz w:val="32"/>
          <w:szCs w:val="32"/>
        </w:rPr>
        <w:t>万元。</w:t>
      </w:r>
    </w:p>
    <w:p>
      <w:pPr>
        <w:numPr>
          <w:ilvl w:val="0"/>
          <w:numId w:val="5"/>
        </w:numPr>
        <w:spacing w:line="600" w:lineRule="exact"/>
        <w:ind w:firstLine="640"/>
        <w:outlineLvl w:val="1"/>
        <w:rPr>
          <w:rStyle w:val="30"/>
          <w:rFonts w:ascii="黑体" w:hAnsi="黑体" w:eastAsia="黑体"/>
          <w:b w:val="0"/>
        </w:rPr>
      </w:pPr>
      <w:bookmarkStart w:id="57" w:name="_Toc15396612"/>
      <w:bookmarkStart w:id="58" w:name="_Toc18154"/>
      <w:bookmarkStart w:id="59" w:name="_Toc15377221"/>
      <w:r>
        <w:rPr>
          <w:rStyle w:val="30"/>
          <w:rFonts w:hint="eastAsia" w:ascii="黑体" w:hAnsi="黑体" w:eastAsia="黑体"/>
          <w:b w:val="0"/>
        </w:rPr>
        <w:t>其他重要事项的情况说明</w:t>
      </w:r>
      <w:bookmarkEnd w:id="57"/>
      <w:bookmarkEnd w:id="58"/>
      <w:bookmarkEnd w:id="59"/>
    </w:p>
    <w:p>
      <w:pPr>
        <w:spacing w:line="600" w:lineRule="exact"/>
        <w:ind w:firstLine="643" w:firstLineChars="200"/>
        <w:outlineLvl w:val="2"/>
        <w:rPr>
          <w:rFonts w:ascii="仿宋" w:hAnsi="仿宋" w:eastAsia="仿宋"/>
          <w:sz w:val="32"/>
          <w:szCs w:val="32"/>
        </w:rPr>
      </w:pPr>
      <w:bookmarkStart w:id="60" w:name="_Toc15377222"/>
      <w:r>
        <w:rPr>
          <w:rFonts w:hint="eastAsia" w:ascii="仿宋" w:hAnsi="仿宋" w:eastAsia="仿宋"/>
          <w:b/>
          <w:sz w:val="32"/>
          <w:szCs w:val="32"/>
        </w:rPr>
        <w:t>（一）机关运行经费支出情况</w:t>
      </w:r>
      <w:bookmarkEnd w:id="60"/>
    </w:p>
    <w:p>
      <w:pPr>
        <w:spacing w:line="600" w:lineRule="exact"/>
        <w:ind w:firstLine="640" w:firstLineChars="200"/>
        <w:rPr>
          <w:rFonts w:ascii="仿宋" w:hAnsi="仿宋" w:eastAsia="仿宋"/>
          <w:b/>
          <w:sz w:val="32"/>
          <w:szCs w:val="32"/>
        </w:rPr>
      </w:pPr>
      <w:r>
        <w:rPr>
          <w:rFonts w:hint="eastAsia" w:ascii="仿宋" w:hAnsi="仿宋" w:eastAsia="仿宋" w:cs="Times New Roman"/>
          <w:sz w:val="32"/>
          <w:szCs w:val="32"/>
        </w:rPr>
        <w:t>2023年度，乐山市五通桥区文化体育和旅游局（本级）机关运行经费支出36.12万元，比2022年度增加</w:t>
      </w:r>
      <w:r>
        <w:rPr>
          <w:rFonts w:hint="eastAsia" w:ascii="仿宋" w:hAnsi="仿宋" w:eastAsia="仿宋" w:cs="Times New Roman"/>
          <w:sz w:val="32"/>
          <w:szCs w:val="32"/>
          <w:lang w:val="en-US" w:eastAsia="zh-CN"/>
        </w:rPr>
        <w:t>8.55</w:t>
      </w:r>
      <w:r>
        <w:rPr>
          <w:rFonts w:hint="eastAsia" w:ascii="仿宋" w:hAnsi="仿宋" w:eastAsia="仿宋" w:cs="Times New Roman"/>
          <w:sz w:val="32"/>
          <w:szCs w:val="32"/>
        </w:rPr>
        <w:t>万元，增长31.01%。主要原因是本年度办公经费增加。</w:t>
      </w:r>
    </w:p>
    <w:p>
      <w:pPr>
        <w:autoSpaceDE w:val="0"/>
        <w:autoSpaceDN w:val="0"/>
        <w:adjustRightInd w:val="0"/>
        <w:spacing w:line="600" w:lineRule="exact"/>
        <w:ind w:firstLine="643" w:firstLineChars="200"/>
        <w:jc w:val="left"/>
        <w:outlineLvl w:val="2"/>
        <w:rPr>
          <w:rFonts w:ascii="仿宋" w:hAnsi="仿宋" w:eastAsia="仿宋"/>
          <w:b/>
          <w:sz w:val="32"/>
          <w:szCs w:val="32"/>
        </w:rPr>
      </w:pPr>
      <w:bookmarkStart w:id="61" w:name="_Toc15377223"/>
      <w:r>
        <w:rPr>
          <w:rFonts w:hint="eastAsia" w:ascii="仿宋" w:hAnsi="仿宋" w:eastAsia="仿宋"/>
          <w:b/>
          <w:sz w:val="32"/>
          <w:szCs w:val="32"/>
        </w:rPr>
        <w:t>（二）政府采购支出情况</w:t>
      </w:r>
      <w:bookmarkEnd w:id="61"/>
    </w:p>
    <w:p>
      <w:pPr>
        <w:spacing w:line="600" w:lineRule="exact"/>
        <w:ind w:firstLine="640" w:firstLineChars="200"/>
        <w:rPr>
          <w:rFonts w:hint="eastAsia" w:ascii="仿宋" w:hAnsi="仿宋" w:eastAsia="仿宋" w:cs="Times New Roman"/>
          <w:sz w:val="32"/>
          <w:szCs w:val="32"/>
        </w:rPr>
      </w:pPr>
      <w:r>
        <w:rPr>
          <w:rFonts w:hint="eastAsia" w:ascii="仿宋" w:hAnsi="仿宋" w:eastAsia="仿宋" w:cs="Times New Roman"/>
          <w:sz w:val="32"/>
          <w:szCs w:val="32"/>
        </w:rPr>
        <w:t>2023年度，乐山市五通桥区文化体育和旅游局（本级）政府采购支出总额103.19万元，其中：政府采购货物支出0万元、政府采购工程支出0万元、政府采购服务支出103.19万元。授予中小企业合同金额103.19万元，占政府采购支出总额的1</w:t>
      </w:r>
      <w:r>
        <w:rPr>
          <w:rFonts w:hint="eastAsia" w:ascii="仿宋" w:hAnsi="仿宋" w:eastAsia="仿宋" w:cs="Times New Roman"/>
          <w:sz w:val="32"/>
          <w:szCs w:val="32"/>
          <w:lang w:val="en-US" w:eastAsia="zh-CN"/>
        </w:rPr>
        <w:t>00</w:t>
      </w:r>
      <w:r>
        <w:rPr>
          <w:rFonts w:hint="eastAsia" w:ascii="仿宋" w:hAnsi="仿宋" w:eastAsia="仿宋" w:cs="Times New Roman"/>
          <w:sz w:val="32"/>
          <w:szCs w:val="32"/>
        </w:rPr>
        <w:t>%，其中：授予小微企业合同金额0万元，占政府采购支出总额的0%。</w:t>
      </w:r>
    </w:p>
    <w:p>
      <w:pPr>
        <w:autoSpaceDE w:val="0"/>
        <w:autoSpaceDN w:val="0"/>
        <w:adjustRightInd w:val="0"/>
        <w:spacing w:line="600" w:lineRule="exact"/>
        <w:ind w:firstLine="643" w:firstLineChars="200"/>
        <w:jc w:val="left"/>
        <w:outlineLvl w:val="2"/>
        <w:rPr>
          <w:rFonts w:ascii="仿宋" w:hAnsi="仿宋" w:eastAsia="仿宋"/>
          <w:b/>
          <w:sz w:val="32"/>
          <w:szCs w:val="32"/>
        </w:rPr>
      </w:pPr>
      <w:bookmarkStart w:id="62" w:name="_Toc15377224"/>
      <w:r>
        <w:rPr>
          <w:rFonts w:hint="eastAsia" w:ascii="仿宋" w:hAnsi="仿宋" w:eastAsia="仿宋"/>
          <w:b/>
          <w:sz w:val="32"/>
          <w:szCs w:val="32"/>
        </w:rPr>
        <w:t>（三）国有资产占有使用情况</w:t>
      </w:r>
      <w:bookmarkEnd w:id="62"/>
    </w:p>
    <w:p>
      <w:pPr>
        <w:spacing w:line="600" w:lineRule="exact"/>
        <w:ind w:firstLine="640" w:firstLineChars="200"/>
        <w:rPr>
          <w:rFonts w:hint="eastAsia" w:ascii="仿宋" w:hAnsi="仿宋" w:eastAsia="仿宋" w:cs="Times New Roman"/>
          <w:color w:val="000000" w:themeColor="text1"/>
          <w:sz w:val="32"/>
          <w:szCs w:val="32"/>
          <w14:textFill>
            <w14:solidFill>
              <w14:schemeClr w14:val="tx1"/>
            </w14:solidFill>
          </w14:textFill>
        </w:rPr>
      </w:pPr>
      <w:r>
        <w:rPr>
          <w:rFonts w:hint="eastAsia" w:ascii="仿宋_GB2312" w:eastAsia="仿宋_GB2312"/>
          <w:color w:val="000000" w:themeColor="text1"/>
          <w:sz w:val="32"/>
          <w:szCs w:val="32"/>
          <w:highlight w:val="none"/>
          <w14:textFill>
            <w14:solidFill>
              <w14:schemeClr w14:val="tx1"/>
            </w14:solidFill>
          </w14:textFill>
        </w:rPr>
        <w:t>截至</w:t>
      </w:r>
      <w:r>
        <w:rPr>
          <w:rFonts w:hint="eastAsia" w:ascii="仿宋_GB2312" w:eastAsia="仿宋_GB2312"/>
          <w:color w:val="000000" w:themeColor="text1"/>
          <w:sz w:val="32"/>
          <w:szCs w:val="32"/>
          <w:highlight w:val="none"/>
          <w:lang w:eastAsia="zh-CN"/>
          <w14:textFill>
            <w14:solidFill>
              <w14:schemeClr w14:val="tx1"/>
            </w14:solidFill>
          </w14:textFill>
        </w:rPr>
        <w:t>2023</w:t>
      </w:r>
      <w:r>
        <w:rPr>
          <w:rFonts w:hint="eastAsia" w:ascii="仿宋_GB2312" w:eastAsia="仿宋_GB2312"/>
          <w:color w:val="000000" w:themeColor="text1"/>
          <w:sz w:val="32"/>
          <w:szCs w:val="32"/>
          <w:highlight w:val="none"/>
          <w14:textFill>
            <w14:solidFill>
              <w14:schemeClr w14:val="tx1"/>
            </w14:solidFill>
          </w14:textFill>
        </w:rPr>
        <w:t>年</w:t>
      </w:r>
      <w:r>
        <w:rPr>
          <w:rFonts w:ascii="仿宋_GB2312" w:eastAsia="仿宋_GB2312"/>
          <w:color w:val="000000" w:themeColor="text1"/>
          <w:sz w:val="32"/>
          <w:szCs w:val="32"/>
          <w:highlight w:val="none"/>
          <w14:textFill>
            <w14:solidFill>
              <w14:schemeClr w14:val="tx1"/>
            </w14:solidFill>
          </w14:textFill>
        </w:rPr>
        <w:t>12</w:t>
      </w:r>
      <w:r>
        <w:rPr>
          <w:rFonts w:hint="eastAsia" w:ascii="仿宋_GB2312" w:eastAsia="仿宋_GB2312"/>
          <w:color w:val="000000" w:themeColor="text1"/>
          <w:sz w:val="32"/>
          <w:szCs w:val="32"/>
          <w:highlight w:val="none"/>
          <w14:textFill>
            <w14:solidFill>
              <w14:schemeClr w14:val="tx1"/>
            </w14:solidFill>
          </w14:textFill>
        </w:rPr>
        <w:t>月</w:t>
      </w:r>
      <w:r>
        <w:rPr>
          <w:rFonts w:ascii="仿宋_GB2312" w:eastAsia="仿宋_GB2312"/>
          <w:color w:val="000000" w:themeColor="text1"/>
          <w:sz w:val="32"/>
          <w:szCs w:val="32"/>
          <w:highlight w:val="none"/>
          <w14:textFill>
            <w14:solidFill>
              <w14:schemeClr w14:val="tx1"/>
            </w14:solidFill>
          </w14:textFill>
        </w:rPr>
        <w:t>31</w:t>
      </w:r>
      <w:r>
        <w:rPr>
          <w:rFonts w:hint="eastAsia" w:ascii="仿宋_GB2312" w:eastAsia="仿宋_GB2312"/>
          <w:color w:val="000000" w:themeColor="text1"/>
          <w:sz w:val="32"/>
          <w:szCs w:val="32"/>
          <w:highlight w:val="none"/>
          <w14:textFill>
            <w14:solidFill>
              <w14:schemeClr w14:val="tx1"/>
            </w14:solidFill>
          </w14:textFill>
        </w:rPr>
        <w:t>日，共有车辆</w:t>
      </w:r>
      <w:r>
        <w:rPr>
          <w:rFonts w:hint="eastAsia" w:ascii="仿宋_GB2312" w:eastAsia="仿宋_GB2312"/>
          <w:color w:val="000000" w:themeColor="text1"/>
          <w:sz w:val="32"/>
          <w:szCs w:val="32"/>
          <w:highlight w:val="none"/>
          <w:lang w:val="en-US" w:eastAsia="zh-CN"/>
          <w14:textFill>
            <w14:solidFill>
              <w14:schemeClr w14:val="tx1"/>
            </w14:solidFill>
          </w14:textFill>
        </w:rPr>
        <w:t>2</w:t>
      </w:r>
      <w:r>
        <w:rPr>
          <w:rFonts w:hint="eastAsia" w:ascii="仿宋_GB2312" w:eastAsia="仿宋_GB2312"/>
          <w:color w:val="000000" w:themeColor="text1"/>
          <w:sz w:val="32"/>
          <w:szCs w:val="32"/>
          <w:highlight w:val="none"/>
          <w14:textFill>
            <w14:solidFill>
              <w14:schemeClr w14:val="tx1"/>
            </w14:solidFill>
          </w14:textFill>
        </w:rPr>
        <w:t>辆，其中：主要领导干部用车</w:t>
      </w:r>
      <w:r>
        <w:rPr>
          <w:rFonts w:hint="eastAsia" w:ascii="仿宋_GB2312" w:eastAsia="仿宋_GB2312"/>
          <w:color w:val="000000" w:themeColor="text1"/>
          <w:sz w:val="32"/>
          <w:szCs w:val="32"/>
          <w:highlight w:val="none"/>
          <w:lang w:val="en-US" w:eastAsia="zh-CN"/>
          <w14:textFill>
            <w14:solidFill>
              <w14:schemeClr w14:val="tx1"/>
            </w14:solidFill>
          </w14:textFill>
        </w:rPr>
        <w:t>0</w:t>
      </w:r>
      <w:r>
        <w:rPr>
          <w:rFonts w:hint="eastAsia" w:ascii="仿宋_GB2312" w:eastAsia="仿宋_GB2312"/>
          <w:color w:val="000000" w:themeColor="text1"/>
          <w:sz w:val="32"/>
          <w:szCs w:val="32"/>
          <w:highlight w:val="none"/>
          <w14:textFill>
            <w14:solidFill>
              <w14:schemeClr w14:val="tx1"/>
            </w14:solidFill>
          </w14:textFill>
        </w:rPr>
        <w:t>辆、机要通信用车</w:t>
      </w:r>
      <w:r>
        <w:rPr>
          <w:rFonts w:hint="eastAsia" w:ascii="仿宋_GB2312" w:eastAsia="仿宋_GB2312"/>
          <w:color w:val="000000" w:themeColor="text1"/>
          <w:sz w:val="32"/>
          <w:szCs w:val="32"/>
          <w:highlight w:val="none"/>
          <w:lang w:val="en-US" w:eastAsia="zh-CN"/>
          <w14:textFill>
            <w14:solidFill>
              <w14:schemeClr w14:val="tx1"/>
            </w14:solidFill>
          </w14:textFill>
        </w:rPr>
        <w:t>0</w:t>
      </w:r>
      <w:r>
        <w:rPr>
          <w:rFonts w:hint="eastAsia" w:ascii="仿宋_GB2312" w:eastAsia="仿宋_GB2312"/>
          <w:color w:val="000000" w:themeColor="text1"/>
          <w:sz w:val="32"/>
          <w:szCs w:val="32"/>
          <w:highlight w:val="none"/>
          <w14:textFill>
            <w14:solidFill>
              <w14:schemeClr w14:val="tx1"/>
            </w14:solidFill>
          </w14:textFill>
        </w:rPr>
        <w:t>辆、应急保障用车</w:t>
      </w:r>
      <w:r>
        <w:rPr>
          <w:rFonts w:hint="eastAsia" w:ascii="仿宋_GB2312" w:eastAsia="仿宋_GB2312"/>
          <w:color w:val="000000" w:themeColor="text1"/>
          <w:sz w:val="32"/>
          <w:szCs w:val="32"/>
          <w:highlight w:val="none"/>
          <w:lang w:val="en-US" w:eastAsia="zh-CN"/>
          <w14:textFill>
            <w14:solidFill>
              <w14:schemeClr w14:val="tx1"/>
            </w14:solidFill>
          </w14:textFill>
        </w:rPr>
        <w:t>1</w:t>
      </w:r>
      <w:r>
        <w:rPr>
          <w:rFonts w:hint="eastAsia" w:ascii="仿宋_GB2312" w:eastAsia="仿宋_GB2312"/>
          <w:color w:val="000000" w:themeColor="text1"/>
          <w:sz w:val="32"/>
          <w:szCs w:val="32"/>
          <w:highlight w:val="none"/>
          <w14:textFill>
            <w14:solidFill>
              <w14:schemeClr w14:val="tx1"/>
            </w14:solidFill>
          </w14:textFill>
        </w:rPr>
        <w:t>辆、其他用</w:t>
      </w:r>
      <w:r>
        <w:rPr>
          <w:rFonts w:hint="eastAsia" w:ascii="仿宋_GB2312" w:eastAsia="仿宋_GB2312"/>
          <w:color w:val="000000" w:themeColor="text1"/>
          <w:sz w:val="32"/>
          <w:szCs w:val="32"/>
          <w:highlight w:val="none"/>
          <w:lang w:val="en-US" w:eastAsia="zh-CN"/>
          <w14:textFill>
            <w14:solidFill>
              <w14:schemeClr w14:val="tx1"/>
            </w14:solidFill>
          </w14:textFill>
        </w:rPr>
        <w:t>车1</w:t>
      </w:r>
      <w:r>
        <w:rPr>
          <w:rFonts w:hint="eastAsia" w:ascii="仿宋_GB2312" w:eastAsia="仿宋_GB2312"/>
          <w:color w:val="000000" w:themeColor="text1"/>
          <w:sz w:val="32"/>
          <w:szCs w:val="32"/>
          <w:highlight w:val="none"/>
          <w14:textFill>
            <w14:solidFill>
              <w14:schemeClr w14:val="tx1"/>
            </w14:solidFill>
          </w14:textFill>
        </w:rPr>
        <w:t>辆</w:t>
      </w:r>
      <w:r>
        <w:rPr>
          <w:rFonts w:hint="eastAsia" w:ascii="仿宋_GB2312" w:eastAsia="仿宋_GB2312"/>
          <w:color w:val="000000" w:themeColor="text1"/>
          <w:sz w:val="32"/>
          <w:szCs w:val="32"/>
          <w:highlight w:val="none"/>
          <w:lang w:eastAsia="zh-CN"/>
          <w14:textFill>
            <w14:solidFill>
              <w14:schemeClr w14:val="tx1"/>
            </w14:solidFill>
          </w14:textFill>
        </w:rPr>
        <w:t>，</w:t>
      </w:r>
      <w:r>
        <w:rPr>
          <w:rFonts w:hint="eastAsia" w:ascii="仿宋_GB2312" w:eastAsia="仿宋_GB2312"/>
          <w:color w:val="000000" w:themeColor="text1"/>
          <w:sz w:val="32"/>
          <w:szCs w:val="32"/>
          <w:highlight w:val="none"/>
          <w14:textFill>
            <w14:solidFill>
              <w14:schemeClr w14:val="tx1"/>
            </w14:solidFill>
          </w14:textFill>
        </w:rPr>
        <w:t>其他用车主要是用于</w:t>
      </w:r>
      <w:r>
        <w:rPr>
          <w:rFonts w:hint="eastAsia" w:ascii="仿宋_GB2312" w:eastAsia="仿宋_GB2312"/>
          <w:color w:val="000000" w:themeColor="text1"/>
          <w:sz w:val="32"/>
          <w:szCs w:val="32"/>
          <w:highlight w:val="none"/>
          <w:lang w:val="en-US" w:eastAsia="zh-CN"/>
          <w14:textFill>
            <w14:solidFill>
              <w14:schemeClr w14:val="tx1"/>
            </w14:solidFill>
          </w14:textFill>
        </w:rPr>
        <w:t>图书馆送文化下乡</w:t>
      </w:r>
      <w:r>
        <w:rPr>
          <w:rFonts w:hint="eastAsia" w:ascii="仿宋_GB2312" w:eastAsia="仿宋_GB2312"/>
          <w:color w:val="000000" w:themeColor="text1"/>
          <w:sz w:val="32"/>
          <w:szCs w:val="32"/>
          <w:highlight w:val="none"/>
          <w:lang w:eastAsia="zh-CN"/>
          <w14:textFill>
            <w14:solidFill>
              <w14:schemeClr w14:val="tx1"/>
            </w14:solidFill>
          </w14:textFill>
        </w:rPr>
        <w:t>。</w:t>
      </w:r>
      <w:r>
        <w:rPr>
          <w:rFonts w:hint="eastAsia" w:ascii="仿宋_GB2312" w:eastAsia="仿宋_GB2312"/>
          <w:color w:val="000000" w:themeColor="text1"/>
          <w:sz w:val="32"/>
          <w:szCs w:val="32"/>
          <w:highlight w:val="none"/>
          <w14:textFill>
            <w14:solidFill>
              <w14:schemeClr w14:val="tx1"/>
            </w14:solidFill>
          </w14:textFill>
        </w:rPr>
        <w:t>单价</w:t>
      </w:r>
      <w:r>
        <w:rPr>
          <w:rFonts w:ascii="仿宋_GB2312" w:eastAsia="仿宋_GB2312"/>
          <w:color w:val="000000" w:themeColor="text1"/>
          <w:sz w:val="32"/>
          <w:szCs w:val="32"/>
          <w:highlight w:val="none"/>
          <w14:textFill>
            <w14:solidFill>
              <w14:schemeClr w14:val="tx1"/>
            </w14:solidFill>
          </w14:textFill>
        </w:rPr>
        <w:t>50</w:t>
      </w:r>
      <w:r>
        <w:rPr>
          <w:rFonts w:hint="eastAsia" w:ascii="仿宋_GB2312" w:eastAsia="仿宋_GB2312"/>
          <w:color w:val="000000" w:themeColor="text1"/>
          <w:sz w:val="32"/>
          <w:szCs w:val="32"/>
          <w:highlight w:val="none"/>
          <w14:textFill>
            <w14:solidFill>
              <w14:schemeClr w14:val="tx1"/>
            </w14:solidFill>
          </w14:textFill>
        </w:rPr>
        <w:t>万元以上通用设备</w:t>
      </w:r>
      <w:r>
        <w:rPr>
          <w:rFonts w:hint="eastAsia" w:ascii="仿宋_GB2312" w:eastAsia="仿宋_GB2312"/>
          <w:color w:val="000000" w:themeColor="text1"/>
          <w:sz w:val="32"/>
          <w:szCs w:val="32"/>
          <w:highlight w:val="none"/>
          <w:lang w:val="en-US" w:eastAsia="zh-CN"/>
          <w14:textFill>
            <w14:solidFill>
              <w14:schemeClr w14:val="tx1"/>
            </w14:solidFill>
          </w14:textFill>
        </w:rPr>
        <w:t>0</w:t>
      </w:r>
      <w:r>
        <w:rPr>
          <w:rFonts w:hint="eastAsia" w:ascii="仿宋_GB2312" w:eastAsia="仿宋_GB2312"/>
          <w:color w:val="000000" w:themeColor="text1"/>
          <w:sz w:val="32"/>
          <w:szCs w:val="32"/>
          <w:highlight w:val="none"/>
          <w14:textFill>
            <w14:solidFill>
              <w14:schemeClr w14:val="tx1"/>
            </w14:solidFill>
          </w14:textFill>
        </w:rPr>
        <w:t>台（套），单价</w:t>
      </w:r>
      <w:r>
        <w:rPr>
          <w:rFonts w:ascii="仿宋_GB2312" w:eastAsia="仿宋_GB2312"/>
          <w:color w:val="000000" w:themeColor="text1"/>
          <w:sz w:val="32"/>
          <w:szCs w:val="32"/>
          <w:highlight w:val="none"/>
          <w14:textFill>
            <w14:solidFill>
              <w14:schemeClr w14:val="tx1"/>
            </w14:solidFill>
          </w14:textFill>
        </w:rPr>
        <w:t>100</w:t>
      </w:r>
      <w:r>
        <w:rPr>
          <w:rFonts w:hint="eastAsia" w:ascii="仿宋_GB2312" w:eastAsia="仿宋_GB2312"/>
          <w:color w:val="000000" w:themeColor="text1"/>
          <w:sz w:val="32"/>
          <w:szCs w:val="32"/>
          <w:highlight w:val="none"/>
          <w14:textFill>
            <w14:solidFill>
              <w14:schemeClr w14:val="tx1"/>
            </w14:solidFill>
          </w14:textFill>
        </w:rPr>
        <w:t>万元以上专用设备</w:t>
      </w:r>
      <w:r>
        <w:rPr>
          <w:rFonts w:hint="eastAsia" w:ascii="仿宋_GB2312" w:eastAsia="仿宋_GB2312"/>
          <w:color w:val="000000" w:themeColor="text1"/>
          <w:sz w:val="32"/>
          <w:szCs w:val="32"/>
          <w:highlight w:val="none"/>
          <w:lang w:eastAsia="zh-CN"/>
          <w14:textFill>
            <w14:solidFill>
              <w14:schemeClr w14:val="tx1"/>
            </w14:solidFill>
          </w14:textFill>
        </w:rPr>
        <w:t>（不含车辆）</w:t>
      </w:r>
      <w:r>
        <w:rPr>
          <w:rFonts w:hint="eastAsia" w:ascii="仿宋_GB2312" w:eastAsia="仿宋_GB2312"/>
          <w:color w:val="000000" w:themeColor="text1"/>
          <w:sz w:val="32"/>
          <w:szCs w:val="32"/>
          <w:highlight w:val="none"/>
          <w:lang w:val="en-US" w:eastAsia="zh-CN"/>
          <w14:textFill>
            <w14:solidFill>
              <w14:schemeClr w14:val="tx1"/>
            </w14:solidFill>
          </w14:textFill>
        </w:rPr>
        <w:t>0</w:t>
      </w:r>
      <w:r>
        <w:rPr>
          <w:rFonts w:hint="eastAsia" w:ascii="仿宋_GB2312" w:eastAsia="仿宋_GB2312"/>
          <w:color w:val="000000" w:themeColor="text1"/>
          <w:sz w:val="32"/>
          <w:szCs w:val="32"/>
          <w:highlight w:val="none"/>
          <w14:textFill>
            <w14:solidFill>
              <w14:schemeClr w14:val="tx1"/>
            </w14:solidFill>
          </w14:textFill>
        </w:rPr>
        <w:t>台（套）。</w:t>
      </w:r>
    </w:p>
    <w:p>
      <w:pPr>
        <w:autoSpaceDE w:val="0"/>
        <w:autoSpaceDN w:val="0"/>
        <w:adjustRightInd w:val="0"/>
        <w:spacing w:line="600" w:lineRule="exact"/>
        <w:ind w:firstLine="643" w:firstLineChars="200"/>
        <w:jc w:val="left"/>
        <w:outlineLvl w:val="9"/>
        <w:rPr>
          <w:rFonts w:hint="eastAsia" w:ascii="仿宋" w:hAnsi="仿宋" w:eastAsia="仿宋" w:cs="Times New Roman"/>
          <w:b/>
          <w:color w:val="000000" w:themeColor="text1"/>
          <w:sz w:val="32"/>
          <w:szCs w:val="32"/>
          <w:lang w:eastAsia="zh-CN"/>
          <w14:textFill>
            <w14:solidFill>
              <w14:schemeClr w14:val="tx1"/>
            </w14:solidFill>
          </w14:textFill>
        </w:rPr>
      </w:pPr>
    </w:p>
    <w:p>
      <w:pPr>
        <w:autoSpaceDE w:val="0"/>
        <w:autoSpaceDN w:val="0"/>
        <w:adjustRightInd w:val="0"/>
        <w:spacing w:line="600" w:lineRule="exact"/>
        <w:ind w:firstLine="643" w:firstLineChars="200"/>
        <w:jc w:val="left"/>
        <w:outlineLvl w:val="2"/>
        <w:rPr>
          <w:rFonts w:hint="eastAsia" w:ascii="仿宋" w:hAnsi="仿宋" w:eastAsia="仿宋" w:cs="Times New Roman"/>
          <w:b/>
          <w:sz w:val="32"/>
          <w:szCs w:val="32"/>
        </w:rPr>
      </w:pPr>
      <w:r>
        <w:rPr>
          <w:rFonts w:hint="eastAsia" w:ascii="仿宋" w:hAnsi="仿宋" w:eastAsia="仿宋" w:cs="Times New Roman"/>
          <w:b/>
          <w:sz w:val="32"/>
          <w:szCs w:val="32"/>
          <w:lang w:eastAsia="zh-CN"/>
        </w:rPr>
        <w:t>（</w:t>
      </w:r>
      <w:r>
        <w:rPr>
          <w:rFonts w:hint="eastAsia" w:ascii="仿宋" w:hAnsi="仿宋" w:eastAsia="仿宋" w:cs="Times New Roman"/>
          <w:b/>
          <w:sz w:val="32"/>
          <w:szCs w:val="32"/>
          <w:lang w:val="en-US" w:eastAsia="zh-CN"/>
        </w:rPr>
        <w:t>四）</w:t>
      </w:r>
      <w:r>
        <w:rPr>
          <w:rFonts w:hint="eastAsia" w:ascii="仿宋" w:hAnsi="仿宋" w:eastAsia="仿宋" w:cs="Times New Roman"/>
          <w:b/>
          <w:sz w:val="32"/>
          <w:szCs w:val="32"/>
        </w:rPr>
        <w:t>预算绩效管理情况</w:t>
      </w:r>
    </w:p>
    <w:p>
      <w:pPr>
        <w:spacing w:line="600" w:lineRule="exact"/>
        <w:ind w:firstLine="640" w:firstLineChars="200"/>
        <w:rPr>
          <w:rFonts w:hint="eastAsia" w:ascii="仿宋_GB2312" w:hAnsi="Times New Roman" w:eastAsia="仿宋_GB2312" w:cs="Times New Roman"/>
          <w:color w:val="auto"/>
          <w:sz w:val="32"/>
          <w:szCs w:val="32"/>
          <w:highlight w:val="none"/>
          <w:lang w:val="en-US" w:eastAsia="zh-CN"/>
        </w:rPr>
      </w:pPr>
      <w:r>
        <w:rPr>
          <w:rFonts w:hint="eastAsia" w:ascii="仿宋_GB2312" w:hAnsi="Times New Roman" w:eastAsia="仿宋_GB2312" w:cs="Times New Roman"/>
          <w:color w:val="auto"/>
          <w:sz w:val="32"/>
          <w:szCs w:val="32"/>
          <w:highlight w:val="none"/>
          <w:lang w:eastAsia="zh-CN"/>
        </w:rPr>
        <w:t>根据预算绩效管理要求，本单位在</w:t>
      </w:r>
      <w:r>
        <w:rPr>
          <w:rFonts w:hint="eastAsia" w:ascii="仿宋_GB2312" w:hAnsi="Times New Roman" w:eastAsia="仿宋_GB2312" w:cs="Times New Roman"/>
          <w:color w:val="auto"/>
          <w:sz w:val="32"/>
          <w:szCs w:val="32"/>
          <w:highlight w:val="none"/>
          <w:lang w:val="en-US" w:eastAsia="zh-CN"/>
        </w:rPr>
        <w:t>2023年度</w:t>
      </w:r>
      <w:r>
        <w:rPr>
          <w:rFonts w:hint="eastAsia" w:ascii="仿宋_GB2312" w:hAnsi="Times New Roman" w:eastAsia="仿宋_GB2312" w:cs="Times New Roman"/>
          <w:color w:val="auto"/>
          <w:sz w:val="32"/>
          <w:szCs w:val="32"/>
          <w:highlight w:val="none"/>
          <w:lang w:eastAsia="zh-CN"/>
        </w:rPr>
        <w:t>预算编制阶段，组织对</w:t>
      </w:r>
      <w:r>
        <w:rPr>
          <w:rFonts w:hint="eastAsia" w:ascii="仿宋_GB2312" w:hAnsi="Times New Roman" w:eastAsia="仿宋_GB2312" w:cs="Times New Roman"/>
          <w:color w:val="auto"/>
          <w:sz w:val="32"/>
          <w:szCs w:val="32"/>
          <w:highlight w:val="none"/>
          <w:lang w:val="en-US" w:eastAsia="zh-CN"/>
        </w:rPr>
        <w:t>34</w:t>
      </w:r>
      <w:r>
        <w:rPr>
          <w:rFonts w:hint="eastAsia" w:ascii="仿宋_GB2312" w:eastAsia="仿宋_GB2312" w:cs="Times New Roman"/>
          <w:color w:val="auto"/>
          <w:sz w:val="32"/>
          <w:szCs w:val="32"/>
          <w:highlight w:val="none"/>
          <w:lang w:val="en-US" w:eastAsia="zh-CN"/>
        </w:rPr>
        <w:t>个</w:t>
      </w:r>
      <w:r>
        <w:rPr>
          <w:rFonts w:hint="eastAsia" w:ascii="仿宋_GB2312" w:hAnsi="Times New Roman" w:eastAsia="仿宋_GB2312" w:cs="Times New Roman"/>
          <w:color w:val="auto"/>
          <w:sz w:val="32"/>
          <w:szCs w:val="32"/>
          <w:highlight w:val="none"/>
          <w:lang w:eastAsia="zh-CN"/>
        </w:rPr>
        <w:t>项目开展了预算事前绩效评估，对</w:t>
      </w:r>
      <w:r>
        <w:rPr>
          <w:rFonts w:hint="eastAsia" w:ascii="仿宋_GB2312" w:hAnsi="Times New Roman" w:eastAsia="仿宋_GB2312" w:cs="Times New Roman"/>
          <w:color w:val="auto"/>
          <w:sz w:val="32"/>
          <w:szCs w:val="32"/>
          <w:highlight w:val="none"/>
          <w:lang w:val="en-US" w:eastAsia="zh-CN"/>
        </w:rPr>
        <w:t>34</w:t>
      </w:r>
      <w:r>
        <w:rPr>
          <w:rFonts w:hint="eastAsia" w:ascii="仿宋_GB2312" w:hAnsi="Times New Roman" w:eastAsia="仿宋_GB2312" w:cs="Times New Roman"/>
          <w:color w:val="auto"/>
          <w:sz w:val="32"/>
          <w:szCs w:val="32"/>
          <w:highlight w:val="none"/>
          <w:lang w:eastAsia="zh-CN"/>
        </w:rPr>
        <w:t>个项目编制了绩效目标，预算执行过程中，选取</w:t>
      </w:r>
      <w:r>
        <w:rPr>
          <w:rFonts w:hint="eastAsia" w:ascii="仿宋_GB2312" w:eastAsia="仿宋_GB2312" w:cs="Times New Roman"/>
          <w:color w:val="auto"/>
          <w:sz w:val="32"/>
          <w:szCs w:val="32"/>
          <w:highlight w:val="none"/>
          <w:lang w:val="en-US" w:eastAsia="zh-CN"/>
        </w:rPr>
        <w:t>34</w:t>
      </w:r>
      <w:r>
        <w:rPr>
          <w:rFonts w:hint="eastAsia" w:ascii="仿宋_GB2312" w:hAnsi="Times New Roman" w:eastAsia="仿宋_GB2312" w:cs="Times New Roman"/>
          <w:color w:val="auto"/>
          <w:sz w:val="32"/>
          <w:szCs w:val="32"/>
          <w:highlight w:val="none"/>
          <w:lang w:eastAsia="zh-CN"/>
        </w:rPr>
        <w:t>个项目开展绩效监控，组织对</w:t>
      </w:r>
      <w:r>
        <w:rPr>
          <w:rFonts w:hint="eastAsia" w:ascii="仿宋_GB2312" w:hAnsi="Times New Roman" w:eastAsia="仿宋_GB2312" w:cs="Times New Roman"/>
          <w:color w:val="auto"/>
          <w:sz w:val="32"/>
          <w:szCs w:val="32"/>
          <w:highlight w:val="none"/>
          <w:lang w:val="en-US" w:eastAsia="zh-CN"/>
        </w:rPr>
        <w:t>34个项目开展绩效自评，绩效自评表详见第四部分附件。</w:t>
      </w:r>
    </w:p>
    <w:p>
      <w:pPr>
        <w:pStyle w:val="2"/>
        <w:rPr>
          <w:rFonts w:hint="eastAsia" w:ascii="仿宋_GB2312" w:hAnsi="Times New Roman" w:eastAsia="仿宋_GB2312" w:cs="Times New Roman"/>
          <w:color w:val="auto"/>
          <w:sz w:val="32"/>
          <w:szCs w:val="32"/>
          <w:highlight w:val="none"/>
          <w:lang w:val="en-US" w:eastAsia="zh-CN"/>
        </w:rPr>
      </w:pPr>
    </w:p>
    <w:p>
      <w:pPr>
        <w:rPr>
          <w:rFonts w:hint="eastAsia" w:ascii="仿宋_GB2312" w:hAnsi="Times New Roman" w:eastAsia="仿宋_GB2312" w:cs="Times New Roman"/>
          <w:color w:val="auto"/>
          <w:sz w:val="32"/>
          <w:szCs w:val="32"/>
          <w:highlight w:val="none"/>
          <w:lang w:val="en-US" w:eastAsia="zh-CN"/>
        </w:rPr>
      </w:pPr>
    </w:p>
    <w:p>
      <w:pPr>
        <w:pStyle w:val="2"/>
        <w:rPr>
          <w:rFonts w:hint="eastAsia" w:ascii="仿宋_GB2312" w:hAnsi="Times New Roman" w:eastAsia="仿宋_GB2312" w:cs="Times New Roman"/>
          <w:color w:val="auto"/>
          <w:sz w:val="32"/>
          <w:szCs w:val="32"/>
          <w:highlight w:val="none"/>
          <w:lang w:val="en-US" w:eastAsia="zh-CN"/>
        </w:rPr>
      </w:pPr>
    </w:p>
    <w:p>
      <w:pPr>
        <w:rPr>
          <w:rFonts w:hint="eastAsia" w:ascii="仿宋_GB2312" w:hAnsi="Times New Roman" w:eastAsia="仿宋_GB2312" w:cs="Times New Roman"/>
          <w:color w:val="auto"/>
          <w:sz w:val="32"/>
          <w:szCs w:val="32"/>
          <w:highlight w:val="none"/>
          <w:lang w:val="en-US" w:eastAsia="zh-CN"/>
        </w:rPr>
      </w:pPr>
    </w:p>
    <w:p>
      <w:pPr>
        <w:pStyle w:val="2"/>
        <w:rPr>
          <w:rFonts w:hint="eastAsia" w:ascii="仿宋_GB2312" w:hAnsi="Times New Roman" w:eastAsia="仿宋_GB2312" w:cs="Times New Roman"/>
          <w:color w:val="auto"/>
          <w:sz w:val="32"/>
          <w:szCs w:val="32"/>
          <w:highlight w:val="none"/>
          <w:lang w:val="en-US" w:eastAsia="zh-CN"/>
        </w:rPr>
      </w:pPr>
    </w:p>
    <w:p>
      <w:pPr>
        <w:rPr>
          <w:rFonts w:hint="eastAsia" w:ascii="仿宋_GB2312" w:hAnsi="Times New Roman" w:eastAsia="仿宋_GB2312" w:cs="Times New Roman"/>
          <w:color w:val="auto"/>
          <w:sz w:val="32"/>
          <w:szCs w:val="32"/>
          <w:highlight w:val="none"/>
          <w:lang w:val="en-US" w:eastAsia="zh-CN"/>
        </w:rPr>
      </w:pPr>
    </w:p>
    <w:p>
      <w:pPr>
        <w:pStyle w:val="2"/>
        <w:rPr>
          <w:rFonts w:hint="eastAsia" w:ascii="仿宋_GB2312" w:hAnsi="Times New Roman" w:eastAsia="仿宋_GB2312" w:cs="Times New Roman"/>
          <w:color w:val="auto"/>
          <w:sz w:val="32"/>
          <w:szCs w:val="32"/>
          <w:highlight w:val="none"/>
          <w:lang w:val="en-US" w:eastAsia="zh-CN"/>
        </w:rPr>
      </w:pPr>
    </w:p>
    <w:p>
      <w:pPr>
        <w:rPr>
          <w:rFonts w:hint="eastAsia" w:ascii="仿宋_GB2312" w:hAnsi="Times New Roman" w:eastAsia="仿宋_GB2312" w:cs="Times New Roman"/>
          <w:color w:val="auto"/>
          <w:sz w:val="32"/>
          <w:szCs w:val="32"/>
          <w:highlight w:val="none"/>
          <w:lang w:val="en-US" w:eastAsia="zh-CN"/>
        </w:rPr>
      </w:pPr>
    </w:p>
    <w:p>
      <w:pPr>
        <w:pStyle w:val="2"/>
        <w:rPr>
          <w:rFonts w:hint="eastAsia" w:ascii="仿宋_GB2312" w:hAnsi="Times New Roman" w:eastAsia="仿宋_GB2312" w:cs="Times New Roman"/>
          <w:color w:val="auto"/>
          <w:sz w:val="32"/>
          <w:szCs w:val="32"/>
          <w:highlight w:val="none"/>
          <w:lang w:val="en-US" w:eastAsia="zh-CN"/>
        </w:rPr>
      </w:pPr>
    </w:p>
    <w:p>
      <w:pPr>
        <w:rPr>
          <w:rFonts w:hint="eastAsia" w:ascii="仿宋_GB2312" w:hAnsi="Times New Roman" w:eastAsia="仿宋_GB2312" w:cs="Times New Roman"/>
          <w:color w:val="auto"/>
          <w:sz w:val="32"/>
          <w:szCs w:val="32"/>
          <w:highlight w:val="none"/>
          <w:lang w:val="en-US" w:eastAsia="zh-CN"/>
        </w:rPr>
      </w:pPr>
    </w:p>
    <w:p>
      <w:pPr>
        <w:pStyle w:val="2"/>
        <w:rPr>
          <w:rFonts w:hint="eastAsia" w:ascii="仿宋_GB2312" w:hAnsi="Times New Roman" w:eastAsia="仿宋_GB2312" w:cs="Times New Roman"/>
          <w:color w:val="auto"/>
          <w:sz w:val="32"/>
          <w:szCs w:val="32"/>
          <w:highlight w:val="none"/>
          <w:lang w:val="en-US" w:eastAsia="zh-CN"/>
        </w:rPr>
      </w:pPr>
    </w:p>
    <w:p>
      <w:pPr>
        <w:rPr>
          <w:rFonts w:hint="eastAsia" w:ascii="仿宋_GB2312" w:hAnsi="Times New Roman" w:eastAsia="仿宋_GB2312" w:cs="Times New Roman"/>
          <w:color w:val="auto"/>
          <w:sz w:val="32"/>
          <w:szCs w:val="32"/>
          <w:highlight w:val="none"/>
          <w:lang w:val="en-US" w:eastAsia="zh-CN"/>
        </w:rPr>
      </w:pPr>
    </w:p>
    <w:p>
      <w:pPr>
        <w:pStyle w:val="2"/>
        <w:rPr>
          <w:rFonts w:hint="eastAsia" w:ascii="仿宋_GB2312" w:hAnsi="Times New Roman" w:eastAsia="仿宋_GB2312" w:cs="Times New Roman"/>
          <w:color w:val="auto"/>
          <w:sz w:val="32"/>
          <w:szCs w:val="32"/>
          <w:highlight w:val="none"/>
          <w:lang w:val="en-US" w:eastAsia="zh-CN"/>
        </w:rPr>
      </w:pPr>
    </w:p>
    <w:p>
      <w:pPr>
        <w:rPr>
          <w:rFonts w:hint="eastAsia" w:ascii="仿宋_GB2312" w:hAnsi="Times New Roman" w:eastAsia="仿宋_GB2312" w:cs="Times New Roman"/>
          <w:color w:val="auto"/>
          <w:sz w:val="32"/>
          <w:szCs w:val="32"/>
          <w:highlight w:val="none"/>
          <w:lang w:val="en-US" w:eastAsia="zh-CN"/>
        </w:rPr>
      </w:pPr>
    </w:p>
    <w:p>
      <w:pPr>
        <w:pStyle w:val="2"/>
        <w:rPr>
          <w:rFonts w:hint="eastAsia" w:ascii="仿宋_GB2312" w:hAnsi="Times New Roman" w:eastAsia="仿宋_GB2312" w:cs="Times New Roman"/>
          <w:color w:val="auto"/>
          <w:sz w:val="32"/>
          <w:szCs w:val="32"/>
          <w:highlight w:val="none"/>
          <w:lang w:val="en-US" w:eastAsia="zh-CN"/>
        </w:rPr>
      </w:pPr>
    </w:p>
    <w:p>
      <w:pPr>
        <w:rPr>
          <w:rFonts w:hint="eastAsia" w:ascii="仿宋_GB2312" w:hAnsi="Times New Roman" w:eastAsia="仿宋_GB2312" w:cs="Times New Roman"/>
          <w:color w:val="auto"/>
          <w:sz w:val="32"/>
          <w:szCs w:val="32"/>
          <w:highlight w:val="none"/>
          <w:lang w:val="en-US" w:eastAsia="zh-CN"/>
        </w:rPr>
      </w:pPr>
    </w:p>
    <w:p>
      <w:pPr>
        <w:pStyle w:val="2"/>
        <w:rPr>
          <w:rFonts w:hint="eastAsia"/>
          <w:lang w:val="en-US" w:eastAsia="zh-CN"/>
        </w:rPr>
      </w:pPr>
    </w:p>
    <w:p>
      <w:pPr>
        <w:pStyle w:val="8"/>
        <w:ind w:left="0" w:leftChars="0" w:firstLine="0" w:firstLineChars="0"/>
        <w:rPr>
          <w:rFonts w:hint="eastAsia"/>
          <w:lang w:val="en-US" w:eastAsia="zh-CN"/>
        </w:rPr>
      </w:pPr>
    </w:p>
    <w:p>
      <w:pPr>
        <w:pStyle w:val="14"/>
        <w:numPr>
          <w:ilvl w:val="0"/>
          <w:numId w:val="0"/>
        </w:numPr>
      </w:pPr>
    </w:p>
    <w:p>
      <w:pPr>
        <w:numPr>
          <w:ilvl w:val="0"/>
          <w:numId w:val="6"/>
        </w:numPr>
        <w:spacing w:line="600" w:lineRule="exact"/>
        <w:ind w:firstLine="660" w:firstLineChars="150"/>
        <w:jc w:val="center"/>
        <w:outlineLvl w:val="0"/>
        <w:rPr>
          <w:rStyle w:val="29"/>
          <w:rFonts w:ascii="黑体" w:hAnsi="黑体" w:eastAsia="黑体"/>
          <w:b w:val="0"/>
        </w:rPr>
      </w:pPr>
      <w:bookmarkStart w:id="63" w:name="_Toc15396613"/>
      <w:bookmarkStart w:id="64" w:name="_Toc15377225"/>
      <w:bookmarkStart w:id="65" w:name="_Toc2858"/>
      <w:r>
        <w:rPr>
          <w:rFonts w:hint="eastAsia" w:ascii="黑体" w:hAnsi="黑体" w:eastAsia="黑体"/>
          <w:sz w:val="44"/>
          <w:szCs w:val="44"/>
        </w:rPr>
        <w:t>名</w:t>
      </w:r>
      <w:r>
        <w:rPr>
          <w:rStyle w:val="29"/>
          <w:rFonts w:hint="eastAsia" w:ascii="黑体" w:hAnsi="黑体" w:eastAsia="黑体"/>
          <w:b w:val="0"/>
        </w:rPr>
        <w:t>词解释</w:t>
      </w:r>
      <w:bookmarkEnd w:id="63"/>
      <w:bookmarkEnd w:id="64"/>
      <w:bookmarkEnd w:id="65"/>
    </w:p>
    <w:p>
      <w:pPr>
        <w:spacing w:line="600" w:lineRule="exact"/>
        <w:jc w:val="left"/>
        <w:rPr>
          <w:rFonts w:ascii="宋体"/>
          <w:b/>
          <w:sz w:val="44"/>
          <w:szCs w:val="44"/>
        </w:rPr>
      </w:pPr>
    </w:p>
    <w:p>
      <w:pPr>
        <w:pStyle w:val="27"/>
        <w:spacing w:line="560" w:lineRule="exact"/>
        <w:ind w:firstLine="640" w:firstLineChars="200"/>
        <w:rPr>
          <w:rFonts w:ascii="仿宋_GB2312" w:eastAsia="仿宋_GB2312"/>
          <w:color w:val="auto"/>
          <w:sz w:val="32"/>
          <w:szCs w:val="32"/>
        </w:rPr>
      </w:pPr>
      <w:r>
        <w:rPr>
          <w:rFonts w:ascii="仿宋_GB2312" w:eastAsia="仿宋_GB2312"/>
          <w:color w:val="auto"/>
          <w:sz w:val="32"/>
          <w:szCs w:val="32"/>
        </w:rPr>
        <w:t>1.</w:t>
      </w:r>
      <w:r>
        <w:rPr>
          <w:rFonts w:hint="eastAsia" w:ascii="仿宋_GB2312" w:eastAsia="仿宋_GB2312"/>
          <w:color w:val="auto"/>
          <w:sz w:val="32"/>
          <w:szCs w:val="32"/>
        </w:rPr>
        <w:t>财政拨款收入：指单位从同级财政部门取得的财政预算资金。</w:t>
      </w:r>
    </w:p>
    <w:p>
      <w:pPr>
        <w:pStyle w:val="27"/>
        <w:spacing w:line="560" w:lineRule="exact"/>
        <w:ind w:firstLine="640" w:firstLineChars="200"/>
        <w:rPr>
          <w:rFonts w:ascii="仿宋_GB2312" w:eastAsia="仿宋_GB2312"/>
          <w:color w:val="auto"/>
          <w:sz w:val="32"/>
          <w:szCs w:val="32"/>
        </w:rPr>
      </w:pPr>
      <w:r>
        <w:rPr>
          <w:rFonts w:ascii="仿宋_GB2312" w:eastAsia="仿宋_GB2312"/>
          <w:color w:val="auto"/>
          <w:sz w:val="32"/>
          <w:szCs w:val="32"/>
        </w:rPr>
        <w:t>2.</w:t>
      </w:r>
      <w:r>
        <w:rPr>
          <w:rFonts w:hint="eastAsia" w:ascii="仿宋_GB2312" w:eastAsia="仿宋_GB2312"/>
          <w:color w:val="auto"/>
          <w:sz w:val="32"/>
          <w:szCs w:val="32"/>
        </w:rPr>
        <w:t>事业收入：指事业单位开展专业业务活动及辅助活动取得的收入。如…（二级预算单位事业收入情况）等。</w:t>
      </w:r>
    </w:p>
    <w:p>
      <w:pPr>
        <w:pStyle w:val="27"/>
        <w:spacing w:line="560" w:lineRule="exact"/>
        <w:ind w:firstLine="640" w:firstLineChars="200"/>
        <w:rPr>
          <w:rFonts w:ascii="仿宋_GB2312" w:eastAsia="仿宋_GB2312"/>
          <w:color w:val="auto"/>
          <w:sz w:val="32"/>
          <w:szCs w:val="32"/>
        </w:rPr>
      </w:pPr>
      <w:r>
        <w:rPr>
          <w:rFonts w:ascii="仿宋_GB2312" w:eastAsia="仿宋_GB2312"/>
          <w:color w:val="auto"/>
          <w:sz w:val="32"/>
          <w:szCs w:val="32"/>
        </w:rPr>
        <w:t>3.</w:t>
      </w:r>
      <w:r>
        <w:rPr>
          <w:rFonts w:hint="eastAsia" w:ascii="仿宋_GB2312" w:eastAsia="仿宋_GB2312"/>
          <w:color w:val="auto"/>
          <w:sz w:val="32"/>
          <w:szCs w:val="32"/>
        </w:rPr>
        <w:t>经营收入：指事业单位在专业业务活动及其辅助活动之外开展非独立核算经营活动取得的收入。如…（二级预算单位经营收入情况）等。</w:t>
      </w:r>
    </w:p>
    <w:p>
      <w:pPr>
        <w:pStyle w:val="27"/>
        <w:spacing w:line="560" w:lineRule="exact"/>
        <w:ind w:firstLine="640" w:firstLineChars="200"/>
        <w:rPr>
          <w:rFonts w:ascii="仿宋_GB2312" w:eastAsia="仿宋_GB2312"/>
          <w:color w:val="auto"/>
          <w:sz w:val="32"/>
          <w:szCs w:val="32"/>
        </w:rPr>
      </w:pPr>
      <w:r>
        <w:rPr>
          <w:rFonts w:ascii="仿宋_GB2312" w:eastAsia="仿宋_GB2312"/>
          <w:color w:val="auto"/>
          <w:sz w:val="32"/>
          <w:szCs w:val="32"/>
        </w:rPr>
        <w:t>4.</w:t>
      </w:r>
      <w:r>
        <w:rPr>
          <w:rFonts w:hint="eastAsia" w:ascii="仿宋_GB2312" w:eastAsia="仿宋_GB2312"/>
          <w:color w:val="auto"/>
          <w:sz w:val="32"/>
          <w:szCs w:val="32"/>
        </w:rPr>
        <w:t>其他收入：指单位取得的除上述收入以外的各项收入。主要是…（收入类型）等。</w:t>
      </w:r>
    </w:p>
    <w:p>
      <w:pPr>
        <w:pStyle w:val="27"/>
        <w:spacing w:line="560" w:lineRule="exact"/>
        <w:ind w:firstLine="640" w:firstLineChars="200"/>
        <w:rPr>
          <w:rFonts w:ascii="仿宋_GB2312" w:eastAsia="仿宋_GB2312"/>
          <w:color w:val="auto"/>
          <w:sz w:val="32"/>
          <w:szCs w:val="32"/>
        </w:rPr>
      </w:pPr>
      <w:r>
        <w:rPr>
          <w:rFonts w:ascii="仿宋_GB2312" w:eastAsia="仿宋_GB2312"/>
          <w:color w:val="auto"/>
          <w:sz w:val="32"/>
          <w:szCs w:val="32"/>
        </w:rPr>
        <w:t>5.</w:t>
      </w:r>
      <w:r>
        <w:rPr>
          <w:rFonts w:hint="eastAsia" w:ascii="仿宋_GB2312" w:hAnsi="华文中宋" w:eastAsia="仿宋_GB2312"/>
          <w:sz w:val="32"/>
          <w:szCs w:val="32"/>
        </w:rPr>
        <w:t>使用非财政拨款结余（含专用结余）</w:t>
      </w:r>
      <w:r>
        <w:rPr>
          <w:rFonts w:hint="eastAsia" w:ascii="仿宋_GB2312" w:eastAsia="仿宋_GB2312"/>
          <w:color w:val="auto"/>
          <w:sz w:val="32"/>
          <w:szCs w:val="32"/>
        </w:rPr>
        <w:t>：指事业单位使用以前年度积累的非财政拨款结余弥补当年收支差额的金额。</w:t>
      </w:r>
    </w:p>
    <w:p>
      <w:pPr>
        <w:pStyle w:val="27"/>
        <w:spacing w:line="560" w:lineRule="exact"/>
        <w:ind w:firstLine="640" w:firstLineChars="200"/>
        <w:rPr>
          <w:rFonts w:ascii="仿宋_GB2312" w:eastAsia="仿宋_GB2312"/>
          <w:color w:val="auto"/>
          <w:sz w:val="32"/>
          <w:szCs w:val="32"/>
        </w:rPr>
      </w:pPr>
      <w:r>
        <w:rPr>
          <w:rFonts w:ascii="仿宋_GB2312" w:eastAsia="仿宋_GB2312"/>
          <w:color w:val="auto"/>
          <w:sz w:val="32"/>
          <w:szCs w:val="32"/>
        </w:rPr>
        <w:t>6.</w:t>
      </w:r>
      <w:r>
        <w:rPr>
          <w:rFonts w:hint="eastAsia" w:ascii="仿宋_GB2312" w:eastAsia="仿宋_GB2312"/>
          <w:color w:val="auto"/>
          <w:sz w:val="32"/>
          <w:szCs w:val="32"/>
        </w:rPr>
        <w:t>年初结转和结余：指以前年度尚未完成、结转到本年按有关规定继续使用的资金。</w:t>
      </w:r>
    </w:p>
    <w:p>
      <w:pPr>
        <w:pStyle w:val="27"/>
        <w:spacing w:line="560" w:lineRule="exact"/>
        <w:ind w:firstLine="640" w:firstLineChars="200"/>
        <w:rPr>
          <w:rFonts w:ascii="仿宋_GB2312" w:eastAsia="仿宋_GB2312"/>
          <w:color w:val="auto"/>
          <w:sz w:val="32"/>
          <w:szCs w:val="32"/>
        </w:rPr>
      </w:pPr>
      <w:r>
        <w:rPr>
          <w:rFonts w:ascii="仿宋_GB2312" w:eastAsia="仿宋_GB2312"/>
          <w:color w:val="auto"/>
          <w:sz w:val="32"/>
          <w:szCs w:val="32"/>
        </w:rPr>
        <w:t>7.</w:t>
      </w:r>
      <w:r>
        <w:rPr>
          <w:rFonts w:hint="eastAsia" w:ascii="仿宋_GB2312" w:eastAsia="仿宋_GB2312"/>
          <w:color w:val="auto"/>
          <w:sz w:val="32"/>
          <w:szCs w:val="32"/>
        </w:rPr>
        <w:t>结余分配：指事业单位按照会计制度规定缴纳的所得税、提取的专用结余以及转入非财政拨款结余的金额等。</w:t>
      </w:r>
    </w:p>
    <w:p>
      <w:pPr>
        <w:pStyle w:val="27"/>
        <w:spacing w:line="560" w:lineRule="exact"/>
        <w:ind w:firstLine="640" w:firstLineChars="200"/>
        <w:rPr>
          <w:rFonts w:hint="eastAsia" w:ascii="仿宋_GB2312" w:eastAsia="仿宋_GB2312"/>
          <w:color w:val="auto"/>
          <w:sz w:val="32"/>
          <w:szCs w:val="32"/>
        </w:rPr>
      </w:pPr>
      <w:r>
        <w:rPr>
          <w:rFonts w:ascii="仿宋_GB2312" w:eastAsia="仿宋_GB2312"/>
          <w:color w:val="auto"/>
          <w:sz w:val="32"/>
          <w:szCs w:val="32"/>
        </w:rPr>
        <w:t>8</w:t>
      </w:r>
      <w:r>
        <w:rPr>
          <w:rFonts w:hint="eastAsia" w:ascii="仿宋_GB2312" w:eastAsia="仿宋_GB2312"/>
          <w:color w:val="auto"/>
          <w:sz w:val="32"/>
          <w:szCs w:val="32"/>
        </w:rPr>
        <w:t>.年末结转和结余：指单位按有关规定结转到下年或以后年度继续使用的资金。</w:t>
      </w:r>
    </w:p>
    <w:p>
      <w:pPr>
        <w:pStyle w:val="27"/>
        <w:spacing w:line="560" w:lineRule="exact"/>
        <w:ind w:firstLine="640" w:firstLineChars="200"/>
        <w:rPr>
          <w:rFonts w:hint="default" w:ascii="仿宋_GB2312" w:eastAsia="仿宋_GB2312"/>
          <w:sz w:val="32"/>
          <w:szCs w:val="32"/>
          <w:lang w:val="en-US" w:eastAsia="zh-CN"/>
        </w:rPr>
      </w:pPr>
      <w:r>
        <w:rPr>
          <w:rFonts w:hint="eastAsia" w:ascii="仿宋_GB2312" w:eastAsia="仿宋_GB2312"/>
          <w:sz w:val="32"/>
          <w:szCs w:val="32"/>
        </w:rPr>
        <w:t>9、</w:t>
      </w:r>
      <w:r>
        <w:rPr>
          <w:rFonts w:hint="eastAsia" w:ascii="仿宋_GB2312" w:eastAsia="仿宋_GB2312"/>
          <w:sz w:val="32"/>
          <w:szCs w:val="32"/>
          <w:lang w:val="en-US" w:eastAsia="zh-CN"/>
        </w:rPr>
        <w:t>一般公共服务支出</w:t>
      </w:r>
      <w:r>
        <w:rPr>
          <w:rFonts w:hint="eastAsia" w:ascii="仿宋_GB2312" w:eastAsia="仿宋_GB2312"/>
          <w:sz w:val="32"/>
          <w:szCs w:val="32"/>
        </w:rPr>
        <w:t>（类）</w:t>
      </w:r>
      <w:r>
        <w:rPr>
          <w:rFonts w:hint="eastAsia" w:ascii="仿宋_GB2312" w:eastAsia="仿宋_GB2312"/>
          <w:sz w:val="32"/>
          <w:szCs w:val="32"/>
          <w:lang w:val="en-US" w:eastAsia="zh-CN"/>
        </w:rPr>
        <w:t>财政事务</w:t>
      </w:r>
      <w:r>
        <w:rPr>
          <w:rFonts w:hint="eastAsia" w:ascii="仿宋_GB2312" w:eastAsia="仿宋_GB2312"/>
          <w:sz w:val="32"/>
          <w:szCs w:val="32"/>
        </w:rPr>
        <w:t>（款）</w:t>
      </w:r>
      <w:r>
        <w:rPr>
          <w:rFonts w:hint="eastAsia" w:ascii="仿宋_GB2312" w:eastAsia="仿宋_GB2312"/>
          <w:sz w:val="32"/>
          <w:szCs w:val="32"/>
          <w:lang w:val="en-US" w:eastAsia="zh-CN"/>
        </w:rPr>
        <w:t>其他财政事务支出（项）</w:t>
      </w:r>
      <w:r>
        <w:rPr>
          <w:rFonts w:hint="eastAsia" w:ascii="仿宋_GB2312" w:eastAsia="仿宋_GB2312"/>
          <w:color w:val="auto"/>
          <w:sz w:val="32"/>
          <w:szCs w:val="32"/>
        </w:rPr>
        <w:t>：指</w:t>
      </w:r>
      <w:r>
        <w:rPr>
          <w:rFonts w:hint="eastAsia" w:ascii="仿宋_GB2312" w:eastAsia="仿宋_GB2312"/>
          <w:sz w:val="32"/>
          <w:szCs w:val="32"/>
          <w:lang w:val="en-US" w:eastAsia="zh-CN"/>
        </w:rPr>
        <w:t>反映除上述项目以外其他财政事务方面的支出。</w:t>
      </w:r>
    </w:p>
    <w:p>
      <w:pPr>
        <w:pStyle w:val="27"/>
        <w:spacing w:line="560" w:lineRule="exact"/>
        <w:ind w:firstLine="640" w:firstLineChars="200"/>
        <w:rPr>
          <w:rFonts w:ascii="仿宋_GB2312" w:eastAsia="仿宋_GB2312"/>
          <w:color w:val="auto"/>
          <w:sz w:val="32"/>
          <w:szCs w:val="32"/>
        </w:rPr>
      </w:pPr>
      <w:r>
        <w:rPr>
          <w:rFonts w:hint="eastAsia" w:ascii="仿宋_GB2312" w:eastAsia="仿宋_GB2312"/>
          <w:color w:val="auto"/>
          <w:sz w:val="32"/>
          <w:szCs w:val="32"/>
        </w:rPr>
        <w:t>1</w:t>
      </w:r>
      <w:r>
        <w:rPr>
          <w:rFonts w:hint="eastAsia" w:ascii="仿宋_GB2312" w:eastAsia="仿宋_GB2312"/>
          <w:color w:val="auto"/>
          <w:sz w:val="32"/>
          <w:szCs w:val="32"/>
          <w:lang w:val="en-US" w:eastAsia="zh-CN"/>
        </w:rPr>
        <w:t>0</w:t>
      </w:r>
      <w:r>
        <w:rPr>
          <w:rFonts w:hint="eastAsia" w:ascii="仿宋_GB2312" w:eastAsia="仿宋_GB2312"/>
          <w:color w:val="auto"/>
          <w:sz w:val="32"/>
          <w:szCs w:val="32"/>
        </w:rPr>
        <w:t>.</w:t>
      </w:r>
      <w:r>
        <w:rPr>
          <w:rFonts w:hint="eastAsia" w:ascii="仿宋_GB2312" w:eastAsia="仿宋_GB2312"/>
          <w:color w:val="auto"/>
          <w:sz w:val="32"/>
          <w:szCs w:val="32"/>
        </w:rPr>
        <w:tab/>
      </w:r>
      <w:r>
        <w:rPr>
          <w:rFonts w:hint="eastAsia" w:ascii="仿宋_GB2312" w:eastAsia="仿宋_GB2312"/>
          <w:color w:val="auto"/>
          <w:sz w:val="32"/>
          <w:szCs w:val="32"/>
        </w:rPr>
        <w:t>文化旅游体育与传媒（类）文化和旅游（款）一般行政管理事务（项）：指反映行政单位（包括实行公务员管理的事业单位）未单独设置项级科目的其他项目支出。</w:t>
      </w:r>
    </w:p>
    <w:p>
      <w:pPr>
        <w:numPr>
          <w:ilvl w:val="0"/>
          <w:numId w:val="0"/>
        </w:numPr>
        <w:spacing w:line="600" w:lineRule="exact"/>
        <w:ind w:firstLine="640" w:firstLineChars="200"/>
        <w:rPr>
          <w:rFonts w:hint="eastAsia" w:ascii="仿宋_GB2312" w:eastAsia="仿宋_GB2312"/>
          <w:sz w:val="32"/>
          <w:szCs w:val="32"/>
        </w:rPr>
      </w:pPr>
      <w:r>
        <w:rPr>
          <w:rFonts w:hint="eastAsia" w:ascii="仿宋_GB2312" w:eastAsia="仿宋_GB2312"/>
          <w:sz w:val="32"/>
          <w:szCs w:val="32"/>
          <w:lang w:val="en-US" w:eastAsia="zh-CN"/>
        </w:rPr>
        <w:t>11、</w:t>
      </w:r>
      <w:r>
        <w:rPr>
          <w:rFonts w:hint="eastAsia" w:ascii="仿宋_GB2312" w:eastAsia="仿宋_GB2312"/>
          <w:sz w:val="32"/>
          <w:szCs w:val="32"/>
        </w:rPr>
        <w:t>文化旅游体育与传媒支出（类）文化和旅游（款）其他文化和旅游支出（项）</w:t>
      </w:r>
      <w:r>
        <w:rPr>
          <w:rFonts w:hint="eastAsia" w:ascii="仿宋_GB2312" w:eastAsia="仿宋_GB2312"/>
          <w:color w:val="auto"/>
          <w:sz w:val="32"/>
          <w:szCs w:val="32"/>
        </w:rPr>
        <w:t>：指</w:t>
      </w:r>
      <w:r>
        <w:rPr>
          <w:rFonts w:hint="eastAsia" w:ascii="仿宋_GB2312" w:eastAsia="仿宋_GB2312"/>
          <w:sz w:val="32"/>
          <w:szCs w:val="32"/>
        </w:rPr>
        <w:t>反映除上述项目以外其他用于文化和旅游方面的支出。</w:t>
      </w:r>
    </w:p>
    <w:p>
      <w:pPr>
        <w:pStyle w:val="27"/>
        <w:spacing w:line="560" w:lineRule="exact"/>
        <w:ind w:firstLine="640" w:firstLineChars="200"/>
        <w:rPr>
          <w:rFonts w:ascii="仿宋_GB2312" w:eastAsia="仿宋_GB2312"/>
          <w:color w:val="auto"/>
          <w:sz w:val="32"/>
          <w:szCs w:val="32"/>
        </w:rPr>
      </w:pPr>
      <w:r>
        <w:rPr>
          <w:rFonts w:hint="eastAsia" w:ascii="仿宋_GB2312" w:eastAsia="仿宋_GB2312"/>
          <w:color w:val="auto"/>
          <w:sz w:val="32"/>
          <w:szCs w:val="32"/>
        </w:rPr>
        <w:t>1</w:t>
      </w:r>
      <w:r>
        <w:rPr>
          <w:rFonts w:hint="eastAsia" w:ascii="仿宋_GB2312" w:eastAsia="仿宋_GB2312"/>
          <w:color w:val="auto"/>
          <w:sz w:val="32"/>
          <w:szCs w:val="32"/>
          <w:lang w:val="en-US" w:eastAsia="zh-CN"/>
        </w:rPr>
        <w:t>2、</w:t>
      </w:r>
      <w:r>
        <w:rPr>
          <w:rFonts w:hint="eastAsia" w:ascii="仿宋_GB2312" w:eastAsia="仿宋_GB2312"/>
          <w:color w:val="auto"/>
          <w:sz w:val="32"/>
          <w:szCs w:val="32"/>
        </w:rPr>
        <w:t>文化旅游体育与传媒（类）文化和旅游（款）其他文化和旅游支出（项）：指反映除上述项目以外其他用于文化方面的支出。</w:t>
      </w:r>
    </w:p>
    <w:p>
      <w:pPr>
        <w:pStyle w:val="27"/>
        <w:spacing w:line="560" w:lineRule="exact"/>
        <w:ind w:firstLine="640" w:firstLineChars="200"/>
        <w:rPr>
          <w:rFonts w:hint="eastAsia" w:ascii="仿宋_GB2312" w:eastAsia="仿宋_GB2312"/>
          <w:color w:val="auto"/>
          <w:sz w:val="32"/>
          <w:szCs w:val="32"/>
          <w:lang w:eastAsia="zh-CN"/>
        </w:rPr>
      </w:pPr>
      <w:r>
        <w:rPr>
          <w:rFonts w:hint="eastAsia" w:ascii="仿宋_GB2312" w:eastAsia="仿宋_GB2312"/>
          <w:color w:val="auto"/>
          <w:sz w:val="32"/>
          <w:szCs w:val="32"/>
          <w:lang w:val="en-US" w:eastAsia="zh-CN"/>
        </w:rPr>
        <w:t>13、</w:t>
      </w:r>
      <w:r>
        <w:rPr>
          <w:rFonts w:hint="eastAsia" w:ascii="仿宋_GB2312" w:eastAsia="仿宋_GB2312"/>
          <w:color w:val="auto"/>
          <w:sz w:val="32"/>
          <w:szCs w:val="32"/>
        </w:rPr>
        <w:t>文化旅游体育与传媒（类）文物（款）</w:t>
      </w:r>
      <w:r>
        <w:rPr>
          <w:rFonts w:hint="eastAsia" w:ascii="仿宋_GB2312" w:eastAsia="仿宋_GB2312"/>
          <w:color w:val="auto"/>
          <w:sz w:val="32"/>
          <w:szCs w:val="32"/>
          <w:lang w:eastAsia="zh-CN"/>
        </w:rPr>
        <w:t>其他文物支出（项）</w:t>
      </w:r>
      <w:r>
        <w:rPr>
          <w:rFonts w:hint="eastAsia" w:ascii="仿宋_GB2312" w:eastAsia="仿宋_GB2312"/>
          <w:color w:val="auto"/>
          <w:sz w:val="32"/>
          <w:szCs w:val="32"/>
        </w:rPr>
        <w:t>：指反映</w:t>
      </w:r>
      <w:r>
        <w:rPr>
          <w:rFonts w:hint="eastAsia" w:ascii="仿宋_GB2312" w:eastAsia="仿宋_GB2312"/>
          <w:color w:val="auto"/>
          <w:sz w:val="32"/>
          <w:szCs w:val="32"/>
          <w:lang w:eastAsia="zh-CN"/>
        </w:rPr>
        <w:t>除上述项目以外其他用于文物方面的支出。</w:t>
      </w:r>
    </w:p>
    <w:p>
      <w:pPr>
        <w:pStyle w:val="27"/>
        <w:spacing w:line="560" w:lineRule="exact"/>
        <w:ind w:firstLine="640" w:firstLineChars="200"/>
        <w:rPr>
          <w:rFonts w:hint="eastAsia" w:ascii="仿宋_GB2312" w:eastAsia="仿宋_GB2312"/>
          <w:color w:val="auto"/>
          <w:sz w:val="32"/>
          <w:szCs w:val="32"/>
        </w:rPr>
      </w:pPr>
      <w:r>
        <w:rPr>
          <w:rFonts w:hint="eastAsia" w:ascii="仿宋_GB2312" w:eastAsia="仿宋_GB2312"/>
          <w:color w:val="auto"/>
          <w:sz w:val="32"/>
          <w:szCs w:val="32"/>
        </w:rPr>
        <w:t>1</w:t>
      </w:r>
      <w:r>
        <w:rPr>
          <w:rFonts w:hint="eastAsia" w:ascii="仿宋_GB2312" w:eastAsia="仿宋_GB2312"/>
          <w:color w:val="auto"/>
          <w:sz w:val="32"/>
          <w:szCs w:val="32"/>
          <w:lang w:val="en-US" w:eastAsia="zh-CN"/>
        </w:rPr>
        <w:t>4、</w:t>
      </w:r>
      <w:r>
        <w:rPr>
          <w:rFonts w:hint="eastAsia" w:ascii="仿宋_GB2312" w:eastAsia="仿宋_GB2312"/>
          <w:color w:val="auto"/>
          <w:sz w:val="32"/>
          <w:szCs w:val="32"/>
        </w:rPr>
        <w:t>文化旅游体育与传媒（类）体育（款）</w:t>
      </w:r>
      <w:r>
        <w:rPr>
          <w:rFonts w:hint="eastAsia" w:ascii="仿宋_GB2312" w:eastAsia="仿宋_GB2312"/>
          <w:color w:val="auto"/>
          <w:sz w:val="32"/>
          <w:szCs w:val="32"/>
          <w:lang w:val="en-US" w:eastAsia="zh-CN"/>
        </w:rPr>
        <w:t>行政运行</w:t>
      </w:r>
      <w:r>
        <w:rPr>
          <w:rFonts w:hint="eastAsia" w:ascii="仿宋_GB2312" w:eastAsia="仿宋_GB2312"/>
          <w:color w:val="auto"/>
          <w:sz w:val="32"/>
          <w:szCs w:val="32"/>
        </w:rPr>
        <w:t>（项）：指反映</w:t>
      </w:r>
      <w:r>
        <w:rPr>
          <w:rFonts w:hint="eastAsia" w:ascii="仿宋_GB2312" w:eastAsia="仿宋_GB2312"/>
          <w:color w:val="auto"/>
          <w:sz w:val="32"/>
          <w:szCs w:val="32"/>
          <w:lang w:val="en-US" w:eastAsia="zh-CN"/>
        </w:rPr>
        <w:t>行政单位（包括实行公务员管理的事业单位）的基本支</w:t>
      </w:r>
      <w:r>
        <w:rPr>
          <w:rFonts w:hint="eastAsia" w:ascii="仿宋_GB2312" w:eastAsia="仿宋_GB2312"/>
          <w:color w:val="auto"/>
          <w:sz w:val="32"/>
          <w:szCs w:val="32"/>
        </w:rPr>
        <w:t>。</w:t>
      </w:r>
    </w:p>
    <w:p>
      <w:pPr>
        <w:pStyle w:val="27"/>
        <w:spacing w:line="560" w:lineRule="exact"/>
        <w:ind w:firstLine="640" w:firstLineChars="200"/>
        <w:rPr>
          <w:rFonts w:hint="eastAsia" w:ascii="仿宋_GB2312" w:eastAsia="仿宋_GB2312"/>
          <w:color w:val="auto"/>
          <w:sz w:val="32"/>
          <w:szCs w:val="32"/>
          <w:lang w:eastAsia="zh-CN"/>
        </w:rPr>
      </w:pPr>
      <w:r>
        <w:rPr>
          <w:rFonts w:hint="eastAsia" w:ascii="仿宋_GB2312" w:eastAsia="仿宋_GB2312"/>
          <w:color w:val="auto"/>
          <w:sz w:val="32"/>
          <w:szCs w:val="32"/>
          <w:lang w:val="en-US" w:eastAsia="zh-CN"/>
        </w:rPr>
        <w:t>15、</w:t>
      </w:r>
      <w:r>
        <w:rPr>
          <w:rFonts w:hint="eastAsia" w:ascii="仿宋_GB2312" w:eastAsia="仿宋_GB2312"/>
          <w:color w:val="auto"/>
          <w:sz w:val="32"/>
          <w:szCs w:val="32"/>
        </w:rPr>
        <w:t>文化旅游体育与传媒（类）体育（款）</w:t>
      </w:r>
      <w:r>
        <w:rPr>
          <w:rFonts w:hint="eastAsia" w:ascii="仿宋_GB2312" w:eastAsia="仿宋_GB2312"/>
          <w:color w:val="auto"/>
          <w:sz w:val="32"/>
          <w:szCs w:val="32"/>
          <w:lang w:eastAsia="zh-CN"/>
        </w:rPr>
        <w:t>体育场馆（项）</w:t>
      </w:r>
      <w:r>
        <w:rPr>
          <w:rFonts w:hint="eastAsia" w:ascii="仿宋_GB2312" w:eastAsia="仿宋_GB2312"/>
          <w:color w:val="auto"/>
          <w:sz w:val="32"/>
          <w:szCs w:val="32"/>
        </w:rPr>
        <w:t>：指</w:t>
      </w:r>
      <w:r>
        <w:rPr>
          <w:rFonts w:hint="eastAsia" w:ascii="仿宋_GB2312" w:eastAsia="仿宋_GB2312"/>
          <w:color w:val="auto"/>
          <w:sz w:val="32"/>
          <w:szCs w:val="32"/>
          <w:lang w:eastAsia="zh-CN"/>
        </w:rPr>
        <w:t>反映体育场馆建设及维护等方面的支出。</w:t>
      </w:r>
    </w:p>
    <w:p>
      <w:pPr>
        <w:pStyle w:val="27"/>
        <w:numPr>
          <w:ilvl w:val="0"/>
          <w:numId w:val="0"/>
        </w:numPr>
        <w:spacing w:line="560" w:lineRule="exact"/>
        <w:ind w:firstLine="640" w:firstLineChars="200"/>
        <w:rPr>
          <w:rFonts w:hint="eastAsia" w:ascii="仿宋_GB2312" w:eastAsia="仿宋_GB2312"/>
          <w:color w:val="auto"/>
          <w:sz w:val="32"/>
          <w:szCs w:val="32"/>
          <w:lang w:eastAsia="zh-CN"/>
        </w:rPr>
      </w:pPr>
      <w:r>
        <w:rPr>
          <w:rFonts w:hint="eastAsia" w:ascii="仿宋_GB2312" w:eastAsia="仿宋_GB2312"/>
          <w:color w:val="auto"/>
          <w:sz w:val="32"/>
          <w:szCs w:val="32"/>
          <w:lang w:val="en-US" w:eastAsia="zh-CN"/>
        </w:rPr>
        <w:t>16.</w:t>
      </w:r>
      <w:r>
        <w:rPr>
          <w:rFonts w:hint="eastAsia" w:ascii="仿宋_GB2312" w:eastAsia="仿宋_GB2312"/>
          <w:color w:val="auto"/>
          <w:sz w:val="32"/>
          <w:szCs w:val="32"/>
        </w:rPr>
        <w:t>文化旅游体育与传媒（类）体育（款）</w:t>
      </w:r>
      <w:r>
        <w:rPr>
          <w:rFonts w:hint="eastAsia" w:ascii="仿宋_GB2312" w:eastAsia="仿宋_GB2312"/>
          <w:color w:val="auto"/>
          <w:sz w:val="32"/>
          <w:szCs w:val="32"/>
          <w:lang w:eastAsia="zh-CN"/>
        </w:rPr>
        <w:t>群众体育（项）</w:t>
      </w:r>
      <w:r>
        <w:rPr>
          <w:rFonts w:hint="eastAsia" w:ascii="仿宋_GB2312" w:eastAsia="仿宋_GB2312"/>
          <w:color w:val="auto"/>
          <w:sz w:val="32"/>
          <w:szCs w:val="32"/>
        </w:rPr>
        <w:t>：指</w:t>
      </w:r>
      <w:r>
        <w:rPr>
          <w:rFonts w:hint="eastAsia" w:ascii="仿宋_GB2312" w:eastAsia="仿宋_GB2312"/>
          <w:color w:val="auto"/>
          <w:sz w:val="32"/>
          <w:szCs w:val="32"/>
          <w:lang w:eastAsia="zh-CN"/>
        </w:rPr>
        <w:t>反映业余体校和全民健身等群众体育活动方面的支出。</w:t>
      </w:r>
    </w:p>
    <w:p>
      <w:pPr>
        <w:pStyle w:val="27"/>
        <w:spacing w:line="560" w:lineRule="exact"/>
        <w:ind w:firstLine="640" w:firstLineChars="200"/>
        <w:rPr>
          <w:rFonts w:ascii="仿宋_GB2312" w:eastAsia="仿宋_GB2312"/>
          <w:color w:val="auto"/>
          <w:sz w:val="32"/>
          <w:szCs w:val="32"/>
        </w:rPr>
      </w:pPr>
      <w:r>
        <w:rPr>
          <w:rFonts w:hint="eastAsia" w:ascii="仿宋_GB2312" w:eastAsia="仿宋_GB2312"/>
          <w:color w:val="auto"/>
          <w:sz w:val="32"/>
          <w:szCs w:val="32"/>
          <w:lang w:val="en-US" w:eastAsia="zh-CN"/>
        </w:rPr>
        <w:t>17、</w:t>
      </w:r>
      <w:r>
        <w:rPr>
          <w:rFonts w:hint="eastAsia" w:ascii="仿宋_GB2312" w:eastAsia="仿宋_GB2312"/>
          <w:color w:val="auto"/>
          <w:sz w:val="32"/>
          <w:szCs w:val="32"/>
        </w:rPr>
        <w:t>文化旅游体育与传媒（类）</w:t>
      </w:r>
      <w:r>
        <w:rPr>
          <w:rFonts w:hint="eastAsia" w:ascii="仿宋_GB2312" w:eastAsia="仿宋_GB2312"/>
          <w:color w:val="auto"/>
          <w:sz w:val="32"/>
          <w:szCs w:val="32"/>
          <w:lang w:val="en-US" w:eastAsia="zh-CN"/>
        </w:rPr>
        <w:t>其他文化旅游体育与传媒支出</w:t>
      </w:r>
      <w:r>
        <w:rPr>
          <w:rFonts w:hint="eastAsia" w:ascii="仿宋_GB2312" w:eastAsia="仿宋_GB2312"/>
          <w:color w:val="auto"/>
          <w:sz w:val="32"/>
          <w:szCs w:val="32"/>
        </w:rPr>
        <w:t>（款）其他</w:t>
      </w:r>
      <w:r>
        <w:rPr>
          <w:rFonts w:hint="eastAsia" w:ascii="仿宋_GB2312" w:eastAsia="仿宋_GB2312"/>
          <w:color w:val="auto"/>
          <w:sz w:val="32"/>
          <w:szCs w:val="32"/>
          <w:lang w:val="en-US" w:eastAsia="zh-CN"/>
        </w:rPr>
        <w:t>文化旅游</w:t>
      </w:r>
      <w:r>
        <w:rPr>
          <w:rFonts w:hint="eastAsia" w:ascii="仿宋_GB2312" w:eastAsia="仿宋_GB2312"/>
          <w:color w:val="auto"/>
          <w:sz w:val="32"/>
          <w:szCs w:val="32"/>
        </w:rPr>
        <w:t>体育</w:t>
      </w:r>
      <w:r>
        <w:rPr>
          <w:rFonts w:hint="eastAsia" w:ascii="仿宋_GB2312" w:eastAsia="仿宋_GB2312"/>
          <w:color w:val="auto"/>
          <w:sz w:val="32"/>
          <w:szCs w:val="32"/>
          <w:lang w:val="en-US" w:eastAsia="zh-CN"/>
        </w:rPr>
        <w:t>与传媒</w:t>
      </w:r>
      <w:r>
        <w:rPr>
          <w:rFonts w:hint="eastAsia" w:ascii="仿宋_GB2312" w:eastAsia="仿宋_GB2312"/>
          <w:color w:val="auto"/>
          <w:sz w:val="32"/>
          <w:szCs w:val="32"/>
        </w:rPr>
        <w:t>支出（项）：指</w:t>
      </w:r>
      <w:r>
        <w:rPr>
          <w:rFonts w:hint="eastAsia" w:ascii="仿宋_GB2312" w:eastAsia="仿宋_GB2312"/>
          <w:color w:val="auto"/>
          <w:sz w:val="32"/>
          <w:szCs w:val="32"/>
          <w:lang w:val="en-US" w:eastAsia="zh-CN"/>
        </w:rPr>
        <w:t>反映除上述项目以外其他用于文化旅游体育与传媒方面的支出</w:t>
      </w:r>
      <w:r>
        <w:rPr>
          <w:rFonts w:hint="eastAsia" w:ascii="仿宋_GB2312" w:eastAsia="仿宋_GB2312"/>
          <w:color w:val="auto"/>
          <w:sz w:val="32"/>
          <w:szCs w:val="32"/>
        </w:rPr>
        <w:t>。</w:t>
      </w:r>
    </w:p>
    <w:p>
      <w:pPr>
        <w:pStyle w:val="27"/>
        <w:spacing w:line="560" w:lineRule="exact"/>
        <w:ind w:firstLine="640" w:firstLineChars="200"/>
        <w:rPr>
          <w:rFonts w:hint="eastAsia" w:ascii="仿宋_GB2312" w:eastAsia="仿宋_GB2312"/>
          <w:color w:val="auto"/>
          <w:sz w:val="32"/>
          <w:szCs w:val="32"/>
          <w:lang w:val="en-US" w:eastAsia="zh-CN"/>
        </w:rPr>
      </w:pPr>
      <w:r>
        <w:rPr>
          <w:rFonts w:hint="eastAsia" w:ascii="仿宋_GB2312" w:eastAsia="仿宋_GB2312"/>
          <w:color w:val="auto"/>
          <w:sz w:val="32"/>
          <w:szCs w:val="32"/>
          <w:lang w:val="en-US" w:eastAsia="zh-CN"/>
        </w:rPr>
        <w:t>18、</w:t>
      </w:r>
      <w:r>
        <w:rPr>
          <w:rFonts w:hint="eastAsia" w:ascii="仿宋_GB2312" w:eastAsia="仿宋_GB2312"/>
          <w:color w:val="auto"/>
          <w:sz w:val="32"/>
          <w:szCs w:val="32"/>
        </w:rPr>
        <w:t>文化旅游体育与传媒（类）广播电视（款）其他广播电视支出（项）：指反映除上述项目以外其他用于广播电视方面的支出。</w:t>
      </w:r>
    </w:p>
    <w:p>
      <w:pPr>
        <w:spacing w:line="600" w:lineRule="exact"/>
        <w:ind w:firstLine="640"/>
        <w:rPr>
          <w:rFonts w:ascii="仿宋_GB2312" w:eastAsia="仿宋_GB2312"/>
          <w:sz w:val="32"/>
          <w:szCs w:val="32"/>
        </w:rPr>
      </w:pPr>
      <w:r>
        <w:rPr>
          <w:rFonts w:hint="eastAsia" w:ascii="仿宋_GB2312" w:eastAsia="仿宋_GB2312"/>
          <w:sz w:val="32"/>
          <w:szCs w:val="32"/>
          <w:lang w:val="en-US" w:eastAsia="zh-CN"/>
        </w:rPr>
        <w:t>19、</w:t>
      </w:r>
      <w:r>
        <w:rPr>
          <w:rFonts w:hint="eastAsia" w:ascii="仿宋_GB2312" w:eastAsia="仿宋_GB2312"/>
          <w:sz w:val="32"/>
          <w:szCs w:val="32"/>
        </w:rPr>
        <w:t>社会保障和就业支出（类）行政事业单位养老支出（款）机关事业单位基本养老保险缴费支出（项）</w:t>
      </w:r>
      <w:r>
        <w:rPr>
          <w:rFonts w:hint="eastAsia" w:ascii="仿宋_GB2312" w:eastAsia="仿宋_GB2312"/>
          <w:color w:val="auto"/>
          <w:sz w:val="32"/>
          <w:szCs w:val="32"/>
        </w:rPr>
        <w:t>：</w:t>
      </w:r>
      <w:r>
        <w:rPr>
          <w:rFonts w:hint="eastAsia" w:ascii="仿宋_GB2312" w:eastAsia="仿宋_GB2312"/>
          <w:sz w:val="32"/>
          <w:szCs w:val="32"/>
        </w:rPr>
        <w:t>指部门实施养老保险制度由单位缴纳的养老保险费的支出。</w:t>
      </w:r>
    </w:p>
    <w:p>
      <w:pPr>
        <w:spacing w:line="600" w:lineRule="exact"/>
        <w:ind w:firstLine="640"/>
        <w:rPr>
          <w:rFonts w:ascii="仿宋_GB2312" w:eastAsia="仿宋_GB2312"/>
          <w:sz w:val="32"/>
          <w:szCs w:val="32"/>
        </w:rPr>
      </w:pPr>
      <w:r>
        <w:rPr>
          <w:rFonts w:hint="eastAsia" w:ascii="仿宋_GB2312" w:eastAsia="仿宋_GB2312"/>
          <w:sz w:val="32"/>
          <w:szCs w:val="32"/>
          <w:lang w:val="en-US" w:eastAsia="zh-CN"/>
        </w:rPr>
        <w:t>20</w:t>
      </w:r>
      <w:r>
        <w:rPr>
          <w:rFonts w:hint="eastAsia" w:ascii="仿宋_GB2312" w:eastAsia="仿宋_GB2312"/>
          <w:sz w:val="32"/>
          <w:szCs w:val="32"/>
        </w:rPr>
        <w:t>、社会保障和就业支出（类）行政事业单位养老支出（款）机关事业单位职业年金缴费支出（项）</w:t>
      </w:r>
      <w:r>
        <w:rPr>
          <w:rFonts w:hint="eastAsia" w:ascii="仿宋_GB2312" w:eastAsia="仿宋_GB2312"/>
          <w:color w:val="auto"/>
          <w:sz w:val="32"/>
          <w:szCs w:val="32"/>
        </w:rPr>
        <w:t>：</w:t>
      </w:r>
      <w:r>
        <w:rPr>
          <w:rFonts w:hint="eastAsia" w:ascii="仿宋_GB2312" w:eastAsia="仿宋_GB2312"/>
          <w:sz w:val="32"/>
          <w:szCs w:val="32"/>
        </w:rPr>
        <w:t>指部门实施养老保险制度由单位缴纳的职业年金的支出。</w:t>
      </w:r>
    </w:p>
    <w:p>
      <w:pPr>
        <w:spacing w:line="600" w:lineRule="exact"/>
        <w:ind w:firstLine="640"/>
        <w:rPr>
          <w:rFonts w:ascii="仿宋_GB2312" w:eastAsia="仿宋_GB2312"/>
          <w:sz w:val="32"/>
          <w:szCs w:val="32"/>
        </w:rPr>
      </w:pPr>
      <w:r>
        <w:rPr>
          <w:rFonts w:hint="eastAsia" w:ascii="仿宋_GB2312" w:eastAsia="仿宋_GB2312"/>
          <w:sz w:val="32"/>
          <w:szCs w:val="32"/>
          <w:lang w:val="en-US" w:eastAsia="zh-CN"/>
        </w:rPr>
        <w:t>21</w:t>
      </w:r>
      <w:r>
        <w:rPr>
          <w:rFonts w:hint="eastAsia" w:ascii="仿宋_GB2312" w:eastAsia="仿宋_GB2312"/>
          <w:sz w:val="32"/>
          <w:szCs w:val="32"/>
        </w:rPr>
        <w:t>、社会保障和就业支出（类）行政事业单位养老支出（款）其他行政事业单位养老支出（项）</w:t>
      </w:r>
      <w:r>
        <w:rPr>
          <w:rFonts w:hint="eastAsia" w:ascii="仿宋_GB2312" w:eastAsia="仿宋_GB2312"/>
          <w:color w:val="auto"/>
          <w:sz w:val="32"/>
          <w:szCs w:val="32"/>
        </w:rPr>
        <w:t>：</w:t>
      </w:r>
      <w:r>
        <w:rPr>
          <w:rFonts w:hint="eastAsia" w:ascii="仿宋_GB2312" w:eastAsia="仿宋_GB2312"/>
          <w:sz w:val="32"/>
          <w:szCs w:val="32"/>
        </w:rPr>
        <w:t>指反映除上述项目以外其他用于行政事业单位养老方面的支出。</w:t>
      </w:r>
    </w:p>
    <w:p>
      <w:pPr>
        <w:spacing w:line="600" w:lineRule="exact"/>
        <w:ind w:firstLine="640"/>
        <w:rPr>
          <w:rFonts w:hint="eastAsia" w:ascii="仿宋_GB2312" w:eastAsia="仿宋_GB2312"/>
          <w:sz w:val="32"/>
          <w:szCs w:val="32"/>
        </w:rPr>
      </w:pPr>
      <w:r>
        <w:rPr>
          <w:rFonts w:hint="eastAsia" w:ascii="仿宋_GB2312" w:eastAsia="仿宋_GB2312"/>
          <w:sz w:val="32"/>
          <w:szCs w:val="32"/>
          <w:lang w:val="en-US" w:eastAsia="zh-CN"/>
        </w:rPr>
        <w:t>22、</w:t>
      </w:r>
      <w:r>
        <w:rPr>
          <w:rFonts w:hint="eastAsia" w:ascii="仿宋_GB2312" w:eastAsia="仿宋_GB2312"/>
          <w:sz w:val="32"/>
          <w:szCs w:val="32"/>
        </w:rPr>
        <w:t>卫生健康支出（类）行政事业单位医疗（款）事业单位医疗（项）</w:t>
      </w:r>
      <w:r>
        <w:rPr>
          <w:rFonts w:hint="eastAsia" w:ascii="仿宋_GB2312" w:eastAsia="仿宋_GB2312"/>
          <w:color w:val="auto"/>
          <w:sz w:val="32"/>
          <w:szCs w:val="32"/>
        </w:rPr>
        <w:t>：</w:t>
      </w:r>
      <w:r>
        <w:rPr>
          <w:rFonts w:hint="eastAsia" w:ascii="仿宋_GB2312" w:eastAsia="仿宋_GB2312"/>
          <w:sz w:val="32"/>
          <w:szCs w:val="32"/>
        </w:rPr>
        <w:t>指事业单位用于缴纳单位基本医疗保险支出。</w:t>
      </w:r>
    </w:p>
    <w:p>
      <w:pPr>
        <w:spacing w:line="600" w:lineRule="exact"/>
        <w:ind w:firstLine="640"/>
        <w:rPr>
          <w:rFonts w:hint="default" w:ascii="仿宋_GB2312" w:eastAsia="仿宋_GB2312"/>
          <w:sz w:val="32"/>
          <w:szCs w:val="32"/>
          <w:lang w:val="en-US" w:eastAsia="zh-CN"/>
        </w:rPr>
      </w:pPr>
      <w:r>
        <w:rPr>
          <w:rFonts w:hint="eastAsia" w:ascii="仿宋_GB2312" w:eastAsia="仿宋_GB2312"/>
          <w:sz w:val="32"/>
          <w:szCs w:val="32"/>
          <w:lang w:val="en-US" w:eastAsia="zh-CN"/>
        </w:rPr>
        <w:t>23、</w:t>
      </w:r>
      <w:r>
        <w:rPr>
          <w:rFonts w:hint="eastAsia" w:ascii="仿宋_GB2312" w:eastAsia="仿宋_GB2312"/>
          <w:sz w:val="32"/>
          <w:szCs w:val="32"/>
        </w:rPr>
        <w:t>卫生健康支出（类）行政事业单位医疗（款）</w:t>
      </w:r>
      <w:r>
        <w:rPr>
          <w:rFonts w:hint="eastAsia" w:ascii="仿宋_GB2312" w:eastAsia="仿宋_GB2312"/>
          <w:sz w:val="32"/>
          <w:szCs w:val="32"/>
          <w:lang w:val="en-US" w:eastAsia="zh-CN"/>
        </w:rPr>
        <w:t>公务员医疗补助（项）</w:t>
      </w:r>
      <w:r>
        <w:rPr>
          <w:rFonts w:hint="eastAsia" w:ascii="仿宋_GB2312" w:eastAsia="仿宋_GB2312"/>
          <w:color w:val="auto"/>
          <w:sz w:val="32"/>
          <w:szCs w:val="32"/>
        </w:rPr>
        <w:t>：</w:t>
      </w:r>
      <w:r>
        <w:rPr>
          <w:rFonts w:hint="eastAsia" w:ascii="仿宋_GB2312" w:eastAsia="仿宋_GB2312"/>
          <w:sz w:val="32"/>
          <w:szCs w:val="32"/>
          <w:lang w:val="en-US" w:eastAsia="zh-CN"/>
        </w:rPr>
        <w:t>反映财政部门安排的公务员医疗补助经费。</w:t>
      </w:r>
    </w:p>
    <w:p>
      <w:pPr>
        <w:spacing w:line="600" w:lineRule="exact"/>
        <w:ind w:firstLine="640" w:firstLineChars="200"/>
        <w:rPr>
          <w:rFonts w:ascii="仿宋_GB2312" w:eastAsia="仿宋_GB2312"/>
          <w:sz w:val="32"/>
          <w:szCs w:val="32"/>
        </w:rPr>
      </w:pPr>
      <w:r>
        <w:rPr>
          <w:rFonts w:hint="eastAsia" w:ascii="仿宋_GB2312" w:eastAsia="仿宋_GB2312"/>
          <w:sz w:val="32"/>
          <w:szCs w:val="32"/>
          <w:lang w:val="en-US" w:eastAsia="zh-CN"/>
        </w:rPr>
        <w:t>24、</w:t>
      </w:r>
      <w:r>
        <w:rPr>
          <w:rFonts w:hint="eastAsia" w:ascii="仿宋_GB2312" w:eastAsia="仿宋_GB2312"/>
          <w:sz w:val="32"/>
          <w:szCs w:val="32"/>
        </w:rPr>
        <w:t>住房保障支出（类）住房改革支出（款）住房公积金（项）</w:t>
      </w:r>
      <w:r>
        <w:rPr>
          <w:rFonts w:hint="eastAsia" w:ascii="仿宋_GB2312" w:eastAsia="仿宋_GB2312"/>
          <w:color w:val="auto"/>
          <w:sz w:val="32"/>
          <w:szCs w:val="32"/>
        </w:rPr>
        <w:t>：</w:t>
      </w:r>
      <w:r>
        <w:rPr>
          <w:rFonts w:hint="eastAsia" w:ascii="仿宋_GB2312" w:eastAsia="仿宋_GB2312"/>
          <w:sz w:val="32"/>
          <w:szCs w:val="32"/>
        </w:rPr>
        <w:t>指由单位及其在职职工按规定缴存的住房公积金支出。</w:t>
      </w:r>
    </w:p>
    <w:p>
      <w:pPr>
        <w:spacing w:line="600" w:lineRule="exact"/>
        <w:ind w:firstLine="640"/>
        <w:rPr>
          <w:rFonts w:ascii="仿宋_GB2312" w:eastAsia="仿宋_GB2312"/>
          <w:sz w:val="32"/>
          <w:szCs w:val="32"/>
        </w:rPr>
      </w:pPr>
      <w:r>
        <w:rPr>
          <w:rFonts w:hint="eastAsia" w:ascii="仿宋_GB2312" w:eastAsia="仿宋_GB2312"/>
          <w:sz w:val="32"/>
          <w:szCs w:val="32"/>
          <w:lang w:val="en-US" w:eastAsia="zh-CN"/>
        </w:rPr>
        <w:t>25、</w:t>
      </w:r>
      <w:r>
        <w:rPr>
          <w:rFonts w:hint="eastAsia" w:ascii="仿宋_GB2312" w:eastAsia="仿宋_GB2312"/>
          <w:sz w:val="32"/>
          <w:szCs w:val="32"/>
        </w:rPr>
        <w:t>基本支出：指为保障机构正常运转、完成日常工作任务而发生的人员支出和公用支出。</w:t>
      </w:r>
    </w:p>
    <w:p>
      <w:pPr>
        <w:spacing w:line="600" w:lineRule="exact"/>
        <w:ind w:firstLine="640"/>
        <w:rPr>
          <w:rFonts w:hint="eastAsia" w:ascii="仿宋_GB2312" w:eastAsia="仿宋_GB2312"/>
          <w:sz w:val="32"/>
          <w:szCs w:val="32"/>
        </w:rPr>
      </w:pPr>
      <w:r>
        <w:rPr>
          <w:rFonts w:hint="eastAsia" w:ascii="仿宋_GB2312" w:eastAsia="仿宋_GB2312"/>
          <w:sz w:val="32"/>
          <w:szCs w:val="32"/>
          <w:lang w:val="en-US" w:eastAsia="zh-CN"/>
        </w:rPr>
        <w:t>26、</w:t>
      </w:r>
      <w:r>
        <w:rPr>
          <w:rFonts w:hint="eastAsia" w:ascii="仿宋_GB2312" w:eastAsia="仿宋_GB2312"/>
          <w:sz w:val="32"/>
          <w:szCs w:val="32"/>
        </w:rPr>
        <w:t>项目支出：指在基本支出之外为完成特定行政任务和事业发展目标所发生的支出。</w:t>
      </w:r>
    </w:p>
    <w:p>
      <w:pPr>
        <w:spacing w:line="600" w:lineRule="exact"/>
        <w:ind w:firstLine="640"/>
        <w:rPr>
          <w:rFonts w:ascii="仿宋_GB2312" w:eastAsia="仿宋_GB2312"/>
          <w:sz w:val="32"/>
          <w:szCs w:val="32"/>
        </w:rPr>
      </w:pPr>
      <w:r>
        <w:rPr>
          <w:rFonts w:hint="eastAsia" w:ascii="仿宋_GB2312" w:eastAsia="仿宋_GB2312"/>
          <w:sz w:val="32"/>
          <w:szCs w:val="32"/>
          <w:lang w:val="en-US" w:eastAsia="zh-CN"/>
        </w:rPr>
        <w:t>27、</w:t>
      </w:r>
      <w:r>
        <w:rPr>
          <w:rFonts w:hint="eastAsia" w:ascii="仿宋_GB2312" w:eastAsia="仿宋_GB2312"/>
          <w:sz w:val="32"/>
          <w:szCs w:val="32"/>
        </w:rPr>
        <w:t>经营支出：指事业单位在专业业务活动及其辅助活动之外开展非独立核算经营活动发生的支出。</w:t>
      </w:r>
    </w:p>
    <w:p>
      <w:pPr>
        <w:spacing w:line="600" w:lineRule="exact"/>
        <w:ind w:firstLine="640"/>
        <w:rPr>
          <w:rFonts w:ascii="仿宋_GB2312" w:eastAsia="仿宋_GB2312"/>
          <w:sz w:val="32"/>
          <w:szCs w:val="32"/>
        </w:rPr>
      </w:pPr>
      <w:r>
        <w:rPr>
          <w:rFonts w:hint="eastAsia" w:ascii="仿宋_GB2312" w:eastAsia="仿宋_GB2312"/>
          <w:sz w:val="32"/>
          <w:szCs w:val="32"/>
          <w:lang w:val="en-US" w:eastAsia="zh-CN"/>
        </w:rPr>
        <w:t>38、</w:t>
      </w:r>
      <w:r>
        <w:rPr>
          <w:rFonts w:hint="eastAsia" w:ascii="仿宋_GB2312" w:eastAsia="仿宋_GB2312"/>
          <w:sz w:val="32"/>
          <w:szCs w:val="32"/>
        </w:rPr>
        <w:t>“三公”经费：指部门用财政拨款安排的因公出国（境）费、公务用车购置及运行费和公务接待费。其中，因公出国（境）费反映单位公务出国（境）的国际旅费、国外城市间交通费、住宿费、伙食费、培训费、公杂费等支出；公务用车购置及运行费反映单位公务用车车辆购置支出（含车辆购置税）及租用费、燃料费、维修费、过路过桥费、保险费等支出；公务接待费反映单位按规定开支的各类公务接待（含外宾接待）支出。</w:t>
      </w:r>
    </w:p>
    <w:p>
      <w:pPr>
        <w:spacing w:line="600" w:lineRule="exact"/>
        <w:ind w:firstLine="640"/>
        <w:rPr>
          <w:rFonts w:ascii="仿宋" w:hAnsi="仿宋" w:eastAsia="仿宋"/>
          <w:b/>
          <w:sz w:val="32"/>
          <w:szCs w:val="32"/>
        </w:rPr>
      </w:pPr>
      <w:r>
        <w:rPr>
          <w:rFonts w:hint="eastAsia" w:ascii="仿宋_GB2312" w:eastAsia="仿宋_GB2312"/>
          <w:sz w:val="32"/>
          <w:szCs w:val="32"/>
          <w:lang w:val="en-US" w:eastAsia="zh-CN"/>
        </w:rPr>
        <w:t>29、</w:t>
      </w:r>
      <w:r>
        <w:rPr>
          <w:rFonts w:hint="eastAsia" w:ascii="仿宋_GB2312" w:eastAsia="仿宋_GB2312"/>
          <w:sz w:val="32"/>
          <w:szCs w:val="32"/>
        </w:rPr>
        <w:t>机关运行经费：为保障行政单位（含参照公务员法管理的事业单位）运行用于购买货物和服务的各项资金，包括办公及印刷费、邮电费、差旅费、会议费、福利费、日常维修费、专用材料及一般设备购置费、办公用房水电费、办公用房取暖费、办公用房物业管理费、公务用车运行维护费以及其他费用。</w:t>
      </w:r>
    </w:p>
    <w:p>
      <w:pPr>
        <w:spacing w:line="600" w:lineRule="exact"/>
        <w:jc w:val="left"/>
        <w:rPr>
          <w:rFonts w:ascii="宋体"/>
          <w:b/>
          <w:sz w:val="44"/>
          <w:szCs w:val="44"/>
        </w:rPr>
      </w:pPr>
    </w:p>
    <w:p>
      <w:pPr>
        <w:pStyle w:val="27"/>
        <w:spacing w:line="560" w:lineRule="exact"/>
        <w:ind w:firstLine="640" w:firstLineChars="200"/>
        <w:rPr>
          <w:rFonts w:hint="eastAsia" w:ascii="仿宋_GB2312" w:eastAsia="仿宋_GB2312"/>
          <w:color w:val="auto"/>
          <w:sz w:val="32"/>
          <w:szCs w:val="32"/>
        </w:rPr>
      </w:pPr>
    </w:p>
    <w:p>
      <w:pPr>
        <w:spacing w:line="600" w:lineRule="exact"/>
        <w:jc w:val="center"/>
        <w:outlineLvl w:val="0"/>
        <w:rPr>
          <w:rStyle w:val="29"/>
          <w:rFonts w:ascii="黑体" w:hAnsi="黑体" w:eastAsia="黑体"/>
          <w:b w:val="0"/>
        </w:rPr>
      </w:pPr>
      <w:bookmarkStart w:id="66" w:name="_Toc15377226"/>
      <w:r>
        <w:rPr>
          <w:rFonts w:ascii="宋体"/>
          <w:b/>
          <w:sz w:val="44"/>
          <w:szCs w:val="44"/>
        </w:rPr>
        <w:br w:type="page"/>
      </w:r>
      <w:bookmarkStart w:id="67" w:name="_Toc11379"/>
      <w:bookmarkStart w:id="68" w:name="_Toc15396614"/>
      <w:r>
        <w:rPr>
          <w:rFonts w:hint="eastAsia" w:ascii="黑体" w:hAnsi="黑体" w:eastAsia="黑体"/>
          <w:sz w:val="44"/>
          <w:szCs w:val="44"/>
        </w:rPr>
        <w:t>第</w:t>
      </w:r>
      <w:r>
        <w:rPr>
          <w:rStyle w:val="29"/>
          <w:rFonts w:hint="eastAsia" w:ascii="黑体" w:hAnsi="黑体" w:eastAsia="黑体"/>
          <w:b w:val="0"/>
        </w:rPr>
        <w:t>四部分 附件</w:t>
      </w:r>
      <w:bookmarkEnd w:id="67"/>
      <w:bookmarkEnd w:id="68"/>
    </w:p>
    <w:p>
      <w:pPr>
        <w:spacing w:line="572" w:lineRule="exact"/>
        <w:jc w:val="left"/>
        <w:outlineLvl w:val="9"/>
        <w:rPr>
          <w:rFonts w:ascii="仿宋_GB2312" w:hAnsi="仿宋_GB2312" w:eastAsia="仿宋_GB2312" w:cs="仿宋_GB2312"/>
          <w:sz w:val="32"/>
          <w:szCs w:val="32"/>
        </w:rPr>
      </w:pPr>
    </w:p>
    <w:tbl>
      <w:tblPr>
        <w:tblStyle w:val="16"/>
        <w:tblW w:w="0" w:type="auto"/>
        <w:tblInd w:w="0" w:type="dxa"/>
        <w:tblLayout w:type="fixed"/>
        <w:tblCellMar>
          <w:top w:w="0" w:type="dxa"/>
          <w:left w:w="0" w:type="dxa"/>
          <w:bottom w:w="0" w:type="dxa"/>
          <w:right w:w="0" w:type="dxa"/>
        </w:tblCellMar>
      </w:tblPr>
      <w:tblGrid>
        <w:gridCol w:w="1326"/>
        <w:gridCol w:w="226"/>
        <w:gridCol w:w="225"/>
        <w:gridCol w:w="1821"/>
        <w:gridCol w:w="1146"/>
        <w:gridCol w:w="1024"/>
        <w:gridCol w:w="752"/>
        <w:gridCol w:w="752"/>
        <w:gridCol w:w="587"/>
        <w:gridCol w:w="577"/>
      </w:tblGrid>
      <w:tr>
        <w:tblPrEx>
          <w:tblCellMar>
            <w:top w:w="0" w:type="dxa"/>
            <w:left w:w="0" w:type="dxa"/>
            <w:bottom w:w="0" w:type="dxa"/>
            <w:right w:w="0" w:type="dxa"/>
          </w:tblCellMar>
        </w:tblPrEx>
        <w:trPr>
          <w:trHeight w:val="480" w:hRule="atLeast"/>
        </w:trPr>
        <w:tc>
          <w:tcPr>
            <w:tcW w:w="7859"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bookmarkStart w:id="69" w:name="_Toc15396618"/>
            <w:r>
              <w:rPr>
                <w:rFonts w:hint="eastAsia" w:ascii="宋体" w:hAnsi="宋体" w:eastAsia="宋体" w:cs="宋体"/>
                <w:b/>
                <w:i w:val="0"/>
                <w:color w:val="000000"/>
                <w:kern w:val="0"/>
                <w:sz w:val="36"/>
                <w:szCs w:val="36"/>
                <w:u w:val="none"/>
                <w:lang w:val="en-US" w:eastAsia="zh-CN" w:bidi="ar"/>
              </w:rPr>
              <w:t>区级项目支出绩效自评表</w:t>
            </w:r>
          </w:p>
        </w:tc>
        <w:tc>
          <w:tcPr>
            <w:tcW w:w="577"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540" w:hRule="atLeast"/>
        </w:trPr>
        <w:tc>
          <w:tcPr>
            <w:tcW w:w="13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272" w:type="dxa"/>
            <w:gridSpan w:val="3"/>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下达2022年7-9月体彩公益金地方分成资金</w:t>
            </w:r>
          </w:p>
        </w:tc>
        <w:tc>
          <w:tcPr>
            <w:tcW w:w="11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11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57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08" w:hRule="atLeast"/>
        </w:trPr>
        <w:tc>
          <w:tcPr>
            <w:tcW w:w="13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272"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1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11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57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08" w:hRule="atLeast"/>
        </w:trPr>
        <w:tc>
          <w:tcPr>
            <w:tcW w:w="7859"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57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08" w:hRule="atLeast"/>
        </w:trPr>
        <w:tc>
          <w:tcPr>
            <w:tcW w:w="155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17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1"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57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08" w:hRule="atLeast"/>
        </w:trPr>
        <w:tc>
          <w:tcPr>
            <w:tcW w:w="155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04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13.8209</w:t>
            </w:r>
          </w:p>
        </w:tc>
        <w:tc>
          <w:tcPr>
            <w:tcW w:w="217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13.8209</w:t>
            </w:r>
          </w:p>
        </w:tc>
        <w:tc>
          <w:tcPr>
            <w:tcW w:w="2091"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57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08" w:hRule="atLeast"/>
        </w:trPr>
        <w:tc>
          <w:tcPr>
            <w:tcW w:w="155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04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13.8209</w:t>
            </w:r>
          </w:p>
        </w:tc>
        <w:tc>
          <w:tcPr>
            <w:tcW w:w="217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13.8209</w:t>
            </w:r>
          </w:p>
        </w:tc>
        <w:tc>
          <w:tcPr>
            <w:tcW w:w="2091"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57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08" w:hRule="atLeast"/>
        </w:trPr>
        <w:tc>
          <w:tcPr>
            <w:tcW w:w="155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04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7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1"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57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08" w:hRule="atLeast"/>
        </w:trPr>
        <w:tc>
          <w:tcPr>
            <w:tcW w:w="1326"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18"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11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57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900" w:hRule="atLeast"/>
        </w:trPr>
        <w:tc>
          <w:tcPr>
            <w:tcW w:w="1326"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18"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2023年计划使用体彩公益金13.8209万元，用于2023年参龙舟活动训练相关经费以及体育相关支出。</w:t>
            </w:r>
          </w:p>
        </w:tc>
        <w:tc>
          <w:tcPr>
            <w:tcW w:w="311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2023年实际使用体彩公益金13.8209万元，用于组织参龙舟活动训练、参加体育活动等相关经费以及体育相关支出。</w:t>
            </w:r>
          </w:p>
        </w:tc>
        <w:tc>
          <w:tcPr>
            <w:tcW w:w="577"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528" w:hRule="atLeast"/>
        </w:trPr>
        <w:tc>
          <w:tcPr>
            <w:tcW w:w="13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5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8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1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102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5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408" w:hRule="atLeast"/>
        </w:trPr>
        <w:tc>
          <w:tcPr>
            <w:tcW w:w="5768"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08" w:hRule="atLeast"/>
        </w:trPr>
        <w:tc>
          <w:tcPr>
            <w:tcW w:w="359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1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2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5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08" w:hRule="atLeast"/>
        </w:trPr>
        <w:tc>
          <w:tcPr>
            <w:tcW w:w="1326"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51"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8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参加龙舟活动次数</w:t>
            </w:r>
          </w:p>
        </w:tc>
        <w:tc>
          <w:tcPr>
            <w:tcW w:w="11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w:t>
            </w:r>
          </w:p>
        </w:tc>
        <w:tc>
          <w:tcPr>
            <w:tcW w:w="102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08" w:hRule="atLeast"/>
        </w:trPr>
        <w:tc>
          <w:tcPr>
            <w:tcW w:w="1326"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51"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8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参加体育活动次数</w:t>
            </w:r>
          </w:p>
        </w:tc>
        <w:tc>
          <w:tcPr>
            <w:tcW w:w="11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w:t>
            </w:r>
          </w:p>
        </w:tc>
        <w:tc>
          <w:tcPr>
            <w:tcW w:w="102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08" w:hRule="atLeast"/>
        </w:trPr>
        <w:tc>
          <w:tcPr>
            <w:tcW w:w="1326"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51"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8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参加龙舟活动的契合度</w:t>
            </w:r>
          </w:p>
        </w:tc>
        <w:tc>
          <w:tcPr>
            <w:tcW w:w="11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10000%</w:t>
            </w:r>
          </w:p>
        </w:tc>
        <w:tc>
          <w:tcPr>
            <w:tcW w:w="102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10000%</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08" w:hRule="atLeast"/>
        </w:trPr>
        <w:tc>
          <w:tcPr>
            <w:tcW w:w="1326"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51"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8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购买健身器材的合格率</w:t>
            </w:r>
          </w:p>
        </w:tc>
        <w:tc>
          <w:tcPr>
            <w:tcW w:w="11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2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08" w:hRule="atLeast"/>
        </w:trPr>
        <w:tc>
          <w:tcPr>
            <w:tcW w:w="1326"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51"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8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参加龙舟活动的及时率</w:t>
            </w:r>
          </w:p>
        </w:tc>
        <w:tc>
          <w:tcPr>
            <w:tcW w:w="11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2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08" w:hRule="atLeast"/>
        </w:trPr>
        <w:tc>
          <w:tcPr>
            <w:tcW w:w="1326"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51"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8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购买健身器材的及时率</w:t>
            </w:r>
          </w:p>
        </w:tc>
        <w:tc>
          <w:tcPr>
            <w:tcW w:w="11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2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10000%</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08" w:hRule="atLeast"/>
        </w:trPr>
        <w:tc>
          <w:tcPr>
            <w:tcW w:w="1326"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51"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8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参加龙舟活动的参与率</w:t>
            </w:r>
          </w:p>
        </w:tc>
        <w:tc>
          <w:tcPr>
            <w:tcW w:w="11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102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20" w:hRule="atLeast"/>
        </w:trPr>
        <w:tc>
          <w:tcPr>
            <w:tcW w:w="1326"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51"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8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下达2022年7-9月体彩公益金地方分成资金的健全机制性</w:t>
            </w:r>
          </w:p>
        </w:tc>
        <w:tc>
          <w:tcPr>
            <w:tcW w:w="11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102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08" w:hRule="atLeast"/>
        </w:trPr>
        <w:tc>
          <w:tcPr>
            <w:tcW w:w="1326"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51"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8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参加龙舟活动的满意度</w:t>
            </w:r>
          </w:p>
        </w:tc>
        <w:tc>
          <w:tcPr>
            <w:tcW w:w="11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102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800" w:hRule="atLeast"/>
        </w:trPr>
        <w:tc>
          <w:tcPr>
            <w:tcW w:w="1326"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451"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经济成本指标</w:t>
            </w:r>
          </w:p>
        </w:tc>
        <w:tc>
          <w:tcPr>
            <w:tcW w:w="18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下达2022年7-9月体彩公益金地方分成资金的预算成本</w:t>
            </w:r>
          </w:p>
        </w:tc>
        <w:tc>
          <w:tcPr>
            <w:tcW w:w="11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≤13.8209</w:t>
            </w:r>
          </w:p>
        </w:tc>
        <w:tc>
          <w:tcPr>
            <w:tcW w:w="102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≤13.8209</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5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56" w:hRule="atLeast"/>
        </w:trPr>
        <w:tc>
          <w:tcPr>
            <w:tcW w:w="7859" w:type="dxa"/>
            <w:gridSpan w:val="9"/>
            <w:tcBorders>
              <w:top w:val="single" w:color="000000" w:sz="4" w:space="0"/>
              <w:left w:val="nil"/>
              <w:bottom w:val="single" w:color="000000" w:sz="4" w:space="0"/>
              <w:right w:val="nil"/>
            </w:tcBorders>
            <w:noWrap w:val="0"/>
            <w:tcMar>
              <w:top w:w="15" w:type="dxa"/>
              <w:left w:w="15" w:type="dxa"/>
              <w:right w:w="15" w:type="dxa"/>
            </w:tcMar>
            <w:vAlign w:val="center"/>
          </w:tcPr>
          <w:p>
            <w:pPr>
              <w:keepNext w:val="0"/>
              <w:keepLines w:val="0"/>
              <w:widowControl/>
              <w:suppressLineNumbers w:val="0"/>
              <w:ind w:left="880" w:hanging="880" w:hangingChars="400"/>
              <w:jc w:val="left"/>
              <w:textAlignment w:val="center"/>
              <w:rPr>
                <w:rFonts w:hint="eastAsia" w:ascii="宋体" w:hAnsi="宋体" w:eastAsia="宋体" w:cs="宋体"/>
                <w:i w:val="0"/>
                <w:color w:val="000000"/>
                <w:kern w:val="0"/>
                <w:sz w:val="22"/>
                <w:szCs w:val="22"/>
                <w:u w:val="none"/>
                <w:lang w:val="en-US" w:eastAsia="zh-CN" w:bidi="ar"/>
              </w:rPr>
            </w:pPr>
            <w:r>
              <w:rPr>
                <w:rFonts w:hint="eastAsia" w:ascii="宋体" w:hAnsi="宋体" w:eastAsia="宋体" w:cs="宋体"/>
                <w:i w:val="0"/>
                <w:color w:val="000000"/>
                <w:kern w:val="0"/>
                <w:sz w:val="22"/>
                <w:szCs w:val="22"/>
                <w:u w:val="none"/>
                <w:lang w:val="en-US" w:eastAsia="zh-CN" w:bidi="ar"/>
              </w:rPr>
              <w:t>说明：1.预算执行率得分=全年执行数/全年预算数*10分；</w:t>
            </w:r>
          </w:p>
          <w:p>
            <w:pPr>
              <w:keepNext w:val="0"/>
              <w:keepLines w:val="0"/>
              <w:widowControl/>
              <w:suppressLineNumbers w:val="0"/>
              <w:ind w:left="875" w:leftChars="312" w:hanging="220" w:hangingChars="10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2.“产出指标、效益指标、满意度指标”一共90分，对应的是一体化系统中单位编制的项目绩效目标。</w:t>
            </w:r>
          </w:p>
        </w:tc>
        <w:tc>
          <w:tcPr>
            <w:tcW w:w="577" w:type="dxa"/>
            <w:tcBorders>
              <w:top w:val="single" w:color="000000" w:sz="4" w:space="0"/>
              <w:left w:val="nil"/>
              <w:bottom w:val="single" w:color="000000" w:sz="4" w:space="0"/>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2"/>
                <w:szCs w:val="22"/>
                <w:u w:val="none"/>
                <w:lang w:val="en-US" w:eastAsia="zh-CN" w:bidi="ar"/>
              </w:rPr>
            </w:pPr>
          </w:p>
        </w:tc>
      </w:tr>
      <w:tr>
        <w:tblPrEx>
          <w:tblCellMar>
            <w:top w:w="0" w:type="dxa"/>
            <w:left w:w="0" w:type="dxa"/>
            <w:bottom w:w="0" w:type="dxa"/>
            <w:right w:w="0" w:type="dxa"/>
          </w:tblCellMar>
        </w:tblPrEx>
        <w:trPr>
          <w:trHeight w:val="756" w:hRule="atLeast"/>
        </w:trPr>
        <w:tc>
          <w:tcPr>
            <w:tcW w:w="7859" w:type="dxa"/>
            <w:gridSpan w:val="9"/>
            <w:tcBorders>
              <w:top w:val="single" w:color="000000" w:sz="4" w:space="0"/>
              <w:left w:val="nil"/>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2"/>
                <w:szCs w:val="22"/>
                <w:u w:val="none"/>
                <w:lang w:val="en-US" w:eastAsia="zh-CN" w:bidi="ar"/>
              </w:rPr>
            </w:pPr>
          </w:p>
        </w:tc>
        <w:tc>
          <w:tcPr>
            <w:tcW w:w="577" w:type="dxa"/>
            <w:tcBorders>
              <w:top w:val="single" w:color="000000" w:sz="4" w:space="0"/>
              <w:left w:val="nil"/>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2"/>
                <w:szCs w:val="22"/>
                <w:u w:val="none"/>
                <w:lang w:val="en-US" w:eastAsia="zh-CN" w:bidi="ar"/>
              </w:rPr>
            </w:pPr>
          </w:p>
        </w:tc>
      </w:tr>
    </w:tbl>
    <w:p>
      <w:pPr>
        <w:rPr>
          <w:rFonts w:hint="eastAsia" w:ascii="仿宋_GB2312" w:hAnsi="Calibri" w:eastAsia="仿宋_GB2312" w:cs="仿宋"/>
          <w:color w:val="auto"/>
          <w:kern w:val="0"/>
          <w:sz w:val="32"/>
          <w:szCs w:val="32"/>
          <w:highlight w:val="none"/>
          <w:lang w:val="en-US" w:eastAsia="zh-CN" w:bidi="ar-SA"/>
        </w:rPr>
      </w:pPr>
    </w:p>
    <w:p>
      <w:pPr>
        <w:pStyle w:val="6"/>
        <w:rPr>
          <w:rFonts w:hint="eastAsia"/>
          <w:lang w:val="en-US" w:eastAsia="zh-CN"/>
        </w:rPr>
      </w:pPr>
    </w:p>
    <w:p>
      <w:pPr>
        <w:pStyle w:val="6"/>
        <w:rPr>
          <w:rFonts w:hint="eastAsia" w:ascii="仿宋_GB2312" w:hAnsi="Calibri" w:eastAsia="仿宋_GB2312" w:cs="仿宋"/>
          <w:color w:val="auto"/>
          <w:kern w:val="0"/>
          <w:sz w:val="32"/>
          <w:szCs w:val="32"/>
          <w:highlight w:val="none"/>
          <w:lang w:val="en-US" w:eastAsia="zh-CN" w:bidi="ar-SA"/>
        </w:rPr>
      </w:pPr>
    </w:p>
    <w:p>
      <w:pPr>
        <w:pStyle w:val="6"/>
        <w:rPr>
          <w:rFonts w:hint="eastAsia" w:ascii="仿宋_GB2312" w:hAnsi="Calibri" w:eastAsia="仿宋_GB2312" w:cs="仿宋"/>
          <w:color w:val="auto"/>
          <w:kern w:val="0"/>
          <w:sz w:val="32"/>
          <w:szCs w:val="32"/>
          <w:highlight w:val="none"/>
          <w:lang w:val="en-US" w:eastAsia="zh-CN" w:bidi="ar-SA"/>
        </w:rPr>
      </w:pPr>
    </w:p>
    <w:p>
      <w:pPr>
        <w:pStyle w:val="6"/>
        <w:rPr>
          <w:rFonts w:hint="eastAsia" w:ascii="仿宋_GB2312" w:hAnsi="Calibri" w:eastAsia="仿宋_GB2312" w:cs="仿宋"/>
          <w:color w:val="auto"/>
          <w:kern w:val="0"/>
          <w:sz w:val="32"/>
          <w:szCs w:val="32"/>
          <w:highlight w:val="none"/>
          <w:lang w:val="en-US" w:eastAsia="zh-CN" w:bidi="ar-SA"/>
        </w:rPr>
      </w:pPr>
    </w:p>
    <w:p>
      <w:pPr>
        <w:rPr>
          <w:rFonts w:hint="eastAsia" w:ascii="仿宋_GB2312" w:hAnsi="Calibri" w:eastAsia="仿宋_GB2312" w:cs="仿宋"/>
          <w:color w:val="auto"/>
          <w:kern w:val="0"/>
          <w:sz w:val="32"/>
          <w:szCs w:val="32"/>
          <w:highlight w:val="none"/>
          <w:lang w:val="en-US" w:eastAsia="zh-CN" w:bidi="ar-SA"/>
        </w:rPr>
      </w:pPr>
    </w:p>
    <w:p>
      <w:pPr>
        <w:pStyle w:val="6"/>
        <w:rPr>
          <w:rFonts w:hint="eastAsia" w:ascii="仿宋_GB2312" w:hAnsi="Calibri" w:eastAsia="仿宋_GB2312" w:cs="仿宋"/>
          <w:color w:val="auto"/>
          <w:kern w:val="0"/>
          <w:sz w:val="32"/>
          <w:szCs w:val="32"/>
          <w:highlight w:val="none"/>
          <w:lang w:val="en-US" w:eastAsia="zh-CN" w:bidi="ar-SA"/>
        </w:rPr>
      </w:pPr>
    </w:p>
    <w:p>
      <w:pPr>
        <w:rPr>
          <w:rFonts w:hint="eastAsia" w:ascii="仿宋_GB2312" w:hAnsi="Calibri" w:eastAsia="仿宋_GB2312" w:cs="仿宋"/>
          <w:color w:val="auto"/>
          <w:kern w:val="0"/>
          <w:sz w:val="32"/>
          <w:szCs w:val="32"/>
          <w:highlight w:val="none"/>
          <w:lang w:val="en-US" w:eastAsia="zh-CN" w:bidi="ar-SA"/>
        </w:rPr>
      </w:pPr>
    </w:p>
    <w:p>
      <w:pPr>
        <w:pStyle w:val="6"/>
        <w:rPr>
          <w:rFonts w:hint="eastAsia" w:ascii="仿宋_GB2312" w:hAnsi="Calibri" w:eastAsia="仿宋_GB2312" w:cs="仿宋"/>
          <w:color w:val="auto"/>
          <w:kern w:val="0"/>
          <w:sz w:val="32"/>
          <w:szCs w:val="32"/>
          <w:highlight w:val="none"/>
          <w:lang w:val="en-US" w:eastAsia="zh-CN" w:bidi="ar-SA"/>
        </w:rPr>
      </w:pPr>
    </w:p>
    <w:p>
      <w:pPr>
        <w:rPr>
          <w:rFonts w:hint="eastAsia" w:ascii="仿宋_GB2312" w:hAnsi="Calibri" w:eastAsia="仿宋_GB2312" w:cs="仿宋"/>
          <w:color w:val="auto"/>
          <w:kern w:val="0"/>
          <w:sz w:val="32"/>
          <w:szCs w:val="32"/>
          <w:highlight w:val="none"/>
          <w:lang w:val="en-US" w:eastAsia="zh-CN" w:bidi="ar-SA"/>
        </w:rPr>
      </w:pPr>
    </w:p>
    <w:p>
      <w:pPr>
        <w:pStyle w:val="6"/>
        <w:rPr>
          <w:rFonts w:hint="eastAsia" w:ascii="仿宋_GB2312" w:hAnsi="Calibri" w:eastAsia="仿宋_GB2312" w:cs="仿宋"/>
          <w:color w:val="auto"/>
          <w:kern w:val="0"/>
          <w:sz w:val="32"/>
          <w:szCs w:val="32"/>
          <w:highlight w:val="none"/>
          <w:lang w:val="en-US" w:eastAsia="zh-CN" w:bidi="ar-SA"/>
        </w:rPr>
      </w:pPr>
    </w:p>
    <w:p>
      <w:pPr>
        <w:rPr>
          <w:rFonts w:hint="eastAsia" w:ascii="仿宋_GB2312" w:hAnsi="Calibri" w:eastAsia="仿宋_GB2312" w:cs="仿宋"/>
          <w:color w:val="auto"/>
          <w:kern w:val="0"/>
          <w:sz w:val="32"/>
          <w:szCs w:val="32"/>
          <w:highlight w:val="none"/>
          <w:lang w:val="en-US" w:eastAsia="zh-CN" w:bidi="ar-SA"/>
        </w:rPr>
      </w:pPr>
    </w:p>
    <w:p>
      <w:pPr>
        <w:pStyle w:val="6"/>
        <w:rPr>
          <w:rFonts w:hint="eastAsia" w:ascii="仿宋_GB2312" w:hAnsi="Calibri" w:eastAsia="仿宋_GB2312" w:cs="仿宋"/>
          <w:color w:val="auto"/>
          <w:kern w:val="0"/>
          <w:sz w:val="32"/>
          <w:szCs w:val="32"/>
          <w:highlight w:val="none"/>
          <w:lang w:val="en-US" w:eastAsia="zh-CN" w:bidi="ar-SA"/>
        </w:rPr>
      </w:pPr>
    </w:p>
    <w:p>
      <w:pPr>
        <w:rPr>
          <w:rFonts w:hint="eastAsia" w:ascii="仿宋_GB2312" w:hAnsi="Calibri" w:eastAsia="仿宋_GB2312" w:cs="仿宋"/>
          <w:color w:val="auto"/>
          <w:kern w:val="0"/>
          <w:sz w:val="32"/>
          <w:szCs w:val="32"/>
          <w:highlight w:val="none"/>
          <w:lang w:val="en-US" w:eastAsia="zh-CN" w:bidi="ar-SA"/>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7"/>
        <w:gridCol w:w="997"/>
        <w:gridCol w:w="729"/>
        <w:gridCol w:w="729"/>
        <w:gridCol w:w="640"/>
        <w:gridCol w:w="632"/>
      </w:tblGrid>
      <w:tr>
        <w:tblPrEx>
          <w:tblCellMar>
            <w:top w:w="0" w:type="dxa"/>
            <w:left w:w="0" w:type="dxa"/>
            <w:bottom w:w="0" w:type="dxa"/>
            <w:right w:w="0" w:type="dxa"/>
          </w:tblCellMar>
        </w:tblPrEx>
        <w:trPr>
          <w:trHeight w:val="450" w:hRule="atLeast"/>
        </w:trPr>
        <w:tc>
          <w:tcPr>
            <w:tcW w:w="7800"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90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下达2023年省级体育发展专项资金（第一批）预算</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00"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0.9</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0.9</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0.9</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0.9</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70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2023年计划使用财政资金0.9万元，用于开展绿道健身迎新春活动.</w:t>
            </w:r>
          </w:p>
        </w:tc>
        <w:tc>
          <w:tcPr>
            <w:tcW w:w="3095"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2023年使用财政资金0.9万元，用于开展绿道健身迎新春活动。</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2"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开展绿道健身迎新春活动场次</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≥1场次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开展绿道健身迎新春活动的契合度</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开展绿道健身迎新春活动的及时率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参加绿道健身迎新春活动人数</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≥1000人</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1200人</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下达2023年省级体育发展专项资金的健全机制性</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参加活动群众满意度</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下达2023年省级体育发展专项资金的预算成本</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≤0.9万元</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0.9万元</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pStyle w:val="6"/>
        <w:rPr>
          <w:rFonts w:hint="eastAsia"/>
          <w:lang w:val="en-US" w:eastAsia="zh-CN"/>
        </w:rPr>
      </w:pPr>
    </w:p>
    <w:p>
      <w:pPr>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09"/>
        <w:gridCol w:w="246"/>
        <w:gridCol w:w="248"/>
        <w:gridCol w:w="1995"/>
        <w:gridCol w:w="1037"/>
        <w:gridCol w:w="987"/>
        <w:gridCol w:w="722"/>
        <w:gridCol w:w="722"/>
        <w:gridCol w:w="634"/>
        <w:gridCol w:w="632"/>
      </w:tblGrid>
      <w:tr>
        <w:tblPrEx>
          <w:tblCellMar>
            <w:top w:w="0" w:type="dxa"/>
            <w:left w:w="0" w:type="dxa"/>
            <w:bottom w:w="0" w:type="dxa"/>
            <w:right w:w="0" w:type="dxa"/>
          </w:tblCellMar>
        </w:tblPrEx>
        <w:trPr>
          <w:trHeight w:val="450" w:hRule="atLeast"/>
        </w:trPr>
        <w:tc>
          <w:tcPr>
            <w:tcW w:w="7800"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820" w:hRule="atLeast"/>
        </w:trPr>
        <w:tc>
          <w:tcPr>
            <w:tcW w:w="120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89" w:type="dxa"/>
            <w:gridSpan w:val="3"/>
            <w:tcBorders>
              <w:top w:val="single" w:color="000000" w:sz="4" w:space="0"/>
              <w:left w:val="single" w:color="000000" w:sz="4" w:space="0"/>
              <w:bottom w:val="single" w:color="000000" w:sz="4" w:space="0"/>
              <w:right w:val="nil"/>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关于下达2022年4-6月体彩公益金地方分成资金的通知</w:t>
            </w:r>
          </w:p>
        </w:tc>
        <w:tc>
          <w:tcPr>
            <w:tcW w:w="103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6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0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8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3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6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00"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55"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2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2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7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5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2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8.1983</w:t>
            </w:r>
          </w:p>
        </w:tc>
        <w:tc>
          <w:tcPr>
            <w:tcW w:w="202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8.1983</w:t>
            </w:r>
          </w:p>
        </w:tc>
        <w:tc>
          <w:tcPr>
            <w:tcW w:w="207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5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2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8.1983</w:t>
            </w:r>
          </w:p>
        </w:tc>
        <w:tc>
          <w:tcPr>
            <w:tcW w:w="202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8.1983</w:t>
            </w:r>
          </w:p>
        </w:tc>
        <w:tc>
          <w:tcPr>
            <w:tcW w:w="207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5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2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2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7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09"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526"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6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740" w:hRule="atLeast"/>
        </w:trPr>
        <w:tc>
          <w:tcPr>
            <w:tcW w:w="1209"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526"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2023年计划使用财政资金8.1983万元，用于开展体育活动。</w:t>
            </w:r>
          </w:p>
        </w:tc>
        <w:tc>
          <w:tcPr>
            <w:tcW w:w="3065"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2023年使用财政资金8.1983万元，用于开展体育活动。</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450" w:hRule="atLeast"/>
        </w:trPr>
        <w:tc>
          <w:tcPr>
            <w:tcW w:w="120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9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3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3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22"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3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9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3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0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9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9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组织体育活动的及时率</w:t>
            </w:r>
          </w:p>
        </w:tc>
        <w:tc>
          <w:tcPr>
            <w:tcW w:w="10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w:t>
            </w:r>
          </w:p>
        </w:tc>
        <w:tc>
          <w:tcPr>
            <w:tcW w:w="9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0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9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9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组织体育活动次数</w:t>
            </w:r>
          </w:p>
        </w:tc>
        <w:tc>
          <w:tcPr>
            <w:tcW w:w="10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≥1场次</w:t>
            </w:r>
          </w:p>
        </w:tc>
        <w:tc>
          <w:tcPr>
            <w:tcW w:w="9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1场次</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3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0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9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9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组织体育活动开展的安全率</w:t>
            </w:r>
          </w:p>
        </w:tc>
        <w:tc>
          <w:tcPr>
            <w:tcW w:w="10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0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9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9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2022年4-6月体彩公益金地方分成资金的健全机制性</w:t>
            </w:r>
          </w:p>
        </w:tc>
        <w:tc>
          <w:tcPr>
            <w:tcW w:w="10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3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0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9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9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参加体育活动的参与率</w:t>
            </w:r>
          </w:p>
        </w:tc>
        <w:tc>
          <w:tcPr>
            <w:tcW w:w="10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3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0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9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9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群众满意度指标</w:t>
            </w:r>
          </w:p>
        </w:tc>
        <w:tc>
          <w:tcPr>
            <w:tcW w:w="10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9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0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49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经济成本指标</w:t>
            </w:r>
          </w:p>
        </w:tc>
        <w:tc>
          <w:tcPr>
            <w:tcW w:w="199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2022年4-6月体彩公益金地方分成资金的预算成本</w:t>
            </w:r>
          </w:p>
        </w:tc>
        <w:tc>
          <w:tcPr>
            <w:tcW w:w="10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≤8.1983万元</w:t>
            </w:r>
          </w:p>
        </w:tc>
        <w:tc>
          <w:tcPr>
            <w:tcW w:w="98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8.1983万元</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pStyle w:val="6"/>
        <w:rPr>
          <w:rFonts w:hint="eastAsia"/>
          <w:lang w:val="en-US" w:eastAsia="zh-CN"/>
        </w:rPr>
      </w:pPr>
    </w:p>
    <w:p>
      <w:pPr>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6"/>
        <w:gridCol w:w="997"/>
        <w:gridCol w:w="729"/>
        <w:gridCol w:w="729"/>
        <w:gridCol w:w="640"/>
        <w:gridCol w:w="632"/>
      </w:tblGrid>
      <w:tr>
        <w:tblPrEx>
          <w:tblCellMar>
            <w:top w:w="0" w:type="dxa"/>
            <w:left w:w="0" w:type="dxa"/>
            <w:bottom w:w="0" w:type="dxa"/>
            <w:right w:w="0" w:type="dxa"/>
          </w:tblCellMar>
        </w:tblPrEx>
        <w:trPr>
          <w:trHeight w:val="450" w:hRule="atLeast"/>
        </w:trPr>
        <w:tc>
          <w:tcPr>
            <w:tcW w:w="7799"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60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下达2021年7-9月体育彩票公益金地方分成资金</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99"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12.0936</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12.0936</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12.0936</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12.0936</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80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2023年计划使用财政2021年7-9月体彩公益金地方分成资金12.0936万元，用于支持镇乡健身器材安装，促进人民群众身体健康。</w:t>
            </w:r>
          </w:p>
        </w:tc>
        <w:tc>
          <w:tcPr>
            <w:tcW w:w="309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2023年使用财政2021年7-9月体彩公益金地方分成资金12.0936万元，用于支持镇乡健身器材安装，促进人民群众身体健康。</w:t>
            </w:r>
          </w:p>
        </w:tc>
        <w:tc>
          <w:tcPr>
            <w:tcW w:w="632"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1"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支持镇体育场地设施建设</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≥3个</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3个</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安装全民健身工程</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≥2处</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3处</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场地设施建设合格率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安装器材合格率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场地设施建设及时率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器材安装及时率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健身器材的使用率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镇体育场地的使用率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可持续发展指标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下达2021年7-9月体彩公益金地方分成资金长效机制健全性</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服务对象满意度指标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下达2021年7-9月体彩公益金地方分成资金预算成本</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≤12.0936万元</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12.0936万元</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pStyle w:val="6"/>
        <w:rPr>
          <w:rFonts w:hint="eastAsia"/>
          <w:lang w:val="en-US" w:eastAsia="zh-CN"/>
        </w:rPr>
      </w:pPr>
    </w:p>
    <w:p>
      <w:pPr>
        <w:rPr>
          <w:rFonts w:hint="eastAsia"/>
          <w:lang w:val="en-US" w:eastAsia="zh-CN"/>
        </w:rPr>
      </w:pPr>
    </w:p>
    <w:p>
      <w:pPr>
        <w:pStyle w:val="6"/>
        <w:rPr>
          <w:rFonts w:hint="eastAsia"/>
          <w:lang w:val="en-US" w:eastAsia="zh-CN"/>
        </w:rPr>
      </w:pPr>
    </w:p>
    <w:p>
      <w:pPr>
        <w:rPr>
          <w:rFonts w:hint="eastAsia"/>
          <w:lang w:val="en-US" w:eastAsia="zh-CN"/>
        </w:rPr>
      </w:pPr>
    </w:p>
    <w:p>
      <w:pPr>
        <w:pStyle w:val="6"/>
        <w:rPr>
          <w:rFonts w:hint="eastAsia"/>
          <w:lang w:val="en-US" w:eastAsia="zh-CN"/>
        </w:rPr>
      </w:pPr>
    </w:p>
    <w:p>
      <w:pPr>
        <w:rPr>
          <w:rFonts w:hint="eastAsia"/>
          <w:lang w:val="en-US" w:eastAsia="zh-CN"/>
        </w:rPr>
      </w:pPr>
    </w:p>
    <w:p>
      <w:pPr>
        <w:pStyle w:val="6"/>
        <w:rPr>
          <w:rFonts w:hint="eastAsia"/>
          <w:lang w:val="en-US" w:eastAsia="zh-CN"/>
        </w:rPr>
      </w:pPr>
    </w:p>
    <w:p>
      <w:pPr>
        <w:rPr>
          <w:rFonts w:hint="eastAsia"/>
          <w:lang w:val="en-US" w:eastAsia="zh-CN"/>
        </w:rPr>
      </w:pPr>
    </w:p>
    <w:p>
      <w:pPr>
        <w:pStyle w:val="6"/>
        <w:rPr>
          <w:rFonts w:hint="eastAsia"/>
          <w:lang w:val="en-US" w:eastAsia="zh-CN"/>
        </w:rPr>
      </w:pPr>
    </w:p>
    <w:p>
      <w:pPr>
        <w:rPr>
          <w:rFonts w:hint="eastAsia"/>
          <w:lang w:val="en-US" w:eastAsia="zh-CN"/>
        </w:rPr>
      </w:pPr>
    </w:p>
    <w:p>
      <w:pPr>
        <w:pStyle w:val="6"/>
        <w:rPr>
          <w:rFonts w:hint="eastAsia"/>
          <w:lang w:val="en-US" w:eastAsia="zh-CN"/>
        </w:rPr>
      </w:pPr>
    </w:p>
    <w:p>
      <w:pPr>
        <w:rPr>
          <w:rFonts w:hint="eastAsia"/>
          <w:lang w:val="en-US" w:eastAsia="zh-CN"/>
        </w:rPr>
      </w:pPr>
    </w:p>
    <w:p>
      <w:pPr>
        <w:pStyle w:val="6"/>
        <w:rPr>
          <w:rFonts w:hint="eastAsia"/>
          <w:lang w:val="en-US" w:eastAsia="zh-CN"/>
        </w:rPr>
      </w:pPr>
    </w:p>
    <w:p>
      <w:pPr>
        <w:rPr>
          <w:rFonts w:hint="eastAsia"/>
          <w:lang w:val="en-US" w:eastAsia="zh-CN"/>
        </w:rPr>
      </w:pPr>
    </w:p>
    <w:p>
      <w:pPr>
        <w:pStyle w:val="6"/>
        <w:rPr>
          <w:rFonts w:hint="eastAsia"/>
          <w:lang w:val="en-US" w:eastAsia="zh-CN"/>
        </w:rPr>
      </w:pPr>
    </w:p>
    <w:p>
      <w:pPr>
        <w:rPr>
          <w:rFonts w:hint="eastAsia"/>
          <w:lang w:val="en-US" w:eastAsia="zh-CN"/>
        </w:rPr>
      </w:pPr>
    </w:p>
    <w:p>
      <w:pPr>
        <w:pStyle w:val="6"/>
        <w:rPr>
          <w:rFonts w:hint="eastAsia"/>
          <w:lang w:val="en-US" w:eastAsia="zh-CN"/>
        </w:rPr>
      </w:pPr>
    </w:p>
    <w:p>
      <w:pPr>
        <w:rPr>
          <w:rFonts w:hint="eastAsia"/>
          <w:lang w:val="en-US" w:eastAsia="zh-CN"/>
        </w:rPr>
      </w:pPr>
    </w:p>
    <w:p>
      <w:pPr>
        <w:pStyle w:val="6"/>
        <w:rPr>
          <w:rFonts w:hint="eastAsia"/>
          <w:lang w:val="en-US" w:eastAsia="zh-CN"/>
        </w:rPr>
      </w:pPr>
    </w:p>
    <w:p>
      <w:pPr>
        <w:rPr>
          <w:rFonts w:hint="eastAsia"/>
          <w:lang w:val="en-US" w:eastAsia="zh-CN"/>
        </w:rPr>
      </w:pPr>
    </w:p>
    <w:p>
      <w:pPr>
        <w:pStyle w:val="6"/>
        <w:rPr>
          <w:rFonts w:hint="eastAsia"/>
          <w:lang w:val="en-US" w:eastAsia="zh-CN"/>
        </w:rPr>
      </w:pPr>
    </w:p>
    <w:p>
      <w:pPr>
        <w:rPr>
          <w:rFonts w:hint="eastAsia"/>
          <w:lang w:val="en-US" w:eastAsia="zh-CN"/>
        </w:rPr>
      </w:pPr>
    </w:p>
    <w:p>
      <w:pPr>
        <w:pStyle w:val="6"/>
        <w:rPr>
          <w:rFonts w:hint="eastAsia"/>
          <w:lang w:val="en-US" w:eastAsia="zh-CN"/>
        </w:rPr>
      </w:pPr>
    </w:p>
    <w:p>
      <w:pPr>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7"/>
        <w:gridCol w:w="997"/>
        <w:gridCol w:w="729"/>
        <w:gridCol w:w="729"/>
        <w:gridCol w:w="640"/>
        <w:gridCol w:w="632"/>
      </w:tblGrid>
      <w:tr>
        <w:tblPrEx>
          <w:tblCellMar>
            <w:top w:w="0" w:type="dxa"/>
            <w:left w:w="0" w:type="dxa"/>
            <w:bottom w:w="0" w:type="dxa"/>
            <w:right w:w="0" w:type="dxa"/>
          </w:tblCellMar>
        </w:tblPrEx>
        <w:trPr>
          <w:trHeight w:val="450" w:hRule="atLeast"/>
        </w:trPr>
        <w:tc>
          <w:tcPr>
            <w:tcW w:w="7800"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60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single" w:color="000000" w:sz="4" w:space="0"/>
              <w:right w:val="nil"/>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关于下达2022年省级体育发展专项资金（第二批）预算的通知</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00"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11.062063</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11.062063</w:t>
            </w:r>
          </w:p>
        </w:tc>
        <w:tc>
          <w:tcPr>
            <w:tcW w:w="2098" w:type="dxa"/>
            <w:gridSpan w:val="3"/>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11.062063</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11.062063</w:t>
            </w:r>
          </w:p>
        </w:tc>
        <w:tc>
          <w:tcPr>
            <w:tcW w:w="2098" w:type="dxa"/>
            <w:gridSpan w:val="3"/>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24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5"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2023年计划使用财政资金11.062063万元，用于我区体育中心免费开放等</w:t>
            </w:r>
          </w:p>
        </w:tc>
        <w:tc>
          <w:tcPr>
            <w:tcW w:w="3095"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2023年使用财政资金11.062063万元，用于我区体育中心免费开放等，保障了体育中心正常开放，为人民群众提供了健身场所。</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2"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聘用人员数量</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≥7人</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7人</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支付场馆水电次数</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≥12次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12</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支付场馆维护维修次数</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≥4批次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支付聘用人员、水电、维修保障率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支付聘用人员、水电、维修及时率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场馆运转保障率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下达2022年省级体育发展专项资金的健全机制性</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下达2022年省级体育发展专项资金预算成本</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pStyle w:val="6"/>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7"/>
        <w:gridCol w:w="997"/>
        <w:gridCol w:w="729"/>
        <w:gridCol w:w="729"/>
        <w:gridCol w:w="640"/>
        <w:gridCol w:w="632"/>
      </w:tblGrid>
      <w:tr>
        <w:tblPrEx>
          <w:tblCellMar>
            <w:top w:w="0" w:type="dxa"/>
            <w:left w:w="0" w:type="dxa"/>
            <w:bottom w:w="0" w:type="dxa"/>
            <w:right w:w="0" w:type="dxa"/>
          </w:tblCellMar>
        </w:tblPrEx>
        <w:trPr>
          <w:trHeight w:val="450" w:hRule="atLeast"/>
        </w:trPr>
        <w:tc>
          <w:tcPr>
            <w:tcW w:w="7800"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48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single" w:color="000000" w:sz="4" w:space="0"/>
              <w:right w:val="nil"/>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下达2022年4-9月市级提留体彩公益金</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00"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4.5982</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4.5982</w:t>
            </w:r>
          </w:p>
        </w:tc>
        <w:tc>
          <w:tcPr>
            <w:tcW w:w="2098" w:type="dxa"/>
            <w:gridSpan w:val="3"/>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4.5982</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4.5982</w:t>
            </w:r>
          </w:p>
        </w:tc>
        <w:tc>
          <w:tcPr>
            <w:tcW w:w="2098" w:type="dxa"/>
            <w:gridSpan w:val="3"/>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88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5"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2023年计划使用财政资金4.5982万元，用于全民健身活动调查、国民体质监测设备系统采购。</w:t>
            </w:r>
          </w:p>
        </w:tc>
        <w:tc>
          <w:tcPr>
            <w:tcW w:w="3095"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2023年使用财政资金4.5982万元，用于全民健身活动调查、国民体质监测设备系统采购。</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2"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vMerge w:val="restart"/>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印制作数据登录书</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3000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vMerge w:val="continue"/>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购买检测设备次数</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220" w:type="dxa"/>
            <w:vMerge w:val="continue"/>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印制作数据登录书、购买检测设备的合格率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220" w:type="dxa"/>
            <w:vMerge w:val="continue"/>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印制作数据登录书、购买检测设备的及时率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220" w:type="dxa"/>
            <w:vMerge w:val="restart"/>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经济效益指标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印制作数据登录书、购买检测设备的使用率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vMerge w:val="continue"/>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下达2022年4-9月市级提留体彩公益金的健全机制性</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经济成本指标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下达2022年4-9月市级提留体彩公益金的预算成本</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≤4.5982万元</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4.5982万元</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6"/>
        <w:gridCol w:w="997"/>
        <w:gridCol w:w="729"/>
        <w:gridCol w:w="729"/>
        <w:gridCol w:w="640"/>
        <w:gridCol w:w="632"/>
      </w:tblGrid>
      <w:tr>
        <w:tblPrEx>
          <w:tblCellMar>
            <w:top w:w="0" w:type="dxa"/>
            <w:left w:w="0" w:type="dxa"/>
            <w:bottom w:w="0" w:type="dxa"/>
            <w:right w:w="0" w:type="dxa"/>
          </w:tblCellMar>
        </w:tblPrEx>
        <w:trPr>
          <w:trHeight w:val="450" w:hRule="atLeast"/>
        </w:trPr>
        <w:tc>
          <w:tcPr>
            <w:tcW w:w="7799"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80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项目（一期）专项经费</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99"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5000</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5000</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5000</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5000</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66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2023年计划使用第三批地方政府新增专项债券资金5000万元，用于乐山市五通桥区中国根书文化AAA级景区配套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项目（一期）项目建设费。</w:t>
            </w:r>
          </w:p>
        </w:tc>
        <w:tc>
          <w:tcPr>
            <w:tcW w:w="3095"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2023年使用第三批地方政府新增专项债券资金5000万元，用于乐山市五通桥区中国根书文化AAA级景区配套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项目（一期）项目建设费。提升我区人居环境，增加人民幸福感。</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1"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建设两河口历史文化街区批次</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建设菩提山绿心公园批次</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建设两河口历史文化街区、菩提山绿心公园的合格率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建设两河口历史文化街区、菩提山绿心公园的及时率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建设两河口历史文化街区、菩提山绿心公园的保障率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8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乐山市五通桥区中国根书文化AAA级景区配套</w:t>
            </w:r>
            <w:r>
              <w:rPr>
                <w:rFonts w:hint="eastAsia" w:ascii="宋体" w:hAnsi="宋体" w:cs="宋体"/>
                <w:i w:val="0"/>
                <w:color w:val="000000"/>
                <w:kern w:val="0"/>
                <w:sz w:val="18"/>
                <w:szCs w:val="18"/>
                <w:u w:val="none"/>
                <w:lang w:val="en-US" w:eastAsia="zh-CN" w:bidi="ar"/>
              </w:rPr>
              <w:t>基础设施建设</w:t>
            </w:r>
            <w:r>
              <w:rPr>
                <w:rFonts w:hint="eastAsia" w:ascii="宋体" w:hAnsi="宋体" w:eastAsia="宋体" w:cs="宋体"/>
                <w:i w:val="0"/>
                <w:color w:val="000000"/>
                <w:kern w:val="0"/>
                <w:sz w:val="18"/>
                <w:szCs w:val="18"/>
                <w:u w:val="none"/>
                <w:lang w:val="en-US" w:eastAsia="zh-CN" w:bidi="ar"/>
              </w:rPr>
              <w:t>项目（一期）的健全机制</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8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经济成本指标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乐山市五通桥区中国根书文化AAA级景区配套</w:t>
            </w:r>
            <w:r>
              <w:rPr>
                <w:rFonts w:hint="eastAsia" w:ascii="宋体" w:hAnsi="宋体" w:cs="宋体"/>
                <w:i w:val="0"/>
                <w:color w:val="000000"/>
                <w:kern w:val="0"/>
                <w:sz w:val="18"/>
                <w:szCs w:val="18"/>
                <w:u w:val="none"/>
                <w:lang w:val="en-US" w:eastAsia="zh-CN" w:bidi="ar"/>
              </w:rPr>
              <w:t>基础设施建设</w:t>
            </w:r>
            <w:r>
              <w:rPr>
                <w:rFonts w:hint="eastAsia" w:ascii="宋体" w:hAnsi="宋体" w:eastAsia="宋体" w:cs="宋体"/>
                <w:i w:val="0"/>
                <w:color w:val="000000"/>
                <w:kern w:val="0"/>
                <w:sz w:val="18"/>
                <w:szCs w:val="18"/>
                <w:u w:val="none"/>
                <w:lang w:val="en-US" w:eastAsia="zh-CN" w:bidi="ar"/>
              </w:rPr>
              <w:t>项目（一期）的预算成本</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≤5000万元</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5000万元</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pStyle w:val="6"/>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6"/>
        <w:gridCol w:w="997"/>
        <w:gridCol w:w="729"/>
        <w:gridCol w:w="729"/>
        <w:gridCol w:w="640"/>
        <w:gridCol w:w="632"/>
      </w:tblGrid>
      <w:tr>
        <w:tblPrEx>
          <w:tblCellMar>
            <w:top w:w="0" w:type="dxa"/>
            <w:left w:w="0" w:type="dxa"/>
            <w:bottom w:w="0" w:type="dxa"/>
            <w:right w:w="0" w:type="dxa"/>
          </w:tblCellMar>
        </w:tblPrEx>
        <w:trPr>
          <w:trHeight w:val="450" w:hRule="atLeast"/>
        </w:trPr>
        <w:tc>
          <w:tcPr>
            <w:tcW w:w="7799"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116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（2022年第三批地方政府新增专项债券）乐山市五通桥区中国根书文化AAA级景区配套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99"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8000</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8000</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8000</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8000</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60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2023年计划使用第三批地方政府新增专项债券资金8000万元，用于乐山市五通桥区中国根书文化AAA级景区配套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项目（一期）项目建设费。</w:t>
            </w:r>
          </w:p>
        </w:tc>
        <w:tc>
          <w:tcPr>
            <w:tcW w:w="3095"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2023年使用第三批地方政府新增专项债券资金8000万元，用于乐山市五通桥区中国根书文化AAA级景区配套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项目（一期）项目建设费。提升我区人居环境，增加人民幸福感。</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1"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建设两河口历史文化街区批次</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建设菩提山绿心公园批次</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建设两河口历史文化街区、菩提山绿心公园的合格率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建设两河口历史文化街区、菩提山绿心公园的及时率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建设两河口历史文化街区、菩提山绿心公园的保障率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8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乐山市五通桥区中国根书文化AAA级景区配套</w:t>
            </w:r>
            <w:r>
              <w:rPr>
                <w:rFonts w:hint="eastAsia" w:ascii="宋体" w:hAnsi="宋体" w:cs="宋体"/>
                <w:i w:val="0"/>
                <w:color w:val="000000"/>
                <w:kern w:val="0"/>
                <w:sz w:val="18"/>
                <w:szCs w:val="18"/>
                <w:u w:val="none"/>
                <w:lang w:val="en-US" w:eastAsia="zh-CN" w:bidi="ar"/>
              </w:rPr>
              <w:t>基础设施建设</w:t>
            </w:r>
            <w:r>
              <w:rPr>
                <w:rFonts w:hint="eastAsia" w:ascii="宋体" w:hAnsi="宋体" w:eastAsia="宋体" w:cs="宋体"/>
                <w:i w:val="0"/>
                <w:color w:val="000000"/>
                <w:kern w:val="0"/>
                <w:sz w:val="18"/>
                <w:szCs w:val="18"/>
                <w:u w:val="none"/>
                <w:lang w:val="en-US" w:eastAsia="zh-CN" w:bidi="ar"/>
              </w:rPr>
              <w:t>项目（一期）的健全机制</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8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经济成本指标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乐山市五通桥区中国根书文化AAA级景区配套</w:t>
            </w:r>
            <w:r>
              <w:rPr>
                <w:rFonts w:hint="eastAsia" w:ascii="宋体" w:hAnsi="宋体" w:cs="宋体"/>
                <w:i w:val="0"/>
                <w:color w:val="000000"/>
                <w:kern w:val="0"/>
                <w:sz w:val="18"/>
                <w:szCs w:val="18"/>
                <w:u w:val="none"/>
                <w:lang w:val="en-US" w:eastAsia="zh-CN" w:bidi="ar"/>
              </w:rPr>
              <w:t>基础设施建设</w:t>
            </w:r>
            <w:r>
              <w:rPr>
                <w:rFonts w:hint="eastAsia" w:ascii="宋体" w:hAnsi="宋体" w:eastAsia="宋体" w:cs="宋体"/>
                <w:i w:val="0"/>
                <w:color w:val="000000"/>
                <w:kern w:val="0"/>
                <w:sz w:val="18"/>
                <w:szCs w:val="18"/>
                <w:u w:val="none"/>
                <w:lang w:val="en-US" w:eastAsia="zh-CN" w:bidi="ar"/>
              </w:rPr>
              <w:t>项目（一期）的预算成本</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≤8000万元</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8000万元</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rPr>
          <w:rFonts w:hint="eastAsia"/>
          <w:lang w:val="en-US" w:eastAsia="zh-CN"/>
        </w:rPr>
      </w:pPr>
    </w:p>
    <w:p>
      <w:pPr>
        <w:pStyle w:val="6"/>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7"/>
        <w:gridCol w:w="997"/>
        <w:gridCol w:w="729"/>
        <w:gridCol w:w="729"/>
        <w:gridCol w:w="640"/>
        <w:gridCol w:w="632"/>
      </w:tblGrid>
      <w:tr>
        <w:tblPrEx>
          <w:tblCellMar>
            <w:top w:w="0" w:type="dxa"/>
            <w:left w:w="0" w:type="dxa"/>
            <w:bottom w:w="0" w:type="dxa"/>
            <w:right w:w="0" w:type="dxa"/>
          </w:tblCellMar>
        </w:tblPrEx>
        <w:trPr>
          <w:trHeight w:val="450" w:hRule="atLeast"/>
        </w:trPr>
        <w:tc>
          <w:tcPr>
            <w:tcW w:w="7800"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132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（2022年第三批地方政府新增专项债券）乐山市五通桥区中国根书文化AAA级景区配套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00"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3.336</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3.336</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3.336</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3.336</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80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2023年计划使用财政资金3.336万元，用于中国根书文化AAA级景区配套实施建设项目（一期）编制项目可行性研究报告，促进项目实施，提升我区人居环境，增加人民幸福感。</w:t>
            </w:r>
          </w:p>
        </w:tc>
        <w:tc>
          <w:tcPr>
            <w:tcW w:w="3095"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2023年使用财政资金3.336万元，用于中国根书文化AAA级景区配套实施建设项目（一期）编制项目可行性研究报告，促进项目实施，提升我区人居环境，增加人民幸福感。</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2"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编制可行性报告次数</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编制可行性报告的准确率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编制可行性报告的及时率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编制报告的预算成本</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≤3.336万元</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3.336万元</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编制可行性报告的使用率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编制报告的实用性</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项目实施方满意度</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rPr>
          <w:rFonts w:hint="eastAsia"/>
          <w:lang w:val="en-US" w:eastAsia="zh-CN"/>
        </w:rPr>
      </w:pPr>
    </w:p>
    <w:p>
      <w:pPr>
        <w:pStyle w:val="6"/>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7"/>
        <w:gridCol w:w="997"/>
        <w:gridCol w:w="729"/>
        <w:gridCol w:w="729"/>
        <w:gridCol w:w="640"/>
        <w:gridCol w:w="632"/>
      </w:tblGrid>
      <w:tr>
        <w:tblPrEx>
          <w:tblCellMar>
            <w:top w:w="0" w:type="dxa"/>
            <w:left w:w="0" w:type="dxa"/>
            <w:bottom w:w="0" w:type="dxa"/>
            <w:right w:w="0" w:type="dxa"/>
          </w:tblCellMar>
        </w:tblPrEx>
        <w:trPr>
          <w:trHeight w:val="450" w:hRule="atLeast"/>
        </w:trPr>
        <w:tc>
          <w:tcPr>
            <w:tcW w:w="7800"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80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2020年省级公共文化服务体系建设（乡村文化振兴相关支出）</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00"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13.56</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13.56</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13.56</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13.56</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00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2023年计划使用财政资金13.56万元，用于2019年户户通安装，图书馆书香APP等</w:t>
            </w:r>
          </w:p>
        </w:tc>
        <w:tc>
          <w:tcPr>
            <w:tcW w:w="3095"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2023年使用财政资金13.56万元，用于2019年户户通安装，图书馆书香APP等，丰富群人业余生活。</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2"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安装户户通次数</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安装户户通及时率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安装户户通合格率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安装户户通使用保障率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5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2020年省级公共文化服务体系建设（乡村文化振兴相关支出）健全机制性</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0.95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5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经济成本指标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2020年省级公共文化服务体系建设（乡村文化振兴相关支出）预算成本</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≤13.56万元</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13.56万元</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6"/>
        <w:gridCol w:w="997"/>
        <w:gridCol w:w="729"/>
        <w:gridCol w:w="729"/>
        <w:gridCol w:w="640"/>
        <w:gridCol w:w="632"/>
      </w:tblGrid>
      <w:tr>
        <w:tblPrEx>
          <w:tblCellMar>
            <w:top w:w="0" w:type="dxa"/>
            <w:left w:w="0" w:type="dxa"/>
            <w:bottom w:w="0" w:type="dxa"/>
            <w:right w:w="0" w:type="dxa"/>
          </w:tblCellMar>
        </w:tblPrEx>
        <w:trPr>
          <w:trHeight w:val="450" w:hRule="atLeast"/>
        </w:trPr>
        <w:tc>
          <w:tcPr>
            <w:tcW w:w="7799"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132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项目（一期）专项经费</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99"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5.36625</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5.36625</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5.36625</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5.36625</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18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2023年计划使用财政资金5.36625万元，用于中国根书文化AAA级景区配套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项目（一期）专项经费。</w:t>
            </w:r>
          </w:p>
        </w:tc>
        <w:tc>
          <w:tcPr>
            <w:tcW w:w="309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2023年使用财政资金5.36625万元，用于中国根书文化AAA级景区配套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项目（一期）专项经费，促进项目实施。</w:t>
            </w:r>
          </w:p>
        </w:tc>
        <w:tc>
          <w:tcPr>
            <w:tcW w:w="632"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1"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印制项目资料批次</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8次</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印制项目资料合格率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印制项目资料及时率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印制项目资料使用率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5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中国根书文化AAA级景区配套</w:t>
            </w:r>
            <w:r>
              <w:rPr>
                <w:rFonts w:hint="eastAsia" w:ascii="宋体" w:hAnsi="宋体" w:cs="宋体"/>
                <w:i w:val="0"/>
                <w:color w:val="000000"/>
                <w:kern w:val="0"/>
                <w:sz w:val="18"/>
                <w:szCs w:val="18"/>
                <w:u w:val="none"/>
                <w:lang w:val="en-US" w:eastAsia="zh-CN" w:bidi="ar"/>
              </w:rPr>
              <w:t>基础设施建设</w:t>
            </w:r>
            <w:r>
              <w:rPr>
                <w:rFonts w:hint="eastAsia" w:ascii="宋体" w:hAnsi="宋体" w:eastAsia="宋体" w:cs="宋体"/>
                <w:i w:val="0"/>
                <w:color w:val="000000"/>
                <w:kern w:val="0"/>
                <w:sz w:val="18"/>
                <w:szCs w:val="18"/>
                <w:u w:val="none"/>
                <w:lang w:val="en-US" w:eastAsia="zh-CN" w:bidi="ar"/>
              </w:rPr>
              <w:t>项目（一期）专项经费健全机制性</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使用资料满意度</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5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中国根书文化AAA级景区配套</w:t>
            </w:r>
            <w:r>
              <w:rPr>
                <w:rFonts w:hint="eastAsia" w:ascii="宋体" w:hAnsi="宋体" w:cs="宋体"/>
                <w:i w:val="0"/>
                <w:color w:val="000000"/>
                <w:kern w:val="0"/>
                <w:sz w:val="18"/>
                <w:szCs w:val="18"/>
                <w:u w:val="none"/>
                <w:lang w:val="en-US" w:eastAsia="zh-CN" w:bidi="ar"/>
              </w:rPr>
              <w:t>基础设施建设</w:t>
            </w:r>
            <w:r>
              <w:rPr>
                <w:rFonts w:hint="eastAsia" w:ascii="宋体" w:hAnsi="宋体" w:eastAsia="宋体" w:cs="宋体"/>
                <w:i w:val="0"/>
                <w:color w:val="000000"/>
                <w:kern w:val="0"/>
                <w:sz w:val="18"/>
                <w:szCs w:val="18"/>
                <w:u w:val="none"/>
                <w:lang w:val="en-US" w:eastAsia="zh-CN" w:bidi="ar"/>
              </w:rPr>
              <w:t>项目（一期）专项经费预算成本</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≤5.36625万元</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5.36625万元</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pStyle w:val="6"/>
        <w:rPr>
          <w:rFonts w:hint="eastAsia" w:ascii="仿宋_GB2312" w:hAnsi="Calibri" w:eastAsia="仿宋_GB2312" w:cs="仿宋"/>
          <w:color w:val="auto"/>
          <w:kern w:val="0"/>
          <w:sz w:val="32"/>
          <w:szCs w:val="32"/>
          <w:highlight w:val="none"/>
          <w:lang w:val="en-US" w:eastAsia="zh-CN" w:bidi="ar-SA"/>
        </w:rPr>
      </w:pPr>
    </w:p>
    <w:tbl>
      <w:tblPr>
        <w:tblStyle w:val="16"/>
        <w:tblW w:w="0" w:type="auto"/>
        <w:tblInd w:w="0" w:type="dxa"/>
        <w:tblLayout w:type="fixed"/>
        <w:tblCellMar>
          <w:top w:w="0" w:type="dxa"/>
          <w:left w:w="0" w:type="dxa"/>
          <w:bottom w:w="0" w:type="dxa"/>
          <w:right w:w="0" w:type="dxa"/>
        </w:tblCellMar>
      </w:tblPr>
      <w:tblGrid>
        <w:gridCol w:w="1203"/>
        <w:gridCol w:w="311"/>
        <w:gridCol w:w="281"/>
        <w:gridCol w:w="1928"/>
        <w:gridCol w:w="1032"/>
        <w:gridCol w:w="983"/>
        <w:gridCol w:w="719"/>
        <w:gridCol w:w="719"/>
        <w:gridCol w:w="631"/>
        <w:gridCol w:w="623"/>
      </w:tblGrid>
      <w:tr>
        <w:tblPrEx>
          <w:tblCellMar>
            <w:top w:w="0" w:type="dxa"/>
            <w:left w:w="0" w:type="dxa"/>
            <w:bottom w:w="0" w:type="dxa"/>
            <w:right w:w="0" w:type="dxa"/>
          </w:tblCellMar>
        </w:tblPrEx>
        <w:trPr>
          <w:trHeight w:val="450" w:hRule="atLeast"/>
        </w:trPr>
        <w:tc>
          <w:tcPr>
            <w:tcW w:w="7807"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23"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880" w:hRule="atLeast"/>
        </w:trPr>
        <w:tc>
          <w:tcPr>
            <w:tcW w:w="120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520"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下达2019年12月至2020年1-3月体育彩票公益金地方分成资金</w:t>
            </w:r>
          </w:p>
        </w:tc>
        <w:tc>
          <w:tcPr>
            <w:tcW w:w="10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52"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2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0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52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52"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2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07"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2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514"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20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1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6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2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51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20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6.1347</w:t>
            </w:r>
          </w:p>
        </w:tc>
        <w:tc>
          <w:tcPr>
            <w:tcW w:w="201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6.1347</w:t>
            </w:r>
          </w:p>
        </w:tc>
        <w:tc>
          <w:tcPr>
            <w:tcW w:w="206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2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51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20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6.1347</w:t>
            </w:r>
          </w:p>
        </w:tc>
        <w:tc>
          <w:tcPr>
            <w:tcW w:w="201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6.1347</w:t>
            </w:r>
          </w:p>
        </w:tc>
        <w:tc>
          <w:tcPr>
            <w:tcW w:w="206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2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51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20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1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6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2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03"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552"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52"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2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720" w:hRule="atLeast"/>
        </w:trPr>
        <w:tc>
          <w:tcPr>
            <w:tcW w:w="1203"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552"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2023年计划使用财政资金6.1347万元，用于我区体育场馆篮球场门球场维修改造费。</w:t>
            </w:r>
          </w:p>
        </w:tc>
        <w:tc>
          <w:tcPr>
            <w:tcW w:w="3052"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2023年使用财政资金6.1347万元，用于我区体育场馆篮球场门球场维修改造费，提升群众锻炼的积极性。</w:t>
            </w:r>
          </w:p>
        </w:tc>
        <w:tc>
          <w:tcPr>
            <w:tcW w:w="623"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0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59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2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8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1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3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2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38"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1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1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3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723"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32"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8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1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1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0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592"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改造体育中心篮球场门球场数量</w:t>
            </w:r>
          </w:p>
        </w:tc>
        <w:tc>
          <w:tcPr>
            <w:tcW w:w="10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≥1个</w:t>
            </w:r>
          </w:p>
        </w:tc>
        <w:tc>
          <w:tcPr>
            <w:tcW w:w="98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1个</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3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0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592"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改造体育中心篮球场门球场合格率</w:t>
            </w:r>
          </w:p>
        </w:tc>
        <w:tc>
          <w:tcPr>
            <w:tcW w:w="10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8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3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0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592"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改造体育中心篮球场门球场及时率</w:t>
            </w:r>
          </w:p>
        </w:tc>
        <w:tc>
          <w:tcPr>
            <w:tcW w:w="10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8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3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575" w:hRule="atLeast"/>
        </w:trPr>
        <w:tc>
          <w:tcPr>
            <w:tcW w:w="120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592"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生态效益指标</w:t>
            </w:r>
          </w:p>
        </w:tc>
        <w:tc>
          <w:tcPr>
            <w:tcW w:w="19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下达2019年12月用2020年1-3月体育彩票公益金地方分成资金健全机制性</w:t>
            </w:r>
          </w:p>
        </w:tc>
        <w:tc>
          <w:tcPr>
            <w:tcW w:w="10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8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0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592"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改造体育中心篮球场门球场使用率</w:t>
            </w:r>
          </w:p>
        </w:tc>
        <w:tc>
          <w:tcPr>
            <w:tcW w:w="10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8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0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592"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10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98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350" w:hRule="atLeast"/>
        </w:trPr>
        <w:tc>
          <w:tcPr>
            <w:tcW w:w="120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592"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9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下达2019年12月用2020年1-3月体育彩票公益金地方分成资金预算成本</w:t>
            </w:r>
          </w:p>
        </w:tc>
        <w:tc>
          <w:tcPr>
            <w:tcW w:w="10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≤6.1347万元</w:t>
            </w:r>
          </w:p>
        </w:tc>
        <w:tc>
          <w:tcPr>
            <w:tcW w:w="98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6.1347万元</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1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rPr>
          <w:rFonts w:hint="eastAsia"/>
          <w:lang w:val="en-US" w:eastAsia="zh-CN"/>
        </w:rPr>
      </w:pPr>
    </w:p>
    <w:p>
      <w:pPr>
        <w:pStyle w:val="6"/>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869"/>
        <w:gridCol w:w="2134"/>
        <w:gridCol w:w="1067"/>
        <w:gridCol w:w="763"/>
        <w:gridCol w:w="763"/>
        <w:gridCol w:w="763"/>
        <w:gridCol w:w="763"/>
        <w:gridCol w:w="657"/>
        <w:gridCol w:w="650"/>
      </w:tblGrid>
      <w:tr>
        <w:tblPrEx>
          <w:tblCellMar>
            <w:top w:w="0" w:type="dxa"/>
            <w:left w:w="0" w:type="dxa"/>
            <w:bottom w:w="0" w:type="dxa"/>
            <w:right w:w="0" w:type="dxa"/>
          </w:tblCellMar>
        </w:tblPrEx>
        <w:trPr>
          <w:trHeight w:val="450" w:hRule="atLeast"/>
        </w:trPr>
        <w:tc>
          <w:tcPr>
            <w:tcW w:w="7779" w:type="dxa"/>
            <w:gridSpan w:val="8"/>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50"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86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320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下达2019年10-11月体育彩票公益金地方分成资金</w:t>
            </w:r>
          </w:p>
        </w:tc>
        <w:tc>
          <w:tcPr>
            <w:tcW w:w="7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946"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86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320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7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946"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79" w:type="dxa"/>
            <w:gridSpan w:val="8"/>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3003"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06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152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18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300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106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6.1133</w:t>
            </w:r>
          </w:p>
        </w:tc>
        <w:tc>
          <w:tcPr>
            <w:tcW w:w="152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6.1133</w:t>
            </w:r>
          </w:p>
        </w:tc>
        <w:tc>
          <w:tcPr>
            <w:tcW w:w="218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300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106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6.1133</w:t>
            </w:r>
          </w:p>
        </w:tc>
        <w:tc>
          <w:tcPr>
            <w:tcW w:w="152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6.1133</w:t>
            </w:r>
          </w:p>
        </w:tc>
        <w:tc>
          <w:tcPr>
            <w:tcW w:w="218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300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106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52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8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869"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96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946"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860" w:hRule="atLeast"/>
        </w:trPr>
        <w:tc>
          <w:tcPr>
            <w:tcW w:w="869"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964" w:type="dxa"/>
            <w:gridSpan w:val="3"/>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2023年计划使用财政资金6.1133万元用于我区体育场馆篮球场门球场维修改造费。</w:t>
            </w:r>
          </w:p>
        </w:tc>
        <w:tc>
          <w:tcPr>
            <w:tcW w:w="2946"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2023年使用财政资金6.1133万元，用于我区体育场馆篮球场门球场维修改造费，提升群众锻炼的积极性。</w:t>
            </w:r>
          </w:p>
        </w:tc>
        <w:tc>
          <w:tcPr>
            <w:tcW w:w="6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86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213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06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7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7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63"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5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596"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5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4070" w:type="dxa"/>
            <w:gridSpan w:val="3"/>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76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6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#DIV/0!</w:t>
            </w:r>
          </w:p>
        </w:tc>
        <w:tc>
          <w:tcPr>
            <w:tcW w:w="7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63"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86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2134" w:type="dxa"/>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改造体育中心篮球场门球场数量</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≥1个</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1个</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5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86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2134" w:type="dxa"/>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0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改造体育中心篮球场门球场合格率</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5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86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2134" w:type="dxa"/>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0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改造体育中心篮球场门球场及时率</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5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575" w:hRule="atLeast"/>
        </w:trPr>
        <w:tc>
          <w:tcPr>
            <w:tcW w:w="86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2134" w:type="dxa"/>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生戊效益指标</w:t>
            </w:r>
          </w:p>
        </w:tc>
        <w:tc>
          <w:tcPr>
            <w:tcW w:w="10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下达2019年12月用2020年1-3月体育彩票公益金地方分成资金健全机制性</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86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2134" w:type="dxa"/>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0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改造体育中心篮球场门球场使用率</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86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2134"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0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86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2134" w:type="dxa"/>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0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下达2019年10-11月体育彩票公益金地方分成资金</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≤6.1133万元</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6.1133万元</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rPr>
          <w:rFonts w:hint="eastAsia"/>
          <w:lang w:val="en-US" w:eastAsia="zh-CN"/>
        </w:rPr>
      </w:pPr>
    </w:p>
    <w:p>
      <w:pPr>
        <w:pStyle w:val="6"/>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6"/>
        <w:gridCol w:w="997"/>
        <w:gridCol w:w="729"/>
        <w:gridCol w:w="729"/>
        <w:gridCol w:w="640"/>
        <w:gridCol w:w="632"/>
      </w:tblGrid>
      <w:tr>
        <w:tblPrEx>
          <w:tblCellMar>
            <w:top w:w="0" w:type="dxa"/>
            <w:left w:w="0" w:type="dxa"/>
            <w:bottom w:w="0" w:type="dxa"/>
            <w:right w:w="0" w:type="dxa"/>
          </w:tblCellMar>
        </w:tblPrEx>
        <w:trPr>
          <w:trHeight w:val="450" w:hRule="atLeast"/>
        </w:trPr>
        <w:tc>
          <w:tcPr>
            <w:tcW w:w="7799"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60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下达2020年4-6月体育彩票公益金地方分成资金</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99"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8.3458</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8.3458</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8.3458</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8.3458</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96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2023年计划使用财政资金61133元用于我区体育场馆篮球场门球场维修改造费、监理费、篮球架。</w:t>
            </w:r>
          </w:p>
        </w:tc>
        <w:tc>
          <w:tcPr>
            <w:tcW w:w="309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2023年使用财政资金61133元用于我区体育场馆篮球场门球场维修改造费、监理费、篮球架。提升人民群众锻炼场所。</w:t>
            </w:r>
          </w:p>
        </w:tc>
        <w:tc>
          <w:tcPr>
            <w:tcW w:w="632"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1"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改造体育中心篮球场门球场数量</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≥1个</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1个</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改造体育中心篮球场门球场及时率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改造体育中心篮球场门球场合格率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改造体育中心篮球场门球场使用率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下达2020年4-6月体育彩票公益金地方分成资金健全机制性</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经济成本指标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下达2020年4-6月体育彩票公益金地方分成资金预算成本</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≤8.3458万元</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8.3458万元</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7"/>
        <w:gridCol w:w="997"/>
        <w:gridCol w:w="729"/>
        <w:gridCol w:w="729"/>
        <w:gridCol w:w="640"/>
        <w:gridCol w:w="632"/>
      </w:tblGrid>
      <w:tr>
        <w:tblPrEx>
          <w:tblCellMar>
            <w:top w:w="0" w:type="dxa"/>
            <w:left w:w="0" w:type="dxa"/>
            <w:bottom w:w="0" w:type="dxa"/>
            <w:right w:w="0" w:type="dxa"/>
          </w:tblCellMar>
        </w:tblPrEx>
        <w:trPr>
          <w:trHeight w:val="450" w:hRule="atLeast"/>
        </w:trPr>
        <w:tc>
          <w:tcPr>
            <w:tcW w:w="7800"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68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下达2022年中央支持地方公共文化服务体系建设补助资金预算</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00"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79.0926</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79.0926</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79.0926</w:t>
            </w: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79.0926</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00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2023年计划使用财政资金79.0926万元，用于2022年中央支持地方公共文化服务体系建设补助资金预算（一般项目、绩效奖励）</w:t>
            </w:r>
          </w:p>
        </w:tc>
        <w:tc>
          <w:tcPr>
            <w:tcW w:w="309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2023年使用财政资金79.0926万元，用于我区公共文化建设，提升群众的精神生活。</w:t>
            </w:r>
          </w:p>
        </w:tc>
        <w:tc>
          <w:tcPr>
            <w:tcW w:w="632"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2"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开展书画展、送文化下乡的契合度</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维修公共场馆、购买图书、新建社区书咖的合格率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维修公共场馆、购买图书、新建社区书咖的及时率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开展书画展、送文化下乡的及时率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开展书画展次数</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≥2场</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2场</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维修公共场馆次数</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2次</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新建社区书咖数量</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≥1个</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1个</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开展送文化下乡场次</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≥6场</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6场</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购买图书次数</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开展书画展、送文化下乡的参与率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0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下达2022年中央支持地方公共文化服务体系建设补助资金预算（一般项目、绩效奖励）的健全机制</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6</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维修公共场馆、购买图书、新建社区书咖的使用保障率</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0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下达2022年中央支持地方公共文化服务体系建设补助资金预算（一般项目、绩效奖励）的预算成本</w:t>
            </w:r>
          </w:p>
        </w:tc>
        <w:tc>
          <w:tcPr>
            <w:tcW w:w="10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≤79.0926万元</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79.0926万元</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pStyle w:val="6"/>
        <w:rPr>
          <w:rFonts w:hint="eastAsia"/>
          <w:lang w:val="en-US" w:eastAsia="zh-CN"/>
        </w:rPr>
      </w:pPr>
    </w:p>
    <w:p>
      <w:pPr>
        <w:rPr>
          <w:rFonts w:hint="eastAsia"/>
          <w:lang w:val="en-US" w:eastAsia="zh-CN"/>
        </w:rPr>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6"/>
        <w:gridCol w:w="997"/>
        <w:gridCol w:w="729"/>
        <w:gridCol w:w="729"/>
        <w:gridCol w:w="640"/>
        <w:gridCol w:w="632"/>
      </w:tblGrid>
      <w:tr>
        <w:tblPrEx>
          <w:tblCellMar>
            <w:top w:w="0" w:type="dxa"/>
            <w:left w:w="0" w:type="dxa"/>
            <w:bottom w:w="0" w:type="dxa"/>
            <w:right w:w="0" w:type="dxa"/>
          </w:tblCellMar>
        </w:tblPrEx>
        <w:trPr>
          <w:trHeight w:val="450" w:hRule="atLeast"/>
        </w:trPr>
        <w:tc>
          <w:tcPr>
            <w:tcW w:w="7799"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88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关于下达2023年中央支持地方公共文化服务体系建设补助资金（广播电视得点项目）预算</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99"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28.68</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28.68</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28.68</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28.68</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84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2023年计划使用财政资金28.68万元，用于广播电视无线覆盖运行维护。</w:t>
            </w:r>
          </w:p>
        </w:tc>
        <w:tc>
          <w:tcPr>
            <w:tcW w:w="309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2023年使用财政资金28.68万元，用于广播电视无线覆盖运行维护，丰富群众业余生活。</w:t>
            </w:r>
          </w:p>
        </w:tc>
        <w:tc>
          <w:tcPr>
            <w:tcW w:w="632"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1"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"转播中央人民广播电台节目设施设备数量</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≥2套</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2套</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转播中央电视节目设施设备数量</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≥2人</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2人</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转播中央人民广播电台节目合格率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转播中央人民广播电台节目设施设备维护合格率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转播中央电视节目、设备维护及时率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中央电视节目收看率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3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中央广播电视节目无线数字覆盖工程运行维护项目机制健全性</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辖区内群众满意度</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3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经济成本指标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中央广播电视节目无线数字覆盖工程运行维护项目预算成本</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≤28.68万元</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28.68万元</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6"/>
        <w:gridCol w:w="997"/>
        <w:gridCol w:w="729"/>
        <w:gridCol w:w="729"/>
        <w:gridCol w:w="640"/>
        <w:gridCol w:w="632"/>
      </w:tblGrid>
      <w:tr>
        <w:tblPrEx>
          <w:tblCellMar>
            <w:top w:w="0" w:type="dxa"/>
            <w:left w:w="0" w:type="dxa"/>
            <w:bottom w:w="0" w:type="dxa"/>
            <w:right w:w="0" w:type="dxa"/>
          </w:tblCellMar>
        </w:tblPrEx>
        <w:trPr>
          <w:trHeight w:val="450" w:hRule="atLeast"/>
        </w:trPr>
        <w:tc>
          <w:tcPr>
            <w:tcW w:w="7799"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80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2022年公共文化服务体系建设（广播电视户户通运行维护）市级配套资金</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99"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1.35</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1.35</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1.35</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1.35</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92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2023年计划使用公共文化服务体系建设（广播电视户户通运行维护）市级配套资金1.35万元，用于广播电视户户通.</w:t>
            </w:r>
          </w:p>
        </w:tc>
        <w:tc>
          <w:tcPr>
            <w:tcW w:w="309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2023年计划使用公共文化服务体系建设（广播电视户户通运行维护）市级配套资金1.35万元，用于广播电视户户通.</w:t>
            </w:r>
          </w:p>
        </w:tc>
        <w:tc>
          <w:tcPr>
            <w:tcW w:w="632"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1"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户户通用数量</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2638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建立广播电视公共服务网点</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22</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建立广播电视公共服务网点保障率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建立广播电视公共服务网点及时率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广播电视公共服务的收看收听率</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98</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8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社会成本指标</w:t>
            </w:r>
          </w:p>
        </w:tc>
        <w:tc>
          <w:tcPr>
            <w:tcW w:w="19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2022年公共文化服务体系建设（广播电视户户通运行维护）市级配套资金预算成本</w:t>
            </w:r>
          </w:p>
        </w:tc>
        <w:tc>
          <w:tcPr>
            <w:tcW w:w="104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w:t>
            </w:r>
          </w:p>
        </w:tc>
        <w:tc>
          <w:tcPr>
            <w:tcW w:w="99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135%</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bl>
    <w:p>
      <w:pPr>
        <w:pStyle w:val="6"/>
      </w:pPr>
    </w:p>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6"/>
        <w:gridCol w:w="997"/>
        <w:gridCol w:w="729"/>
        <w:gridCol w:w="729"/>
        <w:gridCol w:w="640"/>
        <w:gridCol w:w="632"/>
      </w:tblGrid>
      <w:tr>
        <w:tblPrEx>
          <w:tblCellMar>
            <w:top w:w="0" w:type="dxa"/>
            <w:left w:w="0" w:type="dxa"/>
            <w:bottom w:w="0" w:type="dxa"/>
            <w:right w:w="0" w:type="dxa"/>
          </w:tblCellMar>
        </w:tblPrEx>
        <w:trPr>
          <w:trHeight w:val="450" w:hRule="atLeast"/>
        </w:trPr>
        <w:tc>
          <w:tcPr>
            <w:tcW w:w="7799"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88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下达2023年省级公共文化服务体系建设专项资金（广电项目）</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99"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11.8495</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11.8495</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11.8495</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11.8495</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38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2023年计划使用财政资金11.8495万元，用于我区省级广播电视无线数字化覆盖工程运行维护。</w:t>
            </w:r>
          </w:p>
        </w:tc>
        <w:tc>
          <w:tcPr>
            <w:tcW w:w="309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2023年使用财政资金11.8495万元，用于我区省级广播电视无线数字化覆盖工程运行维护。</w:t>
            </w:r>
          </w:p>
        </w:tc>
        <w:tc>
          <w:tcPr>
            <w:tcW w:w="632"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1"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维护承担省级广播电视节目无线数字化覆盖期限</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≥1年</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1年</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维护承担省级广播电视节目无线数字覆盖的合格率</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维护承担省级广播电视节目无线数字覆盖的及时率率</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维护承担省级广播电视节目无线数字覆盖的使用率率</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15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下达2023年省级公共文化服务体系建设专项资金（广电项目）的健全机制性</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群众满意度</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15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经济成本指标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下达2023年省级公共文化服务体系建设专项资金（广电项目）的预算成本</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≤11.8495万元</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11.8495万元</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bl>
    <w:p>
      <w:pPr>
        <w:pStyle w:val="6"/>
      </w:pPr>
    </w:p>
    <w:p/>
    <w:p>
      <w:pPr>
        <w:pStyle w:val="6"/>
      </w:pPr>
    </w:p>
    <w:tbl>
      <w:tblPr>
        <w:tblStyle w:val="16"/>
        <w:tblW w:w="0" w:type="auto"/>
        <w:tblInd w:w="0" w:type="dxa"/>
        <w:tblLayout w:type="fixed"/>
        <w:tblCellMar>
          <w:top w:w="0" w:type="dxa"/>
          <w:left w:w="0" w:type="dxa"/>
          <w:bottom w:w="0" w:type="dxa"/>
          <w:right w:w="0" w:type="dxa"/>
        </w:tblCellMar>
      </w:tblPr>
      <w:tblGrid>
        <w:gridCol w:w="1245"/>
        <w:gridCol w:w="1656"/>
        <w:gridCol w:w="1068"/>
        <w:gridCol w:w="1087"/>
        <w:gridCol w:w="942"/>
        <w:gridCol w:w="744"/>
        <w:gridCol w:w="395"/>
        <w:gridCol w:w="653"/>
        <w:gridCol w:w="641"/>
      </w:tblGrid>
      <w:tr>
        <w:tblPrEx>
          <w:tblCellMar>
            <w:top w:w="0" w:type="dxa"/>
            <w:left w:w="0" w:type="dxa"/>
            <w:bottom w:w="0" w:type="dxa"/>
            <w:right w:w="0" w:type="dxa"/>
          </w:tblCellMar>
        </w:tblPrEx>
        <w:trPr>
          <w:trHeight w:val="450" w:hRule="atLeast"/>
        </w:trPr>
        <w:tc>
          <w:tcPr>
            <w:tcW w:w="7790" w:type="dxa"/>
            <w:gridSpan w:val="8"/>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41"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12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72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应急广播体系运行维护项目</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73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72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73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90" w:type="dxa"/>
            <w:gridSpan w:val="8"/>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901"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0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2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792"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90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10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4.016</w:t>
            </w:r>
          </w:p>
        </w:tc>
        <w:tc>
          <w:tcPr>
            <w:tcW w:w="202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4.016</w:t>
            </w:r>
          </w:p>
        </w:tc>
        <w:tc>
          <w:tcPr>
            <w:tcW w:w="1792"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90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10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4.016</w:t>
            </w:r>
          </w:p>
        </w:tc>
        <w:tc>
          <w:tcPr>
            <w:tcW w:w="202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4.016</w:t>
            </w:r>
          </w:p>
        </w:tc>
        <w:tc>
          <w:tcPr>
            <w:tcW w:w="1792"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90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10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2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792"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45"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811"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73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760" w:hRule="atLeast"/>
        </w:trPr>
        <w:tc>
          <w:tcPr>
            <w:tcW w:w="1245"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811" w:type="dxa"/>
            <w:gridSpan w:val="3"/>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2023年计划使用财政资金4.016万元，用于我区应急广播体系运行维护购物联卡费。</w:t>
            </w:r>
          </w:p>
        </w:tc>
        <w:tc>
          <w:tcPr>
            <w:tcW w:w="273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2023年使用财政资金4.016万元，用于我区应急广播体系运行维护购物联卡费。</w:t>
            </w:r>
          </w:p>
        </w:tc>
        <w:tc>
          <w:tcPr>
            <w:tcW w:w="641"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65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0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4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395"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5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998"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3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5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969" w:type="dxa"/>
            <w:gridSpan w:val="3"/>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42"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245"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65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数量指标</w:t>
            </w:r>
          </w:p>
        </w:tc>
        <w:tc>
          <w:tcPr>
            <w:tcW w:w="10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购应急广播运维物联卡（流量服务）期限</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≥1年</w:t>
            </w:r>
          </w:p>
        </w:tc>
        <w:tc>
          <w:tcPr>
            <w:tcW w:w="9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1年</w:t>
            </w:r>
          </w:p>
        </w:tc>
        <w:tc>
          <w:tcPr>
            <w:tcW w:w="7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3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5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45"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65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质量指标</w:t>
            </w:r>
          </w:p>
        </w:tc>
        <w:tc>
          <w:tcPr>
            <w:tcW w:w="10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购应急广播运维物联卡（流量服务）的合格率</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45"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65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时效指标</w:t>
            </w:r>
          </w:p>
        </w:tc>
        <w:tc>
          <w:tcPr>
            <w:tcW w:w="10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购应急广播运维物联卡（流量服务）的及时率</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245"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65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成本指标</w:t>
            </w:r>
          </w:p>
        </w:tc>
        <w:tc>
          <w:tcPr>
            <w:tcW w:w="10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应急广播体系运行维护项目的预算成本</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≤4.016万元</w:t>
            </w:r>
          </w:p>
        </w:tc>
        <w:tc>
          <w:tcPr>
            <w:tcW w:w="9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4.016万元</w:t>
            </w:r>
          </w:p>
        </w:tc>
        <w:tc>
          <w:tcPr>
            <w:tcW w:w="7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245"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65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社会效益指标</w:t>
            </w:r>
          </w:p>
        </w:tc>
        <w:tc>
          <w:tcPr>
            <w:tcW w:w="10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物联卡（流量服务）的使用正常运行率</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5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45"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656" w:type="dxa"/>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0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应急广播覆盖全面率</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5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45"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65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满意度指标</w:t>
            </w:r>
          </w:p>
        </w:tc>
        <w:tc>
          <w:tcPr>
            <w:tcW w:w="10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人民群众满意度</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9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tbl>
      <w:tblPr>
        <w:tblStyle w:val="16"/>
        <w:tblW w:w="0" w:type="auto"/>
        <w:tblInd w:w="0" w:type="dxa"/>
        <w:tblLayout w:type="fixed"/>
        <w:tblCellMar>
          <w:top w:w="0" w:type="dxa"/>
          <w:left w:w="0" w:type="dxa"/>
          <w:bottom w:w="0" w:type="dxa"/>
          <w:right w:w="0" w:type="dxa"/>
        </w:tblCellMar>
      </w:tblPr>
      <w:tblGrid>
        <w:gridCol w:w="1173"/>
        <w:gridCol w:w="1574"/>
        <w:gridCol w:w="1006"/>
        <w:gridCol w:w="1273"/>
        <w:gridCol w:w="1102"/>
        <w:gridCol w:w="701"/>
        <w:gridCol w:w="372"/>
        <w:gridCol w:w="616"/>
        <w:gridCol w:w="611"/>
      </w:tblGrid>
      <w:tr>
        <w:tblPrEx>
          <w:tblCellMar>
            <w:top w:w="0" w:type="dxa"/>
            <w:left w:w="0" w:type="dxa"/>
            <w:bottom w:w="0" w:type="dxa"/>
            <w:right w:w="0" w:type="dxa"/>
          </w:tblCellMar>
        </w:tblPrEx>
        <w:trPr>
          <w:trHeight w:val="450" w:hRule="atLeast"/>
        </w:trPr>
        <w:tc>
          <w:tcPr>
            <w:tcW w:w="7817" w:type="dxa"/>
            <w:gridSpan w:val="8"/>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11"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11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58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应急广播体系建设项目</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791"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1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58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791"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17" w:type="dxa"/>
            <w:gridSpan w:val="8"/>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747"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00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37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68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74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100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188.0878</w:t>
            </w:r>
          </w:p>
        </w:tc>
        <w:tc>
          <w:tcPr>
            <w:tcW w:w="237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188.0878</w:t>
            </w:r>
          </w:p>
        </w:tc>
        <w:tc>
          <w:tcPr>
            <w:tcW w:w="168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74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100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188.0878</w:t>
            </w:r>
          </w:p>
        </w:tc>
        <w:tc>
          <w:tcPr>
            <w:tcW w:w="237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188.0878</w:t>
            </w:r>
          </w:p>
        </w:tc>
        <w:tc>
          <w:tcPr>
            <w:tcW w:w="168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74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100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37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68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173"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85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791"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460" w:hRule="atLeast"/>
        </w:trPr>
        <w:tc>
          <w:tcPr>
            <w:tcW w:w="1173"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853" w:type="dxa"/>
            <w:gridSpan w:val="3"/>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文化体育和旅游局计划使用财政资金188.0878万元，主要用于购买和安装应急广播体系设施设备，包括调度控制系统、融媒体中心对接系统、安全系统、日常值班系统、调度中心系统、环境安全设备、平台通信网、村村响传输网、4G无线传输、广播村村响乡镇前端、广播村村响村（社区）前端、广播村村响终端、系统集成等。</w:t>
            </w:r>
          </w:p>
        </w:tc>
        <w:tc>
          <w:tcPr>
            <w:tcW w:w="2791"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文化体育和旅游局使用财政资金188.0878万元，主要用于购买和安装应急广播体系设施设备，包括调度控制系统、融媒体中心对接系统、安全系统、日常值班系统、调度中心系统、环境安全设备、平台通信网、村村响传输网、4G无线传输、广播村村响乡镇前端、广播村村响村（社区）前端、广播村村响终端、系统集成等。</w:t>
            </w:r>
          </w:p>
        </w:tc>
        <w:tc>
          <w:tcPr>
            <w:tcW w:w="611"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1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00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0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37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1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1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6128"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1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753" w:type="dxa"/>
            <w:gridSpan w:val="3"/>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27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102"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7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1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数量指标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应急广播体系乡镇前端数量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≥8处</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数量指标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应急广播体系区级平台数量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≥1处</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成本指标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应急广播体系项目预算成本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≤188.0878万元</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188.0878万元</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575"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时效指标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应急广播体系村（社区）及村（居）小组终端接收和发布指令及时率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时效指标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应急广播体系村（社区）前端接收和发布指令及时率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数量指标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应急广播体系村（社区）前端数量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≥119人</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119人</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数量指标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应急广播体系村（社区）及村（居）小组终端数量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≥545个</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545个</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质量指标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应急广播体系区级平台合格率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质量指标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应急广播体系乡镇前端合格率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质量指标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应急广播体系村（社区）前端合格率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质量指标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应急广播体系村（社区）及村（居）小组终端合格率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时效指标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应急广播体系区级平台接收和发布指令及时率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时效指标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应急广播体系乡镇前端接收和发布指令及时率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可持续发展指标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应急广播体系项目机制健全性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优良中低差</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社会效益指标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应急广播覆盖率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社会效益指标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应急广播收听率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7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满意指标</w:t>
            </w:r>
          </w:p>
        </w:tc>
        <w:tc>
          <w:tcPr>
            <w:tcW w:w="157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服务对象满意度指标</w:t>
            </w:r>
          </w:p>
        </w:tc>
        <w:tc>
          <w:tcPr>
            <w:tcW w:w="10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辖区内群众满意度 </w:t>
            </w:r>
          </w:p>
        </w:tc>
        <w:tc>
          <w:tcPr>
            <w:tcW w:w="12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110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0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1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
      <w:pPr>
        <w:pStyle w:val="6"/>
      </w:pPr>
    </w:p>
    <w:tbl>
      <w:tblPr>
        <w:tblStyle w:val="16"/>
        <w:tblW w:w="0" w:type="auto"/>
        <w:tblInd w:w="0" w:type="dxa"/>
        <w:tblLayout w:type="fixed"/>
        <w:tblCellMar>
          <w:top w:w="0" w:type="dxa"/>
          <w:left w:w="0" w:type="dxa"/>
          <w:bottom w:w="0" w:type="dxa"/>
          <w:right w:w="0" w:type="dxa"/>
        </w:tblCellMar>
      </w:tblPr>
      <w:tblGrid>
        <w:gridCol w:w="1220"/>
        <w:gridCol w:w="242"/>
        <w:gridCol w:w="242"/>
        <w:gridCol w:w="1954"/>
        <w:gridCol w:w="1046"/>
        <w:gridCol w:w="997"/>
        <w:gridCol w:w="729"/>
        <w:gridCol w:w="729"/>
        <w:gridCol w:w="640"/>
        <w:gridCol w:w="632"/>
      </w:tblGrid>
      <w:tr>
        <w:tblPrEx>
          <w:tblCellMar>
            <w:top w:w="0" w:type="dxa"/>
            <w:left w:w="0" w:type="dxa"/>
            <w:bottom w:w="0" w:type="dxa"/>
            <w:right w:w="0" w:type="dxa"/>
          </w:tblCellMar>
        </w:tblPrEx>
        <w:trPr>
          <w:trHeight w:val="450" w:hRule="atLeast"/>
        </w:trPr>
        <w:tc>
          <w:tcPr>
            <w:tcW w:w="7799"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3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60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3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中央支持地方公共文化服务体系建设补助资金</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3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99"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20.41</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20.41</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20.41</w:t>
            </w: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20.41</w:t>
            </w: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4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8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95"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3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200" w:hRule="atLeast"/>
        </w:trPr>
        <w:tc>
          <w:tcPr>
            <w:tcW w:w="122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8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2023年计划使用财政资金20.41万元，用于我区公共文化建设。</w:t>
            </w:r>
          </w:p>
        </w:tc>
        <w:tc>
          <w:tcPr>
            <w:tcW w:w="3095"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2023年使用财政资金20.41万元，用于我区公共文化建设，提升群众的文化素养。</w:t>
            </w:r>
          </w:p>
        </w:tc>
        <w:tc>
          <w:tcPr>
            <w:tcW w:w="632"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48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5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72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701"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58"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购农家书屋次数</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≥1次</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1次</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67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安装广播电视服务网点批次</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1批次</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9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购农家书屋、安装广播电视网点的及时率</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9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购农家书屋、安装广播电视网点的合格率</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9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购农家书屋、安装广播电视网点的使用率</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90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丰富群众精神生活，提升群众文化素养</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1125"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经济成本指标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中央支持地方公共文化服务体系建设补助资金的预算成本</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≤20.41万元</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20.41万元</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r>
        <w:tblPrEx>
          <w:tblCellMar>
            <w:top w:w="0" w:type="dxa"/>
            <w:left w:w="0" w:type="dxa"/>
            <w:bottom w:w="0" w:type="dxa"/>
            <w:right w:w="0" w:type="dxa"/>
          </w:tblCellMar>
        </w:tblPrEx>
        <w:trPr>
          <w:trHeight w:val="450" w:hRule="atLeast"/>
        </w:trPr>
        <w:tc>
          <w:tcPr>
            <w:tcW w:w="122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484" w:type="dxa"/>
            <w:gridSpan w:val="2"/>
            <w:tcBorders>
              <w:top w:val="single" w:color="000000" w:sz="4" w:space="0"/>
              <w:left w:val="single" w:color="000000" w:sz="4" w:space="0"/>
              <w:bottom w:val="single" w:color="000000" w:sz="4" w:space="0"/>
              <w:right w:val="nil"/>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54"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人民群众满意度</w:t>
            </w:r>
          </w:p>
        </w:tc>
        <w:tc>
          <w:tcPr>
            <w:tcW w:w="1046"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29" w:type="dxa"/>
            <w:tcBorders>
              <w:top w:val="single" w:color="000000" w:sz="4" w:space="0"/>
              <w:left w:val="single" w:color="000000" w:sz="4" w:space="0"/>
              <w:bottom w:val="single" w:color="000000" w:sz="4" w:space="0"/>
              <w:right w:val="single" w:color="000000" w:sz="4" w:space="0"/>
            </w:tcBorders>
            <w:shd w:val="clear" w:color="auto" w:fill="auto"/>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632"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r>
    </w:tbl>
    <w:p/>
    <w:p>
      <w:pPr>
        <w:pStyle w:val="6"/>
      </w:pPr>
    </w:p>
    <w:tbl>
      <w:tblPr>
        <w:tblStyle w:val="16"/>
        <w:tblW w:w="0" w:type="auto"/>
        <w:tblInd w:w="0" w:type="dxa"/>
        <w:tblLayout w:type="fixed"/>
        <w:tblCellMar>
          <w:top w:w="0" w:type="dxa"/>
          <w:left w:w="0" w:type="dxa"/>
          <w:bottom w:w="0" w:type="dxa"/>
          <w:right w:w="0" w:type="dxa"/>
        </w:tblCellMar>
      </w:tblPr>
      <w:tblGrid>
        <w:gridCol w:w="1127"/>
        <w:gridCol w:w="497"/>
        <w:gridCol w:w="499"/>
        <w:gridCol w:w="1828"/>
        <w:gridCol w:w="1222"/>
        <w:gridCol w:w="1058"/>
        <w:gridCol w:w="673"/>
        <w:gridCol w:w="357"/>
        <w:gridCol w:w="590"/>
        <w:gridCol w:w="579"/>
      </w:tblGrid>
      <w:tr>
        <w:tblPrEx>
          <w:tblCellMar>
            <w:top w:w="0" w:type="dxa"/>
            <w:left w:w="0" w:type="dxa"/>
            <w:bottom w:w="0" w:type="dxa"/>
            <w:right w:w="0" w:type="dxa"/>
          </w:tblCellMar>
        </w:tblPrEx>
        <w:trPr>
          <w:trHeight w:val="450" w:hRule="atLeast"/>
        </w:trPr>
        <w:tc>
          <w:tcPr>
            <w:tcW w:w="7851"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579"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540" w:hRule="atLeast"/>
        </w:trPr>
        <w:tc>
          <w:tcPr>
            <w:tcW w:w="11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824"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五通桥区应急广播体系建设项目（二期）</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678"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1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82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678"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乐山市五通桥区文化体育和旅游局</w:t>
            </w: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51"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24"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32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28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62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2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32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20.9427</w:t>
            </w:r>
          </w:p>
        </w:tc>
        <w:tc>
          <w:tcPr>
            <w:tcW w:w="228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20.9427</w:t>
            </w:r>
          </w:p>
        </w:tc>
        <w:tc>
          <w:tcPr>
            <w:tcW w:w="162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2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32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20.9427</w:t>
            </w:r>
          </w:p>
        </w:tc>
        <w:tc>
          <w:tcPr>
            <w:tcW w:w="228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20.9427</w:t>
            </w:r>
          </w:p>
        </w:tc>
        <w:tc>
          <w:tcPr>
            <w:tcW w:w="162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2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32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28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62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#DIV/0!</w:t>
            </w: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127"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4046"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678"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780" w:hRule="atLeast"/>
        </w:trPr>
        <w:tc>
          <w:tcPr>
            <w:tcW w:w="1127"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4046"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文化体育和旅游局计划使用财政资金188.0878万元，主要用于购买和安装应急广播体系设施设备，包括调度控制系统、融媒体中心对接系统、安全系统、日常值班系统、调度中心系统、环境安全设备、平台通信网、村村响传输网、4G无线传输、广播村村响乡镇前端、广播村村响村（社区）前端、广播村村响终端、系统集成等。</w:t>
            </w:r>
          </w:p>
        </w:tc>
        <w:tc>
          <w:tcPr>
            <w:tcW w:w="2678"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文化体育和旅游局使用财政资金188.0878万元，主要用于购买和安装应急广播体系设施设备，包括调度控制系统、融媒体中心对接系统、安全系统、日常值班系统、调度中心系统、环境安全设备、平台通信网、村村响传输网、4G无线传输、广播村村响乡镇前端、广播村村响村（社区）前端、广播村村响终端、系统集成等。</w:t>
            </w:r>
          </w:p>
        </w:tc>
        <w:tc>
          <w:tcPr>
            <w:tcW w:w="579"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1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82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67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357"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59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57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6231"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59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951"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222"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57"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9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数量指标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应急广播体系乡镇前端数量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≥8处</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8</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数量指标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应急广播体系区级平台数量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≥1处</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成本指标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应急广播体系项目预算成本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≤188.0878万元</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188.0878万元</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575"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时效指标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应急广播体系村（社区）及村（居）小组终端接收和发布指令及时率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时效指标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应急广播体系村（社区）前端接收和发布指令及时率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数量指标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应急广播体系村（社区）前端数量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≥119人</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119人</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数量指标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应急广播体系村（社区）及村（居）小组终端数量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≥545个</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545个</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质量指标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应急广播体系区级平台合格率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质量指标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应急广播体系乡镇前端合格率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质量指标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应急广播体系村（社区）前端合格率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质量指标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应急广播体系村（社区）及村（居）小组终端合格率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时效指标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应急广播体系区级平台接收和发布指令及时率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时效指标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应急广播体系乡镇前端接收和发布指令及时率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可持续发展指标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应急广播体系项目机制健全性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定性</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优良中低差</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社会效益指标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应急广播覆盖率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社会效益指标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应急广播收听率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满意指标</w:t>
            </w:r>
          </w:p>
        </w:tc>
        <w:tc>
          <w:tcPr>
            <w:tcW w:w="99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服务对象满意度指标</w:t>
            </w:r>
          </w:p>
        </w:tc>
        <w:tc>
          <w:tcPr>
            <w:tcW w:w="182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 xml:space="preserve">辖区内群众满意度 </w:t>
            </w:r>
          </w:p>
        </w:tc>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righ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95%</w:t>
            </w:r>
          </w:p>
        </w:tc>
        <w:tc>
          <w:tcPr>
            <w:tcW w:w="6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5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9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
      <w:pPr>
        <w:pStyle w:val="6"/>
      </w:pPr>
    </w:p>
    <w:tbl>
      <w:tblPr>
        <w:tblStyle w:val="16"/>
        <w:tblW w:w="0" w:type="auto"/>
        <w:tblInd w:w="0" w:type="dxa"/>
        <w:tblLayout w:type="fixed"/>
        <w:tblCellMar>
          <w:top w:w="0" w:type="dxa"/>
          <w:left w:w="0" w:type="dxa"/>
          <w:bottom w:w="0" w:type="dxa"/>
          <w:right w:w="0" w:type="dxa"/>
        </w:tblCellMar>
      </w:tblPr>
      <w:tblGrid>
        <w:gridCol w:w="1214"/>
        <w:gridCol w:w="440"/>
        <w:gridCol w:w="439"/>
        <w:gridCol w:w="1929"/>
        <w:gridCol w:w="1041"/>
        <w:gridCol w:w="993"/>
        <w:gridCol w:w="726"/>
        <w:gridCol w:w="385"/>
        <w:gridCol w:w="637"/>
        <w:gridCol w:w="627"/>
      </w:tblGrid>
      <w:tr>
        <w:tblPrEx>
          <w:tblCellMar>
            <w:top w:w="0" w:type="dxa"/>
            <w:left w:w="0" w:type="dxa"/>
            <w:bottom w:w="0" w:type="dxa"/>
            <w:right w:w="0" w:type="dxa"/>
          </w:tblCellMar>
        </w:tblPrEx>
        <w:trPr>
          <w:trHeight w:val="450" w:hRule="atLeast"/>
        </w:trPr>
        <w:tc>
          <w:tcPr>
            <w:tcW w:w="7804"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27"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520" w:hRule="atLeast"/>
        </w:trPr>
        <w:tc>
          <w:tcPr>
            <w:tcW w:w="12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808"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五通桥区娱乐城安全鉴定相关工作经费</w:t>
            </w:r>
          </w:p>
        </w:tc>
        <w:tc>
          <w:tcPr>
            <w:tcW w:w="10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741"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80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0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741"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6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04"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54"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36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3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74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5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36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15.163708</w:t>
            </w:r>
          </w:p>
        </w:tc>
        <w:tc>
          <w:tcPr>
            <w:tcW w:w="203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15.163708</w:t>
            </w:r>
          </w:p>
        </w:tc>
        <w:tc>
          <w:tcPr>
            <w:tcW w:w="174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5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36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15.163708</w:t>
            </w:r>
          </w:p>
        </w:tc>
        <w:tc>
          <w:tcPr>
            <w:tcW w:w="203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15.163708</w:t>
            </w:r>
          </w:p>
        </w:tc>
        <w:tc>
          <w:tcPr>
            <w:tcW w:w="174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5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36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3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74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6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214"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849"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741"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880" w:hRule="atLeast"/>
        </w:trPr>
        <w:tc>
          <w:tcPr>
            <w:tcW w:w="1214"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849"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2023年计划使用财政资金151637.08元用于五通桥区娱乐城开展房屋主体结构抗震鉴定、安全性鉴定及室内部分吊顶拆除。</w:t>
            </w:r>
          </w:p>
        </w:tc>
        <w:tc>
          <w:tcPr>
            <w:tcW w:w="2741"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2023年实际使用财政资金151637.08元用于五通桥区娱乐城开展房屋主体结构抗震鉴定、安全性鉴定及室内部分吊顶拆除。</w:t>
            </w:r>
          </w:p>
        </w:tc>
        <w:tc>
          <w:tcPr>
            <w:tcW w:w="627"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87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9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9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385"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2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6056"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38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4022"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1"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14"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87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9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开展安全鉴定次数</w:t>
            </w:r>
          </w:p>
        </w:tc>
        <w:tc>
          <w:tcPr>
            <w:tcW w:w="1041"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》3次</w:t>
            </w:r>
          </w:p>
        </w:tc>
        <w:tc>
          <w:tcPr>
            <w:tcW w:w="99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》3次</w:t>
            </w:r>
          </w:p>
        </w:tc>
        <w:tc>
          <w:tcPr>
            <w:tcW w:w="7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38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14"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87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9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41"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8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14"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87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9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开展安全鉴定及时率</w:t>
            </w:r>
          </w:p>
        </w:tc>
        <w:tc>
          <w:tcPr>
            <w:tcW w:w="1041"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8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14"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87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92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五通桥区娱乐城安全鉴定相关工作经费预算成本</w:t>
            </w:r>
          </w:p>
        </w:tc>
        <w:tc>
          <w:tcPr>
            <w:tcW w:w="1041"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≤15.163708万元</w:t>
            </w:r>
          </w:p>
        </w:tc>
        <w:tc>
          <w:tcPr>
            <w:tcW w:w="993"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≤15.163708万元</w:t>
            </w:r>
          </w:p>
        </w:tc>
        <w:tc>
          <w:tcPr>
            <w:tcW w:w="7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14"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87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9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安全鉴定的保障率</w:t>
            </w:r>
          </w:p>
        </w:tc>
        <w:tc>
          <w:tcPr>
            <w:tcW w:w="1041"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9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125" w:hRule="atLeast"/>
        </w:trPr>
        <w:tc>
          <w:tcPr>
            <w:tcW w:w="1214"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87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929"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五通桥区娱乐城安全鉴定相关工作经费健全机制性</w:t>
            </w:r>
          </w:p>
        </w:tc>
        <w:tc>
          <w:tcPr>
            <w:tcW w:w="1041"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99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7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1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87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9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群众满意度</w:t>
            </w:r>
          </w:p>
        </w:tc>
        <w:tc>
          <w:tcPr>
            <w:tcW w:w="1041"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99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7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3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
      <w:pPr>
        <w:pStyle w:val="6"/>
      </w:pPr>
    </w:p>
    <w:tbl>
      <w:tblPr>
        <w:tblStyle w:val="16"/>
        <w:tblW w:w="0" w:type="auto"/>
        <w:tblInd w:w="0" w:type="dxa"/>
        <w:tblLayout w:type="fixed"/>
        <w:tblCellMar>
          <w:top w:w="0" w:type="dxa"/>
          <w:left w:w="0" w:type="dxa"/>
          <w:bottom w:w="0" w:type="dxa"/>
          <w:right w:w="0" w:type="dxa"/>
        </w:tblCellMar>
      </w:tblPr>
      <w:tblGrid>
        <w:gridCol w:w="1299"/>
        <w:gridCol w:w="1362"/>
        <w:gridCol w:w="1114"/>
        <w:gridCol w:w="1087"/>
        <w:gridCol w:w="1029"/>
        <w:gridCol w:w="776"/>
        <w:gridCol w:w="412"/>
        <w:gridCol w:w="681"/>
        <w:gridCol w:w="671"/>
      </w:tblGrid>
      <w:tr>
        <w:tblPrEx>
          <w:tblCellMar>
            <w:top w:w="0" w:type="dxa"/>
            <w:left w:w="0" w:type="dxa"/>
            <w:bottom w:w="0" w:type="dxa"/>
            <w:right w:w="0" w:type="dxa"/>
          </w:tblCellMar>
        </w:tblPrEx>
        <w:trPr>
          <w:trHeight w:val="450" w:hRule="atLeast"/>
        </w:trPr>
        <w:tc>
          <w:tcPr>
            <w:tcW w:w="7760" w:type="dxa"/>
            <w:gridSpan w:val="8"/>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71"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129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7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临聘人员支出</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898"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9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7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898"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60" w:type="dxa"/>
            <w:gridSpan w:val="8"/>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661"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1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11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86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66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11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4.67</w:t>
            </w:r>
          </w:p>
        </w:tc>
        <w:tc>
          <w:tcPr>
            <w:tcW w:w="211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4.67</w:t>
            </w:r>
          </w:p>
        </w:tc>
        <w:tc>
          <w:tcPr>
            <w:tcW w:w="186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66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11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4.67</w:t>
            </w:r>
          </w:p>
        </w:tc>
        <w:tc>
          <w:tcPr>
            <w:tcW w:w="211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4.67</w:t>
            </w:r>
          </w:p>
        </w:tc>
        <w:tc>
          <w:tcPr>
            <w:tcW w:w="186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66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11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1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86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299"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56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898"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860" w:hRule="atLeast"/>
        </w:trPr>
        <w:tc>
          <w:tcPr>
            <w:tcW w:w="1299"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563" w:type="dxa"/>
            <w:gridSpan w:val="3"/>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2023年计划使用财政资金4.67万元用于发放文体局门卫保洁及体育中心临聘人员1月工资、慰问费以及保险。</w:t>
            </w:r>
          </w:p>
        </w:tc>
        <w:tc>
          <w:tcPr>
            <w:tcW w:w="2898"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2023年实际使用财政资金4.67万元用于发放文体局门卫保洁及体育中心临聘人员1月工资、慰问费以及保险。</w:t>
            </w: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9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36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1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8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102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7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41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891"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7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41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775" w:type="dxa"/>
            <w:gridSpan w:val="3"/>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7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99"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36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114"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发放临聘人员人数</w:t>
            </w:r>
          </w:p>
        </w:tc>
        <w:tc>
          <w:tcPr>
            <w:tcW w:w="10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≥11人</w:t>
            </w:r>
          </w:p>
        </w:tc>
        <w:tc>
          <w:tcPr>
            <w:tcW w:w="10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≥11人</w:t>
            </w:r>
          </w:p>
        </w:tc>
        <w:tc>
          <w:tcPr>
            <w:tcW w:w="77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41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9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36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114"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发放临聘人员工资人数准确率</w:t>
            </w:r>
          </w:p>
        </w:tc>
        <w:tc>
          <w:tcPr>
            <w:tcW w:w="10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7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41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9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36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114"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发放临聘人员工资及时率</w:t>
            </w:r>
          </w:p>
        </w:tc>
        <w:tc>
          <w:tcPr>
            <w:tcW w:w="10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7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41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9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36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114"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临聘人员支出预算成本</w:t>
            </w:r>
          </w:p>
        </w:tc>
        <w:tc>
          <w:tcPr>
            <w:tcW w:w="10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≤4.67万元</w:t>
            </w:r>
          </w:p>
        </w:tc>
        <w:tc>
          <w:tcPr>
            <w:tcW w:w="10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≤4.67万元</w:t>
            </w:r>
          </w:p>
        </w:tc>
        <w:tc>
          <w:tcPr>
            <w:tcW w:w="77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99"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36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114"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发放临聘人员工资的保障率</w:t>
            </w:r>
          </w:p>
        </w:tc>
        <w:tc>
          <w:tcPr>
            <w:tcW w:w="10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7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29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36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114"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临聘人员支出健全机制性</w:t>
            </w:r>
          </w:p>
        </w:tc>
        <w:tc>
          <w:tcPr>
            <w:tcW w:w="10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10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优</w:t>
            </w:r>
          </w:p>
        </w:tc>
        <w:tc>
          <w:tcPr>
            <w:tcW w:w="77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29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36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114"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临聘人员满意度</w:t>
            </w:r>
          </w:p>
        </w:tc>
        <w:tc>
          <w:tcPr>
            <w:tcW w:w="10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102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77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tbl>
      <w:tblPr>
        <w:tblStyle w:val="16"/>
        <w:tblW w:w="0" w:type="auto"/>
        <w:tblInd w:w="0" w:type="dxa"/>
        <w:tblLayout w:type="fixed"/>
        <w:tblCellMar>
          <w:top w:w="0" w:type="dxa"/>
          <w:left w:w="0" w:type="dxa"/>
          <w:bottom w:w="0" w:type="dxa"/>
          <w:right w:w="0" w:type="dxa"/>
        </w:tblCellMar>
      </w:tblPr>
      <w:tblGrid>
        <w:gridCol w:w="1198"/>
        <w:gridCol w:w="1256"/>
        <w:gridCol w:w="1027"/>
        <w:gridCol w:w="1300"/>
        <w:gridCol w:w="1300"/>
        <w:gridCol w:w="715"/>
        <w:gridCol w:w="380"/>
        <w:gridCol w:w="629"/>
        <w:gridCol w:w="626"/>
      </w:tblGrid>
      <w:tr>
        <w:tblPrEx>
          <w:tblCellMar>
            <w:top w:w="0" w:type="dxa"/>
            <w:left w:w="0" w:type="dxa"/>
            <w:bottom w:w="0" w:type="dxa"/>
            <w:right w:w="0" w:type="dxa"/>
          </w:tblCellMar>
        </w:tblPrEx>
        <w:trPr>
          <w:trHeight w:val="450" w:hRule="atLeast"/>
        </w:trPr>
        <w:tc>
          <w:tcPr>
            <w:tcW w:w="7805" w:type="dxa"/>
            <w:gridSpan w:val="8"/>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26"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119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28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临聘人员支出</w:t>
            </w:r>
          </w:p>
        </w:tc>
        <w:tc>
          <w:tcPr>
            <w:tcW w:w="13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2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19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28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3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2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05" w:type="dxa"/>
            <w:gridSpan w:val="8"/>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54"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0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6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72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5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10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3.352511</w:t>
            </w:r>
          </w:p>
        </w:tc>
        <w:tc>
          <w:tcPr>
            <w:tcW w:w="26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3.352511</w:t>
            </w:r>
          </w:p>
        </w:tc>
        <w:tc>
          <w:tcPr>
            <w:tcW w:w="172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5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10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3.352511</w:t>
            </w:r>
          </w:p>
        </w:tc>
        <w:tc>
          <w:tcPr>
            <w:tcW w:w="26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3.352511</w:t>
            </w:r>
          </w:p>
        </w:tc>
        <w:tc>
          <w:tcPr>
            <w:tcW w:w="172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5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10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6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72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198"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58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2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740" w:hRule="atLeast"/>
        </w:trPr>
        <w:tc>
          <w:tcPr>
            <w:tcW w:w="1198"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583" w:type="dxa"/>
            <w:gridSpan w:val="3"/>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2023年计划使用财政资金3.352511万元用于发放体育中心临聘人员2-3月工资及保险。</w:t>
            </w:r>
          </w:p>
        </w:tc>
        <w:tc>
          <w:tcPr>
            <w:tcW w:w="3024"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2023年实际使用财政资金3.352511万元用于发放体育中心临聘人员2-3月工资及保险。</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19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25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0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3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13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1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6081"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38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481" w:type="dxa"/>
            <w:gridSpan w:val="3"/>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98"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发放临聘人员人数</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≥7人</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≥7人</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98"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发放临聘人员工资人数准确率</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98"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发放临聘人员工资及时率</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98"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临聘人员支出预算成本</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≤3.352511万元</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≤3.352511万元</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98"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发放临聘人员工资的保障率</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98"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临聘人员支出健全机制性</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优</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9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临聘人员满意度</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Pr>
        <w:pStyle w:val="6"/>
      </w:pPr>
    </w:p>
    <w:tbl>
      <w:tblPr>
        <w:tblStyle w:val="16"/>
        <w:tblW w:w="0" w:type="auto"/>
        <w:tblInd w:w="0" w:type="dxa"/>
        <w:tblLayout w:type="fixed"/>
        <w:tblCellMar>
          <w:top w:w="0" w:type="dxa"/>
          <w:left w:w="0" w:type="dxa"/>
          <w:bottom w:w="0" w:type="dxa"/>
          <w:right w:w="0" w:type="dxa"/>
        </w:tblCellMar>
      </w:tblPr>
      <w:tblGrid>
        <w:gridCol w:w="1307"/>
        <w:gridCol w:w="1370"/>
        <w:gridCol w:w="1121"/>
        <w:gridCol w:w="1094"/>
        <w:gridCol w:w="987"/>
        <w:gridCol w:w="1"/>
        <w:gridCol w:w="781"/>
        <w:gridCol w:w="414"/>
        <w:gridCol w:w="685"/>
        <w:gridCol w:w="671"/>
      </w:tblGrid>
      <w:tr>
        <w:tblPrEx>
          <w:tblCellMar>
            <w:top w:w="0" w:type="dxa"/>
            <w:left w:w="0" w:type="dxa"/>
            <w:bottom w:w="0" w:type="dxa"/>
            <w:right w:w="0" w:type="dxa"/>
          </w:tblCellMar>
        </w:tblPrEx>
        <w:trPr>
          <w:trHeight w:val="450" w:hRule="atLeast"/>
        </w:trPr>
        <w:tc>
          <w:tcPr>
            <w:tcW w:w="7760"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71"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130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49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老年人体育活动专项经费</w:t>
            </w:r>
          </w:p>
        </w:tc>
        <w:tc>
          <w:tcPr>
            <w:tcW w:w="109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868"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30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49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09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868"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60"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677"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1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82"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88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67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11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15</w:t>
            </w:r>
          </w:p>
        </w:tc>
        <w:tc>
          <w:tcPr>
            <w:tcW w:w="2082"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15</w:t>
            </w:r>
          </w:p>
        </w:tc>
        <w:tc>
          <w:tcPr>
            <w:tcW w:w="188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67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11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15</w:t>
            </w:r>
          </w:p>
        </w:tc>
        <w:tc>
          <w:tcPr>
            <w:tcW w:w="2082"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15</w:t>
            </w:r>
          </w:p>
        </w:tc>
        <w:tc>
          <w:tcPr>
            <w:tcW w:w="188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67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11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82"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88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307"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585"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868"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7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600" w:hRule="atLeast"/>
        </w:trPr>
        <w:tc>
          <w:tcPr>
            <w:tcW w:w="1307"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585" w:type="dxa"/>
            <w:gridSpan w:val="3"/>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2023年计划使用财政资金15万元用于老体协组队参加乐山市老年人钓鱼、门球、地掷球、乒乓球、气排球、贰柒拾、麻将、柔力球、广场舞、健身气功等比赛，及市上组织的培训，承办市上安排的老年人比赛项目。</w:t>
            </w:r>
          </w:p>
        </w:tc>
        <w:tc>
          <w:tcPr>
            <w:tcW w:w="2868" w:type="dxa"/>
            <w:gridSpan w:val="5"/>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2023年实际使用财政资金15万元用于老体协组队参加乐山市老年人钓鱼、门球、地掷球、乒乓球、气排球、贰柒拾、麻将、柔力球、广场舞、健身气功等比赛，及市上组织的培训，承办市上安排的老年人比赛项目。</w:t>
            </w:r>
          </w:p>
        </w:tc>
        <w:tc>
          <w:tcPr>
            <w:tcW w:w="671"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30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37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1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9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8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880"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8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4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798" w:type="dxa"/>
            <w:gridSpan w:val="3"/>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9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307"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37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121"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承办比赛数量</w:t>
            </w:r>
          </w:p>
        </w:tc>
        <w:tc>
          <w:tcPr>
            <w:tcW w:w="109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》8次</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》8次</w:t>
            </w:r>
          </w:p>
        </w:tc>
        <w:tc>
          <w:tcPr>
            <w:tcW w:w="7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307"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37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121"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参加培训、比赛次数</w:t>
            </w:r>
          </w:p>
        </w:tc>
        <w:tc>
          <w:tcPr>
            <w:tcW w:w="109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》1次</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》1次</w:t>
            </w:r>
          </w:p>
        </w:tc>
        <w:tc>
          <w:tcPr>
            <w:tcW w:w="7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307"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37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121"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承办比赛契合度</w:t>
            </w:r>
          </w:p>
        </w:tc>
        <w:tc>
          <w:tcPr>
            <w:tcW w:w="109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307"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37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121"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参加培训、比赛准确率</w:t>
            </w:r>
          </w:p>
        </w:tc>
        <w:tc>
          <w:tcPr>
            <w:tcW w:w="109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307"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37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121"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承办比赛及时率</w:t>
            </w:r>
          </w:p>
        </w:tc>
        <w:tc>
          <w:tcPr>
            <w:tcW w:w="109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307"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37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121"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参加培训、比赛及时率</w:t>
            </w:r>
          </w:p>
        </w:tc>
        <w:tc>
          <w:tcPr>
            <w:tcW w:w="109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307"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37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121"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老年人专项经费预算成本</w:t>
            </w:r>
          </w:p>
        </w:tc>
        <w:tc>
          <w:tcPr>
            <w:tcW w:w="109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≤15万元</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≤15万元</w:t>
            </w:r>
          </w:p>
        </w:tc>
        <w:tc>
          <w:tcPr>
            <w:tcW w:w="7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307"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37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121"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参加比赛、承办比赛保障率</w:t>
            </w:r>
          </w:p>
        </w:tc>
        <w:tc>
          <w:tcPr>
            <w:tcW w:w="109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307"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37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121"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老年人体育活动专项经费健全机制</w:t>
            </w:r>
          </w:p>
        </w:tc>
        <w:tc>
          <w:tcPr>
            <w:tcW w:w="109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优</w:t>
            </w:r>
          </w:p>
        </w:tc>
        <w:tc>
          <w:tcPr>
            <w:tcW w:w="7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30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37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121"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群众满意度</w:t>
            </w:r>
          </w:p>
        </w:tc>
        <w:tc>
          <w:tcPr>
            <w:tcW w:w="109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98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7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14"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
      <w:pPr>
        <w:pStyle w:val="6"/>
      </w:pPr>
    </w:p>
    <w:tbl>
      <w:tblPr>
        <w:tblStyle w:val="16"/>
        <w:tblW w:w="0" w:type="auto"/>
        <w:tblInd w:w="0" w:type="dxa"/>
        <w:tblLayout w:type="fixed"/>
        <w:tblCellMar>
          <w:top w:w="0" w:type="dxa"/>
          <w:left w:w="0" w:type="dxa"/>
          <w:bottom w:w="0" w:type="dxa"/>
          <w:right w:w="0" w:type="dxa"/>
        </w:tblCellMar>
      </w:tblPr>
      <w:tblGrid>
        <w:gridCol w:w="1110"/>
        <w:gridCol w:w="505"/>
        <w:gridCol w:w="504"/>
        <w:gridCol w:w="1730"/>
        <w:gridCol w:w="1205"/>
        <w:gridCol w:w="1205"/>
        <w:gridCol w:w="663"/>
        <w:gridCol w:w="352"/>
        <w:gridCol w:w="581"/>
        <w:gridCol w:w="575"/>
      </w:tblGrid>
      <w:tr>
        <w:tblPrEx>
          <w:tblCellMar>
            <w:top w:w="0" w:type="dxa"/>
            <w:left w:w="0" w:type="dxa"/>
            <w:bottom w:w="0" w:type="dxa"/>
            <w:right w:w="0" w:type="dxa"/>
          </w:tblCellMar>
        </w:tblPrEx>
        <w:trPr>
          <w:trHeight w:val="450" w:hRule="atLeast"/>
        </w:trPr>
        <w:tc>
          <w:tcPr>
            <w:tcW w:w="7855"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575"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111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739" w:type="dxa"/>
            <w:gridSpan w:val="3"/>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体育中心场馆开放维护专项项目</w:t>
            </w:r>
          </w:p>
        </w:tc>
        <w:tc>
          <w:tcPr>
            <w:tcW w:w="120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801"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57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11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73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20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801"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57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55"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57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15"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23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41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596"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57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1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23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1.609379</w:t>
            </w:r>
          </w:p>
        </w:tc>
        <w:tc>
          <w:tcPr>
            <w:tcW w:w="241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1.609379</w:t>
            </w:r>
          </w:p>
        </w:tc>
        <w:tc>
          <w:tcPr>
            <w:tcW w:w="1596"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57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1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23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1.609379</w:t>
            </w:r>
          </w:p>
        </w:tc>
        <w:tc>
          <w:tcPr>
            <w:tcW w:w="241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1.609379</w:t>
            </w:r>
          </w:p>
        </w:tc>
        <w:tc>
          <w:tcPr>
            <w:tcW w:w="1596"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57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15"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23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41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596"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57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11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94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801"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57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240" w:hRule="atLeast"/>
        </w:trPr>
        <w:tc>
          <w:tcPr>
            <w:tcW w:w="111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94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2023年计划使用财政资金1.609379万元，用于我区体育场馆开放经费。</w:t>
            </w:r>
          </w:p>
        </w:tc>
        <w:tc>
          <w:tcPr>
            <w:tcW w:w="2801"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2023年实际使用财政资金1.609379万元，用于我区体育场馆开放经费。</w:t>
            </w:r>
          </w:p>
        </w:tc>
        <w:tc>
          <w:tcPr>
            <w:tcW w:w="575"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11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00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73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20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120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6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35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6259"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849"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5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110"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体育中心全年用电量</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≥8085千瓦</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≥8085千瓦</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体育中心全年用水量</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≥10057吨</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≥10057吨</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nil"/>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工作伙食补助人数</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≥7人</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≥7人</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办公耗材购买批次</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≥4批次</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≥4批次</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办公及场地维护维修次数</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≥6次</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≥6次</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全年水电费支付准确率</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办公及场地维护维修验收合格率</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办公耗材购买验收合格率</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办公耗材购买及时率</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办公及场地维护维修及时率</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全年用电、水费支付及时率</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6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体育中心场馆开放维护专项项目预算成本</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≤1.609379万元</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≤1.609379万元</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110"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体育中心开放的保障率</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60" w:hRule="atLeast"/>
        </w:trPr>
        <w:tc>
          <w:tcPr>
            <w:tcW w:w="111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可持续发展指标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体育中心场馆开放维护专项项目健全机制性</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优</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11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009"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服务对象满意度指标</w:t>
            </w:r>
          </w:p>
        </w:tc>
        <w:tc>
          <w:tcPr>
            <w:tcW w:w="17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群众满意度</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≥98%</w:t>
            </w:r>
          </w:p>
        </w:tc>
        <w:tc>
          <w:tcPr>
            <w:tcW w:w="120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≥98%</w:t>
            </w:r>
          </w:p>
        </w:tc>
        <w:tc>
          <w:tcPr>
            <w:tcW w:w="66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8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7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
      <w:pPr>
        <w:pStyle w:val="6"/>
      </w:pPr>
    </w:p>
    <w:tbl>
      <w:tblPr>
        <w:tblStyle w:val="16"/>
        <w:tblW w:w="0" w:type="auto"/>
        <w:tblInd w:w="0" w:type="dxa"/>
        <w:tblLayout w:type="fixed"/>
        <w:tblCellMar>
          <w:top w:w="0" w:type="dxa"/>
          <w:left w:w="0" w:type="dxa"/>
          <w:bottom w:w="0" w:type="dxa"/>
          <w:right w:w="0" w:type="dxa"/>
        </w:tblCellMar>
      </w:tblPr>
      <w:tblGrid>
        <w:gridCol w:w="1079"/>
        <w:gridCol w:w="504"/>
        <w:gridCol w:w="504"/>
        <w:gridCol w:w="1728"/>
        <w:gridCol w:w="1250"/>
        <w:gridCol w:w="1250"/>
        <w:gridCol w:w="645"/>
        <w:gridCol w:w="342"/>
        <w:gridCol w:w="567"/>
        <w:gridCol w:w="562"/>
      </w:tblGrid>
      <w:tr>
        <w:tblPrEx>
          <w:tblCellMar>
            <w:top w:w="0" w:type="dxa"/>
            <w:left w:w="0" w:type="dxa"/>
            <w:bottom w:w="0" w:type="dxa"/>
            <w:right w:w="0" w:type="dxa"/>
          </w:tblCellMar>
        </w:tblPrEx>
        <w:trPr>
          <w:trHeight w:val="450" w:hRule="atLeast"/>
        </w:trPr>
        <w:tc>
          <w:tcPr>
            <w:tcW w:w="7869" w:type="dxa"/>
            <w:gridSpan w:val="9"/>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56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1120" w:hRule="atLeast"/>
        </w:trPr>
        <w:tc>
          <w:tcPr>
            <w:tcW w:w="10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736"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下达2023年公共体育场馆向社会免费或低收费开放中央和省级补助资金</w:t>
            </w:r>
          </w:p>
        </w:tc>
        <w:tc>
          <w:tcPr>
            <w:tcW w:w="12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80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56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0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736"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2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80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56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69" w:type="dxa"/>
            <w:gridSpan w:val="9"/>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56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583"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23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5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55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56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58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23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32.114143</w:t>
            </w:r>
          </w:p>
        </w:tc>
        <w:tc>
          <w:tcPr>
            <w:tcW w:w="25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32.114143</w:t>
            </w:r>
          </w:p>
        </w:tc>
        <w:tc>
          <w:tcPr>
            <w:tcW w:w="155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56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58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23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32.114143</w:t>
            </w:r>
          </w:p>
        </w:tc>
        <w:tc>
          <w:tcPr>
            <w:tcW w:w="25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32.114143</w:t>
            </w:r>
          </w:p>
        </w:tc>
        <w:tc>
          <w:tcPr>
            <w:tcW w:w="155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56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58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23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5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55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56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079"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986"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80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56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480" w:hRule="atLeast"/>
        </w:trPr>
        <w:tc>
          <w:tcPr>
            <w:tcW w:w="1079"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986"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2023年计划使用财政资金32.114143万元，用于体育中心举办赛事活动、体育活动，以及场馆维护维修、设备更新、场馆信息化等。</w:t>
            </w:r>
          </w:p>
        </w:tc>
        <w:tc>
          <w:tcPr>
            <w:tcW w:w="2804"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2023年实际使用财政资金32.114143万元，用于体育中心举办赛事活动、体育活动，以及场馆维护维修、设备更新、场馆信息化等。</w:t>
            </w:r>
          </w:p>
        </w:tc>
        <w:tc>
          <w:tcPr>
            <w:tcW w:w="562"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0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00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72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2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12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64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34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6315"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815"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42"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079"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举办或承办赛事活动次数</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≥12次</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≥12次</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维护维修场馆次数</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≥6批次</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≥6批次</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nil"/>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更新设备批次</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≥4批次</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≥4批次</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交纳水电费用次数</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≥12批次</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≥12批次</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购买办公用品次数</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≥4批次</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≥4批次</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举办或承办赛事活动的契合度</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20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维护维修场馆、更新设备、购买办公用品的合格率</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交纳水电费的应交率</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交纳水电费的及时率</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20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维护维修场馆、更新设备、购买办公用品的及时率</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举办或承办赛事活动的及时率</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92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下达2023年公共体育场馆向社会免费或低收费开放中央和省级补助资金的预算成本</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≤32.114143万元</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≤32.114143万元</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079"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体育场馆使用率</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920" w:hRule="atLeast"/>
        </w:trPr>
        <w:tc>
          <w:tcPr>
            <w:tcW w:w="1079"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可持续发展指标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下达2023年公共体育场馆向社会免费或低收费开放中央和省级补助资金的健全机制性</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优</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07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008"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服务对象满意度指标</w:t>
            </w:r>
          </w:p>
        </w:tc>
        <w:tc>
          <w:tcPr>
            <w:tcW w:w="1728"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群众满意度</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6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4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56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56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tbl>
      <w:tblPr>
        <w:tblStyle w:val="16"/>
        <w:tblW w:w="0" w:type="auto"/>
        <w:tblInd w:w="0" w:type="dxa"/>
        <w:tblLayout w:type="fixed"/>
        <w:tblCellMar>
          <w:top w:w="0" w:type="dxa"/>
          <w:left w:w="0" w:type="dxa"/>
          <w:bottom w:w="0" w:type="dxa"/>
          <w:right w:w="0" w:type="dxa"/>
        </w:tblCellMar>
      </w:tblPr>
      <w:tblGrid>
        <w:gridCol w:w="1334"/>
        <w:gridCol w:w="1205"/>
        <w:gridCol w:w="1144"/>
        <w:gridCol w:w="1117"/>
        <w:gridCol w:w="1009"/>
        <w:gridCol w:w="1"/>
        <w:gridCol w:w="797"/>
        <w:gridCol w:w="1"/>
        <w:gridCol w:w="422"/>
        <w:gridCol w:w="1"/>
        <w:gridCol w:w="700"/>
        <w:gridCol w:w="700"/>
      </w:tblGrid>
      <w:tr>
        <w:tblPrEx>
          <w:tblCellMar>
            <w:top w:w="0" w:type="dxa"/>
            <w:left w:w="0" w:type="dxa"/>
            <w:bottom w:w="0" w:type="dxa"/>
            <w:right w:w="0" w:type="dxa"/>
          </w:tblCellMar>
        </w:tblPrEx>
        <w:trPr>
          <w:trHeight w:val="450" w:hRule="atLeast"/>
        </w:trPr>
        <w:tc>
          <w:tcPr>
            <w:tcW w:w="7731" w:type="dxa"/>
            <w:gridSpan w:val="11"/>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700"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133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34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文物维护维修保护专项项目</w:t>
            </w:r>
          </w:p>
        </w:tc>
        <w:tc>
          <w:tcPr>
            <w:tcW w:w="111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931" w:type="dxa"/>
            <w:gridSpan w:val="7"/>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7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33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34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11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931" w:type="dxa"/>
            <w:gridSpan w:val="7"/>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7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31" w:type="dxa"/>
            <w:gridSpan w:val="11"/>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7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539"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1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127"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921"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7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53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11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1.7</w:t>
            </w:r>
          </w:p>
        </w:tc>
        <w:tc>
          <w:tcPr>
            <w:tcW w:w="2127"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1.7</w:t>
            </w:r>
          </w:p>
        </w:tc>
        <w:tc>
          <w:tcPr>
            <w:tcW w:w="1921"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7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53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11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1.7</w:t>
            </w:r>
          </w:p>
        </w:tc>
        <w:tc>
          <w:tcPr>
            <w:tcW w:w="2127"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1.7</w:t>
            </w:r>
          </w:p>
        </w:tc>
        <w:tc>
          <w:tcPr>
            <w:tcW w:w="1921"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7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53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11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27"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921"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7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334"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466"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931" w:type="dxa"/>
            <w:gridSpan w:val="7"/>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7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960" w:hRule="atLeast"/>
        </w:trPr>
        <w:tc>
          <w:tcPr>
            <w:tcW w:w="1334"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466" w:type="dxa"/>
            <w:gridSpan w:val="3"/>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2023年计划使用1.7万元用于破损严重的文物保护单位小型维修、更换破损严重的文物保护标识、文物保护单位环境卫生清理、聘请协管人员定期巡查文物安全等。</w:t>
            </w:r>
          </w:p>
        </w:tc>
        <w:tc>
          <w:tcPr>
            <w:tcW w:w="2931" w:type="dxa"/>
            <w:gridSpan w:val="7"/>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2023年实际使用1.7万元用于破损严重的文物保护单位小型维修、更换破损严重的文物保护标识、文物保护单位环境卫生清理、聘请协管人员定期巡查文物安全等。</w:t>
            </w:r>
          </w:p>
        </w:tc>
        <w:tc>
          <w:tcPr>
            <w:tcW w:w="700"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33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20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14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11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100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98" w:type="dxa"/>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423" w:type="dxa"/>
            <w:gridSpan w:val="2"/>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701" w:type="dxa"/>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7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810"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9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42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7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7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683" w:type="dxa"/>
            <w:gridSpan w:val="3"/>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11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0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9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23" w:type="dxa"/>
            <w:gridSpan w:val="2"/>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01" w:type="dxa"/>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7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00" w:hRule="atLeast"/>
        </w:trPr>
        <w:tc>
          <w:tcPr>
            <w:tcW w:w="1334"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205"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144"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破损严重的文物保护单位小型维修</w:t>
            </w:r>
          </w:p>
        </w:tc>
        <w:tc>
          <w:tcPr>
            <w:tcW w:w="111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》1处</w:t>
            </w:r>
          </w:p>
        </w:tc>
        <w:tc>
          <w:tcPr>
            <w:tcW w:w="100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》1处</w:t>
            </w:r>
          </w:p>
        </w:tc>
        <w:tc>
          <w:tcPr>
            <w:tcW w:w="79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423" w:type="dxa"/>
            <w:gridSpan w:val="2"/>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701" w:type="dxa"/>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7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334"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05"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144"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清理文物保护单位环境卫生</w:t>
            </w:r>
          </w:p>
        </w:tc>
        <w:tc>
          <w:tcPr>
            <w:tcW w:w="111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》4处</w:t>
            </w:r>
          </w:p>
        </w:tc>
        <w:tc>
          <w:tcPr>
            <w:tcW w:w="100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》4处</w:t>
            </w:r>
          </w:p>
        </w:tc>
        <w:tc>
          <w:tcPr>
            <w:tcW w:w="79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42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701" w:type="dxa"/>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7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60" w:hRule="atLeast"/>
        </w:trPr>
        <w:tc>
          <w:tcPr>
            <w:tcW w:w="1334"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05"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144"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聘请协管人员定期巡查文物安全人数</w:t>
            </w:r>
          </w:p>
        </w:tc>
        <w:tc>
          <w:tcPr>
            <w:tcW w:w="111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》4人</w:t>
            </w:r>
          </w:p>
        </w:tc>
        <w:tc>
          <w:tcPr>
            <w:tcW w:w="100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》4人</w:t>
            </w:r>
          </w:p>
        </w:tc>
        <w:tc>
          <w:tcPr>
            <w:tcW w:w="79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23" w:type="dxa"/>
            <w:gridSpan w:val="2"/>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01" w:type="dxa"/>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7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860" w:hRule="atLeast"/>
        </w:trPr>
        <w:tc>
          <w:tcPr>
            <w:tcW w:w="1334"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05"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144"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更换破损严重的文物保护标识个数</w:t>
            </w:r>
          </w:p>
        </w:tc>
        <w:tc>
          <w:tcPr>
            <w:tcW w:w="111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》1个</w:t>
            </w:r>
          </w:p>
        </w:tc>
        <w:tc>
          <w:tcPr>
            <w:tcW w:w="100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》1个</w:t>
            </w:r>
          </w:p>
        </w:tc>
        <w:tc>
          <w:tcPr>
            <w:tcW w:w="79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423" w:type="dxa"/>
            <w:gridSpan w:val="2"/>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701" w:type="dxa"/>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7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60" w:hRule="atLeast"/>
        </w:trPr>
        <w:tc>
          <w:tcPr>
            <w:tcW w:w="133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205"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144"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保持和传承历史文化和社会价值等信息</w:t>
            </w:r>
          </w:p>
        </w:tc>
        <w:tc>
          <w:tcPr>
            <w:tcW w:w="111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100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优</w:t>
            </w:r>
          </w:p>
        </w:tc>
        <w:tc>
          <w:tcPr>
            <w:tcW w:w="79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23" w:type="dxa"/>
            <w:gridSpan w:val="2"/>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01" w:type="dxa"/>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7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334"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205"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144"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群众满意度</w:t>
            </w:r>
          </w:p>
        </w:tc>
        <w:tc>
          <w:tcPr>
            <w:tcW w:w="111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》98%</w:t>
            </w:r>
          </w:p>
        </w:tc>
        <w:tc>
          <w:tcPr>
            <w:tcW w:w="100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》98%</w:t>
            </w:r>
          </w:p>
        </w:tc>
        <w:tc>
          <w:tcPr>
            <w:tcW w:w="79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23" w:type="dxa"/>
            <w:gridSpan w:val="2"/>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701" w:type="dxa"/>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7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Pr>
        <w:pStyle w:val="6"/>
      </w:pPr>
    </w:p>
    <w:tbl>
      <w:tblPr>
        <w:tblStyle w:val="16"/>
        <w:tblW w:w="0" w:type="auto"/>
        <w:tblInd w:w="0" w:type="dxa"/>
        <w:tblLayout w:type="fixed"/>
        <w:tblCellMar>
          <w:top w:w="0" w:type="dxa"/>
          <w:left w:w="0" w:type="dxa"/>
          <w:bottom w:w="0" w:type="dxa"/>
          <w:right w:w="0" w:type="dxa"/>
        </w:tblCellMar>
      </w:tblPr>
      <w:tblGrid>
        <w:gridCol w:w="1282"/>
        <w:gridCol w:w="406"/>
        <w:gridCol w:w="406"/>
        <w:gridCol w:w="1783"/>
        <w:gridCol w:w="1073"/>
        <w:gridCol w:w="969"/>
        <w:gridCol w:w="1"/>
        <w:gridCol w:w="765"/>
        <w:gridCol w:w="406"/>
        <w:gridCol w:w="673"/>
        <w:gridCol w:w="668"/>
      </w:tblGrid>
      <w:tr>
        <w:tblPrEx>
          <w:tblCellMar>
            <w:top w:w="0" w:type="dxa"/>
            <w:left w:w="0" w:type="dxa"/>
            <w:bottom w:w="0" w:type="dxa"/>
            <w:right w:w="0" w:type="dxa"/>
          </w:tblCellMar>
        </w:tblPrEx>
        <w:trPr>
          <w:trHeight w:val="450" w:hRule="atLeast"/>
        </w:trPr>
        <w:tc>
          <w:tcPr>
            <w:tcW w:w="7764" w:type="dxa"/>
            <w:gridSpan w:val="10"/>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68"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780" w:hRule="atLeast"/>
        </w:trPr>
        <w:tc>
          <w:tcPr>
            <w:tcW w:w="128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595" w:type="dxa"/>
            <w:gridSpan w:val="3"/>
            <w:tcBorders>
              <w:top w:val="single" w:color="000000" w:sz="4" w:space="0"/>
              <w:left w:val="single" w:color="000000" w:sz="4" w:space="0"/>
              <w:bottom w:val="nil"/>
              <w:right w:val="nil"/>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下达2023年省级文化和旅游发展专项资金（第二批）</w:t>
            </w:r>
          </w:p>
        </w:tc>
        <w:tc>
          <w:tcPr>
            <w:tcW w:w="10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814"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8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595"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0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814"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6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64" w:type="dxa"/>
            <w:gridSpan w:val="10"/>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88"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8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4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84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8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218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1.8</w:t>
            </w:r>
          </w:p>
        </w:tc>
        <w:tc>
          <w:tcPr>
            <w:tcW w:w="204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1.8</w:t>
            </w:r>
          </w:p>
        </w:tc>
        <w:tc>
          <w:tcPr>
            <w:tcW w:w="184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8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218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1.8</w:t>
            </w:r>
          </w:p>
        </w:tc>
        <w:tc>
          <w:tcPr>
            <w:tcW w:w="204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1.8</w:t>
            </w:r>
          </w:p>
        </w:tc>
        <w:tc>
          <w:tcPr>
            <w:tcW w:w="184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68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218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4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84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6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282"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668"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814"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6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600" w:hRule="atLeast"/>
        </w:trPr>
        <w:tc>
          <w:tcPr>
            <w:tcW w:w="1282"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668"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2023年计划使用财政资金1.8万元，用于我区非遗代表性传承人。</w:t>
            </w:r>
          </w:p>
        </w:tc>
        <w:tc>
          <w:tcPr>
            <w:tcW w:w="2814" w:type="dxa"/>
            <w:gridSpan w:val="5"/>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2023年实际使用财政资金1.8万元，用于我区非遗代表性传承人。</w:t>
            </w:r>
          </w:p>
        </w:tc>
        <w:tc>
          <w:tcPr>
            <w:tcW w:w="668"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8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81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78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73"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6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66" w:type="dxa"/>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406"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7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919" w:type="dxa"/>
            <w:gridSpan w:val="6"/>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6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40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7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877" w:type="dxa"/>
            <w:gridSpan w:val="4"/>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7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6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6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06"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7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82"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812"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783"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发放非遗代表性传承人数</w:t>
            </w:r>
          </w:p>
        </w:tc>
        <w:tc>
          <w:tcPr>
            <w:tcW w:w="107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》3人</w:t>
            </w:r>
          </w:p>
        </w:tc>
        <w:tc>
          <w:tcPr>
            <w:tcW w:w="96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》3人</w:t>
            </w:r>
          </w:p>
        </w:tc>
        <w:tc>
          <w:tcPr>
            <w:tcW w:w="76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406"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7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60" w:hRule="atLeast"/>
        </w:trPr>
        <w:tc>
          <w:tcPr>
            <w:tcW w:w="128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812"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783"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发放非遗代表性传承人的应发尽发率</w:t>
            </w:r>
          </w:p>
        </w:tc>
        <w:tc>
          <w:tcPr>
            <w:tcW w:w="107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6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6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06"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7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8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812"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783"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发放非遗代表性传承人的及时率</w:t>
            </w:r>
          </w:p>
        </w:tc>
        <w:tc>
          <w:tcPr>
            <w:tcW w:w="107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6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6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06"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7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440" w:hRule="atLeast"/>
        </w:trPr>
        <w:tc>
          <w:tcPr>
            <w:tcW w:w="128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812"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783"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下达2023年省级文化和旅游发展专项资金（第二批）的预算成本</w:t>
            </w:r>
          </w:p>
        </w:tc>
        <w:tc>
          <w:tcPr>
            <w:tcW w:w="107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≤1.8万元</w:t>
            </w:r>
          </w:p>
        </w:tc>
        <w:tc>
          <w:tcPr>
            <w:tcW w:w="96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≤1.8万元</w:t>
            </w:r>
          </w:p>
        </w:tc>
        <w:tc>
          <w:tcPr>
            <w:tcW w:w="76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06"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7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82"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812"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783"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发放非遗性传承人的保障率</w:t>
            </w:r>
          </w:p>
        </w:tc>
        <w:tc>
          <w:tcPr>
            <w:tcW w:w="107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6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6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406"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7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440" w:hRule="atLeast"/>
        </w:trPr>
        <w:tc>
          <w:tcPr>
            <w:tcW w:w="128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812"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783"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下达2023年省级文化和旅游发展专项资金（第二批）的健全机制性</w:t>
            </w:r>
          </w:p>
        </w:tc>
        <w:tc>
          <w:tcPr>
            <w:tcW w:w="107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96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优</w:t>
            </w:r>
          </w:p>
        </w:tc>
        <w:tc>
          <w:tcPr>
            <w:tcW w:w="76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406"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7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82"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812" w:type="dxa"/>
            <w:gridSpan w:val="2"/>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783"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非遗性传承人满意度</w:t>
            </w:r>
          </w:p>
        </w:tc>
        <w:tc>
          <w:tcPr>
            <w:tcW w:w="1073"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969"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76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406"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7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68"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
      <w:pPr>
        <w:pStyle w:val="6"/>
      </w:pPr>
    </w:p>
    <w:tbl>
      <w:tblPr>
        <w:tblStyle w:val="16"/>
        <w:tblW w:w="0" w:type="auto"/>
        <w:tblInd w:w="0" w:type="dxa"/>
        <w:tblLayout w:type="fixed"/>
        <w:tblCellMar>
          <w:top w:w="0" w:type="dxa"/>
          <w:left w:w="0" w:type="dxa"/>
          <w:bottom w:w="0" w:type="dxa"/>
          <w:right w:w="0" w:type="dxa"/>
        </w:tblCellMar>
      </w:tblPr>
      <w:tblGrid>
        <w:gridCol w:w="1250"/>
        <w:gridCol w:w="1676"/>
        <w:gridCol w:w="1072"/>
        <w:gridCol w:w="1046"/>
        <w:gridCol w:w="945"/>
        <w:gridCol w:w="747"/>
        <w:gridCol w:w="397"/>
        <w:gridCol w:w="654"/>
        <w:gridCol w:w="641"/>
      </w:tblGrid>
      <w:tr>
        <w:tblPrEx>
          <w:tblCellMar>
            <w:top w:w="0" w:type="dxa"/>
            <w:left w:w="0" w:type="dxa"/>
            <w:bottom w:w="0" w:type="dxa"/>
            <w:right w:w="0" w:type="dxa"/>
          </w:tblCellMar>
        </w:tblPrEx>
        <w:trPr>
          <w:trHeight w:val="450" w:hRule="atLeast"/>
        </w:trPr>
        <w:tc>
          <w:tcPr>
            <w:tcW w:w="7787" w:type="dxa"/>
            <w:gridSpan w:val="8"/>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41"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12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74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盐文化博物馆装饰布展</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743"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748"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743"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87" w:type="dxa"/>
            <w:gridSpan w:val="8"/>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926"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0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199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7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92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10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w:t>
            </w:r>
          </w:p>
        </w:tc>
        <w:tc>
          <w:tcPr>
            <w:tcW w:w="199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w:t>
            </w:r>
          </w:p>
        </w:tc>
        <w:tc>
          <w:tcPr>
            <w:tcW w:w="17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92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10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w:t>
            </w:r>
          </w:p>
        </w:tc>
        <w:tc>
          <w:tcPr>
            <w:tcW w:w="199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w:t>
            </w:r>
          </w:p>
        </w:tc>
        <w:tc>
          <w:tcPr>
            <w:tcW w:w="17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92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10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991"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798"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250"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79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743"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1380" w:hRule="atLeast"/>
        </w:trPr>
        <w:tc>
          <w:tcPr>
            <w:tcW w:w="1250"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794" w:type="dxa"/>
            <w:gridSpan w:val="3"/>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2023年区文体旅游局计划使用7万元用于打造700㎡五通桥盐文化博物馆设计费，以提升群众文化生活，满足人民群众日益增长的文化精神需求。</w:t>
            </w:r>
          </w:p>
        </w:tc>
        <w:tc>
          <w:tcPr>
            <w:tcW w:w="2743"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2023年区文体旅游局实际使用7万元用于打造700㎡五通桥盐文化博物馆设计费，以提升群众文化生活，满足人民群众日益增长的文化精神需求。</w:t>
            </w:r>
          </w:p>
        </w:tc>
        <w:tc>
          <w:tcPr>
            <w:tcW w:w="641"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5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67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07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4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4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47"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397"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989"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998" w:type="dxa"/>
            <w:gridSpan w:val="3"/>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97"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50"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700㎡效果图分段设计</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≥4套</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≥4套</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700㎡展厅施工图深化设计</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≥4套</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≥4套</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76" w:type="dxa"/>
            <w:tcBorders>
              <w:top w:val="single" w:color="000000" w:sz="4" w:space="0"/>
              <w:left w:val="nil"/>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效果图分段制作数量</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≥20套</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≥20套</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施工图制作数量</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≥4套</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≥4套</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展陈清单列表</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≥1套</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≥1套</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工程预算编制</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≥1套</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≥1套</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展馆展品及软装方案</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≥1套</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≥1套</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展陈大纲编制</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≥1套</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≥1套</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5</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盐文化博物馆装饰布展设计合格率</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盐文化博物馆装饰布展及时率</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盐文化博物馆装饰布展成本预算</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≤7万元</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≤7万元</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50"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盐文化博物馆装饰布展保障率</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50"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可持续发展指标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盐文化博物馆装饰布展机制健全性</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优</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5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67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服务对象满意度指标</w:t>
            </w:r>
          </w:p>
        </w:tc>
        <w:tc>
          <w:tcPr>
            <w:tcW w:w="1072"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群众满意度</w:t>
            </w:r>
          </w:p>
        </w:tc>
        <w:tc>
          <w:tcPr>
            <w:tcW w:w="1046"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≥90%</w:t>
            </w:r>
          </w:p>
        </w:tc>
        <w:tc>
          <w:tcPr>
            <w:tcW w:w="94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≥90%</w:t>
            </w:r>
          </w:p>
        </w:tc>
        <w:tc>
          <w:tcPr>
            <w:tcW w:w="74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9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5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
      <w:pPr>
        <w:pStyle w:val="6"/>
      </w:pPr>
    </w:p>
    <w:tbl>
      <w:tblPr>
        <w:tblStyle w:val="16"/>
        <w:tblW w:w="0" w:type="auto"/>
        <w:tblInd w:w="0" w:type="dxa"/>
        <w:tblLayout w:type="fixed"/>
        <w:tblCellMar>
          <w:top w:w="0" w:type="dxa"/>
          <w:left w:w="0" w:type="dxa"/>
          <w:bottom w:w="0" w:type="dxa"/>
          <w:right w:w="0" w:type="dxa"/>
        </w:tblCellMar>
      </w:tblPr>
      <w:tblGrid>
        <w:gridCol w:w="1195"/>
        <w:gridCol w:w="1252"/>
        <w:gridCol w:w="1030"/>
        <w:gridCol w:w="1025"/>
        <w:gridCol w:w="977"/>
        <w:gridCol w:w="714"/>
        <w:gridCol w:w="379"/>
        <w:gridCol w:w="626"/>
        <w:gridCol w:w="621"/>
        <w:gridCol w:w="612"/>
      </w:tblGrid>
      <w:tr>
        <w:tblPrEx>
          <w:tblCellMar>
            <w:top w:w="0" w:type="dxa"/>
            <w:left w:w="0" w:type="dxa"/>
            <w:bottom w:w="0" w:type="dxa"/>
            <w:right w:w="0" w:type="dxa"/>
          </w:tblCellMar>
        </w:tblPrEx>
        <w:trPr>
          <w:trHeight w:val="450" w:hRule="atLeast"/>
        </w:trPr>
        <w:tc>
          <w:tcPr>
            <w:tcW w:w="7198" w:type="dxa"/>
            <w:gridSpan w:val="8"/>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21"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c>
          <w:tcPr>
            <w:tcW w:w="612"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11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2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专项债券项目资本金</w:t>
            </w:r>
          </w:p>
        </w:tc>
        <w:tc>
          <w:tcPr>
            <w:tcW w:w="102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696"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c>
          <w:tcPr>
            <w:tcW w:w="61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1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28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02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696"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6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c>
          <w:tcPr>
            <w:tcW w:w="61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198" w:type="dxa"/>
            <w:gridSpan w:val="8"/>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c>
          <w:tcPr>
            <w:tcW w:w="61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47"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03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00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71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c>
          <w:tcPr>
            <w:tcW w:w="61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4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103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210.006083</w:t>
            </w:r>
          </w:p>
        </w:tc>
        <w:tc>
          <w:tcPr>
            <w:tcW w:w="200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210.006083</w:t>
            </w:r>
          </w:p>
        </w:tc>
        <w:tc>
          <w:tcPr>
            <w:tcW w:w="171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c>
          <w:tcPr>
            <w:tcW w:w="61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4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103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210.006083</w:t>
            </w:r>
          </w:p>
        </w:tc>
        <w:tc>
          <w:tcPr>
            <w:tcW w:w="200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210.006083</w:t>
            </w:r>
          </w:p>
        </w:tc>
        <w:tc>
          <w:tcPr>
            <w:tcW w:w="171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c>
          <w:tcPr>
            <w:tcW w:w="61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47"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103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00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719"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6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61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195"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307"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696"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2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c>
          <w:tcPr>
            <w:tcW w:w="61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195"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307" w:type="dxa"/>
            <w:gridSpan w:val="3"/>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2023年计划使用财政资金2100060.83元，用于支付乐山市五通桥区中国根书文化AAA级景区配套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项目（一期）专项债券项目资本金，促使我部门项目正常推进。</w:t>
            </w:r>
          </w:p>
        </w:tc>
        <w:tc>
          <w:tcPr>
            <w:tcW w:w="2696"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2023年使用财政资金2100060.83元，用于支付乐山市五通桥区中国根书文化AAA级景区配套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项目（一期）专项债券项目资本金，促使我部门项目正常推进。</w:t>
            </w:r>
          </w:p>
        </w:tc>
        <w:tc>
          <w:tcPr>
            <w:tcW w:w="621"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c>
          <w:tcPr>
            <w:tcW w:w="612"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19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25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03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2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97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1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37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c>
          <w:tcPr>
            <w:tcW w:w="61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5479"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37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1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477" w:type="dxa"/>
            <w:gridSpan w:val="3"/>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2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7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7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195"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25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交纳专项债券项目资本金次数</w:t>
            </w:r>
          </w:p>
        </w:tc>
        <w:tc>
          <w:tcPr>
            <w:tcW w:w="102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》2次</w:t>
            </w:r>
          </w:p>
        </w:tc>
        <w:tc>
          <w:tcPr>
            <w:tcW w:w="97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》2次</w:t>
            </w:r>
          </w:p>
        </w:tc>
        <w:tc>
          <w:tcPr>
            <w:tcW w:w="7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37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195"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0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交纳专项债券项目资本金的准确率</w:t>
            </w:r>
          </w:p>
        </w:tc>
        <w:tc>
          <w:tcPr>
            <w:tcW w:w="102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7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7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195"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0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交纳专项债券项目资本金的及时率</w:t>
            </w:r>
          </w:p>
        </w:tc>
        <w:tc>
          <w:tcPr>
            <w:tcW w:w="102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97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7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195"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0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专项债券项目资本金的预算成本</w:t>
            </w:r>
          </w:p>
        </w:tc>
        <w:tc>
          <w:tcPr>
            <w:tcW w:w="1025"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≤210.006083万元</w:t>
            </w:r>
          </w:p>
        </w:tc>
        <w:tc>
          <w:tcPr>
            <w:tcW w:w="97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≤210.006083万元</w:t>
            </w:r>
          </w:p>
        </w:tc>
        <w:tc>
          <w:tcPr>
            <w:tcW w:w="7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7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1920" w:hRule="atLeast"/>
        </w:trPr>
        <w:tc>
          <w:tcPr>
            <w:tcW w:w="1195"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25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0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乐山市五通桥区中国根书文化AAA级景区配套</w:t>
            </w:r>
            <w:r>
              <w:rPr>
                <w:rFonts w:hint="eastAsia" w:ascii="宋体" w:hAnsi="宋体" w:cs="宋体"/>
                <w:i w:val="0"/>
                <w:color w:val="000000"/>
                <w:kern w:val="0"/>
                <w:sz w:val="20"/>
                <w:szCs w:val="20"/>
                <w:u w:val="none"/>
                <w:lang w:val="en-US" w:eastAsia="zh-CN" w:bidi="ar"/>
              </w:rPr>
              <w:t>基础设施建设</w:t>
            </w:r>
            <w:r>
              <w:rPr>
                <w:rFonts w:hint="eastAsia" w:ascii="宋体" w:hAnsi="宋体" w:eastAsia="宋体" w:cs="宋体"/>
                <w:i w:val="0"/>
                <w:color w:val="000000"/>
                <w:kern w:val="0"/>
                <w:sz w:val="20"/>
                <w:szCs w:val="20"/>
                <w:u w:val="none"/>
                <w:lang w:val="en-US" w:eastAsia="zh-CN" w:bidi="ar"/>
              </w:rPr>
              <w:t>项目（一期）专项债使用保障率</w:t>
            </w:r>
          </w:p>
        </w:tc>
        <w:tc>
          <w:tcPr>
            <w:tcW w:w="102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97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7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7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195"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0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改善城市环境，提升人民幸福感</w:t>
            </w:r>
          </w:p>
        </w:tc>
        <w:tc>
          <w:tcPr>
            <w:tcW w:w="102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97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7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7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19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252"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030"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债券使用方满意度</w:t>
            </w:r>
          </w:p>
        </w:tc>
        <w:tc>
          <w:tcPr>
            <w:tcW w:w="1025"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977"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714"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79"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1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Pr>
        <w:pStyle w:val="6"/>
      </w:pPr>
    </w:p>
    <w:p/>
    <w:tbl>
      <w:tblPr>
        <w:tblStyle w:val="16"/>
        <w:tblW w:w="0" w:type="auto"/>
        <w:tblInd w:w="0" w:type="dxa"/>
        <w:tblLayout w:type="fixed"/>
        <w:tblCellMar>
          <w:top w:w="0" w:type="dxa"/>
          <w:left w:w="0" w:type="dxa"/>
          <w:bottom w:w="0" w:type="dxa"/>
          <w:right w:w="0" w:type="dxa"/>
        </w:tblCellMar>
      </w:tblPr>
      <w:tblGrid>
        <w:gridCol w:w="1222"/>
        <w:gridCol w:w="1640"/>
        <w:gridCol w:w="1049"/>
        <w:gridCol w:w="1058"/>
        <w:gridCol w:w="1058"/>
        <w:gridCol w:w="731"/>
        <w:gridCol w:w="388"/>
        <w:gridCol w:w="641"/>
        <w:gridCol w:w="641"/>
      </w:tblGrid>
      <w:tr>
        <w:tblPrEx>
          <w:tblCellMar>
            <w:top w:w="0" w:type="dxa"/>
            <w:left w:w="0" w:type="dxa"/>
            <w:bottom w:w="0" w:type="dxa"/>
            <w:right w:w="0" w:type="dxa"/>
          </w:tblCellMar>
        </w:tblPrEx>
        <w:trPr>
          <w:trHeight w:val="450" w:hRule="atLeast"/>
        </w:trPr>
        <w:tc>
          <w:tcPr>
            <w:tcW w:w="7787" w:type="dxa"/>
            <w:gridSpan w:val="8"/>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41"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68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中国根书艺术馆免费开放补助经费</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2818"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689"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2818"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787" w:type="dxa"/>
            <w:gridSpan w:val="8"/>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862"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04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11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76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8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104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w:t>
            </w:r>
          </w:p>
        </w:tc>
        <w:tc>
          <w:tcPr>
            <w:tcW w:w="211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w:t>
            </w:r>
          </w:p>
        </w:tc>
        <w:tc>
          <w:tcPr>
            <w:tcW w:w="176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8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104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w:t>
            </w:r>
          </w:p>
        </w:tc>
        <w:tc>
          <w:tcPr>
            <w:tcW w:w="211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w:t>
            </w:r>
          </w:p>
        </w:tc>
        <w:tc>
          <w:tcPr>
            <w:tcW w:w="176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862"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104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116"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760"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222"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747"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2818"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4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222"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747" w:type="dxa"/>
            <w:gridSpan w:val="3"/>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2023年计划使用20万元用于中国根艺术馆免费开放日常运转。</w:t>
            </w:r>
          </w:p>
        </w:tc>
        <w:tc>
          <w:tcPr>
            <w:tcW w:w="2818" w:type="dxa"/>
            <w:gridSpan w:val="4"/>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2023年实际使用20万元用于中国根艺术馆免费开放日常运转。</w:t>
            </w:r>
          </w:p>
        </w:tc>
        <w:tc>
          <w:tcPr>
            <w:tcW w:w="641" w:type="dxa"/>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222"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64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049"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105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3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388"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6027"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911" w:type="dxa"/>
            <w:gridSpan w:val="3"/>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8"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22"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艺术馆聘用人员人数</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≥9人</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≥9人</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艺术馆外出参展次数</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≥3次</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≥3次</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4</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nil"/>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艺术馆全年用电量</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≥27143千瓦</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≥27143千瓦</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8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艺术馆全年用水量</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≥2279吨</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≥2279吨</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艺术馆全年设施设备维修</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≥4次</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≥4次</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艺术馆全年低耗品消耗量</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≥4次</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≥4次</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外出参展费用支付准确率</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聘用人员劳务发放准确率</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6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艺术馆全年设施设备维修支付准确率</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艺术馆全年用水量支付准确率</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艺术馆全年用电量支付准确率</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聘用人员劳务发放及时率</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外出参展费用支付及时率</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6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艺术馆全年设施设备维修支付及时率</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艺术馆全年用电量水支付及时率</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6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中国根艺术馆免费开放补助经费预算成本</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≤20万元</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≤20万元</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3</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22"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中国根艺术馆免费开放使用率</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72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中国根艺术馆免费开放保障率</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960" w:hRule="atLeast"/>
        </w:trPr>
        <w:tc>
          <w:tcPr>
            <w:tcW w:w="1222"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可持续发展指标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中国根艺术馆免费开放补助经费机制健全性</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1222"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640"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服务对象满意度指标</w:t>
            </w:r>
          </w:p>
        </w:tc>
        <w:tc>
          <w:tcPr>
            <w:tcW w:w="1049" w:type="dxa"/>
            <w:tcBorders>
              <w:top w:val="single" w:color="000000" w:sz="4" w:space="0"/>
              <w:left w:val="single" w:color="000000" w:sz="4" w:space="0"/>
              <w:bottom w:val="nil"/>
              <w:right w:val="nil"/>
            </w:tcBorders>
            <w:shd w:val="clear" w:color="auto" w:fill="auto"/>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群众满意度</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105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731"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
      <w:pPr>
        <w:pStyle w:val="6"/>
      </w:pPr>
    </w:p>
    <w:tbl>
      <w:tblPr>
        <w:tblStyle w:val="16"/>
        <w:tblW w:w="0" w:type="auto"/>
        <w:tblInd w:w="0" w:type="dxa"/>
        <w:tblLayout w:type="fixed"/>
        <w:tblCellMar>
          <w:top w:w="0" w:type="dxa"/>
          <w:left w:w="0" w:type="dxa"/>
          <w:bottom w:w="0" w:type="dxa"/>
          <w:right w:w="0" w:type="dxa"/>
        </w:tblCellMar>
      </w:tblPr>
      <w:tblGrid>
        <w:gridCol w:w="1198"/>
        <w:gridCol w:w="1256"/>
        <w:gridCol w:w="1027"/>
        <w:gridCol w:w="1300"/>
        <w:gridCol w:w="1300"/>
        <w:gridCol w:w="715"/>
        <w:gridCol w:w="380"/>
        <w:gridCol w:w="629"/>
        <w:gridCol w:w="626"/>
      </w:tblGrid>
      <w:tr>
        <w:tblPrEx>
          <w:tblCellMar>
            <w:top w:w="0" w:type="dxa"/>
            <w:left w:w="0" w:type="dxa"/>
            <w:bottom w:w="0" w:type="dxa"/>
            <w:right w:w="0" w:type="dxa"/>
          </w:tblCellMar>
        </w:tblPrEx>
        <w:trPr>
          <w:trHeight w:val="450" w:hRule="atLeast"/>
        </w:trPr>
        <w:tc>
          <w:tcPr>
            <w:tcW w:w="7805" w:type="dxa"/>
            <w:gridSpan w:val="8"/>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6"/>
                <w:szCs w:val="36"/>
                <w:u w:val="none"/>
              </w:rPr>
            </w:pPr>
            <w:r>
              <w:rPr>
                <w:rFonts w:hint="eastAsia" w:ascii="宋体" w:hAnsi="宋体" w:eastAsia="宋体" w:cs="宋体"/>
                <w:b/>
                <w:i w:val="0"/>
                <w:color w:val="000000"/>
                <w:kern w:val="0"/>
                <w:sz w:val="36"/>
                <w:szCs w:val="36"/>
                <w:u w:val="none"/>
                <w:lang w:val="en-US" w:eastAsia="zh-CN" w:bidi="ar"/>
              </w:rPr>
              <w:t>区级项目支出绩效自评表</w:t>
            </w:r>
          </w:p>
        </w:tc>
        <w:tc>
          <w:tcPr>
            <w:tcW w:w="626" w:type="dxa"/>
            <w:tcBorders>
              <w:top w:val="nil"/>
              <w:left w:val="nil"/>
              <w:bottom w:val="nil"/>
              <w:right w:val="nil"/>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36"/>
                <w:szCs w:val="36"/>
                <w:u w:val="none"/>
                <w:lang w:val="en-US" w:eastAsia="zh-CN" w:bidi="ar"/>
              </w:rPr>
            </w:pPr>
          </w:p>
        </w:tc>
      </w:tr>
      <w:tr>
        <w:tblPrEx>
          <w:tblCellMar>
            <w:top w:w="0" w:type="dxa"/>
            <w:left w:w="0" w:type="dxa"/>
            <w:bottom w:w="0" w:type="dxa"/>
            <w:right w:w="0" w:type="dxa"/>
          </w:tblCellMar>
        </w:tblPrEx>
        <w:trPr>
          <w:trHeight w:val="270" w:hRule="atLeast"/>
        </w:trPr>
        <w:tc>
          <w:tcPr>
            <w:tcW w:w="119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项目名称：</w:t>
            </w:r>
          </w:p>
        </w:tc>
        <w:tc>
          <w:tcPr>
            <w:tcW w:w="228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临聘人员支出</w:t>
            </w:r>
          </w:p>
        </w:tc>
        <w:tc>
          <w:tcPr>
            <w:tcW w:w="13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w:t>
            </w:r>
          </w:p>
        </w:tc>
        <w:tc>
          <w:tcPr>
            <w:tcW w:w="302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19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主管部门：</w:t>
            </w:r>
          </w:p>
        </w:tc>
        <w:tc>
          <w:tcPr>
            <w:tcW w:w="2283"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13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实施单位：</w:t>
            </w:r>
          </w:p>
        </w:tc>
        <w:tc>
          <w:tcPr>
            <w:tcW w:w="302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乐山市五通桥区文体旅游局机关</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7805" w:type="dxa"/>
            <w:gridSpan w:val="8"/>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项目资金（万元）</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54" w:type="dxa"/>
            <w:gridSpan w:val="2"/>
            <w:tcBorders>
              <w:top w:val="single" w:color="000000" w:sz="4" w:space="0"/>
              <w:left w:val="single" w:color="000000" w:sz="4" w:space="0"/>
              <w:bottom w:val="single" w:color="000000" w:sz="4" w:space="0"/>
              <w:right w:val="nil"/>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0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全年预算数</w:t>
            </w:r>
          </w:p>
        </w:tc>
        <w:tc>
          <w:tcPr>
            <w:tcW w:w="26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全年执行数</w:t>
            </w:r>
          </w:p>
        </w:tc>
        <w:tc>
          <w:tcPr>
            <w:tcW w:w="172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预算执行率</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5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年度资金总额</w:t>
            </w:r>
          </w:p>
        </w:tc>
        <w:tc>
          <w:tcPr>
            <w:tcW w:w="10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2.424276</w:t>
            </w:r>
          </w:p>
        </w:tc>
        <w:tc>
          <w:tcPr>
            <w:tcW w:w="26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2.424276</w:t>
            </w:r>
          </w:p>
        </w:tc>
        <w:tc>
          <w:tcPr>
            <w:tcW w:w="172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5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其中：财政拨款</w:t>
            </w:r>
          </w:p>
        </w:tc>
        <w:tc>
          <w:tcPr>
            <w:tcW w:w="10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2.424276</w:t>
            </w:r>
          </w:p>
        </w:tc>
        <w:tc>
          <w:tcPr>
            <w:tcW w:w="26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2.424276</w:t>
            </w:r>
          </w:p>
        </w:tc>
        <w:tc>
          <w:tcPr>
            <w:tcW w:w="172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2454"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其他资金</w:t>
            </w:r>
          </w:p>
        </w:tc>
        <w:tc>
          <w:tcPr>
            <w:tcW w:w="10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600" w:type="dxa"/>
            <w:gridSpan w:val="2"/>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724"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CellMar>
            <w:top w:w="0" w:type="dxa"/>
            <w:left w:w="0" w:type="dxa"/>
            <w:bottom w:w="0" w:type="dxa"/>
            <w:right w:w="0" w:type="dxa"/>
          </w:tblCellMar>
        </w:tblPrEx>
        <w:trPr>
          <w:trHeight w:val="270" w:hRule="atLeast"/>
        </w:trPr>
        <w:tc>
          <w:tcPr>
            <w:tcW w:w="1198" w:type="dxa"/>
            <w:vMerge w:val="restar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年度总体目标</w:t>
            </w:r>
          </w:p>
        </w:tc>
        <w:tc>
          <w:tcPr>
            <w:tcW w:w="3583" w:type="dxa"/>
            <w:gridSpan w:val="3"/>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预期目标</w:t>
            </w:r>
          </w:p>
        </w:tc>
        <w:tc>
          <w:tcPr>
            <w:tcW w:w="3024" w:type="dxa"/>
            <w:gridSpan w:val="4"/>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实际完成情况</w:t>
            </w:r>
          </w:p>
        </w:tc>
        <w:tc>
          <w:tcPr>
            <w:tcW w:w="62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270" w:hRule="atLeast"/>
        </w:trPr>
        <w:tc>
          <w:tcPr>
            <w:tcW w:w="1198" w:type="dxa"/>
            <w:vMerge w:val="continue"/>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jc w:val="left"/>
              <w:rPr>
                <w:rFonts w:hint="eastAsia" w:ascii="宋体" w:hAnsi="宋体" w:eastAsia="宋体" w:cs="宋体"/>
                <w:i w:val="0"/>
                <w:color w:val="000000"/>
                <w:sz w:val="20"/>
                <w:szCs w:val="20"/>
                <w:u w:val="none"/>
              </w:rPr>
            </w:pPr>
          </w:p>
        </w:tc>
        <w:tc>
          <w:tcPr>
            <w:tcW w:w="3583" w:type="dxa"/>
            <w:gridSpan w:val="3"/>
            <w:tcBorders>
              <w:top w:val="single" w:color="000000" w:sz="4" w:space="0"/>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2023年计划使用财政资金2.424276万元元用于2023年2-5月临聘人员工资发放。</w:t>
            </w:r>
          </w:p>
        </w:tc>
        <w:tc>
          <w:tcPr>
            <w:tcW w:w="3024" w:type="dxa"/>
            <w:gridSpan w:val="4"/>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2023年实际使用财政资金2.424276万元用于2023年2-5月临聘人员工资发放。</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p>
        </w:tc>
      </w:tr>
      <w:tr>
        <w:tblPrEx>
          <w:tblCellMar>
            <w:top w:w="0" w:type="dxa"/>
            <w:left w:w="0" w:type="dxa"/>
            <w:bottom w:w="0" w:type="dxa"/>
            <w:right w:w="0" w:type="dxa"/>
          </w:tblCellMar>
        </w:tblPrEx>
        <w:trPr>
          <w:trHeight w:val="450" w:hRule="atLeast"/>
        </w:trPr>
        <w:tc>
          <w:tcPr>
            <w:tcW w:w="1198"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一级指标</w:t>
            </w:r>
          </w:p>
        </w:tc>
        <w:tc>
          <w:tcPr>
            <w:tcW w:w="125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二级指标</w:t>
            </w:r>
          </w:p>
        </w:tc>
        <w:tc>
          <w:tcPr>
            <w:tcW w:w="1027"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三级指标</w:t>
            </w:r>
          </w:p>
        </w:tc>
        <w:tc>
          <w:tcPr>
            <w:tcW w:w="13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年度指标值</w:t>
            </w:r>
          </w:p>
        </w:tc>
        <w:tc>
          <w:tcPr>
            <w:tcW w:w="130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实际完成值</w:t>
            </w:r>
          </w:p>
        </w:tc>
        <w:tc>
          <w:tcPr>
            <w:tcW w:w="71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分值/权重</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（百分制）</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得分</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扣分原因分析</w:t>
            </w: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kern w:val="0"/>
                <w:sz w:val="18"/>
                <w:szCs w:val="18"/>
                <w:u w:val="none"/>
                <w:lang w:val="en-US" w:eastAsia="zh-CN" w:bidi="ar"/>
              </w:rPr>
            </w:pPr>
          </w:p>
        </w:tc>
      </w:tr>
      <w:tr>
        <w:tblPrEx>
          <w:tblCellMar>
            <w:top w:w="0" w:type="dxa"/>
            <w:left w:w="0" w:type="dxa"/>
            <w:bottom w:w="0" w:type="dxa"/>
            <w:right w:w="0" w:type="dxa"/>
          </w:tblCellMar>
        </w:tblPrEx>
        <w:trPr>
          <w:trHeight w:val="270" w:hRule="atLeast"/>
        </w:trPr>
        <w:tc>
          <w:tcPr>
            <w:tcW w:w="6081" w:type="dxa"/>
            <w:gridSpan w:val="5"/>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得    分</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380"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270" w:hRule="atLeast"/>
        </w:trPr>
        <w:tc>
          <w:tcPr>
            <w:tcW w:w="3481" w:type="dxa"/>
            <w:gridSpan w:val="3"/>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预算执行率（10分）</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98"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产出指标</w:t>
            </w: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数量指标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发放临聘人员人数</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≥4人</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≥4人</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98"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质量指标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发放临聘人员工资人数准确率</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98"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时效指标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发放临聘人员工资及时率</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15</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98"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成本指标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临聘人员支出预算成本</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≤2.424276万元</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≤2.424276万元</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98" w:type="dxa"/>
            <w:vMerge w:val="restart"/>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效益指标</w:t>
            </w: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社会效益指标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发放临聘人员工资的保障率</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100%</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675" w:hRule="atLeast"/>
        </w:trPr>
        <w:tc>
          <w:tcPr>
            <w:tcW w:w="1198" w:type="dxa"/>
            <w:vMerge w:val="continue"/>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jc w:val="center"/>
              <w:rPr>
                <w:rFonts w:hint="eastAsia" w:ascii="宋体" w:hAnsi="宋体" w:eastAsia="宋体" w:cs="宋体"/>
                <w:i w:val="0"/>
                <w:color w:val="333333"/>
                <w:sz w:val="18"/>
                <w:szCs w:val="18"/>
                <w:u w:val="none"/>
              </w:rPr>
            </w:pP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可持续影响指标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临聘人员支出健全机制性</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定性</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优</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r>
        <w:tblPrEx>
          <w:tblCellMar>
            <w:top w:w="0" w:type="dxa"/>
            <w:left w:w="0" w:type="dxa"/>
            <w:bottom w:w="0" w:type="dxa"/>
            <w:right w:w="0" w:type="dxa"/>
          </w:tblCellMar>
        </w:tblPrEx>
        <w:trPr>
          <w:trHeight w:val="450" w:hRule="atLeast"/>
        </w:trPr>
        <w:tc>
          <w:tcPr>
            <w:tcW w:w="1198"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256" w:type="dxa"/>
            <w:tcBorders>
              <w:top w:val="single" w:color="000000" w:sz="4" w:space="0"/>
              <w:left w:val="single" w:color="000000" w:sz="4" w:space="0"/>
              <w:bottom w:val="single" w:color="000000" w:sz="4" w:space="0"/>
              <w:right w:val="nil"/>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满意度指标</w:t>
            </w:r>
          </w:p>
        </w:tc>
        <w:tc>
          <w:tcPr>
            <w:tcW w:w="1027"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临聘人员满意度</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1300" w:type="dxa"/>
            <w:tcBorders>
              <w:top w:val="single" w:color="000000" w:sz="4" w:space="0"/>
              <w:left w:val="single" w:color="000000" w:sz="4" w:space="0"/>
              <w:bottom w:val="single" w:color="000000" w:sz="4" w:space="0"/>
              <w:right w:val="single" w:color="000000" w:sz="4" w:space="0"/>
            </w:tcBorders>
            <w:shd w:val="clear" w:color="auto" w:fill="FFFFFF"/>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333333"/>
                <w:sz w:val="18"/>
                <w:szCs w:val="18"/>
                <w:u w:val="none"/>
              </w:rPr>
            </w:pPr>
            <w:r>
              <w:rPr>
                <w:rFonts w:hint="eastAsia" w:ascii="宋体" w:hAnsi="宋体" w:eastAsia="宋体" w:cs="宋体"/>
                <w:i w:val="0"/>
                <w:color w:val="333333"/>
                <w:kern w:val="0"/>
                <w:sz w:val="18"/>
                <w:szCs w:val="18"/>
                <w:u w:val="none"/>
                <w:lang w:val="en-US" w:eastAsia="zh-CN" w:bidi="ar"/>
              </w:rPr>
              <w:t>95%</w:t>
            </w:r>
          </w:p>
        </w:tc>
        <w:tc>
          <w:tcPr>
            <w:tcW w:w="715"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380" w:type="dxa"/>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w:t>
            </w:r>
          </w:p>
        </w:tc>
        <w:tc>
          <w:tcPr>
            <w:tcW w:w="62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c>
          <w:tcPr>
            <w:tcW w:w="62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rPr>
                <w:rFonts w:hint="eastAsia" w:ascii="宋体" w:hAnsi="宋体" w:eastAsia="宋体" w:cs="宋体"/>
                <w:i w:val="0"/>
                <w:color w:val="000000"/>
                <w:sz w:val="18"/>
                <w:szCs w:val="18"/>
                <w:u w:val="none"/>
              </w:rPr>
            </w:pPr>
          </w:p>
        </w:tc>
      </w:tr>
    </w:tbl>
    <w:p/>
    <w:p>
      <w:pPr>
        <w:pStyle w:val="6"/>
      </w:pPr>
    </w:p>
    <w:p>
      <w:pPr>
        <w:pStyle w:val="6"/>
        <w:spacing w:before="93"/>
        <w:rPr>
          <w:rFonts w:hAnsi="Calibri" w:cs="仿宋"/>
          <w:sz w:val="32"/>
          <w:szCs w:val="32"/>
        </w:rPr>
      </w:pPr>
    </w:p>
    <w:p>
      <w:pPr>
        <w:pStyle w:val="6"/>
        <w:spacing w:before="93"/>
        <w:rPr>
          <w:rFonts w:hAnsi="Calibri" w:cs="仿宋"/>
          <w:sz w:val="32"/>
          <w:szCs w:val="32"/>
        </w:rPr>
      </w:pPr>
    </w:p>
    <w:p>
      <w:pPr>
        <w:pStyle w:val="6"/>
        <w:spacing w:before="93"/>
        <w:rPr>
          <w:rFonts w:hAnsi="Calibri" w:cs="仿宋"/>
          <w:sz w:val="32"/>
          <w:szCs w:val="32"/>
        </w:rPr>
      </w:pPr>
    </w:p>
    <w:p>
      <w:pPr>
        <w:pStyle w:val="6"/>
        <w:spacing w:before="93"/>
        <w:rPr>
          <w:rFonts w:hAnsi="Calibri" w:cs="仿宋"/>
          <w:sz w:val="32"/>
          <w:szCs w:val="32"/>
        </w:rPr>
      </w:pPr>
    </w:p>
    <w:p>
      <w:pPr>
        <w:rPr>
          <w:rFonts w:hAnsi="Calibri" w:cs="仿宋"/>
          <w:sz w:val="32"/>
          <w:szCs w:val="32"/>
        </w:rPr>
      </w:pPr>
    </w:p>
    <w:p>
      <w:pPr>
        <w:pStyle w:val="2"/>
        <w:rPr>
          <w:rFonts w:hAnsi="Calibri" w:cs="仿宋"/>
          <w:sz w:val="32"/>
          <w:szCs w:val="32"/>
        </w:rPr>
      </w:pPr>
    </w:p>
    <w:p>
      <w:pPr>
        <w:rPr>
          <w:rFonts w:hAnsi="Calibri" w:cs="仿宋"/>
          <w:sz w:val="32"/>
          <w:szCs w:val="32"/>
        </w:rPr>
      </w:pPr>
    </w:p>
    <w:p>
      <w:pPr>
        <w:pStyle w:val="2"/>
        <w:rPr>
          <w:rFonts w:hAnsi="Calibri" w:cs="仿宋"/>
          <w:sz w:val="32"/>
          <w:szCs w:val="32"/>
        </w:rPr>
      </w:pPr>
    </w:p>
    <w:p>
      <w:pPr>
        <w:rPr>
          <w:rFonts w:hAnsi="Calibri" w:cs="仿宋"/>
          <w:sz w:val="32"/>
          <w:szCs w:val="32"/>
        </w:rPr>
      </w:pPr>
    </w:p>
    <w:p>
      <w:pPr>
        <w:pStyle w:val="2"/>
        <w:rPr>
          <w:rFonts w:hAnsi="Calibri" w:cs="仿宋"/>
          <w:sz w:val="32"/>
          <w:szCs w:val="32"/>
        </w:rPr>
      </w:pPr>
    </w:p>
    <w:p/>
    <w:p>
      <w:pPr>
        <w:pStyle w:val="6"/>
        <w:spacing w:before="93"/>
        <w:rPr>
          <w:rFonts w:hAnsi="Calibri" w:cs="仿宋"/>
          <w:sz w:val="32"/>
          <w:szCs w:val="32"/>
        </w:rPr>
      </w:pPr>
    </w:p>
    <w:p>
      <w:pPr>
        <w:spacing w:line="600" w:lineRule="exact"/>
        <w:jc w:val="center"/>
        <w:outlineLvl w:val="0"/>
        <w:rPr>
          <w:rFonts w:ascii="仿宋" w:hAnsi="仿宋" w:eastAsia="仿宋"/>
        </w:rPr>
      </w:pPr>
      <w:bookmarkStart w:id="70" w:name="_Toc11823"/>
      <w:r>
        <w:rPr>
          <w:rFonts w:hint="eastAsia" w:ascii="黑体" w:hAnsi="黑体" w:eastAsia="黑体"/>
          <w:sz w:val="44"/>
          <w:szCs w:val="44"/>
        </w:rPr>
        <w:t>第</w:t>
      </w:r>
      <w:r>
        <w:rPr>
          <w:rStyle w:val="29"/>
          <w:rFonts w:hint="eastAsia" w:ascii="黑体" w:hAnsi="黑体" w:eastAsia="黑体"/>
          <w:b w:val="0"/>
        </w:rPr>
        <w:t>五部分 附表</w:t>
      </w:r>
      <w:bookmarkEnd w:id="66"/>
      <w:bookmarkEnd w:id="69"/>
      <w:bookmarkEnd w:id="70"/>
      <w:bookmarkStart w:id="71" w:name="_Toc15396619"/>
    </w:p>
    <w:p>
      <w:pPr>
        <w:pStyle w:val="4"/>
        <w:rPr>
          <w:rFonts w:ascii="仿宋" w:hAnsi="仿宋" w:eastAsia="仿宋"/>
        </w:rPr>
      </w:pPr>
      <w:bookmarkStart w:id="72" w:name="_Toc10532"/>
      <w:r>
        <w:rPr>
          <w:rFonts w:hint="eastAsia" w:ascii="仿宋" w:hAnsi="仿宋" w:eastAsia="仿宋"/>
          <w:b w:val="0"/>
        </w:rPr>
        <w:t>一、收</w:t>
      </w:r>
      <w:r>
        <w:rPr>
          <w:rStyle w:val="30"/>
          <w:rFonts w:hint="eastAsia" w:ascii="仿宋" w:hAnsi="仿宋" w:eastAsia="仿宋"/>
          <w:b w:val="0"/>
          <w:bCs w:val="0"/>
        </w:rPr>
        <w:t>入支出决算总表</w:t>
      </w:r>
      <w:bookmarkEnd w:id="71"/>
      <w:bookmarkEnd w:id="72"/>
    </w:p>
    <w:p>
      <w:pPr>
        <w:pStyle w:val="4"/>
        <w:rPr>
          <w:rFonts w:ascii="仿宋" w:hAnsi="仿宋" w:eastAsia="仿宋"/>
        </w:rPr>
      </w:pPr>
      <w:bookmarkStart w:id="73" w:name="_Toc15396620"/>
      <w:bookmarkStart w:id="74" w:name="_Toc25847"/>
      <w:r>
        <w:rPr>
          <w:rFonts w:hint="eastAsia" w:ascii="仿宋" w:hAnsi="仿宋" w:eastAsia="仿宋"/>
          <w:b w:val="0"/>
        </w:rPr>
        <w:t>二、收</w:t>
      </w:r>
      <w:r>
        <w:rPr>
          <w:rStyle w:val="30"/>
          <w:rFonts w:hint="eastAsia" w:ascii="仿宋" w:hAnsi="仿宋" w:eastAsia="仿宋"/>
          <w:b w:val="0"/>
          <w:bCs w:val="0"/>
        </w:rPr>
        <w:t>入决算表</w:t>
      </w:r>
      <w:bookmarkEnd w:id="73"/>
      <w:bookmarkEnd w:id="74"/>
    </w:p>
    <w:p>
      <w:pPr>
        <w:pStyle w:val="4"/>
        <w:rPr>
          <w:rFonts w:ascii="仿宋" w:hAnsi="仿宋" w:eastAsia="仿宋"/>
        </w:rPr>
      </w:pPr>
      <w:bookmarkStart w:id="75" w:name="_Toc15396621"/>
      <w:bookmarkStart w:id="76" w:name="_Toc25556"/>
      <w:r>
        <w:rPr>
          <w:rStyle w:val="30"/>
          <w:rFonts w:hint="eastAsia" w:ascii="仿宋" w:hAnsi="仿宋" w:eastAsia="仿宋"/>
          <w:b w:val="0"/>
          <w:bCs w:val="0"/>
        </w:rPr>
        <w:t>三、</w:t>
      </w:r>
      <w:r>
        <w:rPr>
          <w:rFonts w:hint="eastAsia" w:ascii="仿宋" w:hAnsi="仿宋" w:eastAsia="仿宋"/>
          <w:b w:val="0"/>
        </w:rPr>
        <w:t>支</w:t>
      </w:r>
      <w:r>
        <w:rPr>
          <w:rStyle w:val="30"/>
          <w:rFonts w:hint="eastAsia" w:ascii="仿宋" w:hAnsi="仿宋" w:eastAsia="仿宋"/>
          <w:b w:val="0"/>
          <w:bCs w:val="0"/>
        </w:rPr>
        <w:t>出决算表</w:t>
      </w:r>
      <w:bookmarkEnd w:id="75"/>
      <w:bookmarkEnd w:id="76"/>
    </w:p>
    <w:p>
      <w:pPr>
        <w:pStyle w:val="4"/>
        <w:rPr>
          <w:rFonts w:ascii="仿宋" w:hAnsi="仿宋" w:eastAsia="仿宋"/>
          <w:b w:val="0"/>
        </w:rPr>
      </w:pPr>
      <w:bookmarkStart w:id="77" w:name="_Toc15396622"/>
      <w:bookmarkStart w:id="78" w:name="_Toc26347"/>
      <w:r>
        <w:rPr>
          <w:rStyle w:val="30"/>
          <w:rFonts w:hint="eastAsia" w:ascii="仿宋" w:hAnsi="仿宋" w:eastAsia="仿宋"/>
          <w:b w:val="0"/>
          <w:bCs w:val="0"/>
        </w:rPr>
        <w:t>四、</w:t>
      </w:r>
      <w:r>
        <w:rPr>
          <w:rFonts w:hint="eastAsia" w:ascii="仿宋" w:hAnsi="仿宋" w:eastAsia="仿宋"/>
          <w:b w:val="0"/>
        </w:rPr>
        <w:t>财</w:t>
      </w:r>
      <w:r>
        <w:rPr>
          <w:rStyle w:val="30"/>
          <w:rFonts w:hint="eastAsia" w:ascii="仿宋" w:hAnsi="仿宋" w:eastAsia="仿宋"/>
          <w:b w:val="0"/>
          <w:bCs w:val="0"/>
        </w:rPr>
        <w:t>政拨款收入支出决算总表</w:t>
      </w:r>
      <w:bookmarkEnd w:id="77"/>
      <w:bookmarkEnd w:id="78"/>
    </w:p>
    <w:p>
      <w:pPr>
        <w:pStyle w:val="4"/>
        <w:rPr>
          <w:rStyle w:val="30"/>
          <w:rFonts w:ascii="仿宋" w:hAnsi="仿宋" w:eastAsia="仿宋"/>
          <w:b w:val="0"/>
          <w:bCs w:val="0"/>
        </w:rPr>
      </w:pPr>
      <w:bookmarkStart w:id="79" w:name="_Toc23181"/>
      <w:bookmarkStart w:id="80" w:name="_Toc15396623"/>
      <w:r>
        <w:rPr>
          <w:rStyle w:val="30"/>
          <w:rFonts w:hint="eastAsia" w:ascii="仿宋" w:hAnsi="仿宋" w:eastAsia="仿宋"/>
          <w:b w:val="0"/>
          <w:bCs w:val="0"/>
        </w:rPr>
        <w:t>五、</w:t>
      </w:r>
      <w:r>
        <w:rPr>
          <w:rFonts w:hint="eastAsia" w:ascii="仿宋" w:hAnsi="仿宋" w:eastAsia="仿宋"/>
          <w:b w:val="0"/>
        </w:rPr>
        <w:t>财</w:t>
      </w:r>
      <w:r>
        <w:rPr>
          <w:rStyle w:val="30"/>
          <w:rFonts w:hint="eastAsia" w:ascii="仿宋" w:hAnsi="仿宋" w:eastAsia="仿宋"/>
          <w:b w:val="0"/>
          <w:bCs w:val="0"/>
        </w:rPr>
        <w:t>政拨款支出决算明细表</w:t>
      </w:r>
      <w:bookmarkEnd w:id="79"/>
      <w:bookmarkEnd w:id="80"/>
      <w:bookmarkStart w:id="81" w:name="_Toc15396624"/>
    </w:p>
    <w:p>
      <w:pPr>
        <w:pStyle w:val="4"/>
        <w:rPr>
          <w:rFonts w:ascii="仿宋" w:hAnsi="仿宋" w:eastAsia="仿宋"/>
        </w:rPr>
      </w:pPr>
      <w:bookmarkStart w:id="82" w:name="_Toc21800"/>
      <w:r>
        <w:rPr>
          <w:rStyle w:val="30"/>
          <w:rFonts w:hint="eastAsia" w:ascii="仿宋" w:hAnsi="仿宋" w:eastAsia="仿宋"/>
          <w:b w:val="0"/>
          <w:bCs w:val="0"/>
        </w:rPr>
        <w:t>六、</w:t>
      </w:r>
      <w:r>
        <w:rPr>
          <w:rFonts w:hint="eastAsia" w:ascii="仿宋" w:hAnsi="仿宋" w:eastAsia="仿宋"/>
          <w:b w:val="0"/>
        </w:rPr>
        <w:t>一</w:t>
      </w:r>
      <w:r>
        <w:rPr>
          <w:rStyle w:val="30"/>
          <w:rFonts w:hint="eastAsia" w:ascii="仿宋" w:hAnsi="仿宋" w:eastAsia="仿宋"/>
          <w:b w:val="0"/>
          <w:bCs w:val="0"/>
        </w:rPr>
        <w:t>般公共预算财政拨款支出决算表</w:t>
      </w:r>
      <w:bookmarkEnd w:id="81"/>
      <w:bookmarkEnd w:id="82"/>
    </w:p>
    <w:p>
      <w:pPr>
        <w:pStyle w:val="4"/>
        <w:rPr>
          <w:rFonts w:ascii="仿宋" w:hAnsi="仿宋" w:eastAsia="仿宋"/>
        </w:rPr>
      </w:pPr>
      <w:bookmarkStart w:id="83" w:name="_Toc16455"/>
      <w:bookmarkStart w:id="84" w:name="_Toc15396625"/>
      <w:r>
        <w:rPr>
          <w:rStyle w:val="30"/>
          <w:rFonts w:hint="eastAsia" w:ascii="仿宋" w:hAnsi="仿宋" w:eastAsia="仿宋"/>
          <w:b w:val="0"/>
          <w:bCs w:val="0"/>
        </w:rPr>
        <w:t>七、</w:t>
      </w:r>
      <w:r>
        <w:rPr>
          <w:rFonts w:hint="eastAsia" w:ascii="仿宋" w:hAnsi="仿宋" w:eastAsia="仿宋"/>
          <w:b w:val="0"/>
        </w:rPr>
        <w:t>一</w:t>
      </w:r>
      <w:r>
        <w:rPr>
          <w:rStyle w:val="30"/>
          <w:rFonts w:hint="eastAsia" w:ascii="仿宋" w:hAnsi="仿宋" w:eastAsia="仿宋"/>
          <w:b w:val="0"/>
          <w:bCs w:val="0"/>
        </w:rPr>
        <w:t>般公共预算财政拨款支出决算明细表</w:t>
      </w:r>
      <w:bookmarkEnd w:id="83"/>
      <w:bookmarkEnd w:id="84"/>
    </w:p>
    <w:p>
      <w:pPr>
        <w:pStyle w:val="4"/>
        <w:rPr>
          <w:rFonts w:ascii="仿宋" w:hAnsi="仿宋" w:eastAsia="仿宋"/>
        </w:rPr>
      </w:pPr>
      <w:bookmarkStart w:id="85" w:name="_Toc15396626"/>
      <w:bookmarkStart w:id="86" w:name="_Toc7114"/>
      <w:r>
        <w:rPr>
          <w:rStyle w:val="30"/>
          <w:rFonts w:hint="eastAsia" w:ascii="仿宋" w:hAnsi="仿宋" w:eastAsia="仿宋"/>
          <w:b w:val="0"/>
          <w:bCs w:val="0"/>
        </w:rPr>
        <w:t>八、</w:t>
      </w:r>
      <w:r>
        <w:rPr>
          <w:rFonts w:hint="eastAsia" w:ascii="仿宋" w:hAnsi="仿宋" w:eastAsia="仿宋"/>
          <w:b w:val="0"/>
        </w:rPr>
        <w:t>一</w:t>
      </w:r>
      <w:r>
        <w:rPr>
          <w:rStyle w:val="30"/>
          <w:rFonts w:hint="eastAsia" w:ascii="仿宋" w:hAnsi="仿宋" w:eastAsia="仿宋"/>
          <w:b w:val="0"/>
          <w:bCs w:val="0"/>
        </w:rPr>
        <w:t>般公共预算财政拨款基本支出决算表</w:t>
      </w:r>
      <w:bookmarkEnd w:id="85"/>
      <w:bookmarkEnd w:id="86"/>
    </w:p>
    <w:p>
      <w:pPr>
        <w:pStyle w:val="4"/>
        <w:rPr>
          <w:rFonts w:ascii="仿宋" w:hAnsi="仿宋" w:eastAsia="仿宋"/>
        </w:rPr>
      </w:pPr>
      <w:bookmarkStart w:id="87" w:name="_Toc15396627"/>
      <w:bookmarkStart w:id="88" w:name="_Toc27023"/>
      <w:r>
        <w:rPr>
          <w:rStyle w:val="30"/>
          <w:rFonts w:hint="eastAsia" w:ascii="仿宋" w:hAnsi="仿宋" w:eastAsia="仿宋"/>
          <w:b w:val="0"/>
          <w:bCs w:val="0"/>
        </w:rPr>
        <w:t>九、</w:t>
      </w:r>
      <w:r>
        <w:rPr>
          <w:rFonts w:hint="eastAsia" w:ascii="仿宋" w:hAnsi="仿宋" w:eastAsia="仿宋"/>
          <w:b w:val="0"/>
        </w:rPr>
        <w:t>一</w:t>
      </w:r>
      <w:r>
        <w:rPr>
          <w:rStyle w:val="30"/>
          <w:rFonts w:hint="eastAsia" w:ascii="仿宋" w:hAnsi="仿宋" w:eastAsia="仿宋"/>
          <w:b w:val="0"/>
          <w:bCs w:val="0"/>
        </w:rPr>
        <w:t>般公共预算财政拨款项目支出决算表</w:t>
      </w:r>
      <w:bookmarkEnd w:id="87"/>
      <w:bookmarkEnd w:id="88"/>
    </w:p>
    <w:p>
      <w:pPr>
        <w:pStyle w:val="4"/>
        <w:rPr>
          <w:rFonts w:ascii="仿宋" w:hAnsi="仿宋" w:eastAsia="仿宋"/>
        </w:rPr>
      </w:pPr>
      <w:bookmarkStart w:id="89" w:name="_Toc15396628"/>
      <w:bookmarkStart w:id="90" w:name="_Toc31369"/>
      <w:r>
        <w:rPr>
          <w:rStyle w:val="30"/>
          <w:rFonts w:hint="eastAsia" w:ascii="仿宋" w:hAnsi="仿宋" w:eastAsia="仿宋"/>
          <w:b w:val="0"/>
          <w:bCs w:val="0"/>
        </w:rPr>
        <w:t>十、</w:t>
      </w:r>
      <w:bookmarkEnd w:id="89"/>
      <w:r>
        <w:rPr>
          <w:rFonts w:hint="eastAsia" w:ascii="仿宋" w:hAnsi="仿宋" w:eastAsia="仿宋"/>
          <w:b w:val="0"/>
        </w:rPr>
        <w:t>政</w:t>
      </w:r>
      <w:r>
        <w:rPr>
          <w:rStyle w:val="30"/>
          <w:rFonts w:hint="eastAsia" w:ascii="仿宋" w:hAnsi="仿宋" w:eastAsia="仿宋"/>
          <w:b w:val="0"/>
          <w:bCs w:val="0"/>
        </w:rPr>
        <w:t>府性基金预算财政拨款收入支出决算表</w:t>
      </w:r>
      <w:bookmarkEnd w:id="90"/>
    </w:p>
    <w:p>
      <w:pPr>
        <w:pStyle w:val="4"/>
        <w:rPr>
          <w:rFonts w:ascii="仿宋" w:hAnsi="仿宋" w:eastAsia="仿宋"/>
        </w:rPr>
      </w:pPr>
      <w:bookmarkStart w:id="91" w:name="_Toc15396629"/>
      <w:bookmarkStart w:id="92" w:name="_Toc18224"/>
      <w:r>
        <w:rPr>
          <w:rStyle w:val="30"/>
          <w:rFonts w:hint="eastAsia" w:ascii="仿宋" w:hAnsi="仿宋" w:eastAsia="仿宋"/>
          <w:b w:val="0"/>
          <w:bCs w:val="0"/>
        </w:rPr>
        <w:t>十一、</w:t>
      </w:r>
      <w:bookmarkEnd w:id="91"/>
      <w:r>
        <w:rPr>
          <w:rFonts w:hint="eastAsia" w:ascii="仿宋" w:hAnsi="仿宋" w:eastAsia="仿宋"/>
          <w:b w:val="0"/>
        </w:rPr>
        <w:t>国</w:t>
      </w:r>
      <w:r>
        <w:rPr>
          <w:rStyle w:val="30"/>
          <w:rFonts w:hint="eastAsia" w:ascii="仿宋" w:hAnsi="仿宋" w:eastAsia="仿宋"/>
          <w:b w:val="0"/>
          <w:bCs w:val="0"/>
        </w:rPr>
        <w:t>有资本经营预算财政拨款收入支出决算表</w:t>
      </w:r>
      <w:bookmarkEnd w:id="92"/>
    </w:p>
    <w:p>
      <w:pPr>
        <w:pStyle w:val="4"/>
        <w:rPr>
          <w:rFonts w:ascii="仿宋" w:hAnsi="仿宋" w:eastAsia="仿宋"/>
        </w:rPr>
      </w:pPr>
      <w:bookmarkStart w:id="93" w:name="_Toc15396630"/>
      <w:bookmarkStart w:id="94" w:name="_Toc22315"/>
      <w:r>
        <w:rPr>
          <w:rStyle w:val="30"/>
          <w:rFonts w:hint="eastAsia" w:ascii="仿宋" w:hAnsi="仿宋" w:eastAsia="仿宋"/>
          <w:b w:val="0"/>
          <w:bCs w:val="0"/>
        </w:rPr>
        <w:t>十二、</w:t>
      </w:r>
      <w:bookmarkEnd w:id="93"/>
      <w:r>
        <w:rPr>
          <w:rStyle w:val="30"/>
          <w:rFonts w:hint="eastAsia" w:ascii="仿宋" w:hAnsi="仿宋" w:eastAsia="仿宋"/>
          <w:b w:val="0"/>
          <w:bCs w:val="0"/>
        </w:rPr>
        <w:t>国有资本经营预算财政拨款支出决算表</w:t>
      </w:r>
      <w:bookmarkEnd w:id="94"/>
    </w:p>
    <w:p>
      <w:pPr>
        <w:pStyle w:val="4"/>
        <w:rPr>
          <w:rFonts w:eastAsia="仿宋"/>
        </w:rPr>
      </w:pPr>
      <w:bookmarkStart w:id="95" w:name="_Toc15396631"/>
      <w:bookmarkStart w:id="96" w:name="_Toc10074"/>
      <w:r>
        <w:rPr>
          <w:rStyle w:val="30"/>
          <w:rFonts w:hint="eastAsia" w:ascii="仿宋" w:hAnsi="仿宋" w:eastAsia="仿宋"/>
          <w:b w:val="0"/>
          <w:bCs w:val="0"/>
        </w:rPr>
        <w:t>十三、</w:t>
      </w:r>
      <w:bookmarkEnd w:id="95"/>
      <w:r>
        <w:rPr>
          <w:rStyle w:val="30"/>
          <w:rFonts w:hint="eastAsia" w:ascii="仿宋" w:hAnsi="仿宋" w:eastAsia="仿宋"/>
          <w:b w:val="0"/>
          <w:bCs w:val="0"/>
        </w:rPr>
        <w:t>财政拨款“三公”经费支出决算表</w:t>
      </w:r>
      <w:bookmarkEnd w:id="96"/>
    </w:p>
    <w:sectPr>
      <w:headerReference r:id="rId3" w:type="default"/>
      <w:footerReference r:id="rId4" w:type="default"/>
      <w:pgSz w:w="11906" w:h="16838"/>
      <w:pgMar w:top="1440" w:right="1800" w:bottom="1440" w:left="1800" w:header="851" w:footer="992" w:gutter="0"/>
      <w:pgNumType w:start="1"/>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仿宋_GB2312">
    <w:panose1 w:val="02010609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方正小标宋简体">
    <w:panose1 w:val="03000509000000000000"/>
    <w:charset w:val="86"/>
    <w:family w:val="script"/>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94781956"/>
    </w:sdtPr>
    <w:sdtContent>
      <w:p>
        <w:pPr>
          <w:pStyle w:val="11"/>
          <w:jc w:val="center"/>
        </w:pPr>
        <w:r>
          <w:fldChar w:fldCharType="begin"/>
        </w:r>
        <w:r>
          <w:instrText xml:space="preserve">PAGE   \* MERGEFORMAT</w:instrText>
        </w:r>
        <w:r>
          <w:fldChar w:fldCharType="separate"/>
        </w:r>
        <w:r>
          <w:rPr>
            <w:lang w:val="zh-CN"/>
          </w:rPr>
          <w:t>15</w:t>
        </w:r>
        <w:r>
          <w:fldChar w:fldCharType="end"/>
        </w:r>
      </w:p>
    </w:sdtContent>
  </w:sdt>
  <w:p>
    <w:pPr>
      <w:pStyle w:val="11"/>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9E52E3E"/>
    <w:multiLevelType w:val="singleLevel"/>
    <w:tmpl w:val="A9E52E3E"/>
    <w:lvl w:ilvl="0" w:tentative="0">
      <w:start w:val="1"/>
      <w:numFmt w:val="decimal"/>
      <w:lvlText w:val="%1."/>
      <w:lvlJc w:val="left"/>
      <w:pPr>
        <w:tabs>
          <w:tab w:val="left" w:pos="312"/>
        </w:tabs>
      </w:pPr>
    </w:lvl>
  </w:abstractNum>
  <w:abstractNum w:abstractNumId="1">
    <w:nsid w:val="CF652CEC"/>
    <w:multiLevelType w:val="singleLevel"/>
    <w:tmpl w:val="CF652CEC"/>
    <w:lvl w:ilvl="0" w:tentative="0">
      <w:start w:val="9"/>
      <w:numFmt w:val="chineseCounting"/>
      <w:suff w:val="nothing"/>
      <w:lvlText w:val="%1、"/>
      <w:lvlJc w:val="left"/>
      <w:rPr>
        <w:rFonts w:hint="eastAsia"/>
      </w:rPr>
    </w:lvl>
  </w:abstractNum>
  <w:abstractNum w:abstractNumId="2">
    <w:nsid w:val="E2FA047D"/>
    <w:multiLevelType w:val="singleLevel"/>
    <w:tmpl w:val="E2FA047D"/>
    <w:lvl w:ilvl="0" w:tentative="0">
      <w:start w:val="3"/>
      <w:numFmt w:val="chineseCounting"/>
      <w:suff w:val="space"/>
      <w:lvlText w:val="第%1部分"/>
      <w:lvlJc w:val="left"/>
      <w:rPr>
        <w:rFonts w:hint="eastAsia" w:ascii="黑体" w:hAnsi="黑体" w:eastAsia="黑体" w:cs="黑体"/>
        <w:sz w:val="44"/>
        <w:szCs w:val="44"/>
      </w:rPr>
    </w:lvl>
  </w:abstractNum>
  <w:abstractNum w:abstractNumId="3">
    <w:nsid w:val="1272550B"/>
    <w:multiLevelType w:val="multilevel"/>
    <w:tmpl w:val="1272550B"/>
    <w:lvl w:ilvl="0" w:tentative="0">
      <w:start w:val="1"/>
      <w:numFmt w:val="japaneseCounting"/>
      <w:lvlText w:val="%1、"/>
      <w:lvlJc w:val="left"/>
      <w:pPr>
        <w:ind w:left="1360" w:hanging="720"/>
      </w:pPr>
      <w:rPr>
        <w:rFonts w:hint="default"/>
        <w:b w:val="0"/>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abstractNum w:abstractNumId="4">
    <w:nsid w:val="2CCA0A8F"/>
    <w:multiLevelType w:val="singleLevel"/>
    <w:tmpl w:val="2CCA0A8F"/>
    <w:lvl w:ilvl="0" w:tentative="0">
      <w:start w:val="1"/>
      <w:numFmt w:val="decimal"/>
      <w:lvlText w:val="%1."/>
      <w:lvlJc w:val="left"/>
      <w:pPr>
        <w:ind w:left="425" w:hanging="425"/>
      </w:pPr>
      <w:rPr>
        <w:rFonts w:hint="default"/>
      </w:rPr>
    </w:lvl>
  </w:abstractNum>
  <w:abstractNum w:abstractNumId="5">
    <w:nsid w:val="3818A09A"/>
    <w:multiLevelType w:val="singleLevel"/>
    <w:tmpl w:val="3818A09A"/>
    <w:lvl w:ilvl="0" w:tentative="0">
      <w:start w:val="1"/>
      <w:numFmt w:val="chineseCounting"/>
      <w:suff w:val="nothing"/>
      <w:lvlText w:val="%1、"/>
      <w:lvlJc w:val="left"/>
      <w:rPr>
        <w:rFonts w:hint="eastAsia"/>
      </w:rPr>
    </w:lvl>
  </w:abstractNum>
  <w:num w:numId="1">
    <w:abstractNumId w:val="5"/>
  </w:num>
  <w:num w:numId="2">
    <w:abstractNumId w:val="3"/>
  </w:num>
  <w:num w:numId="3">
    <w:abstractNumId w:val="4"/>
  </w:num>
  <w:num w:numId="4">
    <w:abstractNumId w:val="0"/>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gyZDFhNTk2YjdiNjY2YThmZmU5NTE4ZDRmYTBhOGYifQ=="/>
  </w:docVars>
  <w:rsids>
    <w:rsidRoot w:val="00F1361C"/>
    <w:rsid w:val="000222C6"/>
    <w:rsid w:val="0002549F"/>
    <w:rsid w:val="000468DB"/>
    <w:rsid w:val="0006487A"/>
    <w:rsid w:val="00065F8F"/>
    <w:rsid w:val="00070A43"/>
    <w:rsid w:val="000768F2"/>
    <w:rsid w:val="0009184B"/>
    <w:rsid w:val="00094236"/>
    <w:rsid w:val="0009593C"/>
    <w:rsid w:val="00097322"/>
    <w:rsid w:val="000A6A92"/>
    <w:rsid w:val="000B047F"/>
    <w:rsid w:val="000B5923"/>
    <w:rsid w:val="000B5A48"/>
    <w:rsid w:val="000B6FF3"/>
    <w:rsid w:val="000C3467"/>
    <w:rsid w:val="000C3CA6"/>
    <w:rsid w:val="000D1267"/>
    <w:rsid w:val="000D1D50"/>
    <w:rsid w:val="000D5782"/>
    <w:rsid w:val="000E6613"/>
    <w:rsid w:val="000E7119"/>
    <w:rsid w:val="00114E9B"/>
    <w:rsid w:val="00142216"/>
    <w:rsid w:val="00144D6A"/>
    <w:rsid w:val="0014729F"/>
    <w:rsid w:val="00157BAB"/>
    <w:rsid w:val="001654D1"/>
    <w:rsid w:val="00174518"/>
    <w:rsid w:val="0018106D"/>
    <w:rsid w:val="001877A7"/>
    <w:rsid w:val="00191536"/>
    <w:rsid w:val="00196687"/>
    <w:rsid w:val="001A1DAD"/>
    <w:rsid w:val="001C0962"/>
    <w:rsid w:val="001D7531"/>
    <w:rsid w:val="001E737D"/>
    <w:rsid w:val="001F0592"/>
    <w:rsid w:val="001F7506"/>
    <w:rsid w:val="002006CD"/>
    <w:rsid w:val="00202B36"/>
    <w:rsid w:val="00204B7A"/>
    <w:rsid w:val="00204CDE"/>
    <w:rsid w:val="00206907"/>
    <w:rsid w:val="0021101A"/>
    <w:rsid w:val="00212B4A"/>
    <w:rsid w:val="00220536"/>
    <w:rsid w:val="00235629"/>
    <w:rsid w:val="00260C38"/>
    <w:rsid w:val="002616C0"/>
    <w:rsid w:val="00265372"/>
    <w:rsid w:val="002662AA"/>
    <w:rsid w:val="00280496"/>
    <w:rsid w:val="00294DC9"/>
    <w:rsid w:val="00295495"/>
    <w:rsid w:val="002A31DE"/>
    <w:rsid w:val="002B2613"/>
    <w:rsid w:val="002C5004"/>
    <w:rsid w:val="002D6D05"/>
    <w:rsid w:val="002F1818"/>
    <w:rsid w:val="002F567B"/>
    <w:rsid w:val="003216A9"/>
    <w:rsid w:val="00335A74"/>
    <w:rsid w:val="0036561B"/>
    <w:rsid w:val="0037013F"/>
    <w:rsid w:val="00380C92"/>
    <w:rsid w:val="003A484F"/>
    <w:rsid w:val="003A4883"/>
    <w:rsid w:val="003B0BE0"/>
    <w:rsid w:val="003B0C1B"/>
    <w:rsid w:val="003B688C"/>
    <w:rsid w:val="003C0291"/>
    <w:rsid w:val="003C39AE"/>
    <w:rsid w:val="003C7B60"/>
    <w:rsid w:val="003D0C0F"/>
    <w:rsid w:val="003D1FB2"/>
    <w:rsid w:val="003D66DA"/>
    <w:rsid w:val="003E1310"/>
    <w:rsid w:val="003E6F55"/>
    <w:rsid w:val="00406254"/>
    <w:rsid w:val="004223DE"/>
    <w:rsid w:val="00425C50"/>
    <w:rsid w:val="0043177C"/>
    <w:rsid w:val="00434489"/>
    <w:rsid w:val="00437085"/>
    <w:rsid w:val="00443880"/>
    <w:rsid w:val="004464F4"/>
    <w:rsid w:val="0046049C"/>
    <w:rsid w:val="00471401"/>
    <w:rsid w:val="00473F31"/>
    <w:rsid w:val="0048263A"/>
    <w:rsid w:val="00487E5D"/>
    <w:rsid w:val="004A711F"/>
    <w:rsid w:val="004B199D"/>
    <w:rsid w:val="004B4690"/>
    <w:rsid w:val="004E0A2D"/>
    <w:rsid w:val="004E206B"/>
    <w:rsid w:val="004E6DF7"/>
    <w:rsid w:val="004F0FBD"/>
    <w:rsid w:val="00505A47"/>
    <w:rsid w:val="00512FDA"/>
    <w:rsid w:val="00520DA0"/>
    <w:rsid w:val="005533CF"/>
    <w:rsid w:val="005664BB"/>
    <w:rsid w:val="00566FFA"/>
    <w:rsid w:val="0057481D"/>
    <w:rsid w:val="0058486E"/>
    <w:rsid w:val="00585B33"/>
    <w:rsid w:val="0059014D"/>
    <w:rsid w:val="005B5C64"/>
    <w:rsid w:val="005B6E8A"/>
    <w:rsid w:val="005C5337"/>
    <w:rsid w:val="005C6BD0"/>
    <w:rsid w:val="005D1C8B"/>
    <w:rsid w:val="005D468D"/>
    <w:rsid w:val="005D5CED"/>
    <w:rsid w:val="005F10BC"/>
    <w:rsid w:val="005F1A4C"/>
    <w:rsid w:val="00605688"/>
    <w:rsid w:val="006070AF"/>
    <w:rsid w:val="00607E6C"/>
    <w:rsid w:val="006101B1"/>
    <w:rsid w:val="00614E44"/>
    <w:rsid w:val="0062270A"/>
    <w:rsid w:val="00622830"/>
    <w:rsid w:val="00623DA0"/>
    <w:rsid w:val="00630AEF"/>
    <w:rsid w:val="006325F8"/>
    <w:rsid w:val="00633463"/>
    <w:rsid w:val="00634C9A"/>
    <w:rsid w:val="006440E4"/>
    <w:rsid w:val="00655FC5"/>
    <w:rsid w:val="0066343B"/>
    <w:rsid w:val="00664777"/>
    <w:rsid w:val="006748A4"/>
    <w:rsid w:val="00681A31"/>
    <w:rsid w:val="00683E73"/>
    <w:rsid w:val="006A3141"/>
    <w:rsid w:val="006A5E34"/>
    <w:rsid w:val="006B2422"/>
    <w:rsid w:val="006B2B9A"/>
    <w:rsid w:val="006C1937"/>
    <w:rsid w:val="006F020C"/>
    <w:rsid w:val="0071021A"/>
    <w:rsid w:val="007127B7"/>
    <w:rsid w:val="0071798E"/>
    <w:rsid w:val="007416B6"/>
    <w:rsid w:val="00746F48"/>
    <w:rsid w:val="0075404D"/>
    <w:rsid w:val="0076182A"/>
    <w:rsid w:val="00767B7E"/>
    <w:rsid w:val="007770C3"/>
    <w:rsid w:val="00784D24"/>
    <w:rsid w:val="00785FBA"/>
    <w:rsid w:val="00786E4A"/>
    <w:rsid w:val="007875EB"/>
    <w:rsid w:val="0079426B"/>
    <w:rsid w:val="007D1682"/>
    <w:rsid w:val="007D312A"/>
    <w:rsid w:val="007D3F19"/>
    <w:rsid w:val="007E23B0"/>
    <w:rsid w:val="007E23E5"/>
    <w:rsid w:val="007F1991"/>
    <w:rsid w:val="007F2C2F"/>
    <w:rsid w:val="007F55FC"/>
    <w:rsid w:val="007F5665"/>
    <w:rsid w:val="00800112"/>
    <w:rsid w:val="00813102"/>
    <w:rsid w:val="00813348"/>
    <w:rsid w:val="008253BB"/>
    <w:rsid w:val="0083706E"/>
    <w:rsid w:val="008408F6"/>
    <w:rsid w:val="008423A5"/>
    <w:rsid w:val="00850625"/>
    <w:rsid w:val="00853718"/>
    <w:rsid w:val="00855221"/>
    <w:rsid w:val="00860645"/>
    <w:rsid w:val="00871F71"/>
    <w:rsid w:val="00872FD8"/>
    <w:rsid w:val="00885AF4"/>
    <w:rsid w:val="008939CD"/>
    <w:rsid w:val="008B768C"/>
    <w:rsid w:val="008C4DB1"/>
    <w:rsid w:val="008C4EAF"/>
    <w:rsid w:val="008C5176"/>
    <w:rsid w:val="008C7FD0"/>
    <w:rsid w:val="008C7FD8"/>
    <w:rsid w:val="008E1DE7"/>
    <w:rsid w:val="008E707C"/>
    <w:rsid w:val="00900B08"/>
    <w:rsid w:val="00902155"/>
    <w:rsid w:val="00902FA3"/>
    <w:rsid w:val="00923564"/>
    <w:rsid w:val="0092392E"/>
    <w:rsid w:val="009315F9"/>
    <w:rsid w:val="00933499"/>
    <w:rsid w:val="00935C98"/>
    <w:rsid w:val="00946945"/>
    <w:rsid w:val="00951248"/>
    <w:rsid w:val="0095152F"/>
    <w:rsid w:val="00954C49"/>
    <w:rsid w:val="00955E37"/>
    <w:rsid w:val="0097099F"/>
    <w:rsid w:val="00971997"/>
    <w:rsid w:val="00971FFC"/>
    <w:rsid w:val="0098660A"/>
    <w:rsid w:val="009931C3"/>
    <w:rsid w:val="009B2C43"/>
    <w:rsid w:val="009B4EAE"/>
    <w:rsid w:val="009B7573"/>
    <w:rsid w:val="009C22F4"/>
    <w:rsid w:val="009C2A4B"/>
    <w:rsid w:val="009C2E98"/>
    <w:rsid w:val="009D3447"/>
    <w:rsid w:val="009D4711"/>
    <w:rsid w:val="009F1185"/>
    <w:rsid w:val="009F18CD"/>
    <w:rsid w:val="009F2A13"/>
    <w:rsid w:val="009F7527"/>
    <w:rsid w:val="00A04EB0"/>
    <w:rsid w:val="00A13CC1"/>
    <w:rsid w:val="00A16847"/>
    <w:rsid w:val="00A237D8"/>
    <w:rsid w:val="00A268C4"/>
    <w:rsid w:val="00A307CD"/>
    <w:rsid w:val="00A331C8"/>
    <w:rsid w:val="00A40A00"/>
    <w:rsid w:val="00A4142F"/>
    <w:rsid w:val="00A422EB"/>
    <w:rsid w:val="00A45BB7"/>
    <w:rsid w:val="00A56DF2"/>
    <w:rsid w:val="00A56E6E"/>
    <w:rsid w:val="00A67AB5"/>
    <w:rsid w:val="00A733B2"/>
    <w:rsid w:val="00A741C2"/>
    <w:rsid w:val="00A91760"/>
    <w:rsid w:val="00A93B00"/>
    <w:rsid w:val="00A93C21"/>
    <w:rsid w:val="00AB64C9"/>
    <w:rsid w:val="00AC3C6A"/>
    <w:rsid w:val="00AD5620"/>
    <w:rsid w:val="00AD656B"/>
    <w:rsid w:val="00AD7C1B"/>
    <w:rsid w:val="00AE16BA"/>
    <w:rsid w:val="00AE1EBE"/>
    <w:rsid w:val="00B03C9D"/>
    <w:rsid w:val="00B060AE"/>
    <w:rsid w:val="00B10517"/>
    <w:rsid w:val="00B14E76"/>
    <w:rsid w:val="00B161B8"/>
    <w:rsid w:val="00B2048C"/>
    <w:rsid w:val="00B310B9"/>
    <w:rsid w:val="00B35F3F"/>
    <w:rsid w:val="00B36CBB"/>
    <w:rsid w:val="00B425E0"/>
    <w:rsid w:val="00B440AA"/>
    <w:rsid w:val="00B44B70"/>
    <w:rsid w:val="00B53C56"/>
    <w:rsid w:val="00B57DAF"/>
    <w:rsid w:val="00B77EA6"/>
    <w:rsid w:val="00B81598"/>
    <w:rsid w:val="00B841F1"/>
    <w:rsid w:val="00B944D6"/>
    <w:rsid w:val="00BB4DF0"/>
    <w:rsid w:val="00BC289F"/>
    <w:rsid w:val="00BC2D50"/>
    <w:rsid w:val="00BC5361"/>
    <w:rsid w:val="00BC5460"/>
    <w:rsid w:val="00BC6B50"/>
    <w:rsid w:val="00BD0E25"/>
    <w:rsid w:val="00BF5BD6"/>
    <w:rsid w:val="00C03E31"/>
    <w:rsid w:val="00C33E72"/>
    <w:rsid w:val="00C354B2"/>
    <w:rsid w:val="00C35554"/>
    <w:rsid w:val="00C42709"/>
    <w:rsid w:val="00C533CC"/>
    <w:rsid w:val="00C5751C"/>
    <w:rsid w:val="00C61BFC"/>
    <w:rsid w:val="00C62B85"/>
    <w:rsid w:val="00C65438"/>
    <w:rsid w:val="00C87FD8"/>
    <w:rsid w:val="00C91381"/>
    <w:rsid w:val="00C91CBB"/>
    <w:rsid w:val="00CB4E70"/>
    <w:rsid w:val="00CC09B6"/>
    <w:rsid w:val="00CC666F"/>
    <w:rsid w:val="00CD1E3F"/>
    <w:rsid w:val="00CE44F6"/>
    <w:rsid w:val="00CE49DA"/>
    <w:rsid w:val="00CE7B61"/>
    <w:rsid w:val="00D00095"/>
    <w:rsid w:val="00D114F0"/>
    <w:rsid w:val="00D20620"/>
    <w:rsid w:val="00D254F7"/>
    <w:rsid w:val="00D26091"/>
    <w:rsid w:val="00D2685C"/>
    <w:rsid w:val="00D31E6F"/>
    <w:rsid w:val="00D34E7C"/>
    <w:rsid w:val="00D35489"/>
    <w:rsid w:val="00D36AFE"/>
    <w:rsid w:val="00D51276"/>
    <w:rsid w:val="00D7035F"/>
    <w:rsid w:val="00DA634F"/>
    <w:rsid w:val="00DA65AC"/>
    <w:rsid w:val="00DB1913"/>
    <w:rsid w:val="00DC410D"/>
    <w:rsid w:val="00DC5A81"/>
    <w:rsid w:val="00DC68CA"/>
    <w:rsid w:val="00DC7CBA"/>
    <w:rsid w:val="00DD73B7"/>
    <w:rsid w:val="00DF28BC"/>
    <w:rsid w:val="00DF34B9"/>
    <w:rsid w:val="00E01053"/>
    <w:rsid w:val="00E07ACF"/>
    <w:rsid w:val="00E331A1"/>
    <w:rsid w:val="00E33202"/>
    <w:rsid w:val="00E336A9"/>
    <w:rsid w:val="00E472B1"/>
    <w:rsid w:val="00E50624"/>
    <w:rsid w:val="00E568DF"/>
    <w:rsid w:val="00E64269"/>
    <w:rsid w:val="00E82267"/>
    <w:rsid w:val="00E853CE"/>
    <w:rsid w:val="00E867B6"/>
    <w:rsid w:val="00EA010F"/>
    <w:rsid w:val="00ED1B63"/>
    <w:rsid w:val="00ED3C1F"/>
    <w:rsid w:val="00ED4085"/>
    <w:rsid w:val="00ED420E"/>
    <w:rsid w:val="00ED6FBE"/>
    <w:rsid w:val="00EE2F57"/>
    <w:rsid w:val="00EF4C34"/>
    <w:rsid w:val="00EF77C6"/>
    <w:rsid w:val="00F05438"/>
    <w:rsid w:val="00F1361C"/>
    <w:rsid w:val="00F156F0"/>
    <w:rsid w:val="00F160C7"/>
    <w:rsid w:val="00F2408F"/>
    <w:rsid w:val="00F240E9"/>
    <w:rsid w:val="00F36D8F"/>
    <w:rsid w:val="00F417B1"/>
    <w:rsid w:val="00F45853"/>
    <w:rsid w:val="00F602DF"/>
    <w:rsid w:val="00F754A1"/>
    <w:rsid w:val="00F81FD9"/>
    <w:rsid w:val="00F841AA"/>
    <w:rsid w:val="00F84A94"/>
    <w:rsid w:val="00F87E96"/>
    <w:rsid w:val="00FA23E8"/>
    <w:rsid w:val="00FD3CC1"/>
    <w:rsid w:val="00FF1E02"/>
    <w:rsid w:val="00FF30B4"/>
    <w:rsid w:val="032F6F45"/>
    <w:rsid w:val="03DC2831"/>
    <w:rsid w:val="04396D48"/>
    <w:rsid w:val="06B173BA"/>
    <w:rsid w:val="081B5E94"/>
    <w:rsid w:val="09CE576F"/>
    <w:rsid w:val="0A2032A3"/>
    <w:rsid w:val="0AED7645"/>
    <w:rsid w:val="0B8A37D8"/>
    <w:rsid w:val="0F5FFB2F"/>
    <w:rsid w:val="0FFFCF60"/>
    <w:rsid w:val="10C055FF"/>
    <w:rsid w:val="118107EC"/>
    <w:rsid w:val="11DD6519"/>
    <w:rsid w:val="139E31E5"/>
    <w:rsid w:val="165631AB"/>
    <w:rsid w:val="166426C5"/>
    <w:rsid w:val="16BB723D"/>
    <w:rsid w:val="18015F3F"/>
    <w:rsid w:val="1BE8440E"/>
    <w:rsid w:val="1D155CEE"/>
    <w:rsid w:val="1FDBBF84"/>
    <w:rsid w:val="20F57F95"/>
    <w:rsid w:val="21CB106B"/>
    <w:rsid w:val="22A40FB9"/>
    <w:rsid w:val="240371BF"/>
    <w:rsid w:val="25711CC6"/>
    <w:rsid w:val="25C741E6"/>
    <w:rsid w:val="25F858E1"/>
    <w:rsid w:val="276F80C0"/>
    <w:rsid w:val="277E25F6"/>
    <w:rsid w:val="27842671"/>
    <w:rsid w:val="27D1127A"/>
    <w:rsid w:val="288527B5"/>
    <w:rsid w:val="28F87261"/>
    <w:rsid w:val="29FD04D3"/>
    <w:rsid w:val="2ABE7A3E"/>
    <w:rsid w:val="2AFF09B6"/>
    <w:rsid w:val="2BA13E83"/>
    <w:rsid w:val="2C29410F"/>
    <w:rsid w:val="2CA234A8"/>
    <w:rsid w:val="2EFA178C"/>
    <w:rsid w:val="2EFDF86C"/>
    <w:rsid w:val="2F9D17E1"/>
    <w:rsid w:val="30B46D73"/>
    <w:rsid w:val="319F7F4E"/>
    <w:rsid w:val="32F556D2"/>
    <w:rsid w:val="34A10DD0"/>
    <w:rsid w:val="353810CA"/>
    <w:rsid w:val="356A28F1"/>
    <w:rsid w:val="357C035A"/>
    <w:rsid w:val="35CD3A76"/>
    <w:rsid w:val="368E000D"/>
    <w:rsid w:val="383D272C"/>
    <w:rsid w:val="39AE70AB"/>
    <w:rsid w:val="3A4DCE41"/>
    <w:rsid w:val="3BCB56FA"/>
    <w:rsid w:val="3C0C0783"/>
    <w:rsid w:val="3D483DD2"/>
    <w:rsid w:val="3EE7C2F4"/>
    <w:rsid w:val="3F371B56"/>
    <w:rsid w:val="3F792ED8"/>
    <w:rsid w:val="3F9F3A96"/>
    <w:rsid w:val="3FECA4B2"/>
    <w:rsid w:val="3FF58C48"/>
    <w:rsid w:val="4275401C"/>
    <w:rsid w:val="42A927BF"/>
    <w:rsid w:val="42C0732A"/>
    <w:rsid w:val="42FF6694"/>
    <w:rsid w:val="46FF7D00"/>
    <w:rsid w:val="48BF60AB"/>
    <w:rsid w:val="493C27E9"/>
    <w:rsid w:val="496F39ED"/>
    <w:rsid w:val="49FF41D3"/>
    <w:rsid w:val="4B7E16EB"/>
    <w:rsid w:val="4BE068DB"/>
    <w:rsid w:val="4BF6002B"/>
    <w:rsid w:val="4BFFC6BE"/>
    <w:rsid w:val="4ECE2238"/>
    <w:rsid w:val="4F094291"/>
    <w:rsid w:val="51DB4B86"/>
    <w:rsid w:val="51F64DB0"/>
    <w:rsid w:val="55333C3E"/>
    <w:rsid w:val="57EA4B6E"/>
    <w:rsid w:val="5A451868"/>
    <w:rsid w:val="5B2D12E7"/>
    <w:rsid w:val="5E1A5E65"/>
    <w:rsid w:val="5F67802D"/>
    <w:rsid w:val="5F7DC4F2"/>
    <w:rsid w:val="5F8325E2"/>
    <w:rsid w:val="5FB36814"/>
    <w:rsid w:val="5FBB8E56"/>
    <w:rsid w:val="5FFB5535"/>
    <w:rsid w:val="60111C66"/>
    <w:rsid w:val="64CA39A1"/>
    <w:rsid w:val="66197C15"/>
    <w:rsid w:val="69630ADE"/>
    <w:rsid w:val="69BD5F13"/>
    <w:rsid w:val="69FB0B4B"/>
    <w:rsid w:val="6A0533C7"/>
    <w:rsid w:val="6BE449FC"/>
    <w:rsid w:val="6BFFE1FB"/>
    <w:rsid w:val="6C4A05C8"/>
    <w:rsid w:val="6C94460A"/>
    <w:rsid w:val="6CC22BE0"/>
    <w:rsid w:val="6CCD64ED"/>
    <w:rsid w:val="6D3B1A89"/>
    <w:rsid w:val="6DB7D8A3"/>
    <w:rsid w:val="6EC78701"/>
    <w:rsid w:val="6F7A5481"/>
    <w:rsid w:val="6FFE07A9"/>
    <w:rsid w:val="71BF4EC2"/>
    <w:rsid w:val="72542481"/>
    <w:rsid w:val="72734D90"/>
    <w:rsid w:val="73781FC8"/>
    <w:rsid w:val="73E75B71"/>
    <w:rsid w:val="7412278C"/>
    <w:rsid w:val="74552A75"/>
    <w:rsid w:val="75DDCDA9"/>
    <w:rsid w:val="75FF44B1"/>
    <w:rsid w:val="773821BD"/>
    <w:rsid w:val="77670518"/>
    <w:rsid w:val="777FA627"/>
    <w:rsid w:val="77DF1B5F"/>
    <w:rsid w:val="77EF2D9D"/>
    <w:rsid w:val="79E7B28D"/>
    <w:rsid w:val="7ACFF0C2"/>
    <w:rsid w:val="7AFB9108"/>
    <w:rsid w:val="7B175635"/>
    <w:rsid w:val="7BD5340C"/>
    <w:rsid w:val="7BFB19D2"/>
    <w:rsid w:val="7BFD1750"/>
    <w:rsid w:val="7BFDAA1B"/>
    <w:rsid w:val="7CDF9A82"/>
    <w:rsid w:val="7CFFA1BD"/>
    <w:rsid w:val="7D2E3F7A"/>
    <w:rsid w:val="7DED9490"/>
    <w:rsid w:val="7DFF4872"/>
    <w:rsid w:val="7E7487E6"/>
    <w:rsid w:val="7E7C2A54"/>
    <w:rsid w:val="7EEEFD72"/>
    <w:rsid w:val="7F1D517C"/>
    <w:rsid w:val="7F5DA057"/>
    <w:rsid w:val="7F6C2237"/>
    <w:rsid w:val="7F7F319B"/>
    <w:rsid w:val="7F9F20EE"/>
    <w:rsid w:val="7FBBE890"/>
    <w:rsid w:val="7FBC2ABD"/>
    <w:rsid w:val="7FBF5D48"/>
    <w:rsid w:val="7FCCFC01"/>
    <w:rsid w:val="7FDD1748"/>
    <w:rsid w:val="7FE769C6"/>
    <w:rsid w:val="7FFD083E"/>
    <w:rsid w:val="7FFF9372"/>
    <w:rsid w:val="84BF1F3B"/>
    <w:rsid w:val="8F55B106"/>
    <w:rsid w:val="95DF317D"/>
    <w:rsid w:val="97E77C70"/>
    <w:rsid w:val="9E3A10E2"/>
    <w:rsid w:val="9FB91FBD"/>
    <w:rsid w:val="9FD54998"/>
    <w:rsid w:val="A671883B"/>
    <w:rsid w:val="A7EFD17F"/>
    <w:rsid w:val="A7FFE43F"/>
    <w:rsid w:val="BDFEA317"/>
    <w:rsid w:val="CD9BBABB"/>
    <w:rsid w:val="CF99F292"/>
    <w:rsid w:val="D5DA60B3"/>
    <w:rsid w:val="D7C6F579"/>
    <w:rsid w:val="D8FECA92"/>
    <w:rsid w:val="DAFFBE66"/>
    <w:rsid w:val="DD2C0BFE"/>
    <w:rsid w:val="DE3F332B"/>
    <w:rsid w:val="DE6F4A3D"/>
    <w:rsid w:val="DF69F8B0"/>
    <w:rsid w:val="DFC71555"/>
    <w:rsid w:val="DFFC559C"/>
    <w:rsid w:val="DFFEDFAE"/>
    <w:rsid w:val="DFFFB5EB"/>
    <w:rsid w:val="E4B33E57"/>
    <w:rsid w:val="E5BF946A"/>
    <w:rsid w:val="EB39BD45"/>
    <w:rsid w:val="EBCF1FC2"/>
    <w:rsid w:val="EBD18F66"/>
    <w:rsid w:val="ED17392C"/>
    <w:rsid w:val="ED9FFD9A"/>
    <w:rsid w:val="EDB7968B"/>
    <w:rsid w:val="EEF73F60"/>
    <w:rsid w:val="EFED9E42"/>
    <w:rsid w:val="EFFFB194"/>
    <w:rsid w:val="F2E1F9D4"/>
    <w:rsid w:val="F5FF7449"/>
    <w:rsid w:val="F7880819"/>
    <w:rsid w:val="F7AF180D"/>
    <w:rsid w:val="F7BDBFA7"/>
    <w:rsid w:val="F7FAD68F"/>
    <w:rsid w:val="F7FB14CF"/>
    <w:rsid w:val="FB3FC69C"/>
    <w:rsid w:val="FBDFF225"/>
    <w:rsid w:val="FBF7AB63"/>
    <w:rsid w:val="FC2F3373"/>
    <w:rsid w:val="FCF51535"/>
    <w:rsid w:val="FD77F6B8"/>
    <w:rsid w:val="FDD69328"/>
    <w:rsid w:val="FDDFEC0E"/>
    <w:rsid w:val="FDE58BDD"/>
    <w:rsid w:val="FDEC7001"/>
    <w:rsid w:val="FEDFE87F"/>
    <w:rsid w:val="FEF1D25B"/>
    <w:rsid w:val="FF3EF90F"/>
    <w:rsid w:val="FFAF6081"/>
    <w:rsid w:val="FFECCD8C"/>
    <w:rsid w:val="FFED60BD"/>
    <w:rsid w:val="FFEE08F0"/>
    <w:rsid w:val="FFEE7F9F"/>
    <w:rsid w:val="FFFF3197"/>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name="footnote text"/>
    <w:lsdException w:uiPriority="99" w:name="annotation text"/>
    <w:lsdException w:qFormat="1" w:unhideWhenUsed="0" w:uiPriority="99"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qFormat="1" w:unhideWhenUsed="0" w:uiPriority="0" w:semiHidden="0"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99"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29"/>
    <w:qFormat/>
    <w:uiPriority w:val="9"/>
    <w:pPr>
      <w:keepNext/>
      <w:keepLines/>
      <w:spacing w:before="340" w:after="330" w:line="578" w:lineRule="auto"/>
      <w:outlineLvl w:val="0"/>
    </w:pPr>
    <w:rPr>
      <w:b/>
      <w:bCs/>
      <w:kern w:val="44"/>
      <w:sz w:val="44"/>
      <w:szCs w:val="44"/>
    </w:rPr>
  </w:style>
  <w:style w:type="paragraph" w:styleId="4">
    <w:name w:val="heading 2"/>
    <w:basedOn w:val="1"/>
    <w:next w:val="1"/>
    <w:link w:val="35"/>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link w:val="33"/>
    <w:unhideWhenUsed/>
    <w:qFormat/>
    <w:uiPriority w:val="9"/>
    <w:pPr>
      <w:keepNext/>
      <w:keepLines/>
      <w:spacing w:before="260" w:after="260" w:line="416" w:lineRule="auto"/>
      <w:outlineLvl w:val="2"/>
    </w:pPr>
    <w:rPr>
      <w:b/>
      <w:bCs/>
      <w:sz w:val="32"/>
      <w:szCs w:val="32"/>
    </w:rPr>
  </w:style>
  <w:style w:type="character" w:default="1" w:styleId="17">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2">
    <w:name w:val="Salutation"/>
    <w:basedOn w:val="1"/>
    <w:next w:val="1"/>
    <w:qFormat/>
    <w:uiPriority w:val="0"/>
  </w:style>
  <w:style w:type="paragraph" w:styleId="6">
    <w:name w:val="Body Text"/>
    <w:basedOn w:val="1"/>
    <w:next w:val="1"/>
    <w:link w:val="26"/>
    <w:qFormat/>
    <w:uiPriority w:val="99"/>
    <w:pPr>
      <w:spacing w:beforeLines="30"/>
    </w:pPr>
    <w:rPr>
      <w:rFonts w:ascii="仿宋_GB2312" w:eastAsia="仿宋_GB2312"/>
      <w:kern w:val="0"/>
      <w:sz w:val="30"/>
    </w:rPr>
  </w:style>
  <w:style w:type="paragraph" w:styleId="7">
    <w:name w:val="Body Text Indent"/>
    <w:basedOn w:val="1"/>
    <w:next w:val="8"/>
    <w:qFormat/>
    <w:uiPriority w:val="0"/>
    <w:pPr>
      <w:spacing w:after="120"/>
      <w:ind w:left="200" w:leftChars="200"/>
    </w:pPr>
    <w:rPr>
      <w:rFonts w:ascii="仿宋_GB2312"/>
      <w:szCs w:val="32"/>
    </w:rPr>
  </w:style>
  <w:style w:type="paragraph" w:styleId="8">
    <w:name w:val="Body Text First Indent 2"/>
    <w:basedOn w:val="7"/>
    <w:next w:val="1"/>
    <w:unhideWhenUsed/>
    <w:qFormat/>
    <w:uiPriority w:val="99"/>
    <w:pPr>
      <w:ind w:firstLine="420" w:firstLineChars="200"/>
    </w:pPr>
  </w:style>
  <w:style w:type="paragraph" w:styleId="9">
    <w:name w:val="toc 3"/>
    <w:basedOn w:val="1"/>
    <w:next w:val="1"/>
    <w:unhideWhenUsed/>
    <w:qFormat/>
    <w:uiPriority w:val="39"/>
    <w:pPr>
      <w:tabs>
        <w:tab w:val="right" w:leader="dot" w:pos="8296"/>
      </w:tabs>
      <w:ind w:left="840" w:leftChars="400"/>
    </w:pPr>
  </w:style>
  <w:style w:type="paragraph" w:styleId="10">
    <w:name w:val="Balloon Text"/>
    <w:basedOn w:val="1"/>
    <w:link w:val="32"/>
    <w:semiHidden/>
    <w:unhideWhenUsed/>
    <w:qFormat/>
    <w:uiPriority w:val="99"/>
    <w:rPr>
      <w:sz w:val="18"/>
      <w:szCs w:val="18"/>
    </w:rPr>
  </w:style>
  <w:style w:type="paragraph" w:styleId="11">
    <w:name w:val="footer"/>
    <w:basedOn w:val="1"/>
    <w:link w:val="24"/>
    <w:qFormat/>
    <w:uiPriority w:val="99"/>
    <w:pPr>
      <w:tabs>
        <w:tab w:val="center" w:pos="4153"/>
        <w:tab w:val="right" w:pos="8306"/>
      </w:tabs>
      <w:snapToGrid w:val="0"/>
      <w:jc w:val="left"/>
    </w:pPr>
    <w:rPr>
      <w:rFonts w:ascii="Calibri" w:hAnsi="Calibri"/>
      <w:kern w:val="0"/>
      <w:sz w:val="18"/>
      <w:szCs w:val="18"/>
    </w:rPr>
  </w:style>
  <w:style w:type="paragraph" w:styleId="12">
    <w:name w:val="header"/>
    <w:basedOn w:val="1"/>
    <w:link w:val="22"/>
    <w:semiHidden/>
    <w:qFormat/>
    <w:uiPriority w:val="99"/>
    <w:pPr>
      <w:pBdr>
        <w:bottom w:val="single" w:color="auto" w:sz="6" w:space="1"/>
      </w:pBdr>
      <w:tabs>
        <w:tab w:val="center" w:pos="4153"/>
        <w:tab w:val="right" w:pos="8306"/>
      </w:tabs>
      <w:snapToGrid w:val="0"/>
      <w:jc w:val="center"/>
    </w:pPr>
    <w:rPr>
      <w:rFonts w:ascii="Calibri" w:hAnsi="Calibri"/>
      <w:kern w:val="0"/>
      <w:sz w:val="18"/>
      <w:szCs w:val="18"/>
    </w:rPr>
  </w:style>
  <w:style w:type="paragraph" w:styleId="13">
    <w:name w:val="toc 1"/>
    <w:basedOn w:val="1"/>
    <w:next w:val="1"/>
    <w:unhideWhenUsed/>
    <w:qFormat/>
    <w:uiPriority w:val="39"/>
    <w:pPr>
      <w:tabs>
        <w:tab w:val="right" w:leader="dot" w:pos="8296"/>
      </w:tabs>
      <w:spacing w:before="93"/>
      <w:jc w:val="center"/>
    </w:pPr>
    <w:rPr>
      <w:rFonts w:ascii="仿宋" w:hAnsi="仿宋" w:eastAsia="仿宋"/>
      <w:sz w:val="28"/>
      <w:szCs w:val="28"/>
    </w:rPr>
  </w:style>
  <w:style w:type="paragraph" w:styleId="14">
    <w:name w:val="footnote text"/>
    <w:basedOn w:val="1"/>
    <w:next w:val="8"/>
    <w:semiHidden/>
    <w:qFormat/>
    <w:uiPriority w:val="0"/>
    <w:pPr>
      <w:snapToGrid w:val="0"/>
      <w:jc w:val="left"/>
    </w:pPr>
    <w:rPr>
      <w:sz w:val="18"/>
      <w:szCs w:val="18"/>
    </w:rPr>
  </w:style>
  <w:style w:type="paragraph" w:styleId="15">
    <w:name w:val="toc 2"/>
    <w:basedOn w:val="1"/>
    <w:next w:val="1"/>
    <w:unhideWhenUsed/>
    <w:qFormat/>
    <w:uiPriority w:val="39"/>
    <w:pPr>
      <w:tabs>
        <w:tab w:val="right" w:leader="dot" w:pos="8296"/>
      </w:tabs>
      <w:ind w:left="420" w:leftChars="200"/>
    </w:pPr>
  </w:style>
  <w:style w:type="character" w:styleId="18">
    <w:name w:val="Strong"/>
    <w:basedOn w:val="17"/>
    <w:qFormat/>
    <w:uiPriority w:val="99"/>
    <w:rPr>
      <w:b/>
    </w:rPr>
  </w:style>
  <w:style w:type="character" w:styleId="19">
    <w:name w:val="Hyperlink"/>
    <w:basedOn w:val="17"/>
    <w:unhideWhenUsed/>
    <w:qFormat/>
    <w:uiPriority w:val="99"/>
    <w:rPr>
      <w:color w:val="0000FF" w:themeColor="hyperlink"/>
      <w:u w:val="single"/>
      <w14:textFill>
        <w14:solidFill>
          <w14:schemeClr w14:val="hlink"/>
        </w14:solidFill>
      </w14:textFill>
    </w:rPr>
  </w:style>
  <w:style w:type="paragraph" w:customStyle="1" w:styleId="20">
    <w:name w:val="标题 5（有编号）（绿盟科技）"/>
    <w:next w:val="1"/>
    <w:qFormat/>
    <w:uiPriority w:val="99"/>
    <w:pPr>
      <w:keepNext/>
      <w:keepLines/>
      <w:widowControl w:val="0"/>
      <w:spacing w:before="280" w:after="156" w:line="377" w:lineRule="auto"/>
      <w:outlineLvl w:val="4"/>
    </w:pPr>
    <w:rPr>
      <w:rFonts w:ascii="Arial" w:hAnsi="Arial" w:eastAsia="黑体" w:cs="Times New Roman"/>
      <w:b/>
      <w:kern w:val="2"/>
      <w:sz w:val="24"/>
      <w:szCs w:val="28"/>
      <w:lang w:val="en-US" w:eastAsia="zh-CN" w:bidi="ar-SA"/>
    </w:rPr>
  </w:style>
  <w:style w:type="character" w:customStyle="1" w:styleId="21">
    <w:name w:val="Header Char"/>
    <w:basedOn w:val="17"/>
    <w:semiHidden/>
    <w:qFormat/>
    <w:uiPriority w:val="99"/>
    <w:rPr>
      <w:rFonts w:ascii="Times New Roman" w:hAnsi="Times New Roman"/>
      <w:sz w:val="18"/>
      <w:szCs w:val="18"/>
    </w:rPr>
  </w:style>
  <w:style w:type="character" w:customStyle="1" w:styleId="22">
    <w:name w:val="页眉 字符"/>
    <w:link w:val="12"/>
    <w:semiHidden/>
    <w:qFormat/>
    <w:locked/>
    <w:uiPriority w:val="99"/>
    <w:rPr>
      <w:sz w:val="18"/>
    </w:rPr>
  </w:style>
  <w:style w:type="character" w:customStyle="1" w:styleId="23">
    <w:name w:val="Footer Char"/>
    <w:basedOn w:val="17"/>
    <w:semiHidden/>
    <w:qFormat/>
    <w:uiPriority w:val="99"/>
    <w:rPr>
      <w:rFonts w:ascii="Times New Roman" w:hAnsi="Times New Roman"/>
      <w:sz w:val="18"/>
      <w:szCs w:val="18"/>
    </w:rPr>
  </w:style>
  <w:style w:type="character" w:customStyle="1" w:styleId="24">
    <w:name w:val="页脚 字符"/>
    <w:link w:val="11"/>
    <w:qFormat/>
    <w:locked/>
    <w:uiPriority w:val="99"/>
    <w:rPr>
      <w:sz w:val="18"/>
    </w:rPr>
  </w:style>
  <w:style w:type="character" w:customStyle="1" w:styleId="25">
    <w:name w:val="Body Text Char"/>
    <w:basedOn w:val="17"/>
    <w:semiHidden/>
    <w:qFormat/>
    <w:uiPriority w:val="99"/>
    <w:rPr>
      <w:rFonts w:ascii="Times New Roman" w:hAnsi="Times New Roman"/>
      <w:szCs w:val="24"/>
    </w:rPr>
  </w:style>
  <w:style w:type="character" w:customStyle="1" w:styleId="26">
    <w:name w:val="正文文本 字符"/>
    <w:link w:val="6"/>
    <w:qFormat/>
    <w:locked/>
    <w:uiPriority w:val="99"/>
    <w:rPr>
      <w:rFonts w:ascii="仿宋_GB2312" w:hAnsi="Times New Roman" w:eastAsia="仿宋_GB2312"/>
      <w:sz w:val="24"/>
    </w:rPr>
  </w:style>
  <w:style w:type="paragraph" w:customStyle="1" w:styleId="27">
    <w:name w:val="Default"/>
    <w:qFormat/>
    <w:uiPriority w:val="99"/>
    <w:pPr>
      <w:widowControl w:val="0"/>
      <w:autoSpaceDE w:val="0"/>
      <w:autoSpaceDN w:val="0"/>
      <w:adjustRightInd w:val="0"/>
    </w:pPr>
    <w:rPr>
      <w:rFonts w:ascii="仿宋" w:hAnsi="Calibri" w:eastAsia="仿宋" w:cs="仿宋"/>
      <w:color w:val="000000"/>
      <w:sz w:val="24"/>
      <w:szCs w:val="24"/>
      <w:lang w:val="en-US" w:eastAsia="zh-CN" w:bidi="ar-SA"/>
    </w:rPr>
  </w:style>
  <w:style w:type="paragraph" w:styleId="28">
    <w:name w:val="List Paragraph"/>
    <w:basedOn w:val="1"/>
    <w:qFormat/>
    <w:uiPriority w:val="34"/>
    <w:pPr>
      <w:ind w:firstLine="420" w:firstLineChars="200"/>
    </w:pPr>
  </w:style>
  <w:style w:type="character" w:customStyle="1" w:styleId="29">
    <w:name w:val="标题 1 字符"/>
    <w:basedOn w:val="17"/>
    <w:link w:val="3"/>
    <w:qFormat/>
    <w:uiPriority w:val="9"/>
    <w:rPr>
      <w:rFonts w:ascii="Times New Roman" w:hAnsi="Times New Roman"/>
      <w:b/>
      <w:bCs/>
      <w:kern w:val="44"/>
      <w:sz w:val="44"/>
      <w:szCs w:val="44"/>
    </w:rPr>
  </w:style>
  <w:style w:type="character" w:customStyle="1" w:styleId="30">
    <w:name w:val="标题 2 字符"/>
    <w:basedOn w:val="17"/>
    <w:link w:val="4"/>
    <w:qFormat/>
    <w:uiPriority w:val="9"/>
    <w:rPr>
      <w:rFonts w:asciiTheme="majorHAnsi" w:hAnsiTheme="majorHAnsi" w:eastAsiaTheme="majorEastAsia" w:cstheme="majorBidi"/>
      <w:b/>
      <w:bCs/>
      <w:kern w:val="2"/>
      <w:sz w:val="32"/>
      <w:szCs w:val="32"/>
    </w:rPr>
  </w:style>
  <w:style w:type="paragraph" w:customStyle="1" w:styleId="31">
    <w:name w:val="TOC 标题1"/>
    <w:basedOn w:val="3"/>
    <w:next w:val="1"/>
    <w:unhideWhenUsed/>
    <w:qFormat/>
    <w:uiPriority w:val="39"/>
    <w:pPr>
      <w:widowControl/>
      <w:spacing w:before="480" w:after="0" w:line="276" w:lineRule="auto"/>
      <w:jc w:val="left"/>
      <w:outlineLvl w:val="9"/>
    </w:pPr>
    <w:rPr>
      <w:rFonts w:asciiTheme="majorHAnsi" w:hAnsiTheme="majorHAnsi" w:eastAsiaTheme="majorEastAsia" w:cstheme="majorBidi"/>
      <w:color w:val="376092" w:themeColor="accent1" w:themeShade="BF"/>
      <w:kern w:val="0"/>
      <w:sz w:val="28"/>
      <w:szCs w:val="28"/>
    </w:rPr>
  </w:style>
  <w:style w:type="character" w:customStyle="1" w:styleId="32">
    <w:name w:val="批注框文本 字符"/>
    <w:basedOn w:val="17"/>
    <w:link w:val="10"/>
    <w:semiHidden/>
    <w:qFormat/>
    <w:uiPriority w:val="99"/>
    <w:rPr>
      <w:rFonts w:ascii="Times New Roman" w:hAnsi="Times New Roman"/>
      <w:kern w:val="2"/>
      <w:sz w:val="18"/>
      <w:szCs w:val="18"/>
    </w:rPr>
  </w:style>
  <w:style w:type="character" w:customStyle="1" w:styleId="33">
    <w:name w:val="标题 3 字符"/>
    <w:basedOn w:val="17"/>
    <w:link w:val="5"/>
    <w:qFormat/>
    <w:uiPriority w:val="9"/>
    <w:rPr>
      <w:rFonts w:ascii="Times New Roman" w:hAnsi="Times New Roman"/>
      <w:b/>
      <w:bCs/>
      <w:kern w:val="2"/>
      <w:sz w:val="32"/>
      <w:szCs w:val="32"/>
    </w:rPr>
  </w:style>
  <w:style w:type="paragraph" w:customStyle="1" w:styleId="34">
    <w:name w:val="TOC 标题2"/>
    <w:basedOn w:val="3"/>
    <w:next w:val="1"/>
    <w:unhideWhenUsed/>
    <w:qFormat/>
    <w:uiPriority w:val="39"/>
    <w:pPr>
      <w:widowControl/>
      <w:spacing w:before="480" w:after="0" w:line="276" w:lineRule="auto"/>
      <w:jc w:val="left"/>
      <w:outlineLvl w:val="9"/>
    </w:pPr>
    <w:rPr>
      <w:rFonts w:asciiTheme="majorHAnsi" w:hAnsiTheme="majorHAnsi" w:eastAsiaTheme="majorEastAsia" w:cstheme="majorBidi"/>
      <w:color w:val="376092" w:themeColor="accent1" w:themeShade="BF"/>
      <w:kern w:val="0"/>
      <w:sz w:val="28"/>
      <w:szCs w:val="28"/>
    </w:rPr>
  </w:style>
  <w:style w:type="character" w:customStyle="1" w:styleId="35">
    <w:name w:val="标题 2 Char"/>
    <w:basedOn w:val="17"/>
    <w:link w:val="4"/>
    <w:qFormat/>
    <w:uiPriority w:val="9"/>
    <w:rPr>
      <w:rFonts w:ascii="Cambria" w:hAnsi="Cambria" w:eastAsia="宋体" w:cs="Times New Roman"/>
      <w:b/>
      <w:bCs/>
      <w:sz w:val="32"/>
      <w:szCs w:val="32"/>
    </w:rPr>
  </w:style>
  <w:style w:type="paragraph" w:customStyle="1" w:styleId="36">
    <w:name w:val="WPSOffice手动目录 1"/>
    <w:qFormat/>
    <w:uiPriority w:val="0"/>
    <w:pPr>
      <w:ind w:leftChars="0"/>
    </w:pPr>
    <w:rPr>
      <w:rFonts w:asciiTheme="minorHAnsi" w:hAnsiTheme="minorHAnsi" w:eastAsiaTheme="minorEastAsia" w:cstheme="minorBidi"/>
      <w:sz w:val="20"/>
      <w:szCs w:val="20"/>
    </w:rPr>
  </w:style>
  <w:style w:type="paragraph" w:customStyle="1" w:styleId="37">
    <w:name w:val="WPSOffice手动目录 2"/>
    <w:qFormat/>
    <w:uiPriority w:val="0"/>
    <w:pPr>
      <w:ind w:leftChars="20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四川省财政厅</Company>
  <Pages>64</Pages>
  <Words>5259</Words>
  <Characters>5844</Characters>
  <Lines>54</Lines>
  <Paragraphs>15</Paragraphs>
  <TotalTime>10</TotalTime>
  <ScaleCrop>false</ScaleCrop>
  <LinksUpToDate>false</LinksUpToDate>
  <CharactersWithSpaces>5899</CharactersWithSpaces>
  <Application>WPS Office_12.8.2.15292_F1E327BC-269C-435d-A152-05C5408002CA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2020-08-08T01:49:00Z</dcterms:created>
  <dc:creator>曹颖</dc:creator>
  <cp:lastModifiedBy>张学琴</cp:lastModifiedBy>
  <cp:lastPrinted>2024-10-24T05:29:00Z</cp:lastPrinted>
  <dcterms:modified xsi:type="dcterms:W3CDTF">2025-01-21T07:13:12Z</dcterms:modified>
  <dc:title>四川省***</dc:title>
  <cp:revision>39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2052-12.8.2.15292</vt:lpwstr>
  </property>
  <property fmtid="{D5CDD505-2E9C-101B-9397-08002B2CF9AE}" pid="3" name="ICV">
    <vt:lpwstr>EF58631A50A74D20A84C24A86C573FC3_13</vt:lpwstr>
  </property>
</Properties>
</file>