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szCs w:val="21"/>
        </w:rPr>
      </w:pPr>
      <w:bookmarkStart w:id="0" w:name="_Toc15306267"/>
    </w:p>
    <w:p>
      <w:pPr>
        <w:pStyle w:val="10"/>
        <w:spacing w:before="93"/>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4737"/>
      <w:bookmarkStart w:id="2" w:name="_Toc15396597"/>
      <w:bookmarkStart w:id="3" w:name="_Toc15377193"/>
      <w:bookmarkStart w:id="4" w:name="_Toc15378441"/>
      <w:bookmarkStart w:id="5" w:name="_Toc15377425"/>
      <w:bookmarkStart w:id="6" w:name="_Toc26080"/>
      <w:bookmarkStart w:id="7" w:name="_Toc15396475"/>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bookmarkEnd w:id="6"/>
      <w:bookmarkEnd w:id="7"/>
    </w:p>
    <w:bookmarkEnd w:id="0"/>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8" w:name="_Toc15377426"/>
      <w:bookmarkStart w:id="9" w:name="_Toc15377194"/>
      <w:bookmarkStart w:id="10" w:name="_Toc30327"/>
      <w:bookmarkStart w:id="11" w:name="_Toc15378442"/>
      <w:bookmarkStart w:id="12" w:name="_Toc15396476"/>
      <w:bookmarkStart w:id="13" w:name="_Toc15396598"/>
      <w:bookmarkStart w:id="14" w:name="_Toc27358"/>
      <w:bookmarkStart w:id="15" w:name="_Toc15306268"/>
      <w:r>
        <w:rPr>
          <w:rFonts w:hint="eastAsia" w:ascii="方正小标宋简体" w:hAnsi="方正小标宋简体" w:eastAsia="方正小标宋简体" w:cs="方正小标宋简体"/>
          <w:sz w:val="72"/>
          <w:szCs w:val="72"/>
        </w:rPr>
        <w:t>五通桥区水上运动</w:t>
      </w:r>
      <w:r>
        <w:rPr>
          <w:rFonts w:hint="eastAsia" w:ascii="方正小标宋简体" w:hAnsi="方正小标宋简体" w:eastAsia="方正小标宋简体" w:cs="方正小标宋简体"/>
          <w:sz w:val="72"/>
          <w:szCs w:val="72"/>
          <w:lang w:val="en-US" w:eastAsia="zh-CN"/>
        </w:rPr>
        <w:t>技术</w:t>
      </w:r>
      <w:r>
        <w:rPr>
          <w:rFonts w:hint="eastAsia" w:ascii="方正小标宋简体" w:hAnsi="方正小标宋简体" w:eastAsia="方正小标宋简体" w:cs="方正小标宋简体"/>
          <w:sz w:val="72"/>
          <w:szCs w:val="72"/>
        </w:rPr>
        <w:t>学校单位决算</w:t>
      </w:r>
      <w:bookmarkEnd w:id="8"/>
      <w:bookmarkEnd w:id="9"/>
      <w:bookmarkEnd w:id="10"/>
      <w:bookmarkEnd w:id="11"/>
      <w:bookmarkEnd w:id="12"/>
      <w:bookmarkEnd w:id="13"/>
      <w:bookmarkEnd w:id="14"/>
      <w:bookmarkEnd w:id="15"/>
    </w:p>
    <w:p>
      <w:pPr>
        <w:widowControl/>
        <w:jc w:val="center"/>
        <w:rPr>
          <w:rFonts w:ascii="黑体" w:hAnsi="黑体" w:eastAsia="黑体" w:cs="黑体"/>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7"/>
        <w:tabs>
          <w:tab w:val="right" w:leader="dot" w:pos="8296"/>
        </w:tabs>
        <w:jc w:val="center"/>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p>
      <w:pPr>
        <w:pStyle w:val="17"/>
        <w:tabs>
          <w:tab w:val="right" w:leader="dot" w:pos="8306"/>
        </w:tabs>
        <w:rPr>
          <w:rFonts w:ascii="Times New Roman" w:hAnsi="Times New Roman" w:eastAsia="宋体" w:cs="Times New Roman"/>
          <w:kern w:val="2"/>
          <w:szCs w:val="24"/>
          <w:lang w:val="en-US" w:eastAsia="zh-CN" w:bidi="ar-SA"/>
        </w:rPr>
      </w:pPr>
      <w:bookmarkStart w:id="16" w:name="_Toc15377196"/>
      <w:bookmarkStart w:id="17" w:name="_Toc15396599"/>
      <w:r>
        <w:rPr>
          <w:rFonts w:ascii="仿宋" w:hAnsi="仿宋" w:eastAsia="仿宋"/>
          <w:bCs/>
          <w:kern w:val="44"/>
          <w:sz w:val="24"/>
        </w:rPr>
        <w:fldChar w:fldCharType="begin"/>
      </w:r>
      <w:r>
        <w:rPr>
          <w:rFonts w:ascii="仿宋" w:hAnsi="仿宋" w:eastAsia="仿宋"/>
          <w:bCs/>
          <w:kern w:val="44"/>
          <w:sz w:val="24"/>
        </w:rPr>
        <w:instrText xml:space="preserve">TOC \o "1-3" \h  \u </w:instrText>
      </w:r>
      <w:r>
        <w:rPr>
          <w:rFonts w:ascii="仿宋" w:hAnsi="仿宋" w:eastAsia="仿宋"/>
          <w:bCs/>
          <w:kern w:val="44"/>
          <w:sz w:val="24"/>
        </w:rPr>
        <w:fldChar w:fldCharType="separate"/>
      </w:r>
    </w:p>
    <w:p>
      <w:pPr>
        <w:pStyle w:val="17"/>
        <w:tabs>
          <w:tab w:val="right" w:leader="dot" w:pos="8306"/>
        </w:tabs>
        <w:rPr>
          <w:rFonts w:ascii="Times New Roman" w:hAnsi="Times New Roman" w:eastAsia="宋体" w:cs="Times New Roman"/>
          <w:kern w:val="2"/>
          <w:szCs w:val="24"/>
          <w:lang w:val="en-US" w:eastAsia="zh-CN" w:bidi="ar-SA"/>
        </w:rPr>
      </w:pPr>
      <w:r>
        <w:rPr>
          <w:rFonts w:ascii="仿宋" w:hAnsi="仿宋" w:eastAsia="仿宋" w:cs="Times New Roman"/>
          <w:bCs/>
          <w:kern w:val="44"/>
          <w:szCs w:val="24"/>
          <w:lang w:val="en-US" w:eastAsia="zh-CN" w:bidi="ar-SA"/>
        </w:rPr>
        <w:fldChar w:fldCharType="begin"/>
      </w:r>
      <w:r>
        <w:rPr>
          <w:rFonts w:ascii="仿宋" w:hAnsi="仿宋" w:eastAsia="仿宋" w:cs="Times New Roman"/>
          <w:bCs/>
          <w:kern w:val="44"/>
          <w:szCs w:val="24"/>
          <w:lang w:val="en-US" w:eastAsia="zh-CN" w:bidi="ar-SA"/>
        </w:rPr>
        <w:instrText xml:space="preserve"> HYPERLINK \l _Toc16196 </w:instrText>
      </w:r>
      <w:r>
        <w:rPr>
          <w:rFonts w:ascii="仿宋" w:hAnsi="仿宋" w:eastAsia="仿宋" w:cs="Times New Roman"/>
          <w:bCs/>
          <w:kern w:val="44"/>
          <w:szCs w:val="24"/>
          <w:lang w:val="en-US" w:eastAsia="zh-CN" w:bidi="ar-SA"/>
        </w:rPr>
        <w:fldChar w:fldCharType="separate"/>
      </w:r>
      <w:r>
        <w:rPr>
          <w:rFonts w:hint="eastAsia" w:ascii="仿宋" w:hAnsi="仿宋" w:eastAsia="仿宋" w:cs="仿宋"/>
          <w:kern w:val="2"/>
          <w:sz w:val="24"/>
          <w:szCs w:val="24"/>
          <w:lang w:val="en-US" w:eastAsia="zh-CN" w:bidi="ar-SA"/>
        </w:rPr>
        <w:t>第一部分 单位</w:t>
      </w:r>
      <w:r>
        <w:rPr>
          <w:rFonts w:hint="eastAsia" w:ascii="仿宋" w:hAnsi="仿宋" w:eastAsia="仿宋" w:cs="仿宋"/>
          <w:bCs w:val="0"/>
          <w:kern w:val="2"/>
          <w:sz w:val="24"/>
          <w:szCs w:val="24"/>
          <w:lang w:val="en-US" w:eastAsia="zh-CN" w:bidi="ar-SA"/>
        </w:rPr>
        <w:t>概况</w:t>
      </w:r>
      <w:r>
        <w:rPr>
          <w:rFonts w:hint="eastAsia" w:ascii="宋体" w:hAnsi="宋体" w:eastAsia="宋体" w:cs="宋体"/>
          <w:kern w:val="2"/>
          <w:sz w:val="24"/>
          <w:szCs w:val="24"/>
          <w:lang w:val="en-US" w:eastAsia="zh-CN" w:bidi="ar-SA"/>
        </w:rPr>
        <w:tab/>
      </w:r>
      <w:r>
        <w:rPr>
          <w:rFonts w:hint="eastAsia" w:ascii="仿宋" w:hAnsi="仿宋" w:eastAsia="仿宋" w:cs="仿宋"/>
          <w:kern w:val="2"/>
          <w:sz w:val="24"/>
          <w:szCs w:val="24"/>
          <w:lang w:val="en-US" w:eastAsia="zh-CN" w:bidi="ar-SA"/>
        </w:rPr>
        <w:fldChar w:fldCharType="begin"/>
      </w:r>
      <w:r>
        <w:rPr>
          <w:rFonts w:hint="eastAsia" w:ascii="仿宋" w:hAnsi="仿宋" w:eastAsia="仿宋" w:cs="仿宋"/>
          <w:kern w:val="2"/>
          <w:sz w:val="24"/>
          <w:szCs w:val="24"/>
          <w:lang w:val="en-US" w:eastAsia="zh-CN" w:bidi="ar-SA"/>
        </w:rPr>
        <w:instrText xml:space="preserve"> PAGEREF _Toc16196 </w:instrText>
      </w:r>
      <w:r>
        <w:rPr>
          <w:rFonts w:hint="eastAsia" w:ascii="仿宋" w:hAnsi="仿宋" w:eastAsia="仿宋" w:cs="仿宋"/>
          <w:kern w:val="2"/>
          <w:sz w:val="24"/>
          <w:szCs w:val="24"/>
          <w:lang w:val="en-US" w:eastAsia="zh-CN" w:bidi="ar-SA"/>
        </w:rPr>
        <w:fldChar w:fldCharType="separate"/>
      </w:r>
      <w:r>
        <w:rPr>
          <w:rFonts w:hint="eastAsia" w:ascii="仿宋" w:hAnsi="仿宋" w:eastAsia="仿宋" w:cs="仿宋"/>
          <w:kern w:val="2"/>
          <w:sz w:val="24"/>
          <w:szCs w:val="24"/>
          <w:lang w:val="en-US" w:eastAsia="zh-CN" w:bidi="ar-SA"/>
        </w:rPr>
        <w:t>3</w:t>
      </w:r>
      <w:r>
        <w:rPr>
          <w:rFonts w:hint="eastAsia" w:ascii="仿宋" w:hAnsi="仿宋" w:eastAsia="仿宋" w:cs="仿宋"/>
          <w:kern w:val="2"/>
          <w:sz w:val="24"/>
          <w:szCs w:val="24"/>
          <w:lang w:val="en-US" w:eastAsia="zh-CN" w:bidi="ar-SA"/>
        </w:rPr>
        <w:fldChar w:fldCharType="end"/>
      </w:r>
      <w:r>
        <w:rPr>
          <w:rFonts w:ascii="仿宋" w:hAnsi="仿宋" w:eastAsia="仿宋" w:cs="Times New Roman"/>
          <w:bCs/>
          <w:kern w:val="4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_Toc26852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一、主要职责</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_Toc26852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ascii="Times New Roman" w:hAnsi="Times New Roman" w:eastAsia="宋体" w:cs="Times New Roman"/>
          <w:kern w:val="2"/>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_Toc17597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二、</w:t>
      </w:r>
      <w:r>
        <w:rPr>
          <w:rFonts w:hint="eastAsia" w:ascii="宋体" w:hAnsi="宋体" w:eastAsia="宋体" w:cs="宋体"/>
          <w:kern w:val="2"/>
          <w:sz w:val="24"/>
          <w:szCs w:val="24"/>
          <w:lang w:val="en-US" w:eastAsia="zh-CN" w:bidi="ar-SA"/>
        </w:rPr>
        <w:t>机构设置</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_Toc17597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17"/>
        <w:tabs>
          <w:tab w:val="right" w:leader="dot" w:pos="8306"/>
        </w:tabs>
        <w:rPr>
          <w:rFonts w:ascii="Times New Roman" w:hAnsi="Times New Roman" w:eastAsia="宋体" w:cs="Times New Roman"/>
          <w:kern w:val="2"/>
          <w:szCs w:val="24"/>
          <w:lang w:val="en-US" w:eastAsia="zh-CN" w:bidi="ar-SA"/>
        </w:rPr>
      </w:pPr>
      <w:r>
        <w:rPr>
          <w:rFonts w:ascii="仿宋" w:hAnsi="仿宋" w:eastAsia="仿宋" w:cs="Times New Roman"/>
          <w:bCs/>
          <w:kern w:val="44"/>
          <w:szCs w:val="24"/>
          <w:lang w:val="en-US" w:eastAsia="zh-CN" w:bidi="ar-SA"/>
        </w:rPr>
        <w:fldChar w:fldCharType="begin"/>
      </w:r>
      <w:r>
        <w:rPr>
          <w:rFonts w:ascii="仿宋" w:hAnsi="仿宋" w:eastAsia="仿宋" w:cs="Times New Roman"/>
          <w:bCs/>
          <w:kern w:val="44"/>
          <w:szCs w:val="24"/>
          <w:lang w:val="en-US" w:eastAsia="zh-CN" w:bidi="ar-SA"/>
        </w:rPr>
        <w:instrText xml:space="preserve"> HYPERLINK \l _Toc32625 </w:instrText>
      </w:r>
      <w:r>
        <w:rPr>
          <w:rFonts w:ascii="仿宋" w:hAnsi="仿宋" w:eastAsia="仿宋" w:cs="Times New Roman"/>
          <w:bCs/>
          <w:kern w:val="44"/>
          <w:szCs w:val="24"/>
          <w:lang w:val="en-US" w:eastAsia="zh-CN" w:bidi="ar-SA"/>
        </w:rPr>
        <w:fldChar w:fldCharType="separate"/>
      </w:r>
      <w:r>
        <w:rPr>
          <w:rFonts w:hint="eastAsia" w:ascii="仿宋" w:hAnsi="仿宋" w:eastAsia="仿宋" w:cs="仿宋"/>
          <w:kern w:val="2"/>
          <w:sz w:val="24"/>
          <w:szCs w:val="24"/>
          <w:lang w:val="en-US" w:eastAsia="zh-CN" w:bidi="ar-SA"/>
        </w:rPr>
        <w:t>第二部分 2023年度</w:t>
      </w:r>
      <w:r>
        <w:rPr>
          <w:rFonts w:hint="eastAsia" w:ascii="仿宋" w:hAnsi="仿宋" w:eastAsia="仿宋" w:cs="仿宋"/>
          <w:bCs/>
          <w:kern w:val="2"/>
          <w:sz w:val="24"/>
          <w:szCs w:val="24"/>
          <w:lang w:val="en-US" w:eastAsia="zh-CN" w:bidi="ar-SA"/>
        </w:rPr>
        <w:t>单位决算情况说明</w:t>
      </w:r>
      <w:r>
        <w:rPr>
          <w:rFonts w:hint="eastAsia" w:ascii="宋体" w:hAnsi="宋体" w:eastAsia="宋体" w:cs="宋体"/>
          <w:kern w:val="2"/>
          <w:sz w:val="24"/>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_Toc32625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4</w:t>
      </w:r>
      <w:r>
        <w:rPr>
          <w:rFonts w:ascii="Times New Roman" w:hAnsi="Times New Roman" w:eastAsia="宋体" w:cs="Times New Roman"/>
          <w:kern w:val="2"/>
          <w:szCs w:val="24"/>
          <w:lang w:val="en-US" w:eastAsia="zh-CN" w:bidi="ar-SA"/>
        </w:rPr>
        <w:fldChar w:fldCharType="end"/>
      </w:r>
      <w:r>
        <w:rPr>
          <w:rFonts w:ascii="仿宋" w:hAnsi="仿宋" w:eastAsia="仿宋" w:cs="Times New Roman"/>
          <w:bCs/>
          <w:kern w:val="4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_Toc6988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一、</w:t>
      </w:r>
      <w:r>
        <w:rPr>
          <w:rFonts w:hint="eastAsia" w:ascii="宋体" w:hAnsi="宋体" w:eastAsia="宋体" w:cs="宋体"/>
          <w:kern w:val="2"/>
          <w:sz w:val="24"/>
          <w:szCs w:val="24"/>
          <w:lang w:val="en-US" w:eastAsia="zh-CN" w:bidi="ar-SA"/>
        </w:rPr>
        <w:t>收入支出决算总体情况说明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_Toc6988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_Toc502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二、</w:t>
      </w:r>
      <w:r>
        <w:rPr>
          <w:rFonts w:hint="eastAsia" w:ascii="宋体" w:hAnsi="宋体" w:eastAsia="宋体" w:cs="宋体"/>
          <w:kern w:val="2"/>
          <w:sz w:val="24"/>
          <w:szCs w:val="24"/>
          <w:lang w:val="en-US" w:eastAsia="zh-CN" w:bidi="ar-SA"/>
        </w:rPr>
        <w:t>收入决算情况说明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_Toc502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_Toc8242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三、</w:t>
      </w:r>
      <w:r>
        <w:rPr>
          <w:rFonts w:hint="eastAsia" w:ascii="宋体" w:hAnsi="宋体" w:eastAsia="宋体" w:cs="宋体"/>
          <w:kern w:val="2"/>
          <w:sz w:val="24"/>
          <w:szCs w:val="24"/>
          <w:lang w:val="en-US" w:eastAsia="zh-CN" w:bidi="ar-SA"/>
        </w:rPr>
        <w:t>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_Toc8242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_Toc6351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四、财政拨款收入支出决算总体情况说明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_Toc6351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6</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_Toc5291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五、一般公共预算财政拨款支出决算情况说明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_Toc5291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6</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_Toc27850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六、一般公共预算财政拨款基本支出决算情况说明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_Toc27850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8</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_Toc16952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七、财政拨款“三公”经费支出决算情况说明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_Toc16952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9</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_Toc287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八、政府性基金预算支出决算情况说明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_Toc287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10</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_Toc8845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九、</w:t>
      </w:r>
      <w:r>
        <w:rPr>
          <w:rFonts w:hint="eastAsia" w:ascii="宋体" w:hAnsi="宋体" w:eastAsia="宋体" w:cs="宋体"/>
          <w:kern w:val="2"/>
          <w:sz w:val="24"/>
          <w:szCs w:val="24"/>
          <w:lang w:val="en-US" w:eastAsia="zh-CN" w:bidi="ar-SA"/>
        </w:rPr>
        <w:t>国有资本经营预算支出决算情况说明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_Toc8845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10</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ascii="Times New Roman" w:hAnsi="Times New Roman" w:eastAsia="宋体" w:cs="Times New Roman"/>
          <w:kern w:val="2"/>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_Toc8593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kern w:val="2"/>
          <w:sz w:val="24"/>
          <w:szCs w:val="24"/>
          <w:lang w:val="en-US" w:eastAsia="zh-CN" w:bidi="ar-SA"/>
        </w:rPr>
        <w:t>十、</w:t>
      </w:r>
      <w:r>
        <w:rPr>
          <w:rFonts w:hint="eastAsia" w:ascii="宋体" w:hAnsi="宋体" w:eastAsia="宋体" w:cs="宋体"/>
          <w:kern w:val="2"/>
          <w:sz w:val="24"/>
          <w:szCs w:val="24"/>
          <w:lang w:val="en-US" w:eastAsia="zh-CN" w:bidi="ar-SA"/>
        </w:rPr>
        <w:t>其他重要事项的情况说明</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_Toc8593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11</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17"/>
        <w:tabs>
          <w:tab w:val="right" w:leader="dot" w:pos="8306"/>
        </w:tabs>
        <w:rPr>
          <w:rFonts w:hint="eastAsia" w:ascii="仿宋" w:hAnsi="仿宋" w:eastAsia="仿宋" w:cs="仿宋"/>
          <w:kern w:val="2"/>
          <w:sz w:val="24"/>
          <w:szCs w:val="24"/>
          <w:lang w:val="en-US" w:eastAsia="zh-CN" w:bidi="ar-SA"/>
        </w:rPr>
      </w:pPr>
      <w:r>
        <w:rPr>
          <w:rFonts w:hint="eastAsia" w:ascii="仿宋" w:hAnsi="仿宋" w:eastAsia="仿宋" w:cs="仿宋"/>
          <w:bCs/>
          <w:kern w:val="44"/>
          <w:sz w:val="24"/>
          <w:szCs w:val="24"/>
          <w:lang w:val="en-US" w:eastAsia="zh-CN" w:bidi="ar-SA"/>
        </w:rPr>
        <w:fldChar w:fldCharType="begin"/>
      </w:r>
      <w:r>
        <w:rPr>
          <w:rFonts w:hint="eastAsia" w:ascii="仿宋" w:hAnsi="仿宋" w:eastAsia="仿宋" w:cs="仿宋"/>
          <w:bCs/>
          <w:kern w:val="44"/>
          <w:sz w:val="24"/>
          <w:szCs w:val="24"/>
          <w:lang w:val="en-US" w:eastAsia="zh-CN" w:bidi="ar-SA"/>
        </w:rPr>
        <w:instrText xml:space="preserve"> HYPERLINK \l _Toc6831 </w:instrText>
      </w:r>
      <w:r>
        <w:rPr>
          <w:rFonts w:hint="eastAsia" w:ascii="仿宋" w:hAnsi="仿宋" w:eastAsia="仿宋" w:cs="仿宋"/>
          <w:bCs/>
          <w:kern w:val="44"/>
          <w:sz w:val="24"/>
          <w:szCs w:val="24"/>
          <w:lang w:val="en-US" w:eastAsia="zh-CN" w:bidi="ar-SA"/>
        </w:rPr>
        <w:fldChar w:fldCharType="separate"/>
      </w:r>
      <w:r>
        <w:rPr>
          <w:rFonts w:hint="eastAsia" w:ascii="仿宋" w:hAnsi="仿宋" w:eastAsia="仿宋" w:cs="仿宋"/>
          <w:bCs/>
          <w:kern w:val="44"/>
          <w:sz w:val="24"/>
          <w:szCs w:val="24"/>
          <w:lang w:val="en-US" w:eastAsia="zh-CN" w:bidi="ar-SA"/>
        </w:rPr>
        <w:t xml:space="preserve">第三部分 </w:t>
      </w:r>
      <w:r>
        <w:rPr>
          <w:rFonts w:hint="eastAsia" w:ascii="仿宋" w:hAnsi="仿宋" w:eastAsia="仿宋" w:cs="仿宋"/>
          <w:kern w:val="2"/>
          <w:sz w:val="24"/>
          <w:szCs w:val="24"/>
          <w:lang w:val="en-US" w:eastAsia="zh-CN" w:bidi="ar-SA"/>
        </w:rPr>
        <w:t>名词解释</w:t>
      </w:r>
      <w:r>
        <w:rPr>
          <w:rFonts w:hint="eastAsia" w:ascii="仿宋" w:hAnsi="仿宋" w:eastAsia="仿宋" w:cs="仿宋"/>
          <w:kern w:val="2"/>
          <w:sz w:val="24"/>
          <w:szCs w:val="24"/>
          <w:lang w:val="en-US" w:eastAsia="zh-CN" w:bidi="ar-SA"/>
        </w:rPr>
        <w:tab/>
      </w:r>
      <w:r>
        <w:rPr>
          <w:rFonts w:hint="eastAsia" w:ascii="仿宋" w:hAnsi="仿宋" w:eastAsia="仿宋" w:cs="仿宋"/>
          <w:kern w:val="2"/>
          <w:sz w:val="24"/>
          <w:szCs w:val="24"/>
          <w:lang w:val="en-US" w:eastAsia="zh-CN" w:bidi="ar-SA"/>
        </w:rPr>
        <w:fldChar w:fldCharType="begin"/>
      </w:r>
      <w:r>
        <w:rPr>
          <w:rFonts w:hint="eastAsia" w:ascii="仿宋" w:hAnsi="仿宋" w:eastAsia="仿宋" w:cs="仿宋"/>
          <w:kern w:val="2"/>
          <w:sz w:val="24"/>
          <w:szCs w:val="24"/>
          <w:lang w:val="en-US" w:eastAsia="zh-CN" w:bidi="ar-SA"/>
        </w:rPr>
        <w:instrText xml:space="preserve"> PAGEREF _Toc6831 </w:instrText>
      </w:r>
      <w:r>
        <w:rPr>
          <w:rFonts w:hint="eastAsia" w:ascii="仿宋" w:hAnsi="仿宋" w:eastAsia="仿宋" w:cs="仿宋"/>
          <w:kern w:val="2"/>
          <w:sz w:val="24"/>
          <w:szCs w:val="24"/>
          <w:lang w:val="en-US" w:eastAsia="zh-CN" w:bidi="ar-SA"/>
        </w:rPr>
        <w:fldChar w:fldCharType="separate"/>
      </w:r>
      <w:r>
        <w:rPr>
          <w:rFonts w:hint="eastAsia" w:ascii="仿宋" w:hAnsi="仿宋" w:eastAsia="仿宋" w:cs="仿宋"/>
          <w:kern w:val="2"/>
          <w:sz w:val="24"/>
          <w:szCs w:val="24"/>
          <w:lang w:val="en-US" w:eastAsia="zh-CN" w:bidi="ar-SA"/>
        </w:rPr>
        <w:t>13</w:t>
      </w:r>
      <w:r>
        <w:rPr>
          <w:rFonts w:hint="eastAsia" w:ascii="仿宋" w:hAnsi="仿宋" w:eastAsia="仿宋" w:cs="仿宋"/>
          <w:kern w:val="2"/>
          <w:sz w:val="24"/>
          <w:szCs w:val="24"/>
          <w:lang w:val="en-US" w:eastAsia="zh-CN" w:bidi="ar-SA"/>
        </w:rPr>
        <w:fldChar w:fldCharType="end"/>
      </w:r>
      <w:r>
        <w:rPr>
          <w:rFonts w:hint="eastAsia" w:ascii="仿宋" w:hAnsi="仿宋" w:eastAsia="仿宋" w:cs="仿宋"/>
          <w:bCs/>
          <w:kern w:val="44"/>
          <w:sz w:val="24"/>
          <w:szCs w:val="24"/>
          <w:lang w:val="en-US" w:eastAsia="zh-CN" w:bidi="ar-SA"/>
        </w:rPr>
        <w:fldChar w:fldCharType="end"/>
      </w:r>
    </w:p>
    <w:p>
      <w:pPr>
        <w:pStyle w:val="17"/>
        <w:tabs>
          <w:tab w:val="right" w:leader="dot" w:pos="8306"/>
        </w:tabs>
        <w:rPr>
          <w:rFonts w:hint="eastAsia" w:ascii="仿宋" w:hAnsi="仿宋" w:eastAsia="仿宋" w:cs="仿宋"/>
          <w:kern w:val="2"/>
          <w:sz w:val="24"/>
          <w:szCs w:val="24"/>
          <w:lang w:val="en-US" w:eastAsia="zh-CN" w:bidi="ar-SA"/>
        </w:rPr>
      </w:pPr>
      <w:r>
        <w:rPr>
          <w:rFonts w:hint="eastAsia" w:ascii="仿宋" w:hAnsi="仿宋" w:eastAsia="仿宋" w:cs="仿宋"/>
          <w:bCs/>
          <w:kern w:val="44"/>
          <w:sz w:val="24"/>
          <w:szCs w:val="24"/>
          <w:lang w:val="en-US" w:eastAsia="zh-CN" w:bidi="ar-SA"/>
        </w:rPr>
        <w:fldChar w:fldCharType="begin"/>
      </w:r>
      <w:r>
        <w:rPr>
          <w:rFonts w:hint="eastAsia" w:ascii="仿宋" w:hAnsi="仿宋" w:eastAsia="仿宋" w:cs="仿宋"/>
          <w:bCs/>
          <w:kern w:val="44"/>
          <w:sz w:val="24"/>
          <w:szCs w:val="24"/>
          <w:lang w:val="en-US" w:eastAsia="zh-CN" w:bidi="ar-SA"/>
        </w:rPr>
        <w:instrText xml:space="preserve"> HYPERLINK \l _Toc16549 </w:instrText>
      </w:r>
      <w:r>
        <w:rPr>
          <w:rFonts w:hint="eastAsia" w:ascii="仿宋" w:hAnsi="仿宋" w:eastAsia="仿宋" w:cs="仿宋"/>
          <w:bCs/>
          <w:kern w:val="44"/>
          <w:sz w:val="24"/>
          <w:szCs w:val="24"/>
          <w:lang w:val="en-US" w:eastAsia="zh-CN" w:bidi="ar-SA"/>
        </w:rPr>
        <w:fldChar w:fldCharType="separate"/>
      </w:r>
      <w:r>
        <w:rPr>
          <w:rFonts w:hint="eastAsia" w:ascii="仿宋" w:hAnsi="仿宋" w:eastAsia="仿宋" w:cs="仿宋"/>
          <w:kern w:val="2"/>
          <w:sz w:val="24"/>
          <w:szCs w:val="24"/>
          <w:lang w:val="en-US" w:eastAsia="zh-CN" w:bidi="ar-SA"/>
        </w:rPr>
        <w:t>第四部分 附件</w:t>
      </w:r>
      <w:r>
        <w:rPr>
          <w:rFonts w:hint="eastAsia" w:ascii="仿宋" w:hAnsi="仿宋" w:eastAsia="仿宋" w:cs="仿宋"/>
          <w:kern w:val="2"/>
          <w:sz w:val="24"/>
          <w:szCs w:val="24"/>
          <w:lang w:val="en-US" w:eastAsia="zh-CN" w:bidi="ar-SA"/>
        </w:rPr>
        <w:tab/>
      </w:r>
      <w:r>
        <w:rPr>
          <w:rFonts w:hint="eastAsia" w:ascii="仿宋" w:hAnsi="仿宋" w:eastAsia="仿宋" w:cs="仿宋"/>
          <w:kern w:val="2"/>
          <w:sz w:val="24"/>
          <w:szCs w:val="24"/>
          <w:lang w:val="en-US" w:eastAsia="zh-CN" w:bidi="ar-SA"/>
        </w:rPr>
        <w:fldChar w:fldCharType="begin"/>
      </w:r>
      <w:r>
        <w:rPr>
          <w:rFonts w:hint="eastAsia" w:ascii="仿宋" w:hAnsi="仿宋" w:eastAsia="仿宋" w:cs="仿宋"/>
          <w:kern w:val="2"/>
          <w:sz w:val="24"/>
          <w:szCs w:val="24"/>
          <w:lang w:val="en-US" w:eastAsia="zh-CN" w:bidi="ar-SA"/>
        </w:rPr>
        <w:instrText xml:space="preserve"> PAGEREF _Toc16549 </w:instrText>
      </w:r>
      <w:r>
        <w:rPr>
          <w:rFonts w:hint="eastAsia" w:ascii="仿宋" w:hAnsi="仿宋" w:eastAsia="仿宋" w:cs="仿宋"/>
          <w:kern w:val="2"/>
          <w:sz w:val="24"/>
          <w:szCs w:val="24"/>
          <w:lang w:val="en-US" w:eastAsia="zh-CN" w:bidi="ar-SA"/>
        </w:rPr>
        <w:fldChar w:fldCharType="separate"/>
      </w:r>
      <w:r>
        <w:rPr>
          <w:rFonts w:hint="eastAsia" w:ascii="仿宋" w:hAnsi="仿宋" w:eastAsia="仿宋" w:cs="仿宋"/>
          <w:kern w:val="2"/>
          <w:sz w:val="24"/>
          <w:szCs w:val="24"/>
          <w:lang w:val="en-US" w:eastAsia="zh-CN" w:bidi="ar-SA"/>
        </w:rPr>
        <w:t>16</w:t>
      </w:r>
      <w:r>
        <w:rPr>
          <w:rFonts w:hint="eastAsia" w:ascii="仿宋" w:hAnsi="仿宋" w:eastAsia="仿宋" w:cs="仿宋"/>
          <w:kern w:val="2"/>
          <w:sz w:val="24"/>
          <w:szCs w:val="24"/>
          <w:lang w:val="en-US" w:eastAsia="zh-CN" w:bidi="ar-SA"/>
        </w:rPr>
        <w:fldChar w:fldCharType="end"/>
      </w:r>
      <w:r>
        <w:rPr>
          <w:rFonts w:hint="eastAsia" w:ascii="仿宋" w:hAnsi="仿宋" w:eastAsia="仿宋" w:cs="仿宋"/>
          <w:bCs/>
          <w:kern w:val="44"/>
          <w:sz w:val="24"/>
          <w:szCs w:val="24"/>
          <w:lang w:val="en-US" w:eastAsia="zh-CN" w:bidi="ar-SA"/>
        </w:rPr>
        <w:fldChar w:fldCharType="end"/>
      </w:r>
    </w:p>
    <w:p>
      <w:pPr>
        <w:pStyle w:val="17"/>
        <w:tabs>
          <w:tab w:val="right" w:leader="dot" w:pos="8306"/>
        </w:tabs>
        <w:rPr>
          <w:rFonts w:ascii="Times New Roman" w:hAnsi="Times New Roman" w:eastAsia="宋体" w:cs="Times New Roman"/>
          <w:kern w:val="2"/>
          <w:szCs w:val="24"/>
          <w:lang w:val="en-US" w:eastAsia="zh-CN" w:bidi="ar-SA"/>
        </w:rPr>
      </w:pPr>
      <w:r>
        <w:rPr>
          <w:rFonts w:hint="eastAsia" w:ascii="仿宋" w:hAnsi="仿宋" w:eastAsia="仿宋" w:cs="仿宋"/>
          <w:bCs/>
          <w:kern w:val="44"/>
          <w:sz w:val="24"/>
          <w:szCs w:val="24"/>
          <w:lang w:val="en-US" w:eastAsia="zh-CN" w:bidi="ar-SA"/>
        </w:rPr>
        <w:fldChar w:fldCharType="begin"/>
      </w:r>
      <w:r>
        <w:rPr>
          <w:rFonts w:hint="eastAsia" w:ascii="仿宋" w:hAnsi="仿宋" w:eastAsia="仿宋" w:cs="仿宋"/>
          <w:bCs/>
          <w:kern w:val="44"/>
          <w:sz w:val="24"/>
          <w:szCs w:val="24"/>
          <w:lang w:val="en-US" w:eastAsia="zh-CN" w:bidi="ar-SA"/>
        </w:rPr>
        <w:instrText xml:space="preserve"> HYPERLINK \l _Toc9284 </w:instrText>
      </w:r>
      <w:r>
        <w:rPr>
          <w:rFonts w:hint="eastAsia" w:ascii="仿宋" w:hAnsi="仿宋" w:eastAsia="仿宋" w:cs="仿宋"/>
          <w:bCs/>
          <w:kern w:val="44"/>
          <w:sz w:val="24"/>
          <w:szCs w:val="24"/>
          <w:lang w:val="en-US" w:eastAsia="zh-CN" w:bidi="ar-SA"/>
        </w:rPr>
        <w:fldChar w:fldCharType="separate"/>
      </w:r>
      <w:r>
        <w:rPr>
          <w:rFonts w:hint="eastAsia" w:ascii="仿宋" w:hAnsi="仿宋" w:eastAsia="仿宋" w:cs="仿宋"/>
          <w:kern w:val="2"/>
          <w:sz w:val="24"/>
          <w:szCs w:val="24"/>
          <w:lang w:val="en-US" w:eastAsia="zh-CN" w:bidi="ar-SA"/>
        </w:rPr>
        <w:t>第五部分 附表</w:t>
      </w:r>
      <w:r>
        <w:rPr>
          <w:rFonts w:hint="eastAsia" w:ascii="仿宋" w:hAnsi="仿宋" w:eastAsia="仿宋" w:cs="仿宋"/>
          <w:kern w:val="2"/>
          <w:sz w:val="24"/>
          <w:szCs w:val="24"/>
          <w:lang w:val="en-US" w:eastAsia="zh-CN" w:bidi="ar-SA"/>
        </w:rPr>
        <w:tab/>
      </w:r>
      <w:r>
        <w:rPr>
          <w:rFonts w:hint="eastAsia" w:ascii="仿宋" w:hAnsi="仿宋" w:eastAsia="仿宋" w:cs="仿宋"/>
          <w:kern w:val="2"/>
          <w:sz w:val="24"/>
          <w:szCs w:val="24"/>
          <w:lang w:val="en-US" w:eastAsia="zh-CN" w:bidi="ar-SA"/>
        </w:rPr>
        <w:fldChar w:fldCharType="begin"/>
      </w:r>
      <w:r>
        <w:rPr>
          <w:rFonts w:hint="eastAsia" w:ascii="仿宋" w:hAnsi="仿宋" w:eastAsia="仿宋" w:cs="仿宋"/>
          <w:kern w:val="2"/>
          <w:sz w:val="24"/>
          <w:szCs w:val="24"/>
          <w:lang w:val="en-US" w:eastAsia="zh-CN" w:bidi="ar-SA"/>
        </w:rPr>
        <w:instrText xml:space="preserve"> PAGEREF _Toc9284 </w:instrText>
      </w:r>
      <w:r>
        <w:rPr>
          <w:rFonts w:hint="eastAsia" w:ascii="仿宋" w:hAnsi="仿宋" w:eastAsia="仿宋" w:cs="仿宋"/>
          <w:kern w:val="2"/>
          <w:sz w:val="24"/>
          <w:szCs w:val="24"/>
          <w:lang w:val="en-US" w:eastAsia="zh-CN" w:bidi="ar-SA"/>
        </w:rPr>
        <w:fldChar w:fldCharType="separate"/>
      </w:r>
      <w:r>
        <w:rPr>
          <w:rFonts w:hint="eastAsia" w:ascii="仿宋" w:hAnsi="仿宋" w:eastAsia="仿宋" w:cs="仿宋"/>
          <w:kern w:val="2"/>
          <w:sz w:val="24"/>
          <w:szCs w:val="24"/>
          <w:lang w:val="en-US" w:eastAsia="zh-CN" w:bidi="ar-SA"/>
        </w:rPr>
        <w:t>23</w:t>
      </w:r>
      <w:r>
        <w:rPr>
          <w:rFonts w:hint="eastAsia" w:ascii="仿宋" w:hAnsi="仿宋" w:eastAsia="仿宋" w:cs="仿宋"/>
          <w:kern w:val="2"/>
          <w:sz w:val="24"/>
          <w:szCs w:val="24"/>
          <w:lang w:val="en-US" w:eastAsia="zh-CN" w:bidi="ar-SA"/>
        </w:rPr>
        <w:fldChar w:fldCharType="end"/>
      </w:r>
      <w:r>
        <w:rPr>
          <w:rFonts w:hint="eastAsia" w:ascii="仿宋" w:hAnsi="仿宋" w:eastAsia="仿宋" w:cs="仿宋"/>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_Toc32279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一、收</w:t>
      </w:r>
      <w:r>
        <w:rPr>
          <w:rFonts w:hint="eastAsia" w:ascii="宋体" w:hAnsi="宋体" w:eastAsia="宋体" w:cs="宋体"/>
          <w:bCs w:val="0"/>
          <w:kern w:val="2"/>
          <w:sz w:val="24"/>
          <w:szCs w:val="24"/>
          <w:lang w:val="en-US" w:eastAsia="zh-CN" w:bidi="ar-SA"/>
        </w:rPr>
        <w:t>入支出决算总表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_Toc32279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_Toc4857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kern w:val="2"/>
          <w:sz w:val="24"/>
          <w:szCs w:val="24"/>
          <w:lang w:val="en-US" w:eastAsia="zh-CN" w:bidi="ar-SA"/>
        </w:rPr>
        <w:t>二、收</w:t>
      </w:r>
      <w:r>
        <w:rPr>
          <w:rFonts w:hint="eastAsia" w:ascii="宋体" w:hAnsi="宋体" w:eastAsia="宋体" w:cs="宋体"/>
          <w:bCs w:val="0"/>
          <w:kern w:val="2"/>
          <w:sz w:val="24"/>
          <w:szCs w:val="24"/>
          <w:lang w:val="en-US" w:eastAsia="zh-CN" w:bidi="ar-SA"/>
        </w:rPr>
        <w:t>入决算表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_Toc4857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_Toc7151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三、</w:t>
      </w:r>
      <w:r>
        <w:rPr>
          <w:rFonts w:hint="eastAsia" w:ascii="宋体" w:hAnsi="宋体" w:eastAsia="宋体" w:cs="宋体"/>
          <w:kern w:val="2"/>
          <w:sz w:val="24"/>
          <w:szCs w:val="24"/>
          <w:lang w:val="en-US" w:eastAsia="zh-CN" w:bidi="ar-SA"/>
        </w:rPr>
        <w:t>支</w:t>
      </w:r>
      <w:r>
        <w:rPr>
          <w:rFonts w:hint="eastAsia" w:ascii="宋体" w:hAnsi="宋体" w:eastAsia="宋体" w:cs="宋体"/>
          <w:bCs w:val="0"/>
          <w:kern w:val="2"/>
          <w:sz w:val="24"/>
          <w:szCs w:val="24"/>
          <w:lang w:val="en-US" w:eastAsia="zh-CN" w:bidi="ar-SA"/>
        </w:rPr>
        <w:t>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_Toc7151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_Toc24107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四、</w:t>
      </w:r>
      <w:r>
        <w:rPr>
          <w:rFonts w:hint="eastAsia" w:ascii="宋体" w:hAnsi="宋体" w:eastAsia="宋体" w:cs="宋体"/>
          <w:kern w:val="2"/>
          <w:sz w:val="24"/>
          <w:szCs w:val="24"/>
          <w:lang w:val="en-US" w:eastAsia="zh-CN" w:bidi="ar-SA"/>
        </w:rPr>
        <w:t>财</w:t>
      </w:r>
      <w:r>
        <w:rPr>
          <w:rFonts w:hint="eastAsia" w:ascii="宋体" w:hAnsi="宋体" w:eastAsia="宋体" w:cs="宋体"/>
          <w:bCs w:val="0"/>
          <w:kern w:val="2"/>
          <w:sz w:val="24"/>
          <w:szCs w:val="24"/>
          <w:lang w:val="en-US" w:eastAsia="zh-CN" w:bidi="ar-SA"/>
        </w:rPr>
        <w:t>政拨款收入支出决算总表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_Toc24107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_Toc9301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五、</w:t>
      </w:r>
      <w:r>
        <w:rPr>
          <w:rFonts w:hint="eastAsia" w:ascii="宋体" w:hAnsi="宋体" w:eastAsia="宋体" w:cs="宋体"/>
          <w:kern w:val="2"/>
          <w:sz w:val="24"/>
          <w:szCs w:val="24"/>
          <w:lang w:val="en-US" w:eastAsia="zh-CN" w:bidi="ar-SA"/>
        </w:rPr>
        <w:t>财</w:t>
      </w:r>
      <w:r>
        <w:rPr>
          <w:rFonts w:hint="eastAsia" w:ascii="宋体" w:hAnsi="宋体" w:eastAsia="宋体" w:cs="宋体"/>
          <w:bCs w:val="0"/>
          <w:kern w:val="2"/>
          <w:sz w:val="24"/>
          <w:szCs w:val="24"/>
          <w:lang w:val="en-US" w:eastAsia="zh-CN" w:bidi="ar-SA"/>
        </w:rPr>
        <w:t>政拨款支出决算明细表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_Toc9301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_Toc32428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六、</w:t>
      </w:r>
      <w:r>
        <w:rPr>
          <w:rFonts w:hint="eastAsia" w:ascii="宋体" w:hAnsi="宋体" w:eastAsia="宋体" w:cs="宋体"/>
          <w:kern w:val="2"/>
          <w:sz w:val="24"/>
          <w:szCs w:val="24"/>
          <w:lang w:val="en-US" w:eastAsia="zh-CN" w:bidi="ar-SA"/>
        </w:rPr>
        <w:t>一</w:t>
      </w:r>
      <w:r>
        <w:rPr>
          <w:rFonts w:hint="eastAsia" w:ascii="宋体" w:hAnsi="宋体" w:eastAsia="宋体" w:cs="宋体"/>
          <w:bCs w:val="0"/>
          <w:kern w:val="2"/>
          <w:sz w:val="24"/>
          <w:szCs w:val="24"/>
          <w:lang w:val="en-US" w:eastAsia="zh-CN" w:bidi="ar-SA"/>
        </w:rPr>
        <w:t>般公共预算财政拨款支出决算表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_Toc32428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_Toc11988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七、</w:t>
      </w:r>
      <w:r>
        <w:rPr>
          <w:rFonts w:hint="eastAsia" w:ascii="宋体" w:hAnsi="宋体" w:eastAsia="宋体" w:cs="宋体"/>
          <w:kern w:val="2"/>
          <w:sz w:val="24"/>
          <w:szCs w:val="24"/>
          <w:lang w:val="en-US" w:eastAsia="zh-CN" w:bidi="ar-SA"/>
        </w:rPr>
        <w:t>一</w:t>
      </w:r>
      <w:r>
        <w:rPr>
          <w:rFonts w:hint="eastAsia" w:ascii="宋体" w:hAnsi="宋体" w:eastAsia="宋体" w:cs="宋体"/>
          <w:bCs w:val="0"/>
          <w:kern w:val="2"/>
          <w:sz w:val="24"/>
          <w:szCs w:val="24"/>
          <w:lang w:val="en-US" w:eastAsia="zh-CN" w:bidi="ar-SA"/>
        </w:rPr>
        <w:t>般公共预算财政拨款支出决算明细表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_Toc11988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_Toc20415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八、</w:t>
      </w:r>
      <w:r>
        <w:rPr>
          <w:rFonts w:hint="eastAsia" w:ascii="宋体" w:hAnsi="宋体" w:eastAsia="宋体" w:cs="宋体"/>
          <w:kern w:val="2"/>
          <w:sz w:val="24"/>
          <w:szCs w:val="24"/>
          <w:lang w:val="en-US" w:eastAsia="zh-CN" w:bidi="ar-SA"/>
        </w:rPr>
        <w:t>一</w:t>
      </w:r>
      <w:r>
        <w:rPr>
          <w:rFonts w:hint="eastAsia" w:ascii="宋体" w:hAnsi="宋体" w:eastAsia="宋体" w:cs="宋体"/>
          <w:bCs w:val="0"/>
          <w:kern w:val="2"/>
          <w:sz w:val="24"/>
          <w:szCs w:val="24"/>
          <w:lang w:val="en-US" w:eastAsia="zh-CN" w:bidi="ar-SA"/>
        </w:rPr>
        <w:t>般公共预算财政拨款基本支出决算表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_Toc20415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_Toc19461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九、</w:t>
      </w:r>
      <w:r>
        <w:rPr>
          <w:rFonts w:hint="eastAsia" w:ascii="宋体" w:hAnsi="宋体" w:eastAsia="宋体" w:cs="宋体"/>
          <w:kern w:val="2"/>
          <w:sz w:val="24"/>
          <w:szCs w:val="24"/>
          <w:lang w:val="en-US" w:eastAsia="zh-CN" w:bidi="ar-SA"/>
        </w:rPr>
        <w:t>一</w:t>
      </w:r>
      <w:r>
        <w:rPr>
          <w:rFonts w:hint="eastAsia" w:ascii="宋体" w:hAnsi="宋体" w:eastAsia="宋体" w:cs="宋体"/>
          <w:bCs w:val="0"/>
          <w:kern w:val="2"/>
          <w:sz w:val="24"/>
          <w:szCs w:val="24"/>
          <w:lang w:val="en-US" w:eastAsia="zh-CN" w:bidi="ar-SA"/>
        </w:rPr>
        <w:t>般公共预算财政拨款项目支出决算表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_Toc19461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_Toc8335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十、</w:t>
      </w:r>
      <w:r>
        <w:rPr>
          <w:rFonts w:hint="eastAsia" w:ascii="宋体" w:hAnsi="宋体" w:eastAsia="宋体" w:cs="宋体"/>
          <w:kern w:val="2"/>
          <w:sz w:val="24"/>
          <w:szCs w:val="24"/>
          <w:lang w:val="en-US" w:eastAsia="zh-CN" w:bidi="ar-SA"/>
        </w:rPr>
        <w:t>政</w:t>
      </w:r>
      <w:r>
        <w:rPr>
          <w:rFonts w:hint="eastAsia" w:ascii="宋体" w:hAnsi="宋体" w:eastAsia="宋体" w:cs="宋体"/>
          <w:bCs w:val="0"/>
          <w:kern w:val="2"/>
          <w:sz w:val="24"/>
          <w:szCs w:val="24"/>
          <w:lang w:val="en-US" w:eastAsia="zh-CN" w:bidi="ar-SA"/>
        </w:rPr>
        <w:t>府性基金预算财政拨款收入支出决算表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_Toc8335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_Toc21391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十一、</w:t>
      </w:r>
      <w:r>
        <w:rPr>
          <w:rFonts w:hint="eastAsia" w:ascii="宋体" w:hAnsi="宋体" w:eastAsia="宋体" w:cs="宋体"/>
          <w:kern w:val="2"/>
          <w:sz w:val="24"/>
          <w:szCs w:val="24"/>
          <w:lang w:val="en-US" w:eastAsia="zh-CN" w:bidi="ar-SA"/>
        </w:rPr>
        <w:t>国</w:t>
      </w:r>
      <w:r>
        <w:rPr>
          <w:rFonts w:hint="eastAsia" w:ascii="宋体" w:hAnsi="宋体" w:eastAsia="宋体" w:cs="宋体"/>
          <w:bCs w:val="0"/>
          <w:kern w:val="2"/>
          <w:sz w:val="24"/>
          <w:szCs w:val="24"/>
          <w:lang w:val="en-US" w:eastAsia="zh-CN" w:bidi="ar-SA"/>
        </w:rPr>
        <w:t>有资本经营预算财政拨款收入支出决算表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_Toc21391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hint="eastAsia" w:ascii="宋体" w:hAnsi="宋体" w:eastAsia="宋体" w:cs="宋体"/>
          <w:kern w:val="2"/>
          <w:sz w:val="24"/>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_Toc17060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十二、国有资本经营预算财政拨款支出决算表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_Toc17060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pStyle w:val="20"/>
        <w:tabs>
          <w:tab w:val="right" w:leader="dot" w:pos="8306"/>
        </w:tabs>
        <w:rPr>
          <w:rFonts w:ascii="Times New Roman" w:hAnsi="Times New Roman" w:eastAsia="宋体" w:cs="Times New Roman"/>
          <w:kern w:val="2"/>
          <w:szCs w:val="24"/>
          <w:lang w:val="en-US" w:eastAsia="zh-CN" w:bidi="ar-SA"/>
        </w:rPr>
      </w:pPr>
      <w:r>
        <w:rPr>
          <w:rFonts w:hint="eastAsia" w:ascii="宋体" w:hAnsi="宋体" w:eastAsia="宋体" w:cs="宋体"/>
          <w:bCs/>
          <w:kern w:val="44"/>
          <w:sz w:val="24"/>
          <w:szCs w:val="24"/>
          <w:lang w:val="en-US" w:eastAsia="zh-CN" w:bidi="ar-SA"/>
        </w:rPr>
        <w:fldChar w:fldCharType="begin"/>
      </w:r>
      <w:r>
        <w:rPr>
          <w:rFonts w:hint="eastAsia" w:ascii="宋体" w:hAnsi="宋体" w:eastAsia="宋体" w:cs="宋体"/>
          <w:bCs/>
          <w:kern w:val="44"/>
          <w:sz w:val="24"/>
          <w:szCs w:val="24"/>
          <w:lang w:val="en-US" w:eastAsia="zh-CN" w:bidi="ar-SA"/>
        </w:rPr>
        <w:instrText xml:space="preserve"> HYPERLINK \l _Toc20305 </w:instrText>
      </w:r>
      <w:r>
        <w:rPr>
          <w:rFonts w:hint="eastAsia" w:ascii="宋体" w:hAnsi="宋体" w:eastAsia="宋体" w:cs="宋体"/>
          <w:bCs/>
          <w:kern w:val="44"/>
          <w:sz w:val="24"/>
          <w:szCs w:val="24"/>
          <w:lang w:val="en-US" w:eastAsia="zh-CN" w:bidi="ar-SA"/>
        </w:rPr>
        <w:fldChar w:fldCharType="separate"/>
      </w:r>
      <w:r>
        <w:rPr>
          <w:rFonts w:hint="eastAsia" w:ascii="宋体" w:hAnsi="宋体" w:eastAsia="宋体" w:cs="宋体"/>
          <w:bCs w:val="0"/>
          <w:kern w:val="2"/>
          <w:sz w:val="24"/>
          <w:szCs w:val="24"/>
          <w:lang w:val="en-US" w:eastAsia="zh-CN" w:bidi="ar-SA"/>
        </w:rPr>
        <w:t>十三、财政拨款“三公”经费支出决算表</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PAGEREF _Toc20305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en-US" w:eastAsia="zh-CN" w:bidi="ar-SA"/>
        </w:rPr>
        <w:fldChar w:fldCharType="end"/>
      </w:r>
      <w:r>
        <w:rPr>
          <w:rFonts w:hint="eastAsia" w:ascii="宋体" w:hAnsi="宋体" w:eastAsia="宋体" w:cs="宋体"/>
          <w:bCs/>
          <w:kern w:val="44"/>
          <w:sz w:val="24"/>
          <w:szCs w:val="24"/>
          <w:lang w:val="en-US" w:eastAsia="zh-CN" w:bidi="ar-SA"/>
        </w:rPr>
        <w:fldChar w:fldCharType="end"/>
      </w:r>
    </w:p>
    <w:p>
      <w:pPr>
        <w:widowControl/>
        <w:spacing w:line="440" w:lineRule="exact"/>
        <w:jc w:val="left"/>
        <w:rPr>
          <w:rFonts w:ascii="仿宋" w:hAnsi="仿宋" w:eastAsia="仿宋"/>
          <w:bCs/>
          <w:kern w:val="44"/>
          <w:sz w:val="24"/>
        </w:rPr>
      </w:pPr>
      <w:r>
        <w:rPr>
          <w:rFonts w:ascii="仿宋" w:hAnsi="仿宋" w:eastAsia="仿宋" w:cs="Times New Roman"/>
          <w:bCs/>
          <w:kern w:val="44"/>
          <w:szCs w:val="24"/>
          <w:lang w:val="en-US" w:eastAsia="zh-CN" w:bidi="ar-SA"/>
        </w:rPr>
        <w:fldChar w:fldCharType="end"/>
      </w:r>
    </w:p>
    <w:p>
      <w:pPr>
        <w:pStyle w:val="5"/>
        <w:spacing w:before="0" w:after="0" w:line="240" w:lineRule="auto"/>
        <w:jc w:val="center"/>
        <w:rPr>
          <w:rStyle w:val="38"/>
          <w:rFonts w:ascii="黑体" w:hAnsi="黑体" w:eastAsia="黑体"/>
          <w:b/>
          <w:bCs w:val="0"/>
        </w:rPr>
      </w:pPr>
      <w:r>
        <w:rPr>
          <w:rFonts w:hint="eastAsia" w:ascii="黑体" w:hAnsi="黑体" w:eastAsia="黑体"/>
          <w:b w:val="0"/>
        </w:rPr>
        <w:br w:type="page"/>
      </w:r>
      <w:bookmarkStart w:id="18" w:name="_Toc16196"/>
      <w:r>
        <w:rPr>
          <w:rFonts w:hint="eastAsia" w:ascii="黑体" w:hAnsi="黑体" w:eastAsia="黑体"/>
          <w:b w:val="0"/>
        </w:rPr>
        <w:t>第一部分 单位</w:t>
      </w:r>
      <w:r>
        <w:rPr>
          <w:rStyle w:val="38"/>
          <w:rFonts w:hint="eastAsia" w:ascii="黑体" w:hAnsi="黑体" w:eastAsia="黑体"/>
          <w:b w:val="0"/>
          <w:bCs w:val="0"/>
        </w:rPr>
        <w:t>概况</w:t>
      </w:r>
      <w:bookmarkEnd w:id="16"/>
      <w:bookmarkEnd w:id="17"/>
      <w:bookmarkEnd w:id="18"/>
    </w:p>
    <w:p>
      <w:pPr>
        <w:widowControl/>
        <w:jc w:val="left"/>
        <w:rPr>
          <w:rFonts w:ascii="黑体" w:eastAsia="黑体"/>
          <w:sz w:val="32"/>
          <w:szCs w:val="32"/>
        </w:rPr>
      </w:pPr>
    </w:p>
    <w:p>
      <w:pPr>
        <w:pStyle w:val="6"/>
        <w:numPr>
          <w:ilvl w:val="0"/>
          <w:numId w:val="1"/>
        </w:numPr>
        <w:rPr>
          <w:rStyle w:val="39"/>
          <w:rFonts w:ascii="黑体" w:hAnsi="黑体" w:eastAsia="黑体"/>
          <w:b w:val="0"/>
          <w:bCs w:val="0"/>
        </w:rPr>
      </w:pPr>
      <w:bookmarkStart w:id="19" w:name="_Toc26852"/>
      <w:bookmarkStart w:id="20" w:name="_Toc15377197"/>
      <w:bookmarkStart w:id="21" w:name="_Toc15396600"/>
      <w:r>
        <w:rPr>
          <w:rStyle w:val="39"/>
          <w:rFonts w:hint="eastAsia" w:ascii="黑体" w:hAnsi="黑体" w:eastAsia="黑体"/>
          <w:b w:val="0"/>
          <w:bCs w:val="0"/>
        </w:rPr>
        <w:t>主要职责</w:t>
      </w:r>
      <w:bookmarkEnd w:id="1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培养水上运动人才，促进体育事业发展。皮划艇运动员培训，赛艇运动员培训，代表乐山市组队参加省级相关比赛。</w:t>
      </w:r>
    </w:p>
    <w:p>
      <w:pPr>
        <w:pStyle w:val="6"/>
        <w:numPr>
          <w:ilvl w:val="0"/>
          <w:numId w:val="1"/>
        </w:numPr>
        <w:ind w:left="0" w:leftChars="0" w:firstLine="0" w:firstLineChars="0"/>
        <w:rPr>
          <w:rFonts w:hint="eastAsia" w:ascii="黑体" w:hAnsi="黑体" w:eastAsia="黑体"/>
          <w:b w:val="0"/>
        </w:rPr>
      </w:pPr>
      <w:bookmarkStart w:id="22" w:name="_Toc17597"/>
      <w:r>
        <w:rPr>
          <w:rFonts w:hint="eastAsia" w:ascii="黑体" w:hAnsi="黑体" w:eastAsia="黑体"/>
          <w:b w:val="0"/>
        </w:rPr>
        <w:t>机构设置</w:t>
      </w:r>
      <w:bookmarkEnd w:id="2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本单位为乐山市五通桥区文化体育和旅游局下属二级预算单位，单位性质为全额拨款事业单位，决算编报类型为单户表，按照政府会计制度填报决算数据。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NZ" w:eastAsia="zh-CN"/>
        </w:rPr>
      </w:pPr>
      <w:r>
        <w:rPr>
          <w:rFonts w:hint="eastAsia" w:ascii="仿宋" w:hAnsi="仿宋" w:eastAsia="仿宋" w:cs="Times New Roman"/>
          <w:sz w:val="32"/>
          <w:szCs w:val="32"/>
          <w:lang w:val="en-US" w:eastAsia="zh-CN"/>
        </w:rPr>
        <w:t>纳入本套决算编制范围的独立核算单位共1个</w:t>
      </w:r>
      <w:r>
        <w:rPr>
          <w:rFonts w:hint="default" w:ascii="仿宋" w:hAnsi="仿宋" w:eastAsia="仿宋" w:cs="Times New Roman"/>
          <w:sz w:val="32"/>
          <w:szCs w:val="32"/>
          <w:lang w:val="en-NZ"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人员情况：五通桥区水上运动技术学校编制6人，截止2023年</w:t>
      </w:r>
      <w:r>
        <w:rPr>
          <w:rFonts w:hint="default" w:ascii="仿宋" w:hAnsi="仿宋" w:eastAsia="仿宋" w:cs="Times New Roman"/>
          <w:sz w:val="32"/>
          <w:szCs w:val="32"/>
          <w:lang w:val="en-NZ" w:eastAsia="zh-CN"/>
        </w:rPr>
        <w:t>1</w:t>
      </w:r>
      <w:r>
        <w:rPr>
          <w:rFonts w:hint="eastAsia" w:ascii="仿宋" w:hAnsi="仿宋" w:eastAsia="仿宋" w:cs="Times New Roman"/>
          <w:sz w:val="32"/>
          <w:szCs w:val="32"/>
          <w:lang w:val="en-US" w:eastAsia="zh-CN"/>
        </w:rPr>
        <w:t>2月31日</w:t>
      </w:r>
      <w:r>
        <w:rPr>
          <w:rFonts w:hint="default" w:ascii="仿宋" w:hAnsi="仿宋" w:eastAsia="仿宋" w:cs="Times New Roman"/>
          <w:sz w:val="32"/>
          <w:szCs w:val="32"/>
          <w:lang w:val="en-NZ" w:eastAsia="zh-CN"/>
        </w:rPr>
        <w:t>,</w:t>
      </w:r>
      <w:r>
        <w:rPr>
          <w:rFonts w:hint="eastAsia" w:ascii="仿宋" w:hAnsi="仿宋" w:eastAsia="仿宋" w:cs="Times New Roman"/>
          <w:sz w:val="32"/>
          <w:szCs w:val="32"/>
          <w:lang w:val="en-US" w:eastAsia="zh-CN"/>
        </w:rPr>
        <w:t>在职5人。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宋体" w:hAnsi="宋体" w:eastAsia="宋体" w:cs="仿宋_GB2312"/>
          <w:sz w:val="30"/>
          <w:szCs w:val="30"/>
          <w:lang w:val="en-US" w:eastAsia="zh-CN"/>
        </w:rPr>
      </w:pPr>
    </w:p>
    <w:bookmarkEnd w:id="20"/>
    <w:bookmarkEnd w:id="21"/>
    <w:p>
      <w:pPr>
        <w:widowControl/>
        <w:jc w:val="left"/>
        <w:rPr>
          <w:rFonts w:ascii="仿宋" w:hAnsi="仿宋" w:eastAsia="仿宋"/>
          <w:kern w:val="0"/>
          <w:sz w:val="32"/>
          <w:szCs w:val="32"/>
        </w:rPr>
      </w:pPr>
      <w:r>
        <w:rPr>
          <w:rFonts w:ascii="仿宋" w:hAnsi="仿宋" w:eastAsia="仿宋"/>
          <w:kern w:val="0"/>
          <w:sz w:val="32"/>
          <w:szCs w:val="32"/>
        </w:rPr>
        <w:br w:type="textWrapping"/>
      </w:r>
    </w:p>
    <w:p>
      <w:pPr>
        <w:widowControl/>
        <w:jc w:val="left"/>
        <w:rPr>
          <w:rFonts w:ascii="仿宋" w:hAnsi="仿宋" w:eastAsia="仿宋"/>
          <w:kern w:val="0"/>
          <w:sz w:val="32"/>
          <w:szCs w:val="32"/>
        </w:rPr>
      </w:pPr>
    </w:p>
    <w:p>
      <w:pPr>
        <w:rPr>
          <w:rFonts w:ascii="仿宋" w:hAnsi="仿宋" w:eastAsia="仿宋"/>
          <w:kern w:val="0"/>
          <w:sz w:val="32"/>
          <w:szCs w:val="32"/>
        </w:rPr>
      </w:pPr>
    </w:p>
    <w:p>
      <w:pPr>
        <w:pStyle w:val="2"/>
      </w:pPr>
    </w:p>
    <w:p>
      <w:pPr>
        <w:pStyle w:val="5"/>
        <w:ind w:right="440"/>
        <w:jc w:val="center"/>
      </w:pPr>
      <w:bookmarkStart w:id="23" w:name="_Toc32625"/>
      <w:bookmarkStart w:id="24" w:name="_Toc15377204"/>
      <w:bookmarkStart w:id="25" w:name="_Toc15396602"/>
      <w:r>
        <w:rPr>
          <w:rFonts w:hint="eastAsia" w:ascii="黑体" w:hAnsi="黑体" w:eastAsia="黑体"/>
          <w:b w:val="0"/>
        </w:rPr>
        <w:br w:type="page"/>
      </w:r>
      <w:r>
        <w:rPr>
          <w:rFonts w:hint="eastAsia" w:ascii="黑体" w:hAnsi="黑体" w:eastAsia="黑体"/>
          <w:b w:val="0"/>
        </w:rPr>
        <w:t>第二部分 2023年度</w:t>
      </w:r>
      <w:r>
        <w:rPr>
          <w:rStyle w:val="38"/>
          <w:rFonts w:hint="eastAsia" w:ascii="黑体" w:hAnsi="黑体" w:eastAsia="黑体"/>
          <w:b w:val="0"/>
          <w:bCs/>
        </w:rPr>
        <w:t>单位决算情况说明</w:t>
      </w:r>
      <w:bookmarkEnd w:id="23"/>
      <w:bookmarkEnd w:id="24"/>
      <w:bookmarkEnd w:id="25"/>
    </w:p>
    <w:p>
      <w:pPr>
        <w:pStyle w:val="29"/>
        <w:numPr>
          <w:ilvl w:val="0"/>
          <w:numId w:val="2"/>
        </w:numPr>
        <w:spacing w:line="600" w:lineRule="exact"/>
        <w:ind w:firstLineChars="0"/>
        <w:outlineLvl w:val="1"/>
        <w:rPr>
          <w:rStyle w:val="39"/>
          <w:rFonts w:ascii="黑体" w:hAnsi="黑体" w:eastAsia="黑体"/>
          <w:b w:val="0"/>
        </w:rPr>
      </w:pPr>
      <w:bookmarkStart w:id="26" w:name="_Toc15396603"/>
      <w:bookmarkStart w:id="27" w:name="_Toc15377205"/>
      <w:bookmarkStart w:id="28" w:name="_Toc6988"/>
      <w:bookmarkStart w:id="29" w:name="_Toc21432"/>
      <w:r>
        <w:rPr>
          <w:rFonts w:hint="eastAsia" w:ascii="黑体" w:hAnsi="黑体" w:eastAsia="黑体"/>
          <w:sz w:val="32"/>
          <w:szCs w:val="32"/>
        </w:rPr>
        <w:t>收</w:t>
      </w:r>
      <w:r>
        <w:rPr>
          <w:rStyle w:val="39"/>
          <w:rFonts w:hint="eastAsia" w:ascii="黑体" w:hAnsi="黑体" w:eastAsia="黑体"/>
          <w:b w:val="0"/>
        </w:rPr>
        <w:t>入支出决算总体情况说明</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bookmarkStart w:id="30" w:name="_Toc20291"/>
      <w:bookmarkStart w:id="31" w:name="_Toc32712"/>
      <w:r>
        <w:rPr>
          <w:rFonts w:hint="eastAsia" w:ascii="仿宋" w:hAnsi="仿宋" w:eastAsia="仿宋" w:cs="Times New Roman"/>
          <w:sz w:val="32"/>
          <w:szCs w:val="32"/>
          <w:lang w:val="en-US" w:eastAsia="zh-CN"/>
        </w:rPr>
        <w:t>2023年度收、支总计均为283.78万元。</w:t>
      </w:r>
      <w:bookmarkEnd w:id="30"/>
      <w:bookmarkEnd w:id="31"/>
      <w:r>
        <w:rPr>
          <w:rFonts w:hint="eastAsia" w:ascii="仿宋" w:hAnsi="仿宋" w:eastAsia="仿宋"/>
          <w:sz w:val="32"/>
          <w:szCs w:val="32"/>
          <w:highlight w:val="none"/>
          <w:lang w:val="en-US" w:eastAsia="zh-CN"/>
        </w:rPr>
        <w:t>2022年单位收支纳入局机关决算中，无单独收支决算数据。</w:t>
      </w:r>
    </w:p>
    <w:p>
      <w:pPr>
        <w:ind w:firstLine="600" w:firstLineChars="200"/>
        <w:rPr>
          <w:rFonts w:hint="eastAsia" w:ascii="宋体" w:hAnsi="宋体" w:eastAsia="宋体" w:cs="仿宋_GB2312"/>
          <w:sz w:val="30"/>
          <w:szCs w:val="30"/>
          <w:lang w:val="en-US" w:eastAsia="zh-CN"/>
        </w:rPr>
      </w:pPr>
      <w:bookmarkStart w:id="32" w:name="_Toc5725"/>
      <w:bookmarkStart w:id="33" w:name="_Toc18458"/>
      <w:r>
        <w:rPr>
          <w:rFonts w:hint="eastAsia" w:ascii="宋体" w:hAnsi="宋体" w:eastAsia="宋体" w:cs="仿宋_GB2312"/>
          <w:sz w:val="30"/>
          <w:szCs w:val="30"/>
          <w:lang w:val="en-US" w:eastAsia="zh-CN"/>
        </w:rPr>
        <w:drawing>
          <wp:anchor distT="0" distB="0" distL="114300" distR="114300" simplePos="0" relativeHeight="251659264" behindDoc="0" locked="0" layoutInCell="1" allowOverlap="1">
            <wp:simplePos x="0" y="0"/>
            <wp:positionH relativeFrom="column">
              <wp:posOffset>-165735</wp:posOffset>
            </wp:positionH>
            <wp:positionV relativeFrom="paragraph">
              <wp:posOffset>271780</wp:posOffset>
            </wp:positionV>
            <wp:extent cx="5126990" cy="2663825"/>
            <wp:effectExtent l="0" t="0" r="8890" b="317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lum/>
                    </a:blip>
                    <a:stretch>
                      <a:fillRect/>
                    </a:stretch>
                  </pic:blipFill>
                  <pic:spPr>
                    <a:xfrm>
                      <a:off x="0" y="0"/>
                      <a:ext cx="5126990" cy="2663825"/>
                    </a:xfrm>
                    <a:prstGeom prst="rect">
                      <a:avLst/>
                    </a:prstGeom>
                    <a:noFill/>
                    <a:ln>
                      <a:noFill/>
                    </a:ln>
                  </pic:spPr>
                </pic:pic>
              </a:graphicData>
            </a:graphic>
          </wp:anchor>
        </w:drawing>
      </w:r>
      <w:r>
        <w:rPr>
          <w:rFonts w:hint="eastAsia" w:ascii="宋体" w:hAnsi="宋体" w:eastAsia="宋体" w:cs="仿宋_GB2312"/>
          <w:sz w:val="30"/>
          <w:szCs w:val="30"/>
          <w:lang w:val="en-US" w:eastAsia="zh-CN"/>
        </w:rPr>
        <w:t>（图1：收、支决算总计变动情况图）（柱状图）</w:t>
      </w:r>
      <w:bookmarkEnd w:id="32"/>
      <w:bookmarkEnd w:id="33"/>
    </w:p>
    <w:p>
      <w:pPr>
        <w:pStyle w:val="29"/>
        <w:numPr>
          <w:ilvl w:val="0"/>
          <w:numId w:val="2"/>
        </w:numPr>
        <w:spacing w:line="600" w:lineRule="exact"/>
        <w:ind w:firstLineChars="0"/>
        <w:outlineLvl w:val="1"/>
        <w:rPr>
          <w:rStyle w:val="39"/>
          <w:rFonts w:ascii="黑体" w:hAnsi="黑体" w:eastAsia="黑体"/>
          <w:b w:val="0"/>
        </w:rPr>
      </w:pPr>
      <w:bookmarkStart w:id="34" w:name="_Toc15377206"/>
      <w:bookmarkStart w:id="35" w:name="_Toc502"/>
      <w:bookmarkStart w:id="36" w:name="_Toc15396604"/>
      <w:r>
        <w:rPr>
          <w:rFonts w:hint="eastAsia" w:ascii="黑体" w:hAnsi="黑体" w:eastAsia="黑体"/>
          <w:sz w:val="32"/>
          <w:szCs w:val="32"/>
        </w:rPr>
        <w:t>收</w:t>
      </w:r>
      <w:r>
        <w:rPr>
          <w:rStyle w:val="39"/>
          <w:rFonts w:hint="eastAsia" w:ascii="黑体" w:hAnsi="黑体" w:eastAsia="黑体"/>
          <w:b w:val="0"/>
        </w:rPr>
        <w:t>入决算情况说明</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Times New Roman"/>
          <w:sz w:val="32"/>
          <w:szCs w:val="32"/>
          <w:lang w:val="en-US" w:eastAsia="zh-CN"/>
        </w:rPr>
      </w:pPr>
      <w:bookmarkStart w:id="37" w:name="_Toc7093"/>
      <w:bookmarkStart w:id="38" w:name="_Toc32467"/>
      <w:r>
        <w:rPr>
          <w:rFonts w:hint="eastAsia" w:ascii="仿宋" w:hAnsi="仿宋" w:eastAsia="仿宋" w:cs="Times New Roman"/>
          <w:sz w:val="32"/>
          <w:szCs w:val="32"/>
          <w:lang w:val="en-US" w:eastAsia="zh-CN"/>
        </w:rPr>
        <w:t>2023年度本年收入合计283.78万元，其中：一般公共预算财政拨款收入165.2万元，占58.21%；政府性基金预算财政拨款收入118.58万元，占41.79%。</w:t>
      </w:r>
      <w:bookmarkEnd w:id="37"/>
      <w:bookmarkEnd w:id="38"/>
    </w:p>
    <w:p>
      <w:pPr>
        <w:pStyle w:val="27"/>
        <w:rPr>
          <w:rFonts w:hint="eastAsia" w:eastAsia="黑体"/>
          <w:lang w:eastAsia="zh-CN"/>
        </w:rPr>
      </w:pPr>
      <w:r>
        <w:rPr>
          <w:rFonts w:hint="eastAsia" w:ascii="Arial" w:hAnsi="Arial" w:eastAsia="黑体" w:cs="Times New Roman"/>
          <w:b/>
          <w:kern w:val="2"/>
          <w:sz w:val="24"/>
          <w:szCs w:val="28"/>
          <w:lang w:val="en-US" w:eastAsia="zh-CN" w:bidi="ar-SA"/>
        </w:rPr>
        <w:drawing>
          <wp:inline distT="0" distB="0" distL="114300" distR="114300">
            <wp:extent cx="4870450" cy="2663825"/>
            <wp:effectExtent l="0" t="0" r="6350" b="317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lum/>
                    </a:blip>
                    <a:stretch>
                      <a:fillRect/>
                    </a:stretch>
                  </pic:blipFill>
                  <pic:spPr>
                    <a:xfrm>
                      <a:off x="0" y="0"/>
                      <a:ext cx="4870450" cy="2663825"/>
                    </a:xfrm>
                    <a:prstGeom prst="rect">
                      <a:avLst/>
                    </a:prstGeom>
                    <a:noFill/>
                    <a:ln>
                      <a:noFill/>
                    </a:ln>
                  </pic:spPr>
                </pic:pic>
              </a:graphicData>
            </a:graphic>
          </wp:inline>
        </w:drawing>
      </w:r>
    </w:p>
    <w:p>
      <w:pPr>
        <w:spacing w:line="600" w:lineRule="exact"/>
        <w:ind w:firstLine="1280" w:firstLineChars="400"/>
      </w:pPr>
      <w:r>
        <w:rPr>
          <w:rFonts w:hint="eastAsia" w:ascii="仿宋" w:hAnsi="仿宋" w:eastAsia="仿宋"/>
          <w:sz w:val="32"/>
          <w:szCs w:val="32"/>
        </w:rPr>
        <w:t>（图2：收入决算结构图）（饼状图）</w:t>
      </w:r>
    </w:p>
    <w:p>
      <w:pPr>
        <w:pStyle w:val="29"/>
        <w:numPr>
          <w:ilvl w:val="0"/>
          <w:numId w:val="2"/>
        </w:numPr>
        <w:spacing w:line="600" w:lineRule="exact"/>
        <w:ind w:firstLineChars="0"/>
        <w:outlineLvl w:val="1"/>
        <w:rPr>
          <w:rStyle w:val="39"/>
          <w:rFonts w:ascii="黑体" w:hAnsi="黑体" w:eastAsia="黑体"/>
          <w:b w:val="0"/>
        </w:rPr>
      </w:pPr>
      <w:bookmarkStart w:id="39" w:name="_Toc15396605"/>
      <w:bookmarkStart w:id="40" w:name="_Toc5888"/>
      <w:bookmarkStart w:id="41" w:name="_Toc8242"/>
      <w:bookmarkStart w:id="42" w:name="_Toc15377207"/>
      <w:r>
        <w:rPr>
          <w:rFonts w:hint="eastAsia" w:ascii="黑体" w:hAnsi="黑体" w:eastAsia="黑体"/>
          <w:sz w:val="32"/>
          <w:szCs w:val="32"/>
        </w:rPr>
        <w:t>支</w:t>
      </w:r>
      <w:r>
        <w:rPr>
          <w:rStyle w:val="39"/>
          <w:rFonts w:hint="eastAsia" w:ascii="黑体" w:hAnsi="黑体" w:eastAsia="黑体"/>
          <w:b w:val="0"/>
        </w:rPr>
        <w:t>出决算情况说明</w:t>
      </w:r>
      <w:bookmarkEnd w:id="39"/>
      <w:bookmarkEnd w:id="40"/>
      <w:bookmarkEnd w:id="41"/>
      <w:bookmarkEnd w:id="42"/>
    </w:p>
    <w:p>
      <w:pPr>
        <w:spacing w:line="600" w:lineRule="exact"/>
        <w:ind w:firstLine="640" w:firstLineChars="200"/>
        <w:outlineLvl w:val="1"/>
        <w:rPr>
          <w:rFonts w:ascii="仿宋" w:hAnsi="仿宋" w:eastAsia="仿宋"/>
          <w:sz w:val="32"/>
          <w:szCs w:val="32"/>
        </w:rPr>
      </w:pPr>
      <w:bookmarkStart w:id="43" w:name="_Toc12301"/>
      <w:bookmarkStart w:id="44" w:name="_Toc12132"/>
      <w:r>
        <w:rPr>
          <w:rFonts w:hint="eastAsia" w:ascii="仿宋" w:hAnsi="仿宋" w:eastAsia="仿宋"/>
          <w:sz w:val="32"/>
          <w:szCs w:val="32"/>
        </w:rPr>
        <w:t>2023年本年支出合计283.78万元，其中：基本支出106.64万元，占比37.58%；项目支出177.14万元，占比62.42%</w:t>
      </w:r>
      <w:r>
        <w:rPr>
          <w:rFonts w:hint="eastAsia" w:ascii="仿宋" w:hAnsi="仿宋" w:eastAsia="仿宋"/>
          <w:color w:val="auto"/>
          <w:sz w:val="32"/>
          <w:szCs w:val="32"/>
          <w:highlight w:val="none"/>
        </w:rPr>
        <w:t>。</w:t>
      </w:r>
      <w:bookmarkEnd w:id="43"/>
      <w:bookmarkEnd w:id="44"/>
    </w:p>
    <w:p>
      <w:pPr>
        <w:pStyle w:val="29"/>
        <w:widowControl w:val="0"/>
        <w:numPr>
          <w:ilvl w:val="0"/>
          <w:numId w:val="0"/>
        </w:numPr>
        <w:spacing w:line="600" w:lineRule="exact"/>
        <w:jc w:val="both"/>
        <w:outlineLvl w:val="1"/>
        <w:rPr>
          <w:rStyle w:val="39"/>
          <w:rFonts w:hint="eastAsia" w:ascii="黑体" w:hAnsi="黑体" w:eastAsia="黑体"/>
          <w:b w:val="0"/>
        </w:rPr>
      </w:pPr>
      <w:bookmarkStart w:id="45" w:name="_Toc23755"/>
      <w:bookmarkStart w:id="46" w:name="_Toc13899"/>
      <w:r>
        <w:rPr>
          <w:rFonts w:hint="eastAsia" w:ascii="黑体" w:hAnsi="黑体" w:eastAsia="仿宋" w:cs="黑体"/>
          <w:b w:val="0"/>
          <w:bCs/>
          <w:kern w:val="2"/>
          <w:sz w:val="32"/>
          <w:szCs w:val="32"/>
          <w:lang w:val="en-US" w:eastAsia="zh-CN" w:bidi="ar-SA"/>
        </w:rPr>
        <w:drawing>
          <wp:anchor distT="0" distB="0" distL="114300" distR="114300" simplePos="0" relativeHeight="251660288" behindDoc="0" locked="0" layoutInCell="1" allowOverlap="1">
            <wp:simplePos x="0" y="0"/>
            <wp:positionH relativeFrom="column">
              <wp:posOffset>151765</wp:posOffset>
            </wp:positionH>
            <wp:positionV relativeFrom="paragraph">
              <wp:posOffset>139065</wp:posOffset>
            </wp:positionV>
            <wp:extent cx="3604895" cy="2921635"/>
            <wp:effectExtent l="0" t="0" r="6985" b="4445"/>
            <wp:wrapTopAndBottom/>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8">
                      <a:lum/>
                    </a:blip>
                    <a:stretch>
                      <a:fillRect/>
                    </a:stretch>
                  </pic:blipFill>
                  <pic:spPr>
                    <a:xfrm>
                      <a:off x="0" y="0"/>
                      <a:ext cx="3604895" cy="2921635"/>
                    </a:xfrm>
                    <a:prstGeom prst="rect">
                      <a:avLst/>
                    </a:prstGeom>
                    <a:noFill/>
                    <a:ln>
                      <a:noFill/>
                    </a:ln>
                  </pic:spPr>
                </pic:pic>
              </a:graphicData>
            </a:graphic>
          </wp:anchor>
        </w:drawing>
      </w:r>
      <w:r>
        <w:rPr>
          <w:rFonts w:hint="eastAsia" w:ascii="仿宋" w:hAnsi="仿宋" w:eastAsia="仿宋"/>
          <w:sz w:val="32"/>
          <w:szCs w:val="32"/>
        </w:rPr>
        <w:t>（图3：支出决算结构图）（饼状图）</w:t>
      </w:r>
      <w:bookmarkEnd w:id="45"/>
      <w:bookmarkEnd w:id="46"/>
    </w:p>
    <w:p>
      <w:pPr>
        <w:spacing w:line="600" w:lineRule="exact"/>
        <w:ind w:firstLine="640" w:firstLineChars="200"/>
        <w:outlineLvl w:val="1"/>
        <w:rPr>
          <w:rFonts w:hint="eastAsia" w:ascii="黑体" w:hAnsi="黑体" w:eastAsia="黑体"/>
          <w:sz w:val="32"/>
          <w:szCs w:val="32"/>
        </w:rPr>
      </w:pPr>
      <w:bookmarkStart w:id="47" w:name="_Toc6351"/>
      <w:bookmarkStart w:id="48" w:name="_Toc15377208"/>
      <w:bookmarkStart w:id="49" w:name="_Toc15396606"/>
    </w:p>
    <w:p>
      <w:pPr>
        <w:spacing w:line="600" w:lineRule="exact"/>
        <w:ind w:firstLine="640" w:firstLineChars="200"/>
        <w:outlineLvl w:val="1"/>
        <w:rPr>
          <w:rStyle w:val="39"/>
          <w:rFonts w:ascii="黑体" w:hAnsi="黑体" w:eastAsia="黑体"/>
          <w:b w:val="0"/>
        </w:rPr>
      </w:pPr>
      <w:r>
        <w:rPr>
          <w:rFonts w:hint="eastAsia" w:ascii="黑体" w:hAnsi="黑体" w:eastAsia="黑体"/>
          <w:sz w:val="32"/>
          <w:szCs w:val="32"/>
        </w:rPr>
        <w:t>四、财</w:t>
      </w:r>
      <w:r>
        <w:rPr>
          <w:rStyle w:val="39"/>
          <w:rFonts w:hint="eastAsia" w:ascii="黑体" w:hAnsi="黑体" w:eastAsia="黑体"/>
          <w:b w:val="0"/>
        </w:rPr>
        <w:t>政拨款收入支出决算总体情况说明</w:t>
      </w:r>
      <w:bookmarkEnd w:id="47"/>
      <w:bookmarkEnd w:id="48"/>
      <w:bookmarkEnd w:id="49"/>
    </w:p>
    <w:p>
      <w:pPr>
        <w:spacing w:line="600" w:lineRule="exact"/>
        <w:ind w:firstLine="640" w:firstLineChars="200"/>
        <w:rPr>
          <w:rFonts w:hint="eastAsia" w:ascii="仿宋" w:hAnsi="仿宋" w:eastAsia="仿宋"/>
          <w:sz w:val="32"/>
          <w:szCs w:val="32"/>
          <w:highlight w:val="none"/>
        </w:rPr>
      </w:pPr>
      <w:bookmarkStart w:id="50" w:name="_Toc15377209"/>
      <w:bookmarkStart w:id="51" w:name="_Toc15396607"/>
      <w:r>
        <w:rPr>
          <w:rFonts w:hint="eastAsia" w:ascii="仿宋" w:hAnsi="仿宋" w:eastAsia="仿宋" w:cs="仿宋"/>
          <w:sz w:val="32"/>
          <w:szCs w:val="32"/>
          <w:highlight w:val="none"/>
        </w:rPr>
        <w:t>本单位2023年度全年收入283.78万元，全年支出283.78万元。</w:t>
      </w:r>
      <w:r>
        <w:rPr>
          <w:rFonts w:hint="eastAsia" w:ascii="仿宋" w:hAnsi="仿宋" w:eastAsia="仿宋"/>
          <w:sz w:val="32"/>
          <w:szCs w:val="32"/>
          <w:highlight w:val="none"/>
          <w:lang w:val="en-US" w:eastAsia="zh-CN"/>
        </w:rPr>
        <w:t>本单位2022年度</w:t>
      </w:r>
      <w:r>
        <w:rPr>
          <w:rFonts w:hint="eastAsia" w:ascii="仿宋" w:hAnsi="仿宋" w:eastAsia="仿宋"/>
          <w:sz w:val="32"/>
          <w:szCs w:val="32"/>
          <w:highlight w:val="none"/>
        </w:rPr>
        <w:t>财政拨款收、支总计</w:t>
      </w:r>
      <w:r>
        <w:rPr>
          <w:rFonts w:hint="eastAsia" w:ascii="仿宋" w:hAnsi="仿宋" w:eastAsia="仿宋"/>
          <w:sz w:val="32"/>
          <w:szCs w:val="32"/>
          <w:highlight w:val="none"/>
          <w:lang w:val="en-US" w:eastAsia="zh-CN"/>
        </w:rPr>
        <w:t>在局机关中</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无单独收支决算数据。</w:t>
      </w:r>
    </w:p>
    <w:p>
      <w:pPr>
        <w:spacing w:line="600" w:lineRule="exact"/>
        <w:outlineLvl w:val="1"/>
        <w:rPr>
          <w:rFonts w:hint="eastAsia" w:ascii="黑体" w:hAnsi="黑体" w:eastAsia="黑体"/>
          <w:sz w:val="32"/>
          <w:szCs w:val="32"/>
          <w:highlight w:val="none"/>
        </w:rPr>
      </w:pPr>
      <w:r>
        <w:rPr>
          <w:rFonts w:hint="eastAsia" w:ascii="楷体_GB2312" w:hAnsi="仿宋" w:eastAsia="楷体_GB2312" w:cs="Times New Roman"/>
          <w:b/>
          <w:kern w:val="2"/>
          <w:sz w:val="32"/>
          <w:szCs w:val="32"/>
          <w:lang w:val="en-US" w:eastAsia="zh-CN" w:bidi="ar-SA"/>
        </w:rPr>
        <w:drawing>
          <wp:anchor distT="0" distB="0" distL="114300" distR="114300" simplePos="0" relativeHeight="251661312" behindDoc="0" locked="0" layoutInCell="1" allowOverlap="1">
            <wp:simplePos x="0" y="0"/>
            <wp:positionH relativeFrom="column">
              <wp:posOffset>293370</wp:posOffset>
            </wp:positionH>
            <wp:positionV relativeFrom="paragraph">
              <wp:posOffset>29210</wp:posOffset>
            </wp:positionV>
            <wp:extent cx="4296410" cy="2232025"/>
            <wp:effectExtent l="0" t="0" r="8890" b="15875"/>
            <wp:wrapTopAndBottom/>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6">
                      <a:lum/>
                    </a:blip>
                    <a:stretch>
                      <a:fillRect/>
                    </a:stretch>
                  </pic:blipFill>
                  <pic:spPr>
                    <a:xfrm>
                      <a:off x="0" y="0"/>
                      <a:ext cx="4296410" cy="2232025"/>
                    </a:xfrm>
                    <a:prstGeom prst="rect">
                      <a:avLst/>
                    </a:prstGeom>
                    <a:noFill/>
                    <a:ln>
                      <a:noFill/>
                    </a:ln>
                  </pic:spPr>
                </pic:pic>
              </a:graphicData>
            </a:graphic>
          </wp:anchor>
        </w:drawing>
      </w:r>
    </w:p>
    <w:p>
      <w:pPr>
        <w:spacing w:line="600" w:lineRule="exact"/>
        <w:rPr>
          <w:rFonts w:ascii="仿宋" w:hAnsi="仿宋" w:eastAsia="仿宋"/>
          <w:sz w:val="32"/>
          <w:szCs w:val="32"/>
        </w:rPr>
      </w:pPr>
      <w:r>
        <w:rPr>
          <w:rFonts w:hint="eastAsia" w:ascii="仿宋" w:hAnsi="仿宋" w:eastAsia="仿宋"/>
          <w:sz w:val="32"/>
          <w:szCs w:val="32"/>
        </w:rPr>
        <w:t>（图4：财政拨款收、支决算总计变动情况）（柱状图）</w:t>
      </w:r>
    </w:p>
    <w:p>
      <w:pPr>
        <w:spacing w:line="600" w:lineRule="exact"/>
        <w:ind w:firstLine="640" w:firstLineChars="200"/>
        <w:outlineLvl w:val="1"/>
        <w:rPr>
          <w:rStyle w:val="39"/>
          <w:rFonts w:ascii="黑体" w:hAnsi="黑体" w:eastAsia="黑体"/>
          <w:b w:val="0"/>
        </w:rPr>
      </w:pPr>
      <w:bookmarkStart w:id="52" w:name="_Toc5291"/>
      <w:r>
        <w:rPr>
          <w:rFonts w:hint="eastAsia" w:ascii="黑体" w:hAnsi="黑体" w:eastAsia="黑体"/>
          <w:sz w:val="32"/>
          <w:szCs w:val="32"/>
        </w:rPr>
        <w:t>五、</w:t>
      </w:r>
      <w:r>
        <w:rPr>
          <w:rFonts w:hint="eastAsia" w:ascii="黑体" w:hAnsi="黑体" w:eastAsia="黑体"/>
          <w:b/>
          <w:sz w:val="32"/>
          <w:szCs w:val="32"/>
        </w:rPr>
        <w:t>一</w:t>
      </w:r>
      <w:r>
        <w:rPr>
          <w:rStyle w:val="39"/>
          <w:rFonts w:hint="eastAsia" w:ascii="黑体" w:hAnsi="黑体" w:eastAsia="黑体"/>
          <w:b w:val="0"/>
        </w:rPr>
        <w:t>般公共预算财政拨款支出决算情况说明</w:t>
      </w:r>
      <w:bookmarkEnd w:id="50"/>
      <w:bookmarkEnd w:id="51"/>
      <w:bookmarkEnd w:id="52"/>
    </w:p>
    <w:p>
      <w:pPr>
        <w:spacing w:line="600" w:lineRule="exact"/>
        <w:ind w:firstLine="643" w:firstLineChars="200"/>
        <w:outlineLvl w:val="2"/>
        <w:rPr>
          <w:rFonts w:ascii="仿宋" w:hAnsi="仿宋" w:eastAsia="仿宋"/>
          <w:b/>
          <w:sz w:val="32"/>
          <w:szCs w:val="32"/>
        </w:rPr>
      </w:pPr>
      <w:bookmarkStart w:id="53" w:name="_Toc15377210"/>
      <w:bookmarkStart w:id="54" w:name="_Toc24764"/>
      <w:bookmarkStart w:id="55" w:name="_Toc15331"/>
      <w:r>
        <w:rPr>
          <w:rFonts w:hint="eastAsia" w:ascii="仿宋" w:hAnsi="仿宋" w:eastAsia="仿宋"/>
          <w:b/>
          <w:sz w:val="32"/>
          <w:szCs w:val="32"/>
        </w:rPr>
        <w:t>（一）一般公共预算财政拨款支出决算总体情况</w:t>
      </w:r>
      <w:bookmarkEnd w:id="53"/>
      <w:bookmarkEnd w:id="54"/>
      <w:bookmarkEnd w:id="55"/>
    </w:p>
    <w:p>
      <w:pPr>
        <w:widowControl w:val="0"/>
        <w:wordWrap/>
        <w:adjustRightInd/>
        <w:snapToGrid w:val="0"/>
        <w:spacing w:line="52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2</w:t>
      </w:r>
      <w:r>
        <w:rPr>
          <w:rFonts w:hint="eastAsia" w:ascii="仿宋" w:hAnsi="仿宋" w:eastAsia="仿宋" w:cs="仿宋"/>
          <w:sz w:val="32"/>
          <w:szCs w:val="32"/>
          <w:highlight w:val="none"/>
        </w:rPr>
        <w:t>023年度一般公共预算财政拨款支出</w:t>
      </w:r>
      <w:r>
        <w:rPr>
          <w:rFonts w:hint="eastAsia" w:ascii="仿宋" w:hAnsi="仿宋" w:eastAsia="仿宋" w:cs="仿宋"/>
          <w:b/>
          <w:sz w:val="32"/>
          <w:szCs w:val="32"/>
          <w:highlight w:val="none"/>
          <w:lang w:val="en-US" w:eastAsia="zh-CN"/>
        </w:rPr>
        <w:t>165.2</w:t>
      </w:r>
      <w:r>
        <w:rPr>
          <w:rFonts w:hint="eastAsia" w:ascii="仿宋" w:hAnsi="仿宋" w:eastAsia="仿宋" w:cs="仿宋"/>
          <w:sz w:val="32"/>
          <w:szCs w:val="32"/>
          <w:highlight w:val="none"/>
        </w:rPr>
        <w:t>万元，占本年支出合计的</w:t>
      </w:r>
      <w:r>
        <w:rPr>
          <w:rFonts w:hint="eastAsia" w:ascii="仿宋" w:hAnsi="仿宋" w:eastAsia="仿宋" w:cs="仿宋"/>
          <w:b/>
          <w:sz w:val="32"/>
          <w:szCs w:val="32"/>
          <w:highlight w:val="none"/>
          <w:lang w:val="en-US" w:eastAsia="zh-CN"/>
        </w:rPr>
        <w:t>58.21</w:t>
      </w:r>
      <w:r>
        <w:rPr>
          <w:rFonts w:hint="eastAsia" w:ascii="仿宋" w:hAnsi="仿宋" w:eastAsia="仿宋" w:cs="仿宋"/>
          <w:sz w:val="32"/>
          <w:szCs w:val="32"/>
          <w:highlight w:val="none"/>
        </w:rPr>
        <w:t>%。本单位</w:t>
      </w:r>
      <w:r>
        <w:rPr>
          <w:rFonts w:hint="eastAsia" w:ascii="仿宋" w:hAnsi="仿宋" w:eastAsia="仿宋" w:cs="仿宋"/>
          <w:sz w:val="32"/>
          <w:szCs w:val="32"/>
          <w:highlight w:val="none"/>
          <w:lang w:val="en-US" w:eastAsia="zh-CN"/>
        </w:rPr>
        <w:t>2022年单位收支纳入局机关决算中，无单独收支数据</w:t>
      </w:r>
      <w:r>
        <w:rPr>
          <w:rFonts w:hint="eastAsia" w:ascii="仿宋" w:hAnsi="仿宋" w:eastAsia="仿宋" w:cs="仿宋"/>
          <w:sz w:val="32"/>
          <w:szCs w:val="32"/>
          <w:highlight w:val="none"/>
        </w:rPr>
        <w:t>。</w:t>
      </w:r>
    </w:p>
    <w:p>
      <w:pPr>
        <w:spacing w:line="600" w:lineRule="exact"/>
      </w:pPr>
      <w:r>
        <w:rPr>
          <w:rFonts w:hint="eastAsia" w:ascii="仿宋" w:hAnsi="仿宋" w:eastAsia="仿宋" w:cs="仿宋"/>
          <w:kern w:val="2"/>
          <w:sz w:val="32"/>
          <w:szCs w:val="32"/>
          <w:lang w:val="en-US" w:eastAsia="zh-CN" w:bidi="ar-SA"/>
        </w:rPr>
        <w:drawing>
          <wp:anchor distT="0" distB="0" distL="114300" distR="114300" simplePos="0" relativeHeight="251662336" behindDoc="0" locked="0" layoutInCell="1" allowOverlap="1">
            <wp:simplePos x="0" y="0"/>
            <wp:positionH relativeFrom="column">
              <wp:posOffset>786130</wp:posOffset>
            </wp:positionH>
            <wp:positionV relativeFrom="paragraph">
              <wp:posOffset>158750</wp:posOffset>
            </wp:positionV>
            <wp:extent cx="3378835" cy="1884680"/>
            <wp:effectExtent l="0" t="0" r="12065" b="1270"/>
            <wp:wrapTopAndBottom/>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9">
                      <a:lum/>
                    </a:blip>
                    <a:stretch>
                      <a:fillRect/>
                    </a:stretch>
                  </pic:blipFill>
                  <pic:spPr>
                    <a:xfrm>
                      <a:off x="0" y="0"/>
                      <a:ext cx="3378835" cy="1884680"/>
                    </a:xfrm>
                    <a:prstGeom prst="rect">
                      <a:avLst/>
                    </a:prstGeom>
                    <a:noFill/>
                    <a:ln>
                      <a:noFill/>
                    </a:ln>
                  </pic:spPr>
                </pic:pic>
              </a:graphicData>
            </a:graphic>
          </wp:anchor>
        </w:drawing>
      </w:r>
      <w:r>
        <w:rPr>
          <w:rFonts w:hint="eastAsia" w:ascii="仿宋" w:hAnsi="仿宋" w:eastAsia="仿宋"/>
          <w:sz w:val="32"/>
          <w:szCs w:val="32"/>
        </w:rPr>
        <w:t>（图5：一般公共预算财政拨款支出决算变动情况）（柱状图）</w:t>
      </w:r>
    </w:p>
    <w:p>
      <w:pPr>
        <w:spacing w:line="600" w:lineRule="exact"/>
        <w:outlineLvl w:val="2"/>
        <w:rPr>
          <w:rFonts w:ascii="仿宋" w:hAnsi="仿宋" w:eastAsia="仿宋"/>
          <w:b/>
          <w:sz w:val="32"/>
          <w:szCs w:val="32"/>
        </w:rPr>
      </w:pPr>
      <w:bookmarkStart w:id="56" w:name="_Toc25579"/>
      <w:bookmarkStart w:id="57" w:name="_Toc31445"/>
      <w:bookmarkStart w:id="58" w:name="_Toc15377211"/>
      <w:r>
        <w:rPr>
          <w:rFonts w:hint="eastAsia" w:ascii="仿宋" w:hAnsi="仿宋" w:eastAsia="仿宋"/>
          <w:b/>
          <w:sz w:val="32"/>
          <w:szCs w:val="32"/>
        </w:rPr>
        <w:t>（二）一般公共预算财政拨款支出决算结构情况</w:t>
      </w:r>
      <w:bookmarkEnd w:id="56"/>
      <w:bookmarkEnd w:id="57"/>
      <w:bookmarkEnd w:id="58"/>
    </w:p>
    <w:p>
      <w:pPr>
        <w:spacing w:line="600" w:lineRule="exact"/>
        <w:ind w:firstLine="640"/>
        <w:rPr>
          <w:rFonts w:ascii="仿宋" w:hAnsi="仿宋" w:eastAsia="仿宋"/>
          <w:sz w:val="32"/>
          <w:szCs w:val="32"/>
          <w:highlight w:val="yellow"/>
        </w:rPr>
      </w:pPr>
      <w:r>
        <w:rPr>
          <w:rFonts w:hint="eastAsia" w:ascii="仿宋" w:hAnsi="仿宋" w:eastAsia="仿宋"/>
          <w:sz w:val="32"/>
          <w:szCs w:val="32"/>
        </w:rPr>
        <w:t>2</w:t>
      </w:r>
      <w:r>
        <w:rPr>
          <w:rFonts w:hint="eastAsia" w:ascii="仿宋" w:hAnsi="仿宋" w:eastAsia="仿宋"/>
          <w:sz w:val="32"/>
          <w:szCs w:val="32"/>
          <w:highlight w:val="none"/>
        </w:rPr>
        <w:t>023年度一般公共预算财政拨款支出</w:t>
      </w:r>
      <w:r>
        <w:rPr>
          <w:rFonts w:hint="eastAsia" w:ascii="仿宋" w:hAnsi="仿宋" w:eastAsia="仿宋"/>
          <w:b/>
          <w:sz w:val="32"/>
          <w:szCs w:val="32"/>
          <w:highlight w:val="none"/>
          <w:lang w:val="en-US" w:eastAsia="zh-CN"/>
        </w:rPr>
        <w:t>165.2</w:t>
      </w:r>
      <w:r>
        <w:rPr>
          <w:rFonts w:hint="eastAsia" w:ascii="仿宋" w:hAnsi="仿宋" w:eastAsia="仿宋"/>
          <w:sz w:val="32"/>
          <w:szCs w:val="32"/>
          <w:highlight w:val="none"/>
        </w:rPr>
        <w:t>万元，主要用于以下方面</w:t>
      </w:r>
      <w:r>
        <w:rPr>
          <w:rFonts w:ascii="仿宋" w:hAnsi="仿宋" w:eastAsia="仿宋"/>
          <w:sz w:val="32"/>
          <w:szCs w:val="32"/>
          <w:highlight w:val="none"/>
        </w:rPr>
        <w:t>:</w:t>
      </w:r>
      <w:r>
        <w:rPr>
          <w:rFonts w:hint="eastAsia" w:ascii="仿宋" w:hAnsi="仿宋" w:eastAsia="仿宋"/>
          <w:b/>
          <w:bCs/>
          <w:sz w:val="32"/>
          <w:szCs w:val="32"/>
          <w:highlight w:val="none"/>
        </w:rPr>
        <w:t>文化旅游体育与传媒支出</w:t>
      </w:r>
      <w:r>
        <w:rPr>
          <w:rFonts w:hint="eastAsia" w:ascii="仿宋" w:hAnsi="仿宋" w:eastAsia="仿宋"/>
          <w:b/>
          <w:bCs/>
          <w:sz w:val="32"/>
          <w:szCs w:val="32"/>
          <w:highlight w:val="none"/>
          <w:lang w:val="en-US" w:eastAsia="zh-CN"/>
        </w:rPr>
        <w:t>139.06</w:t>
      </w:r>
      <w:r>
        <w:rPr>
          <w:rFonts w:hint="eastAsia" w:ascii="仿宋" w:hAnsi="仿宋" w:eastAsia="仿宋"/>
          <w:b/>
          <w:bCs/>
          <w:sz w:val="32"/>
          <w:szCs w:val="32"/>
          <w:highlight w:val="none"/>
        </w:rPr>
        <w:t>万元，占</w:t>
      </w:r>
      <w:r>
        <w:rPr>
          <w:rFonts w:hint="eastAsia" w:ascii="仿宋" w:hAnsi="仿宋" w:eastAsia="仿宋"/>
          <w:b/>
          <w:bCs/>
          <w:sz w:val="32"/>
          <w:szCs w:val="32"/>
          <w:highlight w:val="none"/>
          <w:lang w:val="en-US" w:eastAsia="zh-CN"/>
        </w:rPr>
        <w:t>84</w:t>
      </w:r>
      <w:r>
        <w:rPr>
          <w:rFonts w:ascii="仿宋" w:hAnsi="仿宋" w:eastAsia="仿宋"/>
          <w:b/>
          <w:bCs/>
          <w:sz w:val="32"/>
          <w:szCs w:val="32"/>
          <w:highlight w:val="none"/>
        </w:rPr>
        <w:t>%</w:t>
      </w:r>
      <w:r>
        <w:rPr>
          <w:rFonts w:hint="eastAsia" w:ascii="仿宋" w:hAnsi="仿宋" w:eastAsia="仿宋"/>
          <w:sz w:val="32"/>
          <w:szCs w:val="32"/>
          <w:highlight w:val="none"/>
        </w:rPr>
        <w:t>；</w:t>
      </w:r>
      <w:r>
        <w:rPr>
          <w:rFonts w:hint="eastAsia" w:ascii="仿宋" w:hAnsi="仿宋" w:eastAsia="仿宋"/>
          <w:b/>
          <w:sz w:val="32"/>
          <w:szCs w:val="32"/>
          <w:highlight w:val="none"/>
        </w:rPr>
        <w:t>社会保障和就业</w:t>
      </w:r>
      <w:r>
        <w:rPr>
          <w:rFonts w:hint="eastAsia" w:ascii="仿宋" w:hAnsi="仿宋" w:eastAsia="仿宋"/>
          <w:b/>
          <w:bCs/>
          <w:sz w:val="32"/>
          <w:szCs w:val="32"/>
          <w:highlight w:val="none"/>
        </w:rPr>
        <w:t>支出</w:t>
      </w:r>
      <w:r>
        <w:rPr>
          <w:rFonts w:hint="eastAsia" w:ascii="仿宋" w:hAnsi="仿宋" w:eastAsia="仿宋"/>
          <w:sz w:val="32"/>
          <w:szCs w:val="32"/>
          <w:highlight w:val="none"/>
          <w:lang w:val="en-US" w:eastAsia="zh-CN"/>
        </w:rPr>
        <w:t>15.73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w:t>
      </w:r>
      <w:r>
        <w:rPr>
          <w:rFonts w:ascii="仿宋" w:hAnsi="仿宋" w:eastAsia="仿宋"/>
          <w:sz w:val="32"/>
          <w:szCs w:val="32"/>
          <w:highlight w:val="none"/>
        </w:rPr>
        <w:t>%</w:t>
      </w:r>
      <w:r>
        <w:rPr>
          <w:rFonts w:hint="eastAsia" w:ascii="仿宋" w:hAnsi="仿宋" w:eastAsia="仿宋"/>
          <w:sz w:val="32"/>
          <w:szCs w:val="32"/>
          <w:highlight w:val="none"/>
        </w:rPr>
        <w:t>；</w:t>
      </w:r>
      <w:r>
        <w:rPr>
          <w:rFonts w:hint="eastAsia" w:ascii="仿宋" w:hAnsi="仿宋" w:eastAsia="仿宋"/>
          <w:b/>
          <w:bCs/>
          <w:sz w:val="32"/>
          <w:szCs w:val="32"/>
          <w:highlight w:val="none"/>
        </w:rPr>
        <w:t>卫生健康支出</w:t>
      </w:r>
      <w:r>
        <w:rPr>
          <w:rFonts w:hint="eastAsia" w:ascii="仿宋" w:hAnsi="仿宋" w:eastAsia="仿宋"/>
          <w:sz w:val="32"/>
          <w:szCs w:val="32"/>
          <w:highlight w:val="none"/>
          <w:lang w:val="en-US" w:eastAsia="zh-CN"/>
        </w:rPr>
        <w:t>3.16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2</w:t>
      </w:r>
      <w:r>
        <w:rPr>
          <w:rFonts w:ascii="仿宋" w:hAnsi="仿宋" w:eastAsia="仿宋"/>
          <w:sz w:val="32"/>
          <w:szCs w:val="32"/>
          <w:highlight w:val="none"/>
        </w:rPr>
        <w:t>%</w:t>
      </w:r>
      <w:r>
        <w:rPr>
          <w:rFonts w:hint="eastAsia" w:ascii="仿宋" w:hAnsi="仿宋" w:eastAsia="仿宋"/>
          <w:sz w:val="32"/>
          <w:szCs w:val="32"/>
          <w:highlight w:val="none"/>
        </w:rPr>
        <w:t>；</w:t>
      </w:r>
      <w:r>
        <w:rPr>
          <w:rFonts w:hint="eastAsia" w:ascii="仿宋" w:hAnsi="仿宋" w:eastAsia="仿宋"/>
          <w:b/>
          <w:bCs/>
          <w:sz w:val="32"/>
          <w:szCs w:val="32"/>
          <w:highlight w:val="none"/>
        </w:rPr>
        <w:t>住房保障支出</w:t>
      </w:r>
      <w:r>
        <w:rPr>
          <w:rFonts w:hint="eastAsia" w:ascii="仿宋" w:hAnsi="仿宋" w:eastAsia="仿宋"/>
          <w:sz w:val="32"/>
          <w:szCs w:val="32"/>
          <w:highlight w:val="none"/>
          <w:lang w:val="en-US" w:eastAsia="zh-CN"/>
        </w:rPr>
        <w:t>7.25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4</w:t>
      </w:r>
      <w:r>
        <w:rPr>
          <w:rFonts w:ascii="仿宋" w:hAnsi="仿宋" w:eastAsia="仿宋"/>
          <w:sz w:val="32"/>
          <w:szCs w:val="32"/>
          <w:highlight w:val="none"/>
        </w:rPr>
        <w:t>%</w:t>
      </w:r>
      <w:r>
        <w:rPr>
          <w:rFonts w:hint="eastAsia" w:ascii="仿宋" w:hAnsi="仿宋" w:eastAsia="仿宋"/>
          <w:sz w:val="32"/>
          <w:szCs w:val="32"/>
          <w:highlight w:val="none"/>
        </w:rPr>
        <w:t>。</w:t>
      </w:r>
    </w:p>
    <w:p>
      <w:pPr>
        <w:pStyle w:val="9"/>
        <w:jc w:val="center"/>
      </w:pPr>
      <w:r>
        <w:rPr>
          <w:rFonts w:hint="eastAsia" w:ascii="仿宋" w:hAnsi="仿宋" w:eastAsia="仿宋"/>
          <w:sz w:val="32"/>
          <w:szCs w:val="32"/>
          <w:highlight w:val="yellow"/>
          <w:lang w:eastAsia="zh-CN"/>
        </w:rPr>
        <w:drawing>
          <wp:inline distT="0" distB="0" distL="114300" distR="114300">
            <wp:extent cx="4168775" cy="2326005"/>
            <wp:effectExtent l="0" t="0" r="6985" b="5715"/>
            <wp:docPr id="6"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图片1"/>
                    <pic:cNvPicPr>
                      <a:picLocks noChangeAspect="1"/>
                    </pic:cNvPicPr>
                  </pic:nvPicPr>
                  <pic:blipFill>
                    <a:blip r:embed="rId9"/>
                    <a:stretch>
                      <a:fillRect/>
                    </a:stretch>
                  </pic:blipFill>
                  <pic:spPr>
                    <a:xfrm>
                      <a:off x="0" y="0"/>
                      <a:ext cx="4168775" cy="2326005"/>
                    </a:xfrm>
                    <a:prstGeom prst="rect">
                      <a:avLst/>
                    </a:prstGeom>
                    <a:noFill/>
                    <a:ln>
                      <a:noFill/>
                    </a:ln>
                  </pic:spPr>
                </pic:pic>
              </a:graphicData>
            </a:graphic>
          </wp:inline>
        </w:drawing>
      </w:r>
    </w:p>
    <w:p>
      <w:pPr>
        <w:spacing w:line="600" w:lineRule="exact"/>
        <w:ind w:firstLine="640" w:firstLineChars="200"/>
        <w:rPr>
          <w:rFonts w:ascii="仿宋" w:hAnsi="仿宋" w:eastAsia="仿宋"/>
          <w:sz w:val="32"/>
          <w:szCs w:val="32"/>
          <w:highlight w:val="none"/>
        </w:rPr>
      </w:pPr>
      <w:r>
        <w:rPr>
          <w:rFonts w:hint="eastAsia" w:ascii="仿宋" w:hAnsi="仿宋" w:eastAsia="仿宋"/>
          <w:sz w:val="32"/>
          <w:szCs w:val="32"/>
        </w:rPr>
        <w:t>（图6：一般公共预算财政拨款支出决算结构）（饼状图）</w:t>
      </w:r>
    </w:p>
    <w:p>
      <w:pPr>
        <w:spacing w:line="600" w:lineRule="exact"/>
        <w:ind w:firstLine="643" w:firstLineChars="200"/>
        <w:outlineLvl w:val="2"/>
        <w:rPr>
          <w:rFonts w:ascii="仿宋" w:hAnsi="仿宋" w:eastAsia="仿宋"/>
          <w:b/>
          <w:sz w:val="32"/>
          <w:szCs w:val="32"/>
        </w:rPr>
      </w:pPr>
      <w:bookmarkStart w:id="59" w:name="_Toc14202"/>
      <w:bookmarkStart w:id="60" w:name="_Toc15377212"/>
      <w:bookmarkStart w:id="61" w:name="_Toc16678"/>
      <w:r>
        <w:rPr>
          <w:rFonts w:hint="eastAsia" w:ascii="仿宋" w:hAnsi="仿宋" w:eastAsia="仿宋"/>
          <w:b/>
          <w:sz w:val="32"/>
          <w:szCs w:val="32"/>
        </w:rPr>
        <w:t>（三）一般公共预算财政拨款支出决算具体情况</w:t>
      </w:r>
      <w:bookmarkEnd w:id="59"/>
      <w:bookmarkEnd w:id="60"/>
      <w:bookmarkEnd w:id="61"/>
    </w:p>
    <w:p>
      <w:pPr>
        <w:spacing w:line="600" w:lineRule="exact"/>
        <w:ind w:firstLine="643" w:firstLineChars="200"/>
        <w:outlineLvl w:val="2"/>
        <w:rPr>
          <w:rFonts w:ascii="仿宋" w:hAnsi="仿宋" w:eastAsia="仿宋"/>
          <w:sz w:val="32"/>
          <w:szCs w:val="32"/>
          <w:highlight w:val="none"/>
        </w:rPr>
      </w:pPr>
      <w:bookmarkStart w:id="62" w:name="_Toc15378460"/>
      <w:bookmarkStart w:id="63" w:name="_Toc15377213"/>
      <w:bookmarkStart w:id="64" w:name="_Toc28041"/>
      <w:bookmarkStart w:id="65" w:name="_Toc24139"/>
      <w:bookmarkStart w:id="66" w:name="_Toc15377444"/>
      <w:r>
        <w:rPr>
          <w:rFonts w:hint="eastAsia" w:ascii="仿宋" w:hAnsi="仿宋" w:eastAsia="仿宋"/>
          <w:b/>
          <w:sz w:val="32"/>
          <w:szCs w:val="32"/>
          <w:highlight w:val="none"/>
        </w:rPr>
        <w:t>2023年度一般公共预算支出决算数为</w:t>
      </w:r>
      <w:r>
        <w:rPr>
          <w:rFonts w:hint="eastAsia" w:ascii="仿宋" w:hAnsi="仿宋" w:eastAsia="仿宋"/>
          <w:b/>
          <w:sz w:val="32"/>
          <w:szCs w:val="32"/>
          <w:highlight w:val="none"/>
          <w:lang w:val="en-US" w:eastAsia="zh-CN"/>
        </w:rPr>
        <w:t>165.2</w:t>
      </w:r>
      <w:r>
        <w:rPr>
          <w:rStyle w:val="25"/>
          <w:rFonts w:hint="eastAsia" w:ascii="仿宋" w:hAnsi="仿宋" w:eastAsia="仿宋"/>
          <w:bCs/>
          <w:sz w:val="32"/>
          <w:szCs w:val="32"/>
          <w:highlight w:val="none"/>
          <w:lang w:val="en-US" w:eastAsia="zh-CN"/>
        </w:rPr>
        <w:t>万元</w:t>
      </w:r>
      <w:r>
        <w:rPr>
          <w:rFonts w:hint="eastAsia" w:ascii="仿宋" w:hAnsi="仿宋" w:eastAsia="仿宋"/>
          <w:sz w:val="32"/>
          <w:szCs w:val="32"/>
          <w:highlight w:val="none"/>
        </w:rPr>
        <w:t>，</w:t>
      </w:r>
      <w:r>
        <w:rPr>
          <w:rStyle w:val="25"/>
          <w:rFonts w:hint="eastAsia" w:ascii="仿宋" w:hAnsi="仿宋" w:eastAsia="仿宋"/>
          <w:bCs/>
          <w:sz w:val="32"/>
          <w:szCs w:val="32"/>
          <w:highlight w:val="none"/>
        </w:rPr>
        <w:t>完成预算</w:t>
      </w:r>
      <w:r>
        <w:rPr>
          <w:rStyle w:val="25"/>
          <w:rFonts w:hint="eastAsia" w:ascii="仿宋" w:hAnsi="仿宋" w:eastAsia="仿宋"/>
          <w:bCs/>
          <w:sz w:val="32"/>
          <w:szCs w:val="32"/>
          <w:highlight w:val="none"/>
          <w:lang w:val="en-US" w:eastAsia="zh-CN"/>
        </w:rPr>
        <w:t>100</w:t>
      </w:r>
      <w:r>
        <w:rPr>
          <w:rStyle w:val="25"/>
          <w:rFonts w:ascii="仿宋" w:hAnsi="仿宋" w:eastAsia="仿宋"/>
          <w:bCs/>
          <w:sz w:val="32"/>
          <w:szCs w:val="32"/>
          <w:highlight w:val="none"/>
        </w:rPr>
        <w:t>%</w:t>
      </w:r>
      <w:r>
        <w:rPr>
          <w:rStyle w:val="25"/>
          <w:rFonts w:hint="eastAsia" w:ascii="仿宋" w:hAnsi="仿宋" w:eastAsia="仿宋"/>
          <w:bCs/>
          <w:sz w:val="32"/>
          <w:szCs w:val="32"/>
          <w:highlight w:val="none"/>
        </w:rPr>
        <w:t>。其中：</w:t>
      </w:r>
      <w:bookmarkEnd w:id="62"/>
      <w:bookmarkEnd w:id="63"/>
      <w:bookmarkEnd w:id="64"/>
      <w:bookmarkEnd w:id="65"/>
      <w:bookmarkEnd w:id="66"/>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文化旅游体育与传媒</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（类）体育（款）运动项目管理（项）: 支出决算为</w:t>
      </w:r>
      <w:r>
        <w:rPr>
          <w:rFonts w:hint="eastAsia" w:ascii="仿宋" w:hAnsi="仿宋" w:eastAsia="仿宋"/>
          <w:sz w:val="32"/>
          <w:szCs w:val="32"/>
          <w:highlight w:val="none"/>
          <w:lang w:val="en-US" w:eastAsia="zh-CN"/>
        </w:rPr>
        <w:t>82.63</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文化旅游体育与传媒</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（类）体育（款）体育竞赛（项）: 支出决算为</w:t>
      </w:r>
      <w:r>
        <w:rPr>
          <w:rFonts w:hint="eastAsia" w:ascii="仿宋" w:hAnsi="仿宋" w:eastAsia="仿宋"/>
          <w:sz w:val="32"/>
          <w:szCs w:val="32"/>
          <w:highlight w:val="none"/>
          <w:lang w:val="en-US" w:eastAsia="zh-CN"/>
        </w:rPr>
        <w:t>4.48</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文化旅游体育与传媒</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（类）体育（款）体育训练（项）: 支出决算为</w:t>
      </w:r>
      <w:r>
        <w:rPr>
          <w:rFonts w:hint="eastAsia" w:ascii="仿宋" w:hAnsi="仿宋" w:eastAsia="仿宋"/>
          <w:sz w:val="32"/>
          <w:szCs w:val="32"/>
          <w:highlight w:val="none"/>
          <w:lang w:val="en-US" w:eastAsia="zh-CN"/>
        </w:rPr>
        <w:t>20.88</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文化旅游体育与传媒</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（类）体育（款）其他体育支出（项）: 支出决算为</w:t>
      </w:r>
      <w:r>
        <w:rPr>
          <w:rFonts w:hint="eastAsia" w:ascii="仿宋" w:hAnsi="仿宋" w:eastAsia="仿宋"/>
          <w:sz w:val="32"/>
          <w:szCs w:val="32"/>
          <w:highlight w:val="none"/>
          <w:lang w:val="en-US" w:eastAsia="zh-CN"/>
        </w:rPr>
        <w:t>31.07</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社会保障和就业</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（类）行政事业单位养老支出（款）机关事业单位基本养老保险缴费支出（项）: 支出决算为</w:t>
      </w:r>
      <w:r>
        <w:rPr>
          <w:rFonts w:hint="eastAsia" w:ascii="仿宋" w:hAnsi="仿宋" w:eastAsia="仿宋"/>
          <w:sz w:val="32"/>
          <w:szCs w:val="32"/>
          <w:highlight w:val="none"/>
          <w:lang w:val="en-US" w:eastAsia="zh-CN"/>
        </w:rPr>
        <w:t>8.83</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社会保障和就业</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（类）行政事业单位养老支出（款）机关事业单位职业年金缴费支出（项）: 支出决算为</w:t>
      </w:r>
      <w:r>
        <w:rPr>
          <w:rFonts w:hint="eastAsia" w:ascii="仿宋" w:hAnsi="仿宋" w:eastAsia="仿宋"/>
          <w:sz w:val="32"/>
          <w:szCs w:val="32"/>
          <w:highlight w:val="none"/>
          <w:lang w:val="en-US" w:eastAsia="zh-CN"/>
        </w:rPr>
        <w:t>4.41</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社会保障和就业</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（类）行政事业单位养老支出（款）机其他行政事业单位养老支出（项）: 支出决算为</w:t>
      </w:r>
      <w:r>
        <w:rPr>
          <w:rFonts w:hint="eastAsia" w:ascii="仿宋" w:hAnsi="仿宋" w:eastAsia="仿宋"/>
          <w:sz w:val="32"/>
          <w:szCs w:val="32"/>
          <w:highlight w:val="none"/>
          <w:lang w:val="en-US" w:eastAsia="zh-CN"/>
        </w:rPr>
        <w:t>2.49</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spacing w:line="600" w:lineRule="exact"/>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8.</w:t>
      </w:r>
      <w:r>
        <w:rPr>
          <w:rFonts w:hint="eastAsia" w:ascii="仿宋" w:hAnsi="仿宋" w:eastAsia="仿宋"/>
          <w:sz w:val="32"/>
          <w:szCs w:val="32"/>
          <w:highlight w:val="none"/>
        </w:rPr>
        <w:t>卫生健康</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（类）行政事业单位医疗（款）事业单位医疗（项）:支出决算为</w:t>
      </w:r>
      <w:r>
        <w:rPr>
          <w:rFonts w:hint="eastAsia" w:ascii="仿宋" w:hAnsi="仿宋" w:eastAsia="仿宋"/>
          <w:sz w:val="32"/>
          <w:szCs w:val="32"/>
          <w:highlight w:val="none"/>
          <w:lang w:val="en-US" w:eastAsia="zh-CN"/>
        </w:rPr>
        <w:t>2.36</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p>
      <w:pPr>
        <w:spacing w:line="600" w:lineRule="exact"/>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卫生健康</w:t>
      </w:r>
      <w:r>
        <w:rPr>
          <w:rFonts w:hint="eastAsia" w:ascii="仿宋" w:hAnsi="仿宋" w:eastAsia="仿宋"/>
          <w:sz w:val="32"/>
          <w:szCs w:val="32"/>
          <w:highlight w:val="none"/>
          <w:lang w:val="en-US" w:eastAsia="zh-CN"/>
        </w:rPr>
        <w:t>支出</w:t>
      </w:r>
      <w:r>
        <w:rPr>
          <w:rFonts w:hint="eastAsia" w:ascii="仿宋" w:hAnsi="仿宋" w:eastAsia="仿宋"/>
          <w:sz w:val="32"/>
          <w:szCs w:val="32"/>
          <w:highlight w:val="none"/>
        </w:rPr>
        <w:t>（类）行政事业单位医疗（款）其他行政事业单位医疗支出（项）:支出决算为</w:t>
      </w:r>
      <w:r>
        <w:rPr>
          <w:rFonts w:hint="eastAsia" w:ascii="仿宋" w:hAnsi="仿宋" w:eastAsia="仿宋"/>
          <w:sz w:val="32"/>
          <w:szCs w:val="32"/>
          <w:highlight w:val="none"/>
          <w:lang w:val="en-US" w:eastAsia="zh-CN"/>
        </w:rPr>
        <w:t>0.8</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p>
      <w:pPr>
        <w:spacing w:line="600" w:lineRule="exact"/>
        <w:ind w:firstLine="640"/>
        <w:rPr>
          <w:rFonts w:hint="eastAsia" w:ascii="黑体" w:eastAsia="黑体"/>
          <w:sz w:val="32"/>
          <w:szCs w:val="32"/>
        </w:rPr>
      </w:pP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住房保障支出（类）住房改革支出（款）住房公积金（项）:支出决算为</w:t>
      </w:r>
      <w:r>
        <w:rPr>
          <w:rFonts w:hint="eastAsia" w:ascii="仿宋" w:hAnsi="仿宋" w:eastAsia="仿宋"/>
          <w:sz w:val="32"/>
          <w:szCs w:val="32"/>
          <w:highlight w:val="none"/>
          <w:lang w:val="en-US" w:eastAsia="zh-CN"/>
        </w:rPr>
        <w:t>7.25</w:t>
      </w:r>
      <w:r>
        <w:rPr>
          <w:rFonts w:hint="eastAsia" w:ascii="仿宋" w:hAnsi="仿宋" w:eastAsia="仿宋"/>
          <w:sz w:val="32"/>
          <w:szCs w:val="32"/>
          <w:highlight w:val="none"/>
        </w:rPr>
        <w:t>万元，完成预算</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bookmarkStart w:id="67" w:name="_Toc15377214"/>
      <w:bookmarkStart w:id="68" w:name="_Toc15396608"/>
    </w:p>
    <w:p>
      <w:pPr>
        <w:tabs>
          <w:tab w:val="right" w:pos="8306"/>
        </w:tabs>
        <w:spacing w:line="600" w:lineRule="exact"/>
        <w:ind w:firstLine="640"/>
        <w:outlineLvl w:val="1"/>
        <w:rPr>
          <w:rStyle w:val="39"/>
        </w:rPr>
      </w:pPr>
      <w:bookmarkStart w:id="69" w:name="_Toc27850"/>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9"/>
          <w:rFonts w:hint="eastAsia" w:ascii="黑体" w:hAnsi="黑体" w:eastAsia="黑体"/>
          <w:b w:val="0"/>
        </w:rPr>
        <w:t>般公共预算财政拨款基本支出决算情况说明</w:t>
      </w:r>
      <w:bookmarkEnd w:id="67"/>
      <w:bookmarkEnd w:id="68"/>
      <w:bookmarkEnd w:id="69"/>
      <w:r>
        <w:rPr>
          <w:rStyle w:val="39"/>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hint="eastAsia" w:ascii="仿宋" w:hAnsi="仿宋" w:eastAsia="仿宋"/>
          <w:b/>
          <w:sz w:val="32"/>
          <w:szCs w:val="32"/>
          <w:lang w:val="en-US" w:eastAsia="zh-CN"/>
        </w:rPr>
        <w:t>106.64</w:t>
      </w:r>
      <w:r>
        <w:rPr>
          <w:rFonts w:hint="eastAsia" w:ascii="仿宋" w:hAnsi="仿宋" w:eastAsia="仿宋"/>
          <w:sz w:val="32"/>
          <w:szCs w:val="32"/>
        </w:rPr>
        <w:t>万元，其中：</w:t>
      </w:r>
    </w:p>
    <w:p>
      <w:pPr>
        <w:spacing w:line="600" w:lineRule="exact"/>
        <w:ind w:firstLine="645"/>
        <w:rPr>
          <w:rFonts w:hint="eastAsia" w:ascii="仿宋" w:hAnsi="仿宋" w:eastAsia="仿宋"/>
          <w:sz w:val="32"/>
          <w:szCs w:val="32"/>
        </w:rPr>
      </w:pPr>
      <w:r>
        <w:rPr>
          <w:rFonts w:hint="eastAsia" w:ascii="仿宋" w:hAnsi="仿宋" w:eastAsia="仿宋"/>
          <w:sz w:val="32"/>
          <w:szCs w:val="32"/>
        </w:rPr>
        <w:t>人员经费</w:t>
      </w:r>
      <w:r>
        <w:rPr>
          <w:rFonts w:hint="eastAsia" w:ascii="仿宋" w:hAnsi="仿宋" w:eastAsia="仿宋"/>
          <w:b/>
          <w:sz w:val="32"/>
          <w:szCs w:val="32"/>
          <w:lang w:val="en-US" w:eastAsia="zh-CN"/>
        </w:rPr>
        <w:t>97.91</w:t>
      </w:r>
      <w:r>
        <w:rPr>
          <w:rFonts w:hint="eastAsia" w:ascii="仿宋" w:hAnsi="仿宋" w:eastAsia="仿宋"/>
          <w:sz w:val="32"/>
          <w:szCs w:val="32"/>
        </w:rPr>
        <w:t>万元，主要包括：基本工资、津贴补贴、</w:t>
      </w:r>
      <w:r>
        <w:rPr>
          <w:rFonts w:hint="eastAsia" w:ascii="仿宋" w:hAnsi="仿宋" w:eastAsia="仿宋"/>
          <w:sz w:val="32"/>
          <w:szCs w:val="32"/>
          <w:lang w:val="en-US" w:eastAsia="zh-CN"/>
        </w:rPr>
        <w:t>绩效工资</w:t>
      </w:r>
      <w:r>
        <w:rPr>
          <w:rFonts w:hint="eastAsia" w:ascii="仿宋" w:hAnsi="仿宋" w:eastAsia="仿宋"/>
          <w:sz w:val="32"/>
          <w:szCs w:val="32"/>
        </w:rPr>
        <w:t>、机关事业单位基本养老保险缴费、职业年金缴费、</w:t>
      </w:r>
      <w:r>
        <w:rPr>
          <w:rFonts w:hint="eastAsia" w:ascii="仿宋" w:hAnsi="仿宋" w:eastAsia="仿宋"/>
          <w:sz w:val="32"/>
          <w:szCs w:val="32"/>
          <w:lang w:val="en-US" w:eastAsia="zh-CN"/>
        </w:rPr>
        <w:t>职工基本医疗保险缴费</w:t>
      </w:r>
      <w:r>
        <w:rPr>
          <w:rFonts w:hint="eastAsia" w:ascii="仿宋" w:hAnsi="仿宋" w:eastAsia="仿宋"/>
          <w:sz w:val="32"/>
          <w:szCs w:val="32"/>
        </w:rPr>
        <w:t>、其他社会保障缴费、其他工资福利支出、住房公积金、其他对个人和家庭的补助支出。</w:t>
      </w:r>
    </w:p>
    <w:p>
      <w:pPr>
        <w:spacing w:line="600" w:lineRule="exact"/>
        <w:ind w:firstLine="645"/>
        <w:rPr>
          <w:rFonts w:ascii="仿宋" w:hAnsi="仿宋" w:eastAsia="仿宋"/>
          <w:b/>
          <w:sz w:val="32"/>
          <w:szCs w:val="32"/>
        </w:rPr>
      </w:pPr>
      <w:r>
        <w:rPr>
          <w:rFonts w:hint="eastAsia" w:ascii="仿宋" w:hAnsi="仿宋" w:eastAsia="仿宋"/>
          <w:sz w:val="32"/>
          <w:szCs w:val="32"/>
        </w:rPr>
        <w:t>公用经费</w:t>
      </w:r>
      <w:r>
        <w:rPr>
          <w:rFonts w:hint="eastAsia" w:ascii="仿宋" w:hAnsi="仿宋" w:eastAsia="仿宋"/>
          <w:b/>
          <w:sz w:val="32"/>
          <w:szCs w:val="32"/>
          <w:lang w:val="en-US" w:eastAsia="zh-CN"/>
        </w:rPr>
        <w:t>8.73</w:t>
      </w:r>
      <w:r>
        <w:rPr>
          <w:rFonts w:hint="eastAsia" w:ascii="仿宋" w:hAnsi="仿宋" w:eastAsia="仿宋"/>
          <w:sz w:val="32"/>
          <w:szCs w:val="32"/>
        </w:rPr>
        <w:t>万元，主要包括：办公费、水费、电费、邮电费、差旅费、劳务费、委托业务费、工会经费、福利费、其他商品和服务支出、</w:t>
      </w:r>
      <w:r>
        <w:rPr>
          <w:rFonts w:hint="eastAsia" w:ascii="仿宋" w:hAnsi="仿宋" w:eastAsia="仿宋"/>
          <w:sz w:val="32"/>
          <w:szCs w:val="32"/>
          <w:lang w:val="en-US" w:eastAsia="zh-CN"/>
        </w:rPr>
        <w:t>维修维（护）费</w:t>
      </w:r>
      <w:r>
        <w:rPr>
          <w:rFonts w:hint="eastAsia" w:ascii="仿宋" w:hAnsi="仿宋" w:eastAsia="仿宋"/>
          <w:sz w:val="32"/>
          <w:szCs w:val="32"/>
        </w:rPr>
        <w:t>。</w:t>
      </w:r>
    </w:p>
    <w:p>
      <w:pPr>
        <w:spacing w:line="600" w:lineRule="exact"/>
        <w:ind w:firstLine="640"/>
        <w:outlineLvl w:val="1"/>
        <w:rPr>
          <w:rStyle w:val="39"/>
          <w:rFonts w:ascii="黑体" w:hAnsi="黑体" w:eastAsia="黑体" w:cs="Times New Roman"/>
          <w:b w:val="0"/>
        </w:rPr>
      </w:pPr>
      <w:bookmarkStart w:id="70" w:name="_Toc15396609"/>
      <w:bookmarkStart w:id="71" w:name="_Toc16952"/>
      <w:bookmarkStart w:id="72" w:name="_Toc15377215"/>
      <w:bookmarkStart w:id="73" w:name="_Toc15396610"/>
      <w:bookmarkStart w:id="74" w:name="_Toc15377218"/>
      <w:r>
        <w:rPr>
          <w:rFonts w:hint="eastAsia" w:ascii="黑体" w:hAnsi="Times New Roman" w:eastAsia="黑体" w:cs="Times New Roman"/>
          <w:sz w:val="32"/>
          <w:szCs w:val="32"/>
        </w:rPr>
        <w:t>七、</w:t>
      </w:r>
      <w:r>
        <w:rPr>
          <w:rStyle w:val="39"/>
          <w:rFonts w:hint="eastAsia" w:ascii="黑体" w:hAnsi="黑体" w:eastAsia="黑体"/>
          <w:b w:val="0"/>
        </w:rPr>
        <w:t>财政拨款</w:t>
      </w:r>
      <w:r>
        <w:rPr>
          <w:rStyle w:val="39"/>
          <w:rFonts w:hint="eastAsia" w:ascii="黑体" w:hAnsi="黑体" w:eastAsia="黑体"/>
        </w:rPr>
        <w:t>“</w:t>
      </w:r>
      <w:r>
        <w:rPr>
          <w:rStyle w:val="39"/>
          <w:rFonts w:hint="eastAsia" w:ascii="黑体" w:hAnsi="黑体" w:eastAsia="黑体"/>
          <w:b w:val="0"/>
        </w:rPr>
        <w:t>三公”经费支出决算情况说明</w:t>
      </w:r>
      <w:bookmarkEnd w:id="70"/>
      <w:bookmarkEnd w:id="71"/>
      <w:bookmarkEnd w:id="72"/>
    </w:p>
    <w:p>
      <w:pPr>
        <w:spacing w:line="600" w:lineRule="exact"/>
        <w:ind w:firstLine="640"/>
        <w:outlineLvl w:val="2"/>
        <w:rPr>
          <w:rFonts w:ascii="仿宋" w:hAnsi="仿宋" w:eastAsia="仿宋" w:cs="Times New Roman"/>
          <w:b/>
          <w:sz w:val="32"/>
          <w:szCs w:val="32"/>
        </w:rPr>
      </w:pPr>
      <w:bookmarkStart w:id="75" w:name="_Toc14980"/>
      <w:bookmarkStart w:id="76" w:name="_Toc26401"/>
      <w:bookmarkStart w:id="77" w:name="_Toc15377216"/>
      <w:r>
        <w:rPr>
          <w:rFonts w:hint="eastAsia" w:ascii="仿宋" w:hAnsi="仿宋" w:eastAsia="仿宋" w:cs="Times New Roman"/>
          <w:b/>
          <w:sz w:val="32"/>
          <w:szCs w:val="32"/>
        </w:rPr>
        <w:t>（一）“三公”经费财政拨款支出决算总体情况说明</w:t>
      </w:r>
      <w:bookmarkEnd w:id="75"/>
      <w:bookmarkEnd w:id="76"/>
      <w:bookmarkEnd w:id="77"/>
    </w:p>
    <w:p>
      <w:pPr>
        <w:spacing w:line="600" w:lineRule="exact"/>
        <w:ind w:firstLine="640"/>
        <w:rPr>
          <w:rFonts w:hint="eastAsia" w:ascii="仿宋" w:hAnsi="仿宋" w:eastAsia="仿宋" w:cs="Times New Roman"/>
          <w:sz w:val="32"/>
          <w:szCs w:val="32"/>
          <w:lang w:eastAsia="zh-CN"/>
        </w:rPr>
      </w:pPr>
      <w:r>
        <w:rPr>
          <w:rFonts w:hint="eastAsia" w:ascii="仿宋" w:hAnsi="仿宋" w:eastAsia="仿宋" w:cs="Times New Roman"/>
          <w:sz w:val="32"/>
          <w:szCs w:val="32"/>
        </w:rPr>
        <w:t>2023年度“三公”经费财政拨款支出决算为</w:t>
      </w:r>
      <w:r>
        <w:rPr>
          <w:rFonts w:ascii="仿宋" w:hAnsi="仿宋" w:eastAsia="仿宋" w:cs="Times New Roman"/>
          <w:b/>
          <w:sz w:val="32"/>
          <w:szCs w:val="32"/>
        </w:rPr>
        <w:t>0</w:t>
      </w:r>
      <w:r>
        <w:rPr>
          <w:rFonts w:hint="eastAsia" w:ascii="仿宋" w:hAnsi="仿宋" w:eastAsia="仿宋" w:cs="Times New Roman"/>
          <w:sz w:val="32"/>
          <w:szCs w:val="32"/>
        </w:rPr>
        <w:t>万元，完成预算</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较上年度增加0％</w:t>
      </w:r>
      <w:r>
        <w:rPr>
          <w:rFonts w:hint="eastAsia" w:ascii="仿宋" w:hAnsi="仿宋" w:eastAsia="仿宋" w:cs="Times New Roman"/>
          <w:sz w:val="32"/>
          <w:szCs w:val="32"/>
          <w:lang w:eastAsia="zh-CN"/>
        </w:rPr>
        <w:t>。</w:t>
      </w:r>
    </w:p>
    <w:p>
      <w:pPr>
        <w:spacing w:line="600" w:lineRule="exact"/>
        <w:ind w:firstLine="640"/>
        <w:outlineLvl w:val="2"/>
        <w:rPr>
          <w:rFonts w:ascii="仿宋" w:hAnsi="仿宋" w:eastAsia="仿宋" w:cs="Times New Roman"/>
          <w:b/>
          <w:sz w:val="32"/>
          <w:szCs w:val="32"/>
        </w:rPr>
      </w:pPr>
      <w:bookmarkStart w:id="78" w:name="_Toc21711"/>
      <w:bookmarkStart w:id="79" w:name="_Toc15377217"/>
      <w:bookmarkStart w:id="80" w:name="_Toc20728"/>
      <w:r>
        <w:rPr>
          <w:rFonts w:hint="eastAsia" w:ascii="仿宋" w:hAnsi="仿宋" w:eastAsia="仿宋" w:cs="Times New Roman"/>
          <w:b/>
          <w:sz w:val="32"/>
          <w:szCs w:val="32"/>
        </w:rPr>
        <w:t>（二）“三公”经费财政拨款支出决算具体情况说明</w:t>
      </w:r>
      <w:bookmarkEnd w:id="78"/>
      <w:bookmarkEnd w:id="79"/>
      <w:bookmarkEnd w:id="80"/>
    </w:p>
    <w:p>
      <w:pPr>
        <w:spacing w:line="600" w:lineRule="exact"/>
        <w:ind w:firstLine="640"/>
        <w:rPr>
          <w:rFonts w:hint="eastAsia" w:ascii="仿宋" w:hAnsi="仿宋" w:eastAsia="仿宋" w:cs="Times New Roman"/>
          <w:sz w:val="32"/>
          <w:szCs w:val="32"/>
        </w:rPr>
      </w:pPr>
      <w:r>
        <w:rPr>
          <w:rFonts w:hint="eastAsia" w:ascii="仿宋" w:hAnsi="仿宋" w:eastAsia="仿宋" w:cs="Times New Roman"/>
          <w:sz w:val="32"/>
          <w:szCs w:val="32"/>
        </w:rPr>
        <w:t>2023年度“三公”经费财政拨款支出决算中，因公出国（境）费支出决算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；公务用车购置及运行维护费支出决算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；公务接待费支出决算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。具体情况如下：</w:t>
      </w:r>
    </w:p>
    <w:p>
      <w:pPr>
        <w:keepNext/>
        <w:keepLines/>
        <w:widowControl w:val="0"/>
        <w:spacing w:before="280" w:after="156" w:line="377" w:lineRule="auto"/>
        <w:outlineLvl w:val="4"/>
        <w:rPr>
          <w:rFonts w:hint="eastAsia" w:ascii="Arial" w:hAnsi="Arial" w:eastAsia="仿宋" w:cs="Times New Roman"/>
          <w:b/>
          <w:kern w:val="2"/>
          <w:sz w:val="24"/>
          <w:szCs w:val="28"/>
          <w:lang w:val="en-US" w:eastAsia="zh-CN" w:bidi="ar-SA"/>
        </w:rPr>
      </w:pPr>
      <w:r>
        <w:rPr>
          <w:rFonts w:hint="eastAsia" w:ascii="Arial" w:hAnsi="Arial" w:eastAsia="仿宋" w:cs="Times New Roman"/>
          <w:b/>
          <w:kern w:val="2"/>
          <w:sz w:val="24"/>
          <w:szCs w:val="28"/>
          <w:lang w:val="en-US" w:eastAsia="zh-CN" w:bidi="ar-SA"/>
        </w:rPr>
        <w:drawing>
          <wp:inline distT="0" distB="0" distL="114300" distR="114300">
            <wp:extent cx="4944110" cy="3413760"/>
            <wp:effectExtent l="0" t="0" r="8890" b="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0">
                      <a:lum/>
                    </a:blip>
                    <a:stretch>
                      <a:fillRect/>
                    </a:stretch>
                  </pic:blipFill>
                  <pic:spPr>
                    <a:xfrm>
                      <a:off x="0" y="0"/>
                      <a:ext cx="4944110" cy="3413760"/>
                    </a:xfrm>
                    <a:prstGeom prst="rect">
                      <a:avLst/>
                    </a:prstGeom>
                    <a:noFill/>
                    <a:ln>
                      <a:noFill/>
                    </a:ln>
                  </pic:spPr>
                </pic:pic>
              </a:graphicData>
            </a:graphic>
          </wp:inline>
        </w:drawing>
      </w:r>
    </w:p>
    <w:p>
      <w:pPr>
        <w:spacing w:line="600" w:lineRule="exact"/>
        <w:ind w:firstLine="640"/>
        <w:rPr>
          <w:rFonts w:ascii="仿宋" w:hAnsi="仿宋" w:eastAsia="仿宋" w:cs="Times New Roman"/>
          <w:sz w:val="32"/>
          <w:szCs w:val="32"/>
        </w:rPr>
      </w:pPr>
      <w:r>
        <w:rPr>
          <w:rFonts w:hint="eastAsia" w:ascii="仿宋" w:hAnsi="仿宋" w:eastAsia="仿宋" w:cs="Times New Roman"/>
          <w:sz w:val="32"/>
          <w:szCs w:val="32"/>
        </w:rPr>
        <w:t>（图7：“三公”经费财政拨款支出结构）（饼状图）</w:t>
      </w:r>
    </w:p>
    <w:p>
      <w:pPr>
        <w:spacing w:line="600" w:lineRule="exact"/>
        <w:ind w:firstLine="640"/>
        <w:rPr>
          <w:rFonts w:hint="eastAsia" w:ascii="仿宋" w:hAnsi="仿宋" w:eastAsia="仿宋" w:cs="仿宋"/>
          <w:b/>
          <w:sz w:val="32"/>
          <w:szCs w:val="32"/>
        </w:rPr>
      </w:pPr>
      <w:r>
        <w:rPr>
          <w:rFonts w:hint="eastAsia" w:ascii="仿宋" w:hAnsi="仿宋" w:eastAsia="仿宋" w:cs="仿宋"/>
          <w:b/>
          <w:sz w:val="32"/>
          <w:szCs w:val="32"/>
        </w:rPr>
        <w:t>1.因公出国（境）经费支出0</w:t>
      </w:r>
      <w:r>
        <w:rPr>
          <w:rFonts w:hint="eastAsia" w:ascii="仿宋" w:hAnsi="仿宋" w:eastAsia="仿宋" w:cs="仿宋"/>
          <w:sz w:val="32"/>
          <w:szCs w:val="32"/>
        </w:rPr>
        <w:t>万元，</w:t>
      </w:r>
      <w:r>
        <w:rPr>
          <w:rStyle w:val="25"/>
          <w:rFonts w:hint="eastAsia" w:ascii="仿宋" w:hAnsi="仿宋" w:eastAsia="仿宋" w:cs="仿宋"/>
          <w:b w:val="0"/>
          <w:bCs/>
          <w:sz w:val="32"/>
          <w:szCs w:val="32"/>
        </w:rPr>
        <w:t>完成预算</w:t>
      </w:r>
      <w:r>
        <w:rPr>
          <w:rStyle w:val="25"/>
          <w:rFonts w:hint="eastAsia" w:ascii="仿宋" w:hAnsi="仿宋" w:eastAsia="仿宋" w:cs="仿宋"/>
          <w:bCs/>
          <w:sz w:val="32"/>
          <w:szCs w:val="32"/>
        </w:rPr>
        <w:t>0</w:t>
      </w:r>
      <w:r>
        <w:rPr>
          <w:rStyle w:val="25"/>
          <w:rFonts w:hint="eastAsia" w:ascii="仿宋" w:hAnsi="仿宋" w:eastAsia="仿宋" w:cs="仿宋"/>
          <w:b w:val="0"/>
          <w:bCs/>
          <w:sz w:val="32"/>
          <w:szCs w:val="32"/>
        </w:rPr>
        <w:t>%。</w:t>
      </w:r>
      <w:r>
        <w:rPr>
          <w:rFonts w:hint="eastAsia" w:ascii="仿宋" w:hAnsi="仿宋" w:eastAsia="仿宋" w:cs="仿宋"/>
          <w:sz w:val="32"/>
          <w:szCs w:val="32"/>
        </w:rPr>
        <w:t>全年安排因公出国（境）团组</w:t>
      </w:r>
      <w:r>
        <w:rPr>
          <w:rFonts w:hint="eastAsia" w:ascii="仿宋" w:hAnsi="仿宋" w:eastAsia="仿宋" w:cs="仿宋"/>
          <w:b/>
          <w:sz w:val="32"/>
          <w:szCs w:val="32"/>
        </w:rPr>
        <w:t>0</w:t>
      </w:r>
      <w:r>
        <w:rPr>
          <w:rFonts w:hint="eastAsia" w:ascii="仿宋" w:hAnsi="仿宋" w:eastAsia="仿宋" w:cs="仿宋"/>
          <w:sz w:val="32"/>
          <w:szCs w:val="32"/>
        </w:rPr>
        <w:t>次，出国（境）</w:t>
      </w:r>
      <w:r>
        <w:rPr>
          <w:rFonts w:hint="eastAsia" w:ascii="仿宋" w:hAnsi="仿宋" w:eastAsia="仿宋" w:cs="仿宋"/>
          <w:b/>
          <w:sz w:val="32"/>
          <w:szCs w:val="32"/>
        </w:rPr>
        <w:t>0</w:t>
      </w:r>
      <w:r>
        <w:rPr>
          <w:rFonts w:hint="eastAsia" w:ascii="仿宋" w:hAnsi="仿宋" w:eastAsia="仿宋" w:cs="仿宋"/>
          <w:sz w:val="32"/>
          <w:szCs w:val="32"/>
        </w:rPr>
        <w:t>人。因公出国（境）支出决算</w:t>
      </w:r>
      <w:r>
        <w:rPr>
          <w:rFonts w:hint="eastAsia" w:ascii="仿宋" w:hAnsi="仿宋" w:eastAsia="仿宋" w:cs="仿宋"/>
          <w:sz w:val="32"/>
          <w:szCs w:val="32"/>
          <w:lang w:val="en-US" w:eastAsia="zh-CN"/>
        </w:rPr>
        <w:t>比</w:t>
      </w:r>
      <w:r>
        <w:rPr>
          <w:rFonts w:hint="eastAsia" w:ascii="仿宋" w:hAnsi="仿宋" w:eastAsia="仿宋" w:cs="仿宋"/>
          <w:sz w:val="32"/>
          <w:szCs w:val="32"/>
        </w:rPr>
        <w:t>2022年</w:t>
      </w:r>
      <w:r>
        <w:rPr>
          <w:rFonts w:hint="eastAsia" w:ascii="仿宋" w:hAnsi="仿宋" w:eastAsia="仿宋" w:cs="仿宋"/>
          <w:sz w:val="32"/>
          <w:szCs w:val="32"/>
          <w:lang w:val="en-US" w:eastAsia="zh-CN"/>
        </w:rPr>
        <w:t>度增加0万元，增长0</w:t>
      </w:r>
      <w:r>
        <w:rPr>
          <w:rFonts w:hint="eastAsia" w:ascii="仿宋" w:hAnsi="仿宋" w:eastAsia="仿宋" w:cs="仿宋"/>
          <w:sz w:val="32"/>
          <w:szCs w:val="32"/>
        </w:rPr>
        <w:t>%</w:t>
      </w:r>
      <w:r>
        <w:rPr>
          <w:rFonts w:hint="eastAsia" w:ascii="仿宋" w:hAnsi="仿宋" w:eastAsia="仿宋" w:cs="仿宋"/>
          <w:sz w:val="32"/>
          <w:szCs w:val="32"/>
          <w:lang w:val="en-US" w:eastAsia="zh-CN"/>
        </w:rPr>
        <w:t>，主要原因是无</w:t>
      </w:r>
      <w:r>
        <w:rPr>
          <w:rFonts w:hint="eastAsia" w:ascii="仿宋" w:hAnsi="仿宋" w:eastAsia="仿宋" w:cs="仿宋"/>
          <w:sz w:val="32"/>
          <w:szCs w:val="32"/>
        </w:rPr>
        <w:t>因公出国（境）</w:t>
      </w:r>
      <w:r>
        <w:rPr>
          <w:rFonts w:hint="eastAsia" w:ascii="仿宋" w:hAnsi="仿宋" w:eastAsia="仿宋" w:cs="仿宋"/>
          <w:sz w:val="32"/>
          <w:szCs w:val="32"/>
          <w:lang w:val="en-US" w:eastAsia="zh-CN"/>
        </w:rPr>
        <w:t>业务</w:t>
      </w:r>
      <w:r>
        <w:rPr>
          <w:rFonts w:hint="eastAsia" w:ascii="仿宋" w:hAnsi="仿宋" w:eastAsia="仿宋" w:cs="仿宋"/>
          <w:sz w:val="32"/>
          <w:szCs w:val="32"/>
        </w:rPr>
        <w:t>。</w:t>
      </w:r>
    </w:p>
    <w:p>
      <w:pPr>
        <w:spacing w:line="600" w:lineRule="exact"/>
        <w:ind w:firstLine="640"/>
        <w:rPr>
          <w:rFonts w:hint="eastAsia" w:ascii="仿宋" w:hAnsi="仿宋" w:eastAsia="仿宋" w:cs="仿宋"/>
          <w:b/>
          <w:sz w:val="32"/>
          <w:szCs w:val="32"/>
        </w:rPr>
      </w:pPr>
      <w:r>
        <w:rPr>
          <w:rFonts w:hint="eastAsia" w:ascii="仿宋" w:hAnsi="仿宋" w:eastAsia="仿宋" w:cs="仿宋"/>
          <w:b/>
          <w:sz w:val="32"/>
          <w:szCs w:val="32"/>
        </w:rPr>
        <w:t>2.公务用车购置及运行维护费支出0</w:t>
      </w:r>
      <w:r>
        <w:rPr>
          <w:rFonts w:hint="eastAsia" w:ascii="仿宋" w:hAnsi="仿宋" w:eastAsia="仿宋" w:cs="仿宋"/>
          <w:sz w:val="32"/>
          <w:szCs w:val="32"/>
        </w:rPr>
        <w:t>万元,</w:t>
      </w:r>
      <w:r>
        <w:rPr>
          <w:rStyle w:val="25"/>
          <w:rFonts w:hint="eastAsia" w:ascii="仿宋" w:hAnsi="仿宋" w:eastAsia="仿宋" w:cs="仿宋"/>
          <w:b w:val="0"/>
          <w:bCs/>
          <w:sz w:val="32"/>
          <w:szCs w:val="32"/>
        </w:rPr>
        <w:t>完成预算</w:t>
      </w:r>
      <w:r>
        <w:rPr>
          <w:rStyle w:val="25"/>
          <w:rFonts w:hint="eastAsia" w:ascii="仿宋" w:hAnsi="仿宋" w:eastAsia="仿宋" w:cs="仿宋"/>
          <w:bCs/>
          <w:sz w:val="32"/>
          <w:szCs w:val="32"/>
        </w:rPr>
        <w:t>0</w:t>
      </w:r>
      <w:r>
        <w:rPr>
          <w:rStyle w:val="25"/>
          <w:rFonts w:hint="eastAsia" w:ascii="仿宋" w:hAnsi="仿宋" w:eastAsia="仿宋" w:cs="仿宋"/>
          <w:b w:val="0"/>
          <w:bCs/>
          <w:sz w:val="32"/>
          <w:szCs w:val="32"/>
        </w:rPr>
        <w:t>%。</w:t>
      </w:r>
      <w:r>
        <w:rPr>
          <w:rFonts w:hint="eastAsia" w:ascii="仿宋" w:hAnsi="仿宋" w:eastAsia="仿宋" w:cs="仿宋"/>
          <w:sz w:val="32"/>
          <w:szCs w:val="32"/>
        </w:rPr>
        <w:t>公务用车购置及运行维护费支出决算</w:t>
      </w:r>
      <w:r>
        <w:rPr>
          <w:rFonts w:hint="eastAsia" w:ascii="仿宋" w:hAnsi="仿宋" w:eastAsia="仿宋" w:cs="仿宋"/>
          <w:sz w:val="32"/>
          <w:szCs w:val="32"/>
          <w:lang w:val="en-US" w:eastAsia="zh-CN"/>
        </w:rPr>
        <w:t>比</w:t>
      </w:r>
      <w:r>
        <w:rPr>
          <w:rFonts w:hint="eastAsia" w:ascii="仿宋" w:hAnsi="仿宋" w:eastAsia="仿宋" w:cs="仿宋"/>
          <w:sz w:val="32"/>
          <w:szCs w:val="32"/>
        </w:rPr>
        <w:t>2022年</w:t>
      </w:r>
      <w:r>
        <w:rPr>
          <w:rFonts w:hint="eastAsia" w:ascii="仿宋" w:hAnsi="仿宋" w:eastAsia="仿宋" w:cs="仿宋"/>
          <w:sz w:val="32"/>
          <w:szCs w:val="32"/>
          <w:lang w:val="en-US" w:eastAsia="zh-CN"/>
        </w:rPr>
        <w:t>度增加0万元，增长0</w:t>
      </w:r>
      <w:r>
        <w:rPr>
          <w:rFonts w:hint="eastAsia" w:ascii="仿宋" w:hAnsi="仿宋" w:eastAsia="仿宋" w:cs="仿宋"/>
          <w:sz w:val="32"/>
          <w:szCs w:val="32"/>
        </w:rPr>
        <w:t>%</w:t>
      </w:r>
      <w:r>
        <w:rPr>
          <w:rFonts w:hint="eastAsia" w:ascii="仿宋" w:hAnsi="仿宋" w:eastAsia="仿宋" w:cs="仿宋"/>
          <w:sz w:val="32"/>
          <w:szCs w:val="32"/>
          <w:lang w:val="en-US" w:eastAsia="zh-CN"/>
        </w:rPr>
        <w:t>，主要原因是无公务用车</w:t>
      </w:r>
      <w:r>
        <w:rPr>
          <w:rFonts w:hint="eastAsia" w:ascii="仿宋" w:hAnsi="仿宋" w:eastAsia="仿宋" w:cs="仿宋"/>
          <w:sz w:val="32"/>
          <w:szCs w:val="32"/>
        </w:rPr>
        <w:t>。</w:t>
      </w:r>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sz w:val="32"/>
          <w:szCs w:val="32"/>
        </w:rPr>
        <w:t>其中：</w:t>
      </w:r>
      <w:r>
        <w:rPr>
          <w:rFonts w:hint="eastAsia" w:ascii="仿宋" w:hAnsi="仿宋" w:eastAsia="仿宋" w:cs="仿宋"/>
          <w:b/>
          <w:sz w:val="32"/>
          <w:szCs w:val="32"/>
        </w:rPr>
        <w:t>公务用车购置支出0</w:t>
      </w:r>
      <w:r>
        <w:rPr>
          <w:rFonts w:hint="eastAsia" w:ascii="仿宋" w:hAnsi="仿宋" w:eastAsia="仿宋" w:cs="仿宋"/>
          <w:sz w:val="32"/>
          <w:szCs w:val="32"/>
        </w:rPr>
        <w:t>万元。全年按规定更新购置公务用车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辆，其中：轿车</w:t>
      </w:r>
      <w:r>
        <w:rPr>
          <w:rFonts w:hint="eastAsia" w:ascii="仿宋" w:hAnsi="仿宋" w:eastAsia="仿宋" w:cs="仿宋"/>
          <w:sz w:val="32"/>
          <w:szCs w:val="32"/>
          <w:lang w:val="en-US" w:eastAsia="zh-CN"/>
        </w:rPr>
        <w:t>0</w:t>
      </w:r>
      <w:r>
        <w:rPr>
          <w:rFonts w:hint="eastAsia" w:ascii="仿宋" w:hAnsi="仿宋" w:eastAsia="仿宋" w:cs="仿宋"/>
          <w:sz w:val="32"/>
          <w:szCs w:val="32"/>
        </w:rPr>
        <w:t>辆、金额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万元，越野车</w:t>
      </w:r>
      <w:r>
        <w:rPr>
          <w:rFonts w:hint="eastAsia" w:ascii="仿宋" w:hAnsi="仿宋" w:eastAsia="仿宋" w:cs="仿宋"/>
          <w:sz w:val="32"/>
          <w:szCs w:val="32"/>
          <w:lang w:val="en-US" w:eastAsia="zh-CN"/>
        </w:rPr>
        <w:t>0</w:t>
      </w:r>
      <w:r>
        <w:rPr>
          <w:rFonts w:hint="eastAsia" w:ascii="仿宋" w:hAnsi="仿宋" w:eastAsia="仿宋" w:cs="仿宋"/>
          <w:sz w:val="32"/>
          <w:szCs w:val="32"/>
        </w:rPr>
        <w:t>辆、金额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万元，载客汽车</w:t>
      </w:r>
      <w:r>
        <w:rPr>
          <w:rFonts w:hint="eastAsia" w:ascii="仿宋" w:hAnsi="仿宋" w:eastAsia="仿宋" w:cs="仿宋"/>
          <w:sz w:val="32"/>
          <w:szCs w:val="32"/>
          <w:lang w:val="en-US" w:eastAsia="zh-CN"/>
        </w:rPr>
        <w:t>0</w:t>
      </w:r>
      <w:r>
        <w:rPr>
          <w:rFonts w:hint="eastAsia" w:ascii="仿宋" w:hAnsi="仿宋" w:eastAsia="仿宋" w:cs="仿宋"/>
          <w:sz w:val="32"/>
          <w:szCs w:val="32"/>
        </w:rPr>
        <w:t>辆、金额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万元。截至2023年12月31日，单位共有公务用车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辆，其中：轿车</w:t>
      </w:r>
      <w:r>
        <w:rPr>
          <w:rFonts w:hint="eastAsia" w:ascii="仿宋" w:hAnsi="仿宋" w:eastAsia="仿宋" w:cs="仿宋"/>
          <w:sz w:val="32"/>
          <w:szCs w:val="32"/>
          <w:lang w:val="en-US" w:eastAsia="zh-CN"/>
        </w:rPr>
        <w:t>0</w:t>
      </w:r>
      <w:r>
        <w:rPr>
          <w:rFonts w:hint="eastAsia" w:ascii="仿宋" w:hAnsi="仿宋" w:eastAsia="仿宋" w:cs="仿宋"/>
          <w:sz w:val="32"/>
          <w:szCs w:val="32"/>
        </w:rPr>
        <w:t>辆、越野车</w:t>
      </w:r>
      <w:r>
        <w:rPr>
          <w:rFonts w:hint="eastAsia" w:ascii="仿宋" w:hAnsi="仿宋" w:eastAsia="仿宋" w:cs="仿宋"/>
          <w:sz w:val="32"/>
          <w:szCs w:val="32"/>
          <w:lang w:val="en-US" w:eastAsia="zh-CN"/>
        </w:rPr>
        <w:t>0</w:t>
      </w:r>
      <w:r>
        <w:rPr>
          <w:rFonts w:hint="eastAsia" w:ascii="仿宋" w:hAnsi="仿宋" w:eastAsia="仿宋" w:cs="仿宋"/>
          <w:sz w:val="32"/>
          <w:szCs w:val="32"/>
        </w:rPr>
        <w:t>辆、载客汽车</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公务用车运行维护费支出0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color w:val="auto"/>
          <w:sz w:val="32"/>
          <w:szCs w:val="32"/>
          <w:highlight w:val="none"/>
        </w:rPr>
        <w:t>主要用于公务用车燃料费、维修费、过路过桥费、保险费等支出</w:t>
      </w:r>
      <w:r>
        <w:rPr>
          <w:rFonts w:hint="eastAsia" w:ascii="仿宋" w:hAnsi="仿宋" w:eastAsia="仿宋" w:cs="仿宋"/>
          <w:sz w:val="32"/>
          <w:szCs w:val="32"/>
        </w:rPr>
        <w:t>。</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3.公务接待费支出0</w:t>
      </w:r>
      <w:r>
        <w:rPr>
          <w:rFonts w:hint="eastAsia" w:ascii="仿宋" w:hAnsi="仿宋" w:eastAsia="仿宋" w:cs="仿宋"/>
          <w:sz w:val="32"/>
          <w:szCs w:val="32"/>
        </w:rPr>
        <w:t>万元，</w:t>
      </w:r>
      <w:r>
        <w:rPr>
          <w:rStyle w:val="25"/>
          <w:rFonts w:hint="eastAsia" w:ascii="仿宋" w:hAnsi="仿宋" w:eastAsia="仿宋" w:cs="仿宋"/>
          <w:b w:val="0"/>
          <w:bCs/>
          <w:sz w:val="32"/>
          <w:szCs w:val="32"/>
        </w:rPr>
        <w:t>完成预算0%。</w:t>
      </w:r>
      <w:r>
        <w:rPr>
          <w:rFonts w:hint="eastAsia" w:ascii="仿宋" w:hAnsi="仿宋" w:eastAsia="仿宋" w:cs="仿宋"/>
          <w:sz w:val="32"/>
          <w:szCs w:val="32"/>
        </w:rPr>
        <w:t>公务接待费支出决算</w:t>
      </w:r>
      <w:r>
        <w:rPr>
          <w:rFonts w:hint="eastAsia" w:ascii="仿宋" w:hAnsi="仿宋" w:eastAsia="仿宋" w:cs="仿宋"/>
          <w:sz w:val="32"/>
          <w:szCs w:val="32"/>
          <w:lang w:val="en-US" w:eastAsia="zh-CN"/>
        </w:rPr>
        <w:t>与</w:t>
      </w:r>
      <w:r>
        <w:rPr>
          <w:rFonts w:hint="eastAsia" w:ascii="仿宋" w:hAnsi="仿宋" w:eastAsia="仿宋" w:cs="仿宋"/>
          <w:sz w:val="32"/>
          <w:szCs w:val="32"/>
        </w:rPr>
        <w:t>2022年</w:t>
      </w:r>
      <w:r>
        <w:rPr>
          <w:rFonts w:hint="eastAsia" w:ascii="仿宋" w:hAnsi="仿宋" w:eastAsia="仿宋" w:cs="仿宋"/>
          <w:sz w:val="32"/>
          <w:szCs w:val="32"/>
          <w:lang w:val="en-US" w:eastAsia="zh-CN"/>
        </w:rPr>
        <w:t>持平，主要原因是无公务接待，</w:t>
      </w:r>
      <w:r>
        <w:rPr>
          <w:rFonts w:hint="eastAsia" w:ascii="仿宋" w:hAnsi="仿宋" w:eastAsia="仿宋" w:cs="仿宋"/>
          <w:sz w:val="32"/>
          <w:szCs w:val="32"/>
        </w:rPr>
        <w:t>其中：</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国内公务接待支出0</w:t>
      </w:r>
      <w:r>
        <w:rPr>
          <w:rFonts w:hint="eastAsia" w:ascii="仿宋" w:hAnsi="仿宋" w:eastAsia="仿宋" w:cs="仿宋"/>
          <w:sz w:val="32"/>
          <w:szCs w:val="32"/>
        </w:rPr>
        <w:t>万元。国内公务接待</w:t>
      </w:r>
      <w:r>
        <w:rPr>
          <w:rFonts w:hint="eastAsia" w:ascii="仿宋" w:hAnsi="仿宋" w:eastAsia="仿宋" w:cs="仿宋"/>
          <w:sz w:val="32"/>
          <w:szCs w:val="32"/>
          <w:lang w:val="en-US" w:eastAsia="zh-CN"/>
        </w:rPr>
        <w:t>0</w:t>
      </w:r>
      <w:r>
        <w:rPr>
          <w:rFonts w:hint="eastAsia" w:ascii="仿宋" w:hAnsi="仿宋" w:eastAsia="仿宋" w:cs="仿宋"/>
          <w:sz w:val="32"/>
          <w:szCs w:val="32"/>
        </w:rPr>
        <w:t>批次，</w:t>
      </w:r>
      <w:r>
        <w:rPr>
          <w:rFonts w:hint="eastAsia" w:ascii="仿宋" w:hAnsi="仿宋" w:eastAsia="仿宋" w:cs="仿宋"/>
          <w:sz w:val="32"/>
          <w:szCs w:val="32"/>
          <w:lang w:val="en-US" w:eastAsia="zh-CN"/>
        </w:rPr>
        <w:t>0</w:t>
      </w:r>
      <w:r>
        <w:rPr>
          <w:rFonts w:hint="eastAsia" w:ascii="仿宋" w:hAnsi="仿宋" w:eastAsia="仿宋" w:cs="仿宋"/>
          <w:sz w:val="32"/>
          <w:szCs w:val="32"/>
        </w:rPr>
        <w:t>人次（不包括陪同人员），共计支出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600" w:lineRule="exact"/>
        <w:ind w:firstLine="640"/>
        <w:outlineLvl w:val="1"/>
        <w:rPr>
          <w:rFonts w:hint="eastAsia" w:ascii="仿宋" w:hAnsi="仿宋" w:eastAsia="仿宋" w:cs="仿宋"/>
          <w:sz w:val="32"/>
          <w:szCs w:val="32"/>
        </w:rPr>
      </w:pPr>
      <w:bookmarkStart w:id="81" w:name="_Toc2135"/>
      <w:bookmarkStart w:id="82" w:name="_Toc28970"/>
      <w:r>
        <w:rPr>
          <w:rFonts w:hint="eastAsia" w:ascii="仿宋" w:hAnsi="仿宋" w:eastAsia="仿宋" w:cs="仿宋"/>
          <w:b/>
          <w:sz w:val="32"/>
          <w:szCs w:val="32"/>
        </w:rPr>
        <w:t>外事接待支出0</w:t>
      </w:r>
      <w:r>
        <w:rPr>
          <w:rFonts w:hint="eastAsia" w:ascii="仿宋" w:hAnsi="仿宋" w:eastAsia="仿宋" w:cs="仿宋"/>
          <w:sz w:val="32"/>
          <w:szCs w:val="32"/>
        </w:rPr>
        <w:t>万元，外事接待</w:t>
      </w:r>
      <w:r>
        <w:rPr>
          <w:rFonts w:hint="eastAsia" w:ascii="仿宋" w:hAnsi="仿宋" w:eastAsia="仿宋" w:cs="仿宋"/>
          <w:sz w:val="32"/>
          <w:szCs w:val="32"/>
          <w:lang w:val="en-US" w:eastAsia="zh-CN"/>
        </w:rPr>
        <w:t>0</w:t>
      </w:r>
      <w:r>
        <w:rPr>
          <w:rFonts w:hint="eastAsia" w:ascii="仿宋" w:hAnsi="仿宋" w:eastAsia="仿宋" w:cs="仿宋"/>
          <w:sz w:val="32"/>
          <w:szCs w:val="32"/>
        </w:rPr>
        <w:t>批次，</w:t>
      </w:r>
      <w:r>
        <w:rPr>
          <w:rFonts w:hint="eastAsia" w:ascii="仿宋" w:hAnsi="仿宋" w:eastAsia="仿宋" w:cs="仿宋"/>
          <w:sz w:val="32"/>
          <w:szCs w:val="32"/>
          <w:lang w:val="en-US" w:eastAsia="zh-CN"/>
        </w:rPr>
        <w:t>0</w:t>
      </w:r>
      <w:r>
        <w:rPr>
          <w:rFonts w:hint="eastAsia" w:ascii="仿宋" w:hAnsi="仿宋" w:eastAsia="仿宋" w:cs="仿宋"/>
          <w:sz w:val="32"/>
          <w:szCs w:val="32"/>
        </w:rPr>
        <w:t>人次（不包括陪同人员），共计支出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bookmarkEnd w:id="81"/>
      <w:bookmarkEnd w:id="82"/>
    </w:p>
    <w:p>
      <w:pPr>
        <w:spacing w:line="600" w:lineRule="exact"/>
        <w:ind w:firstLine="640"/>
        <w:outlineLvl w:val="1"/>
        <w:rPr>
          <w:rStyle w:val="39"/>
          <w:rFonts w:ascii="黑体" w:hAnsi="黑体" w:eastAsia="黑体"/>
        </w:rPr>
      </w:pPr>
      <w:bookmarkStart w:id="83" w:name="_Toc287"/>
      <w:r>
        <w:rPr>
          <w:rFonts w:hint="eastAsia" w:ascii="黑体" w:eastAsia="黑体"/>
          <w:sz w:val="32"/>
          <w:szCs w:val="32"/>
        </w:rPr>
        <w:t>八、</w:t>
      </w:r>
      <w:r>
        <w:rPr>
          <w:rStyle w:val="39"/>
          <w:rFonts w:hint="eastAsia" w:ascii="黑体" w:hAnsi="黑体" w:eastAsia="黑体"/>
          <w:b w:val="0"/>
        </w:rPr>
        <w:t>政府性基金预算支出决算情况说明</w:t>
      </w:r>
      <w:bookmarkEnd w:id="73"/>
      <w:bookmarkEnd w:id="74"/>
      <w:bookmarkEnd w:id="83"/>
    </w:p>
    <w:p>
      <w:pPr>
        <w:spacing w:line="600" w:lineRule="exact"/>
        <w:ind w:firstLine="640"/>
        <w:rPr>
          <w:rFonts w:hint="eastAsia" w:ascii="仿宋" w:hAnsi="仿宋" w:eastAsia="仿宋" w:cs="仿宋"/>
          <w:sz w:val="32"/>
          <w:szCs w:val="32"/>
        </w:rPr>
      </w:pPr>
      <w:r>
        <w:rPr>
          <w:rFonts w:hint="eastAsia" w:ascii="仿宋" w:hAnsi="仿宋" w:eastAsia="仿宋" w:cs="仿宋"/>
          <w:sz w:val="32"/>
          <w:szCs w:val="32"/>
        </w:rPr>
        <w:t>2023年度政府性基金预算财政拨款支出</w:t>
      </w:r>
      <w:r>
        <w:rPr>
          <w:rFonts w:hint="eastAsia" w:ascii="仿宋" w:hAnsi="仿宋" w:eastAsia="仿宋" w:cs="仿宋"/>
          <w:b/>
          <w:sz w:val="32"/>
          <w:szCs w:val="32"/>
          <w:lang w:val="en-US" w:eastAsia="zh-CN"/>
        </w:rPr>
        <w:t>118.58</w:t>
      </w:r>
      <w:r>
        <w:rPr>
          <w:rFonts w:hint="eastAsia" w:ascii="仿宋" w:hAnsi="仿宋" w:eastAsia="仿宋" w:cs="仿宋"/>
          <w:sz w:val="32"/>
          <w:szCs w:val="32"/>
        </w:rPr>
        <w:t>万元。</w:t>
      </w:r>
    </w:p>
    <w:p>
      <w:pPr>
        <w:numPr>
          <w:ilvl w:val="0"/>
          <w:numId w:val="3"/>
        </w:numPr>
        <w:spacing w:line="600" w:lineRule="exact"/>
        <w:ind w:firstLine="640"/>
        <w:outlineLvl w:val="1"/>
        <w:rPr>
          <w:rStyle w:val="39"/>
          <w:rFonts w:ascii="黑体" w:hAnsi="黑体" w:eastAsia="黑体"/>
          <w:b w:val="0"/>
        </w:rPr>
      </w:pPr>
      <w:bookmarkStart w:id="84" w:name="_Toc15396611"/>
      <w:bookmarkStart w:id="85" w:name="_Toc15377219"/>
      <w:bookmarkStart w:id="86" w:name="_Toc8845"/>
      <w:r>
        <w:rPr>
          <w:rStyle w:val="39"/>
          <w:rFonts w:hint="eastAsia" w:ascii="黑体" w:hAnsi="黑体" w:eastAsia="黑体"/>
          <w:b w:val="0"/>
        </w:rPr>
        <w:t>国有资本经营预算支出决算情况说明</w:t>
      </w:r>
      <w:bookmarkEnd w:id="84"/>
      <w:bookmarkEnd w:id="85"/>
      <w:bookmarkEnd w:id="86"/>
    </w:p>
    <w:p>
      <w:pPr>
        <w:spacing w:line="600" w:lineRule="exact"/>
        <w:ind w:firstLine="640"/>
        <w:rPr>
          <w:rFonts w:hint="eastAsia" w:ascii="仿宋" w:hAnsi="仿宋" w:eastAsia="仿宋" w:cs="仿宋"/>
          <w:sz w:val="32"/>
          <w:szCs w:val="32"/>
        </w:rPr>
      </w:pPr>
      <w:r>
        <w:rPr>
          <w:rFonts w:hint="eastAsia" w:ascii="仿宋" w:hAnsi="仿宋" w:eastAsia="仿宋" w:cs="仿宋"/>
          <w:sz w:val="32"/>
          <w:szCs w:val="32"/>
        </w:rPr>
        <w:t>2023年度国有资本经营预算财政拨款支出</w:t>
      </w:r>
      <w:r>
        <w:rPr>
          <w:rFonts w:hint="eastAsia" w:ascii="仿宋" w:hAnsi="仿宋" w:eastAsia="仿宋" w:cs="仿宋"/>
          <w:b/>
          <w:sz w:val="32"/>
          <w:szCs w:val="32"/>
        </w:rPr>
        <w:t>0</w:t>
      </w:r>
      <w:r>
        <w:rPr>
          <w:rFonts w:hint="eastAsia" w:ascii="仿宋" w:hAnsi="仿宋" w:eastAsia="仿宋" w:cs="仿宋"/>
          <w:sz w:val="32"/>
          <w:szCs w:val="32"/>
        </w:rPr>
        <w:t>万元。</w:t>
      </w:r>
    </w:p>
    <w:p>
      <w:pPr>
        <w:numPr>
          <w:ilvl w:val="0"/>
          <w:numId w:val="3"/>
        </w:numPr>
        <w:spacing w:line="600" w:lineRule="exact"/>
        <w:ind w:firstLine="640"/>
        <w:outlineLvl w:val="1"/>
        <w:rPr>
          <w:rStyle w:val="39"/>
          <w:rFonts w:ascii="黑体" w:hAnsi="黑体" w:eastAsia="黑体"/>
          <w:b w:val="0"/>
        </w:rPr>
      </w:pPr>
      <w:bookmarkStart w:id="87" w:name="_Toc15377221"/>
      <w:bookmarkStart w:id="88" w:name="_Toc8593"/>
      <w:bookmarkStart w:id="89" w:name="_Toc15396612"/>
      <w:r>
        <w:rPr>
          <w:rStyle w:val="39"/>
          <w:rFonts w:hint="eastAsia" w:ascii="黑体" w:hAnsi="黑体" w:eastAsia="黑体"/>
          <w:b w:val="0"/>
        </w:rPr>
        <w:t>其他重要事项的情况说明</w:t>
      </w:r>
      <w:bookmarkEnd w:id="87"/>
      <w:bookmarkEnd w:id="88"/>
      <w:bookmarkEnd w:id="89"/>
    </w:p>
    <w:p>
      <w:pPr>
        <w:spacing w:line="600" w:lineRule="exact"/>
        <w:ind w:firstLine="643" w:firstLineChars="200"/>
        <w:outlineLvl w:val="2"/>
        <w:rPr>
          <w:rFonts w:ascii="仿宋" w:hAnsi="仿宋" w:eastAsia="仿宋"/>
          <w:sz w:val="32"/>
          <w:szCs w:val="32"/>
        </w:rPr>
      </w:pPr>
      <w:bookmarkStart w:id="90" w:name="_Toc15377222"/>
      <w:bookmarkStart w:id="91" w:name="_Toc13585"/>
      <w:r>
        <w:rPr>
          <w:rFonts w:hint="eastAsia" w:ascii="仿宋" w:hAnsi="仿宋" w:eastAsia="仿宋"/>
          <w:b/>
          <w:sz w:val="32"/>
          <w:szCs w:val="32"/>
        </w:rPr>
        <w:t>（一）机关运行经费支出情况</w:t>
      </w:r>
      <w:bookmarkEnd w:id="90"/>
      <w:bookmarkEnd w:id="91"/>
    </w:p>
    <w:p>
      <w:pPr>
        <w:spacing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rPr>
        <w:t>2023年度，</w:t>
      </w:r>
      <w:r>
        <w:rPr>
          <w:rFonts w:hint="eastAsia" w:ascii="仿宋" w:hAnsi="仿宋" w:eastAsia="仿宋" w:cs="仿宋"/>
          <w:b w:val="0"/>
          <w:bCs/>
          <w:sz w:val="32"/>
          <w:szCs w:val="32"/>
          <w:lang w:val="en-US" w:eastAsia="zh-CN"/>
        </w:rPr>
        <w:t>五通桥区水上运动技术学校</w:t>
      </w:r>
      <w:r>
        <w:rPr>
          <w:rFonts w:hint="eastAsia" w:ascii="仿宋" w:hAnsi="仿宋" w:eastAsia="仿宋" w:cs="仿宋"/>
          <w:sz w:val="32"/>
          <w:szCs w:val="32"/>
        </w:rPr>
        <w:t>机关运行经费支出</w:t>
      </w:r>
      <w:r>
        <w:rPr>
          <w:rFonts w:hint="eastAsia" w:ascii="仿宋" w:hAnsi="仿宋" w:eastAsia="仿宋" w:cs="仿宋"/>
          <w:b/>
          <w:sz w:val="32"/>
          <w:szCs w:val="32"/>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比</w:t>
      </w:r>
      <w:r>
        <w:rPr>
          <w:rFonts w:hint="eastAsia" w:ascii="仿宋" w:hAnsi="仿宋" w:eastAsia="仿宋" w:cs="仿宋"/>
          <w:sz w:val="32"/>
          <w:szCs w:val="32"/>
        </w:rPr>
        <w:t>2022年</w:t>
      </w:r>
      <w:r>
        <w:rPr>
          <w:rFonts w:hint="eastAsia" w:ascii="仿宋" w:hAnsi="仿宋" w:eastAsia="仿宋" w:cs="仿宋"/>
          <w:sz w:val="32"/>
          <w:szCs w:val="32"/>
          <w:lang w:val="en-US" w:eastAsia="zh-CN"/>
        </w:rPr>
        <w:t>度增加0万元，增长0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主要原因是本单位为事业单位，无机关运行经费</w:t>
      </w:r>
      <w:r>
        <w:rPr>
          <w:rFonts w:hint="eastAsia" w:ascii="仿宋" w:hAnsi="仿宋" w:eastAsia="仿宋" w:cs="仿宋"/>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92" w:name="_Toc15377223"/>
      <w:bookmarkStart w:id="93" w:name="_Toc22939"/>
      <w:r>
        <w:rPr>
          <w:rFonts w:hint="eastAsia" w:ascii="仿宋" w:hAnsi="仿宋" w:eastAsia="仿宋"/>
          <w:b/>
          <w:sz w:val="32"/>
          <w:szCs w:val="32"/>
        </w:rPr>
        <w:t>（二）政府采购支出情况</w:t>
      </w:r>
      <w:bookmarkEnd w:id="92"/>
      <w:bookmarkEnd w:id="93"/>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2023年度，</w:t>
      </w:r>
      <w:r>
        <w:rPr>
          <w:rFonts w:hint="eastAsia" w:ascii="仿宋" w:hAnsi="仿宋" w:eastAsia="仿宋" w:cs="仿宋"/>
          <w:b w:val="0"/>
          <w:bCs/>
          <w:sz w:val="32"/>
          <w:szCs w:val="32"/>
          <w:lang w:val="en-US" w:eastAsia="zh-CN"/>
        </w:rPr>
        <w:t>五通桥区水上运动学校</w:t>
      </w:r>
      <w:r>
        <w:rPr>
          <w:rFonts w:hint="eastAsia" w:ascii="仿宋" w:hAnsi="仿宋" w:eastAsia="仿宋" w:cs="仿宋"/>
          <w:sz w:val="32"/>
          <w:szCs w:val="32"/>
        </w:rPr>
        <w:t>政府采购支出总额</w:t>
      </w:r>
      <w:r>
        <w:rPr>
          <w:rFonts w:hint="eastAsia" w:ascii="仿宋" w:hAnsi="仿宋" w:eastAsia="仿宋" w:cs="仿宋"/>
          <w:b/>
          <w:sz w:val="32"/>
          <w:szCs w:val="32"/>
        </w:rPr>
        <w:t>0</w:t>
      </w:r>
      <w:r>
        <w:rPr>
          <w:rFonts w:hint="eastAsia" w:ascii="仿宋" w:hAnsi="仿宋" w:eastAsia="仿宋" w:cs="仿宋"/>
          <w:sz w:val="32"/>
          <w:szCs w:val="32"/>
        </w:rPr>
        <w:t>万元，其中：政府采购货物支出</w:t>
      </w:r>
      <w:r>
        <w:rPr>
          <w:rFonts w:hint="eastAsia" w:ascii="仿宋" w:hAnsi="仿宋" w:eastAsia="仿宋" w:cs="仿宋"/>
          <w:b/>
          <w:sz w:val="32"/>
          <w:szCs w:val="32"/>
        </w:rPr>
        <w:t>0</w:t>
      </w:r>
      <w:r>
        <w:rPr>
          <w:rFonts w:hint="eastAsia" w:ascii="仿宋" w:hAnsi="仿宋" w:eastAsia="仿宋" w:cs="仿宋"/>
          <w:sz w:val="32"/>
          <w:szCs w:val="32"/>
        </w:rPr>
        <w:t>万元、政府采购工程支出</w:t>
      </w:r>
      <w:r>
        <w:rPr>
          <w:rFonts w:hint="eastAsia" w:ascii="仿宋" w:hAnsi="仿宋" w:eastAsia="仿宋" w:cs="仿宋"/>
          <w:b/>
          <w:sz w:val="32"/>
          <w:szCs w:val="32"/>
        </w:rPr>
        <w:t>0</w:t>
      </w:r>
      <w:r>
        <w:rPr>
          <w:rFonts w:hint="eastAsia" w:ascii="仿宋" w:hAnsi="仿宋" w:eastAsia="仿宋" w:cs="仿宋"/>
          <w:sz w:val="32"/>
          <w:szCs w:val="32"/>
        </w:rPr>
        <w:t>万元、政府采购服务支出</w:t>
      </w:r>
      <w:r>
        <w:rPr>
          <w:rFonts w:hint="eastAsia" w:ascii="仿宋" w:hAnsi="仿宋" w:eastAsia="仿宋" w:cs="仿宋"/>
          <w:b/>
          <w:sz w:val="32"/>
          <w:szCs w:val="32"/>
        </w:rPr>
        <w:t>0</w:t>
      </w:r>
      <w:r>
        <w:rPr>
          <w:rFonts w:hint="eastAsia" w:ascii="仿宋" w:hAnsi="仿宋" w:eastAsia="仿宋" w:cs="仿宋"/>
          <w:sz w:val="32"/>
          <w:szCs w:val="32"/>
        </w:rPr>
        <w:t>万元。授予中小企业合同金额</w:t>
      </w:r>
      <w:r>
        <w:rPr>
          <w:rFonts w:hint="eastAsia" w:ascii="仿宋" w:hAnsi="仿宋" w:eastAsia="仿宋" w:cs="仿宋"/>
          <w:b/>
          <w:sz w:val="32"/>
          <w:szCs w:val="32"/>
        </w:rPr>
        <w:t>0</w:t>
      </w:r>
      <w:r>
        <w:rPr>
          <w:rFonts w:hint="eastAsia" w:ascii="仿宋" w:hAnsi="仿宋" w:eastAsia="仿宋" w:cs="仿宋"/>
          <w:sz w:val="32"/>
          <w:szCs w:val="32"/>
        </w:rPr>
        <w:t>万元，占政府采购支出总额的0%，其中：授予小微企业合同金额</w:t>
      </w:r>
      <w:r>
        <w:rPr>
          <w:rFonts w:hint="eastAsia" w:ascii="仿宋" w:hAnsi="仿宋" w:eastAsia="仿宋" w:cs="仿宋"/>
          <w:b/>
          <w:sz w:val="32"/>
          <w:szCs w:val="32"/>
        </w:rPr>
        <w:t>0</w:t>
      </w:r>
      <w:r>
        <w:rPr>
          <w:rFonts w:hint="eastAsia" w:ascii="仿宋" w:hAnsi="仿宋" w:eastAsia="仿宋" w:cs="仿宋"/>
          <w:sz w:val="32"/>
          <w:szCs w:val="32"/>
        </w:rPr>
        <w:t>万元，占政府采购支出总额的</w:t>
      </w:r>
      <w:r>
        <w:rPr>
          <w:rFonts w:hint="eastAsia" w:ascii="仿宋" w:hAnsi="仿宋" w:eastAsia="仿宋" w:cs="仿宋"/>
          <w:b/>
          <w:sz w:val="32"/>
          <w:szCs w:val="32"/>
        </w:rPr>
        <w:t>0</w:t>
      </w:r>
      <w:r>
        <w:rPr>
          <w:rFonts w:hint="eastAsia" w:ascii="仿宋" w:hAnsi="仿宋" w:eastAsia="仿宋" w:cs="仿宋"/>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94" w:name="_Toc23758"/>
      <w:bookmarkStart w:id="95" w:name="_Toc15377224"/>
      <w:r>
        <w:rPr>
          <w:rFonts w:hint="eastAsia" w:ascii="仿宋" w:hAnsi="仿宋" w:eastAsia="仿宋"/>
          <w:b/>
          <w:sz w:val="32"/>
          <w:szCs w:val="32"/>
        </w:rPr>
        <w:t>（三）国有资产占有使用情况</w:t>
      </w:r>
      <w:bookmarkEnd w:id="94"/>
      <w:bookmarkEnd w:id="95"/>
    </w:p>
    <w:p>
      <w:pPr>
        <w:autoSpaceDE w:val="0"/>
        <w:autoSpaceDN w:val="0"/>
        <w:adjustRightInd w:val="0"/>
        <w:spacing w:line="600" w:lineRule="exact"/>
        <w:ind w:firstLine="640" w:firstLineChars="200"/>
        <w:jc w:val="left"/>
        <w:rPr>
          <w:rFonts w:hint="eastAsia" w:ascii="仿宋_GB2312" w:eastAsia="仿宋_GB2312"/>
          <w:sz w:val="32"/>
          <w:szCs w:val="32"/>
          <w:lang w:val="en-US" w:eastAsia="zh-CN"/>
        </w:rPr>
      </w:pPr>
      <w:r>
        <w:rPr>
          <w:rFonts w:hint="eastAsia" w:ascii="仿宋" w:hAnsi="仿宋" w:eastAsia="仿宋" w:cs="仿宋"/>
          <w:sz w:val="32"/>
          <w:szCs w:val="32"/>
        </w:rPr>
        <w:t>截至2023年12月31日，</w:t>
      </w:r>
      <w:r>
        <w:rPr>
          <w:rFonts w:hint="eastAsia" w:ascii="仿宋" w:hAnsi="仿宋" w:eastAsia="仿宋" w:cs="仿宋"/>
          <w:b w:val="0"/>
          <w:bCs/>
          <w:sz w:val="32"/>
          <w:szCs w:val="32"/>
          <w:lang w:val="en-US" w:eastAsia="zh-CN"/>
        </w:rPr>
        <w:t>五通桥区水上运动技术学校</w:t>
      </w:r>
      <w:r>
        <w:rPr>
          <w:rFonts w:hint="eastAsia" w:ascii="仿宋" w:hAnsi="仿宋" w:eastAsia="仿宋" w:cs="仿宋"/>
          <w:sz w:val="32"/>
          <w:szCs w:val="32"/>
        </w:rPr>
        <w:t>共有车辆</w:t>
      </w:r>
      <w:r>
        <w:rPr>
          <w:rFonts w:hint="eastAsia" w:ascii="仿宋" w:hAnsi="仿宋" w:eastAsia="仿宋" w:cs="仿宋"/>
          <w:b/>
          <w:sz w:val="32"/>
          <w:szCs w:val="32"/>
        </w:rPr>
        <w:t>0</w:t>
      </w:r>
      <w:r>
        <w:rPr>
          <w:rFonts w:hint="eastAsia" w:ascii="仿宋" w:hAnsi="仿宋" w:eastAsia="仿宋" w:cs="仿宋"/>
          <w:sz w:val="32"/>
          <w:szCs w:val="32"/>
        </w:rPr>
        <w:t>辆，其中：主要领导干部用车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辆。单价100万元以上设备（不含车辆）</w:t>
      </w:r>
      <w:r>
        <w:rPr>
          <w:rFonts w:hint="eastAsia" w:ascii="仿宋" w:hAnsi="仿宋" w:eastAsia="仿宋" w:cs="仿宋"/>
          <w:b/>
          <w:sz w:val="32"/>
          <w:szCs w:val="32"/>
        </w:rPr>
        <w:t>0</w:t>
      </w:r>
      <w:r>
        <w:rPr>
          <w:rFonts w:hint="eastAsia" w:ascii="仿宋" w:hAnsi="仿宋" w:eastAsia="仿宋" w:cs="仿宋"/>
          <w:sz w:val="32"/>
          <w:szCs w:val="32"/>
        </w:rPr>
        <w:t>台（套）。</w:t>
      </w:r>
    </w:p>
    <w:p>
      <w:pPr>
        <w:autoSpaceDE w:val="0"/>
        <w:autoSpaceDN w:val="0"/>
        <w:adjustRightInd w:val="0"/>
        <w:spacing w:line="600" w:lineRule="exact"/>
        <w:ind w:firstLine="643" w:firstLineChars="200"/>
        <w:jc w:val="left"/>
        <w:outlineLvl w:val="2"/>
        <w:rPr>
          <w:rFonts w:ascii="仿宋" w:hAnsi="仿宋" w:eastAsia="仿宋"/>
          <w:b/>
          <w:sz w:val="32"/>
          <w:szCs w:val="32"/>
          <w:highlight w:val="none"/>
        </w:rPr>
      </w:pPr>
      <w:bookmarkStart w:id="96" w:name="_Toc5876"/>
      <w:r>
        <w:rPr>
          <w:rFonts w:hint="eastAsia" w:ascii="仿宋" w:hAnsi="仿宋" w:eastAsia="仿宋"/>
          <w:b/>
          <w:sz w:val="32"/>
          <w:szCs w:val="32"/>
          <w:highlight w:val="none"/>
        </w:rPr>
        <w:t>（四）预算绩效管理情况</w:t>
      </w:r>
      <w:bookmarkEnd w:id="96"/>
    </w:p>
    <w:p>
      <w:pPr>
        <w:spacing w:line="600" w:lineRule="exact"/>
        <w:ind w:firstLine="640" w:firstLineChars="200"/>
        <w:rPr>
          <w:rFonts w:ascii="仿宋_GB2312" w:eastAsia="仿宋_GB2312"/>
          <w:sz w:val="32"/>
          <w:szCs w:val="32"/>
        </w:rPr>
      </w:pPr>
      <w:r>
        <w:rPr>
          <w:rFonts w:hint="eastAsia" w:ascii="仿宋" w:hAnsi="仿宋" w:eastAsia="仿宋" w:cs="仿宋"/>
          <w:color w:val="auto"/>
          <w:sz w:val="32"/>
          <w:szCs w:val="32"/>
          <w:highlight w:val="none"/>
          <w:lang w:eastAsia="zh-CN"/>
        </w:rPr>
        <w:t>根据预算绩效管理要求，本单位在</w:t>
      </w:r>
      <w:r>
        <w:rPr>
          <w:rFonts w:hint="eastAsia" w:ascii="仿宋" w:hAnsi="仿宋" w:eastAsia="仿宋" w:cs="仿宋"/>
          <w:color w:val="auto"/>
          <w:sz w:val="32"/>
          <w:szCs w:val="32"/>
          <w:highlight w:val="none"/>
          <w:lang w:val="en-US" w:eastAsia="zh-CN"/>
        </w:rPr>
        <w:t>2023年度</w:t>
      </w:r>
      <w:r>
        <w:rPr>
          <w:rFonts w:hint="eastAsia" w:ascii="仿宋" w:hAnsi="仿宋" w:eastAsia="仿宋" w:cs="仿宋"/>
          <w:color w:val="auto"/>
          <w:sz w:val="32"/>
          <w:szCs w:val="32"/>
          <w:highlight w:val="none"/>
          <w:lang w:eastAsia="zh-CN"/>
        </w:rPr>
        <w:t>预算编制阶段，组织对</w:t>
      </w:r>
      <w:r>
        <w:rPr>
          <w:rFonts w:hint="eastAsia" w:ascii="仿宋" w:hAnsi="仿宋" w:eastAsia="仿宋" w:cs="仿宋"/>
          <w:color w:val="auto"/>
          <w:sz w:val="32"/>
          <w:szCs w:val="32"/>
          <w:highlight w:val="none"/>
          <w:lang w:val="en-US" w:eastAsia="zh-CN"/>
        </w:rPr>
        <w:t>运动员训练经费、备战四川省赛艇皮划艇比赛经费、购买十四运会专项器材、水校临聘人员支出、2021年1-12月清算和2022年1-3月市级提留体彩公益金、省十四运会奖经费共6个项目</w:t>
      </w:r>
      <w:r>
        <w:rPr>
          <w:rFonts w:hint="eastAsia" w:ascii="仿宋" w:hAnsi="仿宋" w:eastAsia="仿宋" w:cs="仿宋"/>
          <w:color w:val="auto"/>
          <w:sz w:val="32"/>
          <w:szCs w:val="32"/>
          <w:highlight w:val="none"/>
          <w:lang w:eastAsia="zh-CN"/>
        </w:rPr>
        <w:t>开展了预算事前绩效评估，对</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lang w:eastAsia="zh-CN"/>
        </w:rPr>
        <w:t>个项目编制了绩效目标，预算执行过程中，选取</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lang w:eastAsia="zh-CN"/>
        </w:rPr>
        <w:t>个项目开展绩效监控，组织对</w:t>
      </w:r>
      <w:r>
        <w:rPr>
          <w:rFonts w:hint="eastAsia" w:ascii="仿宋" w:hAnsi="仿宋" w:eastAsia="仿宋" w:cs="仿宋"/>
          <w:color w:val="auto"/>
          <w:sz w:val="32"/>
          <w:szCs w:val="32"/>
          <w:highlight w:val="none"/>
          <w:lang w:val="en-US" w:eastAsia="zh-CN"/>
        </w:rPr>
        <w:t>6个项目开展绩效自评，绩效自评表详见第四部分附件。</w:t>
      </w:r>
      <w:r>
        <w:rPr>
          <w:rFonts w:hint="eastAsia" w:ascii="仿宋" w:hAnsi="仿宋" w:eastAsia="仿宋" w:cs="仿宋"/>
          <w:sz w:val="32"/>
          <w:szCs w:val="32"/>
        </w:rPr>
        <w:br w:type="page"/>
      </w:r>
    </w:p>
    <w:p>
      <w:pPr>
        <w:numPr>
          <w:ilvl w:val="0"/>
          <w:numId w:val="4"/>
        </w:numPr>
        <w:spacing w:line="600" w:lineRule="exact"/>
        <w:ind w:firstLine="660" w:firstLineChars="150"/>
        <w:jc w:val="center"/>
        <w:outlineLvl w:val="0"/>
        <w:rPr>
          <w:rStyle w:val="38"/>
          <w:rFonts w:ascii="黑体" w:hAnsi="黑体" w:eastAsia="黑体"/>
          <w:b w:val="0"/>
        </w:rPr>
      </w:pPr>
      <w:bookmarkStart w:id="97" w:name="_Toc15396613"/>
      <w:bookmarkStart w:id="98" w:name="_Toc6831"/>
      <w:bookmarkStart w:id="99" w:name="_Toc15377225"/>
      <w:r>
        <w:rPr>
          <w:rFonts w:hint="eastAsia" w:ascii="黑体" w:hAnsi="黑体" w:eastAsia="黑体"/>
          <w:sz w:val="44"/>
          <w:szCs w:val="44"/>
        </w:rPr>
        <w:t>名</w:t>
      </w:r>
      <w:r>
        <w:rPr>
          <w:rStyle w:val="38"/>
          <w:rFonts w:hint="eastAsia" w:ascii="黑体" w:hAnsi="黑体" w:eastAsia="黑体"/>
          <w:b w:val="0"/>
        </w:rPr>
        <w:t>词解释</w:t>
      </w:r>
      <w:bookmarkEnd w:id="97"/>
      <w:bookmarkEnd w:id="98"/>
      <w:bookmarkEnd w:id="99"/>
    </w:p>
    <w:p>
      <w:pPr>
        <w:pStyle w:val="28"/>
        <w:spacing w:line="560" w:lineRule="exact"/>
        <w:ind w:firstLine="640" w:firstLineChars="200"/>
        <w:rPr>
          <w:rFonts w:hint="eastAsia" w:ascii="仿宋" w:hAnsi="仿宋" w:eastAsia="仿宋" w:cs="仿宋"/>
          <w:color w:val="auto"/>
          <w:sz w:val="32"/>
          <w:szCs w:val="32"/>
          <w:highlight w:val="none"/>
        </w:rPr>
      </w:pPr>
      <w:bookmarkStart w:id="100" w:name="_Toc15377226"/>
      <w:r>
        <w:rPr>
          <w:rFonts w:hint="eastAsia" w:ascii="仿宋" w:hAnsi="仿宋" w:eastAsia="仿宋" w:cs="仿宋"/>
          <w:color w:val="auto"/>
          <w:sz w:val="32"/>
          <w:szCs w:val="32"/>
          <w:highlight w:val="none"/>
        </w:rPr>
        <w:t>1.财政拨款收入：指单位从同级财政部门取得的财政预算资金。</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2.事业收入：指事业单位开展专业业务活动及辅助活动取得的收入。</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3.经营收入：指事业单位在专业业务活动及其辅助活动之外开展非独立核算经营活动取得的收入。</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4.其他收入：指单位取得的除上述收入以外的各项收入。 </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w:t>
      </w:r>
      <w:r>
        <w:rPr>
          <w:rFonts w:hint="eastAsia" w:ascii="仿宋" w:hAnsi="仿宋" w:eastAsia="仿宋" w:cs="仿宋"/>
          <w:sz w:val="32"/>
          <w:szCs w:val="32"/>
          <w:u w:val="none"/>
          <w:lang w:eastAsia="zh-CN"/>
        </w:rPr>
        <w:t>使用非财政拨款结余（含专用结余）</w:t>
      </w:r>
      <w:r>
        <w:rPr>
          <w:rFonts w:hint="eastAsia" w:ascii="仿宋" w:hAnsi="仿宋" w:eastAsia="仿宋" w:cs="仿宋"/>
          <w:color w:val="auto"/>
          <w:sz w:val="32"/>
          <w:szCs w:val="32"/>
          <w:highlight w:val="none"/>
        </w:rPr>
        <w:t>：指事业单位</w:t>
      </w:r>
      <w:r>
        <w:rPr>
          <w:rFonts w:hint="eastAsia" w:ascii="仿宋" w:hAnsi="仿宋" w:eastAsia="仿宋" w:cs="仿宋"/>
          <w:color w:val="auto"/>
          <w:sz w:val="32"/>
          <w:szCs w:val="32"/>
          <w:highlight w:val="none"/>
          <w:lang w:eastAsia="zh-CN"/>
        </w:rPr>
        <w:t>使用以前年度积累的非财政拨款结余弥补当年收支差额的金额。</w:t>
      </w:r>
      <w:r>
        <w:rPr>
          <w:rFonts w:hint="eastAsia" w:ascii="仿宋" w:hAnsi="仿宋" w:eastAsia="仿宋" w:cs="仿宋"/>
          <w:color w:val="auto"/>
          <w:sz w:val="32"/>
          <w:szCs w:val="32"/>
          <w:highlight w:val="none"/>
        </w:rPr>
        <w:t xml:space="preserve"> </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6.年初结转和结余：指以前年度尚未完成、结转到本年按有关规定继续使用的资金。 </w:t>
      </w:r>
    </w:p>
    <w:p>
      <w:pPr>
        <w:pStyle w:val="28"/>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7.结余分配：指事业单位按照会计制度规定</w:t>
      </w:r>
      <w:r>
        <w:rPr>
          <w:rFonts w:hint="eastAsia" w:ascii="仿宋" w:hAnsi="仿宋" w:eastAsia="仿宋" w:cs="仿宋"/>
          <w:color w:val="auto"/>
          <w:sz w:val="32"/>
          <w:szCs w:val="32"/>
          <w:highlight w:val="none"/>
          <w:lang w:eastAsia="zh-CN"/>
        </w:rPr>
        <w:t>缴纳的所得税、提取的专用结余以及转入非财政拨款结余的金额</w:t>
      </w:r>
      <w:r>
        <w:rPr>
          <w:rFonts w:hint="eastAsia" w:ascii="仿宋" w:hAnsi="仿宋" w:eastAsia="仿宋" w:cs="仿宋"/>
          <w:color w:val="auto"/>
          <w:sz w:val="32"/>
          <w:szCs w:val="32"/>
          <w:highlight w:val="none"/>
        </w:rPr>
        <w:t>等。</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8.社会保障和就业</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（类）行政事业单位离退休（款）事业单位离退休（项）：指离退休人员的支出。</w:t>
      </w:r>
    </w:p>
    <w:p>
      <w:pPr>
        <w:spacing w:line="600" w:lineRule="exact"/>
        <w:ind w:firstLine="640"/>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9.文化旅游体育与传媒支出（类）体育（款）运动项目管理（项）:指反映各项目运动管理中心和运动学校等单位的日常管理支出 。</w:t>
      </w:r>
    </w:p>
    <w:p>
      <w:pPr>
        <w:spacing w:line="600" w:lineRule="exact"/>
        <w:ind w:firstLine="640"/>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10.文化旅游体育与传媒支出（类）体育（款）体育竞赛（项）:</w:t>
      </w:r>
      <w:r>
        <w:rPr>
          <w:rFonts w:hint="eastAsia" w:ascii="仿宋" w:hAnsi="仿宋" w:eastAsia="仿宋" w:cs="仿宋"/>
          <w:color w:val="auto"/>
          <w:sz w:val="32"/>
          <w:szCs w:val="32"/>
          <w:lang w:val="en-US"/>
        </w:rPr>
        <w:t>指</w:t>
      </w:r>
      <w:r>
        <w:rPr>
          <w:rFonts w:hint="eastAsia" w:ascii="仿宋" w:hAnsi="仿宋" w:eastAsia="仿宋" w:cs="仿宋"/>
          <w:color w:val="auto"/>
          <w:kern w:val="0"/>
          <w:sz w:val="32"/>
          <w:szCs w:val="32"/>
          <w:lang w:val="en-US" w:eastAsia="zh-CN" w:bidi="ar-SA"/>
        </w:rPr>
        <w:t>反映综合性运动会及单项体育比赛支出 。</w:t>
      </w:r>
    </w:p>
    <w:p>
      <w:pPr>
        <w:spacing w:line="600" w:lineRule="exact"/>
        <w:ind w:firstLine="640"/>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11.文化旅游体育与传媒支出（类）体育（款）体育训练（项）: </w:t>
      </w:r>
      <w:r>
        <w:rPr>
          <w:rFonts w:hint="eastAsia" w:ascii="仿宋" w:hAnsi="仿宋" w:eastAsia="仿宋" w:cs="仿宋"/>
          <w:color w:val="auto"/>
          <w:sz w:val="32"/>
          <w:szCs w:val="32"/>
          <w:lang w:val="en-US"/>
        </w:rPr>
        <w:t>指</w:t>
      </w:r>
      <w:r>
        <w:rPr>
          <w:rFonts w:hint="eastAsia" w:ascii="仿宋" w:hAnsi="仿宋" w:eastAsia="仿宋" w:cs="仿宋"/>
          <w:color w:val="auto"/>
          <w:kern w:val="0"/>
          <w:sz w:val="32"/>
          <w:szCs w:val="32"/>
          <w:lang w:val="en-US" w:eastAsia="zh-CN" w:bidi="ar-SA"/>
        </w:rPr>
        <w:t>反映各级体育运动队训练补助及器材购置等方面的支出。</w:t>
      </w:r>
    </w:p>
    <w:p>
      <w:pPr>
        <w:spacing w:line="600" w:lineRule="exact"/>
        <w:ind w:firstLine="640"/>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12.文化旅游体育与传媒支出（类）体育（款）其他体育支出（项）: </w:t>
      </w:r>
      <w:r>
        <w:rPr>
          <w:rFonts w:hint="eastAsia" w:ascii="仿宋" w:hAnsi="仿宋" w:eastAsia="仿宋" w:cs="仿宋"/>
          <w:color w:val="auto"/>
          <w:sz w:val="32"/>
          <w:szCs w:val="32"/>
          <w:lang w:val="en-US"/>
        </w:rPr>
        <w:t>指</w:t>
      </w:r>
      <w:r>
        <w:rPr>
          <w:rFonts w:hint="eastAsia" w:ascii="仿宋" w:hAnsi="仿宋" w:eastAsia="仿宋" w:cs="仿宋"/>
          <w:color w:val="auto"/>
          <w:kern w:val="0"/>
          <w:sz w:val="32"/>
          <w:szCs w:val="32"/>
          <w:lang w:val="en-US" w:eastAsia="zh-CN" w:bidi="ar-SA"/>
        </w:rPr>
        <w:t>反映除上述项目以外其他用于体育方面的支出。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1</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en-US"/>
        </w:rPr>
        <w:t>.社会保障和就业</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w:t>
      </w:r>
      <w:r>
        <w:rPr>
          <w:rFonts w:hint="eastAsia" w:hAnsi="仿宋" w:cs="仿宋"/>
          <w:color w:val="auto"/>
          <w:sz w:val="32"/>
          <w:szCs w:val="32"/>
          <w:lang w:val="en-US" w:eastAsia="zh-CN"/>
        </w:rPr>
        <w:t>行政事业单位养老支出</w:t>
      </w:r>
      <w:r>
        <w:rPr>
          <w:rFonts w:hint="eastAsia" w:ascii="仿宋" w:hAnsi="仿宋" w:eastAsia="仿宋" w:cs="仿宋"/>
          <w:color w:val="auto"/>
          <w:sz w:val="32"/>
          <w:szCs w:val="32"/>
          <w:lang w:val="en-US"/>
        </w:rPr>
        <w:t>（款）机关事业单位基本养老保险缴费支出（项）：指部门实施养老保险制度由单位缴纳的养老保险费的支出。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1</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val="en-US"/>
        </w:rPr>
        <w:t>.社会保障和就业</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w:t>
      </w:r>
      <w:r>
        <w:rPr>
          <w:rFonts w:hint="eastAsia" w:hAnsi="仿宋" w:cs="仿宋"/>
          <w:color w:val="auto"/>
          <w:sz w:val="32"/>
          <w:szCs w:val="32"/>
          <w:lang w:val="en-US" w:eastAsia="zh-CN"/>
        </w:rPr>
        <w:t>行政事业单位养老支出</w:t>
      </w:r>
      <w:r>
        <w:rPr>
          <w:rFonts w:hint="eastAsia" w:ascii="仿宋" w:hAnsi="仿宋" w:eastAsia="仿宋" w:cs="仿宋"/>
          <w:color w:val="auto"/>
          <w:sz w:val="32"/>
          <w:szCs w:val="32"/>
          <w:lang w:val="en-US"/>
        </w:rPr>
        <w:t>（款）机关事业单位职业年金缴费支出（项）：指部门实施养老保险制度由单位缴纳的职业年金的支出。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1</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lang w:val="en-US"/>
        </w:rPr>
        <w:t>.社会保障和就业</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（类）行政事业单位养老支出（款）其他行政事业单位养老支出（项）：</w:t>
      </w:r>
      <w:r>
        <w:rPr>
          <w:rFonts w:hint="eastAsia" w:ascii="仿宋_GB2312" w:eastAsia="仿宋_GB2312"/>
          <w:sz w:val="32"/>
          <w:szCs w:val="32"/>
        </w:rPr>
        <w:t>指反映除上述项目以外其他用于行政事业单位养老方面的支出。</w:t>
      </w:r>
    </w:p>
    <w:p>
      <w:pPr>
        <w:pStyle w:val="2"/>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仿宋" w:hAnsi="仿宋" w:eastAsia="仿宋" w:cs="仿宋"/>
          <w:color w:val="auto"/>
          <w:sz w:val="32"/>
          <w:szCs w:val="32"/>
          <w:lang w:val="en-US"/>
        </w:rPr>
      </w:pPr>
      <w:r>
        <w:rPr>
          <w:rFonts w:hint="eastAsia" w:ascii="仿宋" w:hAnsi="仿宋" w:eastAsia="仿宋"/>
          <w:sz w:val="32"/>
          <w:szCs w:val="32"/>
          <w:highlight w:val="none"/>
          <w:lang w:val="en-US" w:eastAsia="zh-CN"/>
        </w:rPr>
        <w:t>17.卫生健康支出（类）行政事业单位医疗（款）其他行政事业单位医疗支出（项）</w:t>
      </w:r>
      <w:r>
        <w:rPr>
          <w:rFonts w:hint="eastAsia" w:ascii="仿宋_GB2312" w:eastAsia="仿宋_GB2312"/>
          <w:sz w:val="32"/>
          <w:szCs w:val="32"/>
        </w:rPr>
        <w:t>：指反映除上述项目以外的其他用于行政事业单位医疗方面的支出</w:t>
      </w:r>
      <w:r>
        <w:rPr>
          <w:rFonts w:hint="eastAsia" w:ascii="仿宋_GB2312" w:eastAsia="仿宋_GB2312"/>
          <w:sz w:val="32"/>
          <w:szCs w:val="32"/>
          <w:lang w:val="en-US" w:eastAsia="zh-CN"/>
        </w:rPr>
        <w:t>.</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1</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lang w:val="en-US"/>
        </w:rPr>
        <w:t>.卫生健康</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（类）行政事业单位医疗（款）事业单位医疗（项）：指事业单位用于缴纳单位基本医疗保险支出。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lang w:val="en-US"/>
        </w:rPr>
        <w:t>.住房保障</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lang w:val="en-US"/>
        </w:rPr>
        <w:t>（类）住房改革支出（款）住房公积金（项）：指由单位及其在职职工按规定缴存的住房公积金支出。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lang w:val="en-US"/>
        </w:rPr>
        <w:t>.基本支出：指为保证机构正常运转，完成日常工作任务而发生的人员支出和公用支出。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lang w:val="en-US"/>
        </w:rPr>
        <w:t>.项目支出：指在基本支出之外为完成特定行政任务和事业发展目标所发生的支出。</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23</w:t>
      </w:r>
      <w:r>
        <w:rPr>
          <w:rFonts w:hint="eastAsia" w:ascii="仿宋" w:hAnsi="仿宋" w:eastAsia="仿宋" w:cs="仿宋"/>
          <w:color w:val="auto"/>
          <w:sz w:val="32"/>
          <w:szCs w:val="32"/>
          <w:highlight w:val="none"/>
        </w:rPr>
        <w:t>.经营支出：指事业单位在专业业务活动及其辅助活动之外开展非独立核算经营活动发生的支出。</w:t>
      </w:r>
    </w:p>
    <w:p>
      <w:pPr>
        <w:pStyle w:val="28"/>
        <w:spacing w:line="560" w:lineRule="exact"/>
        <w:ind w:firstLine="640" w:firstLineChars="200"/>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eastAsia="zh-CN"/>
        </w:rPr>
        <w:t>24</w:t>
      </w:r>
      <w:r>
        <w:rPr>
          <w:rFonts w:hint="eastAsia" w:ascii="仿宋" w:hAnsi="仿宋" w:eastAsia="仿宋" w:cs="仿宋"/>
          <w:color w:val="auto"/>
          <w:sz w:val="32"/>
          <w:szCs w:val="32"/>
          <w:lang w:val="en-US"/>
        </w:rPr>
        <w:t>.“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8"/>
        <w:spacing w:line="560" w:lineRule="exact"/>
        <w:ind w:firstLine="640" w:firstLineChars="200"/>
        <w:rPr>
          <w:rFonts w:hint="eastAsia" w:ascii="仿宋_GB2312" w:eastAsia="仿宋_GB2312"/>
          <w:color w:val="auto"/>
          <w:sz w:val="32"/>
          <w:szCs w:val="32"/>
          <w:lang w:val="en-US"/>
        </w:rPr>
      </w:pPr>
      <w:r>
        <w:rPr>
          <w:rFonts w:hint="eastAsia" w:ascii="仿宋" w:hAnsi="仿宋" w:eastAsia="仿宋" w:cs="仿宋"/>
          <w:color w:val="auto"/>
          <w:sz w:val="32"/>
          <w:szCs w:val="32"/>
          <w:highlight w:val="none"/>
          <w:lang w:val="en-US" w:eastAsia="zh-CN"/>
        </w:rPr>
        <w:t>25</w:t>
      </w:r>
      <w:r>
        <w:rPr>
          <w:rFonts w:hint="eastAsia" w:ascii="仿宋" w:hAnsi="仿宋" w:eastAsia="仿宋" w:cs="仿宋"/>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38"/>
          <w:rFonts w:ascii="黑体" w:hAnsi="黑体" w:eastAsia="黑体"/>
          <w:b w:val="0"/>
        </w:rPr>
      </w:pPr>
      <w:r>
        <w:rPr>
          <w:rFonts w:ascii="宋体"/>
          <w:b/>
          <w:sz w:val="44"/>
          <w:szCs w:val="44"/>
        </w:rPr>
        <w:br w:type="page"/>
      </w:r>
      <w:bookmarkStart w:id="101" w:name="_Toc16549"/>
      <w:bookmarkStart w:id="102" w:name="_Toc15396614"/>
      <w:r>
        <w:rPr>
          <w:rFonts w:hint="eastAsia" w:ascii="黑体" w:hAnsi="黑体" w:eastAsia="黑体"/>
          <w:sz w:val="44"/>
          <w:szCs w:val="44"/>
        </w:rPr>
        <w:t>第</w:t>
      </w:r>
      <w:r>
        <w:rPr>
          <w:rStyle w:val="38"/>
          <w:rFonts w:hint="eastAsia" w:ascii="黑体" w:hAnsi="黑体" w:eastAsia="黑体"/>
          <w:b w:val="0"/>
        </w:rPr>
        <w:t>四部分 附件</w:t>
      </w:r>
      <w:bookmarkEnd w:id="101"/>
      <w:bookmarkEnd w:id="102"/>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0"/>
        <w:gridCol w:w="1490"/>
        <w:gridCol w:w="2056"/>
        <w:gridCol w:w="1230"/>
        <w:gridCol w:w="1230"/>
        <w:gridCol w:w="499"/>
        <w:gridCol w:w="499"/>
        <w:gridCol w:w="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bookmarkStart w:id="103" w:name="_Toc15396618"/>
            <w:r>
              <w:rPr>
                <w:rFonts w:hint="eastAsia" w:ascii="宋体" w:hAnsi="宋体" w:eastAsia="宋体" w:cs="宋体"/>
                <w:i w:val="0"/>
                <w:iCs w:val="0"/>
                <w:color w:val="000000"/>
                <w:kern w:val="0"/>
                <w:sz w:val="20"/>
                <w:szCs w:val="20"/>
                <w:u w:val="none"/>
                <w:lang w:val="en-US" w:eastAsia="zh-CN"/>
              </w:rPr>
              <w:t>项目名称：</w:t>
            </w:r>
          </w:p>
        </w:tc>
        <w:tc>
          <w:tcPr>
            <w:tcW w:w="3546"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运动员训练经费</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58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3546"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58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650"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35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6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20.87987</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20.87987</w:t>
            </w:r>
          </w:p>
        </w:tc>
        <w:tc>
          <w:tcPr>
            <w:tcW w:w="135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6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20.87987</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20.87987</w:t>
            </w:r>
          </w:p>
        </w:tc>
        <w:tc>
          <w:tcPr>
            <w:tcW w:w="135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6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35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47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586"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16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4776"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2023年计划使用运动员训练经费20.87987万元用于运动员伙食,等相关支出。</w:t>
            </w:r>
          </w:p>
        </w:tc>
        <w:tc>
          <w:tcPr>
            <w:tcW w:w="258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2023年实际使用运动员训练经费20.87987万元用于运动员伙食,等相关支出。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499"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66"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35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70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499"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运动员训练经费伙食支出月数</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≥12月</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≥12月</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质量指标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运动员训练经费伙食保障率</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时效指标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运动员训练经费伙食及时率</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成本指标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运动员训练经费伙食预算成本</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≤20.87987万元</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≤20.87987万元</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社会效益指标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水校日常训练保障率</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可持续发展指标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保障水校后续日常训练的开展</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优</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14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服务对象满意度指标</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运动员满意度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6"/>
        <w:gridCol w:w="1151"/>
        <w:gridCol w:w="2887"/>
        <w:gridCol w:w="1031"/>
        <w:gridCol w:w="1031"/>
        <w:gridCol w:w="483"/>
        <w:gridCol w:w="483"/>
        <w:gridCol w:w="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403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备战四川省赛艇皮划艇比赛经费</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3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403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3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57"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206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31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5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4.475</w:t>
            </w:r>
          </w:p>
        </w:tc>
        <w:tc>
          <w:tcPr>
            <w:tcW w:w="206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4.475</w:t>
            </w:r>
          </w:p>
        </w:tc>
        <w:tc>
          <w:tcPr>
            <w:tcW w:w="131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5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4.475</w:t>
            </w:r>
          </w:p>
        </w:tc>
        <w:tc>
          <w:tcPr>
            <w:tcW w:w="206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4.475</w:t>
            </w:r>
          </w:p>
        </w:tc>
        <w:tc>
          <w:tcPr>
            <w:tcW w:w="131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5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28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206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31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50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34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106"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5069"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2023年计划使用备战四川省赛艇皮划艇比赛经费4.4750万元用于运动员比赛等相关支出。</w:t>
            </w:r>
          </w:p>
        </w:tc>
        <w:tc>
          <w:tcPr>
            <w:tcW w:w="23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2023年实际使用备战四川省赛艇皮划艇比赛经费4.4750万元用于运动员比赛等相关支出。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483"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06"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3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4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483"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参加比赛次数</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≥2次</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≥12次</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参加比赛契合度</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参加比赛及时率</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社会效益指标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参加比赛的保障率</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可持续影响指标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备战四川省赛艇皮划艇比赛经费的健全机制性</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优</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运动员满意度</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成本指标</w:t>
            </w:r>
          </w:p>
        </w:tc>
        <w:tc>
          <w:tcPr>
            <w:tcW w:w="1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社会成本指标</w:t>
            </w:r>
          </w:p>
        </w:tc>
        <w:tc>
          <w:tcPr>
            <w:tcW w:w="28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备战四川省赛艇皮划艇比赛经费预算成本</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≤4.4750万元</w:t>
            </w:r>
          </w:p>
        </w:tc>
        <w:tc>
          <w:tcPr>
            <w:tcW w:w="10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≤4.4750万元</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rPr>
          <w:rFonts w:hint="eastAsia" w:ascii="仿宋_GB2312" w:hAnsi="Calibri" w:eastAsia="仿宋_GB2312" w:cs="仿宋"/>
          <w:color w:val="auto"/>
          <w:kern w:val="0"/>
          <w:sz w:val="32"/>
          <w:szCs w:val="32"/>
          <w:highlight w:val="none"/>
          <w:lang w:val="en-US" w:eastAsia="zh-CN" w:bidi="ar-SA"/>
        </w:rPr>
      </w:pPr>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8"/>
        <w:gridCol w:w="1568"/>
        <w:gridCol w:w="2319"/>
        <w:gridCol w:w="1051"/>
        <w:gridCol w:w="967"/>
        <w:gridCol w:w="516"/>
        <w:gridCol w:w="516"/>
        <w:gridCol w:w="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388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购买十四运会专项器材</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36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388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36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6"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20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3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30</w:t>
            </w:r>
          </w:p>
        </w:tc>
        <w:tc>
          <w:tcPr>
            <w:tcW w:w="20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30</w:t>
            </w:r>
          </w:p>
        </w:tc>
        <w:tc>
          <w:tcPr>
            <w:tcW w:w="13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30</w:t>
            </w:r>
          </w:p>
        </w:tc>
        <w:tc>
          <w:tcPr>
            <w:tcW w:w="20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30</w:t>
            </w:r>
          </w:p>
        </w:tc>
        <w:tc>
          <w:tcPr>
            <w:tcW w:w="13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23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20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39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493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366"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4938"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2023年计划使用财政资金30万元，用于水上运动学校购买训练器材款.</w:t>
            </w:r>
          </w:p>
        </w:tc>
        <w:tc>
          <w:tcPr>
            <w:tcW w:w="2366"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2023年实际使用财政资金30万元，用于水上运动学校购买训练器材款.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516"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2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3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0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16"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购买十四运会专项器材数量</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≥4台</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≥4台</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质量指标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购买十四运会专项器材合格率</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时效指标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购买十四运会专项器材及时率</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成本指标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购买十四运会专项器材预算成本</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≤30万元</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≤30万元</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社会效益指标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水校日常训练保障率</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可持续发展指标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保障水校后续日常训练的开展</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优</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服务对象满意度指标</w:t>
            </w:r>
          </w:p>
        </w:tc>
        <w:tc>
          <w:tcPr>
            <w:tcW w:w="2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运动员满意度</w:t>
            </w:r>
          </w:p>
        </w:tc>
        <w:tc>
          <w:tcPr>
            <w:tcW w:w="10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9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1"/>
        <w:gridCol w:w="1250"/>
        <w:gridCol w:w="2137"/>
        <w:gridCol w:w="1274"/>
        <w:gridCol w:w="1274"/>
        <w:gridCol w:w="511"/>
        <w:gridCol w:w="511"/>
        <w:gridCol w:w="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338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水校临聘人员支出</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66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338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66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1"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25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38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3.201334</w:t>
            </w:r>
          </w:p>
        </w:tc>
        <w:tc>
          <w:tcPr>
            <w:tcW w:w="25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3.201334</w:t>
            </w:r>
          </w:p>
        </w:tc>
        <w:tc>
          <w:tcPr>
            <w:tcW w:w="138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3.201334</w:t>
            </w:r>
          </w:p>
        </w:tc>
        <w:tc>
          <w:tcPr>
            <w:tcW w:w="25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3.201334</w:t>
            </w:r>
          </w:p>
        </w:tc>
        <w:tc>
          <w:tcPr>
            <w:tcW w:w="138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213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254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38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46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660"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01"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4661"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2023年计划使用水校临聘人员支出经费3.201334万元用于发放水校临聘工作人员1-3月工资保险。</w:t>
            </w:r>
          </w:p>
        </w:tc>
        <w:tc>
          <w:tcPr>
            <w:tcW w:w="266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2023年计划使用水校临聘人员支出经费3.201334万元用于发放水校临聘工作人员1-3月工资保险。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511"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36"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8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11"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发放临聘人员工资人数</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≥3人</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≥3人</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质量指标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发放临聘人员工资准确率</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产出指标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发放临聘人员工资及时率</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经济效益指标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发放临聘人员工资保障率</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效益指标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可持续影响指标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水校临聘人员支出健全机制性</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优</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临聘人员满意度</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≥95%</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≥95%</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成本指标</w:t>
            </w:r>
          </w:p>
        </w:tc>
        <w:tc>
          <w:tcPr>
            <w:tcW w:w="1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经济成本指标</w:t>
            </w:r>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水校临聘人员支出预算成本</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≤3.201334万元</w:t>
            </w:r>
          </w:p>
        </w:tc>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≤3.201334万元</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p>
      <w:pPr>
        <w:pStyle w:val="10"/>
        <w:rPr>
          <w:rFonts w:hint="eastAsia" w:ascii="仿宋_GB2312" w:hAnsi="Calibri" w:eastAsia="仿宋_GB2312" w:cs="仿宋"/>
          <w:color w:val="auto"/>
          <w:kern w:val="0"/>
          <w:sz w:val="32"/>
          <w:szCs w:val="32"/>
          <w:highlight w:val="none"/>
          <w:lang w:val="en-US" w:eastAsia="zh-CN" w:bidi="ar-SA"/>
        </w:rPr>
      </w:pPr>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8"/>
        <w:gridCol w:w="974"/>
        <w:gridCol w:w="3745"/>
        <w:gridCol w:w="838"/>
        <w:gridCol w:w="838"/>
        <w:gridCol w:w="432"/>
        <w:gridCol w:w="432"/>
        <w:gridCol w:w="3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471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2021年1-12月清算和2022年1-3月市级提留体彩公益金</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02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471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02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12"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18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33.71</w:t>
            </w: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33.71</w:t>
            </w:r>
          </w:p>
        </w:tc>
        <w:tc>
          <w:tcPr>
            <w:tcW w:w="118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33.71</w:t>
            </w: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33.71</w:t>
            </w:r>
          </w:p>
        </w:tc>
        <w:tc>
          <w:tcPr>
            <w:tcW w:w="118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37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1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555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02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93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5557"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2023年计划使用体育公益金33.71万元用于水校运动员训练相关经费。</w:t>
            </w:r>
          </w:p>
        </w:tc>
        <w:tc>
          <w:tcPr>
            <w:tcW w:w="202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2023年实际使用体育公益金33.71万元用于水校运动员训练相关经费。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9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432"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65</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65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432"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产出指标</w:t>
            </w:r>
          </w:p>
        </w:tc>
        <w:tc>
          <w:tcPr>
            <w:tcW w:w="974" w:type="dxa"/>
            <w:vMerge w:val="restart"/>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数量指标</w:t>
            </w: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2022年输送到省队训练运动员生活补贴人数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≥9人</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≥9人</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2023年购运动员床上用品套数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≥26套</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≥26套</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2023年新生入学运动员体检费人数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≥21人</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≥21人</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备战省十四运会训练购冲锋舟费用（余款）第二批次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≥1台</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37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2022年异地训练住宿、伙食费用人数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≥56人数</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≥56人数</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restart"/>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质量指标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2022年异地训练住宿、伙食费用的应付尽付率</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2023年购合运动员床上用品、体检的合格率</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时效指标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2022年异地训练住宿、伙食费用应付尽付的及时率</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经济成本指标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2021年1-12月清算和2022年1-3月市级提留体彩公益金的预算成本</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≤33.71万元</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≤33.71万元</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效益指标</w:t>
            </w:r>
          </w:p>
        </w:tc>
        <w:tc>
          <w:tcPr>
            <w:tcW w:w="974" w:type="dxa"/>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社会效益指标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2022年异地训练住宿、伙食费用应付尽付的保障率</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c>
          <w:tcPr>
            <w:tcW w:w="974" w:type="dxa"/>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可持续影响指标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2021年1-12月清算和2022年1-3月市级提留体彩公益金的</w:t>
            </w:r>
            <w:bookmarkStart w:id="131" w:name="_GoBack"/>
            <w:bookmarkEnd w:id="131"/>
            <w:r>
              <w:rPr>
                <w:rFonts w:hint="eastAsia" w:ascii="等线" w:hAnsi="等线" w:eastAsia="等线" w:cs="等线"/>
                <w:i w:val="0"/>
                <w:iCs w:val="0"/>
                <w:color w:val="000000"/>
                <w:kern w:val="0"/>
                <w:sz w:val="18"/>
                <w:szCs w:val="18"/>
                <w:u w:val="none"/>
                <w:lang w:val="en-US" w:eastAsia="zh-CN"/>
              </w:rPr>
              <w:t>健全机制性</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定性</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优</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满意度指标</w:t>
            </w:r>
          </w:p>
        </w:tc>
        <w:tc>
          <w:tcPr>
            <w:tcW w:w="974" w:type="dxa"/>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满意度指标</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运动员满意度</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≥98%</w:t>
            </w:r>
          </w:p>
        </w:tc>
        <w:tc>
          <w:tcPr>
            <w:tcW w:w="8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≥98%</w:t>
            </w:r>
          </w:p>
        </w:tc>
        <w:tc>
          <w:tcPr>
            <w:tcW w:w="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等线" w:hAnsi="等线" w:eastAsia="等线" w:cs="等线"/>
                <w:i w:val="0"/>
                <w:iCs w:val="0"/>
                <w:color w:val="000000"/>
                <w:sz w:val="18"/>
                <w:szCs w:val="18"/>
                <w:u w:val="none"/>
              </w:rPr>
            </w:pPr>
          </w:p>
        </w:tc>
        <w:tc>
          <w:tcPr>
            <w:tcW w:w="32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rPr>
          <w:rFonts w:hint="eastAsia" w:ascii="仿宋_GB2312" w:hAnsi="Calibri" w:eastAsia="仿宋_GB2312" w:cs="仿宋"/>
          <w:color w:val="auto"/>
          <w:kern w:val="0"/>
          <w:sz w:val="32"/>
          <w:szCs w:val="32"/>
          <w:highlight w:val="none"/>
          <w:lang w:val="en-US" w:eastAsia="zh-CN" w:bidi="ar-SA"/>
        </w:rPr>
      </w:pPr>
    </w:p>
    <w:tbl>
      <w:tblPr>
        <w:tblStyle w:val="2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2"/>
        <w:gridCol w:w="1251"/>
        <w:gridCol w:w="2287"/>
        <w:gridCol w:w="1197"/>
        <w:gridCol w:w="1197"/>
        <w:gridCol w:w="512"/>
        <w:gridCol w:w="512"/>
        <w:gridCol w:w="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353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省十四运会奖经费</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w:t>
            </w:r>
          </w:p>
        </w:tc>
        <w:tc>
          <w:tcPr>
            <w:tcW w:w="258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353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五通桥区文化体育和旅游局</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258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五通桥区水上运动学校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2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3"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hAnsi="宋体" w:eastAsia="宋体" w:cs="宋体"/>
                <w:i w:val="0"/>
                <w:iCs w:val="0"/>
                <w:color w:val="000000"/>
                <w:sz w:val="20"/>
                <w:szCs w:val="20"/>
                <w:u w:val="none"/>
              </w:rPr>
            </w:pP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23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3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84.8745</w:t>
            </w:r>
          </w:p>
        </w:tc>
        <w:tc>
          <w:tcPr>
            <w:tcW w:w="23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84.8745</w:t>
            </w:r>
          </w:p>
        </w:tc>
        <w:tc>
          <w:tcPr>
            <w:tcW w:w="13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其中：财政拨款</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84.8745</w:t>
            </w:r>
          </w:p>
        </w:tc>
        <w:tc>
          <w:tcPr>
            <w:tcW w:w="23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84.8745</w:t>
            </w:r>
          </w:p>
        </w:tc>
        <w:tc>
          <w:tcPr>
            <w:tcW w:w="13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其他资金</w:t>
            </w:r>
          </w:p>
        </w:tc>
        <w:tc>
          <w:tcPr>
            <w:tcW w:w="2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239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1388"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473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258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02"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0"/>
                <w:szCs w:val="20"/>
                <w:u w:val="none"/>
              </w:rPr>
            </w:pPr>
          </w:p>
        </w:tc>
        <w:tc>
          <w:tcPr>
            <w:tcW w:w="4735" w:type="dxa"/>
            <w:gridSpan w:val="3"/>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2023年计划使用省十四运会奖经费84.8745万元用于水校运动员工作人员比赛奖金的相关经费。</w:t>
            </w:r>
          </w:p>
        </w:tc>
        <w:tc>
          <w:tcPr>
            <w:tcW w:w="258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2023年计划使用省十四运会奖经费84.8745万元用于水校运动员工作人员比赛奖金的相关经费。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1" w:hRule="atLeast"/>
        </w:trPr>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12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年度指标值</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实际完成值</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（百分制）</w:t>
            </w:r>
          </w:p>
        </w:tc>
        <w:tc>
          <w:tcPr>
            <w:tcW w:w="512"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c>
          <w:tcPr>
            <w:tcW w:w="3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34"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    分</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74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预算执行率（10分）</w:t>
            </w:r>
          </w:p>
        </w:tc>
        <w:tc>
          <w:tcPr>
            <w:tcW w:w="11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11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100%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12"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产出指标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数量指标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发放省十四运会奖经费次数</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≥1批次</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≥1批次</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20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产出指标</w:t>
            </w:r>
          </w:p>
        </w:tc>
        <w:tc>
          <w:tcPr>
            <w:tcW w:w="1251" w:type="dxa"/>
            <w:tcBorders>
              <w:top w:val="nil"/>
              <w:left w:val="nil"/>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质量指标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发放省十四运会奖经费的准确率</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产出指标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时效指标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发放省十四运会奖经费的及时率</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15</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效益指标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社会效益指标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发放省十四运会奖经费的保障率</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效益指标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可持续影响指标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省十四运会奖经费健全机制性</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定性</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满意度指标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满意度指标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省十四运会奖获奖人员的满意度</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≥98%</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rPr>
              <w:t>成本指标</w:t>
            </w:r>
          </w:p>
        </w:tc>
        <w:tc>
          <w:tcPr>
            <w:tcW w:w="1251" w:type="dxa"/>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社会成本指标</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省十四运会奖经费预算成本</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≤84.8745万元</w:t>
            </w:r>
          </w:p>
        </w:tc>
        <w:tc>
          <w:tcPr>
            <w:tcW w:w="11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≤84.8745万元</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rPr>
              <w:t>10</w:t>
            </w:r>
          </w:p>
        </w:tc>
        <w:tc>
          <w:tcPr>
            <w:tcW w:w="36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bl>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pStyle w:val="10"/>
        <w:spacing w:before="93"/>
        <w:rPr>
          <w:rFonts w:hAnsi="Calibri" w:cs="仿宋"/>
          <w:sz w:val="32"/>
          <w:szCs w:val="32"/>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p>
    <w:p>
      <w:pPr>
        <w:spacing w:line="600" w:lineRule="exact"/>
        <w:jc w:val="center"/>
        <w:outlineLvl w:val="0"/>
        <w:rPr>
          <w:rFonts w:ascii="仿宋" w:hAnsi="仿宋" w:eastAsia="仿宋"/>
        </w:rPr>
      </w:pPr>
      <w:bookmarkStart w:id="104" w:name="_Toc9284"/>
      <w:r>
        <w:rPr>
          <w:rFonts w:hint="eastAsia" w:ascii="黑体" w:hAnsi="黑体" w:eastAsia="黑体"/>
          <w:sz w:val="44"/>
          <w:szCs w:val="44"/>
        </w:rPr>
        <w:t>第</w:t>
      </w:r>
      <w:r>
        <w:rPr>
          <w:rStyle w:val="38"/>
          <w:rFonts w:hint="eastAsia" w:ascii="黑体" w:hAnsi="黑体" w:eastAsia="黑体"/>
          <w:b w:val="0"/>
        </w:rPr>
        <w:t>五部分 附表</w:t>
      </w:r>
      <w:bookmarkEnd w:id="100"/>
      <w:bookmarkEnd w:id="103"/>
      <w:bookmarkEnd w:id="104"/>
      <w:bookmarkStart w:id="105" w:name="_Toc15396619"/>
    </w:p>
    <w:p>
      <w:pPr>
        <w:pStyle w:val="6"/>
        <w:rPr>
          <w:rFonts w:ascii="仿宋" w:hAnsi="仿宋" w:eastAsia="仿宋"/>
        </w:rPr>
      </w:pPr>
      <w:bookmarkStart w:id="106" w:name="_Toc32279"/>
      <w:r>
        <w:rPr>
          <w:rFonts w:hint="eastAsia" w:ascii="仿宋" w:hAnsi="仿宋" w:eastAsia="仿宋"/>
          <w:b w:val="0"/>
        </w:rPr>
        <w:t>一、收</w:t>
      </w:r>
      <w:r>
        <w:rPr>
          <w:rStyle w:val="39"/>
          <w:rFonts w:hint="eastAsia" w:ascii="仿宋" w:hAnsi="仿宋" w:eastAsia="仿宋"/>
          <w:b w:val="0"/>
          <w:bCs w:val="0"/>
        </w:rPr>
        <w:t>入支出决算总表</w:t>
      </w:r>
      <w:bookmarkEnd w:id="105"/>
      <w:bookmarkEnd w:id="106"/>
    </w:p>
    <w:p>
      <w:pPr>
        <w:pStyle w:val="6"/>
        <w:rPr>
          <w:rFonts w:ascii="仿宋" w:hAnsi="仿宋" w:eastAsia="仿宋"/>
        </w:rPr>
      </w:pPr>
      <w:bookmarkStart w:id="107" w:name="_Toc4857"/>
      <w:bookmarkStart w:id="108" w:name="_Toc15396620"/>
      <w:r>
        <w:rPr>
          <w:rFonts w:hint="eastAsia" w:ascii="仿宋" w:hAnsi="仿宋" w:eastAsia="仿宋"/>
          <w:b w:val="0"/>
        </w:rPr>
        <w:t>二、收</w:t>
      </w:r>
      <w:r>
        <w:rPr>
          <w:rStyle w:val="39"/>
          <w:rFonts w:hint="eastAsia" w:ascii="仿宋" w:hAnsi="仿宋" w:eastAsia="仿宋"/>
          <w:b w:val="0"/>
          <w:bCs w:val="0"/>
        </w:rPr>
        <w:t>入决算表</w:t>
      </w:r>
      <w:bookmarkEnd w:id="107"/>
      <w:bookmarkEnd w:id="108"/>
    </w:p>
    <w:p>
      <w:pPr>
        <w:pStyle w:val="6"/>
        <w:rPr>
          <w:rFonts w:ascii="仿宋" w:hAnsi="仿宋" w:eastAsia="仿宋"/>
        </w:rPr>
      </w:pPr>
      <w:bookmarkStart w:id="109" w:name="_Toc15396621"/>
      <w:bookmarkStart w:id="110" w:name="_Toc7151"/>
      <w:r>
        <w:rPr>
          <w:rStyle w:val="39"/>
          <w:rFonts w:hint="eastAsia" w:ascii="仿宋" w:hAnsi="仿宋" w:eastAsia="仿宋"/>
          <w:b w:val="0"/>
          <w:bCs w:val="0"/>
        </w:rPr>
        <w:t>三、</w:t>
      </w:r>
      <w:r>
        <w:rPr>
          <w:rFonts w:hint="eastAsia" w:ascii="仿宋" w:hAnsi="仿宋" w:eastAsia="仿宋"/>
          <w:b w:val="0"/>
        </w:rPr>
        <w:t>支</w:t>
      </w:r>
      <w:r>
        <w:rPr>
          <w:rStyle w:val="39"/>
          <w:rFonts w:hint="eastAsia" w:ascii="仿宋" w:hAnsi="仿宋" w:eastAsia="仿宋"/>
          <w:b w:val="0"/>
          <w:bCs w:val="0"/>
        </w:rPr>
        <w:t>出决算表</w:t>
      </w:r>
      <w:bookmarkEnd w:id="109"/>
      <w:bookmarkEnd w:id="110"/>
    </w:p>
    <w:p>
      <w:pPr>
        <w:pStyle w:val="6"/>
        <w:rPr>
          <w:rFonts w:ascii="仿宋" w:hAnsi="仿宋" w:eastAsia="仿宋"/>
          <w:b w:val="0"/>
        </w:rPr>
      </w:pPr>
      <w:bookmarkStart w:id="111" w:name="_Toc15396622"/>
      <w:bookmarkStart w:id="112" w:name="_Toc24107"/>
      <w:r>
        <w:rPr>
          <w:rStyle w:val="39"/>
          <w:rFonts w:hint="eastAsia" w:ascii="仿宋" w:hAnsi="仿宋" w:eastAsia="仿宋"/>
          <w:b w:val="0"/>
          <w:bCs w:val="0"/>
        </w:rPr>
        <w:t>四、</w:t>
      </w:r>
      <w:r>
        <w:rPr>
          <w:rFonts w:hint="eastAsia" w:ascii="仿宋" w:hAnsi="仿宋" w:eastAsia="仿宋"/>
          <w:b w:val="0"/>
        </w:rPr>
        <w:t>财</w:t>
      </w:r>
      <w:r>
        <w:rPr>
          <w:rStyle w:val="39"/>
          <w:rFonts w:hint="eastAsia" w:ascii="仿宋" w:hAnsi="仿宋" w:eastAsia="仿宋"/>
          <w:b w:val="0"/>
          <w:bCs w:val="0"/>
        </w:rPr>
        <w:t>政拨款收入支出决算总表</w:t>
      </w:r>
      <w:bookmarkEnd w:id="111"/>
      <w:bookmarkEnd w:id="112"/>
    </w:p>
    <w:p>
      <w:pPr>
        <w:pStyle w:val="6"/>
        <w:rPr>
          <w:rStyle w:val="39"/>
          <w:rFonts w:ascii="仿宋" w:hAnsi="仿宋" w:eastAsia="仿宋"/>
          <w:b w:val="0"/>
          <w:bCs w:val="0"/>
        </w:rPr>
      </w:pPr>
      <w:bookmarkStart w:id="113" w:name="_Toc15396623"/>
      <w:bookmarkStart w:id="114" w:name="_Toc9301"/>
      <w:r>
        <w:rPr>
          <w:rStyle w:val="39"/>
          <w:rFonts w:hint="eastAsia" w:ascii="仿宋" w:hAnsi="仿宋" w:eastAsia="仿宋"/>
          <w:b w:val="0"/>
          <w:bCs w:val="0"/>
        </w:rPr>
        <w:t>五、</w:t>
      </w:r>
      <w:r>
        <w:rPr>
          <w:rFonts w:hint="eastAsia" w:ascii="仿宋" w:hAnsi="仿宋" w:eastAsia="仿宋"/>
          <w:b w:val="0"/>
        </w:rPr>
        <w:t>财</w:t>
      </w:r>
      <w:r>
        <w:rPr>
          <w:rStyle w:val="39"/>
          <w:rFonts w:hint="eastAsia" w:ascii="仿宋" w:hAnsi="仿宋" w:eastAsia="仿宋"/>
          <w:b w:val="0"/>
          <w:bCs w:val="0"/>
        </w:rPr>
        <w:t>政拨款支出决算明细表</w:t>
      </w:r>
      <w:bookmarkEnd w:id="113"/>
      <w:bookmarkEnd w:id="114"/>
      <w:bookmarkStart w:id="115" w:name="_Toc15396624"/>
    </w:p>
    <w:p>
      <w:pPr>
        <w:pStyle w:val="6"/>
        <w:rPr>
          <w:rFonts w:ascii="仿宋" w:hAnsi="仿宋" w:eastAsia="仿宋"/>
        </w:rPr>
      </w:pPr>
      <w:bookmarkStart w:id="116" w:name="_Toc32428"/>
      <w:r>
        <w:rPr>
          <w:rStyle w:val="39"/>
          <w:rFonts w:hint="eastAsia" w:ascii="仿宋" w:hAnsi="仿宋" w:eastAsia="仿宋"/>
          <w:b w:val="0"/>
          <w:bCs w:val="0"/>
        </w:rPr>
        <w:t>六、</w:t>
      </w:r>
      <w:r>
        <w:rPr>
          <w:rFonts w:hint="eastAsia" w:ascii="仿宋" w:hAnsi="仿宋" w:eastAsia="仿宋"/>
          <w:b w:val="0"/>
        </w:rPr>
        <w:t>一</w:t>
      </w:r>
      <w:r>
        <w:rPr>
          <w:rStyle w:val="39"/>
          <w:rFonts w:hint="eastAsia" w:ascii="仿宋" w:hAnsi="仿宋" w:eastAsia="仿宋"/>
          <w:b w:val="0"/>
          <w:bCs w:val="0"/>
        </w:rPr>
        <w:t>般公共预算财政拨款支出决算表</w:t>
      </w:r>
      <w:bookmarkEnd w:id="115"/>
      <w:bookmarkEnd w:id="116"/>
    </w:p>
    <w:p>
      <w:pPr>
        <w:pStyle w:val="6"/>
        <w:rPr>
          <w:rFonts w:ascii="仿宋" w:hAnsi="仿宋" w:eastAsia="仿宋"/>
        </w:rPr>
      </w:pPr>
      <w:bookmarkStart w:id="117" w:name="_Toc15396625"/>
      <w:bookmarkStart w:id="118" w:name="_Toc11988"/>
      <w:r>
        <w:rPr>
          <w:rStyle w:val="39"/>
          <w:rFonts w:hint="eastAsia" w:ascii="仿宋" w:hAnsi="仿宋" w:eastAsia="仿宋"/>
          <w:b w:val="0"/>
          <w:bCs w:val="0"/>
        </w:rPr>
        <w:t>七、</w:t>
      </w:r>
      <w:r>
        <w:rPr>
          <w:rFonts w:hint="eastAsia" w:ascii="仿宋" w:hAnsi="仿宋" w:eastAsia="仿宋"/>
          <w:b w:val="0"/>
        </w:rPr>
        <w:t>一</w:t>
      </w:r>
      <w:r>
        <w:rPr>
          <w:rStyle w:val="39"/>
          <w:rFonts w:hint="eastAsia" w:ascii="仿宋" w:hAnsi="仿宋" w:eastAsia="仿宋"/>
          <w:b w:val="0"/>
          <w:bCs w:val="0"/>
        </w:rPr>
        <w:t>般公共预算财政拨款支出决算明细表</w:t>
      </w:r>
      <w:bookmarkEnd w:id="117"/>
      <w:bookmarkEnd w:id="118"/>
    </w:p>
    <w:p>
      <w:pPr>
        <w:pStyle w:val="6"/>
        <w:rPr>
          <w:rFonts w:ascii="仿宋" w:hAnsi="仿宋" w:eastAsia="仿宋"/>
        </w:rPr>
      </w:pPr>
      <w:bookmarkStart w:id="119" w:name="_Toc20415"/>
      <w:bookmarkStart w:id="120" w:name="_Toc15396626"/>
      <w:r>
        <w:rPr>
          <w:rStyle w:val="39"/>
          <w:rFonts w:hint="eastAsia" w:ascii="仿宋" w:hAnsi="仿宋" w:eastAsia="仿宋"/>
          <w:b w:val="0"/>
          <w:bCs w:val="0"/>
        </w:rPr>
        <w:t>八、</w:t>
      </w:r>
      <w:r>
        <w:rPr>
          <w:rFonts w:hint="eastAsia" w:ascii="仿宋" w:hAnsi="仿宋" w:eastAsia="仿宋"/>
          <w:b w:val="0"/>
        </w:rPr>
        <w:t>一</w:t>
      </w:r>
      <w:r>
        <w:rPr>
          <w:rStyle w:val="39"/>
          <w:rFonts w:hint="eastAsia" w:ascii="仿宋" w:hAnsi="仿宋" w:eastAsia="仿宋"/>
          <w:b w:val="0"/>
          <w:bCs w:val="0"/>
        </w:rPr>
        <w:t>般公共预算财政拨款基本支出决算表</w:t>
      </w:r>
      <w:bookmarkEnd w:id="119"/>
      <w:bookmarkEnd w:id="120"/>
    </w:p>
    <w:p>
      <w:pPr>
        <w:pStyle w:val="6"/>
        <w:rPr>
          <w:rFonts w:ascii="仿宋" w:hAnsi="仿宋" w:eastAsia="仿宋"/>
        </w:rPr>
      </w:pPr>
      <w:bookmarkStart w:id="121" w:name="_Toc19461"/>
      <w:bookmarkStart w:id="122" w:name="_Toc15396627"/>
      <w:r>
        <w:rPr>
          <w:rStyle w:val="39"/>
          <w:rFonts w:hint="eastAsia" w:ascii="仿宋" w:hAnsi="仿宋" w:eastAsia="仿宋"/>
          <w:b w:val="0"/>
          <w:bCs w:val="0"/>
        </w:rPr>
        <w:t>九、</w:t>
      </w:r>
      <w:r>
        <w:rPr>
          <w:rFonts w:hint="eastAsia" w:ascii="仿宋" w:hAnsi="仿宋" w:eastAsia="仿宋"/>
          <w:b w:val="0"/>
        </w:rPr>
        <w:t>一</w:t>
      </w:r>
      <w:r>
        <w:rPr>
          <w:rStyle w:val="39"/>
          <w:rFonts w:hint="eastAsia" w:ascii="仿宋" w:hAnsi="仿宋" w:eastAsia="仿宋"/>
          <w:b w:val="0"/>
          <w:bCs w:val="0"/>
        </w:rPr>
        <w:t>般公共预算财政拨款项目支出决算表</w:t>
      </w:r>
      <w:bookmarkEnd w:id="121"/>
      <w:bookmarkEnd w:id="122"/>
    </w:p>
    <w:p>
      <w:pPr>
        <w:pStyle w:val="6"/>
        <w:rPr>
          <w:rFonts w:ascii="仿宋" w:hAnsi="仿宋" w:eastAsia="仿宋"/>
        </w:rPr>
      </w:pPr>
      <w:bookmarkStart w:id="123" w:name="_Toc15396628"/>
      <w:bookmarkStart w:id="124" w:name="_Toc8335"/>
      <w:r>
        <w:rPr>
          <w:rStyle w:val="39"/>
          <w:rFonts w:hint="eastAsia" w:ascii="仿宋" w:hAnsi="仿宋" w:eastAsia="仿宋"/>
          <w:b w:val="0"/>
          <w:bCs w:val="0"/>
        </w:rPr>
        <w:t>十、</w:t>
      </w:r>
      <w:bookmarkEnd w:id="123"/>
      <w:r>
        <w:rPr>
          <w:rFonts w:hint="eastAsia" w:ascii="仿宋" w:hAnsi="仿宋" w:eastAsia="仿宋"/>
          <w:b w:val="0"/>
        </w:rPr>
        <w:t>政</w:t>
      </w:r>
      <w:r>
        <w:rPr>
          <w:rStyle w:val="39"/>
          <w:rFonts w:hint="eastAsia" w:ascii="仿宋" w:hAnsi="仿宋" w:eastAsia="仿宋"/>
          <w:b w:val="0"/>
          <w:bCs w:val="0"/>
        </w:rPr>
        <w:t>府性基金预算财政拨款收入支出决算表</w:t>
      </w:r>
      <w:bookmarkEnd w:id="124"/>
    </w:p>
    <w:p>
      <w:pPr>
        <w:pStyle w:val="6"/>
        <w:rPr>
          <w:rFonts w:ascii="仿宋" w:hAnsi="仿宋" w:eastAsia="仿宋"/>
        </w:rPr>
      </w:pPr>
      <w:bookmarkStart w:id="125" w:name="_Toc15396629"/>
      <w:bookmarkStart w:id="126" w:name="_Toc21391"/>
      <w:r>
        <w:rPr>
          <w:rStyle w:val="39"/>
          <w:rFonts w:hint="eastAsia" w:ascii="仿宋" w:hAnsi="仿宋" w:eastAsia="仿宋"/>
          <w:b w:val="0"/>
          <w:bCs w:val="0"/>
        </w:rPr>
        <w:t>十一、</w:t>
      </w:r>
      <w:bookmarkEnd w:id="125"/>
      <w:r>
        <w:rPr>
          <w:rFonts w:hint="eastAsia" w:ascii="仿宋" w:hAnsi="仿宋" w:eastAsia="仿宋"/>
          <w:b w:val="0"/>
        </w:rPr>
        <w:t>国</w:t>
      </w:r>
      <w:r>
        <w:rPr>
          <w:rStyle w:val="39"/>
          <w:rFonts w:hint="eastAsia" w:ascii="仿宋" w:hAnsi="仿宋" w:eastAsia="仿宋"/>
          <w:b w:val="0"/>
          <w:bCs w:val="0"/>
        </w:rPr>
        <w:t>有资本经营预算财政拨款收入支出决算表</w:t>
      </w:r>
      <w:bookmarkEnd w:id="126"/>
    </w:p>
    <w:p>
      <w:pPr>
        <w:pStyle w:val="6"/>
        <w:rPr>
          <w:rFonts w:ascii="仿宋" w:hAnsi="仿宋" w:eastAsia="仿宋"/>
        </w:rPr>
      </w:pPr>
      <w:bookmarkStart w:id="127" w:name="_Toc15396630"/>
      <w:bookmarkStart w:id="128" w:name="_Toc17060"/>
      <w:r>
        <w:rPr>
          <w:rStyle w:val="39"/>
          <w:rFonts w:hint="eastAsia" w:ascii="仿宋" w:hAnsi="仿宋" w:eastAsia="仿宋"/>
          <w:b w:val="0"/>
          <w:bCs w:val="0"/>
        </w:rPr>
        <w:t>十二、</w:t>
      </w:r>
      <w:bookmarkEnd w:id="127"/>
      <w:r>
        <w:rPr>
          <w:rStyle w:val="39"/>
          <w:rFonts w:hint="eastAsia" w:ascii="仿宋" w:hAnsi="仿宋" w:eastAsia="仿宋"/>
          <w:b w:val="0"/>
          <w:bCs w:val="0"/>
        </w:rPr>
        <w:t>国有资本经营预算财政拨款支出决算表</w:t>
      </w:r>
      <w:bookmarkEnd w:id="128"/>
    </w:p>
    <w:p>
      <w:pPr>
        <w:pStyle w:val="6"/>
        <w:rPr>
          <w:rFonts w:eastAsia="仿宋"/>
        </w:rPr>
      </w:pPr>
      <w:bookmarkStart w:id="129" w:name="_Toc15396631"/>
      <w:bookmarkStart w:id="130" w:name="_Toc20305"/>
      <w:r>
        <w:rPr>
          <w:rStyle w:val="39"/>
          <w:rFonts w:hint="eastAsia" w:ascii="仿宋" w:hAnsi="仿宋" w:eastAsia="仿宋"/>
          <w:b w:val="0"/>
          <w:bCs w:val="0"/>
        </w:rPr>
        <w:t>十三、</w:t>
      </w:r>
      <w:bookmarkEnd w:id="129"/>
      <w:r>
        <w:rPr>
          <w:rStyle w:val="39"/>
          <w:rFonts w:hint="eastAsia" w:ascii="仿宋" w:hAnsi="仿宋" w:eastAsia="仿宋"/>
          <w:b w:val="0"/>
          <w:bCs w:val="0"/>
        </w:rPr>
        <w:t>财政拨款“三公”经费支出决算表</w:t>
      </w:r>
      <w:bookmarkEnd w:id="130"/>
    </w:p>
    <w:sectPr>
      <w:headerReference r:id="rId3" w:type="default"/>
      <w:footerReference r:id="rId4" w:type="default"/>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PAGE   \* MERGEFORMAT</w:instrText>
    </w:r>
    <w:r>
      <w:fldChar w:fldCharType="separate"/>
    </w:r>
    <w:r>
      <w:rPr>
        <w:lang w:val="zh-CN"/>
      </w:rPr>
      <w:t>15</w: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000000"/>
    <w:rsid w:val="04CD56ED"/>
    <w:rsid w:val="0BAD0669"/>
    <w:rsid w:val="190E4F55"/>
    <w:rsid w:val="295B7C79"/>
    <w:rsid w:val="32F71EC7"/>
    <w:rsid w:val="4D30047D"/>
    <w:rsid w:val="62E83F51"/>
    <w:rsid w:val="63D623DB"/>
    <w:rsid w:val="67130B29"/>
    <w:rsid w:val="67B13EAA"/>
    <w:rsid w:val="77D36B23"/>
    <w:rsid w:val="7A6A76F9"/>
    <w:rsid w:val="7D2370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9"/>
    <w:unhideWhenUsed/>
    <w:qFormat/>
    <w:uiPriority w:val="9"/>
    <w:pPr>
      <w:keepNext/>
      <w:keepLines/>
      <w:spacing w:before="260" w:after="260" w:line="416" w:lineRule="auto"/>
      <w:outlineLvl w:val="1"/>
    </w:pPr>
    <w:rPr>
      <w:rFonts w:ascii="Cambria" w:hAnsi="Cambria" w:eastAsia="宋体" w:cs="黑体"/>
      <w:b/>
      <w:bCs/>
      <w:sz w:val="32"/>
      <w:szCs w:val="32"/>
    </w:rPr>
  </w:style>
  <w:style w:type="paragraph" w:styleId="7">
    <w:name w:val="heading 3"/>
    <w:basedOn w:val="1"/>
    <w:next w:val="1"/>
    <w:link w:val="41"/>
    <w:unhideWhenUsed/>
    <w:qFormat/>
    <w:uiPriority w:val="9"/>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qFormat/>
    <w:uiPriority w:val="0"/>
    <w:pPr>
      <w:spacing w:after="120"/>
      <w:ind w:left="200" w:leftChars="200"/>
    </w:pPr>
    <w:rPr>
      <w:rFonts w:ascii="仿宋_GB2312"/>
      <w:szCs w:val="32"/>
    </w:rPr>
  </w:style>
  <w:style w:type="paragraph" w:styleId="8">
    <w:name w:val="toc 7"/>
    <w:basedOn w:val="1"/>
    <w:next w:val="1"/>
    <w:semiHidden/>
    <w:unhideWhenUsed/>
    <w:qFormat/>
    <w:uiPriority w:val="39"/>
    <w:pPr>
      <w:ind w:left="2520" w:leftChars="1200"/>
    </w:pPr>
  </w:style>
  <w:style w:type="paragraph" w:styleId="9">
    <w:name w:val="Salutation"/>
    <w:basedOn w:val="1"/>
    <w:next w:val="1"/>
    <w:qFormat/>
    <w:uiPriority w:val="0"/>
  </w:style>
  <w:style w:type="paragraph" w:styleId="10">
    <w:name w:val="Body Text"/>
    <w:basedOn w:val="1"/>
    <w:link w:val="37"/>
    <w:qFormat/>
    <w:uiPriority w:val="99"/>
    <w:pPr>
      <w:spacing w:beforeLines="30"/>
    </w:pPr>
    <w:rPr>
      <w:rFonts w:ascii="仿宋_GB2312" w:eastAsia="仿宋_GB2312"/>
      <w:kern w:val="0"/>
      <w:sz w:val="30"/>
    </w:rPr>
  </w:style>
  <w:style w:type="paragraph" w:styleId="11">
    <w:name w:val="toc 5"/>
    <w:basedOn w:val="1"/>
    <w:next w:val="1"/>
    <w:semiHidden/>
    <w:unhideWhenUsed/>
    <w:qFormat/>
    <w:uiPriority w:val="39"/>
    <w:pPr>
      <w:ind w:left="1680" w:leftChars="800"/>
    </w:pPr>
  </w:style>
  <w:style w:type="paragraph" w:styleId="12">
    <w:name w:val="toc 3"/>
    <w:basedOn w:val="1"/>
    <w:next w:val="1"/>
    <w:unhideWhenUsed/>
    <w:qFormat/>
    <w:uiPriority w:val="39"/>
    <w:pPr>
      <w:ind w:left="840" w:leftChars="400"/>
    </w:pPr>
  </w:style>
  <w:style w:type="paragraph" w:styleId="13">
    <w:name w:val="toc 8"/>
    <w:basedOn w:val="1"/>
    <w:next w:val="1"/>
    <w:semiHidden/>
    <w:unhideWhenUsed/>
    <w:qFormat/>
    <w:uiPriority w:val="39"/>
    <w:pPr>
      <w:ind w:left="2940" w:leftChars="1400"/>
    </w:pPr>
  </w:style>
  <w:style w:type="paragraph" w:styleId="14">
    <w:name w:val="Balloon Text"/>
    <w:basedOn w:val="1"/>
    <w:link w:val="40"/>
    <w:semiHidden/>
    <w:unhideWhenUsed/>
    <w:qFormat/>
    <w:uiPriority w:val="99"/>
    <w:rPr>
      <w:sz w:val="18"/>
      <w:szCs w:val="18"/>
    </w:rPr>
  </w:style>
  <w:style w:type="paragraph" w:styleId="15">
    <w:name w:val="footer"/>
    <w:basedOn w:val="1"/>
    <w:link w:val="35"/>
    <w:qFormat/>
    <w:uiPriority w:val="99"/>
    <w:pPr>
      <w:tabs>
        <w:tab w:val="center" w:pos="4153"/>
        <w:tab w:val="right" w:pos="8306"/>
      </w:tabs>
      <w:snapToGrid w:val="0"/>
      <w:jc w:val="left"/>
    </w:pPr>
    <w:rPr>
      <w:rFonts w:ascii="Calibri" w:hAnsi="Calibri"/>
      <w:kern w:val="0"/>
      <w:sz w:val="18"/>
      <w:szCs w:val="18"/>
    </w:rPr>
  </w:style>
  <w:style w:type="paragraph" w:styleId="16">
    <w:name w:val="header"/>
    <w:basedOn w:val="1"/>
    <w:link w:val="33"/>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7">
    <w:name w:val="toc 1"/>
    <w:basedOn w:val="1"/>
    <w:next w:val="1"/>
    <w:unhideWhenUsed/>
    <w:qFormat/>
    <w:uiPriority w:val="39"/>
  </w:style>
  <w:style w:type="paragraph" w:styleId="18">
    <w:name w:val="toc 4"/>
    <w:basedOn w:val="1"/>
    <w:next w:val="1"/>
    <w:semiHidden/>
    <w:unhideWhenUsed/>
    <w:qFormat/>
    <w:uiPriority w:val="39"/>
    <w:pPr>
      <w:ind w:left="1260" w:leftChars="600"/>
    </w:pPr>
  </w:style>
  <w:style w:type="paragraph" w:styleId="19">
    <w:name w:val="toc 6"/>
    <w:basedOn w:val="1"/>
    <w:next w:val="1"/>
    <w:semiHidden/>
    <w:unhideWhenUsed/>
    <w:qFormat/>
    <w:uiPriority w:val="39"/>
    <w:pPr>
      <w:ind w:left="2100" w:leftChars="1000"/>
    </w:pPr>
  </w:style>
  <w:style w:type="paragraph" w:styleId="20">
    <w:name w:val="toc 2"/>
    <w:basedOn w:val="1"/>
    <w:next w:val="1"/>
    <w:unhideWhenUsed/>
    <w:qFormat/>
    <w:uiPriority w:val="39"/>
    <w:pPr>
      <w:ind w:left="420" w:leftChars="200"/>
    </w:pPr>
  </w:style>
  <w:style w:type="paragraph" w:styleId="21">
    <w:name w:val="toc 9"/>
    <w:basedOn w:val="1"/>
    <w:next w:val="1"/>
    <w:semiHidden/>
    <w:unhideWhenUsed/>
    <w:qFormat/>
    <w:uiPriority w:val="39"/>
    <w:pPr>
      <w:ind w:left="3360" w:leftChars="1600"/>
    </w:pPr>
  </w:style>
  <w:style w:type="paragraph" w:styleId="22">
    <w:name w:val="Title"/>
    <w:basedOn w:val="1"/>
    <w:qFormat/>
    <w:uiPriority w:val="0"/>
    <w:pPr>
      <w:spacing w:before="240" w:after="60"/>
      <w:jc w:val="center"/>
      <w:outlineLvl w:val="0"/>
    </w:pPr>
    <w:rPr>
      <w:rFonts w:ascii="Arial" w:hAnsi="Arial" w:cs="Arial"/>
      <w:b/>
      <w:bCs/>
      <w:sz w:val="32"/>
      <w:szCs w:val="32"/>
    </w:rPr>
  </w:style>
  <w:style w:type="character" w:styleId="25">
    <w:name w:val="Strong"/>
    <w:basedOn w:val="24"/>
    <w:qFormat/>
    <w:uiPriority w:val="99"/>
    <w:rPr>
      <w:b/>
    </w:rPr>
  </w:style>
  <w:style w:type="character" w:styleId="26">
    <w:name w:val="Hyperlink"/>
    <w:basedOn w:val="24"/>
    <w:unhideWhenUsed/>
    <w:qFormat/>
    <w:uiPriority w:val="99"/>
    <w:rPr>
      <w:color w:val="0000FF"/>
      <w:u w:val="single"/>
    </w:rPr>
  </w:style>
  <w:style w:type="paragraph" w:customStyle="1" w:styleId="27">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customStyle="1" w:styleId="2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9">
    <w:name w:val="List Paragraph"/>
    <w:basedOn w:val="1"/>
    <w:qFormat/>
    <w:uiPriority w:val="34"/>
    <w:pPr>
      <w:ind w:firstLine="420" w:firstLineChars="200"/>
    </w:pPr>
  </w:style>
  <w:style w:type="paragraph" w:customStyle="1" w:styleId="30">
    <w:name w:val="TOC 标题1"/>
    <w:basedOn w:val="5"/>
    <w:next w:val="1"/>
    <w:unhideWhenUsed/>
    <w:qFormat/>
    <w:uiPriority w:val="39"/>
    <w:pPr>
      <w:widowControl/>
      <w:spacing w:before="480" w:after="0" w:line="276" w:lineRule="auto"/>
      <w:jc w:val="left"/>
      <w:outlineLvl w:val="9"/>
    </w:pPr>
    <w:rPr>
      <w:rFonts w:ascii="Cambria" w:hAnsi="Cambria" w:eastAsia="宋体" w:cs="黑体"/>
      <w:color w:val="365F90"/>
      <w:kern w:val="0"/>
      <w:sz w:val="28"/>
      <w:szCs w:val="28"/>
    </w:rPr>
  </w:style>
  <w:style w:type="paragraph" w:customStyle="1" w:styleId="31">
    <w:name w:val="TOC 标题2"/>
    <w:basedOn w:val="5"/>
    <w:next w:val="1"/>
    <w:unhideWhenUsed/>
    <w:qFormat/>
    <w:uiPriority w:val="39"/>
    <w:pPr>
      <w:widowControl/>
      <w:spacing w:before="480" w:after="0" w:line="276" w:lineRule="auto"/>
      <w:jc w:val="left"/>
      <w:outlineLvl w:val="9"/>
    </w:pPr>
    <w:rPr>
      <w:rFonts w:ascii="Cambria" w:hAnsi="Cambria" w:eastAsia="宋体" w:cs="黑体"/>
      <w:color w:val="365F90"/>
      <w:kern w:val="0"/>
      <w:sz w:val="28"/>
      <w:szCs w:val="28"/>
    </w:rPr>
  </w:style>
  <w:style w:type="character" w:customStyle="1" w:styleId="32">
    <w:name w:val="Header Char"/>
    <w:basedOn w:val="24"/>
    <w:semiHidden/>
    <w:qFormat/>
    <w:uiPriority w:val="99"/>
    <w:rPr>
      <w:rFonts w:ascii="Times New Roman" w:hAnsi="Times New Roman"/>
      <w:sz w:val="18"/>
      <w:szCs w:val="18"/>
    </w:rPr>
  </w:style>
  <w:style w:type="character" w:customStyle="1" w:styleId="33">
    <w:name w:val="页眉 字符"/>
    <w:link w:val="16"/>
    <w:semiHidden/>
    <w:qFormat/>
    <w:locked/>
    <w:uiPriority w:val="99"/>
    <w:rPr>
      <w:sz w:val="18"/>
    </w:rPr>
  </w:style>
  <w:style w:type="character" w:customStyle="1" w:styleId="34">
    <w:name w:val="Footer Char"/>
    <w:basedOn w:val="24"/>
    <w:semiHidden/>
    <w:qFormat/>
    <w:uiPriority w:val="99"/>
    <w:rPr>
      <w:rFonts w:ascii="Times New Roman" w:hAnsi="Times New Roman"/>
      <w:sz w:val="18"/>
      <w:szCs w:val="18"/>
    </w:rPr>
  </w:style>
  <w:style w:type="character" w:customStyle="1" w:styleId="35">
    <w:name w:val="页脚 字符"/>
    <w:link w:val="15"/>
    <w:qFormat/>
    <w:locked/>
    <w:uiPriority w:val="99"/>
    <w:rPr>
      <w:sz w:val="18"/>
    </w:rPr>
  </w:style>
  <w:style w:type="character" w:customStyle="1" w:styleId="36">
    <w:name w:val="Body Text Char"/>
    <w:basedOn w:val="24"/>
    <w:semiHidden/>
    <w:qFormat/>
    <w:uiPriority w:val="99"/>
    <w:rPr>
      <w:rFonts w:ascii="Times New Roman" w:hAnsi="Times New Roman"/>
      <w:szCs w:val="24"/>
    </w:rPr>
  </w:style>
  <w:style w:type="character" w:customStyle="1" w:styleId="37">
    <w:name w:val="正文文本 字符"/>
    <w:link w:val="10"/>
    <w:qFormat/>
    <w:locked/>
    <w:uiPriority w:val="99"/>
    <w:rPr>
      <w:rFonts w:ascii="仿宋_GB2312" w:hAnsi="Times New Roman" w:eastAsia="仿宋_GB2312"/>
      <w:sz w:val="24"/>
    </w:rPr>
  </w:style>
  <w:style w:type="character" w:customStyle="1" w:styleId="38">
    <w:name w:val="标题 1 字符"/>
    <w:basedOn w:val="24"/>
    <w:link w:val="5"/>
    <w:qFormat/>
    <w:uiPriority w:val="9"/>
    <w:rPr>
      <w:rFonts w:ascii="Times New Roman" w:hAnsi="Times New Roman"/>
      <w:b/>
      <w:bCs/>
      <w:kern w:val="44"/>
      <w:sz w:val="44"/>
      <w:szCs w:val="44"/>
    </w:rPr>
  </w:style>
  <w:style w:type="character" w:customStyle="1" w:styleId="39">
    <w:name w:val="标题 2 字符"/>
    <w:basedOn w:val="24"/>
    <w:link w:val="6"/>
    <w:qFormat/>
    <w:uiPriority w:val="9"/>
    <w:rPr>
      <w:rFonts w:ascii="Cambria" w:hAnsi="Cambria" w:eastAsia="宋体" w:cs="黑体"/>
      <w:b/>
      <w:bCs/>
      <w:kern w:val="2"/>
      <w:sz w:val="32"/>
      <w:szCs w:val="32"/>
    </w:rPr>
  </w:style>
  <w:style w:type="character" w:customStyle="1" w:styleId="40">
    <w:name w:val="批注框文本 字符"/>
    <w:basedOn w:val="24"/>
    <w:link w:val="14"/>
    <w:semiHidden/>
    <w:qFormat/>
    <w:uiPriority w:val="99"/>
    <w:rPr>
      <w:rFonts w:ascii="Times New Roman" w:hAnsi="Times New Roman"/>
      <w:kern w:val="2"/>
      <w:sz w:val="18"/>
      <w:szCs w:val="18"/>
    </w:rPr>
  </w:style>
  <w:style w:type="character" w:customStyle="1" w:styleId="41">
    <w:name w:val="标题 3 字符"/>
    <w:basedOn w:val="24"/>
    <w:link w:val="7"/>
    <w:qFormat/>
    <w:uiPriority w:val="9"/>
    <w:rPr>
      <w:rFonts w:ascii="Times New Roman" w:hAnsi="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25</Pages>
  <Words>7483</Words>
  <Characters>8502</Characters>
  <Lines>54</Lines>
  <Paragraphs>15</Paragraphs>
  <TotalTime>2</TotalTime>
  <ScaleCrop>false</ScaleCrop>
  <LinksUpToDate>false</LinksUpToDate>
  <CharactersWithSpaces>8593</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五通桥区文体旅游局</cp:lastModifiedBy>
  <cp:lastPrinted>2023-08-03T02:35:00Z</cp:lastPrinted>
  <dcterms:modified xsi:type="dcterms:W3CDTF">2024-10-25T02:43:54Z</dcterms:modified>
  <dc:title>四川省***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4B21F11F5BE54FCE9B3A4D1F69A13302_13</vt:lpwstr>
  </property>
</Properties>
</file>