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9"/>
        <w:rPr>
          <w:rFonts w:ascii="方正小标宋简体" w:hAnsi="宋体" w:eastAsia="方正小标宋简体"/>
          <w:sz w:val="72"/>
          <w:szCs w:val="72"/>
        </w:rPr>
      </w:pPr>
      <w:bookmarkStart w:id="0" w:name="_Toc15306267"/>
      <w:bookmarkStart w:id="1" w:name="OLE_LINK16"/>
      <w:bookmarkStart w:id="2" w:name="OLE_LINK17"/>
    </w:p>
    <w:p>
      <w:pPr>
        <w:adjustRightInd w:val="0"/>
        <w:snapToGrid w:val="0"/>
        <w:spacing w:line="360" w:lineRule="auto"/>
        <w:jc w:val="center"/>
        <w:outlineLvl w:val="9"/>
        <w:rPr>
          <w:rFonts w:hint="eastAsia" w:ascii="方正小标宋简体" w:hAnsi="方正小标宋简体" w:eastAsia="方正小标宋简体" w:cs="方正小标宋简体"/>
          <w:sz w:val="72"/>
          <w:szCs w:val="72"/>
        </w:rPr>
      </w:pPr>
      <w:bookmarkStart w:id="3" w:name="_Toc15377425"/>
      <w:bookmarkStart w:id="4" w:name="_Toc15378441"/>
      <w:bookmarkStart w:id="5" w:name="_Toc15396475"/>
      <w:bookmarkStart w:id="6" w:name="_Toc15396597"/>
      <w:bookmarkStart w:id="7" w:name="_Toc15377193"/>
      <w:bookmarkStart w:id="8" w:name="_Toc30998"/>
      <w:bookmarkStart w:id="9" w:name="_Toc29363"/>
    </w:p>
    <w:p>
      <w:pPr>
        <w:adjustRightInd w:val="0"/>
        <w:snapToGrid w:val="0"/>
        <w:spacing w:line="360" w:lineRule="auto"/>
        <w:jc w:val="center"/>
        <w:outlineLvl w:val="9"/>
        <w:rPr>
          <w:rFonts w:hint="eastAsia" w:ascii="方正小标宋简体" w:hAnsi="方正小标宋简体" w:eastAsia="方正小标宋简体" w:cs="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0" w:name="_Toc6709"/>
      <w:r>
        <w:rPr>
          <w:rFonts w:hint="eastAsia" w:ascii="方正小标宋简体" w:hAnsi="方正小标宋简体" w:eastAsia="方正小标宋简体" w:cs="方正小标宋简体"/>
          <w:sz w:val="72"/>
          <w:szCs w:val="72"/>
        </w:rPr>
        <w:t>2023年度</w:t>
      </w:r>
      <w:bookmarkEnd w:id="3"/>
      <w:bookmarkEnd w:id="4"/>
      <w:bookmarkEnd w:id="5"/>
      <w:bookmarkEnd w:id="6"/>
      <w:bookmarkEnd w:id="7"/>
      <w:bookmarkEnd w:id="8"/>
      <w:bookmarkEnd w:id="9"/>
      <w:bookmarkEnd w:id="10"/>
    </w:p>
    <w:p>
      <w:pPr>
        <w:adjustRightInd w:val="0"/>
        <w:snapToGrid w:val="0"/>
        <w:spacing w:line="360" w:lineRule="auto"/>
        <w:jc w:val="center"/>
        <w:outlineLvl w:val="0"/>
        <w:rPr>
          <w:rFonts w:ascii="方正小标宋简体" w:hAnsi="宋体" w:eastAsia="方正小标宋简体"/>
          <w:sz w:val="36"/>
          <w:szCs w:val="36"/>
        </w:rPr>
      </w:pPr>
      <w:bookmarkStart w:id="11" w:name="_Toc15378442"/>
      <w:bookmarkStart w:id="12" w:name="_Toc15377426"/>
      <w:bookmarkStart w:id="13" w:name="_Toc15396476"/>
      <w:bookmarkStart w:id="14" w:name="_Toc15396598"/>
      <w:bookmarkStart w:id="15" w:name="_Toc13551"/>
      <w:bookmarkStart w:id="16" w:name="_Toc15377194"/>
      <w:bookmarkStart w:id="17" w:name="_Toc2417"/>
      <w:bookmarkStart w:id="18" w:name="_Toc25462"/>
      <w:r>
        <w:rPr>
          <w:rFonts w:hint="eastAsia" w:ascii="方正小标宋简体" w:hAnsi="方正小标宋简体" w:eastAsia="方正小标宋简体" w:cs="方正小标宋简体"/>
          <w:sz w:val="72"/>
          <w:szCs w:val="72"/>
        </w:rPr>
        <w:t>四川省</w:t>
      </w:r>
      <w:bookmarkEnd w:id="0"/>
      <w:bookmarkStart w:id="19" w:name="_Toc15306268"/>
      <w:r>
        <w:rPr>
          <w:rFonts w:hint="eastAsia" w:ascii="方正小标宋简体" w:hAnsi="方正小标宋简体" w:eastAsia="方正小标宋简体" w:cs="方正小标宋简体"/>
          <w:sz w:val="72"/>
          <w:szCs w:val="72"/>
        </w:rPr>
        <w:t>乐山冠英新区开发建设管理委员会单位决算</w:t>
      </w:r>
      <w:bookmarkEnd w:id="1"/>
      <w:bookmarkEnd w:id="11"/>
      <w:bookmarkEnd w:id="12"/>
      <w:bookmarkEnd w:id="13"/>
      <w:bookmarkEnd w:id="14"/>
      <w:bookmarkEnd w:id="15"/>
      <w:bookmarkEnd w:id="16"/>
      <w:bookmarkEnd w:id="17"/>
      <w:bookmarkEnd w:id="19"/>
      <w:r>
        <w:rPr>
          <w:rFonts w:ascii="方正小标宋简体" w:hAnsi="宋体" w:eastAsia="方正小标宋简体"/>
          <w:sz w:val="36"/>
          <w:szCs w:val="36"/>
        </w:rPr>
        <w:br w:type="page"/>
      </w:r>
      <w:bookmarkEnd w:id="2"/>
      <w:bookmarkEnd w:id="18"/>
    </w:p>
    <w:p>
      <w:pPr>
        <w:widowControl/>
        <w:jc w:val="center"/>
        <w:rPr>
          <w:rFonts w:hint="eastAsia" w:ascii="黑体" w:hAnsi="黑体" w:eastAsia="黑体"/>
          <w:sz w:val="48"/>
          <w:szCs w:val="48"/>
        </w:rPr>
      </w:pPr>
      <w:bookmarkStart w:id="20" w:name="OLE_LINK18"/>
      <w:r>
        <w:rPr>
          <w:rFonts w:hint="eastAsia" w:ascii="黑体" w:hAnsi="黑体" w:eastAsia="黑体"/>
          <w:sz w:val="48"/>
          <w:szCs w:val="48"/>
        </w:rPr>
        <w:t>目录</w:t>
      </w:r>
      <w:bookmarkStart w:id="204" w:name="_GoBack"/>
      <w:bookmarkEnd w:id="204"/>
    </w:p>
    <w:p>
      <w:pPr>
        <w:pStyle w:val="1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公开时间：2024年10月25日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kern w:val="2"/>
          <w:sz w:val="21"/>
          <w:szCs w:val="24"/>
          <w:lang w:val="en-US" w:eastAsia="zh-CN" w:bidi="ar-SA"/>
        </w:rPr>
      </w:pPr>
    </w:p>
    <w:sdt>
      <w:sdtPr>
        <w:rPr>
          <w:rFonts w:ascii="宋体" w:hAnsi="宋体" w:eastAsia="宋体" w:cs="Times New Roman"/>
          <w:kern w:val="2"/>
          <w:sz w:val="21"/>
          <w:szCs w:val="24"/>
          <w:lang w:val="en-US" w:eastAsia="zh-CN" w:bidi="ar-SA"/>
        </w:rPr>
        <w:id w:val="147480849"/>
        <w15:color w:val="DBDBDB"/>
        <w:docPartObj>
          <w:docPartGallery w:val="Table of Contents"/>
          <w:docPartUnique/>
        </w:docPartObj>
      </w:sdtPr>
      <w:sdtEndPr>
        <w:rPr>
          <w:rFonts w:hint="eastAsia" w:ascii="仿宋" w:hAnsi="仿宋" w:eastAsia="仿宋" w:cs="仿宋"/>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4"/>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 w:hAnsi="仿宋" w:eastAsia="仿宋" w:cs="仿宋"/>
              <w:b/>
              <w:kern w:val="2"/>
              <w:sz w:val="21"/>
              <w:szCs w:val="24"/>
              <w:lang w:val="en-US" w:eastAsia="zh-CN" w:bidi="ar-SA"/>
            </w:rPr>
            <w:fldChar w:fldCharType="begin"/>
          </w:r>
          <w:r>
            <w:rPr>
              <w:rFonts w:hint="eastAsia" w:ascii="仿宋" w:hAnsi="仿宋" w:eastAsia="仿宋" w:cs="仿宋"/>
              <w:b/>
              <w:kern w:val="2"/>
              <w:sz w:val="21"/>
              <w:szCs w:val="24"/>
              <w:lang w:val="en-US" w:eastAsia="zh-CN" w:bidi="ar-SA"/>
            </w:rPr>
            <w:instrText xml:space="preserve">TOC \o "1-2" \h \u </w:instrText>
          </w:r>
          <w:r>
            <w:rPr>
              <w:rFonts w:hint="eastAsia" w:ascii="仿宋" w:hAnsi="仿宋" w:eastAsia="仿宋" w:cs="仿宋"/>
              <w:b/>
              <w:kern w:val="2"/>
              <w:sz w:val="21"/>
              <w:szCs w:val="24"/>
              <w:lang w:val="en-US" w:eastAsia="zh-CN" w:bidi="ar-SA"/>
            </w:rPr>
            <w:fldChar w:fldCharType="separate"/>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_Toc9784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第一部分 单位概况</w:t>
          </w:r>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PAGEREF _Toc9784 \h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1</w:t>
          </w:r>
          <w:r>
            <w:rPr>
              <w:rFonts w:hint="eastAsia" w:ascii="仿宋_GB2312" w:hAnsi="仿宋_GB2312" w:eastAsia="仿宋_GB2312" w:cs="仿宋_GB2312"/>
              <w:b/>
              <w:bCs/>
              <w:kern w:val="2"/>
              <w:sz w:val="32"/>
              <w:szCs w:val="32"/>
              <w:lang w:val="en-US" w:eastAsia="zh-CN" w:bidi="ar-SA"/>
            </w:rPr>
            <w:fldChar w:fldCharType="end"/>
          </w:r>
          <w:r>
            <w:rPr>
              <w:rFonts w:hint="eastAsia" w:ascii="仿宋_GB2312" w:hAnsi="仿宋_GB2312" w:eastAsia="仿宋_GB2312" w:cs="仿宋_GB2312"/>
              <w:b/>
              <w:bCs/>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_Toc3410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一、 主要职责</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_Toc3410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_Toc26905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二、 机构设置</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_Toc26905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4"/>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_Toc16852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第二部分 2023年度单位决算情况说明</w:t>
          </w:r>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_Toc16002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一、 收入支出决算总体情况说明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_Toc3542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二、 收入决算情况说明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_Toc3542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_Toc13031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三、 支出决算情况说明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_Toc5085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四、财政拨款收入支出决算总体情况说明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_Toc10140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五、一般公共预算财政拨款支出决算情况说明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_Toc3345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六、一般公共预算财政拨款基本支出决算情况说明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_Toc3345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_Toc18677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七、财政拨款“三公”经费支出决算情况说明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_Toc18677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9</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_Toc15002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八、政府性基金预算支出决算情况说明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_Toc15002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_Toc1065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九、 国有资本经营预算支出决算情况说明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_Toc1065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_Toc24756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十、 其他重要事项的情况说明</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_Toc24756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4"/>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_Toc8541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第三部分 名词解释</w:t>
          </w:r>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PAGEREF _Toc8541 \h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12</w:t>
          </w:r>
          <w:r>
            <w:rPr>
              <w:rFonts w:hint="eastAsia" w:ascii="仿宋_GB2312" w:hAnsi="仿宋_GB2312" w:eastAsia="仿宋_GB2312" w:cs="仿宋_GB2312"/>
              <w:b/>
              <w:bCs/>
              <w:kern w:val="2"/>
              <w:sz w:val="32"/>
              <w:szCs w:val="32"/>
              <w:lang w:val="en-US" w:eastAsia="zh-CN" w:bidi="ar-SA"/>
            </w:rPr>
            <w:fldChar w:fldCharType="end"/>
          </w:r>
          <w:r>
            <w:rPr>
              <w:rFonts w:hint="eastAsia" w:ascii="仿宋_GB2312" w:hAnsi="仿宋_GB2312" w:eastAsia="仿宋_GB2312" w:cs="仿宋_GB2312"/>
              <w:b/>
              <w:bCs/>
              <w:kern w:val="2"/>
              <w:sz w:val="32"/>
              <w:szCs w:val="32"/>
              <w:lang w:val="en-US" w:eastAsia="zh-CN" w:bidi="ar-SA"/>
            </w:rPr>
            <w:fldChar w:fldCharType="end"/>
          </w:r>
        </w:p>
        <w:p>
          <w:pPr>
            <w:pStyle w:val="34"/>
            <w:tabs>
              <w:tab w:val="right" w:leader="dot" w:pos="8306"/>
            </w:tabs>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_Toc8729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第四部分 附件</w:t>
          </w:r>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PAGEREF _Toc8729 \h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14</w:t>
          </w:r>
          <w:r>
            <w:rPr>
              <w:rFonts w:hint="eastAsia" w:ascii="仿宋_GB2312" w:hAnsi="仿宋_GB2312" w:eastAsia="仿宋_GB2312" w:cs="仿宋_GB2312"/>
              <w:b/>
              <w:bCs/>
              <w:kern w:val="2"/>
              <w:sz w:val="32"/>
              <w:szCs w:val="32"/>
              <w:lang w:val="en-US" w:eastAsia="zh-CN" w:bidi="ar-SA"/>
            </w:rPr>
            <w:fldChar w:fldCharType="end"/>
          </w:r>
          <w:r>
            <w:rPr>
              <w:rFonts w:hint="eastAsia" w:ascii="仿宋_GB2312" w:hAnsi="仿宋_GB2312" w:eastAsia="仿宋_GB2312" w:cs="仿宋_GB2312"/>
              <w:b/>
              <w:bCs/>
              <w:kern w:val="2"/>
              <w:sz w:val="32"/>
              <w:szCs w:val="32"/>
              <w:lang w:val="en-US" w:eastAsia="zh-CN" w:bidi="ar-SA"/>
            </w:rPr>
            <w:fldChar w:fldCharType="end"/>
          </w:r>
        </w:p>
        <w:p>
          <w:pPr>
            <w:pStyle w:val="34"/>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HYPERLINK \l _Toc5222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第五部分 附表</w:t>
          </w:r>
          <w:r>
            <w:rPr>
              <w:rFonts w:hint="eastAsia" w:ascii="仿宋_GB2312" w:hAnsi="仿宋_GB2312" w:eastAsia="仿宋_GB2312" w:cs="仿宋_GB2312"/>
              <w:b/>
              <w:bCs/>
              <w:kern w:val="2"/>
              <w:sz w:val="32"/>
              <w:szCs w:val="32"/>
              <w:lang w:val="en-US" w:eastAsia="zh-CN" w:bidi="ar-SA"/>
            </w:rPr>
            <w:tab/>
          </w:r>
          <w:r>
            <w:rPr>
              <w:rFonts w:hint="eastAsia" w:ascii="仿宋_GB2312" w:hAnsi="仿宋_GB2312" w:eastAsia="仿宋_GB2312" w:cs="仿宋_GB2312"/>
              <w:b/>
              <w:bCs/>
              <w:kern w:val="2"/>
              <w:sz w:val="32"/>
              <w:szCs w:val="32"/>
              <w:lang w:val="en-US" w:eastAsia="zh-CN" w:bidi="ar-SA"/>
            </w:rPr>
            <w:fldChar w:fldCharType="begin"/>
          </w:r>
          <w:r>
            <w:rPr>
              <w:rFonts w:hint="eastAsia" w:ascii="仿宋_GB2312" w:hAnsi="仿宋_GB2312" w:eastAsia="仿宋_GB2312" w:cs="仿宋_GB2312"/>
              <w:b/>
              <w:bCs/>
              <w:kern w:val="2"/>
              <w:sz w:val="32"/>
              <w:szCs w:val="32"/>
              <w:lang w:val="en-US" w:eastAsia="zh-CN" w:bidi="ar-SA"/>
            </w:rPr>
            <w:instrText xml:space="preserve"> PAGEREF _Toc5222 \h </w:instrText>
          </w:r>
          <w:r>
            <w:rPr>
              <w:rFonts w:hint="eastAsia" w:ascii="仿宋_GB2312" w:hAnsi="仿宋_GB2312" w:eastAsia="仿宋_GB2312" w:cs="仿宋_GB2312"/>
              <w:b/>
              <w:bCs/>
              <w:kern w:val="2"/>
              <w:sz w:val="32"/>
              <w:szCs w:val="32"/>
              <w:lang w:val="en-US" w:eastAsia="zh-CN" w:bidi="ar-SA"/>
            </w:rPr>
            <w:fldChar w:fldCharType="separate"/>
          </w:r>
          <w:r>
            <w:rPr>
              <w:rFonts w:hint="eastAsia" w:ascii="仿宋_GB2312" w:hAnsi="仿宋_GB2312" w:eastAsia="仿宋_GB2312" w:cs="仿宋_GB2312"/>
              <w:b/>
              <w:bCs/>
              <w:kern w:val="2"/>
              <w:sz w:val="32"/>
              <w:szCs w:val="32"/>
              <w:lang w:val="en-US" w:eastAsia="zh-CN" w:bidi="ar-SA"/>
            </w:rPr>
            <w:t>36</w:t>
          </w:r>
          <w:r>
            <w:rPr>
              <w:rFonts w:hint="eastAsia" w:ascii="仿宋_GB2312" w:hAnsi="仿宋_GB2312" w:eastAsia="仿宋_GB2312" w:cs="仿宋_GB2312"/>
              <w:b/>
              <w:bCs/>
              <w:kern w:val="2"/>
              <w:sz w:val="32"/>
              <w:szCs w:val="32"/>
              <w:lang w:val="en-US" w:eastAsia="zh-CN" w:bidi="ar-SA"/>
            </w:rPr>
            <w:fldChar w:fldCharType="end"/>
          </w:r>
          <w:r>
            <w:rPr>
              <w:rFonts w:hint="eastAsia" w:ascii="仿宋_GB2312" w:hAnsi="仿宋_GB2312" w:eastAsia="仿宋_GB2312" w:cs="仿宋_GB2312"/>
              <w:b/>
              <w:bCs/>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_Toc23053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一、收入支出决算总表</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_Toc23053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36</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_Toc6404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二、收入决算表</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_Toc6404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36</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_Toc24329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三、支出决算表</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_Toc24329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36</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_Toc11311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四、财政拨款收入支出决算总表</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_Toc11311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36</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_Toc12112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五、财政拨款支出决算明细表</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_Toc12112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36</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_Toc19875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六、一般公共预算财政拨款支出决算表</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_Toc19875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36</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_Toc1334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七、一般公共预算财政拨款支出决算明细表</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_Toc1334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36</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_Toc18888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八、一般公共预算财政拨款基本支出决算表</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_Toc18888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36</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_Toc4447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九、一般公共预算财政拨款项目支出决算表</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_Toc4447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36</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_Toc13607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十、政府性基金预算财政拨款收入支出决算表</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_Toc13607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36</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_Toc27351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十一、国有资本经营预算财政拨款收入支出决算表</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_Toc27351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36</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_Toc29847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十二、国有资本经营预算财政拨款支出决算表</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_Toc29847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36</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pStyle w:val="35"/>
            <w:tabs>
              <w:tab w:val="right" w:leader="dot" w:pos="8306"/>
            </w:tabs>
            <w:rPr>
              <w:rFonts w:hint="eastAsia" w:ascii="仿宋" w:hAnsi="仿宋" w:eastAsia="仿宋" w:cs="仿宋"/>
            </w:rPr>
          </w:pP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\l _Toc27928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十三、财政拨款“三公”经费支出决算表</w:t>
          </w:r>
          <w:r>
            <w:rPr>
              <w:rFonts w:hint="eastAsia" w:ascii="仿宋_GB2312" w:hAnsi="仿宋_GB2312" w:eastAsia="仿宋_GB2312" w:cs="仿宋_GB2312"/>
              <w:kern w:val="2"/>
              <w:sz w:val="32"/>
              <w:szCs w:val="32"/>
              <w:lang w:val="en-US" w:eastAsia="zh-CN" w:bidi="ar-SA"/>
            </w:rPr>
            <w:tab/>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PAGEREF _Toc27928 \h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36</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fldChar w:fldCharType="end"/>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kern w:val="2"/>
              <w:sz w:val="21"/>
              <w:szCs w:val="24"/>
              <w:lang w:val="en-US" w:eastAsia="zh-CN" w:bidi="ar-SA"/>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cs="仿宋"/>
              <w:b/>
              <w:kern w:val="2"/>
              <w:szCs w:val="24"/>
              <w:lang w:val="en-US" w:eastAsia="zh-CN" w:bidi="ar-SA"/>
            </w:rPr>
            <w:fldChar w:fldCharType="end"/>
          </w:r>
        </w:p>
      </w:sdtContent>
    </w:sdt>
    <w:bookmarkEnd w:id="20"/>
    <w:p>
      <w:pPr>
        <w:pStyle w:val="2"/>
        <w:jc w:val="both"/>
        <w:outlineLvl w:val="9"/>
        <w:rPr>
          <w:rFonts w:hint="eastAsia" w:ascii="黑体" w:hAnsi="黑体" w:eastAsia="黑体"/>
          <w:b w:val="0"/>
        </w:rPr>
      </w:pPr>
      <w:bookmarkStart w:id="21" w:name="_Toc30972"/>
      <w:bookmarkStart w:id="22" w:name="_Toc15377196"/>
      <w:bookmarkStart w:id="23" w:name="_Toc15396599"/>
    </w:p>
    <w:p>
      <w:pPr>
        <w:pStyle w:val="2"/>
        <w:jc w:val="center"/>
        <w:rPr>
          <w:rStyle w:val="28"/>
          <w:rFonts w:ascii="黑体" w:hAnsi="黑体" w:eastAsia="黑体"/>
          <w:b/>
          <w:bCs w:val="0"/>
        </w:rPr>
      </w:pPr>
      <w:bookmarkStart w:id="24" w:name="_Toc10178"/>
      <w:bookmarkStart w:id="25" w:name="_Toc9784"/>
      <w:r>
        <w:rPr>
          <w:rFonts w:hint="eastAsia" w:ascii="黑体" w:hAnsi="黑体" w:eastAsia="黑体"/>
          <w:b w:val="0"/>
        </w:rPr>
        <w:t>第一部分 单位</w:t>
      </w:r>
      <w:r>
        <w:rPr>
          <w:rStyle w:val="28"/>
          <w:rFonts w:hint="eastAsia" w:ascii="黑体" w:hAnsi="黑体" w:eastAsia="黑体"/>
          <w:b w:val="0"/>
          <w:bCs w:val="0"/>
        </w:rPr>
        <w:t>概况</w:t>
      </w:r>
      <w:bookmarkEnd w:id="21"/>
      <w:bookmarkEnd w:id="22"/>
      <w:bookmarkEnd w:id="23"/>
      <w:bookmarkEnd w:id="24"/>
      <w:bookmarkEnd w:id="25"/>
    </w:p>
    <w:p>
      <w:pPr>
        <w:widowControl/>
        <w:jc w:val="left"/>
        <w:rPr>
          <w:rFonts w:ascii="黑体" w:eastAsia="黑体"/>
          <w:sz w:val="32"/>
          <w:szCs w:val="32"/>
        </w:rPr>
      </w:pPr>
    </w:p>
    <w:p>
      <w:pPr>
        <w:pStyle w:val="3"/>
        <w:numPr>
          <w:ilvl w:val="0"/>
          <w:numId w:val="1"/>
        </w:numPr>
        <w:rPr>
          <w:rStyle w:val="29"/>
          <w:rFonts w:ascii="黑体" w:hAnsi="黑体" w:eastAsia="黑体"/>
          <w:b w:val="0"/>
          <w:bCs w:val="0"/>
        </w:rPr>
      </w:pPr>
      <w:bookmarkStart w:id="26" w:name="_Toc21090"/>
      <w:bookmarkStart w:id="27" w:name="_Toc7698"/>
      <w:bookmarkStart w:id="28" w:name="_Toc3410"/>
      <w:bookmarkStart w:id="29" w:name="_Toc15396600"/>
      <w:bookmarkStart w:id="30" w:name="_Toc15377197"/>
      <w:r>
        <w:rPr>
          <w:rStyle w:val="29"/>
          <w:rFonts w:hint="eastAsia" w:ascii="黑体" w:hAnsi="黑体" w:eastAsia="黑体"/>
          <w:b w:val="0"/>
          <w:bCs w:val="0"/>
        </w:rPr>
        <w:t>主要职责</w:t>
      </w:r>
      <w:bookmarkEnd w:id="26"/>
      <w:bookmarkEnd w:id="27"/>
      <w:bookmarkEnd w:id="2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2023年冠英新区的主要职责是：</w:t>
      </w:r>
      <w:r>
        <w:rPr>
          <w:rFonts w:hint="eastAsia" w:ascii="仿宋_GB2312" w:hAnsi="仿宋_GB2312" w:eastAsia="仿宋_GB2312" w:cs="仿宋_GB2312"/>
          <w:sz w:val="32"/>
          <w:szCs w:val="32"/>
        </w:rPr>
        <w:t>负责牵头编制新区专项规划、产业发展规划等规划，协助编制新区总体规划、控制性详规，经批准后组织实施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负责牵头组织实施新区城市基础设施和公共配套设施的建设，协调配合新区交通、水务等其他工程建设项目的推进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负责新区招商引资、产业培育工作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负责新区城乡规划、土地管理、市政环卫、综合治理、行政执法的协调配合或依法行使相关</w:t>
      </w:r>
      <w:r>
        <w:rPr>
          <w:rFonts w:hint="eastAsia" w:ascii="仿宋_GB2312" w:hAnsi="仿宋_GB2312" w:eastAsia="仿宋_GB2312" w:cs="仿宋_GB2312"/>
          <w:sz w:val="32"/>
          <w:szCs w:val="32"/>
          <w:lang w:eastAsia="zh-CN"/>
        </w:rPr>
        <w:t>权力事项；</w:t>
      </w:r>
      <w:r>
        <w:rPr>
          <w:rFonts w:hint="eastAsia" w:ascii="仿宋_GB2312" w:hAnsi="仿宋_GB2312" w:eastAsia="仿宋_GB2312" w:cs="仿宋_GB2312"/>
          <w:sz w:val="32"/>
          <w:szCs w:val="32"/>
        </w:rPr>
        <w:t>负责新区社会投资项目建设、运营的协调服务工作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负责职责范围内安全生产、职业健康和生态环境保护等工作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履行区政府及相关职能部门授权的相关职能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承担区委、区政府交办的其他工作事项。</w:t>
      </w:r>
    </w:p>
    <w:p>
      <w:pPr>
        <w:pStyle w:val="3"/>
        <w:numPr>
          <w:ilvl w:val="0"/>
          <w:numId w:val="1"/>
        </w:numPr>
        <w:ind w:left="0" w:leftChars="0" w:firstLine="0" w:firstLineChars="0"/>
        <w:rPr>
          <w:rFonts w:hint="eastAsia" w:ascii="黑体" w:hAnsi="黑体" w:eastAsia="黑体"/>
          <w:b w:val="0"/>
        </w:rPr>
      </w:pPr>
      <w:bookmarkStart w:id="31" w:name="_Toc4004"/>
      <w:bookmarkStart w:id="32" w:name="_Toc26905"/>
      <w:bookmarkStart w:id="33" w:name="_Toc31276"/>
      <w:r>
        <w:rPr>
          <w:rFonts w:hint="eastAsia" w:ascii="黑体" w:hAnsi="黑体" w:eastAsia="黑体"/>
          <w:b w:val="0"/>
        </w:rPr>
        <w:t>机构设置</w:t>
      </w:r>
      <w:bookmarkEnd w:id="31"/>
      <w:bookmarkEnd w:id="32"/>
      <w:bookmarkEnd w:id="33"/>
    </w:p>
    <w:p>
      <w:pPr>
        <w:pStyle w:val="3"/>
        <w:numPr>
          <w:ilvl w:val="0"/>
          <w:numId w:val="0"/>
        </w:numPr>
        <w:ind w:leftChars="0" w:firstLine="643" w:firstLineChars="200"/>
        <w:outlineLvl w:val="0"/>
        <w:rPr>
          <w:rFonts w:hint="eastAsia" w:ascii="仿宋_GB2312" w:hAnsi="仿宋_GB2312" w:eastAsia="仿宋_GB2312" w:cs="仿宋_GB2312"/>
          <w:sz w:val="32"/>
          <w:szCs w:val="32"/>
        </w:rPr>
      </w:pPr>
      <w:bookmarkStart w:id="34" w:name="_Toc1266"/>
      <w:r>
        <w:rPr>
          <w:rFonts w:hint="eastAsia" w:ascii="仿宋_GB2312" w:hAnsi="仿宋_GB2312" w:eastAsia="仿宋_GB2312" w:cs="仿宋_GB2312"/>
          <w:sz w:val="32"/>
          <w:szCs w:val="32"/>
        </w:rPr>
        <w:t>乐山冠英新区开发建设管理委员会属二级</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单位，行政单位。</w:t>
      </w:r>
      <w:bookmarkEnd w:id="34"/>
    </w:p>
    <w:p>
      <w:pPr>
        <w:pStyle w:val="3"/>
        <w:numPr>
          <w:ilvl w:val="0"/>
          <w:numId w:val="0"/>
        </w:numPr>
        <w:ind w:leftChars="0" w:firstLine="643" w:firstLineChars="200"/>
        <w:rPr>
          <w:rFonts w:hint="eastAsia" w:ascii="Times New Roman" w:hAnsi="Times New Roman" w:cs="Times New Roman"/>
          <w:sz w:val="32"/>
          <w:szCs w:val="32"/>
          <w:lang w:eastAsia="zh-CN"/>
        </w:rPr>
      </w:pPr>
      <w:bookmarkStart w:id="35" w:name="_Toc15500"/>
      <w:r>
        <w:rPr>
          <w:rFonts w:hint="eastAsia" w:ascii="仿宋_GB2312" w:hAnsi="仿宋_GB2312" w:eastAsia="仿宋_GB2312" w:cs="仿宋_GB2312"/>
          <w:sz w:val="32"/>
          <w:szCs w:val="32"/>
          <w:lang w:val="en-US" w:eastAsia="zh-CN"/>
        </w:rPr>
        <w:t>人员情况</w:t>
      </w:r>
      <w:r>
        <w:rPr>
          <w:rFonts w:hint="eastAsia" w:hAnsi="仿宋_GB2312" w:cs="仿宋_GB2312"/>
          <w:sz w:val="32"/>
          <w:szCs w:val="32"/>
          <w:lang w:val="en-US" w:eastAsia="zh-CN"/>
        </w:rPr>
        <w:t>，</w:t>
      </w:r>
      <w:r>
        <w:rPr>
          <w:rFonts w:hint="eastAsia" w:ascii="Times New Roman" w:hAnsi="Times New Roman" w:eastAsia="仿宋_GB2312" w:cs="Times New Roman"/>
          <w:sz w:val="32"/>
          <w:szCs w:val="32"/>
        </w:rPr>
        <w:t>行政编制数9人，实有人数9人</w:t>
      </w:r>
      <w:r>
        <w:rPr>
          <w:rFonts w:hint="eastAsia" w:ascii="Times New Roman" w:hAnsi="Times New Roman" w:cs="Times New Roman"/>
          <w:sz w:val="32"/>
          <w:szCs w:val="32"/>
          <w:lang w:eastAsia="zh-CN"/>
        </w:rPr>
        <w:t>。</w:t>
      </w:r>
      <w:bookmarkEnd w:id="35"/>
    </w:p>
    <w:p>
      <w:pPr>
        <w:pStyle w:val="5"/>
        <w:ind w:firstLine="643" w:firstLineChars="200"/>
        <w:outlineLvl w:val="0"/>
        <w:rPr>
          <w:rFonts w:hint="eastAsia" w:ascii="Times New Roman" w:hAnsi="Times New Roman" w:cs="Times New Roman"/>
          <w:sz w:val="32"/>
          <w:szCs w:val="32"/>
          <w:lang w:eastAsia="zh-CN"/>
        </w:rPr>
      </w:pPr>
      <w:bookmarkStart w:id="36" w:name="_Toc14593"/>
      <w:bookmarkStart w:id="37" w:name="_Toc27198"/>
      <w:bookmarkStart w:id="38" w:name="_Toc27424"/>
      <w:r>
        <w:rPr>
          <w:rFonts w:hint="eastAsia" w:ascii="楷体_GB2312" w:hAnsi="仿宋" w:eastAsia="楷体_GB2312"/>
          <w:b/>
          <w:color w:val="auto"/>
          <w:sz w:val="32"/>
          <w:szCs w:val="32"/>
        </w:rPr>
        <w:t>当年取得的主要事业成效</w:t>
      </w:r>
      <w:bookmarkEnd w:id="36"/>
      <w:bookmarkEnd w:id="37"/>
      <w:bookmarkEnd w:id="38"/>
    </w:p>
    <w:p>
      <w:pPr>
        <w:pStyle w:val="5"/>
        <w:ind w:firstLine="640" w:firstLineChars="200"/>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年工作重点是加快</w:t>
      </w:r>
      <w:r>
        <w:rPr>
          <w:rFonts w:hint="eastAsia" w:ascii="仿宋_GB2312" w:hAnsi="仿宋_GB2312" w:eastAsia="仿宋_GB2312" w:cs="仿宋_GB2312"/>
          <w:sz w:val="32"/>
          <w:szCs w:val="32"/>
          <w:lang w:eastAsia="zh-CN"/>
        </w:rPr>
        <w:t>乐山机场、</w:t>
      </w:r>
      <w:r>
        <w:rPr>
          <w:rFonts w:hint="eastAsia" w:ascii="仿宋_GB2312" w:hAnsi="仿宋_GB2312" w:eastAsia="仿宋_GB2312" w:cs="仿宋_GB2312"/>
          <w:sz w:val="32"/>
          <w:szCs w:val="32"/>
          <w:lang w:val="en-US" w:eastAsia="zh-CN"/>
        </w:rPr>
        <w:t>岷江老木孔航电枢纽控制性工程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冠英新区回迁房（三期）、人才培训中心</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项目建设</w:t>
      </w:r>
      <w:r>
        <w:rPr>
          <w:rFonts w:hint="eastAsia" w:ascii="仿宋_GB2312" w:hAnsi="仿宋_GB2312" w:eastAsia="仿宋_GB2312" w:cs="仿宋_GB2312"/>
          <w:sz w:val="32"/>
          <w:szCs w:val="32"/>
          <w:lang w:eastAsia="zh-CN"/>
        </w:rPr>
        <w:t>；不断完善基础设施建设，</w:t>
      </w:r>
      <w:r>
        <w:rPr>
          <w:rFonts w:hint="eastAsia" w:ascii="仿宋_GB2312" w:hAnsi="仿宋_GB2312" w:eastAsia="仿宋_GB2312"/>
          <w:color w:val="auto"/>
          <w:sz w:val="32"/>
          <w:lang w:val="en-US" w:eastAsia="zh-CN"/>
        </w:rPr>
        <w:t>完工石子埂路天樾国际城段，开工建设</w:t>
      </w:r>
      <w:r>
        <w:rPr>
          <w:rFonts w:hint="eastAsia" w:ascii="仿宋_GB2312" w:hAnsi="仿宋_GB2312" w:eastAsia="仿宋_GB2312" w:cs="仿宋_GB2312"/>
          <w:color w:val="auto"/>
          <w:sz w:val="32"/>
          <w:lang w:val="en-US" w:eastAsia="zh-CN"/>
        </w:rPr>
        <w:t>双桥路二期、</w:t>
      </w:r>
      <w:r>
        <w:rPr>
          <w:rFonts w:hint="eastAsia" w:ascii="仿宋_GB2312" w:hAnsi="仿宋_GB2312" w:eastAsia="仿宋_GB2312" w:cs="仿宋_GB2312"/>
          <w:i w:val="0"/>
          <w:iCs w:val="0"/>
          <w:color w:val="auto"/>
          <w:sz w:val="32"/>
          <w:szCs w:val="32"/>
          <w:u w:val="none"/>
          <w:lang w:eastAsia="zh-CN"/>
        </w:rPr>
        <w:t>新居路一期Ⅱ标段</w:t>
      </w:r>
      <w:r>
        <w:rPr>
          <w:rFonts w:hint="eastAsia" w:ascii="仿宋_GB2312" w:hAnsi="仿宋_GB2312" w:eastAsia="仿宋_GB2312" w:cs="仿宋_GB2312"/>
          <w:color w:val="auto"/>
          <w:sz w:val="32"/>
          <w:lang w:val="en-US" w:eastAsia="zh-CN"/>
        </w:rPr>
        <w:t>，</w:t>
      </w:r>
      <w:r>
        <w:rPr>
          <w:rFonts w:hint="eastAsia" w:ascii="仿宋_GB2312" w:hAnsi="仿宋_GB2312" w:eastAsia="仿宋_GB2312"/>
          <w:color w:val="auto"/>
          <w:sz w:val="32"/>
          <w:lang w:val="en-US" w:eastAsia="zh-CN"/>
        </w:rPr>
        <w:t>开展</w:t>
      </w:r>
      <w:r>
        <w:rPr>
          <w:rFonts w:hint="eastAsia" w:ascii="仿宋_GB2312" w:hAnsi="仿宋_GB2312" w:eastAsia="仿宋_GB2312" w:cs="仿宋_GB2312"/>
          <w:color w:val="auto"/>
          <w:sz w:val="32"/>
          <w:lang w:val="en-US" w:eastAsia="zh-CN"/>
        </w:rPr>
        <w:t>修身路二期等9条道路前期工作</w:t>
      </w:r>
      <w:r>
        <w:rPr>
          <w:rFonts w:hint="eastAsia" w:ascii="仿宋_GB2312" w:hAnsi="仿宋_GB2312" w:eastAsia="仿宋_GB2312"/>
          <w:color w:val="auto"/>
          <w:sz w:val="32"/>
          <w:lang w:val="zh-CN"/>
        </w:rPr>
        <w:t>，同步推进电力、通信、广电、给排水、热力、燃气等地下管网铺设；</w:t>
      </w:r>
      <w:r>
        <w:rPr>
          <w:rFonts w:hint="eastAsia" w:ascii="仿宋_GB2312" w:hAnsi="仿宋_GB2312" w:eastAsia="仿宋_GB2312" w:cs="仿宋_GB2312"/>
          <w:sz w:val="32"/>
          <w:szCs w:val="32"/>
        </w:rPr>
        <w:t>推进房地产开发，</w:t>
      </w:r>
      <w:r>
        <w:rPr>
          <w:rFonts w:hint="eastAsia" w:ascii="仿宋_GB2312" w:hAnsi="仿宋_GB2312" w:eastAsia="仿宋_GB2312"/>
          <w:color w:val="auto"/>
          <w:sz w:val="32"/>
          <w:lang w:val="zh-CN"/>
        </w:rPr>
        <w:t>完工东润·学府里、阳光·天樾国际城一期，加快建设蓝城绿洲、阳光·天樾国际城二期等</w:t>
      </w:r>
      <w:r>
        <w:rPr>
          <w:rFonts w:hint="eastAsia" w:ascii="仿宋_GB2312" w:hAnsi="仿宋_GB2312" w:eastAsia="仿宋_GB2312"/>
          <w:color w:val="auto"/>
          <w:sz w:val="32"/>
          <w:lang w:val="en-US" w:eastAsia="zh-CN"/>
        </w:rPr>
        <w:t>3</w:t>
      </w:r>
      <w:r>
        <w:rPr>
          <w:rFonts w:hint="eastAsia" w:ascii="仿宋_GB2312" w:hAnsi="仿宋_GB2312" w:eastAsia="仿宋_GB2312"/>
          <w:color w:val="auto"/>
          <w:sz w:val="32"/>
          <w:lang w:val="zh-CN"/>
        </w:rPr>
        <w:t>个房地产项目；</w:t>
      </w:r>
      <w:r>
        <w:rPr>
          <w:rFonts w:hint="eastAsia" w:ascii="仿宋_GB2312" w:hAnsi="仿宋_GB2312" w:eastAsia="仿宋_GB2312" w:cs="仿宋_GB2312"/>
          <w:sz w:val="32"/>
          <w:szCs w:val="32"/>
        </w:rPr>
        <w:t>加大招商引资力度，吸聚文旅、商贸、社会事业等带动力强的项目入驻</w:t>
      </w:r>
      <w:r>
        <w:rPr>
          <w:rFonts w:hint="eastAsia" w:hAnsi="仿宋_GB2312" w:cs="仿宋_GB2312"/>
          <w:sz w:val="32"/>
          <w:szCs w:val="32"/>
          <w:lang w:val="en-US" w:eastAsia="zh-CN"/>
        </w:rPr>
        <w:t>.</w:t>
      </w:r>
    </w:p>
    <w:bookmarkEnd w:id="29"/>
    <w:bookmarkEnd w:id="30"/>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center"/>
        <w:rPr>
          <w:rStyle w:val="28"/>
          <w:rFonts w:ascii="黑体" w:hAnsi="黑体" w:eastAsia="黑体"/>
          <w:b w:val="0"/>
          <w:bCs/>
        </w:rPr>
      </w:pPr>
      <w:bookmarkStart w:id="39" w:name="_Toc4694"/>
      <w:bookmarkStart w:id="40" w:name="_Toc16852"/>
      <w:bookmarkStart w:id="41" w:name="_Toc15377204"/>
      <w:bookmarkStart w:id="42" w:name="_Toc15396602"/>
      <w:bookmarkStart w:id="43" w:name="_Toc4102"/>
      <w:r>
        <w:rPr>
          <w:rFonts w:hint="eastAsia" w:ascii="黑体" w:hAnsi="黑体" w:eastAsia="黑体"/>
          <w:b w:val="0"/>
        </w:rPr>
        <w:t>第二部分 2023年度</w:t>
      </w:r>
      <w:r>
        <w:rPr>
          <w:rStyle w:val="28"/>
          <w:rFonts w:hint="eastAsia" w:ascii="黑体" w:hAnsi="黑体" w:eastAsia="黑体"/>
          <w:b w:val="0"/>
          <w:bCs/>
        </w:rPr>
        <w:t>单位决算情况说明</w:t>
      </w:r>
      <w:bookmarkEnd w:id="39"/>
      <w:bookmarkEnd w:id="40"/>
      <w:bookmarkEnd w:id="41"/>
      <w:bookmarkEnd w:id="42"/>
      <w:bookmarkEnd w:id="43"/>
    </w:p>
    <w:p/>
    <w:p>
      <w:pPr>
        <w:pStyle w:val="27"/>
        <w:numPr>
          <w:ilvl w:val="0"/>
          <w:numId w:val="2"/>
        </w:numPr>
        <w:spacing w:line="600" w:lineRule="exact"/>
        <w:ind w:firstLineChars="0"/>
        <w:outlineLvl w:val="1"/>
        <w:rPr>
          <w:rStyle w:val="29"/>
          <w:rFonts w:ascii="黑体" w:hAnsi="黑体" w:eastAsia="黑体"/>
          <w:b w:val="0"/>
        </w:rPr>
      </w:pPr>
      <w:bookmarkStart w:id="44" w:name="_Toc15377205"/>
      <w:bookmarkStart w:id="45" w:name="_Toc15396603"/>
      <w:bookmarkStart w:id="46" w:name="_Toc23430"/>
      <w:bookmarkStart w:id="47" w:name="_Toc25455"/>
      <w:bookmarkStart w:id="48" w:name="_Toc16002"/>
      <w:r>
        <w:rPr>
          <w:rFonts w:hint="eastAsia" w:ascii="黑体" w:hAnsi="黑体" w:eastAsia="黑体"/>
          <w:sz w:val="32"/>
          <w:szCs w:val="32"/>
        </w:rPr>
        <w:t>收</w:t>
      </w:r>
      <w:r>
        <w:rPr>
          <w:rStyle w:val="29"/>
          <w:rFonts w:hint="eastAsia" w:ascii="黑体" w:hAnsi="黑体" w:eastAsia="黑体"/>
          <w:b w:val="0"/>
        </w:rPr>
        <w:t>入支出决算总体情况说明</w:t>
      </w:r>
      <w:bookmarkEnd w:id="44"/>
      <w:bookmarkEnd w:id="45"/>
      <w:bookmarkEnd w:id="46"/>
      <w:bookmarkEnd w:id="47"/>
      <w:bookmarkEnd w:id="4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2023年度收、支总计均为</w:t>
      </w:r>
      <w:bookmarkStart w:id="49" w:name="OLE_LINK11"/>
      <w:r>
        <w:rPr>
          <w:rFonts w:hint="eastAsia" w:ascii="仿宋_GB2312" w:hAnsi="仿宋_GB2312" w:eastAsia="仿宋_GB2312" w:cs="仿宋_GB2312"/>
          <w:color w:val="auto"/>
          <w:sz w:val="32"/>
          <w:szCs w:val="32"/>
        </w:rPr>
        <w:t>22171.16</w:t>
      </w:r>
      <w:bookmarkEnd w:id="49"/>
      <w:r>
        <w:rPr>
          <w:rFonts w:hint="eastAsia" w:ascii="仿宋_GB2312" w:hAnsi="仿宋_GB2312" w:eastAsia="仿宋_GB2312" w:cs="仿宋_GB2312"/>
          <w:color w:val="auto"/>
          <w:sz w:val="32"/>
          <w:szCs w:val="32"/>
        </w:rPr>
        <w:t>万元。与20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年相比，收、支总计</w:t>
      </w:r>
      <w:r>
        <w:rPr>
          <w:rFonts w:hint="eastAsia" w:ascii="仿宋_GB2312" w:hAnsi="仿宋_GB2312" w:eastAsia="仿宋_GB2312" w:cs="仿宋_GB2312"/>
          <w:color w:val="auto"/>
          <w:sz w:val="32"/>
          <w:szCs w:val="32"/>
          <w:lang w:eastAsia="zh-CN"/>
        </w:rPr>
        <w:t>各减少</w:t>
      </w:r>
      <w:r>
        <w:rPr>
          <w:rFonts w:hint="eastAsia" w:ascii="仿宋_GB2312" w:hAnsi="仿宋_GB2312" w:eastAsia="仿宋_GB2312" w:cs="仿宋_GB2312"/>
          <w:color w:val="auto"/>
          <w:sz w:val="32"/>
          <w:szCs w:val="32"/>
          <w:lang w:val="en-US" w:eastAsia="zh-CN"/>
        </w:rPr>
        <w:t>7246.54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24.63</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年度财政资金统筹政府性基金预算安排建设项目支出</w:t>
      </w:r>
      <w:r>
        <w:rPr>
          <w:rFonts w:hint="eastAsia" w:ascii="仿宋_GB2312" w:hAnsi="仿宋_GB2312" w:eastAsia="仿宋_GB2312" w:cs="仿宋_GB2312"/>
          <w:color w:val="auto"/>
          <w:sz w:val="32"/>
          <w:szCs w:val="32"/>
          <w:lang w:eastAsia="zh-CN"/>
        </w:rPr>
        <w:t>减少。</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FF0000"/>
          <w:sz w:val="32"/>
          <w:szCs w:val="32"/>
          <w:lang w:eastAsia="zh-CN"/>
        </w:rPr>
        <w:drawing>
          <wp:inline distT="0" distB="0" distL="114300" distR="114300">
            <wp:extent cx="3559810" cy="2792095"/>
            <wp:effectExtent l="0" t="0" r="2540" b="825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6"/>
                    <a:stretch>
                      <a:fillRect/>
                    </a:stretch>
                  </pic:blipFill>
                  <pic:spPr>
                    <a:xfrm>
                      <a:off x="0" y="0"/>
                      <a:ext cx="3559810" cy="2792095"/>
                    </a:xfrm>
                    <a:prstGeom prst="rect">
                      <a:avLst/>
                    </a:prstGeom>
                  </pic:spPr>
                </pic:pic>
              </a:graphicData>
            </a:graphic>
          </wp:inline>
        </w:drawing>
      </w:r>
    </w:p>
    <w:p>
      <w:pPr>
        <w:spacing w:line="600" w:lineRule="exact"/>
        <w:ind w:firstLine="640" w:firstLineChars="200"/>
        <w:rPr>
          <w:rFonts w:ascii="仿宋" w:hAnsi="仿宋" w:eastAsia="仿宋"/>
          <w:color w:val="FF0000"/>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jc w:val="left"/>
        <w:rPr>
          <w:rFonts w:ascii="仿宋_GB2312" w:eastAsia="仿宋_GB2312"/>
          <w:sz w:val="32"/>
          <w:szCs w:val="32"/>
        </w:rPr>
      </w:pPr>
    </w:p>
    <w:p>
      <w:pPr>
        <w:pStyle w:val="27"/>
        <w:numPr>
          <w:ilvl w:val="0"/>
          <w:numId w:val="2"/>
        </w:numPr>
        <w:spacing w:line="600" w:lineRule="exact"/>
        <w:ind w:firstLineChars="0"/>
        <w:outlineLvl w:val="1"/>
        <w:rPr>
          <w:rStyle w:val="29"/>
          <w:rFonts w:ascii="黑体" w:hAnsi="黑体" w:eastAsia="黑体"/>
          <w:b w:val="0"/>
        </w:rPr>
      </w:pPr>
      <w:bookmarkStart w:id="50" w:name="_Toc3542"/>
      <w:bookmarkStart w:id="51" w:name="_Toc31835"/>
      <w:bookmarkStart w:id="52" w:name="_Toc10836"/>
      <w:bookmarkStart w:id="53" w:name="_Toc15377206"/>
      <w:bookmarkStart w:id="54" w:name="_Toc15396604"/>
      <w:r>
        <w:rPr>
          <w:rFonts w:hint="eastAsia" w:ascii="黑体" w:hAnsi="黑体" w:eastAsia="黑体"/>
          <w:sz w:val="32"/>
          <w:szCs w:val="32"/>
        </w:rPr>
        <w:t>收</w:t>
      </w:r>
      <w:r>
        <w:rPr>
          <w:rStyle w:val="29"/>
          <w:rFonts w:hint="eastAsia" w:ascii="黑体" w:hAnsi="黑体" w:eastAsia="黑体"/>
          <w:b w:val="0"/>
        </w:rPr>
        <w:t>入决算情况说明</w:t>
      </w:r>
      <w:bookmarkEnd w:id="50"/>
      <w:bookmarkEnd w:id="51"/>
      <w:bookmarkEnd w:id="52"/>
      <w:bookmarkEnd w:id="53"/>
      <w:bookmarkEnd w:id="54"/>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55" w:name="_Toc8364"/>
      <w:bookmarkStart w:id="56" w:name="_Toc28894"/>
      <w:bookmarkStart w:id="57" w:name="_Toc15353"/>
      <w:r>
        <w:rPr>
          <w:rFonts w:hint="eastAsia" w:ascii="仿宋_GB2312" w:hAnsi="仿宋_GB2312" w:eastAsia="仿宋_GB2312" w:cs="仿宋_GB2312"/>
          <w:color w:val="auto"/>
          <w:sz w:val="32"/>
          <w:szCs w:val="32"/>
        </w:rPr>
        <w:t>2023年度本年收入合计22171.16万元，其中：一般公共预算财政拨款收入1750.32万元，占</w:t>
      </w:r>
      <w:bookmarkStart w:id="58" w:name="OLE_LINK1"/>
      <w:r>
        <w:rPr>
          <w:rFonts w:hint="eastAsia" w:ascii="仿宋_GB2312" w:hAnsi="仿宋_GB2312" w:eastAsia="仿宋_GB2312" w:cs="仿宋_GB2312"/>
          <w:color w:val="auto"/>
          <w:sz w:val="32"/>
          <w:szCs w:val="32"/>
        </w:rPr>
        <w:t>7.89%</w:t>
      </w:r>
      <w:bookmarkEnd w:id="58"/>
      <w:r>
        <w:rPr>
          <w:rFonts w:hint="eastAsia" w:ascii="仿宋_GB2312" w:hAnsi="仿宋_GB2312" w:eastAsia="仿宋_GB2312" w:cs="仿宋_GB2312"/>
          <w:color w:val="auto"/>
          <w:sz w:val="32"/>
          <w:szCs w:val="32"/>
        </w:rPr>
        <w:t>；政府性基金预算财政拨款收入20420.84万元，占92.1%</w:t>
      </w:r>
      <w:r>
        <w:rPr>
          <w:rFonts w:hint="eastAsia" w:ascii="仿宋_GB2312" w:hAnsi="仿宋_GB2312" w:eastAsia="仿宋_GB2312" w:cs="仿宋_GB2312"/>
          <w:color w:val="auto"/>
          <w:sz w:val="32"/>
          <w:szCs w:val="32"/>
          <w:lang w:eastAsia="zh-CN"/>
        </w:rPr>
        <w:t>。</w:t>
      </w:r>
      <w:bookmarkEnd w:id="55"/>
      <w:bookmarkEnd w:id="56"/>
      <w:bookmarkEnd w:id="57"/>
    </w:p>
    <w:p>
      <w:pPr>
        <w:spacing w:line="600" w:lineRule="exact"/>
        <w:ind w:firstLine="643" w:firstLineChars="200"/>
        <w:jc w:val="both"/>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240" w:lineRule="auto"/>
        <w:ind w:firstLine="640" w:firstLineChars="200"/>
        <w:jc w:val="center"/>
        <w:rPr>
          <w:rFonts w:hint="eastAsia"/>
          <w:lang w:eastAsia="zh-CN"/>
        </w:rPr>
      </w:pPr>
      <w:r>
        <w:rPr>
          <w:rFonts w:hint="eastAsia" w:ascii="仿宋_GB2312" w:eastAsia="仿宋_GB2312"/>
          <w:sz w:val="32"/>
          <w:szCs w:val="32"/>
          <w:lang w:eastAsia="zh-CN"/>
        </w:rPr>
        <w:drawing>
          <wp:inline distT="0" distB="0" distL="114300" distR="114300">
            <wp:extent cx="3035935" cy="2346960"/>
            <wp:effectExtent l="0" t="0" r="12065" b="15240"/>
            <wp:docPr id="1" name="图片 1"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5"/>
                    <pic:cNvPicPr>
                      <a:picLocks noChangeAspect="1"/>
                    </pic:cNvPicPr>
                  </pic:nvPicPr>
                  <pic:blipFill>
                    <a:blip r:embed="rId7"/>
                    <a:stretch>
                      <a:fillRect/>
                    </a:stretch>
                  </pic:blipFill>
                  <pic:spPr>
                    <a:xfrm>
                      <a:off x="0" y="0"/>
                      <a:ext cx="3035935" cy="2346960"/>
                    </a:xfrm>
                    <a:prstGeom prst="rect">
                      <a:avLst/>
                    </a:prstGeom>
                  </pic:spPr>
                </pic:pic>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（图2：收入决算结构图）（饼状图）</w:t>
      </w:r>
    </w:p>
    <w:p>
      <w:pPr>
        <w:pStyle w:val="5"/>
        <w:rPr>
          <w:rFonts w:hint="eastAsia"/>
          <w:lang w:eastAsia="zh-CN"/>
        </w:rPr>
      </w:pPr>
    </w:p>
    <w:p>
      <w:pPr>
        <w:pStyle w:val="27"/>
        <w:numPr>
          <w:ilvl w:val="0"/>
          <w:numId w:val="2"/>
        </w:numPr>
        <w:spacing w:line="600" w:lineRule="exact"/>
        <w:ind w:firstLineChars="0"/>
        <w:outlineLvl w:val="1"/>
        <w:rPr>
          <w:rStyle w:val="29"/>
          <w:rFonts w:ascii="黑体" w:hAnsi="黑体" w:eastAsia="黑体"/>
          <w:b w:val="0"/>
        </w:rPr>
      </w:pPr>
      <w:bookmarkStart w:id="59" w:name="_Toc27075"/>
      <w:bookmarkStart w:id="60" w:name="_Toc5887"/>
      <w:bookmarkStart w:id="61" w:name="_Toc15377207"/>
      <w:bookmarkStart w:id="62" w:name="_Toc15396605"/>
      <w:bookmarkStart w:id="63" w:name="_Toc13031"/>
      <w:r>
        <w:rPr>
          <w:rFonts w:hint="eastAsia" w:ascii="黑体" w:hAnsi="黑体" w:eastAsia="黑体"/>
          <w:sz w:val="32"/>
          <w:szCs w:val="32"/>
        </w:rPr>
        <w:t>支</w:t>
      </w:r>
      <w:r>
        <w:rPr>
          <w:rStyle w:val="29"/>
          <w:rFonts w:hint="eastAsia" w:ascii="黑体" w:hAnsi="黑体" w:eastAsia="黑体"/>
          <w:b w:val="0"/>
        </w:rPr>
        <w:t>出决算情况说明</w:t>
      </w:r>
      <w:bookmarkEnd w:id="59"/>
      <w:bookmarkEnd w:id="60"/>
      <w:bookmarkEnd w:id="61"/>
      <w:bookmarkEnd w:id="62"/>
      <w:bookmarkEnd w:id="6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bookmarkStart w:id="64" w:name="_Toc19775"/>
      <w:bookmarkStart w:id="65" w:name="_Toc10614"/>
      <w:bookmarkStart w:id="66" w:name="_Toc29811"/>
      <w:r>
        <w:rPr>
          <w:rFonts w:hint="eastAsia" w:ascii="仿宋_GB2312" w:hAnsi="仿宋_GB2312" w:eastAsia="仿宋_GB2312" w:cs="仿宋_GB2312"/>
          <w:color w:val="auto"/>
          <w:sz w:val="32"/>
          <w:szCs w:val="32"/>
        </w:rPr>
        <w:t>2023年度本年支出合计22171.16万元，其中：基本支出235.68万元，占</w:t>
      </w:r>
      <w:bookmarkStart w:id="67" w:name="OLE_LINK2"/>
      <w:r>
        <w:rPr>
          <w:rFonts w:hint="eastAsia" w:ascii="仿宋_GB2312" w:hAnsi="仿宋_GB2312" w:eastAsia="仿宋_GB2312" w:cs="仿宋_GB2312"/>
          <w:color w:val="auto"/>
          <w:sz w:val="32"/>
          <w:szCs w:val="32"/>
        </w:rPr>
        <w:t>1.06%</w:t>
      </w:r>
      <w:bookmarkEnd w:id="67"/>
      <w:r>
        <w:rPr>
          <w:rFonts w:hint="eastAsia" w:ascii="仿宋_GB2312" w:hAnsi="仿宋_GB2312" w:eastAsia="仿宋_GB2312" w:cs="仿宋_GB2312"/>
          <w:color w:val="auto"/>
          <w:sz w:val="32"/>
          <w:szCs w:val="32"/>
        </w:rPr>
        <w:t>；项目支出21935.48万元，占98.93%；</w:t>
      </w:r>
      <w:bookmarkEnd w:id="64"/>
      <w:bookmarkEnd w:id="65"/>
      <w:bookmarkEnd w:id="66"/>
    </w:p>
    <w:p>
      <w:pPr>
        <w:spacing w:line="600" w:lineRule="exact"/>
        <w:ind w:firstLine="643" w:firstLineChars="200"/>
        <w:outlineLvl w:val="1"/>
        <w:rPr>
          <w:rFonts w:ascii="仿宋" w:hAnsi="仿宋" w:eastAsia="仿宋"/>
          <w:sz w:val="32"/>
          <w:szCs w:val="32"/>
        </w:rPr>
      </w:pPr>
      <w:bookmarkStart w:id="68" w:name="_Toc32197"/>
      <w:bookmarkStart w:id="69" w:name="_Toc8747"/>
      <w:bookmarkStart w:id="70" w:name="_Toc12020"/>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bookmarkEnd w:id="68"/>
      <w:bookmarkEnd w:id="69"/>
      <w:bookmarkEnd w:id="70"/>
    </w:p>
    <w:p>
      <w:pPr>
        <w:spacing w:line="240" w:lineRule="auto"/>
        <w:ind w:firstLine="640" w:firstLineChars="200"/>
        <w:jc w:val="center"/>
        <w:rPr>
          <w:rFonts w:hint="eastAsia" w:ascii="仿宋" w:hAnsi="仿宋" w:eastAsia="仿宋"/>
          <w:sz w:val="32"/>
          <w:szCs w:val="32"/>
        </w:rPr>
      </w:pPr>
      <w:r>
        <w:rPr>
          <w:rFonts w:hint="eastAsia" w:ascii="仿宋" w:hAnsi="仿宋" w:eastAsia="仿宋"/>
          <w:sz w:val="32"/>
          <w:szCs w:val="32"/>
        </w:rPr>
        <w:drawing>
          <wp:inline distT="0" distB="0" distL="114300" distR="114300">
            <wp:extent cx="3035935" cy="2346960"/>
            <wp:effectExtent l="0" t="0" r="12065" b="15240"/>
            <wp:docPr id="2" name="图片 2"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6"/>
                    <pic:cNvPicPr>
                      <a:picLocks noChangeAspect="1"/>
                    </pic:cNvPicPr>
                  </pic:nvPicPr>
                  <pic:blipFill>
                    <a:blip r:embed="rId8"/>
                    <a:stretch>
                      <a:fillRect/>
                    </a:stretch>
                  </pic:blipFill>
                  <pic:spPr>
                    <a:xfrm>
                      <a:off x="0" y="0"/>
                      <a:ext cx="3035935" cy="2346960"/>
                    </a:xfrm>
                    <a:prstGeom prst="rect">
                      <a:avLst/>
                    </a:prstGeom>
                  </pic:spPr>
                </pic:pic>
              </a:graphicData>
            </a:graphic>
          </wp:inline>
        </w:drawing>
      </w:r>
    </w:p>
    <w:p>
      <w:pPr>
        <w:spacing w:line="600" w:lineRule="exact"/>
        <w:jc w:val="center"/>
        <w:rPr>
          <w:rFonts w:ascii="仿宋" w:hAnsi="仿宋" w:eastAsia="仿宋"/>
          <w:sz w:val="32"/>
          <w:szCs w:val="32"/>
        </w:rPr>
      </w:pPr>
      <w:bookmarkStart w:id="71" w:name="OLE_LINK10"/>
      <w:r>
        <w:rPr>
          <w:rFonts w:hint="eastAsia" w:ascii="仿宋" w:hAnsi="仿宋" w:eastAsia="仿宋"/>
          <w:sz w:val="32"/>
          <w:szCs w:val="32"/>
        </w:rPr>
        <w:t>（图3：支出决算结构图）（饼状图）</w:t>
      </w:r>
    </w:p>
    <w:bookmarkEnd w:id="71"/>
    <w:p>
      <w:pPr>
        <w:spacing w:line="600" w:lineRule="exact"/>
        <w:ind w:firstLine="320" w:firstLineChars="100"/>
        <w:outlineLvl w:val="1"/>
        <w:rPr>
          <w:rStyle w:val="29"/>
          <w:rFonts w:ascii="黑体" w:hAnsi="黑体" w:eastAsia="黑体"/>
          <w:b w:val="0"/>
        </w:rPr>
      </w:pPr>
      <w:bookmarkStart w:id="72" w:name="_Toc15377208"/>
      <w:bookmarkStart w:id="73" w:name="_Toc11560"/>
      <w:bookmarkStart w:id="74" w:name="_Toc15396606"/>
      <w:bookmarkStart w:id="75" w:name="_Toc5085"/>
      <w:bookmarkStart w:id="76" w:name="_Toc11220"/>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72"/>
      <w:bookmarkEnd w:id="73"/>
      <w:bookmarkEnd w:id="74"/>
      <w:bookmarkEnd w:id="75"/>
      <w:bookmarkEnd w:id="7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2023年度财政拨款收、支总计均为22171.16万元。与20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年相比，财政拨款收、支总计各</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7246.54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lang w:val="en-US" w:eastAsia="zh-CN"/>
        </w:rPr>
        <w:t>24.63</w:t>
      </w:r>
      <w:r>
        <w:rPr>
          <w:rFonts w:hint="eastAsia" w:ascii="仿宋_GB2312" w:hAnsi="仿宋_GB2312" w:eastAsia="仿宋_GB2312" w:cs="仿宋_GB2312"/>
          <w:color w:val="auto"/>
          <w:sz w:val="32"/>
          <w:szCs w:val="32"/>
        </w:rPr>
        <w:t>%。主要变动原因是因为</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年度财政资金统筹政府性基金预算安排建设项目支出</w:t>
      </w: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spacing w:line="240" w:lineRule="auto"/>
        <w:ind w:firstLine="640"/>
        <w:rPr>
          <w:rFonts w:hint="eastAsia" w:ascii="仿宋" w:hAnsi="仿宋" w:eastAsia="仿宋"/>
          <w:b/>
          <w:color w:val="FF0000"/>
          <w:sz w:val="32"/>
          <w:szCs w:val="32"/>
          <w:highlight w:val="none"/>
          <w:lang w:eastAsia="zh-CN"/>
        </w:rPr>
      </w:pPr>
      <w:r>
        <w:rPr>
          <w:rFonts w:hint="eastAsia" w:ascii="仿宋" w:hAnsi="仿宋" w:eastAsia="仿宋"/>
          <w:b/>
          <w:color w:val="FF0000"/>
          <w:sz w:val="32"/>
          <w:szCs w:val="32"/>
          <w:highlight w:val="none"/>
          <w:lang w:eastAsia="zh-CN"/>
        </w:rPr>
        <w:drawing>
          <wp:inline distT="0" distB="0" distL="114300" distR="114300">
            <wp:extent cx="3559810" cy="2792095"/>
            <wp:effectExtent l="0" t="0" r="2540" b="8255"/>
            <wp:docPr id="7" name="图片 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2"/>
                    <pic:cNvPicPr>
                      <a:picLocks noChangeAspect="1"/>
                    </pic:cNvPicPr>
                  </pic:nvPicPr>
                  <pic:blipFill>
                    <a:blip r:embed="rId9"/>
                    <a:stretch>
                      <a:fillRect/>
                    </a:stretch>
                  </pic:blipFill>
                  <pic:spPr>
                    <a:xfrm>
                      <a:off x="0" y="0"/>
                      <a:ext cx="3559810" cy="2792095"/>
                    </a:xfrm>
                    <a:prstGeom prst="rect">
                      <a:avLst/>
                    </a:prstGeom>
                  </pic:spPr>
                </pic:pic>
              </a:graphicData>
            </a:graphic>
          </wp:inline>
        </w:drawing>
      </w:r>
    </w:p>
    <w:p>
      <w:pPr>
        <w:pStyle w:val="13"/>
        <w:rPr>
          <w:color w:val="FF0000"/>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320" w:firstLineChars="100"/>
        <w:outlineLvl w:val="1"/>
        <w:rPr>
          <w:rStyle w:val="29"/>
          <w:rFonts w:ascii="黑体" w:hAnsi="黑体" w:eastAsia="黑体"/>
          <w:b w:val="0"/>
        </w:rPr>
      </w:pPr>
      <w:bookmarkStart w:id="77" w:name="_Toc15396607"/>
      <w:bookmarkStart w:id="78" w:name="_Toc15377209"/>
      <w:bookmarkStart w:id="79" w:name="_Toc30339"/>
      <w:bookmarkStart w:id="80" w:name="_Toc8686"/>
      <w:bookmarkStart w:id="81" w:name="_Toc10140"/>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77"/>
      <w:bookmarkEnd w:id="78"/>
      <w:bookmarkEnd w:id="79"/>
      <w:bookmarkEnd w:id="80"/>
      <w:bookmarkEnd w:id="81"/>
    </w:p>
    <w:p>
      <w:pPr>
        <w:spacing w:line="600" w:lineRule="exact"/>
        <w:ind w:firstLine="643" w:firstLineChars="200"/>
        <w:outlineLvl w:val="2"/>
        <w:rPr>
          <w:rFonts w:ascii="仿宋" w:hAnsi="仿宋" w:eastAsia="仿宋"/>
          <w:b/>
          <w:sz w:val="32"/>
          <w:szCs w:val="32"/>
        </w:rPr>
      </w:pPr>
      <w:bookmarkStart w:id="82" w:name="_Toc15377210"/>
      <w:r>
        <w:rPr>
          <w:rFonts w:hint="eastAsia" w:ascii="仿宋" w:hAnsi="仿宋" w:eastAsia="仿宋"/>
          <w:b/>
          <w:sz w:val="32"/>
          <w:szCs w:val="32"/>
        </w:rPr>
        <w:t>（一）一般公共预算财政拨款支出决算总体情况</w:t>
      </w:r>
      <w:bookmarkEnd w:id="8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2023年度一般公共预算财政拨款支出1750.32万元，占本年支出合计的7.89%。与</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年相比，一般公共预算财政拨款</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1523.13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389</w:t>
      </w:r>
      <w:r>
        <w:rPr>
          <w:rFonts w:hint="eastAsia" w:ascii="仿宋_GB2312" w:hAnsi="仿宋_GB2312" w:eastAsia="仿宋_GB2312" w:cs="仿宋_GB2312"/>
          <w:sz w:val="32"/>
          <w:szCs w:val="32"/>
        </w:rPr>
        <w:t>%。主要变动原因是因为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人员变动而</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的人员经费、工会经费、福利费以及公用经费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2、空港基础设施建设在一般公共预算财政拨款中安排1514.64万元。</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3559810" cy="2792095"/>
            <wp:effectExtent l="0" t="0" r="2540" b="8255"/>
            <wp:docPr id="9" name="图片 9"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6"/>
                    <pic:cNvPicPr>
                      <a:picLocks noChangeAspect="1"/>
                    </pic:cNvPicPr>
                  </pic:nvPicPr>
                  <pic:blipFill>
                    <a:blip r:embed="rId10"/>
                    <a:stretch>
                      <a:fillRect/>
                    </a:stretch>
                  </pic:blipFill>
                  <pic:spPr>
                    <a:xfrm>
                      <a:off x="0" y="0"/>
                      <a:ext cx="3559810" cy="2792095"/>
                    </a:xfrm>
                    <a:prstGeom prst="rect">
                      <a:avLst/>
                    </a:prstGeom>
                  </pic:spPr>
                </pic:pic>
              </a:graphicData>
            </a:graphic>
          </wp:inline>
        </w:drawing>
      </w:r>
    </w:p>
    <w:p>
      <w:pPr>
        <w:pStyle w:val="13"/>
        <w:rPr>
          <w:rFonts w:hint="eastAsia"/>
          <w:color w:val="auto"/>
          <w:lang w:val="en-US" w:eastAsia="zh-CN"/>
        </w:rPr>
      </w:pPr>
      <w:r>
        <w:rPr>
          <w:rFonts w:hint="eastAsia" w:ascii="仿宋" w:hAnsi="仿宋" w:eastAsia="仿宋"/>
          <w:color w:val="auto"/>
          <w:sz w:val="32"/>
          <w:szCs w:val="32"/>
          <w:highlight w:val="none"/>
        </w:rPr>
        <w:t>（图5：一般公共预算财政拨款支出决算变动情况）（柱状图）</w:t>
      </w:r>
    </w:p>
    <w:p>
      <w:pPr>
        <w:tabs>
          <w:tab w:val="left" w:pos="639"/>
        </w:tabs>
        <w:spacing w:line="600" w:lineRule="exact"/>
        <w:ind w:firstLine="640" w:firstLineChars="200"/>
        <w:rPr>
          <w:rFonts w:ascii="仿宋" w:hAnsi="仿宋" w:eastAsia="仿宋"/>
          <w:b/>
          <w:sz w:val="32"/>
          <w:szCs w:val="32"/>
        </w:rPr>
      </w:pPr>
      <w:r>
        <w:rPr>
          <w:rFonts w:hint="eastAsia" w:ascii="仿宋_GB2312" w:hAnsi="仿宋_GB2312" w:eastAsia="仿宋_GB2312" w:cs="仿宋_GB2312"/>
          <w:color w:val="FF0000"/>
          <w:sz w:val="32"/>
          <w:szCs w:val="32"/>
          <w:lang w:eastAsia="zh-CN"/>
        </w:rPr>
        <w:tab/>
      </w:r>
      <w:bookmarkStart w:id="83" w:name="_Toc15377211"/>
      <w:r>
        <w:rPr>
          <w:rFonts w:hint="eastAsia" w:ascii="仿宋" w:hAnsi="仿宋" w:eastAsia="仿宋"/>
          <w:b/>
          <w:sz w:val="32"/>
          <w:szCs w:val="32"/>
        </w:rPr>
        <w:t>（二）一般公共预算财政拨款支出决算结构情况</w:t>
      </w:r>
      <w:bookmarkEnd w:id="83"/>
    </w:p>
    <w:p>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2023年度一般公共预算财政拨款支出1750.32万元，主要用于以下方面:社会保障和就业支出36.47</w:t>
      </w:r>
      <w:bookmarkStart w:id="84" w:name="OLE_LINK3"/>
      <w:r>
        <w:rPr>
          <w:rFonts w:hint="eastAsia" w:ascii="仿宋_GB2312" w:hAnsi="仿宋_GB2312" w:eastAsia="仿宋_GB2312" w:cs="仿宋_GB2312"/>
          <w:sz w:val="32"/>
          <w:szCs w:val="32"/>
          <w:lang w:val="en-US" w:eastAsia="zh-CN"/>
        </w:rPr>
        <w:t>万元，占2.08%</w:t>
      </w:r>
      <w:bookmarkEnd w:id="84"/>
      <w:r>
        <w:rPr>
          <w:rFonts w:hint="eastAsia" w:ascii="仿宋_GB2312" w:hAnsi="仿宋_GB2312" w:eastAsia="仿宋_GB2312" w:cs="仿宋_GB2312"/>
          <w:sz w:val="32"/>
          <w:szCs w:val="32"/>
          <w:lang w:val="en-US" w:eastAsia="zh-CN"/>
        </w:rPr>
        <w:t>；卫生健康支出5.82万元，占0.33%%；资源勘探工程信息等支出1691.48万元，</w:t>
      </w:r>
      <w:bookmarkStart w:id="85" w:name="OLE_LINK6"/>
      <w:r>
        <w:rPr>
          <w:rFonts w:hint="eastAsia" w:ascii="仿宋_GB2312" w:hAnsi="仿宋_GB2312" w:eastAsia="仿宋_GB2312" w:cs="仿宋_GB2312"/>
          <w:sz w:val="32"/>
          <w:szCs w:val="32"/>
          <w:lang w:val="en-US" w:eastAsia="zh-CN"/>
        </w:rPr>
        <w:t>占</w:t>
      </w:r>
      <w:bookmarkStart w:id="86" w:name="OLE_LINK5"/>
      <w:r>
        <w:rPr>
          <w:rFonts w:hint="eastAsia" w:ascii="仿宋_GB2312" w:hAnsi="仿宋_GB2312" w:eastAsia="仿宋_GB2312" w:cs="仿宋_GB2312"/>
          <w:sz w:val="32"/>
          <w:szCs w:val="32"/>
          <w:lang w:val="en-US" w:eastAsia="zh-CN"/>
        </w:rPr>
        <w:t>96.64%</w:t>
      </w:r>
      <w:bookmarkEnd w:id="85"/>
      <w:r>
        <w:rPr>
          <w:rFonts w:hint="eastAsia" w:ascii="仿宋_GB2312" w:hAnsi="仿宋_GB2312" w:eastAsia="仿宋_GB2312" w:cs="仿宋_GB2312"/>
          <w:sz w:val="32"/>
          <w:szCs w:val="32"/>
          <w:lang w:val="en-US" w:eastAsia="zh-CN"/>
        </w:rPr>
        <w:t>；</w:t>
      </w:r>
      <w:bookmarkEnd w:id="86"/>
      <w:r>
        <w:rPr>
          <w:rFonts w:hint="eastAsia" w:ascii="仿宋_GB2312" w:hAnsi="仿宋_GB2312" w:eastAsia="仿宋_GB2312" w:cs="仿宋_GB2312"/>
          <w:sz w:val="32"/>
          <w:szCs w:val="32"/>
          <w:lang w:val="en-US" w:eastAsia="zh-CN"/>
        </w:rPr>
        <w:t>住房保障支出16.54</w:t>
      </w:r>
      <w:bookmarkStart w:id="87" w:name="OLE_LINK4"/>
      <w:r>
        <w:rPr>
          <w:rFonts w:hint="eastAsia" w:ascii="仿宋_GB2312" w:hAnsi="仿宋_GB2312" w:eastAsia="仿宋_GB2312" w:cs="仿宋_GB2312"/>
          <w:sz w:val="32"/>
          <w:szCs w:val="32"/>
          <w:lang w:val="en-US" w:eastAsia="zh-CN"/>
        </w:rPr>
        <w:t>万元占0.94%</w:t>
      </w:r>
      <w:bookmarkEnd w:id="87"/>
      <w:r>
        <w:rPr>
          <w:rFonts w:hint="eastAsia" w:ascii="仿宋_GB2312" w:hAnsi="仿宋_GB2312" w:eastAsia="仿宋_GB2312" w:cs="仿宋_GB2312"/>
          <w:sz w:val="32"/>
          <w:szCs w:val="32"/>
          <w:lang w:val="en-US" w:eastAsia="zh-CN"/>
        </w:rPr>
        <w:t>。</w:t>
      </w:r>
    </w:p>
    <w:p>
      <w:pPr>
        <w:spacing w:line="600" w:lineRule="exact"/>
        <w:ind w:firstLine="64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（注：数据来源于财决01-1表，仅罗列本单位涉及的全部功能分类科目，至类级。）</w:t>
      </w:r>
    </w:p>
    <w:p>
      <w:pPr>
        <w:pStyle w:val="19"/>
        <w:jc w:val="both"/>
        <w:outlineLvl w:val="9"/>
        <w:rPr>
          <w:rFonts w:hint="eastAsia" w:eastAsia="仿宋"/>
          <w:lang w:eastAsia="zh-CN"/>
        </w:rPr>
      </w:pPr>
      <w:r>
        <w:rPr>
          <w:rFonts w:hint="eastAsia" w:eastAsia="仿宋"/>
          <w:lang w:eastAsia="zh-CN"/>
        </w:rPr>
        <w:drawing>
          <wp:inline distT="0" distB="0" distL="114300" distR="114300">
            <wp:extent cx="3035935" cy="2767330"/>
            <wp:effectExtent l="0" t="0" r="12065" b="13970"/>
            <wp:docPr id="5" name="图片 5"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8"/>
                    <pic:cNvPicPr>
                      <a:picLocks noChangeAspect="1"/>
                    </pic:cNvPicPr>
                  </pic:nvPicPr>
                  <pic:blipFill>
                    <a:blip r:embed="rId11"/>
                    <a:stretch>
                      <a:fillRect/>
                    </a:stretch>
                  </pic:blipFill>
                  <pic:spPr>
                    <a:xfrm>
                      <a:off x="0" y="0"/>
                      <a:ext cx="3035935" cy="2767330"/>
                    </a:xfrm>
                    <a:prstGeom prst="rect">
                      <a:avLst/>
                    </a:prstGeom>
                  </pic:spPr>
                </pic:pic>
              </a:graphicData>
            </a:graphic>
          </wp:inline>
        </w:drawing>
      </w:r>
    </w:p>
    <w:p>
      <w:pPr>
        <w:spacing w:line="600" w:lineRule="exact"/>
        <w:ind w:firstLine="640" w:firstLineChars="200"/>
        <w:jc w:val="both"/>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（图6：一般公共预算财政拨款支出决算结构）（饼状图）</w:t>
      </w:r>
    </w:p>
    <w:p>
      <w:pPr>
        <w:spacing w:line="600" w:lineRule="exact"/>
        <w:outlineLvl w:val="2"/>
        <w:rPr>
          <w:rFonts w:ascii="仿宋" w:hAnsi="仿宋" w:eastAsia="仿宋"/>
          <w:b/>
          <w:sz w:val="32"/>
          <w:szCs w:val="32"/>
        </w:rPr>
      </w:pPr>
      <w:bookmarkStart w:id="88" w:name="_Toc15377212"/>
      <w:r>
        <w:rPr>
          <w:rFonts w:hint="eastAsia" w:ascii="仿宋" w:hAnsi="仿宋" w:eastAsia="仿宋"/>
          <w:b/>
          <w:sz w:val="32"/>
          <w:szCs w:val="32"/>
        </w:rPr>
        <w:t>（三）一般公共预算财政拨款支出决算具体情况</w:t>
      </w:r>
      <w:bookmarkEnd w:id="88"/>
    </w:p>
    <w:p>
      <w:pPr>
        <w:spacing w:line="600" w:lineRule="exact"/>
        <w:ind w:firstLine="643" w:firstLineChars="200"/>
        <w:outlineLvl w:val="1"/>
        <w:rPr>
          <w:rStyle w:val="17"/>
          <w:rFonts w:hint="eastAsia" w:ascii="仿宋" w:hAnsi="仿宋" w:eastAsia="仿宋"/>
          <w:bCs/>
          <w:sz w:val="32"/>
          <w:szCs w:val="32"/>
        </w:rPr>
      </w:pPr>
      <w:bookmarkStart w:id="89" w:name="_Toc15378460"/>
      <w:bookmarkStart w:id="90" w:name="_Toc1210"/>
      <w:bookmarkStart w:id="91" w:name="_Toc31503"/>
      <w:bookmarkStart w:id="92" w:name="_Toc26038"/>
      <w:bookmarkStart w:id="93" w:name="_Toc15377213"/>
      <w:bookmarkStart w:id="94" w:name="_Toc15377444"/>
      <w:r>
        <w:rPr>
          <w:rFonts w:hint="eastAsia" w:ascii="仿宋" w:hAnsi="仿宋" w:eastAsia="仿宋"/>
          <w:b/>
          <w:sz w:val="32"/>
          <w:szCs w:val="32"/>
        </w:rPr>
        <w:t>2023年度一般公共预算支出决算数为</w:t>
      </w:r>
      <w:r>
        <w:rPr>
          <w:rFonts w:ascii="仿宋" w:hAnsi="仿宋" w:eastAsia="仿宋"/>
          <w:b/>
          <w:sz w:val="32"/>
          <w:szCs w:val="32"/>
        </w:rPr>
        <w:t>1750.32</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89"/>
      <w:bookmarkEnd w:id="90"/>
      <w:bookmarkEnd w:id="91"/>
      <w:bookmarkEnd w:id="92"/>
      <w:bookmarkEnd w:id="93"/>
      <w:bookmarkEnd w:id="94"/>
    </w:p>
    <w:p>
      <w:pPr>
        <w:spacing w:line="600" w:lineRule="exact"/>
        <w:ind w:firstLine="640" w:firstLineChars="200"/>
        <w:rPr>
          <w:rFonts w:hint="eastAsia" w:ascii="仿宋_GB2312" w:eastAsia="仿宋_GB2312"/>
          <w:color w:val="auto"/>
          <w:sz w:val="32"/>
          <w:szCs w:val="32"/>
          <w:lang w:eastAsia="zh-CN"/>
        </w:rPr>
      </w:pPr>
      <w:bookmarkStart w:id="95" w:name="OLE_LINK19"/>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社会保障和就业支出（类）行政事业单位养老支出（款）机关事业单位基本养老保险缴费支出（项）:支出决算为</w:t>
      </w:r>
      <w:r>
        <w:rPr>
          <w:rFonts w:hint="eastAsia" w:ascii="仿宋_GB2312" w:eastAsia="仿宋_GB2312"/>
          <w:color w:val="auto"/>
          <w:sz w:val="32"/>
          <w:szCs w:val="32"/>
          <w:lang w:val="en-US" w:eastAsia="zh-CN"/>
        </w:rPr>
        <w:t>21.68</w:t>
      </w:r>
      <w:r>
        <w:rPr>
          <w:rFonts w:hint="eastAsia" w:ascii="仿宋_GB2312" w:eastAsia="仿宋_GB2312"/>
          <w:color w:val="auto"/>
          <w:sz w:val="32"/>
          <w:szCs w:val="32"/>
          <w:lang w:eastAsia="zh-CN"/>
        </w:rPr>
        <w:t>万元，</w:t>
      </w:r>
      <w:bookmarkStart w:id="96" w:name="OLE_LINK7"/>
      <w:r>
        <w:rPr>
          <w:rFonts w:hint="eastAsia" w:ascii="仿宋_GB2312" w:eastAsia="仿宋_GB2312"/>
          <w:color w:val="auto"/>
          <w:sz w:val="32"/>
          <w:szCs w:val="32"/>
          <w:lang w:eastAsia="zh-CN"/>
        </w:rPr>
        <w:t>完成预算</w:t>
      </w:r>
      <w:bookmarkStart w:id="97" w:name="OLE_LINK15"/>
      <w:r>
        <w:rPr>
          <w:rFonts w:hint="eastAsia" w:ascii="仿宋_GB2312" w:eastAsia="仿宋_GB2312"/>
          <w:color w:val="auto"/>
          <w:sz w:val="32"/>
          <w:szCs w:val="32"/>
          <w:lang w:val="en-US" w:eastAsia="zh-CN"/>
        </w:rPr>
        <w:t>100</w:t>
      </w:r>
      <w:r>
        <w:rPr>
          <w:rFonts w:hint="eastAsia" w:ascii="仿宋_GB2312" w:eastAsia="仿宋_GB2312"/>
          <w:color w:val="auto"/>
          <w:sz w:val="32"/>
          <w:szCs w:val="32"/>
          <w:lang w:eastAsia="zh-CN"/>
        </w:rPr>
        <w:t>%</w:t>
      </w:r>
      <w:bookmarkEnd w:id="96"/>
      <w:r>
        <w:rPr>
          <w:rFonts w:hint="eastAsia" w:ascii="仿宋_GB2312" w:eastAsia="仿宋_GB2312"/>
          <w:color w:val="auto"/>
          <w:sz w:val="32"/>
          <w:szCs w:val="32"/>
          <w:lang w:eastAsia="zh-CN"/>
        </w:rPr>
        <w:t>。</w:t>
      </w:r>
      <w:bookmarkEnd w:id="97"/>
      <w:r>
        <w:rPr>
          <w:rFonts w:hint="eastAsia" w:ascii="仿宋_GB2312" w:eastAsia="仿宋_GB2312"/>
          <w:color w:val="auto"/>
          <w:sz w:val="32"/>
          <w:szCs w:val="32"/>
          <w:lang w:eastAsia="zh-CN"/>
        </w:rPr>
        <w:t xml:space="preserve"> </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社会保障和就业支出（类）行政事业单位养老支出（款）机关事业单位职业年金缴费支出（项）:支出决算为</w:t>
      </w:r>
      <w:r>
        <w:rPr>
          <w:rFonts w:hint="eastAsia" w:ascii="仿宋_GB2312" w:eastAsia="仿宋_GB2312"/>
          <w:color w:val="auto"/>
          <w:sz w:val="32"/>
          <w:szCs w:val="32"/>
          <w:lang w:val="en-US" w:eastAsia="zh-CN"/>
        </w:rPr>
        <w:t>12.68</w:t>
      </w:r>
      <w:r>
        <w:rPr>
          <w:rFonts w:hint="eastAsia" w:ascii="仿宋_GB2312" w:eastAsia="仿宋_GB2312"/>
          <w:color w:val="auto"/>
          <w:sz w:val="32"/>
          <w:szCs w:val="32"/>
          <w:lang w:eastAsia="zh-CN"/>
        </w:rPr>
        <w:t>万元，完成预算</w:t>
      </w:r>
      <w:r>
        <w:rPr>
          <w:rFonts w:hint="eastAsia" w:ascii="仿宋_GB2312" w:eastAsia="仿宋_GB2312"/>
          <w:color w:val="auto"/>
          <w:sz w:val="32"/>
          <w:szCs w:val="32"/>
          <w:lang w:val="en-US" w:eastAsia="zh-CN"/>
        </w:rPr>
        <w:t>100</w:t>
      </w:r>
      <w:r>
        <w:rPr>
          <w:rFonts w:hint="eastAsia" w:ascii="仿宋_GB2312" w:eastAsia="仿宋_GB2312"/>
          <w:color w:val="auto"/>
          <w:sz w:val="32"/>
          <w:szCs w:val="32"/>
          <w:lang w:eastAsia="zh-CN"/>
        </w:rPr>
        <w:t>%。</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3.社</w:t>
      </w:r>
      <w:r>
        <w:rPr>
          <w:rFonts w:hint="eastAsia" w:ascii="仿宋_GB2312" w:eastAsia="仿宋_GB2312"/>
          <w:color w:val="auto"/>
          <w:sz w:val="32"/>
          <w:szCs w:val="32"/>
          <w:lang w:eastAsia="zh-CN"/>
        </w:rPr>
        <w:t>会保障和就业支出（类）行政事业单位养老支出（款）其他行政事业单位养老支出（项）:支出决算为</w:t>
      </w:r>
      <w:r>
        <w:rPr>
          <w:rFonts w:hint="eastAsia" w:ascii="仿宋_GB2312" w:eastAsia="仿宋_GB2312"/>
          <w:color w:val="auto"/>
          <w:sz w:val="32"/>
          <w:szCs w:val="32"/>
          <w:lang w:val="en-US" w:eastAsia="zh-CN"/>
        </w:rPr>
        <w:t>2.62</w:t>
      </w:r>
      <w:r>
        <w:rPr>
          <w:rFonts w:hint="eastAsia" w:ascii="仿宋_GB2312" w:eastAsia="仿宋_GB2312"/>
          <w:color w:val="auto"/>
          <w:sz w:val="32"/>
          <w:szCs w:val="32"/>
          <w:lang w:eastAsia="zh-CN"/>
        </w:rPr>
        <w:t>万元，完成预算</w:t>
      </w:r>
      <w:r>
        <w:rPr>
          <w:rFonts w:hint="eastAsia" w:ascii="仿宋_GB2312" w:eastAsia="仿宋_GB2312"/>
          <w:color w:val="auto"/>
          <w:sz w:val="32"/>
          <w:szCs w:val="32"/>
          <w:lang w:val="en-US" w:eastAsia="zh-CN"/>
        </w:rPr>
        <w:t>100</w:t>
      </w:r>
      <w:r>
        <w:rPr>
          <w:rFonts w:hint="eastAsia" w:ascii="仿宋_GB2312" w:eastAsia="仿宋_GB2312"/>
          <w:color w:val="auto"/>
          <w:sz w:val="32"/>
          <w:szCs w:val="32"/>
          <w:lang w:eastAsia="zh-CN"/>
        </w:rPr>
        <w:t>%。</w:t>
      </w:r>
    </w:p>
    <w:p>
      <w:pPr>
        <w:spacing w:line="600" w:lineRule="exact"/>
        <w:ind w:firstLine="640" w:firstLineChars="200"/>
        <w:rPr>
          <w:rFonts w:hint="eastAsia" w:ascii="仿宋_GB2312" w:eastAsia="仿宋_GB2312"/>
          <w:color w:val="auto"/>
          <w:sz w:val="32"/>
          <w:szCs w:val="32"/>
          <w:lang w:eastAsia="zh-CN"/>
        </w:rPr>
      </w:pPr>
      <w:bookmarkStart w:id="98" w:name="OLE_LINK20"/>
      <w:r>
        <w:rPr>
          <w:rFonts w:hint="eastAsia" w:ascii="仿宋_GB2312" w:eastAsia="仿宋_GB2312"/>
          <w:color w:val="auto"/>
          <w:sz w:val="32"/>
          <w:szCs w:val="32"/>
          <w:lang w:eastAsia="zh-CN"/>
        </w:rPr>
        <w:t xml:space="preserve"> </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卫生健康支出（类）行政事业单位医疗（款）行政单位医疗（项）:支出决算为</w:t>
      </w:r>
      <w:r>
        <w:rPr>
          <w:rFonts w:hint="eastAsia" w:ascii="仿宋_GB2312" w:eastAsia="仿宋_GB2312"/>
          <w:color w:val="auto"/>
          <w:sz w:val="32"/>
          <w:szCs w:val="32"/>
          <w:lang w:val="en-US" w:eastAsia="zh-CN"/>
        </w:rPr>
        <w:t>5.02</w:t>
      </w:r>
      <w:r>
        <w:rPr>
          <w:rFonts w:hint="eastAsia" w:ascii="仿宋_GB2312" w:eastAsia="仿宋_GB2312"/>
          <w:color w:val="auto"/>
          <w:sz w:val="32"/>
          <w:szCs w:val="32"/>
          <w:lang w:eastAsia="zh-CN"/>
        </w:rPr>
        <w:t>万元，完成预算</w:t>
      </w:r>
      <w:r>
        <w:rPr>
          <w:rFonts w:hint="eastAsia" w:ascii="仿宋_GB2312" w:eastAsia="仿宋_GB2312"/>
          <w:color w:val="auto"/>
          <w:sz w:val="32"/>
          <w:szCs w:val="32"/>
          <w:lang w:val="en-US" w:eastAsia="zh-CN"/>
        </w:rPr>
        <w:t>100</w:t>
      </w:r>
      <w:r>
        <w:rPr>
          <w:rFonts w:hint="eastAsia" w:ascii="仿宋_GB2312" w:eastAsia="仿宋_GB2312"/>
          <w:color w:val="auto"/>
          <w:sz w:val="32"/>
          <w:szCs w:val="32"/>
          <w:lang w:eastAsia="zh-CN"/>
        </w:rPr>
        <w:t>%。</w:t>
      </w:r>
      <w:bookmarkEnd w:id="98"/>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 xml:space="preserve"> </w:t>
      </w: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卫生健康支出（类）行政事业单位医疗（款）公务员医疗补助（项）:支出决算为</w:t>
      </w:r>
      <w:r>
        <w:rPr>
          <w:rFonts w:hint="eastAsia" w:ascii="仿宋_GB2312" w:eastAsia="仿宋_GB2312"/>
          <w:color w:val="auto"/>
          <w:sz w:val="32"/>
          <w:szCs w:val="32"/>
          <w:lang w:val="en-US" w:eastAsia="zh-CN"/>
        </w:rPr>
        <w:t>0.80</w:t>
      </w:r>
      <w:r>
        <w:rPr>
          <w:rFonts w:hint="eastAsia" w:ascii="仿宋_GB2312" w:eastAsia="仿宋_GB2312"/>
          <w:color w:val="auto"/>
          <w:sz w:val="32"/>
          <w:szCs w:val="32"/>
          <w:lang w:eastAsia="zh-CN"/>
        </w:rPr>
        <w:t>万元，完成预算</w:t>
      </w:r>
      <w:r>
        <w:rPr>
          <w:rFonts w:hint="eastAsia" w:ascii="仿宋_GB2312" w:eastAsia="仿宋_GB2312"/>
          <w:color w:val="auto"/>
          <w:sz w:val="32"/>
          <w:szCs w:val="32"/>
          <w:lang w:val="en-US" w:eastAsia="zh-CN"/>
        </w:rPr>
        <w:t>100</w:t>
      </w:r>
      <w:r>
        <w:rPr>
          <w:rFonts w:hint="eastAsia" w:ascii="仿宋_GB2312" w:eastAsia="仿宋_GB2312"/>
          <w:color w:val="auto"/>
          <w:sz w:val="32"/>
          <w:szCs w:val="32"/>
          <w:lang w:eastAsia="zh-CN"/>
        </w:rPr>
        <w:t>%。</w:t>
      </w:r>
    </w:p>
    <w:p>
      <w:pPr>
        <w:spacing w:line="600" w:lineRule="exact"/>
        <w:ind w:firstLine="640" w:firstLineChars="200"/>
        <w:rPr>
          <w:rFonts w:hint="eastAsia" w:ascii="仿宋_GB2312" w:eastAsia="仿宋_GB2312"/>
          <w:color w:val="auto"/>
          <w:sz w:val="32"/>
          <w:szCs w:val="32"/>
          <w:lang w:eastAsia="zh-CN"/>
        </w:rPr>
      </w:pPr>
      <w:bookmarkStart w:id="99" w:name="OLE_LINK21"/>
      <w:r>
        <w:rPr>
          <w:rFonts w:hint="eastAsia" w:ascii="仿宋_GB2312" w:eastAsia="仿宋_GB2312"/>
          <w:color w:val="auto"/>
          <w:sz w:val="32"/>
          <w:szCs w:val="32"/>
          <w:lang w:eastAsia="zh-CN"/>
        </w:rPr>
        <w:t xml:space="preserve"> </w:t>
      </w:r>
      <w:bookmarkStart w:id="100" w:name="OLE_LINK8"/>
      <w:r>
        <w:rPr>
          <w:rFonts w:hint="eastAsia" w:ascii="仿宋_GB2312" w:eastAsia="仿宋_GB2312"/>
          <w:color w:val="auto"/>
          <w:sz w:val="32"/>
          <w:szCs w:val="32"/>
          <w:lang w:val="en-US" w:eastAsia="zh-CN"/>
        </w:rPr>
        <w:t>6.</w:t>
      </w:r>
      <w:r>
        <w:rPr>
          <w:rFonts w:hint="eastAsia" w:ascii="仿宋_GB2312" w:eastAsia="仿宋_GB2312"/>
          <w:color w:val="auto"/>
          <w:sz w:val="32"/>
          <w:szCs w:val="32"/>
          <w:lang w:eastAsia="zh-CN"/>
        </w:rPr>
        <w:t>资源勘探工业信息等支出（类）工业和信息产业监管（款）行政运行（项）:支出决算为</w:t>
      </w:r>
      <w:r>
        <w:rPr>
          <w:rFonts w:hint="eastAsia" w:ascii="仿宋_GB2312" w:eastAsia="仿宋_GB2312"/>
          <w:color w:val="auto"/>
          <w:sz w:val="32"/>
          <w:szCs w:val="32"/>
          <w:lang w:val="en-US" w:eastAsia="zh-CN"/>
        </w:rPr>
        <w:t>176.26</w:t>
      </w:r>
      <w:r>
        <w:rPr>
          <w:rFonts w:hint="eastAsia" w:ascii="仿宋_GB2312" w:eastAsia="仿宋_GB2312"/>
          <w:color w:val="auto"/>
          <w:sz w:val="32"/>
          <w:szCs w:val="32"/>
          <w:lang w:eastAsia="zh-CN"/>
        </w:rPr>
        <w:t>万元，完成预算</w:t>
      </w:r>
      <w:r>
        <w:rPr>
          <w:rFonts w:hint="eastAsia" w:ascii="仿宋_GB2312" w:eastAsia="仿宋_GB2312"/>
          <w:color w:val="auto"/>
          <w:sz w:val="32"/>
          <w:szCs w:val="32"/>
          <w:lang w:val="en-US" w:eastAsia="zh-CN"/>
        </w:rPr>
        <w:t>100</w:t>
      </w:r>
      <w:r>
        <w:rPr>
          <w:rFonts w:hint="eastAsia" w:ascii="仿宋_GB2312" w:eastAsia="仿宋_GB2312"/>
          <w:color w:val="auto"/>
          <w:sz w:val="32"/>
          <w:szCs w:val="32"/>
          <w:lang w:eastAsia="zh-CN"/>
        </w:rPr>
        <w:t>%。</w:t>
      </w:r>
      <w:bookmarkEnd w:id="95"/>
      <w:bookmarkEnd w:id="100"/>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lang w:eastAsia="zh-CN"/>
        </w:rPr>
        <w:t>资源勘探工业信息等支出（类）工业和信息产业监管（款）其他工业和信息产业监管支出（项）:支出决算为</w:t>
      </w:r>
      <w:r>
        <w:rPr>
          <w:rFonts w:hint="eastAsia" w:ascii="仿宋_GB2312" w:eastAsia="仿宋_GB2312"/>
          <w:color w:val="auto"/>
          <w:sz w:val="32"/>
          <w:szCs w:val="32"/>
          <w:lang w:val="en-US" w:eastAsia="zh-CN"/>
        </w:rPr>
        <w:t>0.58</w:t>
      </w:r>
      <w:r>
        <w:rPr>
          <w:rFonts w:hint="eastAsia" w:ascii="仿宋_GB2312" w:eastAsia="仿宋_GB2312"/>
          <w:color w:val="auto"/>
          <w:sz w:val="32"/>
          <w:szCs w:val="32"/>
          <w:lang w:eastAsia="zh-CN"/>
        </w:rPr>
        <w:t>万元，完成预算</w:t>
      </w:r>
      <w:r>
        <w:rPr>
          <w:rFonts w:hint="eastAsia" w:ascii="仿宋_GB2312" w:eastAsia="仿宋_GB2312"/>
          <w:color w:val="auto"/>
          <w:sz w:val="32"/>
          <w:szCs w:val="32"/>
          <w:lang w:val="en-US" w:eastAsia="zh-CN"/>
        </w:rPr>
        <w:t>100</w:t>
      </w:r>
      <w:r>
        <w:rPr>
          <w:rFonts w:hint="eastAsia" w:ascii="仿宋_GB2312" w:eastAsia="仿宋_GB2312"/>
          <w:color w:val="auto"/>
          <w:sz w:val="32"/>
          <w:szCs w:val="32"/>
          <w:lang w:eastAsia="zh-CN"/>
        </w:rPr>
        <w:t xml:space="preserve">%。 </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lang w:eastAsia="zh-CN"/>
        </w:rPr>
        <w:t>资源勘探工业信息等支出（类）</w:t>
      </w:r>
      <w:bookmarkStart w:id="101" w:name="OLE_LINK9"/>
      <w:r>
        <w:rPr>
          <w:rFonts w:hint="eastAsia" w:ascii="仿宋_GB2312" w:eastAsia="仿宋_GB2312"/>
          <w:color w:val="auto"/>
          <w:sz w:val="32"/>
          <w:szCs w:val="32"/>
          <w:lang w:eastAsia="zh-CN"/>
        </w:rPr>
        <w:t>其他资源勘探工业信息等支出</w:t>
      </w:r>
      <w:bookmarkEnd w:id="101"/>
      <w:r>
        <w:rPr>
          <w:rFonts w:hint="eastAsia" w:ascii="仿宋_GB2312" w:eastAsia="仿宋_GB2312"/>
          <w:color w:val="auto"/>
          <w:sz w:val="32"/>
          <w:szCs w:val="32"/>
          <w:lang w:eastAsia="zh-CN"/>
        </w:rPr>
        <w:t>（款）其他资源勘探工业信息等支出（项）:支出决算为</w:t>
      </w:r>
      <w:r>
        <w:rPr>
          <w:rFonts w:hint="eastAsia" w:ascii="仿宋_GB2312" w:eastAsia="仿宋_GB2312"/>
          <w:color w:val="auto"/>
          <w:sz w:val="32"/>
          <w:szCs w:val="32"/>
          <w:lang w:val="en-US" w:eastAsia="zh-CN"/>
        </w:rPr>
        <w:t>1514.64</w:t>
      </w:r>
      <w:r>
        <w:rPr>
          <w:rFonts w:hint="eastAsia" w:ascii="仿宋_GB2312" w:eastAsia="仿宋_GB2312"/>
          <w:color w:val="auto"/>
          <w:sz w:val="32"/>
          <w:szCs w:val="32"/>
          <w:lang w:eastAsia="zh-CN"/>
        </w:rPr>
        <w:t>万元，完成预算</w:t>
      </w:r>
      <w:r>
        <w:rPr>
          <w:rFonts w:hint="eastAsia" w:ascii="仿宋_GB2312" w:eastAsia="仿宋_GB2312"/>
          <w:color w:val="auto"/>
          <w:sz w:val="32"/>
          <w:szCs w:val="32"/>
          <w:lang w:val="en-US" w:eastAsia="zh-CN"/>
        </w:rPr>
        <w:t>100</w:t>
      </w:r>
      <w:r>
        <w:rPr>
          <w:rFonts w:hint="eastAsia" w:ascii="仿宋_GB2312" w:eastAsia="仿宋_GB2312"/>
          <w:color w:val="auto"/>
          <w:sz w:val="32"/>
          <w:szCs w:val="32"/>
          <w:lang w:eastAsia="zh-CN"/>
        </w:rPr>
        <w:t xml:space="preserve">%。 </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lang w:eastAsia="zh-CN"/>
        </w:rPr>
        <w:t>住房保障支出（类）住房改革支出（款）住房公积金（项）:支出决算为</w:t>
      </w:r>
      <w:r>
        <w:rPr>
          <w:rFonts w:hint="eastAsia" w:ascii="仿宋_GB2312" w:eastAsia="仿宋_GB2312"/>
          <w:color w:val="auto"/>
          <w:sz w:val="32"/>
          <w:szCs w:val="32"/>
          <w:lang w:val="en-US" w:eastAsia="zh-CN"/>
        </w:rPr>
        <w:t>16.54</w:t>
      </w:r>
      <w:r>
        <w:rPr>
          <w:rFonts w:hint="eastAsia" w:ascii="仿宋_GB2312" w:eastAsia="仿宋_GB2312"/>
          <w:color w:val="auto"/>
          <w:sz w:val="32"/>
          <w:szCs w:val="32"/>
          <w:lang w:eastAsia="zh-CN"/>
        </w:rPr>
        <w:t>万元，完成预算</w:t>
      </w:r>
      <w:r>
        <w:rPr>
          <w:rFonts w:hint="eastAsia" w:ascii="仿宋_GB2312" w:eastAsia="仿宋_GB2312"/>
          <w:color w:val="auto"/>
          <w:sz w:val="32"/>
          <w:szCs w:val="32"/>
          <w:lang w:val="en-US" w:eastAsia="zh-CN"/>
        </w:rPr>
        <w:t>100</w:t>
      </w:r>
      <w:r>
        <w:rPr>
          <w:rFonts w:hint="eastAsia" w:ascii="仿宋_GB2312" w:eastAsia="仿宋_GB2312"/>
          <w:color w:val="auto"/>
          <w:sz w:val="32"/>
          <w:szCs w:val="32"/>
          <w:lang w:eastAsia="zh-CN"/>
        </w:rPr>
        <w:t>%。</w:t>
      </w:r>
    </w:p>
    <w:bookmarkEnd w:id="99"/>
    <w:p>
      <w:pPr>
        <w:spacing w:line="600" w:lineRule="exact"/>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w:t>
      </w:r>
    </w:p>
    <w:p>
      <w:pPr>
        <w:tabs>
          <w:tab w:val="right" w:pos="8306"/>
        </w:tabs>
        <w:spacing w:line="600" w:lineRule="exact"/>
        <w:outlineLvl w:val="1"/>
        <w:rPr>
          <w:rStyle w:val="29"/>
        </w:rPr>
      </w:pPr>
      <w:bookmarkStart w:id="102" w:name="_Toc15377214"/>
      <w:bookmarkStart w:id="103" w:name="_Toc15396608"/>
      <w:bookmarkStart w:id="104" w:name="_Toc14509"/>
      <w:bookmarkStart w:id="105" w:name="_Toc8013"/>
      <w:bookmarkStart w:id="106" w:name="_Toc3345"/>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102"/>
      <w:bookmarkEnd w:id="103"/>
      <w:bookmarkEnd w:id="104"/>
      <w:bookmarkEnd w:id="105"/>
      <w:bookmarkEnd w:id="106"/>
      <w:r>
        <w:rPr>
          <w:rStyle w:val="29"/>
          <w:rFonts w:ascii="黑体" w:hAnsi="黑体" w:eastAsia="黑体"/>
          <w:b w:val="0"/>
        </w:rPr>
        <w:tab/>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2023年度一般公共预算财政拨款基本支出235.68万元，其中：</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人员经费201.71万元，主要包括：基本工资、津贴补贴、奖金、机关事业单位基本养老保险缴费、职业年金缴费、 职工基本医疗保险缴费</w:t>
      </w:r>
      <w:r>
        <w:rPr>
          <w:rFonts w:hint="eastAsia" w:ascii="仿宋_GB2312" w:eastAsia="仿宋_GB2312"/>
          <w:color w:val="auto"/>
          <w:sz w:val="32"/>
          <w:szCs w:val="32"/>
          <w:lang w:eastAsia="zh-CN"/>
        </w:rPr>
        <w:t>、 公务员医疗补助缴费、</w:t>
      </w:r>
      <w:r>
        <w:rPr>
          <w:rFonts w:hint="eastAsia" w:ascii="仿宋_GB2312" w:eastAsia="仿宋_GB2312"/>
          <w:color w:val="auto"/>
          <w:sz w:val="32"/>
          <w:szCs w:val="32"/>
        </w:rPr>
        <w:t>其他社会保障缴费、其他工资福利支出、住房公积金、对个人和家庭的补助支出。</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公用经费33.97万元，主要包括：</w:t>
      </w:r>
      <w:r>
        <w:rPr>
          <w:rFonts w:hint="eastAsia" w:ascii="仿宋_GB2312" w:eastAsia="仿宋_GB2312"/>
          <w:color w:val="auto"/>
          <w:sz w:val="32"/>
          <w:szCs w:val="32"/>
          <w:lang w:eastAsia="zh-CN"/>
        </w:rPr>
        <w:t>办公费、邮电费、差旅费、劳务费、工会经费、福利费、其他交通费、其他商品和服务支出。</w:t>
      </w:r>
    </w:p>
    <w:p>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pPr>
        <w:spacing w:line="600" w:lineRule="exact"/>
        <w:ind w:firstLine="640"/>
        <w:rPr>
          <w:rFonts w:ascii="仿宋" w:hAnsi="仿宋" w:eastAsia="仿宋"/>
          <w:b/>
          <w:sz w:val="32"/>
          <w:szCs w:val="32"/>
        </w:rPr>
      </w:pPr>
    </w:p>
    <w:p>
      <w:pPr>
        <w:spacing w:line="600" w:lineRule="exact"/>
        <w:ind w:firstLine="640"/>
        <w:outlineLvl w:val="1"/>
        <w:rPr>
          <w:rStyle w:val="29"/>
          <w:rFonts w:ascii="黑体" w:hAnsi="黑体" w:eastAsia="黑体"/>
          <w:b w:val="0"/>
        </w:rPr>
      </w:pPr>
      <w:bookmarkStart w:id="107" w:name="_Toc18677"/>
      <w:bookmarkStart w:id="108" w:name="_Toc15396609"/>
      <w:bookmarkStart w:id="109" w:name="_Toc15377215"/>
      <w:bookmarkStart w:id="110" w:name="_Toc26818"/>
      <w:bookmarkStart w:id="111" w:name="_Toc15841"/>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107"/>
      <w:bookmarkEnd w:id="108"/>
      <w:bookmarkEnd w:id="109"/>
      <w:bookmarkEnd w:id="110"/>
      <w:bookmarkEnd w:id="111"/>
    </w:p>
    <w:p>
      <w:pPr>
        <w:spacing w:line="600" w:lineRule="exact"/>
        <w:ind w:firstLine="640"/>
        <w:outlineLvl w:val="2"/>
        <w:rPr>
          <w:rFonts w:ascii="仿宋" w:hAnsi="仿宋" w:eastAsia="仿宋"/>
          <w:b/>
          <w:sz w:val="32"/>
          <w:szCs w:val="32"/>
        </w:rPr>
      </w:pPr>
      <w:bookmarkStart w:id="112" w:name="_Toc15377216"/>
      <w:r>
        <w:rPr>
          <w:rFonts w:hint="eastAsia" w:ascii="仿宋" w:hAnsi="仿宋" w:eastAsia="仿宋"/>
          <w:b/>
          <w:sz w:val="32"/>
          <w:szCs w:val="32"/>
        </w:rPr>
        <w:t>（一）“三公”经费财政拨款支出决算总体情况说明</w:t>
      </w:r>
      <w:bookmarkEnd w:id="112"/>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2023年度“三公”经费财政拨款支出决算为0万元</w:t>
      </w:r>
      <w:r>
        <w:rPr>
          <w:rFonts w:hint="eastAsia" w:ascii="仿宋_GB2312" w:eastAsia="仿宋_GB2312"/>
          <w:color w:val="auto"/>
          <w:sz w:val="32"/>
          <w:szCs w:val="32"/>
          <w:lang w:eastAsia="zh-CN"/>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113" w:name="_Toc15377217"/>
      <w:r>
        <w:rPr>
          <w:rFonts w:hint="eastAsia" w:ascii="仿宋" w:hAnsi="仿宋" w:eastAsia="仿宋"/>
          <w:b/>
          <w:sz w:val="32"/>
          <w:szCs w:val="32"/>
        </w:rPr>
        <w:t>（二）“三公”经费财政拨款支出决算具体情况说明</w:t>
      </w:r>
      <w:bookmarkEnd w:id="113"/>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2023年度“三公”经费财政拨款支出决算中，因公出国（境）费支出决算0万元。具体情况如下：</w:t>
      </w:r>
    </w:p>
    <w:p>
      <w:pPr>
        <w:spacing w:line="600" w:lineRule="exact"/>
        <w:ind w:firstLine="640" w:firstLineChars="200"/>
        <w:rPr>
          <w:rFonts w:hint="eastAsia" w:ascii="仿宋_GB2312" w:eastAsia="仿宋_GB2312"/>
          <w:color w:val="auto"/>
          <w:sz w:val="32"/>
          <w:szCs w:val="32"/>
        </w:rPr>
      </w:pPr>
      <w:bookmarkStart w:id="114" w:name="_Toc15377218"/>
      <w:bookmarkStart w:id="115" w:name="_Toc15396610"/>
      <w:r>
        <w:rPr>
          <w:rFonts w:hint="eastAsia" w:ascii="仿宋_GB2312" w:eastAsia="仿宋_GB2312"/>
          <w:color w:val="auto"/>
          <w:sz w:val="32"/>
          <w:szCs w:val="32"/>
        </w:rPr>
        <w:t>1.因公出国（境）经费支出0万元。</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2.公务用车购置及运行维护费支出0万元。</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其中：公务用车购置支出0万元。</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公务用车运行维护费支出0万元。</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公务接待费支出0万元</w:t>
      </w:r>
      <w:r>
        <w:rPr>
          <w:rFonts w:hint="eastAsia" w:ascii="仿宋_GB2312" w:eastAsia="仿宋_GB2312"/>
          <w:color w:val="auto"/>
          <w:sz w:val="32"/>
          <w:szCs w:val="32"/>
          <w:lang w:eastAsia="zh-CN"/>
        </w:rPr>
        <w:t>。</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国内公务接待支出0万元。外事接待支出0万元。</w:t>
      </w:r>
    </w:p>
    <w:p>
      <w:pPr>
        <w:spacing w:line="600" w:lineRule="exact"/>
        <w:ind w:firstLine="640" w:firstLineChars="200"/>
        <w:rPr>
          <w:rFonts w:hint="eastAsia" w:ascii="仿宋_GB2312" w:eastAsia="仿宋_GB2312"/>
          <w:color w:val="auto"/>
          <w:sz w:val="32"/>
          <w:szCs w:val="32"/>
        </w:rPr>
      </w:pPr>
    </w:p>
    <w:p>
      <w:pPr>
        <w:spacing w:line="600" w:lineRule="exact"/>
        <w:ind w:firstLine="640"/>
        <w:outlineLvl w:val="1"/>
        <w:rPr>
          <w:rStyle w:val="29"/>
          <w:rFonts w:ascii="黑体" w:hAnsi="黑体" w:eastAsia="黑体"/>
        </w:rPr>
      </w:pPr>
      <w:bookmarkStart w:id="116" w:name="_Toc32170"/>
      <w:bookmarkStart w:id="117" w:name="_Toc12716"/>
      <w:bookmarkStart w:id="118" w:name="_Toc15002"/>
      <w:r>
        <w:rPr>
          <w:rFonts w:hint="eastAsia" w:ascii="黑体" w:eastAsia="黑体"/>
          <w:sz w:val="32"/>
          <w:szCs w:val="32"/>
        </w:rPr>
        <w:t>八、</w:t>
      </w:r>
      <w:r>
        <w:rPr>
          <w:rStyle w:val="29"/>
          <w:rFonts w:hint="eastAsia" w:ascii="黑体" w:hAnsi="黑体" w:eastAsia="黑体"/>
          <w:b w:val="0"/>
        </w:rPr>
        <w:t>政府性基金预算支出决算情况说明</w:t>
      </w:r>
      <w:bookmarkEnd w:id="114"/>
      <w:bookmarkEnd w:id="115"/>
      <w:bookmarkEnd w:id="116"/>
      <w:bookmarkEnd w:id="117"/>
      <w:bookmarkEnd w:id="118"/>
    </w:p>
    <w:p>
      <w:pPr>
        <w:spacing w:line="600" w:lineRule="exact"/>
        <w:ind w:firstLine="640"/>
        <w:rPr>
          <w:rFonts w:hint="eastAsia" w:ascii="仿宋_GB2312" w:eastAsia="仿宋_GB2312"/>
          <w:color w:val="auto"/>
          <w:sz w:val="32"/>
          <w:szCs w:val="32"/>
        </w:rPr>
      </w:pPr>
      <w:r>
        <w:rPr>
          <w:rFonts w:hint="eastAsia" w:ascii="仿宋_GB2312" w:eastAsia="仿宋_GB2312"/>
          <w:sz w:val="32"/>
          <w:szCs w:val="32"/>
        </w:rPr>
        <w:t>2023年度政府性基金预算</w:t>
      </w:r>
      <w:r>
        <w:rPr>
          <w:rFonts w:hint="eastAsia" w:ascii="仿宋_GB2312" w:eastAsia="仿宋_GB2312"/>
          <w:color w:val="auto"/>
          <w:sz w:val="32"/>
          <w:szCs w:val="32"/>
        </w:rPr>
        <w:t>财政拨款支出20420.84万元。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9"/>
          <w:rFonts w:ascii="黑体" w:hAnsi="黑体" w:eastAsia="黑体"/>
          <w:b w:val="0"/>
        </w:rPr>
      </w:pPr>
      <w:bookmarkStart w:id="119" w:name="_Toc29867"/>
      <w:bookmarkStart w:id="120" w:name="_Toc21349"/>
      <w:bookmarkStart w:id="121" w:name="_Toc1065"/>
      <w:bookmarkStart w:id="122" w:name="_Toc15396611"/>
      <w:bookmarkStart w:id="123" w:name="_Toc15377219"/>
      <w:r>
        <w:rPr>
          <w:rStyle w:val="29"/>
          <w:rFonts w:hint="eastAsia" w:ascii="黑体" w:hAnsi="黑体" w:eastAsia="黑体"/>
          <w:b w:val="0"/>
        </w:rPr>
        <w:t>国有资本经营预算支出决算情况说明</w:t>
      </w:r>
      <w:bookmarkEnd w:id="119"/>
      <w:bookmarkEnd w:id="120"/>
      <w:bookmarkEnd w:id="121"/>
      <w:bookmarkEnd w:id="122"/>
      <w:bookmarkEnd w:id="12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9"/>
          <w:rFonts w:ascii="黑体" w:hAnsi="黑体" w:eastAsia="黑体"/>
          <w:b w:val="0"/>
        </w:rPr>
      </w:pPr>
      <w:bookmarkStart w:id="124" w:name="_Toc15396612"/>
      <w:bookmarkStart w:id="125" w:name="_Toc15377221"/>
      <w:bookmarkStart w:id="126" w:name="_Toc16107"/>
      <w:bookmarkStart w:id="127" w:name="_Toc29659"/>
      <w:bookmarkStart w:id="128" w:name="_Toc24756"/>
      <w:r>
        <w:rPr>
          <w:rStyle w:val="29"/>
          <w:rFonts w:hint="eastAsia" w:ascii="黑体" w:hAnsi="黑体" w:eastAsia="黑体"/>
          <w:b w:val="0"/>
        </w:rPr>
        <w:t>其他重要事项的情况说明</w:t>
      </w:r>
      <w:bookmarkEnd w:id="124"/>
      <w:bookmarkEnd w:id="125"/>
      <w:bookmarkEnd w:id="126"/>
      <w:bookmarkEnd w:id="127"/>
      <w:bookmarkEnd w:id="128"/>
    </w:p>
    <w:p>
      <w:pPr>
        <w:spacing w:line="600" w:lineRule="exact"/>
        <w:ind w:firstLine="643" w:firstLineChars="200"/>
        <w:outlineLvl w:val="2"/>
        <w:rPr>
          <w:rFonts w:ascii="仿宋" w:hAnsi="仿宋" w:eastAsia="仿宋"/>
          <w:sz w:val="32"/>
          <w:szCs w:val="32"/>
        </w:rPr>
      </w:pPr>
      <w:bookmarkStart w:id="129" w:name="_Toc15377222"/>
      <w:r>
        <w:rPr>
          <w:rFonts w:hint="eastAsia" w:ascii="仿宋" w:hAnsi="仿宋" w:eastAsia="仿宋"/>
          <w:b/>
          <w:sz w:val="32"/>
          <w:szCs w:val="32"/>
        </w:rPr>
        <w:t>（一）机关运行经费支出情况</w:t>
      </w:r>
      <w:bookmarkEnd w:id="129"/>
    </w:p>
    <w:p>
      <w:pPr>
        <w:spacing w:line="600" w:lineRule="exact"/>
        <w:ind w:firstLine="640" w:firstLineChars="200"/>
        <w:rPr>
          <w:rFonts w:ascii="仿宋_GB2312" w:eastAsia="仿宋_GB2312"/>
          <w:color w:val="auto"/>
          <w:sz w:val="32"/>
          <w:szCs w:val="32"/>
        </w:rPr>
      </w:pPr>
      <w:r>
        <w:rPr>
          <w:rFonts w:hint="eastAsia" w:ascii="仿宋_GB2312" w:eastAsia="仿宋_GB2312"/>
          <w:sz w:val="32"/>
          <w:szCs w:val="32"/>
        </w:rPr>
        <w:t>2023</w:t>
      </w:r>
      <w:r>
        <w:rPr>
          <w:rFonts w:hint="eastAsia" w:ascii="仿宋_GB2312" w:eastAsia="仿宋_GB2312"/>
          <w:color w:val="auto"/>
          <w:sz w:val="32"/>
          <w:szCs w:val="32"/>
        </w:rPr>
        <w:t>年度，乐山冠英新区开发建设管理委员会机关运行经费支出33.97万元。</w:t>
      </w:r>
      <w:r>
        <w:rPr>
          <w:rFonts w:hint="eastAsia" w:ascii="仿宋_GB2312" w:eastAsia="仿宋_GB2312"/>
          <w:color w:val="auto"/>
          <w:sz w:val="32"/>
          <w:szCs w:val="32"/>
          <w:lang w:eastAsia="zh-CN"/>
        </w:rPr>
        <w:t>比20</w:t>
      </w:r>
      <w:r>
        <w:rPr>
          <w:rFonts w:hint="eastAsia" w:ascii="仿宋_GB2312" w:eastAsia="仿宋_GB2312"/>
          <w:color w:val="auto"/>
          <w:sz w:val="32"/>
          <w:szCs w:val="32"/>
          <w:lang w:val="en-US" w:eastAsia="zh-CN"/>
        </w:rPr>
        <w:t>22</w:t>
      </w:r>
      <w:r>
        <w:rPr>
          <w:rFonts w:hint="eastAsia" w:ascii="仿宋_GB2312" w:eastAsia="仿宋_GB2312"/>
          <w:color w:val="auto"/>
          <w:sz w:val="32"/>
          <w:szCs w:val="32"/>
          <w:lang w:eastAsia="zh-CN"/>
        </w:rPr>
        <w:t>年增加</w:t>
      </w:r>
      <w:r>
        <w:rPr>
          <w:rFonts w:hint="eastAsia" w:ascii="仿宋_GB2312" w:eastAsia="仿宋_GB2312"/>
          <w:color w:val="auto"/>
          <w:sz w:val="32"/>
          <w:szCs w:val="32"/>
          <w:lang w:val="en-US" w:eastAsia="zh-CN"/>
        </w:rPr>
        <w:t>5.19万元，增加18.03 %。</w:t>
      </w:r>
      <w:r>
        <w:rPr>
          <w:rFonts w:hint="eastAsia" w:ascii="仿宋_GB2312" w:eastAsia="仿宋_GB2312"/>
          <w:color w:val="auto"/>
          <w:sz w:val="32"/>
          <w:szCs w:val="32"/>
          <w:lang w:eastAsia="zh-CN"/>
        </w:rPr>
        <w:t>主要原因成立了冠英</w:t>
      </w:r>
      <w:r>
        <w:rPr>
          <w:rFonts w:hint="eastAsia" w:ascii="仿宋_GB2312" w:hAnsi="仿宋_GB2312" w:eastAsia="仿宋_GB2312" w:cs="仿宋_GB2312"/>
          <w:color w:val="auto"/>
          <w:sz w:val="32"/>
          <w:szCs w:val="32"/>
          <w:lang w:eastAsia="zh-CN"/>
        </w:rPr>
        <w:t>新区建设指挥部，办公室设在冠英新区管委会，航电办、机场办人员实行集中办公，相应增加了机关运行经费支出。</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30" w:name="_Toc15377223"/>
      <w:r>
        <w:rPr>
          <w:rFonts w:hint="eastAsia" w:ascii="仿宋" w:hAnsi="仿宋" w:eastAsia="仿宋"/>
          <w:b/>
          <w:sz w:val="32"/>
          <w:szCs w:val="32"/>
        </w:rPr>
        <w:t>（二）政府采购支出情况</w:t>
      </w:r>
      <w:bookmarkEnd w:id="130"/>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2023年</w:t>
      </w:r>
      <w:r>
        <w:rPr>
          <w:rFonts w:hint="eastAsia" w:ascii="仿宋_GB2312" w:eastAsia="仿宋_GB2312"/>
          <w:color w:val="auto"/>
          <w:sz w:val="32"/>
          <w:szCs w:val="32"/>
        </w:rPr>
        <w:t>度，乐山冠英新区开发建设管理委员会政府采购支出总额0万元</w:t>
      </w:r>
      <w:r>
        <w:rPr>
          <w:rFonts w:hint="eastAsia" w:ascii="仿宋_GB2312" w:eastAsia="仿宋_GB2312"/>
          <w:color w:val="auto"/>
          <w:sz w:val="32"/>
          <w:szCs w:val="32"/>
          <w:lang w:eastAsia="zh-CN"/>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31" w:name="_Toc15377224"/>
      <w:r>
        <w:rPr>
          <w:rFonts w:hint="eastAsia" w:ascii="仿宋" w:hAnsi="仿宋" w:eastAsia="仿宋"/>
          <w:b/>
          <w:sz w:val="32"/>
          <w:szCs w:val="32"/>
        </w:rPr>
        <w:t>（三）国有资产占有使用情况</w:t>
      </w:r>
      <w:bookmarkEnd w:id="131"/>
    </w:p>
    <w:p>
      <w:pPr>
        <w:autoSpaceDE w:val="0"/>
        <w:autoSpaceDN w:val="0"/>
        <w:adjustRightInd w:val="0"/>
        <w:spacing w:line="600" w:lineRule="exact"/>
        <w:ind w:firstLine="640" w:firstLineChars="200"/>
        <w:jc w:val="left"/>
        <w:rPr>
          <w:rFonts w:hint="eastAsia" w:ascii="仿宋_GB2312" w:eastAsia="仿宋_GB2312"/>
          <w:color w:val="auto"/>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color w:val="auto"/>
          <w:sz w:val="32"/>
          <w:szCs w:val="32"/>
        </w:rPr>
        <w:t>月31日，乐山冠英新区开发建设管理委员会共有车辆0。</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根据预算绩效管理要求，本单位在2023年度预算编制阶段，组织对</w:t>
      </w:r>
      <w:r>
        <w:rPr>
          <w:rFonts w:hint="eastAsia" w:ascii="仿宋_GB2312" w:eastAsia="仿宋_GB2312"/>
          <w:color w:val="auto"/>
          <w:sz w:val="32"/>
          <w:szCs w:val="32"/>
          <w:lang w:val="en-US" w:eastAsia="zh-CN"/>
        </w:rPr>
        <w:t>工资性支出（行政）</w:t>
      </w:r>
      <w:r>
        <w:rPr>
          <w:rFonts w:hint="eastAsia" w:ascii="仿宋_GB2312" w:eastAsia="仿宋_GB2312"/>
          <w:color w:val="auto"/>
          <w:sz w:val="32"/>
          <w:szCs w:val="32"/>
        </w:rPr>
        <w:t>项目等</w:t>
      </w:r>
      <w:bookmarkStart w:id="132" w:name="OLE_LINK12"/>
      <w:r>
        <w:rPr>
          <w:rFonts w:hint="eastAsia" w:ascii="仿宋_GB2312" w:eastAsia="仿宋_GB2312"/>
          <w:color w:val="auto"/>
          <w:sz w:val="32"/>
          <w:szCs w:val="32"/>
          <w:lang w:val="en-US" w:eastAsia="zh-CN"/>
        </w:rPr>
        <w:t>20</w:t>
      </w:r>
      <w:bookmarkEnd w:id="132"/>
      <w:r>
        <w:rPr>
          <w:rFonts w:hint="eastAsia" w:ascii="仿宋_GB2312" w:eastAsia="仿宋_GB2312"/>
          <w:color w:val="auto"/>
          <w:sz w:val="32"/>
          <w:szCs w:val="32"/>
        </w:rPr>
        <w:t>个项目开展了预算事前绩效评估，对</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个项目编制了绩效目标，预算执行过程中，选取</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个项目开展绩效监控，组织对</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0"/>
        <w:rPr>
          <w:rFonts w:hint="eastAsia" w:ascii="黑体" w:hAnsi="黑体" w:eastAsia="黑体" w:cs="黑体"/>
          <w:sz w:val="44"/>
          <w:szCs w:val="44"/>
        </w:rPr>
      </w:pPr>
      <w:bookmarkStart w:id="133" w:name="_Toc8463"/>
      <w:bookmarkStart w:id="134" w:name="_Toc19144"/>
      <w:bookmarkStart w:id="135" w:name="_Toc8541"/>
      <w:r>
        <w:rPr>
          <w:rFonts w:hint="eastAsia" w:ascii="黑体" w:hAnsi="黑体" w:eastAsia="黑体" w:cs="黑体"/>
          <w:sz w:val="44"/>
          <w:szCs w:val="44"/>
        </w:rPr>
        <w:t>第三部分 名词解释</w:t>
      </w:r>
      <w:bookmarkEnd w:id="133"/>
      <w:bookmarkEnd w:id="134"/>
      <w:bookmarkEnd w:id="135"/>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仿宋_GB2312" w:hAnsi="仿宋_GB2312" w:eastAsia="仿宋_GB2312" w:cs="仿宋_GB2312"/>
          <w:sz w:val="32"/>
          <w:szCs w:val="32"/>
          <w:lang w:eastAsia="zh-CN"/>
        </w:rPr>
      </w:pPr>
      <w:bookmarkStart w:id="136" w:name="_Toc3047"/>
      <w:bookmarkStart w:id="137" w:name="_Toc389"/>
      <w:bookmarkStart w:id="138" w:name="_Toc5815"/>
      <w:r>
        <w:rPr>
          <w:rFonts w:hint="eastAsia" w:ascii="仿宋_GB2312" w:hAnsi="仿宋_GB2312" w:eastAsia="仿宋_GB2312" w:cs="仿宋_GB2312"/>
          <w:sz w:val="32"/>
          <w:szCs w:val="32"/>
          <w:lang w:eastAsia="zh-CN"/>
        </w:rPr>
        <w:t>（一）财政拨款收入：指区级财政当年拨付的资金。</w:t>
      </w:r>
      <w:bookmarkEnd w:id="136"/>
      <w:bookmarkEnd w:id="137"/>
      <w:bookmarkEnd w:id="13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（二）一般公共服务支出（类）政府办公厅（室）及相关机构事务（款）行政运行（项）：指行政单位的基本支出。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（三）社会保障和就业（类）行政事业单位离退休（款）机关事业单位基本养老保险缴费支出（项）：指机关事业单位基本养老保险缴费支出。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（四）医疗卫生与计划生育支出（类）医疗保障（款）行政事业单位医疗（项）：指财政部门集中安排的行政事业单位基本医疗保险缴费经费。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城乡社区支出（类）城乡社区公共设施（款）城乡社区公共设施支出（项）：指用于城市基础设施配套费安排用于城市道路、桥涵、公共交通、道路照明、供排水、燃气、供热等公共设施维护、建设和管理方面的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（六）城乡社区支出（类）城乡社区公共设施（款）其他城乡社区公共设施支出（项）：指用于城乡社区公共设施方面的支出。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资源勘探信息等支出（类）工业和信息监管（款）行政运行、一般行政管理事务、其他工业和信息产业监管支出（项）：指行政单位的基本支出、未单独设置项及科目的其他项目支出及上述项目以外其他用于工业和信息产业监管方面的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（八）住房保障支出（类）住房改革支出（款）住房公积金（项）：指行政事业单位按人力资源和社会保障部、财政部规定的基本工资和津贴补贴以及规定比例为职工缴纳的住房公积金。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（九）基本支出：指为保障机构正常运转、完成日常工作任务而发生的人员支出和公用支出。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（十）项目支出：指在基本支出之外为完成特定行政任务和事业发展目标所发生的支出。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（十一）“三公”经费：纳入区级财政预决算管理的“三公”经费，是指部门用财政拨款安排的因公出国（境）经费、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务用车购置及运行维护费、公务接待费。其中，因公出国（境）经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机关运行经费：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9"/>
        <w:rPr>
          <w:rFonts w:ascii="宋体"/>
          <w:b/>
          <w:sz w:val="44"/>
          <w:szCs w:val="44"/>
        </w:rPr>
      </w:pPr>
      <w:bookmarkStart w:id="139" w:name="_Toc15377226"/>
      <w:r>
        <w:rPr>
          <w:rFonts w:ascii="宋体"/>
          <w:b/>
          <w:sz w:val="44"/>
          <w:szCs w:val="44"/>
        </w:rPr>
        <w:br w:type="page"/>
      </w:r>
      <w:bookmarkStart w:id="140" w:name="_Toc15396614"/>
    </w:p>
    <w:p>
      <w:pPr>
        <w:spacing w:line="600" w:lineRule="exact"/>
        <w:jc w:val="center"/>
        <w:outlineLvl w:val="9"/>
        <w:rPr>
          <w:rFonts w:ascii="宋体"/>
          <w:b/>
          <w:sz w:val="44"/>
          <w:szCs w:val="44"/>
        </w:rPr>
      </w:pPr>
    </w:p>
    <w:p>
      <w:pPr>
        <w:spacing w:line="600" w:lineRule="exact"/>
        <w:jc w:val="center"/>
        <w:outlineLvl w:val="0"/>
        <w:rPr>
          <w:rStyle w:val="28"/>
          <w:rFonts w:ascii="黑体" w:hAnsi="黑体" w:eastAsia="黑体"/>
          <w:b w:val="0"/>
          <w:color w:val="auto"/>
        </w:rPr>
      </w:pPr>
      <w:bookmarkStart w:id="141" w:name="_Toc15728"/>
      <w:bookmarkStart w:id="142" w:name="_Toc8729"/>
      <w:bookmarkStart w:id="143" w:name="_Toc23495"/>
      <w:r>
        <w:rPr>
          <w:rFonts w:hint="eastAsia" w:ascii="黑体" w:hAnsi="黑体" w:eastAsia="黑体"/>
          <w:color w:val="auto"/>
          <w:sz w:val="44"/>
          <w:szCs w:val="44"/>
        </w:rPr>
        <w:t>第</w:t>
      </w:r>
      <w:r>
        <w:rPr>
          <w:rStyle w:val="28"/>
          <w:rFonts w:hint="eastAsia" w:ascii="黑体" w:hAnsi="黑体" w:eastAsia="黑体"/>
          <w:b w:val="0"/>
          <w:color w:val="auto"/>
        </w:rPr>
        <w:t>四部分 附件</w:t>
      </w:r>
      <w:bookmarkEnd w:id="140"/>
      <w:bookmarkEnd w:id="141"/>
      <w:bookmarkEnd w:id="142"/>
      <w:bookmarkEnd w:id="143"/>
    </w:p>
    <w:p>
      <w:pPr>
        <w:spacing w:line="572" w:lineRule="exact"/>
        <w:jc w:val="left"/>
        <w:outlineLvl w:val="9"/>
        <w:rPr>
          <w:rFonts w:ascii="仿宋_GB2312" w:hAnsi="仿宋_GB2312" w:eastAsia="仿宋_GB2312" w:cs="仿宋_GB2312"/>
          <w:color w:val="auto"/>
          <w:sz w:val="32"/>
          <w:szCs w:val="32"/>
        </w:rPr>
      </w:pPr>
    </w:p>
    <w:p>
      <w:pPr>
        <w:spacing w:line="600" w:lineRule="exact"/>
        <w:jc w:val="center"/>
        <w:outlineLvl w:val="1"/>
        <w:rPr>
          <w:rFonts w:ascii="黑体" w:hAnsi="黑体" w:eastAsia="黑体"/>
          <w:color w:val="FF0000"/>
          <w:sz w:val="44"/>
          <w:szCs w:val="44"/>
        </w:rPr>
      </w:pPr>
      <w:bookmarkStart w:id="144" w:name="_Toc11876"/>
      <w:bookmarkStart w:id="145" w:name="_Toc28987"/>
      <w:bookmarkStart w:id="146" w:name="_Toc18774"/>
      <w:bookmarkStart w:id="147" w:name="_Toc15396618"/>
      <w:r>
        <w:rPr>
          <w:rFonts w:hint="eastAsia"/>
          <w:color w:val="auto"/>
          <w:sz w:val="32"/>
          <w:szCs w:val="32"/>
        </w:rPr>
        <w:t>部门预算项目支出绩效自评表（2023年度）</w:t>
      </w:r>
      <w:bookmarkEnd w:id="144"/>
      <w:bookmarkEnd w:id="145"/>
      <w:bookmarkEnd w:id="146"/>
    </w:p>
    <w:tbl>
      <w:tblPr>
        <w:tblStyle w:val="15"/>
        <w:tblW w:w="86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221"/>
        <w:gridCol w:w="1110"/>
        <w:gridCol w:w="1206"/>
        <w:gridCol w:w="521"/>
        <w:gridCol w:w="526"/>
        <w:gridCol w:w="846"/>
        <w:gridCol w:w="504"/>
        <w:gridCol w:w="456"/>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4191"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lang w:val="en-US" w:eastAsia="zh-CN" w:bidi="ar"/>
              </w:rPr>
              <w:t>报表编号：510000_0013zp</w:t>
            </w:r>
          </w:p>
        </w:tc>
        <w:tc>
          <w:tcPr>
            <w:tcW w:w="52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72"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0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6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51111221R000000028011-</w:t>
            </w:r>
            <w:bookmarkStart w:id="148" w:name="OLE_LINK13"/>
            <w:r>
              <w:rPr>
                <w:rFonts w:ascii="宋体" w:hAnsi="宋体" w:eastAsia="宋体" w:cs="宋体"/>
                <w:i w:val="0"/>
                <w:iCs w:val="0"/>
                <w:color w:val="000000"/>
                <w:kern w:val="0"/>
                <w:sz w:val="18"/>
                <w:szCs w:val="18"/>
                <w:u w:val="none"/>
                <w:lang w:val="en-US" w:eastAsia="zh-CN" w:bidi="ar"/>
              </w:rPr>
              <w:t>工资性支出（行政）</w:t>
            </w:r>
            <w:bookmarkEnd w:id="14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71.81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81.31</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71.81</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81.31</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51111221R000000028131-养老保险（行政）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21.18</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21.18</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21.18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51111221R000000028143-职业年金（行政）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12.68</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12.68</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12.68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51111221R000000028162-医疗保险（行政）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51111221R000000028170-工伤保险（行政）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0.13</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0.13</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51111221R000000028698-残疾人保障金（行政）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0.98</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1.09</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0.98</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51111221R000000028725-住房公积金（行政）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16.54</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14.85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16.54</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16.54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51111221R000000028889-临聘人员工资福利支出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5.29</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5.29</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51111221R000000029929-公务交通补贴（行政）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51111221R000000029945-退休费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2.62</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2.62</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51111221Y000000029357-日常公用经费（行政）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22.85</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21.79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95.35%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21.60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22.85</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21.79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95.35%</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51111221Y000000029857-工会及福利费（行政）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3.27</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3.57</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3.27</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51111222R000000412377-公务员医疗补助缴费（行政）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51111222R000006333746-公务员基础绩效奖（含参公行政人员）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35.18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34.77</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34.77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35.18</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34.77</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34.77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51111222R000006333991-公务员年终考核奖（含参公行政人员）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20.47</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20.47</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20.47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预算编制质量还需提高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51111222T000000343701-空港产业园基础设施项目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空港产业园基础设施道路建设，修建新居路、双福路、陈祠堂路、石子埂路、通达路、玉津路、修身路、海港连接道路、创新路、双桥路等14条道路，全长11.091公里，道宽分别是20米、30米、40米，及桥梁、涵洞等，总投资32231.55万元。工程内容包括：道路、排水以及绿化、路灯、交安等附属设施。</w:t>
            </w:r>
          </w:p>
        </w:tc>
        <w:tc>
          <w:tcPr>
            <w:tcW w:w="337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完成玉津路、双桥路740米，创新路、修身路826米，新区一纵二期A段670米，新区一路1171米，新区五路985.74米，新居路一期I标段537米，海空连接线道路工程完成进度30%。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完成玉津路、双桥路740米，创新路、修身路826米，新区一纵二期A段670米，新区一路1171米，新区五路985.74米，新居路一期I标段537米，海空连接线道路工程完成进度30%。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6,314.64</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6,314.64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6,314.64</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6,314.64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道路建设11.091公里</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按工程质量管理要求</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完善基础设施</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完成玉津路、双桥路740米，创新路、修身路826米，新区一纵二期A段670米，新区一路1171米，新区五路985.74米，新居路一期I标段537米，海空连接线道路工程完成进度30%。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项目进展缓慢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合理规划，加快项目推进，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51111222T000000345063-冠英回迁房三期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冠英回迁房三期占地面积约39亩，总建筑面积约9万平方米，包含水电气光纤等配套设施。</w:t>
            </w:r>
          </w:p>
        </w:tc>
        <w:tc>
          <w:tcPr>
            <w:tcW w:w="3370"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2023年完成冠英新区回迁房（三期）住宅楼及商业楼地基及基础、人防主体部分、主体结构等，进入装饰装修阶段、安装工程阶段。累计完成形象进度80%；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2023年完成冠英新区回迁房（三期）住宅楼及商业楼地基及基础、人防主体部分、主体结构等，进入装饰装修阶段、安装工程阶段。累计完成形象进度80%；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9,667.67</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5,603.51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57.96%</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9,667.67</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5,603.51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57.96%</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90000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改善居民居住环境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2023年完成冠英新区回迁房（三期）住宅楼及商业楼地基及基础、人防主体部分、主体结构等，进入装饰装修阶段、安装工程阶段。累计完成形象进度80%；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项目资金支付不足，影响项目的完成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与相关部门积极沟通联系，筹措资金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51111222T000000345438-高港大道工程款投资回报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高港大道长约4400米，宽40米。工程内容包括：道路、排水以及绿化、路灯、交安等附属设施。2015年开工，2016年竣工交付使用</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高港大道长约4400米，宽40米。工程内容包括：道路、排水以及绿化、路灯、交安等附属设施。2015年开工，2016年竣工交付使用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高港大道长约4400米，宽40米。工程内容包括：道路、排水以及绿化、路灯、交安等附属设施。2015年开工，2016年竣工交付使用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高港大道长约4400米，宽40米</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总投资</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高港大道长约4400米，宽40米。工程内容包括：道路、排水以及绿化、路灯、交安等附属设施。2015年开工，2016年竣工交付使用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资金支付缓慢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与相关部门积极沟通联系，筹措资金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51111222T000004820983-冠英新区回迁房建设经费（还本）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冠英回迁房建设资金（还本）</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冠英回迁房建设资金（还本）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冠英回迁房建设资金（还本）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8,900.00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8,900.00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8,000.00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8,900.00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8,900.00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建筑面积13.7万平方米共852套</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改善居民居住条件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冠英回迁房建设资金（还本）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51111222T000004821080-冠英新区回迁房建设经费（付息）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冠英回迁房建设经费付息</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冠英回迁房建设经费付息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冠英回迁房建设经费付息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685.00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1,017.33</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1,017.33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685.00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1,017.33</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1,017.33</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回迁房建筑面积13.7万平方米共852套</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改善居民的居住条件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按时支付冠英回迁房建设经费付息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6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51111223T000009073466-临聘人员支出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冠英新区管委会</w:t>
            </w:r>
          </w:p>
        </w:tc>
        <w:tc>
          <w:tcPr>
            <w:tcW w:w="8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乐山冠英新区开发建设管理委员会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3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临聘人员2022年度年终慰问</w:t>
            </w:r>
          </w:p>
        </w:tc>
        <w:tc>
          <w:tcPr>
            <w:tcW w:w="3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临聘人员2022年度年终慰问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67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完成临聘人员2022年度年终慰问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0.58</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0.58</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0.58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临聘人员2022年度年终慰问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临聘人员2022年度年终慰问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完成临聘人员2022年度年终慰问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79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项目负责人：周岐军</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财务负责人：周岐军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5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0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7"/>
        <w:spacing w:line="560" w:lineRule="exact"/>
        <w:ind w:left="0" w:leftChars="0" w:firstLine="640"/>
        <w:rPr>
          <w:color w:val="FF0000"/>
          <w:sz w:val="32"/>
        </w:rPr>
      </w:pPr>
    </w:p>
    <w:p>
      <w:pPr>
        <w:pStyle w:val="7"/>
        <w:spacing w:line="560" w:lineRule="exact"/>
        <w:ind w:left="0" w:leftChars="0" w:firstLine="640"/>
        <w:rPr>
          <w:rFonts w:hAnsi="Calibri" w:eastAsia="仿宋_GB2312" w:cs="仿宋"/>
          <w:color w:val="FF0000"/>
          <w:sz w:val="32"/>
          <w:lang w:val="zh-CN"/>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spacing w:line="600" w:lineRule="exact"/>
        <w:ind w:firstLine="2200" w:firstLineChars="500"/>
        <w:jc w:val="both"/>
        <w:outlineLvl w:val="0"/>
        <w:rPr>
          <w:rFonts w:ascii="仿宋" w:hAnsi="仿宋" w:eastAsia="仿宋"/>
        </w:rPr>
      </w:pPr>
      <w:bookmarkStart w:id="149" w:name="_Toc18276"/>
      <w:bookmarkStart w:id="150" w:name="_Toc21892"/>
      <w:bookmarkStart w:id="151" w:name="_Toc5222"/>
      <w:r>
        <w:rPr>
          <w:rFonts w:hint="eastAsia" w:ascii="黑体" w:hAnsi="黑体" w:eastAsia="黑体"/>
          <w:sz w:val="44"/>
          <w:szCs w:val="44"/>
        </w:rPr>
        <w:t>第</w:t>
      </w:r>
      <w:r>
        <w:rPr>
          <w:rStyle w:val="28"/>
          <w:rFonts w:hint="eastAsia" w:ascii="黑体" w:hAnsi="黑体" w:eastAsia="黑体"/>
          <w:b w:val="0"/>
        </w:rPr>
        <w:t>五部分 附表</w:t>
      </w:r>
      <w:bookmarkEnd w:id="139"/>
      <w:bookmarkEnd w:id="147"/>
      <w:bookmarkEnd w:id="149"/>
      <w:bookmarkEnd w:id="150"/>
      <w:bookmarkEnd w:id="151"/>
      <w:bookmarkStart w:id="152" w:name="_Toc15396619"/>
    </w:p>
    <w:p>
      <w:pPr>
        <w:pStyle w:val="3"/>
        <w:rPr>
          <w:rFonts w:ascii="仿宋" w:hAnsi="仿宋" w:eastAsia="仿宋"/>
        </w:rPr>
      </w:pPr>
      <w:bookmarkStart w:id="153" w:name="_Toc14264"/>
      <w:bookmarkStart w:id="154" w:name="_Toc4655"/>
      <w:bookmarkStart w:id="155" w:name="_Toc23053"/>
      <w:r>
        <w:rPr>
          <w:rFonts w:hint="eastAsia" w:ascii="仿宋" w:hAnsi="仿宋" w:eastAsia="仿宋"/>
          <w:b w:val="0"/>
        </w:rPr>
        <w:t>一、收</w:t>
      </w:r>
      <w:r>
        <w:rPr>
          <w:rStyle w:val="29"/>
          <w:rFonts w:hint="eastAsia" w:ascii="仿宋" w:hAnsi="仿宋" w:eastAsia="仿宋"/>
          <w:b w:val="0"/>
          <w:bCs w:val="0"/>
        </w:rPr>
        <w:t>入支出决算总表</w:t>
      </w:r>
      <w:bookmarkEnd w:id="152"/>
      <w:bookmarkEnd w:id="153"/>
      <w:bookmarkEnd w:id="154"/>
      <w:bookmarkEnd w:id="155"/>
    </w:p>
    <w:p>
      <w:pPr>
        <w:pStyle w:val="3"/>
        <w:rPr>
          <w:rFonts w:ascii="仿宋" w:hAnsi="仿宋" w:eastAsia="仿宋"/>
        </w:rPr>
      </w:pPr>
      <w:bookmarkStart w:id="156" w:name="_Toc22845"/>
      <w:bookmarkStart w:id="157" w:name="_Toc15396620"/>
      <w:bookmarkStart w:id="158" w:name="_Toc6404"/>
      <w:bookmarkStart w:id="159" w:name="_Toc30722"/>
      <w:r>
        <w:rPr>
          <w:rFonts w:hint="eastAsia" w:ascii="仿宋" w:hAnsi="仿宋" w:eastAsia="仿宋"/>
          <w:b w:val="0"/>
        </w:rPr>
        <w:t>二、收</w:t>
      </w:r>
      <w:r>
        <w:rPr>
          <w:rStyle w:val="29"/>
          <w:rFonts w:hint="eastAsia" w:ascii="仿宋" w:hAnsi="仿宋" w:eastAsia="仿宋"/>
          <w:b w:val="0"/>
          <w:bCs w:val="0"/>
        </w:rPr>
        <w:t>入决算表</w:t>
      </w:r>
      <w:bookmarkEnd w:id="156"/>
      <w:bookmarkEnd w:id="157"/>
      <w:bookmarkEnd w:id="158"/>
      <w:bookmarkEnd w:id="159"/>
    </w:p>
    <w:p>
      <w:pPr>
        <w:pStyle w:val="3"/>
        <w:rPr>
          <w:rFonts w:ascii="仿宋" w:hAnsi="仿宋" w:eastAsia="仿宋"/>
        </w:rPr>
      </w:pPr>
      <w:bookmarkStart w:id="160" w:name="_Toc1607"/>
      <w:bookmarkStart w:id="161" w:name="_Toc15396621"/>
      <w:bookmarkStart w:id="162" w:name="_Toc4950"/>
      <w:bookmarkStart w:id="163" w:name="_Toc24329"/>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160"/>
      <w:bookmarkEnd w:id="161"/>
      <w:bookmarkEnd w:id="162"/>
      <w:bookmarkEnd w:id="163"/>
    </w:p>
    <w:p>
      <w:pPr>
        <w:pStyle w:val="3"/>
        <w:rPr>
          <w:rFonts w:ascii="仿宋" w:hAnsi="仿宋" w:eastAsia="仿宋"/>
          <w:b w:val="0"/>
        </w:rPr>
      </w:pPr>
      <w:bookmarkStart w:id="164" w:name="_Toc9533"/>
      <w:bookmarkStart w:id="165" w:name="_Toc15396622"/>
      <w:bookmarkStart w:id="166" w:name="_Toc25585"/>
      <w:bookmarkStart w:id="167" w:name="_Toc11311"/>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164"/>
      <w:bookmarkEnd w:id="165"/>
      <w:bookmarkEnd w:id="166"/>
      <w:bookmarkEnd w:id="167"/>
    </w:p>
    <w:p>
      <w:pPr>
        <w:pStyle w:val="3"/>
        <w:rPr>
          <w:rStyle w:val="29"/>
          <w:rFonts w:ascii="仿宋" w:hAnsi="仿宋" w:eastAsia="仿宋"/>
          <w:b w:val="0"/>
          <w:bCs w:val="0"/>
        </w:rPr>
      </w:pPr>
      <w:bookmarkStart w:id="168" w:name="_Toc1406"/>
      <w:bookmarkStart w:id="169" w:name="_Toc15396623"/>
      <w:bookmarkStart w:id="170" w:name="_Toc12125"/>
      <w:bookmarkStart w:id="171" w:name="_Toc12112"/>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168"/>
      <w:bookmarkEnd w:id="169"/>
      <w:bookmarkEnd w:id="170"/>
      <w:bookmarkEnd w:id="171"/>
      <w:bookmarkStart w:id="172" w:name="_Toc15396624"/>
    </w:p>
    <w:p>
      <w:pPr>
        <w:pStyle w:val="3"/>
        <w:rPr>
          <w:rFonts w:ascii="仿宋" w:hAnsi="仿宋" w:eastAsia="仿宋"/>
        </w:rPr>
      </w:pPr>
      <w:bookmarkStart w:id="173" w:name="_Toc7676"/>
      <w:bookmarkStart w:id="174" w:name="_Toc10126"/>
      <w:bookmarkStart w:id="175" w:name="_Toc19875"/>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172"/>
      <w:bookmarkEnd w:id="173"/>
      <w:bookmarkEnd w:id="174"/>
      <w:bookmarkEnd w:id="175"/>
    </w:p>
    <w:p>
      <w:pPr>
        <w:pStyle w:val="3"/>
        <w:rPr>
          <w:rFonts w:ascii="仿宋" w:hAnsi="仿宋" w:eastAsia="仿宋"/>
        </w:rPr>
      </w:pPr>
      <w:bookmarkStart w:id="176" w:name="_Toc5802"/>
      <w:bookmarkStart w:id="177" w:name="_Toc15396625"/>
      <w:bookmarkStart w:id="178" w:name="_Toc14607"/>
      <w:bookmarkStart w:id="179" w:name="_Toc1334"/>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176"/>
      <w:bookmarkEnd w:id="177"/>
      <w:bookmarkEnd w:id="178"/>
      <w:bookmarkEnd w:id="179"/>
    </w:p>
    <w:p>
      <w:pPr>
        <w:pStyle w:val="3"/>
        <w:rPr>
          <w:rFonts w:ascii="仿宋" w:hAnsi="仿宋" w:eastAsia="仿宋"/>
        </w:rPr>
      </w:pPr>
      <w:bookmarkStart w:id="180" w:name="_Toc23641"/>
      <w:bookmarkStart w:id="181" w:name="_Toc15396626"/>
      <w:bookmarkStart w:id="182" w:name="_Toc14844"/>
      <w:bookmarkStart w:id="183" w:name="_Toc18888"/>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180"/>
      <w:bookmarkEnd w:id="181"/>
      <w:bookmarkEnd w:id="182"/>
      <w:bookmarkEnd w:id="183"/>
    </w:p>
    <w:p>
      <w:pPr>
        <w:pStyle w:val="3"/>
        <w:rPr>
          <w:rFonts w:ascii="仿宋" w:hAnsi="仿宋" w:eastAsia="仿宋"/>
        </w:rPr>
      </w:pPr>
      <w:bookmarkStart w:id="184" w:name="_Toc15396627"/>
      <w:bookmarkStart w:id="185" w:name="_Toc27605"/>
      <w:bookmarkStart w:id="186" w:name="_Toc4447"/>
      <w:bookmarkStart w:id="187" w:name="_Toc22931"/>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184"/>
      <w:bookmarkEnd w:id="185"/>
      <w:bookmarkEnd w:id="186"/>
      <w:bookmarkEnd w:id="187"/>
    </w:p>
    <w:p>
      <w:pPr>
        <w:pStyle w:val="3"/>
        <w:rPr>
          <w:rFonts w:ascii="仿宋" w:hAnsi="仿宋" w:eastAsia="仿宋"/>
        </w:rPr>
      </w:pPr>
      <w:bookmarkStart w:id="188" w:name="_Toc15396628"/>
      <w:bookmarkStart w:id="189" w:name="_Toc31135"/>
      <w:bookmarkStart w:id="190" w:name="_Toc7874"/>
      <w:bookmarkStart w:id="191" w:name="_Toc13607"/>
      <w:r>
        <w:rPr>
          <w:rStyle w:val="29"/>
          <w:rFonts w:hint="eastAsia" w:ascii="仿宋" w:hAnsi="仿宋" w:eastAsia="仿宋"/>
          <w:b w:val="0"/>
          <w:bCs w:val="0"/>
        </w:rPr>
        <w:t>十、</w:t>
      </w:r>
      <w:bookmarkEnd w:id="188"/>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189"/>
      <w:bookmarkEnd w:id="190"/>
      <w:bookmarkEnd w:id="191"/>
    </w:p>
    <w:p>
      <w:pPr>
        <w:pStyle w:val="3"/>
        <w:rPr>
          <w:rFonts w:ascii="仿宋" w:hAnsi="仿宋" w:eastAsia="仿宋"/>
        </w:rPr>
      </w:pPr>
      <w:bookmarkStart w:id="192" w:name="_Toc15396629"/>
      <w:bookmarkStart w:id="193" w:name="_Toc24973"/>
      <w:bookmarkStart w:id="194" w:name="_Toc25267"/>
      <w:bookmarkStart w:id="195" w:name="_Toc27351"/>
      <w:r>
        <w:rPr>
          <w:rStyle w:val="29"/>
          <w:rFonts w:hint="eastAsia" w:ascii="仿宋" w:hAnsi="仿宋" w:eastAsia="仿宋"/>
          <w:b w:val="0"/>
          <w:bCs w:val="0"/>
        </w:rPr>
        <w:t>十一、</w:t>
      </w:r>
      <w:bookmarkEnd w:id="192"/>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193"/>
      <w:bookmarkEnd w:id="194"/>
      <w:bookmarkEnd w:id="195"/>
    </w:p>
    <w:p>
      <w:pPr>
        <w:pStyle w:val="3"/>
        <w:rPr>
          <w:rFonts w:ascii="仿宋" w:hAnsi="仿宋" w:eastAsia="仿宋"/>
        </w:rPr>
      </w:pPr>
      <w:bookmarkStart w:id="196" w:name="_Toc15396630"/>
      <w:bookmarkStart w:id="197" w:name="_Toc18261"/>
      <w:bookmarkStart w:id="198" w:name="_Toc15054"/>
      <w:bookmarkStart w:id="199" w:name="_Toc29847"/>
      <w:r>
        <w:rPr>
          <w:rStyle w:val="29"/>
          <w:rFonts w:hint="eastAsia" w:ascii="仿宋" w:hAnsi="仿宋" w:eastAsia="仿宋"/>
          <w:b w:val="0"/>
          <w:bCs w:val="0"/>
        </w:rPr>
        <w:t>十二、</w:t>
      </w:r>
      <w:bookmarkEnd w:id="196"/>
      <w:r>
        <w:rPr>
          <w:rStyle w:val="29"/>
          <w:rFonts w:hint="eastAsia" w:ascii="仿宋" w:hAnsi="仿宋" w:eastAsia="仿宋"/>
          <w:b w:val="0"/>
          <w:bCs w:val="0"/>
        </w:rPr>
        <w:t>国有资本经营预算财政拨款支出决算表</w:t>
      </w:r>
      <w:bookmarkEnd w:id="197"/>
      <w:bookmarkEnd w:id="198"/>
      <w:bookmarkEnd w:id="199"/>
    </w:p>
    <w:p>
      <w:pPr>
        <w:pStyle w:val="3"/>
        <w:rPr>
          <w:rFonts w:eastAsia="仿宋"/>
        </w:rPr>
      </w:pPr>
      <w:bookmarkStart w:id="200" w:name="_Toc15396631"/>
      <w:bookmarkStart w:id="201" w:name="_Toc22631"/>
      <w:bookmarkStart w:id="202" w:name="_Toc27928"/>
      <w:bookmarkStart w:id="203" w:name="_Toc7155"/>
      <w:r>
        <w:rPr>
          <w:rStyle w:val="29"/>
          <w:rFonts w:hint="eastAsia" w:ascii="仿宋" w:hAnsi="仿宋" w:eastAsia="仿宋"/>
          <w:b w:val="0"/>
          <w:bCs w:val="0"/>
        </w:rPr>
        <w:t>十三、</w:t>
      </w:r>
      <w:bookmarkEnd w:id="200"/>
      <w:r>
        <w:rPr>
          <w:rStyle w:val="29"/>
          <w:rFonts w:hint="eastAsia" w:ascii="仿宋" w:hAnsi="仿宋" w:eastAsia="仿宋"/>
          <w:b w:val="0"/>
          <w:bCs w:val="0"/>
        </w:rPr>
        <w:t>财政拨款“三公”经费支出决算表</w:t>
      </w:r>
      <w:bookmarkEnd w:id="201"/>
      <w:bookmarkEnd w:id="202"/>
      <w:bookmarkEnd w:id="203"/>
    </w:p>
    <w:sectPr>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2IzYTU5M2FjNmQ1N2UxOGY3Nzg1NTlkMGM0N2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B002D5"/>
    <w:rsid w:val="02624152"/>
    <w:rsid w:val="0394658D"/>
    <w:rsid w:val="03DC2831"/>
    <w:rsid w:val="046230B5"/>
    <w:rsid w:val="04EF08A6"/>
    <w:rsid w:val="05175953"/>
    <w:rsid w:val="053E02D9"/>
    <w:rsid w:val="05DB4947"/>
    <w:rsid w:val="06110428"/>
    <w:rsid w:val="06141C07"/>
    <w:rsid w:val="06A50AB1"/>
    <w:rsid w:val="081B5E94"/>
    <w:rsid w:val="086A592E"/>
    <w:rsid w:val="09F204B1"/>
    <w:rsid w:val="0A2032A3"/>
    <w:rsid w:val="0B8A37D8"/>
    <w:rsid w:val="0BAB0918"/>
    <w:rsid w:val="0BE107DE"/>
    <w:rsid w:val="0C01322C"/>
    <w:rsid w:val="0CF32576"/>
    <w:rsid w:val="0D2C22DF"/>
    <w:rsid w:val="0D4B1C58"/>
    <w:rsid w:val="0D7F205C"/>
    <w:rsid w:val="0DD926EF"/>
    <w:rsid w:val="0E8057D1"/>
    <w:rsid w:val="0F5FFB2F"/>
    <w:rsid w:val="0FEA39FA"/>
    <w:rsid w:val="0FFFCF60"/>
    <w:rsid w:val="10C055FF"/>
    <w:rsid w:val="11002217"/>
    <w:rsid w:val="118107EC"/>
    <w:rsid w:val="11DD6519"/>
    <w:rsid w:val="120D282C"/>
    <w:rsid w:val="14151024"/>
    <w:rsid w:val="14446EDD"/>
    <w:rsid w:val="14EC447B"/>
    <w:rsid w:val="1505553D"/>
    <w:rsid w:val="166E7112"/>
    <w:rsid w:val="16BB723D"/>
    <w:rsid w:val="17135D6B"/>
    <w:rsid w:val="18015F3F"/>
    <w:rsid w:val="18116C89"/>
    <w:rsid w:val="197E19BA"/>
    <w:rsid w:val="19940C3D"/>
    <w:rsid w:val="19B3095F"/>
    <w:rsid w:val="1B7C407F"/>
    <w:rsid w:val="1B8F790E"/>
    <w:rsid w:val="1BA933F8"/>
    <w:rsid w:val="1BE8440E"/>
    <w:rsid w:val="1D155CEE"/>
    <w:rsid w:val="1D725739"/>
    <w:rsid w:val="1E1265D5"/>
    <w:rsid w:val="1E8C6387"/>
    <w:rsid w:val="1E990AA4"/>
    <w:rsid w:val="1EAE454F"/>
    <w:rsid w:val="1F9E47D4"/>
    <w:rsid w:val="1FB7764E"/>
    <w:rsid w:val="1FDBBF84"/>
    <w:rsid w:val="20F57F95"/>
    <w:rsid w:val="21D93694"/>
    <w:rsid w:val="21DA565B"/>
    <w:rsid w:val="226752D5"/>
    <w:rsid w:val="240371BF"/>
    <w:rsid w:val="240B5FA0"/>
    <w:rsid w:val="25286D2E"/>
    <w:rsid w:val="25711CC6"/>
    <w:rsid w:val="25C741E6"/>
    <w:rsid w:val="26475C38"/>
    <w:rsid w:val="26C22583"/>
    <w:rsid w:val="27321A96"/>
    <w:rsid w:val="276F80C0"/>
    <w:rsid w:val="27842671"/>
    <w:rsid w:val="29375522"/>
    <w:rsid w:val="29FD04D3"/>
    <w:rsid w:val="2ABE7A3E"/>
    <w:rsid w:val="2AFF09B6"/>
    <w:rsid w:val="2CA234A8"/>
    <w:rsid w:val="2EFA178C"/>
    <w:rsid w:val="2EFDF86C"/>
    <w:rsid w:val="2F124686"/>
    <w:rsid w:val="2F6E5292"/>
    <w:rsid w:val="2F705056"/>
    <w:rsid w:val="2F9D17E1"/>
    <w:rsid w:val="30517430"/>
    <w:rsid w:val="30B46D73"/>
    <w:rsid w:val="319F7F4E"/>
    <w:rsid w:val="32B141B6"/>
    <w:rsid w:val="334B460B"/>
    <w:rsid w:val="348E08CE"/>
    <w:rsid w:val="354A6C75"/>
    <w:rsid w:val="356A28F1"/>
    <w:rsid w:val="357C035A"/>
    <w:rsid w:val="3639699D"/>
    <w:rsid w:val="368E000D"/>
    <w:rsid w:val="374F3D1B"/>
    <w:rsid w:val="37BA1481"/>
    <w:rsid w:val="383D272C"/>
    <w:rsid w:val="397F08BE"/>
    <w:rsid w:val="39AE70AB"/>
    <w:rsid w:val="3A4DCE41"/>
    <w:rsid w:val="3B8E7126"/>
    <w:rsid w:val="3BCB56FA"/>
    <w:rsid w:val="3C0C0783"/>
    <w:rsid w:val="3C154B1E"/>
    <w:rsid w:val="3E4800C5"/>
    <w:rsid w:val="3EE7C2F4"/>
    <w:rsid w:val="3F371B56"/>
    <w:rsid w:val="3F792ED8"/>
    <w:rsid w:val="3F9F3A96"/>
    <w:rsid w:val="3FECA4B2"/>
    <w:rsid w:val="3FF58C48"/>
    <w:rsid w:val="403062D5"/>
    <w:rsid w:val="41E40104"/>
    <w:rsid w:val="420C31B7"/>
    <w:rsid w:val="42315BFE"/>
    <w:rsid w:val="42FF6694"/>
    <w:rsid w:val="45A100BA"/>
    <w:rsid w:val="45E33EB0"/>
    <w:rsid w:val="46A936CA"/>
    <w:rsid w:val="47C444C2"/>
    <w:rsid w:val="48BF60AB"/>
    <w:rsid w:val="493C27E9"/>
    <w:rsid w:val="496F39ED"/>
    <w:rsid w:val="49AF63DC"/>
    <w:rsid w:val="49FF41D3"/>
    <w:rsid w:val="4AF018C8"/>
    <w:rsid w:val="4BD84D35"/>
    <w:rsid w:val="4BE068DB"/>
    <w:rsid w:val="4BF6002B"/>
    <w:rsid w:val="4BFFC6BE"/>
    <w:rsid w:val="4D682D88"/>
    <w:rsid w:val="4D9A6EC4"/>
    <w:rsid w:val="4DD412C8"/>
    <w:rsid w:val="4DFE6001"/>
    <w:rsid w:val="4E4E0C00"/>
    <w:rsid w:val="4EB23AD6"/>
    <w:rsid w:val="4ECE2238"/>
    <w:rsid w:val="508C2093"/>
    <w:rsid w:val="5164332D"/>
    <w:rsid w:val="51B678C8"/>
    <w:rsid w:val="51DB4B86"/>
    <w:rsid w:val="51F64DB0"/>
    <w:rsid w:val="54B35714"/>
    <w:rsid w:val="55333C3E"/>
    <w:rsid w:val="565C7DC9"/>
    <w:rsid w:val="56963A64"/>
    <w:rsid w:val="58BD4DB3"/>
    <w:rsid w:val="5A91003C"/>
    <w:rsid w:val="5B443BA9"/>
    <w:rsid w:val="5BC91AA6"/>
    <w:rsid w:val="5CE648D9"/>
    <w:rsid w:val="5F6146EB"/>
    <w:rsid w:val="5F67802D"/>
    <w:rsid w:val="5F7DC4F2"/>
    <w:rsid w:val="5FB36814"/>
    <w:rsid w:val="5FBB8E56"/>
    <w:rsid w:val="5FFB5535"/>
    <w:rsid w:val="61E433B1"/>
    <w:rsid w:val="633D546F"/>
    <w:rsid w:val="63FF2724"/>
    <w:rsid w:val="64BF54A2"/>
    <w:rsid w:val="64CA39A1"/>
    <w:rsid w:val="66A01F9C"/>
    <w:rsid w:val="67445806"/>
    <w:rsid w:val="694A2770"/>
    <w:rsid w:val="695D6686"/>
    <w:rsid w:val="69630ADE"/>
    <w:rsid w:val="69BD5F13"/>
    <w:rsid w:val="69FB0B4B"/>
    <w:rsid w:val="6A6C2C18"/>
    <w:rsid w:val="6AF375DA"/>
    <w:rsid w:val="6B552046"/>
    <w:rsid w:val="6B607555"/>
    <w:rsid w:val="6B6A17FB"/>
    <w:rsid w:val="6BFFE1FB"/>
    <w:rsid w:val="6C4A05C8"/>
    <w:rsid w:val="6CD77533"/>
    <w:rsid w:val="6D3B1A89"/>
    <w:rsid w:val="6D9D7250"/>
    <w:rsid w:val="6DB7D8A3"/>
    <w:rsid w:val="6EC78701"/>
    <w:rsid w:val="6F71097A"/>
    <w:rsid w:val="6F7A5481"/>
    <w:rsid w:val="6FFE07A9"/>
    <w:rsid w:val="70834BB9"/>
    <w:rsid w:val="71BF4EC2"/>
    <w:rsid w:val="72440A0B"/>
    <w:rsid w:val="72734D90"/>
    <w:rsid w:val="72FE0385"/>
    <w:rsid w:val="73E75B71"/>
    <w:rsid w:val="7412278C"/>
    <w:rsid w:val="75DDCDA9"/>
    <w:rsid w:val="75FF44B1"/>
    <w:rsid w:val="77670518"/>
    <w:rsid w:val="777FA627"/>
    <w:rsid w:val="77C43611"/>
    <w:rsid w:val="77DF1B5F"/>
    <w:rsid w:val="77EF2D9D"/>
    <w:rsid w:val="781E02CA"/>
    <w:rsid w:val="794835E0"/>
    <w:rsid w:val="798968C0"/>
    <w:rsid w:val="79E7B28D"/>
    <w:rsid w:val="7ACFF0C2"/>
    <w:rsid w:val="7AFB9108"/>
    <w:rsid w:val="7BD5340C"/>
    <w:rsid w:val="7BFB19D2"/>
    <w:rsid w:val="7BFD1750"/>
    <w:rsid w:val="7BFDAA1B"/>
    <w:rsid w:val="7CC04CEF"/>
    <w:rsid w:val="7CDF9A82"/>
    <w:rsid w:val="7CE07802"/>
    <w:rsid w:val="7CFFA1BD"/>
    <w:rsid w:val="7D2E3F7A"/>
    <w:rsid w:val="7DED9490"/>
    <w:rsid w:val="7DFF4872"/>
    <w:rsid w:val="7E7487E6"/>
    <w:rsid w:val="7E77762F"/>
    <w:rsid w:val="7E7C2A54"/>
    <w:rsid w:val="7EB83737"/>
    <w:rsid w:val="7EEEFD72"/>
    <w:rsid w:val="7F1D517C"/>
    <w:rsid w:val="7F5DA057"/>
    <w:rsid w:val="7F6C2237"/>
    <w:rsid w:val="7F6D27E0"/>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200" w:leftChars="200"/>
    </w:pPr>
    <w:rPr>
      <w:rFonts w:ascii="仿宋_GB2312"/>
      <w:szCs w:val="32"/>
    </w:rPr>
  </w:style>
  <w:style w:type="paragraph" w:styleId="7">
    <w:name w:val="Body Text First Indent 2"/>
    <w:basedOn w:val="6"/>
    <w:next w:val="1"/>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2"/>
    <w:qFormat/>
    <w:uiPriority w:val="9"/>
    <w:rPr>
      <w:rFonts w:ascii="Times New Roman" w:hAnsi="Times New Roman"/>
      <w:b/>
      <w:bCs/>
      <w:kern w:val="44"/>
      <w:sz w:val="44"/>
      <w:szCs w:val="44"/>
    </w:rPr>
  </w:style>
  <w:style w:type="character" w:customStyle="1" w:styleId="29">
    <w:name w:val="标题 2 字符"/>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39</Pages>
  <Words>16330</Words>
  <Characters>19014</Characters>
  <Lines>54</Lines>
  <Paragraphs>15</Paragraphs>
  <TotalTime>9</TotalTime>
  <ScaleCrop>false</ScaleCrop>
  <LinksUpToDate>false</LinksUpToDate>
  <CharactersWithSpaces>19155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2024-10-25T06:40:55Z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985899EF572444CE9ED1FFC789D6ABAE_13</vt:lpwstr>
  </property>
</Properties>
</file>