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after="140" w:line="276" w:lineRule="auto"/>
        <w:jc w:val="center"/>
        <w:textAlignment w:val="auto"/>
        <w:outlineLvl w:val="9"/>
        <w:rPr>
          <w:rFonts w:ascii="方正小标宋简体" w:hAnsi="宋体" w:eastAsia="方正小标宋简体"/>
          <w:sz w:val="72"/>
          <w:szCs w:val="72"/>
        </w:rPr>
      </w:pPr>
      <w:bookmarkStart w:id="0" w:name="_Toc15306267"/>
    </w:p>
    <w:p>
      <w:pPr>
        <w:keepNext w:val="0"/>
        <w:keepLines w:val="0"/>
        <w:pageBreakBefore w:val="0"/>
        <w:widowControl w:val="0"/>
        <w:kinsoku/>
        <w:wordWrap/>
        <w:overflowPunct/>
        <w:topLinePunct w:val="0"/>
        <w:autoSpaceDE/>
        <w:autoSpaceDN/>
        <w:bidi w:val="0"/>
        <w:adjustRightInd w:val="0"/>
        <w:snapToGrid w:val="0"/>
        <w:spacing w:after="140" w:line="276" w:lineRule="auto"/>
        <w:jc w:val="center"/>
        <w:textAlignment w:val="auto"/>
        <w:outlineLvl w:val="0"/>
        <w:rPr>
          <w:rFonts w:hint="eastAsia" w:ascii="方正小标宋简体" w:hAnsi="方正小标宋简体" w:eastAsia="方正小标宋简体" w:cs="方正小标宋简体"/>
          <w:sz w:val="44"/>
          <w:szCs w:val="44"/>
        </w:rPr>
      </w:pPr>
      <w:bookmarkStart w:id="1" w:name="_Toc6458"/>
      <w:bookmarkStart w:id="2" w:name="_Toc15396475"/>
      <w:bookmarkStart w:id="3" w:name="_Toc24136"/>
      <w:bookmarkStart w:id="4" w:name="_Toc15377425"/>
      <w:bookmarkStart w:id="5" w:name="_Toc15377193"/>
      <w:bookmarkStart w:id="6" w:name="_Toc15396597"/>
      <w:bookmarkStart w:id="7" w:name="_Toc15378441"/>
      <w:r>
        <w:rPr>
          <w:rFonts w:hint="eastAsia" w:ascii="方正小标宋简体" w:hAnsi="方正小标宋简体" w:eastAsia="方正小标宋简体" w:cs="方正小标宋简体"/>
          <w:sz w:val="44"/>
          <w:szCs w:val="44"/>
        </w:rPr>
        <w:t>2023年度</w:t>
      </w:r>
      <w:bookmarkEnd w:id="1"/>
      <w:bookmarkEnd w:id="2"/>
      <w:bookmarkEnd w:id="3"/>
      <w:bookmarkEnd w:id="4"/>
      <w:bookmarkEnd w:id="5"/>
      <w:bookmarkEnd w:id="6"/>
      <w:bookmarkEnd w:id="7"/>
    </w:p>
    <w:bookmarkEnd w:id="0"/>
    <w:p>
      <w:pPr>
        <w:keepNext w:val="0"/>
        <w:keepLines w:val="0"/>
        <w:pageBreakBefore w:val="0"/>
        <w:widowControl w:val="0"/>
        <w:kinsoku/>
        <w:wordWrap/>
        <w:overflowPunct/>
        <w:topLinePunct w:val="0"/>
        <w:autoSpaceDE/>
        <w:autoSpaceDN/>
        <w:bidi w:val="0"/>
        <w:adjustRightInd w:val="0"/>
        <w:snapToGrid w:val="0"/>
        <w:spacing w:after="140" w:line="276" w:lineRule="auto"/>
        <w:jc w:val="center"/>
        <w:textAlignment w:val="auto"/>
        <w:outlineLvl w:val="0"/>
        <w:rPr>
          <w:rFonts w:ascii="方正小标宋简体" w:hAnsi="方正小标宋简体" w:eastAsia="方正小标宋简体" w:cs="方正小标宋简体"/>
          <w:sz w:val="44"/>
          <w:szCs w:val="44"/>
        </w:rPr>
      </w:pPr>
      <w:bookmarkStart w:id="8" w:name="_Toc22345"/>
      <w:bookmarkStart w:id="9" w:name="_Toc15396476"/>
      <w:bookmarkStart w:id="10" w:name="_Toc15396598"/>
      <w:bookmarkStart w:id="11" w:name="_Toc21538"/>
      <w:bookmarkStart w:id="12" w:name="_Toc15377426"/>
      <w:bookmarkStart w:id="13" w:name="_Toc15378442"/>
      <w:bookmarkStart w:id="14" w:name="_Toc15306268"/>
      <w:bookmarkStart w:id="15" w:name="_Toc15377194"/>
      <w:r>
        <w:rPr>
          <w:rFonts w:hint="eastAsia" w:ascii="方正小标宋简体" w:hAnsi="方正小标宋简体" w:eastAsia="方正小标宋简体" w:cs="方正小标宋简体"/>
          <w:sz w:val="44"/>
          <w:szCs w:val="44"/>
        </w:rPr>
        <w:t>五通桥区图书馆单位决算</w:t>
      </w:r>
      <w:bookmarkEnd w:id="8"/>
      <w:bookmarkEnd w:id="9"/>
      <w:bookmarkEnd w:id="10"/>
      <w:bookmarkEnd w:id="11"/>
      <w:bookmarkEnd w:id="12"/>
      <w:bookmarkEnd w:id="13"/>
      <w:bookmarkEnd w:id="14"/>
      <w:bookmarkEnd w:id="15"/>
    </w:p>
    <w:p>
      <w:pPr>
        <w:widowControl/>
        <w:jc w:val="center"/>
        <w:rPr>
          <w:rFonts w:ascii="黑体" w:hAnsi="黑体" w:eastAsia="黑体" w:cstheme="minorBidi"/>
          <w:sz w:val="28"/>
          <w:szCs w:val="28"/>
        </w:rPr>
      </w:pPr>
      <w:r>
        <w:rPr>
          <w:rFonts w:ascii="方正小标宋简体" w:hAnsi="宋体" w:eastAsia="方正小标宋简体"/>
          <w:sz w:val="36"/>
          <w:szCs w:val="36"/>
        </w:rPr>
        <w:br w:type="page"/>
      </w:r>
      <w:r>
        <w:rPr>
          <w:rFonts w:hint="eastAsia" w:ascii="黑体" w:hAnsi="黑体" w:eastAsia="黑体"/>
          <w:sz w:val="48"/>
          <w:szCs w:val="48"/>
        </w:rPr>
        <w:t>目录</w:t>
      </w:r>
    </w:p>
    <w:p>
      <w:pPr>
        <w:pStyle w:val="13"/>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25</w:t>
      </w:r>
      <w:r>
        <w:rPr>
          <w:rFonts w:hint="eastAsia"/>
        </w:rPr>
        <w:t>日</w:t>
      </w:r>
    </w:p>
    <w:sdt>
      <w:sdtPr>
        <w:rPr>
          <w:rFonts w:ascii="宋体" w:hAnsi="宋体" w:eastAsia="宋体" w:cs="Times New Roman"/>
          <w:kern w:val="2"/>
          <w:sz w:val="21"/>
          <w:szCs w:val="24"/>
          <w:lang w:val="en-US" w:eastAsia="zh-CN" w:bidi="ar-SA"/>
        </w:rPr>
        <w:id w:val="147472114"/>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b/>
            </w:rPr>
          </w:pPr>
          <w:r>
            <w:fldChar w:fldCharType="begin"/>
          </w:r>
          <w:r>
            <w:instrText xml:space="preserve">TOC \o "1-2" \h \u </w:instrText>
          </w:r>
          <w:r>
            <w:fldChar w:fldCharType="separate"/>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_Toc26388 </w:instrText>
          </w:r>
          <w:r>
            <w:rPr>
              <w:rFonts w:hint="eastAsia" w:asciiTheme="minorEastAsia" w:hAnsiTheme="minorEastAsia" w:eastAsiaTheme="minorEastAsia" w:cstheme="minorEastAsia"/>
              <w:b w:val="0"/>
              <w:bCs/>
              <w:sz w:val="24"/>
              <w:szCs w:val="24"/>
            </w:rPr>
            <w:fldChar w:fldCharType="separate"/>
          </w:r>
          <w:r>
            <w:rPr>
              <w:rFonts w:hint="eastAsia" w:ascii="仿宋" w:hAnsi="仿宋" w:eastAsia="仿宋" w:cs="仿宋"/>
              <w:b w:val="0"/>
              <w:bCs/>
              <w:sz w:val="24"/>
              <w:szCs w:val="24"/>
            </w:rPr>
            <w:t>第一部分 单位概况</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_Toc26388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_Toc30058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一、主要职责</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_Toc30058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_Toc18134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二、机构设置</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_Toc18134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3</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_Toc10108 </w:instrText>
          </w:r>
          <w:r>
            <w:rPr>
              <w:rFonts w:hint="eastAsia" w:asciiTheme="minorEastAsia" w:hAnsiTheme="minorEastAsia" w:eastAsiaTheme="minorEastAsia" w:cstheme="minorEastAsia"/>
              <w:b w:val="0"/>
              <w:bCs/>
              <w:sz w:val="24"/>
              <w:szCs w:val="24"/>
            </w:rPr>
            <w:fldChar w:fldCharType="separate"/>
          </w:r>
          <w:r>
            <w:rPr>
              <w:rFonts w:hint="eastAsia" w:ascii="仿宋" w:hAnsi="仿宋" w:eastAsia="仿宋" w:cs="仿宋"/>
              <w:b w:val="0"/>
              <w:bCs/>
              <w:sz w:val="24"/>
              <w:szCs w:val="24"/>
            </w:rPr>
            <w:t>第二部分 2023年度单位决算情况说明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_Toc10108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_Toc26683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lang w:val="en-US" w:eastAsia="zh-CN"/>
            </w:rPr>
            <w:t>一、</w:t>
          </w:r>
          <w:r>
            <w:rPr>
              <w:rFonts w:hint="eastAsia" w:asciiTheme="minorEastAsia" w:hAnsiTheme="minorEastAsia" w:eastAsiaTheme="minorEastAsia" w:cstheme="minorEastAsia"/>
              <w:b w:val="0"/>
              <w:bCs/>
              <w:sz w:val="24"/>
              <w:szCs w:val="24"/>
            </w:rPr>
            <w:t>收入支出决算总体情况说明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_Toc26683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_Toc24583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lang w:val="en-US" w:eastAsia="zh-CN"/>
            </w:rPr>
            <w:t>二、</w:t>
          </w:r>
          <w:r>
            <w:rPr>
              <w:rFonts w:hint="eastAsia" w:asciiTheme="minorEastAsia" w:hAnsiTheme="minorEastAsia" w:eastAsiaTheme="minorEastAsia" w:cstheme="minorEastAsia"/>
              <w:b w:val="0"/>
              <w:bCs/>
              <w:sz w:val="24"/>
              <w:szCs w:val="24"/>
            </w:rPr>
            <w:t>收入决算情况说明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_Toc24583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4</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_Toc5758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lang w:val="en-US" w:eastAsia="zh-CN"/>
            </w:rPr>
            <w:t>三、</w:t>
          </w:r>
          <w:r>
            <w:rPr>
              <w:rFonts w:hint="eastAsia" w:asciiTheme="minorEastAsia" w:hAnsiTheme="minorEastAsia" w:eastAsiaTheme="minorEastAsia" w:cstheme="minorEastAsia"/>
              <w:b w:val="0"/>
              <w:bCs/>
              <w:sz w:val="24"/>
              <w:szCs w:val="24"/>
            </w:rPr>
            <w:t>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_Toc5758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_Toc24977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lang w:val="en-US" w:eastAsia="zh-CN"/>
            </w:rPr>
            <w:t>四、</w:t>
          </w:r>
          <w:r>
            <w:rPr>
              <w:rFonts w:hint="eastAsia" w:asciiTheme="minorEastAsia" w:hAnsiTheme="minorEastAsia" w:eastAsiaTheme="minorEastAsia" w:cstheme="minorEastAsia"/>
              <w:b w:val="0"/>
              <w:bCs/>
              <w:sz w:val="24"/>
              <w:szCs w:val="24"/>
            </w:rPr>
            <w:t>财政拨款收入支出决算总体情况说明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_Toc24977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5</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_Toc12683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五、一般公共预算财政拨款支出决算情况说明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_Toc12683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6</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_Toc12982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六、一般公共预算财政拨款基本支出决算情况说明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_Toc12982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8</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_Toc30933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七、财政拨款“三公”经费支出决算情况说明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_Toc30933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9</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_Toc21511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八、政府性基金预算支出决算情况说明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_Toc21511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_Toc23152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九、国有资本经营预算支出决算情况说明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_Toc23152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_Toc23850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十、其他重要事项的情况说明</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_Toc23850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10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6"/>
            <w:tabs>
              <w:tab w:val="right" w:leader="dot" w:pos="8306"/>
            </w:tabs>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_Toc14671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第三部分 名词解释</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_Toc14671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12</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6"/>
            <w:tabs>
              <w:tab w:val="right" w:leader="dot" w:pos="8306"/>
            </w:tabs>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_Toc17746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第四部分 附件</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_Toc17746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15</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6"/>
            <w:tabs>
              <w:tab w:val="right" w:leader="dot" w:pos="8306"/>
            </w:tabs>
            <w:rPr>
              <w:rFonts w:hint="eastAsia" w:asciiTheme="minorEastAsia" w:hAnsiTheme="minorEastAsia" w:eastAsiaTheme="minorEastAsia" w:cstheme="minorEastAsia"/>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HYPERLINK \l _Toc6052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第五部分 附表</w:t>
          </w:r>
          <w:r>
            <w:rPr>
              <w:rFonts w:hint="eastAsia" w:ascii="仿宋" w:hAnsi="仿宋" w:eastAsia="仿宋" w:cs="仿宋"/>
              <w:b w:val="0"/>
              <w:bCs/>
              <w:sz w:val="24"/>
              <w:szCs w:val="24"/>
            </w:rPr>
            <w:tab/>
          </w: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PAGEREF _Toc6052 \h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20</w:t>
          </w:r>
          <w:r>
            <w:rPr>
              <w:rFonts w:hint="eastAsia" w:ascii="仿宋" w:hAnsi="仿宋" w:eastAsia="仿宋" w:cs="仿宋"/>
              <w:b w:val="0"/>
              <w:bCs/>
              <w:sz w:val="24"/>
              <w:szCs w:val="24"/>
            </w:rPr>
            <w:fldChar w:fldCharType="end"/>
          </w:r>
          <w:r>
            <w:rPr>
              <w:rFonts w:hint="eastAsia" w:ascii="仿宋" w:hAnsi="仿宋" w:eastAsia="仿宋" w:cs="仿宋"/>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_Toc30353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一、收入支出决算总表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_Toc30353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_Toc27983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二、收入决算表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_Toc27983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_Toc20212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三、支出决算表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_Toc20212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_Toc5909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四、财政拨款收入支出决算总表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_Toc5909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_Toc31602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五、财政拨款支出决算明细表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_Toc31602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_Toc19533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六、一般公共预算财政拨款支出决算表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_Toc19533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_Toc855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七、一般公共预算财政拨款支出决算明细表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_Toc855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_Toc14107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八、一般公共预算财政拨款基本支出决算表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_Toc14107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_Toc20503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九、一般公共预算财政拨款项目支出决算表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_Toc20503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_Toc27516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十、政府性基金预算财政拨款收入支出决算表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_Toc27516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_Toc7342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十一、国有资本经营预算财政拨款收入支出决算表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_Toc7342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_Toc7082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十二、国有资本经营预算财政拨款支出决算表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_Toc7082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pPr>
            <w:pStyle w:val="37"/>
            <w:tabs>
              <w:tab w:val="right" w:leader="dot" w:pos="8306"/>
            </w:tabs>
          </w:pP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HYPERLINK \l _Toc20719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十三、财政拨款“三公”经费支出决算表</w:t>
          </w:r>
          <w:r>
            <w:rPr>
              <w:rFonts w:hint="eastAsia" w:asciiTheme="minorEastAsia" w:hAnsiTheme="minorEastAsia" w:eastAsiaTheme="minorEastAsia" w:cstheme="minorEastAsia"/>
              <w:b w:val="0"/>
              <w:bCs/>
              <w:sz w:val="24"/>
              <w:szCs w:val="24"/>
            </w:rPr>
            <w:tab/>
          </w:r>
          <w:r>
            <w:rPr>
              <w:rFonts w:hint="eastAsia" w:asciiTheme="minorEastAsia" w:hAnsiTheme="minorEastAsia" w:eastAsiaTheme="minorEastAsia" w:cstheme="minorEastAsia"/>
              <w:b w:val="0"/>
              <w:bCs/>
              <w:sz w:val="24"/>
              <w:szCs w:val="24"/>
            </w:rPr>
            <w:fldChar w:fldCharType="begin"/>
          </w:r>
          <w:r>
            <w:rPr>
              <w:rFonts w:hint="eastAsia" w:asciiTheme="minorEastAsia" w:hAnsiTheme="minorEastAsia" w:eastAsiaTheme="minorEastAsia" w:cstheme="minorEastAsia"/>
              <w:b w:val="0"/>
              <w:bCs/>
              <w:sz w:val="24"/>
              <w:szCs w:val="24"/>
            </w:rPr>
            <w:instrText xml:space="preserve"> PAGEREF _Toc20719 \h </w:instrText>
          </w:r>
          <w:r>
            <w:rPr>
              <w:rFonts w:hint="eastAsia" w:asciiTheme="minorEastAsia" w:hAnsiTheme="minorEastAsia" w:eastAsiaTheme="minorEastAsia" w:cstheme="minorEastAsia"/>
              <w:b w:val="0"/>
              <w:bCs/>
              <w:sz w:val="24"/>
              <w:szCs w:val="24"/>
            </w:rPr>
            <w:fldChar w:fldCharType="separate"/>
          </w:r>
          <w:r>
            <w:rPr>
              <w:rFonts w:hint="eastAsia" w:asciiTheme="minorEastAsia" w:hAnsiTheme="minorEastAsia" w:eastAsiaTheme="minorEastAsia" w:cstheme="minorEastAsia"/>
              <w:b w:val="0"/>
              <w:bCs/>
              <w:sz w:val="24"/>
              <w:szCs w:val="24"/>
            </w:rPr>
            <w:t>20</w:t>
          </w:r>
          <w:r>
            <w:rPr>
              <w:rFonts w:hint="eastAsia" w:asciiTheme="minorEastAsia" w:hAnsiTheme="minorEastAsia" w:eastAsiaTheme="minorEastAsia" w:cstheme="minorEastAsia"/>
              <w:b w:val="0"/>
              <w:bCs/>
              <w:sz w:val="24"/>
              <w:szCs w:val="24"/>
            </w:rPr>
            <w:fldChar w:fldCharType="end"/>
          </w:r>
          <w:r>
            <w:rPr>
              <w:rFonts w:hint="eastAsia" w:asciiTheme="minorEastAsia" w:hAnsiTheme="minorEastAsia" w:eastAsiaTheme="minorEastAsia" w:cstheme="minorEastAsia"/>
              <w:b w:val="0"/>
              <w:bCs/>
              <w:sz w:val="24"/>
              <w:szCs w:val="24"/>
            </w:rPr>
            <w:fldChar w:fldCharType="end"/>
          </w:r>
        </w:p>
        <w:p>
          <w:r>
            <w:rPr>
              <w:b/>
            </w:rPr>
            <w:fldChar w:fldCharType="end"/>
          </w:r>
        </w:p>
      </w:sdtContent>
    </w:sdt>
    <w:p>
      <w:pPr>
        <w:widowControl/>
        <w:spacing w:line="440" w:lineRule="exact"/>
        <w:jc w:val="left"/>
        <w:rPr>
          <w:rFonts w:ascii="仿宋" w:hAnsi="仿宋" w:eastAsia="仿宋"/>
          <w:bCs/>
          <w:kern w:val="44"/>
          <w:sz w:val="24"/>
        </w:rPr>
      </w:pPr>
      <w:r>
        <w:rPr>
          <w:rFonts w:ascii="仿宋" w:hAnsi="仿宋" w:eastAsia="仿宋"/>
          <w:b/>
          <w:sz w:val="24"/>
        </w:rPr>
        <w:br w:type="page"/>
      </w:r>
    </w:p>
    <w:p>
      <w:pPr>
        <w:pStyle w:val="5"/>
        <w:keepNext/>
        <w:keepLines/>
        <w:pageBreakBefore w:val="0"/>
        <w:widowControl w:val="0"/>
        <w:kinsoku/>
        <w:wordWrap/>
        <w:overflowPunct/>
        <w:topLinePunct w:val="0"/>
        <w:autoSpaceDE/>
        <w:autoSpaceDN/>
        <w:bidi w:val="0"/>
        <w:adjustRightInd/>
        <w:snapToGrid/>
        <w:spacing w:line="579" w:lineRule="auto"/>
        <w:jc w:val="center"/>
        <w:textAlignment w:val="auto"/>
        <w:rPr>
          <w:rStyle w:val="28"/>
          <w:rFonts w:ascii="黑体" w:hAnsi="黑体" w:eastAsia="黑体"/>
          <w:b/>
          <w:bCs w:val="0"/>
        </w:rPr>
      </w:pPr>
      <w:bookmarkStart w:id="16" w:name="_Toc26388"/>
      <w:r>
        <w:rPr>
          <w:rFonts w:hint="eastAsia" w:ascii="黑体" w:hAnsi="黑体" w:eastAsia="黑体"/>
          <w:b w:val="0"/>
        </w:rPr>
        <w:t>第一部分 单位</w:t>
      </w:r>
      <w:r>
        <w:rPr>
          <w:rStyle w:val="28"/>
          <w:rFonts w:hint="eastAsia" w:ascii="黑体" w:hAnsi="黑体" w:eastAsia="黑体"/>
          <w:b w:val="0"/>
          <w:bCs w:val="0"/>
        </w:rPr>
        <w:t>概况</w:t>
      </w:r>
      <w:bookmarkEnd w:id="16"/>
    </w:p>
    <w:p>
      <w:pPr>
        <w:widowControl/>
        <w:jc w:val="left"/>
        <w:rPr>
          <w:rFonts w:ascii="黑体" w:eastAsia="黑体"/>
          <w:sz w:val="32"/>
          <w:szCs w:val="32"/>
        </w:rPr>
      </w:pPr>
    </w:p>
    <w:p>
      <w:pPr>
        <w:pStyle w:val="6"/>
        <w:numPr>
          <w:ilvl w:val="0"/>
          <w:numId w:val="1"/>
        </w:numPr>
        <w:rPr>
          <w:rStyle w:val="29"/>
          <w:rFonts w:ascii="黑体" w:hAnsi="黑体" w:eastAsia="黑体"/>
          <w:b w:val="0"/>
          <w:bCs w:val="0"/>
        </w:rPr>
      </w:pPr>
      <w:bookmarkStart w:id="17" w:name="_Toc30058"/>
      <w:bookmarkStart w:id="18" w:name="_Toc15396600"/>
      <w:bookmarkStart w:id="19" w:name="_Toc15377197"/>
      <w:r>
        <w:rPr>
          <w:rStyle w:val="29"/>
          <w:rFonts w:hint="eastAsia" w:ascii="黑体" w:hAnsi="黑体" w:eastAsia="黑体"/>
          <w:b w:val="0"/>
          <w:bCs w:val="0"/>
        </w:rPr>
        <w:t>主要职责</w:t>
      </w:r>
      <w:bookmarkEnd w:id="17"/>
    </w:p>
    <w:p>
      <w:pPr>
        <w:pStyle w:val="8"/>
        <w:keepNext w:val="0"/>
        <w:keepLines w:val="0"/>
        <w:pageBreakBefore w:val="0"/>
        <w:widowControl w:val="0"/>
        <w:kinsoku/>
        <w:wordWrap/>
        <w:overflowPunct/>
        <w:topLinePunct w:val="0"/>
        <w:autoSpaceDE/>
        <w:autoSpaceDN/>
        <w:bidi w:val="0"/>
        <w:adjustRightInd w:val="0"/>
        <w:snapToGrid w:val="0"/>
        <w:spacing w:before="72" w:line="560" w:lineRule="exact"/>
        <w:ind w:firstLine="640" w:firstLineChars="200"/>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本单位</w:t>
      </w:r>
      <w:r>
        <w:rPr>
          <w:rFonts w:hint="eastAsia" w:ascii="仿宋" w:hAnsi="仿宋" w:eastAsia="仿宋" w:cs="仿宋"/>
          <w:sz w:val="32"/>
          <w:szCs w:val="32"/>
        </w:rPr>
        <w:t>主要职能是保存借阅图书资料，促进社会经济文化发展。图书文献报刊采编与储藏。文献数字化处理，知识培训和社会教育。</w:t>
      </w:r>
    </w:p>
    <w:p>
      <w:pPr>
        <w:pStyle w:val="6"/>
        <w:numPr>
          <w:ilvl w:val="0"/>
          <w:numId w:val="1"/>
        </w:numPr>
        <w:ind w:left="0" w:leftChars="0" w:firstLine="0" w:firstLineChars="0"/>
        <w:rPr>
          <w:rFonts w:hint="eastAsia" w:ascii="黑体" w:hAnsi="黑体" w:eastAsia="黑体"/>
          <w:b w:val="0"/>
        </w:rPr>
      </w:pPr>
      <w:bookmarkStart w:id="20" w:name="_Toc18134"/>
      <w:r>
        <w:rPr>
          <w:rFonts w:hint="eastAsia" w:ascii="黑体" w:hAnsi="黑体" w:eastAsia="黑体"/>
          <w:b w:val="0"/>
        </w:rPr>
        <w:t>机构设置</w:t>
      </w:r>
      <w:bookmarkEnd w:id="20"/>
    </w:p>
    <w:p>
      <w:pPr>
        <w:ind w:firstLine="567"/>
        <w:rPr>
          <w:rFonts w:hint="eastAsia" w:ascii="仿宋" w:hAnsi="仿宋" w:eastAsia="仿宋" w:cs="仿宋"/>
          <w:sz w:val="32"/>
          <w:szCs w:val="32"/>
        </w:rPr>
      </w:pPr>
      <w:r>
        <w:rPr>
          <w:rFonts w:hint="eastAsia" w:ascii="仿宋" w:hAnsi="仿宋" w:eastAsia="仿宋" w:cs="仿宋"/>
          <w:sz w:val="32"/>
          <w:szCs w:val="32"/>
        </w:rPr>
        <w:t>本单位为</w:t>
      </w:r>
      <w:r>
        <w:rPr>
          <w:rFonts w:hint="eastAsia" w:ascii="仿宋" w:hAnsi="仿宋" w:eastAsia="仿宋" w:cs="仿宋"/>
          <w:bCs/>
          <w:sz w:val="32"/>
          <w:szCs w:val="32"/>
          <w:u w:val="single"/>
        </w:rPr>
        <w:t>乐山市</w:t>
      </w:r>
      <w:r>
        <w:rPr>
          <w:rFonts w:hint="eastAsia" w:ascii="仿宋" w:hAnsi="仿宋" w:eastAsia="仿宋" w:cs="仿宋"/>
          <w:bCs/>
          <w:sz w:val="32"/>
          <w:szCs w:val="32"/>
          <w:u w:val="single"/>
          <w:lang w:val="en-US" w:eastAsia="zh-CN"/>
        </w:rPr>
        <w:t>五通桥区文化体育和旅游局</w:t>
      </w:r>
      <w:r>
        <w:rPr>
          <w:rFonts w:hint="eastAsia" w:ascii="仿宋" w:hAnsi="仿宋" w:eastAsia="仿宋" w:cs="仿宋"/>
          <w:sz w:val="32"/>
          <w:szCs w:val="32"/>
          <w:lang w:val="en-US" w:eastAsia="zh-CN"/>
        </w:rPr>
        <w:t>下</w:t>
      </w:r>
      <w:r>
        <w:rPr>
          <w:rFonts w:hint="eastAsia" w:ascii="仿宋" w:hAnsi="仿宋" w:eastAsia="仿宋" w:cs="仿宋"/>
          <w:sz w:val="32"/>
          <w:szCs w:val="32"/>
        </w:rPr>
        <w:t>属</w:t>
      </w:r>
      <w:r>
        <w:rPr>
          <w:rFonts w:hint="eastAsia" w:ascii="仿宋" w:hAnsi="仿宋" w:eastAsia="仿宋" w:cs="仿宋"/>
          <w:sz w:val="32"/>
          <w:szCs w:val="32"/>
          <w:u w:val="single"/>
          <w:lang w:val="en-US" w:eastAsia="zh-CN"/>
        </w:rPr>
        <w:t>二</w:t>
      </w:r>
      <w:r>
        <w:rPr>
          <w:rFonts w:hint="eastAsia" w:ascii="仿宋" w:hAnsi="仿宋" w:eastAsia="仿宋" w:cs="仿宋"/>
          <w:sz w:val="32"/>
          <w:szCs w:val="32"/>
        </w:rPr>
        <w:t>级</w:t>
      </w:r>
      <w:r>
        <w:rPr>
          <w:rFonts w:hint="eastAsia" w:ascii="仿宋" w:hAnsi="仿宋" w:eastAsia="仿宋" w:cs="仿宋"/>
          <w:spacing w:val="14"/>
          <w:sz w:val="32"/>
          <w:szCs w:val="32"/>
        </w:rPr>
        <w:t>预算单位，单位性质</w:t>
      </w:r>
      <w:r>
        <w:rPr>
          <w:rFonts w:hint="eastAsia" w:ascii="仿宋" w:hAnsi="仿宋" w:eastAsia="仿宋" w:cs="仿宋"/>
          <w:sz w:val="32"/>
          <w:szCs w:val="32"/>
        </w:rPr>
        <w:t>为</w:t>
      </w:r>
      <w:r>
        <w:rPr>
          <w:rFonts w:hint="eastAsia" w:ascii="仿宋" w:hAnsi="仿宋" w:eastAsia="仿宋" w:cs="仿宋"/>
          <w:sz w:val="32"/>
          <w:szCs w:val="32"/>
          <w:u w:val="single"/>
          <w:lang w:val="en-US" w:eastAsia="zh-CN"/>
        </w:rPr>
        <w:t>全额拨款</w:t>
      </w:r>
      <w:r>
        <w:rPr>
          <w:rFonts w:hint="eastAsia" w:ascii="仿宋" w:hAnsi="仿宋" w:eastAsia="仿宋" w:cs="仿宋"/>
          <w:bCs/>
          <w:sz w:val="32"/>
          <w:szCs w:val="32"/>
          <w:u w:val="single"/>
        </w:rPr>
        <w:t>事业</w:t>
      </w:r>
      <w:r>
        <w:rPr>
          <w:rFonts w:hint="eastAsia" w:ascii="仿宋" w:hAnsi="仿宋" w:eastAsia="仿宋" w:cs="仿宋"/>
          <w:sz w:val="32"/>
          <w:szCs w:val="32"/>
        </w:rPr>
        <w:t>单位，决算编报类型为</w:t>
      </w:r>
      <w:r>
        <w:rPr>
          <w:rFonts w:hint="eastAsia" w:ascii="仿宋" w:hAnsi="仿宋" w:eastAsia="仿宋" w:cs="仿宋"/>
          <w:sz w:val="32"/>
          <w:szCs w:val="32"/>
          <w:u w:val="single"/>
        </w:rPr>
        <w:t>单户表</w:t>
      </w:r>
      <w:r>
        <w:rPr>
          <w:rFonts w:hint="eastAsia" w:ascii="仿宋" w:hAnsi="仿宋" w:eastAsia="仿宋" w:cs="仿宋"/>
          <w:sz w:val="32"/>
          <w:szCs w:val="32"/>
        </w:rPr>
        <w:t>，按照</w:t>
      </w:r>
      <w:r>
        <w:rPr>
          <w:rFonts w:hint="eastAsia" w:ascii="仿宋" w:hAnsi="仿宋" w:eastAsia="仿宋" w:cs="仿宋"/>
          <w:bCs/>
          <w:sz w:val="32"/>
          <w:szCs w:val="32"/>
          <w:u w:val="single"/>
        </w:rPr>
        <w:t>政府</w:t>
      </w:r>
      <w:r>
        <w:rPr>
          <w:rFonts w:hint="eastAsia" w:ascii="仿宋" w:hAnsi="仿宋" w:eastAsia="仿宋" w:cs="仿宋"/>
          <w:sz w:val="32"/>
          <w:szCs w:val="32"/>
        </w:rPr>
        <w:t>会计制度填报决算数据。</w:t>
      </w:r>
    </w:p>
    <w:p>
      <w:pPr>
        <w:ind w:firstLine="567"/>
        <w:rPr>
          <w:rFonts w:hint="eastAsia" w:ascii="仿宋" w:hAnsi="仿宋" w:eastAsia="仿宋" w:cs="仿宋"/>
          <w:sz w:val="32"/>
          <w:szCs w:val="32"/>
        </w:rPr>
      </w:pPr>
      <w:r>
        <w:rPr>
          <w:rFonts w:hint="eastAsia" w:ascii="仿宋" w:hAnsi="仿宋" w:eastAsia="仿宋" w:cs="仿宋"/>
          <w:sz w:val="32"/>
          <w:szCs w:val="32"/>
        </w:rPr>
        <w:t>纳入本套决算编制范围的独立核算单位共</w:t>
      </w:r>
      <w:r>
        <w:rPr>
          <w:rFonts w:hint="eastAsia" w:ascii="仿宋" w:hAnsi="仿宋" w:eastAsia="仿宋" w:cs="仿宋"/>
          <w:sz w:val="32"/>
          <w:szCs w:val="32"/>
          <w:u w:val="single"/>
        </w:rPr>
        <w:t>1</w:t>
      </w:r>
      <w:r>
        <w:rPr>
          <w:rFonts w:hint="eastAsia" w:ascii="仿宋" w:hAnsi="仿宋" w:eastAsia="仿宋" w:cs="仿宋"/>
          <w:sz w:val="32"/>
          <w:szCs w:val="32"/>
        </w:rPr>
        <w:t>个，比上年</w:t>
      </w:r>
      <w:r>
        <w:rPr>
          <w:rFonts w:hint="eastAsia" w:ascii="仿宋" w:hAnsi="仿宋" w:eastAsia="仿宋" w:cs="仿宋"/>
          <w:sz w:val="32"/>
          <w:szCs w:val="32"/>
          <w:lang w:eastAsia="zh-CN"/>
        </w:rPr>
        <w:t>增减</w:t>
      </w:r>
      <w:r>
        <w:rPr>
          <w:rFonts w:hint="eastAsia" w:ascii="仿宋" w:hAnsi="仿宋" w:eastAsia="仿宋" w:cs="仿宋"/>
          <w:sz w:val="32"/>
          <w:szCs w:val="32"/>
          <w:u w:val="single"/>
        </w:rPr>
        <w:t>0</w:t>
      </w:r>
      <w:r>
        <w:rPr>
          <w:rFonts w:hint="eastAsia" w:ascii="仿宋" w:hAnsi="仿宋" w:eastAsia="仿宋" w:cs="仿宋"/>
          <w:sz w:val="32"/>
          <w:szCs w:val="32"/>
        </w:rPr>
        <w:t>个。</w:t>
      </w:r>
    </w:p>
    <w:p>
      <w:pPr>
        <w:numPr>
          <w:ilvl w:val="0"/>
          <w:numId w:val="0"/>
        </w:numPr>
        <w:snapToGrid w:val="0"/>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人员情况</w:t>
      </w:r>
      <w:r>
        <w:rPr>
          <w:rFonts w:hint="eastAsia" w:ascii="仿宋" w:hAnsi="仿宋" w:eastAsia="仿宋" w:cs="仿宋"/>
          <w:sz w:val="32"/>
          <w:szCs w:val="32"/>
          <w:lang w:eastAsia="zh-CN"/>
        </w:rPr>
        <w:t>：</w:t>
      </w:r>
      <w:r>
        <w:rPr>
          <w:rFonts w:hint="eastAsia" w:ascii="仿宋" w:hAnsi="仿宋" w:eastAsia="仿宋" w:cs="仿宋"/>
          <w:sz w:val="32"/>
          <w:szCs w:val="32"/>
        </w:rPr>
        <w:t>我部门事业编制共</w:t>
      </w:r>
      <w:r>
        <w:rPr>
          <w:rFonts w:hint="eastAsia" w:ascii="仿宋" w:hAnsi="仿宋" w:eastAsia="仿宋" w:cs="仿宋"/>
          <w:sz w:val="32"/>
          <w:szCs w:val="32"/>
          <w:lang w:val="en-US" w:eastAsia="zh-CN"/>
        </w:rPr>
        <w:t>4</w:t>
      </w:r>
      <w:r>
        <w:rPr>
          <w:rFonts w:hint="eastAsia" w:ascii="仿宋" w:hAnsi="仿宋" w:eastAsia="仿宋" w:cs="仿宋"/>
          <w:sz w:val="32"/>
          <w:szCs w:val="32"/>
        </w:rPr>
        <w:t>人，</w:t>
      </w:r>
      <w:r>
        <w:rPr>
          <w:rFonts w:hint="eastAsia" w:ascii="仿宋" w:hAnsi="仿宋" w:eastAsia="仿宋" w:cs="仿宋"/>
          <w:sz w:val="32"/>
          <w:szCs w:val="32"/>
          <w:lang w:val="en-US" w:eastAsia="zh-CN"/>
        </w:rPr>
        <w:t>截止2023年12月31日在职3人，行政辅助人员2人，临聘人员2人</w:t>
      </w:r>
      <w:r>
        <w:rPr>
          <w:rFonts w:hint="eastAsia" w:ascii="仿宋" w:hAnsi="仿宋" w:eastAsia="仿宋" w:cs="仿宋"/>
          <w:sz w:val="32"/>
          <w:szCs w:val="32"/>
        </w:rPr>
        <w:t>。</w:t>
      </w:r>
      <w:bookmarkEnd w:id="18"/>
      <w:bookmarkEnd w:id="19"/>
    </w:p>
    <w:p>
      <w:r>
        <w:rPr>
          <w:rFonts w:hint="eastAsia" w:ascii="仿宋_GB2312" w:hAnsi="仿宋" w:eastAsia="仿宋_GB2312"/>
          <w:sz w:val="32"/>
          <w:szCs w:val="32"/>
          <w:lang w:val="en-US" w:eastAsia="zh-CN"/>
        </w:rPr>
        <w:br w:type="page"/>
      </w:r>
    </w:p>
    <w:p>
      <w:pPr>
        <w:pStyle w:val="5"/>
        <w:keepNext/>
        <w:keepLines/>
        <w:pageBreakBefore w:val="0"/>
        <w:widowControl w:val="0"/>
        <w:kinsoku/>
        <w:wordWrap/>
        <w:overflowPunct/>
        <w:topLinePunct w:val="0"/>
        <w:autoSpaceDE/>
        <w:autoSpaceDN/>
        <w:bidi w:val="0"/>
        <w:adjustRightInd/>
        <w:snapToGrid/>
        <w:spacing w:line="579" w:lineRule="auto"/>
        <w:ind w:right="0"/>
        <w:jc w:val="center"/>
        <w:textAlignment w:val="auto"/>
      </w:pPr>
      <w:bookmarkStart w:id="21" w:name="_Toc15377204"/>
      <w:bookmarkStart w:id="22" w:name="_Toc15396602"/>
      <w:bookmarkStart w:id="23" w:name="_Toc10108"/>
      <w:r>
        <w:rPr>
          <w:rFonts w:hint="eastAsia" w:ascii="黑体" w:hAnsi="黑体" w:eastAsia="黑体"/>
          <w:b w:val="0"/>
        </w:rPr>
        <w:t>第二部分 2023年度</w:t>
      </w:r>
      <w:r>
        <w:rPr>
          <w:rStyle w:val="28"/>
          <w:rFonts w:hint="eastAsia" w:ascii="黑体" w:hAnsi="黑体" w:eastAsia="黑体"/>
          <w:b w:val="0"/>
          <w:bCs/>
        </w:rPr>
        <w:t>单位决算情况说明</w:t>
      </w:r>
      <w:bookmarkEnd w:id="21"/>
      <w:bookmarkEnd w:id="22"/>
      <w:bookmarkEnd w:id="23"/>
    </w:p>
    <w:p>
      <w:pPr>
        <w:pStyle w:val="27"/>
        <w:numPr>
          <w:ilvl w:val="0"/>
          <w:numId w:val="0"/>
        </w:numPr>
        <w:spacing w:line="600" w:lineRule="exact"/>
        <w:ind w:left="640" w:leftChars="0"/>
        <w:outlineLvl w:val="9"/>
        <w:rPr>
          <w:rStyle w:val="29"/>
          <w:rFonts w:ascii="黑体" w:hAnsi="黑体" w:eastAsia="黑体"/>
          <w:b w:val="0"/>
        </w:rPr>
      </w:pPr>
      <w:bookmarkStart w:id="24" w:name="_Toc15396603"/>
      <w:bookmarkStart w:id="25" w:name="_Toc15377205"/>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ascii="黑体" w:hAnsi="黑体" w:eastAsia="黑体"/>
          <w:b w:val="0"/>
        </w:rPr>
      </w:pPr>
      <w:bookmarkStart w:id="26" w:name="_Toc26683"/>
      <w:r>
        <w:rPr>
          <w:rFonts w:hint="eastAsia" w:ascii="黑体" w:hAnsi="黑体" w:eastAsia="黑体"/>
          <w:sz w:val="32"/>
          <w:szCs w:val="32"/>
          <w:lang w:val="en-US" w:eastAsia="zh-CN"/>
        </w:rPr>
        <w:t>一、</w:t>
      </w:r>
      <w:r>
        <w:rPr>
          <w:rFonts w:hint="eastAsia" w:ascii="黑体" w:hAnsi="黑体" w:eastAsia="黑体"/>
          <w:sz w:val="32"/>
          <w:szCs w:val="32"/>
        </w:rPr>
        <w:t>收</w:t>
      </w:r>
      <w:r>
        <w:rPr>
          <w:rStyle w:val="29"/>
          <w:rFonts w:hint="eastAsia" w:ascii="黑体" w:hAnsi="黑体" w:eastAsia="黑体"/>
          <w:b w:val="0"/>
        </w:rPr>
        <w:t>入支出决算总体情况说明</w:t>
      </w:r>
      <w:bookmarkEnd w:id="24"/>
      <w:bookmarkEnd w:id="25"/>
      <w:bookmarkEnd w:id="26"/>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outlineLvl w:val="0"/>
        <w:rPr>
          <w:rFonts w:hint="eastAsia" w:ascii="仿宋_GB2312" w:hAnsi="仿宋" w:eastAsia="仿宋_GB2312"/>
          <w:sz w:val="32"/>
          <w:szCs w:val="32"/>
        </w:rPr>
      </w:pPr>
      <w:bookmarkStart w:id="27" w:name="_Toc1032"/>
      <w:bookmarkStart w:id="28" w:name="_Toc6550"/>
      <w:bookmarkStart w:id="29" w:name="_Toc15377206"/>
      <w:bookmarkStart w:id="30" w:name="_Toc15396604"/>
      <w:r>
        <w:rPr>
          <w:rFonts w:hint="eastAsia" w:ascii="仿宋" w:hAnsi="仿宋" w:eastAsia="仿宋" w:cs="仿宋"/>
          <w:sz w:val="32"/>
          <w:szCs w:val="32"/>
        </w:rPr>
        <w:t>2023年度</w:t>
      </w:r>
      <w:r>
        <w:rPr>
          <w:rFonts w:hint="eastAsia" w:ascii="仿宋" w:hAnsi="仿宋" w:eastAsia="仿宋" w:cs="仿宋"/>
          <w:color w:val="auto"/>
          <w:sz w:val="32"/>
          <w:szCs w:val="32"/>
          <w:highlight w:val="none"/>
        </w:rPr>
        <w:t>收、支总计</w:t>
      </w:r>
      <w:r>
        <w:rPr>
          <w:rFonts w:hint="eastAsia" w:ascii="仿宋" w:hAnsi="仿宋" w:eastAsia="仿宋" w:cs="仿宋"/>
          <w:color w:val="auto"/>
          <w:sz w:val="32"/>
          <w:szCs w:val="32"/>
          <w:highlight w:val="none"/>
          <w:lang w:eastAsia="zh-CN"/>
        </w:rPr>
        <w:t>均为</w:t>
      </w:r>
      <w:r>
        <w:rPr>
          <w:rFonts w:hint="eastAsia" w:ascii="仿宋" w:hAnsi="仿宋" w:eastAsia="仿宋" w:cs="仿宋"/>
          <w:color w:val="auto"/>
          <w:sz w:val="32"/>
          <w:szCs w:val="32"/>
          <w:highlight w:val="none"/>
          <w:lang w:val="en-US" w:eastAsia="zh-CN"/>
        </w:rPr>
        <w:t>98.77</w:t>
      </w:r>
      <w:r>
        <w:rPr>
          <w:rFonts w:hint="eastAsia" w:ascii="仿宋" w:hAnsi="仿宋" w:eastAsia="仿宋" w:cs="仿宋"/>
          <w:color w:val="auto"/>
          <w:sz w:val="32"/>
          <w:szCs w:val="32"/>
          <w:highlight w:val="none"/>
        </w:rPr>
        <w:t>万元。</w:t>
      </w:r>
      <w:r>
        <w:rPr>
          <w:rFonts w:hint="eastAsia" w:ascii="仿宋" w:hAnsi="仿宋" w:eastAsia="仿宋" w:cs="仿宋"/>
          <w:sz w:val="32"/>
          <w:szCs w:val="32"/>
        </w:rPr>
        <w:t>与</w:t>
      </w:r>
      <w:r>
        <w:rPr>
          <w:rFonts w:hint="eastAsia" w:ascii="仿宋" w:hAnsi="仿宋" w:eastAsia="仿宋" w:cs="仿宋"/>
          <w:sz w:val="32"/>
          <w:szCs w:val="32"/>
          <w:lang w:val="en-US" w:eastAsia="zh-CN"/>
        </w:rPr>
        <w:t>2022年度相比，</w:t>
      </w:r>
      <w:r>
        <w:rPr>
          <w:rFonts w:hint="eastAsia" w:ascii="仿宋" w:hAnsi="仿宋" w:eastAsia="仿宋" w:cs="仿宋"/>
          <w:color w:val="auto"/>
          <w:sz w:val="32"/>
          <w:szCs w:val="32"/>
          <w:highlight w:val="none"/>
        </w:rPr>
        <w:t>收、支总计各增加</w:t>
      </w:r>
      <w:r>
        <w:rPr>
          <w:rFonts w:hint="eastAsia" w:ascii="仿宋" w:hAnsi="仿宋" w:eastAsia="仿宋" w:cs="仿宋"/>
          <w:color w:val="auto"/>
          <w:sz w:val="32"/>
          <w:szCs w:val="32"/>
          <w:highlight w:val="none"/>
          <w:lang w:val="en-US" w:eastAsia="zh-CN"/>
        </w:rPr>
        <w:t>6.26</w:t>
      </w:r>
      <w:r>
        <w:rPr>
          <w:rFonts w:hint="eastAsia" w:ascii="仿宋" w:hAnsi="仿宋" w:eastAsia="仿宋" w:cs="仿宋"/>
          <w:color w:val="auto"/>
          <w:sz w:val="32"/>
          <w:szCs w:val="32"/>
          <w:highlight w:val="none"/>
        </w:rPr>
        <w:t>万元，增长</w:t>
      </w:r>
      <w:r>
        <w:rPr>
          <w:rFonts w:hint="eastAsia" w:ascii="仿宋" w:hAnsi="仿宋" w:eastAsia="仿宋" w:cs="仿宋"/>
          <w:color w:val="auto"/>
          <w:sz w:val="32"/>
          <w:szCs w:val="32"/>
          <w:highlight w:val="none"/>
          <w:lang w:val="en-US" w:eastAsia="zh-CN"/>
        </w:rPr>
        <w:t>6.77</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主要</w:t>
      </w:r>
      <w:r>
        <w:rPr>
          <w:rFonts w:hint="eastAsia" w:ascii="仿宋" w:hAnsi="仿宋" w:eastAsia="仿宋" w:cs="仿宋"/>
          <w:sz w:val="32"/>
          <w:szCs w:val="32"/>
        </w:rPr>
        <w:t>变</w:t>
      </w:r>
      <w:r>
        <w:rPr>
          <w:rFonts w:hint="eastAsia" w:ascii="仿宋" w:hAnsi="仿宋" w:eastAsia="仿宋" w:cs="仿宋"/>
          <w:sz w:val="32"/>
          <w:szCs w:val="32"/>
          <w:lang w:val="en-US" w:eastAsia="zh-CN"/>
        </w:rPr>
        <w:t>动</w:t>
      </w:r>
      <w:r>
        <w:rPr>
          <w:rFonts w:hint="eastAsia" w:ascii="仿宋" w:hAnsi="仿宋" w:eastAsia="仿宋" w:cs="仿宋"/>
          <w:sz w:val="32"/>
          <w:szCs w:val="32"/>
        </w:rPr>
        <w:t>原因：由于本年度人员增加，人员经费、保险类</w:t>
      </w:r>
      <w:r>
        <w:rPr>
          <w:rFonts w:hint="eastAsia" w:ascii="仿宋" w:hAnsi="仿宋" w:eastAsia="仿宋" w:cs="仿宋"/>
          <w:sz w:val="32"/>
          <w:szCs w:val="32"/>
          <w:lang w:val="en-US" w:eastAsia="zh-CN"/>
        </w:rPr>
        <w:t>支出</w:t>
      </w:r>
      <w:r>
        <w:rPr>
          <w:rFonts w:hint="eastAsia" w:ascii="仿宋" w:hAnsi="仿宋" w:eastAsia="仿宋" w:cs="仿宋"/>
          <w:sz w:val="32"/>
          <w:szCs w:val="32"/>
        </w:rPr>
        <w:t>增加。</w:t>
      </w:r>
      <w:bookmarkEnd w:id="27"/>
      <w:bookmarkEnd w:id="28"/>
    </w:p>
    <w:p>
      <w:pPr>
        <w:pStyle w:val="8"/>
        <w:jc w:val="center"/>
        <w:rPr>
          <w:rFonts w:hint="eastAsia" w:ascii="仿宋_GB2312" w:hAnsi="仿宋" w:eastAsia="仿宋_GB2312"/>
          <w:sz w:val="32"/>
          <w:szCs w:val="32"/>
        </w:rPr>
      </w:pPr>
      <w:r>
        <w:rPr>
          <w:rFonts w:hint="eastAsia" w:eastAsia="仿宋_GB2312"/>
          <w:lang w:eastAsia="zh-CN"/>
        </w:rPr>
        <w:drawing>
          <wp:inline distT="0" distB="0" distL="114300" distR="114300">
            <wp:extent cx="5217795" cy="3679825"/>
            <wp:effectExtent l="4445" t="5080" r="16510" b="1079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7"/>
        <w:numPr>
          <w:ilvl w:val="0"/>
          <w:numId w:val="0"/>
        </w:numPr>
        <w:spacing w:line="600" w:lineRule="exact"/>
        <w:ind w:firstLine="320" w:firstLineChars="100"/>
        <w:jc w:val="center"/>
        <w:outlineLvl w:val="1"/>
        <w:rPr>
          <w:rStyle w:val="29"/>
          <w:rFonts w:hint="eastAsia" w:ascii="黑体" w:hAnsi="黑体" w:eastAsia="黑体"/>
          <w:b w:val="0"/>
        </w:rPr>
      </w:pPr>
      <w:bookmarkStart w:id="31" w:name="_Toc7359"/>
      <w:bookmarkStart w:id="32" w:name="_Toc6066"/>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bookmarkEnd w:id="31"/>
      <w:bookmarkEnd w:id="32"/>
    </w:p>
    <w:p>
      <w:pPr>
        <w:pStyle w:val="27"/>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outlineLvl w:val="1"/>
        <w:rPr>
          <w:rStyle w:val="29"/>
          <w:rFonts w:hint="eastAsia" w:ascii="黑体" w:hAnsi="黑体" w:eastAsia="黑体"/>
          <w:b w:val="0"/>
        </w:rPr>
      </w:pPr>
      <w:bookmarkStart w:id="33" w:name="_Toc24583"/>
      <w:r>
        <w:rPr>
          <w:rFonts w:hint="eastAsia" w:ascii="黑体" w:hAnsi="黑体" w:eastAsia="黑体"/>
          <w:sz w:val="32"/>
          <w:szCs w:val="32"/>
          <w:lang w:val="en-US" w:eastAsia="zh-CN"/>
        </w:rPr>
        <w:t>二、</w:t>
      </w:r>
      <w:r>
        <w:rPr>
          <w:rFonts w:hint="eastAsia" w:ascii="黑体" w:hAnsi="黑体" w:eastAsia="黑体"/>
          <w:sz w:val="32"/>
          <w:szCs w:val="32"/>
        </w:rPr>
        <w:t>收</w:t>
      </w:r>
      <w:r>
        <w:rPr>
          <w:rStyle w:val="29"/>
          <w:rFonts w:hint="eastAsia" w:ascii="黑体" w:hAnsi="黑体" w:eastAsia="黑体"/>
          <w:b w:val="0"/>
        </w:rPr>
        <w:t>入决算情况说明</w:t>
      </w:r>
      <w:bookmarkEnd w:id="29"/>
      <w:bookmarkEnd w:id="30"/>
      <w:bookmarkEnd w:id="33"/>
    </w:p>
    <w:p>
      <w:pPr>
        <w:spacing w:line="600" w:lineRule="exact"/>
        <w:ind w:firstLine="640" w:firstLineChars="200"/>
        <w:outlineLvl w:val="1"/>
        <w:rPr>
          <w:rFonts w:hint="eastAsia" w:ascii="仿宋" w:hAnsi="仿宋" w:eastAsia="仿宋"/>
          <w:color w:val="auto"/>
          <w:sz w:val="32"/>
          <w:szCs w:val="32"/>
          <w:highlight w:val="none"/>
          <w:lang w:eastAsia="zh-CN"/>
        </w:rPr>
      </w:pPr>
      <w:bookmarkStart w:id="34" w:name="_Toc4986"/>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本年收入合计</w:t>
      </w:r>
      <w:r>
        <w:rPr>
          <w:rFonts w:hint="eastAsia" w:ascii="仿宋" w:hAnsi="仿宋" w:eastAsia="仿宋"/>
          <w:color w:val="auto"/>
          <w:sz w:val="32"/>
          <w:szCs w:val="32"/>
          <w:highlight w:val="none"/>
          <w:lang w:val="en-US" w:eastAsia="zh-CN"/>
        </w:rPr>
        <w:t>98.77</w:t>
      </w:r>
      <w:r>
        <w:rPr>
          <w:rFonts w:hint="eastAsia" w:ascii="仿宋" w:hAnsi="仿宋" w:eastAsia="仿宋"/>
          <w:color w:val="auto"/>
          <w:sz w:val="32"/>
          <w:szCs w:val="32"/>
          <w:highlight w:val="none"/>
        </w:rPr>
        <w:t>万元，其中：一般公共预算财政拨款收入</w:t>
      </w:r>
      <w:r>
        <w:rPr>
          <w:rFonts w:hint="eastAsia" w:ascii="仿宋" w:hAnsi="仿宋" w:eastAsia="仿宋"/>
          <w:color w:val="auto"/>
          <w:sz w:val="32"/>
          <w:szCs w:val="32"/>
          <w:highlight w:val="none"/>
          <w:lang w:val="en-US" w:eastAsia="zh-CN"/>
        </w:rPr>
        <w:t>98.77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bookmarkEnd w:id="34"/>
    </w:p>
    <w:p>
      <w:pPr>
        <w:pStyle w:val="8"/>
        <w:jc w:val="center"/>
        <w:rPr>
          <w:rFonts w:hint="eastAsia"/>
          <w:lang w:eastAsia="zh-CN"/>
        </w:rPr>
      </w:pPr>
      <w:r>
        <w:rPr>
          <w:rFonts w:hint="eastAsia"/>
          <w:lang w:eastAsia="zh-CN"/>
        </w:rPr>
        <w:drawing>
          <wp:inline distT="0" distB="0" distL="114300" distR="114300">
            <wp:extent cx="4328795" cy="2889250"/>
            <wp:effectExtent l="4445" t="4445" r="10160" b="2095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jc w:val="center"/>
        <w:rPr>
          <w:rStyle w:val="29"/>
          <w:rFonts w:hint="eastAsia" w:ascii="黑体" w:hAnsi="黑体" w:eastAsia="黑体"/>
          <w:b w:val="0"/>
        </w:rPr>
      </w:pPr>
      <w:r>
        <w:rPr>
          <w:rFonts w:hint="eastAsia" w:ascii="仿宋" w:hAnsi="仿宋" w:eastAsia="仿宋"/>
          <w:sz w:val="32"/>
          <w:szCs w:val="32"/>
        </w:rPr>
        <w:t>（图2：收入决算结构图）（饼状图）</w:t>
      </w: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ascii="黑体" w:hAnsi="黑体" w:eastAsia="黑体"/>
          <w:b w:val="0"/>
        </w:rPr>
      </w:pPr>
      <w:bookmarkStart w:id="35" w:name="_Toc15377207"/>
      <w:bookmarkStart w:id="36" w:name="_Toc5758"/>
      <w:bookmarkStart w:id="37" w:name="_Toc15396605"/>
      <w:r>
        <w:rPr>
          <w:rFonts w:hint="eastAsia" w:ascii="黑体" w:hAnsi="黑体" w:eastAsia="黑体"/>
          <w:sz w:val="32"/>
          <w:szCs w:val="32"/>
          <w:lang w:val="en-US" w:eastAsia="zh-CN"/>
        </w:rPr>
        <w:t>三、</w:t>
      </w:r>
      <w:r>
        <w:rPr>
          <w:rFonts w:hint="eastAsia" w:ascii="黑体" w:hAnsi="黑体" w:eastAsia="黑体"/>
          <w:sz w:val="32"/>
          <w:szCs w:val="32"/>
        </w:rPr>
        <w:t>支</w:t>
      </w:r>
      <w:r>
        <w:rPr>
          <w:rStyle w:val="29"/>
          <w:rFonts w:hint="eastAsia" w:ascii="黑体" w:hAnsi="黑体" w:eastAsia="黑体"/>
          <w:b w:val="0"/>
        </w:rPr>
        <w:t>出决算情况说明</w:t>
      </w:r>
      <w:bookmarkEnd w:id="35"/>
      <w:bookmarkEnd w:id="36"/>
      <w:bookmarkEnd w:id="37"/>
    </w:p>
    <w:p>
      <w:pPr>
        <w:spacing w:line="600" w:lineRule="exact"/>
        <w:ind w:firstLine="640" w:firstLineChars="200"/>
        <w:outlineLvl w:val="1"/>
        <w:rPr>
          <w:rFonts w:hint="eastAsia" w:ascii="仿宋" w:hAnsi="仿宋" w:eastAsia="仿宋"/>
          <w:color w:val="auto"/>
          <w:sz w:val="32"/>
          <w:szCs w:val="32"/>
          <w:highlight w:val="none"/>
        </w:rPr>
      </w:pPr>
      <w:bookmarkStart w:id="38" w:name="_Toc11593"/>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本年支出合计</w:t>
      </w:r>
      <w:r>
        <w:rPr>
          <w:rFonts w:hint="eastAsia" w:ascii="仿宋" w:hAnsi="仿宋" w:eastAsia="仿宋"/>
          <w:color w:val="auto"/>
          <w:sz w:val="32"/>
          <w:szCs w:val="32"/>
          <w:highlight w:val="none"/>
          <w:lang w:val="en-US" w:eastAsia="zh-CN"/>
        </w:rPr>
        <w:t>98.77</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75.03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75.97</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23.74</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24.03</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38"/>
    </w:p>
    <w:p>
      <w:pPr>
        <w:pStyle w:val="2"/>
        <w:jc w:val="center"/>
        <w:rPr>
          <w:rFonts w:ascii="仿宋_GB2312" w:eastAsia="仿宋_GB2312"/>
          <w:sz w:val="32"/>
          <w:szCs w:val="32"/>
        </w:rPr>
      </w:pPr>
      <w:r>
        <w:rPr>
          <w:rFonts w:hint="eastAsia" w:eastAsia="仿宋"/>
          <w:lang w:eastAsia="zh-CN"/>
        </w:rPr>
        <w:drawing>
          <wp:inline distT="0" distB="0" distL="114300" distR="114300">
            <wp:extent cx="3916680" cy="2762885"/>
            <wp:effectExtent l="4445" t="4445" r="22225" b="1397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1600" w:firstLineChars="500"/>
        <w:rPr>
          <w:rFonts w:ascii="仿宋_GB2312" w:eastAsia="仿宋_GB2312"/>
          <w:sz w:val="32"/>
          <w:szCs w:val="32"/>
        </w:rPr>
      </w:pPr>
      <w:r>
        <w:rPr>
          <w:rFonts w:hint="eastAsia" w:ascii="仿宋" w:hAnsi="仿宋" w:eastAsia="仿宋"/>
          <w:sz w:val="32"/>
          <w:szCs w:val="32"/>
        </w:rPr>
        <w:t>（图3：支出决算结构图）（饼状图）</w:t>
      </w:r>
    </w:p>
    <w:p>
      <w:pPr>
        <w:keepNext w:val="0"/>
        <w:keepLines w:val="0"/>
        <w:pageBreakBefore w:val="0"/>
        <w:widowControl w:val="0"/>
        <w:tabs>
          <w:tab w:val="left" w:pos="853"/>
        </w:tabs>
        <w:kinsoku/>
        <w:wordWrap/>
        <w:overflowPunct/>
        <w:topLinePunct w:val="0"/>
        <w:autoSpaceDE/>
        <w:autoSpaceDN/>
        <w:bidi w:val="0"/>
        <w:adjustRightInd/>
        <w:snapToGrid/>
        <w:spacing w:line="600" w:lineRule="exact"/>
        <w:ind w:firstLine="640" w:firstLineChars="200"/>
        <w:textAlignment w:val="auto"/>
        <w:outlineLvl w:val="1"/>
        <w:rPr>
          <w:rStyle w:val="29"/>
          <w:rFonts w:ascii="黑体" w:hAnsi="黑体" w:eastAsia="黑体"/>
          <w:b w:val="0"/>
        </w:rPr>
      </w:pPr>
      <w:bookmarkStart w:id="39" w:name="_Toc15377208"/>
      <w:bookmarkStart w:id="40" w:name="_Toc15396606"/>
      <w:bookmarkStart w:id="41" w:name="_Toc24977"/>
      <w:r>
        <w:rPr>
          <w:rFonts w:hint="eastAsia" w:ascii="黑体" w:hAnsi="黑体" w:eastAsia="黑体"/>
          <w:sz w:val="32"/>
          <w:szCs w:val="32"/>
          <w:lang w:val="en-US" w:eastAsia="zh-CN"/>
        </w:rPr>
        <w:t>四、</w:t>
      </w:r>
      <w:r>
        <w:rPr>
          <w:rFonts w:hint="eastAsia" w:ascii="黑体" w:hAnsi="黑体" w:eastAsia="黑体"/>
          <w:sz w:val="32"/>
          <w:szCs w:val="32"/>
        </w:rPr>
        <w:t>财</w:t>
      </w:r>
      <w:r>
        <w:rPr>
          <w:rStyle w:val="29"/>
          <w:rFonts w:hint="eastAsia" w:ascii="黑体" w:hAnsi="黑体" w:eastAsia="黑体"/>
          <w:b w:val="0"/>
        </w:rPr>
        <w:t>政拨款收入支出决算总体情况说明</w:t>
      </w:r>
      <w:bookmarkEnd w:id="39"/>
      <w:bookmarkEnd w:id="40"/>
      <w:bookmarkEnd w:id="41"/>
    </w:p>
    <w:p>
      <w:pPr>
        <w:spacing w:line="600" w:lineRule="exact"/>
        <w:ind w:firstLine="640"/>
        <w:rPr>
          <w:rFonts w:hint="eastAsia" w:ascii="仿宋" w:hAnsi="仿宋" w:eastAsia="仿宋"/>
          <w:sz w:val="32"/>
          <w:szCs w:val="32"/>
          <w:highlight w:val="none"/>
        </w:rPr>
      </w:pPr>
      <w:bookmarkStart w:id="42" w:name="_Toc15377209"/>
      <w:bookmarkStart w:id="43" w:name="_Toc15396607"/>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财政拨款收、支总计</w:t>
      </w:r>
      <w:r>
        <w:rPr>
          <w:rFonts w:hint="eastAsia" w:ascii="仿宋" w:hAnsi="仿宋" w:eastAsia="仿宋"/>
          <w:color w:val="auto"/>
          <w:sz w:val="32"/>
          <w:szCs w:val="32"/>
          <w:highlight w:val="none"/>
          <w:lang w:eastAsia="zh-CN"/>
        </w:rPr>
        <w:t>均为</w:t>
      </w:r>
      <w:r>
        <w:rPr>
          <w:rFonts w:hint="eastAsia" w:ascii="仿宋" w:hAnsi="仿宋" w:eastAsia="仿宋"/>
          <w:color w:val="auto"/>
          <w:sz w:val="32"/>
          <w:szCs w:val="32"/>
          <w:highlight w:val="none"/>
          <w:lang w:val="en-US" w:eastAsia="zh-CN"/>
        </w:rPr>
        <w:t>98.77</w:t>
      </w:r>
      <w:r>
        <w:rPr>
          <w:rFonts w:hint="eastAsia" w:ascii="仿宋" w:hAnsi="仿宋" w:eastAsia="仿宋"/>
          <w:color w:val="auto"/>
          <w:sz w:val="32"/>
          <w:szCs w:val="32"/>
          <w:highlight w:val="none"/>
        </w:rPr>
        <w:t>万元。与</w:t>
      </w:r>
      <w:r>
        <w:rPr>
          <w:rFonts w:hint="eastAsia" w:ascii="仿宋" w:hAnsi="仿宋" w:eastAsia="仿宋"/>
          <w:color w:val="auto"/>
          <w:sz w:val="32"/>
          <w:szCs w:val="32"/>
          <w:highlight w:val="none"/>
          <w:lang w:eastAsia="zh-CN"/>
        </w:rPr>
        <w:t>2022</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相比，财政拨款收、支总计各增加</w:t>
      </w:r>
      <w:r>
        <w:rPr>
          <w:rFonts w:hint="eastAsia" w:ascii="仿宋" w:hAnsi="仿宋" w:eastAsia="仿宋"/>
          <w:color w:val="auto"/>
          <w:sz w:val="32"/>
          <w:szCs w:val="32"/>
          <w:highlight w:val="none"/>
          <w:lang w:val="en-US" w:eastAsia="zh-CN"/>
        </w:rPr>
        <w:t>6.26</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6.77</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sz w:val="32"/>
          <w:szCs w:val="32"/>
          <w:highlight w:val="none"/>
          <w:lang w:eastAsia="zh-CN"/>
        </w:rPr>
        <w:t>：</w:t>
      </w:r>
      <w:r>
        <w:rPr>
          <w:rFonts w:hint="eastAsia" w:ascii="仿宋" w:hAnsi="仿宋" w:eastAsia="仿宋"/>
          <w:sz w:val="32"/>
          <w:szCs w:val="32"/>
          <w:highlight w:val="none"/>
        </w:rPr>
        <w:t>由于本年度人员增加，人员经费、保险类</w:t>
      </w:r>
      <w:r>
        <w:rPr>
          <w:rFonts w:hint="eastAsia" w:ascii="仿宋" w:hAnsi="仿宋" w:eastAsia="仿宋" w:cs="仿宋"/>
          <w:sz w:val="32"/>
          <w:szCs w:val="32"/>
          <w:lang w:val="en-US" w:eastAsia="zh-CN"/>
        </w:rPr>
        <w:t>支出</w:t>
      </w:r>
      <w:r>
        <w:rPr>
          <w:rFonts w:hint="eastAsia" w:ascii="仿宋" w:hAnsi="仿宋" w:eastAsia="仿宋"/>
          <w:sz w:val="32"/>
          <w:szCs w:val="32"/>
          <w:highlight w:val="none"/>
        </w:rPr>
        <w:t>增加。</w:t>
      </w:r>
    </w:p>
    <w:p>
      <w:pPr>
        <w:pStyle w:val="2"/>
        <w:jc w:val="center"/>
        <w:rPr>
          <w:rFonts w:hint="eastAsia" w:ascii="仿宋" w:hAnsi="仿宋" w:eastAsia="仿宋"/>
          <w:sz w:val="32"/>
          <w:szCs w:val="32"/>
        </w:rPr>
      </w:pPr>
      <w:r>
        <w:rPr>
          <w:rFonts w:hint="eastAsia" w:eastAsia="仿宋"/>
          <w:lang w:eastAsia="zh-CN"/>
        </w:rPr>
        <w:drawing>
          <wp:inline distT="0" distB="0" distL="114300" distR="114300">
            <wp:extent cx="3680460" cy="2370455"/>
            <wp:effectExtent l="4445" t="4445" r="10795" b="635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eastAsia" w:ascii="仿宋" w:hAnsi="仿宋" w:eastAsia="仿宋"/>
          <w:sz w:val="32"/>
          <w:szCs w:val="32"/>
        </w:rPr>
      </w:pPr>
      <w:bookmarkStart w:id="44" w:name="_Toc4660"/>
      <w:r>
        <w:rPr>
          <w:rFonts w:hint="eastAsia" w:ascii="仿宋" w:hAnsi="仿宋" w:eastAsia="仿宋"/>
          <w:sz w:val="32"/>
          <w:szCs w:val="32"/>
        </w:rPr>
        <w:t>（图4：财政拨款收、支决算总计变动情况）（柱状图）</w:t>
      </w:r>
      <w:bookmarkEnd w:id="44"/>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Style w:val="29"/>
          <w:rFonts w:ascii="黑体" w:hAnsi="黑体" w:eastAsia="黑体"/>
          <w:b w:val="0"/>
        </w:rPr>
      </w:pPr>
      <w:bookmarkStart w:id="45" w:name="_Toc12683"/>
      <w:r>
        <w:rPr>
          <w:rFonts w:hint="eastAsia" w:ascii="黑体" w:hAnsi="黑体" w:eastAsia="黑体"/>
          <w:sz w:val="32"/>
          <w:szCs w:val="32"/>
        </w:rPr>
        <w:t>五、</w:t>
      </w:r>
      <w:r>
        <w:rPr>
          <w:rFonts w:hint="eastAsia" w:ascii="黑体" w:hAnsi="黑体" w:eastAsia="黑体"/>
          <w:b/>
          <w:sz w:val="32"/>
          <w:szCs w:val="32"/>
        </w:rPr>
        <w:t>一</w:t>
      </w:r>
      <w:r>
        <w:rPr>
          <w:rStyle w:val="29"/>
          <w:rFonts w:hint="eastAsia" w:ascii="黑体" w:hAnsi="黑体" w:eastAsia="黑体"/>
          <w:b w:val="0"/>
        </w:rPr>
        <w:t>般公共预算财政拨款支出决算情况说明</w:t>
      </w:r>
      <w:bookmarkEnd w:id="42"/>
      <w:bookmarkEnd w:id="43"/>
      <w:bookmarkEnd w:id="45"/>
    </w:p>
    <w:p>
      <w:pPr>
        <w:spacing w:line="600" w:lineRule="exact"/>
        <w:ind w:firstLine="643" w:firstLineChars="200"/>
        <w:outlineLvl w:val="2"/>
        <w:rPr>
          <w:rFonts w:hint="eastAsia" w:ascii="仿宋" w:hAnsi="仿宋" w:eastAsia="仿宋" w:cs="仿宋"/>
          <w:b/>
          <w:bCs w:val="0"/>
          <w:sz w:val="32"/>
          <w:szCs w:val="32"/>
        </w:rPr>
      </w:pPr>
      <w:bookmarkStart w:id="46" w:name="_Toc15377210"/>
      <w:r>
        <w:rPr>
          <w:rFonts w:hint="eastAsia" w:ascii="仿宋" w:hAnsi="仿宋" w:eastAsia="仿宋" w:cs="仿宋"/>
          <w:b/>
          <w:bCs w:val="0"/>
          <w:sz w:val="32"/>
          <w:szCs w:val="32"/>
        </w:rPr>
        <w:t>（一）一般公共预算财政拨款支出决算总体情况</w:t>
      </w:r>
      <w:bookmarkEnd w:id="46"/>
    </w:p>
    <w:p>
      <w:pPr>
        <w:spacing w:line="600" w:lineRule="exact"/>
        <w:ind w:firstLine="640"/>
        <w:rPr>
          <w:rFonts w:hint="eastAsia" w:ascii="仿宋" w:hAnsi="仿宋" w:eastAsia="仿宋"/>
          <w:sz w:val="32"/>
          <w:szCs w:val="32"/>
          <w:highlight w:val="none"/>
        </w:rPr>
      </w:pPr>
      <w:r>
        <w:rPr>
          <w:rFonts w:hint="eastAsia" w:ascii="仿宋" w:hAnsi="仿宋" w:eastAsia="仿宋"/>
          <w:sz w:val="32"/>
          <w:szCs w:val="32"/>
          <w:highlight w:val="none"/>
        </w:rPr>
        <w:t>2023年度一般公共预算财政拨款支出</w:t>
      </w:r>
      <w:r>
        <w:rPr>
          <w:rFonts w:hint="eastAsia" w:ascii="仿宋" w:hAnsi="仿宋" w:eastAsia="仿宋"/>
          <w:sz w:val="32"/>
          <w:szCs w:val="32"/>
          <w:highlight w:val="none"/>
          <w:lang w:val="en-US" w:eastAsia="zh-CN"/>
        </w:rPr>
        <w:t>98.77</w:t>
      </w:r>
      <w:r>
        <w:rPr>
          <w:rFonts w:hint="eastAsia" w:ascii="仿宋" w:hAnsi="仿宋" w:eastAsia="仿宋"/>
          <w:sz w:val="32"/>
          <w:szCs w:val="32"/>
          <w:highlight w:val="none"/>
        </w:rPr>
        <w:t>万元，占本年支出合计的</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%。与</w:t>
      </w:r>
      <w:r>
        <w:rPr>
          <w:rFonts w:hint="eastAsia" w:ascii="仿宋" w:hAnsi="仿宋" w:eastAsia="仿宋"/>
          <w:sz w:val="32"/>
          <w:szCs w:val="32"/>
          <w:highlight w:val="none"/>
          <w:lang w:val="en-US" w:eastAsia="zh-CN"/>
        </w:rPr>
        <w:t>2022</w:t>
      </w:r>
      <w:r>
        <w:rPr>
          <w:rFonts w:hint="eastAsia" w:ascii="仿宋" w:hAnsi="仿宋" w:eastAsia="仿宋"/>
          <w:sz w:val="32"/>
          <w:szCs w:val="32"/>
          <w:highlight w:val="none"/>
        </w:rPr>
        <w:t>年度相比，一般公共预算财政拨款支出增加</w:t>
      </w:r>
      <w:r>
        <w:rPr>
          <w:rFonts w:hint="eastAsia" w:ascii="仿宋" w:hAnsi="仿宋" w:eastAsia="仿宋"/>
          <w:sz w:val="32"/>
          <w:szCs w:val="32"/>
          <w:highlight w:val="none"/>
          <w:lang w:val="en-US" w:eastAsia="zh-CN"/>
        </w:rPr>
        <w:t>6.26</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6.77</w:t>
      </w:r>
      <w:r>
        <w:rPr>
          <w:rFonts w:ascii="仿宋" w:hAnsi="仿宋" w:eastAsia="仿宋"/>
          <w:sz w:val="32"/>
          <w:szCs w:val="32"/>
          <w:highlight w:val="none"/>
        </w:rPr>
        <w:t>%</w:t>
      </w:r>
      <w:r>
        <w:rPr>
          <w:rFonts w:hint="eastAsia" w:ascii="仿宋" w:hAnsi="仿宋" w:eastAsia="仿宋"/>
          <w:sz w:val="32"/>
          <w:szCs w:val="32"/>
          <w:highlight w:val="none"/>
        </w:rPr>
        <w:t>。主要变动原因是</w:t>
      </w:r>
      <w:r>
        <w:rPr>
          <w:rFonts w:hint="eastAsia" w:ascii="仿宋" w:hAnsi="仿宋" w:eastAsia="仿宋"/>
          <w:sz w:val="32"/>
          <w:szCs w:val="32"/>
          <w:highlight w:val="none"/>
          <w:lang w:eastAsia="zh-CN"/>
        </w:rPr>
        <w:t>：</w:t>
      </w:r>
      <w:r>
        <w:rPr>
          <w:rFonts w:hint="eastAsia" w:ascii="仿宋" w:hAnsi="仿宋" w:eastAsia="仿宋"/>
          <w:sz w:val="32"/>
          <w:szCs w:val="32"/>
          <w:highlight w:val="none"/>
        </w:rPr>
        <w:t>由于本年度人员增加，人员经费、保险类</w:t>
      </w:r>
      <w:r>
        <w:rPr>
          <w:rFonts w:hint="eastAsia" w:ascii="仿宋" w:hAnsi="仿宋" w:eastAsia="仿宋" w:cs="仿宋"/>
          <w:sz w:val="32"/>
          <w:szCs w:val="32"/>
          <w:lang w:val="en-US" w:eastAsia="zh-CN"/>
        </w:rPr>
        <w:t>支出</w:t>
      </w:r>
      <w:r>
        <w:rPr>
          <w:rFonts w:hint="eastAsia" w:ascii="仿宋" w:hAnsi="仿宋" w:eastAsia="仿宋"/>
          <w:sz w:val="32"/>
          <w:szCs w:val="32"/>
          <w:highlight w:val="none"/>
        </w:rPr>
        <w:t>增加。</w:t>
      </w:r>
    </w:p>
    <w:p>
      <w:pPr>
        <w:pStyle w:val="2"/>
        <w:jc w:val="center"/>
      </w:pPr>
      <w:r>
        <w:rPr>
          <w:rFonts w:hint="eastAsia" w:eastAsia="仿宋"/>
          <w:lang w:eastAsia="zh-CN"/>
        </w:rPr>
        <w:drawing>
          <wp:inline distT="0" distB="0" distL="114300" distR="114300">
            <wp:extent cx="3420110" cy="2358390"/>
            <wp:effectExtent l="4445" t="4445" r="23495" b="1841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rPr>
          <w:rFonts w:ascii="仿宋" w:hAnsi="仿宋" w:eastAsia="仿宋"/>
          <w:sz w:val="32"/>
          <w:szCs w:val="32"/>
        </w:rPr>
      </w:pPr>
      <w:r>
        <w:rPr>
          <w:rFonts w:hint="eastAsia" w:ascii="仿宋" w:hAnsi="仿宋" w:eastAsia="仿宋"/>
          <w:sz w:val="32"/>
          <w:szCs w:val="32"/>
          <w:highlight w:val="none"/>
        </w:rPr>
        <w:t>（图5：一般公共预算财政拨款支出决算变动情况）（柱状图）</w:t>
      </w:r>
    </w:p>
    <w:p>
      <w:pPr>
        <w:spacing w:line="600" w:lineRule="exact"/>
        <w:ind w:firstLine="643" w:firstLineChars="200"/>
        <w:outlineLvl w:val="2"/>
        <w:rPr>
          <w:rFonts w:hint="eastAsia" w:ascii="仿宋" w:hAnsi="仿宋" w:eastAsia="仿宋" w:cs="仿宋"/>
          <w:b/>
          <w:bCs w:val="0"/>
          <w:sz w:val="32"/>
          <w:szCs w:val="32"/>
        </w:rPr>
      </w:pPr>
      <w:bookmarkStart w:id="47" w:name="_Toc15377211"/>
      <w:r>
        <w:rPr>
          <w:rFonts w:hint="eastAsia" w:ascii="仿宋" w:hAnsi="仿宋" w:eastAsia="仿宋" w:cs="仿宋"/>
          <w:b/>
          <w:bCs w:val="0"/>
          <w:sz w:val="32"/>
          <w:szCs w:val="32"/>
        </w:rPr>
        <w:t>（二）一般公共预算财政拨款支出决算结构情况</w:t>
      </w:r>
      <w:bookmarkEnd w:id="47"/>
    </w:p>
    <w:p>
      <w:pPr>
        <w:spacing w:line="600" w:lineRule="exact"/>
        <w:ind w:firstLine="640"/>
        <w:rPr>
          <w:rFonts w:hint="eastAsia" w:ascii="仿宋" w:hAnsi="仿宋" w:eastAsia="仿宋"/>
          <w:color w:val="auto"/>
          <w:sz w:val="32"/>
          <w:szCs w:val="32"/>
          <w:highlight w:val="none"/>
        </w:rPr>
      </w:pPr>
      <w:r>
        <w:rPr>
          <w:rFonts w:hint="eastAsia" w:ascii="仿宋" w:hAnsi="仿宋" w:eastAsia="仿宋"/>
          <w:sz w:val="32"/>
          <w:szCs w:val="32"/>
          <w:highlight w:val="none"/>
        </w:rPr>
        <w:t>2023年度一般公共预算财政拨款支出</w:t>
      </w:r>
      <w:r>
        <w:rPr>
          <w:rFonts w:hint="eastAsia" w:ascii="仿宋" w:hAnsi="仿宋" w:eastAsia="仿宋"/>
          <w:sz w:val="32"/>
          <w:szCs w:val="32"/>
          <w:highlight w:val="none"/>
          <w:lang w:val="en-US" w:eastAsia="zh-CN"/>
        </w:rPr>
        <w:t>98.77</w:t>
      </w:r>
      <w:r>
        <w:rPr>
          <w:rFonts w:hint="eastAsia" w:ascii="仿宋" w:hAnsi="仿宋" w:eastAsia="仿宋"/>
          <w:sz w:val="32"/>
          <w:szCs w:val="32"/>
          <w:highlight w:val="none"/>
        </w:rPr>
        <w:t>万元，主要用于以下方面:</w:t>
      </w:r>
      <w:r>
        <w:rPr>
          <w:rFonts w:hint="eastAsia" w:ascii="仿宋" w:hAnsi="仿宋" w:eastAsia="仿宋"/>
          <w:b/>
          <w:bCs/>
          <w:color w:val="auto"/>
          <w:sz w:val="32"/>
          <w:szCs w:val="32"/>
          <w:highlight w:val="none"/>
        </w:rPr>
        <w:t>文化旅游体育与传媒支出</w:t>
      </w:r>
      <w:r>
        <w:rPr>
          <w:rFonts w:hint="eastAsia" w:ascii="仿宋" w:hAnsi="仿宋" w:eastAsia="仿宋"/>
          <w:b w:val="0"/>
          <w:bCs w:val="0"/>
          <w:color w:val="auto"/>
          <w:sz w:val="32"/>
          <w:szCs w:val="32"/>
          <w:highlight w:val="none"/>
          <w:lang w:val="en-US" w:eastAsia="zh-CN"/>
        </w:rPr>
        <w:t>78.12</w:t>
      </w:r>
      <w:r>
        <w:rPr>
          <w:rFonts w:hint="eastAsia" w:ascii="仿宋" w:hAnsi="仿宋" w:eastAsia="仿宋"/>
          <w:b w:val="0"/>
          <w:bCs w:val="0"/>
          <w:color w:val="auto"/>
          <w:sz w:val="32"/>
          <w:szCs w:val="32"/>
          <w:highlight w:val="none"/>
        </w:rPr>
        <w:t>万元，占</w:t>
      </w:r>
      <w:r>
        <w:rPr>
          <w:rFonts w:hint="eastAsia" w:ascii="仿宋" w:hAnsi="仿宋" w:eastAsia="仿宋"/>
          <w:b w:val="0"/>
          <w:bCs w:val="0"/>
          <w:color w:val="auto"/>
          <w:sz w:val="32"/>
          <w:szCs w:val="32"/>
          <w:highlight w:val="none"/>
          <w:lang w:val="en-US" w:eastAsia="zh-CN"/>
        </w:rPr>
        <w:t>79.1</w:t>
      </w:r>
      <w:r>
        <w:rPr>
          <w:rFonts w:ascii="仿宋" w:hAnsi="仿宋" w:eastAsia="仿宋"/>
          <w:b w:val="0"/>
          <w:bCs w:val="0"/>
          <w:color w:val="auto"/>
          <w:sz w:val="32"/>
          <w:szCs w:val="32"/>
          <w:highlight w:val="none"/>
        </w:rPr>
        <w:t>%</w:t>
      </w:r>
      <w:r>
        <w:rPr>
          <w:rFonts w:hint="eastAsia" w:ascii="仿宋" w:hAnsi="仿宋" w:eastAsia="仿宋"/>
          <w:b w:val="0"/>
          <w:bCs w:val="0"/>
          <w:color w:val="auto"/>
          <w:sz w:val="32"/>
          <w:szCs w:val="32"/>
          <w:highlight w:val="none"/>
        </w:rPr>
        <w:t>；</w:t>
      </w:r>
      <w:r>
        <w:rPr>
          <w:rFonts w:hint="eastAsia" w:ascii="仿宋" w:hAnsi="仿宋" w:eastAsia="仿宋"/>
          <w:b/>
          <w:color w:val="auto"/>
          <w:sz w:val="32"/>
          <w:szCs w:val="32"/>
          <w:highlight w:val="none"/>
        </w:rPr>
        <w:t>社会保障和就业</w:t>
      </w:r>
      <w:r>
        <w:rPr>
          <w:rFonts w:hint="eastAsia" w:ascii="仿宋" w:hAnsi="仿宋" w:eastAsia="仿宋"/>
          <w:b/>
          <w:bCs/>
          <w:color w:val="auto"/>
          <w:sz w:val="32"/>
          <w:szCs w:val="32"/>
          <w:highlight w:val="none"/>
        </w:rPr>
        <w:t>支出</w:t>
      </w:r>
      <w:r>
        <w:rPr>
          <w:rFonts w:hint="eastAsia" w:ascii="仿宋" w:hAnsi="仿宋" w:eastAsia="仿宋"/>
          <w:color w:val="auto"/>
          <w:sz w:val="32"/>
          <w:szCs w:val="32"/>
          <w:highlight w:val="none"/>
          <w:lang w:val="en-US" w:eastAsia="zh-CN"/>
        </w:rPr>
        <w:t>15.72</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15.9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卫生健康支出</w:t>
      </w:r>
      <w:r>
        <w:rPr>
          <w:rFonts w:hint="eastAsia" w:ascii="仿宋" w:hAnsi="仿宋" w:eastAsia="仿宋"/>
          <w:color w:val="auto"/>
          <w:sz w:val="32"/>
          <w:szCs w:val="32"/>
          <w:highlight w:val="none"/>
          <w:lang w:val="en-US" w:eastAsia="zh-CN"/>
        </w:rPr>
        <w:t>2.26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2.3</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住房保障支出</w:t>
      </w:r>
      <w:r>
        <w:rPr>
          <w:rFonts w:hint="eastAsia" w:ascii="仿宋" w:hAnsi="仿宋" w:eastAsia="仿宋"/>
          <w:color w:val="auto"/>
          <w:sz w:val="32"/>
          <w:szCs w:val="32"/>
          <w:highlight w:val="none"/>
          <w:lang w:val="en-US" w:eastAsia="zh-CN"/>
        </w:rPr>
        <w:t>2.67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2.7</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pStyle w:val="2"/>
        <w:jc w:val="center"/>
        <w:rPr>
          <w:rFonts w:hint="eastAsia" w:ascii="仿宋" w:hAnsi="仿宋" w:eastAsia="仿宋"/>
          <w:b/>
          <w:sz w:val="32"/>
          <w:szCs w:val="32"/>
        </w:rPr>
      </w:pPr>
      <w:bookmarkStart w:id="48" w:name="_Toc15377212"/>
      <w:r>
        <w:rPr>
          <w:rFonts w:hint="eastAsia" w:eastAsia="仿宋"/>
          <w:lang w:eastAsia="zh-CN"/>
        </w:rPr>
        <w:drawing>
          <wp:inline distT="0" distB="0" distL="114300" distR="114300">
            <wp:extent cx="3411220" cy="2804795"/>
            <wp:effectExtent l="4445" t="4445" r="13335" b="10160"/>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pPr>
        <w:spacing w:line="600" w:lineRule="exact"/>
        <w:ind w:firstLine="643" w:firstLineChars="200"/>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bCs w:val="0"/>
          <w:sz w:val="32"/>
          <w:szCs w:val="32"/>
        </w:rPr>
        <w:t>（三）一般公共预算财政拨款支出决算具体情况</w:t>
      </w:r>
      <w:bookmarkEnd w:id="48"/>
    </w:p>
    <w:p>
      <w:pPr>
        <w:spacing w:line="600" w:lineRule="exact"/>
        <w:ind w:firstLine="640" w:firstLineChars="200"/>
        <w:outlineLvl w:val="2"/>
        <w:rPr>
          <w:rFonts w:hint="eastAsia" w:ascii="仿宋" w:hAnsi="仿宋" w:eastAsia="仿宋" w:cs="仿宋"/>
          <w:b w:val="0"/>
          <w:bCs/>
          <w:sz w:val="32"/>
          <w:szCs w:val="32"/>
          <w:highlight w:val="none"/>
        </w:rPr>
      </w:pPr>
      <w:bookmarkStart w:id="49" w:name="_Toc15378460"/>
      <w:bookmarkStart w:id="50" w:name="_Toc15377444"/>
      <w:bookmarkStart w:id="51" w:name="_Toc15377213"/>
      <w:r>
        <w:rPr>
          <w:rFonts w:hint="eastAsia" w:ascii="仿宋" w:hAnsi="仿宋" w:eastAsia="仿宋" w:cs="仿宋"/>
          <w:b w:val="0"/>
          <w:bCs/>
          <w:sz w:val="32"/>
          <w:szCs w:val="32"/>
          <w:highlight w:val="none"/>
        </w:rPr>
        <w:t>2023年度一般公共预算支出决算数为</w:t>
      </w:r>
      <w:r>
        <w:rPr>
          <w:rFonts w:hint="eastAsia" w:ascii="仿宋" w:hAnsi="仿宋" w:eastAsia="仿宋" w:cs="仿宋"/>
          <w:b w:val="0"/>
          <w:bCs/>
          <w:sz w:val="32"/>
          <w:szCs w:val="32"/>
          <w:highlight w:val="none"/>
          <w:lang w:val="en-US" w:eastAsia="zh-CN"/>
        </w:rPr>
        <w:t>98.77万元</w:t>
      </w:r>
      <w:bookmarkStart w:id="106" w:name="_GoBack"/>
      <w:bookmarkEnd w:id="106"/>
      <w:r>
        <w:rPr>
          <w:rFonts w:hint="eastAsia" w:ascii="仿宋" w:hAnsi="仿宋" w:eastAsia="仿宋" w:cs="仿宋"/>
          <w:b w:val="0"/>
          <w:bCs/>
          <w:sz w:val="32"/>
          <w:szCs w:val="32"/>
          <w:highlight w:val="none"/>
        </w:rPr>
        <w:t>，</w:t>
      </w:r>
      <w:r>
        <w:rPr>
          <w:rStyle w:val="17"/>
          <w:rFonts w:hint="eastAsia" w:ascii="仿宋" w:hAnsi="仿宋" w:eastAsia="仿宋" w:cs="仿宋"/>
          <w:b w:val="0"/>
          <w:bCs/>
          <w:sz w:val="32"/>
          <w:szCs w:val="32"/>
          <w:highlight w:val="none"/>
        </w:rPr>
        <w:t>完成预算</w:t>
      </w:r>
      <w:r>
        <w:rPr>
          <w:rStyle w:val="17"/>
          <w:rFonts w:hint="eastAsia" w:ascii="仿宋" w:hAnsi="仿宋" w:eastAsia="仿宋" w:cs="仿宋"/>
          <w:b w:val="0"/>
          <w:bCs/>
          <w:sz w:val="32"/>
          <w:szCs w:val="32"/>
          <w:highlight w:val="none"/>
          <w:lang w:val="en-US" w:eastAsia="zh-CN"/>
        </w:rPr>
        <w:t>100</w:t>
      </w:r>
      <w:r>
        <w:rPr>
          <w:rStyle w:val="17"/>
          <w:rFonts w:hint="eastAsia" w:ascii="仿宋" w:hAnsi="仿宋" w:eastAsia="仿宋" w:cs="仿宋"/>
          <w:b w:val="0"/>
          <w:bCs/>
          <w:sz w:val="32"/>
          <w:szCs w:val="32"/>
          <w:highlight w:val="none"/>
        </w:rPr>
        <w:t>%。其中：</w:t>
      </w:r>
      <w:bookmarkEnd w:id="49"/>
      <w:bookmarkEnd w:id="50"/>
      <w:bookmarkEnd w:id="51"/>
    </w:p>
    <w:p>
      <w:pPr>
        <w:spacing w:line="600" w:lineRule="exact"/>
        <w:ind w:firstLine="640"/>
        <w:rPr>
          <w:rFonts w:hint="eastAsia" w:ascii="仿宋" w:hAnsi="仿宋" w:eastAsia="仿宋" w:cs="仿宋"/>
          <w:b w:val="0"/>
          <w:bCs/>
          <w:sz w:val="32"/>
          <w:szCs w:val="32"/>
          <w:highlight w:val="none"/>
          <w:lang w:eastAsia="zh-CN"/>
        </w:rPr>
      </w:pPr>
      <w:r>
        <w:rPr>
          <w:rFonts w:hint="eastAsia" w:ascii="仿宋" w:hAnsi="仿宋" w:eastAsia="仿宋" w:cs="仿宋"/>
          <w:b/>
          <w:bCs w:val="0"/>
          <w:sz w:val="32"/>
          <w:szCs w:val="32"/>
          <w:highlight w:val="none"/>
          <w:lang w:val="en-US" w:eastAsia="zh-CN"/>
        </w:rPr>
        <w:t>1</w:t>
      </w:r>
      <w:r>
        <w:rPr>
          <w:rFonts w:hint="eastAsia" w:ascii="仿宋" w:hAnsi="仿宋" w:eastAsia="仿宋" w:cs="仿宋"/>
          <w:b/>
          <w:bCs w:val="0"/>
          <w:sz w:val="32"/>
          <w:szCs w:val="32"/>
          <w:highlight w:val="none"/>
        </w:rPr>
        <w:t>.文化旅游体育与传媒</w:t>
      </w:r>
      <w:r>
        <w:rPr>
          <w:rFonts w:hint="eastAsia" w:ascii="仿宋" w:hAnsi="仿宋" w:eastAsia="仿宋" w:cs="仿宋"/>
          <w:b/>
          <w:bCs w:val="0"/>
          <w:sz w:val="32"/>
          <w:szCs w:val="32"/>
          <w:highlight w:val="none"/>
          <w:lang w:val="en-US" w:eastAsia="zh-CN"/>
        </w:rPr>
        <w:t>支出</w:t>
      </w:r>
      <w:r>
        <w:rPr>
          <w:rFonts w:hint="eastAsia" w:ascii="仿宋" w:hAnsi="仿宋" w:eastAsia="仿宋" w:cs="仿宋"/>
          <w:b/>
          <w:bCs w:val="0"/>
          <w:sz w:val="32"/>
          <w:szCs w:val="32"/>
          <w:highlight w:val="none"/>
        </w:rPr>
        <w:t>（</w:t>
      </w:r>
      <w:r>
        <w:rPr>
          <w:rFonts w:hint="eastAsia" w:ascii="仿宋" w:hAnsi="仿宋" w:eastAsia="仿宋" w:cs="仿宋"/>
          <w:b/>
          <w:bCs w:val="0"/>
          <w:sz w:val="32"/>
          <w:szCs w:val="32"/>
          <w:highlight w:val="none"/>
          <w:lang w:val="en-US" w:eastAsia="zh-CN"/>
        </w:rPr>
        <w:t>类</w:t>
      </w:r>
      <w:r>
        <w:rPr>
          <w:rFonts w:hint="eastAsia" w:ascii="仿宋" w:hAnsi="仿宋" w:eastAsia="仿宋" w:cs="仿宋"/>
          <w:b/>
          <w:bCs w:val="0"/>
          <w:sz w:val="32"/>
          <w:szCs w:val="32"/>
          <w:highlight w:val="none"/>
        </w:rPr>
        <w:t>）</w:t>
      </w:r>
      <w:r>
        <w:rPr>
          <w:rFonts w:hint="eastAsia" w:ascii="仿宋" w:hAnsi="仿宋" w:eastAsia="仿宋" w:cs="仿宋"/>
          <w:b/>
          <w:bCs w:val="0"/>
          <w:sz w:val="32"/>
          <w:szCs w:val="32"/>
          <w:highlight w:val="none"/>
          <w:lang w:val="en-US" w:eastAsia="zh-CN"/>
        </w:rPr>
        <w:t>文化和旅游</w:t>
      </w:r>
      <w:r>
        <w:rPr>
          <w:rFonts w:hint="eastAsia" w:ascii="仿宋" w:hAnsi="仿宋" w:eastAsia="仿宋" w:cs="仿宋"/>
          <w:b/>
          <w:bCs w:val="0"/>
          <w:sz w:val="32"/>
          <w:szCs w:val="32"/>
          <w:highlight w:val="none"/>
        </w:rPr>
        <w:t>（</w:t>
      </w:r>
      <w:r>
        <w:rPr>
          <w:rFonts w:hint="eastAsia" w:ascii="仿宋" w:hAnsi="仿宋" w:eastAsia="仿宋" w:cs="仿宋"/>
          <w:b/>
          <w:bCs w:val="0"/>
          <w:sz w:val="32"/>
          <w:szCs w:val="32"/>
          <w:highlight w:val="none"/>
          <w:lang w:val="en-US" w:eastAsia="zh-CN"/>
        </w:rPr>
        <w:t>款</w:t>
      </w:r>
      <w:r>
        <w:rPr>
          <w:rFonts w:hint="eastAsia" w:ascii="仿宋" w:hAnsi="仿宋" w:eastAsia="仿宋" w:cs="仿宋"/>
          <w:b/>
          <w:bCs w:val="0"/>
          <w:sz w:val="32"/>
          <w:szCs w:val="32"/>
          <w:highlight w:val="none"/>
        </w:rPr>
        <w:t>）</w:t>
      </w:r>
      <w:r>
        <w:rPr>
          <w:rFonts w:hint="eastAsia" w:ascii="仿宋" w:hAnsi="仿宋" w:eastAsia="仿宋" w:cs="仿宋"/>
          <w:b/>
          <w:bCs w:val="0"/>
          <w:sz w:val="32"/>
          <w:szCs w:val="32"/>
          <w:highlight w:val="none"/>
          <w:lang w:val="en-US" w:eastAsia="zh-CN"/>
        </w:rPr>
        <w:t>图书馆</w:t>
      </w:r>
      <w:r>
        <w:rPr>
          <w:rFonts w:hint="eastAsia" w:ascii="仿宋" w:hAnsi="仿宋" w:eastAsia="仿宋" w:cs="仿宋"/>
          <w:b/>
          <w:bCs w:val="0"/>
          <w:sz w:val="32"/>
          <w:szCs w:val="32"/>
          <w:highlight w:val="none"/>
        </w:rPr>
        <w:t>（</w:t>
      </w:r>
      <w:r>
        <w:rPr>
          <w:rFonts w:hint="eastAsia" w:ascii="仿宋" w:hAnsi="仿宋" w:eastAsia="仿宋" w:cs="仿宋"/>
          <w:b/>
          <w:bCs w:val="0"/>
          <w:sz w:val="32"/>
          <w:szCs w:val="32"/>
          <w:highlight w:val="none"/>
          <w:lang w:val="en-US" w:eastAsia="zh-CN"/>
        </w:rPr>
        <w:t>项</w:t>
      </w:r>
      <w:r>
        <w:rPr>
          <w:rFonts w:hint="eastAsia" w:ascii="仿宋" w:hAnsi="仿宋" w:eastAsia="仿宋" w:cs="仿宋"/>
          <w:b/>
          <w:bCs w:val="0"/>
          <w:sz w:val="32"/>
          <w:szCs w:val="32"/>
          <w:highlight w:val="none"/>
        </w:rPr>
        <w:t>）:</w:t>
      </w:r>
      <w:r>
        <w:rPr>
          <w:rFonts w:hint="eastAsia" w:ascii="仿宋" w:hAnsi="仿宋" w:eastAsia="仿宋" w:cs="仿宋"/>
          <w:b w:val="0"/>
          <w:bCs/>
          <w:sz w:val="32"/>
          <w:szCs w:val="32"/>
          <w:highlight w:val="none"/>
        </w:rPr>
        <w:t>支出决算为</w:t>
      </w:r>
      <w:r>
        <w:rPr>
          <w:rFonts w:hint="eastAsia" w:ascii="仿宋" w:hAnsi="仿宋" w:eastAsia="仿宋" w:cs="仿宋"/>
          <w:b w:val="0"/>
          <w:bCs/>
          <w:sz w:val="32"/>
          <w:szCs w:val="32"/>
          <w:highlight w:val="none"/>
          <w:lang w:val="en-US" w:eastAsia="zh-CN"/>
        </w:rPr>
        <w:t>74.97</w:t>
      </w:r>
      <w:r>
        <w:rPr>
          <w:rFonts w:hint="eastAsia" w:ascii="仿宋" w:hAnsi="仿宋" w:eastAsia="仿宋" w:cs="仿宋"/>
          <w:b w:val="0"/>
          <w:bCs/>
          <w:sz w:val="32"/>
          <w:szCs w:val="32"/>
          <w:highlight w:val="none"/>
        </w:rPr>
        <w:t>万元，完成预算</w:t>
      </w:r>
      <w:r>
        <w:rPr>
          <w:rFonts w:hint="eastAsia" w:ascii="仿宋" w:hAnsi="仿宋" w:eastAsia="仿宋" w:cs="仿宋"/>
          <w:b w:val="0"/>
          <w:bCs/>
          <w:sz w:val="32"/>
          <w:szCs w:val="32"/>
          <w:highlight w:val="none"/>
          <w:lang w:val="en-US" w:eastAsia="zh-CN"/>
        </w:rPr>
        <w:t>100</w:t>
      </w:r>
      <w:r>
        <w:rPr>
          <w:rFonts w:hint="eastAsia" w:ascii="仿宋" w:hAnsi="仿宋" w:eastAsia="仿宋" w:cs="仿宋"/>
          <w:b w:val="0"/>
          <w:bCs/>
          <w:sz w:val="32"/>
          <w:szCs w:val="32"/>
          <w:highlight w:val="none"/>
        </w:rPr>
        <w:t>%</w:t>
      </w:r>
      <w:r>
        <w:rPr>
          <w:rFonts w:hint="eastAsia" w:ascii="仿宋" w:hAnsi="仿宋" w:eastAsia="仿宋" w:cs="仿宋"/>
          <w:b w:val="0"/>
          <w:bCs/>
          <w:sz w:val="32"/>
          <w:szCs w:val="32"/>
          <w:highlight w:val="none"/>
          <w:lang w:eastAsia="zh-CN"/>
        </w:rPr>
        <w:t>。</w:t>
      </w:r>
    </w:p>
    <w:p>
      <w:pPr>
        <w:spacing w:line="600" w:lineRule="exact"/>
        <w:ind w:firstLine="640"/>
        <w:rPr>
          <w:rFonts w:hint="eastAsia" w:ascii="仿宋" w:hAnsi="仿宋" w:eastAsia="仿宋" w:cs="仿宋"/>
          <w:b w:val="0"/>
          <w:bCs/>
          <w:sz w:val="32"/>
          <w:szCs w:val="32"/>
          <w:highlight w:val="none"/>
          <w:lang w:val="en-US" w:eastAsia="zh-CN"/>
        </w:rPr>
      </w:pPr>
      <w:r>
        <w:rPr>
          <w:rFonts w:hint="eastAsia" w:ascii="仿宋" w:hAnsi="仿宋" w:eastAsia="仿宋" w:cs="仿宋"/>
          <w:b/>
          <w:bCs w:val="0"/>
          <w:sz w:val="32"/>
          <w:szCs w:val="32"/>
          <w:highlight w:val="none"/>
          <w:lang w:val="en-US" w:eastAsia="zh-CN"/>
        </w:rPr>
        <w:t>2.文化旅游体育与传媒支出（类）文化和旅游（款）群众文化（项）:</w:t>
      </w:r>
      <w:r>
        <w:rPr>
          <w:rFonts w:hint="eastAsia" w:ascii="仿宋" w:hAnsi="仿宋" w:eastAsia="仿宋" w:cs="仿宋"/>
          <w:b w:val="0"/>
          <w:bCs/>
          <w:sz w:val="32"/>
          <w:szCs w:val="32"/>
          <w:highlight w:val="none"/>
          <w:lang w:val="en-US" w:eastAsia="zh-CN"/>
        </w:rPr>
        <w:t>支出决算为3.15万元，完成预算100%。</w:t>
      </w:r>
    </w:p>
    <w:p>
      <w:pPr>
        <w:spacing w:line="600" w:lineRule="exact"/>
        <w:ind w:firstLine="640"/>
        <w:rPr>
          <w:rFonts w:hint="eastAsia" w:ascii="仿宋" w:hAnsi="仿宋" w:eastAsia="仿宋" w:cs="仿宋"/>
          <w:b w:val="0"/>
          <w:bCs/>
          <w:sz w:val="32"/>
          <w:szCs w:val="32"/>
          <w:highlight w:val="none"/>
          <w:lang w:val="en-US" w:eastAsia="zh-CN"/>
        </w:rPr>
      </w:pPr>
      <w:r>
        <w:rPr>
          <w:rFonts w:hint="eastAsia" w:ascii="仿宋" w:hAnsi="仿宋" w:eastAsia="仿宋" w:cs="仿宋"/>
          <w:b/>
          <w:bCs w:val="0"/>
          <w:sz w:val="32"/>
          <w:szCs w:val="32"/>
          <w:highlight w:val="none"/>
          <w:lang w:val="en-US" w:eastAsia="zh-CN"/>
        </w:rPr>
        <w:t>3.社会保障和就业支出（类）行政事业单位养老支出（款）机关事业单位基本养老保险缴费支出（项）:</w:t>
      </w:r>
      <w:r>
        <w:rPr>
          <w:rFonts w:hint="eastAsia" w:ascii="仿宋" w:hAnsi="仿宋" w:eastAsia="仿宋" w:cs="仿宋"/>
          <w:b w:val="0"/>
          <w:bCs/>
          <w:sz w:val="32"/>
          <w:szCs w:val="32"/>
          <w:highlight w:val="none"/>
          <w:lang w:val="en-US" w:eastAsia="zh-CN"/>
        </w:rPr>
        <w:t>支出决算为3.71万元，完成预算100%。</w:t>
      </w:r>
    </w:p>
    <w:p>
      <w:pPr>
        <w:spacing w:line="600" w:lineRule="exact"/>
        <w:ind w:firstLine="640"/>
        <w:rPr>
          <w:rFonts w:hint="eastAsia" w:ascii="仿宋" w:hAnsi="仿宋" w:eastAsia="仿宋" w:cs="仿宋"/>
          <w:b w:val="0"/>
          <w:bCs/>
          <w:sz w:val="32"/>
          <w:szCs w:val="32"/>
          <w:highlight w:val="none"/>
          <w:lang w:val="en-US" w:eastAsia="zh-CN"/>
        </w:rPr>
      </w:pPr>
      <w:r>
        <w:rPr>
          <w:rFonts w:hint="eastAsia" w:ascii="仿宋" w:hAnsi="仿宋" w:eastAsia="仿宋" w:cs="仿宋"/>
          <w:b/>
          <w:bCs w:val="0"/>
          <w:sz w:val="32"/>
          <w:szCs w:val="32"/>
          <w:highlight w:val="none"/>
          <w:lang w:val="en-US" w:eastAsia="zh-CN"/>
        </w:rPr>
        <w:t>4.社会保障和就业支出（类）行政事业单位养老支出（款）机关事业单位职业年金缴费支出（项）:</w:t>
      </w:r>
      <w:r>
        <w:rPr>
          <w:rFonts w:hint="eastAsia" w:ascii="仿宋" w:hAnsi="仿宋" w:eastAsia="仿宋" w:cs="仿宋"/>
          <w:b w:val="0"/>
          <w:bCs/>
          <w:sz w:val="32"/>
          <w:szCs w:val="32"/>
          <w:highlight w:val="none"/>
          <w:lang w:val="en-US" w:eastAsia="zh-CN"/>
        </w:rPr>
        <w:t>支出决算为3.40万元，完成预算100%。</w:t>
      </w:r>
    </w:p>
    <w:p>
      <w:pPr>
        <w:spacing w:line="600" w:lineRule="exact"/>
        <w:ind w:firstLine="640"/>
        <w:rPr>
          <w:rFonts w:hint="eastAsia" w:ascii="仿宋" w:hAnsi="仿宋" w:eastAsia="仿宋" w:cs="仿宋"/>
          <w:b w:val="0"/>
          <w:bCs/>
          <w:sz w:val="32"/>
          <w:szCs w:val="32"/>
          <w:highlight w:val="none"/>
          <w:lang w:val="en-US" w:eastAsia="zh-CN"/>
        </w:rPr>
      </w:pPr>
      <w:r>
        <w:rPr>
          <w:rFonts w:hint="eastAsia" w:ascii="仿宋" w:hAnsi="仿宋" w:eastAsia="仿宋" w:cs="仿宋"/>
          <w:b/>
          <w:bCs w:val="0"/>
          <w:sz w:val="32"/>
          <w:szCs w:val="32"/>
          <w:highlight w:val="none"/>
          <w:lang w:val="en-US" w:eastAsia="zh-CN"/>
        </w:rPr>
        <w:t>5.社会保障和就业支出（类）行政事业单位养老支出（款）其他行政事业单位养老支出（项）:</w:t>
      </w:r>
      <w:r>
        <w:rPr>
          <w:rFonts w:hint="eastAsia" w:ascii="仿宋" w:hAnsi="仿宋" w:eastAsia="仿宋" w:cs="仿宋"/>
          <w:b w:val="0"/>
          <w:bCs/>
          <w:sz w:val="32"/>
          <w:szCs w:val="32"/>
          <w:highlight w:val="none"/>
          <w:lang w:val="en-US" w:eastAsia="zh-CN"/>
        </w:rPr>
        <w:t>支出决算为8.61万元，完成预算100%。</w:t>
      </w:r>
    </w:p>
    <w:p>
      <w:pPr>
        <w:spacing w:line="600" w:lineRule="exact"/>
        <w:ind w:firstLine="640"/>
        <w:rPr>
          <w:rFonts w:hint="eastAsia" w:ascii="仿宋" w:hAnsi="仿宋" w:eastAsia="仿宋" w:cs="仿宋"/>
          <w:b w:val="0"/>
          <w:bCs/>
          <w:sz w:val="32"/>
          <w:szCs w:val="32"/>
          <w:highlight w:val="none"/>
          <w:lang w:val="en-US" w:eastAsia="zh-CN"/>
        </w:rPr>
      </w:pPr>
      <w:r>
        <w:rPr>
          <w:rFonts w:hint="eastAsia" w:ascii="仿宋" w:hAnsi="仿宋" w:eastAsia="仿宋" w:cs="仿宋"/>
          <w:b/>
          <w:bCs w:val="0"/>
          <w:sz w:val="32"/>
          <w:szCs w:val="32"/>
          <w:highlight w:val="none"/>
          <w:lang w:val="en-US" w:eastAsia="zh-CN"/>
        </w:rPr>
        <w:t>6.卫生健康支出（类）行政事业单位医疗（款）事业单位医疗（项）:</w:t>
      </w:r>
      <w:r>
        <w:rPr>
          <w:rFonts w:hint="eastAsia" w:ascii="仿宋" w:hAnsi="仿宋" w:eastAsia="仿宋" w:cs="仿宋"/>
          <w:b w:val="0"/>
          <w:bCs/>
          <w:sz w:val="32"/>
          <w:szCs w:val="32"/>
          <w:highlight w:val="none"/>
          <w:lang w:val="en-US" w:eastAsia="zh-CN"/>
        </w:rPr>
        <w:t>支出决算为1.06万元，完成预算100%。</w:t>
      </w:r>
    </w:p>
    <w:p>
      <w:pPr>
        <w:spacing w:line="600" w:lineRule="exact"/>
        <w:ind w:firstLine="640"/>
        <w:rPr>
          <w:rFonts w:hint="eastAsia" w:ascii="仿宋" w:hAnsi="仿宋" w:eastAsia="仿宋" w:cs="仿宋"/>
          <w:b w:val="0"/>
          <w:bCs/>
          <w:sz w:val="32"/>
          <w:szCs w:val="32"/>
          <w:highlight w:val="none"/>
          <w:lang w:val="en-US" w:eastAsia="zh-CN"/>
        </w:rPr>
      </w:pPr>
      <w:r>
        <w:rPr>
          <w:rFonts w:hint="eastAsia" w:ascii="仿宋" w:hAnsi="仿宋" w:eastAsia="仿宋" w:cs="仿宋"/>
          <w:b/>
          <w:bCs w:val="0"/>
          <w:sz w:val="32"/>
          <w:szCs w:val="32"/>
          <w:highlight w:val="none"/>
          <w:lang w:val="en-US" w:eastAsia="zh-CN"/>
        </w:rPr>
        <w:t>7.卫生健康支出（类）行政事业单位医疗（款）其他行政事业单位医疗支出（项）:</w:t>
      </w:r>
      <w:r>
        <w:rPr>
          <w:rFonts w:hint="eastAsia" w:ascii="仿宋" w:hAnsi="仿宋" w:eastAsia="仿宋" w:cs="仿宋"/>
          <w:b w:val="0"/>
          <w:bCs/>
          <w:sz w:val="32"/>
          <w:szCs w:val="32"/>
          <w:highlight w:val="none"/>
          <w:lang w:val="en-US" w:eastAsia="zh-CN"/>
        </w:rPr>
        <w:t>支出决算为1.20万元，完成预算100%。</w:t>
      </w:r>
    </w:p>
    <w:p>
      <w:pPr>
        <w:spacing w:line="600" w:lineRule="exact"/>
        <w:ind w:firstLine="640"/>
        <w:rPr>
          <w:rFonts w:hint="eastAsia" w:ascii="仿宋" w:hAnsi="仿宋" w:eastAsia="仿宋" w:cs="仿宋"/>
          <w:b w:val="0"/>
          <w:bCs/>
          <w:sz w:val="32"/>
          <w:szCs w:val="32"/>
          <w:highlight w:val="none"/>
        </w:rPr>
      </w:pPr>
      <w:r>
        <w:rPr>
          <w:rFonts w:hint="eastAsia" w:ascii="仿宋" w:hAnsi="仿宋" w:eastAsia="仿宋" w:cs="仿宋"/>
          <w:b/>
          <w:bCs w:val="0"/>
          <w:sz w:val="32"/>
          <w:szCs w:val="32"/>
          <w:highlight w:val="none"/>
          <w:lang w:val="en-US" w:eastAsia="zh-CN"/>
        </w:rPr>
        <w:t>8.住房保障支出（类）住房改革支出（款）住房公积金（项）：</w:t>
      </w:r>
      <w:r>
        <w:rPr>
          <w:rFonts w:hint="eastAsia" w:ascii="仿宋" w:hAnsi="仿宋" w:eastAsia="仿宋" w:cs="仿宋"/>
          <w:b w:val="0"/>
          <w:bCs/>
          <w:sz w:val="32"/>
          <w:szCs w:val="32"/>
          <w:highlight w:val="none"/>
          <w:lang w:val="en-US" w:eastAsia="zh-CN"/>
        </w:rPr>
        <w:t>支出决算为2.67万元，完成预算100%。</w:t>
      </w:r>
    </w:p>
    <w:p>
      <w:pPr>
        <w:tabs>
          <w:tab w:val="right" w:pos="8306"/>
        </w:tabs>
        <w:spacing w:line="600" w:lineRule="exact"/>
        <w:ind w:firstLine="640"/>
        <w:outlineLvl w:val="1"/>
        <w:rPr>
          <w:rStyle w:val="29"/>
        </w:rPr>
      </w:pPr>
      <w:bookmarkStart w:id="52" w:name="_Toc15396608"/>
      <w:bookmarkStart w:id="53" w:name="_Toc15377214"/>
      <w:bookmarkStart w:id="54" w:name="_Toc12982"/>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9"/>
          <w:rFonts w:hint="eastAsia" w:ascii="黑体" w:hAnsi="黑体" w:eastAsia="黑体"/>
          <w:b w:val="0"/>
        </w:rPr>
        <w:t>般公共预算财政拨款基本支出决算情况说明</w:t>
      </w:r>
      <w:bookmarkEnd w:id="52"/>
      <w:bookmarkEnd w:id="53"/>
      <w:bookmarkEnd w:id="54"/>
    </w:p>
    <w:p>
      <w:pPr>
        <w:spacing w:line="600" w:lineRule="exact"/>
        <w:ind w:firstLine="645"/>
        <w:rPr>
          <w:rFonts w:hint="eastAsia" w:ascii="仿宋" w:hAnsi="仿宋" w:eastAsia="仿宋" w:cs="仿宋"/>
          <w:sz w:val="32"/>
          <w:szCs w:val="32"/>
        </w:rPr>
      </w:pPr>
      <w:r>
        <w:rPr>
          <w:rFonts w:hint="eastAsia" w:ascii="仿宋" w:hAnsi="仿宋" w:eastAsia="仿宋" w:cs="仿宋"/>
          <w:sz w:val="32"/>
          <w:szCs w:val="32"/>
        </w:rPr>
        <w:t>2023年度一般公共预算财政拨款基本支出</w:t>
      </w:r>
      <w:r>
        <w:rPr>
          <w:rFonts w:hint="eastAsia" w:ascii="仿宋" w:hAnsi="仿宋" w:eastAsia="仿宋" w:cs="仿宋"/>
          <w:sz w:val="32"/>
          <w:szCs w:val="32"/>
          <w:lang w:val="en-US" w:eastAsia="zh-CN"/>
        </w:rPr>
        <w:t>75.03</w:t>
      </w:r>
      <w:r>
        <w:rPr>
          <w:rFonts w:hint="eastAsia" w:ascii="仿宋" w:hAnsi="仿宋" w:eastAsia="仿宋" w:cs="仿宋"/>
          <w:sz w:val="32"/>
          <w:szCs w:val="32"/>
        </w:rPr>
        <w:t>万元，其中：</w:t>
      </w:r>
    </w:p>
    <w:p>
      <w:pPr>
        <w:spacing w:line="600" w:lineRule="exact"/>
        <w:ind w:firstLine="645"/>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72.92</w:t>
      </w:r>
      <w:r>
        <w:rPr>
          <w:rFonts w:hint="eastAsia" w:ascii="仿宋" w:hAnsi="仿宋" w:eastAsia="仿宋" w:cs="仿宋"/>
          <w:sz w:val="32"/>
          <w:szCs w:val="32"/>
        </w:rPr>
        <w:t>万元，主要包括：基本工资、津贴补贴、</w:t>
      </w:r>
      <w:r>
        <w:rPr>
          <w:rFonts w:hint="eastAsia" w:ascii="仿宋" w:hAnsi="仿宋" w:eastAsia="仿宋" w:cs="仿宋"/>
          <w:sz w:val="32"/>
          <w:szCs w:val="32"/>
          <w:lang w:val="en-US" w:eastAsia="zh-CN"/>
        </w:rPr>
        <w:t>抚恤金</w:t>
      </w:r>
      <w:r>
        <w:rPr>
          <w:rFonts w:hint="eastAsia" w:ascii="仿宋" w:hAnsi="仿宋" w:eastAsia="仿宋" w:cs="仿宋"/>
          <w:sz w:val="32"/>
          <w:szCs w:val="32"/>
        </w:rPr>
        <w:t>、伙食补助费、绩效工资、机关事业单位基本养老保险缴费、职业年金缴费、</w:t>
      </w:r>
      <w:r>
        <w:rPr>
          <w:rFonts w:hint="eastAsia" w:ascii="仿宋" w:hAnsi="仿宋" w:eastAsia="仿宋" w:cs="仿宋"/>
          <w:sz w:val="32"/>
          <w:szCs w:val="32"/>
          <w:lang w:val="en-US" w:eastAsia="zh-CN"/>
        </w:rPr>
        <w:t>职工基本医疗保险缴费、</w:t>
      </w:r>
      <w:r>
        <w:rPr>
          <w:rFonts w:hint="eastAsia" w:ascii="仿宋" w:hAnsi="仿宋" w:eastAsia="仿宋" w:cs="仿宋"/>
          <w:sz w:val="32"/>
          <w:szCs w:val="32"/>
        </w:rPr>
        <w:t>其他社会保障缴费、其他工资福利支出、住房公积金、其他对个人和家庭的补助支出。</w:t>
      </w:r>
    </w:p>
    <w:p>
      <w:pPr>
        <w:spacing w:line="600" w:lineRule="exact"/>
        <w:ind w:firstLine="645"/>
        <w:rPr>
          <w:rFonts w:hint="eastAsia" w:ascii="仿宋" w:hAnsi="仿宋" w:eastAsia="仿宋" w:cs="仿宋"/>
          <w:b/>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2.11</w:t>
      </w:r>
      <w:r>
        <w:rPr>
          <w:rFonts w:hint="eastAsia" w:ascii="仿宋" w:hAnsi="仿宋" w:eastAsia="仿宋" w:cs="仿宋"/>
          <w:sz w:val="32"/>
          <w:szCs w:val="32"/>
        </w:rPr>
        <w:t>万元，主要包括：办公费、差旅费、劳务费、工会经费、福利费。</w:t>
      </w:r>
    </w:p>
    <w:p>
      <w:pPr>
        <w:spacing w:line="600" w:lineRule="exact"/>
        <w:ind w:firstLine="640"/>
        <w:outlineLvl w:val="1"/>
        <w:rPr>
          <w:rStyle w:val="29"/>
          <w:rFonts w:ascii="黑体" w:hAnsi="黑体" w:eastAsia="黑体"/>
          <w:b w:val="0"/>
        </w:rPr>
      </w:pPr>
      <w:bookmarkStart w:id="55" w:name="_Toc15396609"/>
      <w:bookmarkStart w:id="56" w:name="_Toc30933"/>
      <w:bookmarkStart w:id="57" w:name="_Toc15377215"/>
      <w:r>
        <w:rPr>
          <w:rFonts w:hint="eastAsia" w:ascii="黑体" w:eastAsia="黑体"/>
          <w:sz w:val="32"/>
          <w:szCs w:val="32"/>
        </w:rPr>
        <w:t>七、</w:t>
      </w:r>
      <w:r>
        <w:rPr>
          <w:rStyle w:val="29"/>
          <w:rFonts w:hint="eastAsia" w:ascii="黑体" w:hAnsi="黑体" w:eastAsia="黑体"/>
          <w:b w:val="0"/>
        </w:rPr>
        <w:t>财政拨款</w:t>
      </w:r>
      <w:r>
        <w:rPr>
          <w:rStyle w:val="29"/>
          <w:rFonts w:hint="eastAsia" w:ascii="黑体" w:hAnsi="黑体" w:eastAsia="黑体"/>
        </w:rPr>
        <w:t>“</w:t>
      </w:r>
      <w:r>
        <w:rPr>
          <w:rStyle w:val="29"/>
          <w:rFonts w:hint="eastAsia" w:ascii="黑体" w:hAnsi="黑体" w:eastAsia="黑体"/>
          <w:b w:val="0"/>
        </w:rPr>
        <w:t>三公”经费支出决算情况说明</w:t>
      </w:r>
      <w:bookmarkEnd w:id="55"/>
      <w:bookmarkEnd w:id="56"/>
      <w:bookmarkEnd w:id="57"/>
    </w:p>
    <w:p>
      <w:pPr>
        <w:spacing w:line="600" w:lineRule="exact"/>
        <w:ind w:firstLine="640"/>
        <w:outlineLvl w:val="2"/>
        <w:rPr>
          <w:rFonts w:hint="eastAsia" w:ascii="仿宋" w:hAnsi="仿宋" w:eastAsia="仿宋" w:cs="仿宋"/>
          <w:b/>
          <w:bCs w:val="0"/>
          <w:sz w:val="32"/>
          <w:szCs w:val="32"/>
        </w:rPr>
      </w:pPr>
      <w:bookmarkStart w:id="58" w:name="_Toc15377216"/>
      <w:r>
        <w:rPr>
          <w:rFonts w:hint="eastAsia" w:ascii="仿宋" w:hAnsi="仿宋" w:eastAsia="仿宋" w:cs="仿宋"/>
          <w:b/>
          <w:bCs w:val="0"/>
          <w:sz w:val="32"/>
          <w:szCs w:val="32"/>
        </w:rPr>
        <w:t>（一）“三公”经费财政拨款支出决算总体情况说明</w:t>
      </w:r>
      <w:bookmarkEnd w:id="58"/>
    </w:p>
    <w:p>
      <w:pPr>
        <w:spacing w:line="600" w:lineRule="exact"/>
        <w:ind w:firstLine="640"/>
        <w:outlineLvl w:val="2"/>
        <w:rPr>
          <w:rFonts w:hint="eastAsia" w:ascii="仿宋" w:hAnsi="仿宋" w:eastAsia="仿宋" w:cs="仿宋"/>
          <w:sz w:val="32"/>
          <w:szCs w:val="32"/>
        </w:rPr>
      </w:pPr>
      <w:bookmarkStart w:id="59" w:name="_Toc15377217"/>
      <w:r>
        <w:rPr>
          <w:rFonts w:hint="eastAsia" w:ascii="仿宋" w:hAnsi="仿宋" w:eastAsia="仿宋" w:cs="仿宋"/>
          <w:sz w:val="32"/>
          <w:szCs w:val="32"/>
          <w:lang w:val="en-US" w:eastAsia="zh-CN"/>
        </w:rPr>
        <w:t>2023</w:t>
      </w:r>
      <w:r>
        <w:rPr>
          <w:rFonts w:hint="eastAsia" w:ascii="仿宋" w:hAnsi="仿宋" w:eastAsia="仿宋" w:cs="仿宋"/>
          <w:sz w:val="32"/>
          <w:szCs w:val="32"/>
        </w:rPr>
        <w:t>年“三公”经费财政拨款支出决算为0万元，完成预算0%，与上年持平,决算数与预算数持平。</w:t>
      </w:r>
    </w:p>
    <w:p>
      <w:pPr>
        <w:spacing w:line="600" w:lineRule="exact"/>
        <w:ind w:firstLine="640"/>
        <w:outlineLvl w:val="2"/>
        <w:rPr>
          <w:rFonts w:hint="eastAsia" w:ascii="仿宋" w:hAnsi="仿宋" w:eastAsia="仿宋" w:cs="仿宋"/>
          <w:b/>
          <w:bCs w:val="0"/>
          <w:sz w:val="32"/>
          <w:szCs w:val="32"/>
        </w:rPr>
      </w:pPr>
      <w:r>
        <w:rPr>
          <w:rFonts w:hint="eastAsia" w:ascii="仿宋" w:hAnsi="仿宋" w:eastAsia="仿宋" w:cs="仿宋"/>
          <w:b/>
          <w:bCs w:val="0"/>
          <w:sz w:val="32"/>
          <w:szCs w:val="32"/>
        </w:rPr>
        <w:t>（二）“三公”经费财政拨款支出决算具体情况说明</w:t>
      </w:r>
      <w:bookmarkEnd w:id="59"/>
    </w:p>
    <w:p>
      <w:pPr>
        <w:pStyle w:val="8"/>
        <w:keepNext w:val="0"/>
        <w:keepLines w:val="0"/>
        <w:pageBreakBefore w:val="0"/>
        <w:widowControl w:val="0"/>
        <w:kinsoku/>
        <w:wordWrap/>
        <w:overflowPunct/>
        <w:topLinePunct w:val="0"/>
        <w:autoSpaceDE/>
        <w:autoSpaceDN/>
        <w:bidi w:val="0"/>
        <w:adjustRightInd/>
        <w:snapToGrid/>
        <w:spacing w:before="93"/>
        <w:ind w:firstLine="640" w:firstLineChars="200"/>
        <w:textAlignment w:val="auto"/>
        <w:rPr>
          <w:rFonts w:hint="eastAsia" w:ascii="仿宋" w:hAnsi="仿宋" w:eastAsia="仿宋" w:cs="仿宋"/>
          <w:sz w:val="32"/>
          <w:szCs w:val="32"/>
        </w:rPr>
      </w:pPr>
      <w:bookmarkStart w:id="60" w:name="_Toc15396610"/>
      <w:bookmarkStart w:id="61" w:name="_Toc15377218"/>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年“三公”经费财政拨款支出决算中，因公出国（境）费支出决算0万元，占0%，公务用车购置及运行维护费支出决算0万元，占0%，公务接待费支出决算0万元，占0%。具体情况如下：</w:t>
      </w:r>
    </w:p>
    <w:p>
      <w:pPr>
        <w:pStyle w:val="8"/>
        <w:keepNext w:val="0"/>
        <w:keepLines w:val="0"/>
        <w:pageBreakBefore w:val="0"/>
        <w:widowControl w:val="0"/>
        <w:kinsoku/>
        <w:wordWrap/>
        <w:overflowPunct/>
        <w:topLinePunct w:val="0"/>
        <w:autoSpaceDE/>
        <w:autoSpaceDN/>
        <w:bidi w:val="0"/>
        <w:adjustRightInd/>
        <w:snapToGrid/>
        <w:spacing w:before="93"/>
        <w:ind w:firstLine="600" w:firstLineChars="200"/>
        <w:jc w:val="center"/>
        <w:textAlignment w:val="auto"/>
      </w:pPr>
      <w:r>
        <w:drawing>
          <wp:inline distT="0" distB="0" distL="0" distR="0">
            <wp:extent cx="4290060" cy="2287270"/>
            <wp:effectExtent l="4445" t="4445" r="10795" b="1333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rPr>
          <w:rFonts w:hint="eastAsia" w:ascii="仿宋" w:hAnsi="仿宋" w:eastAsia="仿宋" w:cs="仿宋"/>
          <w:sz w:val="32"/>
          <w:szCs w:val="32"/>
        </w:rPr>
      </w:pPr>
      <w:r>
        <w:rPr>
          <w:rFonts w:hint="eastAsia" w:ascii="仿宋" w:hAnsi="仿宋" w:eastAsia="仿宋" w:cs="仿宋"/>
          <w:sz w:val="32"/>
          <w:szCs w:val="32"/>
        </w:rPr>
        <w:t>（图7：“三公”经费财政拨款支出结构）（饼状图）</w:t>
      </w:r>
    </w:p>
    <w:p>
      <w:pPr>
        <w:spacing w:line="600" w:lineRule="exact"/>
        <w:ind w:firstLine="640"/>
        <w:rPr>
          <w:rFonts w:hint="eastAsia" w:ascii="仿宋" w:hAnsi="仿宋" w:eastAsia="仿宋" w:cs="仿宋"/>
          <w:b/>
          <w:sz w:val="32"/>
          <w:szCs w:val="32"/>
          <w:lang w:val="en-US" w:eastAsia="zh-CN"/>
        </w:rPr>
      </w:pPr>
      <w:r>
        <w:rPr>
          <w:rFonts w:hint="eastAsia" w:ascii="仿宋" w:hAnsi="仿宋" w:eastAsia="仿宋" w:cs="仿宋"/>
          <w:b/>
          <w:sz w:val="32"/>
          <w:szCs w:val="32"/>
        </w:rPr>
        <w:t>1.因公出国（境）经费支出</w:t>
      </w:r>
      <w:r>
        <w:rPr>
          <w:rFonts w:hint="eastAsia" w:ascii="仿宋" w:hAnsi="仿宋" w:eastAsia="仿宋" w:cs="仿宋"/>
          <w:sz w:val="32"/>
          <w:szCs w:val="32"/>
        </w:rPr>
        <w:t>0万元，</w:t>
      </w:r>
      <w:r>
        <w:rPr>
          <w:rStyle w:val="17"/>
          <w:rFonts w:hint="eastAsia" w:ascii="仿宋" w:hAnsi="仿宋" w:eastAsia="仿宋" w:cs="仿宋"/>
          <w:b w:val="0"/>
          <w:bCs/>
          <w:sz w:val="32"/>
          <w:szCs w:val="32"/>
        </w:rPr>
        <w:t>完成预算0%。</w:t>
      </w:r>
      <w:r>
        <w:rPr>
          <w:rFonts w:hint="eastAsia" w:ascii="仿宋" w:hAnsi="仿宋" w:eastAsia="仿宋" w:cs="仿宋"/>
          <w:sz w:val="32"/>
          <w:szCs w:val="32"/>
        </w:rPr>
        <w:t>全年安排因公出国（境）团组0次，出国（境）0人。因公出国（境）支出决算与</w:t>
      </w:r>
      <w:r>
        <w:rPr>
          <w:rFonts w:hint="eastAsia" w:ascii="仿宋" w:hAnsi="仿宋" w:eastAsia="仿宋" w:cs="仿宋"/>
          <w:sz w:val="32"/>
          <w:szCs w:val="32"/>
          <w:lang w:val="en-US" w:eastAsia="zh-CN"/>
        </w:rPr>
        <w:t>2022</w:t>
      </w:r>
      <w:r>
        <w:rPr>
          <w:rFonts w:hint="eastAsia" w:ascii="仿宋" w:hAnsi="仿宋" w:eastAsia="仿宋" w:cs="仿宋"/>
          <w:sz w:val="32"/>
          <w:szCs w:val="32"/>
        </w:rPr>
        <w:t>年持平，主要原因是：</w:t>
      </w:r>
      <w:r>
        <w:rPr>
          <w:rFonts w:hint="eastAsia" w:ascii="仿宋" w:hAnsi="仿宋" w:eastAsia="仿宋" w:cs="仿宋"/>
          <w:sz w:val="32"/>
          <w:szCs w:val="32"/>
          <w:lang w:val="en-US" w:eastAsia="zh-CN"/>
        </w:rPr>
        <w:t>无因公出国（境）业务。</w:t>
      </w:r>
    </w:p>
    <w:p>
      <w:pPr>
        <w:spacing w:line="600" w:lineRule="exact"/>
        <w:ind w:firstLine="640"/>
        <w:rPr>
          <w:rFonts w:hint="eastAsia" w:ascii="仿宋" w:hAnsi="仿宋" w:eastAsia="仿宋" w:cs="仿宋"/>
          <w:b/>
          <w:sz w:val="32"/>
          <w:szCs w:val="32"/>
        </w:rPr>
      </w:pPr>
      <w:r>
        <w:rPr>
          <w:rFonts w:hint="eastAsia" w:ascii="仿宋" w:hAnsi="仿宋" w:eastAsia="仿宋" w:cs="仿宋"/>
          <w:b/>
          <w:sz w:val="32"/>
          <w:szCs w:val="32"/>
        </w:rPr>
        <w:t>2.公务用车购置及运行维护费支出</w:t>
      </w:r>
      <w:r>
        <w:rPr>
          <w:rFonts w:hint="eastAsia" w:ascii="仿宋" w:hAnsi="仿宋" w:eastAsia="仿宋" w:cs="仿宋"/>
          <w:sz w:val="32"/>
          <w:szCs w:val="32"/>
        </w:rPr>
        <w:t>0万元,</w:t>
      </w:r>
      <w:r>
        <w:rPr>
          <w:rStyle w:val="17"/>
          <w:rFonts w:hint="eastAsia" w:ascii="仿宋" w:hAnsi="仿宋" w:eastAsia="仿宋" w:cs="仿宋"/>
          <w:b w:val="0"/>
          <w:bCs/>
          <w:sz w:val="32"/>
          <w:szCs w:val="32"/>
        </w:rPr>
        <w:t>完成预算0%。</w:t>
      </w:r>
      <w:r>
        <w:rPr>
          <w:rFonts w:hint="eastAsia" w:ascii="仿宋" w:hAnsi="仿宋" w:eastAsia="仿宋" w:cs="仿宋"/>
          <w:sz w:val="32"/>
          <w:szCs w:val="32"/>
        </w:rPr>
        <w:t>公务用车购置及运行维护费支出决算与</w:t>
      </w:r>
      <w:r>
        <w:rPr>
          <w:rFonts w:hint="eastAsia" w:ascii="仿宋" w:hAnsi="仿宋" w:eastAsia="仿宋" w:cs="仿宋"/>
          <w:sz w:val="32"/>
          <w:szCs w:val="32"/>
          <w:lang w:val="en-US" w:eastAsia="zh-CN"/>
        </w:rPr>
        <w:t>2022</w:t>
      </w:r>
      <w:r>
        <w:rPr>
          <w:rFonts w:hint="eastAsia" w:ascii="仿宋" w:hAnsi="仿宋" w:eastAsia="仿宋" w:cs="仿宋"/>
          <w:sz w:val="32"/>
          <w:szCs w:val="32"/>
        </w:rPr>
        <w:t>年持平，主要原因是</w:t>
      </w:r>
      <w:r>
        <w:rPr>
          <w:rFonts w:hint="eastAsia" w:ascii="仿宋" w:hAnsi="仿宋" w:eastAsia="仿宋" w:cs="仿宋"/>
          <w:sz w:val="32"/>
          <w:szCs w:val="32"/>
          <w:lang w:val="en-US" w:eastAsia="zh-CN"/>
        </w:rPr>
        <w:t>无公务用车</w:t>
      </w:r>
      <w:r>
        <w:rPr>
          <w:rFonts w:hint="eastAsia" w:ascii="仿宋" w:hAnsi="仿宋" w:eastAsia="仿宋" w:cs="仿宋"/>
          <w:sz w:val="32"/>
          <w:szCs w:val="32"/>
        </w:rPr>
        <w:t>。</w:t>
      </w:r>
    </w:p>
    <w:p>
      <w:pPr>
        <w:spacing w:line="600" w:lineRule="exact"/>
        <w:ind w:firstLine="640" w:firstLineChars="200"/>
        <w:rPr>
          <w:rFonts w:hint="eastAsia"/>
        </w:rPr>
      </w:pPr>
      <w:r>
        <w:rPr>
          <w:rFonts w:hint="eastAsia" w:ascii="仿宋" w:hAnsi="仿宋" w:eastAsia="仿宋" w:cs="仿宋"/>
          <w:sz w:val="32"/>
          <w:szCs w:val="32"/>
        </w:rPr>
        <w:t>其中：</w:t>
      </w:r>
      <w:r>
        <w:rPr>
          <w:rFonts w:hint="eastAsia" w:ascii="仿宋" w:hAnsi="仿宋" w:eastAsia="仿宋" w:cs="仿宋"/>
          <w:b/>
          <w:sz w:val="32"/>
          <w:szCs w:val="32"/>
        </w:rPr>
        <w:t>公务用车购置支出</w:t>
      </w:r>
      <w:r>
        <w:rPr>
          <w:rFonts w:hint="eastAsia" w:ascii="仿宋" w:hAnsi="仿宋" w:eastAsia="仿宋" w:cs="仿宋"/>
          <w:sz w:val="32"/>
          <w:szCs w:val="32"/>
        </w:rPr>
        <w:t>0万元。全年按规定更新购置公务用车0辆，其中：轿车0辆、金额0万元，越野车0辆、金额0万元，载客汽车0辆、金额0万元。截至202</w:t>
      </w:r>
      <w:r>
        <w:rPr>
          <w:rFonts w:hint="eastAsia" w:ascii="仿宋" w:hAnsi="仿宋" w:eastAsia="仿宋" w:cs="仿宋"/>
          <w:sz w:val="32"/>
          <w:szCs w:val="32"/>
          <w:lang w:val="en-US" w:eastAsia="zh-CN"/>
        </w:rPr>
        <w:t>3</w:t>
      </w:r>
      <w:r>
        <w:rPr>
          <w:rFonts w:hint="eastAsia" w:ascii="仿宋" w:hAnsi="仿宋" w:eastAsia="仿宋" w:cs="仿宋"/>
          <w:sz w:val="32"/>
          <w:szCs w:val="32"/>
        </w:rPr>
        <w:t>年12月底，单位共有公务用车0辆，其中：轿车0辆、越野车0辆、载客汽车0辆。</w:t>
      </w:r>
    </w:p>
    <w:p>
      <w:pPr>
        <w:spacing w:line="600" w:lineRule="exact"/>
        <w:ind w:firstLine="640"/>
        <w:rPr>
          <w:rFonts w:hint="eastAsia" w:ascii="仿宋" w:hAnsi="仿宋" w:eastAsia="仿宋" w:cs="仿宋"/>
          <w:sz w:val="32"/>
          <w:szCs w:val="32"/>
        </w:rPr>
      </w:pPr>
      <w:r>
        <w:rPr>
          <w:rFonts w:hint="eastAsia" w:ascii="仿宋" w:hAnsi="仿宋" w:eastAsia="仿宋" w:cs="仿宋"/>
          <w:b/>
          <w:sz w:val="32"/>
          <w:szCs w:val="32"/>
        </w:rPr>
        <w:t>公务用车运行维护费支出</w:t>
      </w:r>
      <w:r>
        <w:rPr>
          <w:rFonts w:hint="eastAsia" w:ascii="仿宋" w:hAnsi="仿宋" w:eastAsia="仿宋" w:cs="仿宋"/>
          <w:sz w:val="32"/>
          <w:szCs w:val="32"/>
        </w:rPr>
        <w:t>0万元。</w:t>
      </w:r>
      <w:r>
        <w:rPr>
          <w:rFonts w:hint="eastAsia" w:ascii="仿宋_GB2312" w:eastAsia="仿宋_GB2312"/>
          <w:color w:val="auto"/>
          <w:sz w:val="32"/>
          <w:szCs w:val="32"/>
          <w:highlight w:val="none"/>
        </w:rPr>
        <w:t>主要用</w:t>
      </w:r>
      <w:r>
        <w:rPr>
          <w:rFonts w:hint="eastAsia" w:ascii="仿宋_GB2312" w:eastAsia="仿宋_GB2312"/>
          <w:color w:val="auto"/>
          <w:sz w:val="32"/>
          <w:szCs w:val="32"/>
          <w:highlight w:val="none"/>
          <w:lang w:val="en-US" w:eastAsia="zh-CN"/>
        </w:rPr>
        <w:t>于</w:t>
      </w:r>
      <w:r>
        <w:rPr>
          <w:rFonts w:hint="eastAsia" w:ascii="仿宋_GB2312" w:eastAsia="仿宋_GB2312"/>
          <w:color w:val="auto"/>
          <w:sz w:val="32"/>
          <w:szCs w:val="32"/>
          <w:highlight w:val="none"/>
        </w:rPr>
        <w:t>具体工作</w:t>
      </w:r>
      <w:r>
        <w:rPr>
          <w:rFonts w:hint="eastAsia" w:ascii="仿宋_GB2312" w:eastAsia="仿宋_GB2312"/>
          <w:color w:val="auto"/>
          <w:sz w:val="32"/>
          <w:szCs w:val="32"/>
          <w:highlight w:val="none"/>
          <w:lang w:val="en-US" w:eastAsia="zh-CN"/>
        </w:rPr>
        <w:t>中</w:t>
      </w:r>
      <w:r>
        <w:rPr>
          <w:rFonts w:hint="eastAsia" w:ascii="仿宋_GB2312" w:eastAsia="仿宋_GB2312"/>
          <w:color w:val="auto"/>
          <w:sz w:val="32"/>
          <w:szCs w:val="32"/>
          <w:highlight w:val="none"/>
        </w:rPr>
        <w:t>所需的公务用车燃料费、维修费、过路过桥费、保险费等支出。</w:t>
      </w:r>
    </w:p>
    <w:p>
      <w:pPr>
        <w:spacing w:line="600" w:lineRule="exact"/>
        <w:ind w:firstLine="640"/>
        <w:rPr>
          <w:rFonts w:hint="eastAsia" w:ascii="仿宋" w:hAnsi="仿宋" w:eastAsia="仿宋" w:cs="仿宋"/>
          <w:sz w:val="32"/>
          <w:szCs w:val="32"/>
        </w:rPr>
      </w:pPr>
      <w:r>
        <w:rPr>
          <w:rFonts w:hint="eastAsia" w:ascii="仿宋" w:hAnsi="仿宋" w:eastAsia="仿宋" w:cs="仿宋"/>
          <w:b/>
          <w:sz w:val="32"/>
          <w:szCs w:val="32"/>
        </w:rPr>
        <w:t>3.公务接待费支出</w:t>
      </w:r>
      <w:r>
        <w:rPr>
          <w:rFonts w:hint="eastAsia" w:ascii="仿宋" w:hAnsi="仿宋" w:eastAsia="仿宋" w:cs="仿宋"/>
          <w:sz w:val="32"/>
          <w:szCs w:val="32"/>
        </w:rPr>
        <w:t>0万元，</w:t>
      </w:r>
      <w:r>
        <w:rPr>
          <w:rStyle w:val="17"/>
          <w:rFonts w:hint="eastAsia" w:ascii="仿宋" w:hAnsi="仿宋" w:eastAsia="仿宋" w:cs="仿宋"/>
          <w:b w:val="0"/>
          <w:bCs/>
          <w:sz w:val="32"/>
          <w:szCs w:val="32"/>
        </w:rPr>
        <w:t>完成预算0%。</w:t>
      </w:r>
      <w:r>
        <w:rPr>
          <w:rFonts w:hint="eastAsia" w:ascii="仿宋" w:hAnsi="仿宋" w:eastAsia="仿宋" w:cs="仿宋"/>
          <w:sz w:val="32"/>
          <w:szCs w:val="32"/>
        </w:rPr>
        <w:t>公务接待费支出决算与</w:t>
      </w:r>
      <w:r>
        <w:rPr>
          <w:rFonts w:hint="eastAsia" w:ascii="仿宋" w:hAnsi="仿宋" w:eastAsia="仿宋" w:cs="仿宋"/>
          <w:sz w:val="32"/>
          <w:szCs w:val="32"/>
          <w:lang w:val="en-US" w:eastAsia="zh-CN"/>
        </w:rPr>
        <w:t>2022</w:t>
      </w:r>
      <w:r>
        <w:rPr>
          <w:rFonts w:hint="eastAsia" w:ascii="仿宋" w:hAnsi="仿宋" w:eastAsia="仿宋" w:cs="仿宋"/>
          <w:sz w:val="32"/>
          <w:szCs w:val="32"/>
        </w:rPr>
        <w:t>年持平</w:t>
      </w:r>
      <w:r>
        <w:rPr>
          <w:rFonts w:hint="eastAsia" w:ascii="仿宋" w:hAnsi="仿宋" w:eastAsia="仿宋" w:cs="仿宋"/>
          <w:sz w:val="32"/>
          <w:szCs w:val="32"/>
          <w:lang w:eastAsia="zh-CN"/>
        </w:rPr>
        <w:t>，</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无公务接待</w:t>
      </w:r>
      <w:r>
        <w:rPr>
          <w:rFonts w:hint="eastAsia" w:ascii="仿宋" w:hAnsi="仿宋" w:eastAsia="仿宋" w:cs="仿宋"/>
          <w:sz w:val="32"/>
          <w:szCs w:val="32"/>
        </w:rPr>
        <w:t>。</w:t>
      </w:r>
    </w:p>
    <w:p>
      <w:pPr>
        <w:spacing w:line="600" w:lineRule="exact"/>
        <w:ind w:firstLine="640"/>
        <w:rPr>
          <w:rFonts w:hint="eastAsia" w:ascii="仿宋" w:hAnsi="仿宋" w:eastAsia="仿宋" w:cs="仿宋"/>
          <w:sz w:val="32"/>
          <w:szCs w:val="32"/>
        </w:rPr>
      </w:pPr>
      <w:r>
        <w:rPr>
          <w:rFonts w:hint="eastAsia" w:ascii="仿宋" w:hAnsi="仿宋" w:eastAsia="仿宋" w:cs="仿宋"/>
          <w:b/>
          <w:sz w:val="32"/>
          <w:szCs w:val="32"/>
        </w:rPr>
        <w:t>国内公务接待支出</w:t>
      </w:r>
      <w:r>
        <w:rPr>
          <w:rFonts w:hint="eastAsia" w:ascii="仿宋" w:hAnsi="仿宋" w:eastAsia="仿宋" w:cs="仿宋"/>
          <w:sz w:val="32"/>
          <w:szCs w:val="32"/>
        </w:rPr>
        <w:t>0万元，国内公务接待0批次，0人次（不包括陪同人员），共计支出0万元。</w:t>
      </w:r>
    </w:p>
    <w:p>
      <w:pPr>
        <w:spacing w:line="600" w:lineRule="exact"/>
        <w:ind w:firstLine="643" w:firstLineChars="200"/>
        <w:rPr>
          <w:rFonts w:hint="eastAsia" w:ascii="仿宋" w:hAnsi="仿宋" w:eastAsia="仿宋" w:cs="仿宋"/>
          <w:sz w:val="32"/>
          <w:szCs w:val="32"/>
        </w:rPr>
      </w:pPr>
      <w:r>
        <w:rPr>
          <w:rFonts w:hint="eastAsia" w:ascii="仿宋" w:hAnsi="仿宋" w:eastAsia="仿宋" w:cs="仿宋"/>
          <w:b/>
          <w:sz w:val="32"/>
          <w:szCs w:val="32"/>
        </w:rPr>
        <w:t>外事接待支出</w:t>
      </w:r>
      <w:r>
        <w:rPr>
          <w:rFonts w:hint="eastAsia" w:ascii="仿宋" w:hAnsi="仿宋" w:eastAsia="仿宋" w:cs="仿宋"/>
          <w:sz w:val="32"/>
          <w:szCs w:val="32"/>
        </w:rPr>
        <w:t>0万元。外事接待0批次，0人次（不包括陪同人员），共计支出0万元。</w:t>
      </w:r>
    </w:p>
    <w:p>
      <w:pPr>
        <w:spacing w:line="600" w:lineRule="exact"/>
        <w:ind w:firstLine="640"/>
        <w:outlineLvl w:val="1"/>
        <w:rPr>
          <w:rStyle w:val="29"/>
          <w:rFonts w:ascii="黑体" w:hAnsi="黑体" w:eastAsia="黑体"/>
        </w:rPr>
      </w:pPr>
      <w:bookmarkStart w:id="62" w:name="_Toc21511"/>
      <w:r>
        <w:rPr>
          <w:rFonts w:hint="eastAsia" w:ascii="黑体" w:eastAsia="黑体"/>
          <w:sz w:val="32"/>
          <w:szCs w:val="32"/>
        </w:rPr>
        <w:t>八、</w:t>
      </w:r>
      <w:r>
        <w:rPr>
          <w:rStyle w:val="29"/>
          <w:rFonts w:hint="eastAsia" w:ascii="黑体" w:hAnsi="黑体" w:eastAsia="黑体"/>
          <w:b w:val="0"/>
        </w:rPr>
        <w:t>政府性基金预算支出决算情况说明</w:t>
      </w:r>
      <w:bookmarkEnd w:id="60"/>
      <w:bookmarkEnd w:id="61"/>
      <w:bookmarkEnd w:id="62"/>
    </w:p>
    <w:p>
      <w:pPr>
        <w:spacing w:line="600" w:lineRule="exact"/>
        <w:ind w:firstLine="640"/>
        <w:rPr>
          <w:rFonts w:ascii="仿宋_GB2312" w:eastAsia="仿宋_GB2312"/>
          <w:sz w:val="32"/>
          <w:szCs w:val="32"/>
        </w:rPr>
      </w:pPr>
      <w:r>
        <w:rPr>
          <w:rFonts w:hint="eastAsia" w:ascii="仿宋_GB2312" w:hAnsi="仿宋_GB2312" w:eastAsia="仿宋_GB2312" w:cs="仿宋_GB2312"/>
          <w:sz w:val="32"/>
          <w:szCs w:val="32"/>
        </w:rPr>
        <w:t>2023年度政府性基金预算财政拨款支出</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sz w:val="32"/>
          <w:szCs w:val="32"/>
        </w:rPr>
        <w:t>万元。</w:t>
      </w:r>
    </w:p>
    <w:p>
      <w:pPr>
        <w:numPr>
          <w:ilvl w:val="0"/>
          <w:numId w:val="2"/>
        </w:numPr>
        <w:spacing w:line="600" w:lineRule="exact"/>
        <w:ind w:firstLine="640"/>
        <w:outlineLvl w:val="1"/>
        <w:rPr>
          <w:rStyle w:val="29"/>
          <w:rFonts w:ascii="黑体" w:hAnsi="黑体" w:eastAsia="黑体"/>
          <w:b w:val="0"/>
        </w:rPr>
      </w:pPr>
      <w:bookmarkStart w:id="63" w:name="_Toc15377219"/>
      <w:bookmarkStart w:id="64" w:name="_Toc15396611"/>
      <w:bookmarkStart w:id="65" w:name="_Toc23152"/>
      <w:r>
        <w:rPr>
          <w:rStyle w:val="29"/>
          <w:rFonts w:hint="eastAsia" w:ascii="黑体" w:hAnsi="黑体" w:eastAsia="黑体"/>
          <w:b w:val="0"/>
        </w:rPr>
        <w:t>国有资本经营预算支出决算情况说明</w:t>
      </w:r>
      <w:bookmarkEnd w:id="63"/>
      <w:bookmarkEnd w:id="64"/>
      <w:bookmarkEnd w:id="65"/>
    </w:p>
    <w:p>
      <w:pPr>
        <w:spacing w:line="600" w:lineRule="exact"/>
        <w:ind w:firstLine="640"/>
        <w:rPr>
          <w:rFonts w:ascii="方正小标宋简体" w:hAnsi="方正小标宋简体" w:eastAsia="方正小标宋简体" w:cs="方正小标宋简体"/>
          <w:sz w:val="44"/>
          <w:szCs w:val="44"/>
        </w:rPr>
      </w:pPr>
      <w:r>
        <w:rPr>
          <w:rFonts w:hint="eastAsia" w:ascii="仿宋_GB2312" w:hAnsi="仿宋_GB2312" w:eastAsia="仿宋_GB2312" w:cs="仿宋_GB2312"/>
          <w:sz w:val="32"/>
          <w:szCs w:val="32"/>
        </w:rPr>
        <w:t>2023年度国有资本经营预算财政拨款支出</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sz w:val="32"/>
          <w:szCs w:val="32"/>
        </w:rPr>
        <w:t>万元。</w:t>
      </w:r>
    </w:p>
    <w:p>
      <w:pPr>
        <w:numPr>
          <w:ilvl w:val="0"/>
          <w:numId w:val="2"/>
        </w:numPr>
        <w:spacing w:line="600" w:lineRule="exact"/>
        <w:ind w:firstLine="640"/>
        <w:outlineLvl w:val="1"/>
        <w:rPr>
          <w:rStyle w:val="29"/>
          <w:rFonts w:ascii="黑体" w:hAnsi="黑体" w:eastAsia="黑体"/>
          <w:b w:val="0"/>
        </w:rPr>
      </w:pPr>
      <w:bookmarkStart w:id="66" w:name="_Toc15396612"/>
      <w:bookmarkStart w:id="67" w:name="_Toc15377221"/>
      <w:bookmarkStart w:id="68" w:name="_Toc23850"/>
      <w:r>
        <w:rPr>
          <w:rStyle w:val="29"/>
          <w:rFonts w:hint="eastAsia" w:ascii="黑体" w:hAnsi="黑体" w:eastAsia="黑体"/>
          <w:b w:val="0"/>
        </w:rPr>
        <w:t>其他重要事项的情况说明</w:t>
      </w:r>
      <w:bookmarkEnd w:id="66"/>
      <w:bookmarkEnd w:id="67"/>
      <w:bookmarkEnd w:id="68"/>
    </w:p>
    <w:p>
      <w:pPr>
        <w:spacing w:line="600" w:lineRule="exact"/>
        <w:ind w:firstLine="640"/>
        <w:outlineLvl w:val="2"/>
        <w:rPr>
          <w:rFonts w:hint="eastAsia" w:ascii="楷体_GB2312" w:hAnsi="楷体_GB2312" w:eastAsia="楷体_GB2312" w:cs="楷体_GB2312"/>
          <w:b w:val="0"/>
          <w:bCs/>
          <w:sz w:val="32"/>
          <w:szCs w:val="32"/>
        </w:rPr>
      </w:pPr>
      <w:bookmarkStart w:id="69" w:name="_Toc15377222"/>
      <w:r>
        <w:rPr>
          <w:rFonts w:hint="eastAsia" w:ascii="楷体_GB2312" w:hAnsi="楷体_GB2312" w:eastAsia="楷体_GB2312" w:cs="楷体_GB2312"/>
          <w:b w:val="0"/>
          <w:bCs/>
          <w:sz w:val="32"/>
          <w:szCs w:val="32"/>
        </w:rPr>
        <w:t>（一）机关运行经费支出情况</w:t>
      </w:r>
      <w:bookmarkEnd w:id="69"/>
    </w:p>
    <w:p>
      <w:pPr>
        <w:autoSpaceDE w:val="0"/>
        <w:autoSpaceDN w:val="0"/>
        <w:adjustRightInd w:val="0"/>
        <w:spacing w:line="600" w:lineRule="exact"/>
        <w:ind w:firstLine="640" w:firstLineChars="200"/>
        <w:jc w:val="left"/>
        <w:outlineLvl w:val="2"/>
        <w:rPr>
          <w:rFonts w:hint="eastAsia" w:ascii="仿宋_GB2312" w:eastAsia="仿宋_GB2312"/>
          <w:sz w:val="32"/>
          <w:szCs w:val="32"/>
        </w:rPr>
      </w:pPr>
      <w:bookmarkStart w:id="70" w:name="_Toc15377223"/>
      <w:r>
        <w:rPr>
          <w:rFonts w:ascii="仿宋_GB2312" w:eastAsia="仿宋_GB2312"/>
          <w:sz w:val="32"/>
          <w:szCs w:val="32"/>
        </w:rPr>
        <w:t>20</w:t>
      </w:r>
      <w:r>
        <w:rPr>
          <w:rFonts w:hint="eastAsia" w:ascii="仿宋_GB2312" w:eastAsia="仿宋_GB2312"/>
          <w:sz w:val="32"/>
          <w:szCs w:val="32"/>
        </w:rPr>
        <w:t>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五通桥区图书馆</w:t>
      </w:r>
      <w:r>
        <w:rPr>
          <w:rFonts w:hint="eastAsia" w:ascii="仿宋_GB2312" w:eastAsia="仿宋_GB2312"/>
          <w:sz w:val="32"/>
          <w:szCs w:val="32"/>
        </w:rPr>
        <w:t>机关运行经费支出0万元，与</w:t>
      </w:r>
      <w:r>
        <w:rPr>
          <w:rFonts w:hint="eastAsia" w:ascii="仿宋_GB2312" w:eastAsia="仿宋_GB2312"/>
          <w:sz w:val="32"/>
          <w:szCs w:val="32"/>
          <w:lang w:val="en-US" w:eastAsia="zh-CN"/>
        </w:rPr>
        <w:t>2022</w:t>
      </w:r>
      <w:r>
        <w:rPr>
          <w:rFonts w:hint="eastAsia" w:ascii="仿宋_GB2312" w:eastAsia="仿宋_GB2312"/>
          <w:sz w:val="32"/>
          <w:szCs w:val="32"/>
        </w:rPr>
        <w:t>年持平，主要原因是</w:t>
      </w:r>
      <w:r>
        <w:rPr>
          <w:rFonts w:hint="eastAsia" w:ascii="仿宋_GB2312" w:eastAsia="仿宋_GB2312"/>
          <w:sz w:val="32"/>
          <w:szCs w:val="32"/>
          <w:lang w:eastAsia="zh-CN"/>
        </w:rPr>
        <w:t>：</w:t>
      </w:r>
      <w:r>
        <w:rPr>
          <w:rFonts w:hint="eastAsia" w:ascii="仿宋_GB2312" w:eastAsia="仿宋_GB2312"/>
          <w:sz w:val="32"/>
          <w:szCs w:val="32"/>
        </w:rPr>
        <w:t>本单位为事业单位，无机关运行经费。</w:t>
      </w:r>
    </w:p>
    <w:p>
      <w:pPr>
        <w:spacing w:line="600" w:lineRule="exact"/>
        <w:ind w:firstLine="640"/>
        <w:outlineLvl w:val="2"/>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（二）政府采购支出情况</w:t>
      </w:r>
      <w:bookmarkEnd w:id="70"/>
    </w:p>
    <w:p>
      <w:pPr>
        <w:spacing w:line="600"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2023年度，</w:t>
      </w:r>
      <w:r>
        <w:rPr>
          <w:rFonts w:hint="eastAsia" w:ascii="仿宋_GB2312" w:hAnsi="仿宋_GB2312" w:eastAsia="仿宋_GB2312" w:cs="仿宋_GB2312"/>
          <w:sz w:val="32"/>
          <w:szCs w:val="32"/>
          <w:lang w:val="en-US" w:eastAsia="zh-CN"/>
        </w:rPr>
        <w:t>五通桥区图书馆</w:t>
      </w:r>
      <w:r>
        <w:rPr>
          <w:rFonts w:hint="eastAsia" w:ascii="仿宋_GB2312" w:hAnsi="仿宋_GB2312" w:eastAsia="仿宋_GB2312" w:cs="仿宋_GB2312"/>
          <w:sz w:val="32"/>
          <w:szCs w:val="32"/>
        </w:rPr>
        <w:t>政府采购支出总额</w:t>
      </w:r>
      <w:r>
        <w:rPr>
          <w:rFonts w:hint="eastAsia" w:ascii="仿宋_GB2312" w:hAnsi="仿宋_GB2312" w:eastAsia="仿宋_GB2312" w:cs="仿宋_GB2312"/>
          <w:b w:val="0"/>
          <w:bCs/>
          <w:sz w:val="32"/>
          <w:szCs w:val="32"/>
        </w:rPr>
        <w:t>0</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b w:val="0"/>
          <w:bCs/>
          <w:sz w:val="32"/>
          <w:szCs w:val="32"/>
        </w:rPr>
        <w:t>0</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b w:val="0"/>
          <w:bCs/>
          <w:sz w:val="32"/>
          <w:szCs w:val="32"/>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b w:val="0"/>
          <w:bCs/>
          <w:sz w:val="32"/>
          <w:szCs w:val="32"/>
        </w:rPr>
        <w:t>0</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b w:val="0"/>
          <w:bCs/>
          <w:sz w:val="32"/>
          <w:szCs w:val="32"/>
        </w:rPr>
        <w:t>0</w:t>
      </w:r>
      <w:r>
        <w:rPr>
          <w:rFonts w:hint="eastAsia" w:ascii="仿宋_GB2312" w:hAnsi="仿宋_GB2312" w:eastAsia="仿宋_GB2312" w:cs="仿宋_GB2312"/>
          <w:sz w:val="32"/>
          <w:szCs w:val="32"/>
        </w:rPr>
        <w:t>万元，占政府采购支出总额的0%，其中：授予小微企业合同金额</w:t>
      </w:r>
      <w:r>
        <w:rPr>
          <w:rFonts w:hint="eastAsia" w:ascii="仿宋_GB2312" w:hAnsi="仿宋_GB2312" w:eastAsia="仿宋_GB2312" w:cs="仿宋_GB2312"/>
          <w:b w:val="0"/>
          <w:bCs/>
          <w:sz w:val="32"/>
          <w:szCs w:val="32"/>
        </w:rPr>
        <w:t>0</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b w:val="0"/>
          <w:bCs/>
          <w:sz w:val="32"/>
          <w:szCs w:val="32"/>
        </w:rPr>
        <w:t>0</w:t>
      </w:r>
      <w:r>
        <w:rPr>
          <w:rFonts w:hint="eastAsia" w:ascii="仿宋_GB2312" w:hAnsi="仿宋_GB2312" w:eastAsia="仿宋_GB2312" w:cs="仿宋_GB2312"/>
          <w:sz w:val="32"/>
          <w:szCs w:val="32"/>
        </w:rPr>
        <w:t>%。</w:t>
      </w:r>
    </w:p>
    <w:p>
      <w:pPr>
        <w:spacing w:line="600" w:lineRule="exact"/>
        <w:ind w:firstLine="640"/>
        <w:outlineLvl w:val="2"/>
        <w:rPr>
          <w:rFonts w:hint="eastAsia" w:ascii="楷体_GB2312" w:hAnsi="楷体_GB2312" w:eastAsia="楷体_GB2312" w:cs="楷体_GB2312"/>
          <w:b w:val="0"/>
          <w:bCs/>
          <w:sz w:val="32"/>
          <w:szCs w:val="32"/>
        </w:rPr>
      </w:pPr>
      <w:bookmarkStart w:id="71" w:name="_Toc15377224"/>
      <w:r>
        <w:rPr>
          <w:rFonts w:hint="eastAsia" w:ascii="楷体_GB2312" w:hAnsi="楷体_GB2312" w:eastAsia="楷体_GB2312" w:cs="楷体_GB2312"/>
          <w:b w:val="0"/>
          <w:bCs/>
          <w:sz w:val="32"/>
          <w:szCs w:val="32"/>
        </w:rPr>
        <w:t>（三）国有资产占有使用情况</w:t>
      </w:r>
      <w:bookmarkEnd w:id="71"/>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w:t>
      </w:r>
      <w:r>
        <w:rPr>
          <w:rFonts w:hint="eastAsia" w:ascii="仿宋_GB2312" w:eastAsia="仿宋_GB2312"/>
          <w:sz w:val="32"/>
          <w:szCs w:val="32"/>
        </w:rPr>
        <w:t>2</w:t>
      </w:r>
      <w:r>
        <w:rPr>
          <w:rFonts w:hint="eastAsia" w:ascii="仿宋_GB2312" w:eastAsia="仿宋_GB2312"/>
          <w:sz w:val="32"/>
          <w:szCs w:val="32"/>
          <w:lang w:val="en-US" w:eastAsia="zh-CN"/>
        </w:rPr>
        <w:t>3</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eastAsia="仿宋_GB2312"/>
          <w:sz w:val="32"/>
          <w:szCs w:val="32"/>
          <w:lang w:val="en-US" w:eastAsia="zh-CN"/>
        </w:rPr>
        <w:t>五通桥区图书馆</w:t>
      </w:r>
      <w:r>
        <w:rPr>
          <w:rFonts w:hint="eastAsia" w:ascii="仿宋_GB2312" w:eastAsia="仿宋_GB2312"/>
          <w:sz w:val="32"/>
          <w:szCs w:val="32"/>
        </w:rPr>
        <w:t>共有车辆0辆，其中：主要领导干部用车0辆、机要通信用车0辆、应急保障用车0辆、其他用车0辆。</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万元以上通用设备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eastAsia="zh-CN"/>
        </w:rPr>
        <w:t>（不含车辆）</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pPr>
        <w:spacing w:line="600" w:lineRule="exact"/>
        <w:ind w:firstLine="640"/>
        <w:outlineLvl w:val="2"/>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（四）预算</w:t>
      </w:r>
      <w:r>
        <w:rPr>
          <w:rFonts w:hint="eastAsia" w:ascii="楷体_GB2312" w:hAnsi="楷体_GB2312" w:eastAsia="楷体_GB2312" w:cs="楷体_GB2312"/>
          <w:b w:val="0"/>
          <w:bCs/>
          <w:sz w:val="32"/>
          <w:szCs w:val="32"/>
        </w:rPr>
        <w:t>绩效</w:t>
      </w:r>
      <w:r>
        <w:rPr>
          <w:rFonts w:hint="eastAsia" w:ascii="楷体_GB2312" w:hAnsi="楷体_GB2312" w:eastAsia="楷体_GB2312" w:cs="楷体_GB2312"/>
          <w:b w:val="0"/>
          <w:bCs/>
          <w:sz w:val="32"/>
          <w:szCs w:val="32"/>
          <w:highlight w:val="none"/>
        </w:rPr>
        <w:t>管理情况</w:t>
      </w:r>
    </w:p>
    <w:p>
      <w:pPr>
        <w:spacing w:line="600" w:lineRule="exact"/>
        <w:ind w:firstLine="640" w:firstLineChars="200"/>
        <w:rPr>
          <w:rFonts w:ascii="仿宋_GB2312" w:eastAsia="仿宋_GB2312"/>
          <w:sz w:val="32"/>
          <w:szCs w:val="32"/>
        </w:rPr>
      </w:pPr>
      <w:r>
        <w:rPr>
          <w:rFonts w:hint="eastAsia" w:ascii="仿宋_GB2312" w:hAnsi="Times New Roman" w:eastAsia="仿宋_GB2312" w:cs="Times New Roman"/>
          <w:color w:val="auto"/>
          <w:sz w:val="32"/>
          <w:szCs w:val="32"/>
          <w:highlight w:val="none"/>
          <w:lang w:eastAsia="zh-CN"/>
        </w:rPr>
        <w:t>根据预算绩效管理要求，本单位在</w:t>
      </w:r>
      <w:r>
        <w:rPr>
          <w:rFonts w:hint="eastAsia" w:ascii="仿宋_GB2312" w:hAnsi="Times New Roman" w:eastAsia="仿宋_GB2312" w:cs="Times New Roman"/>
          <w:color w:val="auto"/>
          <w:sz w:val="32"/>
          <w:szCs w:val="32"/>
          <w:highlight w:val="none"/>
          <w:lang w:val="en-US" w:eastAsia="zh-CN"/>
        </w:rPr>
        <w:t>2023年度</w:t>
      </w:r>
      <w:r>
        <w:rPr>
          <w:rFonts w:hint="eastAsia" w:ascii="仿宋_GB2312" w:hAnsi="Times New Roman" w:eastAsia="仿宋_GB2312" w:cs="Times New Roman"/>
          <w:color w:val="auto"/>
          <w:sz w:val="32"/>
          <w:szCs w:val="32"/>
          <w:highlight w:val="none"/>
          <w:lang w:eastAsia="zh-CN"/>
        </w:rPr>
        <w:t>预算编制阶段，组织对图书馆免费开放、</w:t>
      </w:r>
      <w:r>
        <w:rPr>
          <w:rFonts w:hint="eastAsia" w:ascii="仿宋_GB2312" w:hAnsi="Times New Roman" w:eastAsia="仿宋_GB2312" w:cs="Times New Roman"/>
          <w:color w:val="auto"/>
          <w:sz w:val="32"/>
          <w:szCs w:val="32"/>
          <w:highlight w:val="none"/>
          <w:lang w:val="en-US" w:eastAsia="zh-CN"/>
        </w:rPr>
        <w:t>购书费、公共图书馆美术馆文化馆（站）免费开放资金、图书馆临聘人员支出</w:t>
      </w:r>
      <w:r>
        <w:rPr>
          <w:rFonts w:hint="eastAsia" w:ascii="仿宋_GB2312" w:hAnsi="Times New Roman" w:eastAsia="仿宋_GB2312" w:cs="Times New Roman"/>
          <w:color w:val="auto"/>
          <w:sz w:val="32"/>
          <w:szCs w:val="32"/>
          <w:highlight w:val="none"/>
          <w:lang w:eastAsia="zh-CN"/>
        </w:rPr>
        <w:t>等</w:t>
      </w:r>
      <w:r>
        <w:rPr>
          <w:rFonts w:hint="eastAsia" w:ascii="仿宋_GB2312" w:hAnsi="Times New Roman" w:eastAsia="仿宋_GB2312" w:cs="Times New Roman"/>
          <w:color w:val="auto"/>
          <w:sz w:val="32"/>
          <w:szCs w:val="32"/>
          <w:highlight w:val="none"/>
          <w:lang w:val="en-US" w:eastAsia="zh-CN"/>
        </w:rPr>
        <w:t>4个项目</w:t>
      </w:r>
      <w:r>
        <w:rPr>
          <w:rFonts w:hint="eastAsia" w:ascii="仿宋_GB2312" w:hAnsi="Times New Roman" w:eastAsia="仿宋_GB2312" w:cs="Times New Roman"/>
          <w:color w:val="auto"/>
          <w:sz w:val="32"/>
          <w:szCs w:val="32"/>
          <w:highlight w:val="none"/>
          <w:lang w:eastAsia="zh-CN"/>
        </w:rPr>
        <w:t>开展了预算事前绩效评估，对</w:t>
      </w:r>
      <w:r>
        <w:rPr>
          <w:rFonts w:hint="eastAsia" w:ascii="仿宋_GB2312" w:hAnsi="Times New Roman" w:eastAsia="仿宋_GB2312" w:cs="Times New Roman"/>
          <w:color w:val="auto"/>
          <w:sz w:val="32"/>
          <w:szCs w:val="32"/>
          <w:highlight w:val="none"/>
          <w:lang w:val="en-US" w:eastAsia="zh-CN"/>
        </w:rPr>
        <w:t>4</w:t>
      </w:r>
      <w:r>
        <w:rPr>
          <w:rFonts w:hint="eastAsia" w:ascii="仿宋_GB2312" w:hAnsi="Times New Roman" w:eastAsia="仿宋_GB2312" w:cs="Times New Roman"/>
          <w:color w:val="auto"/>
          <w:sz w:val="32"/>
          <w:szCs w:val="32"/>
          <w:highlight w:val="none"/>
          <w:lang w:eastAsia="zh-CN"/>
        </w:rPr>
        <w:t>个项目编制了绩效目标，预算执行过程中，选取</w:t>
      </w:r>
      <w:r>
        <w:rPr>
          <w:rFonts w:hint="eastAsia" w:ascii="仿宋_GB2312" w:hAnsi="Times New Roman" w:eastAsia="仿宋_GB2312" w:cs="Times New Roman"/>
          <w:color w:val="auto"/>
          <w:sz w:val="32"/>
          <w:szCs w:val="32"/>
          <w:highlight w:val="none"/>
          <w:lang w:val="en-US" w:eastAsia="zh-CN"/>
        </w:rPr>
        <w:t>4</w:t>
      </w:r>
      <w:r>
        <w:rPr>
          <w:rFonts w:hint="eastAsia" w:ascii="仿宋_GB2312" w:hAnsi="Times New Roman" w:eastAsia="仿宋_GB2312" w:cs="Times New Roman"/>
          <w:color w:val="auto"/>
          <w:sz w:val="32"/>
          <w:szCs w:val="32"/>
          <w:highlight w:val="none"/>
          <w:lang w:eastAsia="zh-CN"/>
        </w:rPr>
        <w:t>个项目开展绩效监控，组织对</w:t>
      </w:r>
      <w:r>
        <w:rPr>
          <w:rFonts w:hint="eastAsia" w:ascii="仿宋_GB2312" w:hAnsi="Times New Roman" w:eastAsia="仿宋_GB2312" w:cs="Times New Roman"/>
          <w:color w:val="auto"/>
          <w:sz w:val="32"/>
          <w:szCs w:val="32"/>
          <w:highlight w:val="none"/>
          <w:lang w:val="en-US" w:eastAsia="zh-CN"/>
        </w:rPr>
        <w:t>4个项目开展绩效自评，绩效自评表详见第四部分附件。</w:t>
      </w:r>
      <w:r>
        <w:rPr>
          <w:rFonts w:hint="eastAsia" w:ascii="仿宋_GB2312" w:eastAsia="仿宋_GB2312"/>
          <w:sz w:val="32"/>
          <w:szCs w:val="32"/>
        </w:rPr>
        <w:br w:type="page"/>
      </w:r>
    </w:p>
    <w:p>
      <w:pPr>
        <w:numPr>
          <w:ilvl w:val="0"/>
          <w:numId w:val="3"/>
        </w:numPr>
        <w:spacing w:line="600" w:lineRule="exact"/>
        <w:ind w:firstLine="660" w:firstLineChars="150"/>
        <w:jc w:val="center"/>
        <w:outlineLvl w:val="0"/>
        <w:rPr>
          <w:rStyle w:val="28"/>
          <w:rFonts w:ascii="黑体" w:hAnsi="黑体" w:eastAsia="黑体"/>
          <w:b w:val="0"/>
        </w:rPr>
      </w:pPr>
      <w:bookmarkStart w:id="72" w:name="_Toc15377225"/>
      <w:bookmarkStart w:id="73" w:name="_Toc15396613"/>
      <w:bookmarkStart w:id="74" w:name="_Toc14671"/>
      <w:r>
        <w:rPr>
          <w:rFonts w:hint="eastAsia" w:ascii="黑体" w:hAnsi="黑体" w:eastAsia="黑体"/>
          <w:sz w:val="44"/>
          <w:szCs w:val="44"/>
        </w:rPr>
        <w:t>名</w:t>
      </w:r>
      <w:r>
        <w:rPr>
          <w:rStyle w:val="28"/>
          <w:rFonts w:hint="eastAsia" w:ascii="黑体" w:hAnsi="黑体" w:eastAsia="黑体"/>
          <w:b w:val="0"/>
        </w:rPr>
        <w:t>词解释</w:t>
      </w:r>
      <w:bookmarkEnd w:id="72"/>
      <w:bookmarkEnd w:id="73"/>
      <w:bookmarkEnd w:id="74"/>
    </w:p>
    <w:p>
      <w:pPr>
        <w:spacing w:line="600" w:lineRule="exact"/>
        <w:jc w:val="left"/>
        <w:rPr>
          <w:rFonts w:ascii="宋体"/>
          <w:b/>
          <w:sz w:val="44"/>
          <w:szCs w:val="44"/>
        </w:rPr>
      </w:pP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pPr>
        <w:pStyle w:val="26"/>
        <w:spacing w:line="560" w:lineRule="exact"/>
        <w:ind w:firstLine="640" w:firstLineChars="200"/>
        <w:rPr>
          <w:rFonts w:hint="eastAsia"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pPr>
        <w:pStyle w:val="26"/>
        <w:spacing w:line="560" w:lineRule="exact"/>
        <w:ind w:firstLine="640" w:firstLineChars="200"/>
        <w:rPr>
          <w:rFonts w:ascii="仿宋_GB2312" w:eastAsia="仿宋_GB2312"/>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9</w:t>
      </w:r>
      <w:r>
        <w:rPr>
          <w:rFonts w:ascii="仿宋_GB2312" w:eastAsia="仿宋_GB2312"/>
          <w:sz w:val="32"/>
          <w:szCs w:val="32"/>
        </w:rPr>
        <w:t>.</w:t>
      </w:r>
      <w:r>
        <w:rPr>
          <w:rFonts w:hint="eastAsia" w:ascii="仿宋_GB2312" w:eastAsia="仿宋_GB2312"/>
          <w:sz w:val="32"/>
          <w:szCs w:val="32"/>
        </w:rPr>
        <w:t>文化旅游体育与传媒支出（类）文化和旅游（款）图书馆支出（项）</w:t>
      </w:r>
      <w:r>
        <w:rPr>
          <w:rFonts w:hint="eastAsia" w:ascii="仿宋_GB2312" w:eastAsia="仿宋_GB2312"/>
          <w:sz w:val="32"/>
          <w:szCs w:val="32"/>
          <w:lang w:eastAsia="zh-CN"/>
        </w:rPr>
        <w:t>：</w:t>
      </w:r>
      <w:r>
        <w:rPr>
          <w:rFonts w:hint="eastAsia" w:ascii="仿宋_GB2312" w:eastAsia="仿宋_GB2312"/>
          <w:sz w:val="32"/>
          <w:szCs w:val="32"/>
        </w:rPr>
        <w:t>反映图书馆支出</w:t>
      </w:r>
      <w:r>
        <w:rPr>
          <w:rFonts w:hint="eastAsia" w:ascii="仿宋_GB2312" w:eastAsia="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val="0"/>
        <w:ind w:firstLine="640" w:firstLineChars="200"/>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10.文化旅游体育与传媒</w:t>
      </w:r>
      <w:r>
        <w:rPr>
          <w:rFonts w:hint="eastAsia" w:ascii="仿宋" w:hAnsi="仿宋" w:eastAsia="仿宋" w:cs="仿宋"/>
          <w:b w:val="0"/>
          <w:bCs/>
          <w:sz w:val="32"/>
          <w:szCs w:val="32"/>
          <w:highlight w:val="none"/>
          <w:lang w:val="en-US" w:eastAsia="zh-CN"/>
        </w:rPr>
        <w:t>支出</w:t>
      </w:r>
      <w:r>
        <w:rPr>
          <w:rFonts w:hint="eastAsia" w:ascii="仿宋_GB2312" w:hAnsi="Times New Roman" w:eastAsia="仿宋_GB2312" w:cs="Times New Roman"/>
          <w:kern w:val="2"/>
          <w:sz w:val="32"/>
          <w:szCs w:val="32"/>
          <w:lang w:val="en-US" w:eastAsia="zh-CN" w:bidi="ar-SA"/>
        </w:rPr>
        <w:t>（类）文化和旅游（款）群众文化（项）：反映群众文化方面的支出，包括基层文化馆（站）、群众艺术馆支出等。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12.</w:t>
      </w:r>
      <w:r>
        <w:rPr>
          <w:rFonts w:hint="eastAsia" w:ascii="仿宋_GB2312" w:eastAsia="仿宋_GB2312"/>
          <w:sz w:val="32"/>
          <w:szCs w:val="32"/>
        </w:rPr>
        <w:t>社会保障和就业支出（类）行政事业单位养老支出（款）机关事业单位基本养老保险缴费支出（项）</w:t>
      </w:r>
      <w:r>
        <w:rPr>
          <w:rFonts w:hint="eastAsia" w:ascii="仿宋_GB2312" w:eastAsia="仿宋_GB2312"/>
          <w:sz w:val="32"/>
          <w:szCs w:val="32"/>
          <w:lang w:eastAsia="zh-CN"/>
        </w:rPr>
        <w:t>：</w:t>
      </w:r>
      <w:r>
        <w:rPr>
          <w:rFonts w:hint="eastAsia" w:ascii="仿宋_GB2312" w:eastAsia="仿宋_GB2312"/>
          <w:sz w:val="32"/>
          <w:szCs w:val="32"/>
        </w:rPr>
        <w:t>指部门实施养老保险制度由单位缴纳的养老保险费的支出。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13.</w:t>
      </w:r>
      <w:r>
        <w:rPr>
          <w:rFonts w:hint="eastAsia" w:ascii="仿宋_GB2312" w:eastAsia="仿宋_GB2312"/>
          <w:sz w:val="32"/>
          <w:szCs w:val="32"/>
        </w:rPr>
        <w:t>社会保障和就业支出（类）行政事业单位养老支出（款）机关事业单位职业年金缴费支出（项）</w:t>
      </w:r>
      <w:r>
        <w:rPr>
          <w:rFonts w:hint="eastAsia" w:ascii="仿宋_GB2312" w:eastAsia="仿宋_GB2312"/>
          <w:sz w:val="32"/>
          <w:szCs w:val="32"/>
          <w:lang w:eastAsia="zh-CN"/>
        </w:rPr>
        <w:t>：</w:t>
      </w:r>
      <w:r>
        <w:rPr>
          <w:rFonts w:hint="eastAsia" w:ascii="仿宋_GB2312" w:eastAsia="仿宋_GB2312"/>
          <w:sz w:val="32"/>
          <w:szCs w:val="32"/>
        </w:rPr>
        <w:t>指部门实施养老保险制度由单位缴纳的职业年金的支出。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14.</w:t>
      </w:r>
      <w:r>
        <w:rPr>
          <w:rFonts w:hint="eastAsia" w:ascii="仿宋_GB2312" w:eastAsia="仿宋_GB2312"/>
          <w:sz w:val="32"/>
          <w:szCs w:val="32"/>
        </w:rPr>
        <w:t>社会保障和就业支出（类）行政事业单位养老支出（款）其他行政事业单位养老支出（项）</w:t>
      </w:r>
      <w:r>
        <w:rPr>
          <w:rFonts w:hint="eastAsia" w:ascii="仿宋_GB2312" w:eastAsia="仿宋_GB2312"/>
          <w:sz w:val="32"/>
          <w:szCs w:val="32"/>
          <w:lang w:eastAsia="zh-CN"/>
        </w:rPr>
        <w:t>：</w:t>
      </w:r>
      <w:r>
        <w:rPr>
          <w:rFonts w:hint="eastAsia" w:ascii="仿宋_GB2312" w:eastAsia="仿宋_GB2312"/>
          <w:sz w:val="32"/>
          <w:szCs w:val="32"/>
        </w:rPr>
        <w:t>指反映除上述项目以外其他用于行政事业单位养老方面的支出。</w:t>
      </w:r>
    </w:p>
    <w:p>
      <w:pPr>
        <w:spacing w:line="600" w:lineRule="exact"/>
        <w:ind w:firstLine="640"/>
        <w:rPr>
          <w:rFonts w:hint="eastAsia" w:ascii="仿宋_GB2312" w:eastAsia="仿宋_GB2312"/>
          <w:sz w:val="32"/>
          <w:szCs w:val="32"/>
        </w:rPr>
      </w:pPr>
      <w:r>
        <w:rPr>
          <w:rFonts w:hint="eastAsia" w:ascii="仿宋_GB2312" w:eastAsia="仿宋_GB2312"/>
          <w:sz w:val="32"/>
          <w:szCs w:val="32"/>
          <w:lang w:val="en-US" w:eastAsia="zh-CN"/>
        </w:rPr>
        <w:t>15.</w:t>
      </w:r>
      <w:r>
        <w:rPr>
          <w:rFonts w:hint="eastAsia" w:ascii="仿宋_GB2312" w:eastAsia="仿宋_GB2312"/>
          <w:sz w:val="32"/>
          <w:szCs w:val="32"/>
        </w:rPr>
        <w:t>卫生健康支出（类）行政事业单位医疗（款）事业单位医疗（项）</w:t>
      </w:r>
      <w:r>
        <w:rPr>
          <w:rFonts w:hint="eastAsia" w:ascii="仿宋_GB2312" w:eastAsia="仿宋_GB2312"/>
          <w:sz w:val="32"/>
          <w:szCs w:val="32"/>
          <w:lang w:eastAsia="zh-CN"/>
        </w:rPr>
        <w:t>：</w:t>
      </w:r>
      <w:r>
        <w:rPr>
          <w:rFonts w:hint="eastAsia" w:ascii="仿宋_GB2312" w:eastAsia="仿宋_GB2312"/>
          <w:sz w:val="32"/>
          <w:szCs w:val="32"/>
        </w:rPr>
        <w:t>指事业单位用于缴纳单位基本医疗保险支出。</w:t>
      </w:r>
    </w:p>
    <w:p>
      <w:pPr>
        <w:pStyle w:val="2"/>
        <w:keepNext w:val="0"/>
        <w:keepLines w:val="0"/>
        <w:pageBreakBefore w:val="0"/>
        <w:widowControl w:val="0"/>
        <w:kinsoku/>
        <w:wordWrap/>
        <w:overflowPunct/>
        <w:topLinePunct w:val="0"/>
        <w:bidi w:val="0"/>
        <w:spacing w:line="560" w:lineRule="exact"/>
        <w:ind w:firstLine="640" w:firstLineChars="200"/>
        <w:jc w:val="left"/>
        <w:textAlignment w:val="auto"/>
      </w:pPr>
      <w:r>
        <w:rPr>
          <w:rFonts w:hint="eastAsia" w:ascii="仿宋" w:hAnsi="仿宋" w:eastAsia="仿宋"/>
          <w:sz w:val="32"/>
          <w:szCs w:val="32"/>
          <w:highlight w:val="none"/>
          <w:lang w:val="en-US" w:eastAsia="zh-CN"/>
        </w:rPr>
        <w:t>16.卫生健康支出（类）行政事业单位医疗（款）其他行政事业单位医疗支出（项）</w:t>
      </w:r>
      <w:r>
        <w:rPr>
          <w:rFonts w:hint="eastAsia" w:ascii="仿宋_GB2312" w:eastAsia="仿宋_GB2312"/>
          <w:sz w:val="32"/>
          <w:szCs w:val="32"/>
        </w:rPr>
        <w:t>：指反映除上述项目以外的其他用于行政事业单位医疗方面的支出</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17.</w:t>
      </w:r>
      <w:r>
        <w:rPr>
          <w:rFonts w:hint="eastAsia" w:ascii="仿宋_GB2312" w:eastAsia="仿宋_GB2312"/>
          <w:sz w:val="32"/>
          <w:szCs w:val="32"/>
        </w:rPr>
        <w:t>住房保障支出（类）住房改革支出（款）住房公积金（项）</w:t>
      </w:r>
      <w:r>
        <w:rPr>
          <w:rFonts w:hint="eastAsia" w:ascii="仿宋_GB2312" w:eastAsia="仿宋_GB2312"/>
          <w:sz w:val="32"/>
          <w:szCs w:val="32"/>
          <w:lang w:eastAsia="zh-CN"/>
        </w:rPr>
        <w:t>：</w:t>
      </w:r>
      <w:r>
        <w:rPr>
          <w:rFonts w:hint="eastAsia" w:ascii="仿宋_GB2312" w:eastAsia="仿宋_GB2312"/>
          <w:sz w:val="32"/>
          <w:szCs w:val="32"/>
        </w:rPr>
        <w:t>指由单位及其在职职工按规定缴存的住房公积金支出。</w:t>
      </w:r>
    </w:p>
    <w:p>
      <w:pPr>
        <w:spacing w:line="600" w:lineRule="exact"/>
        <w:ind w:firstLine="640"/>
        <w:rPr>
          <w:rFonts w:ascii="仿宋_GB2312" w:eastAsia="仿宋_GB2312"/>
          <w:sz w:val="32"/>
          <w:szCs w:val="32"/>
        </w:rPr>
      </w:pPr>
      <w:r>
        <w:rPr>
          <w:rFonts w:hint="eastAsia" w:ascii="仿宋_GB2312" w:eastAsia="仿宋_GB2312"/>
          <w:sz w:val="32"/>
          <w:szCs w:val="32"/>
          <w:lang w:val="en-US" w:eastAsia="zh-CN"/>
        </w:rPr>
        <w:t>18.</w:t>
      </w:r>
      <w:r>
        <w:rPr>
          <w:rFonts w:hint="eastAsia" w:ascii="仿宋_GB2312" w:eastAsia="仿宋_GB2312"/>
          <w:sz w:val="32"/>
          <w:szCs w:val="32"/>
        </w:rPr>
        <w:t>基本支出：指为保障机构正常运转、完成日常工作任务而发生的人员支出和公用支出。</w:t>
      </w:r>
    </w:p>
    <w:p>
      <w:pPr>
        <w:spacing w:line="600" w:lineRule="exact"/>
        <w:ind w:firstLine="640"/>
        <w:rPr>
          <w:rFonts w:ascii="仿宋_GB2312" w:eastAsia="仿宋_GB2312"/>
          <w:sz w:val="32"/>
          <w:szCs w:val="32"/>
        </w:rPr>
      </w:pPr>
      <w:r>
        <w:rPr>
          <w:rFonts w:hint="eastAsia" w:ascii="仿宋_GB2312" w:eastAsia="仿宋_GB2312"/>
          <w:sz w:val="32"/>
          <w:szCs w:val="32"/>
          <w:lang w:val="en-US" w:eastAsia="zh-CN"/>
        </w:rPr>
        <w:t>19.</w:t>
      </w:r>
      <w:r>
        <w:rPr>
          <w:rFonts w:hint="eastAsia" w:ascii="仿宋_GB2312" w:eastAsia="仿宋_GB2312"/>
          <w:sz w:val="32"/>
          <w:szCs w:val="32"/>
        </w:rPr>
        <w:t>项目支出：指在基本支出之外为完成特定行政任务和事业发展目标所发生的支出。</w:t>
      </w:r>
    </w:p>
    <w:p>
      <w:pPr>
        <w:spacing w:line="600" w:lineRule="exact"/>
        <w:ind w:firstLine="640"/>
        <w:rPr>
          <w:rFonts w:ascii="仿宋_GB2312" w:eastAsia="仿宋_GB2312"/>
          <w:sz w:val="32"/>
          <w:szCs w:val="32"/>
        </w:rPr>
      </w:pPr>
      <w:r>
        <w:rPr>
          <w:rFonts w:hint="eastAsia" w:ascii="仿宋_GB2312" w:eastAsia="仿宋_GB2312"/>
          <w:sz w:val="32"/>
          <w:szCs w:val="32"/>
          <w:lang w:val="en-US" w:eastAsia="zh-CN"/>
        </w:rPr>
        <w:t>120.</w:t>
      </w:r>
      <w:r>
        <w:rPr>
          <w:rFonts w:hint="eastAsia" w:ascii="仿宋_GB2312" w:eastAsia="仿宋_GB2312"/>
          <w:sz w:val="32"/>
          <w:szCs w:val="32"/>
        </w:rPr>
        <w:t>经营支出：指事业单位在专业业务活动及其辅助活动之外开展非独立核算经营活动发生的支出。</w:t>
      </w:r>
    </w:p>
    <w:p>
      <w:pPr>
        <w:spacing w:line="600" w:lineRule="exact"/>
        <w:ind w:firstLine="640"/>
        <w:rPr>
          <w:rFonts w:ascii="仿宋_GB2312" w:eastAsia="仿宋_GB2312"/>
          <w:sz w:val="32"/>
          <w:szCs w:val="32"/>
        </w:rPr>
      </w:pPr>
      <w:r>
        <w:rPr>
          <w:rFonts w:hint="eastAsia" w:ascii="仿宋_GB2312" w:eastAsia="仿宋_GB2312"/>
          <w:sz w:val="32"/>
          <w:szCs w:val="32"/>
          <w:lang w:val="en-US" w:eastAsia="zh-CN"/>
        </w:rPr>
        <w:t>21.</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ind w:firstLine="640"/>
        <w:rPr>
          <w:rFonts w:ascii="仿宋" w:hAnsi="仿宋" w:eastAsia="仿宋"/>
          <w:b/>
          <w:sz w:val="32"/>
          <w:szCs w:val="32"/>
        </w:rPr>
      </w:pPr>
      <w:r>
        <w:rPr>
          <w:rFonts w:hint="eastAsia" w:ascii="仿宋_GB2312" w:eastAsia="仿宋_GB2312"/>
          <w:sz w:val="32"/>
          <w:szCs w:val="32"/>
          <w:lang w:val="en-US" w:eastAsia="zh-CN"/>
        </w:rPr>
        <w:t>22.</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Fonts w:ascii="仿宋_GB2312" w:hAnsi="仿宋_GB2312" w:eastAsia="仿宋_GB2312" w:cs="仿宋_GB2312"/>
          <w:sz w:val="32"/>
          <w:szCs w:val="32"/>
        </w:rPr>
      </w:pPr>
      <w:bookmarkStart w:id="75" w:name="_Toc15377226"/>
      <w:r>
        <w:rPr>
          <w:rFonts w:ascii="宋体"/>
          <w:b/>
          <w:sz w:val="44"/>
          <w:szCs w:val="44"/>
        </w:rPr>
        <w:br w:type="page"/>
      </w:r>
      <w:bookmarkStart w:id="76" w:name="_Toc15396614"/>
      <w:bookmarkStart w:id="77" w:name="_Toc17746"/>
      <w:r>
        <w:rPr>
          <w:rFonts w:hint="eastAsia" w:ascii="黑体" w:hAnsi="黑体" w:eastAsia="黑体"/>
          <w:sz w:val="44"/>
          <w:szCs w:val="44"/>
        </w:rPr>
        <w:t>第</w:t>
      </w:r>
      <w:r>
        <w:rPr>
          <w:rStyle w:val="28"/>
          <w:rFonts w:hint="eastAsia" w:ascii="黑体" w:hAnsi="黑体" w:eastAsia="黑体"/>
          <w:b w:val="0"/>
        </w:rPr>
        <w:t>四部分 附件</w:t>
      </w:r>
      <w:bookmarkEnd w:id="76"/>
      <w:bookmarkEnd w:id="77"/>
    </w:p>
    <w:p>
      <w:pPr>
        <w:spacing w:line="600" w:lineRule="exact"/>
        <w:jc w:val="center"/>
        <w:outlineLvl w:val="9"/>
        <w:rPr>
          <w:rFonts w:hint="eastAsia"/>
          <w:sz w:val="32"/>
          <w:szCs w:val="32"/>
        </w:rPr>
      </w:pPr>
      <w:bookmarkStart w:id="78" w:name="_Toc15396618"/>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13"/>
        <w:gridCol w:w="735"/>
        <w:gridCol w:w="738"/>
        <w:gridCol w:w="1764"/>
        <w:gridCol w:w="1214"/>
        <w:gridCol w:w="1113"/>
        <w:gridCol w:w="574"/>
        <w:gridCol w:w="574"/>
        <w:gridCol w:w="3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9"/>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区级项目支出绩效自评表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898"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图书馆免费开放</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898"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乐山市五通桥区文化体育和旅游局</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五通桥区图书馆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260" w:type="pct"/>
            <w:gridSpan w:val="2"/>
            <w:tcBorders>
              <w:top w:val="single" w:color="000000" w:sz="4" w:space="0"/>
              <w:left w:val="single" w:color="000000" w:sz="4" w:space="0"/>
              <w:bottom w:val="single" w:color="000000" w:sz="4" w:space="0"/>
              <w:right w:val="nil"/>
            </w:tcBorders>
            <w:noWrap/>
            <w:vAlign w:val="center"/>
          </w:tcPr>
          <w:p>
            <w:pPr>
              <w:jc w:val="center"/>
              <w:rPr>
                <w:rFonts w:hint="eastAsia" w:ascii="宋体" w:hAnsi="宋体" w:eastAsia="宋体" w:cs="宋体"/>
                <w:i w:val="0"/>
                <w:iCs w:val="0"/>
                <w:color w:val="000000"/>
                <w:sz w:val="20"/>
                <w:szCs w:val="20"/>
                <w:u w:val="none"/>
              </w:rPr>
            </w:pP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1.985011</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1.985011</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1.985011</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1.985011</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829"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1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8" w:hRule="atLeast"/>
        </w:trPr>
        <w:tc>
          <w:tcPr>
            <w:tcW w:w="829" w:type="pct"/>
            <w:vMerge w:val="continue"/>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610" w:type="pct"/>
            <w:gridSpan w:val="4"/>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2023年计划使用免费开放经费1.985011万元，用于图书馆公益讲座、送文化下乡等经费支出，保障图书馆免费开放正常开展。</w:t>
            </w:r>
          </w:p>
        </w:tc>
        <w:tc>
          <w:tcPr>
            <w:tcW w:w="1560"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财政下拨免费开放经费1.985011万元，用于图书馆水电费的缴纳，确保了图书馆的日常正常开放，免费向公众提供服务。图书馆积极开展公益讲座、送文化下乡活动，满足了读者的阅读需求，极大地丰富了群众的精神文化生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6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0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5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337" w:type="pct"/>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4092"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727"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开展图书活动次数</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≥1场</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1场</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交纳水电批次</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≥4批次</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4批次</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开展图书活动、交纳水电经费支付及时率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开展图书活动、交纳水电经费的应付尽付率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免费开放经费预算成本</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1.985011</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1.985011</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图书馆免开正常运转保障率、送书下乡覆盖率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图书馆免费开放管理机制健全性</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8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读者满意度</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9"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31"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3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33"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1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653"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7"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7"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3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gridSpan w:val="9"/>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区级项目支出绩效自评表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898"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购书费</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898"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乐山市五通桥区文化体育和旅游局</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五通桥区图书馆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nil"/>
            </w:tcBorders>
            <w:noWrap/>
            <w:vAlign w:val="center"/>
          </w:tcPr>
          <w:p>
            <w:pPr>
              <w:jc w:val="center"/>
              <w:rPr>
                <w:rFonts w:hint="eastAsia" w:ascii="宋体" w:hAnsi="宋体" w:eastAsia="宋体" w:cs="宋体"/>
                <w:i w:val="0"/>
                <w:iCs w:val="0"/>
                <w:color w:val="000000"/>
                <w:sz w:val="20"/>
                <w:szCs w:val="20"/>
                <w:u w:val="none"/>
              </w:rPr>
            </w:pP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1.885276</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1.885276</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1.885276</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1.885276</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1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6" w:hRule="atLeast"/>
        </w:trPr>
        <w:tc>
          <w:tcPr>
            <w:tcW w:w="829" w:type="pct"/>
            <w:vMerge w:val="continue"/>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610" w:type="pct"/>
            <w:gridSpan w:val="4"/>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2023年计划使用购书经费1.885276万元，用于图书馆公共图书更新、报刊杂志购买，保障人民日益增长的精神文化需求。</w:t>
            </w:r>
          </w:p>
        </w:tc>
        <w:tc>
          <w:tcPr>
            <w:tcW w:w="1560" w:type="pct"/>
            <w:gridSpan w:val="4"/>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财政下拨购书经费1.885276万元，用于图书馆公共图书更新，加大了报刊杂志的采购力度，拓宽了图书馆的服务范围，提升了图书馆服务水平，满足了广大群众的阅读需求，为读者带来了更加便捷和多元的阅读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6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0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5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337" w:type="pct"/>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4092"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2727"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购买图书</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≥113册</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113册</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图书、报刊杂志购买及时率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购买图书、报刊杂志经费支付及时率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购买图书、报刊杂志经费的应付尽付率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购书经费预算成本</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1.885276</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1.885276</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图书馆公益活动图书保障率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图书馆购书管理机制健全性</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读者满意度</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9"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31"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3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33"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1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653"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7"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7"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3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gridSpan w:val="9"/>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区级项目支出绩效自评表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8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公共图书馆、美术馆、文化馆（站）免费开放资金</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898"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乐山市五通桥区文化体育和旅游局</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五通桥区图书馆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nil"/>
            </w:tcBorders>
            <w:noWrap/>
            <w:vAlign w:val="center"/>
          </w:tcPr>
          <w:p>
            <w:pPr>
              <w:jc w:val="center"/>
              <w:rPr>
                <w:rFonts w:hint="eastAsia" w:ascii="宋体" w:hAnsi="宋体" w:eastAsia="宋体" w:cs="宋体"/>
                <w:i w:val="0"/>
                <w:iCs w:val="0"/>
                <w:color w:val="000000"/>
                <w:sz w:val="20"/>
                <w:szCs w:val="20"/>
                <w:u w:val="none"/>
              </w:rPr>
            </w:pP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17.897916</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17.897916</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17.897916</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17.897916</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1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0" w:hRule="atLeast"/>
        </w:trPr>
        <w:tc>
          <w:tcPr>
            <w:tcW w:w="829" w:type="pct"/>
            <w:vMerge w:val="continue"/>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610" w:type="pct"/>
            <w:gridSpan w:val="4"/>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使用公共图书馆免费开放经费17.897916万元，用于阅览室、自习室等公共空间设施场地免费开放，为广大读者提供文献信息查询、借阅服务；开展一系列图书馆公益文化活动；数字资源建设、配备相应的设施设备，建立线上线下相结合的文献信息共享平台。</w:t>
            </w:r>
          </w:p>
        </w:tc>
        <w:tc>
          <w:tcPr>
            <w:tcW w:w="1560" w:type="pct"/>
            <w:gridSpan w:val="4"/>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财政下拨公共图书馆免费开放经费17.897916万元，用于阅览室、自习室等公共空间设施场地免费开放，为广大读者提供文献信息查询、借阅服务；开展一系列图书馆公益文化活动；数字资源建设、配备相应的设施设备，建立线上线下相结合的文献信息共享平台。确保了图书馆的日常正常开放，精心策划并实施了丰富的阅读推广活动，为公众提供了优质服务，提高五通桥人民的素质，丰富读者的文化生活，推进实现书香五通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6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0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5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337" w:type="pct"/>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4092"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727"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开展图书活动次数</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≥93次</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93次</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交纳水电批次</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≥8批次</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8批次</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讲座及培训授课老师劳务费发放及时率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开展图书活动、交纳水电经费的应付尽付率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免费开放经费预算成本</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17.897916</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17.897916</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图书馆免开正常运转保障率、送书下乡覆盖率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文化活动管理机制健全性</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读者满意度</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≥95%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9"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31"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43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1033"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71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653"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7"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337"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c>
          <w:tcPr>
            <w:tcW w:w="232" w:type="pct"/>
            <w:tcBorders>
              <w:top w:val="nil"/>
              <w:left w:val="nil"/>
              <w:bottom w:val="nil"/>
              <w:right w:val="nil"/>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gridSpan w:val="9"/>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区级项目支出绩效自评表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89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图书馆临聘人员支出</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1898"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乐山市五通桥区文化体育和旅游局</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五通桥区图书馆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5000" w:type="pct"/>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nil"/>
            </w:tcBorders>
            <w:noWrap/>
            <w:vAlign w:val="center"/>
          </w:tcPr>
          <w:p>
            <w:pPr>
              <w:jc w:val="center"/>
              <w:rPr>
                <w:rFonts w:hint="eastAsia" w:ascii="宋体" w:hAnsi="宋体" w:eastAsia="宋体" w:cs="宋体"/>
                <w:i w:val="0"/>
                <w:iCs w:val="0"/>
                <w:color w:val="000000"/>
                <w:sz w:val="20"/>
                <w:szCs w:val="20"/>
                <w:u w:val="none"/>
              </w:rPr>
            </w:pP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1.971</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26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46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6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07" w:type="pct"/>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261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1560"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4" w:hRule="atLeast"/>
        </w:trPr>
        <w:tc>
          <w:tcPr>
            <w:tcW w:w="829" w:type="pct"/>
            <w:vMerge w:val="continue"/>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c>
          <w:tcPr>
            <w:tcW w:w="2610" w:type="pct"/>
            <w:gridSpan w:val="4"/>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2023年计划图书馆临聘人员支出经费1.971万元，用于临聘人员工资发放、保险缴纳，以保障图书馆日常正常开放，阅读推广活动的顺利开展。</w:t>
            </w:r>
          </w:p>
        </w:tc>
        <w:tc>
          <w:tcPr>
            <w:tcW w:w="1560" w:type="pct"/>
            <w:gridSpan w:val="4"/>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财政下拨图书馆临聘人员支出经费1.971万元，用于临聘人员工资发放、保险缴纳。确保了图书馆的日常正常开放，免费向公众提供优质服务。阅读推广活动的顺利开展，满足了读者的阅读需求，极大地丰富了群众的精神文化生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2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6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03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1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5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（百分制）</w:t>
            </w:r>
          </w:p>
        </w:tc>
        <w:tc>
          <w:tcPr>
            <w:tcW w:w="337" w:type="pct"/>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扣分原因分析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4092"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    分</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727"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预算执行率（10分）</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产出指标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数量指标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临聘人员人数</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≥1人</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1人</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临聘人员保险缴纳及时率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时效指标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临聘人员工资发放及时率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质量指标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临聘人员工资发放、保险缴纳准确率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成本指标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图书馆临聘支出预算成本</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1.971</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1.971</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29"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效益指标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社会效益指标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临聘人员工资发放保障率</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829"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iCs w:val="0"/>
                <w:color w:val="333333"/>
                <w:sz w:val="18"/>
                <w:szCs w:val="18"/>
                <w:u w:val="none"/>
              </w:rPr>
            </w:pP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可持续影响指标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临聘人员管理机制健全性</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定性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优</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864" w:type="pct"/>
            <w:gridSpan w:val="2"/>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满意度指标</w:t>
            </w:r>
          </w:p>
        </w:tc>
        <w:tc>
          <w:tcPr>
            <w:tcW w:w="103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Fonts w:hint="eastAsia" w:ascii="宋体" w:hAnsi="宋体" w:eastAsia="宋体" w:cs="宋体"/>
                <w:i w:val="0"/>
                <w:iCs w:val="0"/>
                <w:color w:val="333333"/>
                <w:kern w:val="0"/>
                <w:sz w:val="18"/>
                <w:szCs w:val="18"/>
                <w:u w:val="none"/>
                <w:lang w:val="en-US" w:eastAsia="zh-CN" w:bidi="ar"/>
              </w:rPr>
              <w:t>临聘人员满意度</w:t>
            </w:r>
          </w:p>
        </w:tc>
        <w:tc>
          <w:tcPr>
            <w:tcW w:w="7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Style w:val="34"/>
                <w:lang w:val="en-US" w:eastAsia="zh-CN" w:bidi="ar"/>
              </w:rPr>
              <w:t>≥96</w:t>
            </w:r>
            <w:r>
              <w:rPr>
                <w:rStyle w:val="35"/>
                <w:lang w:val="en-US" w:eastAsia="zh-CN" w:bidi="ar"/>
              </w:rPr>
              <w:t>%</w:t>
            </w:r>
          </w:p>
        </w:tc>
        <w:tc>
          <w:tcPr>
            <w:tcW w:w="6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333333"/>
                <w:sz w:val="18"/>
                <w:szCs w:val="18"/>
                <w:u w:val="none"/>
              </w:rPr>
            </w:pPr>
            <w:r>
              <w:rPr>
                <w:rStyle w:val="34"/>
                <w:lang w:val="en-US" w:eastAsia="zh-CN" w:bidi="ar"/>
              </w:rPr>
              <w:t>≥96</w:t>
            </w:r>
            <w:r>
              <w:rPr>
                <w:rStyle w:val="35"/>
                <w:lang w:val="en-US" w:eastAsia="zh-CN" w:bidi="ar"/>
              </w:rPr>
              <w:t>%</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 w:hRule="atLeast"/>
        </w:trPr>
        <w:tc>
          <w:tcPr>
            <w:tcW w:w="5000" w:type="pct"/>
            <w:gridSpan w:val="9"/>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bl>
    <w:p>
      <w:pPr>
        <w:spacing w:line="600" w:lineRule="exact"/>
        <w:jc w:val="center"/>
        <w:outlineLvl w:val="0"/>
        <w:rPr>
          <w:rFonts w:ascii="仿宋" w:hAnsi="仿宋" w:eastAsia="仿宋"/>
        </w:rPr>
      </w:pPr>
      <w:bookmarkStart w:id="79" w:name="_Toc6052"/>
      <w:r>
        <w:rPr>
          <w:rFonts w:hint="eastAsia" w:ascii="黑体" w:hAnsi="黑体" w:eastAsia="黑体"/>
          <w:sz w:val="44"/>
          <w:szCs w:val="44"/>
        </w:rPr>
        <w:t>第</w:t>
      </w:r>
      <w:r>
        <w:rPr>
          <w:rStyle w:val="28"/>
          <w:rFonts w:hint="eastAsia" w:ascii="黑体" w:hAnsi="黑体" w:eastAsia="黑体"/>
          <w:b w:val="0"/>
        </w:rPr>
        <w:t>五部分 附表</w:t>
      </w:r>
      <w:bookmarkEnd w:id="75"/>
      <w:bookmarkEnd w:id="78"/>
      <w:bookmarkEnd w:id="79"/>
      <w:bookmarkStart w:id="80" w:name="_Toc15396619"/>
    </w:p>
    <w:p>
      <w:pPr>
        <w:pStyle w:val="6"/>
        <w:rPr>
          <w:rFonts w:ascii="仿宋" w:hAnsi="仿宋" w:eastAsia="仿宋"/>
        </w:rPr>
      </w:pPr>
      <w:bookmarkStart w:id="81" w:name="_Toc30353"/>
      <w:r>
        <w:rPr>
          <w:rFonts w:hint="eastAsia" w:ascii="仿宋" w:hAnsi="仿宋" w:eastAsia="仿宋"/>
          <w:b w:val="0"/>
        </w:rPr>
        <w:t>一、收</w:t>
      </w:r>
      <w:r>
        <w:rPr>
          <w:rStyle w:val="29"/>
          <w:rFonts w:hint="eastAsia" w:ascii="仿宋" w:hAnsi="仿宋" w:eastAsia="仿宋"/>
          <w:b w:val="0"/>
          <w:bCs w:val="0"/>
        </w:rPr>
        <w:t>入支出决算总表</w:t>
      </w:r>
      <w:bookmarkEnd w:id="80"/>
      <w:bookmarkEnd w:id="81"/>
    </w:p>
    <w:p>
      <w:pPr>
        <w:pStyle w:val="6"/>
        <w:rPr>
          <w:rFonts w:ascii="仿宋" w:hAnsi="仿宋" w:eastAsia="仿宋"/>
        </w:rPr>
      </w:pPr>
      <w:bookmarkStart w:id="82" w:name="_Toc27983"/>
      <w:bookmarkStart w:id="83" w:name="_Toc15396620"/>
      <w:r>
        <w:rPr>
          <w:rFonts w:hint="eastAsia" w:ascii="仿宋" w:hAnsi="仿宋" w:eastAsia="仿宋"/>
          <w:b w:val="0"/>
        </w:rPr>
        <w:t>二、收</w:t>
      </w:r>
      <w:r>
        <w:rPr>
          <w:rStyle w:val="29"/>
          <w:rFonts w:hint="eastAsia" w:ascii="仿宋" w:hAnsi="仿宋" w:eastAsia="仿宋"/>
          <w:b w:val="0"/>
          <w:bCs w:val="0"/>
        </w:rPr>
        <w:t>入决算表</w:t>
      </w:r>
      <w:bookmarkEnd w:id="82"/>
      <w:bookmarkEnd w:id="83"/>
    </w:p>
    <w:p>
      <w:pPr>
        <w:pStyle w:val="6"/>
        <w:rPr>
          <w:rFonts w:ascii="仿宋" w:hAnsi="仿宋" w:eastAsia="仿宋"/>
        </w:rPr>
      </w:pPr>
      <w:bookmarkStart w:id="84" w:name="_Toc15396621"/>
      <w:bookmarkStart w:id="85" w:name="_Toc20212"/>
      <w:r>
        <w:rPr>
          <w:rStyle w:val="29"/>
          <w:rFonts w:hint="eastAsia" w:ascii="仿宋" w:hAnsi="仿宋" w:eastAsia="仿宋"/>
          <w:b w:val="0"/>
          <w:bCs w:val="0"/>
        </w:rPr>
        <w:t>三、</w:t>
      </w:r>
      <w:r>
        <w:rPr>
          <w:rFonts w:hint="eastAsia" w:ascii="仿宋" w:hAnsi="仿宋" w:eastAsia="仿宋"/>
          <w:b w:val="0"/>
        </w:rPr>
        <w:t>支</w:t>
      </w:r>
      <w:r>
        <w:rPr>
          <w:rStyle w:val="29"/>
          <w:rFonts w:hint="eastAsia" w:ascii="仿宋" w:hAnsi="仿宋" w:eastAsia="仿宋"/>
          <w:b w:val="0"/>
          <w:bCs w:val="0"/>
        </w:rPr>
        <w:t>出决算表</w:t>
      </w:r>
      <w:bookmarkEnd w:id="84"/>
      <w:bookmarkEnd w:id="85"/>
    </w:p>
    <w:p>
      <w:pPr>
        <w:pStyle w:val="6"/>
        <w:rPr>
          <w:rFonts w:ascii="仿宋" w:hAnsi="仿宋" w:eastAsia="仿宋"/>
          <w:b w:val="0"/>
        </w:rPr>
      </w:pPr>
      <w:bookmarkStart w:id="86" w:name="_Toc5909"/>
      <w:bookmarkStart w:id="87" w:name="_Toc15396622"/>
      <w:r>
        <w:rPr>
          <w:rStyle w:val="29"/>
          <w:rFonts w:hint="eastAsia" w:ascii="仿宋" w:hAnsi="仿宋" w:eastAsia="仿宋"/>
          <w:b w:val="0"/>
          <w:bCs w:val="0"/>
        </w:rPr>
        <w:t>四、</w:t>
      </w:r>
      <w:r>
        <w:rPr>
          <w:rFonts w:hint="eastAsia" w:ascii="仿宋" w:hAnsi="仿宋" w:eastAsia="仿宋"/>
          <w:b w:val="0"/>
        </w:rPr>
        <w:t>财</w:t>
      </w:r>
      <w:r>
        <w:rPr>
          <w:rStyle w:val="29"/>
          <w:rFonts w:hint="eastAsia" w:ascii="仿宋" w:hAnsi="仿宋" w:eastAsia="仿宋"/>
          <w:b w:val="0"/>
          <w:bCs w:val="0"/>
        </w:rPr>
        <w:t>政拨款收入支出决算总表</w:t>
      </w:r>
      <w:bookmarkEnd w:id="86"/>
      <w:bookmarkEnd w:id="87"/>
    </w:p>
    <w:p>
      <w:pPr>
        <w:pStyle w:val="6"/>
        <w:rPr>
          <w:rStyle w:val="29"/>
          <w:rFonts w:ascii="仿宋" w:hAnsi="仿宋" w:eastAsia="仿宋"/>
          <w:b w:val="0"/>
          <w:bCs w:val="0"/>
        </w:rPr>
      </w:pPr>
      <w:bookmarkStart w:id="88" w:name="_Toc31602"/>
      <w:bookmarkStart w:id="89" w:name="_Toc15396623"/>
      <w:r>
        <w:rPr>
          <w:rStyle w:val="29"/>
          <w:rFonts w:hint="eastAsia" w:ascii="仿宋" w:hAnsi="仿宋" w:eastAsia="仿宋"/>
          <w:b w:val="0"/>
          <w:bCs w:val="0"/>
        </w:rPr>
        <w:t>五、</w:t>
      </w:r>
      <w:r>
        <w:rPr>
          <w:rFonts w:hint="eastAsia" w:ascii="仿宋" w:hAnsi="仿宋" w:eastAsia="仿宋"/>
          <w:b w:val="0"/>
        </w:rPr>
        <w:t>财</w:t>
      </w:r>
      <w:r>
        <w:rPr>
          <w:rStyle w:val="29"/>
          <w:rFonts w:hint="eastAsia" w:ascii="仿宋" w:hAnsi="仿宋" w:eastAsia="仿宋"/>
          <w:b w:val="0"/>
          <w:bCs w:val="0"/>
        </w:rPr>
        <w:t>政拨款支出决算明细表</w:t>
      </w:r>
      <w:bookmarkEnd w:id="88"/>
      <w:bookmarkEnd w:id="89"/>
      <w:bookmarkStart w:id="90" w:name="_Toc15396624"/>
    </w:p>
    <w:p>
      <w:pPr>
        <w:pStyle w:val="6"/>
        <w:rPr>
          <w:rFonts w:ascii="仿宋" w:hAnsi="仿宋" w:eastAsia="仿宋"/>
        </w:rPr>
      </w:pPr>
      <w:bookmarkStart w:id="91" w:name="_Toc19533"/>
      <w:r>
        <w:rPr>
          <w:rStyle w:val="29"/>
          <w:rFonts w:hint="eastAsia" w:ascii="仿宋" w:hAnsi="仿宋" w:eastAsia="仿宋"/>
          <w:b w:val="0"/>
          <w:bCs w:val="0"/>
        </w:rPr>
        <w:t>六、</w:t>
      </w:r>
      <w:r>
        <w:rPr>
          <w:rFonts w:hint="eastAsia" w:ascii="仿宋" w:hAnsi="仿宋" w:eastAsia="仿宋"/>
          <w:b w:val="0"/>
        </w:rPr>
        <w:t>一</w:t>
      </w:r>
      <w:r>
        <w:rPr>
          <w:rStyle w:val="29"/>
          <w:rFonts w:hint="eastAsia" w:ascii="仿宋" w:hAnsi="仿宋" w:eastAsia="仿宋"/>
          <w:b w:val="0"/>
          <w:bCs w:val="0"/>
        </w:rPr>
        <w:t>般公共预算财政拨款支出决算表</w:t>
      </w:r>
      <w:bookmarkEnd w:id="90"/>
      <w:bookmarkEnd w:id="91"/>
    </w:p>
    <w:p>
      <w:pPr>
        <w:pStyle w:val="6"/>
        <w:rPr>
          <w:rFonts w:ascii="仿宋" w:hAnsi="仿宋" w:eastAsia="仿宋"/>
        </w:rPr>
      </w:pPr>
      <w:bookmarkStart w:id="92" w:name="_Toc15396625"/>
      <w:bookmarkStart w:id="93" w:name="_Toc855"/>
      <w:r>
        <w:rPr>
          <w:rStyle w:val="29"/>
          <w:rFonts w:hint="eastAsia" w:ascii="仿宋" w:hAnsi="仿宋" w:eastAsia="仿宋"/>
          <w:b w:val="0"/>
          <w:bCs w:val="0"/>
        </w:rPr>
        <w:t>七、</w:t>
      </w:r>
      <w:r>
        <w:rPr>
          <w:rFonts w:hint="eastAsia" w:ascii="仿宋" w:hAnsi="仿宋" w:eastAsia="仿宋"/>
          <w:b w:val="0"/>
        </w:rPr>
        <w:t>一</w:t>
      </w:r>
      <w:r>
        <w:rPr>
          <w:rStyle w:val="29"/>
          <w:rFonts w:hint="eastAsia" w:ascii="仿宋" w:hAnsi="仿宋" w:eastAsia="仿宋"/>
          <w:b w:val="0"/>
          <w:bCs w:val="0"/>
        </w:rPr>
        <w:t>般公共预算财政拨款支出决算明细表</w:t>
      </w:r>
      <w:bookmarkEnd w:id="92"/>
      <w:bookmarkEnd w:id="93"/>
    </w:p>
    <w:p>
      <w:pPr>
        <w:pStyle w:val="6"/>
        <w:rPr>
          <w:rFonts w:ascii="仿宋" w:hAnsi="仿宋" w:eastAsia="仿宋"/>
        </w:rPr>
      </w:pPr>
      <w:bookmarkStart w:id="94" w:name="_Toc14107"/>
      <w:bookmarkStart w:id="95" w:name="_Toc15396626"/>
      <w:r>
        <w:rPr>
          <w:rStyle w:val="29"/>
          <w:rFonts w:hint="eastAsia" w:ascii="仿宋" w:hAnsi="仿宋" w:eastAsia="仿宋"/>
          <w:b w:val="0"/>
          <w:bCs w:val="0"/>
        </w:rPr>
        <w:t>八、</w:t>
      </w:r>
      <w:r>
        <w:rPr>
          <w:rFonts w:hint="eastAsia" w:ascii="仿宋" w:hAnsi="仿宋" w:eastAsia="仿宋"/>
          <w:b w:val="0"/>
        </w:rPr>
        <w:t>一</w:t>
      </w:r>
      <w:r>
        <w:rPr>
          <w:rStyle w:val="29"/>
          <w:rFonts w:hint="eastAsia" w:ascii="仿宋" w:hAnsi="仿宋" w:eastAsia="仿宋"/>
          <w:b w:val="0"/>
          <w:bCs w:val="0"/>
        </w:rPr>
        <w:t>般公共预算财政拨款基本支出决算表</w:t>
      </w:r>
      <w:bookmarkEnd w:id="94"/>
      <w:bookmarkEnd w:id="95"/>
    </w:p>
    <w:p>
      <w:pPr>
        <w:pStyle w:val="6"/>
        <w:rPr>
          <w:rFonts w:ascii="仿宋" w:hAnsi="仿宋" w:eastAsia="仿宋"/>
        </w:rPr>
      </w:pPr>
      <w:bookmarkStart w:id="96" w:name="_Toc20503"/>
      <w:bookmarkStart w:id="97" w:name="_Toc15396627"/>
      <w:r>
        <w:rPr>
          <w:rStyle w:val="29"/>
          <w:rFonts w:hint="eastAsia" w:ascii="仿宋" w:hAnsi="仿宋" w:eastAsia="仿宋"/>
          <w:b w:val="0"/>
          <w:bCs w:val="0"/>
        </w:rPr>
        <w:t>九、</w:t>
      </w:r>
      <w:r>
        <w:rPr>
          <w:rFonts w:hint="eastAsia" w:ascii="仿宋" w:hAnsi="仿宋" w:eastAsia="仿宋"/>
          <w:b w:val="0"/>
        </w:rPr>
        <w:t>一</w:t>
      </w:r>
      <w:r>
        <w:rPr>
          <w:rStyle w:val="29"/>
          <w:rFonts w:hint="eastAsia" w:ascii="仿宋" w:hAnsi="仿宋" w:eastAsia="仿宋"/>
          <w:b w:val="0"/>
          <w:bCs w:val="0"/>
        </w:rPr>
        <w:t>般公共预算财政拨款项目支出决算表</w:t>
      </w:r>
      <w:bookmarkEnd w:id="96"/>
      <w:bookmarkEnd w:id="97"/>
    </w:p>
    <w:p>
      <w:pPr>
        <w:pStyle w:val="6"/>
        <w:rPr>
          <w:rFonts w:ascii="仿宋" w:hAnsi="仿宋" w:eastAsia="仿宋"/>
        </w:rPr>
      </w:pPr>
      <w:bookmarkStart w:id="98" w:name="_Toc15396628"/>
      <w:bookmarkStart w:id="99" w:name="_Toc27516"/>
      <w:r>
        <w:rPr>
          <w:rStyle w:val="29"/>
          <w:rFonts w:hint="eastAsia" w:ascii="仿宋" w:hAnsi="仿宋" w:eastAsia="仿宋"/>
          <w:b w:val="0"/>
          <w:bCs w:val="0"/>
        </w:rPr>
        <w:t>十、</w:t>
      </w:r>
      <w:bookmarkEnd w:id="98"/>
      <w:r>
        <w:rPr>
          <w:rFonts w:hint="eastAsia" w:ascii="仿宋" w:hAnsi="仿宋" w:eastAsia="仿宋"/>
          <w:b w:val="0"/>
        </w:rPr>
        <w:t>政</w:t>
      </w:r>
      <w:r>
        <w:rPr>
          <w:rStyle w:val="29"/>
          <w:rFonts w:hint="eastAsia" w:ascii="仿宋" w:hAnsi="仿宋" w:eastAsia="仿宋"/>
          <w:b w:val="0"/>
          <w:bCs w:val="0"/>
        </w:rPr>
        <w:t>府性基金预算财政拨款收入支出决算表</w:t>
      </w:r>
      <w:bookmarkEnd w:id="99"/>
    </w:p>
    <w:p>
      <w:pPr>
        <w:pStyle w:val="6"/>
        <w:rPr>
          <w:rFonts w:ascii="仿宋" w:hAnsi="仿宋" w:eastAsia="仿宋"/>
        </w:rPr>
      </w:pPr>
      <w:bookmarkStart w:id="100" w:name="_Toc15396629"/>
      <w:bookmarkStart w:id="101" w:name="_Toc7342"/>
      <w:r>
        <w:rPr>
          <w:rStyle w:val="29"/>
          <w:rFonts w:hint="eastAsia" w:ascii="仿宋" w:hAnsi="仿宋" w:eastAsia="仿宋"/>
          <w:b w:val="0"/>
          <w:bCs w:val="0"/>
        </w:rPr>
        <w:t>十一、</w:t>
      </w:r>
      <w:bookmarkEnd w:id="100"/>
      <w:r>
        <w:rPr>
          <w:rFonts w:hint="eastAsia" w:ascii="仿宋" w:hAnsi="仿宋" w:eastAsia="仿宋"/>
          <w:b w:val="0"/>
        </w:rPr>
        <w:t>国</w:t>
      </w:r>
      <w:r>
        <w:rPr>
          <w:rStyle w:val="29"/>
          <w:rFonts w:hint="eastAsia" w:ascii="仿宋" w:hAnsi="仿宋" w:eastAsia="仿宋"/>
          <w:b w:val="0"/>
          <w:bCs w:val="0"/>
        </w:rPr>
        <w:t>有资本经营预算财政拨款收入支出决算表</w:t>
      </w:r>
      <w:bookmarkEnd w:id="101"/>
    </w:p>
    <w:p>
      <w:pPr>
        <w:pStyle w:val="6"/>
        <w:rPr>
          <w:rFonts w:ascii="仿宋" w:hAnsi="仿宋" w:eastAsia="仿宋"/>
        </w:rPr>
      </w:pPr>
      <w:bookmarkStart w:id="102" w:name="_Toc15396630"/>
      <w:bookmarkStart w:id="103" w:name="_Toc7082"/>
      <w:r>
        <w:rPr>
          <w:rStyle w:val="29"/>
          <w:rFonts w:hint="eastAsia" w:ascii="仿宋" w:hAnsi="仿宋" w:eastAsia="仿宋"/>
          <w:b w:val="0"/>
          <w:bCs w:val="0"/>
        </w:rPr>
        <w:t>十二、</w:t>
      </w:r>
      <w:bookmarkEnd w:id="102"/>
      <w:r>
        <w:rPr>
          <w:rStyle w:val="29"/>
          <w:rFonts w:hint="eastAsia" w:ascii="仿宋" w:hAnsi="仿宋" w:eastAsia="仿宋"/>
          <w:b w:val="0"/>
          <w:bCs w:val="0"/>
        </w:rPr>
        <w:t>国有资本经营预算财政拨款支出决算表</w:t>
      </w:r>
      <w:bookmarkEnd w:id="103"/>
    </w:p>
    <w:p>
      <w:pPr>
        <w:pStyle w:val="6"/>
        <w:rPr>
          <w:rFonts w:eastAsia="仿宋"/>
        </w:rPr>
      </w:pPr>
      <w:bookmarkStart w:id="104" w:name="_Toc15396631"/>
      <w:bookmarkStart w:id="105" w:name="_Toc20719"/>
      <w:r>
        <w:rPr>
          <w:rStyle w:val="29"/>
          <w:rFonts w:hint="eastAsia" w:ascii="仿宋" w:hAnsi="仿宋" w:eastAsia="仿宋"/>
          <w:b w:val="0"/>
          <w:bCs w:val="0"/>
        </w:rPr>
        <w:t>十三、</w:t>
      </w:r>
      <w:bookmarkEnd w:id="104"/>
      <w:r>
        <w:rPr>
          <w:rStyle w:val="29"/>
          <w:rFonts w:hint="eastAsia" w:ascii="仿宋" w:hAnsi="仿宋" w:eastAsia="仿宋"/>
          <w:b w:val="0"/>
          <w:bCs w:val="0"/>
        </w:rPr>
        <w:t>财政拨款“三公”经费支出决算表</w:t>
      </w:r>
      <w:bookmarkEnd w:id="105"/>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1"/>
          <w:jc w:val="center"/>
        </w:pPr>
        <w:r>
          <w:fldChar w:fldCharType="begin"/>
        </w:r>
        <w:r>
          <w:instrText xml:space="preserve">PAGE   \* MERGEFORMAT</w:instrText>
        </w:r>
        <w:r>
          <w:fldChar w:fldCharType="separate"/>
        </w:r>
        <w:r>
          <w:rPr>
            <w:lang w:val="zh-CN"/>
          </w:rPr>
          <w:t>15</w:t>
        </w:r>
        <w:r>
          <w:fldChar w:fldCharType="end"/>
        </w:r>
      </w:p>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3818A09A"/>
    <w:multiLevelType w:val="singleLevel"/>
    <w:tmpl w:val="3818A09A"/>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ZDQ0MWIzMzA5MWE5NjhlZmY0NGRhYTVjYWIx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3782A"/>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4272A"/>
    <w:rsid w:val="019D159B"/>
    <w:rsid w:val="02235421"/>
    <w:rsid w:val="02627FC5"/>
    <w:rsid w:val="030D1B07"/>
    <w:rsid w:val="0338607D"/>
    <w:rsid w:val="03DC2831"/>
    <w:rsid w:val="03EF7383"/>
    <w:rsid w:val="04EB6322"/>
    <w:rsid w:val="052B59B6"/>
    <w:rsid w:val="06B47B0B"/>
    <w:rsid w:val="076C2B3D"/>
    <w:rsid w:val="081B5E94"/>
    <w:rsid w:val="08331281"/>
    <w:rsid w:val="089E0931"/>
    <w:rsid w:val="08C8368E"/>
    <w:rsid w:val="09391250"/>
    <w:rsid w:val="0A120221"/>
    <w:rsid w:val="0A2032A3"/>
    <w:rsid w:val="0B8A37D8"/>
    <w:rsid w:val="0D900A62"/>
    <w:rsid w:val="0E290995"/>
    <w:rsid w:val="0E991F00"/>
    <w:rsid w:val="0F5FFB2F"/>
    <w:rsid w:val="0F700C61"/>
    <w:rsid w:val="0FFFCF60"/>
    <w:rsid w:val="10C055FF"/>
    <w:rsid w:val="117A56E4"/>
    <w:rsid w:val="118107EC"/>
    <w:rsid w:val="11D337D5"/>
    <w:rsid w:val="11DD6519"/>
    <w:rsid w:val="11EB6DF4"/>
    <w:rsid w:val="1345032A"/>
    <w:rsid w:val="149547D4"/>
    <w:rsid w:val="14996512"/>
    <w:rsid w:val="1596016B"/>
    <w:rsid w:val="16BB723D"/>
    <w:rsid w:val="171C2D6B"/>
    <w:rsid w:val="17745B06"/>
    <w:rsid w:val="17E603C4"/>
    <w:rsid w:val="18015F3F"/>
    <w:rsid w:val="18846FC8"/>
    <w:rsid w:val="19347CA3"/>
    <w:rsid w:val="19B20433"/>
    <w:rsid w:val="1B902988"/>
    <w:rsid w:val="1BE8440E"/>
    <w:rsid w:val="1C8D7DE8"/>
    <w:rsid w:val="1CAB02C5"/>
    <w:rsid w:val="1D0955B5"/>
    <w:rsid w:val="1D155CEE"/>
    <w:rsid w:val="1D210E88"/>
    <w:rsid w:val="1FDBBF84"/>
    <w:rsid w:val="20E57947"/>
    <w:rsid w:val="20F57F95"/>
    <w:rsid w:val="230B5D5A"/>
    <w:rsid w:val="240371BF"/>
    <w:rsid w:val="240612C9"/>
    <w:rsid w:val="243B7E98"/>
    <w:rsid w:val="246B4DD0"/>
    <w:rsid w:val="25711CC6"/>
    <w:rsid w:val="25C741E6"/>
    <w:rsid w:val="2621539B"/>
    <w:rsid w:val="267E3536"/>
    <w:rsid w:val="26CD2A69"/>
    <w:rsid w:val="2749607E"/>
    <w:rsid w:val="276F80C0"/>
    <w:rsid w:val="27842671"/>
    <w:rsid w:val="28227FAB"/>
    <w:rsid w:val="29602B99"/>
    <w:rsid w:val="29FD04D3"/>
    <w:rsid w:val="2A3A0FBA"/>
    <w:rsid w:val="2A66639F"/>
    <w:rsid w:val="2A9A361B"/>
    <w:rsid w:val="2ABE7A3E"/>
    <w:rsid w:val="2ADF27E6"/>
    <w:rsid w:val="2AFF09B6"/>
    <w:rsid w:val="2B306103"/>
    <w:rsid w:val="2CA17A4F"/>
    <w:rsid w:val="2CA234A8"/>
    <w:rsid w:val="2E3A07E4"/>
    <w:rsid w:val="2EFA178C"/>
    <w:rsid w:val="2EFDF86C"/>
    <w:rsid w:val="2F6D385E"/>
    <w:rsid w:val="2F9D17E1"/>
    <w:rsid w:val="30B46D73"/>
    <w:rsid w:val="319F7F4E"/>
    <w:rsid w:val="31B5545C"/>
    <w:rsid w:val="32C56DD8"/>
    <w:rsid w:val="333A4819"/>
    <w:rsid w:val="356A28F1"/>
    <w:rsid w:val="357C035A"/>
    <w:rsid w:val="368E000D"/>
    <w:rsid w:val="37381F45"/>
    <w:rsid w:val="383D272C"/>
    <w:rsid w:val="38BF03A8"/>
    <w:rsid w:val="38CC1ABE"/>
    <w:rsid w:val="38FD5C8E"/>
    <w:rsid w:val="39AE70AB"/>
    <w:rsid w:val="3A4DCE41"/>
    <w:rsid w:val="3B876123"/>
    <w:rsid w:val="3B9F07E0"/>
    <w:rsid w:val="3BCB56FA"/>
    <w:rsid w:val="3BF3026A"/>
    <w:rsid w:val="3C0C0783"/>
    <w:rsid w:val="3CBB5FB0"/>
    <w:rsid w:val="3CF46DA8"/>
    <w:rsid w:val="3EE7C2F4"/>
    <w:rsid w:val="3F371B56"/>
    <w:rsid w:val="3F792ED8"/>
    <w:rsid w:val="3F9F3A96"/>
    <w:rsid w:val="3FD564DD"/>
    <w:rsid w:val="3FE55BE1"/>
    <w:rsid w:val="3FECA4B2"/>
    <w:rsid w:val="3FF58C48"/>
    <w:rsid w:val="3FFC57A6"/>
    <w:rsid w:val="415668C7"/>
    <w:rsid w:val="41C65B7D"/>
    <w:rsid w:val="42FF6694"/>
    <w:rsid w:val="459F41C9"/>
    <w:rsid w:val="45E938F9"/>
    <w:rsid w:val="471362A9"/>
    <w:rsid w:val="47615582"/>
    <w:rsid w:val="48BF60AB"/>
    <w:rsid w:val="493C27E9"/>
    <w:rsid w:val="496F39ED"/>
    <w:rsid w:val="49FF41D3"/>
    <w:rsid w:val="4BE068DB"/>
    <w:rsid w:val="4BF6002B"/>
    <w:rsid w:val="4BFFC6BE"/>
    <w:rsid w:val="4D922050"/>
    <w:rsid w:val="4DAF7525"/>
    <w:rsid w:val="4E525F5D"/>
    <w:rsid w:val="4ECE2238"/>
    <w:rsid w:val="4F83314B"/>
    <w:rsid w:val="4FB2334F"/>
    <w:rsid w:val="4FF053B2"/>
    <w:rsid w:val="50796DA1"/>
    <w:rsid w:val="514276EF"/>
    <w:rsid w:val="51DB4B86"/>
    <w:rsid w:val="51E564AC"/>
    <w:rsid w:val="51F64DB0"/>
    <w:rsid w:val="52295F56"/>
    <w:rsid w:val="525A1FA9"/>
    <w:rsid w:val="528C646B"/>
    <w:rsid w:val="53250778"/>
    <w:rsid w:val="53E27337"/>
    <w:rsid w:val="55333C3E"/>
    <w:rsid w:val="55380445"/>
    <w:rsid w:val="55AD491E"/>
    <w:rsid w:val="57416F33"/>
    <w:rsid w:val="5A0009F6"/>
    <w:rsid w:val="5B867F38"/>
    <w:rsid w:val="5BA85EEE"/>
    <w:rsid w:val="5C3C3006"/>
    <w:rsid w:val="5CE95047"/>
    <w:rsid w:val="5D0403A9"/>
    <w:rsid w:val="5D277664"/>
    <w:rsid w:val="5D8B5480"/>
    <w:rsid w:val="5DEE5DA8"/>
    <w:rsid w:val="5E79776A"/>
    <w:rsid w:val="5EF23992"/>
    <w:rsid w:val="5F67802D"/>
    <w:rsid w:val="5F7DC4F2"/>
    <w:rsid w:val="5F8A4F88"/>
    <w:rsid w:val="5FB36814"/>
    <w:rsid w:val="5FBB8E56"/>
    <w:rsid w:val="5FFB5535"/>
    <w:rsid w:val="60DD09F9"/>
    <w:rsid w:val="61C0239B"/>
    <w:rsid w:val="63014E7B"/>
    <w:rsid w:val="63220C33"/>
    <w:rsid w:val="63CC5849"/>
    <w:rsid w:val="64CA39A1"/>
    <w:rsid w:val="66BC6E48"/>
    <w:rsid w:val="673A67EA"/>
    <w:rsid w:val="68105548"/>
    <w:rsid w:val="6827516E"/>
    <w:rsid w:val="68805BE7"/>
    <w:rsid w:val="69630ADE"/>
    <w:rsid w:val="69BD5F13"/>
    <w:rsid w:val="69F71B66"/>
    <w:rsid w:val="69FB0B4B"/>
    <w:rsid w:val="6B553CEA"/>
    <w:rsid w:val="6BFFE1FB"/>
    <w:rsid w:val="6C4A05C8"/>
    <w:rsid w:val="6CB17C26"/>
    <w:rsid w:val="6CE04AAC"/>
    <w:rsid w:val="6D3B1A89"/>
    <w:rsid w:val="6DB7D8A3"/>
    <w:rsid w:val="6EC78701"/>
    <w:rsid w:val="6F441619"/>
    <w:rsid w:val="6F7A5481"/>
    <w:rsid w:val="6F8859B0"/>
    <w:rsid w:val="6FFE07A9"/>
    <w:rsid w:val="70D005A5"/>
    <w:rsid w:val="70D13FCA"/>
    <w:rsid w:val="71BF4EC2"/>
    <w:rsid w:val="71C80B3D"/>
    <w:rsid w:val="721F3278"/>
    <w:rsid w:val="7248490E"/>
    <w:rsid w:val="72734D90"/>
    <w:rsid w:val="730E33D2"/>
    <w:rsid w:val="737962E8"/>
    <w:rsid w:val="738B5CBC"/>
    <w:rsid w:val="73E75B71"/>
    <w:rsid w:val="740D6FB6"/>
    <w:rsid w:val="7412278C"/>
    <w:rsid w:val="743A72BC"/>
    <w:rsid w:val="74BC6591"/>
    <w:rsid w:val="74C4753B"/>
    <w:rsid w:val="75DDCDA9"/>
    <w:rsid w:val="75FF44B1"/>
    <w:rsid w:val="77670518"/>
    <w:rsid w:val="777FA627"/>
    <w:rsid w:val="77DF1B5F"/>
    <w:rsid w:val="77EF2D9D"/>
    <w:rsid w:val="79E7B28D"/>
    <w:rsid w:val="7A6F196A"/>
    <w:rsid w:val="7A8D259F"/>
    <w:rsid w:val="7AB77B60"/>
    <w:rsid w:val="7ACFF0C2"/>
    <w:rsid w:val="7AFB9108"/>
    <w:rsid w:val="7B01255E"/>
    <w:rsid w:val="7BD5340C"/>
    <w:rsid w:val="7BFB19D2"/>
    <w:rsid w:val="7BFD1750"/>
    <w:rsid w:val="7BFDAA1B"/>
    <w:rsid w:val="7CA57390"/>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qFormat/>
    <w:uiPriority w:val="0"/>
    <w:pPr>
      <w:spacing w:after="120"/>
      <w:ind w:left="200" w:leftChars="200"/>
    </w:pPr>
    <w:rPr>
      <w:rFonts w:ascii="仿宋_GB2312"/>
      <w:szCs w:val="32"/>
    </w:rPr>
  </w:style>
  <w:style w:type="paragraph" w:styleId="8">
    <w:name w:val="Body Text"/>
    <w:basedOn w:val="1"/>
    <w:link w:val="25"/>
    <w:qFormat/>
    <w:uiPriority w:val="99"/>
    <w:pPr>
      <w:spacing w:beforeLines="30"/>
    </w:pPr>
    <w:rPr>
      <w:rFonts w:ascii="仿宋_GB2312" w:eastAsia="仿宋_GB2312"/>
      <w:kern w:val="0"/>
      <w:sz w:val="30"/>
    </w:r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1"/>
    <w:semiHidden/>
    <w:unhideWhenUsed/>
    <w:qFormat/>
    <w:uiPriority w:val="99"/>
    <w:rPr>
      <w:sz w:val="18"/>
      <w:szCs w:val="18"/>
    </w:rPr>
  </w:style>
  <w:style w:type="paragraph" w:styleId="11">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字符"/>
    <w:link w:val="12"/>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字符"/>
    <w:link w:val="11"/>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字符"/>
    <w:link w:val="8"/>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字符"/>
    <w:basedOn w:val="16"/>
    <w:link w:val="5"/>
    <w:qFormat/>
    <w:uiPriority w:val="9"/>
    <w:rPr>
      <w:rFonts w:ascii="Times New Roman" w:hAnsi="Times New Roman"/>
      <w:b/>
      <w:bCs/>
      <w:kern w:val="44"/>
      <w:sz w:val="44"/>
      <w:szCs w:val="44"/>
    </w:rPr>
  </w:style>
  <w:style w:type="character" w:customStyle="1" w:styleId="29">
    <w:name w:val="标题 2 字符"/>
    <w:basedOn w:val="16"/>
    <w:link w:val="6"/>
    <w:qFormat/>
    <w:uiPriority w:val="9"/>
    <w:rPr>
      <w:rFonts w:asciiTheme="majorHAnsi" w:hAnsiTheme="majorHAnsi" w:eastAsiaTheme="majorEastAsia" w:cstheme="majorBidi"/>
      <w:b/>
      <w:bCs/>
      <w:kern w:val="2"/>
      <w:sz w:val="32"/>
      <w:szCs w:val="32"/>
    </w:rPr>
  </w:style>
  <w:style w:type="paragraph" w:customStyle="1" w:styleId="30">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16"/>
    <w:link w:val="10"/>
    <w:semiHidden/>
    <w:qFormat/>
    <w:uiPriority w:val="99"/>
    <w:rPr>
      <w:rFonts w:ascii="Times New Roman" w:hAnsi="Times New Roman"/>
      <w:kern w:val="2"/>
      <w:sz w:val="18"/>
      <w:szCs w:val="18"/>
    </w:rPr>
  </w:style>
  <w:style w:type="character" w:customStyle="1" w:styleId="32">
    <w:name w:val="标题 3 字符"/>
    <w:basedOn w:val="16"/>
    <w:link w:val="7"/>
    <w:qFormat/>
    <w:uiPriority w:val="9"/>
    <w:rPr>
      <w:rFonts w:ascii="Times New Roman" w:hAnsi="Times New Roman"/>
      <w:b/>
      <w:bCs/>
      <w:kern w:val="2"/>
      <w:sz w:val="32"/>
      <w:szCs w:val="32"/>
    </w:rPr>
  </w:style>
  <w:style w:type="paragraph" w:customStyle="1" w:styleId="33">
    <w:name w:val="TOC 标题2"/>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4">
    <w:name w:val="font71"/>
    <w:basedOn w:val="16"/>
    <w:qFormat/>
    <w:uiPriority w:val="0"/>
    <w:rPr>
      <w:rFonts w:hint="eastAsia" w:ascii="宋体" w:hAnsi="宋体" w:eastAsia="宋体" w:cs="宋体"/>
      <w:color w:val="333333"/>
      <w:sz w:val="18"/>
      <w:szCs w:val="18"/>
      <w:u w:val="none"/>
    </w:rPr>
  </w:style>
  <w:style w:type="character" w:customStyle="1" w:styleId="35">
    <w:name w:val="font61"/>
    <w:basedOn w:val="16"/>
    <w:qFormat/>
    <w:uiPriority w:val="0"/>
    <w:rPr>
      <w:rFonts w:hint="eastAsia" w:ascii="宋体" w:hAnsi="宋体" w:eastAsia="宋体" w:cs="宋体"/>
      <w:color w:val="333333"/>
      <w:sz w:val="18"/>
      <w:szCs w:val="18"/>
      <w:u w:val="none"/>
    </w:rPr>
  </w:style>
  <w:style w:type="paragraph" w:customStyle="1" w:styleId="36">
    <w:name w:val="WPSOffice手动目录 1"/>
    <w:qFormat/>
    <w:uiPriority w:val="0"/>
    <w:pPr>
      <w:ind w:leftChars="0"/>
    </w:pPr>
    <w:rPr>
      <w:rFonts w:asciiTheme="minorHAnsi" w:hAnsiTheme="minorHAnsi" w:eastAsiaTheme="minorEastAsia" w:cstheme="minorBidi"/>
      <w:sz w:val="20"/>
      <w:szCs w:val="20"/>
    </w:rPr>
  </w:style>
  <w:style w:type="paragraph" w:customStyle="1" w:styleId="37">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Sheet1!$B$2:$B$3</c:f>
              <c:numCache>
                <c:formatCode>General</c:formatCode>
                <c:ptCount val="2"/>
                <c:pt idx="0">
                  <c:v>92.51</c:v>
                </c:pt>
                <c:pt idx="1">
                  <c:v>92.51</c:v>
                </c:pt>
              </c:numCache>
            </c:numRef>
          </c:val>
        </c:ser>
        <c:ser>
          <c:idx val="1"/>
          <c:order val="1"/>
          <c:tx>
            <c:strRef>
              <c:f>Sheet1!$C$1</c:f>
              <c:strCache>
                <c:ptCount val="1"/>
                <c:pt idx="0">
                  <c:v>2023年度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98.77</c:v>
                </c:pt>
                <c:pt idx="1">
                  <c:v>98.77</c:v>
                </c:pt>
              </c:numCache>
            </c:numRef>
          </c:val>
        </c:ser>
        <c:dLbls>
          <c:showLegendKey val="0"/>
          <c:showVal val="1"/>
          <c:showCatName val="0"/>
          <c:showSerName val="0"/>
          <c:showPercent val="0"/>
          <c:showBubbleSize val="0"/>
        </c:dLbls>
        <c:gapWidth val="219"/>
        <c:overlap val="-27"/>
        <c:axId val="259509968"/>
        <c:axId val="261034807"/>
      </c:barChart>
      <c:catAx>
        <c:axId val="25950996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61034807"/>
        <c:crosses val="autoZero"/>
        <c:auto val="1"/>
        <c:lblAlgn val="ctr"/>
        <c:lblOffset val="100"/>
        <c:noMultiLvlLbl val="0"/>
      </c:catAx>
      <c:valAx>
        <c:axId val="2610348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金额（万元）</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950996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00" b="1" i="0" u="none" strike="noStrike" kern="1200" baseline="0">
                <a:solidFill>
                  <a:schemeClr val="tx1">
                    <a:lumMod val="65000"/>
                    <a:lumOff val="3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c:v>
                </c:pt>
              </c:strCache>
            </c:strRef>
          </c:cat>
          <c:val>
            <c:numRef>
              <c:f>Sheet1!$B$2</c:f>
              <c:numCache>
                <c:formatCode>0%</c:formatCode>
                <c:ptCount val="1"/>
                <c:pt idx="0">
                  <c:v>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支出决算结构图</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0.7597</c:v>
                </c:pt>
                <c:pt idx="1">
                  <c:v>0.2403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财政拨款收、支决算总计变动情况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2022年度</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Sheet1!$B$2:$B$3</c:f>
              <c:numCache>
                <c:formatCode>General</c:formatCode>
                <c:ptCount val="2"/>
                <c:pt idx="0">
                  <c:v>92.51</c:v>
                </c:pt>
                <c:pt idx="1">
                  <c:v>92.51</c:v>
                </c:pt>
              </c:numCache>
            </c:numRef>
          </c:val>
        </c:ser>
        <c:ser>
          <c:idx val="1"/>
          <c:order val="1"/>
          <c:tx>
            <c:strRef>
              <c:f>Sheet1!$C$1</c:f>
              <c:strCache>
                <c:ptCount val="1"/>
                <c:pt idx="0">
                  <c:v>2023年度</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收入</c:v>
                </c:pt>
                <c:pt idx="1">
                  <c:v>支出</c:v>
                </c:pt>
              </c:strCache>
            </c:strRef>
          </c:cat>
          <c:val>
            <c:numRef>
              <c:f>Sheet1!$C$2:$C$3</c:f>
              <c:numCache>
                <c:formatCode>General</c:formatCode>
                <c:ptCount val="2"/>
                <c:pt idx="0">
                  <c:v>98.77</c:v>
                </c:pt>
                <c:pt idx="1">
                  <c:v>98.77</c:v>
                </c:pt>
              </c:numCache>
            </c:numRef>
          </c:val>
        </c:ser>
        <c:dLbls>
          <c:showLegendKey val="0"/>
          <c:showVal val="1"/>
          <c:showCatName val="0"/>
          <c:showSerName val="0"/>
          <c:showPercent val="0"/>
          <c:showBubbleSize val="0"/>
        </c:dLbls>
        <c:gapWidth val="219"/>
        <c:overlap val="-27"/>
        <c:axId val="882682594"/>
        <c:axId val="537411469"/>
      </c:barChart>
      <c:catAx>
        <c:axId val="88268259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37411469"/>
        <c:crosses val="autoZero"/>
        <c:auto val="1"/>
        <c:lblAlgn val="ctr"/>
        <c:lblOffset val="100"/>
        <c:noMultiLvlLbl val="0"/>
      </c:catAx>
      <c:valAx>
        <c:axId val="53741146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金额（万元）</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8268259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 一般公共预算财政拨款支出决算变动情况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2022年度</c:v>
                </c:pt>
                <c:pt idx="1">
                  <c:v>2023年度</c:v>
                </c:pt>
              </c:strCache>
            </c:strRef>
          </c:cat>
          <c:val>
            <c:numRef>
              <c:f>Sheet1!$B$2:$B$3</c:f>
              <c:numCache>
                <c:formatCode>General</c:formatCode>
                <c:ptCount val="2"/>
                <c:pt idx="0">
                  <c:v>92.51</c:v>
                </c:pt>
                <c:pt idx="1">
                  <c:v>98.77</c:v>
                </c:pt>
              </c:numCache>
            </c:numRef>
          </c:val>
        </c:ser>
        <c:dLbls>
          <c:showLegendKey val="0"/>
          <c:showVal val="1"/>
          <c:showCatName val="0"/>
          <c:showSerName val="0"/>
          <c:showPercent val="0"/>
          <c:showBubbleSize val="0"/>
        </c:dLbls>
        <c:gapWidth val="219"/>
        <c:overlap val="-27"/>
        <c:axId val="855644940"/>
        <c:axId val="496757060"/>
      </c:barChart>
      <c:catAx>
        <c:axId val="85564494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96757060"/>
        <c:crosses val="autoZero"/>
        <c:auto val="1"/>
        <c:lblAlgn val="ctr"/>
        <c:lblOffset val="100"/>
        <c:noMultiLvlLbl val="0"/>
      </c:catAx>
      <c:valAx>
        <c:axId val="4967570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5564494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文化旅游体育与传媒支出</c:v>
                </c:pt>
                <c:pt idx="1">
                  <c:v>社会保障和就业支出</c:v>
                </c:pt>
                <c:pt idx="2">
                  <c:v>卫生健康支出</c:v>
                </c:pt>
                <c:pt idx="3">
                  <c:v>住房保障支出</c:v>
                </c:pt>
              </c:strCache>
            </c:strRef>
          </c:cat>
          <c:val>
            <c:numRef>
              <c:f>Sheet1!$B$2:$B$5</c:f>
              <c:numCache>
                <c:formatCode>0.00%</c:formatCode>
                <c:ptCount val="4"/>
                <c:pt idx="0">
                  <c:v>0.791</c:v>
                </c:pt>
                <c:pt idx="1">
                  <c:v>0.159</c:v>
                </c:pt>
                <c:pt idx="2">
                  <c:v>0.023</c:v>
                </c:pt>
                <c:pt idx="3">
                  <c:v>0.027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三公”经费财政拨款支出结构</a:t>
            </a:r>
            <a:endParaRPr lang="zh-CN" altLang="en-US"/>
          </a:p>
        </c:rich>
      </c:tx>
      <c:layout/>
      <c:overlay val="0"/>
    </c:title>
    <c:autoTitleDeleted val="0"/>
    <c:plotArea>
      <c:layout>
        <c:manualLayout>
          <c:layoutTarget val="inner"/>
          <c:xMode val="edge"/>
          <c:yMode val="edge"/>
          <c:x val="0.328781277340333"/>
          <c:y val="0.357651283172937"/>
          <c:w val="0.326604330708661"/>
          <c:h val="0.544340551181102"/>
        </c:manualLayout>
      </c:layout>
      <c:pieChart>
        <c:varyColors val="1"/>
        <c:ser>
          <c:idx val="0"/>
          <c:order val="0"/>
          <c:explosion val="0"/>
          <c:dPt>
            <c:idx val="0"/>
            <c:bubble3D val="0"/>
          </c:dPt>
          <c:dPt>
            <c:idx val="1"/>
            <c:bubble3D val="0"/>
          </c:dPt>
          <c:dPt>
            <c:idx val="2"/>
            <c:bubble3D val="0"/>
          </c:dPt>
          <c:dLbls>
            <c:dLbl>
              <c:idx val="0"/>
              <c:layout>
                <c:manualLayout>
                  <c:x val="-0.0895843175853018"/>
                  <c:y val="0.015527486147564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138542650918635"/>
                  <c:y val="0.25974044911052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76735126859143"/>
                  <c:y val="0.023629337999416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决算公开成品!$N$117:$P$117</c:f>
              <c:strCache>
                <c:ptCount val="3"/>
                <c:pt idx="0">
                  <c:v>因公出国（境）费用</c:v>
                </c:pt>
                <c:pt idx="1">
                  <c:v>公务用车购置及运行维护费</c:v>
                </c:pt>
                <c:pt idx="2">
                  <c:v>公务接待费</c:v>
                </c:pt>
              </c:strCache>
            </c:strRef>
          </c:cat>
          <c:val>
            <c:numRef>
              <c:f>决算公开成品!$N$118:$P$118</c:f>
              <c:numCache>
                <c:formatCode>General</c:formatCode>
                <c:ptCount val="3"/>
                <c:pt idx="0">
                  <c:v>0</c:v>
                </c:pt>
                <c:pt idx="1">
                  <c:v>0</c:v>
                </c:pt>
                <c:pt idx="2">
                  <c:v>0</c:v>
                </c:pt>
              </c:numCache>
            </c:numRef>
          </c:val>
        </c:ser>
        <c:dLbls>
          <c:showLegendKey val="0"/>
          <c:showVal val="0"/>
          <c:showCatName val="0"/>
          <c:showSerName val="0"/>
          <c:showPercent val="1"/>
          <c:showBubbleSize val="0"/>
          <c:showLeaderLines val="1"/>
        </c:dLbls>
        <c:firstSliceAng val="0"/>
      </c:pieChart>
    </c:plotArea>
    <c:legend>
      <c:legendPos val="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20</Pages>
  <Words>6842</Words>
  <Characters>7624</Characters>
  <Lines>54</Lines>
  <Paragraphs>15</Paragraphs>
  <TotalTime>2</TotalTime>
  <ScaleCrop>false</ScaleCrop>
  <LinksUpToDate>false</LinksUpToDate>
  <CharactersWithSpaces>7694</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五通桥区文体旅游局</cp:lastModifiedBy>
  <cp:lastPrinted>2024-10-22T03:47:00Z</cp:lastPrinted>
  <dcterms:modified xsi:type="dcterms:W3CDTF">2024-10-28T02:42:36Z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710D34B8A93B456B9E804DFA8A503E64_13</vt:lpwstr>
  </property>
</Properties>
</file>