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Arial Unicode MS" w:hAnsi="宋体" w:eastAsia="Arial Unicode MS"/>
          <w:szCs w:val="21"/>
        </w:rPr>
      </w:pPr>
      <w:bookmarkStart w:id="0" w:name="_Toc15306267"/>
      <w:bookmarkStart w:id="150" w:name="_GoBack"/>
      <w:bookmarkEnd w:id="150"/>
    </w:p>
    <w:p>
      <w:pPr>
        <w:pStyle w:val="5"/>
        <w:spacing w:before="93"/>
      </w:pPr>
    </w:p>
    <w:p>
      <w:pPr>
        <w:spacing w:line="600" w:lineRule="exact"/>
        <w:jc w:val="center"/>
        <w:outlineLvl w:val="9"/>
        <w:rPr>
          <w:rFonts w:ascii="Arial Unicode MS" w:hAnsi="宋体" w:eastAsia="Arial Unicode MS"/>
          <w:sz w:val="72"/>
          <w:szCs w:val="72"/>
        </w:rPr>
      </w:pPr>
    </w:p>
    <w:p>
      <w:pPr>
        <w:spacing w:line="600" w:lineRule="exact"/>
        <w:jc w:val="center"/>
        <w:outlineLvl w:val="9"/>
        <w:rPr>
          <w:rFonts w:ascii="Arial Unicode MS" w:hAnsi="宋体" w:eastAsia="Arial Unicode MS"/>
          <w:sz w:val="72"/>
          <w:szCs w:val="72"/>
        </w:rPr>
      </w:pPr>
    </w:p>
    <w:p>
      <w:pPr>
        <w:adjustRightInd w:val="0"/>
        <w:snapToGrid w:val="0"/>
        <w:spacing w:line="360" w:lineRule="auto"/>
        <w:jc w:val="center"/>
        <w:outlineLvl w:val="9"/>
        <w:rPr>
          <w:rFonts w:ascii="Arial Unicode MS" w:hAnsi="Arial Unicode MS" w:eastAsia="Arial Unicode MS" w:cs="Arial Unicode MS"/>
          <w:sz w:val="72"/>
          <w:szCs w:val="72"/>
        </w:rPr>
      </w:pPr>
      <w:bookmarkStart w:id="1" w:name="_Toc15377425"/>
      <w:bookmarkStart w:id="2" w:name="_Toc1714"/>
      <w:bookmarkStart w:id="3" w:name="_Toc15396475"/>
      <w:bookmarkStart w:id="4" w:name="_Toc15378441"/>
      <w:bookmarkStart w:id="5" w:name="_Toc15396597"/>
      <w:bookmarkStart w:id="6" w:name="_Toc15377193"/>
      <w:r>
        <w:rPr>
          <w:rFonts w:hint="eastAsia" w:ascii="Arial Unicode MS" w:hAnsi="Arial Unicode MS" w:eastAsia="Arial Unicode MS" w:cs="Arial Unicode MS"/>
          <w:sz w:val="72"/>
          <w:szCs w:val="72"/>
        </w:rPr>
        <w:t>2023年度</w:t>
      </w:r>
      <w:bookmarkEnd w:id="1"/>
      <w:bookmarkEnd w:id="2"/>
      <w:bookmarkEnd w:id="3"/>
      <w:bookmarkEnd w:id="4"/>
      <w:bookmarkEnd w:id="5"/>
      <w:bookmarkEnd w:id="6"/>
    </w:p>
    <w:p>
      <w:pPr>
        <w:adjustRightInd w:val="0"/>
        <w:snapToGrid w:val="0"/>
        <w:spacing w:line="360" w:lineRule="auto"/>
        <w:jc w:val="center"/>
        <w:outlineLvl w:val="9"/>
        <w:rPr>
          <w:rFonts w:ascii="Arial Unicode MS" w:hAnsi="Arial Unicode MS" w:eastAsia="Arial Unicode MS" w:cs="Arial Unicode MS"/>
          <w:sz w:val="72"/>
          <w:szCs w:val="72"/>
        </w:rPr>
      </w:pPr>
      <w:bookmarkStart w:id="7" w:name="_Toc17465"/>
      <w:bookmarkStart w:id="8" w:name="_Toc15377194"/>
      <w:bookmarkStart w:id="9" w:name="_Toc15377426"/>
      <w:bookmarkStart w:id="10" w:name="_Toc15396476"/>
      <w:bookmarkStart w:id="11" w:name="_Toc15378442"/>
      <w:bookmarkStart w:id="12" w:name="_Toc15396598"/>
      <w:r>
        <w:rPr>
          <w:rFonts w:hint="eastAsia" w:ascii="Arial Unicode MS" w:hAnsi="Arial Unicode MS" w:eastAsia="Arial Unicode MS" w:cs="Arial Unicode MS"/>
          <w:sz w:val="72"/>
          <w:szCs w:val="72"/>
        </w:rPr>
        <w:t>四川省</w:t>
      </w:r>
      <w:bookmarkEnd w:id="0"/>
      <w:bookmarkStart w:id="13" w:name="_Toc15306268"/>
      <w:r>
        <w:rPr>
          <w:rFonts w:hint="eastAsia" w:ascii="Arial Unicode MS" w:hAnsi="Arial Unicode MS" w:eastAsia="Arial Unicode MS" w:cs="Arial Unicode MS"/>
          <w:sz w:val="72"/>
          <w:szCs w:val="72"/>
          <w:lang w:val="en-US" w:eastAsia="zh-CN"/>
        </w:rPr>
        <w:t>五通桥区</w:t>
      </w:r>
      <w:r>
        <w:rPr>
          <w:rFonts w:hint="eastAsia" w:ascii="Arial Unicode MS" w:hAnsi="Arial Unicode MS" w:eastAsia="Arial Unicode MS" w:cs="Arial Unicode MS"/>
          <w:sz w:val="72"/>
          <w:szCs w:val="72"/>
        </w:rPr>
        <w:t>单位决算</w:t>
      </w:r>
      <w:bookmarkEnd w:id="7"/>
      <w:bookmarkEnd w:id="8"/>
      <w:bookmarkEnd w:id="9"/>
      <w:bookmarkEnd w:id="10"/>
      <w:bookmarkEnd w:id="11"/>
      <w:bookmarkEnd w:id="12"/>
      <w:bookmarkEnd w:id="13"/>
    </w:p>
    <w:p>
      <w:pPr>
        <w:widowControl/>
        <w:jc w:val="center"/>
        <w:rPr>
          <w:rFonts w:ascii="黑体" w:hAnsi="黑体" w:eastAsia="黑体" w:cstheme="minorBidi"/>
          <w:sz w:val="28"/>
          <w:szCs w:val="28"/>
        </w:rPr>
      </w:pPr>
      <w:r>
        <w:rPr>
          <w:rFonts w:ascii="Arial Unicode MS" w:hAnsi="宋体" w:eastAsia="Arial Unicode MS"/>
          <w:sz w:val="36"/>
          <w:szCs w:val="36"/>
        </w:rPr>
        <w:br w:type="page"/>
      </w:r>
    </w:p>
    <w:sdt>
      <w:sdtPr>
        <w:rPr>
          <w:rFonts w:ascii="宋体" w:hAnsi="宋体" w:eastAsia="宋体" w:cs="Times New Roman"/>
          <w:kern w:val="2"/>
          <w:sz w:val="21"/>
          <w:szCs w:val="24"/>
          <w:lang w:val="en-US" w:eastAsia="zh-CN" w:bidi="ar-SA"/>
        </w:rPr>
        <w:id w:val="14745933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pStyle w:val="11"/>
            <w:rPr>
              <w:rFonts w:ascii="宋体" w:hAnsi="宋体" w:eastAsia="宋体" w:cs="Times New Roman"/>
              <w:kern w:val="2"/>
              <w:sz w:val="21"/>
              <w:szCs w:val="24"/>
              <w:lang w:val="en-US" w:eastAsia="zh-CN" w:bidi="ar-SA"/>
            </w:rPr>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21</w:t>
          </w:r>
          <w:r>
            <w:rPr>
              <w:rFonts w:hint="eastAsia"/>
            </w:rPr>
            <w:t>日</w:t>
          </w: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pPr>
            <w:pStyle w:val="11"/>
            <w:tabs>
              <w:tab w:val="right" w:leader="dot" w:pos="8306"/>
              <w:tab w:val="clear" w:pos="8296"/>
            </w:tabs>
            <w:rPr>
              <w:rFonts w:hint="eastAsia" w:ascii="黑体" w:hAnsi="黑体" w:eastAsia="黑体" w:cs="黑体"/>
              <w:sz w:val="24"/>
              <w:szCs w:val="24"/>
            </w:rPr>
          </w:pPr>
          <w:r>
            <w:fldChar w:fldCharType="begin"/>
          </w:r>
          <w:r>
            <w:instrText xml:space="preserve">TOC \o "1-3" \h \u </w:instrText>
          </w:r>
          <w: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_Toc23160 </w:instrText>
          </w:r>
          <w:r>
            <w:rPr>
              <w:rFonts w:hint="eastAsia" w:ascii="黑体" w:hAnsi="黑体" w:eastAsia="黑体" w:cs="黑体"/>
              <w:sz w:val="24"/>
              <w:szCs w:val="24"/>
            </w:rPr>
            <w:fldChar w:fldCharType="separate"/>
          </w:r>
          <w:r>
            <w:rPr>
              <w:rFonts w:hint="eastAsia" w:ascii="黑体" w:hAnsi="黑体" w:eastAsia="黑体" w:cs="黑体"/>
              <w:sz w:val="24"/>
              <w:szCs w:val="24"/>
            </w:rPr>
            <w:t>第一部分 单位</w:t>
          </w:r>
          <w:r>
            <w:rPr>
              <w:rFonts w:hint="eastAsia" w:ascii="黑体" w:hAnsi="黑体" w:eastAsia="黑体" w:cs="黑体"/>
              <w:bCs w:val="0"/>
              <w:sz w:val="24"/>
              <w:szCs w:val="24"/>
            </w:rPr>
            <w:t>概况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_Toc23160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_Toc18955 </w:instrText>
          </w:r>
          <w:r>
            <w:rPr>
              <w:rFonts w:hint="eastAsia" w:ascii="黑体" w:hAnsi="黑体" w:eastAsia="黑体" w:cs="黑体"/>
              <w:sz w:val="24"/>
              <w:szCs w:val="24"/>
            </w:rPr>
            <w:fldChar w:fldCharType="separate"/>
          </w:r>
          <w:r>
            <w:rPr>
              <w:rFonts w:hint="eastAsia" w:ascii="黑体" w:hAnsi="黑体" w:eastAsia="黑体" w:cs="黑体"/>
              <w:bCs w:val="0"/>
              <w:sz w:val="24"/>
              <w:szCs w:val="24"/>
            </w:rPr>
            <w:t>一、 主要职责</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_Toc18955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_Toc6371 </w:instrText>
          </w:r>
          <w:r>
            <w:rPr>
              <w:rFonts w:hint="eastAsia" w:ascii="黑体" w:hAnsi="黑体" w:eastAsia="黑体" w:cs="黑体"/>
              <w:sz w:val="24"/>
              <w:szCs w:val="24"/>
            </w:rPr>
            <w:fldChar w:fldCharType="separate"/>
          </w:r>
          <w:r>
            <w:rPr>
              <w:rFonts w:hint="eastAsia" w:ascii="黑体" w:hAnsi="黑体" w:eastAsia="黑体" w:cs="黑体"/>
              <w:sz w:val="24"/>
              <w:szCs w:val="24"/>
            </w:rPr>
            <w:t>二、机构设置</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_Toc6371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1"/>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_Toc27796 </w:instrText>
          </w:r>
          <w:r>
            <w:rPr>
              <w:rFonts w:hint="eastAsia" w:ascii="黑体" w:hAnsi="黑体" w:eastAsia="黑体" w:cs="黑体"/>
              <w:sz w:val="24"/>
              <w:szCs w:val="24"/>
            </w:rPr>
            <w:fldChar w:fldCharType="separate"/>
          </w:r>
          <w:r>
            <w:rPr>
              <w:rFonts w:hint="eastAsia" w:ascii="黑体" w:hAnsi="黑体" w:eastAsia="黑体" w:cs="黑体"/>
              <w:sz w:val="24"/>
              <w:szCs w:val="24"/>
            </w:rPr>
            <w:t>第二部分 2023年度</w:t>
          </w:r>
          <w:r>
            <w:rPr>
              <w:rFonts w:hint="eastAsia" w:ascii="黑体" w:hAnsi="黑体" w:eastAsia="黑体" w:cs="黑体"/>
              <w:bCs/>
              <w:sz w:val="24"/>
              <w:szCs w:val="24"/>
            </w:rPr>
            <w:t>单位决算情况说明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_Toc27796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_Toc9727 </w:instrText>
          </w:r>
          <w:r>
            <w:rPr>
              <w:rFonts w:hint="eastAsia" w:ascii="黑体" w:hAnsi="黑体" w:eastAsia="黑体" w:cs="黑体"/>
              <w:sz w:val="24"/>
              <w:szCs w:val="24"/>
            </w:rPr>
            <w:fldChar w:fldCharType="separate"/>
          </w:r>
          <w:r>
            <w:rPr>
              <w:rFonts w:hint="eastAsia" w:ascii="黑体" w:hAnsi="黑体" w:eastAsia="黑体" w:cs="黑体"/>
              <w:sz w:val="24"/>
              <w:szCs w:val="24"/>
            </w:rPr>
            <w:t>一、 收入支出决算总体情况说明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_Toc9727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_Toc15543 </w:instrText>
          </w:r>
          <w:r>
            <w:rPr>
              <w:rFonts w:hint="eastAsia" w:ascii="黑体" w:hAnsi="黑体" w:eastAsia="黑体" w:cs="黑体"/>
              <w:sz w:val="24"/>
              <w:szCs w:val="24"/>
            </w:rPr>
            <w:fldChar w:fldCharType="separate"/>
          </w:r>
          <w:r>
            <w:rPr>
              <w:rFonts w:hint="eastAsia" w:ascii="黑体" w:hAnsi="黑体" w:eastAsia="黑体" w:cs="黑体"/>
              <w:sz w:val="24"/>
              <w:szCs w:val="24"/>
            </w:rPr>
            <w:t>二、 收入决算情况说明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_Toc15543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_Toc20055 </w:instrText>
          </w:r>
          <w:r>
            <w:rPr>
              <w:rFonts w:hint="eastAsia" w:ascii="黑体" w:hAnsi="黑体" w:eastAsia="黑体" w:cs="黑体"/>
              <w:sz w:val="24"/>
              <w:szCs w:val="24"/>
            </w:rPr>
            <w:fldChar w:fldCharType="separate"/>
          </w:r>
          <w:r>
            <w:rPr>
              <w:rFonts w:hint="eastAsia" w:ascii="黑体" w:hAnsi="黑体" w:eastAsia="黑体" w:cs="黑体"/>
              <w:sz w:val="24"/>
              <w:szCs w:val="24"/>
            </w:rPr>
            <w:t>三、 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_Toc20055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_Toc31758 </w:instrText>
          </w:r>
          <w:r>
            <w:rPr>
              <w:rFonts w:hint="eastAsia" w:ascii="黑体" w:hAnsi="黑体" w:eastAsia="黑体" w:cs="黑体"/>
              <w:sz w:val="24"/>
              <w:szCs w:val="24"/>
            </w:rPr>
            <w:fldChar w:fldCharType="separate"/>
          </w:r>
          <w:r>
            <w:rPr>
              <w:rFonts w:hint="eastAsia" w:ascii="黑体" w:hAnsi="黑体" w:eastAsia="黑体" w:cs="黑体"/>
              <w:sz w:val="24"/>
              <w:szCs w:val="24"/>
            </w:rPr>
            <w:t>四、财政拨款收入支出决算总体情况说明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_Toc31758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_Toc24404 </w:instrText>
          </w:r>
          <w:r>
            <w:rPr>
              <w:rFonts w:hint="eastAsia" w:ascii="黑体" w:hAnsi="黑体" w:eastAsia="黑体" w:cs="黑体"/>
              <w:sz w:val="24"/>
              <w:szCs w:val="24"/>
            </w:rPr>
            <w:fldChar w:fldCharType="separate"/>
          </w:r>
          <w:r>
            <w:rPr>
              <w:rFonts w:hint="eastAsia" w:ascii="黑体" w:hAnsi="黑体" w:eastAsia="黑体" w:cs="黑体"/>
              <w:sz w:val="24"/>
              <w:szCs w:val="24"/>
            </w:rPr>
            <w:t>五、一般公共预算财政拨款支出决算情况说明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_Toc24404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_Toc29618 </w:instrText>
          </w:r>
          <w:r>
            <w:rPr>
              <w:rFonts w:hint="eastAsia" w:ascii="黑体" w:hAnsi="黑体" w:eastAsia="黑体" w:cs="黑体"/>
              <w:sz w:val="24"/>
              <w:szCs w:val="24"/>
            </w:rPr>
            <w:fldChar w:fldCharType="separate"/>
          </w:r>
          <w:r>
            <w:rPr>
              <w:rFonts w:hint="eastAsia" w:ascii="黑体" w:hAnsi="黑体" w:eastAsia="黑体" w:cs="黑体"/>
              <w:sz w:val="24"/>
              <w:szCs w:val="24"/>
            </w:rPr>
            <w:t>（一）一般公共预算财政拨款支出决算总体情况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_Toc29618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_Toc12724 </w:instrText>
          </w:r>
          <w:r>
            <w:rPr>
              <w:rFonts w:hint="eastAsia" w:ascii="黑体" w:hAnsi="黑体" w:eastAsia="黑体" w:cs="黑体"/>
              <w:sz w:val="24"/>
              <w:szCs w:val="24"/>
            </w:rPr>
            <w:fldChar w:fldCharType="separate"/>
          </w:r>
          <w:r>
            <w:rPr>
              <w:rFonts w:hint="eastAsia" w:ascii="黑体" w:hAnsi="黑体" w:eastAsia="黑体" w:cs="黑体"/>
              <w:sz w:val="24"/>
              <w:szCs w:val="24"/>
            </w:rPr>
            <w:t>（二）一般公共预算财政拨款支出决算结构情况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_Toc12724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_Toc9549 </w:instrText>
          </w:r>
          <w:r>
            <w:rPr>
              <w:rFonts w:hint="eastAsia" w:ascii="黑体" w:hAnsi="黑体" w:eastAsia="黑体" w:cs="黑体"/>
              <w:sz w:val="24"/>
              <w:szCs w:val="24"/>
            </w:rPr>
            <w:fldChar w:fldCharType="separate"/>
          </w:r>
          <w:r>
            <w:rPr>
              <w:rFonts w:hint="eastAsia" w:ascii="黑体" w:hAnsi="黑体" w:eastAsia="黑体" w:cs="黑体"/>
              <w:sz w:val="24"/>
              <w:szCs w:val="24"/>
            </w:rPr>
            <w:t>（三）一般公共预算财政拨款支出决算具体情况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_Toc9549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_Toc9428 </w:instrText>
          </w:r>
          <w:r>
            <w:rPr>
              <w:rFonts w:hint="eastAsia" w:ascii="黑体" w:hAnsi="黑体" w:eastAsia="黑体" w:cs="黑体"/>
              <w:sz w:val="24"/>
              <w:szCs w:val="24"/>
            </w:rPr>
            <w:fldChar w:fldCharType="separate"/>
          </w:r>
          <w:r>
            <w:rPr>
              <w:rFonts w:hint="eastAsia" w:ascii="黑体" w:hAnsi="黑体" w:eastAsia="黑体" w:cs="黑体"/>
              <w:sz w:val="24"/>
              <w:szCs w:val="24"/>
            </w:rPr>
            <w:t>六、一般公共预算财政拨款基本支出决算情况说明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_Toc9428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_Toc11703 </w:instrText>
          </w:r>
          <w:r>
            <w:rPr>
              <w:rFonts w:hint="eastAsia" w:ascii="黑体" w:hAnsi="黑体" w:eastAsia="黑体" w:cs="黑体"/>
              <w:sz w:val="24"/>
              <w:szCs w:val="24"/>
            </w:rPr>
            <w:fldChar w:fldCharType="separate"/>
          </w:r>
          <w:r>
            <w:rPr>
              <w:rFonts w:hint="eastAsia" w:ascii="黑体" w:hAnsi="黑体" w:eastAsia="黑体" w:cs="黑体"/>
              <w:sz w:val="24"/>
              <w:szCs w:val="24"/>
            </w:rPr>
            <w:t>七、财政拨款“三公”经费支出决算情况说明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_Toc11703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_Toc31063 </w:instrText>
          </w:r>
          <w:r>
            <w:rPr>
              <w:rFonts w:hint="eastAsia" w:ascii="黑体" w:hAnsi="黑体" w:eastAsia="黑体" w:cs="黑体"/>
              <w:sz w:val="24"/>
              <w:szCs w:val="24"/>
            </w:rPr>
            <w:fldChar w:fldCharType="separate"/>
          </w:r>
          <w:r>
            <w:rPr>
              <w:rFonts w:hint="eastAsia" w:ascii="黑体" w:hAnsi="黑体" w:eastAsia="黑体" w:cs="黑体"/>
              <w:sz w:val="24"/>
              <w:szCs w:val="24"/>
            </w:rPr>
            <w:t>（一）“三公”经费财政拨款支出决算总体情况说明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_Toc31063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_Toc11658 </w:instrText>
          </w:r>
          <w:r>
            <w:rPr>
              <w:rFonts w:hint="eastAsia" w:ascii="黑体" w:hAnsi="黑体" w:eastAsia="黑体" w:cs="黑体"/>
              <w:sz w:val="24"/>
              <w:szCs w:val="24"/>
            </w:rPr>
            <w:fldChar w:fldCharType="separate"/>
          </w:r>
          <w:r>
            <w:rPr>
              <w:rFonts w:hint="eastAsia" w:ascii="黑体" w:hAnsi="黑体" w:eastAsia="黑体" w:cs="黑体"/>
              <w:sz w:val="24"/>
              <w:szCs w:val="24"/>
            </w:rPr>
            <w:t>（二）“三公”经费财政拨款支出决算具体情况说明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_Toc11658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_Toc11755 </w:instrText>
          </w:r>
          <w:r>
            <w:rPr>
              <w:rFonts w:hint="eastAsia" w:ascii="黑体" w:hAnsi="黑体" w:eastAsia="黑体" w:cs="黑体"/>
              <w:sz w:val="24"/>
              <w:szCs w:val="24"/>
            </w:rPr>
            <w:fldChar w:fldCharType="separate"/>
          </w:r>
          <w:r>
            <w:rPr>
              <w:rFonts w:hint="eastAsia" w:ascii="黑体" w:hAnsi="黑体" w:eastAsia="黑体" w:cs="黑体"/>
              <w:sz w:val="24"/>
              <w:szCs w:val="24"/>
            </w:rPr>
            <w:t>八、政府性基金预算支出决算情况说明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_Toc11755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_Toc28497 </w:instrText>
          </w:r>
          <w:r>
            <w:rPr>
              <w:rFonts w:hint="eastAsia" w:ascii="黑体" w:hAnsi="黑体" w:eastAsia="黑体" w:cs="黑体"/>
              <w:sz w:val="24"/>
              <w:szCs w:val="24"/>
            </w:rPr>
            <w:fldChar w:fldCharType="separate"/>
          </w:r>
          <w:r>
            <w:rPr>
              <w:rFonts w:hint="eastAsia" w:ascii="黑体" w:hAnsi="黑体" w:eastAsia="黑体" w:cs="黑体"/>
              <w:sz w:val="24"/>
              <w:szCs w:val="24"/>
            </w:rPr>
            <w:t>九、 国有资本经营预算支出决算情况说明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_Toc28497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_Toc22322 </w:instrText>
          </w:r>
          <w:r>
            <w:rPr>
              <w:rFonts w:hint="eastAsia" w:ascii="黑体" w:hAnsi="黑体" w:eastAsia="黑体" w:cs="黑体"/>
              <w:sz w:val="24"/>
              <w:szCs w:val="24"/>
            </w:rPr>
            <w:fldChar w:fldCharType="separate"/>
          </w:r>
          <w:r>
            <w:rPr>
              <w:rFonts w:hint="eastAsia" w:ascii="黑体" w:hAnsi="黑体" w:eastAsia="黑体" w:cs="黑体"/>
              <w:sz w:val="24"/>
              <w:szCs w:val="24"/>
            </w:rPr>
            <w:t>十、 其他重要事项的情况说明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_Toc22322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_Toc67 </w:instrText>
          </w:r>
          <w:r>
            <w:rPr>
              <w:rFonts w:hint="eastAsia" w:ascii="黑体" w:hAnsi="黑体" w:eastAsia="黑体" w:cs="黑体"/>
              <w:sz w:val="24"/>
              <w:szCs w:val="24"/>
            </w:rPr>
            <w:fldChar w:fldCharType="separate"/>
          </w:r>
          <w:r>
            <w:rPr>
              <w:rFonts w:hint="eastAsia" w:ascii="黑体" w:hAnsi="黑体" w:eastAsia="黑体" w:cs="黑体"/>
              <w:sz w:val="24"/>
              <w:szCs w:val="24"/>
            </w:rPr>
            <w:t>（一）机关运行经费支出情况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_Toc67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_Toc29736 </w:instrText>
          </w:r>
          <w:r>
            <w:rPr>
              <w:rFonts w:hint="eastAsia" w:ascii="黑体" w:hAnsi="黑体" w:eastAsia="黑体" w:cs="黑体"/>
              <w:sz w:val="24"/>
              <w:szCs w:val="24"/>
            </w:rPr>
            <w:fldChar w:fldCharType="separate"/>
          </w:r>
          <w:r>
            <w:rPr>
              <w:rFonts w:hint="eastAsia" w:ascii="黑体" w:hAnsi="黑体" w:eastAsia="黑体" w:cs="黑体"/>
              <w:sz w:val="24"/>
              <w:szCs w:val="24"/>
            </w:rPr>
            <w:t>（二）政府采购支出情况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_Toc29736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7"/>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_Toc22430 </w:instrText>
          </w:r>
          <w:r>
            <w:rPr>
              <w:rFonts w:hint="eastAsia" w:ascii="黑体" w:hAnsi="黑体" w:eastAsia="黑体" w:cs="黑体"/>
              <w:sz w:val="24"/>
              <w:szCs w:val="24"/>
            </w:rPr>
            <w:fldChar w:fldCharType="separate"/>
          </w:r>
          <w:r>
            <w:rPr>
              <w:rFonts w:hint="eastAsia" w:ascii="黑体" w:hAnsi="黑体" w:eastAsia="黑体" w:cs="黑体"/>
              <w:sz w:val="24"/>
              <w:szCs w:val="24"/>
            </w:rPr>
            <w:t>（三）国有资产占有使用情况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_Toc22430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_Toc2681 </w:instrText>
          </w:r>
          <w:r>
            <w:rPr>
              <w:rFonts w:hint="eastAsia" w:ascii="黑体" w:hAnsi="黑体" w:eastAsia="黑体" w:cs="黑体"/>
              <w:sz w:val="24"/>
              <w:szCs w:val="24"/>
            </w:rPr>
            <w:fldChar w:fldCharType="separate"/>
          </w:r>
          <w:r>
            <w:rPr>
              <w:rFonts w:hint="eastAsia" w:ascii="黑体" w:hAnsi="黑体" w:eastAsia="黑体" w:cs="黑体"/>
              <w:sz w:val="24"/>
              <w:szCs w:val="24"/>
            </w:rPr>
            <w:t>部门预算项目支出绩效自评表（2023年度）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_Toc2681 \h </w:instrText>
          </w:r>
          <w:r>
            <w:rPr>
              <w:rFonts w:hint="eastAsia" w:ascii="黑体" w:hAnsi="黑体" w:eastAsia="黑体" w:cs="黑体"/>
              <w:sz w:val="24"/>
              <w:szCs w:val="24"/>
            </w:rPr>
            <w:fldChar w:fldCharType="separate"/>
          </w:r>
          <w:r>
            <w:rPr>
              <w:rFonts w:hint="eastAsia" w:ascii="黑体" w:hAnsi="黑体" w:eastAsia="黑体" w:cs="黑体"/>
              <w:sz w:val="24"/>
              <w:szCs w:val="24"/>
            </w:rPr>
            <w:t>18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1"/>
            <w:tabs>
              <w:tab w:val="right" w:leader="dot" w:pos="8306"/>
              <w:tab w:val="clear" w:pos="8296"/>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_Toc18981 </w:instrText>
          </w:r>
          <w:r>
            <w:rPr>
              <w:rFonts w:hint="eastAsia" w:ascii="黑体" w:hAnsi="黑体" w:eastAsia="黑体" w:cs="黑体"/>
              <w:sz w:val="24"/>
              <w:szCs w:val="24"/>
            </w:rPr>
            <w:fldChar w:fldCharType="separate"/>
          </w:r>
          <w:r>
            <w:rPr>
              <w:rFonts w:hint="eastAsia" w:ascii="黑体" w:hAnsi="黑体" w:eastAsia="黑体" w:cs="黑体"/>
              <w:sz w:val="24"/>
              <w:szCs w:val="24"/>
            </w:rPr>
            <w:t>第五部分 附表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_Toc18981 \h </w:instrText>
          </w:r>
          <w:r>
            <w:rPr>
              <w:rFonts w:hint="eastAsia" w:ascii="黑体" w:hAnsi="黑体" w:eastAsia="黑体" w:cs="黑体"/>
              <w:sz w:val="24"/>
              <w:szCs w:val="24"/>
            </w:rPr>
            <w:fldChar w:fldCharType="separate"/>
          </w:r>
          <w:r>
            <w:rPr>
              <w:rFonts w:hint="eastAsia" w:ascii="黑体" w:hAnsi="黑体" w:eastAsia="黑体" w:cs="黑体"/>
              <w:sz w:val="24"/>
              <w:szCs w:val="24"/>
            </w:rPr>
            <w:t>20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2"/>
            <w:tabs>
              <w:tab w:val="right" w:leader="dot" w:pos="8306"/>
              <w:tab w:val="clear" w:pos="8296"/>
            </w:tabs>
            <w:ind w:left="0" w:leftChars="0" w:firstLine="0" w:firstLineChars="0"/>
          </w:pPr>
        </w:p>
        <w:p>
          <w:r>
            <w:fldChar w:fldCharType="end"/>
          </w:r>
        </w:p>
      </w:sdtContent>
    </w:sdt>
    <w:p>
      <w:pPr>
        <w:rPr>
          <w:rFonts w:hint="eastAsia" w:ascii="黑体" w:hAnsi="黑体" w:eastAsia="黑体"/>
          <w:b w:val="0"/>
        </w:rPr>
      </w:pPr>
      <w:bookmarkStart w:id="14" w:name="_Toc15377196"/>
      <w:bookmarkStart w:id="15" w:name="_Toc14595"/>
      <w:bookmarkStart w:id="16" w:name="_Toc15396599"/>
    </w:p>
    <w:p>
      <w:pPr>
        <w:outlineLvl w:val="9"/>
        <w:rPr>
          <w:rFonts w:hint="eastAsia"/>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p>
      <w:pPr>
        <w:pStyle w:val="2"/>
        <w:jc w:val="center"/>
        <w:outlineLvl w:val="0"/>
        <w:rPr>
          <w:rFonts w:ascii="黑体" w:eastAsia="黑体"/>
          <w:sz w:val="32"/>
          <w:szCs w:val="32"/>
        </w:rPr>
      </w:pPr>
      <w:bookmarkStart w:id="17" w:name="_Toc19799"/>
      <w:bookmarkStart w:id="18" w:name="_Toc23160"/>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bookmarkEnd w:id="17"/>
      <w:bookmarkEnd w:id="18"/>
    </w:p>
    <w:p>
      <w:pPr>
        <w:pStyle w:val="3"/>
        <w:numPr>
          <w:ilvl w:val="0"/>
          <w:numId w:val="1"/>
        </w:numPr>
        <w:outlineLvl w:val="1"/>
        <w:rPr>
          <w:rStyle w:val="28"/>
          <w:rFonts w:ascii="黑体" w:hAnsi="黑体" w:eastAsia="黑体"/>
          <w:b w:val="0"/>
          <w:bCs w:val="0"/>
        </w:rPr>
      </w:pPr>
      <w:bookmarkStart w:id="19" w:name="_Toc6763"/>
      <w:bookmarkStart w:id="20" w:name="_Toc18955"/>
      <w:bookmarkStart w:id="21" w:name="_Toc8127"/>
      <w:bookmarkStart w:id="22" w:name="_Toc15396600"/>
      <w:bookmarkStart w:id="23" w:name="_Toc15377197"/>
      <w:r>
        <w:rPr>
          <w:rStyle w:val="28"/>
          <w:rFonts w:hint="eastAsia" w:ascii="黑体" w:hAnsi="黑体" w:eastAsia="黑体"/>
          <w:b w:val="0"/>
          <w:bCs w:val="0"/>
        </w:rPr>
        <w:t>主要职责</w:t>
      </w:r>
      <w:bookmarkEnd w:id="19"/>
      <w:bookmarkEnd w:id="20"/>
      <w:bookmarkEnd w:id="21"/>
    </w:p>
    <w:p>
      <w:pPr>
        <w:spacing w:line="600" w:lineRule="atLeast"/>
        <w:ind w:firstLine="640" w:firstLineChars="200"/>
        <w:rPr>
          <w:rFonts w:hint="eastAsia" w:ascii="仿宋_GB2312" w:eastAsia="仿宋_GB2312"/>
          <w:sz w:val="32"/>
          <w:szCs w:val="32"/>
        </w:rPr>
      </w:pPr>
      <w:bookmarkStart w:id="24" w:name="_Toc715"/>
      <w:bookmarkStart w:id="25" w:name="_Toc6371"/>
      <w:bookmarkStart w:id="26" w:name="_Toc29160"/>
      <w:r>
        <w:rPr>
          <w:rFonts w:hint="eastAsia" w:ascii="仿宋_GB2312" w:hAnsi="宋体" w:eastAsia="仿宋_GB2312"/>
          <w:sz w:val="32"/>
          <w:szCs w:val="32"/>
          <w:lang w:val="en-US" w:eastAsia="zh-CN"/>
        </w:rPr>
        <w:t>五通桥区职工服务中心是五通桥区总工会下属事业单位，由原“五通桥区妇女儿童活动中心”更名而来，其职能职责为：1.区职工服务中心以服务工运事业、服务职工为宗旨，为广大职工群众提供健康有益的活动场所；2.承担基层职工教育培训任务；3.为困难职工会员提供困难帮扶；4.组织职工开展文体活动，为基层工会开展文体活动提供指导服务；5.送文化产品下基层；6.配合区总工会维护职工合法权益；7.协助其他群团的服务工作；8.围绕区总工会中心工作，完成区总工会交办的其他工作。</w:t>
      </w:r>
    </w:p>
    <w:p>
      <w:pPr>
        <w:spacing w:line="600" w:lineRule="exact"/>
        <w:ind w:firstLine="640"/>
        <w:rPr>
          <w:rFonts w:hint="eastAsia" w:ascii="黑体" w:hAnsi="黑体" w:eastAsia="黑体" w:cs="黑体"/>
          <w:sz w:val="32"/>
          <w:szCs w:val="32"/>
        </w:rPr>
      </w:pPr>
      <w:r>
        <w:rPr>
          <w:rFonts w:hint="eastAsia" w:ascii="黑体" w:hAnsi="黑体" w:eastAsia="黑体" w:cs="黑体"/>
          <w:sz w:val="32"/>
          <w:szCs w:val="32"/>
        </w:rPr>
        <w:t>二、机构设置</w:t>
      </w:r>
      <w:bookmarkEnd w:id="24"/>
      <w:bookmarkEnd w:id="25"/>
      <w:bookmarkEnd w:id="26"/>
    </w:p>
    <w:bookmarkEnd w:id="22"/>
    <w:bookmarkEnd w:id="23"/>
    <w:p>
      <w:pPr>
        <w:spacing w:line="600" w:lineRule="exact"/>
        <w:ind w:firstLine="640"/>
        <w:rPr>
          <w:rFonts w:ascii="仿宋" w:hAnsi="仿宋" w:eastAsia="仿宋"/>
          <w:kern w:val="0"/>
          <w:sz w:val="32"/>
          <w:szCs w:val="32"/>
        </w:rPr>
      </w:pPr>
      <w:r>
        <w:rPr>
          <w:rFonts w:hint="eastAsia" w:ascii="仿宋" w:hAnsi="仿宋" w:eastAsia="仿宋"/>
          <w:sz w:val="32"/>
          <w:szCs w:val="32"/>
        </w:rPr>
        <w:t>乐山市五通桥区乐山市五通桥区职工服务中心</w:t>
      </w:r>
      <w:r>
        <w:rPr>
          <w:rFonts w:hint="eastAsia" w:ascii="仿宋" w:hAnsi="仿宋" w:eastAsia="仿宋"/>
          <w:sz w:val="32"/>
          <w:szCs w:val="32"/>
          <w:lang w:val="en-US" w:eastAsia="zh-CN"/>
        </w:rPr>
        <w:t>为二级预算，</w:t>
      </w:r>
      <w:r>
        <w:rPr>
          <w:rFonts w:hint="eastAsia" w:ascii="仿宋" w:hAnsi="仿宋" w:eastAsia="仿宋"/>
          <w:sz w:val="32"/>
          <w:szCs w:val="32"/>
        </w:rPr>
        <w:t>公益一类事业单位</w:t>
      </w:r>
      <w:r>
        <w:rPr>
          <w:rFonts w:hint="eastAsia" w:ascii="仿宋" w:hAnsi="仿宋" w:eastAsia="仿宋"/>
          <w:sz w:val="32"/>
          <w:szCs w:val="32"/>
          <w:lang w:val="en-US" w:eastAsia="zh-CN"/>
        </w:rPr>
        <w:t>，年末在职人员4人</w:t>
      </w:r>
      <w:r>
        <w:rPr>
          <w:rFonts w:hint="eastAsia" w:ascii="仿宋" w:hAnsi="仿宋" w:eastAsia="仿宋"/>
          <w:sz w:val="32"/>
          <w:szCs w:val="32"/>
        </w:rPr>
        <w:t>。</w:t>
      </w:r>
      <w:r>
        <w:rPr>
          <w:rFonts w:ascii="仿宋" w:hAnsi="仿宋" w:eastAsia="仿宋"/>
          <w:sz w:val="32"/>
          <w:szCs w:val="32"/>
        </w:rPr>
        <w:br w:type="page"/>
      </w:r>
    </w:p>
    <w:p>
      <w:pPr>
        <w:ind w:right="440"/>
        <w:jc w:val="center"/>
        <w:outlineLvl w:val="0"/>
        <w:rPr>
          <w:rStyle w:val="27"/>
          <w:rFonts w:ascii="黑体" w:hAnsi="黑体" w:eastAsia="黑体"/>
          <w:b w:val="0"/>
          <w:bCs/>
        </w:rPr>
      </w:pPr>
      <w:bookmarkStart w:id="27" w:name="_Toc27796"/>
      <w:bookmarkStart w:id="28" w:name="_Toc18627"/>
      <w:bookmarkStart w:id="29" w:name="_Toc15377204"/>
      <w:bookmarkStart w:id="30" w:name="_Toc15396602"/>
      <w:r>
        <w:rPr>
          <w:rStyle w:val="27"/>
          <w:rFonts w:hint="eastAsia" w:ascii="黑体" w:hAnsi="黑体" w:eastAsia="黑体"/>
          <w:b w:val="0"/>
          <w:bCs/>
        </w:rPr>
        <w:t>第二部分2023年度单位决算情况说明</w:t>
      </w:r>
      <w:bookmarkEnd w:id="27"/>
      <w:bookmarkEnd w:id="28"/>
      <w:bookmarkEnd w:id="29"/>
      <w:bookmarkEnd w:id="30"/>
    </w:p>
    <w:p/>
    <w:p>
      <w:pPr>
        <w:pStyle w:val="26"/>
        <w:numPr>
          <w:ilvl w:val="0"/>
          <w:numId w:val="2"/>
        </w:numPr>
        <w:spacing w:line="600" w:lineRule="exact"/>
        <w:ind w:firstLineChars="0"/>
        <w:outlineLvl w:val="1"/>
        <w:rPr>
          <w:rStyle w:val="28"/>
          <w:rFonts w:ascii="黑体" w:hAnsi="黑体" w:eastAsia="黑体"/>
          <w:b w:val="0"/>
        </w:rPr>
      </w:pPr>
      <w:bookmarkStart w:id="31" w:name="_Toc15377205"/>
      <w:bookmarkStart w:id="32" w:name="_Toc31451"/>
      <w:bookmarkStart w:id="33" w:name="_Toc9727"/>
      <w:bookmarkStart w:id="34"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31"/>
      <w:bookmarkEnd w:id="32"/>
      <w:bookmarkEnd w:id="33"/>
      <w:bookmarkEnd w:id="34"/>
    </w:p>
    <w:p>
      <w:pPr>
        <w:spacing w:line="600" w:lineRule="exact"/>
        <w:ind w:firstLine="640" w:firstLineChars="200"/>
        <w:rPr>
          <w:rFonts w:hint="eastAsia"/>
          <w:b w:val="0"/>
          <w:bCs w:val="0"/>
          <w:lang w:eastAsia="zh-CN"/>
        </w:rPr>
      </w:pPr>
      <w:r>
        <w:rPr>
          <w:rFonts w:hint="eastAsia" w:ascii="仿宋" w:hAnsi="仿宋" w:eastAsia="仿宋"/>
          <w:b w:val="0"/>
          <w:bCs w:val="0"/>
          <w:sz w:val="32"/>
          <w:szCs w:val="32"/>
        </w:rPr>
        <w:t>2023年度收、支总计均为91.24万元。与2022年度相比，收、支总计各增加</w:t>
      </w:r>
      <w:r>
        <w:rPr>
          <w:rFonts w:hint="eastAsia" w:ascii="仿宋" w:hAnsi="仿宋" w:eastAsia="仿宋"/>
          <w:b w:val="0"/>
          <w:bCs w:val="0"/>
          <w:sz w:val="32"/>
          <w:szCs w:val="32"/>
          <w:lang w:val="en-US" w:eastAsia="zh-CN"/>
        </w:rPr>
        <w:t>91.24</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100</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b w:val="0"/>
          <w:bCs w:val="0"/>
          <w:sz w:val="32"/>
          <w:szCs w:val="32"/>
          <w:lang w:val="en-US" w:eastAsia="zh-CN"/>
        </w:rPr>
        <w:t>本年度单位独立核算，账务分离，去年与机关合并核算</w:t>
      </w:r>
      <w:r>
        <w:rPr>
          <w:rFonts w:hint="eastAsia" w:ascii="仿宋" w:hAnsi="仿宋" w:eastAsia="仿宋"/>
          <w:b w:val="0"/>
          <w:bCs w:val="0"/>
          <w:sz w:val="32"/>
          <w:szCs w:val="32"/>
        </w:rPr>
        <w:t>。</w:t>
      </w:r>
    </w:p>
    <w:p>
      <w:pPr>
        <w:pStyle w:val="18"/>
        <w:outlineLvl w:val="9"/>
        <w:rPr>
          <w:rFonts w:hint="eastAsia"/>
          <w:lang w:eastAsia="zh-CN"/>
        </w:rPr>
      </w:pPr>
      <w:r>
        <w:rPr>
          <w:rFonts w:hint="eastAsia"/>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6"/>
        <w:numPr>
          <w:ilvl w:val="0"/>
          <w:numId w:val="2"/>
        </w:numPr>
        <w:spacing w:line="600" w:lineRule="exact"/>
        <w:ind w:firstLineChars="0"/>
        <w:outlineLvl w:val="1"/>
        <w:rPr>
          <w:rStyle w:val="28"/>
          <w:rFonts w:ascii="黑体" w:hAnsi="黑体" w:eastAsia="黑体"/>
          <w:b w:val="0"/>
        </w:rPr>
      </w:pPr>
      <w:bookmarkStart w:id="35" w:name="_Toc9354"/>
      <w:bookmarkStart w:id="36" w:name="_Toc15396604"/>
      <w:bookmarkStart w:id="37" w:name="_Toc15377206"/>
      <w:bookmarkStart w:id="38" w:name="_Toc15543"/>
      <w:r>
        <w:rPr>
          <w:rFonts w:hint="eastAsia" w:ascii="黑体" w:hAnsi="黑体" w:eastAsia="黑体"/>
          <w:sz w:val="32"/>
          <w:szCs w:val="32"/>
        </w:rPr>
        <w:t>收</w:t>
      </w:r>
      <w:r>
        <w:rPr>
          <w:rStyle w:val="28"/>
          <w:rFonts w:hint="eastAsia" w:ascii="黑体" w:hAnsi="黑体" w:eastAsia="黑体"/>
          <w:b w:val="0"/>
        </w:rPr>
        <w:t>入决算情况说明</w:t>
      </w:r>
      <w:bookmarkEnd w:id="35"/>
      <w:bookmarkEnd w:id="36"/>
      <w:bookmarkEnd w:id="37"/>
      <w:bookmarkEnd w:id="38"/>
    </w:p>
    <w:p>
      <w:pPr>
        <w:spacing w:line="600" w:lineRule="exact"/>
        <w:ind w:firstLine="640" w:firstLineChars="200"/>
        <w:outlineLvl w:val="9"/>
        <w:rPr>
          <w:rFonts w:ascii="仿宋" w:hAnsi="仿宋" w:eastAsia="仿宋"/>
          <w:b w:val="0"/>
          <w:bCs w:val="0"/>
          <w:sz w:val="32"/>
          <w:szCs w:val="32"/>
        </w:rPr>
      </w:pPr>
      <w:r>
        <w:rPr>
          <w:rFonts w:hint="eastAsia" w:ascii="仿宋" w:hAnsi="仿宋" w:eastAsia="仿宋"/>
          <w:b w:val="0"/>
          <w:bCs w:val="0"/>
          <w:sz w:val="32"/>
          <w:szCs w:val="32"/>
        </w:rPr>
        <w:t>2023年度本年收入合计</w:t>
      </w:r>
      <w:r>
        <w:rPr>
          <w:rFonts w:ascii="仿宋" w:hAnsi="仿宋" w:eastAsia="仿宋"/>
          <w:b w:val="0"/>
          <w:bCs w:val="0"/>
          <w:sz w:val="32"/>
          <w:szCs w:val="32"/>
        </w:rPr>
        <w:t>91.24</w:t>
      </w:r>
      <w:r>
        <w:rPr>
          <w:rFonts w:hint="eastAsia" w:ascii="仿宋" w:hAnsi="仿宋" w:eastAsia="仿宋"/>
          <w:b w:val="0"/>
          <w:bCs w:val="0"/>
          <w:sz w:val="32"/>
          <w:szCs w:val="32"/>
        </w:rPr>
        <w:t>万元，其中：一般公共预算财政拨款收入</w:t>
      </w:r>
      <w:r>
        <w:rPr>
          <w:rFonts w:ascii="仿宋" w:hAnsi="仿宋" w:eastAsia="仿宋"/>
          <w:b w:val="0"/>
          <w:bCs w:val="0"/>
          <w:sz w:val="32"/>
          <w:szCs w:val="32"/>
        </w:rPr>
        <w:t>91.24</w:t>
      </w:r>
      <w:r>
        <w:rPr>
          <w:rFonts w:hint="eastAsia" w:ascii="仿宋" w:hAnsi="仿宋" w:eastAsia="仿宋"/>
          <w:b w:val="0"/>
          <w:bCs w:val="0"/>
          <w:sz w:val="32"/>
          <w:szCs w:val="32"/>
        </w:rPr>
        <w:t>万元，占</w:t>
      </w:r>
      <w:r>
        <w:rPr>
          <w:rFonts w:ascii="仿宋" w:hAnsi="仿宋" w:eastAsia="仿宋"/>
          <w:b w:val="0"/>
          <w:bCs w:val="0"/>
          <w:sz w:val="32"/>
          <w:szCs w:val="32"/>
        </w:rPr>
        <w:t>100%</w:t>
      </w:r>
      <w:r>
        <w:rPr>
          <w:rFonts w:hint="eastAsia" w:ascii="仿宋" w:hAnsi="仿宋" w:eastAsia="仿宋"/>
          <w:b w:val="0"/>
          <w:bCs w:val="0"/>
          <w:sz w:val="32"/>
          <w:szCs w:val="32"/>
        </w:rPr>
        <w:t>；政府性基金预算财政拨款收入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；国有资本经营预算财政拨款收入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；上级补助收入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；事业收入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；经营收入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；附属单位上缴收入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；其他收入</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p>
    <w:p>
      <w:pPr>
        <w:spacing w:line="600" w:lineRule="exact"/>
        <w:ind w:firstLine="643" w:firstLineChars="200"/>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pStyle w:val="18"/>
        <w:outlineLvl w:val="9"/>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p>
    <w:p>
      <w:pPr>
        <w:pStyle w:val="26"/>
        <w:numPr>
          <w:ilvl w:val="0"/>
          <w:numId w:val="2"/>
        </w:numPr>
        <w:spacing w:line="600" w:lineRule="exact"/>
        <w:ind w:firstLineChars="0"/>
        <w:outlineLvl w:val="1"/>
        <w:rPr>
          <w:rStyle w:val="28"/>
          <w:rFonts w:ascii="黑体" w:hAnsi="黑体" w:eastAsia="黑体"/>
          <w:b w:val="0"/>
        </w:rPr>
      </w:pPr>
      <w:bookmarkStart w:id="39" w:name="_Toc20055"/>
      <w:bookmarkStart w:id="40" w:name="_Toc15396605"/>
      <w:bookmarkStart w:id="41" w:name="_Toc15377207"/>
      <w:bookmarkStart w:id="42" w:name="_Toc31687"/>
      <w:r>
        <w:rPr>
          <w:rFonts w:hint="eastAsia" w:ascii="黑体" w:hAnsi="黑体" w:eastAsia="黑体"/>
          <w:sz w:val="32"/>
          <w:szCs w:val="32"/>
        </w:rPr>
        <w:t>支</w:t>
      </w:r>
      <w:r>
        <w:rPr>
          <w:rStyle w:val="28"/>
          <w:rFonts w:hint="eastAsia" w:ascii="黑体" w:hAnsi="黑体" w:eastAsia="黑体"/>
          <w:b w:val="0"/>
        </w:rPr>
        <w:t>出决算情况说明</w:t>
      </w:r>
      <w:bookmarkEnd w:id="39"/>
      <w:bookmarkEnd w:id="40"/>
      <w:bookmarkEnd w:id="41"/>
      <w:bookmarkEnd w:id="42"/>
    </w:p>
    <w:p>
      <w:pPr>
        <w:spacing w:line="600" w:lineRule="exact"/>
        <w:ind w:firstLine="640" w:firstLineChars="200"/>
        <w:outlineLvl w:val="9"/>
        <w:rPr>
          <w:rFonts w:ascii="仿宋" w:hAnsi="仿宋" w:eastAsia="仿宋"/>
          <w:b w:val="0"/>
          <w:bCs w:val="0"/>
          <w:sz w:val="32"/>
          <w:szCs w:val="32"/>
        </w:rPr>
      </w:pPr>
      <w:r>
        <w:rPr>
          <w:rFonts w:hint="eastAsia" w:ascii="仿宋" w:hAnsi="仿宋" w:eastAsia="仿宋"/>
          <w:b w:val="0"/>
          <w:bCs w:val="0"/>
          <w:sz w:val="32"/>
          <w:szCs w:val="32"/>
        </w:rPr>
        <w:t>2023年度本年支出合计</w:t>
      </w:r>
      <w:r>
        <w:rPr>
          <w:rFonts w:ascii="仿宋" w:hAnsi="仿宋" w:eastAsia="仿宋"/>
          <w:b w:val="0"/>
          <w:bCs w:val="0"/>
          <w:sz w:val="32"/>
          <w:szCs w:val="32"/>
        </w:rPr>
        <w:t>91.24</w:t>
      </w:r>
      <w:r>
        <w:rPr>
          <w:rFonts w:hint="eastAsia" w:ascii="仿宋" w:hAnsi="仿宋" w:eastAsia="仿宋"/>
          <w:b w:val="0"/>
          <w:bCs w:val="0"/>
          <w:sz w:val="32"/>
          <w:szCs w:val="32"/>
        </w:rPr>
        <w:t>万元，其中：基本支出</w:t>
      </w:r>
      <w:r>
        <w:rPr>
          <w:rFonts w:ascii="仿宋" w:hAnsi="仿宋" w:eastAsia="仿宋"/>
          <w:b w:val="0"/>
          <w:bCs w:val="0"/>
          <w:sz w:val="32"/>
          <w:szCs w:val="32"/>
        </w:rPr>
        <w:t>66.79</w:t>
      </w:r>
      <w:r>
        <w:rPr>
          <w:rFonts w:hint="eastAsia" w:ascii="仿宋" w:hAnsi="仿宋" w:eastAsia="仿宋"/>
          <w:b w:val="0"/>
          <w:bCs w:val="0"/>
          <w:sz w:val="32"/>
          <w:szCs w:val="32"/>
        </w:rPr>
        <w:t>万元，占</w:t>
      </w:r>
      <w:r>
        <w:rPr>
          <w:rFonts w:ascii="仿宋" w:hAnsi="仿宋" w:eastAsia="仿宋"/>
          <w:b w:val="0"/>
          <w:bCs w:val="0"/>
          <w:sz w:val="32"/>
          <w:szCs w:val="32"/>
        </w:rPr>
        <w:t>73.2%</w:t>
      </w:r>
      <w:r>
        <w:rPr>
          <w:rFonts w:hint="eastAsia" w:ascii="仿宋" w:hAnsi="仿宋" w:eastAsia="仿宋"/>
          <w:b w:val="0"/>
          <w:bCs w:val="0"/>
          <w:sz w:val="32"/>
          <w:szCs w:val="32"/>
        </w:rPr>
        <w:t>；项目支出</w:t>
      </w:r>
      <w:r>
        <w:rPr>
          <w:rFonts w:ascii="仿宋" w:hAnsi="仿宋" w:eastAsia="仿宋"/>
          <w:b w:val="0"/>
          <w:bCs w:val="0"/>
          <w:sz w:val="32"/>
          <w:szCs w:val="32"/>
        </w:rPr>
        <w:t>24.44</w:t>
      </w:r>
      <w:r>
        <w:rPr>
          <w:rFonts w:hint="eastAsia" w:ascii="仿宋" w:hAnsi="仿宋" w:eastAsia="仿宋"/>
          <w:b w:val="0"/>
          <w:bCs w:val="0"/>
          <w:sz w:val="32"/>
          <w:szCs w:val="32"/>
        </w:rPr>
        <w:t>万元，占</w:t>
      </w:r>
      <w:r>
        <w:rPr>
          <w:rFonts w:ascii="仿宋" w:hAnsi="仿宋" w:eastAsia="仿宋"/>
          <w:b w:val="0"/>
          <w:bCs w:val="0"/>
          <w:sz w:val="32"/>
          <w:szCs w:val="32"/>
        </w:rPr>
        <w:t>26.79%</w:t>
      </w:r>
      <w:r>
        <w:rPr>
          <w:rFonts w:hint="eastAsia" w:ascii="仿宋" w:hAnsi="仿宋" w:eastAsia="仿宋"/>
          <w:b w:val="0"/>
          <w:bCs w:val="0"/>
          <w:sz w:val="32"/>
          <w:szCs w:val="32"/>
        </w:rPr>
        <w:t>；上缴上级支出</w:t>
      </w:r>
      <w:r>
        <w:rPr>
          <w:rFonts w:ascii="仿宋" w:hAnsi="仿宋" w:eastAsia="仿宋"/>
          <w:b w:val="0"/>
          <w:bCs w:val="0"/>
          <w:sz w:val="32"/>
          <w:szCs w:val="32"/>
        </w:rPr>
        <w:t>0</w:t>
      </w:r>
      <w:r>
        <w:rPr>
          <w:rFonts w:hint="eastAsia" w:ascii="仿宋" w:hAnsi="仿宋" w:eastAsia="仿宋"/>
          <w:b w:val="0"/>
          <w:bCs w:val="0"/>
          <w:sz w:val="32"/>
          <w:szCs w:val="32"/>
        </w:rPr>
        <w:t>万元，占0</w:t>
      </w:r>
      <w:r>
        <w:rPr>
          <w:rFonts w:ascii="仿宋" w:hAnsi="仿宋" w:eastAsia="仿宋"/>
          <w:b w:val="0"/>
          <w:bCs w:val="0"/>
          <w:sz w:val="32"/>
          <w:szCs w:val="32"/>
        </w:rPr>
        <w:t>%</w:t>
      </w:r>
      <w:r>
        <w:rPr>
          <w:rFonts w:hint="eastAsia" w:ascii="仿宋" w:hAnsi="仿宋" w:eastAsia="仿宋"/>
          <w:b w:val="0"/>
          <w:bCs w:val="0"/>
          <w:sz w:val="32"/>
          <w:szCs w:val="32"/>
        </w:rPr>
        <w:t>；经营支出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；对附属单位补助支出</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w:t>
      </w:r>
    </w:p>
    <w:p>
      <w:pPr>
        <w:spacing w:line="600" w:lineRule="exact"/>
        <w:ind w:firstLine="643" w:firstLineChars="200"/>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rPr>
          <w:rFonts w:ascii="仿宋" w:hAnsi="仿宋" w:eastAsia="仿宋"/>
          <w:sz w:val="32"/>
          <w:szCs w:val="32"/>
          <w:shd w:val="pct10" w:color="auto" w:fill="FFFFFF"/>
        </w:rPr>
      </w:pPr>
    </w:p>
    <w:p>
      <w:pPr>
        <w:pStyle w:val="18"/>
        <w:outlineLvl w:val="9"/>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8"/>
          <w:rFonts w:ascii="黑体" w:hAnsi="黑体" w:eastAsia="黑体"/>
          <w:b w:val="0"/>
        </w:rPr>
      </w:pPr>
      <w:bookmarkStart w:id="43" w:name="_Toc31758"/>
      <w:bookmarkStart w:id="44" w:name="_Toc15377208"/>
      <w:bookmarkStart w:id="45" w:name="_Toc31905"/>
      <w:bookmarkStart w:id="46"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3"/>
      <w:bookmarkEnd w:id="44"/>
      <w:bookmarkEnd w:id="45"/>
      <w:bookmarkEnd w:id="46"/>
    </w:p>
    <w:p>
      <w:pPr>
        <w:spacing w:line="600" w:lineRule="exact"/>
        <w:ind w:firstLine="640"/>
        <w:rPr>
          <w:rFonts w:hint="eastAsia" w:ascii="仿宋" w:hAnsi="仿宋" w:eastAsia="仿宋"/>
          <w:b w:val="0"/>
          <w:bCs w:val="0"/>
          <w:sz w:val="32"/>
          <w:szCs w:val="32"/>
          <w:lang w:val="en-US" w:eastAsia="zh-CN"/>
        </w:rPr>
      </w:pPr>
      <w:r>
        <w:rPr>
          <w:rFonts w:hint="eastAsia" w:ascii="仿宋" w:hAnsi="仿宋" w:eastAsia="仿宋"/>
          <w:b w:val="0"/>
          <w:bCs w:val="0"/>
          <w:sz w:val="32"/>
          <w:szCs w:val="32"/>
        </w:rPr>
        <w:t>2023年度财政拨款收、支总计均为</w:t>
      </w:r>
      <w:r>
        <w:rPr>
          <w:rFonts w:ascii="仿宋" w:hAnsi="仿宋" w:eastAsia="仿宋"/>
          <w:b w:val="0"/>
          <w:bCs w:val="0"/>
          <w:sz w:val="32"/>
          <w:szCs w:val="32"/>
        </w:rPr>
        <w:t>91.24</w:t>
      </w:r>
      <w:r>
        <w:rPr>
          <w:rFonts w:hint="eastAsia" w:ascii="仿宋" w:hAnsi="仿宋" w:eastAsia="仿宋"/>
          <w:b w:val="0"/>
          <w:bCs w:val="0"/>
          <w:sz w:val="32"/>
          <w:szCs w:val="32"/>
        </w:rPr>
        <w:t>万元。与2022年度相比，财政拨款收、支总计各增加</w:t>
      </w:r>
      <w:r>
        <w:rPr>
          <w:rFonts w:hint="eastAsia" w:ascii="仿宋" w:hAnsi="仿宋" w:eastAsia="仿宋"/>
          <w:b w:val="0"/>
          <w:bCs w:val="0"/>
          <w:sz w:val="32"/>
          <w:szCs w:val="32"/>
          <w:lang w:val="en-US" w:eastAsia="zh-CN"/>
        </w:rPr>
        <w:t>91.24</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100</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b w:val="0"/>
          <w:bCs w:val="0"/>
          <w:sz w:val="30"/>
          <w:szCs w:val="30"/>
          <w:lang w:val="en-US" w:eastAsia="zh-CN"/>
        </w:rPr>
        <w:t>本年度单位独立核算，账务分离，去年与机关合并核算</w:t>
      </w:r>
      <w:r>
        <w:rPr>
          <w:rFonts w:hint="eastAsia" w:ascii="仿宋" w:hAnsi="仿宋" w:eastAsia="仿宋"/>
          <w:b w:val="0"/>
          <w:bCs w:val="0"/>
          <w:sz w:val="32"/>
          <w:szCs w:val="32"/>
          <w:lang w:val="en-US" w:eastAsia="zh-CN"/>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pStyle w:val="18"/>
        <w:outlineLvl w:val="9"/>
        <w:rPr>
          <w:rFonts w:ascii="仿宋" w:hAnsi="仿宋" w:eastAsia="仿宋"/>
          <w:sz w:val="32"/>
          <w:szCs w:val="32"/>
        </w:rPr>
      </w:pPr>
    </w:p>
    <w:p>
      <w:pPr>
        <w:rPr>
          <w:rFonts w:ascii="仿宋" w:hAnsi="仿宋" w:eastAsia="仿宋"/>
          <w:sz w:val="32"/>
          <w:szCs w:val="32"/>
        </w:rPr>
      </w:pPr>
    </w:p>
    <w:p>
      <w:pPr>
        <w:pStyle w:val="18"/>
        <w:outlineLvl w:val="9"/>
        <w:rPr>
          <w:rFonts w:ascii="仿宋" w:hAnsi="仿宋" w:eastAsia="仿宋"/>
          <w:sz w:val="32"/>
          <w:szCs w:val="32"/>
        </w:rPr>
      </w:pPr>
    </w:p>
    <w:p>
      <w:r>
        <w:rPr>
          <w:rFonts w:hint="eastAsia"/>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47" w:name="_Toc24404"/>
      <w:bookmarkStart w:id="48" w:name="_Toc15377209"/>
      <w:bookmarkStart w:id="49" w:name="_Toc7182"/>
      <w:bookmarkStart w:id="50"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7"/>
      <w:bookmarkEnd w:id="48"/>
      <w:bookmarkEnd w:id="49"/>
      <w:bookmarkEnd w:id="50"/>
    </w:p>
    <w:p>
      <w:pPr>
        <w:spacing w:line="600" w:lineRule="exact"/>
        <w:ind w:firstLine="643" w:firstLineChars="200"/>
        <w:outlineLvl w:val="2"/>
        <w:rPr>
          <w:rFonts w:ascii="仿宋" w:hAnsi="仿宋" w:eastAsia="仿宋"/>
          <w:b/>
          <w:sz w:val="32"/>
          <w:szCs w:val="32"/>
        </w:rPr>
      </w:pPr>
      <w:bookmarkStart w:id="51" w:name="_Toc15377210"/>
      <w:bookmarkStart w:id="52" w:name="_Toc29618"/>
      <w:bookmarkStart w:id="53" w:name="_Toc30406"/>
      <w:r>
        <w:rPr>
          <w:rFonts w:hint="eastAsia" w:ascii="仿宋" w:hAnsi="仿宋" w:eastAsia="仿宋"/>
          <w:b/>
          <w:sz w:val="32"/>
          <w:szCs w:val="32"/>
        </w:rPr>
        <w:t>（一）一般公共预算财政拨款支出决算总体情况</w:t>
      </w:r>
      <w:bookmarkEnd w:id="51"/>
      <w:bookmarkEnd w:id="52"/>
      <w:bookmarkEnd w:id="53"/>
    </w:p>
    <w:p>
      <w:pPr>
        <w:spacing w:line="60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91.24</w:t>
      </w:r>
      <w:r>
        <w:rPr>
          <w:rFonts w:hint="eastAsia" w:ascii="仿宋" w:hAnsi="仿宋" w:eastAsia="仿宋"/>
          <w:b w:val="0"/>
          <w:bCs w:val="0"/>
          <w:sz w:val="32"/>
          <w:szCs w:val="32"/>
        </w:rPr>
        <w:t>万元，占本年支出合计的</w:t>
      </w:r>
      <w:r>
        <w:rPr>
          <w:rFonts w:ascii="仿宋" w:hAnsi="仿宋" w:eastAsia="仿宋"/>
          <w:b w:val="0"/>
          <w:bCs w:val="0"/>
          <w:sz w:val="32"/>
          <w:szCs w:val="32"/>
        </w:rPr>
        <w:t>100%</w:t>
      </w:r>
      <w:r>
        <w:rPr>
          <w:rFonts w:hint="eastAsia" w:ascii="仿宋" w:hAnsi="仿宋" w:eastAsia="仿宋"/>
          <w:b w:val="0"/>
          <w:bCs w:val="0"/>
          <w:sz w:val="32"/>
          <w:szCs w:val="32"/>
        </w:rPr>
        <w:t>。与2022年度相比，一般公共预算财政拨款支出增加</w:t>
      </w:r>
      <w:r>
        <w:rPr>
          <w:rFonts w:hint="eastAsia" w:ascii="仿宋" w:hAnsi="仿宋" w:eastAsia="仿宋"/>
          <w:b w:val="0"/>
          <w:bCs w:val="0"/>
          <w:sz w:val="32"/>
          <w:szCs w:val="32"/>
          <w:lang w:val="en-US" w:eastAsia="zh-CN"/>
        </w:rPr>
        <w:t>91.24</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100</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b w:val="0"/>
          <w:bCs w:val="0"/>
          <w:sz w:val="32"/>
          <w:szCs w:val="32"/>
          <w:lang w:val="en-US" w:eastAsia="zh-CN"/>
        </w:rPr>
        <w:t>本年度单位独立核算，账务分离，去年与机关合并核算。</w:t>
      </w:r>
    </w:p>
    <w:p>
      <w:pPr>
        <w:rPr>
          <w:rFonts w:ascii="仿宋" w:hAnsi="仿宋" w:eastAsia="仿宋"/>
          <w:b w:val="0"/>
          <w:bCs w:val="0"/>
          <w:sz w:val="32"/>
          <w:szCs w:val="32"/>
        </w:rPr>
      </w:pPr>
    </w:p>
    <w:p>
      <w:pPr>
        <w:pStyle w:val="18"/>
        <w:outlineLvl w:val="9"/>
        <w:rPr>
          <w:rFonts w:ascii="仿宋" w:hAnsi="仿宋" w:eastAsia="仿宋"/>
          <w:sz w:val="32"/>
          <w:szCs w:val="32"/>
        </w:rPr>
      </w:pPr>
    </w:p>
    <w:p>
      <w:pPr>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54" w:name="_Toc7891"/>
      <w:bookmarkStart w:id="55" w:name="_Toc12724"/>
      <w:bookmarkStart w:id="56" w:name="_Toc15377211"/>
      <w:r>
        <w:rPr>
          <w:rFonts w:hint="eastAsia" w:ascii="仿宋" w:hAnsi="仿宋" w:eastAsia="仿宋"/>
          <w:b/>
          <w:sz w:val="32"/>
          <w:szCs w:val="32"/>
        </w:rPr>
        <w:t>（二）一般公共预算财政拨款支出决算结构情况</w:t>
      </w:r>
      <w:bookmarkEnd w:id="54"/>
      <w:bookmarkEnd w:id="55"/>
      <w:bookmarkEnd w:id="56"/>
    </w:p>
    <w:p>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91.24</w:t>
      </w:r>
      <w:r>
        <w:rPr>
          <w:rFonts w:hint="eastAsia" w:ascii="仿宋" w:hAnsi="仿宋" w:eastAsia="仿宋"/>
          <w:b w:val="0"/>
          <w:bCs w:val="0"/>
          <w:sz w:val="32"/>
          <w:szCs w:val="32"/>
        </w:rPr>
        <w:t>万元，主要用于以下方面</w:t>
      </w:r>
      <w:r>
        <w:rPr>
          <w:rFonts w:ascii="仿宋" w:hAnsi="仿宋" w:eastAsia="仿宋"/>
          <w:b w:val="0"/>
          <w:bCs w:val="0"/>
          <w:sz w:val="32"/>
          <w:szCs w:val="32"/>
        </w:rPr>
        <w:t>:</w:t>
      </w:r>
      <w:r>
        <w:rPr>
          <w:rFonts w:hint="eastAsia" w:ascii="仿宋" w:hAnsi="仿宋" w:eastAsia="仿宋"/>
          <w:b w:val="0"/>
          <w:bCs w:val="0"/>
          <w:sz w:val="32"/>
          <w:szCs w:val="32"/>
        </w:rPr>
        <w:t>一般公共服务支出</w:t>
      </w:r>
      <w:r>
        <w:rPr>
          <w:rFonts w:hint="eastAsia" w:ascii="仿宋" w:hAnsi="仿宋" w:eastAsia="仿宋"/>
          <w:b w:val="0"/>
          <w:bCs w:val="0"/>
          <w:sz w:val="32"/>
          <w:szCs w:val="32"/>
          <w:lang w:val="en-US" w:eastAsia="zh-CN"/>
        </w:rPr>
        <w:t>73.61</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80.68</w:t>
      </w:r>
      <w:r>
        <w:rPr>
          <w:rFonts w:ascii="仿宋" w:hAnsi="仿宋" w:eastAsia="仿宋"/>
          <w:b w:val="0"/>
          <w:bCs w:val="0"/>
          <w:sz w:val="32"/>
          <w:szCs w:val="32"/>
        </w:rPr>
        <w:t>%</w:t>
      </w:r>
      <w:r>
        <w:rPr>
          <w:rFonts w:hint="eastAsia" w:ascii="仿宋" w:hAnsi="仿宋" w:eastAsia="仿宋"/>
          <w:b w:val="0"/>
          <w:bCs w:val="0"/>
          <w:sz w:val="32"/>
          <w:szCs w:val="32"/>
        </w:rPr>
        <w:t>；社会保障和就业支出</w:t>
      </w:r>
      <w:r>
        <w:rPr>
          <w:rFonts w:hint="eastAsia" w:ascii="仿宋" w:hAnsi="仿宋" w:eastAsia="仿宋"/>
          <w:b w:val="0"/>
          <w:bCs w:val="0"/>
          <w:sz w:val="32"/>
          <w:szCs w:val="32"/>
          <w:lang w:val="en-US" w:eastAsia="zh-CN"/>
        </w:rPr>
        <w:t>10.28</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11.27</w:t>
      </w:r>
      <w:r>
        <w:rPr>
          <w:rFonts w:ascii="仿宋" w:hAnsi="仿宋" w:eastAsia="仿宋"/>
          <w:b w:val="0"/>
          <w:bCs w:val="0"/>
          <w:sz w:val="32"/>
          <w:szCs w:val="32"/>
        </w:rPr>
        <w:t>%</w:t>
      </w:r>
      <w:r>
        <w:rPr>
          <w:rFonts w:hint="eastAsia" w:ascii="仿宋" w:hAnsi="仿宋" w:eastAsia="仿宋"/>
          <w:b w:val="0"/>
          <w:bCs w:val="0"/>
          <w:sz w:val="32"/>
          <w:szCs w:val="32"/>
        </w:rPr>
        <w:t>；卫生健康支出</w:t>
      </w:r>
      <w:r>
        <w:rPr>
          <w:rFonts w:hint="eastAsia" w:ascii="仿宋" w:hAnsi="仿宋" w:eastAsia="仿宋"/>
          <w:b w:val="0"/>
          <w:bCs w:val="0"/>
          <w:sz w:val="32"/>
          <w:szCs w:val="32"/>
          <w:lang w:val="en-US" w:eastAsia="zh-CN"/>
        </w:rPr>
        <w:t>2.05</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2.25</w:t>
      </w:r>
      <w:r>
        <w:rPr>
          <w:rFonts w:ascii="仿宋" w:hAnsi="仿宋" w:eastAsia="仿宋"/>
          <w:b w:val="0"/>
          <w:bCs w:val="0"/>
          <w:sz w:val="32"/>
          <w:szCs w:val="32"/>
        </w:rPr>
        <w:t>%</w:t>
      </w:r>
      <w:r>
        <w:rPr>
          <w:rFonts w:hint="eastAsia" w:ascii="仿宋" w:hAnsi="仿宋" w:eastAsia="仿宋"/>
          <w:b w:val="0"/>
          <w:bCs w:val="0"/>
          <w:sz w:val="32"/>
          <w:szCs w:val="32"/>
        </w:rPr>
        <w:t>；住房保障支出</w:t>
      </w:r>
      <w:r>
        <w:rPr>
          <w:rFonts w:hint="eastAsia" w:ascii="仿宋" w:hAnsi="仿宋" w:eastAsia="仿宋"/>
          <w:b w:val="0"/>
          <w:bCs w:val="0"/>
          <w:sz w:val="32"/>
          <w:szCs w:val="32"/>
          <w:lang w:val="en-US" w:eastAsia="zh-CN"/>
        </w:rPr>
        <w:t>5.30</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5.8</w:t>
      </w:r>
      <w:r>
        <w:rPr>
          <w:rFonts w:ascii="仿宋" w:hAnsi="仿宋" w:eastAsia="仿宋"/>
          <w:b w:val="0"/>
          <w:bCs w:val="0"/>
          <w:sz w:val="32"/>
          <w:szCs w:val="32"/>
        </w:rPr>
        <w:t>%</w:t>
      </w:r>
      <w:r>
        <w:rPr>
          <w:rFonts w:hint="eastAsia" w:ascii="仿宋" w:hAnsi="仿宋" w:eastAsia="仿宋"/>
          <w:b w:val="0"/>
          <w:bCs w:val="0"/>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rPr>
          <w:rFonts w:hint="eastAsia" w:ascii="仿宋" w:hAnsi="仿宋" w:eastAsia="仿宋"/>
          <w:sz w:val="32"/>
          <w:szCs w:val="32"/>
          <w:lang w:eastAsia="zh-CN"/>
        </w:rPr>
      </w:pPr>
    </w:p>
    <w:p>
      <w:pPr>
        <w:pStyle w:val="18"/>
        <w:outlineLvl w:val="9"/>
        <w:rPr>
          <w:rFonts w:hint="eastAsia"/>
          <w:lang w:eastAsia="zh-CN"/>
        </w:rPr>
      </w:pPr>
      <w:r>
        <w:rPr>
          <w:rFonts w:hint="eastAsia" w:ascii="仿宋" w:hAnsi="仿宋" w:eastAsia="仿宋"/>
          <w:sz w:val="32"/>
          <w:szCs w:val="32"/>
          <w:lang w:eastAsia="zh-CN"/>
        </w:rPr>
        <w:drawing>
          <wp:inline distT="0" distB="0" distL="114300" distR="114300">
            <wp:extent cx="5256530" cy="2988310"/>
            <wp:effectExtent l="5080" t="4445" r="15240" b="1714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57" w:name="_Toc9549"/>
      <w:bookmarkStart w:id="58" w:name="_Toc5252"/>
      <w:bookmarkStart w:id="59" w:name="_Toc15377212"/>
      <w:r>
        <w:rPr>
          <w:rFonts w:hint="eastAsia" w:ascii="仿宋" w:hAnsi="仿宋" w:eastAsia="仿宋"/>
          <w:b/>
          <w:sz w:val="32"/>
          <w:szCs w:val="32"/>
        </w:rPr>
        <w:t>（三）一般公共预算财政拨款支出决算具体情况</w:t>
      </w:r>
      <w:bookmarkEnd w:id="57"/>
      <w:bookmarkEnd w:id="58"/>
      <w:bookmarkEnd w:id="59"/>
    </w:p>
    <w:p>
      <w:pPr>
        <w:spacing w:line="600" w:lineRule="exact"/>
        <w:ind w:firstLine="643" w:firstLineChars="200"/>
        <w:outlineLvl w:val="9"/>
        <w:rPr>
          <w:rFonts w:ascii="仿宋" w:hAnsi="仿宋" w:eastAsia="仿宋"/>
          <w:sz w:val="32"/>
          <w:szCs w:val="32"/>
        </w:rPr>
      </w:pPr>
      <w:bookmarkStart w:id="60" w:name="_Toc15377444"/>
      <w:bookmarkStart w:id="61" w:name="_Toc15377213"/>
      <w:bookmarkStart w:id="62" w:name="_Toc15378460"/>
      <w:r>
        <w:rPr>
          <w:rFonts w:hint="eastAsia" w:ascii="仿宋" w:hAnsi="仿宋" w:eastAsia="仿宋"/>
          <w:b/>
          <w:sz w:val="32"/>
          <w:szCs w:val="32"/>
        </w:rPr>
        <w:t>2023年度一般公共预算支出决算数为</w:t>
      </w:r>
      <w:r>
        <w:rPr>
          <w:rFonts w:ascii="仿宋" w:hAnsi="仿宋" w:eastAsia="仿宋"/>
          <w:b/>
          <w:sz w:val="32"/>
          <w:szCs w:val="32"/>
        </w:rPr>
        <w:t>91.24</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60"/>
      <w:bookmarkEnd w:id="61"/>
      <w:bookmarkEnd w:id="62"/>
    </w:p>
    <w:p>
      <w:pPr>
        <w:spacing w:line="600" w:lineRule="exact"/>
        <w:ind w:firstLine="643" w:firstLineChars="200"/>
        <w:rPr>
          <w:rStyle w:val="16"/>
          <w:rFonts w:hint="eastAsia" w:ascii="仿宋" w:hAnsi="仿宋" w:eastAsia="仿宋"/>
          <w:b w:val="0"/>
          <w:bCs/>
          <w:sz w:val="32"/>
          <w:szCs w:val="32"/>
          <w:lang w:val="en-US" w:eastAsia="zh-CN"/>
        </w:rPr>
      </w:pPr>
      <w:r>
        <w:rPr>
          <w:rStyle w:val="16"/>
          <w:rFonts w:ascii="仿宋" w:hAnsi="仿宋" w:eastAsia="仿宋"/>
          <w:bCs/>
          <w:sz w:val="32"/>
          <w:szCs w:val="32"/>
        </w:rPr>
        <w:t>1.</w:t>
      </w:r>
      <w:r>
        <w:rPr>
          <w:rStyle w:val="16"/>
          <w:rFonts w:hint="eastAsia" w:ascii="仿宋" w:hAnsi="仿宋" w:eastAsia="仿宋"/>
          <w:bCs/>
          <w:sz w:val="32"/>
          <w:szCs w:val="32"/>
        </w:rPr>
        <w:t>一般公共服务（类）群众团体事务（款）事业运行（项）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49.16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val="en-US" w:eastAsia="zh-CN"/>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一般公共服务（类）群众团体事务（款）其他群众团体事务支出（项）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24.44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社会保障和就业支出（类）行政事业单位养老支出（款）机关事业单位基本养老保险缴费支出（项）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6.85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社会保障和就业支出（类）行政事业单位养老支出（款）机关事业单位职业年金缴费支出（项）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3.43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卫生健康支出（类）行政事业单位医疗（款）事业单位医疗（项）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6.</w:t>
      </w:r>
      <w:r>
        <w:rPr>
          <w:rFonts w:hint="eastAsia" w:ascii="仿宋" w:hAnsi="仿宋" w:eastAsia="仿宋"/>
          <w:b/>
          <w:bCs/>
          <w:sz w:val="32"/>
          <w:szCs w:val="32"/>
        </w:rPr>
        <w:t>卫生健康支出</w:t>
      </w:r>
      <w:r>
        <w:rPr>
          <w:rStyle w:val="16"/>
          <w:rFonts w:hint="eastAsia" w:ascii="仿宋" w:hAnsi="仿宋" w:eastAsia="仿宋"/>
          <w:bCs/>
          <w:sz w:val="32"/>
          <w:szCs w:val="32"/>
        </w:rPr>
        <w:t>（类）行政事业单位医疗（款）其他行政事业单位医疗支出（项）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Fonts w:hint="eastAsia" w:ascii="仿宋" w:hAnsi="仿宋" w:eastAsia="仿宋"/>
          <w:b/>
          <w:bCs/>
          <w:sz w:val="32"/>
          <w:szCs w:val="32"/>
        </w:rPr>
        <w:t>住房保障支出</w:t>
      </w:r>
      <w:r>
        <w:rPr>
          <w:rStyle w:val="16"/>
          <w:rFonts w:hint="eastAsia" w:ascii="仿宋" w:hAnsi="仿宋" w:eastAsia="仿宋"/>
          <w:bCs/>
          <w:sz w:val="32"/>
          <w:szCs w:val="32"/>
        </w:rPr>
        <w:t>（类）住房改革支出（款）住房公积金（项）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8"/>
        </w:rPr>
      </w:pPr>
      <w:bookmarkStart w:id="63" w:name="_Toc15396608"/>
      <w:bookmarkStart w:id="64" w:name="_Toc15377214"/>
      <w:bookmarkStart w:id="65" w:name="_Toc9428"/>
      <w:bookmarkStart w:id="66" w:name="_Toc26267"/>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63"/>
      <w:bookmarkEnd w:id="64"/>
      <w:bookmarkEnd w:id="65"/>
      <w:bookmarkEnd w:id="66"/>
      <w:r>
        <w:rPr>
          <w:rStyle w:val="28"/>
          <w:rFonts w:ascii="黑体" w:hAnsi="黑体" w:eastAsia="黑体"/>
          <w:b w:val="0"/>
        </w:rPr>
        <w:tab/>
      </w:r>
    </w:p>
    <w:p>
      <w:pPr>
        <w:spacing w:line="600" w:lineRule="exact"/>
        <w:ind w:firstLine="645"/>
        <w:rPr>
          <w:rFonts w:ascii="仿宋" w:hAnsi="仿宋" w:eastAsia="仿宋"/>
          <w:b w:val="0"/>
          <w:bCs w:val="0"/>
          <w:sz w:val="32"/>
          <w:szCs w:val="32"/>
        </w:rPr>
      </w:pPr>
      <w:r>
        <w:rPr>
          <w:rFonts w:hint="eastAsia" w:ascii="仿宋" w:hAnsi="仿宋" w:eastAsia="仿宋"/>
          <w:b w:val="0"/>
          <w:bCs w:val="0"/>
          <w:sz w:val="32"/>
          <w:szCs w:val="32"/>
        </w:rPr>
        <w:t>2023年度一般公共预算财政拨款基本支出</w:t>
      </w:r>
      <w:r>
        <w:rPr>
          <w:rFonts w:ascii="仿宋" w:hAnsi="仿宋" w:eastAsia="仿宋"/>
          <w:b w:val="0"/>
          <w:bCs w:val="0"/>
          <w:sz w:val="32"/>
          <w:szCs w:val="32"/>
        </w:rPr>
        <w:t>66.79</w:t>
      </w:r>
      <w:r>
        <w:rPr>
          <w:rFonts w:hint="eastAsia" w:ascii="仿宋" w:hAnsi="仿宋" w:eastAsia="仿宋"/>
          <w:b w:val="0"/>
          <w:bCs w:val="0"/>
          <w:sz w:val="32"/>
          <w:szCs w:val="32"/>
        </w:rPr>
        <w:t>万元，其中：</w:t>
      </w:r>
    </w:p>
    <w:p>
      <w:pPr>
        <w:spacing w:line="600" w:lineRule="exact"/>
        <w:ind w:firstLine="645"/>
        <w:rPr>
          <w:rFonts w:ascii="仿宋" w:hAnsi="仿宋" w:eastAsia="仿宋"/>
          <w:b w:val="0"/>
          <w:bCs w:val="0"/>
          <w:sz w:val="32"/>
          <w:szCs w:val="32"/>
        </w:rPr>
      </w:pPr>
      <w:r>
        <w:rPr>
          <w:rFonts w:hint="eastAsia" w:ascii="仿宋" w:hAnsi="仿宋" w:eastAsia="仿宋"/>
          <w:b w:val="0"/>
          <w:bCs w:val="0"/>
          <w:sz w:val="32"/>
          <w:szCs w:val="32"/>
        </w:rPr>
        <w:t>人员经费</w:t>
      </w:r>
      <w:r>
        <w:rPr>
          <w:rFonts w:ascii="仿宋" w:hAnsi="仿宋" w:eastAsia="仿宋"/>
          <w:b w:val="0"/>
          <w:bCs w:val="0"/>
          <w:sz w:val="32"/>
          <w:szCs w:val="32"/>
        </w:rPr>
        <w:t>60.36</w:t>
      </w:r>
      <w:r>
        <w:rPr>
          <w:rFonts w:hint="eastAsia" w:ascii="仿宋" w:hAnsi="仿宋" w:eastAsia="仿宋"/>
          <w:b w:val="0"/>
          <w:bCs w:val="0"/>
          <w:sz w:val="32"/>
          <w:szCs w:val="32"/>
        </w:rPr>
        <w:t>万元，主要包括：基本工资、津贴补贴、绩效工资、机关事业单位基本养老保险缴费、职业年金缴费、其他社会保障缴费、生活补助、住房公积金等。</w:t>
      </w:r>
      <w:r>
        <w:rPr>
          <w:rFonts w:ascii="仿宋" w:hAnsi="仿宋" w:eastAsia="仿宋"/>
          <w:b w:val="0"/>
          <w:bCs w:val="0"/>
          <w:sz w:val="32"/>
          <w:szCs w:val="32"/>
        </w:rPr>
        <w:br w:type="textWrapping"/>
      </w:r>
      <w:r>
        <w:rPr>
          <w:rFonts w:hint="eastAsia" w:ascii="仿宋" w:hAnsi="仿宋" w:eastAsia="仿宋"/>
          <w:b w:val="0"/>
          <w:bCs w:val="0"/>
          <w:sz w:val="32"/>
          <w:szCs w:val="32"/>
        </w:rPr>
        <w:t>　　公用经费</w:t>
      </w:r>
      <w:r>
        <w:rPr>
          <w:rFonts w:ascii="仿宋" w:hAnsi="仿宋" w:eastAsia="仿宋"/>
          <w:b w:val="0"/>
          <w:bCs w:val="0"/>
          <w:sz w:val="32"/>
          <w:szCs w:val="32"/>
        </w:rPr>
        <w:t>6.43</w:t>
      </w:r>
      <w:r>
        <w:rPr>
          <w:rFonts w:hint="eastAsia" w:ascii="仿宋" w:hAnsi="仿宋" w:eastAsia="仿宋"/>
          <w:b w:val="0"/>
          <w:bCs w:val="0"/>
          <w:sz w:val="32"/>
          <w:szCs w:val="32"/>
        </w:rPr>
        <w:t>万元，主要包括：办公费、水费、电费、邮电费、差旅费、公务接待费、劳务费、工会经费、福利费等。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67" w:name="_Toc11703"/>
      <w:bookmarkStart w:id="68" w:name="_Toc15396609"/>
      <w:bookmarkStart w:id="69" w:name="_Toc15377215"/>
      <w:bookmarkStart w:id="70" w:name="_Toc8392"/>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67"/>
      <w:bookmarkEnd w:id="68"/>
      <w:bookmarkEnd w:id="69"/>
      <w:bookmarkEnd w:id="70"/>
    </w:p>
    <w:p>
      <w:pPr>
        <w:spacing w:line="600" w:lineRule="exact"/>
        <w:ind w:firstLine="640"/>
        <w:outlineLvl w:val="2"/>
        <w:rPr>
          <w:rFonts w:ascii="仿宋" w:hAnsi="仿宋" w:eastAsia="仿宋"/>
          <w:b/>
          <w:sz w:val="32"/>
          <w:szCs w:val="32"/>
        </w:rPr>
      </w:pPr>
      <w:bookmarkStart w:id="71" w:name="_Toc17175"/>
      <w:bookmarkStart w:id="72" w:name="_Toc15377216"/>
      <w:bookmarkStart w:id="73" w:name="_Toc31063"/>
      <w:r>
        <w:rPr>
          <w:rFonts w:hint="eastAsia" w:ascii="仿宋" w:hAnsi="仿宋" w:eastAsia="仿宋"/>
          <w:b/>
          <w:sz w:val="32"/>
          <w:szCs w:val="32"/>
        </w:rPr>
        <w:t>（一）“三公”经费财政拨款支出决算总体情况说明</w:t>
      </w:r>
      <w:bookmarkEnd w:id="71"/>
      <w:bookmarkEnd w:id="72"/>
      <w:bookmarkEnd w:id="73"/>
    </w:p>
    <w:p>
      <w:pPr>
        <w:spacing w:line="600" w:lineRule="exact"/>
        <w:ind w:firstLine="640"/>
        <w:rPr>
          <w:rFonts w:ascii="仿宋" w:hAnsi="仿宋" w:eastAsia="仿宋"/>
          <w:sz w:val="32"/>
          <w:szCs w:val="32"/>
        </w:rPr>
      </w:pPr>
      <w:r>
        <w:rPr>
          <w:rFonts w:hint="eastAsia" w:ascii="仿宋" w:hAnsi="仿宋" w:eastAsia="仿宋"/>
          <w:b w:val="0"/>
          <w:bCs w:val="0"/>
          <w:sz w:val="32"/>
          <w:szCs w:val="32"/>
        </w:rPr>
        <w:t>2023年度“三公”经费财政拨款支出决算为</w:t>
      </w:r>
      <w:r>
        <w:rPr>
          <w:rFonts w:ascii="仿宋" w:hAnsi="仿宋" w:eastAsia="仿宋"/>
          <w:b w:val="0"/>
          <w:bCs w:val="0"/>
          <w:sz w:val="32"/>
          <w:szCs w:val="32"/>
        </w:rPr>
        <w:t>0.3</w:t>
      </w:r>
      <w:r>
        <w:rPr>
          <w:rFonts w:hint="eastAsia" w:ascii="仿宋" w:hAnsi="仿宋" w:eastAsia="仿宋"/>
          <w:b w:val="0"/>
          <w:bCs w:val="0"/>
          <w:sz w:val="32"/>
          <w:szCs w:val="32"/>
        </w:rPr>
        <w:t>万元，完成预算</w:t>
      </w:r>
      <w:r>
        <w:rPr>
          <w:rFonts w:ascii="仿宋" w:hAnsi="仿宋" w:eastAsia="仿宋"/>
          <w:b w:val="0"/>
          <w:bCs w:val="0"/>
          <w:sz w:val="32"/>
          <w:szCs w:val="32"/>
        </w:rPr>
        <w:t>100%</w:t>
      </w:r>
      <w:r>
        <w:rPr>
          <w:rFonts w:hint="eastAsia" w:ascii="仿宋" w:hAnsi="仿宋" w:eastAsia="仿宋"/>
          <w:b w:val="0"/>
          <w:bCs w:val="0"/>
          <w:sz w:val="32"/>
          <w:szCs w:val="32"/>
        </w:rPr>
        <w:t>，较上年度增加</w:t>
      </w:r>
      <w:r>
        <w:rPr>
          <w:rFonts w:hint="eastAsia" w:ascii="仿宋" w:hAnsi="仿宋" w:eastAsia="仿宋"/>
          <w:b w:val="0"/>
          <w:bCs w:val="0"/>
          <w:sz w:val="32"/>
          <w:szCs w:val="32"/>
          <w:lang w:val="en-US" w:eastAsia="zh-CN"/>
        </w:rPr>
        <w:t>0.3</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100</w:t>
      </w:r>
      <w:r>
        <w:rPr>
          <w:rFonts w:hint="eastAsia" w:ascii="仿宋" w:hAnsi="仿宋" w:eastAsia="仿宋"/>
          <w:b w:val="0"/>
          <w:bCs w:val="0"/>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74" w:name="_Toc15377217"/>
      <w:bookmarkStart w:id="75" w:name="_Toc789"/>
      <w:bookmarkStart w:id="76" w:name="_Toc11658"/>
      <w:r>
        <w:rPr>
          <w:rFonts w:hint="eastAsia" w:ascii="仿宋" w:hAnsi="仿宋" w:eastAsia="仿宋"/>
          <w:b/>
          <w:sz w:val="32"/>
          <w:szCs w:val="32"/>
        </w:rPr>
        <w:t>（二）“三公”经费财政拨款支出决算具体情况说明</w:t>
      </w:r>
      <w:bookmarkEnd w:id="74"/>
      <w:bookmarkEnd w:id="75"/>
      <w:bookmarkEnd w:id="76"/>
    </w:p>
    <w:p>
      <w:pPr>
        <w:spacing w:line="600" w:lineRule="exact"/>
        <w:ind w:firstLine="640"/>
        <w:rPr>
          <w:rFonts w:hint="eastAsia" w:ascii="仿宋" w:hAnsi="仿宋" w:eastAsia="仿宋"/>
          <w:b w:val="0"/>
          <w:bCs w:val="0"/>
          <w:sz w:val="32"/>
          <w:szCs w:val="32"/>
        </w:rPr>
      </w:pPr>
      <w:r>
        <w:rPr>
          <w:rFonts w:hint="eastAsia" w:ascii="仿宋" w:hAnsi="仿宋" w:eastAsia="仿宋"/>
          <w:b w:val="0"/>
          <w:bCs w:val="0"/>
          <w:sz w:val="32"/>
          <w:szCs w:val="32"/>
        </w:rPr>
        <w:t>2023年度“三公”经费财政拨款支出决算中，因公出国（境）费支出决算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；公务用车购置及运行维护费支出决算</w:t>
      </w:r>
      <w:r>
        <w:rPr>
          <w:rFonts w:ascii="仿宋" w:hAnsi="仿宋" w:eastAsia="仿宋"/>
          <w:b w:val="0"/>
          <w:bCs w:val="0"/>
          <w:sz w:val="32"/>
          <w:szCs w:val="32"/>
        </w:rPr>
        <w:t>0</w:t>
      </w:r>
      <w:r>
        <w:rPr>
          <w:rFonts w:hint="eastAsia" w:ascii="仿宋" w:hAnsi="仿宋" w:eastAsia="仿宋"/>
          <w:b w:val="0"/>
          <w:bCs w:val="0"/>
          <w:sz w:val="32"/>
          <w:szCs w:val="32"/>
        </w:rPr>
        <w:t>万元，占</w:t>
      </w:r>
      <w:r>
        <w:rPr>
          <w:rFonts w:ascii="仿宋" w:hAnsi="仿宋" w:eastAsia="仿宋"/>
          <w:b w:val="0"/>
          <w:bCs w:val="0"/>
          <w:sz w:val="32"/>
          <w:szCs w:val="32"/>
        </w:rPr>
        <w:t>0%</w:t>
      </w:r>
      <w:r>
        <w:rPr>
          <w:rFonts w:hint="eastAsia" w:ascii="仿宋" w:hAnsi="仿宋" w:eastAsia="仿宋"/>
          <w:b w:val="0"/>
          <w:bCs w:val="0"/>
          <w:sz w:val="32"/>
          <w:szCs w:val="32"/>
        </w:rPr>
        <w:t>；公务接待费支出决算</w:t>
      </w:r>
      <w:r>
        <w:rPr>
          <w:rFonts w:ascii="仿宋" w:hAnsi="仿宋" w:eastAsia="仿宋"/>
          <w:b w:val="0"/>
          <w:bCs w:val="0"/>
          <w:sz w:val="32"/>
          <w:szCs w:val="32"/>
        </w:rPr>
        <w:t>0.3</w:t>
      </w:r>
      <w:r>
        <w:rPr>
          <w:rFonts w:hint="eastAsia" w:ascii="仿宋" w:hAnsi="仿宋" w:eastAsia="仿宋"/>
          <w:b w:val="0"/>
          <w:bCs w:val="0"/>
          <w:sz w:val="32"/>
          <w:szCs w:val="32"/>
        </w:rPr>
        <w:t>万元，占</w:t>
      </w:r>
      <w:r>
        <w:rPr>
          <w:rFonts w:ascii="仿宋" w:hAnsi="仿宋" w:eastAsia="仿宋"/>
          <w:b w:val="0"/>
          <w:bCs w:val="0"/>
          <w:sz w:val="32"/>
          <w:szCs w:val="32"/>
        </w:rPr>
        <w:t>100%</w:t>
      </w:r>
      <w:r>
        <w:rPr>
          <w:rFonts w:hint="eastAsia" w:ascii="仿宋" w:hAnsi="仿宋" w:eastAsia="仿宋"/>
          <w:b w:val="0"/>
          <w:bCs w:val="0"/>
          <w:sz w:val="32"/>
          <w:szCs w:val="32"/>
        </w:rPr>
        <w:t>。具体情况如下：</w:t>
      </w:r>
    </w:p>
    <w:p>
      <w:pPr>
        <w:pStyle w:val="18"/>
        <w:outlineLvl w:val="9"/>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bookmarkStart w:id="77" w:name="_Toc15396610"/>
      <w:bookmarkStart w:id="78"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b w:val="0"/>
          <w:bCs/>
          <w:sz w:val="32"/>
          <w:szCs w:val="32"/>
        </w:rPr>
        <w:t>全年安排因公出国（境）团组</w:t>
      </w:r>
      <w:r>
        <w:rPr>
          <w:rFonts w:ascii="仿宋_GB2312" w:eastAsia="仿宋_GB2312"/>
          <w:b w:val="0"/>
          <w:bCs/>
          <w:sz w:val="32"/>
          <w:szCs w:val="32"/>
        </w:rPr>
        <w:t>0</w:t>
      </w:r>
      <w:r>
        <w:rPr>
          <w:rFonts w:hint="eastAsia" w:ascii="仿宋_GB2312" w:eastAsia="仿宋_GB2312"/>
          <w:b w:val="0"/>
          <w:bCs/>
          <w:sz w:val="32"/>
          <w:szCs w:val="32"/>
        </w:rPr>
        <w:t>次，出国（境）</w:t>
      </w:r>
      <w:r>
        <w:rPr>
          <w:rFonts w:ascii="仿宋_GB2312" w:eastAsia="仿宋_GB2312"/>
          <w:b w:val="0"/>
          <w:bCs/>
          <w:sz w:val="32"/>
          <w:szCs w:val="32"/>
        </w:rPr>
        <w:t>0</w:t>
      </w:r>
      <w:r>
        <w:rPr>
          <w:rFonts w:hint="eastAsia" w:ascii="仿宋_GB2312" w:eastAsia="仿宋_GB2312"/>
          <w:b w:val="0"/>
          <w:bCs/>
          <w:sz w:val="32"/>
          <w:szCs w:val="32"/>
        </w:rPr>
        <w:t>人</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Fonts w:hint="eastAsia" w:ascii="仿宋_GB2312" w:eastAsia="仿宋_GB2312"/>
          <w:sz w:val="32"/>
          <w:szCs w:val="32"/>
        </w:rPr>
        <w:t>。</w:t>
      </w:r>
    </w:p>
    <w:p>
      <w:pPr>
        <w:spacing w:line="60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其中：公务用车购置支出</w:t>
      </w:r>
      <w:r>
        <w:rPr>
          <w:rFonts w:ascii="仿宋" w:hAnsi="仿宋" w:eastAsia="仿宋"/>
          <w:b w:val="0"/>
          <w:bCs w:val="0"/>
          <w:sz w:val="32"/>
          <w:szCs w:val="32"/>
        </w:rPr>
        <w:t>0</w:t>
      </w:r>
      <w:r>
        <w:rPr>
          <w:rFonts w:hint="eastAsia" w:ascii="仿宋_GB2312" w:eastAsia="仿宋_GB2312"/>
          <w:b w:val="0"/>
          <w:bCs w:val="0"/>
          <w:sz w:val="32"/>
          <w:szCs w:val="32"/>
        </w:rPr>
        <w:t>万元。全年按规定更新购置公务用车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辆，其中：轿车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辆、金额</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万元，越野车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辆、金额</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万元，载客汽车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辆、金额</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万元，主要用于…。截至2023年</w:t>
      </w:r>
      <w:r>
        <w:rPr>
          <w:rFonts w:ascii="仿宋_GB2312" w:eastAsia="仿宋_GB2312"/>
          <w:b w:val="0"/>
          <w:bCs w:val="0"/>
          <w:sz w:val="32"/>
          <w:szCs w:val="32"/>
        </w:rPr>
        <w:t>12</w:t>
      </w:r>
      <w:r>
        <w:rPr>
          <w:rFonts w:hint="eastAsia" w:ascii="仿宋_GB2312" w:eastAsia="仿宋_GB2312"/>
          <w:b w:val="0"/>
          <w:bCs w:val="0"/>
          <w:sz w:val="32"/>
          <w:szCs w:val="32"/>
        </w:rPr>
        <w:t>月31日，单位共有公务用车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辆，其中：轿车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辆、越野车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辆、载客汽车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w:t>
      </w:r>
    </w:p>
    <w:p>
      <w:pPr>
        <w:spacing w:line="600" w:lineRule="exact"/>
        <w:ind w:firstLine="640"/>
        <w:rPr>
          <w:rFonts w:ascii="仿宋_GB2312" w:eastAsia="仿宋_GB2312"/>
          <w:b w:val="0"/>
          <w:bCs w:val="0"/>
          <w:sz w:val="32"/>
          <w:szCs w:val="32"/>
        </w:rPr>
      </w:pPr>
      <w:r>
        <w:rPr>
          <w:rFonts w:hint="eastAsia" w:ascii="仿宋_GB2312" w:eastAsia="仿宋_GB2312"/>
          <w:b w:val="0"/>
          <w:bCs w:val="0"/>
          <w:sz w:val="32"/>
          <w:szCs w:val="32"/>
        </w:rPr>
        <w:t>公务用车运行维护费支出</w:t>
      </w:r>
      <w:r>
        <w:rPr>
          <w:rFonts w:ascii="仿宋" w:hAnsi="仿宋" w:eastAsia="仿宋"/>
          <w:b w:val="0"/>
          <w:bCs w:val="0"/>
          <w:sz w:val="32"/>
          <w:szCs w:val="32"/>
        </w:rPr>
        <w:t>0</w:t>
      </w:r>
      <w:r>
        <w:rPr>
          <w:rFonts w:hint="eastAsia" w:ascii="仿宋_GB2312" w:eastAsia="仿宋_GB2312"/>
          <w:b w:val="0"/>
          <w:bCs w:val="0"/>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0.3</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0.3</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val="en-US" w:eastAsia="zh-CN"/>
        </w:rPr>
        <w:t>本年度单位独立核算，账务分离，去年与机关合并核算</w:t>
      </w:r>
      <w:r>
        <w:rPr>
          <w:rFonts w:hint="eastAsia" w:ascii="仿宋_GB2312" w:eastAsia="仿宋_GB2312"/>
          <w:sz w:val="32"/>
          <w:szCs w:val="32"/>
        </w:rPr>
        <w:t>。其中：</w:t>
      </w:r>
    </w:p>
    <w:p>
      <w:pPr>
        <w:spacing w:line="600" w:lineRule="exact"/>
        <w:ind w:firstLine="640"/>
        <w:rPr>
          <w:rFonts w:ascii="黑体" w:eastAsia="黑体"/>
          <w:sz w:val="32"/>
          <w:szCs w:val="32"/>
        </w:rPr>
      </w:pPr>
      <w:r>
        <w:rPr>
          <w:rFonts w:hint="eastAsia" w:ascii="仿宋" w:hAnsi="仿宋" w:eastAsia="仿宋"/>
          <w:b/>
          <w:sz w:val="32"/>
          <w:szCs w:val="32"/>
        </w:rPr>
        <w:t>国内公务接待支出</w:t>
      </w:r>
      <w:r>
        <w:rPr>
          <w:rFonts w:ascii="仿宋" w:hAnsi="仿宋" w:eastAsia="仿宋"/>
          <w:b/>
          <w:sz w:val="32"/>
          <w:szCs w:val="32"/>
        </w:rPr>
        <w:t>0.3</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2</w:t>
      </w:r>
      <w:r>
        <w:rPr>
          <w:rFonts w:hint="eastAsia" w:ascii="仿宋_GB2312" w:eastAsia="仿宋_GB2312"/>
          <w:sz w:val="32"/>
          <w:szCs w:val="32"/>
        </w:rPr>
        <w:t>批次，人次</w:t>
      </w:r>
      <w:r>
        <w:rPr>
          <w:rFonts w:hint="eastAsia" w:ascii="仿宋_GB2312" w:eastAsia="仿宋_GB2312"/>
          <w:sz w:val="32"/>
          <w:szCs w:val="32"/>
          <w:lang w:val="en-US" w:eastAsia="zh-CN"/>
        </w:rPr>
        <w:t>23</w:t>
      </w:r>
      <w:r>
        <w:rPr>
          <w:rFonts w:hint="eastAsia" w:ascii="仿宋_GB2312" w:eastAsia="仿宋_GB2312"/>
          <w:sz w:val="32"/>
          <w:szCs w:val="32"/>
        </w:rPr>
        <w:t>（不包括陪同人员），共计支出</w:t>
      </w:r>
      <w:r>
        <w:rPr>
          <w:rFonts w:hint="eastAsia" w:ascii="仿宋_GB2312" w:eastAsia="仿宋_GB2312"/>
          <w:sz w:val="32"/>
          <w:szCs w:val="32"/>
          <w:lang w:val="en-US" w:eastAsia="zh-CN"/>
        </w:rPr>
        <w:t>0.3</w:t>
      </w:r>
      <w:r>
        <w:rPr>
          <w:rFonts w:hint="eastAsia" w:ascii="仿宋_GB2312" w:eastAsia="仿宋_GB2312"/>
          <w:sz w:val="32"/>
          <w:szCs w:val="32"/>
        </w:rPr>
        <w:t>万元，具体内容包括：</w:t>
      </w:r>
      <w:r>
        <w:rPr>
          <w:rFonts w:hint="eastAsia" w:ascii="仿宋_GB2312" w:eastAsia="仿宋_GB2312"/>
          <w:color w:val="auto"/>
          <w:sz w:val="32"/>
          <w:szCs w:val="32"/>
          <w:lang w:eastAsia="zh-CN"/>
        </w:rPr>
        <w:t>接待</w:t>
      </w:r>
      <w:r>
        <w:rPr>
          <w:rFonts w:hint="eastAsia" w:ascii="仿宋_GB2312" w:eastAsia="仿宋_GB2312"/>
          <w:color w:val="auto"/>
          <w:sz w:val="32"/>
          <w:szCs w:val="32"/>
        </w:rPr>
        <w:t>市总来桥调研劳动领域政治安全</w:t>
      </w:r>
      <w:r>
        <w:rPr>
          <w:rFonts w:hint="eastAsia" w:ascii="仿宋_GB2312" w:eastAsia="仿宋_GB2312"/>
          <w:color w:val="auto"/>
          <w:sz w:val="32"/>
          <w:szCs w:val="32"/>
          <w:lang w:val="en-US" w:eastAsia="zh-CN"/>
        </w:rPr>
        <w:t>0.06万元，</w:t>
      </w:r>
      <w:r>
        <w:rPr>
          <w:rFonts w:hint="eastAsia" w:ascii="仿宋_GB2312" w:eastAsia="仿宋_GB2312"/>
          <w:color w:val="auto"/>
          <w:sz w:val="32"/>
          <w:szCs w:val="32"/>
          <w:lang w:eastAsia="zh-CN"/>
        </w:rPr>
        <w:t>接待</w:t>
      </w:r>
      <w:r>
        <w:rPr>
          <w:rFonts w:hint="default" w:ascii="仿宋_GB2312" w:eastAsia="仿宋_GB2312"/>
          <w:color w:val="auto"/>
          <w:sz w:val="32"/>
          <w:szCs w:val="32"/>
          <w:lang w:val="en-US" w:eastAsia="zh-CN"/>
        </w:rPr>
        <w:t>市总到永祥指导集体协商</w:t>
      </w:r>
      <w:r>
        <w:rPr>
          <w:rFonts w:hint="eastAsia" w:ascii="仿宋_GB2312" w:eastAsia="仿宋_GB2312"/>
          <w:color w:val="auto"/>
          <w:sz w:val="32"/>
          <w:szCs w:val="32"/>
          <w:lang w:val="en-US" w:eastAsia="zh-CN"/>
        </w:rPr>
        <w:t>0.03万元，</w:t>
      </w:r>
      <w:r>
        <w:rPr>
          <w:rFonts w:hint="eastAsia" w:ascii="仿宋_GB2312" w:eastAsia="仿宋_GB2312"/>
          <w:color w:val="auto"/>
          <w:sz w:val="32"/>
          <w:szCs w:val="32"/>
          <w:lang w:eastAsia="zh-CN"/>
        </w:rPr>
        <w:t>接待</w:t>
      </w:r>
      <w:r>
        <w:rPr>
          <w:rFonts w:hint="eastAsia" w:ascii="仿宋_GB2312" w:eastAsia="仿宋_GB2312"/>
          <w:color w:val="auto"/>
          <w:sz w:val="32"/>
          <w:szCs w:val="32"/>
          <w:lang w:val="en-US" w:eastAsia="zh-CN"/>
        </w:rPr>
        <w:t>马边工会来桥学习交流0.09万元，</w:t>
      </w:r>
      <w:r>
        <w:rPr>
          <w:rFonts w:hint="eastAsia" w:ascii="仿宋_GB2312" w:eastAsia="仿宋_GB2312"/>
          <w:color w:val="auto"/>
          <w:sz w:val="32"/>
          <w:szCs w:val="32"/>
          <w:lang w:eastAsia="zh-CN"/>
        </w:rPr>
        <w:t>接待</w:t>
      </w:r>
      <w:r>
        <w:rPr>
          <w:rFonts w:hint="eastAsia" w:ascii="仿宋_GB2312" w:eastAsia="仿宋_GB2312"/>
          <w:color w:val="auto"/>
          <w:sz w:val="32"/>
          <w:szCs w:val="32"/>
          <w:lang w:val="en-US" w:eastAsia="zh-CN"/>
        </w:rPr>
        <w:t>峨眉山市总工会来桥开展党支部联建活动0.12万元</w:t>
      </w:r>
      <w:r>
        <w:rPr>
          <w:rFonts w:hint="eastAsia" w:ascii="仿宋_GB2312" w:eastAsia="仿宋_GB2312"/>
          <w:sz w:val="32"/>
          <w:szCs w:val="32"/>
        </w:rPr>
        <w:t>。</w:t>
      </w:r>
    </w:p>
    <w:p>
      <w:pPr>
        <w:spacing w:line="600" w:lineRule="exact"/>
        <w:ind w:firstLine="640"/>
        <w:outlineLvl w:val="1"/>
        <w:rPr>
          <w:rStyle w:val="28"/>
          <w:rFonts w:ascii="黑体" w:hAnsi="黑体" w:eastAsia="黑体"/>
        </w:rPr>
      </w:pPr>
      <w:bookmarkStart w:id="79" w:name="_Toc16911"/>
      <w:bookmarkStart w:id="80" w:name="_Toc11755"/>
      <w:r>
        <w:rPr>
          <w:rFonts w:hint="eastAsia" w:ascii="黑体" w:eastAsia="黑体"/>
          <w:sz w:val="32"/>
          <w:szCs w:val="32"/>
        </w:rPr>
        <w:t>八、</w:t>
      </w:r>
      <w:r>
        <w:rPr>
          <w:rStyle w:val="28"/>
          <w:rFonts w:hint="eastAsia" w:ascii="黑体" w:hAnsi="黑体" w:eastAsia="黑体"/>
          <w:b w:val="0"/>
        </w:rPr>
        <w:t>政府性基金预算支出决算情况说明</w:t>
      </w:r>
      <w:bookmarkEnd w:id="77"/>
      <w:bookmarkEnd w:id="78"/>
      <w:bookmarkEnd w:id="79"/>
      <w:bookmarkEnd w:id="80"/>
    </w:p>
    <w:p>
      <w:pPr>
        <w:spacing w:line="600" w:lineRule="exact"/>
        <w:ind w:firstLine="640"/>
        <w:rPr>
          <w:rFonts w:ascii="仿宋_GB2312" w:eastAsia="仿宋_GB2312"/>
          <w:b w:val="0"/>
          <w:bCs w:val="0"/>
          <w:sz w:val="32"/>
          <w:szCs w:val="32"/>
        </w:rPr>
      </w:pPr>
      <w:r>
        <w:rPr>
          <w:rFonts w:hint="eastAsia" w:ascii="仿宋_GB2312" w:eastAsia="仿宋_GB2312"/>
          <w:sz w:val="32"/>
          <w:szCs w:val="32"/>
        </w:rPr>
        <w:t>2023年度政府性基金</w:t>
      </w:r>
      <w:r>
        <w:rPr>
          <w:rFonts w:hint="eastAsia" w:ascii="仿宋_GB2312" w:eastAsia="仿宋_GB2312"/>
          <w:b w:val="0"/>
          <w:bCs w:val="0"/>
          <w:sz w:val="32"/>
          <w:szCs w:val="32"/>
        </w:rPr>
        <w:t>预算财政拨款支出</w:t>
      </w:r>
      <w:r>
        <w:rPr>
          <w:rFonts w:ascii="仿宋" w:hAnsi="仿宋" w:eastAsia="仿宋"/>
          <w:b w:val="0"/>
          <w:bCs w:val="0"/>
          <w:sz w:val="32"/>
          <w:szCs w:val="32"/>
        </w:rPr>
        <w:t>0</w:t>
      </w:r>
      <w:r>
        <w:rPr>
          <w:rFonts w:hint="eastAsia" w:ascii="仿宋_GB2312" w:eastAsia="仿宋_GB2312"/>
          <w:b w:val="0"/>
          <w:bCs w:val="0"/>
          <w:sz w:val="32"/>
          <w:szCs w:val="32"/>
        </w:rPr>
        <w:t>万元。</w:t>
      </w:r>
    </w:p>
    <w:p>
      <w:pPr>
        <w:numPr>
          <w:ilvl w:val="0"/>
          <w:numId w:val="3"/>
        </w:numPr>
        <w:spacing w:line="600" w:lineRule="exact"/>
        <w:ind w:firstLine="640"/>
        <w:outlineLvl w:val="1"/>
        <w:rPr>
          <w:rStyle w:val="28"/>
          <w:rFonts w:ascii="黑体" w:hAnsi="黑体" w:eastAsia="黑体"/>
          <w:b w:val="0"/>
        </w:rPr>
      </w:pPr>
      <w:bookmarkStart w:id="81" w:name="_Toc15377219"/>
      <w:bookmarkStart w:id="82" w:name="_Toc15396611"/>
      <w:bookmarkStart w:id="83" w:name="_Toc27953"/>
      <w:bookmarkStart w:id="84" w:name="_Toc28497"/>
      <w:r>
        <w:rPr>
          <w:rStyle w:val="28"/>
          <w:rFonts w:hint="eastAsia" w:ascii="黑体" w:hAnsi="黑体" w:eastAsia="黑体"/>
          <w:b w:val="0"/>
        </w:rPr>
        <w:t>国有资本经营预算支出决算情况说明</w:t>
      </w:r>
      <w:bookmarkEnd w:id="81"/>
      <w:bookmarkEnd w:id="82"/>
      <w:bookmarkEnd w:id="83"/>
      <w:bookmarkEnd w:id="84"/>
    </w:p>
    <w:p>
      <w:pPr>
        <w:spacing w:line="600" w:lineRule="exact"/>
        <w:ind w:firstLine="640"/>
        <w:rPr>
          <w:rFonts w:ascii="仿宋_GB2312" w:eastAsia="仿宋_GB2312"/>
          <w:b w:val="0"/>
          <w:bCs w:val="0"/>
          <w:sz w:val="32"/>
          <w:szCs w:val="32"/>
        </w:rPr>
      </w:pPr>
      <w:r>
        <w:rPr>
          <w:rFonts w:hint="eastAsia" w:ascii="仿宋_GB2312" w:eastAsia="仿宋_GB2312"/>
          <w:sz w:val="32"/>
          <w:szCs w:val="32"/>
        </w:rPr>
        <w:t>2023年度国有资本经营预</w:t>
      </w:r>
      <w:r>
        <w:rPr>
          <w:rFonts w:hint="eastAsia" w:ascii="仿宋_GB2312" w:eastAsia="仿宋_GB2312"/>
          <w:b w:val="0"/>
          <w:bCs w:val="0"/>
          <w:sz w:val="32"/>
          <w:szCs w:val="32"/>
        </w:rPr>
        <w:t>算财政拨款支出</w:t>
      </w:r>
      <w:r>
        <w:rPr>
          <w:rFonts w:ascii="仿宋" w:hAnsi="仿宋" w:eastAsia="仿宋"/>
          <w:b w:val="0"/>
          <w:bCs w:val="0"/>
          <w:sz w:val="32"/>
          <w:szCs w:val="32"/>
        </w:rPr>
        <w:t>0</w:t>
      </w:r>
      <w:r>
        <w:rPr>
          <w:rFonts w:hint="eastAsia" w:ascii="仿宋_GB2312" w:eastAsia="仿宋_GB2312"/>
          <w:b w:val="0"/>
          <w:bCs w:val="0"/>
          <w:sz w:val="32"/>
          <w:szCs w:val="32"/>
        </w:rPr>
        <w:t>万元。</w:t>
      </w:r>
    </w:p>
    <w:p>
      <w:pPr>
        <w:spacing w:line="580" w:lineRule="exact"/>
        <w:jc w:val="center"/>
        <w:rPr>
          <w:rFonts w:ascii="Arial Unicode MS" w:hAnsi="Arial Unicode MS" w:eastAsia="Arial Unicode MS" w:cs="Arial Unicode MS"/>
          <w:sz w:val="44"/>
          <w:szCs w:val="44"/>
        </w:rPr>
      </w:pPr>
    </w:p>
    <w:p>
      <w:pPr>
        <w:numPr>
          <w:ilvl w:val="0"/>
          <w:numId w:val="3"/>
        </w:numPr>
        <w:spacing w:line="600" w:lineRule="exact"/>
        <w:ind w:firstLine="640"/>
        <w:outlineLvl w:val="1"/>
        <w:rPr>
          <w:rStyle w:val="28"/>
          <w:rFonts w:ascii="黑体" w:hAnsi="黑体" w:eastAsia="黑体"/>
          <w:b w:val="0"/>
        </w:rPr>
      </w:pPr>
      <w:bookmarkStart w:id="85" w:name="_Toc15377221"/>
      <w:bookmarkStart w:id="86" w:name="_Toc15396612"/>
      <w:bookmarkStart w:id="87" w:name="_Toc17604"/>
      <w:bookmarkStart w:id="88" w:name="_Toc22322"/>
      <w:r>
        <w:rPr>
          <w:rStyle w:val="28"/>
          <w:rFonts w:hint="eastAsia" w:ascii="黑体" w:hAnsi="黑体" w:eastAsia="黑体"/>
          <w:b w:val="0"/>
        </w:rPr>
        <w:t>其他重要事项的情况说明</w:t>
      </w:r>
      <w:bookmarkEnd w:id="85"/>
      <w:bookmarkEnd w:id="86"/>
      <w:bookmarkEnd w:id="87"/>
      <w:bookmarkEnd w:id="88"/>
    </w:p>
    <w:p>
      <w:pPr>
        <w:spacing w:line="600" w:lineRule="exact"/>
        <w:ind w:firstLine="643" w:firstLineChars="200"/>
        <w:outlineLvl w:val="2"/>
        <w:rPr>
          <w:rFonts w:ascii="仿宋" w:hAnsi="仿宋" w:eastAsia="仿宋"/>
          <w:sz w:val="32"/>
          <w:szCs w:val="32"/>
        </w:rPr>
      </w:pPr>
      <w:bookmarkStart w:id="89" w:name="_Toc15377222"/>
      <w:bookmarkStart w:id="90" w:name="_Toc16274"/>
      <w:bookmarkStart w:id="91" w:name="_Toc67"/>
      <w:r>
        <w:rPr>
          <w:rFonts w:hint="eastAsia" w:ascii="仿宋" w:hAnsi="仿宋" w:eastAsia="仿宋"/>
          <w:b/>
          <w:sz w:val="32"/>
          <w:szCs w:val="32"/>
        </w:rPr>
        <w:t>（一）机关运行经费支出情况</w:t>
      </w:r>
      <w:bookmarkEnd w:id="89"/>
      <w:bookmarkEnd w:id="90"/>
      <w:bookmarkEnd w:id="91"/>
    </w:p>
    <w:p>
      <w:pPr>
        <w:spacing w:line="600" w:lineRule="exact"/>
        <w:ind w:firstLine="640" w:firstLineChars="200"/>
        <w:rPr>
          <w:rFonts w:ascii="仿宋_GB2312" w:eastAsia="仿宋_GB2312"/>
          <w:sz w:val="32"/>
          <w:szCs w:val="32"/>
        </w:rPr>
      </w:pPr>
      <w:r>
        <w:rPr>
          <w:rFonts w:hint="eastAsia" w:ascii="仿宋_GB2312" w:eastAsia="仿宋_GB2312"/>
          <w:b w:val="0"/>
          <w:bCs w:val="0"/>
          <w:sz w:val="32"/>
          <w:szCs w:val="32"/>
        </w:rPr>
        <w:t>2023年度，</w:t>
      </w:r>
      <w:r>
        <w:rPr>
          <w:rFonts w:ascii="仿宋_GB2312" w:eastAsia="仿宋_GB2312"/>
          <w:b w:val="0"/>
          <w:bCs w:val="0"/>
          <w:sz w:val="32"/>
          <w:szCs w:val="32"/>
        </w:rPr>
        <w:t>乐山市五通桥区职工服务中心</w:t>
      </w:r>
      <w:r>
        <w:rPr>
          <w:rFonts w:hint="eastAsia" w:ascii="仿宋_GB2312" w:eastAsia="仿宋_GB2312"/>
          <w:b w:val="0"/>
          <w:bCs w:val="0"/>
          <w:sz w:val="32"/>
          <w:szCs w:val="32"/>
        </w:rPr>
        <w:t>机关运行经费支出</w:t>
      </w:r>
      <w:r>
        <w:rPr>
          <w:rFonts w:hint="eastAsia" w:ascii="仿宋" w:hAnsi="仿宋" w:eastAsia="仿宋"/>
          <w:b w:val="0"/>
          <w:bCs w:val="0"/>
          <w:sz w:val="32"/>
          <w:szCs w:val="32"/>
          <w:lang w:val="en-US" w:eastAsia="zh-CN"/>
        </w:rPr>
        <w:t>6.43</w:t>
      </w:r>
      <w:r>
        <w:rPr>
          <w:rFonts w:hint="eastAsia" w:ascii="仿宋_GB2312" w:eastAsia="仿宋_GB2312"/>
          <w:b w:val="0"/>
          <w:bCs w:val="0"/>
          <w:sz w:val="32"/>
          <w:szCs w:val="32"/>
        </w:rPr>
        <w:t>万元，比2022年度增加</w:t>
      </w:r>
      <w:r>
        <w:rPr>
          <w:rFonts w:hint="eastAsia" w:ascii="仿宋_GB2312" w:eastAsia="仿宋_GB2312"/>
          <w:b w:val="0"/>
          <w:bCs w:val="0"/>
          <w:sz w:val="32"/>
          <w:szCs w:val="32"/>
          <w:lang w:val="en-US" w:eastAsia="zh-CN"/>
        </w:rPr>
        <w:t>6.43</w:t>
      </w:r>
      <w:r>
        <w:rPr>
          <w:rFonts w:hint="eastAsia" w:ascii="仿宋_GB2312" w:eastAsia="仿宋_GB2312"/>
          <w:b w:val="0"/>
          <w:bCs w:val="0"/>
          <w:sz w:val="32"/>
          <w:szCs w:val="32"/>
        </w:rPr>
        <w:t>万元，增长</w:t>
      </w:r>
      <w:r>
        <w:rPr>
          <w:rFonts w:hint="eastAsia" w:ascii="仿宋_GB2312" w:eastAsia="仿宋_GB2312"/>
          <w:b w:val="0"/>
          <w:bCs w:val="0"/>
          <w:sz w:val="32"/>
          <w:szCs w:val="32"/>
          <w:lang w:val="en-US" w:eastAsia="zh-CN"/>
        </w:rPr>
        <w:t>100</w:t>
      </w:r>
      <w:r>
        <w:rPr>
          <w:rFonts w:ascii="仿宋_GB2312" w:eastAsia="仿宋_GB2312"/>
          <w:b w:val="0"/>
          <w:bCs w:val="0"/>
          <w:sz w:val="32"/>
          <w:szCs w:val="32"/>
        </w:rPr>
        <w:t>%</w:t>
      </w:r>
      <w:r>
        <w:rPr>
          <w:rFonts w:hint="eastAsia" w:ascii="仿宋_GB2312" w:eastAsia="仿宋_GB2312"/>
          <w:sz w:val="32"/>
          <w:szCs w:val="32"/>
        </w:rPr>
        <w:t>。主要原因是</w:t>
      </w:r>
      <w:r>
        <w:rPr>
          <w:rFonts w:hint="eastAsia" w:ascii="仿宋" w:hAnsi="仿宋" w:eastAsia="仿宋"/>
          <w:sz w:val="32"/>
          <w:szCs w:val="32"/>
          <w:lang w:val="en-US" w:eastAsia="zh-CN"/>
        </w:rPr>
        <w:t>本年度单位独立核算，账务分离，去年与机关合并核算</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92" w:name="_Toc15377223"/>
      <w:bookmarkStart w:id="93" w:name="_Toc25924"/>
      <w:bookmarkStart w:id="94" w:name="_Toc29736"/>
      <w:r>
        <w:rPr>
          <w:rFonts w:hint="eastAsia" w:ascii="仿宋" w:hAnsi="仿宋" w:eastAsia="仿宋"/>
          <w:b/>
          <w:sz w:val="32"/>
          <w:szCs w:val="32"/>
        </w:rPr>
        <w:t>（二）政府采购支出情况</w:t>
      </w:r>
      <w:bookmarkEnd w:id="92"/>
      <w:bookmarkEnd w:id="93"/>
      <w:bookmarkEnd w:id="94"/>
    </w:p>
    <w:p>
      <w:pPr>
        <w:spacing w:line="600" w:lineRule="exact"/>
        <w:ind w:firstLine="640" w:firstLineChars="200"/>
        <w:outlineLvl w:val="9"/>
        <w:rPr>
          <w:rFonts w:ascii="仿宋_GB2312" w:eastAsia="仿宋_GB2312"/>
          <w:b w:val="0"/>
          <w:bCs w:val="0"/>
          <w:sz w:val="32"/>
          <w:szCs w:val="32"/>
        </w:rPr>
      </w:pPr>
      <w:r>
        <w:rPr>
          <w:rFonts w:hint="eastAsia" w:ascii="仿宋_GB2312" w:eastAsia="仿宋_GB2312"/>
          <w:b w:val="0"/>
          <w:bCs w:val="0"/>
          <w:sz w:val="32"/>
          <w:szCs w:val="32"/>
        </w:rPr>
        <w:t>2023年度，</w:t>
      </w:r>
      <w:r>
        <w:rPr>
          <w:rFonts w:ascii="仿宋_GB2312" w:eastAsia="仿宋_GB2312"/>
          <w:b w:val="0"/>
          <w:bCs w:val="0"/>
          <w:sz w:val="32"/>
          <w:szCs w:val="32"/>
        </w:rPr>
        <w:t>乐山市五通桥区职工服务中心</w:t>
      </w:r>
      <w:r>
        <w:rPr>
          <w:rFonts w:hint="eastAsia" w:ascii="仿宋_GB2312" w:eastAsia="仿宋_GB2312"/>
          <w:b w:val="0"/>
          <w:bCs w:val="0"/>
          <w:sz w:val="32"/>
          <w:szCs w:val="32"/>
        </w:rPr>
        <w:t>政府采购支出总额</w:t>
      </w:r>
      <w:r>
        <w:rPr>
          <w:rFonts w:ascii="仿宋" w:hAnsi="仿宋" w:eastAsia="仿宋"/>
          <w:b w:val="0"/>
          <w:bCs w:val="0"/>
          <w:sz w:val="32"/>
          <w:szCs w:val="32"/>
        </w:rPr>
        <w:t>0</w:t>
      </w:r>
      <w:r>
        <w:rPr>
          <w:rFonts w:hint="eastAsia" w:ascii="仿宋_GB2312" w:eastAsia="仿宋_GB2312"/>
          <w:b w:val="0"/>
          <w:bCs w:val="0"/>
          <w:sz w:val="32"/>
          <w:szCs w:val="32"/>
        </w:rPr>
        <w:t>万元，其中：政府采购货物支出</w:t>
      </w:r>
      <w:r>
        <w:rPr>
          <w:rFonts w:ascii="仿宋" w:hAnsi="仿宋" w:eastAsia="仿宋"/>
          <w:b w:val="0"/>
          <w:bCs w:val="0"/>
          <w:sz w:val="32"/>
          <w:szCs w:val="32"/>
        </w:rPr>
        <w:t>0</w:t>
      </w:r>
      <w:r>
        <w:rPr>
          <w:rFonts w:hint="eastAsia" w:ascii="仿宋_GB2312" w:eastAsia="仿宋_GB2312"/>
          <w:b w:val="0"/>
          <w:bCs w:val="0"/>
          <w:sz w:val="32"/>
          <w:szCs w:val="32"/>
        </w:rPr>
        <w:t>万元、政府采购工程支出</w:t>
      </w:r>
      <w:r>
        <w:rPr>
          <w:rFonts w:ascii="仿宋" w:hAnsi="仿宋" w:eastAsia="仿宋"/>
          <w:b w:val="0"/>
          <w:bCs w:val="0"/>
          <w:sz w:val="32"/>
          <w:szCs w:val="32"/>
        </w:rPr>
        <w:t>0</w:t>
      </w:r>
      <w:r>
        <w:rPr>
          <w:rFonts w:hint="eastAsia" w:ascii="仿宋_GB2312" w:eastAsia="仿宋_GB2312"/>
          <w:b w:val="0"/>
          <w:bCs w:val="0"/>
          <w:sz w:val="32"/>
          <w:szCs w:val="32"/>
        </w:rPr>
        <w:t>万元、政府采购服务支出</w:t>
      </w:r>
      <w:r>
        <w:rPr>
          <w:rFonts w:ascii="仿宋" w:hAnsi="仿宋" w:eastAsia="仿宋"/>
          <w:b w:val="0"/>
          <w:bCs w:val="0"/>
          <w:sz w:val="32"/>
          <w:szCs w:val="32"/>
        </w:rPr>
        <w:t>0</w:t>
      </w:r>
      <w:r>
        <w:rPr>
          <w:rFonts w:hint="eastAsia" w:ascii="仿宋_GB2312" w:eastAsia="仿宋_GB2312"/>
          <w:b w:val="0"/>
          <w:bCs w:val="0"/>
          <w:sz w:val="32"/>
          <w:szCs w:val="32"/>
        </w:rPr>
        <w:t>万元。主要用于</w:t>
      </w:r>
      <w:r>
        <w:rPr>
          <w:rFonts w:ascii="仿宋_GB2312" w:eastAsia="仿宋_GB2312"/>
          <w:b w:val="0"/>
          <w:bCs w:val="0"/>
          <w:sz w:val="32"/>
          <w:szCs w:val="32"/>
        </w:rPr>
        <w:t>…</w:t>
      </w:r>
      <w:r>
        <w:rPr>
          <w:rFonts w:hint="eastAsia" w:ascii="仿宋_GB2312" w:eastAsia="仿宋_GB2312"/>
          <w:b w:val="0"/>
          <w:bCs w:val="0"/>
          <w:sz w:val="32"/>
          <w:szCs w:val="32"/>
        </w:rPr>
        <w:t>（具体工作）。授予中小企业合同金额</w:t>
      </w:r>
      <w:r>
        <w:rPr>
          <w:rFonts w:ascii="仿宋" w:hAnsi="仿宋" w:eastAsia="仿宋"/>
          <w:b w:val="0"/>
          <w:bCs w:val="0"/>
          <w:sz w:val="32"/>
          <w:szCs w:val="32"/>
        </w:rPr>
        <w:t>0</w:t>
      </w:r>
      <w:r>
        <w:rPr>
          <w:rFonts w:hint="eastAsia" w:ascii="仿宋_GB2312" w:eastAsia="仿宋_GB2312"/>
          <w:b w:val="0"/>
          <w:bCs w:val="0"/>
          <w:sz w:val="32"/>
          <w:szCs w:val="32"/>
        </w:rPr>
        <w:t>万元，占政府采购支出总额的</w:t>
      </w:r>
      <w:r>
        <w:rPr>
          <w:rFonts w:ascii="仿宋_GB2312" w:eastAsia="仿宋_GB2312"/>
          <w:b w:val="0"/>
          <w:bCs w:val="0"/>
          <w:sz w:val="32"/>
          <w:szCs w:val="32"/>
        </w:rPr>
        <w:t>0%</w:t>
      </w:r>
      <w:r>
        <w:rPr>
          <w:rFonts w:hint="eastAsia" w:ascii="仿宋_GB2312" w:eastAsia="仿宋_GB2312"/>
          <w:b w:val="0"/>
          <w:bCs w:val="0"/>
          <w:sz w:val="32"/>
          <w:szCs w:val="32"/>
        </w:rPr>
        <w:t>，其中：授予小微企业合同金额</w:t>
      </w:r>
      <w:r>
        <w:rPr>
          <w:rFonts w:ascii="仿宋" w:hAnsi="仿宋" w:eastAsia="仿宋"/>
          <w:b w:val="0"/>
          <w:bCs w:val="0"/>
          <w:sz w:val="32"/>
          <w:szCs w:val="32"/>
        </w:rPr>
        <w:t>0</w:t>
      </w:r>
      <w:r>
        <w:rPr>
          <w:rFonts w:hint="eastAsia" w:ascii="仿宋_GB2312" w:eastAsia="仿宋_GB2312"/>
          <w:b w:val="0"/>
          <w:bCs w:val="0"/>
          <w:sz w:val="32"/>
          <w:szCs w:val="32"/>
        </w:rPr>
        <w:t>万元，占政府采购支出总额的</w:t>
      </w:r>
      <w:r>
        <w:rPr>
          <w:rFonts w:ascii="仿宋_GB2312" w:eastAsia="仿宋_GB2312"/>
          <w:b w:val="0"/>
          <w:bCs w:val="0"/>
          <w:sz w:val="32"/>
          <w:szCs w:val="32"/>
        </w:rPr>
        <w:t>0%</w:t>
      </w:r>
      <w:r>
        <w:rPr>
          <w:rFonts w:hint="eastAsia" w:ascii="仿宋_GB2312" w:eastAsia="仿宋_GB2312"/>
          <w:b w:val="0"/>
          <w:bCs w:val="0"/>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95" w:name="_Toc15377224"/>
      <w:bookmarkStart w:id="96" w:name="_Toc8654"/>
      <w:bookmarkStart w:id="97" w:name="_Toc22430"/>
      <w:r>
        <w:rPr>
          <w:rFonts w:hint="eastAsia" w:ascii="仿宋" w:hAnsi="仿宋" w:eastAsia="仿宋"/>
          <w:b/>
          <w:sz w:val="32"/>
          <w:szCs w:val="32"/>
        </w:rPr>
        <w:t>（三）国有资产占有使用情况</w:t>
      </w:r>
      <w:bookmarkEnd w:id="95"/>
      <w:bookmarkEnd w:id="96"/>
      <w:bookmarkEnd w:id="9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b w:val="0"/>
          <w:bCs w:val="0"/>
          <w:sz w:val="32"/>
          <w:szCs w:val="32"/>
        </w:rPr>
        <w:t>截至2023年</w:t>
      </w:r>
      <w:r>
        <w:rPr>
          <w:rFonts w:ascii="仿宋_GB2312" w:eastAsia="仿宋_GB2312"/>
          <w:b w:val="0"/>
          <w:bCs w:val="0"/>
          <w:sz w:val="32"/>
          <w:szCs w:val="32"/>
        </w:rPr>
        <w:t>12</w:t>
      </w:r>
      <w:r>
        <w:rPr>
          <w:rFonts w:hint="eastAsia" w:ascii="仿宋_GB2312" w:eastAsia="仿宋_GB2312"/>
          <w:b w:val="0"/>
          <w:bCs w:val="0"/>
          <w:sz w:val="32"/>
          <w:szCs w:val="32"/>
        </w:rPr>
        <w:t>月</w:t>
      </w:r>
      <w:r>
        <w:rPr>
          <w:rFonts w:ascii="仿宋_GB2312" w:eastAsia="仿宋_GB2312"/>
          <w:b w:val="0"/>
          <w:bCs w:val="0"/>
          <w:sz w:val="32"/>
          <w:szCs w:val="32"/>
        </w:rPr>
        <w:t>31</w:t>
      </w:r>
      <w:r>
        <w:rPr>
          <w:rFonts w:hint="eastAsia" w:ascii="仿宋_GB2312" w:eastAsia="仿宋_GB2312"/>
          <w:b w:val="0"/>
          <w:bCs w:val="0"/>
          <w:sz w:val="32"/>
          <w:szCs w:val="32"/>
        </w:rPr>
        <w:t>日，</w:t>
      </w:r>
      <w:r>
        <w:rPr>
          <w:rFonts w:ascii="仿宋_GB2312" w:eastAsia="仿宋_GB2312"/>
          <w:b w:val="0"/>
          <w:bCs w:val="0"/>
          <w:sz w:val="32"/>
          <w:szCs w:val="32"/>
        </w:rPr>
        <w:t>乐山市五通桥区职工服务中心</w:t>
      </w:r>
      <w:r>
        <w:rPr>
          <w:rFonts w:hint="eastAsia" w:ascii="仿宋_GB2312" w:eastAsia="仿宋_GB2312"/>
          <w:b w:val="0"/>
          <w:bCs w:val="0"/>
          <w:sz w:val="32"/>
          <w:szCs w:val="32"/>
        </w:rPr>
        <w:t>共有车辆0辆，其中：主要领导干部用车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辆、机要通信用车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辆、应急保障用车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辆、其他用车</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辆。单价</w:t>
      </w:r>
      <w:r>
        <w:rPr>
          <w:rFonts w:ascii="仿宋_GB2312" w:eastAsia="仿宋_GB2312"/>
          <w:b w:val="0"/>
          <w:bCs w:val="0"/>
          <w:sz w:val="32"/>
          <w:szCs w:val="32"/>
        </w:rPr>
        <w:t>100</w:t>
      </w:r>
      <w:r>
        <w:rPr>
          <w:rFonts w:hint="eastAsia" w:ascii="仿宋_GB2312" w:eastAsia="仿宋_GB2312"/>
          <w:b w:val="0"/>
          <w:bCs w:val="0"/>
          <w:sz w:val="32"/>
          <w:szCs w:val="32"/>
        </w:rPr>
        <w:t>万元以上设备（不含车辆）</w:t>
      </w:r>
      <w:r>
        <w:rPr>
          <w:rFonts w:ascii="仿宋_GB2312" w:eastAsia="仿宋_GB2312"/>
          <w:b w:val="0"/>
          <w:bCs w:val="0"/>
          <w:sz w:val="32"/>
          <w:szCs w:val="32"/>
        </w:rPr>
        <w:t>0</w:t>
      </w:r>
      <w:r>
        <w:rPr>
          <w:rFonts w:hint="eastAsia" w:ascii="仿宋_GB2312" w:eastAsia="仿宋_GB2312"/>
          <w:b w:val="0"/>
          <w:bCs w:val="0"/>
          <w:sz w:val="32"/>
          <w:szCs w:val="32"/>
        </w:rPr>
        <w:t>台（套）</w:t>
      </w:r>
      <w:r>
        <w:rPr>
          <w:rFonts w:hint="eastAsia" w:ascii="仿宋_GB2312" w:eastAsia="仿宋_GB2312"/>
          <w:sz w:val="32"/>
          <w:szCs w:val="32"/>
        </w:rPr>
        <w:t>。</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9"/>
        <w:rPr>
          <w:rFonts w:ascii="仿宋" w:hAnsi="仿宋" w:eastAsia="仿宋"/>
          <w:b/>
          <w:sz w:val="32"/>
          <w:szCs w:val="32"/>
        </w:rPr>
      </w:pPr>
      <w:bookmarkStart w:id="98" w:name="_Toc21380"/>
      <w:r>
        <w:rPr>
          <w:rFonts w:hint="eastAsia" w:ascii="仿宋" w:hAnsi="仿宋" w:eastAsia="仿宋"/>
          <w:b/>
          <w:sz w:val="32"/>
          <w:szCs w:val="32"/>
        </w:rPr>
        <w:t>（四）预算绩效管理情况</w:t>
      </w:r>
      <w:bookmarkEnd w:id="98"/>
    </w:p>
    <w:p>
      <w:pPr>
        <w:spacing w:line="600" w:lineRule="exact"/>
        <w:ind w:firstLine="640" w:firstLineChars="200"/>
        <w:outlineLvl w:val="9"/>
        <w:rPr>
          <w:rFonts w:ascii="仿宋_GB2312" w:eastAsia="仿宋_GB2312"/>
          <w:sz w:val="32"/>
          <w:szCs w:val="32"/>
        </w:rPr>
      </w:pPr>
      <w:r>
        <w:rPr>
          <w:rFonts w:hint="eastAsia" w:ascii="仿宋_GB2312" w:eastAsia="仿宋_GB2312"/>
          <w:sz w:val="32"/>
          <w:szCs w:val="32"/>
        </w:rPr>
        <w:t>根据预算绩效管理要求，本单位在2023年度预算编制阶段，组织对职工服务活动等</w:t>
      </w:r>
      <w:r>
        <w:rPr>
          <w:rFonts w:hint="eastAsia" w:ascii="仿宋_GB2312" w:eastAsia="仿宋_GB2312"/>
          <w:sz w:val="32"/>
          <w:szCs w:val="32"/>
          <w:lang w:val="en-US" w:eastAsia="zh-CN"/>
        </w:rPr>
        <w:t>1</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9"/>
        <w:rPr>
          <w:rStyle w:val="27"/>
          <w:rFonts w:ascii="黑体" w:hAnsi="黑体" w:eastAsia="黑体"/>
          <w:b w:val="0"/>
        </w:rPr>
      </w:pPr>
      <w:bookmarkStart w:id="99" w:name="_Toc15396613"/>
      <w:bookmarkStart w:id="100" w:name="_Toc15377225"/>
      <w:bookmarkStart w:id="101" w:name="_Toc30674"/>
      <w:r>
        <w:rPr>
          <w:rFonts w:hint="eastAsia" w:ascii="黑体" w:hAnsi="黑体" w:eastAsia="黑体"/>
          <w:sz w:val="44"/>
          <w:szCs w:val="44"/>
        </w:rPr>
        <w:t>名</w:t>
      </w:r>
      <w:r>
        <w:rPr>
          <w:rStyle w:val="27"/>
          <w:rFonts w:hint="eastAsia" w:ascii="黑体" w:hAnsi="黑体" w:eastAsia="黑体"/>
          <w:b w:val="0"/>
        </w:rPr>
        <w:t>词解释</w:t>
      </w:r>
      <w:bookmarkEnd w:id="99"/>
      <w:bookmarkEnd w:id="100"/>
      <w:bookmarkEnd w:id="101"/>
    </w:p>
    <w:p>
      <w:pPr>
        <w:spacing w:line="600" w:lineRule="exact"/>
        <w:jc w:val="left"/>
        <w:rPr>
          <w:rFonts w:ascii="宋体"/>
          <w:b/>
          <w:sz w:val="44"/>
          <w:szCs w:val="44"/>
        </w:rPr>
      </w:pPr>
    </w:p>
    <w:p>
      <w:pPr>
        <w:pStyle w:val="25"/>
        <w:spacing w:line="560" w:lineRule="exact"/>
        <w:ind w:firstLine="640" w:firstLineChars="200"/>
        <w:outlineLvl w:val="9"/>
        <w:rPr>
          <w:rFonts w:ascii="仿宋_GB2312" w:eastAsia="仿宋_GB2312"/>
          <w:color w:val="auto"/>
          <w:sz w:val="32"/>
          <w:szCs w:val="32"/>
        </w:rPr>
      </w:pPr>
      <w:bookmarkStart w:id="102" w:name="_Toc221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102"/>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outlineLvl w:val="9"/>
        <w:rPr>
          <w:rFonts w:hint="default" w:ascii="仿宋_GB2312" w:eastAsia="仿宋_GB2312"/>
          <w:color w:val="auto"/>
          <w:sz w:val="32"/>
          <w:szCs w:val="32"/>
          <w:lang w:val="en-US" w:eastAsia="zh-CN"/>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r>
        <w:rPr>
          <w:rFonts w:hint="eastAsia" w:ascii="仿宋_GB2312" w:eastAsia="仿宋_GB2312"/>
          <w:color w:val="auto"/>
          <w:sz w:val="32"/>
          <w:szCs w:val="32"/>
          <w:lang w:val="en-US" w:eastAsia="zh-CN"/>
        </w:rPr>
        <w:t xml:space="preserve"> </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outlineLvl w:val="9"/>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numPr>
          <w:ilvl w:val="0"/>
          <w:numId w:val="0"/>
        </w:numPr>
        <w:spacing w:line="600" w:lineRule="exact"/>
        <w:ind w:firstLine="640" w:firstLineChars="200"/>
        <w:outlineLvl w:val="9"/>
        <w:rPr>
          <w:rFonts w:hint="eastAsia" w:ascii="仿宋_GB2312" w:hAnsi="仿宋_GB2312" w:eastAsia="仿宋_GB2312"/>
          <w:b w:val="0"/>
          <w:bCs/>
          <w:color w:val="000000"/>
          <w:kern w:val="2"/>
          <w:sz w:val="32"/>
          <w:szCs w:val="24"/>
          <w:lang w:val="en-US" w:eastAsia="zh-CN"/>
        </w:rPr>
      </w:pPr>
      <w:r>
        <w:rPr>
          <w:rFonts w:hint="eastAsia" w:ascii="仿宋_GB2312" w:hAnsi="仿宋_GB2312" w:eastAsia="仿宋_GB2312"/>
          <w:b w:val="0"/>
          <w:bCs/>
          <w:color w:val="000000"/>
          <w:kern w:val="2"/>
          <w:sz w:val="32"/>
          <w:szCs w:val="24"/>
          <w:lang w:val="en-US" w:eastAsia="zh-CN"/>
        </w:rPr>
        <w:t>9.</w:t>
      </w:r>
      <w:r>
        <w:rPr>
          <w:rFonts w:hint="eastAsia" w:ascii="仿宋_GB2312" w:hAnsi="仿宋_GB2312" w:eastAsia="仿宋_GB2312"/>
          <w:b w:val="0"/>
          <w:bCs/>
          <w:color w:val="000000"/>
          <w:kern w:val="2"/>
          <w:sz w:val="32"/>
          <w:szCs w:val="24"/>
          <w:lang w:val="en-US"/>
        </w:rPr>
        <w:t>一般公共服务支出（类）</w:t>
      </w:r>
      <w:r>
        <w:rPr>
          <w:rFonts w:hint="eastAsia" w:ascii="仿宋_GB2312" w:hAnsi="仿宋_GB2312" w:eastAsia="仿宋_GB2312"/>
          <w:b w:val="0"/>
          <w:bCs/>
          <w:color w:val="000000"/>
          <w:kern w:val="2"/>
          <w:sz w:val="32"/>
          <w:szCs w:val="24"/>
          <w:lang w:val="en-US" w:eastAsia="zh-CN"/>
        </w:rPr>
        <w:t>群众团体事务</w:t>
      </w:r>
      <w:r>
        <w:rPr>
          <w:rFonts w:hint="eastAsia" w:ascii="仿宋_GB2312" w:hAnsi="仿宋_GB2312" w:eastAsia="仿宋_GB2312"/>
          <w:b w:val="0"/>
          <w:bCs/>
          <w:color w:val="000000"/>
          <w:kern w:val="2"/>
          <w:sz w:val="32"/>
          <w:szCs w:val="24"/>
          <w:lang w:val="en-US"/>
        </w:rPr>
        <w:t>（款）</w:t>
      </w:r>
      <w:r>
        <w:rPr>
          <w:rFonts w:hint="eastAsia" w:ascii="仿宋_GB2312" w:hAnsi="仿宋_GB2312" w:eastAsia="仿宋_GB2312"/>
          <w:b w:val="0"/>
          <w:bCs/>
          <w:color w:val="000000"/>
          <w:kern w:val="2"/>
          <w:sz w:val="32"/>
          <w:szCs w:val="24"/>
          <w:lang w:val="en-US" w:eastAsia="zh-CN"/>
        </w:rPr>
        <w:t>事业运行</w:t>
      </w:r>
      <w:r>
        <w:rPr>
          <w:rFonts w:hint="eastAsia" w:ascii="仿宋_GB2312" w:hAnsi="仿宋_GB2312" w:eastAsia="仿宋_GB2312"/>
          <w:b w:val="0"/>
          <w:bCs/>
          <w:color w:val="000000"/>
          <w:kern w:val="2"/>
          <w:sz w:val="32"/>
          <w:szCs w:val="24"/>
          <w:lang w:val="en-US"/>
        </w:rPr>
        <w:t xml:space="preserve">项）: </w:t>
      </w:r>
      <w:r>
        <w:rPr>
          <w:rFonts w:hint="eastAsia" w:ascii="仿宋_GB2312" w:hAnsi="仿宋_GB2312" w:eastAsia="仿宋_GB2312"/>
          <w:b w:val="0"/>
          <w:bCs/>
          <w:color w:val="000000"/>
          <w:kern w:val="2"/>
          <w:sz w:val="32"/>
          <w:szCs w:val="24"/>
          <w:lang w:val="en-US" w:eastAsia="zh-CN"/>
        </w:rPr>
        <w:t>反映事业单位的基本支出不包括行政单位（包括实行公务员管理的事业单位）后勤服务中心、医务室等附属事业单位</w:t>
      </w:r>
      <w:r>
        <w:rPr>
          <w:rFonts w:hint="eastAsia" w:ascii="仿宋" w:hAnsi="仿宋" w:eastAsia="仿宋"/>
          <w:b w:val="0"/>
          <w:bCs/>
          <w:color w:val="auto"/>
          <w:kern w:val="2"/>
          <w:sz w:val="32"/>
          <w:szCs w:val="24"/>
          <w:lang w:val="en-US"/>
        </w:rPr>
        <w:t>。</w:t>
      </w:r>
    </w:p>
    <w:p>
      <w:pPr>
        <w:numPr>
          <w:ilvl w:val="0"/>
          <w:numId w:val="0"/>
        </w:numPr>
        <w:spacing w:line="600" w:lineRule="exact"/>
        <w:ind w:firstLine="640" w:firstLineChars="200"/>
        <w:outlineLvl w:val="9"/>
        <w:rPr>
          <w:rFonts w:hint="eastAsia" w:ascii="仿宋" w:hAnsi="仿宋" w:eastAsia="仿宋"/>
          <w:b w:val="0"/>
          <w:bCs/>
          <w:color w:val="auto"/>
          <w:kern w:val="2"/>
          <w:sz w:val="32"/>
          <w:szCs w:val="24"/>
          <w:lang w:val="en-US" w:eastAsia="zh-CN"/>
        </w:rPr>
      </w:pPr>
      <w:r>
        <w:rPr>
          <w:rFonts w:hint="eastAsia" w:ascii="仿宋_GB2312" w:hAnsi="仿宋_GB2312" w:eastAsia="仿宋_GB2312"/>
          <w:b w:val="0"/>
          <w:bCs/>
          <w:color w:val="000000"/>
          <w:kern w:val="2"/>
          <w:sz w:val="32"/>
          <w:szCs w:val="24"/>
          <w:lang w:val="en-US" w:eastAsia="zh-CN"/>
        </w:rPr>
        <w:t>10.</w:t>
      </w:r>
      <w:r>
        <w:rPr>
          <w:rStyle w:val="16"/>
          <w:rFonts w:hint="eastAsia" w:ascii="仿宋" w:hAnsi="仿宋" w:eastAsia="仿宋"/>
          <w:b w:val="0"/>
          <w:bCs w:val="0"/>
          <w:sz w:val="32"/>
          <w:szCs w:val="32"/>
        </w:rPr>
        <w:t>一般公共服务（类）群众团体事务（款）其他群众团体事务支出</w:t>
      </w:r>
      <w:r>
        <w:rPr>
          <w:rFonts w:hint="eastAsia" w:ascii="仿宋_GB2312" w:hAnsi="仿宋_GB2312" w:eastAsia="仿宋_GB2312"/>
          <w:b w:val="0"/>
          <w:bCs/>
          <w:color w:val="000000"/>
          <w:kern w:val="2"/>
          <w:sz w:val="32"/>
          <w:szCs w:val="24"/>
          <w:lang w:val="en-US"/>
        </w:rPr>
        <w:t>（项）</w:t>
      </w:r>
      <w:r>
        <w:rPr>
          <w:rFonts w:hint="eastAsia" w:ascii="仿宋_GB2312" w:hAnsi="仿宋_GB2312" w:eastAsia="仿宋_GB2312"/>
          <w:b w:val="0"/>
          <w:bCs/>
          <w:color w:val="000000"/>
          <w:kern w:val="2"/>
          <w:sz w:val="32"/>
          <w:szCs w:val="24"/>
          <w:lang w:val="en-US" w:eastAsia="zh-CN"/>
        </w:rPr>
        <w:t>：反映除上述项目以外其他用于群众团体事务方面的支出</w:t>
      </w:r>
      <w:r>
        <w:rPr>
          <w:rFonts w:hint="eastAsia" w:ascii="仿宋" w:hAnsi="仿宋" w:eastAsia="仿宋"/>
          <w:b w:val="0"/>
          <w:bCs/>
          <w:color w:val="auto"/>
          <w:kern w:val="2"/>
          <w:sz w:val="32"/>
          <w:szCs w:val="24"/>
          <w:lang w:val="en-US" w:eastAsia="zh-CN"/>
        </w:rPr>
        <w:t>。</w:t>
      </w:r>
    </w:p>
    <w:p>
      <w:pPr>
        <w:numPr>
          <w:ilvl w:val="0"/>
          <w:numId w:val="0"/>
        </w:numPr>
        <w:spacing w:line="600" w:lineRule="exact"/>
        <w:ind w:firstLine="640" w:firstLineChars="200"/>
        <w:outlineLvl w:val="9"/>
        <w:rPr>
          <w:rFonts w:hint="eastAsia" w:ascii="仿宋_GB2312" w:hAnsi="仿宋_GB2312" w:eastAsia="仿宋_GB2312"/>
          <w:b w:val="0"/>
          <w:bCs/>
          <w:color w:val="000000"/>
          <w:kern w:val="2"/>
          <w:sz w:val="32"/>
          <w:szCs w:val="24"/>
          <w:lang w:val="en-US" w:eastAsia="zh-CN"/>
        </w:rPr>
      </w:pPr>
      <w:r>
        <w:rPr>
          <w:rFonts w:hint="eastAsia" w:ascii="仿宋_GB2312" w:hAnsi="仿宋_GB2312" w:eastAsia="仿宋_GB2312"/>
          <w:b w:val="0"/>
          <w:bCs/>
          <w:color w:val="000000"/>
          <w:kern w:val="2"/>
          <w:sz w:val="32"/>
          <w:szCs w:val="24"/>
          <w:lang w:val="en-US" w:eastAsia="zh-CN"/>
        </w:rPr>
        <w:t>11.</w:t>
      </w:r>
      <w:r>
        <w:rPr>
          <w:rFonts w:hint="eastAsia" w:ascii="仿宋_GB2312" w:hAnsi="仿宋_GB2312" w:eastAsia="仿宋_GB2312"/>
          <w:b w:val="0"/>
          <w:bCs/>
          <w:color w:val="000000"/>
          <w:kern w:val="2"/>
          <w:sz w:val="32"/>
          <w:szCs w:val="24"/>
          <w:lang w:val="en-US"/>
        </w:rPr>
        <w:t>社会保障和就业支出（类）行政事业单位养老支出（款）机关事业单位基本养老保险缴费支出</w:t>
      </w:r>
      <w:r>
        <w:rPr>
          <w:rFonts w:hint="eastAsia" w:ascii="仿宋_GB2312" w:hAnsi="仿宋_GB2312" w:eastAsia="仿宋_GB2312"/>
          <w:b w:val="0"/>
          <w:bCs/>
          <w:color w:val="000000"/>
          <w:kern w:val="2"/>
          <w:sz w:val="32"/>
          <w:szCs w:val="24"/>
          <w:lang w:val="en-US" w:eastAsia="zh-CN"/>
        </w:rPr>
        <w:t>（</w:t>
      </w:r>
      <w:r>
        <w:rPr>
          <w:rFonts w:hint="eastAsia" w:ascii="仿宋_GB2312" w:hAnsi="仿宋_GB2312" w:eastAsia="仿宋_GB2312"/>
          <w:b w:val="0"/>
          <w:bCs/>
          <w:color w:val="000000"/>
          <w:kern w:val="2"/>
          <w:sz w:val="32"/>
          <w:szCs w:val="24"/>
          <w:lang w:val="en-US"/>
        </w:rPr>
        <w:t>项）:</w:t>
      </w:r>
      <w:r>
        <w:rPr>
          <w:rFonts w:hint="eastAsia" w:ascii="仿宋_GB2312" w:eastAsia="仿宋_GB2312"/>
          <w:color w:val="auto"/>
          <w:sz w:val="32"/>
          <w:szCs w:val="32"/>
        </w:rPr>
        <w:t>指机关事业单位实施养老保险制度由单位缴纳的基本养老保险费支出</w:t>
      </w:r>
      <w:r>
        <w:rPr>
          <w:rFonts w:hint="eastAsia" w:ascii="仿宋_GB2312" w:eastAsia="仿宋_GB2312"/>
          <w:color w:val="auto"/>
          <w:sz w:val="32"/>
          <w:szCs w:val="32"/>
          <w:lang w:eastAsia="zh-CN"/>
        </w:rPr>
        <w:t>。</w:t>
      </w:r>
    </w:p>
    <w:p>
      <w:pPr>
        <w:numPr>
          <w:ilvl w:val="0"/>
          <w:numId w:val="0"/>
        </w:numPr>
        <w:spacing w:line="600" w:lineRule="exact"/>
        <w:ind w:firstLine="640" w:firstLineChars="200"/>
        <w:outlineLvl w:val="9"/>
        <w:rPr>
          <w:rFonts w:hint="eastAsia" w:ascii="仿宋_GB2312" w:hAnsi="仿宋_GB2312" w:eastAsia="仿宋_GB2312"/>
          <w:b w:val="0"/>
          <w:bCs/>
          <w:color w:val="000000"/>
          <w:kern w:val="2"/>
          <w:sz w:val="32"/>
          <w:szCs w:val="24"/>
          <w:lang w:val="en-US" w:eastAsia="zh-CN"/>
        </w:rPr>
      </w:pPr>
      <w:r>
        <w:rPr>
          <w:rFonts w:hint="eastAsia" w:ascii="仿宋_GB2312" w:hAnsi="仿宋_GB2312" w:eastAsia="仿宋_GB2312"/>
          <w:b w:val="0"/>
          <w:bCs/>
          <w:color w:val="000000"/>
          <w:kern w:val="2"/>
          <w:sz w:val="32"/>
          <w:szCs w:val="24"/>
          <w:lang w:val="en-US" w:eastAsia="zh-CN"/>
        </w:rPr>
        <w:t>12.</w:t>
      </w:r>
      <w:r>
        <w:rPr>
          <w:rFonts w:hint="eastAsia" w:ascii="仿宋_GB2312" w:hAnsi="仿宋_GB2312" w:eastAsia="仿宋_GB2312"/>
          <w:b w:val="0"/>
          <w:bCs/>
          <w:color w:val="000000"/>
          <w:kern w:val="2"/>
          <w:sz w:val="32"/>
          <w:szCs w:val="24"/>
          <w:lang w:val="en-US"/>
        </w:rPr>
        <w:t>社会保障和就业支出（类）行政事业单位养老支出（款）机关事业单位职业年金缴费支出</w:t>
      </w:r>
      <w:r>
        <w:rPr>
          <w:rFonts w:hint="eastAsia" w:ascii="仿宋_GB2312" w:hAnsi="仿宋_GB2312" w:eastAsia="仿宋_GB2312"/>
          <w:b w:val="0"/>
          <w:bCs/>
          <w:color w:val="000000"/>
          <w:kern w:val="2"/>
          <w:sz w:val="32"/>
          <w:szCs w:val="24"/>
          <w:lang w:val="en-US" w:eastAsia="zh-CN"/>
        </w:rPr>
        <w:t>（</w:t>
      </w:r>
      <w:r>
        <w:rPr>
          <w:rFonts w:hint="eastAsia" w:ascii="仿宋_GB2312" w:hAnsi="仿宋_GB2312" w:eastAsia="仿宋_GB2312"/>
          <w:b w:val="0"/>
          <w:bCs/>
          <w:color w:val="000000"/>
          <w:kern w:val="2"/>
          <w:sz w:val="32"/>
          <w:szCs w:val="24"/>
          <w:lang w:val="en-US"/>
        </w:rPr>
        <w:t>项）</w:t>
      </w:r>
      <w:r>
        <w:rPr>
          <w:rFonts w:hint="eastAsia" w:ascii="仿宋_GB2312" w:hAnsi="仿宋_GB2312" w:eastAsia="仿宋_GB2312"/>
          <w:b w:val="0"/>
          <w:bCs/>
          <w:color w:val="000000"/>
          <w:kern w:val="2"/>
          <w:sz w:val="32"/>
          <w:szCs w:val="24"/>
          <w:lang w:val="en-US" w:eastAsia="zh-CN"/>
        </w:rPr>
        <w:t>：</w:t>
      </w:r>
      <w:r>
        <w:rPr>
          <w:rFonts w:hint="eastAsia" w:ascii="仿宋_GB2312" w:eastAsia="仿宋_GB2312"/>
          <w:color w:val="auto"/>
          <w:sz w:val="32"/>
          <w:szCs w:val="32"/>
        </w:rPr>
        <w:t>指机关事业单位实施养老保险制度由单位缴纳的职业年金支出</w:t>
      </w:r>
      <w:r>
        <w:rPr>
          <w:rFonts w:hint="eastAsia" w:ascii="仿宋" w:hAnsi="仿宋" w:eastAsia="仿宋"/>
          <w:b w:val="0"/>
          <w:bCs/>
          <w:color w:val="auto"/>
          <w:kern w:val="2"/>
          <w:sz w:val="32"/>
          <w:szCs w:val="24"/>
          <w:lang w:val="en-US" w:eastAsia="zh-CN"/>
        </w:rPr>
        <w:t>。</w:t>
      </w:r>
    </w:p>
    <w:p>
      <w:pPr>
        <w:numPr>
          <w:ilvl w:val="0"/>
          <w:numId w:val="0"/>
        </w:numPr>
        <w:spacing w:line="600" w:lineRule="exact"/>
        <w:ind w:firstLine="640" w:firstLineChars="200"/>
        <w:outlineLvl w:val="9"/>
        <w:rPr>
          <w:rFonts w:hint="eastAsia" w:ascii="仿宋_GB2312" w:hAnsi="仿宋_GB2312" w:eastAsia="仿宋_GB2312"/>
          <w:b w:val="0"/>
          <w:bCs/>
          <w:color w:val="000000"/>
          <w:kern w:val="2"/>
          <w:sz w:val="32"/>
          <w:szCs w:val="24"/>
          <w:lang w:val="en-US" w:eastAsia="zh-CN"/>
        </w:rPr>
      </w:pPr>
      <w:r>
        <w:rPr>
          <w:rFonts w:hint="eastAsia" w:ascii="仿宋_GB2312" w:hAnsi="仿宋_GB2312" w:eastAsia="仿宋_GB2312"/>
          <w:b w:val="0"/>
          <w:bCs/>
          <w:color w:val="000000"/>
          <w:kern w:val="2"/>
          <w:sz w:val="32"/>
          <w:szCs w:val="24"/>
          <w:lang w:val="en-US" w:eastAsia="zh-CN"/>
        </w:rPr>
        <w:t>13.</w:t>
      </w:r>
      <w:r>
        <w:rPr>
          <w:rFonts w:hint="eastAsia" w:ascii="仿宋_GB2312" w:hAnsi="仿宋_GB2312" w:eastAsia="仿宋_GB2312"/>
          <w:b w:val="0"/>
          <w:bCs/>
          <w:color w:val="000000"/>
          <w:kern w:val="2"/>
          <w:sz w:val="32"/>
          <w:szCs w:val="24"/>
          <w:lang w:val="en-US"/>
        </w:rPr>
        <w:t>社会保障和就业支出（类）行政事业单位养老支出（款）</w:t>
      </w:r>
      <w:r>
        <w:rPr>
          <w:rFonts w:hint="eastAsia" w:ascii="仿宋_GB2312" w:hAnsi="仿宋_GB2312" w:eastAsia="仿宋_GB2312"/>
          <w:b w:val="0"/>
          <w:bCs/>
          <w:color w:val="000000"/>
          <w:kern w:val="2"/>
          <w:sz w:val="32"/>
          <w:szCs w:val="24"/>
          <w:lang w:val="en-US" w:eastAsia="zh-CN"/>
        </w:rPr>
        <w:t>其他行政事业单位养老支出（</w:t>
      </w:r>
      <w:r>
        <w:rPr>
          <w:rFonts w:hint="eastAsia" w:ascii="仿宋_GB2312" w:hAnsi="仿宋_GB2312" w:eastAsia="仿宋_GB2312"/>
          <w:b w:val="0"/>
          <w:bCs/>
          <w:color w:val="000000"/>
          <w:kern w:val="2"/>
          <w:sz w:val="32"/>
          <w:szCs w:val="24"/>
          <w:lang w:val="en-US"/>
        </w:rPr>
        <w:t>项）</w:t>
      </w:r>
      <w:r>
        <w:rPr>
          <w:rFonts w:hint="eastAsia" w:ascii="仿宋_GB2312" w:hAnsi="仿宋_GB2312" w:eastAsia="仿宋_GB2312"/>
          <w:b w:val="0"/>
          <w:bCs/>
          <w:color w:val="000000"/>
          <w:kern w:val="2"/>
          <w:sz w:val="32"/>
          <w:szCs w:val="24"/>
          <w:lang w:val="en-US" w:eastAsia="zh-CN"/>
        </w:rPr>
        <w:t>：</w:t>
      </w:r>
      <w:r>
        <w:rPr>
          <w:rFonts w:hint="eastAsia" w:ascii="仿宋_GB2312" w:eastAsia="仿宋_GB2312"/>
          <w:color w:val="auto"/>
          <w:sz w:val="32"/>
          <w:szCs w:val="32"/>
        </w:rPr>
        <w:t>指除上述项目以外其他用于行政事业单位养老方面的支出</w:t>
      </w:r>
      <w:r>
        <w:rPr>
          <w:rFonts w:hint="eastAsia" w:ascii="仿宋" w:hAnsi="仿宋" w:eastAsia="仿宋"/>
          <w:b w:val="0"/>
          <w:bCs/>
          <w:color w:val="auto"/>
          <w:kern w:val="2"/>
          <w:sz w:val="32"/>
          <w:szCs w:val="24"/>
          <w:lang w:val="en-US" w:eastAsia="zh-CN"/>
        </w:rPr>
        <w:t>。</w:t>
      </w:r>
    </w:p>
    <w:p>
      <w:pPr>
        <w:keepNext/>
        <w:keepLines/>
        <w:spacing w:beforeLines="0" w:afterLines="0" w:line="576" w:lineRule="exact"/>
        <w:ind w:firstLine="640"/>
        <w:jc w:val="both"/>
        <w:outlineLvl w:val="9"/>
        <w:rPr>
          <w:rFonts w:hint="eastAsia" w:ascii="仿宋" w:hAnsi="仿宋" w:eastAsia="仿宋"/>
          <w:b w:val="0"/>
          <w:bCs/>
          <w:color w:val="auto"/>
          <w:kern w:val="2"/>
          <w:sz w:val="32"/>
          <w:szCs w:val="24"/>
          <w:lang w:val="en-US" w:eastAsia="zh-CN"/>
        </w:rPr>
      </w:pPr>
      <w:r>
        <w:rPr>
          <w:rFonts w:hint="eastAsia" w:ascii="仿宋_GB2312" w:hAnsi="仿宋_GB2312" w:eastAsia="仿宋_GB2312"/>
          <w:b w:val="0"/>
          <w:bCs/>
          <w:color w:val="auto"/>
          <w:kern w:val="2"/>
          <w:sz w:val="32"/>
          <w:szCs w:val="24"/>
          <w:lang w:val="en-US" w:eastAsia="zh-CN"/>
        </w:rPr>
        <w:t>14</w:t>
      </w:r>
      <w:r>
        <w:rPr>
          <w:rFonts w:hint="eastAsia" w:ascii="仿宋_GB2312" w:hAnsi="仿宋_GB2312" w:eastAsia="仿宋_GB2312"/>
          <w:b w:val="0"/>
          <w:bCs/>
          <w:color w:val="auto"/>
          <w:kern w:val="2"/>
          <w:sz w:val="32"/>
          <w:szCs w:val="24"/>
          <w:lang w:val="en-US"/>
        </w:rPr>
        <w:t>.卫生健康支出（类）公共卫生</w:t>
      </w:r>
      <w:r>
        <w:rPr>
          <w:rFonts w:hint="eastAsia" w:ascii="仿宋_GB2312" w:hAnsi="仿宋_GB2312" w:eastAsia="仿宋_GB2312"/>
          <w:b w:val="0"/>
          <w:bCs/>
          <w:color w:val="auto"/>
          <w:kern w:val="2"/>
          <w:sz w:val="32"/>
          <w:szCs w:val="24"/>
          <w:lang w:val="en-US" w:eastAsia="zh-CN"/>
        </w:rPr>
        <w:t>（款）其他公共卫生支出（项）：反映除上述项目以外的其他用于公共卫生方面的支出</w:t>
      </w:r>
      <w:r>
        <w:rPr>
          <w:rFonts w:hint="eastAsia" w:ascii="仿宋" w:hAnsi="仿宋" w:eastAsia="仿宋"/>
          <w:b w:val="0"/>
          <w:bCs/>
          <w:color w:val="auto"/>
          <w:kern w:val="2"/>
          <w:sz w:val="32"/>
          <w:szCs w:val="24"/>
          <w:lang w:val="en-US" w:eastAsia="zh-CN"/>
        </w:rPr>
        <w:t>。</w:t>
      </w:r>
    </w:p>
    <w:p>
      <w:pPr>
        <w:keepNext/>
        <w:keepLines/>
        <w:spacing w:beforeLines="0" w:afterLines="0" w:line="576" w:lineRule="exact"/>
        <w:ind w:firstLine="640"/>
        <w:jc w:val="both"/>
        <w:outlineLvl w:val="9"/>
        <w:rPr>
          <w:rFonts w:hint="eastAsia" w:ascii="仿宋" w:hAnsi="仿宋" w:eastAsia="仿宋"/>
          <w:b w:val="0"/>
          <w:bCs/>
          <w:color w:val="auto"/>
          <w:kern w:val="2"/>
          <w:sz w:val="32"/>
          <w:szCs w:val="24"/>
          <w:lang w:val="en-US" w:eastAsia="zh-CN"/>
        </w:rPr>
      </w:pPr>
      <w:r>
        <w:rPr>
          <w:rFonts w:hint="eastAsia" w:ascii="仿宋_GB2312" w:hAnsi="仿宋_GB2312" w:eastAsia="仿宋_GB2312"/>
          <w:b w:val="0"/>
          <w:bCs/>
          <w:color w:val="auto"/>
          <w:kern w:val="2"/>
          <w:sz w:val="32"/>
          <w:szCs w:val="24"/>
          <w:lang w:val="en-US" w:eastAsia="zh-CN"/>
        </w:rPr>
        <w:t>15.</w:t>
      </w:r>
      <w:r>
        <w:rPr>
          <w:rFonts w:hint="eastAsia" w:ascii="仿宋_GB2312" w:hAnsi="仿宋_GB2312" w:eastAsia="仿宋_GB2312"/>
          <w:b w:val="0"/>
          <w:bCs/>
          <w:color w:val="auto"/>
          <w:kern w:val="2"/>
          <w:sz w:val="32"/>
          <w:szCs w:val="24"/>
          <w:lang w:val="en-US"/>
        </w:rPr>
        <w:t>卫生健康支出（类）行政事业单位医疗（款）行政单位医疗（项）:</w:t>
      </w:r>
      <w:r>
        <w:rPr>
          <w:rFonts w:hint="eastAsia" w:ascii="仿宋_GB2312" w:eastAsia="仿宋_GB2312"/>
          <w:color w:val="auto"/>
          <w:sz w:val="32"/>
          <w:szCs w:val="32"/>
        </w:rPr>
        <w:t>指财政部门安排的行政单位（包括实行公务员管理的事业单位）基本医疗保险缴费经费，未参加医疗保险的行政单位的公费医疗经费，按国家规定享受离休人员、红军老战士待遇人员的医疗经费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 w:hAnsi="仿宋" w:eastAsia="仿宋"/>
          <w:b w:val="0"/>
          <w:bCs/>
          <w:color w:val="auto"/>
          <w:kern w:val="2"/>
          <w:sz w:val="32"/>
          <w:szCs w:val="24"/>
          <w:lang w:val="en-US" w:eastAsia="zh-CN"/>
        </w:rPr>
        <w:t>。</w:t>
      </w:r>
    </w:p>
    <w:p>
      <w:pPr>
        <w:keepNext/>
        <w:keepLines/>
        <w:spacing w:beforeLines="0" w:afterLines="0" w:line="576" w:lineRule="exact"/>
        <w:ind w:firstLine="640"/>
        <w:jc w:val="both"/>
        <w:outlineLvl w:val="9"/>
        <w:rPr>
          <w:rFonts w:hint="eastAsia" w:ascii="仿宋" w:hAnsi="仿宋" w:eastAsia="仿宋"/>
          <w:b w:val="0"/>
          <w:bCs/>
          <w:color w:val="auto"/>
          <w:kern w:val="2"/>
          <w:sz w:val="32"/>
          <w:szCs w:val="24"/>
          <w:lang w:val="en-US" w:eastAsia="zh-CN"/>
        </w:rPr>
      </w:pPr>
      <w:r>
        <w:rPr>
          <w:rFonts w:hint="eastAsia" w:ascii="仿宋" w:hAnsi="仿宋" w:eastAsia="仿宋"/>
          <w:b w:val="0"/>
          <w:bCs/>
          <w:color w:val="auto"/>
          <w:kern w:val="2"/>
          <w:sz w:val="32"/>
          <w:szCs w:val="24"/>
          <w:lang w:val="en-US" w:eastAsia="zh-CN"/>
        </w:rPr>
        <w:t>16.</w:t>
      </w:r>
      <w:r>
        <w:rPr>
          <w:rFonts w:hint="eastAsia" w:ascii="仿宋_GB2312" w:hAnsi="仿宋_GB2312" w:eastAsia="仿宋_GB2312"/>
          <w:b w:val="0"/>
          <w:bCs/>
          <w:color w:val="auto"/>
          <w:kern w:val="2"/>
          <w:sz w:val="32"/>
          <w:szCs w:val="24"/>
          <w:lang w:val="en-US"/>
        </w:rPr>
        <w:t>卫生健康支出（类）行政事业单位医疗（款）公务员医疗补助</w:t>
      </w:r>
      <w:r>
        <w:rPr>
          <w:rFonts w:hint="eastAsia" w:ascii="仿宋_GB2312" w:hAnsi="仿宋_GB2312" w:eastAsia="仿宋_GB2312"/>
          <w:b w:val="0"/>
          <w:bCs/>
          <w:color w:val="auto"/>
          <w:kern w:val="2"/>
          <w:sz w:val="32"/>
          <w:szCs w:val="24"/>
          <w:lang w:val="en-US" w:eastAsia="zh-CN"/>
        </w:rPr>
        <w:t>（</w:t>
      </w:r>
      <w:r>
        <w:rPr>
          <w:rFonts w:hint="eastAsia" w:ascii="仿宋_GB2312" w:hAnsi="仿宋_GB2312" w:eastAsia="仿宋_GB2312"/>
          <w:b w:val="0"/>
          <w:bCs/>
          <w:color w:val="auto"/>
          <w:kern w:val="2"/>
          <w:sz w:val="32"/>
          <w:szCs w:val="24"/>
          <w:lang w:val="en-US"/>
        </w:rPr>
        <w:t>项）:</w:t>
      </w:r>
      <w:r>
        <w:rPr>
          <w:rFonts w:hint="eastAsia" w:ascii="仿宋_GB2312" w:hAnsi="仿宋_GB2312" w:eastAsia="仿宋_GB2312"/>
          <w:b w:val="0"/>
          <w:bCs/>
          <w:color w:val="auto"/>
          <w:kern w:val="2"/>
          <w:sz w:val="32"/>
          <w:szCs w:val="24"/>
          <w:lang w:val="en-US" w:eastAsia="zh-CN"/>
        </w:rPr>
        <w:t>反映财政部门安排的公务员医疗补助经费</w:t>
      </w:r>
      <w:r>
        <w:rPr>
          <w:rFonts w:hint="eastAsia" w:ascii="仿宋" w:hAnsi="仿宋" w:eastAsia="仿宋"/>
          <w:b w:val="0"/>
          <w:bCs/>
          <w:color w:val="auto"/>
          <w:kern w:val="2"/>
          <w:sz w:val="32"/>
          <w:szCs w:val="24"/>
          <w:lang w:val="en-US" w:eastAsia="zh-CN"/>
        </w:rPr>
        <w:t>。</w:t>
      </w:r>
    </w:p>
    <w:p>
      <w:pPr>
        <w:keepNext/>
        <w:keepLines/>
        <w:spacing w:beforeLines="0" w:afterLines="0" w:line="576" w:lineRule="exact"/>
        <w:jc w:val="both"/>
        <w:outlineLvl w:val="9"/>
        <w:rPr>
          <w:rFonts w:hint="eastAsia" w:ascii="仿宋" w:hAnsi="仿宋" w:eastAsia="仿宋_GB2312"/>
          <w:b w:val="0"/>
          <w:bCs/>
          <w:color w:val="auto"/>
          <w:kern w:val="2"/>
          <w:sz w:val="32"/>
          <w:szCs w:val="24"/>
          <w:lang w:val="en-US" w:eastAsia="zh-CN"/>
        </w:rPr>
      </w:pPr>
      <w:r>
        <w:rPr>
          <w:rFonts w:hint="eastAsia" w:ascii="仿宋" w:hAnsi="仿宋" w:eastAsia="仿宋"/>
          <w:b w:val="0"/>
          <w:bCs/>
          <w:color w:val="auto"/>
          <w:kern w:val="2"/>
          <w:sz w:val="32"/>
          <w:szCs w:val="24"/>
          <w:lang w:val="en-US" w:eastAsia="zh-CN"/>
        </w:rPr>
        <w:t>17</w:t>
      </w:r>
      <w:r>
        <w:rPr>
          <w:rFonts w:hint="eastAsia" w:ascii="仿宋_GB2312" w:hAnsi="仿宋_GB2312" w:eastAsia="仿宋_GB2312"/>
          <w:b w:val="0"/>
          <w:bCs/>
          <w:color w:val="000000"/>
          <w:kern w:val="2"/>
          <w:sz w:val="32"/>
          <w:szCs w:val="24"/>
          <w:lang w:val="en-US"/>
        </w:rPr>
        <w:t>.</w:t>
      </w:r>
      <w:r>
        <w:rPr>
          <w:rFonts w:hint="eastAsia" w:ascii="仿宋_GB2312" w:hAnsi="仿宋_GB2312" w:eastAsia="仿宋_GB2312"/>
          <w:b w:val="0"/>
          <w:bCs/>
          <w:color w:val="000000"/>
          <w:kern w:val="2"/>
          <w:sz w:val="32"/>
          <w:szCs w:val="24"/>
          <w:lang w:val="en-US" w:eastAsia="zh-CN"/>
        </w:rPr>
        <w:t>住房保障支出</w:t>
      </w:r>
      <w:r>
        <w:rPr>
          <w:rFonts w:hint="eastAsia" w:ascii="仿宋_GB2312" w:hAnsi="仿宋_GB2312" w:eastAsia="仿宋_GB2312"/>
          <w:b w:val="0"/>
          <w:bCs/>
          <w:color w:val="000000"/>
          <w:kern w:val="2"/>
          <w:sz w:val="32"/>
          <w:szCs w:val="24"/>
          <w:lang w:val="en-US"/>
        </w:rPr>
        <w:t>（类）住房改革支出（款）住房公积金（项）</w:t>
      </w:r>
      <w:r>
        <w:rPr>
          <w:rFonts w:hint="eastAsia" w:ascii="仿宋_GB2312" w:hAnsi="仿宋_GB2312" w:eastAsia="仿宋_GB2312"/>
          <w:b w:val="0"/>
          <w:bCs/>
          <w:color w:val="000000"/>
          <w:kern w:val="2"/>
          <w:sz w:val="32"/>
          <w:szCs w:val="24"/>
          <w:lang w:val="en-US" w:eastAsia="zh-CN"/>
        </w:rPr>
        <w:t>：</w:t>
      </w:r>
      <w:r>
        <w:rPr>
          <w:rFonts w:hint="eastAsia" w:ascii="仿宋_GB2312" w:eastAsia="仿宋_GB2312"/>
          <w:color w:val="auto"/>
          <w:sz w:val="32"/>
          <w:szCs w:val="32"/>
        </w:rPr>
        <w:t>指行政事业单位按人力资源和社会保障部、财政部规定的基本工资和津贴补贴以及规定比例为职工缴纳的住房公积金</w:t>
      </w:r>
      <w:r>
        <w:rPr>
          <w:rFonts w:hint="eastAsia" w:ascii="仿宋" w:hAnsi="仿宋" w:eastAsia="仿宋"/>
          <w:b w:val="0"/>
          <w:bCs/>
          <w:color w:val="auto"/>
          <w:kern w:val="2"/>
          <w:sz w:val="32"/>
          <w:szCs w:val="24"/>
          <w:lang w:val="en-US" w:eastAsia="zh-CN"/>
        </w:rPr>
        <w:t>。</w:t>
      </w:r>
    </w:p>
    <w:p>
      <w:pPr>
        <w:ind w:firstLine="640" w:firstLineChars="200"/>
        <w:outlineLvl w:val="9"/>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outlineLvl w:val="9"/>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outlineLvl w:val="9"/>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outlineLvl w:val="9"/>
        <w:rPr>
          <w:rFonts w:ascii="仿宋_GB2312" w:eastAsia="仿宋_GB2312"/>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9"/>
        <w:rPr>
          <w:rStyle w:val="27"/>
          <w:rFonts w:ascii="黑体" w:hAnsi="黑体" w:eastAsia="黑体"/>
          <w:b w:val="0"/>
        </w:rPr>
      </w:pPr>
      <w:bookmarkStart w:id="103" w:name="_Toc15377226"/>
      <w:r>
        <w:rPr>
          <w:rFonts w:ascii="宋体"/>
          <w:b/>
          <w:sz w:val="44"/>
          <w:szCs w:val="44"/>
        </w:rPr>
        <w:br w:type="page"/>
      </w:r>
      <w:bookmarkStart w:id="104" w:name="_Toc15396614"/>
      <w:bookmarkStart w:id="105" w:name="_Toc20551"/>
      <w:r>
        <w:rPr>
          <w:rFonts w:hint="eastAsia" w:ascii="黑体" w:hAnsi="黑体" w:eastAsia="黑体"/>
          <w:sz w:val="44"/>
          <w:szCs w:val="44"/>
        </w:rPr>
        <w:t>第</w:t>
      </w:r>
      <w:r>
        <w:rPr>
          <w:rStyle w:val="27"/>
          <w:rFonts w:hint="eastAsia" w:ascii="黑体" w:hAnsi="黑体" w:eastAsia="黑体"/>
          <w:b w:val="0"/>
        </w:rPr>
        <w:t>四部分 附件</w:t>
      </w:r>
      <w:bookmarkEnd w:id="104"/>
      <w:bookmarkEnd w:id="105"/>
    </w:p>
    <w:p>
      <w:pPr>
        <w:spacing w:line="572" w:lineRule="exact"/>
        <w:jc w:val="left"/>
        <w:outlineLvl w:val="9"/>
        <w:rPr>
          <w:rFonts w:ascii="仿宋_GB2312" w:hAnsi="仿宋_GB2312" w:eastAsia="仿宋_GB2312" w:cs="仿宋_GB2312"/>
          <w:sz w:val="32"/>
          <w:szCs w:val="32"/>
        </w:rPr>
      </w:pPr>
    </w:p>
    <w:p>
      <w:pPr>
        <w:spacing w:line="600" w:lineRule="exact"/>
        <w:jc w:val="center"/>
        <w:outlineLvl w:val="1"/>
        <w:rPr>
          <w:rFonts w:ascii="黑体" w:hAnsi="黑体" w:eastAsia="黑体"/>
          <w:color w:val="FF0000"/>
          <w:sz w:val="44"/>
          <w:szCs w:val="44"/>
        </w:rPr>
      </w:pPr>
      <w:bookmarkStart w:id="106" w:name="_Toc25020"/>
      <w:bookmarkStart w:id="107" w:name="_Toc2681"/>
      <w:bookmarkStart w:id="108" w:name="_Toc15396618"/>
      <w:r>
        <w:rPr>
          <w:rFonts w:hint="eastAsia"/>
          <w:sz w:val="32"/>
          <w:szCs w:val="32"/>
        </w:rPr>
        <w:t>部门预算项目支出绩效自评表（2023年度）</w:t>
      </w:r>
      <w:bookmarkEnd w:id="106"/>
      <w:bookmarkEnd w:id="107"/>
    </w:p>
    <w:tbl>
      <w:tblPr>
        <w:tblStyle w:val="14"/>
        <w:tblW w:w="83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4"/>
        <w:gridCol w:w="690"/>
        <w:gridCol w:w="601"/>
        <w:gridCol w:w="1887"/>
        <w:gridCol w:w="976"/>
        <w:gridCol w:w="976"/>
        <w:gridCol w:w="719"/>
        <w:gridCol w:w="668"/>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2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附件3</w:t>
            </w:r>
          </w:p>
        </w:tc>
        <w:tc>
          <w:tcPr>
            <w:tcW w:w="67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8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8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4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9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9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职工服务活动经费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五通桥区总工会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五通桥区职工服务中心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8.843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8.843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4001"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文体活动组织开展3场次，职工服务活动（联谊）开展1次。</w:t>
            </w:r>
          </w:p>
        </w:tc>
        <w:tc>
          <w:tcPr>
            <w:tcW w:w="3037"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文体活动组织开展3场次，职工服务活动开展1次。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分值/权重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文体活动组织开展场次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职工联谊活动开展的场次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职工参与率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职工文体活动开展及时率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职工联谊活开展及时率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职工联谊活动经费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职工文体活动经费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社会效益指标</w:t>
            </w: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为单身职工搭建联谊平台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可持续影响指标</w:t>
            </w:r>
          </w:p>
        </w:tc>
        <w:tc>
          <w:tcPr>
            <w:tcW w:w="1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增强青年职工的幸福感和归宿感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参加文体活动职工满意度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参加联谊活动职工满意度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pStyle w:val="13"/>
        <w:spacing w:line="560" w:lineRule="exact"/>
        <w:ind w:left="0" w:leftChars="0" w:firstLine="640"/>
        <w:rPr>
          <w:sz w:val="32"/>
        </w:rPr>
      </w:pPr>
    </w:p>
    <w:p>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spacing w:line="600" w:lineRule="exact"/>
        <w:jc w:val="center"/>
        <w:outlineLvl w:val="9"/>
        <w:rPr>
          <w:rFonts w:hint="eastAsia" w:ascii="黑体" w:hAnsi="黑体" w:eastAsia="黑体"/>
          <w:sz w:val="44"/>
          <w:szCs w:val="44"/>
        </w:rPr>
      </w:pPr>
    </w:p>
    <w:p>
      <w:pPr>
        <w:spacing w:line="600" w:lineRule="exact"/>
        <w:jc w:val="center"/>
        <w:outlineLvl w:val="9"/>
        <w:rPr>
          <w:rFonts w:hint="eastAsia" w:ascii="黑体" w:hAnsi="黑体" w:eastAsia="黑体"/>
          <w:sz w:val="44"/>
          <w:szCs w:val="44"/>
        </w:rPr>
      </w:pPr>
    </w:p>
    <w:p>
      <w:pPr>
        <w:spacing w:line="600" w:lineRule="exact"/>
        <w:jc w:val="center"/>
        <w:outlineLvl w:val="0"/>
        <w:rPr>
          <w:rFonts w:ascii="仿宋" w:hAnsi="仿宋" w:eastAsia="仿宋"/>
        </w:rPr>
      </w:pPr>
      <w:bookmarkStart w:id="109" w:name="_Toc23564"/>
      <w:bookmarkStart w:id="110" w:name="_Toc18981"/>
      <w:r>
        <w:rPr>
          <w:rFonts w:hint="eastAsia" w:ascii="黑体" w:hAnsi="黑体" w:eastAsia="黑体"/>
          <w:sz w:val="44"/>
          <w:szCs w:val="44"/>
        </w:rPr>
        <w:t>第</w:t>
      </w:r>
      <w:r>
        <w:rPr>
          <w:rStyle w:val="27"/>
          <w:rFonts w:hint="eastAsia" w:ascii="黑体" w:hAnsi="黑体" w:eastAsia="黑体"/>
          <w:b w:val="0"/>
        </w:rPr>
        <w:t>五部分 附表</w:t>
      </w:r>
      <w:bookmarkEnd w:id="103"/>
      <w:bookmarkEnd w:id="108"/>
      <w:bookmarkEnd w:id="109"/>
      <w:bookmarkEnd w:id="110"/>
      <w:bookmarkStart w:id="111" w:name="_Toc15396619"/>
    </w:p>
    <w:p>
      <w:pPr>
        <w:outlineLvl w:val="9"/>
        <w:rPr>
          <w:rStyle w:val="28"/>
          <w:rFonts w:hint="eastAsia" w:ascii="仿宋" w:hAnsi="仿宋" w:eastAsia="仿宋"/>
          <w:b w:val="0"/>
          <w:bCs w:val="0"/>
        </w:rPr>
      </w:pPr>
      <w:bookmarkStart w:id="112" w:name="_Toc9091"/>
      <w:bookmarkStart w:id="113" w:name="_Toc29335"/>
      <w:r>
        <w:rPr>
          <w:rStyle w:val="28"/>
          <w:rFonts w:hint="eastAsia" w:ascii="仿宋" w:hAnsi="仿宋" w:eastAsia="仿宋"/>
          <w:b w:val="0"/>
          <w:bCs w:val="0"/>
        </w:rPr>
        <w:t>一、收入支出决算总表</w:t>
      </w:r>
      <w:bookmarkEnd w:id="111"/>
    </w:p>
    <w:bookmarkEnd w:id="112"/>
    <w:bookmarkEnd w:id="113"/>
    <w:p>
      <w:pPr>
        <w:outlineLvl w:val="9"/>
        <w:rPr>
          <w:rStyle w:val="28"/>
          <w:rFonts w:hint="eastAsia" w:ascii="仿宋" w:hAnsi="仿宋" w:eastAsia="仿宋"/>
          <w:b w:val="0"/>
          <w:bCs w:val="0"/>
        </w:rPr>
      </w:pPr>
      <w:bookmarkStart w:id="114" w:name="_Toc15396620"/>
      <w:bookmarkStart w:id="115" w:name="_Toc12882"/>
      <w:bookmarkStart w:id="116" w:name="_Toc8858"/>
      <w:r>
        <w:rPr>
          <w:rStyle w:val="28"/>
          <w:rFonts w:hint="eastAsia" w:ascii="仿宋" w:hAnsi="仿宋" w:eastAsia="仿宋"/>
          <w:b w:val="0"/>
          <w:bCs w:val="0"/>
        </w:rPr>
        <w:t>二、收入决算表</w:t>
      </w:r>
      <w:bookmarkEnd w:id="114"/>
    </w:p>
    <w:bookmarkEnd w:id="115"/>
    <w:bookmarkEnd w:id="116"/>
    <w:p>
      <w:pPr>
        <w:outlineLvl w:val="9"/>
        <w:rPr>
          <w:rStyle w:val="28"/>
          <w:rFonts w:hint="eastAsia" w:ascii="仿宋" w:hAnsi="仿宋" w:eastAsia="仿宋"/>
          <w:b w:val="0"/>
          <w:bCs w:val="0"/>
        </w:rPr>
      </w:pPr>
      <w:bookmarkStart w:id="117" w:name="_Toc15396621"/>
      <w:bookmarkStart w:id="118" w:name="_Toc14750"/>
      <w:bookmarkStart w:id="119" w:name="_Toc31440"/>
      <w:r>
        <w:rPr>
          <w:rStyle w:val="28"/>
          <w:rFonts w:hint="eastAsia" w:ascii="仿宋" w:hAnsi="仿宋" w:eastAsia="仿宋"/>
          <w:b w:val="0"/>
          <w:bCs w:val="0"/>
        </w:rPr>
        <w:t>三、支出决算表</w:t>
      </w:r>
      <w:bookmarkEnd w:id="117"/>
    </w:p>
    <w:bookmarkEnd w:id="118"/>
    <w:bookmarkEnd w:id="119"/>
    <w:p>
      <w:pPr>
        <w:outlineLvl w:val="9"/>
        <w:rPr>
          <w:rStyle w:val="28"/>
          <w:rFonts w:hint="eastAsia" w:ascii="仿宋" w:hAnsi="仿宋" w:eastAsia="仿宋"/>
          <w:b w:val="0"/>
          <w:bCs w:val="0"/>
        </w:rPr>
      </w:pPr>
      <w:bookmarkStart w:id="120" w:name="_Toc15396622"/>
      <w:bookmarkStart w:id="121" w:name="_Toc15151"/>
      <w:bookmarkStart w:id="122" w:name="_Toc12272"/>
      <w:r>
        <w:rPr>
          <w:rStyle w:val="28"/>
          <w:rFonts w:hint="eastAsia" w:ascii="仿宋" w:hAnsi="仿宋" w:eastAsia="仿宋"/>
          <w:b w:val="0"/>
          <w:bCs w:val="0"/>
        </w:rPr>
        <w:t>四、财政拨款收入支出决算总表</w:t>
      </w:r>
      <w:bookmarkEnd w:id="120"/>
    </w:p>
    <w:bookmarkEnd w:id="121"/>
    <w:bookmarkEnd w:id="122"/>
    <w:p>
      <w:pPr>
        <w:outlineLvl w:val="9"/>
        <w:rPr>
          <w:rStyle w:val="28"/>
          <w:rFonts w:hint="eastAsia" w:ascii="仿宋" w:hAnsi="仿宋" w:eastAsia="仿宋"/>
          <w:b w:val="0"/>
          <w:bCs w:val="0"/>
        </w:rPr>
      </w:pPr>
      <w:bookmarkStart w:id="123" w:name="_Toc15396623"/>
      <w:bookmarkStart w:id="124" w:name="_Toc28491"/>
      <w:bookmarkStart w:id="125" w:name="_Toc23735"/>
      <w:r>
        <w:rPr>
          <w:rStyle w:val="28"/>
          <w:rFonts w:hint="eastAsia" w:ascii="仿宋" w:hAnsi="仿宋" w:eastAsia="仿宋"/>
          <w:b w:val="0"/>
          <w:bCs w:val="0"/>
        </w:rPr>
        <w:t>五、财政拨款支出决算明细表</w:t>
      </w:r>
      <w:bookmarkEnd w:id="123"/>
      <w:bookmarkStart w:id="126" w:name="_Toc15396624"/>
    </w:p>
    <w:bookmarkEnd w:id="124"/>
    <w:bookmarkEnd w:id="125"/>
    <w:p>
      <w:pPr>
        <w:outlineLvl w:val="9"/>
        <w:rPr>
          <w:rStyle w:val="28"/>
          <w:rFonts w:hint="eastAsia" w:ascii="仿宋" w:hAnsi="仿宋" w:eastAsia="仿宋"/>
          <w:b w:val="0"/>
          <w:bCs w:val="0"/>
        </w:rPr>
      </w:pPr>
      <w:bookmarkStart w:id="127" w:name="_Toc27390"/>
      <w:bookmarkStart w:id="128" w:name="_Toc8604"/>
      <w:r>
        <w:rPr>
          <w:rStyle w:val="28"/>
          <w:rFonts w:hint="eastAsia" w:ascii="仿宋" w:hAnsi="仿宋" w:eastAsia="仿宋"/>
          <w:b w:val="0"/>
          <w:bCs w:val="0"/>
        </w:rPr>
        <w:t>六、一般公共预算财政拨款支出决算表</w:t>
      </w:r>
      <w:bookmarkEnd w:id="126"/>
    </w:p>
    <w:bookmarkEnd w:id="127"/>
    <w:bookmarkEnd w:id="128"/>
    <w:p>
      <w:pPr>
        <w:outlineLvl w:val="9"/>
        <w:rPr>
          <w:rStyle w:val="28"/>
          <w:rFonts w:hint="eastAsia" w:ascii="仿宋" w:hAnsi="仿宋" w:eastAsia="仿宋"/>
          <w:b w:val="0"/>
          <w:bCs w:val="0"/>
        </w:rPr>
      </w:pPr>
      <w:bookmarkStart w:id="129" w:name="_Toc15396625"/>
      <w:bookmarkStart w:id="130" w:name="_Toc10368"/>
      <w:bookmarkStart w:id="131" w:name="_Toc8757"/>
      <w:r>
        <w:rPr>
          <w:rStyle w:val="28"/>
          <w:rFonts w:hint="eastAsia" w:ascii="仿宋" w:hAnsi="仿宋" w:eastAsia="仿宋"/>
          <w:b w:val="0"/>
          <w:bCs w:val="0"/>
        </w:rPr>
        <w:t>七、一般公共预算财政拨款支出决算明细表</w:t>
      </w:r>
      <w:bookmarkEnd w:id="129"/>
    </w:p>
    <w:bookmarkEnd w:id="130"/>
    <w:bookmarkEnd w:id="131"/>
    <w:p>
      <w:pPr>
        <w:outlineLvl w:val="9"/>
        <w:rPr>
          <w:rStyle w:val="28"/>
          <w:rFonts w:hint="eastAsia" w:ascii="仿宋" w:hAnsi="仿宋" w:eastAsia="仿宋"/>
          <w:b w:val="0"/>
          <w:bCs w:val="0"/>
        </w:rPr>
      </w:pPr>
      <w:bookmarkStart w:id="132" w:name="_Toc15396626"/>
      <w:bookmarkStart w:id="133" w:name="_Toc13333"/>
      <w:bookmarkStart w:id="134" w:name="_Toc24508"/>
      <w:r>
        <w:rPr>
          <w:rStyle w:val="28"/>
          <w:rFonts w:hint="eastAsia" w:ascii="仿宋" w:hAnsi="仿宋" w:eastAsia="仿宋"/>
          <w:b w:val="0"/>
          <w:bCs w:val="0"/>
        </w:rPr>
        <w:t>八、一般公共预算财政拨款基本支出决算表</w:t>
      </w:r>
      <w:bookmarkEnd w:id="132"/>
    </w:p>
    <w:bookmarkEnd w:id="133"/>
    <w:bookmarkEnd w:id="134"/>
    <w:p>
      <w:pPr>
        <w:outlineLvl w:val="9"/>
        <w:rPr>
          <w:rStyle w:val="28"/>
          <w:rFonts w:hint="eastAsia" w:ascii="仿宋" w:hAnsi="仿宋" w:eastAsia="仿宋"/>
          <w:b w:val="0"/>
          <w:bCs w:val="0"/>
        </w:rPr>
      </w:pPr>
      <w:bookmarkStart w:id="135" w:name="_Toc15396627"/>
      <w:bookmarkStart w:id="136" w:name="_Toc826"/>
      <w:bookmarkStart w:id="137" w:name="_Toc8607"/>
      <w:r>
        <w:rPr>
          <w:rStyle w:val="28"/>
          <w:rFonts w:hint="eastAsia" w:ascii="仿宋" w:hAnsi="仿宋" w:eastAsia="仿宋"/>
          <w:b w:val="0"/>
          <w:bCs w:val="0"/>
        </w:rPr>
        <w:t>九、一般公共预算财政拨款项目支出决算表</w:t>
      </w:r>
      <w:bookmarkEnd w:id="135"/>
    </w:p>
    <w:bookmarkEnd w:id="136"/>
    <w:bookmarkEnd w:id="137"/>
    <w:p>
      <w:pPr>
        <w:outlineLvl w:val="9"/>
        <w:rPr>
          <w:rStyle w:val="28"/>
          <w:rFonts w:hint="eastAsia" w:ascii="仿宋" w:hAnsi="仿宋" w:eastAsia="仿宋"/>
          <w:b w:val="0"/>
          <w:bCs w:val="0"/>
        </w:rPr>
      </w:pPr>
      <w:bookmarkStart w:id="138" w:name="_Toc15396628"/>
      <w:bookmarkStart w:id="139" w:name="_Toc17811"/>
      <w:bookmarkStart w:id="140" w:name="_Toc837"/>
      <w:r>
        <w:rPr>
          <w:rStyle w:val="28"/>
          <w:rFonts w:hint="eastAsia" w:ascii="仿宋" w:hAnsi="仿宋" w:eastAsia="仿宋"/>
          <w:b w:val="0"/>
          <w:bCs w:val="0"/>
        </w:rPr>
        <w:t>十、</w:t>
      </w:r>
      <w:bookmarkEnd w:id="138"/>
      <w:r>
        <w:rPr>
          <w:rStyle w:val="28"/>
          <w:rFonts w:hint="eastAsia" w:ascii="仿宋" w:hAnsi="仿宋" w:eastAsia="仿宋"/>
          <w:b w:val="0"/>
          <w:bCs w:val="0"/>
        </w:rPr>
        <w:t>政府性基金预算财政拨款收入支出决算表</w:t>
      </w:r>
    </w:p>
    <w:bookmarkEnd w:id="139"/>
    <w:bookmarkEnd w:id="140"/>
    <w:p>
      <w:pPr>
        <w:outlineLvl w:val="9"/>
        <w:rPr>
          <w:rStyle w:val="28"/>
          <w:rFonts w:hint="eastAsia" w:ascii="仿宋" w:hAnsi="仿宋" w:eastAsia="仿宋"/>
          <w:b w:val="0"/>
          <w:bCs w:val="0"/>
        </w:rPr>
      </w:pPr>
      <w:bookmarkStart w:id="141" w:name="_Toc15396629"/>
      <w:bookmarkStart w:id="142" w:name="_Toc7904"/>
      <w:bookmarkStart w:id="143" w:name="_Toc25687"/>
      <w:r>
        <w:rPr>
          <w:rStyle w:val="28"/>
          <w:rFonts w:hint="eastAsia" w:ascii="仿宋" w:hAnsi="仿宋" w:eastAsia="仿宋"/>
          <w:b w:val="0"/>
          <w:bCs w:val="0"/>
        </w:rPr>
        <w:t>十一、</w:t>
      </w:r>
      <w:bookmarkEnd w:id="141"/>
      <w:r>
        <w:rPr>
          <w:rStyle w:val="28"/>
          <w:rFonts w:hint="eastAsia" w:ascii="仿宋" w:hAnsi="仿宋" w:eastAsia="仿宋"/>
          <w:b w:val="0"/>
          <w:bCs w:val="0"/>
        </w:rPr>
        <w:t>国有资本经营预算财政拨款收入支出决算表</w:t>
      </w:r>
    </w:p>
    <w:bookmarkEnd w:id="142"/>
    <w:bookmarkEnd w:id="143"/>
    <w:p>
      <w:pPr>
        <w:outlineLvl w:val="9"/>
        <w:rPr>
          <w:rStyle w:val="28"/>
          <w:rFonts w:hint="eastAsia" w:ascii="仿宋" w:hAnsi="仿宋" w:eastAsia="仿宋"/>
          <w:b w:val="0"/>
          <w:bCs w:val="0"/>
        </w:rPr>
      </w:pPr>
      <w:bookmarkStart w:id="144" w:name="_Toc15396630"/>
      <w:bookmarkStart w:id="145" w:name="_Toc31552"/>
      <w:bookmarkStart w:id="146" w:name="_Toc25314"/>
      <w:r>
        <w:rPr>
          <w:rStyle w:val="28"/>
          <w:rFonts w:hint="eastAsia" w:ascii="仿宋" w:hAnsi="仿宋" w:eastAsia="仿宋"/>
          <w:b w:val="0"/>
          <w:bCs w:val="0"/>
        </w:rPr>
        <w:t>十二、</w:t>
      </w:r>
      <w:bookmarkEnd w:id="144"/>
      <w:r>
        <w:rPr>
          <w:rStyle w:val="28"/>
          <w:rFonts w:hint="eastAsia" w:ascii="仿宋" w:hAnsi="仿宋" w:eastAsia="仿宋"/>
          <w:b w:val="0"/>
          <w:bCs w:val="0"/>
        </w:rPr>
        <w:t>国有资本经营预算财政拨款支出决算表</w:t>
      </w:r>
    </w:p>
    <w:bookmarkEnd w:id="145"/>
    <w:bookmarkEnd w:id="146"/>
    <w:p>
      <w:pPr>
        <w:outlineLvl w:val="9"/>
        <w:rPr>
          <w:rStyle w:val="28"/>
          <w:rFonts w:hint="eastAsia" w:ascii="仿宋" w:hAnsi="仿宋" w:eastAsia="仿宋"/>
          <w:b w:val="0"/>
          <w:bCs w:val="0"/>
        </w:rPr>
      </w:pPr>
      <w:bookmarkStart w:id="147" w:name="_Toc15396631"/>
      <w:bookmarkStart w:id="148" w:name="_Toc21582"/>
      <w:bookmarkStart w:id="149" w:name="_Toc25493"/>
      <w:r>
        <w:rPr>
          <w:rStyle w:val="28"/>
          <w:rFonts w:hint="eastAsia" w:ascii="仿宋" w:hAnsi="仿宋" w:eastAsia="仿宋"/>
          <w:b w:val="0"/>
          <w:bCs w:val="0"/>
        </w:rPr>
        <w:t>十三、</w:t>
      </w:r>
      <w:bookmarkEnd w:id="147"/>
      <w:r>
        <w:rPr>
          <w:rStyle w:val="28"/>
          <w:rFonts w:hint="eastAsia" w:ascii="仿宋" w:hAnsi="仿宋" w:eastAsia="仿宋"/>
          <w:b w:val="0"/>
          <w:bCs w:val="0"/>
        </w:rPr>
        <w:t>财政拨款“三公”经费支出决算表</w:t>
      </w:r>
    </w:p>
    <w:bookmarkEnd w:id="148"/>
    <w:bookmarkEnd w:id="149"/>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24DEC9-3D4A-462B-BEB6-AFFB0F8F30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3BDBDFB-0F26-44F5-957C-7228E8CB6473}"/>
  </w:font>
  <w:font w:name="Cambria">
    <w:panose1 w:val="02040503050406030204"/>
    <w:charset w:val="00"/>
    <w:family w:val="roman"/>
    <w:pitch w:val="default"/>
    <w:sig w:usb0="E00002FF" w:usb1="400004FF" w:usb2="00000000" w:usb3="00000000" w:csb0="2000019F" w:csb1="00000000"/>
    <w:embedRegular r:id="rId3" w:fontKey="{A46ABD8B-F58E-47FF-97DF-A4C7CF00C613}"/>
  </w:font>
  <w:font w:name="仿宋_GB2312">
    <w:panose1 w:val="02010609030101010101"/>
    <w:charset w:val="86"/>
    <w:family w:val="auto"/>
    <w:pitch w:val="default"/>
    <w:sig w:usb0="00000001" w:usb1="080E0000" w:usb2="00000000" w:usb3="00000000" w:csb0="00040000" w:csb1="00000000"/>
    <w:embedRegular r:id="rId4" w:fontKey="{662D67ED-639D-4E9A-8E18-EF078CCFBAF8}"/>
  </w:font>
  <w:font w:name="仿宋">
    <w:panose1 w:val="02010609060101010101"/>
    <w:charset w:val="86"/>
    <w:family w:val="modern"/>
    <w:pitch w:val="default"/>
    <w:sig w:usb0="800002BF" w:usb1="38CF7CFA" w:usb2="00000016" w:usb3="00000000" w:csb0="00040001" w:csb1="00000000"/>
    <w:embedRegular r:id="rId5" w:fontKey="{B90EDADB-FF1A-4BEF-8A02-0F26CB675206}"/>
  </w:font>
  <w:font w:name="Arial Unicode MS">
    <w:panose1 w:val="020B0604020202020204"/>
    <w:charset w:val="86"/>
    <w:family w:val="auto"/>
    <w:pitch w:val="default"/>
    <w:sig w:usb0="FFFFFFFF" w:usb1="E9FFFFFF" w:usb2="0000003F" w:usb3="00000000" w:csb0="603F01FF" w:csb1="FFFF0000"/>
    <w:embedRegular r:id="rId6" w:fontKey="{9786DDFD-81A4-4D2E-9B79-09CADB455282}"/>
  </w:font>
  <w:font w:name="华文中宋">
    <w:panose1 w:val="02010600040101010101"/>
    <w:charset w:val="86"/>
    <w:family w:val="auto"/>
    <w:pitch w:val="default"/>
    <w:sig w:usb0="00000287" w:usb1="080F0000" w:usb2="00000000" w:usb3="00000000" w:csb0="0004009F" w:csb1="DFD70000"/>
    <w:embedRegular r:id="rId7" w:fontKey="{3C0B17E9-DF49-44B5-939F-ECF37FDBCF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845"/>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4845"/>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MTZjMWZmNWJhYmRlZmZhOWYzOGZhZjAwYjAzMj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0880"/>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5FE0C75"/>
    <w:rsid w:val="081B5E94"/>
    <w:rsid w:val="0A2032A3"/>
    <w:rsid w:val="0B8A37D8"/>
    <w:rsid w:val="0F5FFB2F"/>
    <w:rsid w:val="0FFFCF60"/>
    <w:rsid w:val="10C055FF"/>
    <w:rsid w:val="118107EC"/>
    <w:rsid w:val="11DD6519"/>
    <w:rsid w:val="140A064C"/>
    <w:rsid w:val="16BB723D"/>
    <w:rsid w:val="16DD2B10"/>
    <w:rsid w:val="18015F3F"/>
    <w:rsid w:val="1A200027"/>
    <w:rsid w:val="1BE8440E"/>
    <w:rsid w:val="1D155CEE"/>
    <w:rsid w:val="1FDBBF84"/>
    <w:rsid w:val="20F57F95"/>
    <w:rsid w:val="240371BF"/>
    <w:rsid w:val="24B63C7C"/>
    <w:rsid w:val="25711CC6"/>
    <w:rsid w:val="25C741E6"/>
    <w:rsid w:val="276F80C0"/>
    <w:rsid w:val="27842671"/>
    <w:rsid w:val="28642F55"/>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A5A36BB"/>
    <w:rsid w:val="6BFFE1FB"/>
    <w:rsid w:val="6C4A05C8"/>
    <w:rsid w:val="6D3B1A89"/>
    <w:rsid w:val="6DB7D8A3"/>
    <w:rsid w:val="6EC78701"/>
    <w:rsid w:val="6F7A5481"/>
    <w:rsid w:val="6FFE07A9"/>
    <w:rsid w:val="71BF4EC2"/>
    <w:rsid w:val="72734D90"/>
    <w:rsid w:val="73E75B71"/>
    <w:rsid w:val="7412278C"/>
    <w:rsid w:val="75313D66"/>
    <w:rsid w:val="75DDCDA9"/>
    <w:rsid w:val="75FF44B1"/>
    <w:rsid w:val="77407D0D"/>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r>
              <a:rPr sz="1050"/>
              <a:t>（单位：万元）</a:t>
            </a:r>
            <a:endParaRPr sz="1050"/>
          </a:p>
        </c:rich>
      </c:tx>
      <c:layout>
        <c:manualLayout>
          <c:xMode val="edge"/>
          <c:yMode val="edge"/>
          <c:x val="0.28883788354675"/>
          <c:y val="0.021886952826179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91.24</c:v>
                </c:pt>
                <c:pt idx="1">
                  <c:v>91.24</c:v>
                </c:pt>
              </c:numCache>
            </c:numRef>
          </c:val>
        </c:ser>
        <c:dLbls>
          <c:showLegendKey val="0"/>
          <c:showVal val="1"/>
          <c:showCatName val="0"/>
          <c:showSerName val="0"/>
          <c:showPercent val="0"/>
          <c:showBubbleSize val="0"/>
        </c:dLbls>
        <c:gapWidth val="246"/>
        <c:overlap val="-28"/>
        <c:axId val="778665234"/>
        <c:axId val="16961425"/>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786652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61425"/>
        <c:crosses val="autoZero"/>
        <c:auto val="1"/>
        <c:lblAlgn val="ctr"/>
        <c:lblOffset val="100"/>
        <c:noMultiLvlLbl val="0"/>
      </c:catAx>
      <c:valAx>
        <c:axId val="1696142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6652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pt idx="1" c:formatCode="General">
                  <c:v>0</c:v>
                </c:pt>
                <c:pt idx="2" c:formatCode="General">
                  <c:v>0</c:v>
                </c:pt>
                <c:pt idx="3" c:formatCode="General">
                  <c:v>0</c:v>
                </c:pt>
                <c:pt idx="4" c:formatCode="General">
                  <c:v>0</c:v>
                </c:pt>
                <c:pt idx="5" c:formatCode="General">
                  <c:v>0</c:v>
                </c:pt>
                <c:pt idx="6" c:formatCode="General">
                  <c:v>0</c:v>
                </c:pt>
                <c:pt idx="7"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0.732</c:v>
                </c:pt>
                <c:pt idx="1">
                  <c:v>0.268</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r>
              <a:rPr sz="1050"/>
              <a:t>（单位：万元）</a:t>
            </a:r>
            <a:endParaRPr sz="1050"/>
          </a:p>
        </c:rich>
      </c:tx>
      <c:layout>
        <c:manualLayout>
          <c:xMode val="edge"/>
          <c:yMode val="edge"/>
          <c:x val="0.147861802367721"/>
          <c:y val="0.018274543136421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91.24</c:v>
                </c:pt>
                <c:pt idx="1">
                  <c:v>91.24</c:v>
                </c:pt>
              </c:numCache>
            </c:numRef>
          </c:val>
        </c:ser>
        <c:dLbls>
          <c:showLegendKey val="0"/>
          <c:showVal val="1"/>
          <c:showCatName val="0"/>
          <c:showSerName val="0"/>
          <c:showPercent val="0"/>
          <c:showBubbleSize val="0"/>
        </c:dLbls>
        <c:gapWidth val="246"/>
        <c:overlap val="-28"/>
        <c:axId val="778665234"/>
        <c:axId val="16961425"/>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786652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961425"/>
        <c:crosses val="autoZero"/>
        <c:auto val="1"/>
        <c:lblAlgn val="ctr"/>
        <c:lblOffset val="100"/>
        <c:noMultiLvlLbl val="0"/>
      </c:catAx>
      <c:valAx>
        <c:axId val="1696142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6652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一般公共预算财政拨款支出决算变动情况表</a:t>
            </a:r>
            <a:r>
              <a:rPr sz="900"/>
              <a:t>（单位：万元）</a:t>
            </a:r>
            <a:endParaRPr sz="900"/>
          </a:p>
        </c:rich>
      </c:tx>
      <c:layout>
        <c:manualLayout>
          <c:xMode val="edge"/>
          <c:yMode val="edge"/>
          <c:x val="0.0998429572360474"/>
          <c:y val="0.025499362515937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0</c:v>
                </c:pt>
                <c:pt idx="1">
                  <c:v>91.24</c:v>
                </c:pt>
              </c:numCache>
            </c:numRef>
          </c:val>
        </c:ser>
        <c:dLbls>
          <c:showLegendKey val="0"/>
          <c:showVal val="1"/>
          <c:showCatName val="0"/>
          <c:showSerName val="0"/>
          <c:showPercent val="0"/>
          <c:showBubbleSize val="0"/>
        </c:dLbls>
        <c:gapWidth val="246"/>
        <c:overlap val="-28"/>
        <c:axId val="63327843"/>
        <c:axId val="423480520"/>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33278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3480520"/>
        <c:crosses val="autoZero"/>
        <c:auto val="1"/>
        <c:lblAlgn val="ctr"/>
        <c:lblOffset val="100"/>
        <c:noMultiLvlLbl val="0"/>
      </c:catAx>
      <c:valAx>
        <c:axId val="42348052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2784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0.8068</c:v>
                </c:pt>
                <c:pt idx="1">
                  <c:v>0.1127</c:v>
                </c:pt>
                <c:pt idx="2">
                  <c:v>0.0225</c:v>
                </c:pt>
                <c:pt idx="3">
                  <c:v>0.058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务用车购置及运行维护费支出</c:v>
                </c:pt>
                <c:pt idx="2">
                  <c:v>公务接待费支出</c:v>
                </c:pt>
              </c:strCache>
            </c:strRef>
          </c:cat>
          <c:val>
            <c:numRef>
              <c:f>Sheet1!$B$2:$B$4</c:f>
              <c:numCache>
                <c:formatCode>General</c:formatCode>
                <c:ptCount val="3"/>
                <c:pt idx="0">
                  <c:v>0</c:v>
                </c:pt>
                <c:pt idx="1">
                  <c:v>0</c:v>
                </c:pt>
                <c:pt idx="2" c:formatCode="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4924</Words>
  <Characters>5300</Characters>
  <Lines>54</Lines>
  <Paragraphs>15</Paragraphs>
  <TotalTime>0</TotalTime>
  <ScaleCrop>false</ScaleCrop>
  <LinksUpToDate>false</LinksUpToDate>
  <CharactersWithSpaces>5317</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2024-10-21T03:12:09Z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4C7BBB9C475C49738A7816741C5F57E9_12</vt:lpwstr>
  </property>
</Properties>
</file>