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6"/>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bookmarkStart w:id="108" w:name="_GoBack"/>
      <w:bookmarkEnd w:id="108"/>
    </w:p>
    <w:p>
      <w:pPr>
        <w:adjustRightInd w:val="0"/>
        <w:snapToGrid w:val="0"/>
        <w:spacing w:line="360" w:lineRule="auto"/>
        <w:jc w:val="center"/>
        <w:outlineLvl w:val="9"/>
        <w:rPr>
          <w:rFonts w:ascii="方正小标宋简体" w:hAnsi="方正小标宋简体" w:eastAsia="方正小标宋简体" w:cs="方正小标宋简体"/>
          <w:sz w:val="72"/>
          <w:szCs w:val="72"/>
        </w:rPr>
      </w:pPr>
      <w:bookmarkStart w:id="1" w:name="_Toc15378441"/>
      <w:bookmarkStart w:id="2" w:name="_Toc15377193"/>
      <w:bookmarkStart w:id="3" w:name="_Toc15377425"/>
      <w:bookmarkStart w:id="4" w:name="_Toc15396475"/>
      <w:bookmarkStart w:id="5" w:name="_Toc15396597"/>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p>
      <w:pPr>
        <w:adjustRightInd w:val="0"/>
        <w:snapToGrid w:val="0"/>
        <w:spacing w:line="360" w:lineRule="auto"/>
        <w:jc w:val="center"/>
        <w:outlineLvl w:val="9"/>
        <w:rPr>
          <w:rFonts w:ascii="方正小标宋简体" w:hAnsi="方正小标宋简体" w:eastAsia="方正小标宋简体" w:cs="方正小标宋简体"/>
          <w:sz w:val="72"/>
          <w:szCs w:val="72"/>
        </w:rPr>
      </w:pPr>
      <w:bookmarkStart w:id="6" w:name="_Toc15377194"/>
      <w:bookmarkStart w:id="7" w:name="_Toc15378442"/>
      <w:bookmarkStart w:id="8" w:name="_Toc15396476"/>
      <w:bookmarkStart w:id="9" w:name="_Toc15377426"/>
      <w:bookmarkStart w:id="10" w:name="_Toc15396598"/>
      <w:r>
        <w:rPr>
          <w:rFonts w:hint="eastAsia" w:ascii="方正小标宋简体" w:hAnsi="方正小标宋简体" w:eastAsia="方正小标宋简体" w:cs="方正小标宋简体"/>
          <w:sz w:val="72"/>
          <w:szCs w:val="72"/>
        </w:rPr>
        <w:t>四川省</w:t>
      </w:r>
      <w:bookmarkEnd w:id="0"/>
      <w:bookmarkStart w:id="11" w:name="_Toc15306268"/>
      <w:r>
        <w:rPr>
          <w:rFonts w:hint="eastAsia" w:ascii="方正小标宋简体" w:hAnsi="方正小标宋简体" w:eastAsia="方正小标宋简体" w:cs="方正小标宋简体"/>
          <w:sz w:val="72"/>
          <w:szCs w:val="72"/>
          <w:lang w:val="en-US" w:eastAsia="zh-CN"/>
        </w:rPr>
        <w:t>乐山市五通桥区社情民意调查中心</w:t>
      </w:r>
      <w:r>
        <w:rPr>
          <w:rFonts w:hint="eastAsia" w:ascii="方正小标宋简体" w:hAnsi="方正小标宋简体" w:eastAsia="方正小标宋简体" w:cs="方正小标宋简体"/>
          <w:sz w:val="72"/>
          <w:szCs w:val="72"/>
        </w:rPr>
        <w:t>单位决算</w:t>
      </w:r>
      <w:bookmarkEnd w:id="6"/>
      <w:bookmarkEnd w:id="7"/>
      <w:bookmarkEnd w:id="8"/>
      <w:bookmarkEnd w:id="9"/>
      <w:bookmarkEnd w:id="10"/>
      <w:bookmarkEnd w:id="11"/>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p>
    <w:sdt>
      <w:sdtPr>
        <w:rPr>
          <w:rFonts w:hint="eastAsia" w:ascii="黑体" w:hAnsi="黑体" w:eastAsia="黑体" w:cs="黑体"/>
          <w:kern w:val="2"/>
          <w:sz w:val="36"/>
          <w:szCs w:val="36"/>
          <w:lang w:val="en-US" w:eastAsia="zh-CN" w:bidi="ar-SA"/>
        </w:rPr>
        <w:id w:val="147473477"/>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r>
            <w:rPr>
              <w:rFonts w:hint="eastAsia" w:ascii="黑体" w:hAnsi="黑体" w:eastAsia="黑体" w:cs="黑体"/>
              <w:sz w:val="36"/>
              <w:szCs w:val="36"/>
            </w:rPr>
            <w:t>目录</w:t>
          </w:r>
        </w:p>
        <w:p>
          <w:pPr>
            <w:pStyle w:val="12"/>
            <w:rPr>
              <w:rFonts w:hint="eastAsia"/>
            </w:rPr>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23</w:t>
          </w:r>
          <w:r>
            <w:rPr>
              <w:rFonts w:hint="eastAsia"/>
            </w:rPr>
            <w:t>日</w:t>
          </w:r>
        </w:p>
        <w:p>
          <w:pPr>
            <w:pStyle w:val="33"/>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TOC \o "1-3" \h \u </w:instrText>
          </w:r>
          <w:r>
            <w:rPr>
              <w:rFonts w:hint="eastAsia" w:ascii="黑体" w:hAnsi="黑体" w:eastAsia="黑体" w:cs="黑体"/>
              <w:sz w:val="20"/>
              <w:szCs w:val="20"/>
            </w:rPr>
            <w:fldChar w:fldCharType="separate"/>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_Toc12127 </w:instrText>
          </w:r>
          <w:r>
            <w:rPr>
              <w:rFonts w:hint="eastAsia" w:ascii="黑体" w:hAnsi="黑体" w:eastAsia="黑体" w:cs="黑体"/>
              <w:sz w:val="20"/>
              <w:szCs w:val="20"/>
            </w:rPr>
            <w:fldChar w:fldCharType="separate"/>
          </w:r>
          <w:r>
            <w:rPr>
              <w:rFonts w:hint="eastAsia" w:ascii="黑体" w:hAnsi="黑体" w:eastAsia="黑体" w:cs="黑体"/>
              <w:sz w:val="20"/>
              <w:szCs w:val="20"/>
            </w:rPr>
            <w:t>第一部分 单位</w:t>
          </w:r>
          <w:r>
            <w:rPr>
              <w:rFonts w:hint="eastAsia" w:ascii="黑体" w:hAnsi="黑体" w:eastAsia="黑体" w:cs="黑体"/>
              <w:bCs w:val="0"/>
              <w:sz w:val="20"/>
              <w:szCs w:val="20"/>
            </w:rPr>
            <w:t>概况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_Toc12127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_Toc3485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一、 主要职责</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_Toc3485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_Toc4066 </w:instrText>
          </w:r>
          <w:r>
            <w:rPr>
              <w:rFonts w:hint="eastAsia" w:ascii="黑体" w:hAnsi="黑体" w:eastAsia="黑体" w:cs="黑体"/>
              <w:sz w:val="20"/>
              <w:szCs w:val="20"/>
            </w:rPr>
            <w:fldChar w:fldCharType="separate"/>
          </w:r>
          <w:r>
            <w:rPr>
              <w:rFonts w:hint="eastAsia" w:ascii="黑体" w:hAnsi="黑体" w:eastAsia="黑体" w:cs="黑体"/>
              <w:kern w:val="2"/>
              <w:sz w:val="20"/>
              <w:szCs w:val="20"/>
              <w:lang w:val="en-US" w:eastAsia="zh-CN" w:bidi="ar-SA"/>
            </w:rPr>
            <w:t>（五）完成主管单位交办的其他工作。</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_Toc4066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_Toc26824 </w:instrText>
          </w:r>
          <w:r>
            <w:rPr>
              <w:rFonts w:hint="eastAsia" w:ascii="黑体" w:hAnsi="黑体" w:eastAsia="黑体" w:cs="黑体"/>
              <w:sz w:val="20"/>
              <w:szCs w:val="20"/>
            </w:rPr>
            <w:fldChar w:fldCharType="separate"/>
          </w:r>
          <w:r>
            <w:rPr>
              <w:rFonts w:hint="eastAsia" w:ascii="黑体" w:hAnsi="黑体" w:eastAsia="黑体" w:cs="黑体"/>
              <w:sz w:val="20"/>
              <w:szCs w:val="20"/>
            </w:rPr>
            <w:t>二、机构设置</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_Toc26824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3"/>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_Toc23269 </w:instrText>
          </w:r>
          <w:r>
            <w:rPr>
              <w:rFonts w:hint="eastAsia" w:ascii="黑体" w:hAnsi="黑体" w:eastAsia="黑体" w:cs="黑体"/>
              <w:sz w:val="20"/>
              <w:szCs w:val="20"/>
            </w:rPr>
            <w:fldChar w:fldCharType="separate"/>
          </w:r>
          <w:r>
            <w:rPr>
              <w:rFonts w:hint="eastAsia" w:ascii="黑体" w:hAnsi="黑体" w:eastAsia="黑体" w:cs="黑体"/>
              <w:sz w:val="20"/>
              <w:szCs w:val="20"/>
            </w:rPr>
            <w:t>第二部分 2023年度</w:t>
          </w:r>
          <w:r>
            <w:rPr>
              <w:rFonts w:hint="eastAsia" w:ascii="黑体" w:hAnsi="黑体" w:eastAsia="黑体" w:cs="黑体"/>
              <w:bCs/>
              <w:sz w:val="20"/>
              <w:szCs w:val="20"/>
            </w:rPr>
            <w:t>单位决算情况说明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_Toc23269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_Toc31317 </w:instrText>
          </w:r>
          <w:r>
            <w:rPr>
              <w:rFonts w:hint="eastAsia" w:ascii="黑体" w:hAnsi="黑体" w:eastAsia="黑体" w:cs="黑体"/>
              <w:sz w:val="20"/>
              <w:szCs w:val="20"/>
            </w:rPr>
            <w:fldChar w:fldCharType="separate"/>
          </w:r>
          <w:r>
            <w:rPr>
              <w:rFonts w:hint="eastAsia" w:ascii="黑体" w:hAnsi="黑体" w:eastAsia="黑体" w:cs="黑体"/>
              <w:sz w:val="20"/>
              <w:szCs w:val="20"/>
            </w:rPr>
            <w:t>一、 收入支出决算总体情况说明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_Toc31317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_Toc13852 </w:instrText>
          </w:r>
          <w:r>
            <w:rPr>
              <w:rFonts w:hint="eastAsia" w:ascii="黑体" w:hAnsi="黑体" w:eastAsia="黑体" w:cs="黑体"/>
              <w:sz w:val="20"/>
              <w:szCs w:val="20"/>
            </w:rPr>
            <w:fldChar w:fldCharType="separate"/>
          </w:r>
          <w:r>
            <w:rPr>
              <w:rFonts w:hint="eastAsia" w:ascii="黑体" w:hAnsi="黑体" w:eastAsia="黑体" w:cs="黑体"/>
              <w:sz w:val="20"/>
              <w:szCs w:val="20"/>
            </w:rPr>
            <w:t>二、 收入决算情况说明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_Toc13852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_Toc561 </w:instrText>
          </w:r>
          <w:r>
            <w:rPr>
              <w:rFonts w:hint="eastAsia" w:ascii="黑体" w:hAnsi="黑体" w:eastAsia="黑体" w:cs="黑体"/>
              <w:sz w:val="20"/>
              <w:szCs w:val="20"/>
            </w:rPr>
            <w:fldChar w:fldCharType="separate"/>
          </w:r>
          <w:r>
            <w:rPr>
              <w:rFonts w:hint="eastAsia" w:ascii="黑体" w:hAnsi="黑体" w:eastAsia="黑体" w:cs="黑体"/>
              <w:sz w:val="20"/>
              <w:szCs w:val="20"/>
            </w:rPr>
            <w:t>三、 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_Toc561 \h </w:instrText>
          </w:r>
          <w:r>
            <w:rPr>
              <w:rFonts w:hint="eastAsia" w:ascii="黑体" w:hAnsi="黑体" w:eastAsia="黑体" w:cs="黑体"/>
              <w:sz w:val="20"/>
              <w:szCs w:val="20"/>
            </w:rPr>
            <w:fldChar w:fldCharType="separate"/>
          </w:r>
          <w:r>
            <w:rPr>
              <w:rFonts w:hint="eastAsia" w:ascii="黑体" w:hAnsi="黑体" w:eastAsia="黑体" w:cs="黑体"/>
              <w:sz w:val="20"/>
              <w:szCs w:val="20"/>
            </w:rPr>
            <w:t>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_Toc30373 </w:instrText>
          </w:r>
          <w:r>
            <w:rPr>
              <w:rFonts w:hint="eastAsia" w:ascii="黑体" w:hAnsi="黑体" w:eastAsia="黑体" w:cs="黑体"/>
              <w:sz w:val="20"/>
              <w:szCs w:val="20"/>
            </w:rPr>
            <w:fldChar w:fldCharType="separate"/>
          </w:r>
          <w:r>
            <w:rPr>
              <w:rFonts w:hint="eastAsia" w:ascii="黑体" w:hAnsi="黑体" w:eastAsia="黑体" w:cs="黑体"/>
              <w:sz w:val="20"/>
              <w:szCs w:val="20"/>
            </w:rPr>
            <w:t>四、财政拨款收入支出决算总体情况说明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_Toc30373 \h </w:instrText>
          </w:r>
          <w:r>
            <w:rPr>
              <w:rFonts w:hint="eastAsia" w:ascii="黑体" w:hAnsi="黑体" w:eastAsia="黑体" w:cs="黑体"/>
              <w:sz w:val="20"/>
              <w:szCs w:val="20"/>
            </w:rPr>
            <w:fldChar w:fldCharType="separate"/>
          </w:r>
          <w:r>
            <w:rPr>
              <w:rFonts w:hint="eastAsia" w:ascii="黑体" w:hAnsi="黑体" w:eastAsia="黑体" w:cs="黑体"/>
              <w:sz w:val="20"/>
              <w:szCs w:val="20"/>
            </w:rPr>
            <w:t>4</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_Toc19034 </w:instrText>
          </w:r>
          <w:r>
            <w:rPr>
              <w:rFonts w:hint="eastAsia" w:ascii="黑体" w:hAnsi="黑体" w:eastAsia="黑体" w:cs="黑体"/>
              <w:sz w:val="20"/>
              <w:szCs w:val="20"/>
            </w:rPr>
            <w:fldChar w:fldCharType="separate"/>
          </w:r>
          <w:r>
            <w:rPr>
              <w:rFonts w:hint="eastAsia" w:ascii="黑体" w:hAnsi="黑体" w:eastAsia="黑体" w:cs="黑体"/>
              <w:sz w:val="20"/>
              <w:szCs w:val="20"/>
            </w:rPr>
            <w:t>五、一般公共预算财政拨款支出决算情况说明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_Toc19034 \h </w:instrText>
          </w:r>
          <w:r>
            <w:rPr>
              <w:rFonts w:hint="eastAsia" w:ascii="黑体" w:hAnsi="黑体" w:eastAsia="黑体" w:cs="黑体"/>
              <w:sz w:val="20"/>
              <w:szCs w:val="20"/>
            </w:rPr>
            <w:fldChar w:fldCharType="separate"/>
          </w:r>
          <w:r>
            <w:rPr>
              <w:rFonts w:hint="eastAsia" w:ascii="黑体" w:hAnsi="黑体" w:eastAsia="黑体" w:cs="黑体"/>
              <w:sz w:val="20"/>
              <w:szCs w:val="20"/>
            </w:rPr>
            <w:t>5</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_Toc19065 </w:instrText>
          </w:r>
          <w:r>
            <w:rPr>
              <w:rFonts w:hint="eastAsia" w:ascii="黑体" w:hAnsi="黑体" w:eastAsia="黑体" w:cs="黑体"/>
              <w:sz w:val="20"/>
              <w:szCs w:val="20"/>
            </w:rPr>
            <w:fldChar w:fldCharType="separate"/>
          </w:r>
          <w:r>
            <w:rPr>
              <w:rFonts w:hint="eastAsia" w:ascii="黑体" w:hAnsi="黑体" w:eastAsia="黑体" w:cs="黑体"/>
              <w:sz w:val="20"/>
              <w:szCs w:val="20"/>
            </w:rPr>
            <w:t>（一）一般公共预算财政拨款支出决算总体情况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_Toc19065 \h </w:instrText>
          </w:r>
          <w:r>
            <w:rPr>
              <w:rFonts w:hint="eastAsia" w:ascii="黑体" w:hAnsi="黑体" w:eastAsia="黑体" w:cs="黑体"/>
              <w:sz w:val="20"/>
              <w:szCs w:val="20"/>
            </w:rPr>
            <w:fldChar w:fldCharType="separate"/>
          </w:r>
          <w:r>
            <w:rPr>
              <w:rFonts w:hint="eastAsia" w:ascii="黑体" w:hAnsi="黑体" w:eastAsia="黑体" w:cs="黑体"/>
              <w:sz w:val="20"/>
              <w:szCs w:val="20"/>
            </w:rPr>
            <w:t>5</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_Toc27925 </w:instrText>
          </w:r>
          <w:r>
            <w:rPr>
              <w:rFonts w:hint="eastAsia" w:ascii="黑体" w:hAnsi="黑体" w:eastAsia="黑体" w:cs="黑体"/>
              <w:sz w:val="20"/>
              <w:szCs w:val="20"/>
            </w:rPr>
            <w:fldChar w:fldCharType="separate"/>
          </w:r>
          <w:r>
            <w:rPr>
              <w:rFonts w:hint="eastAsia" w:ascii="黑体" w:hAnsi="黑体" w:eastAsia="黑体" w:cs="黑体"/>
              <w:sz w:val="20"/>
              <w:szCs w:val="20"/>
            </w:rPr>
            <w:t>（二）一般公共预算财政拨款支出决算结构情况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_Toc27925 \h </w:instrText>
          </w:r>
          <w:r>
            <w:rPr>
              <w:rFonts w:hint="eastAsia" w:ascii="黑体" w:hAnsi="黑体" w:eastAsia="黑体" w:cs="黑体"/>
              <w:sz w:val="20"/>
              <w:szCs w:val="20"/>
            </w:rPr>
            <w:fldChar w:fldCharType="separate"/>
          </w:r>
          <w:r>
            <w:rPr>
              <w:rFonts w:hint="eastAsia" w:ascii="黑体" w:hAnsi="黑体" w:eastAsia="黑体" w:cs="黑体"/>
              <w:sz w:val="20"/>
              <w:szCs w:val="20"/>
            </w:rPr>
            <w:t>6</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_Toc7753 </w:instrText>
          </w:r>
          <w:r>
            <w:rPr>
              <w:rFonts w:hint="eastAsia" w:ascii="黑体" w:hAnsi="黑体" w:eastAsia="黑体" w:cs="黑体"/>
              <w:sz w:val="20"/>
              <w:szCs w:val="20"/>
            </w:rPr>
            <w:fldChar w:fldCharType="separate"/>
          </w:r>
          <w:r>
            <w:rPr>
              <w:rFonts w:hint="eastAsia" w:ascii="黑体" w:hAnsi="黑体" w:eastAsia="黑体" w:cs="黑体"/>
              <w:sz w:val="20"/>
              <w:szCs w:val="20"/>
            </w:rPr>
            <w:t>（三）一般公共预算财政拨款支出决算具体情况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_Toc7753 \h </w:instrText>
          </w:r>
          <w:r>
            <w:rPr>
              <w:rFonts w:hint="eastAsia" w:ascii="黑体" w:hAnsi="黑体" w:eastAsia="黑体" w:cs="黑体"/>
              <w:sz w:val="20"/>
              <w:szCs w:val="20"/>
            </w:rPr>
            <w:fldChar w:fldCharType="separate"/>
          </w:r>
          <w:r>
            <w:rPr>
              <w:rFonts w:hint="eastAsia" w:ascii="黑体" w:hAnsi="黑体" w:eastAsia="黑体" w:cs="黑体"/>
              <w:sz w:val="20"/>
              <w:szCs w:val="20"/>
            </w:rPr>
            <w:t>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_Toc31170 </w:instrText>
          </w:r>
          <w:r>
            <w:rPr>
              <w:rFonts w:hint="eastAsia" w:ascii="黑体" w:hAnsi="黑体" w:eastAsia="黑体" w:cs="黑体"/>
              <w:sz w:val="20"/>
              <w:szCs w:val="20"/>
            </w:rPr>
            <w:fldChar w:fldCharType="separate"/>
          </w:r>
          <w:r>
            <w:rPr>
              <w:rFonts w:hint="eastAsia" w:ascii="黑体" w:hAnsi="黑体" w:eastAsia="黑体" w:cs="黑体"/>
              <w:sz w:val="20"/>
              <w:szCs w:val="20"/>
            </w:rPr>
            <w:t>六、一般公共预算财政拨款基本支出决算情况说明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_Toc31170 \h </w:instrText>
          </w:r>
          <w:r>
            <w:rPr>
              <w:rFonts w:hint="eastAsia" w:ascii="黑体" w:hAnsi="黑体" w:eastAsia="黑体" w:cs="黑体"/>
              <w:sz w:val="20"/>
              <w:szCs w:val="20"/>
            </w:rPr>
            <w:fldChar w:fldCharType="separate"/>
          </w:r>
          <w:r>
            <w:rPr>
              <w:rFonts w:hint="eastAsia" w:ascii="黑体" w:hAnsi="黑体" w:eastAsia="黑体" w:cs="黑体"/>
              <w:sz w:val="20"/>
              <w:szCs w:val="20"/>
            </w:rPr>
            <w:t>8</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_Toc11142 </w:instrText>
          </w:r>
          <w:r>
            <w:rPr>
              <w:rFonts w:hint="eastAsia" w:ascii="黑体" w:hAnsi="黑体" w:eastAsia="黑体" w:cs="黑体"/>
              <w:sz w:val="20"/>
              <w:szCs w:val="20"/>
            </w:rPr>
            <w:fldChar w:fldCharType="separate"/>
          </w:r>
          <w:r>
            <w:rPr>
              <w:rFonts w:hint="eastAsia" w:ascii="黑体" w:hAnsi="黑体" w:eastAsia="黑体" w:cs="黑体"/>
              <w:sz w:val="20"/>
              <w:szCs w:val="20"/>
            </w:rPr>
            <w:t>七、财政拨款“三公”经费支出决算情况说明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_Toc11142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_Toc21853 </w:instrText>
          </w:r>
          <w:r>
            <w:rPr>
              <w:rFonts w:hint="eastAsia" w:ascii="黑体" w:hAnsi="黑体" w:eastAsia="黑体" w:cs="黑体"/>
              <w:sz w:val="20"/>
              <w:szCs w:val="20"/>
            </w:rPr>
            <w:fldChar w:fldCharType="separate"/>
          </w:r>
          <w:r>
            <w:rPr>
              <w:rFonts w:hint="eastAsia" w:ascii="黑体" w:hAnsi="黑体" w:eastAsia="黑体" w:cs="黑体"/>
              <w:sz w:val="20"/>
              <w:szCs w:val="20"/>
            </w:rPr>
            <w:t>（一）“三公”经费财政拨款支出决算总体情况说明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_Toc21853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_Toc14178 </w:instrText>
          </w:r>
          <w:r>
            <w:rPr>
              <w:rFonts w:hint="eastAsia" w:ascii="黑体" w:hAnsi="黑体" w:eastAsia="黑体" w:cs="黑体"/>
              <w:sz w:val="20"/>
              <w:szCs w:val="20"/>
            </w:rPr>
            <w:fldChar w:fldCharType="separate"/>
          </w:r>
          <w:r>
            <w:rPr>
              <w:rFonts w:hint="eastAsia" w:ascii="黑体" w:hAnsi="黑体" w:eastAsia="黑体" w:cs="黑体"/>
              <w:sz w:val="20"/>
              <w:szCs w:val="20"/>
            </w:rPr>
            <w:t>（二）“三公”经费财政拨款支出决算具体情况说明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_Toc14178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_Toc23528 </w:instrText>
          </w:r>
          <w:r>
            <w:rPr>
              <w:rFonts w:hint="eastAsia" w:ascii="黑体" w:hAnsi="黑体" w:eastAsia="黑体" w:cs="黑体"/>
              <w:sz w:val="20"/>
              <w:szCs w:val="20"/>
            </w:rPr>
            <w:fldChar w:fldCharType="separate"/>
          </w:r>
          <w:r>
            <w:rPr>
              <w:rFonts w:hint="eastAsia" w:ascii="黑体" w:hAnsi="黑体" w:eastAsia="黑体" w:cs="黑体"/>
              <w:sz w:val="20"/>
              <w:szCs w:val="20"/>
            </w:rPr>
            <w:t>八、政府性基金预算支出决算情况说明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_Toc23528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_Toc4868 </w:instrText>
          </w:r>
          <w:r>
            <w:rPr>
              <w:rFonts w:hint="eastAsia" w:ascii="黑体" w:hAnsi="黑体" w:eastAsia="黑体" w:cs="黑体"/>
              <w:sz w:val="20"/>
              <w:szCs w:val="20"/>
            </w:rPr>
            <w:fldChar w:fldCharType="separate"/>
          </w:r>
          <w:r>
            <w:rPr>
              <w:rFonts w:hint="eastAsia" w:ascii="黑体" w:hAnsi="黑体" w:eastAsia="黑体" w:cs="黑体"/>
              <w:sz w:val="20"/>
              <w:szCs w:val="20"/>
            </w:rPr>
            <w:t>九、 国有资本经营预算支出决算情况说明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_Toc4868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_Toc12889 </w:instrText>
          </w:r>
          <w:r>
            <w:rPr>
              <w:rFonts w:hint="eastAsia" w:ascii="黑体" w:hAnsi="黑体" w:eastAsia="黑体" w:cs="黑体"/>
              <w:sz w:val="20"/>
              <w:szCs w:val="20"/>
            </w:rPr>
            <w:fldChar w:fldCharType="separate"/>
          </w:r>
          <w:r>
            <w:rPr>
              <w:rFonts w:hint="eastAsia" w:ascii="黑体" w:hAnsi="黑体" w:eastAsia="黑体" w:cs="黑体"/>
              <w:sz w:val="20"/>
              <w:szCs w:val="20"/>
            </w:rPr>
            <w:t>十、 其他重要事项的情况说明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_Toc12889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_Toc11855 </w:instrText>
          </w:r>
          <w:r>
            <w:rPr>
              <w:rFonts w:hint="eastAsia" w:ascii="黑体" w:hAnsi="黑体" w:eastAsia="黑体" w:cs="黑体"/>
              <w:sz w:val="20"/>
              <w:szCs w:val="20"/>
            </w:rPr>
            <w:fldChar w:fldCharType="separate"/>
          </w:r>
          <w:r>
            <w:rPr>
              <w:rFonts w:hint="eastAsia" w:ascii="黑体" w:hAnsi="黑体" w:eastAsia="黑体" w:cs="黑体"/>
              <w:sz w:val="20"/>
              <w:szCs w:val="20"/>
            </w:rPr>
            <w:t>（一）机关运行经费支出情况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_Toc11855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_Toc29886 </w:instrText>
          </w:r>
          <w:r>
            <w:rPr>
              <w:rFonts w:hint="eastAsia" w:ascii="黑体" w:hAnsi="黑体" w:eastAsia="黑体" w:cs="黑体"/>
              <w:sz w:val="20"/>
              <w:szCs w:val="20"/>
            </w:rPr>
            <w:fldChar w:fldCharType="separate"/>
          </w:r>
          <w:r>
            <w:rPr>
              <w:rFonts w:hint="eastAsia" w:ascii="黑体" w:hAnsi="黑体" w:eastAsia="黑体" w:cs="黑体"/>
              <w:sz w:val="20"/>
              <w:szCs w:val="20"/>
            </w:rPr>
            <w:t>（二）政府采购支出情况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_Toc29886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_Toc23017 </w:instrText>
          </w:r>
          <w:r>
            <w:rPr>
              <w:rFonts w:hint="eastAsia" w:ascii="黑体" w:hAnsi="黑体" w:eastAsia="黑体" w:cs="黑体"/>
              <w:sz w:val="20"/>
              <w:szCs w:val="20"/>
            </w:rPr>
            <w:fldChar w:fldCharType="separate"/>
          </w:r>
          <w:r>
            <w:rPr>
              <w:rFonts w:hint="eastAsia" w:ascii="黑体" w:hAnsi="黑体" w:eastAsia="黑体" w:cs="黑体"/>
              <w:sz w:val="20"/>
              <w:szCs w:val="20"/>
            </w:rPr>
            <w:t>（三）国有资产占有使用情况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_Toc23017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_Toc2739 </w:instrText>
          </w:r>
          <w:r>
            <w:rPr>
              <w:rFonts w:hint="eastAsia" w:ascii="黑体" w:hAnsi="黑体" w:eastAsia="黑体" w:cs="黑体"/>
              <w:sz w:val="20"/>
              <w:szCs w:val="20"/>
            </w:rPr>
            <w:fldChar w:fldCharType="separate"/>
          </w:r>
          <w:r>
            <w:rPr>
              <w:rFonts w:hint="eastAsia" w:ascii="黑体" w:hAnsi="黑体" w:eastAsia="黑体" w:cs="黑体"/>
              <w:sz w:val="20"/>
              <w:szCs w:val="20"/>
            </w:rPr>
            <w:t>（四）预算绩效管理情况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_Toc2739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3"/>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_Toc31329 </w:instrText>
          </w:r>
          <w:r>
            <w:rPr>
              <w:rFonts w:hint="eastAsia" w:ascii="黑体" w:hAnsi="黑体" w:eastAsia="黑体" w:cs="黑体"/>
              <w:sz w:val="20"/>
              <w:szCs w:val="20"/>
            </w:rPr>
            <w:fldChar w:fldCharType="separate"/>
          </w:r>
          <w:r>
            <w:rPr>
              <w:rFonts w:hint="eastAsia" w:ascii="黑体" w:hAnsi="黑体" w:eastAsia="黑体" w:cs="黑体"/>
              <w:sz w:val="20"/>
              <w:szCs w:val="20"/>
            </w:rPr>
            <w:t>第三部分 名词解释</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_Toc31329 \h </w:instrText>
          </w:r>
          <w:r>
            <w:rPr>
              <w:rFonts w:hint="eastAsia" w:ascii="黑体" w:hAnsi="黑体" w:eastAsia="黑体" w:cs="黑体"/>
              <w:sz w:val="20"/>
              <w:szCs w:val="20"/>
            </w:rPr>
            <w:fldChar w:fldCharType="separate"/>
          </w:r>
          <w:r>
            <w:rPr>
              <w:rFonts w:hint="eastAsia" w:ascii="黑体" w:hAnsi="黑体" w:eastAsia="黑体" w:cs="黑体"/>
              <w:sz w:val="20"/>
              <w:szCs w:val="20"/>
            </w:rPr>
            <w:t>11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_Toc31844 </w:instrText>
          </w:r>
          <w:r>
            <w:rPr>
              <w:rFonts w:hint="eastAsia" w:ascii="黑体" w:hAnsi="黑体" w:eastAsia="黑体" w:cs="黑体"/>
              <w:sz w:val="20"/>
              <w:szCs w:val="20"/>
            </w:rPr>
            <w:fldChar w:fldCharType="separate"/>
          </w:r>
          <w:r>
            <w:rPr>
              <w:rFonts w:hint="eastAsia" w:ascii="黑体" w:hAnsi="黑体" w:eastAsia="黑体" w:cs="黑体"/>
              <w:sz w:val="20"/>
              <w:szCs w:val="20"/>
            </w:rPr>
            <w:t>1.财政拨款收入：指单位从同级财政部门取得的财政预算资金。</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_Toc31844 \h </w:instrText>
          </w:r>
          <w:r>
            <w:rPr>
              <w:rFonts w:hint="eastAsia" w:ascii="黑体" w:hAnsi="黑体" w:eastAsia="黑体" w:cs="黑体"/>
              <w:sz w:val="20"/>
              <w:szCs w:val="20"/>
            </w:rPr>
            <w:fldChar w:fldCharType="separate"/>
          </w:r>
          <w:r>
            <w:rPr>
              <w:rFonts w:hint="eastAsia" w:ascii="黑体" w:hAnsi="黑体" w:eastAsia="黑体" w:cs="黑体"/>
              <w:sz w:val="20"/>
              <w:szCs w:val="20"/>
            </w:rPr>
            <w:t>11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3"/>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_Toc15784 </w:instrText>
          </w:r>
          <w:r>
            <w:rPr>
              <w:rFonts w:hint="eastAsia" w:ascii="黑体" w:hAnsi="黑体" w:eastAsia="黑体" w:cs="黑体"/>
              <w:sz w:val="20"/>
              <w:szCs w:val="20"/>
            </w:rPr>
            <w:fldChar w:fldCharType="separate"/>
          </w:r>
          <w:r>
            <w:rPr>
              <w:rFonts w:hint="eastAsia" w:ascii="黑体" w:hAnsi="黑体" w:eastAsia="黑体" w:cs="黑体"/>
              <w:sz w:val="20"/>
              <w:szCs w:val="20"/>
            </w:rPr>
            <w:t>第四部分 附件</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_Toc15784 \h </w:instrText>
          </w:r>
          <w:r>
            <w:rPr>
              <w:rFonts w:hint="eastAsia" w:ascii="黑体" w:hAnsi="黑体" w:eastAsia="黑体" w:cs="黑体"/>
              <w:sz w:val="20"/>
              <w:szCs w:val="20"/>
            </w:rPr>
            <w:fldChar w:fldCharType="separate"/>
          </w:r>
          <w:r>
            <w:rPr>
              <w:rFonts w:hint="eastAsia" w:ascii="黑体" w:hAnsi="黑体" w:eastAsia="黑体" w:cs="黑体"/>
              <w:sz w:val="20"/>
              <w:szCs w:val="20"/>
            </w:rPr>
            <w:t>15</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_Toc13478 </w:instrText>
          </w:r>
          <w:r>
            <w:rPr>
              <w:rFonts w:hint="eastAsia" w:ascii="黑体" w:hAnsi="黑体" w:eastAsia="黑体" w:cs="黑体"/>
              <w:sz w:val="20"/>
              <w:szCs w:val="20"/>
            </w:rPr>
            <w:fldChar w:fldCharType="separate"/>
          </w:r>
          <w:r>
            <w:rPr>
              <w:rFonts w:hint="eastAsia" w:ascii="黑体" w:hAnsi="黑体" w:eastAsia="黑体" w:cs="黑体"/>
              <w:sz w:val="20"/>
              <w:szCs w:val="20"/>
            </w:rPr>
            <w:t>部门预算项目支出绩效自评表（2023年度）</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_Toc13478 \h </w:instrText>
          </w:r>
          <w:r>
            <w:rPr>
              <w:rFonts w:hint="eastAsia" w:ascii="黑体" w:hAnsi="黑体" w:eastAsia="黑体" w:cs="黑体"/>
              <w:sz w:val="20"/>
              <w:szCs w:val="20"/>
            </w:rPr>
            <w:fldChar w:fldCharType="separate"/>
          </w:r>
          <w:r>
            <w:rPr>
              <w:rFonts w:hint="eastAsia" w:ascii="黑体" w:hAnsi="黑体" w:eastAsia="黑体" w:cs="黑体"/>
              <w:sz w:val="20"/>
              <w:szCs w:val="20"/>
            </w:rPr>
            <w:t>15</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3"/>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_Toc11581 </w:instrText>
          </w:r>
          <w:r>
            <w:rPr>
              <w:rFonts w:hint="eastAsia" w:ascii="黑体" w:hAnsi="黑体" w:eastAsia="黑体" w:cs="黑体"/>
              <w:sz w:val="20"/>
              <w:szCs w:val="20"/>
            </w:rPr>
            <w:fldChar w:fldCharType="separate"/>
          </w:r>
          <w:r>
            <w:rPr>
              <w:rFonts w:hint="eastAsia" w:ascii="黑体" w:hAnsi="黑体" w:eastAsia="黑体" w:cs="黑体"/>
              <w:sz w:val="20"/>
              <w:szCs w:val="20"/>
            </w:rPr>
            <w:t>第五部分 附表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_Toc11581 \h </w:instrText>
          </w:r>
          <w:r>
            <w:rPr>
              <w:rFonts w:hint="eastAsia" w:ascii="黑体" w:hAnsi="黑体" w:eastAsia="黑体" w:cs="黑体"/>
              <w:sz w:val="20"/>
              <w:szCs w:val="20"/>
            </w:rPr>
            <w:fldChar w:fldCharType="separate"/>
          </w:r>
          <w:r>
            <w:rPr>
              <w:rFonts w:hint="eastAsia" w:ascii="黑体" w:hAnsi="黑体" w:eastAsia="黑体" w:cs="黑体"/>
              <w:sz w:val="20"/>
              <w:szCs w:val="20"/>
            </w:rPr>
            <w:t>29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rPr>
              <w:rFonts w:ascii="Times New Roman" w:hAnsi="Times New Roman" w:eastAsia="宋体" w:cs="Times New Roman"/>
              <w:kern w:val="2"/>
              <w:sz w:val="21"/>
              <w:szCs w:val="24"/>
              <w:lang w:val="en-US" w:eastAsia="zh-CN" w:bidi="ar-SA"/>
            </w:rPr>
          </w:pPr>
          <w:r>
            <w:rPr>
              <w:rFonts w:hint="eastAsia" w:ascii="黑体" w:hAnsi="黑体" w:eastAsia="黑体" w:cs="黑体"/>
              <w:sz w:val="20"/>
              <w:szCs w:val="20"/>
            </w:rPr>
            <w:fldChar w:fldCharType="end"/>
          </w:r>
        </w:p>
      </w:sdtContent>
    </w:sdt>
    <w:p>
      <w:pPr>
        <w:pStyle w:val="2"/>
      </w:pPr>
    </w:p>
    <w:p>
      <w:pPr>
        <w:pStyle w:val="3"/>
        <w:jc w:val="center"/>
        <w:rPr>
          <w:rFonts w:hint="eastAsia" w:ascii="黑体" w:hAnsi="黑体" w:eastAsia="黑体"/>
          <w:b w:val="0"/>
        </w:rPr>
        <w:sectPr>
          <w:headerReference r:id="rId4" w:type="first"/>
          <w:footerReference r:id="rId6" w:type="first"/>
          <w:headerReference r:id="rId3" w:type="default"/>
          <w:footerReference r:id="rId5" w:type="default"/>
          <w:pgSz w:w="11906" w:h="16838"/>
          <w:pgMar w:top="1440" w:right="1800" w:bottom="1440" w:left="1800" w:header="851" w:footer="992" w:gutter="0"/>
          <w:pgNumType w:start="1"/>
          <w:cols w:space="425" w:num="1"/>
          <w:titlePg/>
          <w:docGrid w:type="lines" w:linePitch="312" w:charSpace="0"/>
        </w:sectPr>
      </w:pPr>
      <w:bookmarkStart w:id="12" w:name="_Toc15377196"/>
      <w:bookmarkStart w:id="13" w:name="_Toc12127"/>
      <w:bookmarkStart w:id="14" w:name="_Toc15396599"/>
    </w:p>
    <w:p>
      <w:pPr>
        <w:pStyle w:val="3"/>
        <w:jc w:val="center"/>
        <w:rPr>
          <w:rStyle w:val="27"/>
          <w:rFonts w:ascii="黑体" w:hAnsi="黑体" w:eastAsia="黑体"/>
          <w:b/>
          <w:bCs w:val="0"/>
        </w:rPr>
      </w:pPr>
      <w:r>
        <w:rPr>
          <w:rFonts w:hint="eastAsia" w:ascii="黑体" w:hAnsi="黑体" w:eastAsia="黑体"/>
          <w:b w:val="0"/>
        </w:rPr>
        <w:t>第一部分 单位</w:t>
      </w:r>
      <w:r>
        <w:rPr>
          <w:rStyle w:val="27"/>
          <w:rFonts w:hint="eastAsia" w:ascii="黑体" w:hAnsi="黑体" w:eastAsia="黑体"/>
          <w:b w:val="0"/>
          <w:bCs w:val="0"/>
        </w:rPr>
        <w:t>概况</w:t>
      </w:r>
      <w:bookmarkEnd w:id="12"/>
      <w:bookmarkEnd w:id="13"/>
      <w:bookmarkEnd w:id="14"/>
    </w:p>
    <w:p>
      <w:pPr>
        <w:widowControl/>
        <w:jc w:val="left"/>
        <w:rPr>
          <w:rFonts w:ascii="黑体" w:eastAsia="黑体"/>
          <w:sz w:val="32"/>
          <w:szCs w:val="32"/>
        </w:rPr>
      </w:pPr>
    </w:p>
    <w:p>
      <w:pPr>
        <w:pStyle w:val="4"/>
        <w:numPr>
          <w:ilvl w:val="0"/>
          <w:numId w:val="1"/>
        </w:numPr>
        <w:rPr>
          <w:rStyle w:val="28"/>
          <w:rFonts w:ascii="黑体" w:hAnsi="黑体" w:eastAsia="黑体"/>
          <w:b w:val="0"/>
          <w:bCs w:val="0"/>
        </w:rPr>
      </w:pPr>
      <w:bookmarkStart w:id="15" w:name="_Toc3485"/>
      <w:bookmarkStart w:id="16" w:name="_Toc15396600"/>
      <w:bookmarkStart w:id="17" w:name="_Toc15377197"/>
      <w:r>
        <w:rPr>
          <w:rStyle w:val="28"/>
          <w:rFonts w:hint="eastAsia" w:ascii="黑体" w:hAnsi="黑体" w:eastAsia="黑体"/>
          <w:b w:val="0"/>
          <w:bCs w:val="0"/>
        </w:rPr>
        <w:t>主要职责</w:t>
      </w:r>
      <w:bookmarkEnd w:id="15"/>
    </w:p>
    <w:p>
      <w:pPr>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（一）承办区委、区政府及相关部门委托的社情民意调查任务；收集、提供社会动态舆情信息以及人民群众对重大决策、决定的意见和建议；收集、整理和提供其他相关统计调查信息等。</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（二）</w:t>
      </w:r>
      <w:r>
        <w:rPr>
          <w:rFonts w:hint="eastAsia" w:ascii="仿宋" w:hAnsi="仿宋" w:eastAsia="仿宋" w:cs="Times New Roman"/>
          <w:sz w:val="32"/>
          <w:szCs w:val="32"/>
        </w:rPr>
        <w:t>贯彻执行国家有关统计工作的法律、法规，草拟全区统计工作的规范性文件、统计现代化建设规划和统计调查计划，组织领导和监督检查全区各部门、单位的统计和国民经济核算工作，监督检査统计法律、法规的实施。</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三</w:t>
      </w:r>
      <w:r>
        <w:rPr>
          <w:rFonts w:hint="eastAsia" w:ascii="仿宋" w:hAnsi="仿宋" w:eastAsia="仿宋" w:cs="Times New Roman"/>
          <w:sz w:val="32"/>
          <w:szCs w:val="32"/>
        </w:rPr>
        <w:t>）建立健全全区国民经济核算体系和统计指标体系；建立和管理全区基本统计报表；制定全区统计标准，审定部门统计标准；管理全区统计调查项目。</w:t>
      </w:r>
    </w:p>
    <w:p>
      <w:pPr>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四</w:t>
      </w:r>
      <w:r>
        <w:rPr>
          <w:rFonts w:hint="eastAsia" w:ascii="仿宋" w:hAnsi="仿宋" w:eastAsia="仿宋" w:cs="Times New Roman"/>
          <w:sz w:val="32"/>
          <w:szCs w:val="32"/>
        </w:rPr>
        <w:t>）组织实施全区重大的国情国力普查和专项统计调查汇总、整理全区的基本统计资料；对国民经济运行、科技进步和社会发展情况进行统计分析、预测和监督</w:t>
      </w:r>
      <w:r>
        <w:rPr>
          <w:rFonts w:hint="eastAsia" w:ascii="仿宋" w:hAnsi="仿宋" w:eastAsia="仿宋" w:cs="Times New Roman"/>
          <w:sz w:val="32"/>
          <w:szCs w:val="32"/>
          <w:lang w:eastAsia="zh-CN"/>
        </w:rPr>
        <w:t>。</w:t>
      </w:r>
    </w:p>
    <w:p>
      <w:pPr>
        <w:ind w:firstLine="640" w:firstLineChars="200"/>
        <w:outlineLvl w:val="9"/>
        <w:rPr>
          <w:rFonts w:hint="default"/>
          <w:lang w:val="en-US" w:eastAsia="zh-CN"/>
        </w:rPr>
      </w:pPr>
      <w:bookmarkStart w:id="18" w:name="_Toc4066"/>
      <w:r>
        <w:rPr>
          <w:rFonts w:hint="eastAsia" w:ascii="仿宋" w:hAnsi="仿宋" w:eastAsia="仿宋" w:cs="Times New Roman"/>
          <w:b w:val="0"/>
          <w:kern w:val="2"/>
          <w:sz w:val="32"/>
          <w:szCs w:val="32"/>
          <w:lang w:val="en-US" w:eastAsia="zh-CN" w:bidi="ar-SA"/>
        </w:rPr>
        <w:t>（五）完成主管单位交办的其他工作。</w:t>
      </w:r>
      <w:bookmarkEnd w:id="18"/>
    </w:p>
    <w:p>
      <w:pPr>
        <w:pStyle w:val="4"/>
        <w:rPr>
          <w:rFonts w:ascii="黑体" w:hAnsi="黑体" w:eastAsia="黑体"/>
          <w:b w:val="0"/>
        </w:rPr>
      </w:pPr>
      <w:bookmarkStart w:id="19" w:name="_Toc26824"/>
      <w:r>
        <w:rPr>
          <w:rFonts w:hint="eastAsia" w:ascii="黑体" w:hAnsi="黑体" w:eastAsia="黑体"/>
          <w:b w:val="0"/>
        </w:rPr>
        <w:t>二、机构设置</w:t>
      </w:r>
      <w:bookmarkEnd w:id="19"/>
    </w:p>
    <w:bookmarkEnd w:id="16"/>
    <w:bookmarkEnd w:id="17"/>
    <w:p>
      <w:pPr>
        <w:widowControl/>
        <w:jc w:val="left"/>
        <w:rPr>
          <w:rFonts w:ascii="仿宋" w:hAnsi="仿宋" w:eastAsia="仿宋"/>
          <w:kern w:val="0"/>
          <w:sz w:val="32"/>
          <w:szCs w:val="32"/>
        </w:rPr>
      </w:pPr>
      <w:r>
        <w:rPr>
          <w:rFonts w:hint="eastAsia" w:ascii="仿宋" w:hAnsi="仿宋" w:eastAsia="仿宋"/>
          <w:sz w:val="32"/>
          <w:szCs w:val="32"/>
        </w:rPr>
        <w:t>五通桥区社情民意调查中心</w:t>
      </w:r>
      <w:r>
        <w:rPr>
          <w:rFonts w:hint="eastAsia" w:ascii="仿宋" w:hAnsi="仿宋" w:eastAsia="仿宋"/>
          <w:sz w:val="32"/>
          <w:szCs w:val="32"/>
          <w:lang w:val="en-US" w:eastAsia="zh-CN"/>
        </w:rPr>
        <w:t>属事业单位</w:t>
      </w:r>
      <w:r>
        <w:rPr>
          <w:rFonts w:hint="eastAsia" w:ascii="仿宋" w:hAnsi="仿宋" w:eastAsia="仿宋"/>
          <w:sz w:val="32"/>
          <w:szCs w:val="32"/>
          <w:lang w:eastAsia="zh-CN"/>
        </w:rPr>
        <w:t>，</w:t>
      </w:r>
      <w:r>
        <w:rPr>
          <w:rFonts w:hint="eastAsia" w:ascii="仿宋" w:hAnsi="仿宋" w:eastAsia="仿宋"/>
          <w:sz w:val="32"/>
          <w:szCs w:val="32"/>
        </w:rPr>
        <w:t>在职职工</w:t>
      </w:r>
      <w:r>
        <w:rPr>
          <w:rFonts w:hint="eastAsia" w:ascii="仿宋" w:hAnsi="仿宋" w:eastAsia="仿宋"/>
          <w:sz w:val="32"/>
          <w:szCs w:val="32"/>
          <w:lang w:val="en-US" w:eastAsia="zh-CN"/>
        </w:rPr>
        <w:t>7</w:t>
      </w:r>
      <w:r>
        <w:rPr>
          <w:rFonts w:hint="eastAsia" w:ascii="仿宋" w:hAnsi="仿宋" w:eastAsia="仿宋"/>
          <w:sz w:val="32"/>
          <w:szCs w:val="32"/>
        </w:rPr>
        <w:t>人</w:t>
      </w:r>
      <w:r>
        <w:rPr>
          <w:rFonts w:hint="eastAsia" w:ascii="仿宋" w:hAnsi="仿宋" w:eastAsia="仿宋"/>
          <w:sz w:val="32"/>
          <w:szCs w:val="32"/>
          <w:lang w:eastAsia="zh-CN"/>
        </w:rPr>
        <w:t>。</w:t>
      </w:r>
      <w:r>
        <w:rPr>
          <w:rFonts w:ascii="仿宋" w:hAnsi="仿宋" w:eastAsia="仿宋"/>
          <w:sz w:val="32"/>
          <w:szCs w:val="32"/>
        </w:rPr>
        <w:br w:type="page"/>
      </w:r>
    </w:p>
    <w:p>
      <w:pPr>
        <w:pStyle w:val="3"/>
        <w:ind w:right="440"/>
        <w:jc w:val="center"/>
        <w:rPr>
          <w:rStyle w:val="27"/>
          <w:rFonts w:ascii="黑体" w:hAnsi="黑体" w:eastAsia="黑体"/>
          <w:b w:val="0"/>
          <w:bCs/>
        </w:rPr>
      </w:pPr>
      <w:bookmarkStart w:id="20" w:name="_Toc15377204"/>
      <w:bookmarkStart w:id="21" w:name="_Toc15396602"/>
      <w:bookmarkStart w:id="22" w:name="_Toc23269"/>
      <w:r>
        <w:rPr>
          <w:rFonts w:hint="eastAsia" w:ascii="黑体" w:hAnsi="黑体" w:eastAsia="黑体"/>
          <w:b w:val="0"/>
        </w:rPr>
        <w:t>第二部分 2023年度</w:t>
      </w:r>
      <w:r>
        <w:rPr>
          <w:rStyle w:val="27"/>
          <w:rFonts w:hint="eastAsia" w:ascii="黑体" w:hAnsi="黑体" w:eastAsia="黑体"/>
          <w:b w:val="0"/>
          <w:bCs/>
        </w:rPr>
        <w:t>单位决算情况说明</w:t>
      </w:r>
      <w:bookmarkEnd w:id="20"/>
      <w:bookmarkEnd w:id="21"/>
      <w:bookmarkEnd w:id="22"/>
    </w:p>
    <w:p/>
    <w:p>
      <w:pPr>
        <w:pStyle w:val="26"/>
        <w:numPr>
          <w:ilvl w:val="0"/>
          <w:numId w:val="2"/>
        </w:numPr>
        <w:spacing w:line="600" w:lineRule="exact"/>
        <w:ind w:firstLineChars="0"/>
        <w:outlineLvl w:val="1"/>
        <w:rPr>
          <w:rStyle w:val="28"/>
          <w:rFonts w:ascii="黑体" w:hAnsi="黑体" w:eastAsia="黑体"/>
          <w:b w:val="0"/>
        </w:rPr>
      </w:pPr>
      <w:bookmarkStart w:id="23" w:name="_Toc31317"/>
      <w:bookmarkStart w:id="24" w:name="_Toc15396603"/>
      <w:bookmarkStart w:id="25" w:name="_Toc15377205"/>
      <w:r>
        <w:rPr>
          <w:rFonts w:hint="eastAsia" w:ascii="黑体" w:hAnsi="黑体" w:eastAsia="黑体"/>
          <w:sz w:val="32"/>
          <w:szCs w:val="32"/>
        </w:rPr>
        <w:t>收</w:t>
      </w:r>
      <w:r>
        <w:rPr>
          <w:rStyle w:val="28"/>
          <w:rFonts w:hint="eastAsia" w:ascii="黑体" w:hAnsi="黑体" w:eastAsia="黑体"/>
          <w:b w:val="0"/>
        </w:rPr>
        <w:t>入支出决算总体情况说明</w:t>
      </w:r>
      <w:bookmarkEnd w:id="23"/>
      <w:bookmarkEnd w:id="24"/>
      <w:bookmarkEnd w:id="25"/>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2023年度收、支总计均为</w:t>
      </w:r>
      <w:r>
        <w:rPr>
          <w:rFonts w:hint="eastAsia" w:ascii="仿宋" w:hAnsi="仿宋" w:eastAsia="仿宋"/>
          <w:b w:val="0"/>
          <w:bCs/>
          <w:sz w:val="32"/>
          <w:szCs w:val="32"/>
        </w:rPr>
        <w:t>99.34</w:t>
      </w:r>
      <w:r>
        <w:rPr>
          <w:rFonts w:hint="eastAsia" w:ascii="仿宋" w:hAnsi="仿宋" w:eastAsia="仿宋"/>
          <w:sz w:val="32"/>
          <w:szCs w:val="32"/>
        </w:rPr>
        <w:t>万元。与2022年度相比，收、支总计各增加</w:t>
      </w:r>
      <w:r>
        <w:rPr>
          <w:rFonts w:hint="eastAsia" w:ascii="仿宋" w:hAnsi="仿宋" w:eastAsia="仿宋"/>
          <w:sz w:val="32"/>
          <w:szCs w:val="32"/>
          <w:lang w:val="en-US" w:eastAsia="zh-CN"/>
        </w:rPr>
        <w:t>99.34</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本年度开始与机关账务分离，单位独立核算，所有收支独立核算</w:t>
      </w:r>
      <w:r>
        <w:rPr>
          <w:rFonts w:hint="eastAsia" w:ascii="仿宋" w:hAnsi="仿宋" w:eastAsia="仿宋"/>
          <w:sz w:val="32"/>
          <w:szCs w:val="32"/>
        </w:rPr>
        <w:t>。</w:t>
      </w:r>
    </w:p>
    <w:p>
      <w:pPr>
        <w:pStyle w:val="2"/>
        <w:outlineLvl w:val="9"/>
        <w:rPr>
          <w:rFonts w:hint="eastAsia" w:eastAsia="仿宋"/>
          <w:lang w:eastAsia="zh-CN"/>
        </w:rPr>
      </w:pPr>
      <w:r>
        <w:rPr>
          <w:rFonts w:hint="eastAsia" w:eastAsia="仿宋"/>
          <w:lang w:eastAsia="zh-CN"/>
        </w:rPr>
        <w:drawing>
          <wp:inline distT="0" distB="0" distL="114300" distR="114300">
            <wp:extent cx="5256530" cy="2988310"/>
            <wp:effectExtent l="5080" t="4445" r="15240" b="1714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_GB2312" w:eastAsia="仿宋_GB2312"/>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pStyle w:val="26"/>
        <w:numPr>
          <w:ilvl w:val="0"/>
          <w:numId w:val="2"/>
        </w:numPr>
        <w:spacing w:line="600" w:lineRule="exact"/>
        <w:ind w:firstLineChars="0"/>
        <w:outlineLvl w:val="1"/>
        <w:rPr>
          <w:rStyle w:val="28"/>
          <w:rFonts w:ascii="黑体" w:hAnsi="黑体" w:eastAsia="黑体"/>
          <w:b w:val="0"/>
        </w:rPr>
      </w:pPr>
      <w:bookmarkStart w:id="26" w:name="_Toc13852"/>
      <w:bookmarkStart w:id="27" w:name="_Toc15377206"/>
      <w:bookmarkStart w:id="28" w:name="_Toc15396604"/>
      <w:r>
        <w:rPr>
          <w:rFonts w:hint="eastAsia" w:ascii="黑体" w:hAnsi="黑体" w:eastAsia="黑体"/>
          <w:sz w:val="32"/>
          <w:szCs w:val="32"/>
        </w:rPr>
        <w:t>收</w:t>
      </w:r>
      <w:r>
        <w:rPr>
          <w:rStyle w:val="28"/>
          <w:rFonts w:hint="eastAsia" w:ascii="黑体" w:hAnsi="黑体" w:eastAsia="黑体"/>
          <w:b w:val="0"/>
        </w:rPr>
        <w:t>入决算情况说明</w:t>
      </w:r>
      <w:bookmarkEnd w:id="26"/>
      <w:bookmarkEnd w:id="27"/>
      <w:bookmarkEnd w:id="28"/>
    </w:p>
    <w:p>
      <w:pPr>
        <w:spacing w:line="600" w:lineRule="exact"/>
        <w:ind w:firstLine="640" w:firstLineChars="200"/>
        <w:outlineLvl w:val="9"/>
        <w:rPr>
          <w:rFonts w:hint="eastAsia" w:ascii="仿宋" w:hAnsi="仿宋" w:eastAsia="仿宋"/>
          <w:b w:val="0"/>
          <w:bCs w:val="0"/>
          <w:sz w:val="32"/>
          <w:szCs w:val="32"/>
          <w:lang w:eastAsia="zh-CN"/>
        </w:rPr>
      </w:pPr>
      <w:r>
        <w:rPr>
          <w:rFonts w:hint="eastAsia" w:ascii="仿宋" w:hAnsi="仿宋" w:eastAsia="仿宋"/>
          <w:b w:val="0"/>
          <w:bCs w:val="0"/>
          <w:sz w:val="32"/>
          <w:szCs w:val="32"/>
        </w:rPr>
        <w:t>2023年度本年收入合计</w:t>
      </w:r>
      <w:r>
        <w:rPr>
          <w:rFonts w:ascii="仿宋" w:hAnsi="仿宋" w:eastAsia="仿宋"/>
          <w:b w:val="0"/>
          <w:bCs w:val="0"/>
          <w:sz w:val="32"/>
          <w:szCs w:val="32"/>
        </w:rPr>
        <w:t>99.34</w:t>
      </w:r>
      <w:r>
        <w:rPr>
          <w:rFonts w:hint="eastAsia" w:ascii="仿宋" w:hAnsi="仿宋" w:eastAsia="仿宋"/>
          <w:b w:val="0"/>
          <w:bCs w:val="0"/>
          <w:sz w:val="32"/>
          <w:szCs w:val="32"/>
        </w:rPr>
        <w:t>万元，其中：一般公共预算财政拨款收入</w:t>
      </w:r>
      <w:r>
        <w:rPr>
          <w:rFonts w:ascii="仿宋" w:hAnsi="仿宋" w:eastAsia="仿宋"/>
          <w:b w:val="0"/>
          <w:bCs w:val="0"/>
          <w:sz w:val="32"/>
          <w:szCs w:val="32"/>
        </w:rPr>
        <w:t>99.34</w:t>
      </w:r>
      <w:r>
        <w:rPr>
          <w:rFonts w:hint="eastAsia" w:ascii="仿宋" w:hAnsi="仿宋" w:eastAsia="仿宋"/>
          <w:b w:val="0"/>
          <w:bCs w:val="0"/>
          <w:sz w:val="32"/>
          <w:szCs w:val="32"/>
        </w:rPr>
        <w:t>万元，占</w:t>
      </w:r>
      <w:r>
        <w:rPr>
          <w:rFonts w:ascii="仿宋" w:hAnsi="仿宋" w:eastAsia="仿宋"/>
          <w:b w:val="0"/>
          <w:bCs w:val="0"/>
          <w:sz w:val="32"/>
          <w:szCs w:val="32"/>
        </w:rPr>
        <w:t>100%</w:t>
      </w:r>
      <w:r>
        <w:rPr>
          <w:rFonts w:hint="eastAsia" w:ascii="仿宋" w:hAnsi="仿宋" w:eastAsia="仿宋"/>
          <w:b w:val="0"/>
          <w:bCs w:val="0"/>
          <w:sz w:val="32"/>
          <w:szCs w:val="32"/>
        </w:rPr>
        <w:t>；政府性基金预算财政拨款收入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；国有资本经营预算财政拨款收入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；上级补助收入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；事业收入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；经营收入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；附属单位上缴收入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；其他收入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lang w:eastAsia="zh-CN"/>
        </w:rPr>
        <w:t>。</w:t>
      </w:r>
    </w:p>
    <w:p>
      <w:pPr>
        <w:spacing w:line="600" w:lineRule="exact"/>
        <w:ind w:firstLine="643" w:firstLineChars="200"/>
        <w:outlineLvl w:val="9"/>
        <w:rPr>
          <w:rFonts w:ascii="仿宋" w:hAnsi="仿宋" w:eastAsia="仿宋"/>
          <w:sz w:val="32"/>
          <w:szCs w:val="32"/>
        </w:rPr>
      </w:pPr>
      <w:r>
        <w:rPr>
          <w:rFonts w:hint="eastAsia" w:ascii="仿宋" w:hAnsi="仿宋" w:eastAsia="仿宋"/>
          <w:b/>
          <w:sz w:val="32"/>
          <w:szCs w:val="32"/>
        </w:rPr>
        <w:t>（注：数据来源于财决</w:t>
      </w:r>
      <w:r>
        <w:rPr>
          <w:rFonts w:ascii="仿宋" w:hAnsi="仿宋" w:eastAsia="仿宋"/>
          <w:b/>
          <w:sz w:val="32"/>
          <w:szCs w:val="32"/>
        </w:rPr>
        <w:t>01表</w:t>
      </w:r>
      <w:r>
        <w:rPr>
          <w:rFonts w:hint="eastAsia" w:ascii="仿宋" w:hAnsi="仿宋" w:eastAsia="仿宋"/>
          <w:b/>
          <w:sz w:val="32"/>
          <w:szCs w:val="32"/>
        </w:rPr>
        <w:t>，仅罗列本单位涉及的收入。</w:t>
      </w:r>
      <w:r>
        <w:rPr>
          <w:rFonts w:ascii="仿宋" w:hAnsi="仿宋" w:eastAsia="仿宋"/>
          <w:b/>
          <w:sz w:val="32"/>
          <w:szCs w:val="32"/>
        </w:rPr>
        <w:t>）</w:t>
      </w:r>
    </w:p>
    <w:p>
      <w:pPr>
        <w:rPr>
          <w:rFonts w:hint="eastAsia" w:eastAsia="仿宋"/>
          <w:lang w:eastAsia="zh-CN"/>
        </w:rPr>
      </w:pPr>
      <w:r>
        <w:rPr>
          <w:rFonts w:hint="eastAsia" w:eastAsia="仿宋"/>
          <w:lang w:eastAsia="zh-CN"/>
        </w:rPr>
        <w:drawing>
          <wp:inline distT="0" distB="0" distL="114300" distR="114300">
            <wp:extent cx="5256530" cy="2988310"/>
            <wp:effectExtent l="5080" t="4445" r="15240" b="1714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
      <w:pPr>
        <w:spacing w:line="600" w:lineRule="exact"/>
        <w:ind w:firstLine="640" w:firstLineChars="200"/>
        <w:rPr>
          <w:rFonts w:ascii="仿宋_GB2312" w:eastAsia="仿宋_GB2312"/>
          <w:sz w:val="32"/>
          <w:szCs w:val="32"/>
        </w:rPr>
      </w:pPr>
      <w:r>
        <w:rPr>
          <w:rFonts w:hint="eastAsia" w:ascii="仿宋" w:hAnsi="仿宋" w:eastAsia="仿宋"/>
          <w:sz w:val="32"/>
          <w:szCs w:val="32"/>
        </w:rPr>
        <w:t>（图2：收入决算结构图）</w:t>
      </w:r>
    </w:p>
    <w:p>
      <w:pPr>
        <w:pStyle w:val="26"/>
        <w:numPr>
          <w:ilvl w:val="0"/>
          <w:numId w:val="2"/>
        </w:numPr>
        <w:spacing w:line="600" w:lineRule="exact"/>
        <w:ind w:firstLineChars="0"/>
        <w:outlineLvl w:val="1"/>
        <w:rPr>
          <w:rStyle w:val="28"/>
          <w:rFonts w:ascii="黑体" w:hAnsi="黑体" w:eastAsia="黑体"/>
          <w:b w:val="0"/>
        </w:rPr>
      </w:pPr>
      <w:bookmarkStart w:id="29" w:name="_Toc15377207"/>
      <w:bookmarkStart w:id="30" w:name="_Toc15396605"/>
      <w:bookmarkStart w:id="31" w:name="_Toc561"/>
      <w:r>
        <w:rPr>
          <w:rFonts w:hint="eastAsia" w:ascii="黑体" w:hAnsi="黑体" w:eastAsia="黑体"/>
          <w:sz w:val="32"/>
          <w:szCs w:val="32"/>
        </w:rPr>
        <w:t>支</w:t>
      </w:r>
      <w:r>
        <w:rPr>
          <w:rStyle w:val="28"/>
          <w:rFonts w:hint="eastAsia" w:ascii="黑体" w:hAnsi="黑体" w:eastAsia="黑体"/>
          <w:b w:val="0"/>
        </w:rPr>
        <w:t>出决算情况说明</w:t>
      </w:r>
      <w:bookmarkEnd w:id="29"/>
      <w:bookmarkEnd w:id="30"/>
      <w:bookmarkEnd w:id="31"/>
    </w:p>
    <w:p>
      <w:pPr>
        <w:spacing w:line="600" w:lineRule="exact"/>
        <w:ind w:firstLine="640" w:firstLineChars="200"/>
        <w:outlineLvl w:val="9"/>
        <w:rPr>
          <w:rFonts w:ascii="仿宋" w:hAnsi="仿宋" w:eastAsia="仿宋"/>
          <w:b w:val="0"/>
          <w:bCs w:val="0"/>
          <w:sz w:val="32"/>
          <w:szCs w:val="32"/>
        </w:rPr>
      </w:pPr>
      <w:r>
        <w:rPr>
          <w:rFonts w:hint="eastAsia" w:ascii="仿宋" w:hAnsi="仿宋" w:eastAsia="仿宋"/>
          <w:b w:val="0"/>
          <w:bCs w:val="0"/>
          <w:sz w:val="32"/>
          <w:szCs w:val="32"/>
        </w:rPr>
        <w:t>2023年度本年支出合计</w:t>
      </w:r>
      <w:r>
        <w:rPr>
          <w:rFonts w:ascii="仿宋" w:hAnsi="仿宋" w:eastAsia="仿宋"/>
          <w:b w:val="0"/>
          <w:bCs w:val="0"/>
          <w:sz w:val="32"/>
          <w:szCs w:val="32"/>
        </w:rPr>
        <w:t>99.34</w:t>
      </w:r>
      <w:r>
        <w:rPr>
          <w:rFonts w:hint="eastAsia" w:ascii="仿宋" w:hAnsi="仿宋" w:eastAsia="仿宋"/>
          <w:b w:val="0"/>
          <w:bCs w:val="0"/>
          <w:sz w:val="32"/>
          <w:szCs w:val="32"/>
        </w:rPr>
        <w:t>万元，其中：基本支出</w:t>
      </w:r>
      <w:r>
        <w:rPr>
          <w:rFonts w:ascii="仿宋" w:hAnsi="仿宋" w:eastAsia="仿宋"/>
          <w:b w:val="0"/>
          <w:bCs w:val="0"/>
          <w:sz w:val="32"/>
          <w:szCs w:val="32"/>
        </w:rPr>
        <w:t>99.34</w:t>
      </w:r>
      <w:r>
        <w:rPr>
          <w:rFonts w:hint="eastAsia" w:ascii="仿宋" w:hAnsi="仿宋" w:eastAsia="仿宋"/>
          <w:b w:val="0"/>
          <w:bCs w:val="0"/>
          <w:sz w:val="32"/>
          <w:szCs w:val="32"/>
        </w:rPr>
        <w:t>万元，占</w:t>
      </w:r>
      <w:r>
        <w:rPr>
          <w:rFonts w:ascii="仿宋" w:hAnsi="仿宋" w:eastAsia="仿宋"/>
          <w:b w:val="0"/>
          <w:bCs w:val="0"/>
          <w:sz w:val="32"/>
          <w:szCs w:val="32"/>
        </w:rPr>
        <w:t>100%</w:t>
      </w:r>
      <w:r>
        <w:rPr>
          <w:rFonts w:hint="eastAsia" w:ascii="仿宋" w:hAnsi="仿宋" w:eastAsia="仿宋"/>
          <w:b w:val="0"/>
          <w:bCs w:val="0"/>
          <w:sz w:val="32"/>
          <w:szCs w:val="32"/>
        </w:rPr>
        <w:t>；项目支出</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；上缴上级支出</w:t>
      </w:r>
      <w:r>
        <w:rPr>
          <w:rFonts w:ascii="仿宋" w:hAnsi="仿宋" w:eastAsia="仿宋"/>
          <w:b w:val="0"/>
          <w:bCs w:val="0"/>
          <w:sz w:val="32"/>
          <w:szCs w:val="32"/>
        </w:rPr>
        <w:t>0</w:t>
      </w:r>
      <w:r>
        <w:rPr>
          <w:rFonts w:hint="eastAsia" w:ascii="仿宋" w:hAnsi="仿宋" w:eastAsia="仿宋"/>
          <w:b w:val="0"/>
          <w:bCs w:val="0"/>
          <w:sz w:val="32"/>
          <w:szCs w:val="32"/>
        </w:rPr>
        <w:t>万元，占0</w:t>
      </w:r>
      <w:r>
        <w:rPr>
          <w:rFonts w:ascii="仿宋" w:hAnsi="仿宋" w:eastAsia="仿宋"/>
          <w:b w:val="0"/>
          <w:bCs w:val="0"/>
          <w:sz w:val="32"/>
          <w:szCs w:val="32"/>
        </w:rPr>
        <w:t>%</w:t>
      </w:r>
      <w:r>
        <w:rPr>
          <w:rFonts w:hint="eastAsia" w:ascii="仿宋" w:hAnsi="仿宋" w:eastAsia="仿宋"/>
          <w:b w:val="0"/>
          <w:bCs w:val="0"/>
          <w:sz w:val="32"/>
          <w:szCs w:val="32"/>
        </w:rPr>
        <w:t>；经营支出</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；对附属单位补助支出</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w:t>
      </w:r>
    </w:p>
    <w:p>
      <w:pPr>
        <w:spacing w:line="600" w:lineRule="exact"/>
        <w:ind w:firstLine="643" w:firstLineChars="200"/>
        <w:outlineLvl w:val="9"/>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04</w:t>
      </w:r>
      <w:r>
        <w:rPr>
          <w:rFonts w:hint="eastAsia" w:ascii="仿宋" w:hAnsi="仿宋" w:eastAsia="仿宋"/>
          <w:b/>
          <w:sz w:val="32"/>
          <w:szCs w:val="32"/>
        </w:rPr>
        <w:t>表，仅罗列本单位涉及的支出。）</w:t>
      </w:r>
    </w:p>
    <w:p>
      <w:pPr>
        <w:rPr>
          <w:rFonts w:ascii="仿宋" w:hAnsi="仿宋" w:eastAsia="仿宋"/>
          <w:sz w:val="32"/>
          <w:szCs w:val="32"/>
          <w:shd w:val="pct10" w:color="auto" w:fill="FFFFFF"/>
        </w:rPr>
      </w:pPr>
    </w:p>
    <w:p>
      <w:pPr>
        <w:pStyle w:val="2"/>
        <w:outlineLvl w:val="9"/>
        <w:rPr>
          <w:rFonts w:hint="eastAsia" w:eastAsia="仿宋"/>
          <w:lang w:eastAsia="zh-CN"/>
        </w:rPr>
      </w:pPr>
      <w:r>
        <w:rPr>
          <w:rFonts w:hint="eastAsia" w:eastAsia="仿宋"/>
          <w:lang w:eastAsia="zh-CN"/>
        </w:rPr>
        <w:drawing>
          <wp:inline distT="0" distB="0" distL="114300" distR="114300">
            <wp:extent cx="5256530" cy="2988310"/>
            <wp:effectExtent l="5080" t="4445" r="15240" b="1714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firstLineChars="200"/>
        <w:rPr>
          <w:rFonts w:ascii="仿宋_GB2312" w:eastAsia="仿宋_GB2312"/>
          <w:sz w:val="32"/>
          <w:szCs w:val="32"/>
        </w:rPr>
      </w:pPr>
      <w:r>
        <w:rPr>
          <w:rFonts w:hint="eastAsia" w:ascii="仿宋" w:hAnsi="仿宋" w:eastAsia="仿宋"/>
          <w:sz w:val="32"/>
          <w:szCs w:val="32"/>
        </w:rPr>
        <w:t>（图3：支出决算结构图）</w:t>
      </w:r>
    </w:p>
    <w:p>
      <w:pPr>
        <w:spacing w:line="600" w:lineRule="exact"/>
        <w:ind w:firstLine="640" w:firstLineChars="200"/>
        <w:outlineLvl w:val="1"/>
        <w:rPr>
          <w:rStyle w:val="28"/>
          <w:rFonts w:ascii="黑体" w:hAnsi="黑体" w:eastAsia="黑体"/>
          <w:b w:val="0"/>
        </w:rPr>
      </w:pPr>
      <w:bookmarkStart w:id="32" w:name="_Toc15396606"/>
      <w:bookmarkStart w:id="33" w:name="_Toc15377208"/>
      <w:bookmarkStart w:id="34" w:name="_Toc30373"/>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32"/>
      <w:bookmarkEnd w:id="33"/>
      <w:bookmarkEnd w:id="34"/>
    </w:p>
    <w:p>
      <w:pPr>
        <w:spacing w:line="600" w:lineRule="exact"/>
        <w:ind w:firstLine="640"/>
        <w:rPr>
          <w:rFonts w:ascii="仿宋" w:hAnsi="仿宋" w:eastAsia="仿宋"/>
          <w:b w:val="0"/>
          <w:bCs w:val="0"/>
          <w:sz w:val="32"/>
          <w:szCs w:val="32"/>
        </w:rPr>
      </w:pPr>
      <w:r>
        <w:rPr>
          <w:rFonts w:hint="eastAsia" w:ascii="仿宋" w:hAnsi="仿宋" w:eastAsia="仿宋"/>
          <w:b w:val="0"/>
          <w:bCs w:val="0"/>
          <w:sz w:val="32"/>
          <w:szCs w:val="32"/>
        </w:rPr>
        <w:t>2023年度财政拨款收、支总计均为</w:t>
      </w:r>
      <w:r>
        <w:rPr>
          <w:rFonts w:ascii="仿宋" w:hAnsi="仿宋" w:eastAsia="仿宋"/>
          <w:b w:val="0"/>
          <w:bCs w:val="0"/>
          <w:sz w:val="32"/>
          <w:szCs w:val="32"/>
        </w:rPr>
        <w:t>99.34</w:t>
      </w:r>
      <w:r>
        <w:rPr>
          <w:rFonts w:hint="eastAsia" w:ascii="仿宋" w:hAnsi="仿宋" w:eastAsia="仿宋"/>
          <w:b w:val="0"/>
          <w:bCs w:val="0"/>
          <w:sz w:val="32"/>
          <w:szCs w:val="32"/>
        </w:rPr>
        <w:t>万元。与2022年度相比，财政拨款收、支总计各增加</w:t>
      </w:r>
      <w:r>
        <w:rPr>
          <w:rFonts w:hint="eastAsia" w:ascii="仿宋" w:hAnsi="仿宋" w:eastAsia="仿宋"/>
          <w:b w:val="0"/>
          <w:bCs w:val="0"/>
          <w:sz w:val="32"/>
          <w:szCs w:val="32"/>
          <w:lang w:val="en-US" w:eastAsia="zh-CN"/>
        </w:rPr>
        <w:t>99.34</w:t>
      </w:r>
      <w:r>
        <w:rPr>
          <w:rFonts w:hint="eastAsia" w:ascii="仿宋" w:hAnsi="仿宋" w:eastAsia="仿宋"/>
          <w:b w:val="0"/>
          <w:bCs w:val="0"/>
          <w:sz w:val="32"/>
          <w:szCs w:val="32"/>
        </w:rPr>
        <w:t>万元，增长</w:t>
      </w:r>
      <w:r>
        <w:rPr>
          <w:rFonts w:hint="eastAsia" w:ascii="仿宋" w:hAnsi="仿宋" w:eastAsia="仿宋"/>
          <w:b w:val="0"/>
          <w:bCs w:val="0"/>
          <w:sz w:val="32"/>
          <w:szCs w:val="32"/>
          <w:lang w:val="en-US" w:eastAsia="zh-CN"/>
        </w:rPr>
        <w:t>100</w:t>
      </w:r>
      <w:r>
        <w:rPr>
          <w:rFonts w:ascii="仿宋" w:hAnsi="仿宋" w:eastAsia="仿宋"/>
          <w:b w:val="0"/>
          <w:bCs w:val="0"/>
          <w:sz w:val="32"/>
          <w:szCs w:val="32"/>
        </w:rPr>
        <w:t>%</w:t>
      </w:r>
      <w:r>
        <w:rPr>
          <w:rFonts w:hint="eastAsia" w:ascii="仿宋" w:hAnsi="仿宋" w:eastAsia="仿宋"/>
          <w:b w:val="0"/>
          <w:bCs w:val="0"/>
          <w:sz w:val="32"/>
          <w:szCs w:val="32"/>
        </w:rPr>
        <w:t>。主要变动原因是</w:t>
      </w:r>
      <w:r>
        <w:rPr>
          <w:rFonts w:hint="eastAsia" w:ascii="仿宋" w:hAnsi="仿宋" w:eastAsia="仿宋"/>
          <w:b w:val="0"/>
          <w:bCs w:val="0"/>
          <w:sz w:val="32"/>
          <w:szCs w:val="32"/>
          <w:lang w:val="en-US" w:eastAsia="zh-CN"/>
        </w:rPr>
        <w:t>本年度开始与机关账务分离，单位独立核算，所有收支独立核算。</w:t>
      </w:r>
    </w:p>
    <w:p>
      <w:pPr>
        <w:spacing w:line="600" w:lineRule="exact"/>
        <w:ind w:firstLine="640"/>
      </w:pPr>
      <w:r>
        <w:rPr>
          <w:rFonts w:hint="eastAsia" w:ascii="仿宋" w:hAnsi="仿宋" w:eastAsia="仿宋"/>
          <w:b/>
          <w:sz w:val="32"/>
          <w:szCs w:val="32"/>
        </w:rPr>
        <w:t>（注：数据来源于财决</w:t>
      </w:r>
      <w:r>
        <w:rPr>
          <w:rFonts w:ascii="仿宋" w:hAnsi="仿宋" w:eastAsia="仿宋"/>
          <w:b/>
          <w:sz w:val="32"/>
          <w:szCs w:val="32"/>
        </w:rPr>
        <w:t>01-1</w:t>
      </w:r>
      <w:r>
        <w:rPr>
          <w:rFonts w:hint="eastAsia" w:ascii="仿宋" w:hAnsi="仿宋" w:eastAsia="仿宋"/>
          <w:b/>
          <w:sz w:val="32"/>
          <w:szCs w:val="32"/>
        </w:rPr>
        <w:t>表</w:t>
      </w:r>
      <w:r>
        <w:rPr>
          <w:rFonts w:ascii="仿宋" w:hAnsi="仿宋" w:eastAsia="仿宋"/>
          <w:b/>
          <w:sz w:val="32"/>
          <w:szCs w:val="32"/>
        </w:rPr>
        <w:t>）</w:t>
      </w:r>
    </w:p>
    <w:p>
      <w:pPr>
        <w:pStyle w:val="2"/>
        <w:outlineLvl w:val="9"/>
        <w:rPr>
          <w:rFonts w:hint="eastAsia" w:eastAsia="黑体"/>
          <w:lang w:eastAsia="zh-CN"/>
        </w:rPr>
      </w:pPr>
      <w:r>
        <w:rPr>
          <w:rFonts w:hint="eastAsia" w:eastAsia="黑体"/>
          <w:lang w:eastAsia="zh-CN"/>
        </w:rPr>
        <w:drawing>
          <wp:inline distT="0" distB="0" distL="114300" distR="114300">
            <wp:extent cx="5256530" cy="2988310"/>
            <wp:effectExtent l="5080" t="4445" r="15240" b="1714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600" w:lineRule="exact"/>
        <w:ind w:firstLine="640" w:firstLineChars="200"/>
        <w:rPr>
          <w:rFonts w:ascii="仿宋" w:hAnsi="仿宋" w:eastAsia="仿宋"/>
          <w:b/>
          <w:sz w:val="32"/>
          <w:szCs w:val="32"/>
        </w:rPr>
      </w:pPr>
      <w:r>
        <w:rPr>
          <w:rFonts w:hint="eastAsia" w:ascii="仿宋" w:hAnsi="仿宋" w:eastAsia="仿宋"/>
          <w:sz w:val="32"/>
          <w:szCs w:val="32"/>
        </w:rPr>
        <w:t>（图4：财政拨款收、支决算总计变动情况）</w:t>
      </w:r>
    </w:p>
    <w:p>
      <w:pPr>
        <w:spacing w:line="600" w:lineRule="exact"/>
        <w:ind w:firstLine="640" w:firstLineChars="200"/>
        <w:outlineLvl w:val="1"/>
        <w:rPr>
          <w:rStyle w:val="28"/>
          <w:rFonts w:ascii="黑体" w:hAnsi="黑体" w:eastAsia="黑体"/>
          <w:b w:val="0"/>
        </w:rPr>
      </w:pPr>
      <w:bookmarkStart w:id="35" w:name="_Toc15396607"/>
      <w:bookmarkStart w:id="36" w:name="_Toc19034"/>
      <w:bookmarkStart w:id="37" w:name="_Toc15377209"/>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35"/>
      <w:bookmarkEnd w:id="36"/>
      <w:bookmarkEnd w:id="37"/>
    </w:p>
    <w:p>
      <w:pPr>
        <w:spacing w:line="600" w:lineRule="exact"/>
        <w:ind w:firstLine="643" w:firstLineChars="200"/>
        <w:outlineLvl w:val="2"/>
        <w:rPr>
          <w:rFonts w:ascii="仿宋" w:hAnsi="仿宋" w:eastAsia="仿宋"/>
          <w:b/>
          <w:sz w:val="32"/>
          <w:szCs w:val="32"/>
        </w:rPr>
      </w:pPr>
      <w:bookmarkStart w:id="38" w:name="_Toc19065"/>
      <w:bookmarkStart w:id="39" w:name="_Toc15377210"/>
      <w:r>
        <w:rPr>
          <w:rFonts w:hint="eastAsia" w:ascii="仿宋" w:hAnsi="仿宋" w:eastAsia="仿宋"/>
          <w:b/>
          <w:sz w:val="32"/>
          <w:szCs w:val="32"/>
        </w:rPr>
        <w:t>（一）一般公共预算财政拨款支出决算总体情况</w:t>
      </w:r>
      <w:bookmarkEnd w:id="38"/>
      <w:bookmarkEnd w:id="39"/>
    </w:p>
    <w:p>
      <w:pPr>
        <w:spacing w:line="600" w:lineRule="exact"/>
        <w:ind w:firstLine="640" w:firstLineChars="200"/>
        <w:rPr>
          <w:rFonts w:hint="eastAsia" w:ascii="仿宋" w:hAnsi="仿宋" w:eastAsia="仿宋"/>
          <w:b w:val="0"/>
          <w:bCs w:val="0"/>
          <w:sz w:val="32"/>
          <w:szCs w:val="32"/>
          <w:lang w:val="en-US" w:eastAsia="zh-CN"/>
        </w:rPr>
      </w:pPr>
      <w:r>
        <w:rPr>
          <w:rFonts w:hint="eastAsia" w:ascii="仿宋" w:hAnsi="仿宋" w:eastAsia="仿宋"/>
          <w:b w:val="0"/>
          <w:bCs w:val="0"/>
          <w:sz w:val="32"/>
          <w:szCs w:val="32"/>
        </w:rPr>
        <w:t>2023年度一般公共预算财政拨款支出</w:t>
      </w:r>
      <w:r>
        <w:rPr>
          <w:rFonts w:ascii="仿宋" w:hAnsi="仿宋" w:eastAsia="仿宋"/>
          <w:b w:val="0"/>
          <w:bCs w:val="0"/>
          <w:sz w:val="32"/>
          <w:szCs w:val="32"/>
        </w:rPr>
        <w:t>99.34</w:t>
      </w:r>
      <w:r>
        <w:rPr>
          <w:rFonts w:hint="eastAsia" w:ascii="仿宋" w:hAnsi="仿宋" w:eastAsia="仿宋"/>
          <w:b w:val="0"/>
          <w:bCs w:val="0"/>
          <w:sz w:val="32"/>
          <w:szCs w:val="32"/>
        </w:rPr>
        <w:t>万元，占本年支出合计的</w:t>
      </w:r>
      <w:r>
        <w:rPr>
          <w:rFonts w:ascii="仿宋" w:hAnsi="仿宋" w:eastAsia="仿宋"/>
          <w:b w:val="0"/>
          <w:bCs w:val="0"/>
          <w:sz w:val="32"/>
          <w:szCs w:val="32"/>
        </w:rPr>
        <w:t>100%</w:t>
      </w:r>
      <w:r>
        <w:rPr>
          <w:rFonts w:hint="eastAsia" w:ascii="仿宋" w:hAnsi="仿宋" w:eastAsia="仿宋"/>
          <w:b w:val="0"/>
          <w:bCs w:val="0"/>
          <w:sz w:val="32"/>
          <w:szCs w:val="32"/>
        </w:rPr>
        <w:t>。与2022年度相比，一般公共预算财政拨款支出增加</w:t>
      </w:r>
      <w:r>
        <w:rPr>
          <w:rFonts w:hint="eastAsia" w:ascii="仿宋" w:hAnsi="仿宋" w:eastAsia="仿宋"/>
          <w:b w:val="0"/>
          <w:bCs w:val="0"/>
          <w:sz w:val="32"/>
          <w:szCs w:val="32"/>
          <w:lang w:val="en-US" w:eastAsia="zh-CN"/>
        </w:rPr>
        <w:t>99.34</w:t>
      </w:r>
      <w:r>
        <w:rPr>
          <w:rFonts w:hint="eastAsia" w:ascii="仿宋" w:hAnsi="仿宋" w:eastAsia="仿宋"/>
          <w:b w:val="0"/>
          <w:bCs w:val="0"/>
          <w:sz w:val="32"/>
          <w:szCs w:val="32"/>
        </w:rPr>
        <w:t>万元，增长</w:t>
      </w:r>
      <w:r>
        <w:rPr>
          <w:rFonts w:hint="eastAsia" w:ascii="仿宋" w:hAnsi="仿宋" w:eastAsia="仿宋"/>
          <w:b w:val="0"/>
          <w:bCs w:val="0"/>
          <w:sz w:val="32"/>
          <w:szCs w:val="32"/>
          <w:lang w:val="en-US" w:eastAsia="zh-CN"/>
        </w:rPr>
        <w:t>100</w:t>
      </w:r>
      <w:r>
        <w:rPr>
          <w:rFonts w:ascii="仿宋" w:hAnsi="仿宋" w:eastAsia="仿宋"/>
          <w:b w:val="0"/>
          <w:bCs w:val="0"/>
          <w:sz w:val="32"/>
          <w:szCs w:val="32"/>
        </w:rPr>
        <w:t>%</w:t>
      </w:r>
      <w:r>
        <w:rPr>
          <w:rFonts w:hint="eastAsia" w:ascii="仿宋" w:hAnsi="仿宋" w:eastAsia="仿宋"/>
          <w:b w:val="0"/>
          <w:bCs w:val="0"/>
          <w:sz w:val="32"/>
          <w:szCs w:val="32"/>
        </w:rPr>
        <w:t>。主要变动原因是</w:t>
      </w:r>
      <w:r>
        <w:rPr>
          <w:rFonts w:hint="eastAsia" w:ascii="仿宋" w:hAnsi="仿宋" w:eastAsia="仿宋"/>
          <w:b w:val="0"/>
          <w:bCs w:val="0"/>
          <w:sz w:val="32"/>
          <w:szCs w:val="32"/>
          <w:lang w:val="en-US" w:eastAsia="zh-CN"/>
        </w:rPr>
        <w:t>本年度开始与机关账务分离，单位独立核算，所有收支独立核算。</w:t>
      </w:r>
    </w:p>
    <w:p>
      <w:pPr>
        <w:pStyle w:val="2"/>
        <w:outlineLvl w:val="9"/>
        <w:rPr>
          <w:rFonts w:hint="eastAsia"/>
          <w:lang w:val="en-US" w:eastAsia="zh-CN"/>
        </w:rPr>
      </w:pPr>
      <w:r>
        <w:rPr>
          <w:rFonts w:hint="eastAsia"/>
          <w:lang w:val="en-US" w:eastAsia="zh-CN"/>
        </w:rPr>
        <w:drawing>
          <wp:inline distT="0" distB="0" distL="114300" distR="114300">
            <wp:extent cx="5256530" cy="2988310"/>
            <wp:effectExtent l="5080" t="4445" r="15240" b="1714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（图5：一般公共预算财政拨款支出决算变动情况）</w:t>
      </w:r>
    </w:p>
    <w:p>
      <w:pPr>
        <w:spacing w:line="600" w:lineRule="exact"/>
        <w:ind w:firstLine="643" w:firstLineChars="200"/>
        <w:outlineLvl w:val="2"/>
        <w:rPr>
          <w:rFonts w:ascii="仿宋" w:hAnsi="仿宋" w:eastAsia="仿宋"/>
          <w:b/>
          <w:sz w:val="32"/>
          <w:szCs w:val="32"/>
        </w:rPr>
      </w:pPr>
      <w:bookmarkStart w:id="40" w:name="_Toc15377211"/>
      <w:bookmarkStart w:id="41" w:name="_Toc27925"/>
      <w:r>
        <w:rPr>
          <w:rFonts w:hint="eastAsia" w:ascii="仿宋" w:hAnsi="仿宋" w:eastAsia="仿宋"/>
          <w:b/>
          <w:sz w:val="32"/>
          <w:szCs w:val="32"/>
        </w:rPr>
        <w:t>（二）一般公共预算财政拨款支出决算结构情况</w:t>
      </w:r>
      <w:bookmarkEnd w:id="40"/>
      <w:bookmarkEnd w:id="41"/>
    </w:p>
    <w:p>
      <w:pPr>
        <w:spacing w:line="600" w:lineRule="exact"/>
        <w:ind w:firstLine="640"/>
        <w:rPr>
          <w:rFonts w:ascii="仿宋" w:hAnsi="仿宋" w:eastAsia="仿宋"/>
          <w:b w:val="0"/>
          <w:bCs w:val="0"/>
          <w:sz w:val="32"/>
          <w:szCs w:val="32"/>
        </w:rPr>
      </w:pPr>
      <w:r>
        <w:rPr>
          <w:rFonts w:hint="eastAsia" w:ascii="仿宋" w:hAnsi="仿宋" w:eastAsia="仿宋"/>
          <w:b w:val="0"/>
          <w:bCs w:val="0"/>
          <w:sz w:val="32"/>
          <w:szCs w:val="32"/>
        </w:rPr>
        <w:t>2023年度一般公共预算财政拨款支出</w:t>
      </w:r>
      <w:r>
        <w:rPr>
          <w:rFonts w:ascii="仿宋" w:hAnsi="仿宋" w:eastAsia="仿宋"/>
          <w:b w:val="0"/>
          <w:bCs w:val="0"/>
          <w:sz w:val="32"/>
          <w:szCs w:val="32"/>
        </w:rPr>
        <w:t>99.34</w:t>
      </w:r>
      <w:r>
        <w:rPr>
          <w:rFonts w:hint="eastAsia" w:ascii="仿宋" w:hAnsi="仿宋" w:eastAsia="仿宋"/>
          <w:b w:val="0"/>
          <w:bCs w:val="0"/>
          <w:sz w:val="32"/>
          <w:szCs w:val="32"/>
        </w:rPr>
        <w:t>万元，主要用于以下方面</w:t>
      </w:r>
      <w:r>
        <w:rPr>
          <w:rFonts w:ascii="仿宋" w:hAnsi="仿宋" w:eastAsia="仿宋"/>
          <w:b w:val="0"/>
          <w:bCs w:val="0"/>
          <w:sz w:val="32"/>
          <w:szCs w:val="32"/>
        </w:rPr>
        <w:t>:</w:t>
      </w:r>
      <w:r>
        <w:rPr>
          <w:rFonts w:hint="eastAsia" w:ascii="仿宋" w:hAnsi="仿宋" w:eastAsia="仿宋"/>
          <w:b w:val="0"/>
          <w:bCs w:val="0"/>
          <w:sz w:val="32"/>
          <w:szCs w:val="32"/>
        </w:rPr>
        <w:t>一般公共服务支出75.36万元，占</w:t>
      </w:r>
      <w:r>
        <w:rPr>
          <w:rFonts w:hint="eastAsia" w:ascii="仿宋" w:hAnsi="仿宋" w:eastAsia="仿宋"/>
          <w:b w:val="0"/>
          <w:bCs w:val="0"/>
          <w:sz w:val="32"/>
          <w:szCs w:val="32"/>
          <w:lang w:val="en-US" w:eastAsia="zh-CN"/>
        </w:rPr>
        <w:t>75.86</w:t>
      </w:r>
      <w:r>
        <w:rPr>
          <w:rFonts w:ascii="仿宋" w:hAnsi="仿宋" w:eastAsia="仿宋"/>
          <w:b w:val="0"/>
          <w:bCs w:val="0"/>
          <w:sz w:val="32"/>
          <w:szCs w:val="32"/>
        </w:rPr>
        <w:t>%</w:t>
      </w:r>
      <w:r>
        <w:rPr>
          <w:rFonts w:hint="eastAsia" w:ascii="仿宋" w:hAnsi="仿宋" w:eastAsia="仿宋"/>
          <w:b w:val="0"/>
          <w:bCs w:val="0"/>
          <w:sz w:val="32"/>
          <w:szCs w:val="32"/>
        </w:rPr>
        <w:t>；社会保障和就业支出14.33万元，占</w:t>
      </w:r>
      <w:r>
        <w:rPr>
          <w:rFonts w:hint="eastAsia" w:ascii="仿宋" w:hAnsi="仿宋" w:eastAsia="仿宋"/>
          <w:b w:val="0"/>
          <w:bCs w:val="0"/>
          <w:sz w:val="32"/>
          <w:szCs w:val="32"/>
          <w:lang w:val="en-US" w:eastAsia="zh-CN"/>
        </w:rPr>
        <w:t>14.43</w:t>
      </w:r>
      <w:r>
        <w:rPr>
          <w:rFonts w:ascii="仿宋" w:hAnsi="仿宋" w:eastAsia="仿宋"/>
          <w:b w:val="0"/>
          <w:bCs w:val="0"/>
          <w:sz w:val="32"/>
          <w:szCs w:val="32"/>
        </w:rPr>
        <w:t>%</w:t>
      </w:r>
      <w:r>
        <w:rPr>
          <w:rFonts w:hint="eastAsia" w:ascii="仿宋" w:hAnsi="仿宋" w:eastAsia="仿宋"/>
          <w:b w:val="0"/>
          <w:bCs w:val="0"/>
          <w:sz w:val="32"/>
          <w:szCs w:val="32"/>
        </w:rPr>
        <w:t>；卫生健康支出2.46万元，占</w:t>
      </w:r>
      <w:r>
        <w:rPr>
          <w:rFonts w:hint="eastAsia" w:ascii="仿宋" w:hAnsi="仿宋" w:eastAsia="仿宋"/>
          <w:b w:val="0"/>
          <w:bCs w:val="0"/>
          <w:sz w:val="32"/>
          <w:szCs w:val="32"/>
          <w:lang w:val="en-US" w:eastAsia="zh-CN"/>
        </w:rPr>
        <w:t>2.48</w:t>
      </w:r>
      <w:r>
        <w:rPr>
          <w:rFonts w:ascii="仿宋" w:hAnsi="仿宋" w:eastAsia="仿宋"/>
          <w:b w:val="0"/>
          <w:bCs w:val="0"/>
          <w:sz w:val="32"/>
          <w:szCs w:val="32"/>
        </w:rPr>
        <w:t>%</w:t>
      </w:r>
      <w:r>
        <w:rPr>
          <w:rFonts w:hint="eastAsia" w:ascii="仿宋" w:hAnsi="仿宋" w:eastAsia="仿宋"/>
          <w:b w:val="0"/>
          <w:bCs w:val="0"/>
          <w:sz w:val="32"/>
          <w:szCs w:val="32"/>
        </w:rPr>
        <w:t>；住房保障支出7.19万元，占</w:t>
      </w:r>
      <w:r>
        <w:rPr>
          <w:rFonts w:hint="eastAsia" w:ascii="仿宋" w:hAnsi="仿宋" w:eastAsia="仿宋"/>
          <w:b w:val="0"/>
          <w:bCs w:val="0"/>
          <w:sz w:val="32"/>
          <w:szCs w:val="32"/>
          <w:lang w:val="en-US" w:eastAsia="zh-CN"/>
        </w:rPr>
        <w:t>7.23</w:t>
      </w:r>
      <w:r>
        <w:rPr>
          <w:rFonts w:ascii="仿宋" w:hAnsi="仿宋" w:eastAsia="仿宋"/>
          <w:b w:val="0"/>
          <w:bCs w:val="0"/>
          <w:sz w:val="32"/>
          <w:szCs w:val="32"/>
        </w:rPr>
        <w:t>%</w:t>
      </w:r>
      <w:r>
        <w:rPr>
          <w:rFonts w:hint="eastAsia" w:ascii="仿宋" w:hAnsi="仿宋" w:eastAsia="仿宋"/>
          <w:b w:val="0"/>
          <w:bCs w:val="0"/>
          <w:sz w:val="32"/>
          <w:szCs w:val="32"/>
        </w:rPr>
        <w:t>。</w:t>
      </w:r>
    </w:p>
    <w:p>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（注：数据来源于财决01-1表，仅罗列本单位涉及的全部功能分类科目，至类级。）</w:t>
      </w:r>
    </w:p>
    <w:p>
      <w:pPr>
        <w:rPr>
          <w:rFonts w:ascii="仿宋" w:hAnsi="仿宋" w:eastAsia="仿宋"/>
          <w:sz w:val="32"/>
          <w:szCs w:val="32"/>
        </w:rPr>
      </w:pPr>
    </w:p>
    <w:p>
      <w:pPr>
        <w:pStyle w:val="2"/>
        <w:outlineLvl w:val="9"/>
        <w:rPr>
          <w:rFonts w:ascii="仿宋" w:hAnsi="仿宋" w:eastAsia="仿宋"/>
          <w:sz w:val="32"/>
          <w:szCs w:val="32"/>
        </w:rPr>
      </w:pPr>
    </w:p>
    <w:p>
      <w:pPr>
        <w:rPr>
          <w:rFonts w:hint="eastAsia" w:eastAsia="仿宋"/>
          <w:lang w:eastAsia="zh-CN"/>
        </w:rPr>
      </w:pPr>
      <w:r>
        <w:rPr>
          <w:rFonts w:hint="eastAsia" w:eastAsia="仿宋"/>
          <w:lang w:eastAsia="zh-CN"/>
        </w:rPr>
        <w:drawing>
          <wp:inline distT="0" distB="0" distL="114300" distR="114300">
            <wp:extent cx="5256530" cy="2988310"/>
            <wp:effectExtent l="5080" t="4445" r="15240" b="1714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w:t>
      </w:r>
    </w:p>
    <w:p>
      <w:pPr>
        <w:spacing w:line="600" w:lineRule="exact"/>
        <w:ind w:firstLine="640" w:firstLineChars="200"/>
        <w:rPr>
          <w:rFonts w:ascii="仿宋" w:hAnsi="仿宋" w:eastAsia="仿宋"/>
          <w:sz w:val="32"/>
          <w:szCs w:val="32"/>
        </w:rPr>
      </w:pPr>
    </w:p>
    <w:p>
      <w:pPr>
        <w:spacing w:line="600" w:lineRule="exact"/>
        <w:ind w:firstLine="643" w:firstLineChars="200"/>
        <w:outlineLvl w:val="2"/>
        <w:rPr>
          <w:rFonts w:ascii="仿宋" w:hAnsi="仿宋" w:eastAsia="仿宋"/>
          <w:b/>
          <w:sz w:val="32"/>
          <w:szCs w:val="32"/>
        </w:rPr>
      </w:pPr>
      <w:bookmarkStart w:id="42" w:name="_Toc15377212"/>
      <w:bookmarkStart w:id="43" w:name="_Toc7753"/>
      <w:r>
        <w:rPr>
          <w:rFonts w:hint="eastAsia" w:ascii="仿宋" w:hAnsi="仿宋" w:eastAsia="仿宋"/>
          <w:b/>
          <w:sz w:val="32"/>
          <w:szCs w:val="32"/>
        </w:rPr>
        <w:t>（三）一般公共预算财政拨款支出决算具体情况</w:t>
      </w:r>
      <w:bookmarkEnd w:id="42"/>
      <w:bookmarkEnd w:id="43"/>
    </w:p>
    <w:p>
      <w:pPr>
        <w:spacing w:line="600" w:lineRule="exact"/>
        <w:ind w:firstLine="643" w:firstLineChars="200"/>
        <w:outlineLvl w:val="9"/>
        <w:rPr>
          <w:rFonts w:ascii="仿宋" w:hAnsi="仿宋" w:eastAsia="仿宋"/>
          <w:sz w:val="32"/>
          <w:szCs w:val="32"/>
        </w:rPr>
      </w:pPr>
      <w:bookmarkStart w:id="44" w:name="_Toc15378460"/>
      <w:bookmarkStart w:id="45" w:name="_Toc15377444"/>
      <w:bookmarkStart w:id="46" w:name="_Toc15377213"/>
      <w:r>
        <w:rPr>
          <w:rFonts w:hint="eastAsia" w:ascii="仿宋" w:hAnsi="仿宋" w:eastAsia="仿宋"/>
          <w:b/>
          <w:sz w:val="32"/>
          <w:szCs w:val="32"/>
        </w:rPr>
        <w:t>2023年度一般公共预算支出决算数为</w:t>
      </w:r>
      <w:r>
        <w:rPr>
          <w:rFonts w:ascii="仿宋" w:hAnsi="仿宋" w:eastAsia="仿宋"/>
          <w:b/>
          <w:sz w:val="32"/>
          <w:szCs w:val="32"/>
        </w:rPr>
        <w:t>99.34</w:t>
      </w:r>
      <w:r>
        <w:rPr>
          <w:rFonts w:hint="eastAsia" w:ascii="仿宋" w:hAnsi="仿宋" w:eastAsia="仿宋"/>
          <w:sz w:val="32"/>
          <w:szCs w:val="32"/>
        </w:rPr>
        <w:t>，</w:t>
      </w:r>
      <w:r>
        <w:rPr>
          <w:rStyle w:val="17"/>
          <w:rFonts w:hint="eastAsia" w:ascii="仿宋" w:hAnsi="仿宋" w:eastAsia="仿宋"/>
          <w:bCs/>
          <w:sz w:val="32"/>
          <w:szCs w:val="32"/>
        </w:rPr>
        <w:t>完成预算</w:t>
      </w:r>
      <w:r>
        <w:rPr>
          <w:rStyle w:val="17"/>
          <w:rFonts w:hint="eastAsia" w:ascii="仿宋" w:hAnsi="仿宋" w:eastAsia="仿宋"/>
          <w:bCs/>
          <w:sz w:val="32"/>
          <w:szCs w:val="32"/>
          <w:lang w:val="en-US" w:eastAsia="zh-CN"/>
        </w:rPr>
        <w:t>100</w:t>
      </w:r>
      <w:r>
        <w:rPr>
          <w:rStyle w:val="17"/>
          <w:rFonts w:ascii="仿宋" w:hAnsi="仿宋" w:eastAsia="仿宋"/>
          <w:bCs/>
          <w:sz w:val="32"/>
          <w:szCs w:val="32"/>
        </w:rPr>
        <w:t>%</w:t>
      </w:r>
      <w:r>
        <w:rPr>
          <w:rStyle w:val="17"/>
          <w:rFonts w:hint="eastAsia" w:ascii="仿宋" w:hAnsi="仿宋" w:eastAsia="仿宋"/>
          <w:bCs/>
          <w:sz w:val="32"/>
          <w:szCs w:val="32"/>
        </w:rPr>
        <w:t>。其中：</w:t>
      </w:r>
      <w:bookmarkEnd w:id="44"/>
      <w:bookmarkEnd w:id="45"/>
      <w:bookmarkEnd w:id="46"/>
    </w:p>
    <w:p>
      <w:pPr>
        <w:spacing w:line="600" w:lineRule="exact"/>
        <w:ind w:firstLine="643" w:firstLineChars="200"/>
        <w:outlineLvl w:val="9"/>
        <w:rPr>
          <w:rFonts w:ascii="仿宋" w:hAnsi="仿宋" w:eastAsia="仿宋"/>
          <w:b/>
          <w:sz w:val="32"/>
          <w:szCs w:val="32"/>
        </w:rPr>
      </w:pPr>
      <w:r>
        <w:rPr>
          <w:rStyle w:val="17"/>
          <w:rFonts w:ascii="仿宋" w:hAnsi="仿宋" w:eastAsia="仿宋"/>
          <w:bCs/>
          <w:sz w:val="32"/>
          <w:szCs w:val="32"/>
        </w:rPr>
        <w:t>1.</w:t>
      </w:r>
      <w:r>
        <w:rPr>
          <w:rStyle w:val="17"/>
          <w:rFonts w:hint="eastAsia" w:ascii="仿宋" w:hAnsi="仿宋" w:eastAsia="仿宋"/>
          <w:bCs/>
          <w:sz w:val="32"/>
          <w:szCs w:val="32"/>
        </w:rPr>
        <w:t>一般公共服务支出（类）统计信息事务（款）事业运行（项）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支出决算为75.36万元，完成预算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Fonts w:ascii="仿宋" w:hAnsi="仿宋" w:eastAsia="仿宋"/>
          <w:b/>
          <w:sz w:val="32"/>
          <w:szCs w:val="32"/>
        </w:rPr>
      </w:pPr>
      <w:r>
        <w:rPr>
          <w:rStyle w:val="17"/>
          <w:rFonts w:hint="eastAsia" w:ascii="仿宋" w:hAnsi="仿宋" w:eastAsia="仿宋"/>
          <w:bCs/>
          <w:sz w:val="32"/>
          <w:szCs w:val="32"/>
          <w:lang w:val="en-US" w:eastAsia="zh-CN"/>
        </w:rPr>
        <w:t>2</w:t>
      </w:r>
      <w:r>
        <w:rPr>
          <w:rStyle w:val="17"/>
          <w:rFonts w:ascii="仿宋" w:hAnsi="仿宋" w:eastAsia="仿宋"/>
          <w:bCs/>
          <w:sz w:val="32"/>
          <w:szCs w:val="32"/>
        </w:rPr>
        <w:t>.</w:t>
      </w:r>
      <w:r>
        <w:rPr>
          <w:rStyle w:val="17"/>
          <w:rFonts w:hint="eastAsia" w:ascii="仿宋" w:hAnsi="仿宋" w:eastAsia="仿宋"/>
          <w:bCs/>
          <w:sz w:val="32"/>
          <w:szCs w:val="32"/>
        </w:rPr>
        <w:t>社会保障和就业支出（类）行政事业单位养老支出（款）机关事业单位基本养老保险缴费支出（项）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支出决算为9.55万元，完成预算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Fonts w:ascii="仿宋" w:hAnsi="仿宋" w:eastAsia="仿宋"/>
          <w:b/>
          <w:sz w:val="32"/>
          <w:szCs w:val="32"/>
        </w:rPr>
      </w:pPr>
      <w:r>
        <w:rPr>
          <w:rStyle w:val="17"/>
          <w:rFonts w:hint="eastAsia" w:ascii="仿宋" w:hAnsi="仿宋" w:eastAsia="仿宋"/>
          <w:bCs/>
          <w:sz w:val="32"/>
          <w:szCs w:val="32"/>
          <w:lang w:val="en-US" w:eastAsia="zh-CN"/>
        </w:rPr>
        <w:t>3</w:t>
      </w:r>
      <w:r>
        <w:rPr>
          <w:rStyle w:val="17"/>
          <w:rFonts w:ascii="仿宋" w:hAnsi="仿宋" w:eastAsia="仿宋"/>
          <w:bCs/>
          <w:sz w:val="32"/>
          <w:szCs w:val="32"/>
        </w:rPr>
        <w:t>.</w:t>
      </w:r>
      <w:r>
        <w:rPr>
          <w:rStyle w:val="17"/>
          <w:rFonts w:hint="eastAsia" w:ascii="仿宋" w:hAnsi="仿宋" w:eastAsia="仿宋"/>
          <w:bCs/>
          <w:sz w:val="32"/>
          <w:szCs w:val="32"/>
        </w:rPr>
        <w:t>社会保障和就业支出（类）行政事业单位养老支出（款）机关事业单位职业年金缴费支出（项）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支出决算为4.78万元，完成预算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Style w:val="17"/>
          <w:rFonts w:hint="eastAsia" w:ascii="仿宋" w:hAnsi="仿宋" w:eastAsia="仿宋"/>
          <w:b w:val="0"/>
          <w:bCs/>
          <w:sz w:val="32"/>
          <w:szCs w:val="32"/>
          <w:lang w:val="en-US" w:eastAsia="zh-CN"/>
        </w:rPr>
      </w:pPr>
      <w:r>
        <w:rPr>
          <w:rStyle w:val="17"/>
          <w:rFonts w:hint="eastAsia" w:ascii="仿宋" w:hAnsi="仿宋" w:eastAsia="仿宋"/>
          <w:bCs/>
          <w:sz w:val="32"/>
          <w:szCs w:val="32"/>
          <w:lang w:val="en-US" w:eastAsia="zh-CN"/>
        </w:rPr>
        <w:t>4</w:t>
      </w:r>
      <w:r>
        <w:rPr>
          <w:rStyle w:val="17"/>
          <w:rFonts w:ascii="仿宋" w:hAnsi="仿宋" w:eastAsia="仿宋"/>
          <w:bCs/>
          <w:sz w:val="32"/>
          <w:szCs w:val="32"/>
        </w:rPr>
        <w:t>.</w:t>
      </w:r>
      <w:r>
        <w:rPr>
          <w:rStyle w:val="17"/>
          <w:rFonts w:hint="eastAsia" w:ascii="仿宋" w:hAnsi="仿宋" w:eastAsia="仿宋"/>
          <w:bCs/>
          <w:sz w:val="32"/>
          <w:szCs w:val="32"/>
        </w:rPr>
        <w:t>卫生健康支出（类）行政事业单位医疗（款）事业单位医疗（项）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支出决算为2.46万元，完成预算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p>
    <w:p>
      <w:pPr>
        <w:spacing w:line="600" w:lineRule="exact"/>
        <w:ind w:firstLine="643" w:firstLineChars="200"/>
        <w:outlineLvl w:val="9"/>
        <w:rPr>
          <w:rFonts w:ascii="仿宋" w:hAnsi="仿宋" w:eastAsia="仿宋"/>
          <w:sz w:val="32"/>
          <w:szCs w:val="32"/>
        </w:rPr>
      </w:pPr>
      <w:r>
        <w:rPr>
          <w:rStyle w:val="17"/>
          <w:rFonts w:hint="eastAsia" w:ascii="仿宋" w:hAnsi="仿宋" w:eastAsia="仿宋"/>
          <w:bCs/>
          <w:sz w:val="32"/>
          <w:szCs w:val="32"/>
          <w:lang w:val="en-US" w:eastAsia="zh-CN"/>
        </w:rPr>
        <w:t>5</w:t>
      </w:r>
      <w:r>
        <w:rPr>
          <w:rStyle w:val="17"/>
          <w:rFonts w:ascii="仿宋" w:hAnsi="仿宋" w:eastAsia="仿宋"/>
          <w:bCs/>
          <w:sz w:val="32"/>
          <w:szCs w:val="32"/>
        </w:rPr>
        <w:t>.</w:t>
      </w:r>
      <w:r>
        <w:rPr>
          <w:rStyle w:val="17"/>
          <w:rFonts w:hint="eastAsia" w:ascii="仿宋" w:hAnsi="仿宋" w:eastAsia="仿宋"/>
          <w:bCs/>
          <w:sz w:val="32"/>
          <w:szCs w:val="32"/>
        </w:rPr>
        <w:t>住房保障支出（类）住房改革支出（款）住房公积金（项）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支出决算为7.19万元，完成预算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1-1表和财决08表，仅罗列本单位涉及的全部功能分类科目，至项级。上述“预算”口径为全年预算数。增减变动原因为决算数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和全年预算数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比较，与预算数持平可以不写原因。）</w:t>
      </w:r>
    </w:p>
    <w:p>
      <w:pPr>
        <w:tabs>
          <w:tab w:val="right" w:pos="8306"/>
        </w:tabs>
        <w:spacing w:line="600" w:lineRule="exact"/>
        <w:ind w:firstLine="640"/>
        <w:outlineLvl w:val="1"/>
        <w:rPr>
          <w:rStyle w:val="28"/>
        </w:rPr>
      </w:pPr>
      <w:bookmarkStart w:id="47" w:name="_Toc15396608"/>
      <w:bookmarkStart w:id="48" w:name="_Toc31170"/>
      <w:bookmarkStart w:id="49"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47"/>
      <w:bookmarkEnd w:id="48"/>
      <w:bookmarkEnd w:id="49"/>
      <w:r>
        <w:rPr>
          <w:rStyle w:val="28"/>
          <w:rFonts w:ascii="黑体" w:hAnsi="黑体" w:eastAsia="黑体"/>
          <w:b w:val="0"/>
        </w:rPr>
        <w:tab/>
      </w:r>
    </w:p>
    <w:p>
      <w:pPr>
        <w:spacing w:line="600" w:lineRule="exact"/>
        <w:ind w:firstLine="640" w:firstLineChars="200"/>
        <w:rPr>
          <w:rFonts w:ascii="仿宋" w:hAnsi="仿宋" w:eastAsia="仿宋"/>
          <w:b w:val="0"/>
          <w:bCs w:val="0"/>
          <w:sz w:val="32"/>
          <w:szCs w:val="32"/>
        </w:rPr>
      </w:pPr>
      <w:r>
        <w:rPr>
          <w:rFonts w:hint="eastAsia" w:ascii="仿宋" w:hAnsi="仿宋" w:eastAsia="仿宋"/>
          <w:b w:val="0"/>
          <w:bCs w:val="0"/>
          <w:sz w:val="32"/>
          <w:szCs w:val="32"/>
        </w:rPr>
        <w:t>2023年度一般公共预算财政拨款基本支出</w:t>
      </w:r>
      <w:r>
        <w:rPr>
          <w:rFonts w:ascii="仿宋" w:hAnsi="仿宋" w:eastAsia="仿宋"/>
          <w:b w:val="0"/>
          <w:bCs w:val="0"/>
          <w:sz w:val="32"/>
          <w:szCs w:val="32"/>
        </w:rPr>
        <w:t>99.34</w:t>
      </w:r>
      <w:r>
        <w:rPr>
          <w:rFonts w:hint="eastAsia" w:ascii="仿宋" w:hAnsi="仿宋" w:eastAsia="仿宋"/>
          <w:b w:val="0"/>
          <w:bCs w:val="0"/>
          <w:sz w:val="32"/>
          <w:szCs w:val="32"/>
        </w:rPr>
        <w:t>万元，其中：</w:t>
      </w:r>
    </w:p>
    <w:p>
      <w:pPr>
        <w:spacing w:line="600" w:lineRule="exact"/>
        <w:ind w:firstLine="645"/>
        <w:rPr>
          <w:rFonts w:ascii="仿宋" w:hAnsi="仿宋" w:eastAsia="仿宋"/>
          <w:b w:val="0"/>
          <w:bCs w:val="0"/>
          <w:sz w:val="32"/>
          <w:szCs w:val="32"/>
        </w:rPr>
      </w:pPr>
      <w:r>
        <w:rPr>
          <w:rFonts w:hint="eastAsia" w:ascii="仿宋" w:hAnsi="仿宋" w:eastAsia="仿宋"/>
          <w:b w:val="0"/>
          <w:bCs w:val="0"/>
          <w:sz w:val="32"/>
          <w:szCs w:val="32"/>
        </w:rPr>
        <w:t>人员经费</w:t>
      </w:r>
      <w:r>
        <w:rPr>
          <w:rFonts w:ascii="仿宋" w:hAnsi="仿宋" w:eastAsia="仿宋"/>
          <w:b w:val="0"/>
          <w:bCs w:val="0"/>
          <w:sz w:val="32"/>
          <w:szCs w:val="32"/>
        </w:rPr>
        <w:t>90.32</w:t>
      </w:r>
      <w:r>
        <w:rPr>
          <w:rFonts w:hint="eastAsia" w:ascii="仿宋" w:hAnsi="仿宋" w:eastAsia="仿宋"/>
          <w:b w:val="0"/>
          <w:bCs w:val="0"/>
          <w:sz w:val="32"/>
          <w:szCs w:val="32"/>
        </w:rPr>
        <w:t>万元，主要包括：基本工资、津贴补贴、奖金、伙食补助费、绩效工资、机关事业单位基本养老保险缴费、职业年金缴费、其他社会保障缴费、其他工资福利支出、住房公积金等。</w:t>
      </w:r>
      <w:r>
        <w:rPr>
          <w:rFonts w:ascii="仿宋" w:hAnsi="仿宋" w:eastAsia="仿宋"/>
          <w:b w:val="0"/>
          <w:bCs w:val="0"/>
          <w:sz w:val="32"/>
          <w:szCs w:val="32"/>
        </w:rPr>
        <w:br w:type="textWrapping"/>
      </w:r>
      <w:r>
        <w:rPr>
          <w:rFonts w:hint="eastAsia" w:ascii="仿宋" w:hAnsi="仿宋" w:eastAsia="仿宋"/>
          <w:b w:val="0"/>
          <w:bCs w:val="0"/>
          <w:sz w:val="32"/>
          <w:szCs w:val="32"/>
        </w:rPr>
        <w:t>　　公用经费</w:t>
      </w:r>
      <w:r>
        <w:rPr>
          <w:rFonts w:ascii="仿宋" w:hAnsi="仿宋" w:eastAsia="仿宋"/>
          <w:b w:val="0"/>
          <w:bCs w:val="0"/>
          <w:sz w:val="32"/>
          <w:szCs w:val="32"/>
        </w:rPr>
        <w:t>9.02</w:t>
      </w:r>
      <w:r>
        <w:rPr>
          <w:rFonts w:hint="eastAsia" w:ascii="仿宋" w:hAnsi="仿宋" w:eastAsia="仿宋"/>
          <w:b w:val="0"/>
          <w:bCs w:val="0"/>
          <w:sz w:val="32"/>
          <w:szCs w:val="32"/>
        </w:rPr>
        <w:t>万元，主要包括：办公费、手续费、水费、电费、邮电费、差旅费、会议费、培训费、公务接待费、劳务费、委托业务费、工会经费、福利费、其他商品和服务支出。</w:t>
      </w:r>
    </w:p>
    <w:p>
      <w:pPr>
        <w:spacing w:line="600" w:lineRule="exact"/>
        <w:ind w:firstLine="645"/>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7表和财决08-1表，仅罗列本单位实际支出涉及的经济分类科目。）</w:t>
      </w:r>
    </w:p>
    <w:p>
      <w:pPr>
        <w:spacing w:line="600" w:lineRule="exact"/>
        <w:ind w:firstLine="640"/>
        <w:outlineLvl w:val="1"/>
        <w:rPr>
          <w:rStyle w:val="28"/>
          <w:rFonts w:ascii="黑体" w:hAnsi="黑体" w:eastAsia="黑体"/>
          <w:b w:val="0"/>
        </w:rPr>
      </w:pPr>
      <w:bookmarkStart w:id="50" w:name="_Toc15396609"/>
      <w:bookmarkStart w:id="51" w:name="_Toc15377215"/>
      <w:bookmarkStart w:id="52" w:name="_Toc11142"/>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50"/>
      <w:bookmarkEnd w:id="51"/>
      <w:bookmarkEnd w:id="52"/>
    </w:p>
    <w:p>
      <w:pPr>
        <w:spacing w:line="600" w:lineRule="exact"/>
        <w:ind w:firstLine="640"/>
        <w:outlineLvl w:val="2"/>
        <w:rPr>
          <w:rFonts w:ascii="仿宋" w:hAnsi="仿宋" w:eastAsia="仿宋"/>
          <w:b/>
          <w:sz w:val="32"/>
          <w:szCs w:val="32"/>
        </w:rPr>
      </w:pPr>
      <w:bookmarkStart w:id="53" w:name="_Toc21853"/>
      <w:bookmarkStart w:id="54" w:name="_Toc15377216"/>
      <w:r>
        <w:rPr>
          <w:rFonts w:hint="eastAsia" w:ascii="仿宋" w:hAnsi="仿宋" w:eastAsia="仿宋"/>
          <w:b/>
          <w:sz w:val="32"/>
          <w:szCs w:val="32"/>
        </w:rPr>
        <w:t>（一）“三公”经费财政拨款支出决算总体情况说明</w:t>
      </w:r>
      <w:bookmarkEnd w:id="53"/>
      <w:bookmarkEnd w:id="54"/>
    </w:p>
    <w:p>
      <w:pPr>
        <w:spacing w:line="600" w:lineRule="exact"/>
        <w:ind w:firstLine="640"/>
        <w:rPr>
          <w:rFonts w:ascii="仿宋" w:hAnsi="仿宋" w:eastAsia="仿宋"/>
          <w:b w:val="0"/>
          <w:bCs w:val="0"/>
          <w:sz w:val="32"/>
          <w:szCs w:val="32"/>
        </w:rPr>
      </w:pPr>
      <w:r>
        <w:rPr>
          <w:rFonts w:hint="eastAsia" w:ascii="仿宋" w:hAnsi="仿宋" w:eastAsia="仿宋"/>
          <w:b w:val="0"/>
          <w:bCs w:val="0"/>
          <w:sz w:val="32"/>
          <w:szCs w:val="32"/>
        </w:rPr>
        <w:t>2023年度“三公”经费财政拨款支出决算为</w:t>
      </w:r>
      <w:r>
        <w:rPr>
          <w:rFonts w:ascii="仿宋" w:hAnsi="仿宋" w:eastAsia="仿宋"/>
          <w:b w:val="0"/>
          <w:bCs w:val="0"/>
          <w:sz w:val="32"/>
          <w:szCs w:val="32"/>
        </w:rPr>
        <w:t>0</w:t>
      </w:r>
      <w:r>
        <w:rPr>
          <w:rFonts w:hint="eastAsia" w:ascii="仿宋" w:hAnsi="仿宋" w:eastAsia="仿宋"/>
          <w:b w:val="0"/>
          <w:bCs w:val="0"/>
          <w:sz w:val="32"/>
          <w:szCs w:val="32"/>
        </w:rPr>
        <w:t>万元，</w:t>
      </w:r>
      <w:r>
        <w:rPr>
          <w:rFonts w:hint="eastAsia" w:ascii="仿宋" w:hAnsi="仿宋" w:eastAsia="仿宋"/>
          <w:b w:val="0"/>
          <w:bCs w:val="0"/>
          <w:sz w:val="32"/>
          <w:szCs w:val="32"/>
          <w:lang w:val="en-US" w:eastAsia="zh-CN"/>
        </w:rPr>
        <w:t>与上年度持平</w:t>
      </w:r>
      <w:r>
        <w:rPr>
          <w:rFonts w:hint="eastAsia" w:ascii="仿宋" w:hAnsi="仿宋" w:eastAsia="仿宋"/>
          <w:b w:val="0"/>
          <w:bCs w:val="0"/>
          <w:sz w:val="32"/>
          <w:szCs w:val="32"/>
        </w:rPr>
        <w:t>。</w:t>
      </w:r>
    </w:p>
    <w:p>
      <w:pPr>
        <w:spacing w:line="600" w:lineRule="exact"/>
        <w:ind w:firstLine="640"/>
        <w:rPr>
          <w:rFonts w:ascii="仿宋" w:hAnsi="仿宋" w:eastAsia="仿宋"/>
          <w:b/>
          <w:sz w:val="32"/>
          <w:szCs w:val="32"/>
        </w:rPr>
      </w:pPr>
      <w:r>
        <w:rPr>
          <w:rFonts w:hint="eastAsia" w:ascii="仿宋" w:hAnsi="仿宋" w:eastAsia="仿宋"/>
          <w:b/>
          <w:sz w:val="32"/>
          <w:szCs w:val="32"/>
        </w:rPr>
        <w:t>（注：上述“预算”口径为全年预算数，包括一般公共预算和政府性基金预算财政拨款支出决算情况。）</w:t>
      </w:r>
    </w:p>
    <w:p>
      <w:pPr>
        <w:spacing w:line="600" w:lineRule="exact"/>
        <w:ind w:firstLine="640"/>
        <w:outlineLvl w:val="2"/>
        <w:rPr>
          <w:rFonts w:ascii="仿宋" w:hAnsi="仿宋" w:eastAsia="仿宋"/>
          <w:b/>
          <w:sz w:val="32"/>
          <w:szCs w:val="32"/>
        </w:rPr>
      </w:pPr>
      <w:bookmarkStart w:id="55" w:name="_Toc15377217"/>
      <w:bookmarkStart w:id="56" w:name="_Toc14178"/>
      <w:r>
        <w:rPr>
          <w:rFonts w:hint="eastAsia" w:ascii="仿宋" w:hAnsi="仿宋" w:eastAsia="仿宋"/>
          <w:b/>
          <w:sz w:val="32"/>
          <w:szCs w:val="32"/>
        </w:rPr>
        <w:t>（二）“三公”经费财政拨款支出决算具体情况说明</w:t>
      </w:r>
      <w:bookmarkEnd w:id="55"/>
      <w:bookmarkEnd w:id="56"/>
    </w:p>
    <w:p>
      <w:pPr>
        <w:spacing w:line="600" w:lineRule="exact"/>
        <w:ind w:firstLine="640" w:firstLineChars="200"/>
        <w:rPr>
          <w:rFonts w:ascii="黑体" w:eastAsia="黑体"/>
          <w:b w:val="0"/>
          <w:bCs w:val="0"/>
          <w:sz w:val="32"/>
          <w:szCs w:val="32"/>
        </w:rPr>
      </w:pPr>
      <w:r>
        <w:rPr>
          <w:rFonts w:hint="eastAsia" w:ascii="仿宋" w:hAnsi="仿宋" w:eastAsia="仿宋"/>
          <w:b w:val="0"/>
          <w:bCs w:val="0"/>
          <w:sz w:val="32"/>
          <w:szCs w:val="32"/>
        </w:rPr>
        <w:t>2023年度“三公”经费财政拨款支出决算中，因公出国（境）费支出决算</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；公务用车购置及运行维护费支出决算</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；公务接待费支出决算</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w:t>
      </w:r>
      <w:bookmarkStart w:id="57" w:name="_Toc15396610"/>
      <w:bookmarkStart w:id="58" w:name="_Toc15377218"/>
    </w:p>
    <w:p>
      <w:pPr>
        <w:spacing w:line="600" w:lineRule="exact"/>
        <w:ind w:firstLine="640"/>
        <w:outlineLvl w:val="1"/>
        <w:rPr>
          <w:rStyle w:val="28"/>
          <w:rFonts w:ascii="黑体" w:hAnsi="黑体" w:eastAsia="黑体"/>
        </w:rPr>
      </w:pPr>
      <w:bookmarkStart w:id="59" w:name="_Toc23528"/>
      <w:r>
        <w:rPr>
          <w:rFonts w:hint="eastAsia" w:ascii="黑体" w:eastAsia="黑体"/>
          <w:sz w:val="32"/>
          <w:szCs w:val="32"/>
        </w:rPr>
        <w:t>八、</w:t>
      </w:r>
      <w:r>
        <w:rPr>
          <w:rStyle w:val="28"/>
          <w:rFonts w:hint="eastAsia" w:ascii="黑体" w:hAnsi="黑体" w:eastAsia="黑体"/>
          <w:b w:val="0"/>
        </w:rPr>
        <w:t>政府性基金预算支出决算情况说明</w:t>
      </w:r>
      <w:bookmarkEnd w:id="57"/>
      <w:bookmarkEnd w:id="58"/>
      <w:bookmarkEnd w:id="59"/>
    </w:p>
    <w:p>
      <w:pPr>
        <w:spacing w:line="600" w:lineRule="exact"/>
        <w:ind w:firstLine="640"/>
        <w:rPr>
          <w:rFonts w:ascii="仿宋_GB2312" w:eastAsia="仿宋_GB2312"/>
          <w:b w:val="0"/>
          <w:bCs w:val="0"/>
          <w:sz w:val="32"/>
          <w:szCs w:val="32"/>
        </w:rPr>
      </w:pPr>
      <w:r>
        <w:rPr>
          <w:rFonts w:hint="eastAsia" w:ascii="仿宋_GB2312" w:eastAsia="仿宋_GB2312"/>
          <w:b w:val="0"/>
          <w:bCs w:val="0"/>
          <w:sz w:val="32"/>
          <w:szCs w:val="32"/>
        </w:rPr>
        <w:t>2023年度政府性基金预算财政拨款支出</w:t>
      </w:r>
      <w:r>
        <w:rPr>
          <w:rFonts w:ascii="仿宋" w:hAnsi="仿宋" w:eastAsia="仿宋"/>
          <w:b w:val="0"/>
          <w:bCs w:val="0"/>
          <w:sz w:val="32"/>
          <w:szCs w:val="32"/>
        </w:rPr>
        <w:t>0</w:t>
      </w:r>
      <w:r>
        <w:rPr>
          <w:rFonts w:hint="eastAsia" w:ascii="仿宋_GB2312" w:eastAsia="仿宋_GB2312"/>
          <w:b w:val="0"/>
          <w:bCs w:val="0"/>
          <w:sz w:val="32"/>
          <w:szCs w:val="32"/>
        </w:rPr>
        <w:t>万元。</w:t>
      </w:r>
    </w:p>
    <w:p>
      <w:pPr>
        <w:numPr>
          <w:ilvl w:val="0"/>
          <w:numId w:val="3"/>
        </w:numPr>
        <w:spacing w:line="600" w:lineRule="exact"/>
        <w:ind w:firstLine="640"/>
        <w:outlineLvl w:val="1"/>
        <w:rPr>
          <w:rStyle w:val="28"/>
          <w:rFonts w:ascii="黑体" w:hAnsi="黑体" w:eastAsia="黑体"/>
          <w:b w:val="0"/>
        </w:rPr>
      </w:pPr>
      <w:bookmarkStart w:id="60" w:name="_Toc15377219"/>
      <w:bookmarkStart w:id="61" w:name="_Toc15396611"/>
      <w:bookmarkStart w:id="62" w:name="_Toc4868"/>
      <w:r>
        <w:rPr>
          <w:rStyle w:val="28"/>
          <w:rFonts w:hint="eastAsia" w:ascii="黑体" w:hAnsi="黑体" w:eastAsia="黑体"/>
          <w:b w:val="0"/>
        </w:rPr>
        <w:t>国有资本经营预算支出决算情况说明</w:t>
      </w:r>
      <w:bookmarkEnd w:id="60"/>
      <w:bookmarkEnd w:id="61"/>
      <w:bookmarkEnd w:id="62"/>
    </w:p>
    <w:p>
      <w:pPr>
        <w:spacing w:line="600" w:lineRule="exact"/>
        <w:ind w:firstLine="640"/>
        <w:rPr>
          <w:rFonts w:ascii="方正小标宋简体" w:hAnsi="方正小标宋简体" w:eastAsia="方正小标宋简体" w:cs="方正小标宋简体"/>
          <w:b w:val="0"/>
          <w:bCs w:val="0"/>
          <w:sz w:val="44"/>
          <w:szCs w:val="44"/>
        </w:rPr>
      </w:pPr>
      <w:r>
        <w:rPr>
          <w:rFonts w:hint="eastAsia" w:ascii="仿宋_GB2312" w:eastAsia="仿宋_GB2312"/>
          <w:b w:val="0"/>
          <w:bCs w:val="0"/>
          <w:sz w:val="32"/>
          <w:szCs w:val="32"/>
        </w:rPr>
        <w:t>2023年度国有资本经营预算财政拨款支出</w:t>
      </w:r>
      <w:r>
        <w:rPr>
          <w:rFonts w:ascii="仿宋" w:hAnsi="仿宋" w:eastAsia="仿宋"/>
          <w:b w:val="0"/>
          <w:bCs w:val="0"/>
          <w:sz w:val="32"/>
          <w:szCs w:val="32"/>
        </w:rPr>
        <w:t>0</w:t>
      </w:r>
      <w:r>
        <w:rPr>
          <w:rFonts w:hint="eastAsia" w:ascii="仿宋_GB2312" w:eastAsia="仿宋_GB2312"/>
          <w:b w:val="0"/>
          <w:bCs w:val="0"/>
          <w:sz w:val="32"/>
          <w:szCs w:val="32"/>
        </w:rPr>
        <w:t>万元。</w:t>
      </w:r>
    </w:p>
    <w:p>
      <w:pPr>
        <w:numPr>
          <w:ilvl w:val="0"/>
          <w:numId w:val="3"/>
        </w:numPr>
        <w:spacing w:line="600" w:lineRule="exact"/>
        <w:ind w:firstLine="640"/>
        <w:outlineLvl w:val="1"/>
        <w:rPr>
          <w:rStyle w:val="28"/>
          <w:rFonts w:ascii="黑体" w:hAnsi="黑体" w:eastAsia="黑体"/>
          <w:b w:val="0"/>
        </w:rPr>
      </w:pPr>
      <w:bookmarkStart w:id="63" w:name="_Toc12889"/>
      <w:bookmarkStart w:id="64" w:name="_Toc15377221"/>
      <w:bookmarkStart w:id="65" w:name="_Toc15396612"/>
      <w:r>
        <w:rPr>
          <w:rStyle w:val="28"/>
          <w:rFonts w:hint="eastAsia" w:ascii="黑体" w:hAnsi="黑体" w:eastAsia="黑体"/>
          <w:b w:val="0"/>
        </w:rPr>
        <w:t>其他重要事项的情况说明</w:t>
      </w:r>
      <w:bookmarkEnd w:id="63"/>
      <w:bookmarkEnd w:id="64"/>
      <w:bookmarkEnd w:id="65"/>
    </w:p>
    <w:p>
      <w:pPr>
        <w:spacing w:line="600" w:lineRule="exact"/>
        <w:ind w:firstLine="643" w:firstLineChars="200"/>
        <w:outlineLvl w:val="2"/>
        <w:rPr>
          <w:rFonts w:ascii="仿宋" w:hAnsi="仿宋" w:eastAsia="仿宋"/>
          <w:sz w:val="32"/>
          <w:szCs w:val="32"/>
        </w:rPr>
      </w:pPr>
      <w:bookmarkStart w:id="66" w:name="_Toc11855"/>
      <w:bookmarkStart w:id="67" w:name="_Toc15377222"/>
      <w:r>
        <w:rPr>
          <w:rFonts w:hint="eastAsia" w:ascii="仿宋" w:hAnsi="仿宋" w:eastAsia="仿宋"/>
          <w:b/>
          <w:sz w:val="32"/>
          <w:szCs w:val="32"/>
        </w:rPr>
        <w:t>（一）机关运行经费支出情况</w:t>
      </w:r>
      <w:bookmarkEnd w:id="66"/>
      <w:bookmarkEnd w:id="67"/>
    </w:p>
    <w:p>
      <w:pPr>
        <w:spacing w:line="600" w:lineRule="exact"/>
        <w:ind w:firstLine="640" w:firstLineChars="200"/>
        <w:rPr>
          <w:rFonts w:ascii="仿宋_GB2312" w:eastAsia="仿宋_GB2312"/>
          <w:b w:val="0"/>
          <w:bCs w:val="0"/>
          <w:sz w:val="32"/>
          <w:szCs w:val="32"/>
        </w:rPr>
      </w:pPr>
      <w:r>
        <w:rPr>
          <w:rFonts w:hint="eastAsia" w:ascii="仿宋_GB2312" w:eastAsia="仿宋_GB2312"/>
          <w:b w:val="0"/>
          <w:bCs w:val="0"/>
          <w:sz w:val="32"/>
          <w:szCs w:val="32"/>
        </w:rPr>
        <w:t>2023年度，</w:t>
      </w:r>
      <w:r>
        <w:rPr>
          <w:rFonts w:ascii="仿宋_GB2312" w:eastAsia="仿宋_GB2312"/>
          <w:b w:val="0"/>
          <w:bCs w:val="0"/>
          <w:sz w:val="32"/>
          <w:szCs w:val="32"/>
        </w:rPr>
        <w:t>五通桥区社情民意调查中心</w:t>
      </w:r>
      <w:r>
        <w:rPr>
          <w:rFonts w:hint="eastAsia" w:ascii="仿宋_GB2312" w:eastAsia="仿宋_GB2312"/>
          <w:b w:val="0"/>
          <w:bCs w:val="0"/>
          <w:sz w:val="32"/>
          <w:szCs w:val="32"/>
        </w:rPr>
        <w:t>机关运行经费支出</w:t>
      </w:r>
      <w:r>
        <w:rPr>
          <w:rFonts w:hint="eastAsia" w:ascii="仿宋" w:hAnsi="仿宋" w:eastAsia="仿宋"/>
          <w:b w:val="0"/>
          <w:bCs w:val="0"/>
          <w:sz w:val="32"/>
          <w:szCs w:val="32"/>
          <w:lang w:val="en-US" w:eastAsia="zh-CN"/>
        </w:rPr>
        <w:t>9.02</w:t>
      </w:r>
      <w:r>
        <w:rPr>
          <w:rFonts w:hint="eastAsia" w:ascii="仿宋_GB2312" w:eastAsia="仿宋_GB2312"/>
          <w:b w:val="0"/>
          <w:bCs w:val="0"/>
          <w:sz w:val="32"/>
          <w:szCs w:val="32"/>
        </w:rPr>
        <w:t>万元，比2022年度增加</w:t>
      </w:r>
      <w:r>
        <w:rPr>
          <w:rFonts w:hint="eastAsia" w:ascii="仿宋_GB2312" w:eastAsia="仿宋_GB2312"/>
          <w:b w:val="0"/>
          <w:bCs w:val="0"/>
          <w:sz w:val="32"/>
          <w:szCs w:val="32"/>
          <w:lang w:val="en-US" w:eastAsia="zh-CN"/>
        </w:rPr>
        <w:t>9.02</w:t>
      </w:r>
      <w:r>
        <w:rPr>
          <w:rFonts w:hint="eastAsia" w:ascii="仿宋_GB2312" w:eastAsia="仿宋_GB2312"/>
          <w:b w:val="0"/>
          <w:bCs w:val="0"/>
          <w:sz w:val="32"/>
          <w:szCs w:val="32"/>
        </w:rPr>
        <w:t>万元，增长</w:t>
      </w:r>
      <w:r>
        <w:rPr>
          <w:rFonts w:hint="eastAsia" w:ascii="仿宋_GB2312" w:eastAsia="仿宋_GB2312"/>
          <w:b w:val="0"/>
          <w:bCs w:val="0"/>
          <w:sz w:val="32"/>
          <w:szCs w:val="32"/>
          <w:lang w:val="en-US" w:eastAsia="zh-CN"/>
        </w:rPr>
        <w:t>100</w:t>
      </w:r>
      <w:r>
        <w:rPr>
          <w:rFonts w:ascii="仿宋_GB2312" w:eastAsia="仿宋_GB2312"/>
          <w:b w:val="0"/>
          <w:bCs w:val="0"/>
          <w:sz w:val="32"/>
          <w:szCs w:val="32"/>
        </w:rPr>
        <w:t>%</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主要原因是</w:t>
      </w:r>
      <w:r>
        <w:rPr>
          <w:rFonts w:hint="eastAsia" w:ascii="仿宋" w:hAnsi="仿宋" w:eastAsia="仿宋"/>
          <w:sz w:val="32"/>
          <w:szCs w:val="32"/>
          <w:lang w:val="en-US" w:eastAsia="zh-CN"/>
        </w:rPr>
        <w:t>本年度开始与机关账务分离，单位独立核算，所有收支独立核算，与财决表形成差异的主要原因为财决表不反映非参公事业单位机关运行经费</w:t>
      </w:r>
      <w:r>
        <w:rPr>
          <w:rFonts w:hint="eastAsia" w:ascii="仿宋_GB2312" w:eastAsia="仿宋_GB2312"/>
          <w:b w:val="0"/>
          <w:bCs w:val="0"/>
          <w:sz w:val="32"/>
          <w:szCs w:val="32"/>
        </w:rPr>
        <w:t>。</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8" w:name="_Toc15377223"/>
      <w:bookmarkStart w:id="69" w:name="_Toc29886"/>
      <w:r>
        <w:rPr>
          <w:rFonts w:hint="eastAsia" w:ascii="仿宋" w:hAnsi="仿宋" w:eastAsia="仿宋"/>
          <w:b/>
          <w:sz w:val="32"/>
          <w:szCs w:val="32"/>
        </w:rPr>
        <w:t>（二）政府采购支出情况</w:t>
      </w:r>
      <w:bookmarkEnd w:id="68"/>
      <w:bookmarkEnd w:id="69"/>
    </w:p>
    <w:p>
      <w:pPr>
        <w:spacing w:line="600" w:lineRule="exact"/>
        <w:ind w:firstLine="640" w:firstLineChars="200"/>
        <w:rPr>
          <w:rFonts w:ascii="仿宋_GB2312" w:eastAsia="仿宋_GB2312"/>
          <w:b w:val="0"/>
          <w:bCs w:val="0"/>
          <w:sz w:val="32"/>
          <w:szCs w:val="32"/>
        </w:rPr>
      </w:pPr>
      <w:r>
        <w:rPr>
          <w:rFonts w:hint="eastAsia" w:ascii="仿宋_GB2312" w:eastAsia="仿宋_GB2312"/>
          <w:b w:val="0"/>
          <w:bCs w:val="0"/>
          <w:sz w:val="32"/>
          <w:szCs w:val="32"/>
        </w:rPr>
        <w:t>2023年度，</w:t>
      </w:r>
      <w:r>
        <w:rPr>
          <w:rFonts w:ascii="仿宋_GB2312" w:eastAsia="仿宋_GB2312"/>
          <w:b w:val="0"/>
          <w:bCs w:val="0"/>
          <w:sz w:val="32"/>
          <w:szCs w:val="32"/>
        </w:rPr>
        <w:t>五通桥区社情民意调查中心</w:t>
      </w:r>
      <w:r>
        <w:rPr>
          <w:rFonts w:hint="eastAsia" w:ascii="仿宋_GB2312" w:eastAsia="仿宋_GB2312"/>
          <w:b w:val="0"/>
          <w:bCs w:val="0"/>
          <w:sz w:val="32"/>
          <w:szCs w:val="32"/>
        </w:rPr>
        <w:t>政府采购支出总额</w:t>
      </w:r>
      <w:r>
        <w:rPr>
          <w:rFonts w:ascii="仿宋" w:hAnsi="仿宋" w:eastAsia="仿宋"/>
          <w:b w:val="0"/>
          <w:bCs w:val="0"/>
          <w:sz w:val="32"/>
          <w:szCs w:val="32"/>
        </w:rPr>
        <w:t>0</w:t>
      </w:r>
      <w:r>
        <w:rPr>
          <w:rFonts w:hint="eastAsia" w:ascii="仿宋_GB2312" w:eastAsia="仿宋_GB2312"/>
          <w:b w:val="0"/>
          <w:bCs w:val="0"/>
          <w:sz w:val="32"/>
          <w:szCs w:val="32"/>
        </w:rPr>
        <w:t>万元，其中：政府采购货物支出</w:t>
      </w:r>
      <w:r>
        <w:rPr>
          <w:rFonts w:ascii="仿宋" w:hAnsi="仿宋" w:eastAsia="仿宋"/>
          <w:b w:val="0"/>
          <w:bCs w:val="0"/>
          <w:sz w:val="32"/>
          <w:szCs w:val="32"/>
        </w:rPr>
        <w:t>0</w:t>
      </w:r>
      <w:r>
        <w:rPr>
          <w:rFonts w:hint="eastAsia" w:ascii="仿宋_GB2312" w:eastAsia="仿宋_GB2312"/>
          <w:b w:val="0"/>
          <w:bCs w:val="0"/>
          <w:sz w:val="32"/>
          <w:szCs w:val="32"/>
        </w:rPr>
        <w:t>万元、政府采购工程支出</w:t>
      </w:r>
      <w:r>
        <w:rPr>
          <w:rFonts w:ascii="仿宋" w:hAnsi="仿宋" w:eastAsia="仿宋"/>
          <w:b w:val="0"/>
          <w:bCs w:val="0"/>
          <w:sz w:val="32"/>
          <w:szCs w:val="32"/>
        </w:rPr>
        <w:t>0</w:t>
      </w:r>
      <w:r>
        <w:rPr>
          <w:rFonts w:hint="eastAsia" w:ascii="仿宋_GB2312" w:eastAsia="仿宋_GB2312"/>
          <w:b w:val="0"/>
          <w:bCs w:val="0"/>
          <w:sz w:val="32"/>
          <w:szCs w:val="32"/>
        </w:rPr>
        <w:t>万元、政府采购服务支出</w:t>
      </w:r>
      <w:r>
        <w:rPr>
          <w:rFonts w:ascii="仿宋" w:hAnsi="仿宋" w:eastAsia="仿宋"/>
          <w:b w:val="0"/>
          <w:bCs w:val="0"/>
          <w:sz w:val="32"/>
          <w:szCs w:val="32"/>
        </w:rPr>
        <w:t>0</w:t>
      </w:r>
      <w:r>
        <w:rPr>
          <w:rFonts w:hint="eastAsia" w:ascii="仿宋_GB2312" w:eastAsia="仿宋_GB2312"/>
          <w:b w:val="0"/>
          <w:bCs w:val="0"/>
          <w:sz w:val="32"/>
          <w:szCs w:val="32"/>
        </w:rPr>
        <w:t>万元。授予中小企业合同金额</w:t>
      </w:r>
      <w:r>
        <w:rPr>
          <w:rFonts w:ascii="仿宋" w:hAnsi="仿宋" w:eastAsia="仿宋"/>
          <w:b w:val="0"/>
          <w:bCs w:val="0"/>
          <w:sz w:val="32"/>
          <w:szCs w:val="32"/>
        </w:rPr>
        <w:t>0</w:t>
      </w:r>
      <w:r>
        <w:rPr>
          <w:rFonts w:hint="eastAsia" w:ascii="仿宋_GB2312" w:eastAsia="仿宋_GB2312"/>
          <w:b w:val="0"/>
          <w:bCs w:val="0"/>
          <w:sz w:val="32"/>
          <w:szCs w:val="32"/>
        </w:rPr>
        <w:t>万元，占政府采购支出总额的</w:t>
      </w:r>
      <w:r>
        <w:rPr>
          <w:rFonts w:ascii="仿宋_GB2312" w:eastAsia="仿宋_GB2312"/>
          <w:b w:val="0"/>
          <w:bCs w:val="0"/>
          <w:sz w:val="32"/>
          <w:szCs w:val="32"/>
        </w:rPr>
        <w:t>0%</w:t>
      </w:r>
      <w:r>
        <w:rPr>
          <w:rFonts w:hint="eastAsia" w:ascii="仿宋_GB2312" w:eastAsia="仿宋_GB2312"/>
          <w:b w:val="0"/>
          <w:bCs w:val="0"/>
          <w:sz w:val="32"/>
          <w:szCs w:val="32"/>
        </w:rPr>
        <w:t>，其中：授予小微企业合同金额</w:t>
      </w:r>
      <w:r>
        <w:rPr>
          <w:rFonts w:ascii="仿宋" w:hAnsi="仿宋" w:eastAsia="仿宋"/>
          <w:b w:val="0"/>
          <w:bCs w:val="0"/>
          <w:sz w:val="32"/>
          <w:szCs w:val="32"/>
        </w:rPr>
        <w:t>0</w:t>
      </w:r>
      <w:r>
        <w:rPr>
          <w:rFonts w:hint="eastAsia" w:ascii="仿宋_GB2312" w:eastAsia="仿宋_GB2312"/>
          <w:b w:val="0"/>
          <w:bCs w:val="0"/>
          <w:sz w:val="32"/>
          <w:szCs w:val="32"/>
        </w:rPr>
        <w:t>万元，占政府采购支出总额的</w:t>
      </w:r>
      <w:r>
        <w:rPr>
          <w:rFonts w:ascii="仿宋_GB2312" w:eastAsia="仿宋_GB2312"/>
          <w:b w:val="0"/>
          <w:bCs w:val="0"/>
          <w:sz w:val="32"/>
          <w:szCs w:val="32"/>
        </w:rPr>
        <w:t>0%</w:t>
      </w:r>
      <w:r>
        <w:rPr>
          <w:rFonts w:hint="eastAsia" w:ascii="仿宋_GB2312" w:eastAsia="仿宋_GB2312"/>
          <w:b w:val="0"/>
          <w:bCs w:val="0"/>
          <w:sz w:val="32"/>
          <w:szCs w:val="32"/>
        </w:rPr>
        <w:t>。</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0" w:name="_Toc15377224"/>
      <w:bookmarkStart w:id="71" w:name="_Toc23017"/>
      <w:r>
        <w:rPr>
          <w:rFonts w:hint="eastAsia" w:ascii="仿宋" w:hAnsi="仿宋" w:eastAsia="仿宋"/>
          <w:b/>
          <w:sz w:val="32"/>
          <w:szCs w:val="32"/>
        </w:rPr>
        <w:t>（三）国有资产占有使用情况</w:t>
      </w:r>
      <w:bookmarkEnd w:id="70"/>
      <w:bookmarkEnd w:id="71"/>
    </w:p>
    <w:p>
      <w:pPr>
        <w:autoSpaceDE w:val="0"/>
        <w:autoSpaceDN w:val="0"/>
        <w:adjustRightInd w:val="0"/>
        <w:spacing w:line="600" w:lineRule="exact"/>
        <w:ind w:firstLine="640" w:firstLineChars="200"/>
        <w:jc w:val="left"/>
        <w:rPr>
          <w:rFonts w:ascii="仿宋_GB2312" w:eastAsia="仿宋_GB2312"/>
          <w:b w:val="0"/>
          <w:bCs w:val="0"/>
          <w:sz w:val="32"/>
          <w:szCs w:val="32"/>
        </w:rPr>
      </w:pPr>
      <w:r>
        <w:rPr>
          <w:rFonts w:hint="eastAsia" w:ascii="仿宋_GB2312" w:eastAsia="仿宋_GB2312"/>
          <w:b w:val="0"/>
          <w:bCs w:val="0"/>
          <w:sz w:val="32"/>
          <w:szCs w:val="32"/>
        </w:rPr>
        <w:t>截至2023年</w:t>
      </w:r>
      <w:r>
        <w:rPr>
          <w:rFonts w:ascii="仿宋_GB2312" w:eastAsia="仿宋_GB2312"/>
          <w:b w:val="0"/>
          <w:bCs w:val="0"/>
          <w:sz w:val="32"/>
          <w:szCs w:val="32"/>
        </w:rPr>
        <w:t>12</w:t>
      </w:r>
      <w:r>
        <w:rPr>
          <w:rFonts w:hint="eastAsia" w:ascii="仿宋_GB2312" w:eastAsia="仿宋_GB2312"/>
          <w:b w:val="0"/>
          <w:bCs w:val="0"/>
          <w:sz w:val="32"/>
          <w:szCs w:val="32"/>
        </w:rPr>
        <w:t>月</w:t>
      </w:r>
      <w:r>
        <w:rPr>
          <w:rFonts w:ascii="仿宋_GB2312" w:eastAsia="仿宋_GB2312"/>
          <w:b w:val="0"/>
          <w:bCs w:val="0"/>
          <w:sz w:val="32"/>
          <w:szCs w:val="32"/>
        </w:rPr>
        <w:t>31</w:t>
      </w:r>
      <w:r>
        <w:rPr>
          <w:rFonts w:hint="eastAsia" w:ascii="仿宋_GB2312" w:eastAsia="仿宋_GB2312"/>
          <w:b w:val="0"/>
          <w:bCs w:val="0"/>
          <w:sz w:val="32"/>
          <w:szCs w:val="32"/>
        </w:rPr>
        <w:t>日，</w:t>
      </w:r>
      <w:r>
        <w:rPr>
          <w:rFonts w:ascii="仿宋_GB2312" w:eastAsia="仿宋_GB2312"/>
          <w:b w:val="0"/>
          <w:bCs w:val="0"/>
          <w:sz w:val="32"/>
          <w:szCs w:val="32"/>
        </w:rPr>
        <w:t>五通桥区社情民意调查中心</w:t>
      </w:r>
      <w:r>
        <w:rPr>
          <w:rFonts w:hint="eastAsia" w:ascii="仿宋_GB2312" w:eastAsia="仿宋_GB2312"/>
          <w:b w:val="0"/>
          <w:bCs w:val="0"/>
          <w:sz w:val="32"/>
          <w:szCs w:val="32"/>
        </w:rPr>
        <w:t>共有车辆0辆，其中：主要领导干部用车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辆、机要通信用车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辆、应急保障用车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辆、其他用车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辆。单价</w:t>
      </w:r>
      <w:r>
        <w:rPr>
          <w:rFonts w:ascii="仿宋_GB2312" w:eastAsia="仿宋_GB2312"/>
          <w:b w:val="0"/>
          <w:bCs w:val="0"/>
          <w:sz w:val="32"/>
          <w:szCs w:val="32"/>
        </w:rPr>
        <w:t>100</w:t>
      </w:r>
      <w:r>
        <w:rPr>
          <w:rFonts w:hint="eastAsia" w:ascii="仿宋_GB2312" w:eastAsia="仿宋_GB2312"/>
          <w:b w:val="0"/>
          <w:bCs w:val="0"/>
          <w:sz w:val="32"/>
          <w:szCs w:val="32"/>
        </w:rPr>
        <w:t>万元以上设备（不含车辆）</w:t>
      </w:r>
      <w:r>
        <w:rPr>
          <w:rFonts w:ascii="仿宋_GB2312" w:eastAsia="仿宋_GB2312"/>
          <w:b w:val="0"/>
          <w:bCs w:val="0"/>
          <w:sz w:val="32"/>
          <w:szCs w:val="32"/>
        </w:rPr>
        <w:t>0</w:t>
      </w:r>
      <w:r>
        <w:rPr>
          <w:rFonts w:hint="eastAsia" w:ascii="仿宋_GB2312" w:eastAsia="仿宋_GB2312"/>
          <w:b w:val="0"/>
          <w:bCs w:val="0"/>
          <w:sz w:val="32"/>
          <w:szCs w:val="32"/>
        </w:rPr>
        <w:t>台（套）。</w:t>
      </w:r>
    </w:p>
    <w:p>
      <w:pPr>
        <w:autoSpaceDE w:val="0"/>
        <w:autoSpaceDN w:val="0"/>
        <w:adjustRightInd w:val="0"/>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表，按单位决算报表填报数据罗列车辆情况。）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2" w:name="_Toc2739"/>
      <w:r>
        <w:rPr>
          <w:rFonts w:hint="eastAsia" w:ascii="仿宋" w:hAnsi="仿宋" w:eastAsia="仿宋"/>
          <w:b/>
          <w:sz w:val="32"/>
          <w:szCs w:val="32"/>
        </w:rPr>
        <w:t>（四）预算绩效管理情况</w:t>
      </w:r>
      <w:bookmarkEnd w:id="72"/>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eastAsia="仿宋_GB2312"/>
          <w:sz w:val="32"/>
          <w:szCs w:val="32"/>
          <w:lang w:val="en-US" w:eastAsia="zh-CN"/>
        </w:rPr>
        <w:t>0</w:t>
      </w:r>
      <w:r>
        <w:rPr>
          <w:rFonts w:hint="eastAsia" w:ascii="仿宋_GB2312" w:eastAsia="仿宋_GB2312"/>
          <w:sz w:val="32"/>
          <w:szCs w:val="32"/>
        </w:rPr>
        <w:t>项目（项目名称）等</w:t>
      </w:r>
      <w:r>
        <w:rPr>
          <w:rFonts w:hint="eastAsia" w:ascii="仿宋_GB2312" w:eastAsia="仿宋_GB2312"/>
          <w:sz w:val="32"/>
          <w:szCs w:val="32"/>
          <w:lang w:val="en-US" w:eastAsia="zh-CN"/>
        </w:rPr>
        <w:t>0</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0</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0</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0</w:t>
      </w:r>
      <w:r>
        <w:rPr>
          <w:rFonts w:hint="eastAsia" w:ascii="仿宋_GB2312" w:eastAsia="仿宋_GB2312"/>
          <w:sz w:val="32"/>
          <w:szCs w:val="32"/>
        </w:rPr>
        <w:t>个项目开展绩效自评，绩效自评表详见第四部分附件。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4"/>
        </w:numPr>
        <w:spacing w:line="600" w:lineRule="exact"/>
        <w:ind w:firstLine="660" w:firstLineChars="150"/>
        <w:jc w:val="center"/>
        <w:outlineLvl w:val="0"/>
        <w:rPr>
          <w:rFonts w:ascii="宋体"/>
          <w:b/>
          <w:sz w:val="44"/>
          <w:szCs w:val="44"/>
        </w:rPr>
      </w:pPr>
      <w:bookmarkStart w:id="73" w:name="_Toc31329"/>
      <w:bookmarkStart w:id="74" w:name="_Toc15396613"/>
      <w:bookmarkStart w:id="75" w:name="_Toc15377225"/>
      <w:r>
        <w:rPr>
          <w:rFonts w:hint="eastAsia" w:ascii="黑体" w:hAnsi="黑体" w:eastAsia="黑体"/>
          <w:sz w:val="44"/>
          <w:szCs w:val="44"/>
        </w:rPr>
        <w:t>名</w:t>
      </w:r>
      <w:r>
        <w:rPr>
          <w:rStyle w:val="27"/>
          <w:rFonts w:hint="eastAsia" w:ascii="黑体" w:hAnsi="黑体" w:eastAsia="黑体"/>
          <w:b w:val="0"/>
        </w:rPr>
        <w:t>词解释</w:t>
      </w:r>
      <w:bookmarkEnd w:id="73"/>
      <w:bookmarkEnd w:id="74"/>
      <w:bookmarkEnd w:id="75"/>
    </w:p>
    <w:p>
      <w:pPr>
        <w:spacing w:line="600" w:lineRule="exact"/>
        <w:ind w:firstLine="640"/>
        <w:outlineLvl w:val="9"/>
        <w:rPr>
          <w:rFonts w:hint="eastAsia" w:ascii="仿宋_GB2312" w:eastAsia="仿宋_GB2312"/>
          <w:color w:val="auto"/>
          <w:sz w:val="32"/>
          <w:szCs w:val="32"/>
        </w:rPr>
      </w:pPr>
      <w:bookmarkStart w:id="76" w:name="_Toc31844"/>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bookmarkEnd w:id="76"/>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2.事业收入：指事业单位开展专业业务活动及辅助活动取得的收入。如…（二级预算单位事业收入情况）等。</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3.经营收入：指事业单位在专业业务活动及其辅助活动之外开展非独立核算经营活动取得的收入。如…（二级预算单位经营收入情况）等。</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 xml:space="preserve">4.其他收入：指单位取得的除上述收入以外的各项收入。主要是…（收入类型）等。 </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 xml:space="preserve">5.使用非财政拨款结余：指事业单位使用以前年度积累的非财政拨款结余弥补当年收支差额的金额。 </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 xml:space="preserve">6.年初结转和结余：指以前年度尚未完成、结转到本年按有关规定继续使用的资金。 </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7.结余分配：指事业单位按照会计制度规定缴纳的所得税、提取的专用结余以及转入非财政拨款结余的金额等。</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8.年末结转和结余：指单位按有关规定结转到下年或以后年度继续使用的资金。</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9．社会保障和就业（类）行政事业单位养老支出（款）机关事业单位基本养老保险缴费支出（项）：指机关事业单位实施养老保险制度由单位缴纳的基本养老保险费支出。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10．社会保障和就业（类）行政事业单位养老支出（款）机关事业单位职业年金缴费支出（项）：指机关事业单位实施养老保险制度由单位缴纳的职业年金支出。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11．社会保障和就业（类）行政事业单位养老支出（款）其他行政事业单位养老支出（项）：指除上述项目以外其他用于行政事业单位养老方面的支出。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12．社会保障和就业（类）其他社会保障和就业支出（款）其他社会保障和就业支出（项）：指除上述项目以外其他用于社会保障和就业方面的支出。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13．卫生健康（类）行政事业单位医疗（款）行政单位医疗（项）：指财政部门安排的行政单位（包括实行公务员管理的事业单位）基本医疗保险缴费经费，未参加医疗保险的行政单位的公费医疗经费，按国家规定享受离休人员、红军老战士待遇人员的医疗经费。</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14．卫生健康（类）行政事业单位医疗（款）事业单位医疗（项）：指财政部门安排的事业单位基本医疗保险缴费经费，未参加医疗保险的事业单位的公费医疗经费，按国家规定享受离休人员待遇的医疗经费。</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15．住房保障（类）住房改革支出（款）住房公积金（项）：指行政事业单位按人力资源和社会保障部、财政部规定的基本工资和津贴补贴以及规定比例为职工缴纳的住房公积金。</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16．基本支出：指为保障机构正常运转、完成日常工作任务而发生的人员支出和公用支出。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17．项目支出：指在基本支出之外为完成特定行政任务和事业发展目标所发生的支出。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18．经营支出：指事业单位在专业业务活动及其辅助活动之外开展非独立核算经营活动发生的支出。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19．“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20．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21．基本支出：指为保障机构正常运转、完成日常工作任务而发生的人员支出和公用支出。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22．项目支出：指在基本支出之外为完成特定行政任务和事业发展目标所发生的支出。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23．经营支出：指事业单位在专业业务活动及其辅助活动之外开展非独立核算经营活动发生的支出。</w:t>
      </w:r>
    </w:p>
    <w:p>
      <w:pPr>
        <w:spacing w:line="600" w:lineRule="exact"/>
        <w:ind w:firstLine="640"/>
        <w:rPr>
          <w:rFonts w:hint="eastAsia" w:ascii="仿宋_GB2312" w:eastAsia="仿宋_GB2312"/>
          <w:color w:val="auto"/>
          <w:sz w:val="32"/>
          <w:szCs w:val="32"/>
        </w:rPr>
      </w:pPr>
      <w:r>
        <w:rPr>
          <w:rFonts w:hint="eastAsia" w:ascii="仿宋_GB2312" w:eastAsia="仿宋_GB2312"/>
          <w:color w:val="auto"/>
          <w:sz w:val="32"/>
          <w:szCs w:val="32"/>
        </w:rPr>
        <w:t>24．“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5"/>
        <w:spacing w:line="560" w:lineRule="exact"/>
        <w:ind w:firstLine="640" w:firstLineChars="200"/>
        <w:rPr>
          <w:rFonts w:ascii="仿宋_GB2312" w:eastAsia="仿宋_GB2312" w:cs="黑体"/>
          <w:color w:val="auto"/>
          <w:sz w:val="32"/>
          <w:szCs w:val="32"/>
        </w:rPr>
      </w:pPr>
      <w:r>
        <w:rPr>
          <w:rFonts w:hint="eastAsia" w:ascii="仿宋_GB2312" w:eastAsia="仿宋_GB2312"/>
          <w:color w:val="auto"/>
          <w:sz w:val="32"/>
          <w:szCs w:val="32"/>
        </w:rPr>
        <w:t>25．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3" w:firstLineChars="200"/>
        <w:rPr>
          <w:rFonts w:ascii="仿宋" w:hAnsi="仿宋" w:eastAsia="仿宋"/>
          <w:b/>
          <w:sz w:val="32"/>
          <w:szCs w:val="32"/>
        </w:rPr>
      </w:pPr>
      <w:r>
        <w:rPr>
          <w:rFonts w:hint="eastAsia" w:ascii="仿宋" w:hAnsi="仿宋" w:eastAsia="仿宋"/>
          <w:b/>
          <w:sz w:val="32"/>
          <w:szCs w:val="32"/>
        </w:rPr>
        <w:t>（名词解释部分请根据各单位实际列支情况罗列，并根据本单位职责职能增减名词解释内容。）</w:t>
      </w:r>
    </w:p>
    <w:p>
      <w:pPr>
        <w:spacing w:line="600" w:lineRule="exact"/>
        <w:jc w:val="center"/>
        <w:outlineLvl w:val="0"/>
        <w:rPr>
          <w:rStyle w:val="27"/>
          <w:rFonts w:ascii="黑体" w:hAnsi="黑体" w:eastAsia="黑体"/>
          <w:b w:val="0"/>
        </w:rPr>
      </w:pPr>
      <w:bookmarkStart w:id="77" w:name="_Toc15377226"/>
      <w:r>
        <w:rPr>
          <w:rFonts w:ascii="宋体"/>
          <w:b/>
          <w:sz w:val="44"/>
          <w:szCs w:val="44"/>
        </w:rPr>
        <w:br w:type="page"/>
      </w:r>
      <w:bookmarkStart w:id="78" w:name="_Toc15396614"/>
      <w:bookmarkStart w:id="79" w:name="_Toc15784"/>
      <w:r>
        <w:rPr>
          <w:rFonts w:hint="eastAsia" w:ascii="黑体" w:hAnsi="黑体" w:eastAsia="黑体"/>
          <w:sz w:val="44"/>
          <w:szCs w:val="44"/>
        </w:rPr>
        <w:t>第</w:t>
      </w:r>
      <w:r>
        <w:rPr>
          <w:rStyle w:val="27"/>
          <w:rFonts w:hint="eastAsia" w:ascii="黑体" w:hAnsi="黑体" w:eastAsia="黑体"/>
          <w:b w:val="0"/>
        </w:rPr>
        <w:t>四部分 附件</w:t>
      </w:r>
      <w:bookmarkEnd w:id="78"/>
      <w:bookmarkEnd w:id="79"/>
    </w:p>
    <w:p>
      <w:pPr>
        <w:spacing w:line="572" w:lineRule="exact"/>
        <w:jc w:val="left"/>
        <w:outlineLvl w:val="9"/>
        <w:rPr>
          <w:rFonts w:ascii="仿宋_GB2312" w:hAnsi="仿宋_GB2312" w:eastAsia="仿宋_GB2312" w:cs="仿宋_GB2312"/>
          <w:sz w:val="32"/>
          <w:szCs w:val="32"/>
        </w:rPr>
      </w:pPr>
    </w:p>
    <w:p>
      <w:pPr>
        <w:spacing w:line="600" w:lineRule="exact"/>
        <w:jc w:val="center"/>
        <w:outlineLvl w:val="1"/>
        <w:rPr>
          <w:rFonts w:ascii="黑体" w:hAnsi="黑体" w:eastAsia="黑体"/>
          <w:color w:val="FF0000"/>
          <w:sz w:val="44"/>
          <w:szCs w:val="44"/>
        </w:rPr>
      </w:pPr>
      <w:bookmarkStart w:id="80" w:name="_Toc13478"/>
      <w:bookmarkStart w:id="81" w:name="_Toc15396618"/>
      <w:r>
        <w:rPr>
          <w:rFonts w:hint="eastAsia"/>
          <w:sz w:val="32"/>
          <w:szCs w:val="32"/>
        </w:rPr>
        <w:t>部门预算项目支出绩效自评表（2023年度）</w:t>
      </w:r>
      <w:bookmarkEnd w:id="80"/>
    </w:p>
    <w:tbl>
      <w:tblPr>
        <w:tblStyle w:val="15"/>
        <w:tblW w:w="91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1170"/>
        <w:gridCol w:w="1049"/>
        <w:gridCol w:w="1416"/>
        <w:gridCol w:w="396"/>
        <w:gridCol w:w="960"/>
        <w:gridCol w:w="396"/>
        <w:gridCol w:w="846"/>
        <w:gridCol w:w="486"/>
        <w:gridCol w:w="396"/>
        <w:gridCol w:w="14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51111221R000000028090-工资性支出（事业）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28.13</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28.13</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51111221R000000028139-养老保险（事业）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51111221R000000028154-职业年金（事业）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51111221R000000028166-医疗保险（事业）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51111221R000000028299-工伤保险（事业）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51111221R000000028705-残疾人保障金（事业）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51111221R000000028727-住房公积金（事业）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5.43</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5.43</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51111221R000000028889-临聘人员工资福利支出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51111221Y000000029361-日常公用经费（事业）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51111221Y000000029861-工会及福利费（事业）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51111222R000006332821-事业人员基本绩效工资（不含教育、卫生）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7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91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51111222R000006333096-事业人员动态调控激励绩效工资（不含教育、卫生）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1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0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4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1"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8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7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47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4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bl>
    <w:p>
      <w:pPr>
        <w:pStyle w:val="14"/>
        <w:spacing w:line="560" w:lineRule="exact"/>
        <w:rPr>
          <w:sz w:val="32"/>
        </w:rPr>
      </w:pPr>
    </w:p>
    <w:p>
      <w:pPr>
        <w:pStyle w:val="14"/>
        <w:spacing w:line="560" w:lineRule="exact"/>
        <w:ind w:left="0" w:leftChars="0" w:firstLine="640"/>
        <w:rPr>
          <w:rFonts w:hAnsi="Calibri" w:eastAsia="仿宋_GB2312" w:cs="仿宋"/>
          <w:sz w:val="32"/>
          <w:lang w:val="zh-CN"/>
        </w:rPr>
      </w:pPr>
      <w:r>
        <w:rPr>
          <w:rFonts w:hint="eastAsia" w:hAnsi="Calibri" w:eastAsia="仿宋_GB2312" w:cs="仿宋"/>
          <w:sz w:val="32"/>
        </w:rPr>
        <w:t>（备注：按照绩效自评工作安排，各单位可在预算管理一体化系统—综合报表查询—预算绩效报表模块中下载本单位“部门预算项目支出绩效自评表（2023年度）”，该表格应作为附件予以公开。）</w:t>
      </w: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pStyle w:val="6"/>
        <w:spacing w:before="93"/>
        <w:rPr>
          <w:rFonts w:hAnsi="Calibri" w:cs="仿宋"/>
          <w:sz w:val="32"/>
          <w:szCs w:val="32"/>
        </w:rPr>
      </w:pPr>
    </w:p>
    <w:p>
      <w:pPr>
        <w:spacing w:line="600" w:lineRule="exact"/>
        <w:jc w:val="center"/>
        <w:outlineLvl w:val="0"/>
        <w:rPr>
          <w:rFonts w:ascii="仿宋" w:hAnsi="仿宋" w:eastAsia="仿宋"/>
        </w:rPr>
      </w:pPr>
      <w:bookmarkStart w:id="82" w:name="_Toc11581"/>
      <w:r>
        <w:rPr>
          <w:rFonts w:hint="eastAsia" w:ascii="黑体" w:hAnsi="黑体" w:eastAsia="黑体"/>
          <w:sz w:val="44"/>
          <w:szCs w:val="44"/>
        </w:rPr>
        <w:t>第</w:t>
      </w:r>
      <w:r>
        <w:rPr>
          <w:rStyle w:val="27"/>
          <w:rFonts w:hint="eastAsia" w:ascii="黑体" w:hAnsi="黑体" w:eastAsia="黑体"/>
          <w:b w:val="0"/>
        </w:rPr>
        <w:t>五部分 附表</w:t>
      </w:r>
      <w:bookmarkEnd w:id="77"/>
      <w:bookmarkEnd w:id="81"/>
      <w:bookmarkEnd w:id="82"/>
      <w:bookmarkStart w:id="83" w:name="_Toc15396619"/>
    </w:p>
    <w:p>
      <w:pPr>
        <w:outlineLvl w:val="9"/>
        <w:rPr>
          <w:rStyle w:val="28"/>
          <w:rFonts w:hint="eastAsia" w:ascii="仿宋" w:hAnsi="仿宋" w:eastAsia="仿宋"/>
          <w:b w:val="0"/>
          <w:bCs w:val="0"/>
        </w:rPr>
      </w:pPr>
      <w:r>
        <w:rPr>
          <w:rStyle w:val="28"/>
          <w:rFonts w:hint="eastAsia" w:ascii="仿宋" w:hAnsi="仿宋" w:eastAsia="仿宋"/>
          <w:b w:val="0"/>
          <w:bCs w:val="0"/>
        </w:rPr>
        <w:t>一、收入支出决算总表</w:t>
      </w:r>
      <w:bookmarkEnd w:id="83"/>
    </w:p>
    <w:p>
      <w:pPr>
        <w:outlineLvl w:val="9"/>
        <w:rPr>
          <w:rStyle w:val="28"/>
          <w:rFonts w:hint="eastAsia" w:ascii="仿宋" w:hAnsi="仿宋" w:eastAsia="仿宋"/>
          <w:b w:val="0"/>
          <w:bCs w:val="0"/>
        </w:rPr>
      </w:pPr>
      <w:bookmarkStart w:id="84" w:name="_Toc15396620"/>
      <w:bookmarkStart w:id="85" w:name="_Toc16633"/>
      <w:r>
        <w:rPr>
          <w:rStyle w:val="28"/>
          <w:rFonts w:hint="eastAsia" w:ascii="仿宋" w:hAnsi="仿宋" w:eastAsia="仿宋"/>
          <w:b w:val="0"/>
          <w:bCs w:val="0"/>
        </w:rPr>
        <w:t>二、收入决算表</w:t>
      </w:r>
      <w:bookmarkEnd w:id="84"/>
    </w:p>
    <w:bookmarkEnd w:id="85"/>
    <w:p>
      <w:pPr>
        <w:outlineLvl w:val="9"/>
        <w:rPr>
          <w:rStyle w:val="28"/>
          <w:rFonts w:hint="eastAsia" w:ascii="仿宋" w:hAnsi="仿宋" w:eastAsia="仿宋"/>
          <w:b w:val="0"/>
          <w:bCs w:val="0"/>
        </w:rPr>
      </w:pPr>
      <w:bookmarkStart w:id="86" w:name="_Toc15396621"/>
      <w:bookmarkStart w:id="87" w:name="_Toc2738"/>
      <w:r>
        <w:rPr>
          <w:rStyle w:val="28"/>
          <w:rFonts w:hint="eastAsia" w:ascii="仿宋" w:hAnsi="仿宋" w:eastAsia="仿宋"/>
          <w:b w:val="0"/>
          <w:bCs w:val="0"/>
        </w:rPr>
        <w:t>三、支出决算表</w:t>
      </w:r>
      <w:bookmarkEnd w:id="86"/>
    </w:p>
    <w:bookmarkEnd w:id="87"/>
    <w:p>
      <w:pPr>
        <w:outlineLvl w:val="9"/>
        <w:rPr>
          <w:rStyle w:val="28"/>
          <w:rFonts w:hint="eastAsia" w:ascii="仿宋" w:hAnsi="仿宋" w:eastAsia="仿宋"/>
          <w:b w:val="0"/>
          <w:bCs w:val="0"/>
        </w:rPr>
      </w:pPr>
      <w:bookmarkStart w:id="88" w:name="_Toc15396622"/>
      <w:bookmarkStart w:id="89" w:name="_Toc26219"/>
      <w:r>
        <w:rPr>
          <w:rStyle w:val="28"/>
          <w:rFonts w:hint="eastAsia" w:ascii="仿宋" w:hAnsi="仿宋" w:eastAsia="仿宋"/>
          <w:b w:val="0"/>
          <w:bCs w:val="0"/>
        </w:rPr>
        <w:t>四、财政拨款收入支出决算总表</w:t>
      </w:r>
      <w:bookmarkEnd w:id="88"/>
    </w:p>
    <w:bookmarkEnd w:id="89"/>
    <w:p>
      <w:pPr>
        <w:outlineLvl w:val="9"/>
        <w:rPr>
          <w:rStyle w:val="28"/>
          <w:rFonts w:hint="eastAsia" w:ascii="仿宋" w:hAnsi="仿宋" w:eastAsia="仿宋"/>
          <w:b w:val="0"/>
          <w:bCs w:val="0"/>
        </w:rPr>
      </w:pPr>
      <w:bookmarkStart w:id="90" w:name="_Toc15396623"/>
      <w:bookmarkStart w:id="91" w:name="_Toc4481"/>
      <w:r>
        <w:rPr>
          <w:rStyle w:val="28"/>
          <w:rFonts w:hint="eastAsia" w:ascii="仿宋" w:hAnsi="仿宋" w:eastAsia="仿宋"/>
          <w:b w:val="0"/>
          <w:bCs w:val="0"/>
        </w:rPr>
        <w:t>五、财政拨款支出决算明细表</w:t>
      </w:r>
      <w:bookmarkEnd w:id="90"/>
      <w:bookmarkStart w:id="92" w:name="_Toc15396624"/>
    </w:p>
    <w:bookmarkEnd w:id="91"/>
    <w:p>
      <w:pPr>
        <w:outlineLvl w:val="9"/>
        <w:rPr>
          <w:rStyle w:val="28"/>
          <w:rFonts w:hint="eastAsia" w:ascii="仿宋" w:hAnsi="仿宋" w:eastAsia="仿宋"/>
          <w:b w:val="0"/>
          <w:bCs w:val="0"/>
        </w:rPr>
      </w:pPr>
      <w:bookmarkStart w:id="93" w:name="_Toc23217"/>
      <w:r>
        <w:rPr>
          <w:rStyle w:val="28"/>
          <w:rFonts w:hint="eastAsia" w:ascii="仿宋" w:hAnsi="仿宋" w:eastAsia="仿宋"/>
          <w:b w:val="0"/>
          <w:bCs w:val="0"/>
        </w:rPr>
        <w:t>六、一般公共预算财政拨款支出决算表</w:t>
      </w:r>
      <w:bookmarkEnd w:id="92"/>
    </w:p>
    <w:bookmarkEnd w:id="93"/>
    <w:p>
      <w:pPr>
        <w:outlineLvl w:val="9"/>
        <w:rPr>
          <w:rStyle w:val="28"/>
          <w:rFonts w:hint="eastAsia" w:ascii="仿宋" w:hAnsi="仿宋" w:eastAsia="仿宋"/>
          <w:b w:val="0"/>
          <w:bCs w:val="0"/>
        </w:rPr>
      </w:pPr>
      <w:bookmarkStart w:id="94" w:name="_Toc15396625"/>
      <w:bookmarkStart w:id="95" w:name="_Toc20541"/>
      <w:r>
        <w:rPr>
          <w:rStyle w:val="28"/>
          <w:rFonts w:hint="eastAsia" w:ascii="仿宋" w:hAnsi="仿宋" w:eastAsia="仿宋"/>
          <w:b w:val="0"/>
          <w:bCs w:val="0"/>
        </w:rPr>
        <w:t>七、一般公共预算财政拨款支出决算明细表</w:t>
      </w:r>
      <w:bookmarkEnd w:id="94"/>
    </w:p>
    <w:bookmarkEnd w:id="95"/>
    <w:p>
      <w:pPr>
        <w:outlineLvl w:val="9"/>
        <w:rPr>
          <w:rStyle w:val="28"/>
          <w:rFonts w:hint="eastAsia" w:ascii="仿宋" w:hAnsi="仿宋" w:eastAsia="仿宋"/>
          <w:b w:val="0"/>
          <w:bCs w:val="0"/>
        </w:rPr>
      </w:pPr>
      <w:bookmarkStart w:id="96" w:name="_Toc15396626"/>
      <w:bookmarkStart w:id="97" w:name="_Toc10996"/>
      <w:r>
        <w:rPr>
          <w:rStyle w:val="28"/>
          <w:rFonts w:hint="eastAsia" w:ascii="仿宋" w:hAnsi="仿宋" w:eastAsia="仿宋"/>
          <w:b w:val="0"/>
          <w:bCs w:val="0"/>
        </w:rPr>
        <w:t>八、一般公共预算财政拨款基本支出决算表</w:t>
      </w:r>
      <w:bookmarkEnd w:id="96"/>
    </w:p>
    <w:bookmarkEnd w:id="97"/>
    <w:p>
      <w:pPr>
        <w:outlineLvl w:val="9"/>
        <w:rPr>
          <w:rStyle w:val="28"/>
          <w:rFonts w:hint="eastAsia" w:ascii="仿宋" w:hAnsi="仿宋" w:eastAsia="仿宋"/>
          <w:b w:val="0"/>
          <w:bCs w:val="0"/>
        </w:rPr>
      </w:pPr>
      <w:bookmarkStart w:id="98" w:name="_Toc15396627"/>
      <w:bookmarkStart w:id="99" w:name="_Toc7338"/>
      <w:r>
        <w:rPr>
          <w:rStyle w:val="28"/>
          <w:rFonts w:hint="eastAsia" w:ascii="仿宋" w:hAnsi="仿宋" w:eastAsia="仿宋"/>
          <w:b w:val="0"/>
          <w:bCs w:val="0"/>
        </w:rPr>
        <w:t>九、一般公共预算财政拨款项目支出决算表</w:t>
      </w:r>
      <w:bookmarkEnd w:id="98"/>
    </w:p>
    <w:bookmarkEnd w:id="99"/>
    <w:p>
      <w:pPr>
        <w:outlineLvl w:val="9"/>
        <w:rPr>
          <w:rStyle w:val="28"/>
          <w:rFonts w:hint="eastAsia" w:ascii="仿宋" w:hAnsi="仿宋" w:eastAsia="仿宋"/>
          <w:b w:val="0"/>
          <w:bCs w:val="0"/>
        </w:rPr>
      </w:pPr>
      <w:bookmarkStart w:id="100" w:name="_Toc15396628"/>
      <w:bookmarkStart w:id="101" w:name="_Toc26151"/>
      <w:r>
        <w:rPr>
          <w:rStyle w:val="28"/>
          <w:rFonts w:hint="eastAsia" w:ascii="仿宋" w:hAnsi="仿宋" w:eastAsia="仿宋"/>
          <w:b w:val="0"/>
          <w:bCs w:val="0"/>
        </w:rPr>
        <w:t>十、</w:t>
      </w:r>
      <w:bookmarkEnd w:id="100"/>
      <w:r>
        <w:rPr>
          <w:rStyle w:val="28"/>
          <w:rFonts w:hint="eastAsia" w:ascii="仿宋" w:hAnsi="仿宋" w:eastAsia="仿宋"/>
          <w:b w:val="0"/>
          <w:bCs w:val="0"/>
        </w:rPr>
        <w:t>政府性基金预算财政拨款收入支出决算表</w:t>
      </w:r>
    </w:p>
    <w:bookmarkEnd w:id="101"/>
    <w:p>
      <w:pPr>
        <w:outlineLvl w:val="9"/>
        <w:rPr>
          <w:rStyle w:val="28"/>
          <w:rFonts w:hint="eastAsia" w:ascii="仿宋" w:hAnsi="仿宋" w:eastAsia="仿宋"/>
          <w:b w:val="0"/>
          <w:bCs w:val="0"/>
        </w:rPr>
      </w:pPr>
      <w:bookmarkStart w:id="102" w:name="_Toc15396629"/>
      <w:bookmarkStart w:id="103" w:name="_Toc324"/>
      <w:r>
        <w:rPr>
          <w:rStyle w:val="28"/>
          <w:rFonts w:hint="eastAsia" w:ascii="仿宋" w:hAnsi="仿宋" w:eastAsia="仿宋"/>
          <w:b w:val="0"/>
          <w:bCs w:val="0"/>
        </w:rPr>
        <w:t>十一、</w:t>
      </w:r>
      <w:bookmarkEnd w:id="102"/>
      <w:r>
        <w:rPr>
          <w:rStyle w:val="28"/>
          <w:rFonts w:hint="eastAsia" w:ascii="仿宋" w:hAnsi="仿宋" w:eastAsia="仿宋"/>
          <w:b w:val="0"/>
          <w:bCs w:val="0"/>
        </w:rPr>
        <w:t>国有资本经营预算财政拨款收入支出决算表</w:t>
      </w:r>
    </w:p>
    <w:bookmarkEnd w:id="103"/>
    <w:p>
      <w:pPr>
        <w:outlineLvl w:val="9"/>
        <w:rPr>
          <w:rStyle w:val="28"/>
          <w:rFonts w:hint="eastAsia" w:ascii="仿宋" w:hAnsi="仿宋" w:eastAsia="仿宋"/>
          <w:b w:val="0"/>
          <w:bCs w:val="0"/>
        </w:rPr>
      </w:pPr>
      <w:bookmarkStart w:id="104" w:name="_Toc15396630"/>
      <w:bookmarkStart w:id="105" w:name="_Toc3805"/>
      <w:r>
        <w:rPr>
          <w:rStyle w:val="28"/>
          <w:rFonts w:hint="eastAsia" w:ascii="仿宋" w:hAnsi="仿宋" w:eastAsia="仿宋"/>
          <w:b w:val="0"/>
          <w:bCs w:val="0"/>
        </w:rPr>
        <w:t>十二、</w:t>
      </w:r>
      <w:bookmarkEnd w:id="104"/>
      <w:r>
        <w:rPr>
          <w:rStyle w:val="28"/>
          <w:rFonts w:hint="eastAsia" w:ascii="仿宋" w:hAnsi="仿宋" w:eastAsia="仿宋"/>
          <w:b w:val="0"/>
          <w:bCs w:val="0"/>
        </w:rPr>
        <w:t>国有资本经营预算财政拨款支出决算表</w:t>
      </w:r>
    </w:p>
    <w:bookmarkEnd w:id="105"/>
    <w:p>
      <w:pPr>
        <w:outlineLvl w:val="9"/>
        <w:rPr>
          <w:rStyle w:val="28"/>
          <w:rFonts w:hint="eastAsia" w:ascii="仿宋" w:hAnsi="仿宋" w:eastAsia="仿宋"/>
          <w:b w:val="0"/>
          <w:bCs w:val="0"/>
        </w:rPr>
      </w:pPr>
      <w:bookmarkStart w:id="106" w:name="_Toc15396631"/>
      <w:bookmarkStart w:id="107" w:name="_Toc14389"/>
      <w:r>
        <w:rPr>
          <w:rStyle w:val="28"/>
          <w:rFonts w:hint="eastAsia" w:ascii="仿宋" w:hAnsi="仿宋" w:eastAsia="仿宋"/>
          <w:b w:val="0"/>
          <w:bCs w:val="0"/>
        </w:rPr>
        <w:t>十三、</w:t>
      </w:r>
      <w:bookmarkEnd w:id="106"/>
      <w:r>
        <w:rPr>
          <w:rStyle w:val="28"/>
          <w:rFonts w:hint="eastAsia" w:ascii="仿宋" w:hAnsi="仿宋" w:eastAsia="仿宋"/>
          <w:b w:val="0"/>
          <w:bCs w:val="0"/>
        </w:rPr>
        <w:t>财政拨款“三公”经费支出决算表</w:t>
      </w:r>
    </w:p>
    <w:bookmarkEnd w:id="107"/>
    <w:sectPr>
      <w:footerReference r:id="rId8" w:type="first"/>
      <w:footerReference r:id="rId7"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270B5A-91D9-43E3-85FC-5BCA904B37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328F10BC-1B6F-4BD8-A265-6DB2A835ACC7}"/>
  </w:font>
  <w:font w:name="Cambria">
    <w:panose1 w:val="02040503050406030204"/>
    <w:charset w:val="00"/>
    <w:family w:val="roman"/>
    <w:pitch w:val="default"/>
    <w:sig w:usb0="E00006FF" w:usb1="420024FF" w:usb2="02000000" w:usb3="00000000" w:csb0="2000019F" w:csb1="00000000"/>
    <w:embedRegular r:id="rId3" w:fontKey="{843C3EDC-7286-4041-A900-94284AF47B6A}"/>
  </w:font>
  <w:font w:name="仿宋_GB2312">
    <w:panose1 w:val="02010609030101010101"/>
    <w:charset w:val="86"/>
    <w:family w:val="auto"/>
    <w:pitch w:val="default"/>
    <w:sig w:usb0="00000001" w:usb1="080E0000" w:usb2="00000000" w:usb3="00000000" w:csb0="00040000" w:csb1="00000000"/>
    <w:embedRegular r:id="rId4" w:fontKey="{86E37FAB-2AFC-4551-94AE-8AA81C0A0D3A}"/>
  </w:font>
  <w:font w:name="仿宋">
    <w:panose1 w:val="02010609060101010101"/>
    <w:charset w:val="86"/>
    <w:family w:val="modern"/>
    <w:pitch w:val="default"/>
    <w:sig w:usb0="800002BF" w:usb1="38CF7CFA" w:usb2="00000016" w:usb3="00000000" w:csb0="00040001" w:csb1="00000000"/>
    <w:embedRegular r:id="rId5" w:fontKey="{E7A1244B-F24D-4729-A56C-CD9AE3E79907}"/>
  </w:font>
  <w:font w:name="方正小标宋简体">
    <w:panose1 w:val="03000509000000000000"/>
    <w:charset w:val="86"/>
    <w:family w:val="script"/>
    <w:pitch w:val="default"/>
    <w:sig w:usb0="00000001" w:usb1="080E0000" w:usb2="00000000" w:usb3="00000000" w:csb0="00040000" w:csb1="00000000"/>
    <w:embedRegular r:id="rId6" w:fontKey="{4816A315-C628-4685-9A9C-F39CE5925969}"/>
  </w:font>
  <w:font w:name="微软雅黑">
    <w:panose1 w:val="020B0503020204020204"/>
    <w:charset w:val="86"/>
    <w:family w:val="auto"/>
    <w:pitch w:val="default"/>
    <w:sig w:usb0="80000287" w:usb1="2ACF3C50" w:usb2="00000016" w:usb3="00000000" w:csb0="0004001F" w:csb1="00000000"/>
    <w:embedRegular r:id="rId7" w:fontKey="{393359BC-B021-4DAE-9BBC-7F24B98CF4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2683"/>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sdt>
                    <w:sdtPr>
                      <w:id w:val="147462683"/>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2"/>
                    </w:pPr>
                  </w:p>
                </w:txbxContent>
              </v:textbox>
            </v:shape>
          </w:pict>
        </mc:Fallback>
      </mc:AlternateContent>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hMTZjMWZmNWJhYmRlZmZhOWYzOGZhZjAwYjAzMjg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35D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5DF70DA"/>
    <w:rsid w:val="081B5E94"/>
    <w:rsid w:val="0A2032A3"/>
    <w:rsid w:val="0B8A37D8"/>
    <w:rsid w:val="0F5FFB2F"/>
    <w:rsid w:val="0FFFCF60"/>
    <w:rsid w:val="10C055FF"/>
    <w:rsid w:val="118107EC"/>
    <w:rsid w:val="11DD6519"/>
    <w:rsid w:val="16BB723D"/>
    <w:rsid w:val="18015F3F"/>
    <w:rsid w:val="19C07C84"/>
    <w:rsid w:val="1BE8440E"/>
    <w:rsid w:val="1D155CEE"/>
    <w:rsid w:val="1FDBBF84"/>
    <w:rsid w:val="20F57F95"/>
    <w:rsid w:val="240371BF"/>
    <w:rsid w:val="25711CC6"/>
    <w:rsid w:val="25C741E6"/>
    <w:rsid w:val="276F80C0"/>
    <w:rsid w:val="27842671"/>
    <w:rsid w:val="29FD04D3"/>
    <w:rsid w:val="2ABE7A3E"/>
    <w:rsid w:val="2AFF09B6"/>
    <w:rsid w:val="2CA234A8"/>
    <w:rsid w:val="2EFA178C"/>
    <w:rsid w:val="2EFDF86C"/>
    <w:rsid w:val="2F9D17E1"/>
    <w:rsid w:val="30B46D73"/>
    <w:rsid w:val="319F7F4E"/>
    <w:rsid w:val="356A28F1"/>
    <w:rsid w:val="357C035A"/>
    <w:rsid w:val="368E000D"/>
    <w:rsid w:val="37D72677"/>
    <w:rsid w:val="383D272C"/>
    <w:rsid w:val="39AE70AB"/>
    <w:rsid w:val="3A4DCE41"/>
    <w:rsid w:val="3BCB56FA"/>
    <w:rsid w:val="3C0C0783"/>
    <w:rsid w:val="3EE7C2F4"/>
    <w:rsid w:val="3F371B56"/>
    <w:rsid w:val="3F792ED8"/>
    <w:rsid w:val="3F9F3A96"/>
    <w:rsid w:val="3FECA4B2"/>
    <w:rsid w:val="3FF58C48"/>
    <w:rsid w:val="42FF6694"/>
    <w:rsid w:val="47BB36B5"/>
    <w:rsid w:val="48BF60AB"/>
    <w:rsid w:val="493C27E9"/>
    <w:rsid w:val="496F39ED"/>
    <w:rsid w:val="49FF41D3"/>
    <w:rsid w:val="4BE068DB"/>
    <w:rsid w:val="4BF6002B"/>
    <w:rsid w:val="4BFFC6BE"/>
    <w:rsid w:val="4ECE2238"/>
    <w:rsid w:val="51DB4B86"/>
    <w:rsid w:val="51F64DB0"/>
    <w:rsid w:val="55333C3E"/>
    <w:rsid w:val="5F67802D"/>
    <w:rsid w:val="5F7DC4F2"/>
    <w:rsid w:val="5FB36814"/>
    <w:rsid w:val="5FBB8E56"/>
    <w:rsid w:val="5FFB5535"/>
    <w:rsid w:val="64CA39A1"/>
    <w:rsid w:val="67994F26"/>
    <w:rsid w:val="69630ADE"/>
    <w:rsid w:val="69BD5F13"/>
    <w:rsid w:val="69FB0B4B"/>
    <w:rsid w:val="6B540CF9"/>
    <w:rsid w:val="6BFFE1FB"/>
    <w:rsid w:val="6C4A05C8"/>
    <w:rsid w:val="6D3B1A89"/>
    <w:rsid w:val="6DB7D8A3"/>
    <w:rsid w:val="6EC78701"/>
    <w:rsid w:val="6F7A5481"/>
    <w:rsid w:val="6FFE07A9"/>
    <w:rsid w:val="70DD28D6"/>
    <w:rsid w:val="71BF4EC2"/>
    <w:rsid w:val="72734D90"/>
    <w:rsid w:val="73E75B71"/>
    <w:rsid w:val="7412278C"/>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6">
    <w:name w:val="Body Text"/>
    <w:basedOn w:val="1"/>
    <w:link w:val="24"/>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0"/>
    <w:semiHidden/>
    <w:unhideWhenUsed/>
    <w:qFormat/>
    <w:uiPriority w:val="99"/>
    <w:rPr>
      <w:sz w:val="18"/>
      <w:szCs w:val="18"/>
    </w:rPr>
  </w:style>
  <w:style w:type="paragraph" w:styleId="10">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Header Char"/>
    <w:basedOn w:val="16"/>
    <w:semiHidden/>
    <w:qFormat/>
    <w:uiPriority w:val="99"/>
    <w:rPr>
      <w:rFonts w:ascii="Times New Roman" w:hAnsi="Times New Roman"/>
      <w:sz w:val="18"/>
      <w:szCs w:val="18"/>
    </w:rPr>
  </w:style>
  <w:style w:type="character" w:customStyle="1" w:styleId="20">
    <w:name w:val="页眉 字符"/>
    <w:link w:val="11"/>
    <w:semiHidden/>
    <w:qFormat/>
    <w:locked/>
    <w:uiPriority w:val="99"/>
    <w:rPr>
      <w:sz w:val="18"/>
    </w:rPr>
  </w:style>
  <w:style w:type="character" w:customStyle="1" w:styleId="21">
    <w:name w:val="Footer Char"/>
    <w:basedOn w:val="16"/>
    <w:semiHidden/>
    <w:qFormat/>
    <w:uiPriority w:val="99"/>
    <w:rPr>
      <w:rFonts w:ascii="Times New Roman" w:hAnsi="Times New Roman"/>
      <w:sz w:val="18"/>
      <w:szCs w:val="18"/>
    </w:rPr>
  </w:style>
  <w:style w:type="character" w:customStyle="1" w:styleId="22">
    <w:name w:val="页脚 字符"/>
    <w:link w:val="10"/>
    <w:qFormat/>
    <w:locked/>
    <w:uiPriority w:val="99"/>
    <w:rPr>
      <w:sz w:val="18"/>
    </w:rPr>
  </w:style>
  <w:style w:type="character" w:customStyle="1" w:styleId="23">
    <w:name w:val="Body Text Char"/>
    <w:basedOn w:val="16"/>
    <w:semiHidden/>
    <w:qFormat/>
    <w:uiPriority w:val="99"/>
    <w:rPr>
      <w:rFonts w:ascii="Times New Roman" w:hAnsi="Times New Roman"/>
      <w:szCs w:val="24"/>
    </w:rPr>
  </w:style>
  <w:style w:type="character" w:customStyle="1" w:styleId="24">
    <w:name w:val="正文文本 字符"/>
    <w:link w:val="6"/>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6"/>
    <w:link w:val="3"/>
    <w:qFormat/>
    <w:uiPriority w:val="9"/>
    <w:rPr>
      <w:rFonts w:ascii="Times New Roman" w:hAnsi="Times New Roman"/>
      <w:b/>
      <w:bCs/>
      <w:kern w:val="44"/>
      <w:sz w:val="44"/>
      <w:szCs w:val="44"/>
    </w:rPr>
  </w:style>
  <w:style w:type="character" w:customStyle="1" w:styleId="28">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6"/>
    <w:link w:val="9"/>
    <w:semiHidden/>
    <w:qFormat/>
    <w:uiPriority w:val="99"/>
    <w:rPr>
      <w:rFonts w:ascii="Times New Roman" w:hAnsi="Times New Roman"/>
      <w:kern w:val="2"/>
      <w:sz w:val="18"/>
      <w:szCs w:val="18"/>
    </w:rPr>
  </w:style>
  <w:style w:type="character" w:customStyle="1" w:styleId="31">
    <w:name w:val="标题 3 字符"/>
    <w:basedOn w:val="16"/>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WPSOffice手动目录 1"/>
    <w:qFormat/>
    <w:uiPriority w:val="0"/>
    <w:pPr>
      <w:ind w:leftChars="0"/>
    </w:pPr>
    <w:rPr>
      <w:rFonts w:ascii="Times New Roman" w:hAnsi="Times New Roman" w:eastAsia="宋体" w:cs="Times New Roman"/>
      <w:sz w:val="20"/>
      <w:szCs w:val="20"/>
    </w:rPr>
  </w:style>
  <w:style w:type="paragraph" w:customStyle="1" w:styleId="34">
    <w:name w:val="WPSOffice手动目录 2"/>
    <w:qFormat/>
    <w:uiPriority w:val="0"/>
    <w:pPr>
      <w:ind w:leftChars="200"/>
    </w:pPr>
    <w:rPr>
      <w:rFonts w:ascii="Times New Roman" w:hAnsi="Times New Roman" w:eastAsia="宋体" w:cs="Times New Roman"/>
      <w:sz w:val="20"/>
      <w:szCs w:val="20"/>
    </w:rPr>
  </w:style>
  <w:style w:type="paragraph" w:customStyle="1" w:styleId="35">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6.xml"/><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4.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6.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收、支决算总计变动情况图</a:t>
            </a:r>
            <a:r>
              <a:rPr sz="1000"/>
              <a:t>（单位：万元）</a:t>
            </a:r>
            <a:endParaRPr sz="1000"/>
          </a:p>
        </c:rich>
      </c:tx>
      <c:layout/>
      <c:overlay val="0"/>
      <c:spPr>
        <a:noFill/>
        <a:ln>
          <a:noFill/>
        </a:ln>
        <a:effectLst/>
      </c:spPr>
    </c:title>
    <c:autoTitleDeleted val="0"/>
    <c:plotArea>
      <c:layout>
        <c:manualLayout>
          <c:layoutTarget val="inner"/>
          <c:xMode val="edge"/>
          <c:yMode val="edge"/>
          <c:x val="0.0632519932350809"/>
          <c:y val="0.161920951976201"/>
          <c:w val="0.908359507127325"/>
          <c:h val="0.63905652358691"/>
        </c:manualLayout>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Sheet1!$B$2:$B$3</c:f>
              <c:numCache>
                <c:formatCode>General</c:formatCode>
                <c:ptCount val="2"/>
                <c:pt idx="0">
                  <c:v>0</c:v>
                </c:pt>
                <c:pt idx="1">
                  <c:v>0</c:v>
                </c:pt>
              </c:numCache>
            </c:numRef>
          </c:val>
        </c:ser>
        <c:ser>
          <c:idx val="1"/>
          <c:order val="1"/>
          <c:tx>
            <c:strRef>
              <c:f>Sheet1!$C$1</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99.34</c:v>
                </c:pt>
                <c:pt idx="1">
                  <c:v>99.34</c:v>
                </c:pt>
              </c:numCache>
            </c:numRef>
          </c:val>
        </c:ser>
        <c:dLbls>
          <c:showLegendKey val="0"/>
          <c:showVal val="1"/>
          <c:showCatName val="0"/>
          <c:showSerName val="0"/>
          <c:showPercent val="0"/>
          <c:showBubbleSize val="0"/>
        </c:dLbls>
        <c:gapWidth val="246"/>
        <c:overlap val="-28"/>
        <c:axId val="933841442"/>
        <c:axId val="687423689"/>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收入</c:v>
                      </c:pt>
                      <c:pt idx="1">
                        <c:v>支出</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93384144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87423689"/>
        <c:crosses val="autoZero"/>
        <c:auto val="1"/>
        <c:lblAlgn val="ctr"/>
        <c:lblOffset val="100"/>
        <c:noMultiLvlLbl val="0"/>
      </c:catAx>
      <c:valAx>
        <c:axId val="687423689"/>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3384144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收入决算结构图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Pt>
            <c:idx val="7"/>
            <c:bubble3D val="0"/>
            <c:spPr>
              <a:solidFill>
                <a:schemeClr val="accent2">
                  <a:lumMod val="60000"/>
                </a:schemeClr>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Sheet1!$A$2:$A$9</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Sheet1!$B$2:$B$9</c:f>
              <c:numCache>
                <c:formatCode>0%</c:formatCode>
                <c:ptCount val="8"/>
                <c:pt idx="0">
                  <c:v>1</c:v>
                </c:pt>
                <c:pt idx="1" c:formatCode="General">
                  <c:v>0</c:v>
                </c:pt>
                <c:pt idx="2" c:formatCode="General">
                  <c:v>0</c:v>
                </c:pt>
                <c:pt idx="3" c:formatCode="General">
                  <c:v>0</c:v>
                </c:pt>
                <c:pt idx="4" c:formatCode="General">
                  <c:v>0</c:v>
                </c:pt>
                <c:pt idx="5" c:formatCode="General">
                  <c:v>0</c:v>
                </c:pt>
                <c:pt idx="6" c:formatCode="General">
                  <c:v>0</c:v>
                </c:pt>
                <c:pt idx="7" c:formatCode="General">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支出决算结构图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基本支出</c:v>
                </c:pt>
                <c:pt idx="1">
                  <c:v>项目支出</c:v>
                </c:pt>
                <c:pt idx="2">
                  <c:v>上缴上级支出</c:v>
                </c:pt>
                <c:pt idx="3">
                  <c:v>经营支出</c:v>
                </c:pt>
              </c:strCache>
            </c:strRef>
          </c:cat>
          <c:val>
            <c:numRef>
              <c:f>Sheet1!$B$2:$B$5</c:f>
              <c:numCache>
                <c:formatCode>0%</c:formatCode>
                <c:ptCount val="4"/>
                <c:pt idx="0">
                  <c:v>1</c:v>
                </c:pt>
                <c:pt idx="1" c:formatCode="General">
                  <c:v>0</c:v>
                </c:pt>
                <c:pt idx="2" c:formatCode="General">
                  <c:v>0</c:v>
                </c:pt>
                <c:pt idx="3" c:formatCode="General">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财政拨款收、支决算总计变动情况图</a:t>
            </a:r>
            <a:r>
              <a:rPr sz="1000"/>
              <a:t>（单位：万元）</a:t>
            </a:r>
            <a:endParaRPr sz="100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Sheet1!$B$2:$B$3</c:f>
              <c:numCache>
                <c:formatCode>General</c:formatCode>
                <c:ptCount val="2"/>
                <c:pt idx="0">
                  <c:v>0</c:v>
                </c:pt>
                <c:pt idx="1">
                  <c:v>0</c:v>
                </c:pt>
              </c:numCache>
            </c:numRef>
          </c:val>
        </c:ser>
        <c:ser>
          <c:idx val="1"/>
          <c:order val="1"/>
          <c:tx>
            <c:strRef>
              <c:f>Sheet1!$C$1</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Sheet1!$C$2:$C$3</c:f>
              <c:numCache>
                <c:formatCode>General</c:formatCode>
                <c:ptCount val="2"/>
                <c:pt idx="0">
                  <c:v>99.34</c:v>
                </c:pt>
                <c:pt idx="1">
                  <c:v>99.34</c:v>
                </c:pt>
              </c:numCache>
            </c:numRef>
          </c:val>
        </c:ser>
        <c:dLbls>
          <c:showLegendKey val="0"/>
          <c:showVal val="1"/>
          <c:showCatName val="0"/>
          <c:showSerName val="0"/>
          <c:showPercent val="0"/>
          <c:showBubbleSize val="0"/>
        </c:dLbls>
        <c:gapWidth val="246"/>
        <c:overlap val="-28"/>
        <c:axId val="433870115"/>
        <c:axId val="438253279"/>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财政拨款收入</c:v>
                      </c:pt>
                      <c:pt idx="1">
                        <c:v>财政拨款支出</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43387011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38253279"/>
        <c:crosses val="autoZero"/>
        <c:auto val="1"/>
        <c:lblAlgn val="ctr"/>
        <c:lblOffset val="100"/>
        <c:noMultiLvlLbl val="0"/>
      </c:catAx>
      <c:valAx>
        <c:axId val="438253279"/>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33870115"/>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一般公共预算财政拨款支出</a:t>
            </a:r>
            <a:r>
              <a:rPr sz="1000"/>
              <a:t>（单位：万元）</a:t>
            </a:r>
            <a:endParaRPr sz="100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一般公共预算财政拨款支出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99.34</c:v>
                </c:pt>
              </c:numCache>
            </c:numRef>
          </c:val>
        </c:ser>
        <c:dLbls>
          <c:showLegendKey val="0"/>
          <c:showVal val="1"/>
          <c:showCatName val="0"/>
          <c:showSerName val="0"/>
          <c:showPercent val="0"/>
          <c:showBubbleSize val="0"/>
        </c:dLbls>
        <c:gapWidth val="246"/>
        <c:overlap val="-28"/>
        <c:axId val="472898501"/>
        <c:axId val="466777153"/>
      </c:barChart>
      <c:catAx>
        <c:axId val="47289850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6777153"/>
        <c:crosses val="autoZero"/>
        <c:auto val="1"/>
        <c:lblAlgn val="ctr"/>
        <c:lblOffset val="100"/>
        <c:noMultiLvlLbl val="0"/>
      </c:catAx>
      <c:valAx>
        <c:axId val="466777153"/>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2898501"/>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一般公共服务支出</c:v>
                </c:pt>
                <c:pt idx="1">
                  <c:v>社会保障和就业支出</c:v>
                </c:pt>
                <c:pt idx="2">
                  <c:v>卫生健康支出</c:v>
                </c:pt>
                <c:pt idx="3">
                  <c:v>住房保障支出</c:v>
                </c:pt>
              </c:strCache>
            </c:strRef>
          </c:cat>
          <c:val>
            <c:numRef>
              <c:f>Sheet1!$B$2:$B$5</c:f>
              <c:numCache>
                <c:formatCode>0.00%</c:formatCode>
                <c:ptCount val="4"/>
                <c:pt idx="0">
                  <c:v>0.7586</c:v>
                </c:pt>
                <c:pt idx="1">
                  <c:v>0.1443</c:v>
                </c:pt>
                <c:pt idx="2">
                  <c:v>0.0248</c:v>
                </c:pt>
                <c:pt idx="3">
                  <c:v>0.0723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31</Pages>
  <Words>5307</Words>
  <Characters>5685</Characters>
  <Lines>54</Lines>
  <Paragraphs>15</Paragraphs>
  <TotalTime>4</TotalTime>
  <ScaleCrop>false</ScaleCrop>
  <LinksUpToDate>false</LinksUpToDate>
  <CharactersWithSpaces>5706</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admin</cp:lastModifiedBy>
  <cp:lastPrinted>2023-08-03T02:35:00Z</cp:lastPrinted>
  <dcterms:modified xsi:type="dcterms:W3CDTF">2025-02-19T07:06:25Z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9C3A47BFE35647D9992463BD46068FB1_12</vt:lpwstr>
  </property>
</Properties>
</file>