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7"/>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664"/>
      <w:bookmarkStart w:id="2" w:name="_Toc15378441"/>
      <w:bookmarkStart w:id="3" w:name="_Toc15377425"/>
      <w:bookmarkStart w:id="4" w:name="_Toc15396597"/>
      <w:bookmarkStart w:id="5" w:name="_Toc15396475"/>
      <w:bookmarkStart w:id="6" w:name="_Toc15377193"/>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bookmarkEnd w:id="6"/>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5377426"/>
      <w:bookmarkStart w:id="8" w:name="_Toc15396598"/>
      <w:bookmarkStart w:id="9" w:name="_Toc31554"/>
      <w:bookmarkStart w:id="10" w:name="_Toc15378442"/>
      <w:bookmarkStart w:id="11" w:name="_Toc15377194"/>
      <w:bookmarkStart w:id="12" w:name="_Toc15396476"/>
      <w:r>
        <w:rPr>
          <w:rFonts w:hint="eastAsia" w:ascii="方正小标宋简体" w:hAnsi="方正小标宋简体" w:eastAsia="方正小标宋简体" w:cs="方正小标宋简体"/>
          <w:sz w:val="72"/>
          <w:szCs w:val="72"/>
        </w:rPr>
        <w:t>四川省</w:t>
      </w:r>
      <w:bookmarkEnd w:id="0"/>
      <w:bookmarkStart w:id="13" w:name="_Toc15306268"/>
      <w:r>
        <w:rPr>
          <w:rFonts w:hint="eastAsia" w:ascii="方正小标宋简体" w:hAnsi="方正小标宋简体" w:eastAsia="方正小标宋简体" w:cs="方正小标宋简体"/>
          <w:sz w:val="72"/>
          <w:szCs w:val="72"/>
        </w:rPr>
        <w:t>五通桥区旅游促进和服务中心单位决算</w:t>
      </w:r>
      <w:bookmarkEnd w:id="7"/>
      <w:bookmarkEnd w:id="8"/>
      <w:bookmarkEnd w:id="9"/>
      <w:bookmarkEnd w:id="10"/>
      <w:bookmarkEnd w:id="11"/>
      <w:bookmarkEnd w:id="12"/>
      <w:bookmarkEnd w:id="13"/>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4"/>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sdt>
      <w:sdtPr>
        <w:rPr>
          <w:rFonts w:ascii="宋体" w:hAnsi="宋体" w:eastAsia="宋体" w:cs="Times New Roman"/>
          <w:kern w:val="2"/>
          <w:sz w:val="21"/>
          <w:szCs w:val="24"/>
          <w:lang w:val="en-US" w:eastAsia="zh-CN" w:bidi="ar-SA"/>
        </w:rPr>
        <w:id w:val="147474028"/>
        <w15:color w:val="DBDBDB"/>
        <w:docPartObj>
          <w:docPartGallery w:val="Table of Contents"/>
          <w:docPartUnique/>
        </w:docPartObj>
      </w:sdtPr>
      <w:sdtEndPr>
        <w:rPr>
          <w:rFonts w:hint="eastAsia" w:asciiTheme="minorEastAsia" w:hAnsiTheme="minorEastAsia" w:eastAsiaTheme="minorEastAsia" w:cstheme="minorEastAsia"/>
          <w:b/>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Theme="minorEastAsia" w:hAnsiTheme="minorEastAsia" w:eastAsiaTheme="minorEastAsia" w:cstheme="minorEastAsia"/>
              <w:b/>
              <w:sz w:val="24"/>
              <w:szCs w:val="24"/>
            </w:rPr>
          </w:pPr>
          <w:bookmarkStart w:id="14" w:name="_Toc15377196"/>
          <w:bookmarkStart w:id="15" w:name="_Toc15396599"/>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"1-2" \h \u </w:instrText>
          </w:r>
          <w:r>
            <w:rPr>
              <w:rFonts w:hint="eastAsia" w:asciiTheme="minorEastAsia" w:hAnsiTheme="minorEastAsia" w:eastAsiaTheme="minorEastAsia" w:cstheme="minorEastAsia"/>
              <w:sz w:val="24"/>
              <w:szCs w:val="24"/>
            </w:rPr>
            <w:fldChar w:fldCharType="separate"/>
          </w:r>
        </w:p>
        <w:p>
          <w:pPr>
            <w:pStyle w:val="38"/>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_Toc32098 </w:instrText>
          </w:r>
          <w:r>
            <w:rPr>
              <w:rFonts w:hint="eastAsia" w:asciiTheme="minorEastAsia" w:hAnsiTheme="minorEastAsia" w:eastAsiaTheme="minorEastAsia" w:cstheme="minorEastAsia"/>
              <w:b w:val="0"/>
              <w:bCs/>
              <w:sz w:val="24"/>
              <w:szCs w:val="24"/>
            </w:rPr>
            <w:fldChar w:fldCharType="separate"/>
          </w:r>
          <w:r>
            <w:rPr>
              <w:rFonts w:hint="eastAsia" w:ascii="仿宋" w:hAnsi="仿宋" w:eastAsia="仿宋" w:cs="仿宋"/>
              <w:b w:val="0"/>
              <w:bCs/>
              <w:sz w:val="24"/>
              <w:szCs w:val="24"/>
            </w:rPr>
            <w:t>第一部分 单位概况</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_Toc32098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_Toc14292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一、主要职责</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_Toc14292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_Toc30331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二、机构设置</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_Toc30331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8"/>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_Toc8002 </w:instrText>
          </w:r>
          <w:r>
            <w:rPr>
              <w:rFonts w:hint="eastAsia" w:asciiTheme="minorEastAsia" w:hAnsiTheme="minorEastAsia" w:eastAsiaTheme="minorEastAsia" w:cstheme="minorEastAsia"/>
              <w:b w:val="0"/>
              <w:bCs/>
              <w:sz w:val="24"/>
              <w:szCs w:val="24"/>
            </w:rPr>
            <w:fldChar w:fldCharType="separate"/>
          </w:r>
          <w:r>
            <w:rPr>
              <w:rFonts w:hint="eastAsia" w:ascii="仿宋" w:hAnsi="仿宋" w:eastAsia="仿宋" w:cs="仿宋"/>
              <w:b w:val="0"/>
              <w:bCs/>
              <w:sz w:val="24"/>
              <w:szCs w:val="24"/>
            </w:rPr>
            <w:t>第二部分 2023年度单位决算情况说明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_Toc8002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_Toc10921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_Toc10921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_Toc7026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二、收入决算情况说明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_Toc7026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_Toc25485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三、支出决算情况说明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_Toc25485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_Toc395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四、财政拨款收入支出决算总体情况说明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_Toc395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_Toc27809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五、一般公共预算财政拨款支出决算情况说明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_Toc27809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_Toc29367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六、一般公共预算财政拨款基本支出决算情况说明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_Toc29367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_Toc32420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七、财政拨款“三公”经费支出决算情况说明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_Toc32420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_Toc2920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八、政府性基金预算支出决算情况说明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_Toc2920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11</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_Toc12724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九、国有资本经营预算支出决算情况说明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_Toc12724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11</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_Toc16488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eastAsia="zh-CN"/>
            </w:rPr>
            <w:t>十、</w:t>
          </w:r>
          <w:r>
            <w:rPr>
              <w:rFonts w:hint="eastAsia" w:asciiTheme="minorEastAsia" w:hAnsiTheme="minorEastAsia" w:eastAsiaTheme="minorEastAsia" w:cstheme="minorEastAsia"/>
              <w:b w:val="0"/>
              <w:bCs/>
              <w:sz w:val="24"/>
              <w:szCs w:val="24"/>
            </w:rPr>
            <w:t>其他重要事项的情况说明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_Toc16488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11</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8"/>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_Toc12472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第三部分 名词解释</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_Toc12472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13</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8"/>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_Toc26355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第四部分 附件</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_Toc26355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16</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8"/>
            <w:tabs>
              <w:tab w:val="right" w:leader="dot" w:pos="8306"/>
            </w:tabs>
            <w:rPr>
              <w:rFonts w:hint="eastAsia" w:asciiTheme="minorEastAsia" w:hAnsiTheme="minorEastAsia" w:eastAsiaTheme="minorEastAsia" w:cstheme="minorEastAsia"/>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_Toc598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第五部分 附表</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_Toc598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17</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_Toc1714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_Toc1714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_Toc15348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二、收入决算表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_Toc15348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_Toc22238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三、支出决算表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_Toc22238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_Toc4346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四、财政拨款收入支出决算总表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_Toc4346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_Toc20808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_Toc20808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_Toc22250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_Toc22250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_Toc31508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七、一般公共预算财政拨款支出决算明细表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_Toc31508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_Toc5460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八、一般公共预算财政拨款基本支出决算表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_Toc5460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_Toc140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九、一般公共预算财政拨款项目支出决算表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_Toc140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_Toc26223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十、政府性基金预算财政拨款收入支出决算表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_Toc26223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_Toc32208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十一、国有资本经营预算财政拨款收入支出决算表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_Toc32208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_Toc23931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十二、国有资本经营预算财政拨款支出决算表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_Toc23931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9"/>
            <w:tabs>
              <w:tab w:val="right" w:leader="dot" w:pos="8306"/>
            </w:tabs>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_Toc2627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十三、财政拨款“三公”经费支出决算表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_Toc2627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17</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fldChar w:fldCharType="end"/>
          </w:r>
        </w:p>
      </w:sdtContent>
    </w:sdt>
    <w:p>
      <w:pPr>
        <w:widowControl/>
        <w:spacing w:line="440" w:lineRule="exact"/>
        <w:jc w:val="left"/>
        <w:rPr>
          <w:rFonts w:ascii="仿宋" w:hAnsi="仿宋" w:eastAsia="仿宋"/>
          <w:bCs/>
          <w:kern w:val="44"/>
          <w:sz w:val="24"/>
        </w:rPr>
      </w:pPr>
      <w:r>
        <w:rPr>
          <w:rFonts w:ascii="仿宋" w:hAnsi="仿宋" w:eastAsia="仿宋"/>
          <w:b/>
          <w:sz w:val="24"/>
        </w:rPr>
        <w:br w:type="page"/>
      </w:r>
    </w:p>
    <w:p>
      <w:pPr>
        <w:pStyle w:val="3"/>
        <w:jc w:val="center"/>
        <w:rPr>
          <w:rStyle w:val="30"/>
          <w:rFonts w:ascii="黑体" w:hAnsi="黑体" w:eastAsia="黑体"/>
          <w:b/>
          <w:bCs w:val="0"/>
        </w:rPr>
      </w:pPr>
      <w:bookmarkStart w:id="16" w:name="_Toc32098"/>
      <w:r>
        <w:rPr>
          <w:rFonts w:hint="eastAsia" w:ascii="黑体" w:hAnsi="黑体" w:eastAsia="黑体"/>
          <w:b w:val="0"/>
        </w:rPr>
        <w:t>第一部分 单位</w:t>
      </w:r>
      <w:r>
        <w:rPr>
          <w:rStyle w:val="30"/>
          <w:rFonts w:hint="eastAsia" w:ascii="黑体" w:hAnsi="黑体" w:eastAsia="黑体"/>
          <w:b w:val="0"/>
          <w:bCs w:val="0"/>
        </w:rPr>
        <w:t>概况</w:t>
      </w:r>
      <w:bookmarkEnd w:id="14"/>
      <w:bookmarkEnd w:id="15"/>
      <w:bookmarkEnd w:id="16"/>
    </w:p>
    <w:p>
      <w:pPr>
        <w:widowControl/>
        <w:jc w:val="left"/>
        <w:rPr>
          <w:rFonts w:ascii="黑体" w:eastAsia="黑体"/>
          <w:sz w:val="32"/>
          <w:szCs w:val="32"/>
        </w:rPr>
      </w:pPr>
    </w:p>
    <w:p>
      <w:pPr>
        <w:pStyle w:val="4"/>
        <w:numPr>
          <w:ilvl w:val="0"/>
          <w:numId w:val="1"/>
        </w:numPr>
        <w:rPr>
          <w:rStyle w:val="31"/>
          <w:rFonts w:ascii="黑体" w:hAnsi="黑体" w:eastAsia="黑体"/>
          <w:b w:val="0"/>
          <w:bCs w:val="0"/>
        </w:rPr>
      </w:pPr>
      <w:bookmarkStart w:id="17" w:name="_Toc14292"/>
      <w:bookmarkStart w:id="18" w:name="_Toc15396600"/>
      <w:bookmarkStart w:id="19" w:name="_Toc15377197"/>
      <w:r>
        <w:rPr>
          <w:rStyle w:val="31"/>
          <w:rFonts w:hint="eastAsia" w:ascii="黑体" w:hAnsi="黑体" w:eastAsia="黑体"/>
          <w:b w:val="0"/>
          <w:bCs w:val="0"/>
        </w:rPr>
        <w:t>主要职责</w:t>
      </w:r>
      <w:bookmarkEnd w:id="17"/>
    </w:p>
    <w:p>
      <w:pPr>
        <w:pStyle w:val="7"/>
        <w:adjustRightInd w:val="0"/>
        <w:snapToGrid w:val="0"/>
        <w:spacing w:before="72" w:line="560" w:lineRule="exact"/>
        <w:ind w:firstLine="672" w:firstLineChars="210"/>
        <w:outlineLvl w:val="2"/>
      </w:pP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贯彻执行党和国家、省、市有关旅游业的方针、政策及法律、法规；贯彻落实国家、省、市旅游行业设施标准和服务标准。</w:t>
      </w:r>
      <w:r>
        <w:rPr>
          <w:rFonts w:hint="eastAsia" w:ascii="仿宋" w:hAnsi="仿宋" w:eastAsia="仿宋" w:cs="仿宋"/>
          <w:bCs/>
          <w:color w:val="000000"/>
          <w:sz w:val="32"/>
          <w:szCs w:val="32"/>
        </w:rPr>
        <w:br w:type="textWrapping"/>
      </w:r>
      <w:r>
        <w:rPr>
          <w:rFonts w:hint="eastAsia" w:ascii="仿宋" w:hAnsi="仿宋" w:eastAsia="仿宋" w:cs="仿宋"/>
          <w:bCs/>
          <w:color w:val="000000"/>
          <w:sz w:val="32"/>
          <w:szCs w:val="32"/>
          <w:lang w:val="en-US" w:eastAsia="zh-CN"/>
        </w:rPr>
        <w:t xml:space="preserve">   2.</w:t>
      </w:r>
      <w:r>
        <w:rPr>
          <w:rFonts w:hint="eastAsia" w:ascii="仿宋" w:hAnsi="仿宋" w:eastAsia="仿宋" w:cs="仿宋"/>
          <w:bCs/>
          <w:color w:val="000000"/>
          <w:sz w:val="32"/>
          <w:szCs w:val="32"/>
        </w:rPr>
        <w:t>参与拟定本区旅游市场开发计划，参与实施、审查上报列入国家、省、市计划的旅游基础项目，检查资金和物资的使用状况。</w:t>
      </w:r>
      <w:r>
        <w:rPr>
          <w:rFonts w:hint="eastAsia" w:ascii="仿宋" w:hAnsi="仿宋" w:eastAsia="仿宋" w:cs="仿宋"/>
          <w:bCs/>
          <w:color w:val="000000"/>
          <w:sz w:val="32"/>
          <w:szCs w:val="32"/>
        </w:rPr>
        <w:br w:type="textWrapping"/>
      </w:r>
      <w:r>
        <w:rPr>
          <w:rFonts w:hint="eastAsia" w:ascii="仿宋" w:hAnsi="仿宋" w:eastAsia="仿宋" w:cs="仿宋"/>
          <w:bCs/>
          <w:color w:val="000000"/>
          <w:sz w:val="32"/>
          <w:szCs w:val="32"/>
        </w:rPr>
        <w:t xml:space="preserve">   </w:t>
      </w:r>
      <w:r>
        <w:rPr>
          <w:rFonts w:hint="eastAsia" w:ascii="仿宋" w:hAnsi="仿宋" w:eastAsia="仿宋" w:cs="仿宋"/>
          <w:bCs/>
          <w:color w:val="000000"/>
          <w:sz w:val="32"/>
          <w:szCs w:val="32"/>
          <w:lang w:val="en-US" w:eastAsia="zh-CN"/>
        </w:rPr>
        <w:t>3.</w:t>
      </w:r>
      <w:r>
        <w:rPr>
          <w:rFonts w:hint="eastAsia" w:ascii="仿宋" w:hAnsi="仿宋" w:eastAsia="仿宋" w:cs="仿宋"/>
          <w:bCs/>
          <w:color w:val="000000"/>
          <w:sz w:val="32"/>
          <w:szCs w:val="32"/>
        </w:rPr>
        <w:t>参与全区旅游的宣传营销与招商引资活动，开拓旅游客源市场。</w:t>
      </w:r>
      <w:r>
        <w:rPr>
          <w:rFonts w:hint="eastAsia" w:ascii="仿宋" w:hAnsi="仿宋" w:eastAsia="仿宋" w:cs="仿宋"/>
          <w:bCs/>
          <w:color w:val="000000"/>
          <w:sz w:val="32"/>
          <w:szCs w:val="32"/>
        </w:rPr>
        <w:br w:type="textWrapping"/>
      </w:r>
      <w:r>
        <w:rPr>
          <w:rFonts w:hint="eastAsia" w:ascii="仿宋" w:hAnsi="仿宋" w:eastAsia="仿宋" w:cs="仿宋"/>
          <w:bCs/>
          <w:color w:val="000000"/>
          <w:sz w:val="32"/>
          <w:szCs w:val="32"/>
        </w:rPr>
        <w:t xml:space="preserve">   </w:t>
      </w:r>
      <w:r>
        <w:rPr>
          <w:rFonts w:hint="eastAsia" w:ascii="仿宋" w:hAnsi="仿宋" w:eastAsia="仿宋" w:cs="仿宋"/>
          <w:bCs/>
          <w:color w:val="000000"/>
          <w:sz w:val="32"/>
          <w:szCs w:val="32"/>
          <w:lang w:val="en-US" w:eastAsia="zh-CN"/>
        </w:rPr>
        <w:t>4.</w:t>
      </w:r>
      <w:r>
        <w:rPr>
          <w:rFonts w:hint="eastAsia" w:ascii="仿宋" w:hAnsi="仿宋" w:eastAsia="仿宋" w:cs="仿宋"/>
          <w:bCs/>
          <w:color w:val="000000"/>
          <w:sz w:val="32"/>
          <w:szCs w:val="32"/>
        </w:rPr>
        <w:t>参与对全区旅游市场的安全检查与服务质量检查，受理旅游投诉，维护旅游消费者和经营者合法权益。</w:t>
      </w:r>
      <w:r>
        <w:rPr>
          <w:rFonts w:hint="eastAsia" w:ascii="仿宋" w:hAnsi="仿宋" w:eastAsia="仿宋" w:cs="仿宋"/>
          <w:bCs/>
          <w:color w:val="000000"/>
          <w:sz w:val="32"/>
          <w:szCs w:val="32"/>
        </w:rPr>
        <w:br w:type="textWrapping"/>
      </w:r>
      <w:r>
        <w:rPr>
          <w:rFonts w:hint="eastAsia" w:ascii="仿宋" w:hAnsi="仿宋" w:eastAsia="仿宋" w:cs="仿宋"/>
          <w:bCs/>
          <w:color w:val="000000"/>
          <w:sz w:val="32"/>
          <w:szCs w:val="32"/>
        </w:rPr>
        <w:t xml:space="preserve">    </w:t>
      </w:r>
      <w:r>
        <w:rPr>
          <w:rFonts w:hint="eastAsia" w:ascii="仿宋" w:hAnsi="仿宋" w:eastAsia="仿宋" w:cs="仿宋"/>
          <w:bCs/>
          <w:color w:val="000000"/>
          <w:sz w:val="32"/>
          <w:szCs w:val="32"/>
          <w:lang w:val="en-US" w:eastAsia="zh-CN"/>
        </w:rPr>
        <w:t>5.</w:t>
      </w:r>
      <w:r>
        <w:rPr>
          <w:rFonts w:hint="eastAsia" w:ascii="仿宋" w:hAnsi="仿宋" w:eastAsia="仿宋" w:cs="仿宋"/>
          <w:bCs/>
          <w:color w:val="000000"/>
          <w:sz w:val="32"/>
          <w:szCs w:val="32"/>
        </w:rPr>
        <w:t>承办区委、区政府交办的其他事项。</w:t>
      </w:r>
    </w:p>
    <w:p>
      <w:pPr>
        <w:pStyle w:val="4"/>
        <w:numPr>
          <w:ilvl w:val="0"/>
          <w:numId w:val="1"/>
        </w:numPr>
        <w:ind w:left="0" w:leftChars="0" w:firstLine="0" w:firstLineChars="0"/>
        <w:rPr>
          <w:rFonts w:hint="eastAsia" w:ascii="黑体" w:hAnsi="黑体" w:eastAsia="黑体"/>
          <w:b w:val="0"/>
        </w:rPr>
      </w:pPr>
      <w:bookmarkStart w:id="20" w:name="_Toc30331"/>
      <w:r>
        <w:rPr>
          <w:rFonts w:hint="eastAsia" w:ascii="黑体" w:hAnsi="黑体" w:eastAsia="黑体"/>
          <w:b w:val="0"/>
        </w:rPr>
        <w:t>机构设置</w:t>
      </w:r>
      <w:bookmarkEnd w:id="20"/>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本单位为四川省乐山市五通桥区旅游促进和服务中心所属</w:t>
      </w:r>
      <w:r>
        <w:rPr>
          <w:rFonts w:hint="eastAsia" w:ascii="仿宋" w:hAnsi="仿宋" w:eastAsia="仿宋" w:cs="仿宋"/>
          <w:sz w:val="32"/>
          <w:szCs w:val="32"/>
          <w:lang w:eastAsia="zh-CN"/>
        </w:rPr>
        <w:t>二</w:t>
      </w:r>
      <w:r>
        <w:rPr>
          <w:rFonts w:hint="eastAsia" w:ascii="仿宋" w:hAnsi="仿宋" w:eastAsia="仿宋" w:cs="仿宋"/>
          <w:sz w:val="32"/>
          <w:szCs w:val="32"/>
        </w:rPr>
        <w:t>级预算单位，单位性质为参照公务员法管理事业单位，决算编报类型为单户表，按照政府会计制度填报决算数据。</w:t>
      </w:r>
    </w:p>
    <w:p>
      <w:pPr>
        <w:pStyle w:val="2"/>
        <w:ind w:firstLine="640" w:firstLineChars="200"/>
        <w:jc w:val="left"/>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纳入本套决算编制范围的独立核算单位共1个，比上年增减0个。</w:t>
      </w:r>
    </w:p>
    <w:p>
      <w:pPr>
        <w:numPr>
          <w:ilvl w:val="0"/>
          <w:numId w:val="0"/>
        </w:numPr>
        <w:snapToGrid w:val="0"/>
        <w:spacing w:line="520" w:lineRule="exact"/>
        <w:ind w:firstLine="640" w:firstLineChars="200"/>
        <w:rPr>
          <w:rFonts w:hint="default" w:ascii="仿宋_GB2312" w:hAnsi="仿宋" w:eastAsia="仿宋_GB2312"/>
          <w:sz w:val="32"/>
          <w:szCs w:val="32"/>
          <w:lang w:val="en-US" w:eastAsia="zh-CN"/>
        </w:rPr>
      </w:pPr>
      <w:r>
        <w:rPr>
          <w:rFonts w:hint="eastAsia" w:ascii="仿宋" w:hAnsi="仿宋" w:eastAsia="仿宋" w:cs="仿宋"/>
          <w:sz w:val="32"/>
          <w:szCs w:val="32"/>
        </w:rPr>
        <w:t>人员情况</w:t>
      </w:r>
      <w:r>
        <w:rPr>
          <w:rFonts w:hint="eastAsia" w:ascii="仿宋" w:hAnsi="仿宋" w:eastAsia="仿宋" w:cs="仿宋"/>
          <w:sz w:val="32"/>
          <w:szCs w:val="32"/>
          <w:lang w:val="en-US" w:eastAsia="zh-CN"/>
        </w:rPr>
        <w:t>：</w:t>
      </w:r>
      <w:r>
        <w:rPr>
          <w:rFonts w:hint="eastAsia" w:ascii="仿宋" w:hAnsi="仿宋" w:eastAsia="仿宋" w:cs="仿宋"/>
          <w:sz w:val="32"/>
          <w:szCs w:val="32"/>
        </w:rPr>
        <w:t>我中心编制共6人，实有7人，单位负责人正职1人，副职2人，工作人员3人,单列1人。本年度因工作需要，调入1名正职，调出1名正职，调入1名副职，1名副职调往区政协工作。</w:t>
      </w:r>
    </w:p>
    <w:p>
      <w:pPr>
        <w:numPr>
          <w:ilvl w:val="0"/>
          <w:numId w:val="0"/>
        </w:numPr>
        <w:ind w:leftChars="0"/>
      </w:pPr>
    </w:p>
    <w:bookmarkEnd w:id="18"/>
    <w:bookmarkEnd w:id="19"/>
    <w:p>
      <w:pPr>
        <w:widowControl/>
        <w:jc w:val="center"/>
        <w:outlineLvl w:val="0"/>
        <w:rPr>
          <w:rStyle w:val="30"/>
          <w:rFonts w:ascii="黑体" w:hAnsi="黑体" w:eastAsia="黑体"/>
          <w:b w:val="0"/>
          <w:bCs/>
        </w:rPr>
      </w:pPr>
      <w:bookmarkStart w:id="21" w:name="_Toc15396602"/>
      <w:bookmarkStart w:id="22" w:name="_Toc15377204"/>
      <w:bookmarkStart w:id="23" w:name="_Toc8002"/>
      <w:r>
        <w:rPr>
          <w:rStyle w:val="30"/>
          <w:rFonts w:hint="eastAsia" w:ascii="黑体" w:hAnsi="黑体" w:eastAsia="黑体" w:cstheme="minorBidi"/>
          <w:b w:val="0"/>
          <w:bCs/>
        </w:rPr>
        <w:t>第二部分 2023年度单</w:t>
      </w:r>
      <w:r>
        <w:rPr>
          <w:rStyle w:val="30"/>
          <w:rFonts w:hint="eastAsia" w:ascii="黑体" w:hAnsi="黑体" w:eastAsia="黑体"/>
          <w:b w:val="0"/>
          <w:bCs/>
        </w:rPr>
        <w:t>位决算情况说明</w:t>
      </w:r>
      <w:bookmarkEnd w:id="21"/>
      <w:bookmarkEnd w:id="22"/>
      <w:bookmarkEnd w:id="23"/>
    </w:p>
    <w:p/>
    <w:p>
      <w:pPr>
        <w:pStyle w:val="29"/>
        <w:numPr>
          <w:ilvl w:val="0"/>
          <w:numId w:val="2"/>
        </w:numPr>
        <w:spacing w:line="600" w:lineRule="exact"/>
        <w:ind w:firstLineChars="0"/>
        <w:outlineLvl w:val="1"/>
        <w:rPr>
          <w:rStyle w:val="31"/>
          <w:rFonts w:ascii="黑体" w:hAnsi="黑体" w:eastAsia="黑体"/>
          <w:b w:val="0"/>
        </w:rPr>
      </w:pPr>
      <w:bookmarkStart w:id="24" w:name="_Toc15377205"/>
      <w:bookmarkStart w:id="25" w:name="_Toc15396603"/>
      <w:bookmarkStart w:id="26" w:name="_Toc10921"/>
      <w:r>
        <w:rPr>
          <w:rFonts w:hint="eastAsia" w:ascii="黑体" w:hAnsi="黑体" w:eastAsia="黑体"/>
          <w:sz w:val="32"/>
          <w:szCs w:val="32"/>
        </w:rPr>
        <w:t>收</w:t>
      </w:r>
      <w:r>
        <w:rPr>
          <w:rStyle w:val="31"/>
          <w:rFonts w:hint="eastAsia" w:ascii="黑体" w:hAnsi="黑体" w:eastAsia="黑体"/>
          <w:b w:val="0"/>
        </w:rPr>
        <w:t>入支出决算总体情况说明</w:t>
      </w:r>
      <w:bookmarkEnd w:id="24"/>
      <w:bookmarkEnd w:id="25"/>
      <w:bookmarkEnd w:id="26"/>
    </w:p>
    <w:p>
      <w:pPr>
        <w:spacing w:line="600" w:lineRule="exact"/>
        <w:ind w:firstLine="640" w:firstLineChars="200"/>
        <w:jc w:val="left"/>
        <w:rPr>
          <w:rFonts w:hint="eastAsia" w:ascii="仿宋_GB2312" w:hAnsi="仿宋" w:eastAsia="仿宋_GB2312" w:cs="Times New Roman"/>
          <w:sz w:val="32"/>
          <w:szCs w:val="32"/>
        </w:rPr>
      </w:pPr>
      <w:r>
        <w:rPr>
          <w:rFonts w:hint="eastAsia" w:ascii="仿宋_GB2312" w:hAnsi="仿宋" w:eastAsia="仿宋_GB2312" w:cs="Times New Roman"/>
          <w:sz w:val="32"/>
          <w:szCs w:val="32"/>
        </w:rPr>
        <w:t>本单位2023年度全年收入124.31万元，2023年度全年支出124.31万元。全年收入与上年度126.13万元对比减少1.82万元，比上年减少1.45%。变化原因“本年项目减少”。全年支出与上年度126.13万元对比减少1.82万元，比上年减少1.45%。变化原因：本年项目减少。</w:t>
      </w:r>
    </w:p>
    <w:p>
      <w:pPr>
        <w:pStyle w:val="7"/>
        <w:rPr>
          <w:rFonts w:hint="eastAsia" w:ascii="仿宋" w:hAnsi="仿宋" w:eastAsia="仿宋"/>
          <w:sz w:val="32"/>
          <w:szCs w:val="32"/>
        </w:rPr>
      </w:pPr>
      <w:r>
        <w:rPr>
          <w:rFonts w:hint="eastAsia" w:ascii="仿宋_GB2312" w:hAnsi="仿宋" w:eastAsia="仿宋_GB2312" w:cs="Times New Roman"/>
          <w:sz w:val="32"/>
          <w:szCs w:val="32"/>
          <w:lang w:eastAsia="zh-CN"/>
        </w:rPr>
        <w:drawing>
          <wp:anchor distT="0" distB="0" distL="114300" distR="114300" simplePos="0" relativeHeight="251659264" behindDoc="0" locked="0" layoutInCell="1" allowOverlap="1">
            <wp:simplePos x="0" y="0"/>
            <wp:positionH relativeFrom="column">
              <wp:posOffset>106680</wp:posOffset>
            </wp:positionH>
            <wp:positionV relativeFrom="paragraph">
              <wp:posOffset>74930</wp:posOffset>
            </wp:positionV>
            <wp:extent cx="5126990" cy="2663825"/>
            <wp:effectExtent l="0" t="0" r="16510" b="3175"/>
            <wp:wrapTopAndBottom/>
            <wp:docPr id="5" name="图片 5" descr="图片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8"/>
                    <pic:cNvPicPr>
                      <a:picLocks noChangeAspect="1"/>
                    </pic:cNvPicPr>
                  </pic:nvPicPr>
                  <pic:blipFill>
                    <a:blip r:embed="rId6"/>
                    <a:stretch>
                      <a:fillRect/>
                    </a:stretch>
                  </pic:blipFill>
                  <pic:spPr>
                    <a:xfrm>
                      <a:off x="0" y="0"/>
                      <a:ext cx="5126990" cy="2663825"/>
                    </a:xfrm>
                    <a:prstGeom prst="rect">
                      <a:avLst/>
                    </a:prstGeom>
                  </pic:spPr>
                </pic:pic>
              </a:graphicData>
            </a:graphic>
          </wp:anchor>
        </w:drawing>
      </w: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7"/>
        <w:rPr>
          <w:rFonts w:hint="eastAsia" w:ascii="仿宋" w:hAnsi="仿宋" w:eastAsia="仿宋"/>
          <w:sz w:val="32"/>
          <w:szCs w:val="32"/>
          <w:lang w:eastAsia="zh-CN"/>
        </w:rPr>
      </w:pPr>
    </w:p>
    <w:p>
      <w:pPr>
        <w:pStyle w:val="29"/>
        <w:numPr>
          <w:ilvl w:val="0"/>
          <w:numId w:val="2"/>
        </w:numPr>
        <w:spacing w:line="600" w:lineRule="exact"/>
        <w:ind w:firstLineChars="0"/>
        <w:outlineLvl w:val="1"/>
        <w:rPr>
          <w:rStyle w:val="31"/>
          <w:rFonts w:ascii="黑体" w:hAnsi="黑体" w:eastAsia="黑体"/>
          <w:b w:val="0"/>
        </w:rPr>
      </w:pPr>
      <w:bookmarkStart w:id="27" w:name="_Toc15377206"/>
      <w:bookmarkStart w:id="28" w:name="_Toc15396604"/>
      <w:bookmarkStart w:id="29" w:name="_Toc7026"/>
      <w:r>
        <w:rPr>
          <w:rFonts w:hint="eastAsia" w:ascii="黑体" w:hAnsi="黑体" w:eastAsia="黑体"/>
          <w:sz w:val="32"/>
          <w:szCs w:val="32"/>
        </w:rPr>
        <w:t>收</w:t>
      </w:r>
      <w:r>
        <w:rPr>
          <w:rStyle w:val="31"/>
          <w:rFonts w:hint="eastAsia" w:ascii="黑体" w:hAnsi="黑体" w:eastAsia="黑体"/>
          <w:b w:val="0"/>
        </w:rPr>
        <w:t>入决算情况说明</w:t>
      </w:r>
      <w:bookmarkEnd w:id="27"/>
      <w:bookmarkEnd w:id="28"/>
      <w:bookmarkEnd w:id="29"/>
    </w:p>
    <w:p>
      <w:pPr>
        <w:snapToGrid w:val="0"/>
        <w:spacing w:line="520" w:lineRule="exact"/>
        <w:ind w:firstLine="640" w:firstLineChars="200"/>
        <w:rPr>
          <w:rFonts w:hint="eastAsia" w:ascii="宋体" w:hAnsi="宋体"/>
          <w:sz w:val="30"/>
          <w:szCs w:val="30"/>
          <w:highlight w:val="none"/>
        </w:rPr>
      </w:pPr>
      <w:bookmarkStart w:id="30" w:name="_Toc15396605"/>
      <w:bookmarkStart w:id="31" w:name="_Toc15377207"/>
      <w:r>
        <w:rPr>
          <w:rFonts w:hint="eastAsia" w:ascii="仿宋_GB2312" w:hAnsi="仿宋" w:eastAsia="仿宋_GB2312"/>
          <w:sz w:val="32"/>
          <w:szCs w:val="32"/>
          <w:lang w:val="en-US" w:eastAsia="zh-CN"/>
        </w:rPr>
        <w:t>2023年度</w:t>
      </w:r>
      <w:r>
        <w:rPr>
          <w:rFonts w:hint="eastAsia" w:ascii="仿宋_GB2312" w:hAnsi="仿宋" w:eastAsia="仿宋_GB2312"/>
          <w:sz w:val="32"/>
          <w:szCs w:val="32"/>
        </w:rPr>
        <w:t>本年收入</w:t>
      </w:r>
      <w:r>
        <w:rPr>
          <w:rFonts w:hint="eastAsia" w:ascii="仿宋_GB2312" w:hAnsi="仿宋" w:eastAsia="仿宋_GB2312"/>
          <w:sz w:val="32"/>
          <w:szCs w:val="32"/>
          <w:lang w:eastAsia="zh-CN"/>
        </w:rPr>
        <w:t>合计</w:t>
      </w:r>
      <w:bookmarkStart w:id="102" w:name="_GoBack"/>
      <w:bookmarkEnd w:id="102"/>
      <w:r>
        <w:rPr>
          <w:rFonts w:hint="eastAsia" w:ascii="仿宋_GB2312" w:hAnsi="仿宋" w:eastAsia="仿宋_GB2312"/>
          <w:sz w:val="32"/>
          <w:szCs w:val="32"/>
        </w:rPr>
        <w:t>124.31万元，其中财政</w:t>
      </w:r>
      <w:r>
        <w:rPr>
          <w:rFonts w:hint="eastAsia" w:ascii="仿宋_GB2312" w:hAnsi="仿宋" w:eastAsia="仿宋_GB2312"/>
          <w:sz w:val="32"/>
          <w:szCs w:val="32"/>
          <w:lang w:eastAsia="zh-CN"/>
        </w:rPr>
        <w:t>拨</w:t>
      </w:r>
      <w:r>
        <w:rPr>
          <w:rFonts w:hint="eastAsia" w:ascii="仿宋_GB2312" w:hAnsi="仿宋" w:eastAsia="仿宋_GB2312"/>
          <w:sz w:val="32"/>
          <w:szCs w:val="32"/>
        </w:rPr>
        <w:t>款收入124.31万元，占</w:t>
      </w:r>
      <w:r>
        <w:rPr>
          <w:rFonts w:hint="eastAsia" w:ascii="仿宋_GB2312" w:hAnsi="仿宋" w:eastAsia="仿宋_GB2312"/>
          <w:sz w:val="32"/>
          <w:szCs w:val="32"/>
          <w:lang w:eastAsia="zh-CN"/>
        </w:rPr>
        <w:t>比</w:t>
      </w:r>
      <w:r>
        <w:rPr>
          <w:rFonts w:hint="eastAsia" w:ascii="仿宋_GB2312" w:hAnsi="仿宋" w:eastAsia="仿宋_GB2312"/>
          <w:sz w:val="32"/>
          <w:szCs w:val="32"/>
        </w:rPr>
        <w:t>100%</w:t>
      </w:r>
      <w:r>
        <w:rPr>
          <w:rFonts w:hint="eastAsia" w:ascii="仿宋" w:hAnsi="仿宋" w:eastAsia="仿宋"/>
          <w:color w:val="auto"/>
          <w:sz w:val="32"/>
          <w:szCs w:val="32"/>
          <w:highlight w:val="none"/>
        </w:rPr>
        <w:t>。</w:t>
      </w:r>
      <w:r>
        <w:rPr>
          <w:rFonts w:hint="eastAsia" w:ascii="宋体" w:hAnsi="宋体"/>
          <w:sz w:val="30"/>
          <w:szCs w:val="30"/>
          <w:highlight w:val="none"/>
        </w:rPr>
        <w:t xml:space="preserve"> </w:t>
      </w:r>
      <w:r>
        <w:rPr>
          <w:rFonts w:hint="eastAsia" w:ascii="宋体" w:hAnsi="宋体"/>
          <w:sz w:val="30"/>
          <w:szCs w:val="30"/>
          <w:highlight w:val="none"/>
        </w:rPr>
        <w:tab/>
      </w:r>
    </w:p>
    <w:p>
      <w:pPr>
        <w:pStyle w:val="7"/>
        <w:rPr>
          <w:rFonts w:hint="eastAsia" w:ascii="仿宋_GB2312" w:hAnsi="仿宋" w:eastAsia="仿宋_GB2312"/>
          <w:sz w:val="32"/>
          <w:szCs w:val="32"/>
        </w:rPr>
      </w:pPr>
      <w:r>
        <w:rPr>
          <w:rFonts w:hint="eastAsia" w:ascii="仿宋_GB2312" w:hAnsi="仿宋" w:eastAsia="仿宋_GB2312"/>
          <w:sz w:val="32"/>
          <w:szCs w:val="32"/>
          <w:lang w:eastAsia="zh-CN"/>
        </w:rPr>
        <w:drawing>
          <wp:anchor distT="0" distB="0" distL="114300" distR="114300" simplePos="0" relativeHeight="251660288" behindDoc="0" locked="0" layoutInCell="1" allowOverlap="1">
            <wp:simplePos x="0" y="0"/>
            <wp:positionH relativeFrom="column">
              <wp:posOffset>164465</wp:posOffset>
            </wp:positionH>
            <wp:positionV relativeFrom="paragraph">
              <wp:posOffset>76200</wp:posOffset>
            </wp:positionV>
            <wp:extent cx="4870450" cy="2663825"/>
            <wp:effectExtent l="0" t="0" r="6350" b="3175"/>
            <wp:wrapTopAndBottom/>
            <wp:docPr id="8" name="图片 8" descr="图片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9"/>
                    <pic:cNvPicPr>
                      <a:picLocks noChangeAspect="1"/>
                    </pic:cNvPicPr>
                  </pic:nvPicPr>
                  <pic:blipFill>
                    <a:blip r:embed="rId7"/>
                    <a:stretch>
                      <a:fillRect/>
                    </a:stretch>
                  </pic:blipFill>
                  <pic:spPr>
                    <a:xfrm>
                      <a:off x="0" y="0"/>
                      <a:ext cx="4870450" cy="2663825"/>
                    </a:xfrm>
                    <a:prstGeom prst="rect">
                      <a:avLst/>
                    </a:prstGeom>
                  </pic:spPr>
                </pic:pic>
              </a:graphicData>
            </a:graphic>
          </wp:anchor>
        </w:drawing>
      </w:r>
      <w:r>
        <w:rPr>
          <w:rFonts w:hint="eastAsia" w:ascii="仿宋" w:hAnsi="仿宋" w:eastAsia="仿宋"/>
          <w:sz w:val="32"/>
          <w:szCs w:val="32"/>
        </w:rPr>
        <w:t>（图2：收入决算结构图）（饼状图）</w:t>
      </w:r>
    </w:p>
    <w:p>
      <w:pPr>
        <w:pStyle w:val="29"/>
        <w:numPr>
          <w:ilvl w:val="0"/>
          <w:numId w:val="2"/>
        </w:numPr>
        <w:spacing w:line="600" w:lineRule="exact"/>
        <w:ind w:firstLineChars="0"/>
        <w:outlineLvl w:val="1"/>
        <w:rPr>
          <w:rStyle w:val="31"/>
          <w:rFonts w:ascii="黑体" w:hAnsi="黑体" w:eastAsia="黑体"/>
          <w:b w:val="0"/>
        </w:rPr>
      </w:pPr>
      <w:bookmarkStart w:id="32" w:name="_Toc25485"/>
      <w:r>
        <w:rPr>
          <w:rFonts w:hint="eastAsia" w:ascii="黑体" w:hAnsi="黑体" w:eastAsia="黑体"/>
          <w:sz w:val="32"/>
          <w:szCs w:val="32"/>
        </w:rPr>
        <w:t>支</w:t>
      </w:r>
      <w:r>
        <w:rPr>
          <w:rStyle w:val="31"/>
          <w:rFonts w:hint="eastAsia" w:ascii="黑体" w:hAnsi="黑体" w:eastAsia="黑体"/>
          <w:b w:val="0"/>
        </w:rPr>
        <w:t>出决算情况说明</w:t>
      </w:r>
      <w:bookmarkEnd w:id="30"/>
      <w:bookmarkEnd w:id="31"/>
      <w:bookmarkEnd w:id="32"/>
    </w:p>
    <w:p>
      <w:pPr>
        <w:snapToGrid w:val="0"/>
        <w:spacing w:line="520" w:lineRule="exact"/>
        <w:ind w:firstLine="540" w:firstLineChars="150"/>
        <w:rPr>
          <w:rFonts w:hint="eastAsia" w:ascii="仿宋_GB2312" w:hAnsi="仿宋" w:eastAsia="仿宋_GB2312"/>
          <w:sz w:val="32"/>
          <w:szCs w:val="32"/>
        </w:rPr>
      </w:pPr>
      <w:bookmarkStart w:id="33" w:name="_Toc15396606"/>
      <w:bookmarkStart w:id="34" w:name="_Toc15377208"/>
      <w:r>
        <w:rPr>
          <w:rFonts w:hint="eastAsia" w:ascii="仿宋_GB2312" w:hAnsi="仿宋" w:eastAsia="仿宋_GB2312"/>
          <w:sz w:val="36"/>
          <w:szCs w:val="36"/>
          <w:lang w:val="en-US" w:eastAsia="zh-CN"/>
        </w:rPr>
        <w:t>2023年本年支出合计</w:t>
      </w:r>
      <w:r>
        <w:rPr>
          <w:rFonts w:hint="eastAsia" w:ascii="仿宋_GB2312" w:hAnsi="仿宋" w:eastAsia="仿宋_GB2312"/>
          <w:sz w:val="32"/>
          <w:szCs w:val="32"/>
          <w:lang w:val="en-US" w:eastAsia="zh-CN"/>
        </w:rPr>
        <w:t>124.31万元</w:t>
      </w:r>
      <w:r>
        <w:rPr>
          <w:rFonts w:hint="eastAsia" w:ascii="仿宋_GB2312" w:hAnsi="仿宋" w:eastAsia="仿宋_GB2312"/>
          <w:sz w:val="32"/>
          <w:szCs w:val="32"/>
        </w:rPr>
        <w:t>，</w:t>
      </w:r>
      <w:r>
        <w:rPr>
          <w:rFonts w:hint="eastAsia" w:ascii="仿宋_GB2312" w:hAnsi="仿宋" w:eastAsia="仿宋_GB2312"/>
          <w:sz w:val="32"/>
          <w:szCs w:val="32"/>
          <w:lang w:val="en-US" w:eastAsia="zh-CN"/>
        </w:rPr>
        <w:t>其中：</w:t>
      </w:r>
      <w:r>
        <w:rPr>
          <w:rFonts w:hint="eastAsia" w:ascii="仿宋_GB2312" w:hAnsi="仿宋" w:eastAsia="仿宋_GB2312"/>
          <w:sz w:val="32"/>
          <w:szCs w:val="32"/>
        </w:rPr>
        <w:t>基本支出121.64万元,占比97.85%</w:t>
      </w:r>
      <w:r>
        <w:rPr>
          <w:rFonts w:hint="eastAsia" w:ascii="仿宋_GB2312" w:hAnsi="仿宋" w:eastAsia="仿宋_GB2312"/>
          <w:sz w:val="32"/>
          <w:szCs w:val="32"/>
          <w:lang w:eastAsia="zh-CN"/>
        </w:rPr>
        <w:t>，</w:t>
      </w:r>
      <w:r>
        <w:rPr>
          <w:rFonts w:hint="eastAsia" w:ascii="仿宋_GB2312" w:hAnsi="仿宋" w:eastAsia="仿宋_GB2312"/>
          <w:sz w:val="32"/>
          <w:szCs w:val="32"/>
        </w:rPr>
        <w:t>项目支出2.67万元,占比2.15%。</w:t>
      </w:r>
    </w:p>
    <w:p>
      <w:pPr>
        <w:snapToGrid w:val="0"/>
        <w:spacing w:line="520" w:lineRule="exact"/>
        <w:ind w:firstLine="480" w:firstLineChars="150"/>
        <w:rPr>
          <w:rFonts w:hint="eastAsia" w:ascii="黑体" w:hAnsi="黑体" w:eastAsia="黑体"/>
          <w:sz w:val="32"/>
          <w:szCs w:val="32"/>
        </w:rPr>
      </w:pPr>
      <w:r>
        <w:rPr>
          <w:rFonts w:hint="eastAsia" w:ascii="仿宋_GB2312" w:hAnsi="仿宋" w:eastAsia="仿宋_GB2312"/>
          <w:sz w:val="32"/>
          <w:szCs w:val="32"/>
          <w:lang w:eastAsia="zh-CN"/>
        </w:rPr>
        <w:drawing>
          <wp:anchor distT="0" distB="0" distL="114300" distR="114300" simplePos="0" relativeHeight="251661312" behindDoc="0" locked="0" layoutInCell="1" allowOverlap="1">
            <wp:simplePos x="0" y="0"/>
            <wp:positionH relativeFrom="column">
              <wp:posOffset>498475</wp:posOffset>
            </wp:positionH>
            <wp:positionV relativeFrom="paragraph">
              <wp:posOffset>67310</wp:posOffset>
            </wp:positionV>
            <wp:extent cx="3700145" cy="2999105"/>
            <wp:effectExtent l="0" t="0" r="14605" b="10795"/>
            <wp:wrapTopAndBottom/>
            <wp:docPr id="9" name="图片 9" descr="图片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20"/>
                    <pic:cNvPicPr>
                      <a:picLocks noChangeAspect="1"/>
                    </pic:cNvPicPr>
                  </pic:nvPicPr>
                  <pic:blipFill>
                    <a:blip r:embed="rId8"/>
                    <a:stretch>
                      <a:fillRect/>
                    </a:stretch>
                  </pic:blipFill>
                  <pic:spPr>
                    <a:xfrm>
                      <a:off x="0" y="0"/>
                      <a:ext cx="3700145" cy="2999105"/>
                    </a:xfrm>
                    <a:prstGeom prst="rect">
                      <a:avLst/>
                    </a:prstGeom>
                  </pic:spPr>
                </pic:pic>
              </a:graphicData>
            </a:graphic>
          </wp:anchor>
        </w:drawing>
      </w:r>
      <w:r>
        <w:rPr>
          <w:rFonts w:hint="eastAsia" w:ascii="仿宋" w:hAnsi="仿宋" w:eastAsia="仿宋"/>
          <w:sz w:val="32"/>
          <w:szCs w:val="32"/>
        </w:rPr>
        <w:t>（图3：支出决算结构图）（饼状图）</w:t>
      </w:r>
    </w:p>
    <w:p>
      <w:pPr>
        <w:spacing w:line="600" w:lineRule="exact"/>
        <w:ind w:firstLine="640" w:firstLineChars="200"/>
        <w:outlineLvl w:val="1"/>
        <w:rPr>
          <w:rStyle w:val="31"/>
          <w:rFonts w:ascii="黑体" w:hAnsi="黑体" w:eastAsia="黑体"/>
          <w:b w:val="0"/>
        </w:rPr>
      </w:pPr>
      <w:bookmarkStart w:id="35" w:name="_Toc395"/>
      <w:r>
        <w:rPr>
          <w:rFonts w:hint="eastAsia" w:ascii="黑体" w:hAnsi="黑体" w:eastAsia="黑体"/>
          <w:sz w:val="32"/>
          <w:szCs w:val="32"/>
        </w:rPr>
        <w:t>四、财</w:t>
      </w:r>
      <w:r>
        <w:rPr>
          <w:rStyle w:val="31"/>
          <w:rFonts w:hint="eastAsia" w:ascii="黑体" w:hAnsi="黑体" w:eastAsia="黑体"/>
          <w:b w:val="0"/>
        </w:rPr>
        <w:t>政拨款收入支出决算总体情况说明</w:t>
      </w:r>
      <w:bookmarkEnd w:id="33"/>
      <w:bookmarkEnd w:id="34"/>
      <w:bookmarkEnd w:id="35"/>
    </w:p>
    <w:p>
      <w:pPr>
        <w:snapToGrid w:val="0"/>
        <w:spacing w:line="520" w:lineRule="exact"/>
        <w:ind w:firstLine="640" w:firstLineChars="200"/>
        <w:outlineLvl w:val="0"/>
        <w:rPr>
          <w:rFonts w:hint="eastAsia" w:ascii="仿宋_GB2312" w:hAnsi="仿宋" w:eastAsia="仿宋_GB2312"/>
          <w:sz w:val="32"/>
          <w:szCs w:val="32"/>
        </w:rPr>
      </w:pPr>
      <w:bookmarkStart w:id="36" w:name="_Toc13203"/>
      <w:r>
        <w:rPr>
          <w:rFonts w:hint="eastAsia" w:ascii="仿宋" w:hAnsi="仿宋" w:eastAsia="仿宋"/>
          <w:sz w:val="32"/>
          <w:szCs w:val="32"/>
        </w:rPr>
        <w:t>2023年度财政拨款收、支总计均为</w:t>
      </w:r>
      <w:r>
        <w:rPr>
          <w:rFonts w:hint="eastAsia" w:eastAsia="仿宋"/>
          <w:sz w:val="32"/>
          <w:szCs w:val="32"/>
          <w:lang w:val="en-US" w:eastAsia="zh-CN"/>
        </w:rPr>
        <w:t>124.31</w:t>
      </w:r>
      <w:r>
        <w:rPr>
          <w:rFonts w:hint="eastAsia" w:ascii="仿宋" w:hAnsi="仿宋" w:eastAsia="仿宋"/>
          <w:sz w:val="32"/>
          <w:szCs w:val="32"/>
        </w:rPr>
        <w:t>万元。与2022年度相比，财政拨款收、支总计各减少</w:t>
      </w:r>
      <w:r>
        <w:rPr>
          <w:rFonts w:hint="eastAsia" w:ascii="仿宋" w:hAnsi="仿宋" w:eastAsia="仿宋"/>
          <w:sz w:val="32"/>
          <w:szCs w:val="32"/>
          <w:lang w:val="en-US" w:eastAsia="zh-CN"/>
        </w:rPr>
        <w:t>1.82</w:t>
      </w:r>
      <w:r>
        <w:rPr>
          <w:rFonts w:hint="eastAsia" w:ascii="仿宋" w:hAnsi="仿宋" w:eastAsia="仿宋"/>
          <w:sz w:val="32"/>
          <w:szCs w:val="32"/>
        </w:rPr>
        <w:t>万元，下降</w:t>
      </w:r>
      <w:r>
        <w:rPr>
          <w:rFonts w:hint="eastAsia" w:ascii="仿宋" w:hAnsi="仿宋" w:eastAsia="仿宋"/>
          <w:sz w:val="32"/>
          <w:szCs w:val="32"/>
          <w:lang w:val="en-US" w:eastAsia="zh-CN"/>
        </w:rPr>
        <w:t>1.45</w:t>
      </w:r>
      <w:r>
        <w:rPr>
          <w:rFonts w:ascii="仿宋" w:hAnsi="仿宋" w:eastAsia="仿宋"/>
          <w:sz w:val="32"/>
          <w:szCs w:val="32"/>
        </w:rPr>
        <w:t>%</w:t>
      </w:r>
      <w:r>
        <w:rPr>
          <w:rFonts w:hint="eastAsia" w:ascii="仿宋" w:hAnsi="仿宋" w:eastAsia="仿宋"/>
          <w:sz w:val="32"/>
          <w:szCs w:val="32"/>
        </w:rPr>
        <w:t>。</w:t>
      </w:r>
      <w:r>
        <w:rPr>
          <w:rFonts w:hint="eastAsia" w:ascii="仿宋_GB2312" w:hAnsi="仿宋" w:eastAsia="仿宋_GB2312"/>
          <w:sz w:val="32"/>
          <w:szCs w:val="32"/>
        </w:rPr>
        <w:t>变化原因:本年项目经费减少，收入支出减少。</w:t>
      </w:r>
      <w:bookmarkEnd w:id="36"/>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hint="eastAsia" w:ascii="仿宋_GB2312" w:hAnsi="仿宋" w:eastAsia="仿宋_GB2312" w:cs="Times New Roman"/>
          <w:sz w:val="32"/>
          <w:szCs w:val="32"/>
          <w:lang w:eastAsia="zh-CN"/>
        </w:rPr>
        <w:drawing>
          <wp:anchor distT="0" distB="0" distL="114300" distR="114300" simplePos="0" relativeHeight="251662336" behindDoc="0" locked="0" layoutInCell="1" allowOverlap="1">
            <wp:simplePos x="0" y="0"/>
            <wp:positionH relativeFrom="column">
              <wp:posOffset>269875</wp:posOffset>
            </wp:positionH>
            <wp:positionV relativeFrom="paragraph">
              <wp:posOffset>54610</wp:posOffset>
            </wp:positionV>
            <wp:extent cx="5126990" cy="2663825"/>
            <wp:effectExtent l="0" t="0" r="16510" b="3175"/>
            <wp:wrapTopAndBottom/>
            <wp:docPr id="10" name="图片 10" descr="图片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8"/>
                    <pic:cNvPicPr>
                      <a:picLocks noChangeAspect="1"/>
                    </pic:cNvPicPr>
                  </pic:nvPicPr>
                  <pic:blipFill>
                    <a:blip r:embed="rId6"/>
                    <a:stretch>
                      <a:fillRect/>
                    </a:stretch>
                  </pic:blipFill>
                  <pic:spPr>
                    <a:xfrm>
                      <a:off x="0" y="0"/>
                      <a:ext cx="5126990" cy="2663825"/>
                    </a:xfrm>
                    <a:prstGeom prst="rect">
                      <a:avLst/>
                    </a:prstGeom>
                  </pic:spPr>
                </pic:pic>
              </a:graphicData>
            </a:graphic>
          </wp:anchor>
        </w:drawing>
      </w:r>
      <w:r>
        <w:rPr>
          <w:rFonts w:hint="eastAsia" w:ascii="仿宋" w:hAnsi="仿宋" w:eastAsia="仿宋"/>
          <w:sz w:val="32"/>
          <w:szCs w:val="32"/>
        </w:rPr>
        <w:t>图4：财政拨款收、支决算总计变动情况）（柱状图）</w:t>
      </w:r>
    </w:p>
    <w:p>
      <w:pPr>
        <w:spacing w:line="600" w:lineRule="exact"/>
        <w:ind w:firstLine="640" w:firstLineChars="200"/>
        <w:outlineLvl w:val="9"/>
        <w:rPr>
          <w:rFonts w:hint="eastAsia" w:ascii="黑体" w:hAnsi="黑体" w:eastAsia="黑体"/>
          <w:sz w:val="32"/>
          <w:szCs w:val="32"/>
        </w:rPr>
      </w:pPr>
      <w:bookmarkStart w:id="37" w:name="_Toc15377209"/>
      <w:bookmarkStart w:id="38" w:name="_Toc15396607"/>
    </w:p>
    <w:p>
      <w:pPr>
        <w:spacing w:line="600" w:lineRule="exact"/>
        <w:ind w:firstLine="640" w:firstLineChars="200"/>
        <w:outlineLvl w:val="1"/>
        <w:rPr>
          <w:rStyle w:val="31"/>
          <w:rFonts w:hint="eastAsia" w:ascii="黑体" w:hAnsi="黑体" w:eastAsia="黑体"/>
          <w:b w:val="0"/>
        </w:rPr>
      </w:pPr>
      <w:bookmarkStart w:id="39" w:name="_Toc27809"/>
      <w:r>
        <w:rPr>
          <w:rFonts w:hint="eastAsia" w:ascii="黑体" w:hAnsi="黑体" w:eastAsia="黑体"/>
          <w:sz w:val="32"/>
          <w:szCs w:val="32"/>
        </w:rPr>
        <w:t>五、</w:t>
      </w:r>
      <w:r>
        <w:rPr>
          <w:rFonts w:hint="eastAsia" w:ascii="黑体" w:hAnsi="黑体" w:eastAsia="黑体"/>
          <w:b/>
          <w:sz w:val="32"/>
          <w:szCs w:val="32"/>
        </w:rPr>
        <w:t>一</w:t>
      </w:r>
      <w:r>
        <w:rPr>
          <w:rStyle w:val="31"/>
          <w:rFonts w:hint="eastAsia" w:ascii="黑体" w:hAnsi="黑体" w:eastAsia="黑体"/>
          <w:b w:val="0"/>
        </w:rPr>
        <w:t>般公共预算财政拨款支出决算情况说明</w:t>
      </w:r>
      <w:bookmarkEnd w:id="37"/>
      <w:bookmarkEnd w:id="38"/>
      <w:bookmarkEnd w:id="39"/>
    </w:p>
    <w:p>
      <w:pPr>
        <w:spacing w:line="600" w:lineRule="exact"/>
        <w:ind w:firstLine="643" w:firstLineChars="200"/>
        <w:outlineLvl w:val="2"/>
        <w:rPr>
          <w:rFonts w:ascii="仿宋" w:hAnsi="仿宋" w:eastAsia="仿宋"/>
          <w:b/>
          <w:sz w:val="32"/>
          <w:szCs w:val="32"/>
          <w:highlight w:val="none"/>
        </w:rPr>
      </w:pPr>
      <w:bookmarkStart w:id="40" w:name="_Toc15377210"/>
      <w:r>
        <w:rPr>
          <w:rFonts w:hint="eastAsia" w:ascii="仿宋" w:hAnsi="仿宋" w:eastAsia="仿宋"/>
          <w:b/>
          <w:sz w:val="32"/>
          <w:szCs w:val="32"/>
          <w:highlight w:val="none"/>
        </w:rPr>
        <w:t>（一）一般公共预算财政拨款支出决算总体情况</w:t>
      </w:r>
      <w:bookmarkEnd w:id="40"/>
    </w:p>
    <w:p>
      <w:pPr>
        <w:spacing w:line="600" w:lineRule="exact"/>
        <w:ind w:firstLine="640" w:firstLineChars="200"/>
        <w:rPr>
          <w:rFonts w:hint="eastAsia" w:ascii="仿宋" w:hAnsi="仿宋" w:eastAsia="仿宋"/>
          <w:sz w:val="32"/>
          <w:szCs w:val="32"/>
          <w:highlight w:val="none"/>
          <w:lang w:eastAsia="zh-CN"/>
        </w:rPr>
      </w:pPr>
      <w:r>
        <w:rPr>
          <w:rFonts w:hint="eastAsia" w:ascii="仿宋" w:hAnsi="仿宋" w:eastAsia="仿宋"/>
          <w:sz w:val="32"/>
          <w:szCs w:val="32"/>
        </w:rPr>
        <w:t>2023年度一般公共预算财政拨款支出</w:t>
      </w:r>
      <w:r>
        <w:rPr>
          <w:rFonts w:hint="eastAsia" w:ascii="仿宋_GB2312" w:hAnsi="仿宋" w:eastAsia="仿宋_GB2312"/>
          <w:sz w:val="32"/>
          <w:szCs w:val="32"/>
          <w:lang w:val="en-US" w:eastAsia="zh-CN"/>
        </w:rPr>
        <w:t>124.31</w:t>
      </w:r>
      <w:r>
        <w:rPr>
          <w:rFonts w:hint="eastAsia" w:ascii="仿宋" w:hAnsi="仿宋" w:eastAsia="仿宋"/>
          <w:sz w:val="32"/>
          <w:szCs w:val="32"/>
        </w:rPr>
        <w:t>万元，占本年支出合计的</w:t>
      </w:r>
      <w:r>
        <w:rPr>
          <w:rFonts w:hint="eastAsia" w:ascii="仿宋" w:hAnsi="仿宋" w:eastAsia="仿宋"/>
          <w:b/>
          <w:sz w:val="32"/>
          <w:szCs w:val="32"/>
          <w:lang w:val="en-US" w:eastAsia="zh-CN"/>
        </w:rPr>
        <w:t>100</w:t>
      </w:r>
      <w:r>
        <w:rPr>
          <w:rFonts w:ascii="仿宋" w:hAnsi="仿宋" w:eastAsia="仿宋"/>
          <w:sz w:val="32"/>
          <w:szCs w:val="32"/>
        </w:rPr>
        <w:t>%</w:t>
      </w:r>
      <w:r>
        <w:rPr>
          <w:rFonts w:hint="eastAsia" w:ascii="仿宋" w:hAnsi="仿宋" w:eastAsia="仿宋"/>
          <w:sz w:val="32"/>
          <w:szCs w:val="32"/>
        </w:rPr>
        <w:t>。与2022年度相比，一般公共预算财政拨款支出</w:t>
      </w:r>
      <w:r>
        <w:rPr>
          <w:rFonts w:hint="eastAsia" w:ascii="仿宋" w:hAnsi="仿宋" w:eastAsia="仿宋"/>
          <w:sz w:val="32"/>
          <w:szCs w:val="32"/>
          <w:lang w:val="en-US" w:eastAsia="zh-CN"/>
        </w:rPr>
        <w:t>减少1.82</w:t>
      </w:r>
      <w:r>
        <w:rPr>
          <w:rFonts w:hint="eastAsia" w:ascii="仿宋" w:hAnsi="仿宋" w:eastAsia="仿宋"/>
          <w:sz w:val="32"/>
          <w:szCs w:val="32"/>
        </w:rPr>
        <w:t>万元，</w:t>
      </w:r>
      <w:r>
        <w:rPr>
          <w:rFonts w:hint="eastAsia" w:ascii="仿宋" w:hAnsi="仿宋" w:eastAsia="仿宋"/>
          <w:sz w:val="32"/>
          <w:szCs w:val="32"/>
          <w:lang w:val="en-US" w:eastAsia="zh-CN"/>
        </w:rPr>
        <w:t>减少1.45</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highlight w:val="none"/>
        </w:rPr>
        <w:t>主要变动原因是本年项目经费减少，收入支出减少</w:t>
      </w:r>
      <w:r>
        <w:rPr>
          <w:rFonts w:hint="eastAsia" w:ascii="仿宋" w:hAnsi="仿宋" w:eastAsia="仿宋"/>
          <w:sz w:val="32"/>
          <w:szCs w:val="32"/>
          <w:highlight w:val="none"/>
          <w:lang w:eastAsia="zh-CN"/>
        </w:rPr>
        <w:t>。</w:t>
      </w:r>
    </w:p>
    <w:p>
      <w:pPr>
        <w:pStyle w:val="2"/>
        <w:outlineLvl w:val="9"/>
        <w:rPr>
          <w:rFonts w:hint="eastAsia" w:ascii="仿宋" w:hAnsi="仿宋" w:eastAsia="仿宋"/>
          <w:sz w:val="32"/>
          <w:szCs w:val="32"/>
          <w:highlight w:val="none"/>
          <w:lang w:eastAsia="zh-CN"/>
        </w:rPr>
      </w:pPr>
      <w:r>
        <w:rPr>
          <w:rFonts w:hint="eastAsia" w:eastAsia="宋体"/>
          <w:lang w:eastAsia="zh-CN"/>
        </w:rPr>
        <w:drawing>
          <wp:anchor distT="0" distB="0" distL="114300" distR="114300" simplePos="0" relativeHeight="251663360" behindDoc="0" locked="0" layoutInCell="1" allowOverlap="1">
            <wp:simplePos x="0" y="0"/>
            <wp:positionH relativeFrom="column">
              <wp:posOffset>19050</wp:posOffset>
            </wp:positionH>
            <wp:positionV relativeFrom="page">
              <wp:posOffset>7063105</wp:posOffset>
            </wp:positionV>
            <wp:extent cx="4883150" cy="2724785"/>
            <wp:effectExtent l="0" t="0" r="12700" b="18415"/>
            <wp:wrapSquare wrapText="bothSides"/>
            <wp:docPr id="11" name="图片 11" descr="图片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21"/>
                    <pic:cNvPicPr>
                      <a:picLocks noChangeAspect="1"/>
                    </pic:cNvPicPr>
                  </pic:nvPicPr>
                  <pic:blipFill>
                    <a:blip r:embed="rId9"/>
                    <a:stretch>
                      <a:fillRect/>
                    </a:stretch>
                  </pic:blipFill>
                  <pic:spPr>
                    <a:xfrm>
                      <a:off x="0" y="0"/>
                      <a:ext cx="4883150" cy="2724785"/>
                    </a:xfrm>
                    <a:prstGeom prst="rect">
                      <a:avLst/>
                    </a:prstGeom>
                  </pic:spPr>
                </pic:pic>
              </a:graphicData>
            </a:graphic>
          </wp:anchor>
        </w:drawing>
      </w:r>
    </w:p>
    <w:p>
      <w:pPr>
        <w:pStyle w:val="2"/>
        <w:outlineLvl w:val="9"/>
        <w:rPr>
          <w:rFonts w:hint="eastAsia" w:ascii="仿宋" w:hAnsi="仿宋" w:eastAsia="仿宋"/>
          <w:sz w:val="32"/>
          <w:szCs w:val="32"/>
          <w:highlight w:val="none"/>
          <w:lang w:eastAsia="zh-CN"/>
        </w:rPr>
      </w:pPr>
    </w:p>
    <w:p>
      <w:pPr>
        <w:pStyle w:val="2"/>
        <w:outlineLvl w:val="9"/>
        <w:rPr>
          <w:rFonts w:hint="eastAsia" w:ascii="仿宋" w:hAnsi="仿宋" w:eastAsia="仿宋"/>
          <w:sz w:val="32"/>
          <w:szCs w:val="32"/>
          <w:highlight w:val="none"/>
          <w:lang w:eastAsia="zh-CN"/>
        </w:rPr>
      </w:pPr>
    </w:p>
    <w:p>
      <w:pPr>
        <w:pStyle w:val="2"/>
        <w:outlineLvl w:val="9"/>
        <w:rPr>
          <w:rFonts w:hint="eastAsia" w:ascii="仿宋" w:hAnsi="仿宋" w:eastAsia="仿宋"/>
          <w:sz w:val="32"/>
          <w:szCs w:val="32"/>
          <w:highlight w:val="none"/>
          <w:lang w:eastAsia="zh-CN"/>
        </w:rPr>
      </w:pPr>
    </w:p>
    <w:p>
      <w:pPr>
        <w:pStyle w:val="2"/>
        <w:outlineLvl w:val="9"/>
        <w:rPr>
          <w:rFonts w:hint="eastAsia" w:ascii="仿宋" w:hAnsi="仿宋" w:eastAsia="仿宋"/>
          <w:sz w:val="32"/>
          <w:szCs w:val="32"/>
          <w:highlight w:val="none"/>
          <w:lang w:eastAsia="zh-CN"/>
        </w:rPr>
      </w:pPr>
    </w:p>
    <w:p>
      <w:pPr>
        <w:pStyle w:val="2"/>
        <w:jc w:val="both"/>
        <w:outlineLvl w:val="9"/>
        <w:rPr>
          <w:rFonts w:hint="eastAsia" w:ascii="仿宋" w:hAnsi="仿宋" w:eastAsia="仿宋"/>
          <w:sz w:val="32"/>
          <w:szCs w:val="32"/>
          <w:highlight w:val="none"/>
        </w:rPr>
      </w:pPr>
    </w:p>
    <w:p>
      <w:pPr>
        <w:spacing w:line="600" w:lineRule="exact"/>
        <w:rPr>
          <w:rFonts w:ascii="仿宋" w:hAnsi="仿宋" w:eastAsia="仿宋"/>
          <w:sz w:val="32"/>
          <w:szCs w:val="32"/>
        </w:rPr>
      </w:pPr>
      <w:bookmarkStart w:id="41" w:name="_Toc15377211"/>
      <w:r>
        <w:rPr>
          <w:rFonts w:hint="eastAsia" w:ascii="仿宋" w:hAnsi="仿宋" w:eastAsia="仿宋"/>
          <w:sz w:val="32"/>
          <w:szCs w:val="32"/>
        </w:rPr>
        <w:t>（图5：一般公共预算财政拨款支出决算变动情况）（柱状图）</w:t>
      </w:r>
    </w:p>
    <w:p>
      <w:pPr>
        <w:spacing w:line="600" w:lineRule="exact"/>
        <w:ind w:firstLine="643" w:firstLineChars="200"/>
        <w:outlineLvl w:val="2"/>
        <w:rPr>
          <w:rFonts w:ascii="仿宋" w:hAnsi="仿宋" w:eastAsia="仿宋"/>
          <w:b/>
          <w:sz w:val="32"/>
          <w:szCs w:val="32"/>
        </w:rPr>
      </w:pPr>
      <w:r>
        <w:rPr>
          <w:rFonts w:hint="eastAsia" w:ascii="仿宋" w:hAnsi="仿宋" w:eastAsia="仿宋"/>
          <w:b/>
          <w:sz w:val="32"/>
          <w:szCs w:val="32"/>
        </w:rPr>
        <w:t>（二）一般公共预算财政拨款支出决算结构情况</w:t>
      </w:r>
      <w:bookmarkEnd w:id="41"/>
    </w:p>
    <w:p>
      <w:pPr>
        <w:spacing w:line="600" w:lineRule="exact"/>
        <w:ind w:firstLine="640"/>
        <w:rPr>
          <w:rFonts w:hint="eastAsia" w:ascii="仿宋" w:hAnsi="仿宋" w:eastAsia="仿宋"/>
          <w:sz w:val="32"/>
          <w:szCs w:val="32"/>
        </w:rPr>
      </w:pPr>
      <w:r>
        <w:rPr>
          <w:rFonts w:hint="eastAsia" w:ascii="仿宋" w:hAnsi="仿宋" w:eastAsia="仿宋"/>
          <w:sz w:val="32"/>
          <w:szCs w:val="32"/>
        </w:rPr>
        <w:t>2023年度一般公共预算财政拨款支出</w:t>
      </w:r>
      <w:r>
        <w:rPr>
          <w:rFonts w:hint="eastAsia" w:ascii="仿宋" w:hAnsi="仿宋" w:eastAsia="仿宋"/>
          <w:b/>
          <w:sz w:val="32"/>
          <w:szCs w:val="32"/>
          <w:lang w:val="en-US" w:eastAsia="zh-CN"/>
        </w:rPr>
        <w:t>124.31</w:t>
      </w:r>
      <w:r>
        <w:rPr>
          <w:rFonts w:hint="eastAsia" w:ascii="仿宋" w:hAnsi="仿宋" w:eastAsia="仿宋"/>
          <w:sz w:val="32"/>
          <w:szCs w:val="32"/>
        </w:rPr>
        <w:t>万元，主要用于以下方面:文化旅游体育与传媒支出</w:t>
      </w:r>
      <w:r>
        <w:rPr>
          <w:rFonts w:hint="eastAsia" w:ascii="仿宋" w:hAnsi="仿宋" w:eastAsia="仿宋"/>
          <w:sz w:val="32"/>
          <w:szCs w:val="32"/>
          <w:lang w:val="en-US" w:eastAsia="zh-CN"/>
        </w:rPr>
        <w:t>95.16</w:t>
      </w:r>
      <w:r>
        <w:rPr>
          <w:rFonts w:hint="eastAsia" w:ascii="仿宋" w:hAnsi="仿宋" w:eastAsia="仿宋"/>
          <w:sz w:val="32"/>
          <w:szCs w:val="32"/>
        </w:rPr>
        <w:t>万元，占</w:t>
      </w:r>
      <w:r>
        <w:rPr>
          <w:rFonts w:hint="eastAsia" w:ascii="仿宋" w:hAnsi="仿宋" w:eastAsia="仿宋"/>
          <w:sz w:val="32"/>
          <w:szCs w:val="32"/>
          <w:lang w:val="en-US" w:eastAsia="zh-CN"/>
        </w:rPr>
        <w:t>76.55</w:t>
      </w:r>
      <w:r>
        <w:rPr>
          <w:rFonts w:hint="eastAsia" w:ascii="仿宋" w:hAnsi="仿宋" w:eastAsia="仿宋"/>
          <w:sz w:val="32"/>
          <w:szCs w:val="32"/>
        </w:rPr>
        <w:t>%；社会保障和就业支出</w:t>
      </w:r>
      <w:r>
        <w:rPr>
          <w:rFonts w:hint="eastAsia" w:ascii="仿宋" w:hAnsi="仿宋" w:eastAsia="仿宋"/>
          <w:sz w:val="32"/>
          <w:szCs w:val="32"/>
          <w:lang w:val="en-US" w:eastAsia="zh-CN"/>
        </w:rPr>
        <w:t>16.72</w:t>
      </w:r>
      <w:r>
        <w:rPr>
          <w:rFonts w:hint="eastAsia" w:ascii="仿宋" w:hAnsi="仿宋" w:eastAsia="仿宋"/>
          <w:sz w:val="32"/>
          <w:szCs w:val="32"/>
        </w:rPr>
        <w:t>万元，占</w:t>
      </w:r>
      <w:r>
        <w:rPr>
          <w:rFonts w:hint="eastAsia" w:ascii="仿宋" w:hAnsi="仿宋" w:eastAsia="仿宋"/>
          <w:sz w:val="32"/>
          <w:szCs w:val="32"/>
          <w:lang w:val="en-US" w:eastAsia="zh-CN"/>
        </w:rPr>
        <w:t>13.45</w:t>
      </w:r>
      <w:r>
        <w:rPr>
          <w:rFonts w:hint="eastAsia" w:ascii="仿宋" w:hAnsi="仿宋" w:eastAsia="仿宋"/>
          <w:sz w:val="32"/>
          <w:szCs w:val="32"/>
        </w:rPr>
        <w:t>%；卫生健康支出</w:t>
      </w:r>
      <w:r>
        <w:rPr>
          <w:rFonts w:hint="eastAsia" w:ascii="仿宋" w:hAnsi="仿宋" w:eastAsia="仿宋"/>
          <w:sz w:val="32"/>
          <w:szCs w:val="32"/>
          <w:lang w:val="en-US" w:eastAsia="zh-CN"/>
        </w:rPr>
        <w:t>3.45</w:t>
      </w:r>
      <w:r>
        <w:rPr>
          <w:rFonts w:hint="eastAsia" w:ascii="仿宋" w:hAnsi="仿宋" w:eastAsia="仿宋"/>
          <w:sz w:val="32"/>
          <w:szCs w:val="32"/>
        </w:rPr>
        <w:t>万元，占</w:t>
      </w:r>
      <w:r>
        <w:rPr>
          <w:rFonts w:hint="eastAsia" w:ascii="仿宋" w:hAnsi="仿宋" w:eastAsia="仿宋"/>
          <w:sz w:val="32"/>
          <w:szCs w:val="32"/>
          <w:lang w:val="en-US" w:eastAsia="zh-CN"/>
        </w:rPr>
        <w:t>2.78</w:t>
      </w:r>
      <w:r>
        <w:rPr>
          <w:rFonts w:hint="eastAsia" w:ascii="仿宋" w:hAnsi="仿宋" w:eastAsia="仿宋"/>
          <w:sz w:val="32"/>
          <w:szCs w:val="32"/>
        </w:rPr>
        <w:t>%；住房保障支出</w:t>
      </w:r>
      <w:r>
        <w:rPr>
          <w:rFonts w:hint="eastAsia" w:ascii="仿宋" w:hAnsi="仿宋" w:eastAsia="仿宋"/>
          <w:sz w:val="32"/>
          <w:szCs w:val="32"/>
          <w:lang w:val="en-US" w:eastAsia="zh-CN"/>
        </w:rPr>
        <w:t>8.97</w:t>
      </w:r>
      <w:r>
        <w:rPr>
          <w:rFonts w:hint="eastAsia" w:ascii="仿宋" w:hAnsi="仿宋" w:eastAsia="仿宋"/>
          <w:sz w:val="32"/>
          <w:szCs w:val="32"/>
        </w:rPr>
        <w:t>万元，占</w:t>
      </w:r>
      <w:r>
        <w:rPr>
          <w:rFonts w:hint="eastAsia" w:ascii="仿宋" w:hAnsi="仿宋" w:eastAsia="仿宋"/>
          <w:sz w:val="32"/>
          <w:szCs w:val="32"/>
          <w:lang w:val="en-US" w:eastAsia="zh-CN"/>
        </w:rPr>
        <w:t>7.22</w:t>
      </w:r>
      <w:r>
        <w:rPr>
          <w:rFonts w:hint="eastAsia" w:ascii="仿宋" w:hAnsi="仿宋" w:eastAsia="仿宋"/>
          <w:sz w:val="32"/>
          <w:szCs w:val="32"/>
        </w:rPr>
        <w:t>%。</w:t>
      </w:r>
    </w:p>
    <w:p>
      <w:pPr>
        <w:pStyle w:val="21"/>
        <w:outlineLvl w:val="9"/>
      </w:pPr>
      <w:r>
        <w:drawing>
          <wp:inline distT="0" distB="0" distL="114300" distR="114300">
            <wp:extent cx="4806950" cy="2743200"/>
            <wp:effectExtent l="4445" t="4445" r="8255" b="14605"/>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pPr>
        <w:numPr>
          <w:ilvl w:val="0"/>
          <w:numId w:val="3"/>
        </w:numPr>
        <w:spacing w:line="600" w:lineRule="exact"/>
        <w:ind w:firstLine="643" w:firstLineChars="200"/>
        <w:outlineLvl w:val="2"/>
        <w:rPr>
          <w:rFonts w:hint="eastAsia" w:ascii="仿宋" w:hAnsi="仿宋" w:eastAsia="仿宋"/>
          <w:b/>
          <w:sz w:val="32"/>
          <w:szCs w:val="32"/>
        </w:rPr>
      </w:pPr>
      <w:bookmarkStart w:id="42" w:name="_Toc15377212"/>
      <w:r>
        <w:rPr>
          <w:rFonts w:hint="eastAsia" w:ascii="仿宋" w:hAnsi="仿宋" w:eastAsia="仿宋"/>
          <w:b/>
          <w:sz w:val="32"/>
          <w:szCs w:val="32"/>
        </w:rPr>
        <w:t>一般公共预算财政拨款支出决算具体情况</w:t>
      </w:r>
      <w:bookmarkEnd w:id="42"/>
    </w:p>
    <w:p>
      <w:pPr>
        <w:spacing w:line="600" w:lineRule="exact"/>
        <w:ind w:firstLine="643" w:firstLineChars="200"/>
        <w:outlineLvl w:val="2"/>
        <w:rPr>
          <w:rFonts w:ascii="仿宋" w:hAnsi="仿宋" w:eastAsia="仿宋"/>
          <w:sz w:val="32"/>
          <w:szCs w:val="32"/>
        </w:rPr>
      </w:pPr>
      <w:bookmarkStart w:id="43" w:name="_Toc15378460"/>
      <w:bookmarkStart w:id="44" w:name="_Toc15377213"/>
      <w:bookmarkStart w:id="45" w:name="_Toc15377444"/>
      <w:bookmarkStart w:id="46" w:name="_Toc15377214"/>
      <w:bookmarkStart w:id="47" w:name="_Toc15396608"/>
      <w:r>
        <w:rPr>
          <w:rFonts w:hint="eastAsia" w:ascii="仿宋" w:hAnsi="仿宋" w:eastAsia="仿宋"/>
          <w:b/>
          <w:sz w:val="32"/>
          <w:szCs w:val="32"/>
        </w:rPr>
        <w:t>2023年度一般公共预算支出决算数为</w:t>
      </w:r>
      <w:r>
        <w:rPr>
          <w:rFonts w:hint="eastAsia" w:ascii="仿宋" w:hAnsi="仿宋" w:eastAsia="仿宋"/>
          <w:b/>
          <w:sz w:val="32"/>
          <w:szCs w:val="32"/>
          <w:lang w:val="en-US" w:eastAsia="zh-CN"/>
        </w:rPr>
        <w:t>124.31万元</w:t>
      </w:r>
      <w:r>
        <w:rPr>
          <w:rFonts w:hint="eastAsia" w:ascii="仿宋" w:hAnsi="仿宋" w:eastAsia="仿宋"/>
          <w:sz w:val="32"/>
          <w:szCs w:val="32"/>
        </w:rPr>
        <w:t>，</w:t>
      </w:r>
      <w:r>
        <w:rPr>
          <w:rStyle w:val="19"/>
          <w:rFonts w:hint="eastAsia" w:ascii="仿宋" w:hAnsi="仿宋" w:eastAsia="仿宋"/>
          <w:bCs/>
          <w:sz w:val="32"/>
          <w:szCs w:val="32"/>
        </w:rPr>
        <w:t>完成预算</w:t>
      </w:r>
      <w:r>
        <w:rPr>
          <w:rStyle w:val="19"/>
          <w:rFonts w:hint="eastAsia" w:ascii="仿宋" w:hAnsi="仿宋" w:eastAsia="仿宋"/>
          <w:bCs/>
          <w:sz w:val="32"/>
          <w:szCs w:val="32"/>
          <w:lang w:val="en-US" w:eastAsia="zh-CN"/>
        </w:rPr>
        <w:t>100</w:t>
      </w:r>
      <w:r>
        <w:rPr>
          <w:rStyle w:val="19"/>
          <w:rFonts w:ascii="仿宋" w:hAnsi="仿宋" w:eastAsia="仿宋"/>
          <w:bCs/>
          <w:sz w:val="32"/>
          <w:szCs w:val="32"/>
        </w:rPr>
        <w:t>%</w:t>
      </w:r>
      <w:r>
        <w:rPr>
          <w:rStyle w:val="19"/>
          <w:rFonts w:hint="eastAsia" w:ascii="仿宋" w:hAnsi="仿宋" w:eastAsia="仿宋"/>
          <w:bCs/>
          <w:sz w:val="32"/>
          <w:szCs w:val="32"/>
        </w:rPr>
        <w:t>。其中：</w:t>
      </w:r>
      <w:bookmarkEnd w:id="43"/>
      <w:bookmarkEnd w:id="44"/>
      <w:bookmarkEnd w:id="45"/>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文化旅游体育与传媒（类）文化和旅游（款）行政运行（项）: 支出决算为</w:t>
      </w:r>
      <w:r>
        <w:rPr>
          <w:rFonts w:hint="eastAsia" w:ascii="仿宋" w:hAnsi="仿宋" w:eastAsia="仿宋"/>
          <w:sz w:val="32"/>
          <w:szCs w:val="32"/>
          <w:lang w:val="en-US" w:eastAsia="zh-CN"/>
        </w:rPr>
        <w:t>92.49</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文化旅游体育与传媒（类）文化和旅游（款）文化和旅游交流与合作（项）: 支出决算为</w:t>
      </w:r>
      <w:r>
        <w:rPr>
          <w:rFonts w:hint="eastAsia" w:ascii="仿宋" w:hAnsi="仿宋" w:eastAsia="仿宋"/>
          <w:sz w:val="32"/>
          <w:szCs w:val="32"/>
          <w:lang w:val="en-US" w:eastAsia="zh-CN"/>
        </w:rPr>
        <w:t>2.67</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pPr>
        <w:spacing w:line="600" w:lineRule="exact"/>
        <w:ind w:firstLine="64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社会保障和就业（类）行政事业单位养老支出（款）机关事业单位基本养老保险缴费支出（项）: 支出决算为</w:t>
      </w:r>
      <w:r>
        <w:rPr>
          <w:rFonts w:hint="eastAsia" w:ascii="仿宋" w:hAnsi="仿宋" w:eastAsia="仿宋"/>
          <w:sz w:val="32"/>
          <w:szCs w:val="32"/>
          <w:lang w:val="en-US" w:eastAsia="zh-CN"/>
        </w:rPr>
        <w:t>10.59</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社会保障和就业（类）行政事业单位养老支出（款）机关事业单位职业年金缴费支出（项）: 支出决算为</w:t>
      </w:r>
      <w:r>
        <w:rPr>
          <w:rFonts w:hint="eastAsia" w:ascii="仿宋" w:hAnsi="仿宋" w:eastAsia="仿宋"/>
          <w:sz w:val="32"/>
          <w:szCs w:val="32"/>
          <w:lang w:val="en-US" w:eastAsia="zh-CN"/>
        </w:rPr>
        <w:t>5.3</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社会保障和就业（类）行政事业单位养老支出（款）其他行政事业单位养老支出（项）: 支出决算为</w:t>
      </w:r>
      <w:r>
        <w:rPr>
          <w:rFonts w:hint="eastAsia" w:ascii="仿宋" w:hAnsi="仿宋" w:eastAsia="仿宋"/>
          <w:sz w:val="32"/>
          <w:szCs w:val="32"/>
          <w:lang w:val="en-US" w:eastAsia="zh-CN"/>
        </w:rPr>
        <w:t>0.83</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0"/>
        <w:rPr>
          <w:rFonts w:hint="eastAsia" w:ascii="仿宋" w:hAnsi="仿宋" w:eastAsia="仿宋"/>
          <w:sz w:val="32"/>
          <w:szCs w:val="32"/>
        </w:rPr>
      </w:pPr>
      <w:r>
        <w:rPr>
          <w:rFonts w:hint="eastAsia" w:ascii="仿宋" w:hAnsi="仿宋" w:eastAsia="仿宋"/>
          <w:sz w:val="32"/>
          <w:szCs w:val="32"/>
        </w:rPr>
        <w:t>6.卫生健康（类）行政事业单位医疗（款）行政单位医疗（项）:支出决算为</w:t>
      </w:r>
      <w:r>
        <w:rPr>
          <w:rFonts w:hint="eastAsia" w:ascii="仿宋" w:hAnsi="仿宋" w:eastAsia="仿宋"/>
          <w:sz w:val="32"/>
          <w:szCs w:val="32"/>
          <w:lang w:val="en-US" w:eastAsia="zh-CN"/>
        </w:rPr>
        <w:t>2.75</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卫生健康（类）行政事业单位医疗（款）公务员医疗补助（项）:支出决算为</w:t>
      </w:r>
      <w:r>
        <w:rPr>
          <w:rFonts w:hint="eastAsia" w:ascii="仿宋" w:hAnsi="仿宋" w:eastAsia="仿宋"/>
          <w:sz w:val="32"/>
          <w:szCs w:val="32"/>
          <w:lang w:val="en-US" w:eastAsia="zh-CN"/>
        </w:rPr>
        <w:t>0.7</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spacing w:line="600" w:lineRule="exact"/>
        <w:ind w:firstLine="640"/>
        <w:rPr>
          <w:rStyle w:val="19"/>
          <w:rFonts w:hint="eastAsia" w:ascii="仿宋" w:hAnsi="仿宋" w:eastAsia="仿宋" w:cstheme="minorBidi"/>
          <w:bCs/>
          <w:sz w:val="32"/>
          <w:szCs w:val="32"/>
        </w:rPr>
      </w:pPr>
      <w:r>
        <w:rPr>
          <w:rFonts w:hint="eastAsia" w:ascii="仿宋" w:hAnsi="仿宋" w:eastAsia="仿宋"/>
          <w:sz w:val="32"/>
          <w:szCs w:val="32"/>
          <w:lang w:val="en-US" w:eastAsia="zh-CN"/>
        </w:rPr>
        <w:t>8.</w:t>
      </w:r>
      <w:r>
        <w:rPr>
          <w:rFonts w:hint="eastAsia" w:ascii="仿宋" w:hAnsi="仿宋" w:eastAsia="仿宋"/>
          <w:sz w:val="32"/>
          <w:szCs w:val="32"/>
        </w:rPr>
        <w:t>住房保障支出（类）住房改革支出（款）住房公积金（项）:支出决算为</w:t>
      </w:r>
      <w:r>
        <w:rPr>
          <w:rFonts w:hint="eastAsia" w:ascii="仿宋" w:hAnsi="仿宋" w:eastAsia="仿宋"/>
          <w:sz w:val="32"/>
          <w:szCs w:val="32"/>
          <w:lang w:val="en-US" w:eastAsia="zh-CN"/>
        </w:rPr>
        <w:t>8.97</w:t>
      </w:r>
      <w:r>
        <w:rPr>
          <w:rFonts w:hint="eastAsia" w:ascii="仿宋" w:hAnsi="仿宋" w:eastAsia="仿宋"/>
          <w:sz w:val="32"/>
          <w:szCs w:val="32"/>
        </w:rPr>
        <w:t>万元，完成预算</w:t>
      </w:r>
      <w:r>
        <w:rPr>
          <w:rFonts w:hint="eastAsia" w:ascii="仿宋" w:hAnsi="仿宋" w:eastAsia="仿宋"/>
          <w:sz w:val="32"/>
          <w:szCs w:val="32"/>
          <w:lang w:val="en-US" w:eastAsia="zh-CN"/>
        </w:rPr>
        <w:t>100</w:t>
      </w:r>
      <w:r>
        <w:rPr>
          <w:rFonts w:hint="eastAsia" w:ascii="仿宋" w:hAnsi="仿宋" w:eastAsia="仿宋"/>
          <w:sz w:val="32"/>
          <w:szCs w:val="32"/>
        </w:rPr>
        <w:t>%。</w:t>
      </w:r>
    </w:p>
    <w:p>
      <w:pPr>
        <w:tabs>
          <w:tab w:val="right" w:pos="8306"/>
        </w:tabs>
        <w:spacing w:line="600" w:lineRule="exact"/>
        <w:ind w:firstLine="640"/>
        <w:outlineLvl w:val="1"/>
        <w:rPr>
          <w:rStyle w:val="31"/>
        </w:rPr>
      </w:pPr>
      <w:bookmarkStart w:id="48" w:name="_Toc29367"/>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1"/>
          <w:rFonts w:hint="eastAsia" w:ascii="黑体" w:hAnsi="黑体" w:eastAsia="黑体"/>
          <w:b w:val="0"/>
        </w:rPr>
        <w:t>般公共预算财政拨款基本支出决算情况说明</w:t>
      </w:r>
      <w:bookmarkEnd w:id="46"/>
      <w:bookmarkEnd w:id="47"/>
      <w:bookmarkEnd w:id="48"/>
      <w:r>
        <w:rPr>
          <w:rStyle w:val="31"/>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hint="eastAsia" w:ascii="仿宋" w:hAnsi="仿宋" w:eastAsia="仿宋"/>
          <w:b/>
          <w:sz w:val="32"/>
          <w:szCs w:val="32"/>
          <w:lang w:val="en-US" w:eastAsia="zh-CN"/>
        </w:rPr>
        <w:t>121.64</w:t>
      </w:r>
      <w:r>
        <w:rPr>
          <w:rFonts w:hint="eastAsia" w:ascii="仿宋" w:hAnsi="仿宋" w:eastAsia="仿宋"/>
          <w:sz w:val="32"/>
          <w:szCs w:val="32"/>
        </w:rPr>
        <w:t>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b/>
          <w:sz w:val="32"/>
          <w:szCs w:val="32"/>
          <w:lang w:val="en-US" w:eastAsia="zh-CN"/>
        </w:rPr>
        <w:t>106.76</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万元，主要包括：基本工资、津贴补贴、奖金、伙食补助费、绩效工资、机关事业单位基本养老保险缴费、职业年金缴费、其他社会保障缴费、其他工资福利支出、住房公积金、其他对个人和家庭的补助支出。</w:t>
      </w:r>
      <w:r>
        <w:rPr>
          <w:rFonts w:ascii="仿宋" w:hAnsi="仿宋" w:eastAsia="仿宋"/>
          <w:sz w:val="32"/>
          <w:szCs w:val="32"/>
        </w:rPr>
        <w:br w:type="textWrapping"/>
      </w:r>
      <w:r>
        <w:rPr>
          <w:rFonts w:hint="eastAsia" w:ascii="仿宋" w:hAnsi="仿宋" w:eastAsia="仿宋"/>
          <w:sz w:val="32"/>
          <w:szCs w:val="32"/>
        </w:rPr>
        <w:t>　　公用经费</w:t>
      </w:r>
      <w:r>
        <w:rPr>
          <w:rFonts w:hint="eastAsia" w:ascii="仿宋" w:hAnsi="仿宋" w:eastAsia="仿宋"/>
          <w:b/>
          <w:sz w:val="32"/>
          <w:szCs w:val="32"/>
          <w:lang w:val="en-US" w:eastAsia="zh-CN"/>
        </w:rPr>
        <w:t>14.88</w:t>
      </w:r>
      <w:r>
        <w:rPr>
          <w:rFonts w:hint="eastAsia" w:ascii="仿宋" w:hAnsi="仿宋" w:eastAsia="仿宋"/>
          <w:sz w:val="32"/>
          <w:szCs w:val="32"/>
        </w:rPr>
        <w:t>万元，主要包括：办公费、印刷费、咨询费、手续费、水费、电费、邮电费、差旅费、维修（护）费、劳务费、委托业务费、工会经费、福利费、其他商品和服务支出。</w:t>
      </w:r>
    </w:p>
    <w:p>
      <w:pPr>
        <w:spacing w:line="600" w:lineRule="exact"/>
        <w:ind w:firstLine="640" w:firstLineChars="200"/>
        <w:outlineLvl w:val="9"/>
        <w:rPr>
          <w:rFonts w:hint="eastAsia" w:ascii="黑体" w:eastAsia="黑体"/>
          <w:sz w:val="32"/>
          <w:szCs w:val="32"/>
        </w:rPr>
      </w:pPr>
      <w:bookmarkStart w:id="49" w:name="_Toc15377215"/>
      <w:bookmarkStart w:id="50" w:name="_Toc15396609"/>
    </w:p>
    <w:p>
      <w:pPr>
        <w:spacing w:line="600" w:lineRule="exact"/>
        <w:ind w:firstLine="640" w:firstLineChars="200"/>
        <w:outlineLvl w:val="1"/>
        <w:rPr>
          <w:rStyle w:val="31"/>
          <w:rFonts w:ascii="黑体" w:hAnsi="黑体" w:eastAsia="黑体"/>
          <w:b w:val="0"/>
        </w:rPr>
      </w:pPr>
      <w:bookmarkStart w:id="51" w:name="_Toc32420"/>
      <w:r>
        <w:rPr>
          <w:rFonts w:hint="eastAsia" w:ascii="黑体" w:eastAsia="黑体"/>
          <w:sz w:val="32"/>
          <w:szCs w:val="32"/>
        </w:rPr>
        <w:t>七、</w:t>
      </w:r>
      <w:r>
        <w:rPr>
          <w:rStyle w:val="31"/>
          <w:rFonts w:hint="eastAsia" w:ascii="黑体" w:hAnsi="黑体" w:eastAsia="黑体"/>
          <w:b w:val="0"/>
        </w:rPr>
        <w:t>财政拨款</w:t>
      </w:r>
      <w:r>
        <w:rPr>
          <w:rStyle w:val="31"/>
          <w:rFonts w:hint="eastAsia" w:ascii="黑体" w:hAnsi="黑体" w:eastAsia="黑体"/>
        </w:rPr>
        <w:t>“</w:t>
      </w:r>
      <w:r>
        <w:rPr>
          <w:rStyle w:val="31"/>
          <w:rFonts w:hint="eastAsia" w:ascii="黑体" w:hAnsi="黑体" w:eastAsia="黑体"/>
          <w:b w:val="0"/>
        </w:rPr>
        <w:t>三公”经费支出决算情况说明</w:t>
      </w:r>
      <w:bookmarkEnd w:id="49"/>
      <w:bookmarkEnd w:id="50"/>
      <w:bookmarkEnd w:id="51"/>
    </w:p>
    <w:p>
      <w:pPr>
        <w:spacing w:line="600" w:lineRule="exact"/>
        <w:ind w:firstLine="640"/>
        <w:outlineLvl w:val="2"/>
        <w:rPr>
          <w:rFonts w:ascii="仿宋" w:hAnsi="仿宋" w:eastAsia="仿宋"/>
          <w:b/>
          <w:sz w:val="32"/>
          <w:szCs w:val="32"/>
        </w:rPr>
      </w:pPr>
      <w:bookmarkStart w:id="52" w:name="_Toc15377216"/>
      <w:r>
        <w:rPr>
          <w:rFonts w:hint="eastAsia" w:ascii="仿宋" w:hAnsi="仿宋" w:eastAsia="仿宋"/>
          <w:b/>
          <w:sz w:val="32"/>
          <w:szCs w:val="32"/>
        </w:rPr>
        <w:t>（一）“三公”经费财政拨款支出决算总体情况说明</w:t>
      </w:r>
      <w:bookmarkEnd w:id="52"/>
    </w:p>
    <w:p>
      <w:pPr>
        <w:pStyle w:val="36"/>
        <w:ind w:firstLine="320" w:firstLineChars="100"/>
        <w:rPr>
          <w:rFonts w:hint="eastAsia" w:ascii="仿宋_GB2312" w:hAnsi="仿宋" w:eastAsia="仿宋_GB2312"/>
          <w:sz w:val="32"/>
          <w:szCs w:val="32"/>
        </w:rPr>
      </w:pPr>
      <w:r>
        <w:rPr>
          <w:rFonts w:hint="eastAsia" w:ascii="仿宋_GB2312" w:hAnsi="仿宋"/>
          <w:sz w:val="32"/>
          <w:szCs w:val="32"/>
          <w:lang w:val="en-US" w:eastAsia="zh-CN"/>
        </w:rPr>
        <w:t>2023年度</w:t>
      </w:r>
      <w:r>
        <w:rPr>
          <w:rFonts w:hint="eastAsia" w:ascii="仿宋_GB2312" w:hAnsi="仿宋" w:eastAsia="仿宋_GB2312"/>
          <w:sz w:val="32"/>
          <w:szCs w:val="32"/>
        </w:rPr>
        <w:t>“三公”经费支出</w:t>
      </w:r>
      <w:r>
        <w:rPr>
          <w:rFonts w:hint="eastAsia" w:ascii="仿宋_GB2312" w:hAnsi="仿宋"/>
          <w:sz w:val="32"/>
          <w:szCs w:val="32"/>
          <w:lang w:val="en-US" w:eastAsia="zh-CN"/>
        </w:rPr>
        <w:t>决算</w:t>
      </w:r>
      <w:r>
        <w:rPr>
          <w:rFonts w:hint="eastAsia" w:ascii="仿宋_GB2312" w:hAnsi="仿宋" w:eastAsia="仿宋_GB2312"/>
          <w:sz w:val="32"/>
          <w:szCs w:val="32"/>
        </w:rPr>
        <w:t>为1.52万元,上年同期“三公”经费支出合计金额为0.78万元,与上年对比增加0.74万元，比上年增加94.64%。变化原因为因疫情开放。</w:t>
      </w:r>
    </w:p>
    <w:p>
      <w:pPr>
        <w:spacing w:line="600" w:lineRule="exact"/>
        <w:ind w:firstLine="640"/>
        <w:outlineLvl w:val="2"/>
        <w:rPr>
          <w:rFonts w:ascii="仿宋" w:hAnsi="仿宋" w:eastAsia="仿宋"/>
          <w:b/>
          <w:sz w:val="32"/>
          <w:szCs w:val="32"/>
        </w:rPr>
      </w:pPr>
      <w:bookmarkStart w:id="53" w:name="_Toc15377217"/>
      <w:r>
        <w:rPr>
          <w:rFonts w:hint="eastAsia" w:ascii="仿宋" w:hAnsi="仿宋" w:eastAsia="仿宋"/>
          <w:b/>
          <w:sz w:val="32"/>
          <w:szCs w:val="32"/>
        </w:rPr>
        <w:t>（二）“三公”经费财政拨款支出决算具体情况说明</w:t>
      </w:r>
      <w:bookmarkEnd w:id="53"/>
    </w:p>
    <w:p>
      <w:pPr>
        <w:pStyle w:val="36"/>
        <w:ind w:firstLine="640" w:firstLineChars="200"/>
        <w:rPr>
          <w:rFonts w:hint="eastAsia" w:ascii="仿宋" w:hAnsi="仿宋" w:eastAsia="仿宋" w:cs="Times New Roman"/>
          <w:sz w:val="32"/>
          <w:szCs w:val="32"/>
        </w:rPr>
      </w:pPr>
      <w:bookmarkStart w:id="54" w:name="_Toc15377218"/>
      <w:bookmarkStart w:id="55" w:name="_Toc15396610"/>
      <w:r>
        <w:rPr>
          <w:rFonts w:hint="eastAsia" w:ascii="仿宋" w:hAnsi="仿宋" w:eastAsia="仿宋" w:cs="Times New Roman"/>
          <w:sz w:val="32"/>
          <w:szCs w:val="32"/>
        </w:rPr>
        <w:t>2023年度“三公”经费财政拨款支出决算中，因公出国（境）费支出决算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；公务用车购置及运行维护费支出决算</w:t>
      </w:r>
      <w:r>
        <w:rPr>
          <w:rFonts w:ascii="仿宋" w:hAnsi="仿宋" w:eastAsia="仿宋" w:cs="Times New Roman"/>
          <w:b/>
          <w:sz w:val="32"/>
          <w:szCs w:val="32"/>
        </w:rPr>
        <w:t>0</w:t>
      </w:r>
      <w:r>
        <w:rPr>
          <w:rFonts w:hint="eastAsia" w:ascii="仿宋" w:hAnsi="仿宋" w:eastAsia="仿宋" w:cs="Times New Roman"/>
          <w:sz w:val="32"/>
          <w:szCs w:val="32"/>
        </w:rPr>
        <w:t>万元，占</w:t>
      </w:r>
      <w:r>
        <w:rPr>
          <w:rFonts w:ascii="仿宋" w:hAnsi="仿宋" w:eastAsia="仿宋" w:cs="Times New Roman"/>
          <w:b/>
          <w:sz w:val="32"/>
          <w:szCs w:val="32"/>
        </w:rPr>
        <w:t>0</w:t>
      </w:r>
      <w:r>
        <w:rPr>
          <w:rFonts w:ascii="仿宋" w:hAnsi="仿宋" w:eastAsia="仿宋" w:cs="Times New Roman"/>
          <w:sz w:val="32"/>
          <w:szCs w:val="32"/>
        </w:rPr>
        <w:t>%</w:t>
      </w:r>
      <w:r>
        <w:rPr>
          <w:rFonts w:hint="eastAsia" w:ascii="仿宋" w:hAnsi="仿宋" w:eastAsia="仿宋" w:cs="Times New Roman"/>
          <w:sz w:val="32"/>
          <w:szCs w:val="32"/>
        </w:rPr>
        <w:t>；</w:t>
      </w:r>
      <w:r>
        <w:rPr>
          <w:rFonts w:hint="eastAsia" w:ascii="仿宋_GB2312" w:hAnsi="仿宋" w:eastAsia="仿宋_GB2312"/>
          <w:sz w:val="32"/>
          <w:szCs w:val="32"/>
          <w:lang w:val="en-US" w:eastAsia="zh-CN"/>
        </w:rPr>
        <w:t>公务接待费</w:t>
      </w:r>
      <w:r>
        <w:rPr>
          <w:rFonts w:hint="eastAsia" w:ascii="仿宋" w:hAnsi="仿宋" w:eastAsia="仿宋" w:cs="Times New Roman"/>
          <w:sz w:val="32"/>
          <w:szCs w:val="32"/>
        </w:rPr>
        <w:t>支出决算</w:t>
      </w:r>
      <w:r>
        <w:rPr>
          <w:rFonts w:hint="eastAsia" w:ascii="仿宋_GB2312" w:hAnsi="仿宋" w:eastAsia="仿宋_GB2312"/>
          <w:sz w:val="32"/>
          <w:szCs w:val="32"/>
          <w:lang w:val="en-US" w:eastAsia="zh-CN"/>
        </w:rPr>
        <w:t>1.52万元,</w:t>
      </w:r>
      <w:r>
        <w:rPr>
          <w:rFonts w:hint="eastAsia" w:ascii="仿宋_GB2312" w:hAnsi="仿宋"/>
          <w:sz w:val="32"/>
          <w:szCs w:val="32"/>
          <w:lang w:val="en-US" w:eastAsia="zh-CN"/>
        </w:rPr>
        <w:t>占比100</w:t>
      </w:r>
      <w:r>
        <w:rPr>
          <w:rFonts w:ascii="仿宋" w:hAnsi="仿宋" w:eastAsia="仿宋" w:cs="Times New Roman"/>
          <w:sz w:val="32"/>
          <w:szCs w:val="32"/>
        </w:rPr>
        <w:t>%</w:t>
      </w:r>
      <w:r>
        <w:rPr>
          <w:rFonts w:hint="eastAsia" w:ascii="仿宋" w:hAnsi="仿宋" w:eastAsia="仿宋" w:cs="Times New Roman"/>
          <w:sz w:val="32"/>
          <w:szCs w:val="32"/>
          <w:lang w:eastAsia="zh-CN"/>
        </w:rPr>
        <w:t>。</w:t>
      </w:r>
      <w:r>
        <w:rPr>
          <w:rFonts w:hint="eastAsia" w:ascii="仿宋" w:hAnsi="仿宋" w:eastAsia="仿宋" w:cs="Times New Roman"/>
          <w:sz w:val="32"/>
          <w:szCs w:val="32"/>
        </w:rPr>
        <w:t>具体情况如下：</w:t>
      </w:r>
    </w:p>
    <w:p>
      <w:pPr>
        <w:pStyle w:val="36"/>
        <w:spacing w:line="240" w:lineRule="auto"/>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drawing>
          <wp:inline distT="0" distB="0" distL="114300" distR="114300">
            <wp:extent cx="4953000" cy="3419475"/>
            <wp:effectExtent l="0" t="0" r="0" b="9525"/>
            <wp:docPr id="1" name="图片 1" descr="8B8367D0-91BD-11EF-9177-D85ED3127B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B8367D0-91BD-11EF-9177-D85ED3127BE8"/>
                    <pic:cNvPicPr>
                      <a:picLocks noChangeAspect="1"/>
                    </pic:cNvPicPr>
                  </pic:nvPicPr>
                  <pic:blipFill>
                    <a:blip r:embed="rId11"/>
                    <a:stretch>
                      <a:fillRect/>
                    </a:stretch>
                  </pic:blipFill>
                  <pic:spPr>
                    <a:xfrm>
                      <a:off x="0" y="0"/>
                      <a:ext cx="4953000" cy="3419475"/>
                    </a:xfrm>
                    <a:prstGeom prst="rect">
                      <a:avLst/>
                    </a:prstGeom>
                  </pic:spPr>
                </pic:pic>
              </a:graphicData>
            </a:graphic>
          </wp:inline>
        </w:drawing>
      </w:r>
    </w:p>
    <w:p>
      <w:pPr>
        <w:spacing w:line="600" w:lineRule="exact"/>
        <w:ind w:firstLine="640"/>
        <w:rPr>
          <w:rFonts w:ascii="仿宋" w:hAnsi="仿宋" w:eastAsia="仿宋" w:cs="Times New Roman"/>
          <w:sz w:val="32"/>
          <w:szCs w:val="32"/>
        </w:rPr>
      </w:pPr>
      <w:r>
        <w:rPr>
          <w:rFonts w:hint="eastAsia" w:ascii="仿宋" w:hAnsi="仿宋" w:eastAsia="仿宋" w:cs="Times New Roman"/>
          <w:sz w:val="32"/>
          <w:szCs w:val="32"/>
        </w:rPr>
        <w:t>（图7：“三公”经费财政拨款支出结构）（饼状图）</w:t>
      </w:r>
    </w:p>
    <w:p>
      <w:pPr>
        <w:pStyle w:val="36"/>
        <w:spacing w:line="240" w:lineRule="auto"/>
        <w:ind w:firstLine="640" w:firstLineChars="200"/>
        <w:rPr>
          <w:rFonts w:hint="eastAsia" w:ascii="仿宋" w:hAnsi="仿宋" w:eastAsia="仿宋" w:cs="Times New Roman"/>
          <w:sz w:val="32"/>
          <w:szCs w:val="32"/>
          <w:lang w:eastAsia="zh-CN"/>
        </w:rPr>
      </w:pPr>
    </w:p>
    <w:p>
      <w:pPr>
        <w:spacing w:line="600" w:lineRule="exact"/>
        <w:ind w:firstLine="640"/>
        <w:rPr>
          <w:rFonts w:ascii="仿宋_GB2312" w:hAnsi="Times New Roman" w:eastAsia="仿宋_GB2312" w:cs="Times New Roman"/>
          <w:b/>
          <w:sz w:val="32"/>
          <w:szCs w:val="32"/>
        </w:rPr>
      </w:pPr>
      <w:r>
        <w:rPr>
          <w:rFonts w:ascii="仿宋_GB2312" w:hAnsi="Times New Roman" w:eastAsia="仿宋_GB2312" w:cs="Times New Roman"/>
          <w:b/>
          <w:sz w:val="32"/>
          <w:szCs w:val="32"/>
        </w:rPr>
        <w:t>1.</w:t>
      </w:r>
      <w:r>
        <w:rPr>
          <w:rFonts w:hint="eastAsia" w:ascii="仿宋_GB2312" w:hAnsi="Times New Roman" w:eastAsia="仿宋_GB2312" w:cs="Times New Roman"/>
          <w:b/>
          <w:sz w:val="32"/>
          <w:szCs w:val="32"/>
        </w:rPr>
        <w:t>因公出国（境）经费支出</w:t>
      </w:r>
      <w:r>
        <w:rPr>
          <w:rFonts w:ascii="仿宋" w:hAnsi="仿宋" w:eastAsia="仿宋" w:cs="Times New Roman"/>
          <w:b/>
          <w:sz w:val="32"/>
          <w:szCs w:val="32"/>
        </w:rPr>
        <w:t>0</w:t>
      </w:r>
      <w:r>
        <w:rPr>
          <w:rFonts w:hint="eastAsia" w:ascii="仿宋_GB2312" w:hAnsi="Times New Roman" w:eastAsia="仿宋_GB2312" w:cs="Times New Roman"/>
          <w:sz w:val="32"/>
          <w:szCs w:val="32"/>
        </w:rPr>
        <w:t>万元，</w:t>
      </w:r>
      <w:r>
        <w:rPr>
          <w:rStyle w:val="19"/>
          <w:rFonts w:hint="eastAsia" w:ascii="仿宋" w:hAnsi="仿宋" w:eastAsia="仿宋" w:cstheme="minorBidi"/>
          <w:b w:val="0"/>
          <w:bCs/>
          <w:sz w:val="32"/>
          <w:szCs w:val="32"/>
        </w:rPr>
        <w:t>完成预算</w:t>
      </w:r>
      <w:r>
        <w:rPr>
          <w:rStyle w:val="19"/>
          <w:rFonts w:ascii="仿宋" w:hAnsi="仿宋" w:eastAsia="仿宋" w:cstheme="minorBidi"/>
          <w:bCs/>
          <w:sz w:val="32"/>
          <w:szCs w:val="32"/>
        </w:rPr>
        <w:t>0</w:t>
      </w:r>
      <w:r>
        <w:rPr>
          <w:rStyle w:val="19"/>
          <w:rFonts w:ascii="仿宋" w:hAnsi="仿宋" w:eastAsia="仿宋" w:cstheme="minorBidi"/>
          <w:b w:val="0"/>
          <w:bCs/>
          <w:sz w:val="32"/>
          <w:szCs w:val="32"/>
        </w:rPr>
        <w:t>%</w:t>
      </w:r>
      <w:r>
        <w:rPr>
          <w:rStyle w:val="19"/>
          <w:rFonts w:hint="eastAsia" w:ascii="仿宋" w:hAnsi="仿宋" w:eastAsia="仿宋" w:cstheme="minorBidi"/>
          <w:b w:val="0"/>
          <w:bCs/>
          <w:sz w:val="32"/>
          <w:szCs w:val="32"/>
        </w:rPr>
        <w:t>。</w:t>
      </w:r>
      <w:r>
        <w:rPr>
          <w:rFonts w:hint="eastAsia" w:ascii="仿宋_GB2312" w:hAnsi="Times New Roman" w:eastAsia="仿宋_GB2312" w:cs="Times New Roman"/>
          <w:sz w:val="32"/>
          <w:szCs w:val="32"/>
        </w:rPr>
        <w:t>全年安排因公出国（境）团组</w:t>
      </w:r>
      <w:r>
        <w:rPr>
          <w:rFonts w:ascii="仿宋_GB2312" w:hAnsi="Times New Roman" w:eastAsia="仿宋_GB2312" w:cs="Times New Roman"/>
          <w:b/>
          <w:sz w:val="32"/>
          <w:szCs w:val="32"/>
        </w:rPr>
        <w:t>0</w:t>
      </w:r>
      <w:r>
        <w:rPr>
          <w:rFonts w:hint="eastAsia" w:ascii="仿宋_GB2312" w:hAnsi="Times New Roman" w:eastAsia="仿宋_GB2312" w:cs="Times New Roman"/>
          <w:sz w:val="32"/>
          <w:szCs w:val="32"/>
        </w:rPr>
        <w:t>次，出国（境）</w:t>
      </w:r>
      <w:r>
        <w:rPr>
          <w:rFonts w:ascii="仿宋_GB2312" w:hAnsi="Times New Roman" w:eastAsia="仿宋_GB2312" w:cs="Times New Roman"/>
          <w:b/>
          <w:sz w:val="32"/>
          <w:szCs w:val="32"/>
        </w:rPr>
        <w:t>0</w:t>
      </w:r>
      <w:r>
        <w:rPr>
          <w:rFonts w:hint="eastAsia" w:ascii="仿宋_GB2312" w:hAnsi="Times New Roman" w:eastAsia="仿宋_GB2312" w:cs="Times New Roman"/>
          <w:sz w:val="32"/>
          <w:szCs w:val="32"/>
        </w:rPr>
        <w:t>人。因公出国（境）支出决算</w:t>
      </w:r>
      <w:r>
        <w:rPr>
          <w:rFonts w:hint="eastAsia" w:ascii="仿宋_GB2312" w:eastAsia="仿宋_GB2312" w:cs="Times New Roman"/>
          <w:sz w:val="32"/>
          <w:szCs w:val="32"/>
          <w:lang w:val="en-US" w:eastAsia="zh-CN"/>
        </w:rPr>
        <w:t>与</w:t>
      </w:r>
      <w:r>
        <w:rPr>
          <w:rFonts w:hint="eastAsia" w:ascii="仿宋_GB2312" w:hAnsi="Times New Roman" w:eastAsia="仿宋_GB2312" w:cs="Times New Roman"/>
          <w:sz w:val="32"/>
          <w:szCs w:val="32"/>
        </w:rPr>
        <w:t>2022年</w:t>
      </w:r>
      <w:r>
        <w:rPr>
          <w:rFonts w:hint="eastAsia" w:ascii="仿宋_GB2312" w:eastAsia="仿宋_GB2312" w:cs="Times New Roman"/>
          <w:sz w:val="32"/>
          <w:szCs w:val="32"/>
          <w:lang w:val="en-US" w:eastAsia="zh-CN"/>
        </w:rPr>
        <w:t>持平，主要原因是无</w:t>
      </w:r>
      <w:r>
        <w:rPr>
          <w:rFonts w:hint="eastAsia" w:ascii="仿宋_GB2312" w:hAnsi="Times New Roman" w:eastAsia="仿宋_GB2312" w:cs="Times New Roman"/>
          <w:sz w:val="32"/>
          <w:szCs w:val="32"/>
        </w:rPr>
        <w:t>因公出国（境）</w:t>
      </w:r>
      <w:r>
        <w:rPr>
          <w:rFonts w:hint="eastAsia" w:ascii="仿宋_GB2312" w:eastAsia="仿宋_GB2312" w:cs="Times New Roman"/>
          <w:sz w:val="32"/>
          <w:szCs w:val="32"/>
          <w:lang w:val="en-US" w:eastAsia="zh-CN"/>
        </w:rPr>
        <w:t>业务</w:t>
      </w:r>
      <w:r>
        <w:rPr>
          <w:rFonts w:hint="eastAsia" w:ascii="仿宋_GB2312" w:hAnsi="Times New Roman" w:eastAsia="仿宋_GB2312" w:cs="Times New Roman"/>
          <w:sz w:val="32"/>
          <w:szCs w:val="32"/>
        </w:rPr>
        <w:t>。</w:t>
      </w:r>
    </w:p>
    <w:p>
      <w:pPr>
        <w:spacing w:line="600" w:lineRule="exact"/>
        <w:ind w:firstLine="640"/>
        <w:rPr>
          <w:rFonts w:ascii="仿宋_GB2312" w:hAnsi="Times New Roman" w:eastAsia="仿宋_GB2312" w:cs="Times New Roman"/>
          <w:b/>
          <w:sz w:val="32"/>
          <w:szCs w:val="32"/>
        </w:rPr>
      </w:pPr>
      <w:r>
        <w:rPr>
          <w:rFonts w:ascii="仿宋_GB2312" w:hAnsi="Times New Roman" w:eastAsia="仿宋_GB2312" w:cs="Times New Roman"/>
          <w:b/>
          <w:sz w:val="32"/>
          <w:szCs w:val="32"/>
        </w:rPr>
        <w:t>2.</w:t>
      </w:r>
      <w:r>
        <w:rPr>
          <w:rFonts w:hint="eastAsia" w:ascii="仿宋_GB2312" w:hAnsi="Times New Roman" w:eastAsia="仿宋_GB2312" w:cs="Times New Roman"/>
          <w:b/>
          <w:sz w:val="32"/>
          <w:szCs w:val="32"/>
        </w:rPr>
        <w:t>公务用车购置及运行维护费支出</w:t>
      </w:r>
      <w:r>
        <w:rPr>
          <w:rFonts w:ascii="仿宋" w:hAnsi="仿宋" w:eastAsia="仿宋" w:cs="Times New Roman"/>
          <w:b/>
          <w:sz w:val="32"/>
          <w:szCs w:val="32"/>
        </w:rPr>
        <w:t>0</w:t>
      </w:r>
      <w:r>
        <w:rPr>
          <w:rFonts w:hint="eastAsia" w:ascii="仿宋_GB2312" w:hAnsi="Times New Roman" w:eastAsia="仿宋_GB2312" w:cs="Times New Roman"/>
          <w:sz w:val="32"/>
          <w:szCs w:val="32"/>
        </w:rPr>
        <w:t>万元,</w:t>
      </w:r>
      <w:r>
        <w:rPr>
          <w:rStyle w:val="19"/>
          <w:rFonts w:hint="eastAsia" w:ascii="仿宋" w:hAnsi="仿宋" w:eastAsia="仿宋" w:cstheme="minorBidi"/>
          <w:b w:val="0"/>
          <w:bCs/>
          <w:sz w:val="32"/>
          <w:szCs w:val="32"/>
        </w:rPr>
        <w:t>完成预算</w:t>
      </w:r>
      <w:r>
        <w:rPr>
          <w:rStyle w:val="19"/>
          <w:rFonts w:ascii="仿宋" w:hAnsi="仿宋" w:eastAsia="仿宋" w:cstheme="minorBidi"/>
          <w:bCs/>
          <w:sz w:val="32"/>
          <w:szCs w:val="32"/>
        </w:rPr>
        <w:t>0</w:t>
      </w:r>
      <w:r>
        <w:rPr>
          <w:rStyle w:val="19"/>
          <w:rFonts w:ascii="仿宋" w:hAnsi="仿宋" w:eastAsia="仿宋" w:cstheme="minorBidi"/>
          <w:b w:val="0"/>
          <w:bCs/>
          <w:sz w:val="32"/>
          <w:szCs w:val="32"/>
        </w:rPr>
        <w:t>%</w:t>
      </w:r>
      <w:r>
        <w:rPr>
          <w:rStyle w:val="19"/>
          <w:rFonts w:hint="eastAsia" w:ascii="仿宋" w:hAnsi="仿宋" w:eastAsia="仿宋" w:cstheme="minorBidi"/>
          <w:b w:val="0"/>
          <w:bCs/>
          <w:sz w:val="32"/>
          <w:szCs w:val="32"/>
        </w:rPr>
        <w:t>。</w:t>
      </w:r>
      <w:r>
        <w:rPr>
          <w:rFonts w:hint="eastAsia" w:ascii="仿宋_GB2312" w:hAnsi="Times New Roman" w:eastAsia="仿宋_GB2312" w:cs="Times New Roman"/>
          <w:sz w:val="32"/>
          <w:szCs w:val="32"/>
        </w:rPr>
        <w:t>公务用车购置及运行维护费支出决算</w:t>
      </w:r>
      <w:r>
        <w:rPr>
          <w:rFonts w:hint="eastAsia" w:ascii="仿宋_GB2312" w:eastAsia="仿宋_GB2312" w:cs="Times New Roman"/>
          <w:sz w:val="32"/>
          <w:szCs w:val="32"/>
          <w:lang w:val="en-US" w:eastAsia="zh-CN"/>
        </w:rPr>
        <w:t>与</w:t>
      </w:r>
      <w:r>
        <w:rPr>
          <w:rFonts w:hint="eastAsia" w:ascii="仿宋_GB2312" w:hAnsi="Times New Roman" w:eastAsia="仿宋_GB2312" w:cs="Times New Roman"/>
          <w:sz w:val="32"/>
          <w:szCs w:val="32"/>
        </w:rPr>
        <w:t>2022年度</w:t>
      </w:r>
      <w:r>
        <w:rPr>
          <w:rFonts w:hint="eastAsia" w:ascii="仿宋_GB2312" w:eastAsia="仿宋_GB2312" w:cs="Times New Roman"/>
          <w:sz w:val="32"/>
          <w:szCs w:val="32"/>
          <w:lang w:val="en-US" w:eastAsia="zh-CN"/>
        </w:rPr>
        <w:t>持平，增长0%，主要原因是公务车统一由区机关事务局管理</w:t>
      </w:r>
      <w:r>
        <w:rPr>
          <w:rFonts w:hint="eastAsia" w:ascii="仿宋_GB2312" w:hAnsi="Times New Roman" w:eastAsia="仿宋_GB2312" w:cs="Times New Roman"/>
          <w:sz w:val="32"/>
          <w:szCs w:val="32"/>
        </w:rPr>
        <w:t>。</w:t>
      </w:r>
    </w:p>
    <w:p>
      <w:pPr>
        <w:spacing w:line="600" w:lineRule="exact"/>
        <w:ind w:firstLine="640" w:firstLineChars="200"/>
        <w:rPr>
          <w:rFonts w:ascii="仿宋_GB2312" w:hAnsi="Times New Roman" w:eastAsia="仿宋_GB2312" w:cs="Times New Roman"/>
          <w:b/>
          <w:sz w:val="32"/>
          <w:szCs w:val="32"/>
        </w:rPr>
      </w:pPr>
      <w:r>
        <w:rPr>
          <w:rFonts w:hint="eastAsia" w:ascii="仿宋_GB2312" w:hAnsi="Times New Roman" w:eastAsia="仿宋_GB2312" w:cs="Times New Roman"/>
          <w:sz w:val="32"/>
          <w:szCs w:val="32"/>
        </w:rPr>
        <w:t>其中：</w:t>
      </w:r>
      <w:r>
        <w:rPr>
          <w:rFonts w:hint="eastAsia" w:ascii="仿宋_GB2312" w:hAnsi="Times New Roman" w:eastAsia="仿宋_GB2312" w:cs="Times New Roman"/>
          <w:b/>
          <w:sz w:val="32"/>
          <w:szCs w:val="32"/>
        </w:rPr>
        <w:t>公务用车购置支出</w:t>
      </w:r>
      <w:r>
        <w:rPr>
          <w:rFonts w:ascii="仿宋" w:hAnsi="仿宋" w:eastAsia="仿宋" w:cs="Times New Roman"/>
          <w:b/>
          <w:sz w:val="32"/>
          <w:szCs w:val="32"/>
        </w:rPr>
        <w:t>0</w:t>
      </w:r>
      <w:r>
        <w:rPr>
          <w:rFonts w:hint="eastAsia" w:ascii="仿宋_GB2312" w:hAnsi="Times New Roman" w:eastAsia="仿宋_GB2312" w:cs="Times New Roman"/>
          <w:sz w:val="32"/>
          <w:szCs w:val="32"/>
        </w:rPr>
        <w:t>万元。全年按规定更新购置公务用车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辆，其中：轿车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辆、金额</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万元，越野车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辆、金额</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万元，载客汽车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辆、金额</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万元。截至2023年</w:t>
      </w:r>
      <w:r>
        <w:rPr>
          <w:rFonts w:ascii="仿宋_GB2312" w:hAnsi="Times New Roman" w:eastAsia="仿宋_GB2312" w:cs="Times New Roman"/>
          <w:sz w:val="32"/>
          <w:szCs w:val="32"/>
        </w:rPr>
        <w:t>12</w:t>
      </w:r>
      <w:r>
        <w:rPr>
          <w:rFonts w:hint="eastAsia" w:ascii="仿宋_GB2312" w:hAnsi="Times New Roman" w:eastAsia="仿宋_GB2312" w:cs="Times New Roman"/>
          <w:sz w:val="32"/>
          <w:szCs w:val="32"/>
        </w:rPr>
        <w:t>月31日，单位共有公务用车</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辆，其中：轿车</w:t>
      </w: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辆、越野车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辆、载客汽车</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辆。</w:t>
      </w:r>
    </w:p>
    <w:p>
      <w:pPr>
        <w:spacing w:line="600" w:lineRule="exact"/>
        <w:ind w:firstLine="64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公务用车运行维护费支出</w:t>
      </w:r>
      <w:r>
        <w:rPr>
          <w:rFonts w:ascii="仿宋" w:hAnsi="仿宋" w:eastAsia="仿宋" w:cs="Times New Roman"/>
          <w:b/>
          <w:sz w:val="32"/>
          <w:szCs w:val="32"/>
        </w:rPr>
        <w:t>0</w:t>
      </w:r>
      <w:r>
        <w:rPr>
          <w:rFonts w:hint="eastAsia" w:ascii="仿宋_GB2312" w:hAnsi="Times New Roman" w:eastAsia="仿宋_GB2312" w:cs="Times New Roman"/>
          <w:sz w:val="32"/>
          <w:szCs w:val="32"/>
        </w:rPr>
        <w:t>万元。</w:t>
      </w:r>
    </w:p>
    <w:p>
      <w:pPr>
        <w:pStyle w:val="36"/>
        <w:ind w:left="0" w:leftChars="0" w:firstLine="643" w:firstLineChars="200"/>
        <w:rPr>
          <w:rFonts w:hint="eastAsia" w:ascii="仿宋_GB2312" w:hAnsi="仿宋" w:eastAsia="仿宋_GB2312"/>
          <w:sz w:val="32"/>
          <w:szCs w:val="32"/>
          <w:lang w:val="en-US" w:eastAsia="zh-CN"/>
        </w:rPr>
      </w:pPr>
      <w:r>
        <w:rPr>
          <w:rFonts w:ascii="仿宋_GB2312" w:hAnsi="Times New Roman" w:eastAsia="仿宋_GB2312" w:cs="Times New Roman"/>
          <w:b/>
          <w:sz w:val="32"/>
          <w:szCs w:val="32"/>
        </w:rPr>
        <w:t>3.</w:t>
      </w:r>
      <w:r>
        <w:rPr>
          <w:rFonts w:hint="eastAsia" w:ascii="仿宋_GB2312" w:hAnsi="Times New Roman" w:eastAsia="仿宋_GB2312" w:cs="Times New Roman"/>
          <w:b/>
          <w:sz w:val="32"/>
          <w:szCs w:val="32"/>
        </w:rPr>
        <w:t>公务接待费支出</w:t>
      </w:r>
      <w:r>
        <w:rPr>
          <w:rFonts w:hint="eastAsia" w:ascii="仿宋" w:hAnsi="仿宋" w:eastAsia="仿宋" w:cs="Times New Roman"/>
          <w:b/>
          <w:sz w:val="32"/>
          <w:szCs w:val="32"/>
          <w:lang w:val="en-US" w:eastAsia="zh-CN"/>
        </w:rPr>
        <w:t>1.52</w:t>
      </w:r>
      <w:r>
        <w:rPr>
          <w:rFonts w:hint="eastAsia" w:ascii="仿宋_GB2312" w:hAnsi="Times New Roman" w:eastAsia="仿宋_GB2312" w:cs="Times New Roman"/>
          <w:sz w:val="32"/>
          <w:szCs w:val="32"/>
        </w:rPr>
        <w:t>万元，</w:t>
      </w:r>
      <w:r>
        <w:rPr>
          <w:rStyle w:val="19"/>
          <w:rFonts w:hint="eastAsia" w:ascii="仿宋" w:hAnsi="仿宋" w:eastAsia="仿宋" w:cstheme="minorBidi"/>
          <w:b w:val="0"/>
          <w:bCs/>
          <w:sz w:val="32"/>
          <w:szCs w:val="32"/>
        </w:rPr>
        <w:t>完成预算</w:t>
      </w:r>
      <w:r>
        <w:rPr>
          <w:rStyle w:val="19"/>
          <w:rFonts w:hint="eastAsia" w:ascii="仿宋" w:hAnsi="仿宋" w:eastAsia="仿宋" w:cstheme="minorBidi"/>
          <w:b w:val="0"/>
          <w:bCs/>
          <w:sz w:val="32"/>
          <w:szCs w:val="32"/>
          <w:lang w:val="en-US" w:eastAsia="zh-CN"/>
        </w:rPr>
        <w:t>10</w:t>
      </w:r>
      <w:r>
        <w:rPr>
          <w:rStyle w:val="19"/>
          <w:rFonts w:ascii="仿宋" w:hAnsi="仿宋" w:eastAsia="仿宋" w:cstheme="minorBidi"/>
          <w:b w:val="0"/>
          <w:bCs/>
          <w:sz w:val="32"/>
          <w:szCs w:val="32"/>
        </w:rPr>
        <w:t>0%</w:t>
      </w:r>
      <w:r>
        <w:rPr>
          <w:rStyle w:val="19"/>
          <w:rFonts w:hint="eastAsia" w:ascii="仿宋" w:hAnsi="仿宋" w:eastAsia="仿宋" w:cstheme="minorBidi"/>
          <w:b w:val="0"/>
          <w:bCs/>
          <w:sz w:val="32"/>
          <w:szCs w:val="32"/>
        </w:rPr>
        <w:t>。</w:t>
      </w:r>
      <w:r>
        <w:rPr>
          <w:rFonts w:hint="eastAsia" w:ascii="仿宋_GB2312" w:hAnsi="仿宋" w:eastAsia="仿宋_GB2312"/>
          <w:sz w:val="32"/>
          <w:szCs w:val="32"/>
          <w:lang w:val="en-US" w:eastAsia="zh-CN"/>
        </w:rPr>
        <w:t>上年同期公务接待费金额为0.78万元,与上年对比增加0.74万元，比上年增加94.64%。变化原因为因疫情开放。</w:t>
      </w:r>
    </w:p>
    <w:p>
      <w:pPr>
        <w:spacing w:line="600" w:lineRule="exact"/>
        <w:ind w:firstLine="640"/>
        <w:rPr>
          <w:rFonts w:ascii="仿宋_GB2312" w:hAnsi="Times New Roman" w:eastAsia="仿宋_GB2312" w:cs="Times New Roman"/>
          <w:sz w:val="32"/>
          <w:szCs w:val="32"/>
        </w:rPr>
      </w:pPr>
      <w:r>
        <w:rPr>
          <w:rFonts w:hint="eastAsia" w:ascii="仿宋" w:hAnsi="仿宋" w:eastAsia="仿宋" w:cs="Times New Roman"/>
          <w:b/>
          <w:sz w:val="32"/>
          <w:szCs w:val="32"/>
        </w:rPr>
        <w:t>国内公务接待支出</w:t>
      </w:r>
      <w:r>
        <w:rPr>
          <w:rFonts w:hint="eastAsia" w:ascii="仿宋" w:hAnsi="仿宋" w:eastAsia="仿宋" w:cs="Times New Roman"/>
          <w:b/>
          <w:sz w:val="32"/>
          <w:szCs w:val="32"/>
          <w:lang w:val="en-US" w:eastAsia="zh-CN"/>
        </w:rPr>
        <w:t>1.52</w:t>
      </w:r>
      <w:r>
        <w:rPr>
          <w:rFonts w:hint="eastAsia" w:ascii="仿宋_GB2312" w:hAnsi="Times New Roman" w:eastAsia="仿宋_GB2312" w:cs="Times New Roman"/>
          <w:sz w:val="32"/>
          <w:szCs w:val="32"/>
        </w:rPr>
        <w:t>万元。</w:t>
      </w:r>
      <w:r>
        <w:rPr>
          <w:rFonts w:hint="eastAsia" w:ascii="仿宋_GB2312" w:eastAsia="仿宋_GB2312" w:cs="Times New Roman"/>
          <w:sz w:val="32"/>
          <w:szCs w:val="32"/>
          <w:lang w:eastAsia="zh-CN"/>
        </w:rPr>
        <w:t>主要用于峨眉山市文体旅游局来桥交流、夹江东风堰千佛岩管委会到旅促交流学习以及旅博会等产生的住宿费、用餐费。</w:t>
      </w:r>
      <w:r>
        <w:rPr>
          <w:rFonts w:hint="eastAsia" w:ascii="仿宋_GB2312" w:hAnsi="Times New Roman" w:eastAsia="仿宋_GB2312" w:cs="Times New Roman"/>
          <w:sz w:val="32"/>
          <w:szCs w:val="32"/>
        </w:rPr>
        <w:t>国内公务接待</w:t>
      </w: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批次，</w:t>
      </w:r>
      <w:r>
        <w:rPr>
          <w:rFonts w:hint="eastAsia" w:ascii="仿宋_GB2312" w:eastAsia="仿宋_GB2312" w:cs="Times New Roman"/>
          <w:sz w:val="32"/>
          <w:szCs w:val="32"/>
          <w:lang w:val="en-US" w:eastAsia="zh-CN"/>
        </w:rPr>
        <w:t>78</w:t>
      </w:r>
      <w:r>
        <w:rPr>
          <w:rFonts w:hint="eastAsia" w:ascii="仿宋_GB2312" w:hAnsi="Times New Roman" w:eastAsia="仿宋_GB2312" w:cs="Times New Roman"/>
          <w:sz w:val="32"/>
          <w:szCs w:val="32"/>
        </w:rPr>
        <w:t>人次（不包括陪同人员），共计支出</w:t>
      </w:r>
      <w:r>
        <w:rPr>
          <w:rFonts w:hint="eastAsia" w:ascii="仿宋_GB2312" w:eastAsia="仿宋_GB2312" w:cs="Times New Roman"/>
          <w:sz w:val="32"/>
          <w:szCs w:val="32"/>
          <w:lang w:val="en-US" w:eastAsia="zh-CN"/>
        </w:rPr>
        <w:t>1.52</w:t>
      </w:r>
      <w:r>
        <w:rPr>
          <w:rFonts w:hint="eastAsia" w:ascii="仿宋_GB2312" w:hAnsi="Times New Roman" w:eastAsia="仿宋_GB2312" w:cs="Times New Roman"/>
          <w:sz w:val="32"/>
          <w:szCs w:val="32"/>
        </w:rPr>
        <w:t>万元。</w:t>
      </w:r>
    </w:p>
    <w:p>
      <w:pPr>
        <w:spacing w:line="600" w:lineRule="exact"/>
        <w:ind w:firstLine="640"/>
        <w:outlineLvl w:val="1"/>
        <w:rPr>
          <w:rFonts w:hint="eastAsia" w:ascii="仿宋" w:hAnsi="仿宋" w:eastAsia="仿宋" w:cs="Times New Roman"/>
          <w:sz w:val="32"/>
          <w:szCs w:val="32"/>
          <w:lang w:val="en-US" w:eastAsia="zh-CN"/>
        </w:rPr>
      </w:pPr>
      <w:bookmarkStart w:id="56" w:name="_Toc12009"/>
      <w:r>
        <w:rPr>
          <w:rFonts w:hint="eastAsia" w:ascii="仿宋" w:hAnsi="仿宋" w:eastAsia="仿宋" w:cs="Times New Roman"/>
          <w:b/>
          <w:sz w:val="32"/>
          <w:szCs w:val="32"/>
        </w:rPr>
        <w:t>外事接待支出</w:t>
      </w:r>
      <w:r>
        <w:rPr>
          <w:rFonts w:ascii="仿宋" w:hAnsi="仿宋" w:eastAsia="仿宋" w:cs="Times New Roman"/>
          <w:b/>
          <w:sz w:val="32"/>
          <w:szCs w:val="32"/>
        </w:rPr>
        <w:t>0</w:t>
      </w:r>
      <w:r>
        <w:rPr>
          <w:rFonts w:hint="eastAsia" w:ascii="仿宋_GB2312" w:hAnsi="Times New Roman" w:eastAsia="仿宋_GB2312" w:cs="Times New Roman"/>
          <w:sz w:val="32"/>
          <w:szCs w:val="32"/>
        </w:rPr>
        <w:t>万元，外事接待</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批次，</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人次（不包括陪同人员），共计支出</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万元。</w:t>
      </w:r>
      <w:bookmarkEnd w:id="56"/>
    </w:p>
    <w:p>
      <w:pPr>
        <w:spacing w:line="600" w:lineRule="exact"/>
        <w:ind w:firstLine="640"/>
        <w:outlineLvl w:val="1"/>
        <w:rPr>
          <w:rStyle w:val="31"/>
          <w:rFonts w:ascii="黑体" w:hAnsi="黑体" w:eastAsia="黑体"/>
        </w:rPr>
      </w:pPr>
      <w:bookmarkStart w:id="57" w:name="_Toc2920"/>
      <w:r>
        <w:rPr>
          <w:rFonts w:hint="eastAsia" w:ascii="黑体" w:eastAsia="黑体"/>
          <w:sz w:val="32"/>
          <w:szCs w:val="32"/>
        </w:rPr>
        <w:t>八、</w:t>
      </w:r>
      <w:r>
        <w:rPr>
          <w:rStyle w:val="31"/>
          <w:rFonts w:hint="eastAsia" w:ascii="黑体" w:hAnsi="黑体" w:eastAsia="黑体"/>
          <w:b w:val="0"/>
        </w:rPr>
        <w:t>政府性基金预算支出决算情况说明</w:t>
      </w:r>
      <w:bookmarkEnd w:id="54"/>
      <w:bookmarkEnd w:id="55"/>
      <w:bookmarkEnd w:id="57"/>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hint="eastAsia" w:ascii="仿宋" w:hAnsi="仿宋" w:eastAsia="仿宋"/>
          <w:b/>
          <w:sz w:val="32"/>
          <w:szCs w:val="32"/>
          <w:lang w:val="en-US" w:eastAsia="zh-CN"/>
        </w:rPr>
        <w:t>0</w:t>
      </w:r>
      <w:r>
        <w:rPr>
          <w:rFonts w:hint="eastAsia" w:ascii="仿宋_GB2312" w:eastAsia="仿宋_GB2312"/>
          <w:sz w:val="32"/>
          <w:szCs w:val="32"/>
        </w:rPr>
        <w:t>万元。</w:t>
      </w:r>
    </w:p>
    <w:p>
      <w:pPr>
        <w:numPr>
          <w:ilvl w:val="0"/>
          <w:numId w:val="4"/>
        </w:numPr>
        <w:spacing w:line="600" w:lineRule="exact"/>
        <w:ind w:firstLine="640"/>
        <w:outlineLvl w:val="1"/>
        <w:rPr>
          <w:rStyle w:val="31"/>
          <w:rFonts w:ascii="黑体" w:hAnsi="黑体" w:eastAsia="黑体"/>
          <w:b w:val="0"/>
        </w:rPr>
      </w:pPr>
      <w:bookmarkStart w:id="58" w:name="_Toc12724"/>
      <w:bookmarkStart w:id="59" w:name="_Toc15396611"/>
      <w:bookmarkStart w:id="60" w:name="_Toc15377219"/>
      <w:r>
        <w:rPr>
          <w:rStyle w:val="31"/>
          <w:rFonts w:hint="eastAsia" w:ascii="黑体" w:hAnsi="黑体" w:eastAsia="黑体"/>
          <w:b w:val="0"/>
        </w:rPr>
        <w:t>国有资本经营预算支出决算情况说明</w:t>
      </w:r>
      <w:bookmarkEnd w:id="58"/>
      <w:bookmarkEnd w:id="59"/>
      <w:bookmarkEnd w:id="60"/>
    </w:p>
    <w:p>
      <w:pPr>
        <w:spacing w:line="600" w:lineRule="exact"/>
        <w:ind w:firstLine="640"/>
        <w:rPr>
          <w:rStyle w:val="31"/>
          <w:rFonts w:hint="eastAsia" w:ascii="黑体" w:hAnsi="黑体" w:eastAsia="黑体"/>
          <w:b w:val="0"/>
          <w:lang w:eastAsia="zh-CN"/>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bookmarkStart w:id="61" w:name="_Toc15377221"/>
      <w:bookmarkStart w:id="62" w:name="_Toc15396612"/>
    </w:p>
    <w:p>
      <w:pPr>
        <w:numPr>
          <w:ilvl w:val="0"/>
          <w:numId w:val="0"/>
        </w:numPr>
        <w:spacing w:line="600" w:lineRule="exact"/>
        <w:ind w:firstLine="640" w:firstLineChars="200"/>
        <w:outlineLvl w:val="1"/>
        <w:rPr>
          <w:rStyle w:val="31"/>
          <w:rFonts w:ascii="黑体" w:hAnsi="黑体" w:eastAsia="黑体"/>
          <w:b w:val="0"/>
        </w:rPr>
      </w:pPr>
      <w:bookmarkStart w:id="63" w:name="_Toc16488"/>
      <w:r>
        <w:rPr>
          <w:rStyle w:val="31"/>
          <w:rFonts w:hint="eastAsia" w:ascii="黑体" w:hAnsi="黑体" w:eastAsia="黑体"/>
          <w:b w:val="0"/>
          <w:lang w:eastAsia="zh-CN"/>
        </w:rPr>
        <w:t>十、</w:t>
      </w:r>
      <w:r>
        <w:rPr>
          <w:rStyle w:val="31"/>
          <w:rFonts w:hint="eastAsia" w:ascii="黑体" w:hAnsi="黑体" w:eastAsia="黑体"/>
          <w:b w:val="0"/>
        </w:rPr>
        <w:t>其他重要事项的情况说明</w:t>
      </w:r>
      <w:bookmarkEnd w:id="61"/>
      <w:bookmarkEnd w:id="62"/>
      <w:bookmarkEnd w:id="63"/>
    </w:p>
    <w:p>
      <w:pPr>
        <w:spacing w:line="600" w:lineRule="exact"/>
        <w:ind w:firstLine="643" w:firstLineChars="200"/>
        <w:outlineLvl w:val="2"/>
        <w:rPr>
          <w:rFonts w:ascii="仿宋" w:hAnsi="仿宋" w:eastAsia="仿宋"/>
          <w:sz w:val="32"/>
          <w:szCs w:val="32"/>
        </w:rPr>
      </w:pPr>
      <w:bookmarkStart w:id="64" w:name="_Toc15377222"/>
      <w:r>
        <w:rPr>
          <w:rFonts w:hint="eastAsia" w:ascii="仿宋" w:hAnsi="仿宋" w:eastAsia="仿宋"/>
          <w:b/>
          <w:sz w:val="32"/>
          <w:szCs w:val="32"/>
        </w:rPr>
        <w:t>（一）机关运行经费支出情况</w:t>
      </w:r>
      <w:bookmarkEnd w:id="64"/>
    </w:p>
    <w:p>
      <w:pPr>
        <w:autoSpaceDE w:val="0"/>
        <w:autoSpaceDN w:val="0"/>
        <w:adjustRightInd w:val="0"/>
        <w:spacing w:line="600" w:lineRule="exact"/>
        <w:ind w:firstLine="640" w:firstLineChars="200"/>
        <w:jc w:val="left"/>
        <w:outlineLvl w:val="2"/>
        <w:rPr>
          <w:rFonts w:hint="eastAsia" w:ascii="仿宋_GB2312" w:eastAsia="仿宋_GB2312"/>
          <w:sz w:val="32"/>
          <w:szCs w:val="32"/>
          <w:lang w:val="en-US" w:eastAsia="zh-CN"/>
        </w:rPr>
      </w:pPr>
      <w:bookmarkStart w:id="65" w:name="_Toc15377223"/>
      <w:r>
        <w:rPr>
          <w:rFonts w:hint="eastAsia" w:ascii="仿宋_GB2312" w:eastAsia="仿宋_GB2312"/>
          <w:sz w:val="32"/>
          <w:szCs w:val="32"/>
        </w:rPr>
        <w:t>2023年度，五通桥区旅游促进和服务中心机关运行经费支出</w:t>
      </w:r>
      <w:r>
        <w:rPr>
          <w:rFonts w:hint="eastAsia" w:ascii="仿宋" w:hAnsi="仿宋" w:eastAsia="仿宋"/>
          <w:b/>
          <w:sz w:val="32"/>
          <w:szCs w:val="32"/>
          <w:lang w:val="en-US" w:eastAsia="zh-CN"/>
        </w:rPr>
        <w:t>14.88</w:t>
      </w:r>
      <w:r>
        <w:rPr>
          <w:rFonts w:hint="eastAsia" w:ascii="仿宋_GB2312" w:eastAsia="仿宋_GB2312"/>
          <w:sz w:val="32"/>
          <w:szCs w:val="32"/>
        </w:rPr>
        <w:t>万元，</w:t>
      </w:r>
      <w:r>
        <w:rPr>
          <w:rFonts w:hint="eastAsia" w:ascii="仿宋_GB2312" w:eastAsia="仿宋_GB2312"/>
          <w:sz w:val="32"/>
          <w:szCs w:val="32"/>
          <w:lang w:val="en-US" w:eastAsia="zh-CN"/>
        </w:rPr>
        <w:t>比</w:t>
      </w:r>
      <w:r>
        <w:rPr>
          <w:rFonts w:hint="eastAsia" w:ascii="仿宋_GB2312" w:eastAsia="仿宋_GB2312"/>
          <w:sz w:val="32"/>
          <w:szCs w:val="32"/>
        </w:rPr>
        <w:t>2022年度</w:t>
      </w:r>
      <w:r>
        <w:rPr>
          <w:rFonts w:hint="eastAsia" w:ascii="仿宋_GB2312" w:eastAsia="仿宋_GB2312"/>
          <w:sz w:val="32"/>
          <w:szCs w:val="32"/>
          <w:lang w:val="en-US" w:eastAsia="zh-CN"/>
        </w:rPr>
        <w:t>增长4.38元，增长41.68％</w:t>
      </w:r>
      <w:r>
        <w:rPr>
          <w:rFonts w:hint="eastAsia" w:ascii="仿宋_GB2312" w:eastAsia="仿宋_GB2312"/>
          <w:sz w:val="32"/>
          <w:szCs w:val="32"/>
          <w:lang w:eastAsia="zh-CN"/>
        </w:rPr>
        <w:t>，</w:t>
      </w:r>
      <w:r>
        <w:rPr>
          <w:rFonts w:hint="eastAsia" w:ascii="仿宋_GB2312" w:eastAsia="仿宋_GB2312"/>
          <w:sz w:val="32"/>
          <w:szCs w:val="32"/>
          <w:lang w:val="en-US" w:eastAsia="zh-CN"/>
        </w:rPr>
        <w:t>主要原因是办公经费增加。</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（二）政府采购支出情况</w:t>
      </w:r>
      <w:bookmarkEnd w:id="65"/>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2023年度，五通桥区旅游促进和服务中心政府采购支出总额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66" w:name="_Toc15377224"/>
      <w:r>
        <w:rPr>
          <w:rFonts w:hint="eastAsia" w:ascii="仿宋" w:hAnsi="仿宋" w:eastAsia="仿宋"/>
          <w:b/>
          <w:sz w:val="32"/>
          <w:szCs w:val="32"/>
        </w:rPr>
        <w:t>（三）国有资产占有使用情况</w:t>
      </w:r>
      <w:bookmarkEnd w:id="66"/>
    </w:p>
    <w:p>
      <w:pPr>
        <w:autoSpaceDE w:val="0"/>
        <w:autoSpaceDN w:val="0"/>
        <w:adjustRightInd w:val="0"/>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日，五通桥区旅游促进和服务中心共有车辆</w:t>
      </w:r>
      <w:r>
        <w:rPr>
          <w:rFonts w:hint="eastAsia" w:ascii="仿宋_GB2312" w:eastAsia="仿宋_GB2312"/>
          <w:b/>
          <w:sz w:val="32"/>
          <w:szCs w:val="32"/>
          <w:lang w:val="en-US" w:eastAsia="zh-CN"/>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1</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pPr>
        <w:numPr>
          <w:ilvl w:val="0"/>
          <w:numId w:val="3"/>
        </w:numPr>
        <w:autoSpaceDE w:val="0"/>
        <w:autoSpaceDN w:val="0"/>
        <w:adjustRightInd w:val="0"/>
        <w:spacing w:line="600" w:lineRule="exact"/>
        <w:ind w:left="0" w:leftChars="0" w:firstLine="643" w:firstLineChars="200"/>
        <w:jc w:val="left"/>
        <w:outlineLvl w:val="2"/>
        <w:rPr>
          <w:rFonts w:hint="eastAsia" w:ascii="仿宋_GB2312" w:hAnsi="Times New Roman" w:eastAsia="仿宋_GB2312" w:cs="Times New Roman"/>
          <w:b w:val="0"/>
          <w:kern w:val="2"/>
          <w:sz w:val="32"/>
          <w:szCs w:val="32"/>
          <w:lang w:val="en-US" w:eastAsia="zh-CN" w:bidi="ar-SA"/>
        </w:rPr>
      </w:pPr>
      <w:r>
        <w:rPr>
          <w:rFonts w:hint="eastAsia" w:ascii="仿宋" w:hAnsi="仿宋" w:eastAsia="仿宋"/>
          <w:b/>
          <w:sz w:val="32"/>
          <w:szCs w:val="32"/>
        </w:rPr>
        <w:t>预算绩效管理情况</w:t>
      </w:r>
    </w:p>
    <w:p>
      <w:pPr>
        <w:numPr>
          <w:ilvl w:val="0"/>
          <w:numId w:val="0"/>
        </w:numPr>
        <w:autoSpaceDE w:val="0"/>
        <w:autoSpaceDN w:val="0"/>
        <w:adjustRightInd w:val="0"/>
        <w:spacing w:line="600" w:lineRule="exact"/>
        <w:ind w:leftChars="200" w:firstLine="640" w:firstLineChars="200"/>
        <w:jc w:val="left"/>
        <w:outlineLvl w:val="2"/>
        <w:rPr>
          <w:rFonts w:hint="eastAsia" w:ascii="仿宋_GB2312" w:hAnsi="Times New Roman" w:eastAsia="仿宋_GB2312" w:cs="Times New Roman"/>
          <w:b w:val="0"/>
          <w:kern w:val="2"/>
          <w:sz w:val="32"/>
          <w:szCs w:val="32"/>
          <w:lang w:val="en-US" w:eastAsia="zh-CN" w:bidi="ar-SA"/>
        </w:rPr>
      </w:pPr>
      <w:r>
        <w:rPr>
          <w:rFonts w:hint="eastAsia" w:ascii="仿宋_GB2312" w:hAnsi="Times New Roman" w:eastAsia="仿宋_GB2312" w:cs="Times New Roman"/>
          <w:b w:val="0"/>
          <w:kern w:val="2"/>
          <w:sz w:val="32"/>
          <w:szCs w:val="32"/>
          <w:lang w:val="en-US" w:eastAsia="zh-CN" w:bidi="ar-SA"/>
        </w:rPr>
        <w:t>根据预算绩效管理要求，本单位在2023年度预算编制阶段，组织对参与旅博会工作经费等1个项目开展了预算事前绩效评估，对1个项目编制了绩效目标，预算执行过程中，选取1个项目开展绩效监控，组织对1个项目开展绩效自评，绩效自评表详见第四部分附件。</w:t>
      </w:r>
    </w:p>
    <w:p>
      <w:pPr>
        <w:pStyle w:val="7"/>
        <w:rPr>
          <w:rFonts w:hint="eastAsia"/>
          <w:lang w:val="en-US" w:eastAsia="zh-CN"/>
        </w:rPr>
      </w:pPr>
    </w:p>
    <w:p>
      <w:pPr>
        <w:pStyle w:val="21"/>
        <w:numPr>
          <w:ilvl w:val="0"/>
          <w:numId w:val="0"/>
        </w:numPr>
        <w:ind w:leftChars="200"/>
        <w:outlineLvl w:val="9"/>
      </w:pPr>
    </w:p>
    <w:p/>
    <w:p>
      <w:pPr>
        <w:pStyle w:val="2"/>
        <w:outlineLvl w:val="9"/>
      </w:pPr>
    </w:p>
    <w:p>
      <w:pPr>
        <w:pStyle w:val="2"/>
        <w:outlineLvl w:val="9"/>
      </w:pPr>
    </w:p>
    <w:p>
      <w:pPr>
        <w:pStyle w:val="2"/>
        <w:outlineLvl w:val="9"/>
      </w:pPr>
    </w:p>
    <w:p>
      <w:r>
        <w:br w:type="page"/>
      </w:r>
    </w:p>
    <w:p>
      <w:pPr>
        <w:numPr>
          <w:ilvl w:val="0"/>
          <w:numId w:val="5"/>
        </w:numPr>
        <w:spacing w:line="600" w:lineRule="exact"/>
        <w:ind w:firstLine="660" w:firstLineChars="150"/>
        <w:jc w:val="center"/>
        <w:outlineLvl w:val="0"/>
        <w:rPr>
          <w:rStyle w:val="30"/>
          <w:rFonts w:ascii="黑体" w:hAnsi="黑体" w:eastAsia="黑体"/>
          <w:b w:val="0"/>
        </w:rPr>
      </w:pPr>
      <w:bookmarkStart w:id="67" w:name="_Toc12472"/>
      <w:bookmarkStart w:id="68" w:name="_Toc15396613"/>
      <w:bookmarkStart w:id="69" w:name="_Toc15377225"/>
      <w:r>
        <w:rPr>
          <w:rFonts w:hint="eastAsia" w:ascii="黑体" w:hAnsi="黑体" w:eastAsia="黑体"/>
          <w:sz w:val="44"/>
          <w:szCs w:val="44"/>
        </w:rPr>
        <w:t>名</w:t>
      </w:r>
      <w:r>
        <w:rPr>
          <w:rStyle w:val="30"/>
          <w:rFonts w:hint="eastAsia" w:ascii="黑体" w:hAnsi="黑体" w:eastAsia="黑体"/>
          <w:b w:val="0"/>
        </w:rPr>
        <w:t>词解释</w:t>
      </w:r>
      <w:bookmarkEnd w:id="67"/>
      <w:bookmarkEnd w:id="68"/>
      <w:bookmarkEnd w:id="69"/>
    </w:p>
    <w:p>
      <w:pPr>
        <w:spacing w:line="600" w:lineRule="exact"/>
        <w:jc w:val="left"/>
        <w:rPr>
          <w:rFonts w:ascii="宋体"/>
          <w:b/>
          <w:sz w:val="44"/>
          <w:szCs w:val="44"/>
        </w:rPr>
      </w:pP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1.财政拨款收入：指单位从同级财政部门取得的财政预算资金。</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2.事业收入：指事业单位开展专业业务活动及辅助活动取得的收入。如…（二级预算单位事业收入情况）等。</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3.经营收入：指事业单位在专业业务活动及其辅助活动之外开展非独立核算经营活动取得的收入。如…（二级预算单位经营收入情况）等。</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4.其他收入：指单位取得的除上述收入以外的各项收入。主要是…（收入类型）等。 </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5.使用非财政拨款结余（含专用结余）：指事业单位使用以前年度积累的非财政拨款结余弥补当年收支差额的金额。 </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6.年初结转和结余：指以前年度尚未完成、结转到本年按有关规定继续使用的资金。 </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7.结余分配：指事业单位按照会计制度规定缴纳的所得税、提取的专用结余以及转入非财政拨款结余的金额等。</w:t>
      </w:r>
    </w:p>
    <w:p>
      <w:pPr>
        <w:spacing w:line="600" w:lineRule="exact"/>
        <w:ind w:firstLine="64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8.年末结转和结余：指单位按有关规定结转到下年或以后年度继续使用的资金。</w:t>
      </w:r>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rPr>
        <w:t>文化旅游体育与传媒（类）文化和旅游（款）行政运行（项）:</w:t>
      </w:r>
      <w:r>
        <w:rPr>
          <w:rFonts w:hint="eastAsia" w:ascii="仿宋" w:hAnsi="仿宋" w:eastAsia="仿宋"/>
          <w:sz w:val="32"/>
          <w:szCs w:val="32"/>
          <w:lang w:val="en-US" w:eastAsia="zh-CN"/>
        </w:rPr>
        <w:t>反映行政单位（包括实行公务员管理的事业单位）</w:t>
      </w:r>
      <w:r>
        <w:rPr>
          <w:rFonts w:hint="eastAsia" w:ascii="仿宋" w:hAnsi="仿宋" w:eastAsia="仿宋"/>
          <w:sz w:val="32"/>
          <w:szCs w:val="32"/>
        </w:rPr>
        <w:t xml:space="preserve"> </w:t>
      </w:r>
      <w:r>
        <w:rPr>
          <w:rFonts w:hint="eastAsia" w:ascii="仿宋" w:hAnsi="仿宋" w:eastAsia="仿宋"/>
          <w:sz w:val="32"/>
          <w:szCs w:val="32"/>
          <w:lang w:val="en-US" w:eastAsia="zh-CN"/>
        </w:rPr>
        <w:t>的基本支出</w:t>
      </w:r>
      <w:r>
        <w:rPr>
          <w:rFonts w:hint="eastAsia" w:ascii="仿宋" w:hAnsi="仿宋" w:eastAsia="仿宋"/>
          <w:sz w:val="32"/>
          <w:szCs w:val="32"/>
          <w:lang w:eastAsia="zh-CN"/>
        </w:rPr>
        <w:t>。</w:t>
      </w:r>
    </w:p>
    <w:p>
      <w:pPr>
        <w:pStyle w:val="28"/>
        <w:spacing w:line="560" w:lineRule="exact"/>
        <w:ind w:firstLine="640" w:firstLineChars="200"/>
        <w:jc w:val="both"/>
        <w:textAlignment w:val="baseline"/>
        <w:rPr>
          <w:rFonts w:hint="default" w:ascii="仿宋_GB2312" w:eastAsia="仿宋"/>
          <w:sz w:val="32"/>
          <w:szCs w:val="32"/>
          <w:lang w:val="en-US" w:eastAsia="zh-CN"/>
        </w:rPr>
      </w:pPr>
      <w:r>
        <w:rPr>
          <w:rFonts w:hint="eastAsia" w:hAnsi="仿宋"/>
          <w:sz w:val="32"/>
          <w:szCs w:val="32"/>
          <w:lang w:val="en-US" w:eastAsia="zh-CN"/>
        </w:rPr>
        <w:t>10</w:t>
      </w:r>
      <w:r>
        <w:rPr>
          <w:rFonts w:hint="eastAsia" w:ascii="仿宋" w:hAnsi="仿宋" w:eastAsia="仿宋"/>
          <w:sz w:val="32"/>
          <w:szCs w:val="32"/>
          <w:lang w:val="en-US" w:eastAsia="zh-CN"/>
        </w:rPr>
        <w:t>.</w:t>
      </w:r>
      <w:r>
        <w:rPr>
          <w:rFonts w:hint="eastAsia" w:ascii="仿宋" w:hAnsi="仿宋" w:eastAsia="仿宋"/>
          <w:sz w:val="32"/>
          <w:szCs w:val="32"/>
        </w:rPr>
        <w:t xml:space="preserve">文化旅游体育与传媒（类）文化和旅游（款）文化和旅游交流与合作（项）: </w:t>
      </w:r>
      <w:r>
        <w:rPr>
          <w:rFonts w:hint="eastAsia" w:hAnsi="仿宋"/>
          <w:sz w:val="32"/>
          <w:szCs w:val="32"/>
          <w:lang w:val="en-US" w:eastAsia="zh-CN"/>
        </w:rPr>
        <w:t>反映对外文化和旅游交流合作活动的支出。</w:t>
      </w:r>
    </w:p>
    <w:p>
      <w:pPr>
        <w:spacing w:line="580" w:lineRule="exact"/>
        <w:ind w:firstLine="640" w:firstLineChars="200"/>
        <w:textAlignment w:val="baseline"/>
        <w:rPr>
          <w:rFonts w:ascii="仿宋" w:hAnsi="仿宋" w:eastAsia="仿宋"/>
          <w:color w:val="000000"/>
          <w:sz w:val="32"/>
          <w:szCs w:val="32"/>
        </w:rPr>
      </w:pPr>
      <w:r>
        <w:rPr>
          <w:rStyle w:val="19"/>
          <w:rFonts w:hint="eastAsia" w:ascii="仿宋" w:hAnsi="仿宋" w:eastAsia="仿宋"/>
          <w:b w:val="0"/>
          <w:color w:val="000000"/>
          <w:sz w:val="32"/>
          <w:szCs w:val="32"/>
        </w:rPr>
        <w:t>1</w:t>
      </w:r>
      <w:r>
        <w:rPr>
          <w:rStyle w:val="19"/>
          <w:rFonts w:hint="eastAsia" w:ascii="仿宋" w:hAnsi="仿宋" w:eastAsia="仿宋"/>
          <w:b w:val="0"/>
          <w:color w:val="000000"/>
          <w:sz w:val="32"/>
          <w:szCs w:val="32"/>
          <w:lang w:val="en-US" w:eastAsia="zh-CN"/>
        </w:rPr>
        <w:t>1</w:t>
      </w:r>
      <w:r>
        <w:rPr>
          <w:rStyle w:val="19"/>
          <w:rFonts w:hint="eastAsia" w:ascii="仿宋" w:hAnsi="仿宋" w:eastAsia="仿宋"/>
          <w:b w:val="0"/>
          <w:color w:val="000000"/>
          <w:sz w:val="32"/>
          <w:szCs w:val="32"/>
        </w:rPr>
        <w:t>．社会保障和就业（类）行政事业单位</w:t>
      </w:r>
      <w:r>
        <w:rPr>
          <w:rStyle w:val="19"/>
          <w:rFonts w:hint="eastAsia" w:ascii="仿宋" w:hAnsi="仿宋" w:eastAsia="仿宋"/>
          <w:b w:val="0"/>
          <w:color w:val="000000"/>
          <w:sz w:val="32"/>
          <w:szCs w:val="32"/>
          <w:lang w:val="en-US" w:eastAsia="zh-CN"/>
        </w:rPr>
        <w:t>养老支出</w:t>
      </w:r>
      <w:r>
        <w:rPr>
          <w:rStyle w:val="19"/>
          <w:rFonts w:hint="eastAsia" w:ascii="仿宋" w:hAnsi="仿宋" w:eastAsia="仿宋"/>
          <w:b w:val="0"/>
          <w:color w:val="000000"/>
          <w:sz w:val="32"/>
          <w:szCs w:val="32"/>
        </w:rPr>
        <w:t>（款）机关事业单位基本养老保险缴费支出（项）:</w:t>
      </w:r>
      <w:r>
        <w:rPr>
          <w:rFonts w:hint="eastAsia" w:ascii="仿宋" w:hAnsi="仿宋" w:eastAsia="仿宋"/>
          <w:color w:val="000000"/>
          <w:sz w:val="32"/>
          <w:szCs w:val="32"/>
        </w:rPr>
        <w:t>指反映机关事业单位实施养老保险制度由单位缴纳的基本养老保险支出。</w:t>
      </w:r>
    </w:p>
    <w:p>
      <w:pPr>
        <w:spacing w:line="580" w:lineRule="exact"/>
        <w:ind w:firstLine="640" w:firstLineChars="200"/>
        <w:textAlignment w:val="baseline"/>
        <w:rPr>
          <w:rFonts w:ascii="仿宋" w:hAnsi="仿宋" w:eastAsia="仿宋"/>
          <w:color w:val="000000"/>
          <w:sz w:val="32"/>
          <w:szCs w:val="32"/>
        </w:rPr>
      </w:pPr>
      <w:r>
        <w:rPr>
          <w:rStyle w:val="19"/>
          <w:rFonts w:hint="eastAsia" w:ascii="仿宋" w:hAnsi="仿宋" w:eastAsia="仿宋"/>
          <w:b w:val="0"/>
          <w:color w:val="000000"/>
          <w:sz w:val="32"/>
          <w:szCs w:val="32"/>
        </w:rPr>
        <w:t>1</w:t>
      </w:r>
      <w:r>
        <w:rPr>
          <w:rStyle w:val="19"/>
          <w:rFonts w:hint="eastAsia" w:ascii="仿宋" w:hAnsi="仿宋" w:eastAsia="仿宋"/>
          <w:b w:val="0"/>
          <w:color w:val="000000"/>
          <w:sz w:val="32"/>
          <w:szCs w:val="32"/>
          <w:lang w:val="en-US" w:eastAsia="zh-CN"/>
        </w:rPr>
        <w:t>2</w:t>
      </w:r>
      <w:r>
        <w:rPr>
          <w:rStyle w:val="19"/>
          <w:rFonts w:hint="eastAsia" w:ascii="仿宋" w:hAnsi="仿宋" w:eastAsia="仿宋"/>
          <w:b w:val="0"/>
          <w:color w:val="000000"/>
          <w:sz w:val="32"/>
          <w:szCs w:val="32"/>
        </w:rPr>
        <w:t>．社会保障和就业（类）行政事业单位</w:t>
      </w:r>
      <w:r>
        <w:rPr>
          <w:rStyle w:val="19"/>
          <w:rFonts w:hint="eastAsia" w:ascii="仿宋" w:hAnsi="仿宋" w:eastAsia="仿宋"/>
          <w:b w:val="0"/>
          <w:color w:val="000000"/>
          <w:sz w:val="32"/>
          <w:szCs w:val="32"/>
          <w:lang w:val="en-US" w:eastAsia="zh-CN"/>
        </w:rPr>
        <w:t>养老支出</w:t>
      </w:r>
      <w:r>
        <w:rPr>
          <w:rStyle w:val="19"/>
          <w:rFonts w:hint="eastAsia" w:ascii="仿宋" w:hAnsi="仿宋" w:eastAsia="仿宋"/>
          <w:b w:val="0"/>
          <w:color w:val="000000"/>
          <w:sz w:val="32"/>
          <w:szCs w:val="32"/>
        </w:rPr>
        <w:t>（款）机关事业单位职业年金缴费支出（项）:</w:t>
      </w:r>
      <w:r>
        <w:rPr>
          <w:rFonts w:hint="eastAsia" w:ascii="仿宋" w:hAnsi="仿宋" w:eastAsia="仿宋"/>
          <w:color w:val="000000"/>
          <w:sz w:val="32"/>
          <w:szCs w:val="32"/>
        </w:rPr>
        <w:t>指反映机关事业单位实施养老保险制度由单位实际缴纳的职业年金支出。</w:t>
      </w:r>
    </w:p>
    <w:p>
      <w:pPr>
        <w:spacing w:line="580" w:lineRule="exact"/>
        <w:ind w:firstLine="640" w:firstLineChars="200"/>
        <w:textAlignment w:val="baseline"/>
        <w:rPr>
          <w:rStyle w:val="19"/>
          <w:rFonts w:hint="default" w:ascii="仿宋" w:hAnsi="仿宋" w:eastAsia="仿宋"/>
          <w:b w:val="0"/>
          <w:color w:val="000000"/>
          <w:sz w:val="32"/>
          <w:szCs w:val="32"/>
          <w:lang w:val="en-US" w:eastAsia="zh-CN"/>
        </w:rPr>
      </w:pPr>
      <w:r>
        <w:rPr>
          <w:rStyle w:val="19"/>
          <w:rFonts w:hint="eastAsia" w:ascii="仿宋" w:hAnsi="仿宋" w:eastAsia="仿宋"/>
          <w:b w:val="0"/>
          <w:color w:val="000000"/>
          <w:sz w:val="32"/>
          <w:szCs w:val="32"/>
          <w:lang w:val="en-US" w:eastAsia="zh-CN"/>
        </w:rPr>
        <w:t>13</w:t>
      </w:r>
      <w:r>
        <w:rPr>
          <w:rStyle w:val="19"/>
          <w:rFonts w:hint="eastAsia" w:ascii="仿宋" w:hAnsi="仿宋" w:eastAsia="仿宋"/>
          <w:b w:val="0"/>
          <w:color w:val="000000"/>
          <w:sz w:val="32"/>
          <w:szCs w:val="32"/>
        </w:rPr>
        <w:t>．社会保障和就业（类）行政事业单位</w:t>
      </w:r>
      <w:r>
        <w:rPr>
          <w:rStyle w:val="19"/>
          <w:rFonts w:hint="eastAsia" w:ascii="仿宋" w:hAnsi="仿宋" w:eastAsia="仿宋"/>
          <w:b w:val="0"/>
          <w:color w:val="000000"/>
          <w:sz w:val="32"/>
          <w:szCs w:val="32"/>
          <w:lang w:val="en-US" w:eastAsia="zh-CN"/>
        </w:rPr>
        <w:t>养老支出</w:t>
      </w:r>
      <w:r>
        <w:rPr>
          <w:rStyle w:val="19"/>
          <w:rFonts w:hint="eastAsia" w:ascii="仿宋" w:hAnsi="仿宋" w:eastAsia="仿宋"/>
          <w:b w:val="0"/>
          <w:color w:val="000000"/>
          <w:sz w:val="32"/>
          <w:szCs w:val="32"/>
        </w:rPr>
        <w:t>（款）</w:t>
      </w:r>
      <w:r>
        <w:rPr>
          <w:rStyle w:val="19"/>
          <w:rFonts w:hint="eastAsia" w:ascii="仿宋" w:hAnsi="仿宋" w:eastAsia="仿宋"/>
          <w:b w:val="0"/>
          <w:color w:val="000000"/>
          <w:sz w:val="32"/>
          <w:szCs w:val="32"/>
          <w:lang w:val="en-US" w:eastAsia="zh-CN"/>
        </w:rPr>
        <w:t>其他行政事业单位养老支出</w:t>
      </w:r>
      <w:r>
        <w:rPr>
          <w:rStyle w:val="19"/>
          <w:rFonts w:hint="eastAsia" w:ascii="仿宋" w:hAnsi="仿宋" w:eastAsia="仿宋"/>
          <w:b w:val="0"/>
          <w:color w:val="000000"/>
          <w:sz w:val="32"/>
          <w:szCs w:val="32"/>
        </w:rPr>
        <w:t xml:space="preserve"> （项）:</w:t>
      </w:r>
      <w:r>
        <w:rPr>
          <w:rStyle w:val="19"/>
          <w:rFonts w:hint="eastAsia" w:ascii="仿宋" w:hAnsi="仿宋" w:eastAsia="仿宋"/>
          <w:b w:val="0"/>
          <w:color w:val="000000"/>
          <w:sz w:val="32"/>
          <w:szCs w:val="32"/>
          <w:lang w:val="en-US" w:eastAsia="zh-CN"/>
        </w:rPr>
        <w:t>反映除上述项目以外其他用于行政事业单位养老方面的支出。</w:t>
      </w:r>
    </w:p>
    <w:p>
      <w:pPr>
        <w:spacing w:line="580" w:lineRule="exact"/>
        <w:ind w:firstLine="640" w:firstLineChars="200"/>
        <w:textAlignment w:val="baseline"/>
        <w:rPr>
          <w:rFonts w:ascii="仿宋" w:hAnsi="仿宋" w:eastAsia="仿宋"/>
          <w:color w:val="000000"/>
          <w:sz w:val="32"/>
          <w:szCs w:val="32"/>
        </w:rPr>
      </w:pPr>
      <w:r>
        <w:rPr>
          <w:rStyle w:val="19"/>
          <w:rFonts w:hint="eastAsia" w:ascii="仿宋" w:hAnsi="仿宋" w:eastAsia="仿宋"/>
          <w:b w:val="0"/>
          <w:color w:val="000000"/>
          <w:sz w:val="32"/>
          <w:szCs w:val="32"/>
          <w:lang w:val="en-US" w:eastAsia="zh-CN"/>
        </w:rPr>
        <w:t>14</w:t>
      </w:r>
      <w:r>
        <w:rPr>
          <w:rStyle w:val="19"/>
          <w:rFonts w:hint="eastAsia" w:ascii="仿宋" w:hAnsi="仿宋" w:eastAsia="仿宋"/>
          <w:b w:val="0"/>
          <w:color w:val="000000"/>
          <w:sz w:val="32"/>
          <w:szCs w:val="32"/>
        </w:rPr>
        <w:t>．卫生健康支出（类）行政事业单位医疗（款）行政单位医疗（项）:</w:t>
      </w:r>
      <w:r>
        <w:rPr>
          <w:rFonts w:hint="eastAsia" w:ascii="仿宋" w:hAnsi="仿宋" w:eastAsia="仿宋"/>
          <w:color w:val="000000"/>
          <w:sz w:val="32"/>
          <w:szCs w:val="32"/>
        </w:rPr>
        <w:t>指反映财政部门集中安排的行政单位（包括实行公务员管理的事业单位，下同）基本医疗保险缴费经费，未参加医疗保险的行政单位的公费医疗经费，按国家规定享受离休人员、红军老战士待遇人员的医疗经费。</w:t>
      </w:r>
    </w:p>
    <w:p>
      <w:pPr>
        <w:spacing w:line="580" w:lineRule="exact"/>
        <w:ind w:firstLine="640" w:firstLineChars="200"/>
        <w:textAlignment w:val="baseline"/>
        <w:rPr>
          <w:rFonts w:ascii="仿宋" w:hAnsi="仿宋" w:eastAsia="仿宋"/>
          <w:color w:val="000000"/>
          <w:sz w:val="32"/>
          <w:szCs w:val="32"/>
        </w:rPr>
      </w:pPr>
      <w:r>
        <w:rPr>
          <w:rStyle w:val="19"/>
          <w:rFonts w:hint="eastAsia" w:ascii="仿宋" w:hAnsi="仿宋" w:eastAsia="仿宋"/>
          <w:b w:val="0"/>
          <w:color w:val="000000"/>
          <w:sz w:val="32"/>
          <w:szCs w:val="32"/>
          <w:lang w:val="en-US" w:eastAsia="zh-CN"/>
        </w:rPr>
        <w:t>15</w:t>
      </w:r>
      <w:r>
        <w:rPr>
          <w:rStyle w:val="19"/>
          <w:rFonts w:hint="eastAsia" w:ascii="仿宋" w:hAnsi="仿宋" w:eastAsia="仿宋"/>
          <w:b w:val="0"/>
          <w:color w:val="000000"/>
          <w:sz w:val="32"/>
          <w:szCs w:val="32"/>
        </w:rPr>
        <w:t>．卫生健康支出（类）行政事业单位医疗（款）</w:t>
      </w:r>
      <w:r>
        <w:rPr>
          <w:rStyle w:val="19"/>
          <w:rFonts w:hint="eastAsia" w:ascii="仿宋" w:hAnsi="仿宋" w:eastAsia="仿宋"/>
          <w:b w:val="0"/>
          <w:color w:val="000000"/>
          <w:sz w:val="32"/>
          <w:szCs w:val="32"/>
          <w:lang w:val="en-US" w:eastAsia="zh-CN"/>
        </w:rPr>
        <w:t>公务用医疗补助</w:t>
      </w:r>
      <w:r>
        <w:rPr>
          <w:rStyle w:val="19"/>
          <w:rFonts w:hint="eastAsia" w:ascii="仿宋" w:hAnsi="仿宋" w:eastAsia="仿宋"/>
          <w:b w:val="0"/>
          <w:color w:val="000000"/>
          <w:sz w:val="32"/>
          <w:szCs w:val="32"/>
        </w:rPr>
        <w:t>（项）:</w:t>
      </w:r>
      <w:r>
        <w:rPr>
          <w:rFonts w:hint="eastAsia" w:ascii="仿宋" w:hAnsi="仿宋" w:eastAsia="仿宋"/>
          <w:color w:val="000000"/>
          <w:sz w:val="32"/>
          <w:szCs w:val="32"/>
        </w:rPr>
        <w:t>反映财政部门</w:t>
      </w:r>
      <w:r>
        <w:rPr>
          <w:rFonts w:hint="eastAsia" w:ascii="仿宋" w:hAnsi="仿宋" w:eastAsia="仿宋"/>
          <w:color w:val="000000"/>
          <w:sz w:val="32"/>
          <w:szCs w:val="32"/>
          <w:lang w:val="en-US" w:eastAsia="zh-CN"/>
        </w:rPr>
        <w:t>安排的公务用医疗补助经费</w:t>
      </w:r>
      <w:r>
        <w:rPr>
          <w:rFonts w:hint="eastAsia" w:ascii="仿宋" w:hAnsi="仿宋" w:eastAsia="仿宋"/>
          <w:color w:val="000000"/>
          <w:sz w:val="32"/>
          <w:szCs w:val="32"/>
        </w:rPr>
        <w:t>。</w:t>
      </w:r>
    </w:p>
    <w:p>
      <w:pPr>
        <w:spacing w:line="580" w:lineRule="exact"/>
        <w:ind w:firstLine="640" w:firstLineChars="200"/>
        <w:textAlignment w:val="baseline"/>
        <w:rPr>
          <w:rFonts w:ascii="仿宋" w:hAnsi="仿宋" w:eastAsia="仿宋"/>
          <w:color w:val="000000"/>
          <w:sz w:val="32"/>
          <w:szCs w:val="32"/>
        </w:rPr>
      </w:pPr>
      <w:r>
        <w:rPr>
          <w:rFonts w:hint="eastAsia" w:ascii="仿宋" w:hAnsi="仿宋" w:eastAsia="仿宋"/>
          <w:color w:val="000000"/>
          <w:sz w:val="32"/>
          <w:szCs w:val="32"/>
          <w:lang w:val="en-US" w:eastAsia="zh-CN"/>
        </w:rPr>
        <w:t>16</w:t>
      </w:r>
      <w:r>
        <w:rPr>
          <w:rFonts w:hint="eastAsia" w:ascii="仿宋" w:hAnsi="仿宋" w:eastAsia="仿宋"/>
          <w:color w:val="000000"/>
          <w:sz w:val="32"/>
          <w:szCs w:val="32"/>
        </w:rPr>
        <w:t>.</w:t>
      </w:r>
      <w:r>
        <w:rPr>
          <w:rStyle w:val="19"/>
          <w:rFonts w:hint="eastAsia" w:ascii="仿宋" w:hAnsi="仿宋" w:eastAsia="仿宋"/>
          <w:b w:val="0"/>
          <w:color w:val="000000"/>
          <w:sz w:val="32"/>
          <w:szCs w:val="32"/>
        </w:rPr>
        <w:t xml:space="preserve"> 住房保障支出（类）住房改革支出（款）住房公积金（项）:</w:t>
      </w:r>
      <w:r>
        <w:rPr>
          <w:rFonts w:hint="eastAsia" w:ascii="仿宋" w:hAnsi="仿宋" w:eastAsia="仿宋"/>
          <w:color w:val="000000"/>
          <w:sz w:val="32"/>
          <w:szCs w:val="32"/>
        </w:rPr>
        <w:t>指反映行政事业单位按人力资源和社会保障部、财政部规定的基本工资和津贴补贴以及规定比例为职工缴纳的住房公积金。</w:t>
      </w:r>
    </w:p>
    <w:p>
      <w:pPr>
        <w:ind w:firstLine="640" w:firstLineChars="200"/>
        <w:textAlignment w:val="baseline"/>
        <w:rPr>
          <w:rFonts w:ascii="仿宋" w:hAnsi="仿宋" w:eastAsia="仿宋"/>
          <w:color w:val="000000"/>
          <w:sz w:val="32"/>
          <w:szCs w:val="32"/>
        </w:rPr>
      </w:pPr>
      <w:r>
        <w:rPr>
          <w:rFonts w:hint="eastAsia" w:ascii="仿宋" w:hAnsi="仿宋" w:eastAsia="仿宋"/>
          <w:color w:val="000000"/>
          <w:sz w:val="32"/>
          <w:szCs w:val="32"/>
          <w:lang w:val="en-US" w:eastAsia="zh-CN"/>
        </w:rPr>
        <w:t>17</w:t>
      </w:r>
      <w:r>
        <w:rPr>
          <w:rFonts w:ascii="仿宋" w:hAnsi="仿宋" w:eastAsia="仿宋"/>
          <w:color w:val="000000"/>
          <w:sz w:val="32"/>
          <w:szCs w:val="32"/>
        </w:rPr>
        <w:t>.</w:t>
      </w:r>
      <w:r>
        <w:rPr>
          <w:rFonts w:hint="eastAsia" w:ascii="仿宋" w:hAnsi="仿宋" w:eastAsia="仿宋"/>
          <w:color w:val="000000"/>
          <w:sz w:val="32"/>
          <w:szCs w:val="32"/>
        </w:rPr>
        <w:t>基本支出：指为保障机构正常运转、完成日常工作任务而发生的人员支出和公用支出。</w:t>
      </w:r>
    </w:p>
    <w:p>
      <w:pPr>
        <w:ind w:firstLine="640" w:firstLineChars="200"/>
        <w:textAlignment w:val="baseline"/>
        <w:rPr>
          <w:rFonts w:hint="eastAsia" w:ascii="仿宋" w:hAnsi="仿宋" w:eastAsia="仿宋"/>
          <w:color w:val="000000"/>
          <w:sz w:val="32"/>
          <w:szCs w:val="32"/>
        </w:rPr>
      </w:pPr>
      <w:r>
        <w:rPr>
          <w:rFonts w:hint="eastAsia" w:ascii="仿宋" w:hAnsi="仿宋" w:eastAsia="仿宋"/>
          <w:color w:val="000000"/>
          <w:sz w:val="32"/>
          <w:szCs w:val="32"/>
          <w:lang w:val="en-US" w:eastAsia="zh-CN"/>
        </w:rPr>
        <w:t>18</w:t>
      </w:r>
      <w:r>
        <w:rPr>
          <w:rFonts w:ascii="仿宋" w:hAnsi="仿宋" w:eastAsia="仿宋"/>
          <w:color w:val="000000"/>
          <w:sz w:val="32"/>
          <w:szCs w:val="32"/>
        </w:rPr>
        <w:t>.</w:t>
      </w:r>
      <w:r>
        <w:rPr>
          <w:rFonts w:hint="eastAsia" w:ascii="仿宋" w:hAnsi="仿宋" w:eastAsia="仿宋"/>
          <w:color w:val="000000"/>
          <w:sz w:val="32"/>
          <w:szCs w:val="32"/>
        </w:rPr>
        <w:t>项目支出：指在基本支出之外为完成特定事业发展目标所发生的支出。</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19</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8"/>
        <w:spacing w:line="560" w:lineRule="exact"/>
        <w:ind w:firstLine="640" w:firstLineChars="200"/>
        <w:jc w:val="both"/>
        <w:textAlignment w:val="baseline"/>
        <w:rPr>
          <w:rFonts w:hAnsi="仿宋"/>
          <w:sz w:val="32"/>
          <w:szCs w:val="32"/>
        </w:rPr>
      </w:pPr>
      <w:r>
        <w:rPr>
          <w:rFonts w:hint="eastAsia" w:hAnsi="仿宋"/>
          <w:sz w:val="32"/>
          <w:szCs w:val="32"/>
          <w:lang w:val="en-US" w:eastAsia="zh-CN"/>
        </w:rPr>
        <w:t>20</w:t>
      </w:r>
      <w:r>
        <w:rPr>
          <w:rFonts w:hAnsi="仿宋"/>
          <w:sz w:val="32"/>
          <w:szCs w:val="32"/>
        </w:rPr>
        <w:t>.</w:t>
      </w:r>
      <w:r>
        <w:rPr>
          <w:rFonts w:hint="eastAsia" w:hAnsi="仿宋"/>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8"/>
        <w:spacing w:line="560" w:lineRule="exact"/>
        <w:ind w:firstLine="640" w:firstLineChars="200"/>
        <w:rPr>
          <w:rFonts w:hint="eastAsia" w:hAnsi="仿宋"/>
          <w:sz w:val="32"/>
          <w:szCs w:val="32"/>
        </w:rPr>
      </w:pPr>
      <w:r>
        <w:rPr>
          <w:rFonts w:hint="eastAsia" w:hAnsi="仿宋"/>
          <w:sz w:val="32"/>
          <w:szCs w:val="32"/>
          <w:lang w:val="en-US" w:eastAsia="zh-CN"/>
        </w:rPr>
        <w:t>21</w:t>
      </w:r>
      <w:r>
        <w:rPr>
          <w:rFonts w:hAnsi="仿宋"/>
          <w:sz w:val="32"/>
          <w:szCs w:val="32"/>
        </w:rPr>
        <w:t>.</w:t>
      </w:r>
      <w:r>
        <w:rPr>
          <w:rFonts w:hint="eastAsia" w:hAnsi="仿宋"/>
          <w:sz w:val="32"/>
          <w:szCs w:val="32"/>
        </w:rPr>
        <w:t>机关运行经费：为保障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30"/>
          <w:rFonts w:ascii="黑体" w:hAnsi="黑体" w:eastAsia="黑体"/>
          <w:b w:val="0"/>
        </w:rPr>
      </w:pPr>
      <w:bookmarkStart w:id="70" w:name="_Toc15377226"/>
      <w:r>
        <w:rPr>
          <w:rFonts w:ascii="宋体"/>
          <w:b/>
          <w:sz w:val="44"/>
          <w:szCs w:val="44"/>
        </w:rPr>
        <w:br w:type="page"/>
      </w:r>
      <w:bookmarkStart w:id="71" w:name="_Toc26355"/>
      <w:bookmarkStart w:id="72" w:name="_Toc15396614"/>
      <w:r>
        <w:rPr>
          <w:rFonts w:hint="eastAsia" w:ascii="黑体" w:hAnsi="黑体" w:eastAsia="黑体"/>
          <w:sz w:val="44"/>
          <w:szCs w:val="44"/>
        </w:rPr>
        <w:t>第</w:t>
      </w:r>
      <w:r>
        <w:rPr>
          <w:rStyle w:val="30"/>
          <w:rFonts w:hint="eastAsia" w:ascii="黑体" w:hAnsi="黑体" w:eastAsia="黑体"/>
          <w:b w:val="0"/>
        </w:rPr>
        <w:t>四部分 附件</w:t>
      </w:r>
      <w:bookmarkEnd w:id="71"/>
      <w:bookmarkEnd w:id="72"/>
    </w:p>
    <w:p>
      <w:pPr>
        <w:spacing w:line="572" w:lineRule="exact"/>
        <w:jc w:val="left"/>
        <w:outlineLvl w:val="9"/>
        <w:rPr>
          <w:rFonts w:ascii="仿宋_GB2312" w:hAnsi="仿宋_GB2312" w:eastAsia="仿宋_GB2312" w:cs="仿宋_GB2312"/>
          <w:sz w:val="32"/>
          <w:szCs w:val="32"/>
        </w:rPr>
      </w:pPr>
    </w:p>
    <w:p>
      <w:pPr>
        <w:spacing w:line="600" w:lineRule="exact"/>
        <w:jc w:val="center"/>
        <w:outlineLvl w:val="0"/>
        <w:rPr>
          <w:rFonts w:hint="eastAsia" w:hAnsi="Times New Roman" w:cs="Times New Roman"/>
          <w:sz w:val="32"/>
          <w:szCs w:val="32"/>
          <w:highlight w:val="none"/>
          <w:lang w:val="en-US" w:eastAsia="zh-CN"/>
        </w:rPr>
      </w:pPr>
      <w:bookmarkStart w:id="73" w:name="_Toc15396618"/>
      <w:r>
        <w:rPr>
          <w:rFonts w:hint="eastAsia"/>
          <w:sz w:val="32"/>
          <w:szCs w:val="32"/>
          <w:lang w:val="en-US" w:eastAsia="zh-CN"/>
        </w:rPr>
        <w:t xml:space="preserve">     </w:t>
      </w:r>
      <w:bookmarkStart w:id="74" w:name="_Toc22898"/>
      <w:r>
        <w:rPr>
          <w:rFonts w:hint="eastAsia"/>
          <w:sz w:val="32"/>
          <w:szCs w:val="32"/>
        </w:rPr>
        <w:t>部门预算项目支出绩效自评表（2023年度）</w:t>
      </w:r>
      <w:bookmarkEnd w:id="74"/>
    </w:p>
    <w:p>
      <w:pPr>
        <w:pStyle w:val="15"/>
        <w:rPr>
          <w:rFonts w:hint="eastAsia"/>
        </w:rPr>
      </w:pPr>
    </w:p>
    <w:p/>
    <w:tbl>
      <w:tblPr>
        <w:tblStyle w:val="17"/>
        <w:tblW w:w="99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3"/>
        <w:gridCol w:w="1536"/>
        <w:gridCol w:w="1470"/>
        <w:gridCol w:w="1374"/>
        <w:gridCol w:w="1215"/>
        <w:gridCol w:w="1230"/>
        <w:gridCol w:w="1035"/>
        <w:gridCol w:w="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参与旅博会工作经费</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429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五通桥区旅游促进和服务中心</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9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五通桥区旅游促进和服务中心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49"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09" w:type="dxa"/>
            <w:gridSpan w:val="2"/>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2.6685</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2.6685</w:t>
            </w: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2.6685</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2.6685</w:t>
            </w: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0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38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29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4380"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2023年计划使用财政资金2.6685万元元用于参加旅博会工作经费。</w:t>
            </w:r>
          </w:p>
        </w:tc>
        <w:tc>
          <w:tcPr>
            <w:tcW w:w="4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2023年计划使用财政资金2.6685万元元用于参加旅博会工作经费。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10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86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279"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73"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参与旅博会人数</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≥7人</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≥7人</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147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交纳旅博会工作经费的准确率</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参与旅博会及时率</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参加旅博会工作经费预算成本</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≤2.6685万元</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≤2.6685万元</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273"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积极参与旅游宣传，促进旅游发展</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参加旅博会工作经费支出健全机制性</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536"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w:t>
            </w:r>
          </w:p>
        </w:tc>
        <w:tc>
          <w:tcPr>
            <w:tcW w:w="13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949" w:type="dxa"/>
            <w:gridSpan w:val="8"/>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说明：1.预算执行率得分=全年执行数/全年预算数*10分；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2.“产出指标、效益指标、满意度指标”一共90分，对应的是一体化系统中单位编制的项目绩效目标。</w:t>
            </w:r>
          </w:p>
        </w:tc>
      </w:tr>
    </w:tbl>
    <w:p>
      <w:pPr>
        <w:spacing w:line="600" w:lineRule="exact"/>
        <w:jc w:val="both"/>
        <w:outlineLvl w:val="9"/>
        <w:rPr>
          <w:rFonts w:hint="eastAsia" w:ascii="黑体" w:hAnsi="黑体" w:eastAsia="黑体"/>
          <w:sz w:val="44"/>
          <w:szCs w:val="44"/>
        </w:rPr>
      </w:pPr>
    </w:p>
    <w:p>
      <w:pPr>
        <w:spacing w:line="600" w:lineRule="exact"/>
        <w:jc w:val="center"/>
        <w:outlineLvl w:val="0"/>
        <w:rPr>
          <w:rFonts w:ascii="仿宋" w:hAnsi="仿宋" w:eastAsia="仿宋"/>
        </w:rPr>
      </w:pPr>
      <w:bookmarkStart w:id="75" w:name="_Toc598"/>
      <w:r>
        <w:rPr>
          <w:rFonts w:hint="eastAsia" w:ascii="黑体" w:hAnsi="黑体" w:eastAsia="黑体"/>
          <w:sz w:val="44"/>
          <w:szCs w:val="44"/>
        </w:rPr>
        <w:t>第</w:t>
      </w:r>
      <w:r>
        <w:rPr>
          <w:rStyle w:val="30"/>
          <w:rFonts w:hint="eastAsia" w:ascii="黑体" w:hAnsi="黑体" w:eastAsia="黑体"/>
          <w:b w:val="0"/>
        </w:rPr>
        <w:t>五部分 附表</w:t>
      </w:r>
      <w:bookmarkEnd w:id="70"/>
      <w:bookmarkEnd w:id="73"/>
      <w:bookmarkEnd w:id="75"/>
      <w:bookmarkStart w:id="76" w:name="_Toc15396619"/>
    </w:p>
    <w:p>
      <w:pPr>
        <w:pStyle w:val="4"/>
        <w:rPr>
          <w:rFonts w:ascii="仿宋" w:hAnsi="仿宋" w:eastAsia="仿宋"/>
        </w:rPr>
      </w:pPr>
      <w:bookmarkStart w:id="77" w:name="_Toc1714"/>
      <w:r>
        <w:rPr>
          <w:rFonts w:hint="eastAsia" w:ascii="仿宋" w:hAnsi="仿宋" w:eastAsia="仿宋"/>
          <w:b w:val="0"/>
        </w:rPr>
        <w:t>一、收</w:t>
      </w:r>
      <w:r>
        <w:rPr>
          <w:rStyle w:val="31"/>
          <w:rFonts w:hint="eastAsia" w:ascii="仿宋" w:hAnsi="仿宋" w:eastAsia="仿宋"/>
          <w:b w:val="0"/>
          <w:bCs w:val="0"/>
        </w:rPr>
        <w:t>入支出决算总表</w:t>
      </w:r>
      <w:bookmarkEnd w:id="76"/>
      <w:bookmarkEnd w:id="77"/>
    </w:p>
    <w:p>
      <w:pPr>
        <w:pStyle w:val="4"/>
        <w:rPr>
          <w:rFonts w:ascii="仿宋" w:hAnsi="仿宋" w:eastAsia="仿宋"/>
        </w:rPr>
      </w:pPr>
      <w:bookmarkStart w:id="78" w:name="_Toc15348"/>
      <w:bookmarkStart w:id="79" w:name="_Toc15396620"/>
      <w:r>
        <w:rPr>
          <w:rFonts w:hint="eastAsia" w:ascii="仿宋" w:hAnsi="仿宋" w:eastAsia="仿宋"/>
          <w:b w:val="0"/>
        </w:rPr>
        <w:t>二、收</w:t>
      </w:r>
      <w:r>
        <w:rPr>
          <w:rStyle w:val="31"/>
          <w:rFonts w:hint="eastAsia" w:ascii="仿宋" w:hAnsi="仿宋" w:eastAsia="仿宋"/>
          <w:b w:val="0"/>
          <w:bCs w:val="0"/>
        </w:rPr>
        <w:t>入决算表</w:t>
      </w:r>
      <w:bookmarkEnd w:id="78"/>
      <w:bookmarkEnd w:id="79"/>
    </w:p>
    <w:p>
      <w:pPr>
        <w:pStyle w:val="4"/>
        <w:rPr>
          <w:rFonts w:ascii="仿宋" w:hAnsi="仿宋" w:eastAsia="仿宋"/>
        </w:rPr>
      </w:pPr>
      <w:bookmarkStart w:id="80" w:name="_Toc15396621"/>
      <w:bookmarkStart w:id="81" w:name="_Toc22238"/>
      <w:r>
        <w:rPr>
          <w:rStyle w:val="31"/>
          <w:rFonts w:hint="eastAsia" w:ascii="仿宋" w:hAnsi="仿宋" w:eastAsia="仿宋"/>
          <w:b w:val="0"/>
          <w:bCs w:val="0"/>
        </w:rPr>
        <w:t>三、</w:t>
      </w:r>
      <w:r>
        <w:rPr>
          <w:rFonts w:hint="eastAsia" w:ascii="仿宋" w:hAnsi="仿宋" w:eastAsia="仿宋"/>
          <w:b w:val="0"/>
        </w:rPr>
        <w:t>支</w:t>
      </w:r>
      <w:r>
        <w:rPr>
          <w:rStyle w:val="31"/>
          <w:rFonts w:hint="eastAsia" w:ascii="仿宋" w:hAnsi="仿宋" w:eastAsia="仿宋"/>
          <w:b w:val="0"/>
          <w:bCs w:val="0"/>
        </w:rPr>
        <w:t>出决算表</w:t>
      </w:r>
      <w:bookmarkEnd w:id="80"/>
      <w:bookmarkEnd w:id="81"/>
    </w:p>
    <w:p>
      <w:pPr>
        <w:pStyle w:val="4"/>
        <w:rPr>
          <w:rFonts w:ascii="仿宋" w:hAnsi="仿宋" w:eastAsia="仿宋"/>
          <w:b w:val="0"/>
        </w:rPr>
      </w:pPr>
      <w:bookmarkStart w:id="82" w:name="_Toc4346"/>
      <w:bookmarkStart w:id="83" w:name="_Toc15396622"/>
      <w:r>
        <w:rPr>
          <w:rStyle w:val="31"/>
          <w:rFonts w:hint="eastAsia" w:ascii="仿宋" w:hAnsi="仿宋" w:eastAsia="仿宋"/>
          <w:b w:val="0"/>
          <w:bCs w:val="0"/>
        </w:rPr>
        <w:t>四、</w:t>
      </w:r>
      <w:r>
        <w:rPr>
          <w:rFonts w:hint="eastAsia" w:ascii="仿宋" w:hAnsi="仿宋" w:eastAsia="仿宋"/>
          <w:b w:val="0"/>
        </w:rPr>
        <w:t>财</w:t>
      </w:r>
      <w:r>
        <w:rPr>
          <w:rStyle w:val="31"/>
          <w:rFonts w:hint="eastAsia" w:ascii="仿宋" w:hAnsi="仿宋" w:eastAsia="仿宋"/>
          <w:b w:val="0"/>
          <w:bCs w:val="0"/>
        </w:rPr>
        <w:t>政拨款收入支出决算总表</w:t>
      </w:r>
      <w:bookmarkEnd w:id="82"/>
      <w:bookmarkEnd w:id="83"/>
    </w:p>
    <w:p>
      <w:pPr>
        <w:pStyle w:val="4"/>
        <w:rPr>
          <w:rStyle w:val="31"/>
          <w:rFonts w:ascii="仿宋" w:hAnsi="仿宋" w:eastAsia="仿宋"/>
          <w:b w:val="0"/>
          <w:bCs w:val="0"/>
        </w:rPr>
      </w:pPr>
      <w:bookmarkStart w:id="84" w:name="_Toc20808"/>
      <w:bookmarkStart w:id="85" w:name="_Toc15396623"/>
      <w:r>
        <w:rPr>
          <w:rStyle w:val="31"/>
          <w:rFonts w:hint="eastAsia" w:ascii="仿宋" w:hAnsi="仿宋" w:eastAsia="仿宋"/>
          <w:b w:val="0"/>
          <w:bCs w:val="0"/>
        </w:rPr>
        <w:t>五、</w:t>
      </w:r>
      <w:r>
        <w:rPr>
          <w:rFonts w:hint="eastAsia" w:ascii="仿宋" w:hAnsi="仿宋" w:eastAsia="仿宋"/>
          <w:b w:val="0"/>
        </w:rPr>
        <w:t>财</w:t>
      </w:r>
      <w:r>
        <w:rPr>
          <w:rStyle w:val="31"/>
          <w:rFonts w:hint="eastAsia" w:ascii="仿宋" w:hAnsi="仿宋" w:eastAsia="仿宋"/>
          <w:b w:val="0"/>
          <w:bCs w:val="0"/>
        </w:rPr>
        <w:t>政拨款支出决算明细表</w:t>
      </w:r>
      <w:bookmarkEnd w:id="84"/>
      <w:bookmarkEnd w:id="85"/>
      <w:bookmarkStart w:id="86" w:name="_Toc15396624"/>
    </w:p>
    <w:p>
      <w:pPr>
        <w:pStyle w:val="4"/>
        <w:rPr>
          <w:rFonts w:ascii="仿宋" w:hAnsi="仿宋" w:eastAsia="仿宋"/>
        </w:rPr>
      </w:pPr>
      <w:bookmarkStart w:id="87" w:name="_Toc22250"/>
      <w:r>
        <w:rPr>
          <w:rStyle w:val="31"/>
          <w:rFonts w:hint="eastAsia" w:ascii="仿宋" w:hAnsi="仿宋" w:eastAsia="仿宋"/>
          <w:b w:val="0"/>
          <w:bCs w:val="0"/>
        </w:rPr>
        <w:t>六、</w:t>
      </w:r>
      <w:r>
        <w:rPr>
          <w:rFonts w:hint="eastAsia" w:ascii="仿宋" w:hAnsi="仿宋" w:eastAsia="仿宋"/>
          <w:b w:val="0"/>
        </w:rPr>
        <w:t>一</w:t>
      </w:r>
      <w:r>
        <w:rPr>
          <w:rStyle w:val="31"/>
          <w:rFonts w:hint="eastAsia" w:ascii="仿宋" w:hAnsi="仿宋" w:eastAsia="仿宋"/>
          <w:b w:val="0"/>
          <w:bCs w:val="0"/>
        </w:rPr>
        <w:t>般公共预算财政拨款支出决算表</w:t>
      </w:r>
      <w:bookmarkEnd w:id="86"/>
      <w:bookmarkEnd w:id="87"/>
    </w:p>
    <w:p>
      <w:pPr>
        <w:pStyle w:val="4"/>
        <w:rPr>
          <w:rFonts w:ascii="仿宋" w:hAnsi="仿宋" w:eastAsia="仿宋"/>
        </w:rPr>
      </w:pPr>
      <w:bookmarkStart w:id="88" w:name="_Toc31508"/>
      <w:bookmarkStart w:id="89" w:name="_Toc15396625"/>
      <w:r>
        <w:rPr>
          <w:rStyle w:val="31"/>
          <w:rFonts w:hint="eastAsia" w:ascii="仿宋" w:hAnsi="仿宋" w:eastAsia="仿宋"/>
          <w:b w:val="0"/>
          <w:bCs w:val="0"/>
        </w:rPr>
        <w:t>七、</w:t>
      </w:r>
      <w:r>
        <w:rPr>
          <w:rFonts w:hint="eastAsia" w:ascii="仿宋" w:hAnsi="仿宋" w:eastAsia="仿宋"/>
          <w:b w:val="0"/>
        </w:rPr>
        <w:t>一</w:t>
      </w:r>
      <w:r>
        <w:rPr>
          <w:rStyle w:val="31"/>
          <w:rFonts w:hint="eastAsia" w:ascii="仿宋" w:hAnsi="仿宋" w:eastAsia="仿宋"/>
          <w:b w:val="0"/>
          <w:bCs w:val="0"/>
        </w:rPr>
        <w:t>般公共预算财政拨款支出决算明细表</w:t>
      </w:r>
      <w:bookmarkEnd w:id="88"/>
      <w:bookmarkEnd w:id="89"/>
    </w:p>
    <w:p>
      <w:pPr>
        <w:pStyle w:val="4"/>
        <w:rPr>
          <w:rFonts w:ascii="仿宋" w:hAnsi="仿宋" w:eastAsia="仿宋"/>
        </w:rPr>
      </w:pPr>
      <w:bookmarkStart w:id="90" w:name="_Toc15396626"/>
      <w:bookmarkStart w:id="91" w:name="_Toc5460"/>
      <w:r>
        <w:rPr>
          <w:rStyle w:val="31"/>
          <w:rFonts w:hint="eastAsia" w:ascii="仿宋" w:hAnsi="仿宋" w:eastAsia="仿宋"/>
          <w:b w:val="0"/>
          <w:bCs w:val="0"/>
        </w:rPr>
        <w:t>八、</w:t>
      </w:r>
      <w:r>
        <w:rPr>
          <w:rFonts w:hint="eastAsia" w:ascii="仿宋" w:hAnsi="仿宋" w:eastAsia="仿宋"/>
          <w:b w:val="0"/>
        </w:rPr>
        <w:t>一</w:t>
      </w:r>
      <w:r>
        <w:rPr>
          <w:rStyle w:val="31"/>
          <w:rFonts w:hint="eastAsia" w:ascii="仿宋" w:hAnsi="仿宋" w:eastAsia="仿宋"/>
          <w:b w:val="0"/>
          <w:bCs w:val="0"/>
        </w:rPr>
        <w:t>般公共预算财政拨款基本支出决算表</w:t>
      </w:r>
      <w:bookmarkEnd w:id="90"/>
      <w:bookmarkEnd w:id="91"/>
    </w:p>
    <w:p>
      <w:pPr>
        <w:pStyle w:val="4"/>
        <w:rPr>
          <w:rFonts w:ascii="仿宋" w:hAnsi="仿宋" w:eastAsia="仿宋"/>
        </w:rPr>
      </w:pPr>
      <w:bookmarkStart w:id="92" w:name="_Toc140"/>
      <w:bookmarkStart w:id="93" w:name="_Toc15396627"/>
      <w:r>
        <w:rPr>
          <w:rStyle w:val="31"/>
          <w:rFonts w:hint="eastAsia" w:ascii="仿宋" w:hAnsi="仿宋" w:eastAsia="仿宋"/>
          <w:b w:val="0"/>
          <w:bCs w:val="0"/>
        </w:rPr>
        <w:t>九、</w:t>
      </w:r>
      <w:r>
        <w:rPr>
          <w:rFonts w:hint="eastAsia" w:ascii="仿宋" w:hAnsi="仿宋" w:eastAsia="仿宋"/>
          <w:b w:val="0"/>
        </w:rPr>
        <w:t>一</w:t>
      </w:r>
      <w:r>
        <w:rPr>
          <w:rStyle w:val="31"/>
          <w:rFonts w:hint="eastAsia" w:ascii="仿宋" w:hAnsi="仿宋" w:eastAsia="仿宋"/>
          <w:b w:val="0"/>
          <w:bCs w:val="0"/>
        </w:rPr>
        <w:t>般公共预算财政拨款项目支出决算表</w:t>
      </w:r>
      <w:bookmarkEnd w:id="92"/>
      <w:bookmarkEnd w:id="93"/>
    </w:p>
    <w:p>
      <w:pPr>
        <w:pStyle w:val="4"/>
        <w:rPr>
          <w:rFonts w:ascii="仿宋" w:hAnsi="仿宋" w:eastAsia="仿宋"/>
        </w:rPr>
      </w:pPr>
      <w:bookmarkStart w:id="94" w:name="_Toc15396628"/>
      <w:bookmarkStart w:id="95" w:name="_Toc26223"/>
      <w:r>
        <w:rPr>
          <w:rStyle w:val="31"/>
          <w:rFonts w:hint="eastAsia" w:ascii="仿宋" w:hAnsi="仿宋" w:eastAsia="仿宋"/>
          <w:b w:val="0"/>
          <w:bCs w:val="0"/>
        </w:rPr>
        <w:t>十、</w:t>
      </w:r>
      <w:bookmarkEnd w:id="94"/>
      <w:r>
        <w:rPr>
          <w:rFonts w:hint="eastAsia" w:ascii="仿宋" w:hAnsi="仿宋" w:eastAsia="仿宋"/>
          <w:b w:val="0"/>
        </w:rPr>
        <w:t>政</w:t>
      </w:r>
      <w:r>
        <w:rPr>
          <w:rStyle w:val="31"/>
          <w:rFonts w:hint="eastAsia" w:ascii="仿宋" w:hAnsi="仿宋" w:eastAsia="仿宋"/>
          <w:b w:val="0"/>
          <w:bCs w:val="0"/>
        </w:rPr>
        <w:t>府性基金预算财政拨款收入支出决算表</w:t>
      </w:r>
      <w:bookmarkEnd w:id="95"/>
    </w:p>
    <w:p>
      <w:pPr>
        <w:pStyle w:val="4"/>
        <w:rPr>
          <w:rFonts w:ascii="仿宋" w:hAnsi="仿宋" w:eastAsia="仿宋"/>
        </w:rPr>
      </w:pPr>
      <w:bookmarkStart w:id="96" w:name="_Toc15396629"/>
      <w:bookmarkStart w:id="97" w:name="_Toc32208"/>
      <w:r>
        <w:rPr>
          <w:rStyle w:val="31"/>
          <w:rFonts w:hint="eastAsia" w:ascii="仿宋" w:hAnsi="仿宋" w:eastAsia="仿宋"/>
          <w:b w:val="0"/>
          <w:bCs w:val="0"/>
        </w:rPr>
        <w:t>十一、</w:t>
      </w:r>
      <w:bookmarkEnd w:id="96"/>
      <w:r>
        <w:rPr>
          <w:rFonts w:hint="eastAsia" w:ascii="仿宋" w:hAnsi="仿宋" w:eastAsia="仿宋"/>
          <w:b w:val="0"/>
        </w:rPr>
        <w:t>国</w:t>
      </w:r>
      <w:r>
        <w:rPr>
          <w:rStyle w:val="31"/>
          <w:rFonts w:hint="eastAsia" w:ascii="仿宋" w:hAnsi="仿宋" w:eastAsia="仿宋"/>
          <w:b w:val="0"/>
          <w:bCs w:val="0"/>
        </w:rPr>
        <w:t>有资本经营预算财政拨款收入支出决算表</w:t>
      </w:r>
      <w:bookmarkEnd w:id="97"/>
    </w:p>
    <w:p>
      <w:pPr>
        <w:pStyle w:val="4"/>
        <w:rPr>
          <w:rFonts w:ascii="仿宋" w:hAnsi="仿宋" w:eastAsia="仿宋"/>
        </w:rPr>
      </w:pPr>
      <w:bookmarkStart w:id="98" w:name="_Toc15396630"/>
      <w:bookmarkStart w:id="99" w:name="_Toc23931"/>
      <w:r>
        <w:rPr>
          <w:rStyle w:val="31"/>
          <w:rFonts w:hint="eastAsia" w:ascii="仿宋" w:hAnsi="仿宋" w:eastAsia="仿宋"/>
          <w:b w:val="0"/>
          <w:bCs w:val="0"/>
        </w:rPr>
        <w:t>十二、</w:t>
      </w:r>
      <w:bookmarkEnd w:id="98"/>
      <w:r>
        <w:rPr>
          <w:rStyle w:val="31"/>
          <w:rFonts w:hint="eastAsia" w:ascii="仿宋" w:hAnsi="仿宋" w:eastAsia="仿宋"/>
          <w:b w:val="0"/>
          <w:bCs w:val="0"/>
        </w:rPr>
        <w:t>国有资本经营预算财政拨款支出决算表</w:t>
      </w:r>
      <w:bookmarkEnd w:id="99"/>
    </w:p>
    <w:p>
      <w:pPr>
        <w:pStyle w:val="4"/>
        <w:rPr>
          <w:rFonts w:eastAsia="仿宋"/>
        </w:rPr>
      </w:pPr>
      <w:bookmarkStart w:id="100" w:name="_Toc15396631"/>
      <w:bookmarkStart w:id="101" w:name="_Toc2627"/>
      <w:r>
        <w:rPr>
          <w:rStyle w:val="31"/>
          <w:rFonts w:hint="eastAsia" w:ascii="仿宋" w:hAnsi="仿宋" w:eastAsia="仿宋"/>
          <w:b w:val="0"/>
          <w:bCs w:val="0"/>
        </w:rPr>
        <w:t>十三、</w:t>
      </w:r>
      <w:bookmarkEnd w:id="100"/>
      <w:r>
        <w:rPr>
          <w:rStyle w:val="31"/>
          <w:rFonts w:hint="eastAsia" w:ascii="仿宋" w:hAnsi="仿宋" w:eastAsia="仿宋"/>
          <w:b w:val="0"/>
          <w:bCs w:val="0"/>
        </w:rPr>
        <w:t>财政拨款“三公”经费支出决算表</w:t>
      </w:r>
      <w:bookmarkEnd w:id="101"/>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2"/>
          <w:jc w:val="center"/>
        </w:pPr>
        <w:r>
          <w:fldChar w:fldCharType="begin"/>
        </w:r>
        <w:r>
          <w:instrText xml:space="preserve">PAGE   \* MERGEFORMAT</w:instrText>
        </w:r>
        <w:r>
          <w:fldChar w:fldCharType="separate"/>
        </w:r>
        <w:r>
          <w:rPr>
            <w:lang w:val="zh-CN"/>
          </w:rPr>
          <w:t>15</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abstractNum w:abstractNumId="4">
    <w:nsid w:val="63D0A963"/>
    <w:multiLevelType w:val="singleLevel"/>
    <w:tmpl w:val="63D0A963"/>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40A2F"/>
    <w:rsid w:val="03DC2831"/>
    <w:rsid w:val="065F00C5"/>
    <w:rsid w:val="073046B0"/>
    <w:rsid w:val="081B5E94"/>
    <w:rsid w:val="09623D6F"/>
    <w:rsid w:val="0A2032A3"/>
    <w:rsid w:val="0B8A37D8"/>
    <w:rsid w:val="0DBC0C07"/>
    <w:rsid w:val="0F5FFB2F"/>
    <w:rsid w:val="0FFFCF60"/>
    <w:rsid w:val="10B55C63"/>
    <w:rsid w:val="10C055FF"/>
    <w:rsid w:val="115E75CE"/>
    <w:rsid w:val="118107EC"/>
    <w:rsid w:val="118D4B96"/>
    <w:rsid w:val="11DD6519"/>
    <w:rsid w:val="124D7FF0"/>
    <w:rsid w:val="13B7045A"/>
    <w:rsid w:val="16BB723D"/>
    <w:rsid w:val="18015F3F"/>
    <w:rsid w:val="1A456B3C"/>
    <w:rsid w:val="1AAC1CE3"/>
    <w:rsid w:val="1B7E0606"/>
    <w:rsid w:val="1BE8440E"/>
    <w:rsid w:val="1CCD7512"/>
    <w:rsid w:val="1D155CEE"/>
    <w:rsid w:val="1F3A78F8"/>
    <w:rsid w:val="1FDBBF84"/>
    <w:rsid w:val="20376A48"/>
    <w:rsid w:val="20F57F95"/>
    <w:rsid w:val="22321EC7"/>
    <w:rsid w:val="22520CC1"/>
    <w:rsid w:val="240371BF"/>
    <w:rsid w:val="25711CC6"/>
    <w:rsid w:val="25C741E6"/>
    <w:rsid w:val="263C4FCD"/>
    <w:rsid w:val="276F80C0"/>
    <w:rsid w:val="27842671"/>
    <w:rsid w:val="29810495"/>
    <w:rsid w:val="29FD04D3"/>
    <w:rsid w:val="2A211FA2"/>
    <w:rsid w:val="2ABE7A3E"/>
    <w:rsid w:val="2AFF09B6"/>
    <w:rsid w:val="2CA234A8"/>
    <w:rsid w:val="2EC72420"/>
    <w:rsid w:val="2EFA178C"/>
    <w:rsid w:val="2EFDF86C"/>
    <w:rsid w:val="2F9D17E1"/>
    <w:rsid w:val="30B46D73"/>
    <w:rsid w:val="319F7F4E"/>
    <w:rsid w:val="32E1382C"/>
    <w:rsid w:val="356A28F1"/>
    <w:rsid w:val="357C035A"/>
    <w:rsid w:val="368E000D"/>
    <w:rsid w:val="370151A0"/>
    <w:rsid w:val="37086D4A"/>
    <w:rsid w:val="383D272C"/>
    <w:rsid w:val="39AE70AB"/>
    <w:rsid w:val="3A4DCE41"/>
    <w:rsid w:val="3AB0507A"/>
    <w:rsid w:val="3BCB56FA"/>
    <w:rsid w:val="3C0C0783"/>
    <w:rsid w:val="3EE7C2F4"/>
    <w:rsid w:val="3F371B56"/>
    <w:rsid w:val="3F4C4303"/>
    <w:rsid w:val="3F792ED8"/>
    <w:rsid w:val="3F9F3A96"/>
    <w:rsid w:val="3FECA4B2"/>
    <w:rsid w:val="3FF58C48"/>
    <w:rsid w:val="406975BC"/>
    <w:rsid w:val="410374E3"/>
    <w:rsid w:val="4291267B"/>
    <w:rsid w:val="42A7501E"/>
    <w:rsid w:val="42FF6694"/>
    <w:rsid w:val="439E1F62"/>
    <w:rsid w:val="48BF60AB"/>
    <w:rsid w:val="493C27E9"/>
    <w:rsid w:val="496F39ED"/>
    <w:rsid w:val="49FF41D3"/>
    <w:rsid w:val="4A0F498D"/>
    <w:rsid w:val="4BE068DB"/>
    <w:rsid w:val="4BF6002B"/>
    <w:rsid w:val="4BFFC6BE"/>
    <w:rsid w:val="4ECE2238"/>
    <w:rsid w:val="50ED7D32"/>
    <w:rsid w:val="515C6A23"/>
    <w:rsid w:val="51DB4B86"/>
    <w:rsid w:val="51F64DB0"/>
    <w:rsid w:val="52522F41"/>
    <w:rsid w:val="52FF5E48"/>
    <w:rsid w:val="5431666F"/>
    <w:rsid w:val="55333C3E"/>
    <w:rsid w:val="59616D97"/>
    <w:rsid w:val="59A76A78"/>
    <w:rsid w:val="5BFF0AFB"/>
    <w:rsid w:val="5D99089C"/>
    <w:rsid w:val="5F3009E4"/>
    <w:rsid w:val="5F67802D"/>
    <w:rsid w:val="5F7DC4F2"/>
    <w:rsid w:val="5FB36814"/>
    <w:rsid w:val="5FBB8E56"/>
    <w:rsid w:val="5FFB5535"/>
    <w:rsid w:val="604B2F70"/>
    <w:rsid w:val="62D934DD"/>
    <w:rsid w:val="64CA39A1"/>
    <w:rsid w:val="67CA446A"/>
    <w:rsid w:val="69630ADE"/>
    <w:rsid w:val="69BD5F13"/>
    <w:rsid w:val="69FB0B4B"/>
    <w:rsid w:val="6A782A9E"/>
    <w:rsid w:val="6BFFE1FB"/>
    <w:rsid w:val="6C4A05C8"/>
    <w:rsid w:val="6C5A7C87"/>
    <w:rsid w:val="6D3B1A89"/>
    <w:rsid w:val="6D93671D"/>
    <w:rsid w:val="6DB7D8A3"/>
    <w:rsid w:val="6EC78701"/>
    <w:rsid w:val="6F7A5481"/>
    <w:rsid w:val="6FFE07A9"/>
    <w:rsid w:val="71BF4EC2"/>
    <w:rsid w:val="72734D90"/>
    <w:rsid w:val="73E75B71"/>
    <w:rsid w:val="7412278C"/>
    <w:rsid w:val="74626765"/>
    <w:rsid w:val="74C4753B"/>
    <w:rsid w:val="75DDCDA9"/>
    <w:rsid w:val="75FF44B1"/>
    <w:rsid w:val="77670518"/>
    <w:rsid w:val="777FA627"/>
    <w:rsid w:val="77DF1B5F"/>
    <w:rsid w:val="77EF2D9D"/>
    <w:rsid w:val="79E7B28D"/>
    <w:rsid w:val="7A5449D3"/>
    <w:rsid w:val="7ACFF0C2"/>
    <w:rsid w:val="7AFB9108"/>
    <w:rsid w:val="7BD5340C"/>
    <w:rsid w:val="7BFB19D2"/>
    <w:rsid w:val="7BFD1750"/>
    <w:rsid w:val="7BFDAA1B"/>
    <w:rsid w:val="7C074FCB"/>
    <w:rsid w:val="7C4C347A"/>
    <w:rsid w:val="7CDF9A82"/>
    <w:rsid w:val="7CFFA1BD"/>
    <w:rsid w:val="7D2E3F7A"/>
    <w:rsid w:val="7DCC0473"/>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cs="Arial"/>
      <w:b/>
      <w:bCs/>
      <w:sz w:val="32"/>
      <w:szCs w:val="32"/>
    </w:rPr>
  </w:style>
  <w:style w:type="paragraph" w:styleId="6">
    <w:name w:val="Salutation"/>
    <w:basedOn w:val="1"/>
    <w:next w:val="1"/>
    <w:qFormat/>
    <w:uiPriority w:val="0"/>
  </w:style>
  <w:style w:type="paragraph" w:styleId="7">
    <w:name w:val="Body Text"/>
    <w:basedOn w:val="1"/>
    <w:link w:val="27"/>
    <w:qFormat/>
    <w:uiPriority w:val="99"/>
    <w:pPr>
      <w:spacing w:beforeLines="30"/>
    </w:pPr>
    <w:rPr>
      <w:rFonts w:ascii="仿宋_GB2312" w:eastAsia="仿宋_GB2312"/>
      <w:kern w:val="0"/>
      <w:sz w:val="30"/>
    </w:rPr>
  </w:style>
  <w:style w:type="paragraph" w:styleId="8">
    <w:name w:val="Body Text Indent"/>
    <w:basedOn w:val="1"/>
    <w:next w:val="9"/>
    <w:qFormat/>
    <w:uiPriority w:val="0"/>
    <w:pPr>
      <w:spacing w:after="120"/>
      <w:ind w:left="200" w:leftChars="200"/>
    </w:pPr>
    <w:rPr>
      <w:rFonts w:ascii="仿宋_GB2312"/>
      <w:szCs w:val="32"/>
    </w:rPr>
  </w:style>
  <w:style w:type="paragraph" w:styleId="9">
    <w:name w:val="Body Text First Indent 2"/>
    <w:basedOn w:val="8"/>
    <w:next w:val="1"/>
    <w:unhideWhenUsed/>
    <w:qFormat/>
    <w:uiPriority w:val="99"/>
    <w:pPr>
      <w:ind w:firstLine="420" w:firstLineChars="200"/>
    </w:pPr>
  </w:style>
  <w:style w:type="paragraph" w:styleId="10">
    <w:name w:val="toc 3"/>
    <w:basedOn w:val="1"/>
    <w:next w:val="1"/>
    <w:unhideWhenUsed/>
    <w:qFormat/>
    <w:uiPriority w:val="39"/>
    <w:pPr>
      <w:tabs>
        <w:tab w:val="right" w:leader="dot" w:pos="8296"/>
      </w:tabs>
      <w:ind w:left="840" w:leftChars="400"/>
    </w:pPr>
  </w:style>
  <w:style w:type="paragraph" w:styleId="11">
    <w:name w:val="Balloon Text"/>
    <w:basedOn w:val="1"/>
    <w:link w:val="33"/>
    <w:semiHidden/>
    <w:unhideWhenUsed/>
    <w:qFormat/>
    <w:uiPriority w:val="99"/>
    <w:rPr>
      <w:sz w:val="18"/>
      <w:szCs w:val="18"/>
    </w:rPr>
  </w:style>
  <w:style w:type="paragraph" w:styleId="12">
    <w:name w:val="footer"/>
    <w:basedOn w:val="1"/>
    <w:link w:val="25"/>
    <w:qFormat/>
    <w:uiPriority w:val="99"/>
    <w:pPr>
      <w:tabs>
        <w:tab w:val="center" w:pos="4153"/>
        <w:tab w:val="right" w:pos="8306"/>
      </w:tabs>
      <w:snapToGrid w:val="0"/>
      <w:jc w:val="left"/>
    </w:pPr>
    <w:rPr>
      <w:rFonts w:ascii="Calibri" w:hAnsi="Calibri"/>
      <w:kern w:val="0"/>
      <w:sz w:val="18"/>
      <w:szCs w:val="18"/>
    </w:rPr>
  </w:style>
  <w:style w:type="paragraph" w:styleId="13">
    <w:name w:val="header"/>
    <w:basedOn w:val="1"/>
    <w:link w:val="23"/>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4">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5">
    <w:name w:val="footnote text"/>
    <w:basedOn w:val="1"/>
    <w:next w:val="9"/>
    <w:semiHidden/>
    <w:qFormat/>
    <w:uiPriority w:val="0"/>
    <w:pPr>
      <w:snapToGrid w:val="0"/>
      <w:jc w:val="left"/>
    </w:pPr>
    <w:rPr>
      <w:sz w:val="18"/>
      <w:szCs w:val="18"/>
    </w:rPr>
  </w:style>
  <w:style w:type="paragraph" w:styleId="16">
    <w:name w:val="toc 2"/>
    <w:basedOn w:val="1"/>
    <w:next w:val="1"/>
    <w:unhideWhenUsed/>
    <w:qFormat/>
    <w:uiPriority w:val="39"/>
    <w:pPr>
      <w:tabs>
        <w:tab w:val="right" w:leader="dot" w:pos="8296"/>
      </w:tabs>
      <w:ind w:left="420" w:leftChars="200"/>
    </w:pPr>
  </w:style>
  <w:style w:type="character" w:styleId="19">
    <w:name w:val="Strong"/>
    <w:basedOn w:val="18"/>
    <w:qFormat/>
    <w:uiPriority w:val="99"/>
    <w:rPr>
      <w:b/>
    </w:rPr>
  </w:style>
  <w:style w:type="character" w:styleId="20">
    <w:name w:val="Hyperlink"/>
    <w:basedOn w:val="18"/>
    <w:unhideWhenUsed/>
    <w:qFormat/>
    <w:uiPriority w:val="99"/>
    <w:rPr>
      <w:color w:val="0000FF" w:themeColor="hyperlink"/>
      <w:u w:val="single"/>
      <w14:textFill>
        <w14:solidFill>
          <w14:schemeClr w14:val="hlink"/>
        </w14:solidFill>
      </w14:textFill>
    </w:rPr>
  </w:style>
  <w:style w:type="paragraph" w:customStyle="1" w:styleId="21">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2">
    <w:name w:val="Header Char"/>
    <w:basedOn w:val="18"/>
    <w:semiHidden/>
    <w:qFormat/>
    <w:uiPriority w:val="99"/>
    <w:rPr>
      <w:rFonts w:ascii="Times New Roman" w:hAnsi="Times New Roman"/>
      <w:sz w:val="18"/>
      <w:szCs w:val="18"/>
    </w:rPr>
  </w:style>
  <w:style w:type="character" w:customStyle="1" w:styleId="23">
    <w:name w:val="页眉 字符"/>
    <w:link w:val="13"/>
    <w:semiHidden/>
    <w:qFormat/>
    <w:locked/>
    <w:uiPriority w:val="99"/>
    <w:rPr>
      <w:sz w:val="18"/>
    </w:rPr>
  </w:style>
  <w:style w:type="character" w:customStyle="1" w:styleId="24">
    <w:name w:val="Footer Char"/>
    <w:basedOn w:val="18"/>
    <w:semiHidden/>
    <w:qFormat/>
    <w:uiPriority w:val="99"/>
    <w:rPr>
      <w:rFonts w:ascii="Times New Roman" w:hAnsi="Times New Roman"/>
      <w:sz w:val="18"/>
      <w:szCs w:val="18"/>
    </w:rPr>
  </w:style>
  <w:style w:type="character" w:customStyle="1" w:styleId="25">
    <w:name w:val="页脚 字符"/>
    <w:link w:val="12"/>
    <w:qFormat/>
    <w:locked/>
    <w:uiPriority w:val="99"/>
    <w:rPr>
      <w:sz w:val="18"/>
    </w:rPr>
  </w:style>
  <w:style w:type="character" w:customStyle="1" w:styleId="26">
    <w:name w:val="Body Text Char"/>
    <w:basedOn w:val="18"/>
    <w:semiHidden/>
    <w:qFormat/>
    <w:uiPriority w:val="99"/>
    <w:rPr>
      <w:rFonts w:ascii="Times New Roman" w:hAnsi="Times New Roman"/>
      <w:szCs w:val="24"/>
    </w:rPr>
  </w:style>
  <w:style w:type="character" w:customStyle="1" w:styleId="27">
    <w:name w:val="正文文本 字符"/>
    <w:link w:val="7"/>
    <w:qFormat/>
    <w:locked/>
    <w:uiPriority w:val="99"/>
    <w:rPr>
      <w:rFonts w:ascii="仿宋_GB2312" w:hAnsi="Times New Roman" w:eastAsia="仿宋_GB2312"/>
      <w:sz w:val="24"/>
    </w:rPr>
  </w:style>
  <w:style w:type="paragraph" w:customStyle="1" w:styleId="2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9">
    <w:name w:val="List Paragraph"/>
    <w:basedOn w:val="1"/>
    <w:qFormat/>
    <w:uiPriority w:val="34"/>
    <w:pPr>
      <w:ind w:firstLine="420" w:firstLineChars="200"/>
    </w:pPr>
  </w:style>
  <w:style w:type="character" w:customStyle="1" w:styleId="30">
    <w:name w:val="标题 1 字符"/>
    <w:basedOn w:val="18"/>
    <w:link w:val="3"/>
    <w:qFormat/>
    <w:uiPriority w:val="9"/>
    <w:rPr>
      <w:rFonts w:ascii="Times New Roman" w:hAnsi="Times New Roman"/>
      <w:b/>
      <w:bCs/>
      <w:kern w:val="44"/>
      <w:sz w:val="44"/>
      <w:szCs w:val="44"/>
    </w:rPr>
  </w:style>
  <w:style w:type="character" w:customStyle="1" w:styleId="31">
    <w:name w:val="标题 2 字符"/>
    <w:basedOn w:val="18"/>
    <w:link w:val="4"/>
    <w:qFormat/>
    <w:uiPriority w:val="9"/>
    <w:rPr>
      <w:rFonts w:asciiTheme="majorHAnsi" w:hAnsiTheme="majorHAnsi" w:eastAsiaTheme="majorEastAsia" w:cstheme="majorBidi"/>
      <w:b/>
      <w:bCs/>
      <w:kern w:val="2"/>
      <w:sz w:val="32"/>
      <w:szCs w:val="32"/>
    </w:rPr>
  </w:style>
  <w:style w:type="paragraph" w:customStyle="1" w:styleId="32">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字符"/>
    <w:basedOn w:val="18"/>
    <w:link w:val="11"/>
    <w:semiHidden/>
    <w:qFormat/>
    <w:uiPriority w:val="99"/>
    <w:rPr>
      <w:rFonts w:ascii="Times New Roman" w:hAnsi="Times New Roman"/>
      <w:kern w:val="2"/>
      <w:sz w:val="18"/>
      <w:szCs w:val="18"/>
    </w:rPr>
  </w:style>
  <w:style w:type="character" w:customStyle="1" w:styleId="34">
    <w:name w:val="标题 3 字符"/>
    <w:basedOn w:val="18"/>
    <w:link w:val="5"/>
    <w:qFormat/>
    <w:uiPriority w:val="9"/>
    <w:rPr>
      <w:rFonts w:ascii="Times New Roman" w:hAnsi="Times New Roman"/>
      <w:b/>
      <w:bCs/>
      <w:kern w:val="2"/>
      <w:sz w:val="32"/>
      <w:szCs w:val="32"/>
    </w:rPr>
  </w:style>
  <w:style w:type="paragraph" w:customStyle="1" w:styleId="35">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6">
    <w:name w:val="NormalIndent"/>
    <w:basedOn w:val="1"/>
    <w:qFormat/>
    <w:uiPriority w:val="99"/>
    <w:pPr>
      <w:snapToGrid w:val="0"/>
      <w:spacing w:line="540" w:lineRule="exact"/>
      <w:ind w:firstLine="652"/>
    </w:pPr>
    <w:rPr>
      <w:rFonts w:ascii="宋体" w:hAnsi="宋体" w:eastAsia="仿宋_GB2312"/>
      <w:sz w:val="32"/>
    </w:rPr>
  </w:style>
  <w:style w:type="character" w:customStyle="1" w:styleId="37">
    <w:name w:val="标题 1 Char"/>
    <w:basedOn w:val="18"/>
    <w:link w:val="3"/>
    <w:qFormat/>
    <w:uiPriority w:val="9"/>
    <w:rPr>
      <w:b/>
      <w:bCs/>
      <w:kern w:val="44"/>
      <w:sz w:val="44"/>
      <w:szCs w:val="44"/>
    </w:rPr>
  </w:style>
  <w:style w:type="paragraph" w:customStyle="1" w:styleId="38">
    <w:name w:val="WPSOffice手动目录 1"/>
    <w:qFormat/>
    <w:uiPriority w:val="0"/>
    <w:pPr>
      <w:ind w:leftChars="0"/>
    </w:pPr>
    <w:rPr>
      <w:rFonts w:asciiTheme="minorHAnsi" w:hAnsiTheme="minorHAnsi" w:eastAsiaTheme="minorEastAsia" w:cstheme="minorBidi"/>
      <w:sz w:val="20"/>
      <w:szCs w:val="20"/>
    </w:rPr>
  </w:style>
  <w:style w:type="paragraph" w:customStyle="1" w:styleId="39">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0116;&#36890;&#26725;&#25991;&#26053;\2023-326-&#25991;&#20307;&#26053;&#28216;&#23616;&#20915;&#31639;&#32479;&#35745;&#34920;\2023-326311-&#20116;&#36890;&#26725;&#21306;&#26053;&#28216;&#20419;&#36827;&#21644;&#26381;&#21153;&#20013;&#24515;&#20915;&#31639;&#32479;&#35745;&#25253;&#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一般公共预算财政拨款支出决算结构</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'[2023-326311-五通桥区旅游促进和服务中心决算统计报表.xls]Z08_1 一般公共预算财政拨款基本支出决算明细表(财决08-'!$H$44:$H$47</c:f>
              <c:strCache>
                <c:ptCount val="4"/>
                <c:pt idx="0">
                  <c:v>文化旅游体育与传媒支出</c:v>
                </c:pt>
                <c:pt idx="1">
                  <c:v>社会保障和就业支出</c:v>
                </c:pt>
                <c:pt idx="2">
                  <c:v>卫生健康支出</c:v>
                </c:pt>
                <c:pt idx="3">
                  <c:v>住房保障支出</c:v>
                </c:pt>
              </c:strCache>
            </c:strRef>
          </c:cat>
          <c:val>
            <c:numRef>
              <c:f>'[2023-326311-五通桥区旅游促进和服务中心决算统计报表.xls]Z08_1 一般公共预算财政拨款基本支出决算明细表(财决08-'!$I$44:$I$47</c:f>
              <c:numCache>
                <c:formatCode>General</c:formatCode>
                <c:ptCount val="4"/>
                <c:pt idx="0">
                  <c:v>0.760375388791506</c:v>
                </c:pt>
                <c:pt idx="1">
                  <c:v>0.137462233960659</c:v>
                </c:pt>
                <c:pt idx="2">
                  <c:v>0.0283860876813344</c:v>
                </c:pt>
                <c:pt idx="3">
                  <c:v>0.0737762895665009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5418</Words>
  <Characters>5910</Characters>
  <Lines>54</Lines>
  <Paragraphs>15</Paragraphs>
  <TotalTime>17</TotalTime>
  <ScaleCrop>false</ScaleCrop>
  <LinksUpToDate>false</LinksUpToDate>
  <CharactersWithSpaces>5964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五通桥区文体旅游局</cp:lastModifiedBy>
  <cp:lastPrinted>2023-08-03T02:35:00Z</cp:lastPrinted>
  <dcterms:modified xsi:type="dcterms:W3CDTF">2024-10-28T06:33:04Z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681513B1E59449D49240E54D91D8A739_12</vt:lpwstr>
  </property>
</Properties>
</file>