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32B6B9">
      <w:pPr>
        <w:spacing w:line="600" w:lineRule="exact"/>
        <w:jc w:val="left"/>
        <w:outlineLvl w:val="0"/>
        <w:rPr>
          <w:rFonts w:hint="eastAsia" w:ascii="宋体" w:hAnsi="宋体" w:eastAsia="宋体" w:cs="宋体"/>
          <w:szCs w:val="21"/>
        </w:rPr>
      </w:pPr>
      <w:bookmarkStart w:id="0" w:name="_Toc15306267"/>
    </w:p>
    <w:p w14:paraId="20280651">
      <w:pPr>
        <w:pStyle w:val="6"/>
        <w:spacing w:before="93"/>
        <w:rPr>
          <w:rFonts w:hint="eastAsia" w:ascii="宋体" w:hAnsi="宋体" w:eastAsia="宋体" w:cs="宋体"/>
        </w:rPr>
      </w:pPr>
    </w:p>
    <w:p w14:paraId="44E38C5F">
      <w:pPr>
        <w:spacing w:line="600" w:lineRule="exact"/>
        <w:jc w:val="center"/>
        <w:outlineLvl w:val="0"/>
        <w:rPr>
          <w:rFonts w:hint="eastAsia" w:ascii="宋体" w:hAnsi="宋体" w:eastAsia="宋体" w:cs="宋体"/>
          <w:sz w:val="72"/>
          <w:szCs w:val="72"/>
        </w:rPr>
      </w:pPr>
    </w:p>
    <w:p w14:paraId="14C625C9">
      <w:pPr>
        <w:spacing w:line="600" w:lineRule="exact"/>
        <w:jc w:val="center"/>
        <w:outlineLvl w:val="0"/>
        <w:rPr>
          <w:rFonts w:hint="eastAsia" w:ascii="宋体" w:hAnsi="宋体" w:eastAsia="宋体" w:cs="宋体"/>
          <w:b/>
          <w:bCs/>
          <w:sz w:val="72"/>
          <w:szCs w:val="72"/>
        </w:rPr>
      </w:pPr>
    </w:p>
    <w:p w14:paraId="325233D6">
      <w:pPr>
        <w:adjustRightInd w:val="0"/>
        <w:snapToGrid w:val="0"/>
        <w:spacing w:line="360" w:lineRule="auto"/>
        <w:jc w:val="center"/>
        <w:outlineLvl w:val="0"/>
        <w:rPr>
          <w:rFonts w:hint="eastAsia" w:ascii="宋体" w:hAnsi="宋体" w:eastAsia="宋体" w:cs="宋体"/>
          <w:b/>
          <w:bCs/>
          <w:sz w:val="52"/>
          <w:szCs w:val="52"/>
        </w:rPr>
      </w:pPr>
      <w:bookmarkStart w:id="1" w:name="_Toc15396475"/>
      <w:bookmarkStart w:id="2" w:name="_Toc15377193"/>
      <w:bookmarkStart w:id="3" w:name="_Toc15377425"/>
      <w:bookmarkStart w:id="4" w:name="_Toc15378441"/>
      <w:bookmarkStart w:id="5" w:name="_Toc15396597"/>
      <w:r>
        <w:rPr>
          <w:rFonts w:hint="eastAsia" w:ascii="宋体" w:hAnsi="宋体" w:eastAsia="宋体" w:cs="宋体"/>
          <w:b/>
          <w:bCs/>
          <w:sz w:val="52"/>
          <w:szCs w:val="52"/>
        </w:rPr>
        <w:t>2023年度</w:t>
      </w:r>
      <w:bookmarkEnd w:id="1"/>
      <w:bookmarkEnd w:id="2"/>
      <w:bookmarkEnd w:id="3"/>
      <w:bookmarkEnd w:id="4"/>
      <w:bookmarkEnd w:id="5"/>
    </w:p>
    <w:bookmarkEnd w:id="0"/>
    <w:p w14:paraId="596A8404">
      <w:pPr>
        <w:spacing w:line="360" w:lineRule="auto"/>
        <w:ind w:firstLineChars="0"/>
        <w:jc w:val="center"/>
        <w:rPr>
          <w:rFonts w:hint="eastAsia" w:ascii="宋体" w:hAnsi="宋体" w:eastAsia="宋体" w:cs="宋体"/>
          <w:b/>
          <w:color w:val="000000"/>
          <w:sz w:val="52"/>
          <w:szCs w:val="52"/>
        </w:rPr>
      </w:pPr>
      <w:bookmarkStart w:id="6" w:name="_Toc15396598"/>
      <w:bookmarkStart w:id="7" w:name="_Toc15396476"/>
      <w:bookmarkStart w:id="8" w:name="_Toc15377194"/>
      <w:bookmarkStart w:id="9" w:name="_Toc15377426"/>
      <w:bookmarkStart w:id="10" w:name="_Toc15306268"/>
      <w:bookmarkStart w:id="11" w:name="_Toc15378442"/>
      <w:r>
        <w:rPr>
          <w:rFonts w:hint="eastAsia" w:ascii="宋体" w:hAnsi="宋体" w:eastAsia="宋体" w:cs="宋体"/>
          <w:b/>
          <w:color w:val="000000"/>
          <w:sz w:val="52"/>
          <w:szCs w:val="52"/>
        </w:rPr>
        <w:t>五通桥区工业基地服务中心</w:t>
      </w:r>
    </w:p>
    <w:p w14:paraId="7D40B1E9">
      <w:pPr>
        <w:adjustRightInd w:val="0"/>
        <w:snapToGrid w:val="0"/>
        <w:spacing w:line="360" w:lineRule="auto"/>
        <w:jc w:val="center"/>
        <w:outlineLvl w:val="0"/>
        <w:rPr>
          <w:rFonts w:hint="eastAsia" w:ascii="宋体" w:hAnsi="宋体" w:eastAsia="宋体" w:cs="宋体"/>
          <w:sz w:val="52"/>
          <w:szCs w:val="52"/>
        </w:rPr>
      </w:pPr>
    </w:p>
    <w:p w14:paraId="7E7A9CE0">
      <w:pPr>
        <w:adjustRightInd w:val="0"/>
        <w:snapToGrid w:val="0"/>
        <w:spacing w:line="360" w:lineRule="auto"/>
        <w:jc w:val="center"/>
        <w:outlineLvl w:val="0"/>
        <w:rPr>
          <w:rFonts w:hint="eastAsia" w:ascii="宋体" w:hAnsi="宋体" w:eastAsia="宋体" w:cs="宋体"/>
          <w:sz w:val="52"/>
          <w:szCs w:val="52"/>
        </w:rPr>
      </w:pPr>
    </w:p>
    <w:p w14:paraId="08B7EE8F">
      <w:pPr>
        <w:adjustRightInd w:val="0"/>
        <w:snapToGrid w:val="0"/>
        <w:spacing w:line="360" w:lineRule="auto"/>
        <w:jc w:val="center"/>
        <w:outlineLvl w:val="0"/>
        <w:rPr>
          <w:rFonts w:hint="eastAsia" w:ascii="黑体" w:hAnsi="黑体" w:eastAsia="黑体" w:cs="黑体"/>
          <w:sz w:val="72"/>
          <w:szCs w:val="72"/>
        </w:rPr>
      </w:pPr>
      <w:r>
        <w:rPr>
          <w:rFonts w:hint="eastAsia" w:ascii="黑体" w:hAnsi="黑体" w:eastAsia="黑体" w:cs="黑体"/>
          <w:sz w:val="72"/>
          <w:szCs w:val="72"/>
        </w:rPr>
        <w:t>单位决算</w:t>
      </w:r>
      <w:bookmarkEnd w:id="6"/>
      <w:bookmarkEnd w:id="7"/>
      <w:bookmarkEnd w:id="8"/>
      <w:bookmarkEnd w:id="9"/>
      <w:bookmarkEnd w:id="10"/>
      <w:bookmarkEnd w:id="11"/>
    </w:p>
    <w:p w14:paraId="5F987DDE">
      <w:pPr>
        <w:adjustRightInd w:val="0"/>
        <w:snapToGrid w:val="0"/>
        <w:spacing w:line="360" w:lineRule="auto"/>
        <w:jc w:val="center"/>
        <w:outlineLvl w:val="0"/>
        <w:rPr>
          <w:rFonts w:hint="eastAsia" w:ascii="宋体" w:hAnsi="宋体" w:eastAsia="宋体" w:cs="宋体"/>
          <w:sz w:val="52"/>
          <w:szCs w:val="52"/>
        </w:rPr>
      </w:pPr>
    </w:p>
    <w:p w14:paraId="074DE136">
      <w:pPr>
        <w:widowControl/>
        <w:jc w:val="center"/>
        <w:rPr>
          <w:rFonts w:hint="eastAsia" w:ascii="宋体" w:hAnsi="宋体" w:eastAsia="宋体" w:cs="宋体"/>
          <w:sz w:val="48"/>
          <w:szCs w:val="48"/>
        </w:rPr>
      </w:pPr>
      <w:r>
        <w:rPr>
          <w:rFonts w:hint="eastAsia" w:ascii="宋体" w:hAnsi="宋体" w:eastAsia="宋体" w:cs="宋体"/>
          <w:sz w:val="36"/>
          <w:szCs w:val="36"/>
        </w:rPr>
        <w:br w:type="page"/>
      </w:r>
      <w:r>
        <w:rPr>
          <w:rFonts w:hint="eastAsia" w:ascii="宋体" w:hAnsi="宋体" w:eastAsia="宋体" w:cs="宋体"/>
          <w:sz w:val="48"/>
          <w:szCs w:val="48"/>
        </w:rPr>
        <w:t>目录</w:t>
      </w:r>
    </w:p>
    <w:p w14:paraId="655B167B">
      <w:pPr>
        <w:widowControl/>
        <w:jc w:val="center"/>
        <w:rPr>
          <w:rFonts w:hint="eastAsia" w:ascii="宋体" w:hAnsi="宋体" w:eastAsia="宋体" w:cs="宋体"/>
          <w:sz w:val="28"/>
          <w:szCs w:val="28"/>
        </w:rPr>
      </w:pPr>
    </w:p>
    <w:p w14:paraId="5CB0ED66">
      <w:pPr>
        <w:pStyle w:val="12"/>
        <w:rPr>
          <w:rFonts w:hint="eastAsia" w:ascii="宋体" w:hAnsi="宋体" w:eastAsia="宋体" w:cs="宋体"/>
        </w:rPr>
      </w:pPr>
      <w:r>
        <w:rPr>
          <w:rFonts w:hint="eastAsia" w:ascii="宋体" w:hAnsi="宋体" w:eastAsia="宋体" w:cs="宋体"/>
        </w:rPr>
        <w:t>公开时间：202</w:t>
      </w:r>
      <w:r>
        <w:rPr>
          <w:rFonts w:hint="eastAsia" w:ascii="宋体" w:hAnsi="宋体" w:eastAsia="宋体" w:cs="宋体"/>
          <w:lang w:val="en-US" w:eastAsia="zh-CN"/>
        </w:rPr>
        <w:t>4</w:t>
      </w:r>
      <w:r>
        <w:rPr>
          <w:rFonts w:hint="eastAsia" w:ascii="宋体" w:hAnsi="宋体" w:eastAsia="宋体" w:cs="宋体"/>
        </w:rPr>
        <w:t>年</w:t>
      </w:r>
      <w:r>
        <w:rPr>
          <w:rFonts w:hint="eastAsia" w:ascii="宋体" w:hAnsi="宋体" w:eastAsia="宋体" w:cs="宋体"/>
          <w:lang w:val="en-US" w:eastAsia="zh-CN"/>
        </w:rPr>
        <w:t>10</w:t>
      </w:r>
      <w:r>
        <w:rPr>
          <w:rFonts w:hint="eastAsia" w:ascii="宋体" w:hAnsi="宋体" w:eastAsia="宋体" w:cs="宋体"/>
        </w:rPr>
        <w:t>月</w:t>
      </w:r>
      <w:r>
        <w:rPr>
          <w:rFonts w:hint="eastAsia" w:ascii="宋体" w:hAnsi="宋体" w:eastAsia="宋体" w:cs="宋体"/>
          <w:lang w:val="en-US" w:eastAsia="zh-CN"/>
        </w:rPr>
        <w:t>28</w:t>
      </w:r>
      <w:r>
        <w:rPr>
          <w:rFonts w:hint="eastAsia" w:ascii="宋体" w:hAnsi="宋体" w:eastAsia="宋体" w:cs="宋体"/>
        </w:rPr>
        <w:t>日</w:t>
      </w:r>
    </w:p>
    <w:p w14:paraId="59918FD8">
      <w:pPr>
        <w:rPr>
          <w:rFonts w:hint="eastAsia" w:ascii="宋体" w:hAnsi="宋体" w:eastAsia="宋体" w:cs="宋体"/>
        </w:rPr>
      </w:pPr>
    </w:p>
    <w:p w14:paraId="790DD140">
      <w:pPr>
        <w:keepNext w:val="0"/>
        <w:keepLines w:val="0"/>
        <w:pageBreakBefore w:val="0"/>
        <w:widowControl w:val="0"/>
        <w:tabs>
          <w:tab w:val="right" w:leader="dot" w:pos="8190"/>
        </w:tabs>
        <w:kinsoku/>
        <w:wordWrap/>
        <w:overflowPunct/>
        <w:topLinePunct w:val="0"/>
        <w:autoSpaceDE/>
        <w:autoSpaceDN/>
        <w:bidi w:val="0"/>
        <w:adjustRightInd w:val="0"/>
        <w:snapToGrid w:val="0"/>
        <w:spacing w:before="0" w:line="440" w:lineRule="exact"/>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8"/>
          <w:lang w:val="en-US" w:eastAsia="zh-CN" w:bidi="ar-SA"/>
        </w:rPr>
        <w:t>第一部分 单位概况</w:t>
      </w:r>
      <w:r>
        <w:rPr>
          <w:rFonts w:hint="eastAsia" w:ascii="宋体" w:hAnsi="宋体" w:eastAsia="宋体" w:cs="宋体"/>
          <w:kern w:val="2"/>
          <w:sz w:val="24"/>
          <w:szCs w:val="28"/>
          <w:lang w:val="en-US" w:eastAsia="zh-CN" w:bidi="ar-SA"/>
        </w:rPr>
        <w:tab/>
      </w:r>
      <w:r>
        <w:rPr>
          <w:rFonts w:hint="eastAsia" w:ascii="宋体" w:hAnsi="宋体" w:eastAsia="宋体" w:cs="宋体"/>
          <w:kern w:val="2"/>
          <w:sz w:val="24"/>
          <w:szCs w:val="28"/>
          <w:lang w:val="en-US" w:eastAsia="zh-CN" w:bidi="ar-SA"/>
        </w:rPr>
        <w:t>1</w:t>
      </w:r>
    </w:p>
    <w:p w14:paraId="22B41749">
      <w:pPr>
        <w:keepNext w:val="0"/>
        <w:keepLines w:val="0"/>
        <w:pageBreakBefore w:val="0"/>
        <w:widowControl w:val="0"/>
        <w:tabs>
          <w:tab w:val="right" w:leader="dot" w:pos="8190"/>
        </w:tabs>
        <w:kinsoku/>
        <w:wordWrap/>
        <w:overflowPunct/>
        <w:topLinePunct w:val="0"/>
        <w:autoSpaceDE/>
        <w:autoSpaceDN/>
        <w:bidi w:val="0"/>
        <w:adjustRightInd w:val="0"/>
        <w:snapToGrid w:val="0"/>
        <w:spacing w:line="440" w:lineRule="exact"/>
        <w:ind w:left="420" w:left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一、主要职责</w:t>
      </w:r>
      <w:r>
        <w:rPr>
          <w:rFonts w:hint="eastAsia" w:ascii="宋体" w:hAnsi="宋体" w:eastAsia="宋体" w:cs="宋体"/>
          <w:kern w:val="2"/>
          <w:sz w:val="24"/>
          <w:szCs w:val="24"/>
          <w:lang w:val="en-US" w:eastAsia="zh-CN" w:bidi="ar-SA"/>
        </w:rPr>
        <w:tab/>
      </w:r>
      <w:r>
        <w:rPr>
          <w:rFonts w:hint="eastAsia" w:ascii="宋体" w:hAnsi="宋体" w:eastAsia="宋体" w:cs="宋体"/>
          <w:kern w:val="2"/>
          <w:sz w:val="24"/>
          <w:szCs w:val="24"/>
          <w:lang w:val="en-US" w:eastAsia="zh-CN" w:bidi="ar-SA"/>
        </w:rPr>
        <w:t>1</w:t>
      </w:r>
    </w:p>
    <w:p w14:paraId="72EFAD99">
      <w:pPr>
        <w:keepNext w:val="0"/>
        <w:keepLines w:val="0"/>
        <w:pageBreakBefore w:val="0"/>
        <w:widowControl w:val="0"/>
        <w:tabs>
          <w:tab w:val="right" w:leader="dot" w:pos="8190"/>
        </w:tabs>
        <w:kinsoku/>
        <w:wordWrap/>
        <w:overflowPunct/>
        <w:topLinePunct w:val="0"/>
        <w:autoSpaceDE/>
        <w:autoSpaceDN/>
        <w:bidi w:val="0"/>
        <w:adjustRightInd w:val="0"/>
        <w:snapToGrid w:val="0"/>
        <w:spacing w:line="440" w:lineRule="exact"/>
        <w:ind w:left="420" w:leftChars="200"/>
        <w:jc w:val="left"/>
        <w:textAlignment w:val="auto"/>
        <w:rPr>
          <w:rFonts w:hint="default" w:ascii="宋体" w:hAnsi="宋体" w:eastAsia="宋体" w:cs="宋体"/>
          <w:kern w:val="2"/>
          <w:sz w:val="21"/>
          <w:szCs w:val="24"/>
          <w:lang w:val="en-US" w:eastAsia="zh-CN" w:bidi="ar-SA"/>
        </w:rPr>
      </w:pPr>
      <w:r>
        <w:rPr>
          <w:rFonts w:hint="eastAsia" w:ascii="宋体" w:hAnsi="宋体" w:eastAsia="宋体" w:cs="宋体"/>
          <w:kern w:val="2"/>
          <w:sz w:val="24"/>
          <w:szCs w:val="24"/>
          <w:lang w:val="en-US" w:eastAsia="zh-CN" w:bidi="ar-SA"/>
        </w:rPr>
        <w:t>二、机构设置</w:t>
      </w:r>
      <w:r>
        <w:rPr>
          <w:rFonts w:hint="eastAsia" w:ascii="宋体" w:hAnsi="宋体" w:eastAsia="宋体" w:cs="宋体"/>
          <w:kern w:val="2"/>
          <w:sz w:val="24"/>
          <w:szCs w:val="24"/>
          <w:lang w:val="en-US" w:eastAsia="zh-CN" w:bidi="ar-SA"/>
        </w:rPr>
        <w:tab/>
      </w:r>
      <w:r>
        <w:rPr>
          <w:rFonts w:hint="eastAsia" w:ascii="宋体" w:hAnsi="宋体" w:eastAsia="宋体" w:cs="宋体"/>
          <w:kern w:val="2"/>
          <w:sz w:val="24"/>
          <w:szCs w:val="24"/>
          <w:lang w:val="en-US" w:eastAsia="zh-CN" w:bidi="ar-SA"/>
        </w:rPr>
        <w:t>1</w:t>
      </w:r>
    </w:p>
    <w:p w14:paraId="377F7FAA">
      <w:pPr>
        <w:keepNext w:val="0"/>
        <w:keepLines w:val="0"/>
        <w:pageBreakBefore w:val="0"/>
        <w:widowControl w:val="0"/>
        <w:tabs>
          <w:tab w:val="right" w:leader="dot" w:pos="8190"/>
        </w:tabs>
        <w:kinsoku/>
        <w:wordWrap/>
        <w:overflowPunct/>
        <w:topLinePunct w:val="0"/>
        <w:autoSpaceDE/>
        <w:autoSpaceDN/>
        <w:bidi w:val="0"/>
        <w:adjustRightInd w:val="0"/>
        <w:snapToGrid w:val="0"/>
        <w:spacing w:before="0" w:line="440" w:lineRule="exact"/>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8"/>
          <w:lang w:val="en-US" w:eastAsia="zh-CN" w:bidi="ar-SA"/>
        </w:rPr>
        <w:t>第二部分 2023年度单位决算情况说明</w:t>
      </w:r>
      <w:r>
        <w:rPr>
          <w:rFonts w:hint="eastAsia" w:ascii="宋体" w:hAnsi="宋体" w:eastAsia="宋体" w:cs="宋体"/>
          <w:kern w:val="2"/>
          <w:sz w:val="24"/>
          <w:szCs w:val="28"/>
          <w:lang w:val="en-US" w:eastAsia="zh-CN" w:bidi="ar-SA"/>
        </w:rPr>
        <w:tab/>
      </w:r>
      <w:r>
        <w:rPr>
          <w:rFonts w:hint="eastAsia" w:ascii="宋体" w:hAnsi="宋体" w:eastAsia="宋体" w:cs="宋体"/>
          <w:kern w:val="2"/>
          <w:sz w:val="24"/>
          <w:szCs w:val="28"/>
          <w:lang w:val="en-US" w:eastAsia="zh-CN" w:bidi="ar-SA"/>
        </w:rPr>
        <w:t>2</w:t>
      </w:r>
    </w:p>
    <w:p w14:paraId="2FBD9346">
      <w:pPr>
        <w:keepNext w:val="0"/>
        <w:keepLines w:val="0"/>
        <w:pageBreakBefore w:val="0"/>
        <w:widowControl w:val="0"/>
        <w:tabs>
          <w:tab w:val="right" w:leader="dot" w:pos="8190"/>
        </w:tabs>
        <w:kinsoku/>
        <w:wordWrap/>
        <w:overflowPunct/>
        <w:topLinePunct w:val="0"/>
        <w:autoSpaceDE/>
        <w:autoSpaceDN/>
        <w:bidi w:val="0"/>
        <w:adjustRightInd w:val="0"/>
        <w:snapToGrid w:val="0"/>
        <w:spacing w:line="440" w:lineRule="exact"/>
        <w:ind w:left="420" w:left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一、收入支出决算总体情况说明</w:t>
      </w:r>
      <w:r>
        <w:rPr>
          <w:rFonts w:hint="eastAsia" w:ascii="宋体" w:hAnsi="宋体" w:eastAsia="宋体" w:cs="宋体"/>
          <w:kern w:val="2"/>
          <w:sz w:val="24"/>
          <w:szCs w:val="24"/>
          <w:lang w:val="en-US" w:eastAsia="zh-CN" w:bidi="ar-SA"/>
        </w:rPr>
        <w:tab/>
      </w:r>
      <w:r>
        <w:rPr>
          <w:rFonts w:hint="eastAsia" w:ascii="宋体" w:hAnsi="宋体" w:eastAsia="宋体" w:cs="宋体"/>
          <w:kern w:val="2"/>
          <w:sz w:val="24"/>
          <w:szCs w:val="24"/>
          <w:lang w:val="en-US" w:eastAsia="zh-CN" w:bidi="ar-SA"/>
        </w:rPr>
        <w:t>2</w:t>
      </w:r>
    </w:p>
    <w:p w14:paraId="6A116D7D">
      <w:pPr>
        <w:keepNext w:val="0"/>
        <w:keepLines w:val="0"/>
        <w:pageBreakBefore w:val="0"/>
        <w:widowControl w:val="0"/>
        <w:tabs>
          <w:tab w:val="right" w:leader="dot" w:pos="8190"/>
        </w:tabs>
        <w:kinsoku/>
        <w:wordWrap/>
        <w:overflowPunct/>
        <w:topLinePunct w:val="0"/>
        <w:autoSpaceDE/>
        <w:autoSpaceDN/>
        <w:bidi w:val="0"/>
        <w:adjustRightInd w:val="0"/>
        <w:snapToGrid w:val="0"/>
        <w:spacing w:line="440" w:lineRule="exact"/>
        <w:ind w:left="420" w:left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二、收入决算情况说明</w:t>
      </w:r>
      <w:r>
        <w:rPr>
          <w:rFonts w:hint="eastAsia" w:ascii="宋体" w:hAnsi="宋体" w:eastAsia="宋体" w:cs="宋体"/>
          <w:kern w:val="2"/>
          <w:sz w:val="24"/>
          <w:szCs w:val="24"/>
          <w:lang w:val="en-US" w:eastAsia="zh-CN" w:bidi="ar-SA"/>
        </w:rPr>
        <w:tab/>
      </w:r>
      <w:r>
        <w:rPr>
          <w:rFonts w:hint="eastAsia" w:ascii="宋体" w:hAnsi="宋体" w:eastAsia="宋体" w:cs="宋体"/>
          <w:kern w:val="2"/>
          <w:sz w:val="24"/>
          <w:szCs w:val="24"/>
          <w:lang w:val="en-US" w:eastAsia="zh-CN" w:bidi="ar-SA"/>
        </w:rPr>
        <w:t>2</w:t>
      </w:r>
    </w:p>
    <w:p w14:paraId="03EE2D18">
      <w:pPr>
        <w:keepNext w:val="0"/>
        <w:keepLines w:val="0"/>
        <w:pageBreakBefore w:val="0"/>
        <w:widowControl w:val="0"/>
        <w:tabs>
          <w:tab w:val="right" w:leader="dot" w:pos="8190"/>
        </w:tabs>
        <w:kinsoku/>
        <w:wordWrap/>
        <w:overflowPunct/>
        <w:topLinePunct w:val="0"/>
        <w:autoSpaceDE/>
        <w:autoSpaceDN/>
        <w:bidi w:val="0"/>
        <w:adjustRightInd w:val="0"/>
        <w:snapToGrid w:val="0"/>
        <w:spacing w:line="440" w:lineRule="exact"/>
        <w:ind w:left="420" w:left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三、支出决算情况说明</w:t>
      </w:r>
      <w:r>
        <w:rPr>
          <w:rFonts w:hint="eastAsia" w:ascii="宋体" w:hAnsi="宋体" w:eastAsia="宋体" w:cs="宋体"/>
          <w:kern w:val="2"/>
          <w:sz w:val="24"/>
          <w:szCs w:val="24"/>
          <w:lang w:val="en-US" w:eastAsia="zh-CN" w:bidi="ar-SA"/>
        </w:rPr>
        <w:tab/>
      </w:r>
      <w:r>
        <w:rPr>
          <w:rFonts w:hint="eastAsia" w:ascii="宋体" w:hAnsi="宋体" w:eastAsia="宋体" w:cs="宋体"/>
          <w:kern w:val="2"/>
          <w:sz w:val="24"/>
          <w:szCs w:val="24"/>
          <w:lang w:val="en-US" w:eastAsia="zh-CN" w:bidi="ar-SA"/>
        </w:rPr>
        <w:t>3</w:t>
      </w:r>
    </w:p>
    <w:p w14:paraId="691C85F0">
      <w:pPr>
        <w:keepNext w:val="0"/>
        <w:keepLines w:val="0"/>
        <w:pageBreakBefore w:val="0"/>
        <w:widowControl w:val="0"/>
        <w:tabs>
          <w:tab w:val="right" w:leader="dot" w:pos="8190"/>
        </w:tabs>
        <w:kinsoku/>
        <w:wordWrap/>
        <w:overflowPunct/>
        <w:topLinePunct w:val="0"/>
        <w:autoSpaceDE/>
        <w:autoSpaceDN/>
        <w:bidi w:val="0"/>
        <w:adjustRightInd w:val="0"/>
        <w:snapToGrid w:val="0"/>
        <w:spacing w:line="440" w:lineRule="exact"/>
        <w:ind w:left="420" w:left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四、财政拨款收入支出决算总体情况说明</w:t>
      </w:r>
      <w:r>
        <w:rPr>
          <w:rFonts w:hint="eastAsia" w:ascii="宋体" w:hAnsi="宋体" w:eastAsia="宋体" w:cs="宋体"/>
          <w:kern w:val="2"/>
          <w:sz w:val="24"/>
          <w:szCs w:val="24"/>
          <w:lang w:val="en-US" w:eastAsia="zh-CN" w:bidi="ar-SA"/>
        </w:rPr>
        <w:tab/>
      </w:r>
      <w:r>
        <w:rPr>
          <w:rFonts w:hint="eastAsia" w:ascii="宋体" w:hAnsi="宋体" w:eastAsia="宋体" w:cs="宋体"/>
          <w:kern w:val="2"/>
          <w:sz w:val="24"/>
          <w:szCs w:val="24"/>
          <w:lang w:val="en-US" w:eastAsia="zh-CN" w:bidi="ar-SA"/>
        </w:rPr>
        <w:t>3</w:t>
      </w:r>
    </w:p>
    <w:p w14:paraId="1D15DCA1">
      <w:pPr>
        <w:keepNext w:val="0"/>
        <w:keepLines w:val="0"/>
        <w:pageBreakBefore w:val="0"/>
        <w:widowControl w:val="0"/>
        <w:tabs>
          <w:tab w:val="right" w:leader="dot" w:pos="8190"/>
        </w:tabs>
        <w:kinsoku/>
        <w:wordWrap/>
        <w:overflowPunct/>
        <w:topLinePunct w:val="0"/>
        <w:autoSpaceDE/>
        <w:autoSpaceDN/>
        <w:bidi w:val="0"/>
        <w:adjustRightInd w:val="0"/>
        <w:snapToGrid w:val="0"/>
        <w:spacing w:line="440" w:lineRule="exact"/>
        <w:ind w:left="420" w:left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五、一般公共预算财政拨款支出决算情况说明</w:t>
      </w:r>
      <w:r>
        <w:rPr>
          <w:rFonts w:hint="eastAsia" w:ascii="宋体" w:hAnsi="宋体" w:eastAsia="宋体" w:cs="宋体"/>
          <w:kern w:val="2"/>
          <w:sz w:val="24"/>
          <w:szCs w:val="24"/>
          <w:lang w:val="en-US" w:eastAsia="zh-CN" w:bidi="ar-SA"/>
        </w:rPr>
        <w:tab/>
      </w:r>
      <w:r>
        <w:rPr>
          <w:rFonts w:hint="eastAsia" w:ascii="宋体" w:hAnsi="宋体" w:eastAsia="宋体" w:cs="宋体"/>
          <w:kern w:val="2"/>
          <w:sz w:val="24"/>
          <w:szCs w:val="24"/>
          <w:lang w:val="en-US" w:eastAsia="zh-CN" w:bidi="ar-SA"/>
        </w:rPr>
        <w:t>4</w:t>
      </w:r>
    </w:p>
    <w:p w14:paraId="4FC869A9">
      <w:pPr>
        <w:keepNext w:val="0"/>
        <w:keepLines w:val="0"/>
        <w:pageBreakBefore w:val="0"/>
        <w:widowControl w:val="0"/>
        <w:tabs>
          <w:tab w:val="right" w:leader="dot" w:pos="8190"/>
        </w:tabs>
        <w:kinsoku/>
        <w:wordWrap/>
        <w:overflowPunct/>
        <w:topLinePunct w:val="0"/>
        <w:autoSpaceDE/>
        <w:autoSpaceDN/>
        <w:bidi w:val="0"/>
        <w:adjustRightInd w:val="0"/>
        <w:snapToGrid w:val="0"/>
        <w:spacing w:line="440" w:lineRule="exact"/>
        <w:ind w:left="420" w:left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六、一般公共预算财政拨款基本支出决算情况说明</w:t>
      </w:r>
      <w:r>
        <w:rPr>
          <w:rFonts w:hint="eastAsia" w:ascii="宋体" w:hAnsi="宋体" w:eastAsia="宋体" w:cs="宋体"/>
          <w:kern w:val="2"/>
          <w:sz w:val="24"/>
          <w:szCs w:val="24"/>
          <w:lang w:val="en-US" w:eastAsia="zh-CN" w:bidi="ar-SA"/>
        </w:rPr>
        <w:tab/>
      </w:r>
      <w:r>
        <w:rPr>
          <w:rFonts w:hint="eastAsia" w:ascii="宋体" w:hAnsi="宋体" w:eastAsia="宋体" w:cs="宋体"/>
          <w:kern w:val="2"/>
          <w:sz w:val="24"/>
          <w:szCs w:val="24"/>
          <w:lang w:val="en-US" w:eastAsia="zh-CN" w:bidi="ar-SA"/>
        </w:rPr>
        <w:t>6</w:t>
      </w:r>
    </w:p>
    <w:p w14:paraId="6D2A59A8">
      <w:pPr>
        <w:keepNext w:val="0"/>
        <w:keepLines w:val="0"/>
        <w:pageBreakBefore w:val="0"/>
        <w:widowControl w:val="0"/>
        <w:tabs>
          <w:tab w:val="right" w:leader="dot" w:pos="8190"/>
        </w:tabs>
        <w:kinsoku/>
        <w:wordWrap/>
        <w:overflowPunct/>
        <w:topLinePunct w:val="0"/>
        <w:autoSpaceDE/>
        <w:autoSpaceDN/>
        <w:bidi w:val="0"/>
        <w:adjustRightInd w:val="0"/>
        <w:snapToGrid w:val="0"/>
        <w:spacing w:line="440" w:lineRule="exact"/>
        <w:ind w:left="420" w:left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七、财政拨款“三公”经费支出决算情况说明</w:t>
      </w:r>
      <w:r>
        <w:rPr>
          <w:rFonts w:hint="eastAsia" w:ascii="宋体" w:hAnsi="宋体" w:eastAsia="宋体" w:cs="宋体"/>
          <w:kern w:val="2"/>
          <w:sz w:val="24"/>
          <w:szCs w:val="24"/>
          <w:lang w:val="en-US" w:eastAsia="zh-CN" w:bidi="ar-SA"/>
        </w:rPr>
        <w:tab/>
      </w:r>
      <w:r>
        <w:rPr>
          <w:rFonts w:hint="eastAsia" w:ascii="宋体" w:hAnsi="宋体" w:eastAsia="宋体" w:cs="宋体"/>
          <w:kern w:val="2"/>
          <w:sz w:val="24"/>
          <w:szCs w:val="24"/>
          <w:lang w:val="en-US" w:eastAsia="zh-CN" w:bidi="ar-SA"/>
        </w:rPr>
        <w:t>7</w:t>
      </w:r>
    </w:p>
    <w:p w14:paraId="26D305FA">
      <w:pPr>
        <w:keepNext w:val="0"/>
        <w:keepLines w:val="0"/>
        <w:pageBreakBefore w:val="0"/>
        <w:widowControl w:val="0"/>
        <w:tabs>
          <w:tab w:val="right" w:leader="dot" w:pos="8190"/>
        </w:tabs>
        <w:kinsoku/>
        <w:wordWrap/>
        <w:overflowPunct/>
        <w:topLinePunct w:val="0"/>
        <w:autoSpaceDE/>
        <w:autoSpaceDN/>
        <w:bidi w:val="0"/>
        <w:adjustRightInd w:val="0"/>
        <w:snapToGrid w:val="0"/>
        <w:spacing w:line="440" w:lineRule="exact"/>
        <w:ind w:left="420" w:left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八、政府性基金预算支出决算情况说明</w:t>
      </w:r>
      <w:r>
        <w:rPr>
          <w:rFonts w:hint="eastAsia" w:ascii="宋体" w:hAnsi="宋体" w:eastAsia="宋体" w:cs="宋体"/>
          <w:kern w:val="2"/>
          <w:sz w:val="24"/>
          <w:szCs w:val="24"/>
          <w:lang w:val="en-US" w:eastAsia="zh-CN" w:bidi="ar-SA"/>
        </w:rPr>
        <w:tab/>
      </w:r>
      <w:r>
        <w:rPr>
          <w:rFonts w:hint="eastAsia" w:ascii="宋体" w:hAnsi="宋体" w:eastAsia="宋体" w:cs="宋体"/>
          <w:kern w:val="2"/>
          <w:sz w:val="24"/>
          <w:szCs w:val="24"/>
          <w:lang w:val="en-US" w:eastAsia="zh-CN" w:bidi="ar-SA"/>
        </w:rPr>
        <w:t>9</w:t>
      </w:r>
    </w:p>
    <w:p w14:paraId="40720889">
      <w:pPr>
        <w:keepNext w:val="0"/>
        <w:keepLines w:val="0"/>
        <w:pageBreakBefore w:val="0"/>
        <w:widowControl w:val="0"/>
        <w:tabs>
          <w:tab w:val="right" w:leader="dot" w:pos="8190"/>
        </w:tabs>
        <w:kinsoku/>
        <w:wordWrap/>
        <w:overflowPunct/>
        <w:topLinePunct w:val="0"/>
        <w:autoSpaceDE/>
        <w:autoSpaceDN/>
        <w:bidi w:val="0"/>
        <w:adjustRightInd w:val="0"/>
        <w:snapToGrid w:val="0"/>
        <w:spacing w:line="440" w:lineRule="exact"/>
        <w:ind w:left="420" w:left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九、国有资本经营预算支出决算情况说明</w:t>
      </w:r>
      <w:r>
        <w:rPr>
          <w:rFonts w:hint="eastAsia" w:ascii="宋体" w:hAnsi="宋体" w:eastAsia="宋体" w:cs="宋体"/>
          <w:kern w:val="2"/>
          <w:sz w:val="24"/>
          <w:szCs w:val="24"/>
          <w:lang w:val="en-US" w:eastAsia="zh-CN" w:bidi="ar-SA"/>
        </w:rPr>
        <w:tab/>
      </w:r>
      <w:r>
        <w:rPr>
          <w:rFonts w:hint="eastAsia" w:ascii="宋体" w:hAnsi="宋体" w:eastAsia="宋体" w:cs="宋体"/>
          <w:kern w:val="2"/>
          <w:sz w:val="24"/>
          <w:szCs w:val="24"/>
          <w:lang w:val="en-US" w:eastAsia="zh-CN" w:bidi="ar-SA"/>
        </w:rPr>
        <w:t>9</w:t>
      </w:r>
    </w:p>
    <w:p w14:paraId="25D3541E">
      <w:pPr>
        <w:keepNext w:val="0"/>
        <w:keepLines w:val="0"/>
        <w:pageBreakBefore w:val="0"/>
        <w:widowControl w:val="0"/>
        <w:tabs>
          <w:tab w:val="right" w:leader="dot" w:pos="8190"/>
        </w:tabs>
        <w:kinsoku/>
        <w:wordWrap/>
        <w:overflowPunct/>
        <w:topLinePunct w:val="0"/>
        <w:autoSpaceDE/>
        <w:autoSpaceDN/>
        <w:bidi w:val="0"/>
        <w:adjustRightInd w:val="0"/>
        <w:snapToGrid w:val="0"/>
        <w:spacing w:line="440" w:lineRule="exact"/>
        <w:ind w:left="420" w:left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十、其他重要事项的情况说明</w:t>
      </w:r>
      <w:r>
        <w:rPr>
          <w:rFonts w:hint="eastAsia" w:ascii="宋体" w:hAnsi="宋体" w:eastAsia="宋体" w:cs="宋体"/>
          <w:kern w:val="2"/>
          <w:sz w:val="24"/>
          <w:szCs w:val="24"/>
          <w:lang w:val="en-US" w:eastAsia="zh-CN" w:bidi="ar-SA"/>
        </w:rPr>
        <w:tab/>
      </w:r>
      <w:r>
        <w:rPr>
          <w:rFonts w:hint="eastAsia" w:ascii="宋体" w:hAnsi="宋体" w:eastAsia="宋体" w:cs="宋体"/>
          <w:kern w:val="2"/>
          <w:sz w:val="24"/>
          <w:szCs w:val="24"/>
          <w:lang w:val="en-US" w:eastAsia="zh-CN" w:bidi="ar-SA"/>
        </w:rPr>
        <w:t>9</w:t>
      </w:r>
    </w:p>
    <w:p w14:paraId="3EE5BA7E">
      <w:pPr>
        <w:keepNext w:val="0"/>
        <w:keepLines w:val="0"/>
        <w:pageBreakBefore w:val="0"/>
        <w:widowControl w:val="0"/>
        <w:tabs>
          <w:tab w:val="right" w:leader="dot" w:pos="8190"/>
        </w:tabs>
        <w:kinsoku/>
        <w:wordWrap/>
        <w:overflowPunct/>
        <w:topLinePunct w:val="0"/>
        <w:autoSpaceDE/>
        <w:autoSpaceDN/>
        <w:bidi w:val="0"/>
        <w:adjustRightInd w:val="0"/>
        <w:snapToGrid w:val="0"/>
        <w:spacing w:before="0" w:line="440" w:lineRule="exact"/>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8"/>
          <w:lang w:val="en-US" w:eastAsia="zh-CN" w:bidi="ar-SA"/>
        </w:rPr>
        <w:t>第三部分 名词解释</w:t>
      </w:r>
      <w:r>
        <w:rPr>
          <w:rFonts w:hint="eastAsia" w:ascii="宋体" w:hAnsi="宋体" w:eastAsia="宋体" w:cs="宋体"/>
          <w:kern w:val="2"/>
          <w:sz w:val="24"/>
          <w:szCs w:val="28"/>
          <w:lang w:val="en-US" w:eastAsia="zh-CN" w:bidi="ar-SA"/>
        </w:rPr>
        <w:tab/>
      </w:r>
      <w:r>
        <w:rPr>
          <w:rFonts w:hint="eastAsia" w:ascii="宋体" w:hAnsi="宋体" w:eastAsia="宋体" w:cs="宋体"/>
          <w:kern w:val="2"/>
          <w:sz w:val="24"/>
          <w:szCs w:val="28"/>
          <w:lang w:val="en-US" w:eastAsia="zh-CN" w:bidi="ar-SA"/>
        </w:rPr>
        <w:t>11</w:t>
      </w:r>
    </w:p>
    <w:p w14:paraId="69CDF22C">
      <w:pPr>
        <w:keepNext w:val="0"/>
        <w:keepLines w:val="0"/>
        <w:pageBreakBefore w:val="0"/>
        <w:widowControl w:val="0"/>
        <w:tabs>
          <w:tab w:val="right" w:leader="dot" w:pos="8190"/>
        </w:tabs>
        <w:kinsoku/>
        <w:wordWrap/>
        <w:overflowPunct/>
        <w:topLinePunct w:val="0"/>
        <w:autoSpaceDE/>
        <w:autoSpaceDN/>
        <w:bidi w:val="0"/>
        <w:adjustRightInd w:val="0"/>
        <w:snapToGrid w:val="0"/>
        <w:spacing w:before="0" w:line="440" w:lineRule="exact"/>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8"/>
          <w:lang w:val="en-US" w:eastAsia="zh-CN" w:bidi="ar-SA"/>
        </w:rPr>
        <w:t>第四部分 附件</w:t>
      </w:r>
      <w:r>
        <w:rPr>
          <w:rFonts w:hint="eastAsia" w:ascii="宋体" w:hAnsi="宋体" w:eastAsia="宋体" w:cs="宋体"/>
          <w:kern w:val="2"/>
          <w:sz w:val="24"/>
          <w:szCs w:val="28"/>
          <w:lang w:val="en-US" w:eastAsia="zh-CN" w:bidi="ar-SA"/>
        </w:rPr>
        <w:tab/>
      </w:r>
      <w:r>
        <w:rPr>
          <w:rFonts w:hint="eastAsia" w:ascii="宋体" w:hAnsi="宋体" w:eastAsia="宋体" w:cs="宋体"/>
          <w:kern w:val="2"/>
          <w:sz w:val="24"/>
          <w:szCs w:val="28"/>
          <w:lang w:val="en-US" w:eastAsia="zh-CN" w:bidi="ar-SA"/>
        </w:rPr>
        <w:t>1</w:t>
      </w:r>
      <w:r>
        <w:rPr>
          <w:rFonts w:hint="eastAsia" w:ascii="宋体" w:hAnsi="宋体" w:cs="宋体"/>
          <w:kern w:val="2"/>
          <w:sz w:val="24"/>
          <w:szCs w:val="28"/>
          <w:lang w:val="en-US" w:eastAsia="zh-CN" w:bidi="ar-SA"/>
        </w:rPr>
        <w:t>3</w:t>
      </w:r>
    </w:p>
    <w:p w14:paraId="63D4D3C7">
      <w:pPr>
        <w:keepNext w:val="0"/>
        <w:keepLines w:val="0"/>
        <w:pageBreakBefore w:val="0"/>
        <w:widowControl w:val="0"/>
        <w:tabs>
          <w:tab w:val="right" w:leader="dot" w:pos="8190"/>
        </w:tabs>
        <w:kinsoku/>
        <w:wordWrap/>
        <w:overflowPunct/>
        <w:topLinePunct w:val="0"/>
        <w:autoSpaceDE/>
        <w:autoSpaceDN/>
        <w:bidi w:val="0"/>
        <w:adjustRightInd w:val="0"/>
        <w:snapToGrid w:val="0"/>
        <w:spacing w:before="0" w:line="440" w:lineRule="exact"/>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8"/>
          <w:lang w:val="en-US" w:eastAsia="zh-CN" w:bidi="ar-SA"/>
        </w:rPr>
        <w:t>第五部分 附表</w:t>
      </w:r>
      <w:r>
        <w:rPr>
          <w:rFonts w:hint="eastAsia" w:ascii="宋体" w:hAnsi="宋体" w:eastAsia="宋体" w:cs="宋体"/>
          <w:kern w:val="2"/>
          <w:sz w:val="24"/>
          <w:szCs w:val="28"/>
          <w:lang w:val="en-US" w:eastAsia="zh-CN" w:bidi="ar-SA"/>
        </w:rPr>
        <w:tab/>
      </w:r>
      <w:r>
        <w:rPr>
          <w:rFonts w:hint="eastAsia" w:ascii="宋体" w:hAnsi="宋体" w:eastAsia="宋体" w:cs="宋体"/>
          <w:kern w:val="2"/>
          <w:sz w:val="24"/>
          <w:szCs w:val="28"/>
          <w:lang w:val="en-US" w:eastAsia="zh-CN" w:bidi="ar-SA"/>
        </w:rPr>
        <w:t>1</w:t>
      </w:r>
      <w:r>
        <w:rPr>
          <w:rFonts w:hint="eastAsia" w:ascii="宋体" w:hAnsi="宋体" w:cs="宋体"/>
          <w:kern w:val="2"/>
          <w:sz w:val="24"/>
          <w:szCs w:val="28"/>
          <w:lang w:val="en-US" w:eastAsia="zh-CN" w:bidi="ar-SA"/>
        </w:rPr>
        <w:t>4</w:t>
      </w:r>
    </w:p>
    <w:p w14:paraId="37F21BED">
      <w:pPr>
        <w:keepNext w:val="0"/>
        <w:keepLines w:val="0"/>
        <w:pageBreakBefore w:val="0"/>
        <w:widowControl w:val="0"/>
        <w:tabs>
          <w:tab w:val="right" w:leader="dot" w:pos="8190"/>
        </w:tabs>
        <w:kinsoku/>
        <w:wordWrap/>
        <w:overflowPunct/>
        <w:topLinePunct w:val="0"/>
        <w:autoSpaceDE/>
        <w:autoSpaceDN/>
        <w:bidi w:val="0"/>
        <w:adjustRightInd w:val="0"/>
        <w:snapToGrid w:val="0"/>
        <w:spacing w:line="440" w:lineRule="exact"/>
        <w:ind w:left="420" w:left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一、收入支出决算总表</w:t>
      </w:r>
      <w:r>
        <w:rPr>
          <w:rFonts w:hint="eastAsia" w:ascii="宋体" w:hAnsi="宋体" w:eastAsia="宋体" w:cs="宋体"/>
          <w:kern w:val="2"/>
          <w:sz w:val="24"/>
          <w:szCs w:val="24"/>
          <w:lang w:val="en-US" w:eastAsia="zh-CN" w:bidi="ar-SA"/>
        </w:rPr>
        <w:tab/>
      </w:r>
      <w:r>
        <w:rPr>
          <w:rFonts w:hint="eastAsia" w:ascii="宋体" w:hAnsi="宋体" w:eastAsia="宋体" w:cs="宋体"/>
          <w:kern w:val="2"/>
          <w:sz w:val="24"/>
          <w:szCs w:val="24"/>
          <w:lang w:val="en-US" w:eastAsia="zh-CN" w:bidi="ar-SA"/>
        </w:rPr>
        <w:t>1</w:t>
      </w:r>
      <w:r>
        <w:rPr>
          <w:rFonts w:hint="eastAsia" w:ascii="宋体" w:hAnsi="宋体" w:cs="宋体"/>
          <w:kern w:val="2"/>
          <w:sz w:val="24"/>
          <w:szCs w:val="24"/>
          <w:lang w:val="en-US" w:eastAsia="zh-CN" w:bidi="ar-SA"/>
        </w:rPr>
        <w:t>4</w:t>
      </w:r>
    </w:p>
    <w:p w14:paraId="19360A4B">
      <w:pPr>
        <w:keepNext w:val="0"/>
        <w:keepLines w:val="0"/>
        <w:pageBreakBefore w:val="0"/>
        <w:widowControl w:val="0"/>
        <w:tabs>
          <w:tab w:val="right" w:leader="dot" w:pos="8190"/>
        </w:tabs>
        <w:kinsoku/>
        <w:wordWrap/>
        <w:overflowPunct/>
        <w:topLinePunct w:val="0"/>
        <w:autoSpaceDE/>
        <w:autoSpaceDN/>
        <w:bidi w:val="0"/>
        <w:adjustRightInd w:val="0"/>
        <w:snapToGrid w:val="0"/>
        <w:spacing w:line="440" w:lineRule="exact"/>
        <w:ind w:left="420" w:left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二、收入决算表</w:t>
      </w:r>
      <w:r>
        <w:rPr>
          <w:rFonts w:hint="eastAsia" w:ascii="宋体" w:hAnsi="宋体" w:eastAsia="宋体" w:cs="宋体"/>
          <w:kern w:val="2"/>
          <w:sz w:val="24"/>
          <w:szCs w:val="24"/>
          <w:lang w:val="en-US" w:eastAsia="zh-CN" w:bidi="ar-SA"/>
        </w:rPr>
        <w:tab/>
      </w:r>
      <w:r>
        <w:rPr>
          <w:rFonts w:hint="eastAsia" w:ascii="宋体" w:hAnsi="宋体" w:eastAsia="宋体" w:cs="宋体"/>
          <w:kern w:val="2"/>
          <w:sz w:val="24"/>
          <w:szCs w:val="24"/>
          <w:lang w:val="en-US" w:eastAsia="zh-CN" w:bidi="ar-SA"/>
        </w:rPr>
        <w:t>1</w:t>
      </w:r>
      <w:r>
        <w:rPr>
          <w:rFonts w:hint="eastAsia" w:ascii="宋体" w:hAnsi="宋体" w:cs="宋体"/>
          <w:kern w:val="2"/>
          <w:sz w:val="24"/>
          <w:szCs w:val="24"/>
          <w:lang w:val="en-US" w:eastAsia="zh-CN" w:bidi="ar-SA"/>
        </w:rPr>
        <w:t>4</w:t>
      </w:r>
    </w:p>
    <w:p w14:paraId="2E7F4059">
      <w:pPr>
        <w:keepNext w:val="0"/>
        <w:keepLines w:val="0"/>
        <w:pageBreakBefore w:val="0"/>
        <w:widowControl w:val="0"/>
        <w:tabs>
          <w:tab w:val="right" w:leader="dot" w:pos="8190"/>
        </w:tabs>
        <w:kinsoku/>
        <w:wordWrap/>
        <w:overflowPunct/>
        <w:topLinePunct w:val="0"/>
        <w:autoSpaceDE/>
        <w:autoSpaceDN/>
        <w:bidi w:val="0"/>
        <w:adjustRightInd w:val="0"/>
        <w:snapToGrid w:val="0"/>
        <w:spacing w:line="440" w:lineRule="exact"/>
        <w:ind w:left="420" w:left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三、支出决算表</w:t>
      </w:r>
      <w:r>
        <w:rPr>
          <w:rFonts w:hint="eastAsia" w:ascii="宋体" w:hAnsi="宋体" w:eastAsia="宋体" w:cs="宋体"/>
          <w:kern w:val="2"/>
          <w:sz w:val="24"/>
          <w:szCs w:val="24"/>
          <w:lang w:val="en-US" w:eastAsia="zh-CN" w:bidi="ar-SA"/>
        </w:rPr>
        <w:tab/>
      </w:r>
      <w:r>
        <w:rPr>
          <w:rFonts w:hint="eastAsia" w:ascii="宋体" w:hAnsi="宋体" w:eastAsia="宋体" w:cs="宋体"/>
          <w:kern w:val="2"/>
          <w:sz w:val="24"/>
          <w:szCs w:val="24"/>
          <w:lang w:val="en-US" w:eastAsia="zh-CN" w:bidi="ar-SA"/>
        </w:rPr>
        <w:t>1</w:t>
      </w:r>
      <w:r>
        <w:rPr>
          <w:rFonts w:hint="eastAsia" w:ascii="宋体" w:hAnsi="宋体" w:cs="宋体"/>
          <w:kern w:val="2"/>
          <w:sz w:val="24"/>
          <w:szCs w:val="24"/>
          <w:lang w:val="en-US" w:eastAsia="zh-CN" w:bidi="ar-SA"/>
        </w:rPr>
        <w:t>4</w:t>
      </w:r>
    </w:p>
    <w:p w14:paraId="3E1D6C73">
      <w:pPr>
        <w:keepNext w:val="0"/>
        <w:keepLines w:val="0"/>
        <w:pageBreakBefore w:val="0"/>
        <w:widowControl w:val="0"/>
        <w:tabs>
          <w:tab w:val="right" w:leader="dot" w:pos="8190"/>
        </w:tabs>
        <w:kinsoku/>
        <w:wordWrap/>
        <w:overflowPunct/>
        <w:topLinePunct w:val="0"/>
        <w:autoSpaceDE/>
        <w:autoSpaceDN/>
        <w:bidi w:val="0"/>
        <w:adjustRightInd w:val="0"/>
        <w:snapToGrid w:val="0"/>
        <w:spacing w:line="440" w:lineRule="exact"/>
        <w:ind w:left="420" w:left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四、财政拨款收入支出决算总表</w:t>
      </w:r>
      <w:r>
        <w:rPr>
          <w:rFonts w:hint="eastAsia" w:ascii="宋体" w:hAnsi="宋体" w:eastAsia="宋体" w:cs="宋体"/>
          <w:kern w:val="2"/>
          <w:sz w:val="24"/>
          <w:szCs w:val="24"/>
          <w:lang w:val="en-US" w:eastAsia="zh-CN" w:bidi="ar-SA"/>
        </w:rPr>
        <w:tab/>
      </w:r>
      <w:r>
        <w:rPr>
          <w:rFonts w:hint="eastAsia" w:ascii="宋体" w:hAnsi="宋体" w:eastAsia="宋体" w:cs="宋体"/>
          <w:kern w:val="2"/>
          <w:sz w:val="24"/>
          <w:szCs w:val="24"/>
          <w:lang w:val="en-US" w:eastAsia="zh-CN" w:bidi="ar-SA"/>
        </w:rPr>
        <w:t>1</w:t>
      </w:r>
      <w:r>
        <w:rPr>
          <w:rFonts w:hint="eastAsia" w:ascii="宋体" w:hAnsi="宋体" w:cs="宋体"/>
          <w:kern w:val="2"/>
          <w:sz w:val="24"/>
          <w:szCs w:val="24"/>
          <w:lang w:val="en-US" w:eastAsia="zh-CN" w:bidi="ar-SA"/>
        </w:rPr>
        <w:t>4</w:t>
      </w:r>
    </w:p>
    <w:p w14:paraId="4469D1FA">
      <w:pPr>
        <w:keepNext w:val="0"/>
        <w:keepLines w:val="0"/>
        <w:pageBreakBefore w:val="0"/>
        <w:widowControl w:val="0"/>
        <w:tabs>
          <w:tab w:val="right" w:leader="dot" w:pos="8190"/>
        </w:tabs>
        <w:kinsoku/>
        <w:wordWrap/>
        <w:overflowPunct/>
        <w:topLinePunct w:val="0"/>
        <w:autoSpaceDE/>
        <w:autoSpaceDN/>
        <w:bidi w:val="0"/>
        <w:adjustRightInd w:val="0"/>
        <w:snapToGrid w:val="0"/>
        <w:spacing w:line="440" w:lineRule="exact"/>
        <w:ind w:left="420" w:left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五、财政拨款支出决算明细表</w:t>
      </w:r>
      <w:r>
        <w:rPr>
          <w:rFonts w:hint="eastAsia" w:ascii="宋体" w:hAnsi="宋体" w:eastAsia="宋体" w:cs="宋体"/>
          <w:kern w:val="2"/>
          <w:sz w:val="24"/>
          <w:szCs w:val="24"/>
          <w:lang w:val="en-US" w:eastAsia="zh-CN" w:bidi="ar-SA"/>
        </w:rPr>
        <w:tab/>
      </w:r>
      <w:r>
        <w:rPr>
          <w:rFonts w:hint="eastAsia" w:ascii="宋体" w:hAnsi="宋体" w:eastAsia="宋体" w:cs="宋体"/>
          <w:kern w:val="2"/>
          <w:sz w:val="24"/>
          <w:szCs w:val="24"/>
          <w:lang w:val="en-US" w:eastAsia="zh-CN" w:bidi="ar-SA"/>
        </w:rPr>
        <w:t>1</w:t>
      </w:r>
      <w:r>
        <w:rPr>
          <w:rFonts w:hint="eastAsia" w:ascii="宋体" w:hAnsi="宋体" w:cs="宋体"/>
          <w:kern w:val="2"/>
          <w:sz w:val="24"/>
          <w:szCs w:val="24"/>
          <w:lang w:val="en-US" w:eastAsia="zh-CN" w:bidi="ar-SA"/>
        </w:rPr>
        <w:t>4</w:t>
      </w:r>
    </w:p>
    <w:p w14:paraId="7A4AFD58">
      <w:pPr>
        <w:keepNext w:val="0"/>
        <w:keepLines w:val="0"/>
        <w:pageBreakBefore w:val="0"/>
        <w:widowControl w:val="0"/>
        <w:tabs>
          <w:tab w:val="right" w:leader="dot" w:pos="8190"/>
        </w:tabs>
        <w:kinsoku/>
        <w:wordWrap/>
        <w:overflowPunct/>
        <w:topLinePunct w:val="0"/>
        <w:autoSpaceDE/>
        <w:autoSpaceDN/>
        <w:bidi w:val="0"/>
        <w:adjustRightInd w:val="0"/>
        <w:snapToGrid w:val="0"/>
        <w:spacing w:line="440" w:lineRule="exact"/>
        <w:ind w:left="420" w:left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六、一般公共预算财政拨款支出决算表</w:t>
      </w:r>
      <w:r>
        <w:rPr>
          <w:rFonts w:hint="eastAsia" w:ascii="宋体" w:hAnsi="宋体" w:eastAsia="宋体" w:cs="宋体"/>
          <w:kern w:val="2"/>
          <w:sz w:val="24"/>
          <w:szCs w:val="24"/>
          <w:lang w:val="en-US" w:eastAsia="zh-CN" w:bidi="ar-SA"/>
        </w:rPr>
        <w:tab/>
      </w:r>
      <w:r>
        <w:rPr>
          <w:rFonts w:hint="eastAsia" w:ascii="宋体" w:hAnsi="宋体" w:eastAsia="宋体" w:cs="宋体"/>
          <w:kern w:val="2"/>
          <w:sz w:val="24"/>
          <w:szCs w:val="24"/>
          <w:lang w:val="en-US" w:eastAsia="zh-CN" w:bidi="ar-SA"/>
        </w:rPr>
        <w:t>1</w:t>
      </w:r>
      <w:r>
        <w:rPr>
          <w:rFonts w:hint="eastAsia" w:ascii="宋体" w:hAnsi="宋体" w:cs="宋体"/>
          <w:kern w:val="2"/>
          <w:sz w:val="24"/>
          <w:szCs w:val="24"/>
          <w:lang w:val="en-US" w:eastAsia="zh-CN" w:bidi="ar-SA"/>
        </w:rPr>
        <w:t>4</w:t>
      </w:r>
    </w:p>
    <w:p w14:paraId="0EF17FE9">
      <w:pPr>
        <w:keepNext w:val="0"/>
        <w:keepLines w:val="0"/>
        <w:pageBreakBefore w:val="0"/>
        <w:widowControl w:val="0"/>
        <w:tabs>
          <w:tab w:val="right" w:leader="dot" w:pos="8190"/>
        </w:tabs>
        <w:kinsoku/>
        <w:wordWrap/>
        <w:overflowPunct/>
        <w:topLinePunct w:val="0"/>
        <w:autoSpaceDE/>
        <w:autoSpaceDN/>
        <w:bidi w:val="0"/>
        <w:adjustRightInd w:val="0"/>
        <w:snapToGrid w:val="0"/>
        <w:spacing w:line="440" w:lineRule="exact"/>
        <w:ind w:left="420" w:left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七、一般公共预算财政拨款支出决算明细表</w:t>
      </w:r>
      <w:r>
        <w:rPr>
          <w:rFonts w:hint="eastAsia" w:ascii="宋体" w:hAnsi="宋体" w:eastAsia="宋体" w:cs="宋体"/>
          <w:kern w:val="2"/>
          <w:sz w:val="24"/>
          <w:szCs w:val="24"/>
          <w:lang w:val="en-US" w:eastAsia="zh-CN" w:bidi="ar-SA"/>
        </w:rPr>
        <w:tab/>
      </w:r>
      <w:r>
        <w:rPr>
          <w:rFonts w:hint="eastAsia" w:ascii="宋体" w:hAnsi="宋体" w:eastAsia="宋体" w:cs="宋体"/>
          <w:kern w:val="2"/>
          <w:sz w:val="24"/>
          <w:szCs w:val="24"/>
          <w:lang w:val="en-US" w:eastAsia="zh-CN" w:bidi="ar-SA"/>
        </w:rPr>
        <w:t>1</w:t>
      </w:r>
      <w:r>
        <w:rPr>
          <w:rFonts w:hint="eastAsia" w:ascii="宋体" w:hAnsi="宋体" w:cs="宋体"/>
          <w:kern w:val="2"/>
          <w:sz w:val="24"/>
          <w:szCs w:val="24"/>
          <w:lang w:val="en-US" w:eastAsia="zh-CN" w:bidi="ar-SA"/>
        </w:rPr>
        <w:t>4</w:t>
      </w:r>
    </w:p>
    <w:p w14:paraId="3FC00D77">
      <w:pPr>
        <w:keepNext w:val="0"/>
        <w:keepLines w:val="0"/>
        <w:pageBreakBefore w:val="0"/>
        <w:widowControl w:val="0"/>
        <w:tabs>
          <w:tab w:val="right" w:leader="dot" w:pos="8190"/>
        </w:tabs>
        <w:kinsoku/>
        <w:wordWrap/>
        <w:overflowPunct/>
        <w:topLinePunct w:val="0"/>
        <w:autoSpaceDE/>
        <w:autoSpaceDN/>
        <w:bidi w:val="0"/>
        <w:adjustRightInd w:val="0"/>
        <w:snapToGrid w:val="0"/>
        <w:spacing w:line="440" w:lineRule="exact"/>
        <w:ind w:left="420" w:left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八、一般公共预算财政拨款基本支出决算明细表</w:t>
      </w:r>
      <w:r>
        <w:rPr>
          <w:rFonts w:hint="eastAsia" w:ascii="宋体" w:hAnsi="宋体" w:eastAsia="宋体" w:cs="宋体"/>
          <w:kern w:val="2"/>
          <w:sz w:val="24"/>
          <w:szCs w:val="24"/>
          <w:lang w:val="en-US" w:eastAsia="zh-CN" w:bidi="ar-SA"/>
        </w:rPr>
        <w:tab/>
      </w:r>
      <w:r>
        <w:rPr>
          <w:rFonts w:hint="eastAsia" w:ascii="宋体" w:hAnsi="宋体" w:eastAsia="宋体" w:cs="宋体"/>
          <w:kern w:val="2"/>
          <w:sz w:val="24"/>
          <w:szCs w:val="24"/>
          <w:lang w:val="en-US" w:eastAsia="zh-CN" w:bidi="ar-SA"/>
        </w:rPr>
        <w:t>1</w:t>
      </w:r>
      <w:r>
        <w:rPr>
          <w:rFonts w:hint="eastAsia" w:ascii="宋体" w:hAnsi="宋体" w:cs="宋体"/>
          <w:kern w:val="2"/>
          <w:sz w:val="24"/>
          <w:szCs w:val="24"/>
          <w:lang w:val="en-US" w:eastAsia="zh-CN" w:bidi="ar-SA"/>
        </w:rPr>
        <w:t>4</w:t>
      </w:r>
    </w:p>
    <w:p w14:paraId="79793112">
      <w:pPr>
        <w:keepNext w:val="0"/>
        <w:keepLines w:val="0"/>
        <w:pageBreakBefore w:val="0"/>
        <w:widowControl w:val="0"/>
        <w:tabs>
          <w:tab w:val="right" w:leader="dot" w:pos="8190"/>
        </w:tabs>
        <w:kinsoku/>
        <w:wordWrap/>
        <w:overflowPunct/>
        <w:topLinePunct w:val="0"/>
        <w:autoSpaceDE/>
        <w:autoSpaceDN/>
        <w:bidi w:val="0"/>
        <w:adjustRightInd w:val="0"/>
        <w:snapToGrid w:val="0"/>
        <w:spacing w:line="440" w:lineRule="exact"/>
        <w:ind w:left="420" w:left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九、一般公共预算财政拨款项目支出决算表</w:t>
      </w:r>
      <w:r>
        <w:rPr>
          <w:rFonts w:hint="eastAsia" w:ascii="宋体" w:hAnsi="宋体" w:eastAsia="宋体" w:cs="宋体"/>
          <w:kern w:val="2"/>
          <w:sz w:val="24"/>
          <w:szCs w:val="24"/>
          <w:lang w:val="en-US" w:eastAsia="zh-CN" w:bidi="ar-SA"/>
        </w:rPr>
        <w:tab/>
      </w:r>
      <w:r>
        <w:rPr>
          <w:rFonts w:hint="eastAsia" w:ascii="宋体" w:hAnsi="宋体" w:eastAsia="宋体" w:cs="宋体"/>
          <w:kern w:val="2"/>
          <w:sz w:val="24"/>
          <w:szCs w:val="24"/>
          <w:lang w:val="en-US" w:eastAsia="zh-CN" w:bidi="ar-SA"/>
        </w:rPr>
        <w:t>1</w:t>
      </w:r>
      <w:r>
        <w:rPr>
          <w:rFonts w:hint="eastAsia" w:ascii="宋体" w:hAnsi="宋体" w:cs="宋体"/>
          <w:kern w:val="2"/>
          <w:sz w:val="24"/>
          <w:szCs w:val="24"/>
          <w:lang w:val="en-US" w:eastAsia="zh-CN" w:bidi="ar-SA"/>
        </w:rPr>
        <w:t>4</w:t>
      </w:r>
    </w:p>
    <w:p w14:paraId="5A3C6D10">
      <w:pPr>
        <w:keepNext w:val="0"/>
        <w:keepLines w:val="0"/>
        <w:pageBreakBefore w:val="0"/>
        <w:widowControl w:val="0"/>
        <w:tabs>
          <w:tab w:val="right" w:leader="dot" w:pos="8190"/>
        </w:tabs>
        <w:kinsoku/>
        <w:wordWrap/>
        <w:overflowPunct/>
        <w:topLinePunct w:val="0"/>
        <w:autoSpaceDE/>
        <w:autoSpaceDN/>
        <w:bidi w:val="0"/>
        <w:adjustRightInd w:val="0"/>
        <w:snapToGrid w:val="0"/>
        <w:spacing w:line="440" w:lineRule="exact"/>
        <w:ind w:left="420" w:left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十、政府性基金预算财政拨款收入支出决算表</w:t>
      </w:r>
      <w:r>
        <w:rPr>
          <w:rFonts w:hint="eastAsia" w:ascii="宋体" w:hAnsi="宋体" w:eastAsia="宋体" w:cs="宋体"/>
          <w:kern w:val="2"/>
          <w:sz w:val="24"/>
          <w:szCs w:val="24"/>
          <w:lang w:val="en-US" w:eastAsia="zh-CN" w:bidi="ar-SA"/>
        </w:rPr>
        <w:tab/>
      </w:r>
      <w:r>
        <w:rPr>
          <w:rFonts w:hint="eastAsia" w:ascii="宋体" w:hAnsi="宋体" w:eastAsia="宋体" w:cs="宋体"/>
          <w:kern w:val="2"/>
          <w:sz w:val="24"/>
          <w:szCs w:val="24"/>
          <w:lang w:val="en-US" w:eastAsia="zh-CN" w:bidi="ar-SA"/>
        </w:rPr>
        <w:t>1</w:t>
      </w:r>
      <w:r>
        <w:rPr>
          <w:rFonts w:hint="eastAsia" w:ascii="宋体" w:hAnsi="宋体" w:cs="宋体"/>
          <w:kern w:val="2"/>
          <w:sz w:val="24"/>
          <w:szCs w:val="24"/>
          <w:lang w:val="en-US" w:eastAsia="zh-CN" w:bidi="ar-SA"/>
        </w:rPr>
        <w:t>4</w:t>
      </w:r>
    </w:p>
    <w:p w14:paraId="5CC3D559">
      <w:pPr>
        <w:keepNext w:val="0"/>
        <w:keepLines w:val="0"/>
        <w:pageBreakBefore w:val="0"/>
        <w:widowControl w:val="0"/>
        <w:tabs>
          <w:tab w:val="right" w:leader="dot" w:pos="8190"/>
        </w:tabs>
        <w:kinsoku/>
        <w:wordWrap/>
        <w:overflowPunct/>
        <w:topLinePunct w:val="0"/>
        <w:autoSpaceDE/>
        <w:autoSpaceDN/>
        <w:bidi w:val="0"/>
        <w:adjustRightInd w:val="0"/>
        <w:snapToGrid w:val="0"/>
        <w:spacing w:line="440" w:lineRule="exact"/>
        <w:ind w:left="420" w:left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十一、国有资本经营预算财政拨款收入支出决算表</w:t>
      </w:r>
      <w:r>
        <w:rPr>
          <w:rFonts w:hint="eastAsia" w:ascii="宋体" w:hAnsi="宋体" w:eastAsia="宋体" w:cs="宋体"/>
          <w:kern w:val="2"/>
          <w:sz w:val="24"/>
          <w:szCs w:val="24"/>
          <w:lang w:val="en-US" w:eastAsia="zh-CN" w:bidi="ar-SA"/>
        </w:rPr>
        <w:tab/>
      </w:r>
      <w:r>
        <w:rPr>
          <w:rFonts w:hint="eastAsia" w:ascii="宋体" w:hAnsi="宋体" w:eastAsia="宋体" w:cs="宋体"/>
          <w:kern w:val="2"/>
          <w:sz w:val="24"/>
          <w:szCs w:val="24"/>
          <w:lang w:val="en-US" w:eastAsia="zh-CN" w:bidi="ar-SA"/>
        </w:rPr>
        <w:t>1</w:t>
      </w:r>
      <w:r>
        <w:rPr>
          <w:rFonts w:hint="eastAsia" w:ascii="宋体" w:hAnsi="宋体" w:cs="宋体"/>
          <w:kern w:val="2"/>
          <w:sz w:val="24"/>
          <w:szCs w:val="24"/>
          <w:lang w:val="en-US" w:eastAsia="zh-CN" w:bidi="ar-SA"/>
        </w:rPr>
        <w:t>4</w:t>
      </w:r>
    </w:p>
    <w:p w14:paraId="027EEE1B">
      <w:pPr>
        <w:keepNext w:val="0"/>
        <w:keepLines w:val="0"/>
        <w:pageBreakBefore w:val="0"/>
        <w:widowControl w:val="0"/>
        <w:tabs>
          <w:tab w:val="right" w:leader="dot" w:pos="8190"/>
        </w:tabs>
        <w:kinsoku/>
        <w:wordWrap/>
        <w:overflowPunct/>
        <w:topLinePunct w:val="0"/>
        <w:autoSpaceDE/>
        <w:autoSpaceDN/>
        <w:bidi w:val="0"/>
        <w:adjustRightInd w:val="0"/>
        <w:snapToGrid w:val="0"/>
        <w:spacing w:line="440" w:lineRule="exact"/>
        <w:ind w:left="420" w:left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十二、国有资本经营预算财政拨款支出决算表</w:t>
      </w:r>
      <w:r>
        <w:rPr>
          <w:rFonts w:hint="eastAsia" w:ascii="宋体" w:hAnsi="宋体" w:eastAsia="宋体" w:cs="宋体"/>
          <w:kern w:val="2"/>
          <w:sz w:val="24"/>
          <w:szCs w:val="24"/>
          <w:lang w:val="en-US" w:eastAsia="zh-CN" w:bidi="ar-SA"/>
        </w:rPr>
        <w:tab/>
      </w:r>
      <w:r>
        <w:rPr>
          <w:rFonts w:hint="eastAsia" w:ascii="宋体" w:hAnsi="宋体" w:eastAsia="宋体" w:cs="宋体"/>
          <w:kern w:val="2"/>
          <w:sz w:val="24"/>
          <w:szCs w:val="24"/>
          <w:lang w:val="en-US" w:eastAsia="zh-CN" w:bidi="ar-SA"/>
        </w:rPr>
        <w:t>1</w:t>
      </w:r>
      <w:r>
        <w:rPr>
          <w:rFonts w:hint="eastAsia" w:ascii="宋体" w:hAnsi="宋体" w:cs="宋体"/>
          <w:kern w:val="2"/>
          <w:sz w:val="24"/>
          <w:szCs w:val="24"/>
          <w:lang w:val="en-US" w:eastAsia="zh-CN" w:bidi="ar-SA"/>
        </w:rPr>
        <w:t>4</w:t>
      </w:r>
    </w:p>
    <w:p w14:paraId="0E235D62">
      <w:pPr>
        <w:keepNext w:val="0"/>
        <w:keepLines w:val="0"/>
        <w:pageBreakBefore w:val="0"/>
        <w:widowControl w:val="0"/>
        <w:tabs>
          <w:tab w:val="right" w:leader="dot" w:pos="8190"/>
        </w:tabs>
        <w:kinsoku/>
        <w:wordWrap/>
        <w:overflowPunct/>
        <w:topLinePunct w:val="0"/>
        <w:autoSpaceDE/>
        <w:autoSpaceDN/>
        <w:bidi w:val="0"/>
        <w:adjustRightInd w:val="0"/>
        <w:snapToGrid w:val="0"/>
        <w:spacing w:line="440" w:lineRule="exact"/>
        <w:ind w:left="420" w:left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十三、财政拨款“三公”经费支出决算表</w:t>
      </w:r>
      <w:r>
        <w:rPr>
          <w:rFonts w:hint="eastAsia" w:ascii="宋体" w:hAnsi="宋体" w:eastAsia="宋体" w:cs="宋体"/>
          <w:kern w:val="2"/>
          <w:sz w:val="24"/>
          <w:szCs w:val="24"/>
          <w:lang w:val="en-US" w:eastAsia="zh-CN" w:bidi="ar-SA"/>
        </w:rPr>
        <w:tab/>
      </w:r>
      <w:r>
        <w:rPr>
          <w:rFonts w:hint="eastAsia" w:ascii="宋体" w:hAnsi="宋体" w:eastAsia="宋体" w:cs="宋体"/>
          <w:kern w:val="2"/>
          <w:sz w:val="24"/>
          <w:szCs w:val="24"/>
          <w:lang w:val="en-US" w:eastAsia="zh-CN" w:bidi="ar-SA"/>
        </w:rPr>
        <w:t>1</w:t>
      </w:r>
      <w:r>
        <w:rPr>
          <w:rFonts w:hint="eastAsia" w:ascii="宋体" w:hAnsi="宋体" w:cs="宋体"/>
          <w:kern w:val="2"/>
          <w:sz w:val="24"/>
          <w:szCs w:val="24"/>
          <w:lang w:val="en-US" w:eastAsia="zh-CN" w:bidi="ar-SA"/>
        </w:rPr>
        <w:t>4</w:t>
      </w:r>
    </w:p>
    <w:p w14:paraId="6CCC6BF1">
      <w:pPr>
        <w:pStyle w:val="2"/>
        <w:jc w:val="center"/>
        <w:rPr>
          <w:rFonts w:hint="eastAsia" w:ascii="宋体" w:hAnsi="宋体" w:eastAsia="宋体" w:cs="宋体"/>
          <w:b w:val="0"/>
        </w:rPr>
        <w:sectPr>
          <w:headerReference r:id="rId3" w:type="default"/>
          <w:pgSz w:w="11906" w:h="16838"/>
          <w:pgMar w:top="1440" w:right="1800" w:bottom="1440" w:left="1800" w:header="851" w:footer="992" w:gutter="0"/>
          <w:pgNumType w:start="1"/>
          <w:cols w:space="425" w:num="1"/>
          <w:titlePg/>
          <w:docGrid w:type="lines" w:linePitch="312" w:charSpace="0"/>
        </w:sectPr>
      </w:pPr>
      <w:bookmarkStart w:id="12" w:name="_Toc15377196"/>
      <w:bookmarkStart w:id="13" w:name="_Toc15396599"/>
    </w:p>
    <w:p w14:paraId="38B90D42">
      <w:pPr>
        <w:pStyle w:val="2"/>
        <w:jc w:val="center"/>
        <w:rPr>
          <w:rFonts w:hint="eastAsia" w:ascii="宋体" w:hAnsi="宋体" w:eastAsia="宋体" w:cs="宋体"/>
          <w:sz w:val="32"/>
          <w:szCs w:val="32"/>
        </w:rPr>
      </w:pPr>
      <w:r>
        <w:rPr>
          <w:rFonts w:hint="eastAsia" w:ascii="宋体" w:hAnsi="宋体" w:eastAsia="宋体" w:cs="宋体"/>
          <w:b w:val="0"/>
        </w:rPr>
        <w:t>第一部分 单位</w:t>
      </w:r>
      <w:r>
        <w:rPr>
          <w:rStyle w:val="29"/>
          <w:rFonts w:hint="eastAsia" w:ascii="宋体" w:hAnsi="宋体" w:eastAsia="宋体" w:cs="宋体"/>
          <w:b w:val="0"/>
          <w:bCs w:val="0"/>
        </w:rPr>
        <w:t>概况</w:t>
      </w:r>
      <w:bookmarkEnd w:id="12"/>
      <w:bookmarkEnd w:id="13"/>
    </w:p>
    <w:p w14:paraId="4C402BEC">
      <w:pPr>
        <w:pStyle w:val="3"/>
        <w:pageBreakBefore w:val="0"/>
        <w:widowControl w:val="0"/>
        <w:numPr>
          <w:ilvl w:val="0"/>
          <w:numId w:val="0"/>
        </w:numPr>
        <w:kinsoku/>
        <w:wordWrap/>
        <w:overflowPunct/>
        <w:topLinePunct w:val="0"/>
        <w:autoSpaceDE/>
        <w:autoSpaceDN/>
        <w:bidi w:val="0"/>
        <w:adjustRightInd/>
        <w:snapToGrid/>
        <w:spacing w:before="0" w:after="0" w:line="700" w:lineRule="exact"/>
        <w:textAlignment w:val="auto"/>
        <w:rPr>
          <w:rStyle w:val="30"/>
          <w:rFonts w:hint="eastAsia" w:ascii="宋体" w:hAnsi="宋体" w:eastAsia="宋体" w:cs="宋体"/>
          <w:b w:val="0"/>
          <w:bCs w:val="0"/>
          <w:sz w:val="32"/>
          <w:szCs w:val="32"/>
        </w:rPr>
      </w:pPr>
      <w:bookmarkStart w:id="14" w:name="_Toc15377197"/>
      <w:bookmarkStart w:id="15" w:name="_Toc15396600"/>
      <w:r>
        <w:rPr>
          <w:rFonts w:hint="eastAsia" w:ascii="宋体" w:hAnsi="宋体" w:eastAsia="宋体" w:cs="宋体"/>
          <w:b w:val="0"/>
          <w:bCs w:val="0"/>
          <w:kern w:val="2"/>
          <w:sz w:val="32"/>
          <w:szCs w:val="32"/>
          <w:lang w:val="en-US" w:eastAsia="zh-CN" w:bidi="ar-SA"/>
        </w:rPr>
        <w:t>一、</w:t>
      </w:r>
      <w:r>
        <w:rPr>
          <w:rStyle w:val="30"/>
          <w:rFonts w:hint="eastAsia" w:ascii="宋体" w:hAnsi="宋体" w:eastAsia="宋体" w:cs="宋体"/>
          <w:b w:val="0"/>
          <w:bCs w:val="0"/>
          <w:sz w:val="32"/>
          <w:szCs w:val="32"/>
        </w:rPr>
        <w:t>主要职责</w:t>
      </w:r>
    </w:p>
    <w:p w14:paraId="0F20CC38">
      <w:pPr>
        <w:keepNext w:val="0"/>
        <w:keepLines w:val="0"/>
        <w:pageBreakBefore w:val="0"/>
        <w:widowControl w:val="0"/>
        <w:kinsoku/>
        <w:wordWrap/>
        <w:overflowPunct/>
        <w:topLinePunct w:val="0"/>
        <w:autoSpaceDE/>
        <w:autoSpaceDN/>
        <w:bidi w:val="0"/>
        <w:adjustRightInd/>
        <w:snapToGrid/>
        <w:spacing w:line="700" w:lineRule="exact"/>
        <w:ind w:firstLine="640" w:firstLineChars="200"/>
        <w:textAlignment w:val="auto"/>
        <w:rPr>
          <w:rFonts w:hint="eastAsia" w:ascii="宋体" w:hAnsi="宋体" w:eastAsia="宋体" w:cs="宋体"/>
          <w:color w:val="000000"/>
          <w:sz w:val="32"/>
          <w:szCs w:val="32"/>
          <w:highlight w:val="none"/>
          <w:lang w:val="en-US" w:eastAsia="zh-CN"/>
        </w:rPr>
      </w:pPr>
      <w:r>
        <w:rPr>
          <w:rFonts w:hint="eastAsia" w:ascii="宋体" w:hAnsi="宋体" w:eastAsia="宋体" w:cs="宋体"/>
          <w:color w:val="000000"/>
          <w:sz w:val="32"/>
          <w:szCs w:val="32"/>
        </w:rPr>
        <w:t>基本职能：五通桥区工业基地服务中心</w:t>
      </w:r>
      <w:r>
        <w:rPr>
          <w:rFonts w:hint="eastAsia" w:ascii="宋体" w:hAnsi="宋体" w:eastAsia="宋体" w:cs="宋体"/>
          <w:color w:val="000000"/>
          <w:sz w:val="32"/>
          <w:szCs w:val="32"/>
          <w:lang w:val="en-US" w:eastAsia="zh-CN"/>
        </w:rPr>
        <w:t>主要</w:t>
      </w:r>
      <w:r>
        <w:rPr>
          <w:rFonts w:hint="eastAsia" w:ascii="宋体" w:hAnsi="宋体" w:eastAsia="宋体" w:cs="宋体"/>
          <w:color w:val="000000"/>
          <w:sz w:val="32"/>
          <w:szCs w:val="32"/>
        </w:rPr>
        <w:t>职能</w:t>
      </w:r>
      <w:r>
        <w:rPr>
          <w:rFonts w:hint="eastAsia" w:ascii="宋体" w:hAnsi="宋体" w:eastAsia="宋体" w:cs="宋体"/>
          <w:color w:val="000000"/>
          <w:sz w:val="32"/>
          <w:szCs w:val="32"/>
          <w:lang w:val="en-US" w:eastAsia="zh-CN"/>
        </w:rPr>
        <w:t>是制定并组织实施工业集中区规划、建设等管理办法:组织评审认定集中区内高新技术企业项目和产品;组织协调区内企业项目建设用地、房屋建筑的开发建设、利用、管理和拆迁安置</w:t>
      </w:r>
      <w:r>
        <w:rPr>
          <w:rFonts w:hint="eastAsia" w:ascii="宋体" w:hAnsi="宋体" w:eastAsia="宋体" w:cs="宋体"/>
          <w:color w:val="000000"/>
          <w:sz w:val="32"/>
          <w:szCs w:val="32"/>
          <w:highlight w:val="none"/>
          <w:lang w:val="en-US" w:eastAsia="zh-CN"/>
        </w:rPr>
        <w:t>等工作。</w:t>
      </w:r>
    </w:p>
    <w:p w14:paraId="5A4A6ACA">
      <w:pPr>
        <w:pageBreakBefore w:val="0"/>
        <w:widowControl/>
        <w:kinsoku/>
        <w:wordWrap/>
        <w:overflowPunct/>
        <w:topLinePunct w:val="0"/>
        <w:autoSpaceDE/>
        <w:autoSpaceDN/>
        <w:bidi w:val="0"/>
        <w:adjustRightInd/>
        <w:snapToGrid/>
        <w:spacing w:line="700" w:lineRule="exact"/>
        <w:ind w:firstLine="640" w:firstLineChars="200"/>
        <w:textAlignment w:val="auto"/>
        <w:rPr>
          <w:rFonts w:hint="eastAsia" w:ascii="宋体" w:hAnsi="宋体" w:eastAsia="宋体" w:cs="宋体"/>
          <w:sz w:val="32"/>
          <w:szCs w:val="32"/>
          <w:lang w:val="en-US" w:eastAsia="zh-CN"/>
        </w:rPr>
      </w:pPr>
      <w:r>
        <w:rPr>
          <w:rFonts w:hint="eastAsia" w:ascii="宋体" w:hAnsi="宋体" w:eastAsia="宋体" w:cs="宋体"/>
          <w:b w:val="0"/>
          <w:bCs/>
          <w:color w:val="auto"/>
          <w:kern w:val="2"/>
          <w:sz w:val="32"/>
          <w:szCs w:val="32"/>
          <w:highlight w:val="none"/>
          <w:lang w:val="en-US" w:eastAsia="zh-CN" w:bidi="ar-SA"/>
        </w:rPr>
        <w:t>重点工作完成情况：</w:t>
      </w:r>
      <w:r>
        <w:rPr>
          <w:rFonts w:hint="eastAsia" w:ascii="宋体" w:hAnsi="宋体" w:eastAsia="宋体" w:cs="宋体"/>
          <w:sz w:val="32"/>
          <w:szCs w:val="32"/>
        </w:rPr>
        <w:t>做好园区环境卫生、食品安全等工作，牵头组织区综合执法局、区市场监管局、金粟派出所、桥沟交警中队等执法部门对园区环境、秩序、卫生专项整治63次，食品安全督查11次。配合区市场监管局组织专家、法律工作者等到企业开展知识产权、商业秘密保护培训6次，被省局授予“知识产权保护示范基地”。</w:t>
      </w:r>
    </w:p>
    <w:p w14:paraId="76F6CEDB">
      <w:pPr>
        <w:pStyle w:val="3"/>
        <w:pageBreakBefore w:val="0"/>
        <w:widowControl w:val="0"/>
        <w:numPr>
          <w:ilvl w:val="0"/>
          <w:numId w:val="0"/>
        </w:numPr>
        <w:kinsoku/>
        <w:wordWrap/>
        <w:overflowPunct/>
        <w:topLinePunct w:val="0"/>
        <w:autoSpaceDE/>
        <w:autoSpaceDN/>
        <w:bidi w:val="0"/>
        <w:adjustRightInd/>
        <w:snapToGrid/>
        <w:spacing w:before="0" w:after="0" w:line="700" w:lineRule="exact"/>
        <w:ind w:left="0" w:leftChars="0" w:firstLine="0" w:firstLineChars="0"/>
        <w:textAlignment w:val="auto"/>
        <w:rPr>
          <w:rFonts w:hint="eastAsia" w:ascii="宋体" w:hAnsi="宋体" w:eastAsia="宋体" w:cs="宋体"/>
          <w:b w:val="0"/>
          <w:sz w:val="32"/>
          <w:szCs w:val="32"/>
        </w:rPr>
      </w:pPr>
      <w:r>
        <w:rPr>
          <w:rFonts w:hint="eastAsia" w:ascii="宋体" w:hAnsi="宋体" w:eastAsia="宋体" w:cs="宋体"/>
          <w:b w:val="0"/>
          <w:bCs/>
          <w:kern w:val="2"/>
          <w:sz w:val="32"/>
          <w:szCs w:val="32"/>
          <w:lang w:val="en-US" w:eastAsia="zh-CN" w:bidi="ar-SA"/>
        </w:rPr>
        <w:t>二、</w:t>
      </w:r>
      <w:r>
        <w:rPr>
          <w:rFonts w:hint="eastAsia" w:ascii="宋体" w:hAnsi="宋体" w:eastAsia="宋体" w:cs="宋体"/>
          <w:b w:val="0"/>
          <w:sz w:val="32"/>
          <w:szCs w:val="32"/>
        </w:rPr>
        <w:t>机构设置</w:t>
      </w:r>
    </w:p>
    <w:p w14:paraId="5E3849A1">
      <w:pPr>
        <w:keepNext w:val="0"/>
        <w:keepLines w:val="0"/>
        <w:pageBreakBefore w:val="0"/>
        <w:widowControl w:val="0"/>
        <w:numPr>
          <w:ilvl w:val="0"/>
          <w:numId w:val="0"/>
        </w:numPr>
        <w:kinsoku/>
        <w:wordWrap/>
        <w:overflowPunct/>
        <w:topLinePunct w:val="0"/>
        <w:autoSpaceDE/>
        <w:autoSpaceDN/>
        <w:bidi w:val="0"/>
        <w:adjustRightInd/>
        <w:snapToGrid/>
        <w:spacing w:line="700" w:lineRule="exact"/>
        <w:ind w:firstLine="640" w:firstLineChars="200"/>
        <w:textAlignment w:val="auto"/>
        <w:rPr>
          <w:rFonts w:hint="eastAsia" w:ascii="宋体" w:hAnsi="宋体" w:eastAsia="宋体" w:cs="宋体"/>
          <w:color w:val="000000"/>
          <w:sz w:val="32"/>
          <w:szCs w:val="32"/>
          <w:lang w:val="en-US" w:eastAsia="zh-CN"/>
        </w:rPr>
      </w:pPr>
      <w:r>
        <w:rPr>
          <w:rFonts w:hint="eastAsia" w:ascii="宋体" w:hAnsi="宋体" w:eastAsia="宋体" w:cs="宋体"/>
          <w:b w:val="0"/>
          <w:bCs/>
          <w:color w:val="000000"/>
          <w:sz w:val="32"/>
          <w:szCs w:val="32"/>
          <w:lang w:val="en-US" w:eastAsia="zh-CN"/>
        </w:rPr>
        <w:t>1、</w:t>
      </w:r>
      <w:r>
        <w:rPr>
          <w:rFonts w:hint="eastAsia" w:ascii="宋体" w:hAnsi="宋体" w:eastAsia="宋体" w:cs="宋体"/>
          <w:b w:val="0"/>
          <w:bCs/>
          <w:color w:val="000000"/>
          <w:sz w:val="32"/>
          <w:szCs w:val="32"/>
        </w:rPr>
        <w:t>机构设置</w:t>
      </w:r>
      <w:r>
        <w:rPr>
          <w:rFonts w:hint="eastAsia" w:ascii="宋体" w:hAnsi="宋体" w:eastAsia="宋体" w:cs="宋体"/>
          <w:b w:val="0"/>
          <w:bCs/>
          <w:color w:val="000000"/>
          <w:sz w:val="32"/>
          <w:szCs w:val="32"/>
          <w:lang w:val="en-US" w:eastAsia="zh-CN"/>
        </w:rPr>
        <w:t>;</w:t>
      </w:r>
      <w:r>
        <w:rPr>
          <w:rFonts w:hint="eastAsia" w:ascii="宋体" w:hAnsi="宋体" w:eastAsia="宋体" w:cs="宋体"/>
          <w:color w:val="000000"/>
          <w:sz w:val="32"/>
          <w:szCs w:val="32"/>
          <w:lang w:val="en-US" w:eastAsia="zh-CN"/>
        </w:rPr>
        <w:t>五通桥区工业基地服务中心</w:t>
      </w:r>
      <w:r>
        <w:rPr>
          <w:rFonts w:hint="eastAsia" w:ascii="宋体" w:hAnsi="宋体" w:eastAsia="宋体" w:cs="宋体"/>
          <w:b w:val="0"/>
          <w:bCs/>
          <w:color w:val="000000"/>
          <w:sz w:val="32"/>
          <w:szCs w:val="32"/>
          <w:lang w:val="en-US" w:eastAsia="zh-CN"/>
        </w:rPr>
        <w:t>为事业单位，核定</w:t>
      </w:r>
      <w:r>
        <w:rPr>
          <w:rFonts w:hint="eastAsia" w:ascii="宋体" w:hAnsi="宋体" w:eastAsia="宋体" w:cs="宋体"/>
          <w:color w:val="000000"/>
          <w:sz w:val="32"/>
          <w:szCs w:val="32"/>
          <w:lang w:val="en-US" w:eastAsia="zh-CN"/>
        </w:rPr>
        <w:t>五通桥区工业基地服务中心</w:t>
      </w:r>
      <w:r>
        <w:rPr>
          <w:rFonts w:hint="eastAsia" w:ascii="宋体" w:hAnsi="宋体" w:eastAsia="宋体" w:cs="宋体"/>
          <w:b w:val="0"/>
          <w:bCs/>
          <w:color w:val="000000"/>
          <w:sz w:val="32"/>
          <w:szCs w:val="32"/>
          <w:lang w:val="en-US" w:eastAsia="zh-CN"/>
        </w:rPr>
        <w:t>编制10名。</w:t>
      </w:r>
      <w:r>
        <w:rPr>
          <w:rFonts w:hint="eastAsia" w:ascii="宋体" w:hAnsi="宋体" w:eastAsia="宋体" w:cs="宋体"/>
          <w:color w:val="000000"/>
          <w:sz w:val="32"/>
          <w:szCs w:val="32"/>
          <w:lang w:val="en-US" w:eastAsia="zh-CN"/>
        </w:rPr>
        <w:t xml:space="preserve">其中负责日常工作的主任1名，副主任2名。 </w:t>
      </w:r>
    </w:p>
    <w:p w14:paraId="50883523">
      <w:pPr>
        <w:keepNext w:val="0"/>
        <w:keepLines w:val="0"/>
        <w:pageBreakBefore w:val="0"/>
        <w:widowControl w:val="0"/>
        <w:numPr>
          <w:ilvl w:val="0"/>
          <w:numId w:val="0"/>
        </w:numPr>
        <w:kinsoku/>
        <w:wordWrap/>
        <w:overflowPunct/>
        <w:topLinePunct w:val="0"/>
        <w:autoSpaceDE/>
        <w:autoSpaceDN/>
        <w:bidi w:val="0"/>
        <w:adjustRightInd/>
        <w:snapToGrid/>
        <w:spacing w:line="700" w:lineRule="exact"/>
        <w:ind w:firstLine="640" w:firstLineChars="200"/>
        <w:textAlignment w:val="auto"/>
        <w:rPr>
          <w:rFonts w:hint="eastAsia" w:ascii="宋体" w:hAnsi="宋体" w:eastAsia="宋体" w:cs="宋体"/>
          <w:sz w:val="32"/>
          <w:szCs w:val="32"/>
        </w:rPr>
      </w:pPr>
      <w:r>
        <w:rPr>
          <w:rFonts w:hint="eastAsia" w:ascii="宋体" w:hAnsi="宋体" w:eastAsia="宋体" w:cs="宋体"/>
          <w:b w:val="0"/>
          <w:bCs w:val="0"/>
          <w:color w:val="auto"/>
          <w:sz w:val="32"/>
          <w:szCs w:val="32"/>
          <w:lang w:val="en-US" w:eastAsia="zh-CN"/>
        </w:rPr>
        <w:t>2、</w:t>
      </w:r>
      <w:r>
        <w:rPr>
          <w:rFonts w:hint="eastAsia" w:ascii="宋体" w:hAnsi="宋体" w:eastAsia="宋体" w:cs="宋体"/>
          <w:b w:val="0"/>
          <w:bCs w:val="0"/>
          <w:color w:val="auto"/>
          <w:sz w:val="32"/>
          <w:szCs w:val="32"/>
        </w:rPr>
        <w:t>人员情况</w:t>
      </w:r>
      <w:r>
        <w:rPr>
          <w:rFonts w:hint="eastAsia" w:ascii="宋体" w:hAnsi="宋体" w:eastAsia="宋体" w:cs="宋体"/>
          <w:b w:val="0"/>
          <w:bCs w:val="0"/>
          <w:color w:val="auto"/>
          <w:sz w:val="32"/>
          <w:szCs w:val="32"/>
          <w:lang w:eastAsia="zh-CN"/>
        </w:rPr>
        <w:t>：年末实有人员</w:t>
      </w:r>
      <w:r>
        <w:rPr>
          <w:rFonts w:hint="eastAsia" w:ascii="宋体" w:hAnsi="宋体" w:eastAsia="宋体" w:cs="宋体"/>
          <w:b w:val="0"/>
          <w:bCs w:val="0"/>
          <w:color w:val="auto"/>
          <w:sz w:val="32"/>
          <w:szCs w:val="32"/>
          <w:lang w:val="en-US" w:eastAsia="zh-CN"/>
        </w:rPr>
        <w:t>10人。</w:t>
      </w:r>
    </w:p>
    <w:bookmarkEnd w:id="14"/>
    <w:bookmarkEnd w:id="15"/>
    <w:p w14:paraId="41DEB18B">
      <w:pPr>
        <w:pageBreakBefore w:val="0"/>
        <w:widowControl/>
        <w:kinsoku/>
        <w:wordWrap/>
        <w:overflowPunct/>
        <w:topLinePunct w:val="0"/>
        <w:autoSpaceDE/>
        <w:autoSpaceDN/>
        <w:bidi w:val="0"/>
        <w:adjustRightInd/>
        <w:snapToGrid/>
        <w:spacing w:line="700" w:lineRule="exact"/>
        <w:jc w:val="left"/>
        <w:textAlignment w:val="auto"/>
        <w:rPr>
          <w:rFonts w:hint="eastAsia" w:ascii="宋体" w:hAnsi="宋体" w:eastAsia="宋体" w:cs="宋体"/>
          <w:kern w:val="0"/>
          <w:sz w:val="32"/>
          <w:szCs w:val="32"/>
        </w:rPr>
      </w:pPr>
      <w:r>
        <w:rPr>
          <w:rFonts w:hint="eastAsia" w:ascii="宋体" w:hAnsi="宋体" w:eastAsia="宋体" w:cs="宋体"/>
          <w:sz w:val="32"/>
          <w:szCs w:val="32"/>
        </w:rPr>
        <w:br w:type="page"/>
      </w:r>
    </w:p>
    <w:p w14:paraId="5EE42D91">
      <w:pPr>
        <w:pStyle w:val="2"/>
        <w:ind w:right="440"/>
        <w:jc w:val="center"/>
        <w:rPr>
          <w:rStyle w:val="29"/>
          <w:rFonts w:hint="eastAsia" w:ascii="宋体" w:hAnsi="宋体" w:eastAsia="宋体" w:cs="宋体"/>
          <w:b w:val="0"/>
          <w:bCs/>
        </w:rPr>
      </w:pPr>
      <w:bookmarkStart w:id="16" w:name="_Toc15396602"/>
      <w:bookmarkStart w:id="17" w:name="_Toc15377204"/>
      <w:r>
        <w:rPr>
          <w:rFonts w:hint="eastAsia" w:ascii="宋体" w:hAnsi="宋体" w:eastAsia="宋体" w:cs="宋体"/>
          <w:b w:val="0"/>
        </w:rPr>
        <w:t>第二部分 2023年度</w:t>
      </w:r>
      <w:r>
        <w:rPr>
          <w:rStyle w:val="29"/>
          <w:rFonts w:hint="eastAsia" w:ascii="宋体" w:hAnsi="宋体" w:eastAsia="宋体" w:cs="宋体"/>
          <w:b w:val="0"/>
          <w:bCs/>
        </w:rPr>
        <w:t>单位决算情况说明</w:t>
      </w:r>
      <w:bookmarkEnd w:id="16"/>
      <w:bookmarkEnd w:id="17"/>
    </w:p>
    <w:p w14:paraId="6C8F2199">
      <w:pPr>
        <w:rPr>
          <w:rFonts w:hint="eastAsia" w:ascii="宋体" w:hAnsi="宋体" w:eastAsia="宋体" w:cs="宋体"/>
        </w:rPr>
      </w:pPr>
    </w:p>
    <w:p w14:paraId="598100B5">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outlineLvl w:val="1"/>
        <w:rPr>
          <w:rStyle w:val="30"/>
          <w:rFonts w:hint="eastAsia" w:ascii="宋体" w:hAnsi="宋体" w:eastAsia="宋体" w:cs="宋体"/>
          <w:b w:val="0"/>
        </w:rPr>
      </w:pPr>
      <w:bookmarkStart w:id="18" w:name="_Toc15377205"/>
      <w:bookmarkStart w:id="19" w:name="_Toc15396603"/>
      <w:r>
        <w:rPr>
          <w:rFonts w:hint="default" w:ascii="宋体" w:hAnsi="宋体" w:eastAsia="宋体" w:cs="宋体"/>
          <w:b w:val="0"/>
          <w:bCs/>
          <w:kern w:val="2"/>
          <w:sz w:val="32"/>
          <w:szCs w:val="32"/>
          <w:lang w:val="en-US" w:eastAsia="zh-CN" w:bidi="ar-SA"/>
        </w:rPr>
        <w:t>一、</w:t>
      </w:r>
      <w:r>
        <w:rPr>
          <w:rFonts w:hint="eastAsia" w:ascii="宋体" w:hAnsi="宋体" w:eastAsia="宋体" w:cs="宋体"/>
          <w:sz w:val="32"/>
          <w:szCs w:val="32"/>
        </w:rPr>
        <w:t>收</w:t>
      </w:r>
      <w:r>
        <w:rPr>
          <w:rStyle w:val="30"/>
          <w:rFonts w:hint="eastAsia" w:ascii="宋体" w:hAnsi="宋体" w:eastAsia="宋体" w:cs="宋体"/>
          <w:b w:val="0"/>
        </w:rPr>
        <w:t>入支出决算总体情况说明</w:t>
      </w:r>
      <w:bookmarkEnd w:id="18"/>
      <w:bookmarkEnd w:id="19"/>
    </w:p>
    <w:p w14:paraId="2CB9CB79">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eastAsia" w:ascii="宋体" w:hAnsi="宋体" w:eastAsia="宋体" w:cs="宋体"/>
          <w:color w:val="FF0000"/>
          <w:sz w:val="32"/>
          <w:szCs w:val="32"/>
          <w:lang w:val="en-US"/>
        </w:rPr>
      </w:pPr>
      <w:r>
        <w:rPr>
          <w:rFonts w:hint="eastAsia" w:ascii="宋体" w:hAnsi="宋体" w:eastAsia="宋体" w:cs="宋体"/>
          <w:color w:val="000000" w:themeColor="text1"/>
          <w:sz w:val="32"/>
          <w:szCs w:val="32"/>
          <w14:textFill>
            <w14:solidFill>
              <w14:schemeClr w14:val="tx1"/>
            </w14:solidFill>
          </w14:textFill>
        </w:rPr>
        <w:t>2023年度收、支总计均为</w:t>
      </w:r>
      <w:r>
        <w:rPr>
          <w:rFonts w:hint="eastAsia" w:ascii="宋体" w:hAnsi="宋体" w:eastAsia="宋体" w:cs="宋体"/>
          <w:b/>
          <w:color w:val="000000" w:themeColor="text1"/>
          <w:sz w:val="32"/>
          <w:szCs w:val="32"/>
          <w14:textFill>
            <w14:solidFill>
              <w14:schemeClr w14:val="tx1"/>
            </w14:solidFill>
          </w14:textFill>
        </w:rPr>
        <w:t>166.41</w:t>
      </w:r>
      <w:r>
        <w:rPr>
          <w:rFonts w:hint="eastAsia" w:ascii="宋体" w:hAnsi="宋体" w:eastAsia="宋体" w:cs="宋体"/>
          <w:color w:val="000000" w:themeColor="text1"/>
          <w:sz w:val="32"/>
          <w:szCs w:val="32"/>
          <w14:textFill>
            <w14:solidFill>
              <w14:schemeClr w14:val="tx1"/>
            </w14:solidFill>
          </w14:textFill>
        </w:rPr>
        <w:t>万元。与2022年度相比，收、支总计各增加</w:t>
      </w:r>
      <w:r>
        <w:rPr>
          <w:rFonts w:hint="eastAsia" w:ascii="宋体" w:hAnsi="宋体" w:eastAsia="宋体" w:cs="宋体"/>
          <w:color w:val="000000" w:themeColor="text1"/>
          <w:sz w:val="32"/>
          <w:szCs w:val="32"/>
          <w:lang w:val="en-US" w:eastAsia="zh-CN"/>
          <w14:textFill>
            <w14:solidFill>
              <w14:schemeClr w14:val="tx1"/>
            </w14:solidFill>
          </w14:textFill>
        </w:rPr>
        <w:t>166.41</w:t>
      </w:r>
      <w:r>
        <w:rPr>
          <w:rFonts w:hint="eastAsia" w:ascii="宋体" w:hAnsi="宋体" w:eastAsia="宋体" w:cs="宋体"/>
          <w:color w:val="000000" w:themeColor="text1"/>
          <w:sz w:val="32"/>
          <w:szCs w:val="32"/>
          <w14:textFill>
            <w14:solidFill>
              <w14:schemeClr w14:val="tx1"/>
            </w14:solidFill>
          </w14:textFill>
        </w:rPr>
        <w:t>万元，增长</w:t>
      </w:r>
      <w:r>
        <w:rPr>
          <w:rFonts w:hint="eastAsia" w:ascii="宋体" w:hAnsi="宋体" w:eastAsia="宋体" w:cs="宋体"/>
          <w:color w:val="000000" w:themeColor="text1"/>
          <w:sz w:val="32"/>
          <w:szCs w:val="32"/>
          <w:lang w:val="en-US" w:eastAsia="zh-CN"/>
          <w14:textFill>
            <w14:solidFill>
              <w14:schemeClr w14:val="tx1"/>
            </w14:solidFill>
          </w14:textFill>
        </w:rPr>
        <w:t>100</w:t>
      </w:r>
      <w:r>
        <w:rPr>
          <w:rFonts w:hint="eastAsia" w:ascii="宋体" w:hAnsi="宋体" w:eastAsia="宋体" w:cs="宋体"/>
          <w:color w:val="000000" w:themeColor="text1"/>
          <w:sz w:val="32"/>
          <w:szCs w:val="32"/>
          <w14:textFill>
            <w14:solidFill>
              <w14:schemeClr w14:val="tx1"/>
            </w14:solidFill>
          </w14:textFill>
        </w:rPr>
        <w:t>%。主要变动原因</w:t>
      </w:r>
      <w:r>
        <w:rPr>
          <w:rFonts w:hint="eastAsia" w:ascii="宋体" w:hAnsi="宋体" w:eastAsia="宋体" w:cs="宋体"/>
          <w:color w:val="000000" w:themeColor="text1"/>
          <w:sz w:val="32"/>
          <w:szCs w:val="32"/>
          <w:lang w:val="en-US" w:eastAsia="zh-CN"/>
          <w14:textFill>
            <w14:solidFill>
              <w14:schemeClr w14:val="tx1"/>
            </w14:solidFill>
          </w14:textFill>
        </w:rPr>
        <w:t>是本单位2022年决算是合并到四川五通桥经济开发区管委会中</w:t>
      </w:r>
      <w:r>
        <w:rPr>
          <w:rFonts w:hint="eastAsia" w:ascii="宋体" w:hAnsi="宋体" w:eastAsia="宋体" w:cs="宋体"/>
          <w:color w:val="000000" w:themeColor="text1"/>
          <w:sz w:val="32"/>
          <w:szCs w:val="32"/>
          <w14:textFill>
            <w14:solidFill>
              <w14:schemeClr w14:val="tx1"/>
            </w14:solidFill>
          </w14:textFill>
        </w:rPr>
        <w:t>。</w:t>
      </w:r>
      <w:r>
        <w:rPr>
          <w:rFonts w:hint="eastAsia" w:ascii="宋体" w:hAnsi="宋体" w:eastAsia="宋体" w:cs="宋体"/>
          <w:color w:val="000000" w:themeColor="text1"/>
          <w:sz w:val="32"/>
          <w:szCs w:val="32"/>
          <w:lang w:val="en-US" w:eastAsia="zh-CN"/>
          <w14:textFill>
            <w14:solidFill>
              <w14:schemeClr w14:val="tx1"/>
            </w14:solidFill>
          </w14:textFill>
        </w:rPr>
        <w:t>所以</w:t>
      </w:r>
      <w:r>
        <w:rPr>
          <w:rFonts w:hint="eastAsia" w:ascii="宋体" w:hAnsi="宋体" w:eastAsia="宋体" w:cs="宋体"/>
          <w:color w:val="000000" w:themeColor="text1"/>
          <w:sz w:val="28"/>
          <w:szCs w:val="28"/>
          <w:lang w:val="en-US" w:eastAsia="zh-CN"/>
          <w14:textFill>
            <w14:solidFill>
              <w14:schemeClr w14:val="tx1"/>
            </w14:solidFill>
          </w14:textFill>
        </w:rPr>
        <w:t>五通桥区工业基地服务中心没有上年数</w:t>
      </w:r>
      <w:r>
        <w:rPr>
          <w:rFonts w:hint="eastAsia" w:ascii="宋体" w:hAnsi="宋体" w:eastAsia="宋体" w:cs="宋体"/>
          <w:color w:val="000000"/>
          <w:sz w:val="28"/>
          <w:szCs w:val="28"/>
          <w:lang w:val="en-US" w:eastAsia="zh-CN"/>
        </w:rPr>
        <w:t>。</w:t>
      </w:r>
    </w:p>
    <w:p w14:paraId="10B15240">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eastAsia" w:ascii="宋体" w:hAnsi="宋体" w:eastAsia="宋体" w:cs="宋体"/>
          <w:sz w:val="32"/>
          <w:szCs w:val="32"/>
        </w:rPr>
      </w:pPr>
    </w:p>
    <w:p w14:paraId="587D8D77">
      <w:pPr>
        <w:spacing w:line="600" w:lineRule="exact"/>
        <w:ind w:firstLine="420" w:firstLineChars="200"/>
        <w:jc w:val="left"/>
        <w:rPr>
          <w:rFonts w:hint="eastAsia" w:ascii="宋体" w:hAnsi="宋体" w:eastAsia="宋体" w:cs="宋体"/>
          <w:sz w:val="32"/>
          <w:szCs w:val="32"/>
        </w:rPr>
      </w:pPr>
      <w:r>
        <w:rPr>
          <w:rFonts w:hint="eastAsia" w:ascii="宋体" w:hAnsi="宋体" w:eastAsia="宋体" w:cs="宋体"/>
        </w:rPr>
        <w:drawing>
          <wp:anchor distT="0" distB="0" distL="114300" distR="114300" simplePos="0" relativeHeight="251659264" behindDoc="1" locked="0" layoutInCell="1" allowOverlap="1">
            <wp:simplePos x="0" y="0"/>
            <wp:positionH relativeFrom="column">
              <wp:posOffset>104775</wp:posOffset>
            </wp:positionH>
            <wp:positionV relativeFrom="paragraph">
              <wp:posOffset>304800</wp:posOffset>
            </wp:positionV>
            <wp:extent cx="5070475" cy="2783840"/>
            <wp:effectExtent l="4445" t="4445" r="11430" b="12065"/>
            <wp:wrapNone/>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14:paraId="3D2F122F">
      <w:pPr>
        <w:pStyle w:val="15"/>
        <w:rPr>
          <w:rFonts w:hint="eastAsia" w:ascii="宋体" w:hAnsi="宋体" w:eastAsia="宋体" w:cs="宋体"/>
          <w:sz w:val="32"/>
          <w:szCs w:val="32"/>
        </w:rPr>
      </w:pPr>
    </w:p>
    <w:p w14:paraId="7694B12A">
      <w:pPr>
        <w:pStyle w:val="6"/>
        <w:rPr>
          <w:rFonts w:hint="eastAsia" w:ascii="宋体" w:hAnsi="宋体" w:eastAsia="宋体" w:cs="宋体"/>
          <w:sz w:val="32"/>
          <w:szCs w:val="32"/>
        </w:rPr>
      </w:pPr>
    </w:p>
    <w:p w14:paraId="3C930137">
      <w:pPr>
        <w:pStyle w:val="6"/>
        <w:rPr>
          <w:rFonts w:hint="eastAsia" w:ascii="宋体" w:hAnsi="宋体" w:eastAsia="宋体" w:cs="宋体"/>
          <w:sz w:val="32"/>
          <w:szCs w:val="32"/>
        </w:rPr>
      </w:pPr>
    </w:p>
    <w:p w14:paraId="25C226B0">
      <w:pPr>
        <w:pStyle w:val="6"/>
        <w:rPr>
          <w:rFonts w:hint="eastAsia" w:ascii="宋体" w:hAnsi="宋体" w:eastAsia="宋体" w:cs="宋体"/>
          <w:sz w:val="32"/>
          <w:szCs w:val="32"/>
        </w:rPr>
      </w:pPr>
    </w:p>
    <w:p w14:paraId="4D6D0337">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outlineLvl w:val="1"/>
        <w:rPr>
          <w:rFonts w:hint="default" w:ascii="宋体" w:hAnsi="宋体" w:eastAsia="宋体" w:cs="宋体"/>
          <w:b w:val="0"/>
          <w:bCs/>
          <w:kern w:val="2"/>
          <w:sz w:val="32"/>
          <w:szCs w:val="32"/>
          <w:lang w:val="en-US" w:eastAsia="zh-CN" w:bidi="ar-SA"/>
        </w:rPr>
      </w:pPr>
      <w:bookmarkStart w:id="20" w:name="_Toc15396604"/>
      <w:bookmarkStart w:id="21" w:name="_Toc15377206"/>
    </w:p>
    <w:p w14:paraId="58EF2F03">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outlineLvl w:val="1"/>
        <w:rPr>
          <w:rFonts w:hint="default" w:ascii="宋体" w:hAnsi="宋体" w:eastAsia="宋体" w:cs="宋体"/>
          <w:b w:val="0"/>
          <w:bCs/>
          <w:kern w:val="2"/>
          <w:sz w:val="32"/>
          <w:szCs w:val="32"/>
          <w:lang w:val="en-US" w:eastAsia="zh-CN" w:bidi="ar-SA"/>
        </w:rPr>
      </w:pPr>
    </w:p>
    <w:p w14:paraId="6BBA5FB7">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outlineLvl w:val="1"/>
        <w:rPr>
          <w:rFonts w:hint="default" w:ascii="宋体" w:hAnsi="宋体" w:eastAsia="宋体" w:cs="宋体"/>
          <w:b w:val="0"/>
          <w:bCs/>
          <w:kern w:val="2"/>
          <w:sz w:val="32"/>
          <w:szCs w:val="32"/>
          <w:lang w:val="en-US" w:eastAsia="zh-CN" w:bidi="ar-SA"/>
        </w:rPr>
      </w:pPr>
    </w:p>
    <w:p w14:paraId="2135E165">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outlineLvl w:val="1"/>
        <w:rPr>
          <w:rStyle w:val="30"/>
          <w:rFonts w:hint="eastAsia" w:ascii="宋体" w:hAnsi="宋体" w:eastAsia="宋体" w:cs="宋体"/>
          <w:b w:val="0"/>
        </w:rPr>
      </w:pPr>
      <w:r>
        <w:rPr>
          <w:rFonts w:hint="default" w:ascii="宋体" w:hAnsi="宋体" w:eastAsia="宋体" w:cs="宋体"/>
          <w:b w:val="0"/>
          <w:bCs/>
          <w:kern w:val="2"/>
          <w:sz w:val="32"/>
          <w:szCs w:val="32"/>
          <w:lang w:val="en-US" w:eastAsia="zh-CN" w:bidi="ar-SA"/>
        </w:rPr>
        <w:t>二、</w:t>
      </w:r>
      <w:r>
        <w:rPr>
          <w:rFonts w:hint="eastAsia" w:ascii="宋体" w:hAnsi="宋体" w:eastAsia="宋体" w:cs="宋体"/>
          <w:sz w:val="32"/>
          <w:szCs w:val="32"/>
        </w:rPr>
        <w:t>收</w:t>
      </w:r>
      <w:r>
        <w:rPr>
          <w:rStyle w:val="30"/>
          <w:rFonts w:hint="eastAsia" w:ascii="宋体" w:hAnsi="宋体" w:eastAsia="宋体" w:cs="宋体"/>
          <w:b w:val="0"/>
        </w:rPr>
        <w:t>入决算情况说明</w:t>
      </w:r>
      <w:bookmarkEnd w:id="20"/>
      <w:bookmarkEnd w:id="21"/>
    </w:p>
    <w:p w14:paraId="13D51488">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outlineLvl w:val="1"/>
        <w:rPr>
          <w:rFonts w:hint="eastAsia" w:ascii="宋体" w:hAnsi="宋体" w:eastAsia="宋体" w:cs="宋体"/>
          <w:sz w:val="32"/>
          <w:szCs w:val="32"/>
        </w:rPr>
      </w:pPr>
      <w:r>
        <w:rPr>
          <w:rFonts w:hint="eastAsia" w:ascii="宋体" w:hAnsi="宋体" w:eastAsia="宋体" w:cs="宋体"/>
          <w:sz w:val="32"/>
          <w:szCs w:val="32"/>
        </w:rPr>
        <w:t>2023年度本年收入合计</w:t>
      </w:r>
      <w:r>
        <w:rPr>
          <w:rFonts w:hint="eastAsia" w:ascii="宋体" w:hAnsi="宋体" w:eastAsia="宋体" w:cs="宋体"/>
          <w:b/>
          <w:sz w:val="32"/>
          <w:szCs w:val="32"/>
        </w:rPr>
        <w:t>166.41</w:t>
      </w:r>
      <w:r>
        <w:rPr>
          <w:rFonts w:hint="eastAsia" w:ascii="宋体" w:hAnsi="宋体" w:eastAsia="宋体" w:cs="宋体"/>
          <w:sz w:val="32"/>
          <w:szCs w:val="32"/>
        </w:rPr>
        <w:t>万元，其中：一般公共预算财政拨款收入</w:t>
      </w:r>
      <w:r>
        <w:rPr>
          <w:rFonts w:hint="eastAsia" w:ascii="宋体" w:hAnsi="宋体" w:eastAsia="宋体" w:cs="宋体"/>
          <w:b/>
          <w:sz w:val="32"/>
          <w:szCs w:val="32"/>
        </w:rPr>
        <w:t>166.41</w:t>
      </w:r>
      <w:r>
        <w:rPr>
          <w:rFonts w:hint="eastAsia" w:ascii="宋体" w:hAnsi="宋体" w:eastAsia="宋体" w:cs="宋体"/>
          <w:sz w:val="32"/>
          <w:szCs w:val="32"/>
        </w:rPr>
        <w:t>万元，占</w:t>
      </w:r>
      <w:r>
        <w:rPr>
          <w:rFonts w:hint="eastAsia" w:ascii="宋体" w:hAnsi="宋体" w:eastAsia="宋体" w:cs="宋体"/>
          <w:b/>
          <w:sz w:val="32"/>
          <w:szCs w:val="32"/>
        </w:rPr>
        <w:t>100%</w:t>
      </w:r>
      <w:r>
        <w:rPr>
          <w:rFonts w:hint="eastAsia" w:ascii="宋体" w:hAnsi="宋体" w:eastAsia="宋体" w:cs="宋体"/>
          <w:sz w:val="32"/>
          <w:szCs w:val="32"/>
        </w:rPr>
        <w:t>；</w:t>
      </w:r>
    </w:p>
    <w:p w14:paraId="1350AF4B">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eastAsia" w:ascii="宋体" w:hAnsi="宋体" w:eastAsia="宋体" w:cs="宋体"/>
          <w:sz w:val="32"/>
          <w:szCs w:val="32"/>
        </w:rPr>
      </w:pPr>
    </w:p>
    <w:p w14:paraId="095EB5E2">
      <w:pPr>
        <w:spacing w:line="600" w:lineRule="exact"/>
        <w:ind w:firstLine="640" w:firstLineChars="200"/>
        <w:rPr>
          <w:rFonts w:hint="eastAsia" w:ascii="宋体" w:hAnsi="宋体" w:eastAsia="宋体" w:cs="宋体"/>
          <w:sz w:val="32"/>
          <w:szCs w:val="32"/>
        </w:rPr>
      </w:pPr>
    </w:p>
    <w:p w14:paraId="35B506F9">
      <w:pPr>
        <w:pStyle w:val="15"/>
        <w:rPr>
          <w:rFonts w:hint="eastAsia" w:ascii="宋体" w:hAnsi="宋体" w:eastAsia="宋体" w:cs="宋体"/>
          <w:sz w:val="32"/>
          <w:szCs w:val="32"/>
        </w:rPr>
      </w:pPr>
    </w:p>
    <w:p w14:paraId="4600427D">
      <w:pPr>
        <w:pStyle w:val="6"/>
        <w:rPr>
          <w:rFonts w:hint="eastAsia" w:ascii="宋体" w:hAnsi="宋体" w:eastAsia="宋体" w:cs="宋体"/>
          <w:sz w:val="32"/>
          <w:szCs w:val="32"/>
        </w:rPr>
      </w:pPr>
      <w:r>
        <w:rPr>
          <w:rFonts w:hint="eastAsia" w:ascii="宋体" w:hAnsi="宋体" w:eastAsia="宋体" w:cs="宋体"/>
        </w:rPr>
        <w:drawing>
          <wp:anchor distT="0" distB="0" distL="114300" distR="114300" simplePos="0" relativeHeight="251660288" behindDoc="1" locked="0" layoutInCell="1" allowOverlap="1">
            <wp:simplePos x="0" y="0"/>
            <wp:positionH relativeFrom="column">
              <wp:posOffset>180975</wp:posOffset>
            </wp:positionH>
            <wp:positionV relativeFrom="paragraph">
              <wp:posOffset>198755</wp:posOffset>
            </wp:positionV>
            <wp:extent cx="5008245" cy="2698115"/>
            <wp:effectExtent l="4445" t="4445" r="16510" b="21590"/>
            <wp:wrapNone/>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14:paraId="4223C323">
      <w:pPr>
        <w:pStyle w:val="6"/>
        <w:rPr>
          <w:rFonts w:hint="eastAsia" w:ascii="宋体" w:hAnsi="宋体" w:eastAsia="宋体" w:cs="宋体"/>
          <w:sz w:val="32"/>
          <w:szCs w:val="32"/>
        </w:rPr>
      </w:pPr>
    </w:p>
    <w:p w14:paraId="2808A3D6">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outlineLvl w:val="1"/>
        <w:rPr>
          <w:rFonts w:hint="default" w:ascii="宋体" w:hAnsi="宋体" w:eastAsia="宋体" w:cs="宋体"/>
          <w:b w:val="0"/>
          <w:bCs/>
          <w:kern w:val="2"/>
          <w:sz w:val="32"/>
          <w:szCs w:val="32"/>
          <w:lang w:val="en-US" w:eastAsia="zh-CN" w:bidi="ar-SA"/>
        </w:rPr>
      </w:pPr>
      <w:bookmarkStart w:id="22" w:name="_Toc15377207"/>
      <w:bookmarkStart w:id="23" w:name="_Toc15396605"/>
    </w:p>
    <w:p w14:paraId="3280830F">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outlineLvl w:val="1"/>
        <w:rPr>
          <w:rFonts w:hint="default" w:ascii="宋体" w:hAnsi="宋体" w:eastAsia="宋体" w:cs="宋体"/>
          <w:b w:val="0"/>
          <w:bCs/>
          <w:kern w:val="2"/>
          <w:sz w:val="32"/>
          <w:szCs w:val="32"/>
          <w:lang w:val="en-US" w:eastAsia="zh-CN" w:bidi="ar-SA"/>
        </w:rPr>
      </w:pPr>
    </w:p>
    <w:p w14:paraId="04A4CC2E">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outlineLvl w:val="1"/>
        <w:rPr>
          <w:rFonts w:hint="default" w:ascii="宋体" w:hAnsi="宋体" w:eastAsia="宋体" w:cs="宋体"/>
          <w:b w:val="0"/>
          <w:bCs/>
          <w:kern w:val="2"/>
          <w:sz w:val="32"/>
          <w:szCs w:val="32"/>
          <w:lang w:val="en-US" w:eastAsia="zh-CN" w:bidi="ar-SA"/>
        </w:rPr>
      </w:pPr>
    </w:p>
    <w:p w14:paraId="5CFEA0D6">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outlineLvl w:val="1"/>
        <w:rPr>
          <w:rFonts w:hint="default" w:ascii="宋体" w:hAnsi="宋体" w:eastAsia="宋体" w:cs="宋体"/>
          <w:b w:val="0"/>
          <w:bCs/>
          <w:kern w:val="2"/>
          <w:sz w:val="32"/>
          <w:szCs w:val="32"/>
          <w:lang w:val="en-US" w:eastAsia="zh-CN" w:bidi="ar-SA"/>
        </w:rPr>
      </w:pPr>
    </w:p>
    <w:p w14:paraId="79D257DB">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outlineLvl w:val="1"/>
        <w:rPr>
          <w:rFonts w:hint="default" w:ascii="宋体" w:hAnsi="宋体" w:eastAsia="宋体" w:cs="宋体"/>
          <w:b w:val="0"/>
          <w:bCs/>
          <w:kern w:val="2"/>
          <w:sz w:val="32"/>
          <w:szCs w:val="32"/>
          <w:lang w:val="en-US" w:eastAsia="zh-CN" w:bidi="ar-SA"/>
        </w:rPr>
      </w:pPr>
    </w:p>
    <w:p w14:paraId="15F6D916">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outlineLvl w:val="1"/>
        <w:rPr>
          <w:rFonts w:hint="default" w:ascii="宋体" w:hAnsi="宋体" w:eastAsia="宋体" w:cs="宋体"/>
          <w:b w:val="0"/>
          <w:bCs/>
          <w:kern w:val="2"/>
          <w:sz w:val="32"/>
          <w:szCs w:val="32"/>
          <w:lang w:val="en-US" w:eastAsia="zh-CN" w:bidi="ar-SA"/>
        </w:rPr>
      </w:pPr>
    </w:p>
    <w:p w14:paraId="76F5ACEA">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outlineLvl w:val="1"/>
        <w:rPr>
          <w:rStyle w:val="30"/>
          <w:rFonts w:hint="eastAsia" w:ascii="宋体" w:hAnsi="宋体" w:eastAsia="宋体" w:cs="宋体"/>
          <w:b w:val="0"/>
        </w:rPr>
      </w:pPr>
      <w:r>
        <w:rPr>
          <w:rFonts w:hint="default" w:ascii="宋体" w:hAnsi="宋体" w:eastAsia="宋体" w:cs="宋体"/>
          <w:b w:val="0"/>
          <w:bCs/>
          <w:kern w:val="2"/>
          <w:sz w:val="32"/>
          <w:szCs w:val="32"/>
          <w:lang w:val="en-US" w:eastAsia="zh-CN" w:bidi="ar-SA"/>
        </w:rPr>
        <w:t>三、</w:t>
      </w:r>
      <w:r>
        <w:rPr>
          <w:rFonts w:hint="eastAsia" w:ascii="宋体" w:hAnsi="宋体" w:eastAsia="宋体" w:cs="宋体"/>
          <w:sz w:val="32"/>
          <w:szCs w:val="32"/>
        </w:rPr>
        <w:t>支</w:t>
      </w:r>
      <w:r>
        <w:rPr>
          <w:rStyle w:val="30"/>
          <w:rFonts w:hint="eastAsia" w:ascii="宋体" w:hAnsi="宋体" w:eastAsia="宋体" w:cs="宋体"/>
          <w:b w:val="0"/>
        </w:rPr>
        <w:t>出决算情况说明</w:t>
      </w:r>
      <w:bookmarkEnd w:id="22"/>
      <w:bookmarkEnd w:id="23"/>
    </w:p>
    <w:p w14:paraId="0E4F10F2">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outlineLvl w:val="1"/>
        <w:rPr>
          <w:rFonts w:hint="eastAsia" w:ascii="宋体" w:hAnsi="宋体" w:eastAsia="宋体" w:cs="宋体"/>
          <w:sz w:val="32"/>
          <w:szCs w:val="32"/>
          <w:shd w:val="pct10" w:color="auto" w:fill="FFFFFF"/>
        </w:rPr>
      </w:pPr>
      <w:r>
        <w:rPr>
          <w:rFonts w:hint="eastAsia" w:ascii="宋体" w:hAnsi="宋体" w:eastAsia="宋体" w:cs="宋体"/>
          <w:sz w:val="32"/>
          <w:szCs w:val="32"/>
        </w:rPr>
        <w:t>2023年度本年支出合计</w:t>
      </w:r>
      <w:r>
        <w:rPr>
          <w:rFonts w:hint="eastAsia" w:ascii="宋体" w:hAnsi="宋体" w:eastAsia="宋体" w:cs="宋体"/>
          <w:b/>
          <w:sz w:val="32"/>
          <w:szCs w:val="32"/>
        </w:rPr>
        <w:t>166.41</w:t>
      </w:r>
      <w:r>
        <w:rPr>
          <w:rFonts w:hint="eastAsia" w:ascii="宋体" w:hAnsi="宋体" w:eastAsia="宋体" w:cs="宋体"/>
          <w:sz w:val="32"/>
          <w:szCs w:val="32"/>
        </w:rPr>
        <w:t>万元，其中：基本支出</w:t>
      </w:r>
      <w:r>
        <w:rPr>
          <w:rFonts w:hint="eastAsia" w:ascii="宋体" w:hAnsi="宋体" w:eastAsia="宋体" w:cs="宋体"/>
          <w:b/>
          <w:sz w:val="32"/>
          <w:szCs w:val="32"/>
        </w:rPr>
        <w:t>166.41</w:t>
      </w:r>
      <w:r>
        <w:rPr>
          <w:rFonts w:hint="eastAsia" w:ascii="宋体" w:hAnsi="宋体" w:eastAsia="宋体" w:cs="宋体"/>
          <w:sz w:val="32"/>
          <w:szCs w:val="32"/>
        </w:rPr>
        <w:t>万元，占</w:t>
      </w:r>
      <w:r>
        <w:rPr>
          <w:rFonts w:hint="eastAsia" w:ascii="宋体" w:hAnsi="宋体" w:eastAsia="宋体" w:cs="宋体"/>
          <w:b/>
          <w:sz w:val="32"/>
          <w:szCs w:val="32"/>
        </w:rPr>
        <w:t>100</w:t>
      </w:r>
      <w:r>
        <w:rPr>
          <w:rFonts w:hint="eastAsia" w:ascii="宋体" w:hAnsi="宋体" w:eastAsia="宋体" w:cs="宋体"/>
          <w:sz w:val="32"/>
          <w:szCs w:val="32"/>
        </w:rPr>
        <w:t>%；</w:t>
      </w:r>
    </w:p>
    <w:p w14:paraId="2DFBDA3A">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eastAsia" w:ascii="宋体" w:hAnsi="宋体" w:eastAsia="宋体" w:cs="宋体"/>
          <w:sz w:val="32"/>
          <w:szCs w:val="32"/>
        </w:rPr>
      </w:pPr>
    </w:p>
    <w:p w14:paraId="05E54251">
      <w:pPr>
        <w:spacing w:line="600" w:lineRule="exact"/>
        <w:ind w:firstLine="420" w:firstLineChars="200"/>
        <w:rPr>
          <w:rFonts w:hint="eastAsia" w:ascii="宋体" w:hAnsi="宋体" w:eastAsia="宋体" w:cs="宋体"/>
          <w:sz w:val="32"/>
          <w:szCs w:val="32"/>
        </w:rPr>
      </w:pPr>
      <w:r>
        <w:rPr>
          <w:rFonts w:hint="eastAsia" w:ascii="宋体" w:hAnsi="宋体" w:eastAsia="宋体" w:cs="宋体"/>
        </w:rPr>
        <w:drawing>
          <wp:anchor distT="0" distB="0" distL="114300" distR="114300" simplePos="0" relativeHeight="251661312" behindDoc="1" locked="0" layoutInCell="1" allowOverlap="1">
            <wp:simplePos x="0" y="0"/>
            <wp:positionH relativeFrom="column">
              <wp:posOffset>238760</wp:posOffset>
            </wp:positionH>
            <wp:positionV relativeFrom="paragraph">
              <wp:posOffset>107950</wp:posOffset>
            </wp:positionV>
            <wp:extent cx="4935220" cy="2985135"/>
            <wp:effectExtent l="4445" t="4445" r="13335" b="20320"/>
            <wp:wrapNone/>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14:paraId="1CBCFE86">
      <w:pPr>
        <w:pStyle w:val="15"/>
        <w:rPr>
          <w:rFonts w:hint="eastAsia" w:ascii="宋体" w:hAnsi="宋体" w:eastAsia="宋体" w:cs="宋体"/>
          <w:sz w:val="32"/>
          <w:szCs w:val="32"/>
        </w:rPr>
      </w:pPr>
    </w:p>
    <w:p w14:paraId="281DF871">
      <w:pPr>
        <w:pStyle w:val="6"/>
        <w:rPr>
          <w:rFonts w:hint="eastAsia" w:ascii="宋体" w:hAnsi="宋体" w:eastAsia="宋体" w:cs="宋体"/>
          <w:sz w:val="32"/>
          <w:szCs w:val="32"/>
        </w:rPr>
      </w:pPr>
    </w:p>
    <w:p w14:paraId="240290FC">
      <w:pPr>
        <w:pStyle w:val="6"/>
        <w:rPr>
          <w:rFonts w:hint="eastAsia" w:ascii="宋体" w:hAnsi="宋体" w:eastAsia="宋体" w:cs="宋体"/>
          <w:sz w:val="32"/>
          <w:szCs w:val="32"/>
        </w:rPr>
      </w:pPr>
    </w:p>
    <w:p w14:paraId="1305C4C8">
      <w:pPr>
        <w:pStyle w:val="6"/>
        <w:rPr>
          <w:rFonts w:hint="eastAsia" w:ascii="宋体" w:hAnsi="宋体" w:eastAsia="宋体" w:cs="宋体"/>
          <w:sz w:val="32"/>
          <w:szCs w:val="32"/>
        </w:rPr>
      </w:pPr>
    </w:p>
    <w:p w14:paraId="0DD8191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1"/>
        <w:rPr>
          <w:rFonts w:hint="eastAsia" w:ascii="宋体" w:hAnsi="宋体" w:eastAsia="宋体" w:cs="宋体"/>
          <w:sz w:val="32"/>
          <w:szCs w:val="32"/>
        </w:rPr>
      </w:pPr>
      <w:bookmarkStart w:id="24" w:name="_Toc15396606"/>
      <w:bookmarkStart w:id="25" w:name="_Toc15377208"/>
    </w:p>
    <w:p w14:paraId="08898F6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1"/>
        <w:rPr>
          <w:rFonts w:hint="eastAsia" w:ascii="宋体" w:hAnsi="宋体" w:eastAsia="宋体" w:cs="宋体"/>
          <w:sz w:val="32"/>
          <w:szCs w:val="32"/>
        </w:rPr>
      </w:pPr>
    </w:p>
    <w:p w14:paraId="109E405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1"/>
        <w:rPr>
          <w:rFonts w:hint="eastAsia" w:ascii="宋体" w:hAnsi="宋体" w:eastAsia="宋体" w:cs="宋体"/>
          <w:sz w:val="32"/>
          <w:szCs w:val="32"/>
        </w:rPr>
      </w:pPr>
    </w:p>
    <w:p w14:paraId="7D79B0C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1"/>
        <w:rPr>
          <w:rStyle w:val="30"/>
          <w:rFonts w:hint="eastAsia" w:ascii="宋体" w:hAnsi="宋体" w:eastAsia="宋体" w:cs="宋体"/>
          <w:b w:val="0"/>
        </w:rPr>
      </w:pPr>
      <w:r>
        <w:rPr>
          <w:rFonts w:hint="eastAsia" w:ascii="宋体" w:hAnsi="宋体" w:eastAsia="宋体" w:cs="宋体"/>
          <w:sz w:val="32"/>
          <w:szCs w:val="32"/>
        </w:rPr>
        <w:t>四、财</w:t>
      </w:r>
      <w:r>
        <w:rPr>
          <w:rStyle w:val="30"/>
          <w:rFonts w:hint="eastAsia" w:ascii="宋体" w:hAnsi="宋体" w:eastAsia="宋体" w:cs="宋体"/>
          <w:b w:val="0"/>
        </w:rPr>
        <w:t>政拨款收入支出决算总体情况说明</w:t>
      </w:r>
      <w:bookmarkEnd w:id="24"/>
      <w:bookmarkEnd w:id="25"/>
    </w:p>
    <w:p w14:paraId="0D796AD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2023年度财政拨款收、支总计均为</w:t>
      </w:r>
      <w:r>
        <w:rPr>
          <w:rFonts w:hint="eastAsia" w:ascii="宋体" w:hAnsi="宋体" w:eastAsia="宋体" w:cs="宋体"/>
          <w:b/>
          <w:sz w:val="32"/>
          <w:szCs w:val="32"/>
        </w:rPr>
        <w:t>166.41</w:t>
      </w:r>
      <w:r>
        <w:rPr>
          <w:rFonts w:hint="eastAsia" w:ascii="宋体" w:hAnsi="宋体" w:eastAsia="宋体" w:cs="宋体"/>
          <w:sz w:val="32"/>
          <w:szCs w:val="32"/>
        </w:rPr>
        <w:t>万元。与2022年度相比，财政拨款收、支总计各增加</w:t>
      </w:r>
      <w:r>
        <w:rPr>
          <w:rFonts w:hint="eastAsia" w:ascii="宋体" w:hAnsi="宋体" w:eastAsia="宋体" w:cs="宋体"/>
          <w:sz w:val="32"/>
          <w:szCs w:val="32"/>
          <w:lang w:val="en-US" w:eastAsia="zh-CN"/>
        </w:rPr>
        <w:t>166.41</w:t>
      </w:r>
      <w:r>
        <w:rPr>
          <w:rFonts w:hint="eastAsia" w:ascii="宋体" w:hAnsi="宋体" w:eastAsia="宋体" w:cs="宋体"/>
          <w:sz w:val="32"/>
          <w:szCs w:val="32"/>
        </w:rPr>
        <w:t>万元，增长</w:t>
      </w:r>
      <w:r>
        <w:rPr>
          <w:rFonts w:hint="eastAsia" w:ascii="宋体" w:hAnsi="宋体" w:eastAsia="宋体" w:cs="宋体"/>
          <w:sz w:val="32"/>
          <w:szCs w:val="32"/>
          <w:lang w:val="en-US" w:eastAsia="zh-CN"/>
        </w:rPr>
        <w:t>100</w:t>
      </w:r>
      <w:r>
        <w:rPr>
          <w:rFonts w:hint="eastAsia" w:ascii="宋体" w:hAnsi="宋体" w:eastAsia="宋体" w:cs="宋体"/>
          <w:sz w:val="32"/>
          <w:szCs w:val="32"/>
        </w:rPr>
        <w:t>%。</w:t>
      </w:r>
      <w:r>
        <w:rPr>
          <w:rFonts w:hint="eastAsia" w:ascii="宋体" w:hAnsi="宋体" w:eastAsia="宋体" w:cs="宋体"/>
          <w:color w:val="000000" w:themeColor="text1"/>
          <w:sz w:val="32"/>
          <w:szCs w:val="32"/>
          <w14:textFill>
            <w14:solidFill>
              <w14:schemeClr w14:val="tx1"/>
            </w14:solidFill>
          </w14:textFill>
        </w:rPr>
        <w:t>主要变动原因</w:t>
      </w:r>
      <w:r>
        <w:rPr>
          <w:rFonts w:hint="eastAsia" w:ascii="宋体" w:hAnsi="宋体" w:eastAsia="宋体" w:cs="宋体"/>
          <w:color w:val="000000" w:themeColor="text1"/>
          <w:sz w:val="32"/>
          <w:szCs w:val="32"/>
          <w:lang w:val="en-US" w:eastAsia="zh-CN"/>
          <w14:textFill>
            <w14:solidFill>
              <w14:schemeClr w14:val="tx1"/>
            </w14:solidFill>
          </w14:textFill>
        </w:rPr>
        <w:t>是本单位2022年决算是合并到四川五通桥经济开发区管委会中</w:t>
      </w:r>
      <w:r>
        <w:rPr>
          <w:rFonts w:hint="eastAsia" w:ascii="宋体" w:hAnsi="宋体" w:eastAsia="宋体" w:cs="宋体"/>
          <w:color w:val="000000" w:themeColor="text1"/>
          <w:sz w:val="32"/>
          <w:szCs w:val="32"/>
          <w14:textFill>
            <w14:solidFill>
              <w14:schemeClr w14:val="tx1"/>
            </w14:solidFill>
          </w14:textFill>
        </w:rPr>
        <w:t>。</w:t>
      </w:r>
      <w:r>
        <w:rPr>
          <w:rFonts w:hint="eastAsia" w:ascii="宋体" w:hAnsi="宋体" w:eastAsia="宋体" w:cs="宋体"/>
          <w:color w:val="000000" w:themeColor="text1"/>
          <w:sz w:val="32"/>
          <w:szCs w:val="32"/>
          <w:lang w:val="en-US" w:eastAsia="zh-CN"/>
          <w14:textFill>
            <w14:solidFill>
              <w14:schemeClr w14:val="tx1"/>
            </w14:solidFill>
          </w14:textFill>
        </w:rPr>
        <w:t>所以</w:t>
      </w:r>
      <w:r>
        <w:rPr>
          <w:rFonts w:hint="eastAsia" w:ascii="宋体" w:hAnsi="宋体" w:eastAsia="宋体" w:cs="宋体"/>
          <w:color w:val="000000" w:themeColor="text1"/>
          <w:sz w:val="28"/>
          <w:szCs w:val="28"/>
          <w:lang w:val="en-US" w:eastAsia="zh-CN"/>
          <w14:textFill>
            <w14:solidFill>
              <w14:schemeClr w14:val="tx1"/>
            </w14:solidFill>
          </w14:textFill>
        </w:rPr>
        <w:t>五通桥区工业基地服务中心没有上年数。</w:t>
      </w:r>
    </w:p>
    <w:p w14:paraId="6EDDA95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sz w:val="32"/>
          <w:szCs w:val="32"/>
          <w:highlight w:val="yellow"/>
        </w:rPr>
      </w:pPr>
    </w:p>
    <w:p w14:paraId="2F7BBA0B">
      <w:pPr>
        <w:spacing w:line="600" w:lineRule="exact"/>
        <w:ind w:firstLine="640"/>
        <w:rPr>
          <w:rFonts w:hint="eastAsia" w:ascii="宋体" w:hAnsi="宋体" w:eastAsia="宋体" w:cs="宋体"/>
          <w:b/>
          <w:sz w:val="32"/>
          <w:szCs w:val="32"/>
        </w:rPr>
      </w:pPr>
      <w:r>
        <w:rPr>
          <w:rFonts w:hint="eastAsia" w:ascii="宋体" w:hAnsi="宋体" w:eastAsia="宋体" w:cs="宋体"/>
        </w:rPr>
        <w:drawing>
          <wp:anchor distT="0" distB="0" distL="114300" distR="114300" simplePos="0" relativeHeight="251662336" behindDoc="1" locked="0" layoutInCell="1" allowOverlap="1">
            <wp:simplePos x="0" y="0"/>
            <wp:positionH relativeFrom="column">
              <wp:posOffset>179070</wp:posOffset>
            </wp:positionH>
            <wp:positionV relativeFrom="paragraph">
              <wp:posOffset>164465</wp:posOffset>
            </wp:positionV>
            <wp:extent cx="5280660" cy="3307080"/>
            <wp:effectExtent l="4445" t="4445" r="10795" b="22225"/>
            <wp:wrapNone/>
            <wp:docPr id="3"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14:paraId="3061B8B1">
      <w:pPr>
        <w:pStyle w:val="15"/>
        <w:rPr>
          <w:rFonts w:hint="eastAsia" w:ascii="宋体" w:hAnsi="宋体" w:eastAsia="宋体" w:cs="宋体"/>
          <w:b/>
          <w:sz w:val="32"/>
          <w:szCs w:val="32"/>
        </w:rPr>
      </w:pPr>
    </w:p>
    <w:p w14:paraId="67142B08">
      <w:pPr>
        <w:pStyle w:val="6"/>
        <w:rPr>
          <w:rFonts w:hint="eastAsia" w:ascii="宋体" w:hAnsi="宋体" w:eastAsia="宋体" w:cs="宋体"/>
          <w:b/>
          <w:sz w:val="32"/>
          <w:szCs w:val="32"/>
        </w:rPr>
      </w:pPr>
    </w:p>
    <w:p w14:paraId="2AD062DD">
      <w:pPr>
        <w:pStyle w:val="6"/>
        <w:rPr>
          <w:rFonts w:hint="eastAsia" w:ascii="宋体" w:hAnsi="宋体" w:eastAsia="宋体" w:cs="宋体"/>
          <w:b/>
          <w:sz w:val="32"/>
          <w:szCs w:val="32"/>
        </w:rPr>
      </w:pPr>
    </w:p>
    <w:p w14:paraId="207033F2">
      <w:pPr>
        <w:pStyle w:val="6"/>
        <w:rPr>
          <w:rFonts w:hint="eastAsia" w:ascii="宋体" w:hAnsi="宋体" w:eastAsia="宋体" w:cs="宋体"/>
          <w:b/>
          <w:sz w:val="32"/>
          <w:szCs w:val="32"/>
        </w:rPr>
      </w:pPr>
    </w:p>
    <w:p w14:paraId="691AE6A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1"/>
        <w:rPr>
          <w:rFonts w:hint="eastAsia" w:ascii="宋体" w:hAnsi="宋体" w:eastAsia="宋体" w:cs="宋体"/>
          <w:sz w:val="32"/>
          <w:szCs w:val="32"/>
        </w:rPr>
      </w:pPr>
      <w:bookmarkStart w:id="26" w:name="_Toc15396607"/>
      <w:bookmarkStart w:id="27" w:name="_Toc15377209"/>
    </w:p>
    <w:p w14:paraId="642286E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1"/>
        <w:rPr>
          <w:rFonts w:hint="eastAsia" w:ascii="宋体" w:hAnsi="宋体" w:eastAsia="宋体" w:cs="宋体"/>
          <w:sz w:val="32"/>
          <w:szCs w:val="32"/>
        </w:rPr>
      </w:pPr>
    </w:p>
    <w:p w14:paraId="6D8F817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1"/>
        <w:rPr>
          <w:rFonts w:hint="eastAsia" w:ascii="宋体" w:hAnsi="宋体" w:eastAsia="宋体" w:cs="宋体"/>
          <w:sz w:val="32"/>
          <w:szCs w:val="32"/>
        </w:rPr>
      </w:pPr>
    </w:p>
    <w:p w14:paraId="49DCDCA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1"/>
        <w:rPr>
          <w:rFonts w:hint="eastAsia" w:ascii="宋体" w:hAnsi="宋体" w:eastAsia="宋体" w:cs="宋体"/>
          <w:sz w:val="32"/>
          <w:szCs w:val="32"/>
        </w:rPr>
      </w:pPr>
    </w:p>
    <w:p w14:paraId="26C0EF3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1"/>
        <w:rPr>
          <w:rStyle w:val="30"/>
          <w:rFonts w:hint="eastAsia" w:ascii="宋体" w:hAnsi="宋体" w:eastAsia="宋体" w:cs="宋体"/>
          <w:b w:val="0"/>
        </w:rPr>
      </w:pPr>
      <w:r>
        <w:rPr>
          <w:rFonts w:hint="eastAsia" w:ascii="宋体" w:hAnsi="宋体" w:eastAsia="宋体" w:cs="宋体"/>
          <w:sz w:val="32"/>
          <w:szCs w:val="32"/>
        </w:rPr>
        <w:t>五、</w:t>
      </w:r>
      <w:r>
        <w:rPr>
          <w:rFonts w:hint="eastAsia" w:ascii="宋体" w:hAnsi="宋体" w:eastAsia="宋体" w:cs="宋体"/>
          <w:b/>
          <w:sz w:val="32"/>
          <w:szCs w:val="32"/>
        </w:rPr>
        <w:t>一</w:t>
      </w:r>
      <w:r>
        <w:rPr>
          <w:rStyle w:val="30"/>
          <w:rFonts w:hint="eastAsia" w:ascii="宋体" w:hAnsi="宋体" w:eastAsia="宋体" w:cs="宋体"/>
          <w:b w:val="0"/>
        </w:rPr>
        <w:t>般公共预算财政拨款支出决算情况说明</w:t>
      </w:r>
      <w:bookmarkEnd w:id="26"/>
      <w:bookmarkEnd w:id="27"/>
    </w:p>
    <w:p w14:paraId="2335F84D">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outlineLvl w:val="2"/>
        <w:rPr>
          <w:rFonts w:hint="eastAsia" w:ascii="宋体" w:hAnsi="宋体" w:eastAsia="宋体" w:cs="宋体"/>
          <w:b/>
          <w:sz w:val="32"/>
          <w:szCs w:val="32"/>
        </w:rPr>
      </w:pPr>
      <w:bookmarkStart w:id="28" w:name="_Toc15377210"/>
      <w:r>
        <w:rPr>
          <w:rFonts w:hint="eastAsia" w:ascii="宋体" w:hAnsi="宋体" w:eastAsia="宋体" w:cs="宋体"/>
          <w:b/>
          <w:sz w:val="32"/>
          <w:szCs w:val="32"/>
        </w:rPr>
        <w:t>（一）一般公共预算财政拨款支出决算总体情况</w:t>
      </w:r>
      <w:bookmarkEnd w:id="28"/>
    </w:p>
    <w:p w14:paraId="4751EEF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2023年度一般公共预算财政拨款支出</w:t>
      </w:r>
      <w:r>
        <w:rPr>
          <w:rFonts w:hint="eastAsia" w:ascii="宋体" w:hAnsi="宋体" w:eastAsia="宋体" w:cs="宋体"/>
          <w:b/>
          <w:sz w:val="32"/>
          <w:szCs w:val="32"/>
        </w:rPr>
        <w:t>166.41</w:t>
      </w:r>
      <w:r>
        <w:rPr>
          <w:rFonts w:hint="eastAsia" w:ascii="宋体" w:hAnsi="宋体" w:eastAsia="宋体" w:cs="宋体"/>
          <w:sz w:val="32"/>
          <w:szCs w:val="32"/>
        </w:rPr>
        <w:t>万元，占本年支出合计的</w:t>
      </w:r>
      <w:r>
        <w:rPr>
          <w:rFonts w:hint="eastAsia" w:ascii="宋体" w:hAnsi="宋体" w:eastAsia="宋体" w:cs="宋体"/>
          <w:b/>
          <w:sz w:val="32"/>
          <w:szCs w:val="32"/>
        </w:rPr>
        <w:t>100</w:t>
      </w:r>
      <w:r>
        <w:rPr>
          <w:rFonts w:hint="eastAsia" w:ascii="宋体" w:hAnsi="宋体" w:eastAsia="宋体" w:cs="宋体"/>
          <w:sz w:val="32"/>
          <w:szCs w:val="32"/>
        </w:rPr>
        <w:t>%。与2022年度相比，一般公共预算财政拨款支出增加</w:t>
      </w:r>
      <w:r>
        <w:rPr>
          <w:rFonts w:hint="eastAsia" w:ascii="宋体" w:hAnsi="宋体" w:eastAsia="宋体" w:cs="宋体"/>
          <w:sz w:val="32"/>
          <w:szCs w:val="32"/>
          <w:lang w:val="en-US" w:eastAsia="zh-CN"/>
        </w:rPr>
        <w:t>166.41</w:t>
      </w:r>
      <w:r>
        <w:rPr>
          <w:rFonts w:hint="eastAsia" w:ascii="宋体" w:hAnsi="宋体" w:eastAsia="宋体" w:cs="宋体"/>
          <w:sz w:val="32"/>
          <w:szCs w:val="32"/>
        </w:rPr>
        <w:t>万元，增长</w:t>
      </w:r>
      <w:r>
        <w:rPr>
          <w:rFonts w:hint="eastAsia" w:ascii="宋体" w:hAnsi="宋体" w:eastAsia="宋体" w:cs="宋体"/>
          <w:sz w:val="32"/>
          <w:szCs w:val="32"/>
          <w:lang w:val="en-US" w:eastAsia="zh-CN"/>
        </w:rPr>
        <w:t>100</w:t>
      </w:r>
      <w:r>
        <w:rPr>
          <w:rFonts w:hint="eastAsia" w:ascii="宋体" w:hAnsi="宋体" w:eastAsia="宋体" w:cs="宋体"/>
          <w:sz w:val="32"/>
          <w:szCs w:val="32"/>
        </w:rPr>
        <w:t>%。</w:t>
      </w:r>
      <w:r>
        <w:rPr>
          <w:rFonts w:hint="eastAsia" w:ascii="宋体" w:hAnsi="宋体" w:eastAsia="宋体" w:cs="宋体"/>
          <w:color w:val="000000" w:themeColor="text1"/>
          <w:sz w:val="32"/>
          <w:szCs w:val="32"/>
          <w14:textFill>
            <w14:solidFill>
              <w14:schemeClr w14:val="tx1"/>
            </w14:solidFill>
          </w14:textFill>
        </w:rPr>
        <w:t>主要变动原因</w:t>
      </w:r>
      <w:r>
        <w:rPr>
          <w:rFonts w:hint="eastAsia" w:ascii="宋体" w:hAnsi="宋体" w:eastAsia="宋体" w:cs="宋体"/>
          <w:color w:val="000000" w:themeColor="text1"/>
          <w:sz w:val="32"/>
          <w:szCs w:val="32"/>
          <w:lang w:val="en-US" w:eastAsia="zh-CN"/>
          <w14:textFill>
            <w14:solidFill>
              <w14:schemeClr w14:val="tx1"/>
            </w14:solidFill>
          </w14:textFill>
        </w:rPr>
        <w:t>是本单位2022年决算是合并到四川五通桥经济开发区管委会中</w:t>
      </w:r>
      <w:r>
        <w:rPr>
          <w:rFonts w:hint="eastAsia" w:ascii="宋体" w:hAnsi="宋体" w:eastAsia="宋体" w:cs="宋体"/>
          <w:color w:val="000000" w:themeColor="text1"/>
          <w:sz w:val="32"/>
          <w:szCs w:val="32"/>
          <w14:textFill>
            <w14:solidFill>
              <w14:schemeClr w14:val="tx1"/>
            </w14:solidFill>
          </w14:textFill>
        </w:rPr>
        <w:t>。</w:t>
      </w:r>
      <w:r>
        <w:rPr>
          <w:rFonts w:hint="eastAsia" w:ascii="宋体" w:hAnsi="宋体" w:eastAsia="宋体" w:cs="宋体"/>
          <w:color w:val="000000" w:themeColor="text1"/>
          <w:sz w:val="32"/>
          <w:szCs w:val="32"/>
          <w:lang w:val="en-US" w:eastAsia="zh-CN"/>
          <w14:textFill>
            <w14:solidFill>
              <w14:schemeClr w14:val="tx1"/>
            </w14:solidFill>
          </w14:textFill>
        </w:rPr>
        <w:t>所以五通桥区工业基地服务中心没有上年数。</w:t>
      </w:r>
    </w:p>
    <w:p w14:paraId="144076B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sz w:val="32"/>
          <w:szCs w:val="32"/>
          <w:highlight w:val="yellow"/>
        </w:rPr>
      </w:pPr>
    </w:p>
    <w:p w14:paraId="4CF0091C">
      <w:pPr>
        <w:keepNext w:val="0"/>
        <w:keepLines w:val="0"/>
        <w:pageBreakBefore w:val="0"/>
        <w:widowControl w:val="0"/>
        <w:kinsoku/>
        <w:wordWrap/>
        <w:overflowPunct/>
        <w:topLinePunct w:val="0"/>
        <w:autoSpaceDE/>
        <w:autoSpaceDN/>
        <w:bidi w:val="0"/>
        <w:adjustRightInd/>
        <w:snapToGrid/>
        <w:spacing w:line="600" w:lineRule="exact"/>
        <w:ind w:firstLine="420" w:firstLineChars="200"/>
        <w:textAlignment w:val="auto"/>
        <w:rPr>
          <w:rFonts w:hint="eastAsia" w:ascii="宋体" w:hAnsi="宋体" w:eastAsia="宋体" w:cs="宋体"/>
          <w:sz w:val="32"/>
          <w:szCs w:val="32"/>
        </w:rPr>
      </w:pPr>
      <w:r>
        <w:rPr>
          <w:rFonts w:hint="eastAsia" w:ascii="宋体" w:hAnsi="宋体" w:eastAsia="宋体" w:cs="宋体"/>
        </w:rPr>
        <w:drawing>
          <wp:anchor distT="0" distB="0" distL="114300" distR="114300" simplePos="0" relativeHeight="251663360" behindDoc="1" locked="0" layoutInCell="1" allowOverlap="1">
            <wp:simplePos x="0" y="0"/>
            <wp:positionH relativeFrom="column">
              <wp:posOffset>219710</wp:posOffset>
            </wp:positionH>
            <wp:positionV relativeFrom="paragraph">
              <wp:posOffset>146685</wp:posOffset>
            </wp:positionV>
            <wp:extent cx="5272405" cy="2691765"/>
            <wp:effectExtent l="4445" t="4445" r="19050" b="8890"/>
            <wp:wrapNone/>
            <wp:docPr id="4"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14:paraId="4C38E233">
      <w:pPr>
        <w:pStyle w:val="15"/>
        <w:rPr>
          <w:rFonts w:hint="eastAsia" w:ascii="宋体" w:hAnsi="宋体" w:eastAsia="宋体" w:cs="宋体"/>
          <w:sz w:val="32"/>
          <w:szCs w:val="32"/>
        </w:rPr>
      </w:pPr>
    </w:p>
    <w:p w14:paraId="1CED779F">
      <w:pPr>
        <w:pStyle w:val="6"/>
        <w:rPr>
          <w:rFonts w:hint="eastAsia" w:ascii="宋体" w:hAnsi="宋体" w:eastAsia="宋体" w:cs="宋体"/>
          <w:sz w:val="32"/>
          <w:szCs w:val="32"/>
        </w:rPr>
      </w:pPr>
    </w:p>
    <w:p w14:paraId="335D47F7">
      <w:pPr>
        <w:pStyle w:val="6"/>
        <w:rPr>
          <w:rFonts w:hint="eastAsia" w:ascii="宋体" w:hAnsi="宋体" w:eastAsia="宋体" w:cs="宋体"/>
          <w:sz w:val="32"/>
          <w:szCs w:val="32"/>
        </w:rPr>
      </w:pPr>
    </w:p>
    <w:p w14:paraId="053BFFF9">
      <w:pPr>
        <w:pStyle w:val="6"/>
        <w:rPr>
          <w:rFonts w:hint="eastAsia" w:ascii="宋体" w:hAnsi="宋体" w:eastAsia="宋体" w:cs="宋体"/>
          <w:sz w:val="32"/>
          <w:szCs w:val="32"/>
        </w:rPr>
      </w:pPr>
    </w:p>
    <w:p w14:paraId="7F6DC2EB">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outlineLvl w:val="2"/>
        <w:rPr>
          <w:rFonts w:hint="eastAsia" w:ascii="宋体" w:hAnsi="宋体" w:eastAsia="宋体" w:cs="宋体"/>
          <w:b/>
          <w:sz w:val="32"/>
          <w:szCs w:val="32"/>
        </w:rPr>
      </w:pPr>
      <w:bookmarkStart w:id="29" w:name="_Toc15377211"/>
    </w:p>
    <w:p w14:paraId="494F72F3">
      <w:pPr>
        <w:keepNext w:val="0"/>
        <w:keepLines w:val="0"/>
        <w:pageBreakBefore w:val="0"/>
        <w:widowControl w:val="0"/>
        <w:kinsoku/>
        <w:wordWrap/>
        <w:overflowPunct/>
        <w:topLinePunct w:val="0"/>
        <w:autoSpaceDE/>
        <w:autoSpaceDN/>
        <w:bidi w:val="0"/>
        <w:adjustRightInd/>
        <w:snapToGrid/>
        <w:spacing w:line="600" w:lineRule="exact"/>
        <w:textAlignment w:val="auto"/>
        <w:outlineLvl w:val="2"/>
        <w:rPr>
          <w:rFonts w:hint="eastAsia" w:ascii="宋体" w:hAnsi="宋体" w:eastAsia="宋体" w:cs="宋体"/>
          <w:b/>
          <w:sz w:val="32"/>
          <w:szCs w:val="32"/>
        </w:rPr>
      </w:pPr>
    </w:p>
    <w:p w14:paraId="32E81DD0">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outlineLvl w:val="2"/>
        <w:rPr>
          <w:rFonts w:hint="eastAsia" w:ascii="宋体" w:hAnsi="宋体" w:eastAsia="宋体" w:cs="宋体"/>
          <w:b/>
          <w:sz w:val="32"/>
          <w:szCs w:val="32"/>
        </w:rPr>
      </w:pPr>
      <w:r>
        <w:rPr>
          <w:rFonts w:hint="eastAsia" w:ascii="宋体" w:hAnsi="宋体" w:eastAsia="宋体" w:cs="宋体"/>
          <w:b/>
          <w:sz w:val="32"/>
          <w:szCs w:val="32"/>
        </w:rPr>
        <w:t>（二）一般公共预算财政拨款支出决算结构情况</w:t>
      </w:r>
      <w:bookmarkEnd w:id="29"/>
    </w:p>
    <w:p w14:paraId="75EDF64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2023年度一般公共预算财政拨款支出</w:t>
      </w:r>
      <w:r>
        <w:rPr>
          <w:rFonts w:hint="eastAsia" w:ascii="宋体" w:hAnsi="宋体" w:eastAsia="宋体" w:cs="宋体"/>
          <w:b/>
          <w:sz w:val="32"/>
          <w:szCs w:val="32"/>
        </w:rPr>
        <w:t>166.41</w:t>
      </w:r>
      <w:r>
        <w:rPr>
          <w:rFonts w:hint="eastAsia" w:ascii="宋体" w:hAnsi="宋体" w:eastAsia="宋体" w:cs="宋体"/>
          <w:sz w:val="32"/>
          <w:szCs w:val="32"/>
        </w:rPr>
        <w:t>万元，主要用于以下方面:</w:t>
      </w:r>
      <w:r>
        <w:rPr>
          <w:rFonts w:hint="eastAsia" w:ascii="宋体" w:hAnsi="宋体" w:eastAsia="宋体" w:cs="宋体"/>
          <w:b/>
          <w:sz w:val="32"/>
          <w:szCs w:val="32"/>
        </w:rPr>
        <w:t>社会保障和就业</w:t>
      </w:r>
      <w:r>
        <w:rPr>
          <w:rFonts w:hint="eastAsia" w:ascii="宋体" w:hAnsi="宋体" w:eastAsia="宋体" w:cs="宋体"/>
          <w:b/>
          <w:bCs/>
          <w:sz w:val="32"/>
          <w:szCs w:val="32"/>
        </w:rPr>
        <w:t>支出</w:t>
      </w:r>
      <w:r>
        <w:rPr>
          <w:rFonts w:hint="eastAsia" w:ascii="宋体" w:hAnsi="宋体" w:eastAsia="宋体" w:cs="宋体"/>
          <w:b/>
          <w:bCs/>
          <w:sz w:val="32"/>
          <w:szCs w:val="32"/>
          <w:lang w:val="en-US" w:eastAsia="zh-CN"/>
        </w:rPr>
        <w:t>25</w:t>
      </w:r>
      <w:r>
        <w:rPr>
          <w:rFonts w:hint="eastAsia" w:ascii="宋体" w:hAnsi="宋体" w:eastAsia="宋体" w:cs="宋体"/>
          <w:sz w:val="32"/>
          <w:szCs w:val="32"/>
        </w:rPr>
        <w:t>万元，占</w:t>
      </w:r>
      <w:r>
        <w:rPr>
          <w:rFonts w:hint="eastAsia" w:ascii="宋体" w:hAnsi="宋体" w:eastAsia="宋体" w:cs="宋体"/>
          <w:sz w:val="32"/>
          <w:szCs w:val="32"/>
          <w:lang w:val="en-US" w:eastAsia="zh-CN"/>
        </w:rPr>
        <w:t>15</w:t>
      </w:r>
      <w:r>
        <w:rPr>
          <w:rFonts w:hint="eastAsia" w:ascii="宋体" w:hAnsi="宋体" w:eastAsia="宋体" w:cs="宋体"/>
          <w:sz w:val="32"/>
          <w:szCs w:val="32"/>
        </w:rPr>
        <w:t>%；</w:t>
      </w:r>
      <w:r>
        <w:rPr>
          <w:rFonts w:hint="eastAsia" w:ascii="宋体" w:hAnsi="宋体" w:eastAsia="宋体" w:cs="宋体"/>
          <w:b/>
          <w:bCs/>
          <w:sz w:val="32"/>
          <w:szCs w:val="32"/>
        </w:rPr>
        <w:t>卫生健康支出</w:t>
      </w:r>
      <w:r>
        <w:rPr>
          <w:rFonts w:hint="eastAsia" w:ascii="宋体" w:hAnsi="宋体" w:eastAsia="宋体" w:cs="宋体"/>
          <w:b/>
          <w:bCs/>
          <w:sz w:val="32"/>
          <w:szCs w:val="32"/>
          <w:lang w:val="en-US" w:eastAsia="zh-CN"/>
        </w:rPr>
        <w:t>5.09</w:t>
      </w:r>
      <w:r>
        <w:rPr>
          <w:rFonts w:hint="eastAsia" w:ascii="宋体" w:hAnsi="宋体" w:eastAsia="宋体" w:cs="宋体"/>
          <w:sz w:val="32"/>
          <w:szCs w:val="32"/>
        </w:rPr>
        <w:t>万元，占</w:t>
      </w:r>
      <w:r>
        <w:rPr>
          <w:rFonts w:hint="eastAsia" w:ascii="宋体" w:hAnsi="宋体" w:eastAsia="宋体" w:cs="宋体"/>
          <w:sz w:val="32"/>
          <w:szCs w:val="32"/>
          <w:lang w:val="en-US" w:eastAsia="zh-CN"/>
        </w:rPr>
        <w:t>3.05</w:t>
      </w:r>
      <w:r>
        <w:rPr>
          <w:rFonts w:hint="eastAsia" w:ascii="宋体" w:hAnsi="宋体" w:eastAsia="宋体" w:cs="宋体"/>
          <w:sz w:val="32"/>
          <w:szCs w:val="32"/>
        </w:rPr>
        <w:t>%；</w:t>
      </w:r>
      <w:r>
        <w:rPr>
          <w:rFonts w:hint="eastAsia" w:ascii="宋体" w:hAnsi="宋体" w:eastAsia="宋体" w:cs="宋体"/>
          <w:b/>
          <w:bCs/>
          <w:sz w:val="32"/>
          <w:szCs w:val="32"/>
        </w:rPr>
        <w:t>住房保障支出</w:t>
      </w:r>
      <w:r>
        <w:rPr>
          <w:rFonts w:hint="eastAsia" w:ascii="宋体" w:hAnsi="宋体" w:eastAsia="宋体" w:cs="宋体"/>
          <w:b/>
          <w:bCs/>
          <w:sz w:val="32"/>
          <w:szCs w:val="32"/>
          <w:lang w:val="en-US" w:eastAsia="zh-CN"/>
        </w:rPr>
        <w:t>11.99</w:t>
      </w:r>
      <w:r>
        <w:rPr>
          <w:rFonts w:hint="eastAsia" w:ascii="宋体" w:hAnsi="宋体" w:eastAsia="宋体" w:cs="宋体"/>
          <w:sz w:val="32"/>
          <w:szCs w:val="32"/>
        </w:rPr>
        <w:t>万元，占</w:t>
      </w:r>
      <w:r>
        <w:rPr>
          <w:rFonts w:hint="eastAsia" w:ascii="宋体" w:hAnsi="宋体" w:eastAsia="宋体" w:cs="宋体"/>
          <w:sz w:val="32"/>
          <w:szCs w:val="32"/>
          <w:lang w:val="en-US" w:eastAsia="zh-CN"/>
        </w:rPr>
        <w:t>7.5</w:t>
      </w:r>
      <w:r>
        <w:rPr>
          <w:rFonts w:hint="eastAsia" w:ascii="宋体" w:hAnsi="宋体" w:eastAsia="宋体" w:cs="宋体"/>
          <w:sz w:val="32"/>
          <w:szCs w:val="32"/>
        </w:rPr>
        <w:t>%；资源勘探工业信息等支出</w:t>
      </w:r>
      <w:r>
        <w:rPr>
          <w:rFonts w:hint="eastAsia" w:ascii="宋体" w:hAnsi="宋体" w:eastAsia="宋体" w:cs="宋体"/>
          <w:sz w:val="32"/>
          <w:szCs w:val="32"/>
          <w:lang w:val="en-US" w:eastAsia="zh-CN"/>
        </w:rPr>
        <w:t>124.27万元</w:t>
      </w:r>
      <w:r>
        <w:rPr>
          <w:rFonts w:hint="eastAsia" w:ascii="宋体" w:hAnsi="宋体" w:eastAsia="宋体" w:cs="宋体"/>
          <w:sz w:val="32"/>
          <w:szCs w:val="32"/>
        </w:rPr>
        <w:t>占</w:t>
      </w:r>
      <w:r>
        <w:rPr>
          <w:rFonts w:hint="eastAsia" w:ascii="宋体" w:hAnsi="宋体" w:eastAsia="宋体" w:cs="宋体"/>
          <w:sz w:val="32"/>
          <w:szCs w:val="32"/>
          <w:lang w:val="en-US" w:eastAsia="zh-CN"/>
        </w:rPr>
        <w:t>74.45</w:t>
      </w:r>
      <w:r>
        <w:rPr>
          <w:rFonts w:hint="eastAsia" w:ascii="宋体" w:hAnsi="宋体" w:eastAsia="宋体" w:cs="宋体"/>
          <w:sz w:val="32"/>
          <w:szCs w:val="32"/>
        </w:rPr>
        <w:t>%</w:t>
      </w:r>
      <w:r>
        <w:rPr>
          <w:rFonts w:hint="eastAsia" w:ascii="宋体" w:hAnsi="宋体" w:eastAsia="宋体" w:cs="宋体"/>
          <w:sz w:val="32"/>
          <w:szCs w:val="32"/>
          <w:lang w:val="en-US" w:eastAsia="zh-CN"/>
        </w:rPr>
        <w:t>.</w:t>
      </w:r>
    </w:p>
    <w:p w14:paraId="592669DC">
      <w:pPr>
        <w:spacing w:line="600" w:lineRule="exact"/>
        <w:ind w:firstLine="640" w:firstLineChars="200"/>
        <w:rPr>
          <w:rFonts w:hint="eastAsia" w:ascii="宋体" w:hAnsi="宋体" w:eastAsia="宋体" w:cs="宋体"/>
          <w:sz w:val="32"/>
          <w:szCs w:val="32"/>
        </w:rPr>
      </w:pPr>
    </w:p>
    <w:p w14:paraId="1F8B2388">
      <w:pPr>
        <w:spacing w:line="600" w:lineRule="exact"/>
        <w:ind w:firstLine="420" w:firstLineChars="200"/>
        <w:rPr>
          <w:rFonts w:hint="eastAsia" w:ascii="宋体" w:hAnsi="宋体" w:eastAsia="宋体" w:cs="宋体"/>
          <w:sz w:val="32"/>
          <w:szCs w:val="32"/>
        </w:rPr>
      </w:pPr>
      <w:r>
        <w:rPr>
          <w:rFonts w:hint="eastAsia" w:ascii="宋体" w:hAnsi="宋体" w:eastAsia="宋体" w:cs="宋体"/>
        </w:rPr>
        <w:drawing>
          <wp:anchor distT="0" distB="0" distL="114300" distR="114300" simplePos="0" relativeHeight="251664384" behindDoc="1" locked="0" layoutInCell="1" allowOverlap="1">
            <wp:simplePos x="0" y="0"/>
            <wp:positionH relativeFrom="column">
              <wp:posOffset>387350</wp:posOffset>
            </wp:positionH>
            <wp:positionV relativeFrom="paragraph">
              <wp:posOffset>90805</wp:posOffset>
            </wp:positionV>
            <wp:extent cx="4725035" cy="2965450"/>
            <wp:effectExtent l="4445" t="4445" r="13970" b="20955"/>
            <wp:wrapNone/>
            <wp:docPr id="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14:paraId="5649C750">
      <w:pPr>
        <w:pStyle w:val="15"/>
        <w:rPr>
          <w:rFonts w:hint="eastAsia" w:ascii="宋体" w:hAnsi="宋体" w:eastAsia="宋体" w:cs="宋体"/>
        </w:rPr>
      </w:pPr>
    </w:p>
    <w:p w14:paraId="31865F2F">
      <w:pPr>
        <w:spacing w:line="600" w:lineRule="exact"/>
        <w:ind w:firstLine="643" w:firstLineChars="200"/>
        <w:outlineLvl w:val="2"/>
        <w:rPr>
          <w:rFonts w:hint="eastAsia" w:ascii="宋体" w:hAnsi="宋体" w:eastAsia="宋体" w:cs="宋体"/>
          <w:b/>
          <w:sz w:val="32"/>
          <w:szCs w:val="32"/>
        </w:rPr>
      </w:pPr>
      <w:bookmarkStart w:id="30" w:name="_Toc15377212"/>
    </w:p>
    <w:p w14:paraId="75B03D6F">
      <w:pPr>
        <w:spacing w:line="600" w:lineRule="exact"/>
        <w:ind w:firstLine="643" w:firstLineChars="200"/>
        <w:outlineLvl w:val="2"/>
        <w:rPr>
          <w:rFonts w:hint="eastAsia" w:ascii="宋体" w:hAnsi="宋体" w:eastAsia="宋体" w:cs="宋体"/>
          <w:b/>
          <w:sz w:val="32"/>
          <w:szCs w:val="32"/>
        </w:rPr>
      </w:pPr>
    </w:p>
    <w:p w14:paraId="19197854">
      <w:pPr>
        <w:spacing w:line="600" w:lineRule="exact"/>
        <w:ind w:firstLine="643" w:firstLineChars="200"/>
        <w:outlineLvl w:val="2"/>
        <w:rPr>
          <w:rFonts w:hint="eastAsia" w:ascii="宋体" w:hAnsi="宋体" w:eastAsia="宋体" w:cs="宋体"/>
          <w:b/>
          <w:sz w:val="32"/>
          <w:szCs w:val="32"/>
        </w:rPr>
      </w:pPr>
    </w:p>
    <w:p w14:paraId="6E5BECD1">
      <w:pPr>
        <w:spacing w:line="600" w:lineRule="exact"/>
        <w:ind w:firstLine="643" w:firstLineChars="200"/>
        <w:outlineLvl w:val="2"/>
        <w:rPr>
          <w:rFonts w:hint="eastAsia" w:ascii="宋体" w:hAnsi="宋体" w:eastAsia="宋体" w:cs="宋体"/>
          <w:b/>
          <w:sz w:val="32"/>
          <w:szCs w:val="32"/>
        </w:rPr>
      </w:pPr>
    </w:p>
    <w:p w14:paraId="60C908F1">
      <w:pPr>
        <w:spacing w:line="600" w:lineRule="exact"/>
        <w:ind w:firstLine="643" w:firstLineChars="200"/>
        <w:outlineLvl w:val="2"/>
        <w:rPr>
          <w:rFonts w:hint="eastAsia" w:ascii="宋体" w:hAnsi="宋体" w:eastAsia="宋体" w:cs="宋体"/>
          <w:b/>
          <w:sz w:val="32"/>
          <w:szCs w:val="32"/>
        </w:rPr>
      </w:pPr>
    </w:p>
    <w:p w14:paraId="212DCD4C">
      <w:pPr>
        <w:spacing w:line="600" w:lineRule="exact"/>
        <w:ind w:firstLine="643" w:firstLineChars="200"/>
        <w:outlineLvl w:val="2"/>
        <w:rPr>
          <w:rFonts w:hint="eastAsia" w:ascii="宋体" w:hAnsi="宋体" w:eastAsia="宋体" w:cs="宋体"/>
          <w:b/>
          <w:sz w:val="32"/>
          <w:szCs w:val="32"/>
        </w:rPr>
      </w:pPr>
    </w:p>
    <w:p w14:paraId="79AA518F">
      <w:pPr>
        <w:keepNext w:val="0"/>
        <w:keepLines w:val="0"/>
        <w:pageBreakBefore w:val="0"/>
        <w:widowControl w:val="0"/>
        <w:kinsoku/>
        <w:wordWrap/>
        <w:overflowPunct/>
        <w:topLinePunct w:val="0"/>
        <w:autoSpaceDE/>
        <w:autoSpaceDN/>
        <w:bidi w:val="0"/>
        <w:adjustRightInd/>
        <w:snapToGrid/>
        <w:spacing w:line="660" w:lineRule="exact"/>
        <w:ind w:firstLine="643" w:firstLineChars="200"/>
        <w:textAlignment w:val="auto"/>
        <w:outlineLvl w:val="2"/>
        <w:rPr>
          <w:rFonts w:hint="eastAsia" w:ascii="宋体" w:hAnsi="宋体" w:eastAsia="宋体" w:cs="宋体"/>
          <w:b/>
          <w:sz w:val="32"/>
          <w:szCs w:val="32"/>
        </w:rPr>
      </w:pPr>
      <w:r>
        <w:rPr>
          <w:rFonts w:hint="eastAsia" w:ascii="宋体" w:hAnsi="宋体" w:eastAsia="宋体" w:cs="宋体"/>
          <w:b/>
          <w:sz w:val="32"/>
          <w:szCs w:val="32"/>
        </w:rPr>
        <w:t>（三）一般公共预算财政拨款支出决算具体情况</w:t>
      </w:r>
      <w:bookmarkEnd w:id="30"/>
    </w:p>
    <w:p w14:paraId="6788D2B3">
      <w:pPr>
        <w:keepNext w:val="0"/>
        <w:keepLines w:val="0"/>
        <w:pageBreakBefore w:val="0"/>
        <w:widowControl w:val="0"/>
        <w:kinsoku/>
        <w:wordWrap/>
        <w:overflowPunct/>
        <w:topLinePunct w:val="0"/>
        <w:autoSpaceDE/>
        <w:autoSpaceDN/>
        <w:bidi w:val="0"/>
        <w:adjustRightInd/>
        <w:snapToGrid/>
        <w:spacing w:line="660" w:lineRule="exact"/>
        <w:ind w:firstLine="643" w:firstLineChars="200"/>
        <w:textAlignment w:val="auto"/>
        <w:outlineLvl w:val="2"/>
        <w:rPr>
          <w:rFonts w:hint="eastAsia" w:ascii="宋体" w:hAnsi="宋体" w:eastAsia="宋体" w:cs="宋体"/>
          <w:sz w:val="32"/>
          <w:szCs w:val="32"/>
        </w:rPr>
      </w:pPr>
      <w:bookmarkStart w:id="31" w:name="_Toc15378460"/>
      <w:bookmarkStart w:id="32" w:name="_Toc15377213"/>
      <w:bookmarkStart w:id="33" w:name="_Toc15377444"/>
      <w:r>
        <w:rPr>
          <w:rFonts w:hint="eastAsia" w:ascii="宋体" w:hAnsi="宋体" w:eastAsia="宋体" w:cs="宋体"/>
          <w:b/>
          <w:sz w:val="32"/>
          <w:szCs w:val="32"/>
        </w:rPr>
        <w:t>2023年度一般公共预算支出决算数为166.41</w:t>
      </w:r>
      <w:r>
        <w:rPr>
          <w:rFonts w:hint="eastAsia" w:ascii="宋体" w:hAnsi="宋体" w:eastAsia="宋体" w:cs="宋体"/>
          <w:sz w:val="32"/>
          <w:szCs w:val="32"/>
        </w:rPr>
        <w:t>，</w:t>
      </w:r>
      <w:r>
        <w:rPr>
          <w:rStyle w:val="18"/>
          <w:rFonts w:hint="eastAsia" w:ascii="宋体" w:hAnsi="宋体" w:eastAsia="宋体" w:cs="宋体"/>
          <w:bCs/>
          <w:sz w:val="32"/>
          <w:szCs w:val="32"/>
        </w:rPr>
        <w:t>完成预算</w:t>
      </w:r>
      <w:r>
        <w:rPr>
          <w:rStyle w:val="18"/>
          <w:rFonts w:hint="eastAsia" w:ascii="宋体" w:hAnsi="宋体" w:eastAsia="宋体" w:cs="宋体"/>
          <w:bCs/>
          <w:sz w:val="32"/>
          <w:szCs w:val="32"/>
          <w:lang w:val="en-US" w:eastAsia="zh-CN"/>
        </w:rPr>
        <w:t>100</w:t>
      </w:r>
      <w:r>
        <w:rPr>
          <w:rStyle w:val="18"/>
          <w:rFonts w:hint="eastAsia" w:ascii="宋体" w:hAnsi="宋体" w:eastAsia="宋体" w:cs="宋体"/>
          <w:bCs/>
          <w:sz w:val="32"/>
          <w:szCs w:val="32"/>
        </w:rPr>
        <w:t>%。其中：</w:t>
      </w:r>
      <w:bookmarkEnd w:id="31"/>
      <w:bookmarkEnd w:id="32"/>
      <w:bookmarkEnd w:id="33"/>
    </w:p>
    <w:p w14:paraId="6B9D48D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2"/>
        <w:rPr>
          <w:rFonts w:hint="eastAsia" w:ascii="宋体" w:hAnsi="宋体" w:eastAsia="宋体" w:cs="宋体"/>
          <w:b w:val="0"/>
          <w:bCs w:val="0"/>
          <w:color w:val="auto"/>
          <w:kern w:val="0"/>
          <w:sz w:val="32"/>
          <w:szCs w:val="32"/>
          <w:highlight w:val="none"/>
          <w:lang w:val="zh-CN" w:eastAsia="zh-CN" w:bidi="ar-SA"/>
        </w:rPr>
      </w:pPr>
      <w:r>
        <w:rPr>
          <w:rStyle w:val="18"/>
          <w:rFonts w:hint="eastAsia" w:ascii="宋体" w:hAnsi="宋体" w:eastAsia="宋体" w:cs="宋体"/>
          <w:b w:val="0"/>
          <w:bCs w:val="0"/>
          <w:sz w:val="32"/>
          <w:szCs w:val="32"/>
          <w:lang w:val="en-US" w:eastAsia="zh-CN"/>
        </w:rPr>
        <w:t>1、</w:t>
      </w:r>
      <w:r>
        <w:rPr>
          <w:rStyle w:val="18"/>
          <w:rFonts w:hint="eastAsia" w:ascii="宋体" w:hAnsi="宋体" w:eastAsia="宋体" w:cs="宋体"/>
          <w:b w:val="0"/>
          <w:bCs w:val="0"/>
          <w:sz w:val="32"/>
          <w:szCs w:val="32"/>
        </w:rPr>
        <w:t>社会保障和就业（类）</w:t>
      </w:r>
      <w:r>
        <w:rPr>
          <w:rStyle w:val="18"/>
          <w:rFonts w:hint="eastAsia" w:ascii="宋体" w:hAnsi="宋体" w:eastAsia="宋体" w:cs="宋体"/>
          <w:b w:val="0"/>
          <w:bCs w:val="0"/>
          <w:color w:val="000000"/>
          <w:sz w:val="32"/>
          <w:szCs w:val="32"/>
          <w:highlight w:val="none"/>
        </w:rPr>
        <w:t>行政事业单位养老支出</w:t>
      </w:r>
      <w:r>
        <w:rPr>
          <w:rStyle w:val="18"/>
          <w:rFonts w:hint="eastAsia" w:ascii="宋体" w:hAnsi="宋体" w:eastAsia="宋体" w:cs="宋体"/>
          <w:b w:val="0"/>
          <w:bCs w:val="0"/>
          <w:sz w:val="32"/>
          <w:szCs w:val="32"/>
        </w:rPr>
        <w:t>（款）</w:t>
      </w:r>
      <w:r>
        <w:rPr>
          <w:rStyle w:val="18"/>
          <w:rFonts w:hint="eastAsia" w:ascii="宋体" w:hAnsi="宋体" w:eastAsia="宋体" w:cs="宋体"/>
          <w:b w:val="0"/>
          <w:bCs w:val="0"/>
          <w:color w:val="000000"/>
          <w:sz w:val="32"/>
          <w:szCs w:val="32"/>
          <w:highlight w:val="none"/>
        </w:rPr>
        <w:t>机关事业单位基本养老保险缴费支出</w:t>
      </w:r>
      <w:r>
        <w:rPr>
          <w:rStyle w:val="18"/>
          <w:rFonts w:hint="eastAsia" w:ascii="宋体" w:hAnsi="宋体" w:eastAsia="宋体" w:cs="宋体"/>
          <w:b w:val="0"/>
          <w:bCs w:val="0"/>
          <w:sz w:val="32"/>
          <w:szCs w:val="32"/>
        </w:rPr>
        <w:t>（项）: 支出决算为</w:t>
      </w:r>
      <w:r>
        <w:rPr>
          <w:rStyle w:val="18"/>
          <w:rFonts w:hint="eastAsia" w:ascii="宋体" w:hAnsi="宋体" w:eastAsia="宋体" w:cs="宋体"/>
          <w:b w:val="0"/>
          <w:bCs w:val="0"/>
          <w:sz w:val="32"/>
          <w:szCs w:val="32"/>
          <w:lang w:val="en-US" w:eastAsia="zh-CN"/>
        </w:rPr>
        <w:t>16.71</w:t>
      </w:r>
      <w:r>
        <w:rPr>
          <w:rStyle w:val="18"/>
          <w:rFonts w:hint="eastAsia" w:ascii="宋体" w:hAnsi="宋体" w:eastAsia="宋体" w:cs="宋体"/>
          <w:b w:val="0"/>
          <w:bCs w:val="0"/>
          <w:sz w:val="32"/>
          <w:szCs w:val="32"/>
        </w:rPr>
        <w:t>万元，完成预算</w:t>
      </w:r>
      <w:r>
        <w:rPr>
          <w:rStyle w:val="18"/>
          <w:rFonts w:hint="eastAsia" w:ascii="宋体" w:hAnsi="宋体" w:eastAsia="宋体" w:cs="宋体"/>
          <w:b w:val="0"/>
          <w:bCs w:val="0"/>
          <w:sz w:val="32"/>
          <w:szCs w:val="32"/>
          <w:lang w:val="en-US" w:eastAsia="zh-CN"/>
        </w:rPr>
        <w:t>100</w:t>
      </w:r>
      <w:r>
        <w:rPr>
          <w:rStyle w:val="18"/>
          <w:rFonts w:hint="eastAsia" w:ascii="宋体" w:hAnsi="宋体" w:eastAsia="宋体" w:cs="宋体"/>
          <w:b w:val="0"/>
          <w:bCs w:val="0"/>
          <w:sz w:val="32"/>
          <w:szCs w:val="32"/>
        </w:rPr>
        <w:t>%</w:t>
      </w:r>
      <w:r>
        <w:rPr>
          <w:rStyle w:val="18"/>
          <w:rFonts w:hint="eastAsia" w:ascii="宋体" w:hAnsi="宋体" w:eastAsia="宋体" w:cs="宋体"/>
          <w:b w:val="0"/>
          <w:bCs w:val="0"/>
          <w:sz w:val="32"/>
          <w:szCs w:val="32"/>
          <w:lang w:eastAsia="zh-CN"/>
        </w:rPr>
        <w:t>。</w:t>
      </w:r>
      <w:r>
        <w:rPr>
          <w:rFonts w:hint="eastAsia" w:ascii="宋体" w:hAnsi="宋体" w:eastAsia="宋体" w:cs="宋体"/>
          <w:b w:val="0"/>
          <w:bCs w:val="0"/>
          <w:color w:val="auto"/>
          <w:kern w:val="0"/>
          <w:sz w:val="32"/>
          <w:szCs w:val="32"/>
          <w:highlight w:val="none"/>
          <w:lang w:val="zh-CN" w:eastAsia="zh-CN" w:bidi="ar-SA"/>
        </w:rPr>
        <w:t>决算数等于预算数。</w:t>
      </w:r>
    </w:p>
    <w:p w14:paraId="5A2087A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2"/>
        <w:rPr>
          <w:rFonts w:hint="eastAsia" w:ascii="宋体" w:hAnsi="宋体" w:eastAsia="宋体" w:cs="宋体"/>
          <w:b w:val="0"/>
          <w:bCs w:val="0"/>
          <w:color w:val="auto"/>
          <w:kern w:val="0"/>
          <w:sz w:val="32"/>
          <w:szCs w:val="32"/>
          <w:highlight w:val="none"/>
          <w:lang w:val="zh-CN" w:eastAsia="zh-CN" w:bidi="ar-SA"/>
        </w:rPr>
      </w:pPr>
      <w:r>
        <w:rPr>
          <w:rStyle w:val="18"/>
          <w:rFonts w:hint="eastAsia" w:ascii="宋体" w:hAnsi="宋体" w:eastAsia="宋体" w:cs="宋体"/>
          <w:b w:val="0"/>
          <w:bCs w:val="0"/>
          <w:color w:val="000000"/>
          <w:sz w:val="32"/>
          <w:szCs w:val="32"/>
          <w:highlight w:val="none"/>
          <w:lang w:val="en-US" w:eastAsia="zh-CN"/>
        </w:rPr>
        <w:t>2、</w:t>
      </w:r>
      <w:r>
        <w:rPr>
          <w:rStyle w:val="18"/>
          <w:rFonts w:hint="eastAsia" w:ascii="宋体" w:hAnsi="宋体" w:eastAsia="宋体" w:cs="宋体"/>
          <w:b w:val="0"/>
          <w:bCs w:val="0"/>
          <w:color w:val="000000"/>
          <w:sz w:val="32"/>
          <w:szCs w:val="32"/>
          <w:highlight w:val="none"/>
        </w:rPr>
        <w:t>社会保障和就业（类）行政事业单位养老支出（款）机关事业单位职业年金缴费支出（项）: 支出决算为</w:t>
      </w:r>
      <w:r>
        <w:rPr>
          <w:rStyle w:val="18"/>
          <w:rFonts w:hint="eastAsia" w:ascii="宋体" w:hAnsi="宋体" w:eastAsia="宋体" w:cs="宋体"/>
          <w:b w:val="0"/>
          <w:bCs w:val="0"/>
          <w:color w:val="000000"/>
          <w:sz w:val="32"/>
          <w:szCs w:val="32"/>
          <w:highlight w:val="none"/>
          <w:lang w:val="en-US" w:eastAsia="zh-CN"/>
        </w:rPr>
        <w:t>8.35</w:t>
      </w:r>
      <w:r>
        <w:rPr>
          <w:rStyle w:val="18"/>
          <w:rFonts w:hint="eastAsia" w:ascii="宋体" w:hAnsi="宋体" w:eastAsia="宋体" w:cs="宋体"/>
          <w:b w:val="0"/>
          <w:bCs w:val="0"/>
          <w:color w:val="000000"/>
          <w:sz w:val="32"/>
          <w:szCs w:val="32"/>
          <w:highlight w:val="none"/>
        </w:rPr>
        <w:t>万元，完成预算</w:t>
      </w:r>
      <w:r>
        <w:rPr>
          <w:rStyle w:val="18"/>
          <w:rFonts w:hint="eastAsia" w:ascii="宋体" w:hAnsi="宋体" w:eastAsia="宋体" w:cs="宋体"/>
          <w:b w:val="0"/>
          <w:bCs w:val="0"/>
          <w:color w:val="000000"/>
          <w:sz w:val="32"/>
          <w:szCs w:val="32"/>
          <w:highlight w:val="none"/>
          <w:lang w:val="en-US" w:eastAsia="zh-CN"/>
        </w:rPr>
        <w:t xml:space="preserve"> 100 </w:t>
      </w:r>
      <w:r>
        <w:rPr>
          <w:rStyle w:val="18"/>
          <w:rFonts w:hint="eastAsia" w:ascii="宋体" w:hAnsi="宋体" w:eastAsia="宋体" w:cs="宋体"/>
          <w:b w:val="0"/>
          <w:bCs w:val="0"/>
          <w:color w:val="000000"/>
          <w:sz w:val="32"/>
          <w:szCs w:val="32"/>
          <w:highlight w:val="none"/>
        </w:rPr>
        <w:t>%。</w:t>
      </w:r>
      <w:r>
        <w:rPr>
          <w:rFonts w:hint="eastAsia" w:ascii="宋体" w:hAnsi="宋体" w:eastAsia="宋体" w:cs="宋体"/>
          <w:b w:val="0"/>
          <w:bCs w:val="0"/>
          <w:color w:val="auto"/>
          <w:kern w:val="0"/>
          <w:sz w:val="32"/>
          <w:szCs w:val="32"/>
          <w:highlight w:val="none"/>
          <w:lang w:val="zh-CN" w:eastAsia="zh-CN" w:bidi="ar-SA"/>
        </w:rPr>
        <w:t>决算数等于预算数。</w:t>
      </w:r>
    </w:p>
    <w:p w14:paraId="061A6B1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2"/>
        <w:rPr>
          <w:rFonts w:hint="eastAsia" w:ascii="宋体" w:hAnsi="宋体" w:eastAsia="宋体" w:cs="宋体"/>
          <w:b w:val="0"/>
          <w:bCs w:val="0"/>
          <w:color w:val="auto"/>
          <w:kern w:val="0"/>
          <w:sz w:val="32"/>
          <w:szCs w:val="32"/>
          <w:highlight w:val="none"/>
          <w:lang w:val="zh-CN" w:eastAsia="zh-CN" w:bidi="ar-SA"/>
        </w:rPr>
      </w:pPr>
      <w:r>
        <w:rPr>
          <w:rFonts w:hint="eastAsia" w:ascii="宋体" w:hAnsi="宋体" w:eastAsia="宋体" w:cs="宋体"/>
          <w:b w:val="0"/>
          <w:bCs w:val="0"/>
          <w:sz w:val="32"/>
          <w:szCs w:val="32"/>
          <w:lang w:val="en-US" w:eastAsia="zh-CN"/>
        </w:rPr>
        <w:t>3、</w:t>
      </w:r>
      <w:r>
        <w:rPr>
          <w:rFonts w:hint="eastAsia" w:ascii="宋体" w:hAnsi="宋体" w:eastAsia="宋体" w:cs="宋体"/>
          <w:b w:val="0"/>
          <w:bCs w:val="0"/>
          <w:sz w:val="32"/>
          <w:szCs w:val="32"/>
        </w:rPr>
        <w:t>卫生健康</w:t>
      </w:r>
      <w:r>
        <w:rPr>
          <w:rStyle w:val="18"/>
          <w:rFonts w:hint="eastAsia" w:ascii="宋体" w:hAnsi="宋体" w:eastAsia="宋体" w:cs="宋体"/>
          <w:b w:val="0"/>
          <w:bCs w:val="0"/>
          <w:sz w:val="32"/>
          <w:szCs w:val="32"/>
        </w:rPr>
        <w:t>（类）</w:t>
      </w:r>
      <w:r>
        <w:rPr>
          <w:rStyle w:val="18"/>
          <w:rFonts w:hint="eastAsia" w:ascii="宋体" w:hAnsi="宋体" w:eastAsia="宋体" w:cs="宋体"/>
          <w:b w:val="0"/>
          <w:bCs w:val="0"/>
          <w:color w:val="000000"/>
          <w:sz w:val="32"/>
          <w:szCs w:val="32"/>
          <w:highlight w:val="none"/>
        </w:rPr>
        <w:t>行政事业单位医疗</w:t>
      </w:r>
      <w:r>
        <w:rPr>
          <w:rStyle w:val="18"/>
          <w:rFonts w:hint="eastAsia" w:ascii="宋体" w:hAnsi="宋体" w:eastAsia="宋体" w:cs="宋体"/>
          <w:b w:val="0"/>
          <w:bCs w:val="0"/>
          <w:sz w:val="32"/>
          <w:szCs w:val="32"/>
        </w:rPr>
        <w:t>（款）</w:t>
      </w:r>
      <w:r>
        <w:rPr>
          <w:rStyle w:val="18"/>
          <w:rFonts w:hint="eastAsia" w:ascii="宋体" w:hAnsi="宋体" w:eastAsia="宋体" w:cs="宋体"/>
          <w:b w:val="0"/>
          <w:bCs w:val="0"/>
          <w:color w:val="000000"/>
          <w:sz w:val="32"/>
          <w:szCs w:val="32"/>
          <w:highlight w:val="none"/>
        </w:rPr>
        <w:t>事业单位医疗</w:t>
      </w:r>
      <w:r>
        <w:rPr>
          <w:rStyle w:val="18"/>
          <w:rFonts w:hint="eastAsia" w:ascii="宋体" w:hAnsi="宋体" w:eastAsia="宋体" w:cs="宋体"/>
          <w:b w:val="0"/>
          <w:bCs w:val="0"/>
          <w:sz w:val="32"/>
          <w:szCs w:val="32"/>
        </w:rPr>
        <w:t>（项）:支出决算为</w:t>
      </w:r>
      <w:r>
        <w:rPr>
          <w:rStyle w:val="18"/>
          <w:rFonts w:hint="eastAsia" w:ascii="宋体" w:hAnsi="宋体" w:eastAsia="宋体" w:cs="宋体"/>
          <w:b w:val="0"/>
          <w:bCs w:val="0"/>
          <w:sz w:val="32"/>
          <w:szCs w:val="32"/>
          <w:lang w:val="en-US" w:eastAsia="zh-CN"/>
        </w:rPr>
        <w:t>4.19</w:t>
      </w:r>
      <w:r>
        <w:rPr>
          <w:rStyle w:val="18"/>
          <w:rFonts w:hint="eastAsia" w:ascii="宋体" w:hAnsi="宋体" w:eastAsia="宋体" w:cs="宋体"/>
          <w:b w:val="0"/>
          <w:bCs w:val="0"/>
          <w:sz w:val="32"/>
          <w:szCs w:val="32"/>
        </w:rPr>
        <w:t>万元，完成预算</w:t>
      </w:r>
      <w:r>
        <w:rPr>
          <w:rStyle w:val="18"/>
          <w:rFonts w:hint="eastAsia" w:ascii="宋体" w:hAnsi="宋体" w:eastAsia="宋体" w:cs="宋体"/>
          <w:b w:val="0"/>
          <w:bCs w:val="0"/>
          <w:sz w:val="32"/>
          <w:szCs w:val="32"/>
          <w:lang w:val="en-US" w:eastAsia="zh-CN"/>
        </w:rPr>
        <w:t>100</w:t>
      </w:r>
      <w:r>
        <w:rPr>
          <w:rStyle w:val="18"/>
          <w:rFonts w:hint="eastAsia" w:ascii="宋体" w:hAnsi="宋体" w:eastAsia="宋体" w:cs="宋体"/>
          <w:b w:val="0"/>
          <w:bCs w:val="0"/>
          <w:sz w:val="32"/>
          <w:szCs w:val="32"/>
        </w:rPr>
        <w:t>%</w:t>
      </w:r>
      <w:r>
        <w:rPr>
          <w:rStyle w:val="18"/>
          <w:rFonts w:hint="eastAsia" w:ascii="宋体" w:hAnsi="宋体" w:eastAsia="宋体" w:cs="宋体"/>
          <w:b w:val="0"/>
          <w:bCs w:val="0"/>
          <w:sz w:val="32"/>
          <w:szCs w:val="32"/>
          <w:lang w:eastAsia="zh-CN"/>
        </w:rPr>
        <w:t>。</w:t>
      </w:r>
      <w:r>
        <w:rPr>
          <w:rFonts w:hint="eastAsia" w:ascii="宋体" w:hAnsi="宋体" w:eastAsia="宋体" w:cs="宋体"/>
          <w:b w:val="0"/>
          <w:bCs w:val="0"/>
          <w:color w:val="auto"/>
          <w:kern w:val="0"/>
          <w:sz w:val="32"/>
          <w:szCs w:val="32"/>
          <w:highlight w:val="none"/>
          <w:lang w:val="zh-CN" w:eastAsia="zh-CN" w:bidi="ar-SA"/>
        </w:rPr>
        <w:t>决算数等于预算数。</w:t>
      </w:r>
    </w:p>
    <w:p w14:paraId="049A99F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2"/>
        <w:rPr>
          <w:rFonts w:hint="eastAsia" w:ascii="宋体" w:hAnsi="宋体" w:eastAsia="宋体" w:cs="宋体"/>
          <w:color w:val="auto"/>
          <w:kern w:val="0"/>
          <w:sz w:val="32"/>
          <w:szCs w:val="32"/>
          <w:highlight w:val="none"/>
          <w:lang w:val="zh-CN" w:eastAsia="zh-CN" w:bidi="ar-SA"/>
        </w:rPr>
      </w:pPr>
      <w:r>
        <w:rPr>
          <w:rStyle w:val="18"/>
          <w:rFonts w:hint="eastAsia" w:ascii="宋体" w:hAnsi="宋体" w:eastAsia="宋体" w:cs="宋体"/>
          <w:b w:val="0"/>
          <w:bCs w:val="0"/>
          <w:sz w:val="32"/>
          <w:szCs w:val="32"/>
          <w:lang w:val="en-US" w:eastAsia="zh-CN"/>
        </w:rPr>
        <w:t>4、</w:t>
      </w:r>
      <w:r>
        <w:rPr>
          <w:rFonts w:hint="eastAsia" w:ascii="宋体" w:hAnsi="宋体" w:eastAsia="宋体" w:cs="宋体"/>
          <w:b w:val="0"/>
          <w:bCs w:val="0"/>
          <w:color w:val="000000"/>
          <w:sz w:val="32"/>
          <w:szCs w:val="32"/>
          <w:highlight w:val="none"/>
        </w:rPr>
        <w:t>卫生健康</w:t>
      </w:r>
      <w:r>
        <w:rPr>
          <w:rStyle w:val="18"/>
          <w:rFonts w:hint="eastAsia" w:ascii="宋体" w:hAnsi="宋体" w:eastAsia="宋体" w:cs="宋体"/>
          <w:b w:val="0"/>
          <w:bCs w:val="0"/>
          <w:color w:val="000000"/>
          <w:sz w:val="32"/>
          <w:szCs w:val="32"/>
          <w:highlight w:val="none"/>
        </w:rPr>
        <w:t>（类）行政事业单位医疗（款）其他行政事业单位医疗支出（项）:支出决算为</w:t>
      </w:r>
      <w:r>
        <w:rPr>
          <w:rStyle w:val="18"/>
          <w:rFonts w:hint="eastAsia" w:ascii="宋体" w:hAnsi="宋体" w:eastAsia="宋体" w:cs="宋体"/>
          <w:b w:val="0"/>
          <w:bCs w:val="0"/>
          <w:color w:val="000000"/>
          <w:sz w:val="32"/>
          <w:szCs w:val="32"/>
          <w:highlight w:val="none"/>
          <w:lang w:val="en-US" w:eastAsia="zh-CN"/>
        </w:rPr>
        <w:t>0.9</w:t>
      </w:r>
      <w:r>
        <w:rPr>
          <w:rStyle w:val="18"/>
          <w:rFonts w:hint="eastAsia" w:ascii="宋体" w:hAnsi="宋体" w:eastAsia="宋体" w:cs="宋体"/>
          <w:b w:val="0"/>
          <w:bCs w:val="0"/>
          <w:color w:val="000000"/>
          <w:sz w:val="32"/>
          <w:szCs w:val="32"/>
          <w:highlight w:val="none"/>
        </w:rPr>
        <w:t>万</w:t>
      </w:r>
      <w:r>
        <w:rPr>
          <w:rStyle w:val="18"/>
          <w:rFonts w:hint="eastAsia" w:ascii="宋体" w:hAnsi="宋体" w:eastAsia="宋体" w:cs="宋体"/>
          <w:b w:val="0"/>
          <w:bCs w:val="0"/>
          <w:color w:val="000000"/>
          <w:sz w:val="32"/>
          <w:szCs w:val="32"/>
          <w:highlight w:val="none"/>
        </w:rPr>
        <w:t>元，</w:t>
      </w:r>
      <w:r>
        <w:rPr>
          <w:rStyle w:val="18"/>
          <w:rFonts w:hint="eastAsia" w:ascii="宋体" w:hAnsi="宋体" w:eastAsia="宋体" w:cs="宋体"/>
          <w:b w:val="0"/>
          <w:bCs/>
          <w:sz w:val="32"/>
          <w:szCs w:val="32"/>
        </w:rPr>
        <w:t>完成预算</w:t>
      </w:r>
      <w:r>
        <w:rPr>
          <w:rStyle w:val="18"/>
          <w:rFonts w:hint="eastAsia" w:ascii="宋体" w:hAnsi="宋体" w:eastAsia="宋体" w:cs="宋体"/>
          <w:b w:val="0"/>
          <w:bCs/>
          <w:sz w:val="32"/>
          <w:szCs w:val="32"/>
          <w:lang w:val="en-US" w:eastAsia="zh-CN"/>
        </w:rPr>
        <w:t>100</w:t>
      </w:r>
      <w:r>
        <w:rPr>
          <w:rStyle w:val="18"/>
          <w:rFonts w:hint="eastAsia" w:ascii="宋体" w:hAnsi="宋体" w:eastAsia="宋体" w:cs="宋体"/>
          <w:b w:val="0"/>
          <w:bCs/>
          <w:sz w:val="32"/>
          <w:szCs w:val="32"/>
        </w:rPr>
        <w:t>%</w:t>
      </w:r>
      <w:r>
        <w:rPr>
          <w:rStyle w:val="18"/>
          <w:rFonts w:hint="eastAsia" w:ascii="宋体" w:hAnsi="宋体" w:eastAsia="宋体" w:cs="宋体"/>
          <w:b w:val="0"/>
          <w:bCs w:val="0"/>
          <w:color w:val="000000"/>
          <w:sz w:val="32"/>
          <w:szCs w:val="32"/>
          <w:highlight w:val="none"/>
        </w:rPr>
        <w:t>。</w:t>
      </w:r>
      <w:r>
        <w:rPr>
          <w:rFonts w:hint="eastAsia" w:ascii="宋体" w:hAnsi="宋体" w:eastAsia="宋体" w:cs="宋体"/>
          <w:color w:val="auto"/>
          <w:kern w:val="0"/>
          <w:sz w:val="32"/>
          <w:szCs w:val="32"/>
          <w:highlight w:val="none"/>
          <w:lang w:val="zh-CN" w:eastAsia="zh-CN" w:bidi="ar-SA"/>
        </w:rPr>
        <w:t>决算数等于预算数。</w:t>
      </w:r>
    </w:p>
    <w:p w14:paraId="56822B3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2"/>
        <w:rPr>
          <w:rFonts w:hint="eastAsia" w:ascii="宋体" w:hAnsi="宋体" w:eastAsia="宋体" w:cs="宋体"/>
          <w:color w:val="auto"/>
          <w:kern w:val="0"/>
          <w:sz w:val="32"/>
          <w:szCs w:val="32"/>
          <w:highlight w:val="none"/>
          <w:lang w:val="zh-CN" w:eastAsia="zh-CN" w:bidi="ar-SA"/>
        </w:rPr>
      </w:pPr>
      <w:r>
        <w:rPr>
          <w:rStyle w:val="18"/>
          <w:rFonts w:hint="eastAsia" w:ascii="宋体" w:hAnsi="宋体" w:eastAsia="宋体" w:cs="宋体"/>
          <w:b w:val="0"/>
          <w:bCs w:val="0"/>
          <w:color w:val="000000"/>
          <w:sz w:val="32"/>
          <w:szCs w:val="32"/>
          <w:highlight w:val="none"/>
          <w:lang w:val="en-US" w:eastAsia="zh-CN"/>
        </w:rPr>
        <w:t>5、</w:t>
      </w:r>
      <w:r>
        <w:rPr>
          <w:rStyle w:val="18"/>
          <w:rFonts w:hint="eastAsia" w:ascii="宋体" w:hAnsi="宋体" w:eastAsia="宋体" w:cs="宋体"/>
          <w:b w:val="0"/>
          <w:bCs w:val="0"/>
          <w:color w:val="000000"/>
          <w:sz w:val="32"/>
          <w:szCs w:val="32"/>
          <w:highlight w:val="none"/>
        </w:rPr>
        <w:t>资源勘探工业信息等支出（类）工业和信息产业监管（款）事业运行</w:t>
      </w:r>
      <w:r>
        <w:rPr>
          <w:rStyle w:val="18"/>
          <w:rFonts w:hint="eastAsia" w:ascii="宋体" w:hAnsi="宋体" w:eastAsia="宋体" w:cs="宋体"/>
          <w:b w:val="0"/>
          <w:bCs w:val="0"/>
          <w:color w:val="000000"/>
          <w:sz w:val="32"/>
          <w:szCs w:val="32"/>
          <w:highlight w:val="none"/>
          <w:lang w:val="en-US" w:eastAsia="zh-CN"/>
        </w:rPr>
        <w:t>支出</w:t>
      </w:r>
      <w:r>
        <w:rPr>
          <w:rStyle w:val="18"/>
          <w:rFonts w:hint="eastAsia" w:ascii="宋体" w:hAnsi="宋体" w:eastAsia="宋体" w:cs="宋体"/>
          <w:b w:val="0"/>
          <w:bCs w:val="0"/>
          <w:color w:val="000000"/>
          <w:sz w:val="32"/>
          <w:szCs w:val="32"/>
          <w:highlight w:val="none"/>
        </w:rPr>
        <w:t>（项）</w:t>
      </w:r>
      <w:r>
        <w:rPr>
          <w:rStyle w:val="18"/>
          <w:rFonts w:hint="eastAsia" w:ascii="宋体" w:hAnsi="宋体" w:eastAsia="宋体" w:cs="宋体"/>
          <w:b w:val="0"/>
          <w:bCs w:val="0"/>
          <w:color w:val="000000"/>
          <w:sz w:val="32"/>
          <w:szCs w:val="32"/>
          <w:highlight w:val="none"/>
          <w:lang w:eastAsia="zh-CN"/>
        </w:rPr>
        <w:t>：</w:t>
      </w:r>
      <w:r>
        <w:rPr>
          <w:rStyle w:val="18"/>
          <w:rFonts w:hint="eastAsia" w:ascii="宋体" w:hAnsi="宋体" w:eastAsia="宋体" w:cs="宋体"/>
          <w:b w:val="0"/>
          <w:bCs w:val="0"/>
          <w:color w:val="000000"/>
          <w:sz w:val="32"/>
          <w:szCs w:val="32"/>
          <w:highlight w:val="none"/>
        </w:rPr>
        <w:t>支出决算为</w:t>
      </w:r>
      <w:r>
        <w:rPr>
          <w:rStyle w:val="18"/>
          <w:rFonts w:hint="eastAsia" w:ascii="宋体" w:hAnsi="宋体" w:eastAsia="宋体" w:cs="宋体"/>
          <w:b w:val="0"/>
          <w:bCs w:val="0"/>
          <w:color w:val="000000"/>
          <w:sz w:val="32"/>
          <w:szCs w:val="32"/>
          <w:highlight w:val="none"/>
          <w:lang w:val="en-US" w:eastAsia="zh-CN"/>
        </w:rPr>
        <w:t>124.27</w:t>
      </w:r>
      <w:r>
        <w:rPr>
          <w:rStyle w:val="18"/>
          <w:rFonts w:hint="eastAsia" w:ascii="宋体" w:hAnsi="宋体" w:eastAsia="宋体" w:cs="宋体"/>
          <w:b w:val="0"/>
          <w:bCs w:val="0"/>
          <w:color w:val="000000"/>
          <w:sz w:val="32"/>
          <w:szCs w:val="32"/>
          <w:highlight w:val="none"/>
        </w:rPr>
        <w:t>万元</w:t>
      </w:r>
      <w:r>
        <w:rPr>
          <w:rStyle w:val="18"/>
          <w:rFonts w:hint="eastAsia" w:ascii="宋体" w:hAnsi="宋体" w:eastAsia="宋体" w:cs="宋体"/>
          <w:b w:val="0"/>
          <w:bCs w:val="0"/>
          <w:color w:val="000000"/>
          <w:sz w:val="32"/>
          <w:szCs w:val="32"/>
          <w:highlight w:val="none"/>
          <w:lang w:eastAsia="zh-CN"/>
        </w:rPr>
        <w:t>，</w:t>
      </w:r>
      <w:r>
        <w:rPr>
          <w:rStyle w:val="18"/>
          <w:rFonts w:hint="eastAsia" w:ascii="宋体" w:hAnsi="宋体" w:eastAsia="宋体" w:cs="宋体"/>
          <w:b w:val="0"/>
          <w:bCs/>
          <w:sz w:val="32"/>
          <w:szCs w:val="32"/>
        </w:rPr>
        <w:t>完成预算</w:t>
      </w:r>
      <w:r>
        <w:rPr>
          <w:rStyle w:val="18"/>
          <w:rFonts w:hint="eastAsia" w:ascii="宋体" w:hAnsi="宋体" w:eastAsia="宋体" w:cs="宋体"/>
          <w:b w:val="0"/>
          <w:bCs/>
          <w:sz w:val="32"/>
          <w:szCs w:val="32"/>
          <w:lang w:val="en-US" w:eastAsia="zh-CN"/>
        </w:rPr>
        <w:t>100</w:t>
      </w:r>
      <w:r>
        <w:rPr>
          <w:rStyle w:val="18"/>
          <w:rFonts w:hint="eastAsia" w:ascii="宋体" w:hAnsi="宋体" w:eastAsia="宋体" w:cs="宋体"/>
          <w:b w:val="0"/>
          <w:bCs/>
          <w:sz w:val="32"/>
          <w:szCs w:val="32"/>
        </w:rPr>
        <w:t>%</w:t>
      </w:r>
      <w:r>
        <w:rPr>
          <w:rStyle w:val="18"/>
          <w:rFonts w:hint="eastAsia" w:ascii="宋体" w:hAnsi="宋体" w:eastAsia="宋体" w:cs="宋体"/>
          <w:b w:val="0"/>
          <w:bCs w:val="0"/>
          <w:color w:val="000000"/>
          <w:sz w:val="32"/>
          <w:szCs w:val="32"/>
          <w:highlight w:val="none"/>
        </w:rPr>
        <w:t>。</w:t>
      </w:r>
      <w:r>
        <w:rPr>
          <w:rFonts w:hint="eastAsia" w:ascii="宋体" w:hAnsi="宋体" w:eastAsia="宋体" w:cs="宋体"/>
          <w:color w:val="auto"/>
          <w:kern w:val="0"/>
          <w:sz w:val="32"/>
          <w:szCs w:val="32"/>
          <w:highlight w:val="none"/>
          <w:lang w:val="zh-CN" w:eastAsia="zh-CN" w:bidi="ar-SA"/>
        </w:rPr>
        <w:t>决算数等于预算数。</w:t>
      </w:r>
    </w:p>
    <w:p w14:paraId="42DE1B4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2"/>
        <w:rPr>
          <w:rFonts w:hint="eastAsia" w:ascii="宋体" w:hAnsi="宋体" w:eastAsia="宋体" w:cs="宋体"/>
          <w:color w:val="auto"/>
          <w:kern w:val="0"/>
          <w:sz w:val="32"/>
          <w:szCs w:val="32"/>
          <w:highlight w:val="none"/>
          <w:lang w:val="zh-CN" w:eastAsia="zh-CN" w:bidi="ar-SA"/>
        </w:rPr>
      </w:pPr>
      <w:r>
        <w:rPr>
          <w:rFonts w:hint="eastAsia" w:ascii="宋体" w:hAnsi="宋体" w:eastAsia="宋体" w:cs="宋体"/>
          <w:b w:val="0"/>
          <w:bCs/>
          <w:color w:val="000000" w:themeColor="text1"/>
          <w:kern w:val="2"/>
          <w:sz w:val="32"/>
          <w:szCs w:val="32"/>
          <w:lang w:val="en-US" w:eastAsia="zh-CN" w:bidi="ar-SA"/>
          <w14:textFill>
            <w14:solidFill>
              <w14:schemeClr w14:val="tx1"/>
            </w14:solidFill>
          </w14:textFill>
        </w:rPr>
        <w:t>6、</w:t>
      </w:r>
      <w:r>
        <w:rPr>
          <w:rFonts w:hint="eastAsia" w:ascii="宋体" w:hAnsi="宋体" w:eastAsia="宋体" w:cs="宋体"/>
          <w:b w:val="0"/>
          <w:bCs w:val="0"/>
          <w:color w:val="000000" w:themeColor="text1"/>
          <w:sz w:val="32"/>
          <w:szCs w:val="32"/>
          <w:highlight w:val="none"/>
          <w14:textFill>
            <w14:solidFill>
              <w14:schemeClr w14:val="tx1"/>
            </w14:solidFill>
          </w14:textFill>
        </w:rPr>
        <w:t>住房保障支出</w:t>
      </w:r>
      <w:r>
        <w:rPr>
          <w:rStyle w:val="18"/>
          <w:rFonts w:hint="eastAsia" w:ascii="宋体" w:hAnsi="宋体" w:eastAsia="宋体" w:cs="宋体"/>
          <w:b w:val="0"/>
          <w:bCs w:val="0"/>
          <w:color w:val="000000" w:themeColor="text1"/>
          <w:sz w:val="32"/>
          <w:szCs w:val="32"/>
          <w:highlight w:val="none"/>
          <w14:textFill>
            <w14:solidFill>
              <w14:schemeClr w14:val="tx1"/>
            </w14:solidFill>
          </w14:textFill>
        </w:rPr>
        <w:t>（类）住房改革支出（款） 住房公积金（项）:支出决算为</w:t>
      </w:r>
      <w:r>
        <w:rPr>
          <w:rStyle w:val="18"/>
          <w:rFonts w:hint="eastAsia" w:ascii="宋体" w:hAnsi="宋体" w:eastAsia="宋体" w:cs="宋体"/>
          <w:b w:val="0"/>
          <w:bCs w:val="0"/>
          <w:color w:val="000000" w:themeColor="text1"/>
          <w:sz w:val="32"/>
          <w:szCs w:val="32"/>
          <w:highlight w:val="none"/>
          <w:lang w:val="en-US" w:eastAsia="zh-CN"/>
          <w14:textFill>
            <w14:solidFill>
              <w14:schemeClr w14:val="tx1"/>
            </w14:solidFill>
          </w14:textFill>
        </w:rPr>
        <w:t>11.99</w:t>
      </w:r>
      <w:r>
        <w:rPr>
          <w:rStyle w:val="18"/>
          <w:rFonts w:hint="eastAsia" w:ascii="宋体" w:hAnsi="宋体" w:eastAsia="宋体" w:cs="宋体"/>
          <w:b w:val="0"/>
          <w:bCs w:val="0"/>
          <w:color w:val="000000" w:themeColor="text1"/>
          <w:sz w:val="32"/>
          <w:szCs w:val="32"/>
          <w:highlight w:val="none"/>
          <w14:textFill>
            <w14:solidFill>
              <w14:schemeClr w14:val="tx1"/>
            </w14:solidFill>
          </w14:textFill>
        </w:rPr>
        <w:t>万元，完成预算</w:t>
      </w:r>
      <w:r>
        <w:rPr>
          <w:rStyle w:val="18"/>
          <w:rFonts w:hint="eastAsia" w:ascii="宋体" w:hAnsi="宋体" w:eastAsia="宋体" w:cs="宋体"/>
          <w:b w:val="0"/>
          <w:bCs w:val="0"/>
          <w:color w:val="000000" w:themeColor="text1"/>
          <w:sz w:val="32"/>
          <w:szCs w:val="32"/>
          <w:highlight w:val="none"/>
          <w:lang w:val="en-US" w:eastAsia="zh-CN"/>
          <w14:textFill>
            <w14:solidFill>
              <w14:schemeClr w14:val="tx1"/>
            </w14:solidFill>
          </w14:textFill>
        </w:rPr>
        <w:t>100</w:t>
      </w:r>
      <w:r>
        <w:rPr>
          <w:rStyle w:val="18"/>
          <w:rFonts w:hint="eastAsia" w:ascii="宋体" w:hAnsi="宋体" w:eastAsia="宋体" w:cs="宋体"/>
          <w:b w:val="0"/>
          <w:bCs w:val="0"/>
          <w:color w:val="000000" w:themeColor="text1"/>
          <w:sz w:val="32"/>
          <w:szCs w:val="32"/>
          <w:highlight w:val="none"/>
          <w14:textFill>
            <w14:solidFill>
              <w14:schemeClr w14:val="tx1"/>
            </w14:solidFill>
          </w14:textFill>
        </w:rPr>
        <w:t>%。</w:t>
      </w:r>
      <w:r>
        <w:rPr>
          <w:rFonts w:hint="eastAsia" w:ascii="宋体" w:hAnsi="宋体" w:eastAsia="宋体" w:cs="宋体"/>
          <w:color w:val="auto"/>
          <w:kern w:val="0"/>
          <w:sz w:val="32"/>
          <w:szCs w:val="32"/>
          <w:highlight w:val="none"/>
          <w:lang w:val="zh-CN" w:eastAsia="zh-CN" w:bidi="ar-SA"/>
        </w:rPr>
        <w:t>决算数等于预算数。</w:t>
      </w:r>
    </w:p>
    <w:p w14:paraId="71435A27">
      <w:pPr>
        <w:keepNext w:val="0"/>
        <w:keepLines w:val="0"/>
        <w:pageBreakBefore w:val="0"/>
        <w:widowControl w:val="0"/>
        <w:tabs>
          <w:tab w:val="right" w:pos="8306"/>
        </w:tabs>
        <w:kinsoku/>
        <w:wordWrap/>
        <w:overflowPunct/>
        <w:topLinePunct w:val="0"/>
        <w:autoSpaceDE/>
        <w:autoSpaceDN/>
        <w:bidi w:val="0"/>
        <w:adjustRightInd w:val="0"/>
        <w:snapToGrid/>
        <w:spacing w:line="660" w:lineRule="exact"/>
        <w:ind w:firstLine="640" w:firstLineChars="200"/>
        <w:textAlignment w:val="auto"/>
        <w:outlineLvl w:val="1"/>
        <w:rPr>
          <w:rStyle w:val="30"/>
          <w:rFonts w:hint="eastAsia" w:ascii="宋体" w:hAnsi="宋体" w:eastAsia="宋体" w:cs="宋体"/>
        </w:rPr>
      </w:pPr>
      <w:bookmarkStart w:id="34" w:name="_Toc15396608"/>
      <w:bookmarkStart w:id="35" w:name="_Toc15377214"/>
      <w:bookmarkStart w:id="67" w:name="_GoBack"/>
      <w:bookmarkEnd w:id="67"/>
      <w:r>
        <w:rPr>
          <w:rFonts w:hint="eastAsia" w:ascii="宋体" w:hAnsi="宋体" w:eastAsia="宋体" w:cs="宋体"/>
          <w:sz w:val="32"/>
          <w:szCs w:val="32"/>
        </w:rPr>
        <w:t>六</w:t>
      </w:r>
      <w:r>
        <w:rPr>
          <w:rFonts w:hint="eastAsia" w:ascii="宋体" w:hAnsi="宋体" w:eastAsia="宋体" w:cs="宋体"/>
          <w:b/>
          <w:sz w:val="32"/>
          <w:szCs w:val="32"/>
        </w:rPr>
        <w:t>、一</w:t>
      </w:r>
      <w:r>
        <w:rPr>
          <w:rStyle w:val="30"/>
          <w:rFonts w:hint="eastAsia" w:ascii="宋体" w:hAnsi="宋体" w:eastAsia="宋体" w:cs="宋体"/>
          <w:b w:val="0"/>
        </w:rPr>
        <w:t>般公共预算财政拨款基本支出决算情况说明</w:t>
      </w:r>
      <w:bookmarkEnd w:id="34"/>
      <w:bookmarkEnd w:id="35"/>
      <w:r>
        <w:rPr>
          <w:rStyle w:val="30"/>
          <w:rFonts w:hint="eastAsia" w:ascii="宋体" w:hAnsi="宋体" w:eastAsia="宋体" w:cs="宋体"/>
          <w:b w:val="0"/>
        </w:rPr>
        <w:tab/>
      </w:r>
    </w:p>
    <w:p w14:paraId="314FE1A7">
      <w:pPr>
        <w:keepNext w:val="0"/>
        <w:keepLines w:val="0"/>
        <w:pageBreakBefore w:val="0"/>
        <w:widowControl w:val="0"/>
        <w:kinsoku/>
        <w:wordWrap/>
        <w:overflowPunct/>
        <w:topLinePunct w:val="0"/>
        <w:autoSpaceDE/>
        <w:autoSpaceDN/>
        <w:bidi w:val="0"/>
        <w:adjustRightInd w:val="0"/>
        <w:snapToGrid/>
        <w:spacing w:line="66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2023年度一般公共预算财政拨款基本支出</w:t>
      </w:r>
      <w:r>
        <w:rPr>
          <w:rFonts w:hint="eastAsia" w:ascii="宋体" w:hAnsi="宋体" w:eastAsia="宋体" w:cs="宋体"/>
          <w:b/>
          <w:sz w:val="32"/>
          <w:szCs w:val="32"/>
        </w:rPr>
        <w:t>166.41</w:t>
      </w:r>
      <w:r>
        <w:rPr>
          <w:rFonts w:hint="eastAsia" w:ascii="宋体" w:hAnsi="宋体" w:eastAsia="宋体" w:cs="宋体"/>
          <w:sz w:val="32"/>
          <w:szCs w:val="32"/>
        </w:rPr>
        <w:t>万元，其中：</w:t>
      </w:r>
    </w:p>
    <w:p w14:paraId="3215262C">
      <w:pPr>
        <w:keepNext w:val="0"/>
        <w:keepLines w:val="0"/>
        <w:pageBreakBefore w:val="0"/>
        <w:widowControl w:val="0"/>
        <w:kinsoku/>
        <w:wordWrap/>
        <w:overflowPunct/>
        <w:topLinePunct w:val="0"/>
        <w:autoSpaceDE/>
        <w:autoSpaceDN/>
        <w:bidi w:val="0"/>
        <w:adjustRightInd w:val="0"/>
        <w:snapToGrid/>
        <w:spacing w:line="660" w:lineRule="exact"/>
        <w:ind w:firstLine="640" w:firstLineChars="200"/>
        <w:textAlignment w:val="auto"/>
        <w:rPr>
          <w:rFonts w:hint="eastAsia" w:ascii="宋体" w:hAnsi="宋体" w:eastAsia="宋体" w:cs="宋体"/>
          <w:b/>
          <w:sz w:val="32"/>
          <w:szCs w:val="32"/>
        </w:rPr>
      </w:pPr>
      <w:r>
        <w:rPr>
          <w:rFonts w:hint="eastAsia" w:ascii="宋体" w:hAnsi="宋体" w:eastAsia="宋体" w:cs="宋体"/>
          <w:sz w:val="32"/>
          <w:szCs w:val="32"/>
        </w:rPr>
        <w:t>人员经费</w:t>
      </w:r>
      <w:r>
        <w:rPr>
          <w:rFonts w:hint="eastAsia" w:ascii="宋体" w:hAnsi="宋体" w:eastAsia="宋体" w:cs="宋体"/>
          <w:b/>
          <w:sz w:val="32"/>
          <w:szCs w:val="32"/>
        </w:rPr>
        <w:t>149.13</w:t>
      </w:r>
      <w:r>
        <w:rPr>
          <w:rFonts w:hint="eastAsia" w:ascii="宋体" w:hAnsi="宋体" w:eastAsia="宋体" w:cs="宋体"/>
          <w:sz w:val="32"/>
          <w:szCs w:val="32"/>
        </w:rPr>
        <w:t>万元，主要包括：</w:t>
      </w:r>
      <w:r>
        <w:rPr>
          <w:rFonts w:hint="eastAsia" w:ascii="宋体" w:hAnsi="宋体" w:eastAsia="宋体" w:cs="宋体"/>
          <w:color w:val="000000" w:themeColor="text1"/>
          <w:sz w:val="32"/>
          <w:szCs w:val="32"/>
          <w14:textFill>
            <w14:solidFill>
              <w14:schemeClr w14:val="tx1"/>
            </w14:solidFill>
          </w14:textFill>
        </w:rPr>
        <w:t>基本工资、津贴补贴、绩效工资、机关事业单位基本养老保险缴费、职业年金缴费、职工基本医疗保险缴费</w:t>
      </w:r>
      <w:r>
        <w:rPr>
          <w:rFonts w:hint="eastAsia" w:ascii="宋体" w:hAnsi="宋体" w:eastAsia="宋体" w:cs="宋体"/>
          <w:b/>
          <w:bCs/>
          <w:color w:val="000000" w:themeColor="text1"/>
          <w:sz w:val="32"/>
          <w:szCs w:val="32"/>
          <w:lang w:eastAsia="zh-CN"/>
          <w14:textFill>
            <w14:solidFill>
              <w14:schemeClr w14:val="tx1"/>
            </w14:solidFill>
          </w14:textFill>
        </w:rPr>
        <w:t>、</w:t>
      </w:r>
      <w:r>
        <w:rPr>
          <w:rFonts w:hint="eastAsia" w:ascii="宋体" w:hAnsi="宋体" w:eastAsia="宋体" w:cs="宋体"/>
          <w:color w:val="000000" w:themeColor="text1"/>
          <w:sz w:val="32"/>
          <w:szCs w:val="32"/>
          <w14:textFill>
            <w14:solidFill>
              <w14:schemeClr w14:val="tx1"/>
            </w14:solidFill>
          </w14:textFill>
        </w:rPr>
        <w:t>其他社会保障缴费、住房公积金</w:t>
      </w:r>
      <w:r>
        <w:rPr>
          <w:rFonts w:hint="eastAsia" w:ascii="宋体" w:hAnsi="宋体" w:eastAsia="宋体" w:cs="宋体"/>
          <w:color w:val="000000" w:themeColor="text1"/>
          <w:sz w:val="32"/>
          <w:szCs w:val="32"/>
          <w:lang w:eastAsia="zh-CN"/>
          <w14:textFill>
            <w14:solidFill>
              <w14:schemeClr w14:val="tx1"/>
            </w14:solidFill>
          </w14:textFill>
        </w:rPr>
        <w:t>。</w:t>
      </w:r>
      <w:r>
        <w:rPr>
          <w:rFonts w:hint="eastAsia" w:ascii="宋体" w:hAnsi="宋体" w:eastAsia="宋体" w:cs="宋体"/>
          <w:color w:val="000000" w:themeColor="text1"/>
          <w:sz w:val="32"/>
          <w:szCs w:val="32"/>
          <w14:textFill>
            <w14:solidFill>
              <w14:schemeClr w14:val="tx1"/>
            </w14:solidFill>
          </w14:textFill>
        </w:rPr>
        <w:br w:type="textWrapping"/>
      </w:r>
      <w:r>
        <w:rPr>
          <w:rFonts w:hint="eastAsia" w:ascii="宋体" w:hAnsi="宋体" w:eastAsia="宋体" w:cs="宋体"/>
          <w:sz w:val="32"/>
          <w:szCs w:val="32"/>
        </w:rPr>
        <w:t>　　公用经费</w:t>
      </w:r>
      <w:r>
        <w:rPr>
          <w:rFonts w:hint="eastAsia" w:ascii="宋体" w:hAnsi="宋体" w:eastAsia="宋体" w:cs="宋体"/>
          <w:b/>
          <w:sz w:val="32"/>
          <w:szCs w:val="32"/>
        </w:rPr>
        <w:t>17.27</w:t>
      </w:r>
      <w:r>
        <w:rPr>
          <w:rFonts w:hint="eastAsia" w:ascii="宋体" w:hAnsi="宋体" w:eastAsia="宋体" w:cs="宋体"/>
          <w:sz w:val="32"/>
          <w:szCs w:val="32"/>
        </w:rPr>
        <w:t>万元，主要包括：办公费、差旅费、劳务费、工会经费、福利费、公务用车运行维护费</w:t>
      </w:r>
      <w:r>
        <w:rPr>
          <w:rFonts w:hint="eastAsia" w:ascii="宋体" w:hAnsi="宋体" w:eastAsia="宋体" w:cs="宋体"/>
          <w:sz w:val="32"/>
          <w:szCs w:val="32"/>
          <w:lang w:eastAsia="zh-CN"/>
        </w:rPr>
        <w:t>。</w:t>
      </w:r>
    </w:p>
    <w:p w14:paraId="1CB9DD59">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1"/>
        <w:rPr>
          <w:rStyle w:val="30"/>
          <w:rFonts w:hint="eastAsia" w:ascii="宋体" w:hAnsi="宋体" w:eastAsia="宋体" w:cs="宋体"/>
          <w:b w:val="0"/>
        </w:rPr>
      </w:pPr>
      <w:bookmarkStart w:id="36" w:name="_Toc15377215"/>
      <w:bookmarkStart w:id="37" w:name="_Toc15396609"/>
      <w:r>
        <w:rPr>
          <w:rFonts w:hint="eastAsia" w:ascii="宋体" w:hAnsi="宋体" w:eastAsia="宋体" w:cs="宋体"/>
          <w:sz w:val="32"/>
          <w:szCs w:val="32"/>
        </w:rPr>
        <w:t>七、</w:t>
      </w:r>
      <w:r>
        <w:rPr>
          <w:rStyle w:val="30"/>
          <w:rFonts w:hint="eastAsia" w:ascii="宋体" w:hAnsi="宋体" w:eastAsia="宋体" w:cs="宋体"/>
          <w:b w:val="0"/>
        </w:rPr>
        <w:t>财政拨款</w:t>
      </w:r>
      <w:r>
        <w:rPr>
          <w:rStyle w:val="30"/>
          <w:rFonts w:hint="eastAsia" w:ascii="宋体" w:hAnsi="宋体" w:eastAsia="宋体" w:cs="宋体"/>
        </w:rPr>
        <w:t>“</w:t>
      </w:r>
      <w:r>
        <w:rPr>
          <w:rStyle w:val="30"/>
          <w:rFonts w:hint="eastAsia" w:ascii="宋体" w:hAnsi="宋体" w:eastAsia="宋体" w:cs="宋体"/>
          <w:b w:val="0"/>
        </w:rPr>
        <w:t>三公”经费支出决算情况说明</w:t>
      </w:r>
      <w:bookmarkEnd w:id="36"/>
      <w:bookmarkEnd w:id="37"/>
    </w:p>
    <w:p w14:paraId="60FEEF47">
      <w:pPr>
        <w:keepNext w:val="0"/>
        <w:keepLines w:val="0"/>
        <w:pageBreakBefore w:val="0"/>
        <w:widowControl w:val="0"/>
        <w:kinsoku/>
        <w:wordWrap/>
        <w:overflowPunct/>
        <w:topLinePunct w:val="0"/>
        <w:autoSpaceDE/>
        <w:autoSpaceDN/>
        <w:bidi w:val="0"/>
        <w:adjustRightInd/>
        <w:snapToGrid/>
        <w:spacing w:line="660" w:lineRule="exact"/>
        <w:ind w:firstLine="643" w:firstLineChars="200"/>
        <w:textAlignment w:val="auto"/>
        <w:outlineLvl w:val="2"/>
        <w:rPr>
          <w:rFonts w:hint="eastAsia" w:ascii="宋体" w:hAnsi="宋体" w:eastAsia="宋体" w:cs="宋体"/>
          <w:b/>
          <w:sz w:val="32"/>
          <w:szCs w:val="32"/>
        </w:rPr>
      </w:pPr>
      <w:bookmarkStart w:id="38" w:name="_Toc15377216"/>
      <w:r>
        <w:rPr>
          <w:rFonts w:hint="eastAsia" w:ascii="宋体" w:hAnsi="宋体" w:eastAsia="宋体" w:cs="宋体"/>
          <w:b/>
          <w:sz w:val="32"/>
          <w:szCs w:val="32"/>
        </w:rPr>
        <w:t>（一）“三公”经费财政拨款支出决算总体情况说明</w:t>
      </w:r>
      <w:bookmarkEnd w:id="38"/>
    </w:p>
    <w:p w14:paraId="3DEF9631">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宋体" w:hAnsi="宋体" w:eastAsia="宋体" w:cs="宋体"/>
          <w:color w:val="000000" w:themeColor="text1"/>
          <w:sz w:val="32"/>
          <w:szCs w:val="32"/>
          <w:lang w:val="en-US"/>
          <w14:textFill>
            <w14:solidFill>
              <w14:schemeClr w14:val="tx1"/>
            </w14:solidFill>
          </w14:textFill>
        </w:rPr>
      </w:pPr>
      <w:r>
        <w:rPr>
          <w:rFonts w:hint="eastAsia" w:ascii="宋体" w:hAnsi="宋体" w:eastAsia="宋体" w:cs="宋体"/>
          <w:sz w:val="32"/>
          <w:szCs w:val="32"/>
        </w:rPr>
        <w:t>2023年度“三公”经费财政拨款支出决算为</w:t>
      </w:r>
      <w:r>
        <w:rPr>
          <w:rFonts w:hint="eastAsia" w:ascii="宋体" w:hAnsi="宋体" w:eastAsia="宋体" w:cs="宋体"/>
          <w:b/>
          <w:sz w:val="32"/>
          <w:szCs w:val="32"/>
        </w:rPr>
        <w:t>1.98</w:t>
      </w:r>
      <w:r>
        <w:rPr>
          <w:rFonts w:hint="eastAsia" w:ascii="宋体" w:hAnsi="宋体" w:eastAsia="宋体" w:cs="宋体"/>
          <w:sz w:val="32"/>
          <w:szCs w:val="32"/>
        </w:rPr>
        <w:t>万元，完成预算</w:t>
      </w:r>
      <w:r>
        <w:rPr>
          <w:rFonts w:hint="eastAsia" w:ascii="宋体" w:hAnsi="宋体" w:eastAsia="宋体" w:cs="宋体"/>
          <w:sz w:val="32"/>
          <w:szCs w:val="32"/>
          <w:lang w:val="en-US" w:eastAsia="zh-CN"/>
        </w:rPr>
        <w:t>100</w:t>
      </w:r>
      <w:r>
        <w:rPr>
          <w:rFonts w:hint="eastAsia" w:ascii="宋体" w:hAnsi="宋体" w:eastAsia="宋体" w:cs="宋体"/>
          <w:sz w:val="32"/>
          <w:szCs w:val="32"/>
        </w:rPr>
        <w:t>%，较上年度增加</w:t>
      </w:r>
      <w:r>
        <w:rPr>
          <w:rFonts w:hint="eastAsia" w:ascii="宋体" w:hAnsi="宋体" w:eastAsia="宋体" w:cs="宋体"/>
          <w:sz w:val="32"/>
          <w:szCs w:val="32"/>
          <w:lang w:val="en-US" w:eastAsia="zh-CN"/>
        </w:rPr>
        <w:t>1.98</w:t>
      </w:r>
      <w:r>
        <w:rPr>
          <w:rFonts w:hint="eastAsia" w:ascii="宋体" w:hAnsi="宋体" w:eastAsia="宋体" w:cs="宋体"/>
          <w:sz w:val="32"/>
          <w:szCs w:val="32"/>
        </w:rPr>
        <w:t>万元，增长</w:t>
      </w:r>
      <w:r>
        <w:rPr>
          <w:rFonts w:hint="eastAsia" w:ascii="宋体" w:hAnsi="宋体" w:eastAsia="宋体" w:cs="宋体"/>
          <w:sz w:val="32"/>
          <w:szCs w:val="32"/>
          <w:lang w:val="en-US" w:eastAsia="zh-CN"/>
        </w:rPr>
        <w:t>100</w:t>
      </w:r>
      <w:r>
        <w:rPr>
          <w:rFonts w:hint="eastAsia" w:ascii="宋体" w:hAnsi="宋体" w:eastAsia="宋体" w:cs="宋体"/>
          <w:sz w:val="32"/>
          <w:szCs w:val="32"/>
        </w:rPr>
        <w:t>%。</w:t>
      </w:r>
      <w:r>
        <w:rPr>
          <w:rFonts w:hint="eastAsia" w:ascii="宋体" w:hAnsi="宋体" w:eastAsia="宋体" w:cs="宋体"/>
          <w:color w:val="000000" w:themeColor="text1"/>
          <w:sz w:val="32"/>
          <w:szCs w:val="32"/>
          <w:lang w:val="en-US" w:eastAsia="zh-CN"/>
          <w14:textFill>
            <w14:solidFill>
              <w14:schemeClr w14:val="tx1"/>
            </w14:solidFill>
          </w14:textFill>
        </w:rPr>
        <w:t>2022年决算是本单位合并到四川五通桥经济开发区管委会中</w:t>
      </w:r>
      <w:r>
        <w:rPr>
          <w:rFonts w:hint="eastAsia" w:ascii="宋体" w:hAnsi="宋体" w:eastAsia="宋体" w:cs="宋体"/>
          <w:color w:val="000000" w:themeColor="text1"/>
          <w:sz w:val="32"/>
          <w:szCs w:val="32"/>
          <w14:textFill>
            <w14:solidFill>
              <w14:schemeClr w14:val="tx1"/>
            </w14:solidFill>
          </w14:textFill>
        </w:rPr>
        <w:t>。</w:t>
      </w:r>
      <w:r>
        <w:rPr>
          <w:rFonts w:hint="eastAsia" w:ascii="宋体" w:hAnsi="宋体" w:eastAsia="宋体" w:cs="宋体"/>
          <w:color w:val="000000" w:themeColor="text1"/>
          <w:sz w:val="32"/>
          <w:szCs w:val="32"/>
          <w:lang w:val="en-US" w:eastAsia="zh-CN"/>
          <w14:textFill>
            <w14:solidFill>
              <w14:schemeClr w14:val="tx1"/>
            </w14:solidFill>
          </w14:textFill>
        </w:rPr>
        <w:t>所以五通桥区工业基地服务中心没有上年数。</w:t>
      </w:r>
    </w:p>
    <w:p w14:paraId="73A83172">
      <w:pPr>
        <w:keepNext w:val="0"/>
        <w:keepLines w:val="0"/>
        <w:pageBreakBefore w:val="0"/>
        <w:widowControl w:val="0"/>
        <w:kinsoku/>
        <w:wordWrap/>
        <w:overflowPunct/>
        <w:topLinePunct w:val="0"/>
        <w:autoSpaceDE/>
        <w:autoSpaceDN/>
        <w:bidi w:val="0"/>
        <w:adjustRightInd/>
        <w:snapToGrid/>
        <w:spacing w:line="660" w:lineRule="exact"/>
        <w:ind w:firstLine="643" w:firstLineChars="200"/>
        <w:textAlignment w:val="auto"/>
        <w:outlineLvl w:val="2"/>
        <w:rPr>
          <w:rFonts w:hint="eastAsia" w:ascii="宋体" w:hAnsi="宋体" w:eastAsia="宋体" w:cs="宋体"/>
          <w:b/>
          <w:sz w:val="32"/>
          <w:szCs w:val="32"/>
        </w:rPr>
      </w:pPr>
      <w:bookmarkStart w:id="39" w:name="_Toc15377217"/>
      <w:r>
        <w:rPr>
          <w:rFonts w:hint="eastAsia" w:ascii="宋体" w:hAnsi="宋体" w:eastAsia="宋体" w:cs="宋体"/>
          <w:b/>
          <w:sz w:val="32"/>
          <w:szCs w:val="32"/>
        </w:rPr>
        <w:t>（二）“三公”经费财政拨款支出决算具体情况说明</w:t>
      </w:r>
      <w:bookmarkEnd w:id="39"/>
    </w:p>
    <w:p w14:paraId="156DB2A6">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2023年度“三公”经费财政拨款支出决算中，因公出国（境）费支出决算</w:t>
      </w:r>
      <w:r>
        <w:rPr>
          <w:rFonts w:hint="eastAsia" w:ascii="宋体" w:hAnsi="宋体" w:eastAsia="宋体" w:cs="宋体"/>
          <w:b/>
          <w:sz w:val="32"/>
          <w:szCs w:val="32"/>
        </w:rPr>
        <w:t>0</w:t>
      </w:r>
      <w:r>
        <w:rPr>
          <w:rFonts w:hint="eastAsia" w:ascii="宋体" w:hAnsi="宋体" w:eastAsia="宋体" w:cs="宋体"/>
          <w:sz w:val="32"/>
          <w:szCs w:val="32"/>
        </w:rPr>
        <w:t>万元，占</w:t>
      </w:r>
      <w:r>
        <w:rPr>
          <w:rFonts w:hint="eastAsia" w:ascii="宋体" w:hAnsi="宋体" w:eastAsia="宋体" w:cs="宋体"/>
          <w:b/>
          <w:sz w:val="32"/>
          <w:szCs w:val="32"/>
        </w:rPr>
        <w:t>0</w:t>
      </w:r>
      <w:r>
        <w:rPr>
          <w:rFonts w:hint="eastAsia" w:ascii="宋体" w:hAnsi="宋体" w:eastAsia="宋体" w:cs="宋体"/>
          <w:sz w:val="32"/>
          <w:szCs w:val="32"/>
        </w:rPr>
        <w:t>%；公务用车购置及运行维护费支出决算</w:t>
      </w:r>
      <w:r>
        <w:rPr>
          <w:rFonts w:hint="eastAsia" w:ascii="宋体" w:hAnsi="宋体" w:eastAsia="宋体" w:cs="宋体"/>
          <w:b/>
          <w:sz w:val="32"/>
          <w:szCs w:val="32"/>
        </w:rPr>
        <w:t>1.98</w:t>
      </w:r>
      <w:r>
        <w:rPr>
          <w:rFonts w:hint="eastAsia" w:ascii="宋体" w:hAnsi="宋体" w:eastAsia="宋体" w:cs="宋体"/>
          <w:sz w:val="32"/>
          <w:szCs w:val="32"/>
        </w:rPr>
        <w:t>万元，占</w:t>
      </w:r>
      <w:r>
        <w:rPr>
          <w:rFonts w:hint="eastAsia" w:ascii="宋体" w:hAnsi="宋体" w:eastAsia="宋体" w:cs="宋体"/>
          <w:b/>
          <w:sz w:val="32"/>
          <w:szCs w:val="32"/>
        </w:rPr>
        <w:t>100</w:t>
      </w:r>
      <w:r>
        <w:rPr>
          <w:rFonts w:hint="eastAsia" w:ascii="宋体" w:hAnsi="宋体" w:eastAsia="宋体" w:cs="宋体"/>
          <w:sz w:val="32"/>
          <w:szCs w:val="32"/>
        </w:rPr>
        <w:t>%；公务接待费支出决算</w:t>
      </w:r>
      <w:r>
        <w:rPr>
          <w:rFonts w:hint="eastAsia" w:ascii="宋体" w:hAnsi="宋体" w:eastAsia="宋体" w:cs="宋体"/>
          <w:b/>
          <w:sz w:val="32"/>
          <w:szCs w:val="32"/>
        </w:rPr>
        <w:t>0</w:t>
      </w:r>
      <w:r>
        <w:rPr>
          <w:rFonts w:hint="eastAsia" w:ascii="宋体" w:hAnsi="宋体" w:eastAsia="宋体" w:cs="宋体"/>
          <w:sz w:val="32"/>
          <w:szCs w:val="32"/>
        </w:rPr>
        <w:t>万元，占</w:t>
      </w:r>
      <w:r>
        <w:rPr>
          <w:rFonts w:hint="eastAsia" w:ascii="宋体" w:hAnsi="宋体" w:eastAsia="宋体" w:cs="宋体"/>
          <w:b/>
          <w:sz w:val="32"/>
          <w:szCs w:val="32"/>
        </w:rPr>
        <w:t>0</w:t>
      </w:r>
      <w:r>
        <w:rPr>
          <w:rFonts w:hint="eastAsia" w:ascii="宋体" w:hAnsi="宋体" w:eastAsia="宋体" w:cs="宋体"/>
          <w:sz w:val="32"/>
          <w:szCs w:val="32"/>
        </w:rPr>
        <w:t>%。具体情况如下：</w:t>
      </w:r>
    </w:p>
    <w:p w14:paraId="6981663C">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rPr>
          <w:rFonts w:hint="eastAsia" w:ascii="宋体" w:hAnsi="宋体" w:eastAsia="宋体" w:cs="宋体"/>
          <w:sz w:val="32"/>
          <w:szCs w:val="32"/>
        </w:rPr>
      </w:pPr>
    </w:p>
    <w:p w14:paraId="3B1EC407">
      <w:pPr>
        <w:keepNext w:val="0"/>
        <w:keepLines w:val="0"/>
        <w:pageBreakBefore w:val="0"/>
        <w:widowControl w:val="0"/>
        <w:kinsoku/>
        <w:wordWrap/>
        <w:overflowPunct/>
        <w:topLinePunct w:val="0"/>
        <w:autoSpaceDE/>
        <w:autoSpaceDN/>
        <w:bidi w:val="0"/>
        <w:snapToGrid/>
        <w:spacing w:line="660" w:lineRule="exact"/>
        <w:ind w:firstLine="640"/>
        <w:textAlignment w:val="auto"/>
        <w:rPr>
          <w:rFonts w:hint="eastAsia" w:ascii="宋体" w:hAnsi="宋体" w:eastAsia="宋体" w:cs="宋体"/>
          <w:b/>
          <w:sz w:val="32"/>
          <w:szCs w:val="32"/>
        </w:rPr>
      </w:pPr>
      <w:bookmarkStart w:id="40" w:name="_Toc15377218"/>
      <w:bookmarkStart w:id="41" w:name="_Toc15396610"/>
    </w:p>
    <w:p w14:paraId="63012610">
      <w:pPr>
        <w:spacing w:line="600" w:lineRule="exact"/>
        <w:ind w:firstLine="640"/>
        <w:rPr>
          <w:rFonts w:hint="eastAsia" w:ascii="宋体" w:hAnsi="宋体" w:eastAsia="宋体" w:cs="宋体"/>
          <w:b/>
          <w:sz w:val="32"/>
          <w:szCs w:val="32"/>
        </w:rPr>
      </w:pPr>
    </w:p>
    <w:p w14:paraId="028B5A60">
      <w:pPr>
        <w:spacing w:line="600" w:lineRule="exact"/>
        <w:ind w:firstLine="640"/>
        <w:rPr>
          <w:rFonts w:hint="eastAsia" w:ascii="宋体" w:hAnsi="宋体" w:eastAsia="宋体" w:cs="宋体"/>
          <w:b/>
          <w:sz w:val="32"/>
          <w:szCs w:val="32"/>
        </w:rPr>
      </w:pPr>
    </w:p>
    <w:p w14:paraId="23A659A5">
      <w:pPr>
        <w:spacing w:line="600" w:lineRule="exact"/>
        <w:ind w:firstLine="640"/>
        <w:rPr>
          <w:rFonts w:hint="eastAsia" w:ascii="宋体" w:hAnsi="宋体" w:eastAsia="宋体" w:cs="宋体"/>
          <w:b/>
          <w:sz w:val="32"/>
          <w:szCs w:val="32"/>
        </w:rPr>
      </w:pPr>
      <w:r>
        <w:drawing>
          <wp:anchor distT="0" distB="0" distL="114300" distR="114300" simplePos="0" relativeHeight="251665408" behindDoc="1" locked="0" layoutInCell="1" allowOverlap="1">
            <wp:simplePos x="0" y="0"/>
            <wp:positionH relativeFrom="column">
              <wp:posOffset>219710</wp:posOffset>
            </wp:positionH>
            <wp:positionV relativeFrom="paragraph">
              <wp:posOffset>69850</wp:posOffset>
            </wp:positionV>
            <wp:extent cx="4829175" cy="2952115"/>
            <wp:effectExtent l="4445" t="4445" r="5080" b="15240"/>
            <wp:wrapNone/>
            <wp:docPr id="7"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14:paraId="4F21E7FA">
      <w:pPr>
        <w:spacing w:line="600" w:lineRule="exact"/>
        <w:ind w:firstLine="640"/>
        <w:rPr>
          <w:rFonts w:hint="eastAsia" w:ascii="宋体" w:hAnsi="宋体" w:eastAsia="宋体" w:cs="宋体"/>
          <w:b/>
          <w:sz w:val="32"/>
          <w:szCs w:val="32"/>
        </w:rPr>
      </w:pPr>
    </w:p>
    <w:p w14:paraId="36AA4799">
      <w:pPr>
        <w:pStyle w:val="5"/>
        <w:rPr>
          <w:rFonts w:hint="eastAsia" w:ascii="宋体" w:hAnsi="宋体" w:eastAsia="宋体" w:cs="宋体"/>
          <w:b/>
          <w:sz w:val="32"/>
          <w:szCs w:val="32"/>
        </w:rPr>
      </w:pPr>
    </w:p>
    <w:p w14:paraId="338A7DDA">
      <w:pPr>
        <w:pStyle w:val="5"/>
        <w:rPr>
          <w:rFonts w:hint="eastAsia" w:ascii="宋体" w:hAnsi="宋体" w:eastAsia="宋体" w:cs="宋体"/>
          <w:b/>
          <w:sz w:val="32"/>
          <w:szCs w:val="32"/>
        </w:rPr>
      </w:pPr>
    </w:p>
    <w:p w14:paraId="4785777B">
      <w:pPr>
        <w:pStyle w:val="5"/>
        <w:rPr>
          <w:rFonts w:hint="eastAsia" w:ascii="宋体" w:hAnsi="宋体" w:eastAsia="宋体" w:cs="宋体"/>
          <w:b/>
          <w:sz w:val="32"/>
          <w:szCs w:val="32"/>
        </w:rPr>
      </w:pPr>
    </w:p>
    <w:p w14:paraId="7DC5A9DA">
      <w:pPr>
        <w:spacing w:line="600" w:lineRule="exact"/>
        <w:ind w:firstLine="640"/>
        <w:rPr>
          <w:rFonts w:hint="eastAsia" w:ascii="宋体" w:hAnsi="宋体" w:eastAsia="宋体" w:cs="宋体"/>
          <w:b/>
          <w:sz w:val="32"/>
          <w:szCs w:val="32"/>
        </w:rPr>
      </w:pPr>
    </w:p>
    <w:p w14:paraId="30EDB522">
      <w:pPr>
        <w:spacing w:line="600" w:lineRule="exact"/>
        <w:ind w:firstLine="640"/>
        <w:rPr>
          <w:rFonts w:hint="eastAsia" w:ascii="宋体" w:hAnsi="宋体" w:eastAsia="宋体" w:cs="宋体"/>
          <w:b/>
          <w:sz w:val="32"/>
          <w:szCs w:val="32"/>
        </w:rPr>
      </w:pPr>
    </w:p>
    <w:p w14:paraId="45F34648">
      <w:pPr>
        <w:pStyle w:val="5"/>
        <w:ind w:left="0" w:leftChars="0" w:firstLine="0" w:firstLineChars="0"/>
        <w:rPr>
          <w:rFonts w:hint="eastAsia" w:ascii="宋体" w:hAnsi="宋体" w:eastAsia="宋体" w:cs="宋体"/>
          <w:b/>
          <w:sz w:val="32"/>
          <w:szCs w:val="32"/>
        </w:rPr>
      </w:pPr>
    </w:p>
    <w:p w14:paraId="35F5603E">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宋体" w:hAnsi="宋体" w:eastAsia="宋体" w:cs="宋体"/>
          <w:sz w:val="32"/>
          <w:szCs w:val="32"/>
        </w:rPr>
      </w:pPr>
      <w:r>
        <w:rPr>
          <w:rFonts w:hint="eastAsia" w:ascii="宋体" w:hAnsi="宋体" w:eastAsia="宋体" w:cs="宋体"/>
          <w:b/>
          <w:sz w:val="32"/>
          <w:szCs w:val="32"/>
        </w:rPr>
        <w:t>1.因公出国（境）经费支出0</w:t>
      </w:r>
      <w:r>
        <w:rPr>
          <w:rFonts w:hint="eastAsia" w:ascii="宋体" w:hAnsi="宋体" w:eastAsia="宋体" w:cs="宋体"/>
          <w:sz w:val="32"/>
          <w:szCs w:val="32"/>
        </w:rPr>
        <w:t>万元，</w:t>
      </w:r>
      <w:r>
        <w:rPr>
          <w:rStyle w:val="18"/>
          <w:rFonts w:hint="eastAsia" w:ascii="宋体" w:hAnsi="宋体" w:eastAsia="宋体" w:cs="宋体"/>
          <w:b w:val="0"/>
          <w:bCs/>
          <w:sz w:val="32"/>
          <w:szCs w:val="32"/>
        </w:rPr>
        <w:t>完成预算</w:t>
      </w:r>
      <w:r>
        <w:rPr>
          <w:rStyle w:val="18"/>
          <w:rFonts w:hint="eastAsia" w:ascii="宋体" w:hAnsi="宋体" w:eastAsia="宋体" w:cs="宋体"/>
          <w:bCs/>
          <w:sz w:val="32"/>
          <w:szCs w:val="32"/>
        </w:rPr>
        <w:t>0</w:t>
      </w:r>
      <w:r>
        <w:rPr>
          <w:rStyle w:val="18"/>
          <w:rFonts w:hint="eastAsia" w:ascii="宋体" w:hAnsi="宋体" w:eastAsia="宋体" w:cs="宋体"/>
          <w:b w:val="0"/>
          <w:bCs/>
          <w:sz w:val="32"/>
          <w:szCs w:val="32"/>
        </w:rPr>
        <w:t>%。</w:t>
      </w:r>
      <w:r>
        <w:rPr>
          <w:rFonts w:hint="eastAsia" w:ascii="宋体" w:hAnsi="宋体" w:eastAsia="宋体" w:cs="宋体"/>
          <w:sz w:val="32"/>
          <w:szCs w:val="32"/>
        </w:rPr>
        <w:t>全年安排因公出国（境）团组</w:t>
      </w:r>
      <w:r>
        <w:rPr>
          <w:rFonts w:hint="eastAsia" w:ascii="宋体" w:hAnsi="宋体" w:eastAsia="宋体" w:cs="宋体"/>
          <w:b/>
          <w:sz w:val="32"/>
          <w:szCs w:val="32"/>
        </w:rPr>
        <w:t>0</w:t>
      </w:r>
      <w:r>
        <w:rPr>
          <w:rFonts w:hint="eastAsia" w:ascii="宋体" w:hAnsi="宋体" w:eastAsia="宋体" w:cs="宋体"/>
          <w:sz w:val="32"/>
          <w:szCs w:val="32"/>
        </w:rPr>
        <w:t>次，出国（境）</w:t>
      </w:r>
      <w:r>
        <w:rPr>
          <w:rFonts w:hint="eastAsia" w:ascii="宋体" w:hAnsi="宋体" w:eastAsia="宋体" w:cs="宋体"/>
          <w:b/>
          <w:sz w:val="32"/>
          <w:szCs w:val="32"/>
        </w:rPr>
        <w:t>0</w:t>
      </w:r>
      <w:r>
        <w:rPr>
          <w:rFonts w:hint="eastAsia" w:ascii="宋体" w:hAnsi="宋体" w:eastAsia="宋体" w:cs="宋体"/>
          <w:sz w:val="32"/>
          <w:szCs w:val="32"/>
        </w:rPr>
        <w:t>人。因公出国（境）支出决算比2022年增加/减少</w:t>
      </w:r>
      <w:r>
        <w:rPr>
          <w:rFonts w:hint="eastAsia" w:ascii="宋体" w:hAnsi="宋体" w:eastAsia="宋体" w:cs="宋体"/>
          <w:sz w:val="32"/>
          <w:szCs w:val="32"/>
          <w:lang w:val="en-US" w:eastAsia="zh-CN"/>
        </w:rPr>
        <w:t>0</w:t>
      </w:r>
      <w:r>
        <w:rPr>
          <w:rFonts w:hint="eastAsia" w:ascii="宋体" w:hAnsi="宋体" w:eastAsia="宋体" w:cs="宋体"/>
          <w:sz w:val="32"/>
          <w:szCs w:val="32"/>
        </w:rPr>
        <w:t>万元，增长/下降</w:t>
      </w:r>
      <w:r>
        <w:rPr>
          <w:rFonts w:hint="eastAsia" w:ascii="宋体" w:hAnsi="宋体" w:eastAsia="宋体" w:cs="宋体"/>
          <w:sz w:val="32"/>
          <w:szCs w:val="32"/>
          <w:lang w:val="en-US" w:eastAsia="zh-CN"/>
        </w:rPr>
        <w:t>0</w:t>
      </w:r>
      <w:r>
        <w:rPr>
          <w:rFonts w:hint="eastAsia" w:ascii="宋体" w:hAnsi="宋体" w:eastAsia="宋体" w:cs="宋体"/>
          <w:sz w:val="32"/>
          <w:szCs w:val="32"/>
        </w:rPr>
        <w:t>%。</w:t>
      </w:r>
    </w:p>
    <w:p w14:paraId="29F1BEC1">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宋体" w:hAnsi="宋体" w:eastAsia="宋体" w:cs="宋体"/>
          <w:color w:val="000000" w:themeColor="text1"/>
          <w:sz w:val="32"/>
          <w:szCs w:val="32"/>
          <w:lang w:val="en-US"/>
          <w14:textFill>
            <w14:solidFill>
              <w14:schemeClr w14:val="tx1"/>
            </w14:solidFill>
          </w14:textFill>
        </w:rPr>
      </w:pPr>
      <w:r>
        <w:rPr>
          <w:rFonts w:hint="eastAsia" w:ascii="宋体" w:hAnsi="宋体" w:eastAsia="宋体" w:cs="宋体"/>
          <w:b/>
          <w:sz w:val="32"/>
          <w:szCs w:val="32"/>
        </w:rPr>
        <w:t>2.公务用车购置及运行维护费支出1.98</w:t>
      </w:r>
      <w:r>
        <w:rPr>
          <w:rFonts w:hint="eastAsia" w:ascii="宋体" w:hAnsi="宋体" w:eastAsia="宋体" w:cs="宋体"/>
          <w:sz w:val="32"/>
          <w:szCs w:val="32"/>
        </w:rPr>
        <w:t>万元,</w:t>
      </w:r>
      <w:r>
        <w:rPr>
          <w:rStyle w:val="18"/>
          <w:rFonts w:hint="eastAsia" w:ascii="宋体" w:hAnsi="宋体" w:eastAsia="宋体" w:cs="宋体"/>
          <w:b w:val="0"/>
          <w:bCs/>
          <w:sz w:val="32"/>
          <w:szCs w:val="32"/>
        </w:rPr>
        <w:t>完成预算</w:t>
      </w:r>
      <w:r>
        <w:rPr>
          <w:rStyle w:val="18"/>
          <w:rFonts w:hint="eastAsia" w:ascii="宋体" w:hAnsi="宋体" w:eastAsia="宋体" w:cs="宋体"/>
          <w:b w:val="0"/>
          <w:bCs/>
          <w:sz w:val="32"/>
          <w:szCs w:val="32"/>
          <w:lang w:val="en-US" w:eastAsia="zh-CN"/>
        </w:rPr>
        <w:t>100</w:t>
      </w:r>
      <w:r>
        <w:rPr>
          <w:rStyle w:val="18"/>
          <w:rFonts w:hint="eastAsia" w:ascii="宋体" w:hAnsi="宋体" w:eastAsia="宋体" w:cs="宋体"/>
          <w:b w:val="0"/>
          <w:bCs/>
          <w:sz w:val="32"/>
          <w:szCs w:val="32"/>
        </w:rPr>
        <w:t>%。</w:t>
      </w:r>
      <w:r>
        <w:rPr>
          <w:rFonts w:hint="eastAsia" w:ascii="宋体" w:hAnsi="宋体" w:eastAsia="宋体" w:cs="宋体"/>
          <w:sz w:val="32"/>
          <w:szCs w:val="32"/>
        </w:rPr>
        <w:t>公务用车购置及运行维护费支出决算比2022年度增加</w:t>
      </w:r>
      <w:r>
        <w:rPr>
          <w:rFonts w:hint="eastAsia" w:ascii="宋体" w:hAnsi="宋体" w:eastAsia="宋体" w:cs="宋体"/>
          <w:sz w:val="32"/>
          <w:szCs w:val="32"/>
          <w:lang w:val="en-US" w:eastAsia="zh-CN"/>
        </w:rPr>
        <w:t>1.98</w:t>
      </w:r>
      <w:r>
        <w:rPr>
          <w:rFonts w:hint="eastAsia" w:ascii="宋体" w:hAnsi="宋体" w:eastAsia="宋体" w:cs="宋体"/>
          <w:sz w:val="32"/>
          <w:szCs w:val="32"/>
        </w:rPr>
        <w:t>万元，增长</w:t>
      </w:r>
      <w:r>
        <w:rPr>
          <w:rFonts w:hint="eastAsia" w:ascii="宋体" w:hAnsi="宋体" w:eastAsia="宋体" w:cs="宋体"/>
          <w:sz w:val="32"/>
          <w:szCs w:val="32"/>
          <w:lang w:val="en-US" w:eastAsia="zh-CN"/>
        </w:rPr>
        <w:t>100</w:t>
      </w:r>
      <w:r>
        <w:rPr>
          <w:rFonts w:hint="eastAsia" w:ascii="宋体" w:hAnsi="宋体" w:eastAsia="宋体" w:cs="宋体"/>
          <w:sz w:val="32"/>
          <w:szCs w:val="32"/>
        </w:rPr>
        <w:t>%。</w:t>
      </w:r>
      <w:r>
        <w:rPr>
          <w:rFonts w:hint="eastAsia" w:ascii="宋体" w:hAnsi="宋体" w:eastAsia="宋体" w:cs="宋体"/>
          <w:color w:val="000000" w:themeColor="text1"/>
          <w:sz w:val="32"/>
          <w:szCs w:val="32"/>
          <w:lang w:val="en-US" w:eastAsia="zh-CN"/>
          <w14:textFill>
            <w14:solidFill>
              <w14:schemeClr w14:val="tx1"/>
            </w14:solidFill>
          </w14:textFill>
        </w:rPr>
        <w:t>本单位2022年决算是合并到四川五通桥经济开发区管委会中</w:t>
      </w:r>
      <w:r>
        <w:rPr>
          <w:rFonts w:hint="eastAsia" w:ascii="宋体" w:hAnsi="宋体" w:eastAsia="宋体" w:cs="宋体"/>
          <w:color w:val="000000" w:themeColor="text1"/>
          <w:sz w:val="32"/>
          <w:szCs w:val="32"/>
          <w14:textFill>
            <w14:solidFill>
              <w14:schemeClr w14:val="tx1"/>
            </w14:solidFill>
          </w14:textFill>
        </w:rPr>
        <w:t>。</w:t>
      </w:r>
      <w:r>
        <w:rPr>
          <w:rFonts w:hint="eastAsia" w:ascii="宋体" w:hAnsi="宋体" w:eastAsia="宋体" w:cs="宋体"/>
          <w:color w:val="000000" w:themeColor="text1"/>
          <w:sz w:val="32"/>
          <w:szCs w:val="32"/>
          <w:lang w:val="en-US" w:eastAsia="zh-CN"/>
          <w14:textFill>
            <w14:solidFill>
              <w14:schemeClr w14:val="tx1"/>
            </w14:solidFill>
          </w14:textFill>
        </w:rPr>
        <w:t>所以五通桥区工业基地服务中心没有上年数。</w:t>
      </w:r>
    </w:p>
    <w:p w14:paraId="26E4D82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b/>
          <w:sz w:val="32"/>
          <w:szCs w:val="32"/>
        </w:rPr>
      </w:pPr>
      <w:r>
        <w:rPr>
          <w:rFonts w:hint="eastAsia" w:ascii="宋体" w:hAnsi="宋体" w:eastAsia="宋体" w:cs="宋体"/>
          <w:sz w:val="32"/>
          <w:szCs w:val="32"/>
        </w:rPr>
        <w:t>其中：</w:t>
      </w:r>
      <w:r>
        <w:rPr>
          <w:rFonts w:hint="eastAsia" w:ascii="宋体" w:hAnsi="宋体" w:eastAsia="宋体" w:cs="宋体"/>
          <w:b/>
          <w:sz w:val="32"/>
          <w:szCs w:val="32"/>
        </w:rPr>
        <w:t>公务用车购置支出0</w:t>
      </w:r>
      <w:r>
        <w:rPr>
          <w:rFonts w:hint="eastAsia" w:ascii="宋体" w:hAnsi="宋体" w:eastAsia="宋体" w:cs="宋体"/>
          <w:sz w:val="32"/>
          <w:szCs w:val="32"/>
        </w:rPr>
        <w:t>万元。全年按规定更新购置公务用车</w:t>
      </w:r>
      <w:r>
        <w:rPr>
          <w:rFonts w:hint="eastAsia" w:ascii="宋体" w:hAnsi="宋体" w:eastAsia="宋体" w:cs="宋体"/>
          <w:sz w:val="32"/>
          <w:szCs w:val="32"/>
          <w:lang w:val="en-US" w:eastAsia="zh-CN"/>
        </w:rPr>
        <w:t>0</w:t>
      </w:r>
      <w:r>
        <w:rPr>
          <w:rFonts w:hint="eastAsia" w:ascii="宋体" w:hAnsi="宋体" w:eastAsia="宋体" w:cs="宋体"/>
          <w:sz w:val="32"/>
          <w:szCs w:val="32"/>
        </w:rPr>
        <w:t>辆，其中：轿车</w:t>
      </w:r>
      <w:r>
        <w:rPr>
          <w:rFonts w:hint="eastAsia" w:ascii="宋体" w:hAnsi="宋体" w:eastAsia="宋体" w:cs="宋体"/>
          <w:sz w:val="32"/>
          <w:szCs w:val="32"/>
          <w:lang w:val="en-US" w:eastAsia="zh-CN"/>
        </w:rPr>
        <w:t>0</w:t>
      </w:r>
      <w:r>
        <w:rPr>
          <w:rFonts w:hint="eastAsia" w:ascii="宋体" w:hAnsi="宋体" w:eastAsia="宋体" w:cs="宋体"/>
          <w:sz w:val="32"/>
          <w:szCs w:val="32"/>
        </w:rPr>
        <w:t>辆、金额</w:t>
      </w:r>
      <w:r>
        <w:rPr>
          <w:rFonts w:hint="eastAsia" w:ascii="宋体" w:hAnsi="宋体" w:eastAsia="宋体" w:cs="宋体"/>
          <w:sz w:val="32"/>
          <w:szCs w:val="32"/>
          <w:lang w:val="en-US" w:eastAsia="zh-CN"/>
        </w:rPr>
        <w:t>0</w:t>
      </w:r>
      <w:r>
        <w:rPr>
          <w:rFonts w:hint="eastAsia" w:ascii="宋体" w:hAnsi="宋体" w:eastAsia="宋体" w:cs="宋体"/>
          <w:sz w:val="32"/>
          <w:szCs w:val="32"/>
        </w:rPr>
        <w:t>万元，越野车</w:t>
      </w:r>
      <w:r>
        <w:rPr>
          <w:rFonts w:hint="eastAsia" w:ascii="宋体" w:hAnsi="宋体" w:eastAsia="宋体" w:cs="宋体"/>
          <w:sz w:val="32"/>
          <w:szCs w:val="32"/>
          <w:lang w:val="en-US" w:eastAsia="zh-CN"/>
        </w:rPr>
        <w:t>0</w:t>
      </w:r>
      <w:r>
        <w:rPr>
          <w:rFonts w:hint="eastAsia" w:ascii="宋体" w:hAnsi="宋体" w:eastAsia="宋体" w:cs="宋体"/>
          <w:sz w:val="32"/>
          <w:szCs w:val="32"/>
        </w:rPr>
        <w:t>辆、金额</w:t>
      </w:r>
      <w:r>
        <w:rPr>
          <w:rFonts w:hint="eastAsia" w:ascii="宋体" w:hAnsi="宋体" w:eastAsia="宋体" w:cs="宋体"/>
          <w:sz w:val="32"/>
          <w:szCs w:val="32"/>
          <w:lang w:val="en-US" w:eastAsia="zh-CN"/>
        </w:rPr>
        <w:t>0</w:t>
      </w:r>
      <w:r>
        <w:rPr>
          <w:rFonts w:hint="eastAsia" w:ascii="宋体" w:hAnsi="宋体" w:eastAsia="宋体" w:cs="宋体"/>
          <w:sz w:val="32"/>
          <w:szCs w:val="32"/>
        </w:rPr>
        <w:t>万元，载客汽车</w:t>
      </w:r>
      <w:r>
        <w:rPr>
          <w:rFonts w:hint="eastAsia" w:ascii="宋体" w:hAnsi="宋体" w:eastAsia="宋体" w:cs="宋体"/>
          <w:sz w:val="32"/>
          <w:szCs w:val="32"/>
          <w:lang w:val="en-US" w:eastAsia="zh-CN"/>
        </w:rPr>
        <w:t>0</w:t>
      </w:r>
      <w:r>
        <w:rPr>
          <w:rFonts w:hint="eastAsia" w:ascii="宋体" w:hAnsi="宋体" w:eastAsia="宋体" w:cs="宋体"/>
          <w:sz w:val="32"/>
          <w:szCs w:val="32"/>
        </w:rPr>
        <w:t>辆、金额</w:t>
      </w:r>
      <w:r>
        <w:rPr>
          <w:rFonts w:hint="eastAsia" w:ascii="宋体" w:hAnsi="宋体" w:eastAsia="宋体" w:cs="宋体"/>
          <w:sz w:val="32"/>
          <w:szCs w:val="32"/>
          <w:lang w:val="en-US" w:eastAsia="zh-CN"/>
        </w:rPr>
        <w:t>0</w:t>
      </w:r>
      <w:r>
        <w:rPr>
          <w:rFonts w:hint="eastAsia" w:ascii="宋体" w:hAnsi="宋体" w:eastAsia="宋体" w:cs="宋体"/>
          <w:sz w:val="32"/>
          <w:szCs w:val="32"/>
        </w:rPr>
        <w:t>万元。截至2023年12月31日，单位共有公务用车</w:t>
      </w:r>
      <w:r>
        <w:rPr>
          <w:rFonts w:hint="eastAsia" w:ascii="宋体" w:hAnsi="宋体" w:cs="宋体"/>
          <w:sz w:val="32"/>
          <w:szCs w:val="32"/>
          <w:lang w:val="en-US" w:eastAsia="zh-CN"/>
        </w:rPr>
        <w:t>0</w:t>
      </w:r>
      <w:r>
        <w:rPr>
          <w:rFonts w:hint="eastAsia" w:ascii="宋体" w:hAnsi="宋体" w:eastAsia="宋体" w:cs="宋体"/>
          <w:sz w:val="32"/>
          <w:szCs w:val="32"/>
        </w:rPr>
        <w:t>辆，其中：轿车</w:t>
      </w:r>
      <w:r>
        <w:rPr>
          <w:rFonts w:hint="eastAsia" w:ascii="宋体" w:hAnsi="宋体" w:eastAsia="宋体" w:cs="宋体"/>
          <w:sz w:val="32"/>
          <w:szCs w:val="32"/>
          <w:lang w:val="en-US" w:eastAsia="zh-CN"/>
        </w:rPr>
        <w:t>0</w:t>
      </w:r>
      <w:r>
        <w:rPr>
          <w:rFonts w:hint="eastAsia" w:ascii="宋体" w:hAnsi="宋体" w:eastAsia="宋体" w:cs="宋体"/>
          <w:sz w:val="32"/>
          <w:szCs w:val="32"/>
        </w:rPr>
        <w:t>辆、越野车</w:t>
      </w:r>
      <w:r>
        <w:rPr>
          <w:rFonts w:hint="eastAsia" w:ascii="宋体" w:hAnsi="宋体" w:cs="宋体"/>
          <w:sz w:val="32"/>
          <w:szCs w:val="32"/>
          <w:lang w:val="en-US" w:eastAsia="zh-CN"/>
        </w:rPr>
        <w:t>0</w:t>
      </w:r>
      <w:r>
        <w:rPr>
          <w:rFonts w:hint="eastAsia" w:ascii="宋体" w:hAnsi="宋体" w:eastAsia="宋体" w:cs="宋体"/>
          <w:sz w:val="32"/>
          <w:szCs w:val="32"/>
        </w:rPr>
        <w:t>辆、载客汽车</w:t>
      </w:r>
      <w:r>
        <w:rPr>
          <w:rFonts w:hint="eastAsia" w:ascii="宋体" w:hAnsi="宋体" w:eastAsia="宋体" w:cs="宋体"/>
          <w:sz w:val="32"/>
          <w:szCs w:val="32"/>
          <w:lang w:val="en-US" w:eastAsia="zh-CN"/>
        </w:rPr>
        <w:t>0</w:t>
      </w:r>
      <w:r>
        <w:rPr>
          <w:rFonts w:hint="eastAsia" w:ascii="宋体" w:hAnsi="宋体" w:eastAsia="宋体" w:cs="宋体"/>
          <w:sz w:val="32"/>
          <w:szCs w:val="32"/>
        </w:rPr>
        <w:t>辆。</w:t>
      </w:r>
    </w:p>
    <w:p w14:paraId="72126700">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宋体" w:hAnsi="宋体" w:eastAsia="宋体" w:cs="宋体"/>
          <w:sz w:val="32"/>
          <w:szCs w:val="32"/>
        </w:rPr>
      </w:pPr>
      <w:r>
        <w:rPr>
          <w:rFonts w:hint="eastAsia" w:ascii="宋体" w:hAnsi="宋体" w:eastAsia="宋体" w:cs="宋体"/>
          <w:b/>
          <w:sz w:val="32"/>
          <w:szCs w:val="32"/>
        </w:rPr>
        <w:t>公务用车运行维护费支出1.98</w:t>
      </w:r>
      <w:r>
        <w:rPr>
          <w:rFonts w:hint="eastAsia" w:ascii="宋体" w:hAnsi="宋体" w:eastAsia="宋体" w:cs="宋体"/>
          <w:sz w:val="32"/>
          <w:szCs w:val="32"/>
        </w:rPr>
        <w:t>万元。主要用</w:t>
      </w:r>
      <w:r>
        <w:rPr>
          <w:rFonts w:hint="eastAsia" w:ascii="宋体" w:hAnsi="宋体" w:eastAsia="宋体" w:cs="宋体"/>
          <w:sz w:val="32"/>
          <w:szCs w:val="32"/>
          <w:lang w:val="en-US" w:eastAsia="zh-CN"/>
        </w:rPr>
        <w:t>于本单位到招商引资工作</w:t>
      </w:r>
      <w:r>
        <w:rPr>
          <w:rFonts w:hint="eastAsia" w:ascii="宋体" w:hAnsi="宋体" w:eastAsia="宋体" w:cs="宋体"/>
          <w:sz w:val="32"/>
          <w:szCs w:val="32"/>
        </w:rPr>
        <w:t>等所需的公务用车燃料费、维修费、过路过桥费、保险费等支出。</w:t>
      </w:r>
    </w:p>
    <w:p w14:paraId="6D25B38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sz w:val="32"/>
          <w:szCs w:val="32"/>
        </w:rPr>
      </w:pPr>
      <w:r>
        <w:rPr>
          <w:rFonts w:hint="eastAsia" w:ascii="宋体" w:hAnsi="宋体" w:eastAsia="宋体" w:cs="宋体"/>
          <w:kern w:val="2"/>
          <w:sz w:val="32"/>
          <w:szCs w:val="32"/>
          <w:lang w:val="en-US" w:eastAsia="zh-CN" w:bidi="ar-SA"/>
        </w:rPr>
        <w:t>3.</w:t>
      </w:r>
      <w:r>
        <w:rPr>
          <w:rFonts w:hint="eastAsia" w:ascii="宋体" w:hAnsi="宋体" w:eastAsia="宋体" w:cs="宋体"/>
          <w:b/>
          <w:sz w:val="32"/>
          <w:szCs w:val="32"/>
        </w:rPr>
        <w:t>公务接待费支出0</w:t>
      </w:r>
      <w:r>
        <w:rPr>
          <w:rFonts w:hint="eastAsia" w:ascii="宋体" w:hAnsi="宋体" w:eastAsia="宋体" w:cs="宋体"/>
          <w:sz w:val="32"/>
          <w:szCs w:val="32"/>
        </w:rPr>
        <w:t>万元，</w:t>
      </w:r>
      <w:r>
        <w:rPr>
          <w:rStyle w:val="18"/>
          <w:rFonts w:hint="eastAsia" w:ascii="宋体" w:hAnsi="宋体" w:eastAsia="宋体" w:cs="宋体"/>
          <w:b w:val="0"/>
          <w:bCs/>
          <w:sz w:val="32"/>
          <w:szCs w:val="32"/>
        </w:rPr>
        <w:t>完成预算0%。</w:t>
      </w:r>
      <w:r>
        <w:rPr>
          <w:rFonts w:hint="eastAsia" w:ascii="宋体" w:hAnsi="宋体" w:eastAsia="宋体" w:cs="宋体"/>
          <w:sz w:val="32"/>
          <w:szCs w:val="32"/>
        </w:rPr>
        <w:t>公务接待费支出决算比2022年度增加</w:t>
      </w:r>
      <w:r>
        <w:rPr>
          <w:rFonts w:hint="eastAsia" w:ascii="宋体" w:hAnsi="宋体" w:eastAsia="宋体" w:cs="宋体"/>
          <w:sz w:val="32"/>
          <w:szCs w:val="32"/>
          <w:lang w:val="en-US" w:eastAsia="zh-CN"/>
        </w:rPr>
        <w:t>0</w:t>
      </w:r>
      <w:r>
        <w:rPr>
          <w:rFonts w:hint="eastAsia" w:ascii="宋体" w:hAnsi="宋体" w:eastAsia="宋体" w:cs="宋体"/>
          <w:sz w:val="32"/>
          <w:szCs w:val="32"/>
        </w:rPr>
        <w:t>万元，增长</w:t>
      </w:r>
      <w:r>
        <w:rPr>
          <w:rFonts w:hint="eastAsia" w:ascii="宋体" w:hAnsi="宋体" w:eastAsia="宋体" w:cs="宋体"/>
          <w:sz w:val="32"/>
          <w:szCs w:val="32"/>
          <w:lang w:val="en-US" w:eastAsia="zh-CN"/>
        </w:rPr>
        <w:t>0</w:t>
      </w:r>
      <w:r>
        <w:rPr>
          <w:rFonts w:hint="eastAsia" w:ascii="宋体" w:hAnsi="宋体" w:eastAsia="宋体" w:cs="宋体"/>
          <w:sz w:val="32"/>
          <w:szCs w:val="32"/>
        </w:rPr>
        <w:t>%。</w:t>
      </w:r>
    </w:p>
    <w:p w14:paraId="46DF95B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其中：</w:t>
      </w:r>
    </w:p>
    <w:p w14:paraId="716ABF5C">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宋体" w:hAnsi="宋体" w:eastAsia="宋体" w:cs="宋体"/>
          <w:sz w:val="32"/>
          <w:szCs w:val="32"/>
          <w:lang w:eastAsia="zh-CN"/>
        </w:rPr>
      </w:pPr>
      <w:r>
        <w:rPr>
          <w:rFonts w:hint="eastAsia" w:ascii="宋体" w:hAnsi="宋体" w:eastAsia="宋体" w:cs="宋体"/>
          <w:b/>
          <w:sz w:val="32"/>
          <w:szCs w:val="32"/>
        </w:rPr>
        <w:t>国内公务接待支出0</w:t>
      </w:r>
      <w:r>
        <w:rPr>
          <w:rFonts w:hint="eastAsia" w:ascii="宋体" w:hAnsi="宋体" w:eastAsia="宋体" w:cs="宋体"/>
          <w:sz w:val="32"/>
          <w:szCs w:val="32"/>
        </w:rPr>
        <w:t>万元。国内公务接待</w:t>
      </w:r>
      <w:r>
        <w:rPr>
          <w:rFonts w:hint="eastAsia" w:ascii="宋体" w:hAnsi="宋体" w:eastAsia="宋体" w:cs="宋体"/>
          <w:sz w:val="32"/>
          <w:szCs w:val="32"/>
          <w:lang w:val="en-US" w:eastAsia="zh-CN"/>
        </w:rPr>
        <w:t>0</w:t>
      </w:r>
      <w:r>
        <w:rPr>
          <w:rFonts w:hint="eastAsia" w:ascii="宋体" w:hAnsi="宋体" w:eastAsia="宋体" w:cs="宋体"/>
          <w:sz w:val="32"/>
          <w:szCs w:val="32"/>
        </w:rPr>
        <w:t>批次，</w:t>
      </w:r>
      <w:r>
        <w:rPr>
          <w:rFonts w:hint="eastAsia" w:ascii="宋体" w:hAnsi="宋体" w:eastAsia="宋体" w:cs="宋体"/>
          <w:sz w:val="32"/>
          <w:szCs w:val="32"/>
          <w:lang w:val="en-US" w:eastAsia="zh-CN"/>
        </w:rPr>
        <w:t>0</w:t>
      </w:r>
      <w:r>
        <w:rPr>
          <w:rFonts w:hint="eastAsia" w:ascii="宋体" w:hAnsi="宋体" w:eastAsia="宋体" w:cs="宋体"/>
          <w:sz w:val="32"/>
          <w:szCs w:val="32"/>
        </w:rPr>
        <w:t>人次（不包括陪同人员），共计支出</w:t>
      </w:r>
      <w:r>
        <w:rPr>
          <w:rFonts w:hint="eastAsia" w:ascii="宋体" w:hAnsi="宋体" w:eastAsia="宋体" w:cs="宋体"/>
          <w:sz w:val="32"/>
          <w:szCs w:val="32"/>
          <w:lang w:val="en-US" w:eastAsia="zh-CN"/>
        </w:rPr>
        <w:t>0</w:t>
      </w:r>
      <w:r>
        <w:rPr>
          <w:rFonts w:hint="eastAsia" w:ascii="宋体" w:hAnsi="宋体" w:eastAsia="宋体" w:cs="宋体"/>
          <w:sz w:val="32"/>
          <w:szCs w:val="32"/>
        </w:rPr>
        <w:t>万元</w:t>
      </w:r>
      <w:r>
        <w:rPr>
          <w:rFonts w:hint="eastAsia" w:ascii="宋体" w:hAnsi="宋体" w:eastAsia="宋体" w:cs="宋体"/>
          <w:sz w:val="32"/>
          <w:szCs w:val="32"/>
          <w:lang w:eastAsia="zh-CN"/>
        </w:rPr>
        <w:t>。</w:t>
      </w:r>
    </w:p>
    <w:p w14:paraId="0E68C68E">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宋体" w:hAnsi="宋体" w:eastAsia="宋体" w:cs="宋体"/>
          <w:sz w:val="32"/>
          <w:szCs w:val="32"/>
        </w:rPr>
      </w:pPr>
      <w:r>
        <w:rPr>
          <w:rFonts w:hint="eastAsia" w:ascii="宋体" w:hAnsi="宋体" w:eastAsia="宋体" w:cs="宋体"/>
          <w:b/>
          <w:sz w:val="32"/>
          <w:szCs w:val="32"/>
        </w:rPr>
        <w:t>外事接待支出0</w:t>
      </w:r>
      <w:r>
        <w:rPr>
          <w:rFonts w:hint="eastAsia" w:ascii="宋体" w:hAnsi="宋体" w:eastAsia="宋体" w:cs="宋体"/>
          <w:sz w:val="32"/>
          <w:szCs w:val="32"/>
        </w:rPr>
        <w:t>万元。外事接待</w:t>
      </w:r>
      <w:r>
        <w:rPr>
          <w:rFonts w:hint="eastAsia" w:ascii="宋体" w:hAnsi="宋体" w:eastAsia="宋体" w:cs="宋体"/>
          <w:sz w:val="32"/>
          <w:szCs w:val="32"/>
          <w:lang w:val="en-US" w:eastAsia="zh-CN"/>
        </w:rPr>
        <w:t>0</w:t>
      </w:r>
      <w:r>
        <w:rPr>
          <w:rFonts w:hint="eastAsia" w:ascii="宋体" w:hAnsi="宋体" w:eastAsia="宋体" w:cs="宋体"/>
          <w:sz w:val="32"/>
          <w:szCs w:val="32"/>
        </w:rPr>
        <w:t>批次，</w:t>
      </w:r>
      <w:r>
        <w:rPr>
          <w:rFonts w:hint="eastAsia" w:ascii="宋体" w:hAnsi="宋体" w:eastAsia="宋体" w:cs="宋体"/>
          <w:sz w:val="32"/>
          <w:szCs w:val="32"/>
          <w:lang w:val="en-US" w:eastAsia="zh-CN"/>
        </w:rPr>
        <w:t>0</w:t>
      </w:r>
      <w:r>
        <w:rPr>
          <w:rFonts w:hint="eastAsia" w:ascii="宋体" w:hAnsi="宋体" w:eastAsia="宋体" w:cs="宋体"/>
          <w:sz w:val="32"/>
          <w:szCs w:val="32"/>
        </w:rPr>
        <w:t>人次（不包括陪同人员），共计支出</w:t>
      </w:r>
      <w:r>
        <w:rPr>
          <w:rFonts w:hint="eastAsia" w:ascii="宋体" w:hAnsi="宋体" w:eastAsia="宋体" w:cs="宋体"/>
          <w:sz w:val="32"/>
          <w:szCs w:val="32"/>
          <w:lang w:val="en-US" w:eastAsia="zh-CN"/>
        </w:rPr>
        <w:t>0万</w:t>
      </w:r>
      <w:r>
        <w:rPr>
          <w:rFonts w:hint="eastAsia" w:ascii="宋体" w:hAnsi="宋体" w:eastAsia="宋体" w:cs="宋体"/>
          <w:sz w:val="32"/>
          <w:szCs w:val="32"/>
        </w:rPr>
        <w:t>元。</w:t>
      </w:r>
    </w:p>
    <w:p w14:paraId="370A60E8">
      <w:pPr>
        <w:keepNext w:val="0"/>
        <w:keepLines w:val="0"/>
        <w:pageBreakBefore w:val="0"/>
        <w:widowControl w:val="0"/>
        <w:kinsoku/>
        <w:wordWrap/>
        <w:overflowPunct/>
        <w:topLinePunct w:val="0"/>
        <w:bidi w:val="0"/>
        <w:snapToGrid/>
        <w:spacing w:line="600" w:lineRule="exact"/>
        <w:ind w:firstLine="640" w:firstLineChars="200"/>
        <w:textAlignment w:val="auto"/>
        <w:outlineLvl w:val="1"/>
        <w:rPr>
          <w:rStyle w:val="30"/>
          <w:rFonts w:hint="eastAsia" w:ascii="宋体" w:hAnsi="宋体" w:eastAsia="宋体" w:cs="宋体"/>
        </w:rPr>
      </w:pPr>
      <w:r>
        <w:rPr>
          <w:rFonts w:hint="eastAsia" w:ascii="宋体" w:hAnsi="宋体" w:eastAsia="宋体" w:cs="宋体"/>
          <w:sz w:val="32"/>
          <w:szCs w:val="32"/>
        </w:rPr>
        <w:t>八、</w:t>
      </w:r>
      <w:r>
        <w:rPr>
          <w:rStyle w:val="30"/>
          <w:rFonts w:hint="eastAsia" w:ascii="宋体" w:hAnsi="宋体" w:eastAsia="宋体" w:cs="宋体"/>
          <w:b w:val="0"/>
        </w:rPr>
        <w:t>政府性基金预算支出决算情况说明</w:t>
      </w:r>
      <w:bookmarkEnd w:id="40"/>
      <w:bookmarkEnd w:id="41"/>
    </w:p>
    <w:p w14:paraId="5DCE97CA">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2023年度政府性基金预算财政拨款支出</w:t>
      </w:r>
      <w:r>
        <w:rPr>
          <w:rFonts w:hint="eastAsia" w:ascii="宋体" w:hAnsi="宋体" w:eastAsia="宋体" w:cs="宋体"/>
          <w:b/>
          <w:sz w:val="32"/>
          <w:szCs w:val="32"/>
        </w:rPr>
        <w:t>0</w:t>
      </w:r>
      <w:r>
        <w:rPr>
          <w:rFonts w:hint="eastAsia" w:ascii="宋体" w:hAnsi="宋体" w:eastAsia="宋体" w:cs="宋体"/>
          <w:sz w:val="32"/>
          <w:szCs w:val="32"/>
        </w:rPr>
        <w:t>万元。</w:t>
      </w:r>
    </w:p>
    <w:p w14:paraId="7D353F1E">
      <w:pPr>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outlineLvl w:val="1"/>
        <w:rPr>
          <w:rStyle w:val="30"/>
          <w:rFonts w:hint="eastAsia" w:ascii="宋体" w:hAnsi="宋体" w:eastAsia="宋体" w:cs="宋体"/>
          <w:b w:val="0"/>
        </w:rPr>
      </w:pPr>
      <w:bookmarkStart w:id="42" w:name="_Toc15377219"/>
      <w:bookmarkStart w:id="43" w:name="_Toc15396611"/>
      <w:r>
        <w:rPr>
          <w:rFonts w:hint="eastAsia" w:ascii="宋体" w:hAnsi="宋体" w:eastAsia="宋体" w:cs="宋体"/>
          <w:b w:val="0"/>
          <w:bCs/>
          <w:kern w:val="2"/>
          <w:sz w:val="32"/>
          <w:szCs w:val="32"/>
          <w:lang w:val="en-US" w:eastAsia="zh-CN" w:bidi="ar-SA"/>
        </w:rPr>
        <w:t>九、</w:t>
      </w:r>
      <w:r>
        <w:rPr>
          <w:rStyle w:val="30"/>
          <w:rFonts w:hint="eastAsia" w:ascii="宋体" w:hAnsi="宋体" w:eastAsia="宋体" w:cs="宋体"/>
          <w:b w:val="0"/>
        </w:rPr>
        <w:t>国有资本经营预算支出决算情况说明</w:t>
      </w:r>
      <w:bookmarkEnd w:id="42"/>
      <w:bookmarkEnd w:id="43"/>
    </w:p>
    <w:p w14:paraId="3E2BF039">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宋体" w:hAnsi="宋体" w:eastAsia="宋体" w:cs="宋体"/>
          <w:sz w:val="44"/>
          <w:szCs w:val="44"/>
        </w:rPr>
      </w:pPr>
      <w:r>
        <w:rPr>
          <w:rFonts w:hint="eastAsia" w:ascii="宋体" w:hAnsi="宋体" w:eastAsia="宋体" w:cs="宋体"/>
          <w:sz w:val="32"/>
          <w:szCs w:val="32"/>
        </w:rPr>
        <w:t>2023年度国有资本经营预算财政拨款支出</w:t>
      </w:r>
      <w:r>
        <w:rPr>
          <w:rFonts w:hint="eastAsia" w:ascii="宋体" w:hAnsi="宋体" w:eastAsia="宋体" w:cs="宋体"/>
          <w:b/>
          <w:sz w:val="32"/>
          <w:szCs w:val="32"/>
        </w:rPr>
        <w:t>0</w:t>
      </w:r>
      <w:r>
        <w:rPr>
          <w:rFonts w:hint="eastAsia" w:ascii="宋体" w:hAnsi="宋体" w:eastAsia="宋体" w:cs="宋体"/>
          <w:sz w:val="32"/>
          <w:szCs w:val="32"/>
        </w:rPr>
        <w:t>万元。</w:t>
      </w:r>
    </w:p>
    <w:p w14:paraId="63B6E804">
      <w:pPr>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outlineLvl w:val="1"/>
        <w:rPr>
          <w:rStyle w:val="30"/>
          <w:rFonts w:hint="eastAsia" w:ascii="宋体" w:hAnsi="宋体" w:eastAsia="宋体" w:cs="宋体"/>
          <w:b w:val="0"/>
        </w:rPr>
      </w:pPr>
      <w:bookmarkStart w:id="44" w:name="_Toc15396612"/>
      <w:bookmarkStart w:id="45" w:name="_Toc15377221"/>
      <w:r>
        <w:rPr>
          <w:rFonts w:hint="eastAsia" w:ascii="宋体" w:hAnsi="宋体" w:eastAsia="宋体" w:cs="宋体"/>
          <w:b w:val="0"/>
          <w:bCs/>
          <w:kern w:val="2"/>
          <w:sz w:val="32"/>
          <w:szCs w:val="32"/>
          <w:lang w:val="en-US" w:eastAsia="zh-CN" w:bidi="ar-SA"/>
        </w:rPr>
        <w:t>十、</w:t>
      </w:r>
      <w:r>
        <w:rPr>
          <w:rStyle w:val="30"/>
          <w:rFonts w:hint="eastAsia" w:ascii="宋体" w:hAnsi="宋体" w:eastAsia="宋体" w:cs="宋体"/>
          <w:b w:val="0"/>
        </w:rPr>
        <w:t>其他重要事项的情况说明</w:t>
      </w:r>
      <w:bookmarkEnd w:id="44"/>
      <w:bookmarkEnd w:id="45"/>
    </w:p>
    <w:p w14:paraId="26155D76">
      <w:pPr>
        <w:keepNext w:val="0"/>
        <w:keepLines w:val="0"/>
        <w:pageBreakBefore w:val="0"/>
        <w:widowControl w:val="0"/>
        <w:kinsoku/>
        <w:wordWrap/>
        <w:overflowPunct/>
        <w:topLinePunct w:val="0"/>
        <w:bidi w:val="0"/>
        <w:snapToGrid/>
        <w:spacing w:line="600" w:lineRule="exact"/>
        <w:ind w:firstLine="643" w:firstLineChars="200"/>
        <w:textAlignment w:val="auto"/>
        <w:outlineLvl w:val="2"/>
        <w:rPr>
          <w:rFonts w:hint="eastAsia" w:ascii="宋体" w:hAnsi="宋体" w:eastAsia="宋体" w:cs="宋体"/>
          <w:sz w:val="32"/>
          <w:szCs w:val="32"/>
        </w:rPr>
      </w:pPr>
      <w:bookmarkStart w:id="46" w:name="_Toc15377222"/>
      <w:r>
        <w:rPr>
          <w:rFonts w:hint="eastAsia" w:ascii="宋体" w:hAnsi="宋体" w:eastAsia="宋体" w:cs="宋体"/>
          <w:b/>
          <w:sz w:val="32"/>
          <w:szCs w:val="32"/>
        </w:rPr>
        <w:t>（一）机关运行经费支出情况</w:t>
      </w:r>
      <w:bookmarkEnd w:id="46"/>
    </w:p>
    <w:p w14:paraId="0A22FE4A">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宋体" w:hAnsi="宋体" w:eastAsia="宋体" w:cs="宋体"/>
          <w:sz w:val="32"/>
          <w:szCs w:val="32"/>
          <w:lang w:eastAsia="zh-CN"/>
        </w:rPr>
      </w:pPr>
      <w:r>
        <w:rPr>
          <w:rFonts w:hint="eastAsia" w:ascii="宋体" w:hAnsi="宋体" w:eastAsia="宋体" w:cs="宋体"/>
          <w:sz w:val="32"/>
          <w:szCs w:val="32"/>
        </w:rPr>
        <w:t>2023年度，</w:t>
      </w:r>
      <w:r>
        <w:rPr>
          <w:rFonts w:hint="eastAsia" w:ascii="宋体" w:hAnsi="宋体" w:eastAsia="宋体" w:cs="宋体"/>
          <w:b w:val="0"/>
          <w:bCs/>
          <w:sz w:val="32"/>
          <w:szCs w:val="32"/>
        </w:rPr>
        <w:t>五通桥区工业基地服务中心</w:t>
      </w:r>
      <w:r>
        <w:rPr>
          <w:rFonts w:hint="eastAsia" w:ascii="宋体" w:hAnsi="宋体" w:eastAsia="宋体" w:cs="宋体"/>
          <w:sz w:val="32"/>
          <w:szCs w:val="32"/>
        </w:rPr>
        <w:t>机关运行经费支出</w:t>
      </w:r>
      <w:r>
        <w:rPr>
          <w:rFonts w:hint="eastAsia" w:ascii="宋体" w:hAnsi="宋体" w:eastAsia="宋体" w:cs="宋体"/>
          <w:b/>
          <w:sz w:val="32"/>
          <w:szCs w:val="32"/>
        </w:rPr>
        <w:t>0</w:t>
      </w:r>
      <w:r>
        <w:rPr>
          <w:rFonts w:hint="eastAsia" w:ascii="宋体" w:hAnsi="宋体" w:eastAsia="宋体" w:cs="宋体"/>
          <w:sz w:val="32"/>
          <w:szCs w:val="32"/>
        </w:rPr>
        <w:t>万元，比2022年度增加</w:t>
      </w:r>
      <w:r>
        <w:rPr>
          <w:rFonts w:hint="eastAsia" w:ascii="宋体" w:hAnsi="宋体" w:eastAsia="宋体" w:cs="宋体"/>
          <w:sz w:val="32"/>
          <w:szCs w:val="32"/>
          <w:lang w:val="en-US" w:eastAsia="zh-CN"/>
        </w:rPr>
        <w:t>0</w:t>
      </w:r>
      <w:r>
        <w:rPr>
          <w:rFonts w:hint="eastAsia" w:ascii="宋体" w:hAnsi="宋体" w:eastAsia="宋体" w:cs="宋体"/>
          <w:sz w:val="32"/>
          <w:szCs w:val="32"/>
        </w:rPr>
        <w:t>万元，增长</w:t>
      </w:r>
      <w:r>
        <w:rPr>
          <w:rFonts w:hint="eastAsia" w:ascii="宋体" w:hAnsi="宋体" w:eastAsia="宋体" w:cs="宋体"/>
          <w:sz w:val="32"/>
          <w:szCs w:val="32"/>
          <w:lang w:val="en-US" w:eastAsia="zh-CN"/>
        </w:rPr>
        <w:t>0</w:t>
      </w:r>
      <w:r>
        <w:rPr>
          <w:rFonts w:hint="eastAsia" w:ascii="宋体" w:hAnsi="宋体" w:eastAsia="宋体" w:cs="宋体"/>
          <w:sz w:val="32"/>
          <w:szCs w:val="32"/>
        </w:rPr>
        <w:t>%</w:t>
      </w:r>
      <w:r>
        <w:rPr>
          <w:rFonts w:hint="eastAsia" w:ascii="宋体" w:hAnsi="宋体" w:eastAsia="宋体" w:cs="宋体"/>
          <w:sz w:val="32"/>
          <w:szCs w:val="32"/>
          <w:lang w:eastAsia="zh-CN"/>
        </w:rPr>
        <w:t>。</w:t>
      </w:r>
    </w:p>
    <w:p w14:paraId="0AE379C9">
      <w:pPr>
        <w:keepNext w:val="0"/>
        <w:keepLines w:val="0"/>
        <w:pageBreakBefore w:val="0"/>
        <w:widowControl w:val="0"/>
        <w:kinsoku/>
        <w:wordWrap/>
        <w:overflowPunct/>
        <w:topLinePunct w:val="0"/>
        <w:autoSpaceDE w:val="0"/>
        <w:autoSpaceDN w:val="0"/>
        <w:bidi w:val="0"/>
        <w:adjustRightInd w:val="0"/>
        <w:snapToGrid/>
        <w:spacing w:line="600" w:lineRule="exact"/>
        <w:ind w:firstLine="643" w:firstLineChars="200"/>
        <w:jc w:val="left"/>
        <w:textAlignment w:val="auto"/>
        <w:outlineLvl w:val="2"/>
        <w:rPr>
          <w:rFonts w:hint="eastAsia" w:ascii="宋体" w:hAnsi="宋体" w:eastAsia="宋体" w:cs="宋体"/>
          <w:b/>
          <w:sz w:val="32"/>
          <w:szCs w:val="32"/>
        </w:rPr>
      </w:pPr>
      <w:bookmarkStart w:id="47" w:name="_Toc15377223"/>
      <w:r>
        <w:rPr>
          <w:rFonts w:hint="eastAsia" w:ascii="宋体" w:hAnsi="宋体" w:eastAsia="宋体" w:cs="宋体"/>
          <w:b/>
          <w:sz w:val="32"/>
          <w:szCs w:val="32"/>
        </w:rPr>
        <w:t>（二）政府采购支出情况</w:t>
      </w:r>
      <w:bookmarkEnd w:id="47"/>
    </w:p>
    <w:p w14:paraId="2C778565">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2023年度，</w:t>
      </w:r>
      <w:r>
        <w:rPr>
          <w:rFonts w:hint="eastAsia" w:ascii="宋体" w:hAnsi="宋体" w:eastAsia="宋体" w:cs="宋体"/>
          <w:b w:val="0"/>
          <w:bCs/>
          <w:sz w:val="32"/>
          <w:szCs w:val="32"/>
        </w:rPr>
        <w:t>五通桥区工业基地服务中心政</w:t>
      </w:r>
      <w:r>
        <w:rPr>
          <w:rFonts w:hint="eastAsia" w:ascii="宋体" w:hAnsi="宋体" w:eastAsia="宋体" w:cs="宋体"/>
          <w:sz w:val="32"/>
          <w:szCs w:val="32"/>
        </w:rPr>
        <w:t>府采购支出总额</w:t>
      </w:r>
      <w:r>
        <w:rPr>
          <w:rFonts w:hint="eastAsia" w:ascii="宋体" w:hAnsi="宋体" w:eastAsia="宋体" w:cs="宋体"/>
          <w:b/>
          <w:sz w:val="32"/>
          <w:szCs w:val="32"/>
        </w:rPr>
        <w:t>0</w:t>
      </w:r>
      <w:r>
        <w:rPr>
          <w:rFonts w:hint="eastAsia" w:ascii="宋体" w:hAnsi="宋体" w:eastAsia="宋体" w:cs="宋体"/>
          <w:sz w:val="32"/>
          <w:szCs w:val="32"/>
        </w:rPr>
        <w:t>万元，其中：政府采购货物支出</w:t>
      </w:r>
      <w:r>
        <w:rPr>
          <w:rFonts w:hint="eastAsia" w:ascii="宋体" w:hAnsi="宋体" w:eastAsia="宋体" w:cs="宋体"/>
          <w:b/>
          <w:sz w:val="32"/>
          <w:szCs w:val="32"/>
        </w:rPr>
        <w:t>0</w:t>
      </w:r>
      <w:r>
        <w:rPr>
          <w:rFonts w:hint="eastAsia" w:ascii="宋体" w:hAnsi="宋体" w:eastAsia="宋体" w:cs="宋体"/>
          <w:sz w:val="32"/>
          <w:szCs w:val="32"/>
        </w:rPr>
        <w:t>万元、政府采购工程支出</w:t>
      </w:r>
      <w:r>
        <w:rPr>
          <w:rFonts w:hint="eastAsia" w:ascii="宋体" w:hAnsi="宋体" w:eastAsia="宋体" w:cs="宋体"/>
          <w:b/>
          <w:sz w:val="32"/>
          <w:szCs w:val="32"/>
        </w:rPr>
        <w:t>0</w:t>
      </w:r>
      <w:r>
        <w:rPr>
          <w:rFonts w:hint="eastAsia" w:ascii="宋体" w:hAnsi="宋体" w:eastAsia="宋体" w:cs="宋体"/>
          <w:sz w:val="32"/>
          <w:szCs w:val="32"/>
        </w:rPr>
        <w:t>万元、政府采购服务支出</w:t>
      </w:r>
      <w:r>
        <w:rPr>
          <w:rFonts w:hint="eastAsia" w:ascii="宋体" w:hAnsi="宋体" w:eastAsia="宋体" w:cs="宋体"/>
          <w:b/>
          <w:sz w:val="32"/>
          <w:szCs w:val="32"/>
        </w:rPr>
        <w:t>0</w:t>
      </w:r>
      <w:r>
        <w:rPr>
          <w:rFonts w:hint="eastAsia" w:ascii="宋体" w:hAnsi="宋体" w:eastAsia="宋体" w:cs="宋体"/>
          <w:sz w:val="32"/>
          <w:szCs w:val="32"/>
        </w:rPr>
        <w:t>万元。授予中小企业合同金额</w:t>
      </w:r>
      <w:r>
        <w:rPr>
          <w:rFonts w:hint="eastAsia" w:ascii="宋体" w:hAnsi="宋体" w:eastAsia="宋体" w:cs="宋体"/>
          <w:b/>
          <w:sz w:val="32"/>
          <w:szCs w:val="32"/>
        </w:rPr>
        <w:t>0</w:t>
      </w:r>
      <w:r>
        <w:rPr>
          <w:rFonts w:hint="eastAsia" w:ascii="宋体" w:hAnsi="宋体" w:eastAsia="宋体" w:cs="宋体"/>
          <w:sz w:val="32"/>
          <w:szCs w:val="32"/>
        </w:rPr>
        <w:t>万元，占政府采购支出总额的0%，其中：授予小微企业合同金额</w:t>
      </w:r>
      <w:r>
        <w:rPr>
          <w:rFonts w:hint="eastAsia" w:ascii="宋体" w:hAnsi="宋体" w:eastAsia="宋体" w:cs="宋体"/>
          <w:b/>
          <w:sz w:val="32"/>
          <w:szCs w:val="32"/>
        </w:rPr>
        <w:t>0</w:t>
      </w:r>
      <w:r>
        <w:rPr>
          <w:rFonts w:hint="eastAsia" w:ascii="宋体" w:hAnsi="宋体" w:eastAsia="宋体" w:cs="宋体"/>
          <w:sz w:val="32"/>
          <w:szCs w:val="32"/>
        </w:rPr>
        <w:t>万元，占政府采购支出总额的</w:t>
      </w:r>
      <w:r>
        <w:rPr>
          <w:rFonts w:hint="eastAsia" w:ascii="宋体" w:hAnsi="宋体" w:eastAsia="宋体" w:cs="宋体"/>
          <w:b/>
          <w:sz w:val="32"/>
          <w:szCs w:val="32"/>
        </w:rPr>
        <w:t>0</w:t>
      </w:r>
      <w:r>
        <w:rPr>
          <w:rFonts w:hint="eastAsia" w:ascii="宋体" w:hAnsi="宋体" w:eastAsia="宋体" w:cs="宋体"/>
          <w:sz w:val="32"/>
          <w:szCs w:val="32"/>
        </w:rPr>
        <w:t>%。</w:t>
      </w:r>
    </w:p>
    <w:p w14:paraId="554A6D68">
      <w:pPr>
        <w:keepNext w:val="0"/>
        <w:keepLines w:val="0"/>
        <w:pageBreakBefore w:val="0"/>
        <w:widowControl w:val="0"/>
        <w:kinsoku/>
        <w:wordWrap/>
        <w:overflowPunct/>
        <w:topLinePunct w:val="0"/>
        <w:autoSpaceDE w:val="0"/>
        <w:autoSpaceDN w:val="0"/>
        <w:bidi w:val="0"/>
        <w:adjustRightInd w:val="0"/>
        <w:snapToGrid/>
        <w:spacing w:line="600" w:lineRule="exact"/>
        <w:ind w:firstLine="643" w:firstLineChars="200"/>
        <w:jc w:val="left"/>
        <w:textAlignment w:val="auto"/>
        <w:outlineLvl w:val="2"/>
        <w:rPr>
          <w:rFonts w:hint="eastAsia" w:ascii="宋体" w:hAnsi="宋体" w:eastAsia="宋体" w:cs="宋体"/>
          <w:b/>
          <w:sz w:val="32"/>
          <w:szCs w:val="32"/>
        </w:rPr>
      </w:pPr>
      <w:bookmarkStart w:id="48" w:name="_Toc15377224"/>
      <w:r>
        <w:rPr>
          <w:rFonts w:hint="eastAsia" w:ascii="宋体" w:hAnsi="宋体" w:eastAsia="宋体" w:cs="宋体"/>
          <w:b/>
          <w:sz w:val="32"/>
          <w:szCs w:val="32"/>
        </w:rPr>
        <w:t>（三）国有资产占有使用情况</w:t>
      </w:r>
      <w:bookmarkEnd w:id="48"/>
    </w:p>
    <w:p w14:paraId="41F0FD6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宋体" w:hAnsi="宋体" w:eastAsia="宋体" w:cs="宋体"/>
          <w:sz w:val="32"/>
          <w:szCs w:val="32"/>
        </w:rPr>
      </w:pPr>
      <w:r>
        <w:rPr>
          <w:rFonts w:hint="eastAsia" w:ascii="宋体" w:hAnsi="宋体" w:eastAsia="宋体" w:cs="宋体"/>
          <w:sz w:val="32"/>
          <w:szCs w:val="32"/>
        </w:rPr>
        <w:t>截至2023年12月31日，</w:t>
      </w:r>
      <w:r>
        <w:rPr>
          <w:rFonts w:hint="eastAsia" w:ascii="宋体" w:hAnsi="宋体" w:eastAsia="宋体" w:cs="宋体"/>
          <w:b w:val="0"/>
          <w:bCs/>
          <w:sz w:val="32"/>
          <w:szCs w:val="32"/>
        </w:rPr>
        <w:t>五通桥区工业基地服务中心</w:t>
      </w:r>
      <w:r>
        <w:rPr>
          <w:rFonts w:hint="eastAsia" w:ascii="宋体" w:hAnsi="宋体" w:eastAsia="宋体" w:cs="宋体"/>
          <w:sz w:val="32"/>
          <w:szCs w:val="32"/>
        </w:rPr>
        <w:t>共有车辆</w:t>
      </w:r>
      <w:r>
        <w:rPr>
          <w:rFonts w:hint="eastAsia" w:ascii="宋体" w:hAnsi="宋体" w:eastAsia="宋体" w:cs="宋体"/>
          <w:b/>
          <w:sz w:val="32"/>
          <w:szCs w:val="32"/>
        </w:rPr>
        <w:t>0</w:t>
      </w:r>
      <w:r>
        <w:rPr>
          <w:rFonts w:hint="eastAsia" w:ascii="宋体" w:hAnsi="宋体" w:eastAsia="宋体" w:cs="宋体"/>
          <w:sz w:val="32"/>
          <w:szCs w:val="32"/>
        </w:rPr>
        <w:t>辆，其中：主要领导干部用车</w:t>
      </w:r>
      <w:r>
        <w:rPr>
          <w:rFonts w:hint="eastAsia" w:ascii="宋体" w:hAnsi="宋体" w:eastAsia="宋体" w:cs="宋体"/>
          <w:sz w:val="32"/>
          <w:szCs w:val="32"/>
          <w:lang w:val="en-US" w:eastAsia="zh-CN"/>
        </w:rPr>
        <w:t>0</w:t>
      </w:r>
      <w:r>
        <w:rPr>
          <w:rFonts w:hint="eastAsia" w:ascii="宋体" w:hAnsi="宋体" w:eastAsia="宋体" w:cs="宋体"/>
          <w:sz w:val="32"/>
          <w:szCs w:val="32"/>
        </w:rPr>
        <w:t>辆、机要通信用车</w:t>
      </w:r>
      <w:r>
        <w:rPr>
          <w:rFonts w:hint="eastAsia" w:ascii="宋体" w:hAnsi="宋体" w:eastAsia="宋体" w:cs="宋体"/>
          <w:sz w:val="32"/>
          <w:szCs w:val="32"/>
          <w:lang w:val="en-US" w:eastAsia="zh-CN"/>
        </w:rPr>
        <w:t>0</w:t>
      </w:r>
      <w:r>
        <w:rPr>
          <w:rFonts w:hint="eastAsia" w:ascii="宋体" w:hAnsi="宋体" w:eastAsia="宋体" w:cs="宋体"/>
          <w:sz w:val="32"/>
          <w:szCs w:val="32"/>
        </w:rPr>
        <w:t>辆、应急保障用车</w:t>
      </w:r>
      <w:r>
        <w:rPr>
          <w:rFonts w:hint="eastAsia" w:ascii="宋体" w:hAnsi="宋体" w:eastAsia="宋体" w:cs="宋体"/>
          <w:sz w:val="32"/>
          <w:szCs w:val="32"/>
          <w:lang w:val="en-US" w:eastAsia="zh-CN"/>
        </w:rPr>
        <w:t>0</w:t>
      </w:r>
      <w:r>
        <w:rPr>
          <w:rFonts w:hint="eastAsia" w:ascii="宋体" w:hAnsi="宋体" w:eastAsia="宋体" w:cs="宋体"/>
          <w:sz w:val="32"/>
          <w:szCs w:val="32"/>
        </w:rPr>
        <w:t>辆、其他用车</w:t>
      </w:r>
      <w:r>
        <w:rPr>
          <w:rFonts w:hint="eastAsia" w:ascii="宋体" w:hAnsi="宋体" w:cs="宋体"/>
          <w:sz w:val="32"/>
          <w:szCs w:val="32"/>
          <w:lang w:val="en-US" w:eastAsia="zh-CN"/>
        </w:rPr>
        <w:t>0</w:t>
      </w:r>
      <w:r>
        <w:rPr>
          <w:rFonts w:hint="eastAsia" w:ascii="宋体" w:hAnsi="宋体" w:eastAsia="宋体" w:cs="宋体"/>
          <w:sz w:val="32"/>
          <w:szCs w:val="32"/>
        </w:rPr>
        <w:t>辆，其他用车主要是用于</w:t>
      </w:r>
      <w:r>
        <w:rPr>
          <w:rFonts w:hint="eastAsia" w:ascii="宋体" w:hAnsi="宋体" w:eastAsia="宋体" w:cs="宋体"/>
          <w:sz w:val="32"/>
          <w:szCs w:val="32"/>
          <w:lang w:val="en-US" w:eastAsia="zh-CN"/>
        </w:rPr>
        <w:t>招商引资等经济活动需要</w:t>
      </w:r>
      <w:r>
        <w:rPr>
          <w:rFonts w:hint="eastAsia" w:ascii="宋体" w:hAnsi="宋体" w:eastAsia="宋体" w:cs="宋体"/>
          <w:sz w:val="32"/>
          <w:szCs w:val="32"/>
        </w:rPr>
        <w:t>。单价100万元以上设备（不含车辆）</w:t>
      </w:r>
      <w:r>
        <w:rPr>
          <w:rFonts w:hint="eastAsia" w:ascii="宋体" w:hAnsi="宋体" w:eastAsia="宋体" w:cs="宋体"/>
          <w:b/>
          <w:sz w:val="32"/>
          <w:szCs w:val="32"/>
        </w:rPr>
        <w:t>0</w:t>
      </w:r>
      <w:r>
        <w:rPr>
          <w:rFonts w:hint="eastAsia" w:ascii="宋体" w:hAnsi="宋体" w:eastAsia="宋体" w:cs="宋体"/>
          <w:sz w:val="32"/>
          <w:szCs w:val="32"/>
        </w:rPr>
        <w:t>台（套）。</w:t>
      </w:r>
    </w:p>
    <w:p w14:paraId="5C4AAF29">
      <w:pPr>
        <w:keepNext w:val="0"/>
        <w:keepLines w:val="0"/>
        <w:pageBreakBefore w:val="0"/>
        <w:widowControl w:val="0"/>
        <w:kinsoku/>
        <w:wordWrap/>
        <w:overflowPunct/>
        <w:topLinePunct w:val="0"/>
        <w:autoSpaceDE w:val="0"/>
        <w:autoSpaceDN w:val="0"/>
        <w:bidi w:val="0"/>
        <w:adjustRightInd w:val="0"/>
        <w:snapToGrid/>
        <w:spacing w:line="600" w:lineRule="exact"/>
        <w:ind w:firstLine="643" w:firstLineChars="200"/>
        <w:jc w:val="left"/>
        <w:textAlignment w:val="auto"/>
        <w:outlineLvl w:val="2"/>
        <w:rPr>
          <w:rFonts w:hint="eastAsia" w:ascii="宋体" w:hAnsi="宋体" w:eastAsia="宋体" w:cs="宋体"/>
          <w:b/>
          <w:sz w:val="32"/>
          <w:szCs w:val="32"/>
        </w:rPr>
      </w:pPr>
      <w:r>
        <w:rPr>
          <w:rFonts w:hint="eastAsia" w:ascii="宋体" w:hAnsi="宋体" w:eastAsia="宋体" w:cs="宋体"/>
          <w:b/>
          <w:sz w:val="32"/>
          <w:szCs w:val="32"/>
        </w:rPr>
        <w:t>（四）预算绩效管理情况</w:t>
      </w:r>
    </w:p>
    <w:p w14:paraId="45B8F76D">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根据预算绩效管理要求，本单位在2023年度预算编制阶段，组织对</w:t>
      </w:r>
      <w:r>
        <w:rPr>
          <w:rFonts w:hint="eastAsia" w:ascii="宋体" w:hAnsi="宋体" w:eastAsia="宋体" w:cs="宋体"/>
          <w:sz w:val="32"/>
          <w:szCs w:val="32"/>
          <w:lang w:val="en-US" w:eastAsia="zh-CN"/>
        </w:rPr>
        <w:t>0</w:t>
      </w:r>
      <w:r>
        <w:rPr>
          <w:rFonts w:hint="eastAsia" w:ascii="宋体" w:hAnsi="宋体" w:eastAsia="宋体" w:cs="宋体"/>
          <w:sz w:val="32"/>
          <w:szCs w:val="32"/>
        </w:rPr>
        <w:t>项目（项目名称）等</w:t>
      </w:r>
      <w:r>
        <w:rPr>
          <w:rFonts w:hint="eastAsia" w:ascii="宋体" w:hAnsi="宋体" w:eastAsia="宋体" w:cs="宋体"/>
          <w:sz w:val="32"/>
          <w:szCs w:val="32"/>
          <w:lang w:val="en-US" w:eastAsia="zh-CN"/>
        </w:rPr>
        <w:t>0</w:t>
      </w:r>
      <w:r>
        <w:rPr>
          <w:rFonts w:hint="eastAsia" w:ascii="宋体" w:hAnsi="宋体" w:eastAsia="宋体" w:cs="宋体"/>
          <w:sz w:val="32"/>
          <w:szCs w:val="32"/>
        </w:rPr>
        <w:t>个项目开展了预算事前绩效评估，对</w:t>
      </w:r>
      <w:r>
        <w:rPr>
          <w:rFonts w:hint="eastAsia" w:ascii="宋体" w:hAnsi="宋体" w:eastAsia="宋体" w:cs="宋体"/>
          <w:sz w:val="32"/>
          <w:szCs w:val="32"/>
          <w:lang w:val="en-US" w:eastAsia="zh-CN"/>
        </w:rPr>
        <w:t>0</w:t>
      </w:r>
      <w:r>
        <w:rPr>
          <w:rFonts w:hint="eastAsia" w:ascii="宋体" w:hAnsi="宋体" w:eastAsia="宋体" w:cs="宋体"/>
          <w:sz w:val="32"/>
          <w:szCs w:val="32"/>
        </w:rPr>
        <w:t>个项目编制了绩效目标，预算执行过程中，选取</w:t>
      </w:r>
      <w:r>
        <w:rPr>
          <w:rFonts w:hint="eastAsia" w:ascii="宋体" w:hAnsi="宋体" w:eastAsia="宋体" w:cs="宋体"/>
          <w:sz w:val="32"/>
          <w:szCs w:val="32"/>
          <w:lang w:val="en-US" w:eastAsia="zh-CN"/>
        </w:rPr>
        <w:t>0</w:t>
      </w:r>
      <w:r>
        <w:rPr>
          <w:rFonts w:hint="eastAsia" w:ascii="宋体" w:hAnsi="宋体" w:eastAsia="宋体" w:cs="宋体"/>
          <w:sz w:val="32"/>
          <w:szCs w:val="32"/>
        </w:rPr>
        <w:t>个项目开展绩效监控，组织对</w:t>
      </w:r>
      <w:r>
        <w:rPr>
          <w:rFonts w:hint="eastAsia" w:ascii="宋体" w:hAnsi="宋体" w:eastAsia="宋体" w:cs="宋体"/>
          <w:sz w:val="32"/>
          <w:szCs w:val="32"/>
          <w:lang w:val="en-US" w:eastAsia="zh-CN"/>
        </w:rPr>
        <w:t>0</w:t>
      </w:r>
      <w:r>
        <w:rPr>
          <w:rFonts w:hint="eastAsia" w:ascii="宋体" w:hAnsi="宋体" w:eastAsia="宋体" w:cs="宋体"/>
          <w:sz w:val="32"/>
          <w:szCs w:val="32"/>
        </w:rPr>
        <w:t>个项目开展绩效自评，绩效自评表详见第四部分附件。</w:t>
      </w:r>
    </w:p>
    <w:p w14:paraId="0CDFE79C">
      <w:pPr>
        <w:spacing w:line="60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br w:type="page"/>
      </w:r>
    </w:p>
    <w:p w14:paraId="7703A11B">
      <w:pPr>
        <w:numPr>
          <w:ilvl w:val="0"/>
          <w:numId w:val="0"/>
        </w:numPr>
        <w:spacing w:line="600" w:lineRule="exact"/>
        <w:ind w:firstLine="660" w:firstLineChars="150"/>
        <w:jc w:val="center"/>
        <w:outlineLvl w:val="0"/>
        <w:rPr>
          <w:rStyle w:val="29"/>
          <w:rFonts w:hint="eastAsia" w:ascii="宋体" w:hAnsi="宋体" w:eastAsia="宋体" w:cs="宋体"/>
          <w:b w:val="0"/>
        </w:rPr>
      </w:pPr>
      <w:bookmarkStart w:id="49" w:name="_Toc15377225"/>
      <w:bookmarkStart w:id="50" w:name="_Toc15396613"/>
      <w:r>
        <w:rPr>
          <w:rFonts w:hint="eastAsia" w:ascii="宋体" w:hAnsi="宋体" w:eastAsia="宋体" w:cs="宋体"/>
          <w:b w:val="0"/>
          <w:bCs/>
          <w:kern w:val="44"/>
          <w:sz w:val="44"/>
          <w:szCs w:val="44"/>
          <w:lang w:val="en-US" w:eastAsia="zh-CN" w:bidi="ar-SA"/>
        </w:rPr>
        <w:t xml:space="preserve">第三部分  </w:t>
      </w:r>
      <w:r>
        <w:rPr>
          <w:rFonts w:hint="eastAsia" w:ascii="宋体" w:hAnsi="宋体" w:eastAsia="宋体" w:cs="宋体"/>
          <w:sz w:val="44"/>
          <w:szCs w:val="44"/>
        </w:rPr>
        <w:t>名</w:t>
      </w:r>
      <w:r>
        <w:rPr>
          <w:rStyle w:val="29"/>
          <w:rFonts w:hint="eastAsia" w:ascii="宋体" w:hAnsi="宋体" w:eastAsia="宋体" w:cs="宋体"/>
          <w:b w:val="0"/>
        </w:rPr>
        <w:t>词解释</w:t>
      </w:r>
      <w:bookmarkEnd w:id="49"/>
      <w:bookmarkEnd w:id="50"/>
    </w:p>
    <w:p w14:paraId="434B97C0">
      <w:pPr>
        <w:spacing w:line="600" w:lineRule="exact"/>
        <w:jc w:val="left"/>
        <w:rPr>
          <w:rFonts w:hint="eastAsia" w:ascii="宋体" w:hAnsi="宋体" w:eastAsia="宋体" w:cs="宋体"/>
          <w:b/>
          <w:sz w:val="44"/>
          <w:szCs w:val="44"/>
        </w:rPr>
      </w:pPr>
    </w:p>
    <w:p w14:paraId="479D849B">
      <w:pPr>
        <w:pStyle w:val="27"/>
        <w:keepNext w:val="0"/>
        <w:keepLines w:val="0"/>
        <w:pageBreakBefore w:val="0"/>
        <w:widowControl w:val="0"/>
        <w:kinsoku/>
        <w:wordWrap/>
        <w:overflowPunct/>
        <w:topLinePunct w:val="0"/>
        <w:bidi w:val="0"/>
        <w:snapToGrid/>
        <w:spacing w:line="640" w:lineRule="exact"/>
        <w:ind w:firstLine="640" w:firstLineChars="200"/>
        <w:textAlignment w:val="auto"/>
        <w:rPr>
          <w:rFonts w:hint="eastAsia" w:ascii="宋体" w:hAnsi="宋体" w:eastAsia="宋体" w:cs="宋体"/>
          <w:color w:val="000000" w:themeColor="text1"/>
          <w:sz w:val="32"/>
          <w:szCs w:val="32"/>
          <w14:textFill>
            <w14:solidFill>
              <w14:schemeClr w14:val="tx1"/>
            </w14:solidFill>
          </w14:textFill>
        </w:rPr>
      </w:pPr>
      <w:r>
        <w:rPr>
          <w:rFonts w:hint="eastAsia" w:ascii="宋体" w:hAnsi="宋体" w:eastAsia="宋体" w:cs="宋体"/>
          <w:color w:val="000000" w:themeColor="text1"/>
          <w:sz w:val="32"/>
          <w:szCs w:val="32"/>
          <w14:textFill>
            <w14:solidFill>
              <w14:schemeClr w14:val="tx1"/>
            </w14:solidFill>
          </w14:textFill>
        </w:rPr>
        <w:t>1.财政拨款收入：指单位从同级财政部门取得的财政预算资金。</w:t>
      </w:r>
    </w:p>
    <w:p w14:paraId="06AB0463">
      <w:pPr>
        <w:pStyle w:val="27"/>
        <w:keepNext w:val="0"/>
        <w:keepLines w:val="0"/>
        <w:pageBreakBefore w:val="0"/>
        <w:widowControl w:val="0"/>
        <w:kinsoku/>
        <w:wordWrap/>
        <w:overflowPunct/>
        <w:topLinePunct w:val="0"/>
        <w:bidi w:val="0"/>
        <w:snapToGrid/>
        <w:spacing w:line="640" w:lineRule="exact"/>
        <w:ind w:firstLine="640" w:firstLineChars="200"/>
        <w:textAlignment w:val="auto"/>
        <w:rPr>
          <w:rFonts w:hint="eastAsia" w:ascii="宋体" w:hAnsi="宋体" w:eastAsia="宋体" w:cs="宋体"/>
          <w:color w:val="000000" w:themeColor="text1"/>
          <w:sz w:val="32"/>
          <w:szCs w:val="32"/>
          <w14:textFill>
            <w14:solidFill>
              <w14:schemeClr w14:val="tx1"/>
            </w14:solidFill>
          </w14:textFill>
        </w:rPr>
      </w:pPr>
      <w:r>
        <w:rPr>
          <w:rFonts w:hint="eastAsia" w:ascii="宋体" w:hAnsi="宋体" w:eastAsia="宋体" w:cs="宋体"/>
          <w:color w:val="000000" w:themeColor="text1"/>
          <w:sz w:val="32"/>
          <w:szCs w:val="32"/>
          <w14:textFill>
            <w14:solidFill>
              <w14:schemeClr w14:val="tx1"/>
            </w14:solidFill>
          </w14:textFill>
        </w:rPr>
        <w:t>2.事业收入：指事业单位开展专业业务活动及辅助活动取得的收入。</w:t>
      </w:r>
    </w:p>
    <w:p w14:paraId="23AF8F88">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宋体" w:hAnsi="宋体" w:eastAsia="宋体" w:cs="宋体"/>
          <w:b w:val="0"/>
          <w:bCs w:val="0"/>
          <w:color w:val="000000"/>
          <w:sz w:val="32"/>
          <w:szCs w:val="32"/>
          <w:highlight w:val="none"/>
        </w:rPr>
      </w:pPr>
      <w:r>
        <w:rPr>
          <w:rFonts w:hint="eastAsia" w:ascii="宋体" w:hAnsi="宋体" w:eastAsia="宋体" w:cs="宋体"/>
          <w:color w:val="000000" w:themeColor="text1"/>
          <w:sz w:val="32"/>
          <w:szCs w:val="32"/>
          <w:lang w:val="en-US" w:eastAsia="zh-CN"/>
          <w14:textFill>
            <w14:solidFill>
              <w14:schemeClr w14:val="tx1"/>
            </w14:solidFill>
          </w14:textFill>
        </w:rPr>
        <w:t>3、</w:t>
      </w:r>
      <w:r>
        <w:rPr>
          <w:rFonts w:hint="eastAsia" w:ascii="宋体" w:hAnsi="宋体" w:eastAsia="宋体" w:cs="宋体"/>
          <w:b w:val="0"/>
          <w:bCs w:val="0"/>
          <w:i w:val="0"/>
          <w:caps w:val="0"/>
          <w:color w:val="000000" w:themeColor="text1"/>
          <w:spacing w:val="0"/>
          <w:sz w:val="32"/>
          <w:szCs w:val="32"/>
          <w:highlight w:val="none"/>
          <w:shd w:val="clear" w:color="auto" w:fill="FFFFFF"/>
          <w14:textFill>
            <w14:solidFill>
              <w14:schemeClr w14:val="tx1"/>
            </w14:solidFill>
          </w14:textFill>
        </w:rPr>
        <w:t>社会保障和就业支出(类)</w:t>
      </w:r>
      <w:r>
        <w:rPr>
          <w:rFonts w:hint="eastAsia" w:ascii="宋体" w:hAnsi="宋体" w:eastAsia="宋体" w:cs="宋体"/>
          <w:b w:val="0"/>
          <w:bCs w:val="0"/>
          <w:i w:val="0"/>
          <w:caps w:val="0"/>
          <w:color w:val="000000" w:themeColor="text1"/>
          <w:spacing w:val="0"/>
          <w:sz w:val="32"/>
          <w:szCs w:val="32"/>
          <w:highlight w:val="none"/>
          <w:shd w:val="clear" w:color="auto" w:fill="FFFFFF"/>
          <w:lang w:eastAsia="zh-CN"/>
          <w14:textFill>
            <w14:solidFill>
              <w14:schemeClr w14:val="tx1"/>
            </w14:solidFill>
          </w14:textFill>
        </w:rPr>
        <w:t>：指反映</w:t>
      </w:r>
      <w:r>
        <w:rPr>
          <w:rFonts w:hint="eastAsia" w:ascii="宋体" w:hAnsi="宋体" w:eastAsia="宋体" w:cs="宋体"/>
          <w:b w:val="0"/>
          <w:bCs w:val="0"/>
          <w:i w:val="0"/>
          <w:caps w:val="0"/>
          <w:color w:val="000000"/>
          <w:spacing w:val="0"/>
          <w:sz w:val="32"/>
          <w:szCs w:val="32"/>
          <w:highlight w:val="none"/>
          <w:shd w:val="clear" w:color="auto" w:fill="FFFFFF"/>
          <w:lang w:eastAsia="zh-CN"/>
        </w:rPr>
        <w:t>政府在</w:t>
      </w:r>
      <w:r>
        <w:rPr>
          <w:rFonts w:hint="eastAsia" w:ascii="宋体" w:hAnsi="宋体" w:eastAsia="宋体" w:cs="宋体"/>
          <w:b w:val="0"/>
          <w:bCs w:val="0"/>
          <w:i w:val="0"/>
          <w:caps w:val="0"/>
          <w:color w:val="000000"/>
          <w:spacing w:val="0"/>
          <w:sz w:val="32"/>
          <w:szCs w:val="32"/>
          <w:highlight w:val="none"/>
          <w:shd w:val="clear" w:color="auto" w:fill="FFFFFF"/>
        </w:rPr>
        <w:t>社会保障和就业</w:t>
      </w:r>
      <w:r>
        <w:rPr>
          <w:rFonts w:hint="eastAsia" w:ascii="宋体" w:hAnsi="宋体" w:eastAsia="宋体" w:cs="宋体"/>
          <w:b w:val="0"/>
          <w:bCs w:val="0"/>
          <w:i w:val="0"/>
          <w:caps w:val="0"/>
          <w:color w:val="000000"/>
          <w:spacing w:val="0"/>
          <w:sz w:val="32"/>
          <w:szCs w:val="32"/>
          <w:highlight w:val="none"/>
          <w:shd w:val="clear" w:color="auto" w:fill="FFFFFF"/>
          <w:lang w:eastAsia="zh-CN"/>
        </w:rPr>
        <w:t>方面的</w:t>
      </w:r>
      <w:r>
        <w:rPr>
          <w:rFonts w:hint="eastAsia" w:ascii="宋体" w:hAnsi="宋体" w:eastAsia="宋体" w:cs="宋体"/>
          <w:b w:val="0"/>
          <w:bCs w:val="0"/>
          <w:i w:val="0"/>
          <w:caps w:val="0"/>
          <w:color w:val="000000"/>
          <w:spacing w:val="0"/>
          <w:sz w:val="32"/>
          <w:szCs w:val="32"/>
          <w:highlight w:val="none"/>
          <w:shd w:val="clear" w:color="auto" w:fill="FFFFFF"/>
        </w:rPr>
        <w:t>支出</w:t>
      </w:r>
      <w:r>
        <w:rPr>
          <w:rFonts w:hint="eastAsia" w:ascii="宋体" w:hAnsi="宋体" w:eastAsia="宋体" w:cs="宋体"/>
          <w:b w:val="0"/>
          <w:bCs w:val="0"/>
          <w:i w:val="0"/>
          <w:caps w:val="0"/>
          <w:color w:val="000000"/>
          <w:spacing w:val="0"/>
          <w:sz w:val="32"/>
          <w:szCs w:val="32"/>
          <w:highlight w:val="none"/>
          <w:shd w:val="clear" w:color="auto" w:fill="FFFFFF"/>
          <w:lang w:eastAsia="zh-CN"/>
        </w:rPr>
        <w:t>。行</w:t>
      </w:r>
      <w:r>
        <w:rPr>
          <w:rStyle w:val="18"/>
          <w:rFonts w:hint="eastAsia" w:ascii="宋体" w:hAnsi="宋体" w:eastAsia="宋体" w:cs="宋体"/>
          <w:b w:val="0"/>
          <w:bCs w:val="0"/>
          <w:sz w:val="32"/>
          <w:szCs w:val="32"/>
          <w:highlight w:val="none"/>
        </w:rPr>
        <w:t>政事业单位离退休</w:t>
      </w:r>
      <w:r>
        <w:rPr>
          <w:rStyle w:val="18"/>
          <w:rFonts w:hint="eastAsia" w:ascii="宋体" w:hAnsi="宋体" w:eastAsia="宋体" w:cs="宋体"/>
          <w:b w:val="0"/>
          <w:bCs w:val="0"/>
          <w:sz w:val="32"/>
          <w:szCs w:val="32"/>
          <w:highlight w:val="none"/>
          <w:lang w:eastAsia="zh-CN"/>
        </w:rPr>
        <w:t>（款）</w:t>
      </w:r>
      <w:r>
        <w:rPr>
          <w:rFonts w:hint="eastAsia" w:ascii="宋体" w:hAnsi="宋体" w:eastAsia="宋体" w:cs="宋体"/>
          <w:b w:val="0"/>
          <w:bCs w:val="0"/>
          <w:sz w:val="32"/>
          <w:szCs w:val="32"/>
          <w:highlight w:val="none"/>
        </w:rPr>
        <w:t>机关事业单位基本养老保险缴费支出</w:t>
      </w:r>
      <w:r>
        <w:rPr>
          <w:rFonts w:hint="eastAsia" w:ascii="宋体" w:hAnsi="宋体" w:eastAsia="宋体" w:cs="宋体"/>
          <w:b w:val="0"/>
          <w:bCs w:val="0"/>
          <w:sz w:val="32"/>
          <w:szCs w:val="32"/>
          <w:highlight w:val="none"/>
          <w:lang w:eastAsia="zh-CN"/>
        </w:rPr>
        <w:t>（项）</w:t>
      </w:r>
      <w:r>
        <w:rPr>
          <w:rFonts w:hint="eastAsia" w:ascii="宋体" w:hAnsi="宋体" w:eastAsia="宋体" w:cs="宋体"/>
          <w:b w:val="0"/>
          <w:bCs w:val="0"/>
          <w:sz w:val="32"/>
          <w:szCs w:val="32"/>
          <w:highlight w:val="none"/>
        </w:rPr>
        <w:t>是指机关事业单位实旗养老保险制度由单位缴纳的基本养老保险费支出</w:t>
      </w:r>
      <w:r>
        <w:rPr>
          <w:rFonts w:hint="eastAsia" w:ascii="宋体" w:hAnsi="宋体" w:eastAsia="宋体" w:cs="宋体"/>
          <w:b w:val="0"/>
          <w:bCs w:val="0"/>
          <w:sz w:val="32"/>
          <w:szCs w:val="32"/>
          <w:highlight w:val="none"/>
          <w:lang w:eastAsia="zh-CN"/>
        </w:rPr>
        <w:t>。</w:t>
      </w:r>
      <w:r>
        <w:rPr>
          <w:rFonts w:hint="eastAsia" w:ascii="宋体" w:hAnsi="宋体" w:eastAsia="宋体" w:cs="宋体"/>
          <w:b w:val="0"/>
          <w:bCs w:val="0"/>
          <w:sz w:val="32"/>
          <w:szCs w:val="32"/>
          <w:highlight w:val="none"/>
          <w:lang w:val="en-US" w:eastAsia="zh-CN"/>
        </w:rPr>
        <w:t>行</w:t>
      </w:r>
      <w:r>
        <w:rPr>
          <w:rStyle w:val="18"/>
          <w:rFonts w:hint="eastAsia" w:ascii="宋体" w:hAnsi="宋体" w:eastAsia="宋体" w:cs="宋体"/>
          <w:b w:val="0"/>
          <w:bCs w:val="0"/>
          <w:sz w:val="32"/>
          <w:szCs w:val="32"/>
          <w:highlight w:val="none"/>
        </w:rPr>
        <w:t>政事业单位离退休</w:t>
      </w:r>
      <w:r>
        <w:rPr>
          <w:rStyle w:val="18"/>
          <w:rFonts w:hint="eastAsia" w:ascii="宋体" w:hAnsi="宋体" w:eastAsia="宋体" w:cs="宋体"/>
          <w:b w:val="0"/>
          <w:bCs w:val="0"/>
          <w:sz w:val="32"/>
          <w:szCs w:val="32"/>
          <w:highlight w:val="none"/>
          <w:lang w:eastAsia="zh-CN"/>
        </w:rPr>
        <w:t>（款）</w:t>
      </w:r>
      <w:r>
        <w:rPr>
          <w:rFonts w:hint="eastAsia" w:ascii="宋体" w:hAnsi="宋体" w:eastAsia="宋体" w:cs="宋体"/>
          <w:b w:val="0"/>
          <w:bCs w:val="0"/>
          <w:color w:val="000000"/>
          <w:sz w:val="32"/>
          <w:szCs w:val="32"/>
          <w:highlight w:val="none"/>
        </w:rPr>
        <w:t>机关事业单位职业年金缴费支出</w:t>
      </w:r>
      <w:r>
        <w:rPr>
          <w:rFonts w:hint="eastAsia" w:ascii="宋体" w:hAnsi="宋体" w:eastAsia="宋体" w:cs="宋体"/>
          <w:b w:val="0"/>
          <w:bCs w:val="0"/>
          <w:color w:val="000000"/>
          <w:sz w:val="32"/>
          <w:szCs w:val="32"/>
          <w:highlight w:val="none"/>
          <w:lang w:eastAsia="zh-CN"/>
        </w:rPr>
        <w:t>（项）</w:t>
      </w:r>
      <w:r>
        <w:rPr>
          <w:rFonts w:hint="eastAsia" w:ascii="宋体" w:hAnsi="宋体" w:eastAsia="宋体" w:cs="宋体"/>
          <w:b w:val="0"/>
          <w:bCs w:val="0"/>
          <w:color w:val="000000"/>
          <w:sz w:val="32"/>
          <w:szCs w:val="32"/>
          <w:highlight w:val="none"/>
        </w:rPr>
        <w:t>是指机关事业单位实</w:t>
      </w:r>
      <w:r>
        <w:rPr>
          <w:rFonts w:hint="eastAsia" w:ascii="宋体" w:hAnsi="宋体" w:eastAsia="宋体" w:cs="宋体"/>
          <w:b w:val="0"/>
          <w:bCs w:val="0"/>
          <w:color w:val="000000"/>
          <w:sz w:val="32"/>
          <w:szCs w:val="32"/>
          <w:highlight w:val="none"/>
          <w:lang w:eastAsia="zh-CN"/>
        </w:rPr>
        <w:t>施</w:t>
      </w:r>
      <w:r>
        <w:rPr>
          <w:rFonts w:hint="eastAsia" w:ascii="宋体" w:hAnsi="宋体" w:eastAsia="宋体" w:cs="宋体"/>
          <w:b w:val="0"/>
          <w:bCs w:val="0"/>
          <w:color w:val="000000"/>
          <w:sz w:val="32"/>
          <w:szCs w:val="32"/>
          <w:highlight w:val="none"/>
        </w:rPr>
        <w:t>养老保险制度由单位缴纳的职业年金缴费支出支出。</w:t>
      </w:r>
    </w:p>
    <w:p w14:paraId="396B5298">
      <w:pPr>
        <w:keepNext w:val="0"/>
        <w:keepLines w:val="0"/>
        <w:pageBreakBefore w:val="0"/>
        <w:widowControl w:val="0"/>
        <w:kinsoku/>
        <w:wordWrap/>
        <w:overflowPunct/>
        <w:topLinePunct w:val="0"/>
        <w:bidi w:val="0"/>
        <w:snapToGrid/>
        <w:spacing w:line="640" w:lineRule="exact"/>
        <w:ind w:firstLine="640" w:firstLineChars="200"/>
        <w:textAlignment w:val="auto"/>
        <w:rPr>
          <w:rStyle w:val="18"/>
          <w:rFonts w:hint="eastAsia" w:ascii="宋体" w:hAnsi="宋体" w:eastAsia="宋体" w:cs="宋体"/>
          <w:b w:val="0"/>
          <w:bCs w:val="0"/>
          <w:sz w:val="32"/>
          <w:szCs w:val="32"/>
          <w:highlight w:val="none"/>
        </w:rPr>
      </w:pPr>
      <w:r>
        <w:rPr>
          <w:rFonts w:hint="eastAsia" w:ascii="宋体" w:hAnsi="宋体" w:eastAsia="宋体" w:cs="宋体"/>
          <w:sz w:val="32"/>
          <w:szCs w:val="32"/>
          <w:lang w:val="en-US" w:eastAsia="zh-CN"/>
        </w:rPr>
        <w:t>4、</w:t>
      </w:r>
      <w:r>
        <w:rPr>
          <w:rFonts w:hint="eastAsia" w:ascii="宋体" w:hAnsi="宋体" w:eastAsia="宋体" w:cs="宋体"/>
          <w:b w:val="0"/>
          <w:bCs w:val="0"/>
          <w:color w:val="000000"/>
          <w:sz w:val="32"/>
          <w:szCs w:val="32"/>
          <w:highlight w:val="none"/>
        </w:rPr>
        <w:t>卫生健康</w:t>
      </w:r>
      <w:r>
        <w:rPr>
          <w:rStyle w:val="18"/>
          <w:rFonts w:hint="eastAsia" w:ascii="宋体" w:hAnsi="宋体" w:eastAsia="宋体" w:cs="宋体"/>
          <w:b w:val="0"/>
          <w:bCs w:val="0"/>
          <w:color w:val="000000"/>
          <w:sz w:val="32"/>
          <w:szCs w:val="32"/>
          <w:highlight w:val="none"/>
        </w:rPr>
        <w:t>（类）</w:t>
      </w:r>
      <w:r>
        <w:rPr>
          <w:rStyle w:val="18"/>
          <w:rFonts w:hint="eastAsia" w:ascii="宋体" w:hAnsi="宋体" w:eastAsia="宋体" w:cs="宋体"/>
          <w:b w:val="0"/>
          <w:bCs w:val="0"/>
          <w:color w:val="000000"/>
          <w:sz w:val="32"/>
          <w:szCs w:val="32"/>
          <w:highlight w:val="none"/>
          <w:lang w:eastAsia="zh-CN"/>
        </w:rPr>
        <w:t>：反映政府</w:t>
      </w:r>
      <w:r>
        <w:rPr>
          <w:rFonts w:hint="eastAsia" w:ascii="宋体" w:hAnsi="宋体" w:eastAsia="宋体" w:cs="宋体"/>
          <w:b w:val="0"/>
          <w:bCs w:val="0"/>
          <w:color w:val="000000"/>
          <w:sz w:val="32"/>
          <w:szCs w:val="32"/>
          <w:highlight w:val="none"/>
        </w:rPr>
        <w:t>卫生健康</w:t>
      </w:r>
      <w:r>
        <w:rPr>
          <w:rFonts w:hint="eastAsia" w:ascii="宋体" w:hAnsi="宋体" w:eastAsia="宋体" w:cs="宋体"/>
          <w:b w:val="0"/>
          <w:bCs w:val="0"/>
          <w:color w:val="000000"/>
          <w:sz w:val="32"/>
          <w:szCs w:val="32"/>
          <w:highlight w:val="none"/>
          <w:lang w:eastAsia="zh-CN"/>
        </w:rPr>
        <w:t>方面的支出。</w:t>
      </w:r>
      <w:r>
        <w:rPr>
          <w:rStyle w:val="18"/>
          <w:rFonts w:hint="eastAsia" w:ascii="宋体" w:hAnsi="宋体" w:eastAsia="宋体" w:cs="宋体"/>
          <w:b w:val="0"/>
          <w:bCs w:val="0"/>
          <w:color w:val="000000"/>
          <w:sz w:val="32"/>
          <w:szCs w:val="32"/>
          <w:highlight w:val="none"/>
        </w:rPr>
        <w:t>公共卫生（款）</w:t>
      </w:r>
      <w:r>
        <w:rPr>
          <w:rStyle w:val="18"/>
          <w:rFonts w:hint="eastAsia" w:ascii="宋体" w:hAnsi="宋体" w:eastAsia="宋体" w:cs="宋体"/>
          <w:b w:val="0"/>
          <w:bCs w:val="0"/>
          <w:color w:val="000000"/>
          <w:sz w:val="32"/>
          <w:szCs w:val="32"/>
          <w:highlight w:val="none"/>
          <w:lang w:eastAsia="zh-CN"/>
        </w:rPr>
        <w:t>反映</w:t>
      </w:r>
      <w:r>
        <w:rPr>
          <w:rStyle w:val="18"/>
          <w:rFonts w:hint="eastAsia" w:ascii="宋体" w:hAnsi="宋体" w:eastAsia="宋体" w:cs="宋体"/>
          <w:b w:val="0"/>
          <w:bCs w:val="0"/>
          <w:color w:val="000000"/>
          <w:sz w:val="32"/>
          <w:szCs w:val="32"/>
          <w:highlight w:val="none"/>
        </w:rPr>
        <w:t>公共卫生</w:t>
      </w:r>
      <w:r>
        <w:rPr>
          <w:rStyle w:val="18"/>
          <w:rFonts w:hint="eastAsia" w:ascii="宋体" w:hAnsi="宋体" w:eastAsia="宋体" w:cs="宋体"/>
          <w:b w:val="0"/>
          <w:bCs w:val="0"/>
          <w:color w:val="000000"/>
          <w:sz w:val="32"/>
          <w:szCs w:val="32"/>
          <w:highlight w:val="none"/>
          <w:lang w:eastAsia="zh-CN"/>
        </w:rPr>
        <w:t>的支出。</w:t>
      </w:r>
      <w:r>
        <w:rPr>
          <w:rStyle w:val="18"/>
          <w:rFonts w:hint="eastAsia" w:ascii="宋体" w:hAnsi="宋体" w:eastAsia="宋体" w:cs="宋体"/>
          <w:b w:val="0"/>
          <w:bCs w:val="0"/>
          <w:sz w:val="32"/>
          <w:szCs w:val="32"/>
          <w:highlight w:val="none"/>
        </w:rPr>
        <w:t>行政事业单位医疗</w:t>
      </w:r>
      <w:r>
        <w:rPr>
          <w:rStyle w:val="18"/>
          <w:rFonts w:hint="eastAsia" w:ascii="宋体" w:hAnsi="宋体" w:eastAsia="宋体" w:cs="宋体"/>
          <w:b w:val="0"/>
          <w:bCs w:val="0"/>
          <w:sz w:val="32"/>
          <w:szCs w:val="32"/>
          <w:highlight w:val="none"/>
          <w:lang w:eastAsia="zh-CN"/>
        </w:rPr>
        <w:t>（款）</w:t>
      </w:r>
      <w:r>
        <w:rPr>
          <w:rStyle w:val="18"/>
          <w:rFonts w:hint="eastAsia" w:ascii="宋体" w:hAnsi="宋体" w:eastAsia="宋体" w:cs="宋体"/>
          <w:b w:val="0"/>
          <w:bCs w:val="0"/>
          <w:sz w:val="32"/>
          <w:szCs w:val="32"/>
          <w:highlight w:val="none"/>
        </w:rPr>
        <w:t>行政单位医疗</w:t>
      </w:r>
      <w:r>
        <w:rPr>
          <w:rStyle w:val="18"/>
          <w:rFonts w:hint="eastAsia" w:ascii="宋体" w:hAnsi="宋体" w:eastAsia="宋体" w:cs="宋体"/>
          <w:b w:val="0"/>
          <w:bCs w:val="0"/>
          <w:sz w:val="32"/>
          <w:szCs w:val="32"/>
          <w:highlight w:val="none"/>
          <w:lang w:eastAsia="zh-CN"/>
        </w:rPr>
        <w:t>（项）</w:t>
      </w:r>
      <w:r>
        <w:rPr>
          <w:rStyle w:val="18"/>
          <w:rFonts w:hint="eastAsia" w:ascii="宋体" w:hAnsi="宋体" w:eastAsia="宋体" w:cs="宋体"/>
          <w:b w:val="0"/>
          <w:bCs w:val="0"/>
          <w:sz w:val="32"/>
          <w:szCs w:val="32"/>
          <w:highlight w:val="none"/>
        </w:rPr>
        <w:t>是指财政部门集中安排的行政单位基本医疗保险缴费经费，未参加医疗保险的行政单位基本的公费医疗经费，按国家规定享受离休人员、老红军战士待遇人员的医疗经费。行政事业单位医疗</w:t>
      </w:r>
      <w:r>
        <w:rPr>
          <w:rStyle w:val="18"/>
          <w:rFonts w:hint="eastAsia" w:ascii="宋体" w:hAnsi="宋体" w:eastAsia="宋体" w:cs="宋体"/>
          <w:b w:val="0"/>
          <w:bCs w:val="0"/>
          <w:sz w:val="32"/>
          <w:szCs w:val="32"/>
          <w:highlight w:val="none"/>
          <w:lang w:eastAsia="zh-CN"/>
        </w:rPr>
        <w:t>（款）</w:t>
      </w:r>
      <w:r>
        <w:rPr>
          <w:rStyle w:val="18"/>
          <w:rFonts w:hint="eastAsia" w:ascii="宋体" w:hAnsi="宋体" w:eastAsia="宋体" w:cs="宋体"/>
          <w:b w:val="0"/>
          <w:bCs w:val="0"/>
          <w:sz w:val="32"/>
          <w:szCs w:val="32"/>
          <w:highlight w:val="none"/>
        </w:rPr>
        <w:t>事业单位医疗</w:t>
      </w:r>
      <w:r>
        <w:rPr>
          <w:rStyle w:val="18"/>
          <w:rFonts w:hint="eastAsia" w:ascii="宋体" w:hAnsi="宋体" w:eastAsia="宋体" w:cs="宋体"/>
          <w:b w:val="0"/>
          <w:bCs w:val="0"/>
          <w:sz w:val="32"/>
          <w:szCs w:val="32"/>
          <w:highlight w:val="none"/>
          <w:lang w:eastAsia="zh-CN"/>
        </w:rPr>
        <w:t>（项）</w:t>
      </w:r>
      <w:r>
        <w:rPr>
          <w:rStyle w:val="18"/>
          <w:rFonts w:hint="eastAsia" w:ascii="宋体" w:hAnsi="宋体" w:eastAsia="宋体" w:cs="宋体"/>
          <w:b w:val="0"/>
          <w:bCs w:val="0"/>
          <w:sz w:val="32"/>
          <w:szCs w:val="32"/>
          <w:highlight w:val="none"/>
        </w:rPr>
        <w:t>是指财政部门集中安排的事业单位基本医疗保险缴费经费，未参加医疗保险的事业单位基本的公费医疗经费，按国家规定享受离休人员待遇人员的医疗经费。</w:t>
      </w:r>
    </w:p>
    <w:p w14:paraId="54F14F33">
      <w:pPr>
        <w:keepNext w:val="0"/>
        <w:keepLines w:val="0"/>
        <w:pageBreakBefore w:val="0"/>
        <w:widowControl w:val="0"/>
        <w:kinsoku/>
        <w:wordWrap/>
        <w:overflowPunct/>
        <w:topLinePunct w:val="0"/>
        <w:bidi w:val="0"/>
        <w:snapToGrid/>
        <w:spacing w:line="640" w:lineRule="exact"/>
        <w:ind w:firstLine="640" w:firstLineChars="200"/>
        <w:textAlignment w:val="auto"/>
        <w:rPr>
          <w:rFonts w:hint="eastAsia" w:ascii="宋体" w:hAnsi="宋体" w:eastAsia="宋体" w:cs="宋体"/>
          <w:sz w:val="32"/>
          <w:szCs w:val="32"/>
        </w:rPr>
      </w:pPr>
    </w:p>
    <w:p w14:paraId="2CAA4CEA">
      <w:pPr>
        <w:pStyle w:val="14"/>
        <w:keepNext w:val="0"/>
        <w:keepLines w:val="0"/>
        <w:widowControl/>
        <w:numPr>
          <w:ilvl w:val="0"/>
          <w:numId w:val="0"/>
        </w:numPr>
        <w:suppressLineNumbers w:val="0"/>
        <w:shd w:val="clear" w:color="auto" w:fill="FFFFFF"/>
        <w:ind w:firstLine="640" w:firstLineChars="200"/>
        <w:jc w:val="left"/>
        <w:rPr>
          <w:rStyle w:val="18"/>
          <w:rFonts w:hint="eastAsia" w:ascii="宋体" w:hAnsi="宋体" w:eastAsia="宋体" w:cs="宋体"/>
          <w:b w:val="0"/>
          <w:bCs w:val="0"/>
          <w:color w:val="000000"/>
          <w:sz w:val="32"/>
          <w:szCs w:val="32"/>
          <w:highlight w:val="none"/>
          <w:lang w:val="en-US" w:eastAsia="zh-CN"/>
        </w:rPr>
      </w:pPr>
      <w:r>
        <w:rPr>
          <w:rFonts w:hint="eastAsia" w:ascii="宋体" w:hAnsi="宋体" w:eastAsia="宋体" w:cs="宋体"/>
          <w:sz w:val="32"/>
          <w:szCs w:val="32"/>
          <w:lang w:val="en-US" w:eastAsia="zh-CN"/>
        </w:rPr>
        <w:t>5、</w:t>
      </w:r>
      <w:r>
        <w:rPr>
          <w:rStyle w:val="18"/>
          <w:rFonts w:hint="eastAsia" w:ascii="宋体" w:hAnsi="宋体" w:eastAsia="宋体" w:cs="宋体"/>
          <w:b w:val="0"/>
          <w:bCs w:val="0"/>
          <w:color w:val="000000"/>
          <w:sz w:val="32"/>
          <w:szCs w:val="32"/>
          <w:highlight w:val="none"/>
          <w:lang w:eastAsia="zh-CN"/>
        </w:rPr>
        <w:t>资源勘探工业信息等支出</w:t>
      </w:r>
      <w:r>
        <w:rPr>
          <w:rStyle w:val="18"/>
          <w:rFonts w:hint="eastAsia" w:ascii="宋体" w:hAnsi="宋体" w:eastAsia="宋体" w:cs="宋体"/>
          <w:b w:val="0"/>
          <w:bCs w:val="0"/>
          <w:color w:val="000000"/>
          <w:sz w:val="32"/>
          <w:szCs w:val="32"/>
          <w:highlight w:val="none"/>
        </w:rPr>
        <w:t>（类）工业和信息产业监管</w:t>
      </w:r>
      <w:r>
        <w:rPr>
          <w:rStyle w:val="18"/>
          <w:rFonts w:hint="eastAsia" w:ascii="宋体" w:hAnsi="宋体" w:eastAsia="宋体" w:cs="宋体"/>
          <w:b w:val="0"/>
          <w:bCs w:val="0"/>
          <w:color w:val="000000"/>
          <w:sz w:val="32"/>
          <w:szCs w:val="32"/>
          <w:highlight w:val="none"/>
          <w:lang w:val="en-US" w:eastAsia="zh-CN"/>
        </w:rPr>
        <w:t>(款)其他工业和信息产业监管支出（</w:t>
      </w:r>
      <w:r>
        <w:rPr>
          <w:rStyle w:val="18"/>
          <w:rFonts w:hint="eastAsia" w:ascii="宋体" w:hAnsi="宋体" w:eastAsia="宋体" w:cs="宋体"/>
          <w:b w:val="0"/>
          <w:bCs w:val="0"/>
          <w:sz w:val="32"/>
          <w:szCs w:val="32"/>
          <w:highlight w:val="none"/>
          <w:lang w:eastAsia="zh-CN"/>
        </w:rPr>
        <w:t>项</w:t>
      </w:r>
      <w:r>
        <w:rPr>
          <w:rStyle w:val="18"/>
          <w:rFonts w:hint="eastAsia" w:ascii="宋体" w:hAnsi="宋体" w:eastAsia="宋体" w:cs="宋体"/>
          <w:b w:val="0"/>
          <w:bCs w:val="0"/>
          <w:color w:val="000000"/>
          <w:sz w:val="32"/>
          <w:szCs w:val="32"/>
          <w:highlight w:val="none"/>
          <w:lang w:val="en-US" w:eastAsia="zh-CN"/>
        </w:rPr>
        <w:t>）:指其他用于</w:t>
      </w:r>
      <w:r>
        <w:rPr>
          <w:rStyle w:val="18"/>
          <w:rFonts w:hint="eastAsia" w:ascii="宋体" w:hAnsi="宋体" w:eastAsia="宋体" w:cs="宋体"/>
          <w:b w:val="0"/>
          <w:bCs w:val="0"/>
          <w:color w:val="000000"/>
          <w:sz w:val="32"/>
          <w:szCs w:val="32"/>
          <w:highlight w:val="none"/>
        </w:rPr>
        <w:t>工业和信息产业监管</w:t>
      </w:r>
      <w:r>
        <w:rPr>
          <w:rStyle w:val="18"/>
          <w:rFonts w:hint="eastAsia" w:ascii="宋体" w:hAnsi="宋体" w:eastAsia="宋体" w:cs="宋体"/>
          <w:b w:val="0"/>
          <w:bCs w:val="0"/>
          <w:color w:val="000000"/>
          <w:sz w:val="32"/>
          <w:szCs w:val="32"/>
          <w:highlight w:val="none"/>
          <w:lang w:val="en-US" w:eastAsia="zh-CN"/>
        </w:rPr>
        <w:t>方面的支出。</w:t>
      </w:r>
    </w:p>
    <w:p w14:paraId="1FEFC08B">
      <w:pPr>
        <w:keepNext w:val="0"/>
        <w:keepLines w:val="0"/>
        <w:pageBreakBefore w:val="0"/>
        <w:widowControl w:val="0"/>
        <w:kinsoku/>
        <w:wordWrap/>
        <w:overflowPunct/>
        <w:topLinePunct w:val="0"/>
        <w:bidi w:val="0"/>
        <w:snapToGrid/>
        <w:spacing w:line="64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lang w:val="en-US" w:eastAsia="zh-CN"/>
        </w:rPr>
        <w:t>6、</w:t>
      </w:r>
      <w:r>
        <w:rPr>
          <w:rFonts w:hint="eastAsia" w:ascii="宋体" w:hAnsi="宋体" w:eastAsia="宋体" w:cs="宋体"/>
          <w:b w:val="0"/>
          <w:bCs w:val="0"/>
          <w:color w:val="auto"/>
          <w:sz w:val="32"/>
          <w:szCs w:val="32"/>
          <w:highlight w:val="none"/>
        </w:rPr>
        <w:t>住房保障支出</w:t>
      </w:r>
      <w:r>
        <w:rPr>
          <w:rStyle w:val="18"/>
          <w:rFonts w:hint="eastAsia" w:ascii="宋体" w:hAnsi="宋体" w:eastAsia="宋体" w:cs="宋体"/>
          <w:b w:val="0"/>
          <w:bCs w:val="0"/>
          <w:color w:val="auto"/>
          <w:sz w:val="32"/>
          <w:szCs w:val="32"/>
          <w:highlight w:val="none"/>
        </w:rPr>
        <w:t>（</w:t>
      </w:r>
      <w:r>
        <w:rPr>
          <w:rStyle w:val="18"/>
          <w:rFonts w:hint="eastAsia" w:ascii="宋体" w:hAnsi="宋体" w:eastAsia="宋体" w:cs="宋体"/>
          <w:b w:val="0"/>
          <w:bCs w:val="0"/>
          <w:color w:val="000000"/>
          <w:sz w:val="32"/>
          <w:szCs w:val="32"/>
          <w:highlight w:val="none"/>
        </w:rPr>
        <w:t>类）</w:t>
      </w:r>
      <w:r>
        <w:rPr>
          <w:rStyle w:val="18"/>
          <w:rFonts w:hint="eastAsia" w:ascii="宋体" w:hAnsi="宋体" w:eastAsia="宋体" w:cs="宋体"/>
          <w:b w:val="0"/>
          <w:bCs w:val="0"/>
          <w:color w:val="000000"/>
          <w:sz w:val="32"/>
          <w:szCs w:val="32"/>
          <w:highlight w:val="none"/>
          <w:lang w:eastAsia="zh-CN"/>
        </w:rPr>
        <w:t>：集中反映政府用于住房方面的支出。</w:t>
      </w:r>
      <w:r>
        <w:rPr>
          <w:rStyle w:val="18"/>
          <w:rFonts w:hint="eastAsia" w:ascii="宋体" w:hAnsi="宋体" w:eastAsia="宋体" w:cs="宋体"/>
          <w:b w:val="0"/>
          <w:bCs w:val="0"/>
          <w:color w:val="000000"/>
          <w:sz w:val="32"/>
          <w:szCs w:val="32"/>
          <w:highlight w:val="none"/>
        </w:rPr>
        <w:t xml:space="preserve">住房改革支出（款） </w:t>
      </w:r>
      <w:r>
        <w:rPr>
          <w:rStyle w:val="18"/>
          <w:rFonts w:hint="eastAsia" w:ascii="宋体" w:hAnsi="宋体" w:eastAsia="宋体" w:cs="宋体"/>
          <w:b w:val="0"/>
          <w:bCs w:val="0"/>
          <w:color w:val="000000"/>
          <w:sz w:val="32"/>
          <w:szCs w:val="32"/>
          <w:highlight w:val="none"/>
          <w:lang w:eastAsia="zh-CN"/>
        </w:rPr>
        <w:t>反映行政事业单位用财政拨款资金和其他资金等安排的</w:t>
      </w:r>
      <w:r>
        <w:rPr>
          <w:rStyle w:val="18"/>
          <w:rFonts w:hint="eastAsia" w:ascii="宋体" w:hAnsi="宋体" w:eastAsia="宋体" w:cs="宋体"/>
          <w:b w:val="0"/>
          <w:bCs w:val="0"/>
          <w:color w:val="000000"/>
          <w:sz w:val="32"/>
          <w:szCs w:val="32"/>
          <w:highlight w:val="none"/>
        </w:rPr>
        <w:t>住房改革支出</w:t>
      </w:r>
      <w:r>
        <w:rPr>
          <w:rStyle w:val="18"/>
          <w:rFonts w:hint="eastAsia" w:ascii="宋体" w:hAnsi="宋体" w:eastAsia="宋体" w:cs="宋体"/>
          <w:b w:val="0"/>
          <w:bCs w:val="0"/>
          <w:color w:val="000000"/>
          <w:sz w:val="32"/>
          <w:szCs w:val="32"/>
          <w:highlight w:val="none"/>
          <w:lang w:eastAsia="zh-CN"/>
        </w:rPr>
        <w:t>。</w:t>
      </w:r>
      <w:r>
        <w:rPr>
          <w:rStyle w:val="18"/>
          <w:rFonts w:hint="eastAsia" w:ascii="宋体" w:hAnsi="宋体" w:eastAsia="宋体" w:cs="宋体"/>
          <w:b w:val="0"/>
          <w:bCs w:val="0"/>
          <w:color w:val="000000"/>
          <w:sz w:val="32"/>
          <w:szCs w:val="32"/>
          <w:highlight w:val="none"/>
        </w:rPr>
        <w:t>住房公积金（项）:</w:t>
      </w:r>
      <w:r>
        <w:rPr>
          <w:rStyle w:val="18"/>
          <w:rFonts w:hint="eastAsia" w:ascii="宋体" w:hAnsi="宋体" w:eastAsia="宋体" w:cs="宋体"/>
          <w:b w:val="0"/>
          <w:bCs w:val="0"/>
          <w:color w:val="000000"/>
          <w:sz w:val="32"/>
          <w:szCs w:val="32"/>
          <w:highlight w:val="none"/>
          <w:lang w:eastAsia="zh-CN"/>
        </w:rPr>
        <w:t>反映行政事业单位按人力资源和社会保障部、财政部规定的基本工资和津贴补贴以及规定比例为职工缴纳的</w:t>
      </w:r>
      <w:r>
        <w:rPr>
          <w:rStyle w:val="18"/>
          <w:rFonts w:hint="eastAsia" w:ascii="宋体" w:hAnsi="宋体" w:eastAsia="宋体" w:cs="宋体"/>
          <w:b w:val="0"/>
          <w:bCs w:val="0"/>
          <w:color w:val="000000"/>
          <w:sz w:val="32"/>
          <w:szCs w:val="32"/>
          <w:highlight w:val="none"/>
        </w:rPr>
        <w:t>住房公积金</w:t>
      </w:r>
      <w:r>
        <w:rPr>
          <w:rStyle w:val="18"/>
          <w:rFonts w:hint="eastAsia" w:ascii="宋体" w:hAnsi="宋体" w:eastAsia="宋体" w:cs="宋体"/>
          <w:b w:val="0"/>
          <w:bCs w:val="0"/>
          <w:color w:val="000000"/>
          <w:sz w:val="32"/>
          <w:szCs w:val="32"/>
          <w:highlight w:val="none"/>
          <w:lang w:eastAsia="zh-CN"/>
        </w:rPr>
        <w:t>。</w:t>
      </w:r>
      <w:r>
        <w:rPr>
          <w:rFonts w:hint="eastAsia" w:ascii="宋体" w:hAnsi="宋体" w:eastAsia="宋体" w:cs="宋体"/>
          <w:sz w:val="32"/>
          <w:szCs w:val="32"/>
        </w:rPr>
        <w:t>7.基本支出：指为保障机构正常运转、完成日常工作任务而发生的人员支出和公用支出。</w:t>
      </w:r>
    </w:p>
    <w:p w14:paraId="65D33B1C">
      <w:pPr>
        <w:pStyle w:val="27"/>
        <w:keepNext w:val="0"/>
        <w:keepLines w:val="0"/>
        <w:pageBreakBefore w:val="0"/>
        <w:widowControl w:val="0"/>
        <w:kinsoku/>
        <w:wordWrap/>
        <w:overflowPunct/>
        <w:topLinePunct w:val="0"/>
        <w:bidi w:val="0"/>
        <w:snapToGrid/>
        <w:spacing w:line="640" w:lineRule="exact"/>
        <w:ind w:firstLine="640" w:firstLineChars="200"/>
        <w:textAlignment w:val="auto"/>
        <w:rPr>
          <w:rFonts w:hint="eastAsia" w:ascii="宋体" w:hAnsi="宋体" w:eastAsia="宋体" w:cs="宋体"/>
          <w:color w:val="auto"/>
          <w:sz w:val="32"/>
          <w:szCs w:val="32"/>
        </w:rPr>
      </w:pPr>
      <w:r>
        <w:rPr>
          <w:rFonts w:hint="eastAsia" w:ascii="宋体" w:hAnsi="宋体" w:eastAsia="宋体" w:cs="宋体"/>
          <w:color w:val="auto"/>
          <w:sz w:val="32"/>
          <w:szCs w:val="32"/>
          <w:lang w:val="en-US" w:eastAsia="zh-CN"/>
        </w:rPr>
        <w:t>8、</w:t>
      </w:r>
      <w:r>
        <w:rPr>
          <w:rFonts w:hint="eastAsia" w:ascii="宋体" w:hAnsi="宋体" w:eastAsia="宋体" w:cs="宋体"/>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4AA63580">
      <w:pPr>
        <w:pStyle w:val="27"/>
        <w:spacing w:line="560" w:lineRule="exact"/>
        <w:ind w:firstLine="640" w:firstLineChars="200"/>
        <w:rPr>
          <w:rFonts w:hint="eastAsia" w:ascii="宋体" w:hAnsi="宋体" w:eastAsia="宋体" w:cs="宋体"/>
          <w:color w:val="auto"/>
          <w:sz w:val="32"/>
          <w:szCs w:val="32"/>
        </w:rPr>
      </w:pPr>
    </w:p>
    <w:p w14:paraId="6482C274">
      <w:pPr>
        <w:rPr>
          <w:rFonts w:hint="eastAsia" w:ascii="宋体" w:hAnsi="宋体" w:eastAsia="宋体" w:cs="宋体"/>
          <w:b/>
          <w:sz w:val="32"/>
          <w:szCs w:val="32"/>
        </w:rPr>
      </w:pPr>
    </w:p>
    <w:p w14:paraId="2515C66F">
      <w:pPr>
        <w:spacing w:line="600" w:lineRule="exact"/>
        <w:jc w:val="center"/>
        <w:outlineLvl w:val="0"/>
        <w:rPr>
          <w:rFonts w:hint="eastAsia" w:ascii="宋体" w:hAnsi="宋体" w:eastAsia="宋体" w:cs="宋体"/>
          <w:sz w:val="32"/>
          <w:szCs w:val="32"/>
        </w:rPr>
      </w:pPr>
      <w:bookmarkStart w:id="51" w:name="_Toc15377226"/>
      <w:r>
        <w:rPr>
          <w:rFonts w:hint="eastAsia" w:ascii="宋体" w:hAnsi="宋体" w:eastAsia="宋体" w:cs="宋体"/>
          <w:b/>
          <w:sz w:val="44"/>
          <w:szCs w:val="44"/>
        </w:rPr>
        <w:br w:type="page"/>
      </w:r>
      <w:bookmarkStart w:id="52" w:name="_Toc15396614"/>
      <w:r>
        <w:rPr>
          <w:rFonts w:hint="eastAsia" w:ascii="宋体" w:hAnsi="宋体" w:eastAsia="宋体" w:cs="宋体"/>
          <w:sz w:val="44"/>
          <w:szCs w:val="44"/>
        </w:rPr>
        <w:t>第</w:t>
      </w:r>
      <w:r>
        <w:rPr>
          <w:rStyle w:val="29"/>
          <w:rFonts w:hint="eastAsia" w:ascii="宋体" w:hAnsi="宋体" w:eastAsia="宋体" w:cs="宋体"/>
          <w:b w:val="0"/>
        </w:rPr>
        <w:t>四部分 附件</w:t>
      </w:r>
      <w:bookmarkEnd w:id="52"/>
    </w:p>
    <w:tbl>
      <w:tblPr>
        <w:tblStyle w:val="16"/>
        <w:tblW w:w="9565" w:type="dxa"/>
        <w:tblInd w:w="-44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857"/>
        <w:gridCol w:w="606"/>
        <w:gridCol w:w="606"/>
        <w:gridCol w:w="1939"/>
        <w:gridCol w:w="1332"/>
        <w:gridCol w:w="881"/>
        <w:gridCol w:w="1031"/>
        <w:gridCol w:w="506"/>
        <w:gridCol w:w="807"/>
      </w:tblGrid>
      <w:tr w14:paraId="59471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9565" w:type="dxa"/>
            <w:gridSpan w:val="9"/>
            <w:tcBorders>
              <w:top w:val="nil"/>
              <w:left w:val="nil"/>
              <w:bottom w:val="nil"/>
              <w:right w:val="nil"/>
            </w:tcBorders>
            <w:shd w:val="clear" w:color="auto" w:fill="auto"/>
            <w:noWrap/>
            <w:vAlign w:val="center"/>
          </w:tcPr>
          <w:p w14:paraId="37AB0F11">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bookmarkStart w:id="53" w:name="_Toc15396618"/>
            <w:r>
              <w:rPr>
                <w:rFonts w:hint="eastAsia" w:ascii="宋体" w:hAnsi="宋体" w:eastAsia="宋体" w:cs="宋体"/>
                <w:b/>
                <w:bCs/>
                <w:i w:val="0"/>
                <w:iCs w:val="0"/>
                <w:color w:val="000000"/>
                <w:kern w:val="0"/>
                <w:sz w:val="36"/>
                <w:szCs w:val="36"/>
                <w:u w:val="none"/>
                <w:lang w:val="en-US" w:eastAsia="zh-CN" w:bidi="ar"/>
              </w:rPr>
              <w:t>区级项目支出绩效自评表</w:t>
            </w:r>
          </w:p>
        </w:tc>
      </w:tr>
      <w:tr w14:paraId="3E0B13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1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648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31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A19875A">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无</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70F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322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550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w:t>
            </w:r>
          </w:p>
        </w:tc>
      </w:tr>
      <w:tr w14:paraId="13914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1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E95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315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DD009">
            <w:pPr>
              <w:keepNext w:val="0"/>
              <w:keepLines w:val="0"/>
              <w:widowControl/>
              <w:suppressLineNumbers w:val="0"/>
              <w:jc w:val="left"/>
              <w:textAlignment w:val="center"/>
              <w:rPr>
                <w:rFonts w:hint="eastAsia" w:ascii="宋体" w:hAnsi="宋体" w:eastAsia="宋体" w:cs="宋体"/>
                <w:i w:val="0"/>
                <w:iCs w:val="0"/>
                <w:color w:val="000000"/>
                <w:sz w:val="10"/>
                <w:szCs w:val="10"/>
                <w:u w:val="none"/>
              </w:rPr>
            </w:pPr>
            <w:r>
              <w:rPr>
                <w:rFonts w:hint="eastAsia" w:ascii="宋体" w:hAnsi="宋体" w:eastAsia="宋体" w:cs="宋体"/>
                <w:b w:val="0"/>
                <w:bCs/>
                <w:sz w:val="24"/>
                <w:szCs w:val="24"/>
              </w:rPr>
              <w:t>五通桥区工业基地服务中心</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F0B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322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960AE">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五通桥区工业基地服务中心</w:t>
            </w:r>
          </w:p>
        </w:tc>
      </w:tr>
      <w:tr w14:paraId="00801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9565"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C0F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7763E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2463" w:type="dxa"/>
            <w:gridSpan w:val="2"/>
            <w:tcBorders>
              <w:top w:val="single" w:color="000000" w:sz="4" w:space="0"/>
              <w:left w:val="single" w:color="000000" w:sz="4" w:space="0"/>
              <w:bottom w:val="single" w:color="000000" w:sz="4" w:space="0"/>
              <w:right w:val="nil"/>
            </w:tcBorders>
            <w:shd w:val="clear" w:color="auto" w:fill="auto"/>
            <w:noWrap/>
            <w:vAlign w:val="center"/>
          </w:tcPr>
          <w:p w14:paraId="4DB4B9A5">
            <w:pPr>
              <w:jc w:val="center"/>
              <w:rPr>
                <w:rFonts w:hint="eastAsia" w:ascii="宋体" w:hAnsi="宋体" w:eastAsia="宋体" w:cs="宋体"/>
                <w:i w:val="0"/>
                <w:iCs w:val="0"/>
                <w:color w:val="000000"/>
                <w:sz w:val="20"/>
                <w:szCs w:val="20"/>
                <w:u w:val="none"/>
              </w:rPr>
            </w:pPr>
          </w:p>
        </w:tc>
        <w:tc>
          <w:tcPr>
            <w:tcW w:w="25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6CD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21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2C8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23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36A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1D9AE9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2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974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25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B85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21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290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3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4989D">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0%</w:t>
            </w:r>
          </w:p>
        </w:tc>
      </w:tr>
      <w:tr w14:paraId="0B8EF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2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28D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25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401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21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879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3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420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0CF4C7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2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6A6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25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BC7A7">
            <w:pPr>
              <w:jc w:val="center"/>
              <w:rPr>
                <w:rFonts w:hint="eastAsia" w:ascii="宋体" w:hAnsi="宋体" w:eastAsia="宋体" w:cs="宋体"/>
                <w:i w:val="0"/>
                <w:iCs w:val="0"/>
                <w:color w:val="000000"/>
                <w:sz w:val="20"/>
                <w:szCs w:val="20"/>
                <w:u w:val="none"/>
              </w:rPr>
            </w:pPr>
          </w:p>
        </w:tc>
        <w:tc>
          <w:tcPr>
            <w:tcW w:w="221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069FE">
            <w:pPr>
              <w:jc w:val="center"/>
              <w:rPr>
                <w:rFonts w:hint="eastAsia" w:ascii="宋体" w:hAnsi="宋体" w:eastAsia="宋体" w:cs="宋体"/>
                <w:i w:val="0"/>
                <w:iCs w:val="0"/>
                <w:color w:val="000000"/>
                <w:sz w:val="20"/>
                <w:szCs w:val="20"/>
                <w:u w:val="none"/>
              </w:rPr>
            </w:pPr>
          </w:p>
        </w:tc>
        <w:tc>
          <w:tcPr>
            <w:tcW w:w="23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5EFDB">
            <w:pPr>
              <w:jc w:val="center"/>
              <w:rPr>
                <w:rFonts w:hint="eastAsia" w:ascii="宋体" w:hAnsi="宋体" w:eastAsia="宋体" w:cs="宋体"/>
                <w:i w:val="0"/>
                <w:iCs w:val="0"/>
                <w:color w:val="000000"/>
                <w:sz w:val="20"/>
                <w:szCs w:val="20"/>
                <w:u w:val="none"/>
              </w:rPr>
            </w:pPr>
          </w:p>
        </w:tc>
      </w:tr>
      <w:tr w14:paraId="31057B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185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D725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448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BDB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322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C0A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1D79F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185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CECFC">
            <w:pPr>
              <w:jc w:val="left"/>
              <w:rPr>
                <w:rFonts w:hint="eastAsia" w:ascii="宋体" w:hAnsi="宋体" w:eastAsia="宋体" w:cs="宋体"/>
                <w:i w:val="0"/>
                <w:iCs w:val="0"/>
                <w:color w:val="000000"/>
                <w:sz w:val="20"/>
                <w:szCs w:val="20"/>
                <w:u w:val="none"/>
              </w:rPr>
            </w:pPr>
          </w:p>
        </w:tc>
        <w:tc>
          <w:tcPr>
            <w:tcW w:w="4483" w:type="dxa"/>
            <w:gridSpan w:val="4"/>
            <w:tcBorders>
              <w:top w:val="single" w:color="000000" w:sz="4" w:space="0"/>
              <w:left w:val="single" w:color="000000" w:sz="4" w:space="0"/>
              <w:bottom w:val="nil"/>
              <w:right w:val="single" w:color="000000" w:sz="4" w:space="0"/>
            </w:tcBorders>
            <w:shd w:val="clear" w:color="auto" w:fill="auto"/>
            <w:noWrap/>
            <w:vAlign w:val="center"/>
          </w:tcPr>
          <w:p w14:paraId="695901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按预算执行</w:t>
            </w:r>
          </w:p>
        </w:tc>
        <w:tc>
          <w:tcPr>
            <w:tcW w:w="322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98B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236DC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1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9AC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2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D05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9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9F7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D28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EF4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157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506" w:type="dxa"/>
            <w:tcBorders>
              <w:top w:val="single" w:color="000000" w:sz="4" w:space="0"/>
              <w:left w:val="nil"/>
              <w:bottom w:val="single" w:color="000000" w:sz="4" w:space="0"/>
              <w:right w:val="single" w:color="000000" w:sz="4" w:space="0"/>
            </w:tcBorders>
            <w:shd w:val="clear" w:color="auto" w:fill="auto"/>
            <w:noWrap/>
            <w:vAlign w:val="center"/>
          </w:tcPr>
          <w:p w14:paraId="1C4AB3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B9F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5BF25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7221"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8D1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E37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1FD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A4039">
            <w:pPr>
              <w:jc w:val="center"/>
              <w:rPr>
                <w:rFonts w:hint="eastAsia" w:ascii="宋体" w:hAnsi="宋体" w:eastAsia="宋体" w:cs="宋体"/>
                <w:i w:val="0"/>
                <w:iCs w:val="0"/>
                <w:color w:val="000000"/>
                <w:sz w:val="18"/>
                <w:szCs w:val="18"/>
                <w:u w:val="none"/>
              </w:rPr>
            </w:pPr>
          </w:p>
        </w:tc>
      </w:tr>
      <w:tr w14:paraId="0F040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5008" w:type="dxa"/>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05A93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13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33491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p>
        </w:tc>
        <w:tc>
          <w:tcPr>
            <w:tcW w:w="8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DAFFF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629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506" w:type="dxa"/>
            <w:tcBorders>
              <w:top w:val="single" w:color="000000" w:sz="4" w:space="0"/>
              <w:left w:val="nil"/>
              <w:bottom w:val="single" w:color="000000" w:sz="4" w:space="0"/>
              <w:right w:val="single" w:color="000000" w:sz="4" w:space="0"/>
            </w:tcBorders>
            <w:shd w:val="clear" w:color="auto" w:fill="auto"/>
            <w:noWrap/>
            <w:vAlign w:val="center"/>
          </w:tcPr>
          <w:p w14:paraId="41B55B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38E23">
            <w:pPr>
              <w:rPr>
                <w:rFonts w:hint="eastAsia" w:ascii="宋体" w:hAnsi="宋体" w:eastAsia="宋体" w:cs="宋体"/>
                <w:i w:val="0"/>
                <w:iCs w:val="0"/>
                <w:color w:val="000000"/>
                <w:sz w:val="18"/>
                <w:szCs w:val="18"/>
                <w:u w:val="none"/>
              </w:rPr>
            </w:pPr>
          </w:p>
        </w:tc>
      </w:tr>
      <w:tr w14:paraId="1EBA9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1857"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39980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1212" w:type="dxa"/>
            <w:gridSpan w:val="2"/>
            <w:tcBorders>
              <w:top w:val="single" w:color="000000" w:sz="4" w:space="0"/>
              <w:left w:val="single" w:color="000000" w:sz="4" w:space="0"/>
              <w:bottom w:val="single" w:color="000000" w:sz="4" w:space="0"/>
              <w:right w:val="nil"/>
            </w:tcBorders>
            <w:shd w:val="clear" w:color="auto" w:fill="FFFFFF"/>
            <w:noWrap/>
            <w:vAlign w:val="center"/>
          </w:tcPr>
          <w:p w14:paraId="1402192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19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C35113">
            <w:pPr>
              <w:keepNext w:val="0"/>
              <w:keepLines w:val="0"/>
              <w:widowControl/>
              <w:suppressLineNumbers w:val="0"/>
              <w:jc w:val="both"/>
              <w:textAlignment w:val="center"/>
              <w:rPr>
                <w:rFonts w:hint="eastAsia" w:ascii="宋体" w:hAnsi="宋体" w:eastAsia="宋体" w:cs="宋体"/>
                <w:i w:val="0"/>
                <w:iCs w:val="0"/>
                <w:color w:val="333333"/>
                <w:sz w:val="18"/>
                <w:szCs w:val="18"/>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71E7B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p>
        </w:tc>
        <w:tc>
          <w:tcPr>
            <w:tcW w:w="8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A350C5">
            <w:pPr>
              <w:keepNext w:val="0"/>
              <w:keepLines w:val="0"/>
              <w:widowControl/>
              <w:suppressLineNumbers w:val="0"/>
              <w:jc w:val="both"/>
              <w:textAlignment w:val="center"/>
              <w:rPr>
                <w:rFonts w:hint="eastAsia" w:ascii="宋体" w:hAnsi="宋体" w:eastAsia="宋体" w:cs="宋体"/>
                <w:i w:val="0"/>
                <w:iCs w:val="0"/>
                <w:color w:val="333333"/>
                <w:sz w:val="18"/>
                <w:szCs w:val="18"/>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3ED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506" w:type="dxa"/>
            <w:tcBorders>
              <w:top w:val="single" w:color="000000" w:sz="4" w:space="0"/>
              <w:left w:val="nil"/>
              <w:bottom w:val="single" w:color="000000" w:sz="4" w:space="0"/>
              <w:right w:val="single" w:color="000000" w:sz="4" w:space="0"/>
            </w:tcBorders>
            <w:shd w:val="clear" w:color="auto" w:fill="auto"/>
            <w:noWrap/>
            <w:vAlign w:val="center"/>
          </w:tcPr>
          <w:p w14:paraId="0DA36A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59636">
            <w:pPr>
              <w:rPr>
                <w:rFonts w:hint="eastAsia" w:ascii="宋体" w:hAnsi="宋体" w:eastAsia="宋体" w:cs="宋体"/>
                <w:i w:val="0"/>
                <w:iCs w:val="0"/>
                <w:color w:val="000000"/>
                <w:sz w:val="18"/>
                <w:szCs w:val="18"/>
                <w:u w:val="none"/>
              </w:rPr>
            </w:pPr>
          </w:p>
        </w:tc>
      </w:tr>
      <w:tr w14:paraId="3A350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1857"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964876">
            <w:pPr>
              <w:jc w:val="center"/>
              <w:rPr>
                <w:rFonts w:hint="eastAsia" w:ascii="宋体" w:hAnsi="宋体" w:eastAsia="宋体" w:cs="宋体"/>
                <w:i w:val="0"/>
                <w:iCs w:val="0"/>
                <w:color w:val="333333"/>
                <w:sz w:val="18"/>
                <w:szCs w:val="18"/>
                <w:u w:val="none"/>
              </w:rPr>
            </w:pPr>
          </w:p>
        </w:tc>
        <w:tc>
          <w:tcPr>
            <w:tcW w:w="1212" w:type="dxa"/>
            <w:gridSpan w:val="2"/>
            <w:tcBorders>
              <w:top w:val="single" w:color="000000" w:sz="4" w:space="0"/>
              <w:left w:val="single" w:color="000000" w:sz="4" w:space="0"/>
              <w:bottom w:val="single" w:color="000000" w:sz="4" w:space="0"/>
              <w:right w:val="nil"/>
            </w:tcBorders>
            <w:shd w:val="clear" w:color="auto" w:fill="FFFFFF"/>
            <w:noWrap/>
            <w:vAlign w:val="center"/>
          </w:tcPr>
          <w:p w14:paraId="102FB52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19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4136B3">
            <w:pPr>
              <w:keepNext w:val="0"/>
              <w:keepLines w:val="0"/>
              <w:widowControl/>
              <w:suppressLineNumbers w:val="0"/>
              <w:jc w:val="both"/>
              <w:textAlignment w:val="center"/>
              <w:rPr>
                <w:rFonts w:hint="eastAsia" w:ascii="宋体" w:hAnsi="宋体" w:eastAsia="宋体" w:cs="宋体"/>
                <w:i w:val="0"/>
                <w:iCs w:val="0"/>
                <w:color w:val="333333"/>
                <w:sz w:val="18"/>
                <w:szCs w:val="18"/>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0D031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p>
        </w:tc>
        <w:tc>
          <w:tcPr>
            <w:tcW w:w="8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C5107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7B5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506" w:type="dxa"/>
            <w:tcBorders>
              <w:top w:val="single" w:color="000000" w:sz="4" w:space="0"/>
              <w:left w:val="nil"/>
              <w:bottom w:val="single" w:color="000000" w:sz="4" w:space="0"/>
              <w:right w:val="single" w:color="000000" w:sz="4" w:space="0"/>
            </w:tcBorders>
            <w:shd w:val="clear" w:color="auto" w:fill="auto"/>
            <w:noWrap/>
            <w:vAlign w:val="center"/>
          </w:tcPr>
          <w:p w14:paraId="5A59EF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BE55A">
            <w:pPr>
              <w:rPr>
                <w:rFonts w:hint="eastAsia" w:ascii="宋体" w:hAnsi="宋体" w:eastAsia="宋体" w:cs="宋体"/>
                <w:i w:val="0"/>
                <w:iCs w:val="0"/>
                <w:color w:val="000000"/>
                <w:sz w:val="18"/>
                <w:szCs w:val="18"/>
                <w:u w:val="none"/>
              </w:rPr>
            </w:pPr>
          </w:p>
        </w:tc>
      </w:tr>
      <w:tr w14:paraId="6035FF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1857"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50573E">
            <w:pPr>
              <w:jc w:val="center"/>
              <w:rPr>
                <w:rFonts w:hint="eastAsia" w:ascii="宋体" w:hAnsi="宋体" w:eastAsia="宋体" w:cs="宋体"/>
                <w:i w:val="0"/>
                <w:iCs w:val="0"/>
                <w:color w:val="333333"/>
                <w:sz w:val="18"/>
                <w:szCs w:val="18"/>
                <w:u w:val="none"/>
              </w:rPr>
            </w:pPr>
          </w:p>
        </w:tc>
        <w:tc>
          <w:tcPr>
            <w:tcW w:w="1212" w:type="dxa"/>
            <w:gridSpan w:val="2"/>
            <w:tcBorders>
              <w:top w:val="single" w:color="000000" w:sz="4" w:space="0"/>
              <w:left w:val="single" w:color="000000" w:sz="4" w:space="0"/>
              <w:bottom w:val="single" w:color="000000" w:sz="4" w:space="0"/>
              <w:right w:val="nil"/>
            </w:tcBorders>
            <w:shd w:val="clear" w:color="auto" w:fill="FFFFFF"/>
            <w:noWrap/>
            <w:vAlign w:val="center"/>
          </w:tcPr>
          <w:p w14:paraId="14C119E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19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5F0697">
            <w:pPr>
              <w:keepNext w:val="0"/>
              <w:keepLines w:val="0"/>
              <w:widowControl/>
              <w:suppressLineNumbers w:val="0"/>
              <w:jc w:val="both"/>
              <w:textAlignment w:val="center"/>
              <w:rPr>
                <w:rFonts w:hint="eastAsia" w:ascii="宋体" w:hAnsi="宋体" w:eastAsia="宋体" w:cs="宋体"/>
                <w:i w:val="0"/>
                <w:iCs w:val="0"/>
                <w:color w:val="333333"/>
                <w:sz w:val="18"/>
                <w:szCs w:val="18"/>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811A4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p>
        </w:tc>
        <w:tc>
          <w:tcPr>
            <w:tcW w:w="8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9A320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23D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506" w:type="dxa"/>
            <w:tcBorders>
              <w:top w:val="single" w:color="000000" w:sz="4" w:space="0"/>
              <w:left w:val="nil"/>
              <w:bottom w:val="single" w:color="000000" w:sz="4" w:space="0"/>
              <w:right w:val="single" w:color="000000" w:sz="4" w:space="0"/>
            </w:tcBorders>
            <w:shd w:val="clear" w:color="auto" w:fill="auto"/>
            <w:noWrap/>
            <w:vAlign w:val="center"/>
          </w:tcPr>
          <w:p w14:paraId="27E33A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D3CB1">
            <w:pPr>
              <w:rPr>
                <w:rFonts w:hint="eastAsia" w:ascii="宋体" w:hAnsi="宋体" w:eastAsia="宋体" w:cs="宋体"/>
                <w:i w:val="0"/>
                <w:iCs w:val="0"/>
                <w:color w:val="000000"/>
                <w:sz w:val="18"/>
                <w:szCs w:val="18"/>
                <w:u w:val="none"/>
              </w:rPr>
            </w:pPr>
          </w:p>
        </w:tc>
      </w:tr>
      <w:tr w14:paraId="2F191B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1857"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D01196">
            <w:pPr>
              <w:jc w:val="center"/>
              <w:rPr>
                <w:rFonts w:hint="eastAsia" w:ascii="宋体" w:hAnsi="宋体" w:eastAsia="宋体" w:cs="宋体"/>
                <w:i w:val="0"/>
                <w:iCs w:val="0"/>
                <w:color w:val="333333"/>
                <w:sz w:val="18"/>
                <w:szCs w:val="18"/>
                <w:u w:val="none"/>
              </w:rPr>
            </w:pPr>
          </w:p>
        </w:tc>
        <w:tc>
          <w:tcPr>
            <w:tcW w:w="1212" w:type="dxa"/>
            <w:gridSpan w:val="2"/>
            <w:tcBorders>
              <w:top w:val="single" w:color="000000" w:sz="4" w:space="0"/>
              <w:left w:val="single" w:color="000000" w:sz="4" w:space="0"/>
              <w:bottom w:val="single" w:color="000000" w:sz="4" w:space="0"/>
              <w:right w:val="nil"/>
            </w:tcBorders>
            <w:shd w:val="clear" w:color="auto" w:fill="FFFFFF"/>
            <w:noWrap/>
            <w:vAlign w:val="center"/>
          </w:tcPr>
          <w:p w14:paraId="50BCAF8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9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399B06">
            <w:pPr>
              <w:keepNext w:val="0"/>
              <w:keepLines w:val="0"/>
              <w:widowControl/>
              <w:suppressLineNumbers w:val="0"/>
              <w:jc w:val="center"/>
              <w:textAlignment w:val="center"/>
              <w:rPr>
                <w:rFonts w:hint="eastAsia" w:ascii="宋体" w:hAnsi="宋体" w:eastAsia="宋体" w:cs="宋体"/>
                <w:i w:val="0"/>
                <w:iCs w:val="0"/>
                <w:color w:val="333333"/>
                <w:sz w:val="18"/>
                <w:szCs w:val="18"/>
                <w:u w:val="none"/>
                <w:lang w:eastAsia="zh-CN"/>
              </w:rPr>
            </w:pPr>
          </w:p>
        </w:tc>
        <w:tc>
          <w:tcPr>
            <w:tcW w:w="13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938F4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p>
        </w:tc>
        <w:tc>
          <w:tcPr>
            <w:tcW w:w="8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5C6F07">
            <w:pPr>
              <w:keepNext w:val="0"/>
              <w:keepLines w:val="0"/>
              <w:widowControl/>
              <w:suppressLineNumbers w:val="0"/>
              <w:jc w:val="both"/>
              <w:textAlignment w:val="center"/>
              <w:rPr>
                <w:rFonts w:hint="eastAsia" w:ascii="宋体" w:hAnsi="宋体" w:eastAsia="宋体" w:cs="宋体"/>
                <w:i w:val="0"/>
                <w:iCs w:val="0"/>
                <w:color w:val="333333"/>
                <w:sz w:val="18"/>
                <w:szCs w:val="18"/>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CFF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506" w:type="dxa"/>
            <w:tcBorders>
              <w:top w:val="single" w:color="000000" w:sz="4" w:space="0"/>
              <w:left w:val="nil"/>
              <w:bottom w:val="single" w:color="000000" w:sz="4" w:space="0"/>
              <w:right w:val="single" w:color="000000" w:sz="4" w:space="0"/>
            </w:tcBorders>
            <w:shd w:val="clear" w:color="auto" w:fill="auto"/>
            <w:noWrap/>
            <w:vAlign w:val="center"/>
          </w:tcPr>
          <w:p w14:paraId="25ADAE53">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D2C45">
            <w:pPr>
              <w:rPr>
                <w:rFonts w:hint="eastAsia" w:ascii="宋体" w:hAnsi="宋体" w:eastAsia="宋体" w:cs="宋体"/>
                <w:i w:val="0"/>
                <w:iCs w:val="0"/>
                <w:color w:val="000000"/>
                <w:sz w:val="18"/>
                <w:szCs w:val="18"/>
                <w:u w:val="none"/>
              </w:rPr>
            </w:pPr>
          </w:p>
        </w:tc>
      </w:tr>
      <w:tr w14:paraId="5B26C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1857"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E1C12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1212" w:type="dxa"/>
            <w:gridSpan w:val="2"/>
            <w:tcBorders>
              <w:top w:val="single" w:color="000000" w:sz="4" w:space="0"/>
              <w:left w:val="single" w:color="000000" w:sz="4" w:space="0"/>
              <w:bottom w:val="single" w:color="000000" w:sz="4" w:space="0"/>
              <w:right w:val="nil"/>
            </w:tcBorders>
            <w:shd w:val="clear" w:color="auto" w:fill="FFFFFF"/>
            <w:noWrap/>
            <w:vAlign w:val="center"/>
          </w:tcPr>
          <w:p w14:paraId="7100646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19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5501E0">
            <w:pPr>
              <w:jc w:val="center"/>
              <w:rPr>
                <w:rFonts w:hint="eastAsia" w:ascii="宋体" w:hAnsi="宋体" w:eastAsia="宋体" w:cs="宋体"/>
                <w:i w:val="0"/>
                <w:iCs w:val="0"/>
                <w:color w:val="333333"/>
                <w:sz w:val="18"/>
                <w:szCs w:val="18"/>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2B6E56">
            <w:pPr>
              <w:jc w:val="center"/>
              <w:rPr>
                <w:rFonts w:hint="eastAsia" w:ascii="宋体" w:hAnsi="宋体" w:eastAsia="宋体" w:cs="宋体"/>
                <w:i w:val="0"/>
                <w:iCs w:val="0"/>
                <w:color w:val="333333"/>
                <w:sz w:val="18"/>
                <w:szCs w:val="18"/>
                <w:u w:val="none"/>
              </w:rPr>
            </w:pPr>
          </w:p>
        </w:tc>
        <w:tc>
          <w:tcPr>
            <w:tcW w:w="8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0AA1E0">
            <w:pPr>
              <w:jc w:val="center"/>
              <w:rPr>
                <w:rFonts w:hint="eastAsia" w:ascii="宋体" w:hAnsi="宋体" w:eastAsia="宋体" w:cs="宋体"/>
                <w:i w:val="0"/>
                <w:iCs w:val="0"/>
                <w:color w:val="333333"/>
                <w:sz w:val="18"/>
                <w:szCs w:val="18"/>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DF59C">
            <w:pPr>
              <w:jc w:val="center"/>
              <w:rPr>
                <w:rFonts w:hint="eastAsia" w:ascii="宋体" w:hAnsi="宋体" w:eastAsia="宋体" w:cs="宋体"/>
                <w:i w:val="0"/>
                <w:iCs w:val="0"/>
                <w:color w:val="000000"/>
                <w:sz w:val="18"/>
                <w:szCs w:val="18"/>
                <w:u w:val="none"/>
              </w:rPr>
            </w:pPr>
          </w:p>
        </w:tc>
        <w:tc>
          <w:tcPr>
            <w:tcW w:w="506" w:type="dxa"/>
            <w:tcBorders>
              <w:top w:val="single" w:color="000000" w:sz="4" w:space="0"/>
              <w:left w:val="nil"/>
              <w:bottom w:val="single" w:color="000000" w:sz="4" w:space="0"/>
              <w:right w:val="single" w:color="000000" w:sz="4" w:space="0"/>
            </w:tcBorders>
            <w:shd w:val="clear" w:color="auto" w:fill="auto"/>
            <w:noWrap/>
            <w:vAlign w:val="center"/>
          </w:tcPr>
          <w:p w14:paraId="2DBC213C">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AF203">
            <w:pPr>
              <w:rPr>
                <w:rFonts w:hint="eastAsia" w:ascii="宋体" w:hAnsi="宋体" w:eastAsia="宋体" w:cs="宋体"/>
                <w:i w:val="0"/>
                <w:iCs w:val="0"/>
                <w:color w:val="000000"/>
                <w:sz w:val="18"/>
                <w:szCs w:val="18"/>
                <w:u w:val="none"/>
              </w:rPr>
            </w:pPr>
          </w:p>
        </w:tc>
      </w:tr>
      <w:tr w14:paraId="19E78E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1857"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B2EBA8">
            <w:pPr>
              <w:jc w:val="center"/>
              <w:rPr>
                <w:rFonts w:hint="eastAsia" w:ascii="宋体" w:hAnsi="宋体" w:eastAsia="宋体" w:cs="宋体"/>
                <w:i w:val="0"/>
                <w:iCs w:val="0"/>
                <w:color w:val="333333"/>
                <w:sz w:val="18"/>
                <w:szCs w:val="18"/>
                <w:u w:val="none"/>
              </w:rPr>
            </w:pPr>
          </w:p>
        </w:tc>
        <w:tc>
          <w:tcPr>
            <w:tcW w:w="1212" w:type="dxa"/>
            <w:gridSpan w:val="2"/>
            <w:tcBorders>
              <w:top w:val="single" w:color="000000" w:sz="4" w:space="0"/>
              <w:left w:val="single" w:color="000000" w:sz="4" w:space="0"/>
              <w:bottom w:val="single" w:color="000000" w:sz="4" w:space="0"/>
              <w:right w:val="nil"/>
            </w:tcBorders>
            <w:shd w:val="clear" w:color="auto" w:fill="FFFFFF"/>
            <w:noWrap/>
            <w:vAlign w:val="center"/>
          </w:tcPr>
          <w:p w14:paraId="3501B9E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19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765CAF">
            <w:pPr>
              <w:keepNext w:val="0"/>
              <w:keepLines w:val="0"/>
              <w:widowControl/>
              <w:suppressLineNumbers w:val="0"/>
              <w:jc w:val="both"/>
              <w:textAlignment w:val="center"/>
              <w:rPr>
                <w:rFonts w:hint="eastAsia" w:ascii="宋体" w:hAnsi="宋体" w:eastAsia="宋体" w:cs="宋体"/>
                <w:i w:val="0"/>
                <w:iCs w:val="0"/>
                <w:color w:val="333333"/>
                <w:sz w:val="18"/>
                <w:szCs w:val="18"/>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5B9A2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p>
        </w:tc>
        <w:tc>
          <w:tcPr>
            <w:tcW w:w="8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783DC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2F0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506" w:type="dxa"/>
            <w:tcBorders>
              <w:top w:val="single" w:color="000000" w:sz="4" w:space="0"/>
              <w:left w:val="nil"/>
              <w:bottom w:val="single" w:color="000000" w:sz="4" w:space="0"/>
              <w:right w:val="single" w:color="000000" w:sz="4" w:space="0"/>
            </w:tcBorders>
            <w:shd w:val="clear" w:color="auto" w:fill="auto"/>
            <w:noWrap/>
            <w:vAlign w:val="center"/>
          </w:tcPr>
          <w:p w14:paraId="3F2B2E6F">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eastAsia="zh-CN"/>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8E213">
            <w:pPr>
              <w:rPr>
                <w:rFonts w:hint="eastAsia" w:ascii="宋体" w:hAnsi="宋体" w:eastAsia="宋体" w:cs="宋体"/>
                <w:i w:val="0"/>
                <w:iCs w:val="0"/>
                <w:color w:val="000000"/>
                <w:sz w:val="18"/>
                <w:szCs w:val="18"/>
                <w:u w:val="none"/>
              </w:rPr>
            </w:pPr>
          </w:p>
        </w:tc>
      </w:tr>
      <w:tr w14:paraId="3937A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1857"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C3667E">
            <w:pPr>
              <w:jc w:val="center"/>
              <w:rPr>
                <w:rFonts w:hint="eastAsia" w:ascii="宋体" w:hAnsi="宋体" w:eastAsia="宋体" w:cs="宋体"/>
                <w:i w:val="0"/>
                <w:iCs w:val="0"/>
                <w:color w:val="333333"/>
                <w:sz w:val="18"/>
                <w:szCs w:val="18"/>
                <w:u w:val="none"/>
              </w:rPr>
            </w:pPr>
          </w:p>
        </w:tc>
        <w:tc>
          <w:tcPr>
            <w:tcW w:w="1212" w:type="dxa"/>
            <w:gridSpan w:val="2"/>
            <w:tcBorders>
              <w:top w:val="single" w:color="000000" w:sz="4" w:space="0"/>
              <w:left w:val="single" w:color="000000" w:sz="4" w:space="0"/>
              <w:bottom w:val="single" w:color="000000" w:sz="4" w:space="0"/>
              <w:right w:val="nil"/>
            </w:tcBorders>
            <w:shd w:val="clear" w:color="auto" w:fill="FFFFFF"/>
            <w:noWrap/>
            <w:vAlign w:val="center"/>
          </w:tcPr>
          <w:p w14:paraId="7F414B4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19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3C1113">
            <w:pPr>
              <w:jc w:val="center"/>
              <w:rPr>
                <w:rFonts w:hint="eastAsia" w:ascii="宋体" w:hAnsi="宋体" w:eastAsia="宋体" w:cs="宋体"/>
                <w:i w:val="0"/>
                <w:iCs w:val="0"/>
                <w:color w:val="333333"/>
                <w:sz w:val="18"/>
                <w:szCs w:val="18"/>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593E29">
            <w:pPr>
              <w:jc w:val="center"/>
              <w:rPr>
                <w:rFonts w:hint="eastAsia" w:ascii="宋体" w:hAnsi="宋体" w:eastAsia="宋体" w:cs="宋体"/>
                <w:i w:val="0"/>
                <w:iCs w:val="0"/>
                <w:color w:val="333333"/>
                <w:sz w:val="18"/>
                <w:szCs w:val="18"/>
                <w:u w:val="none"/>
              </w:rPr>
            </w:pPr>
          </w:p>
        </w:tc>
        <w:tc>
          <w:tcPr>
            <w:tcW w:w="8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03146D">
            <w:pPr>
              <w:jc w:val="center"/>
              <w:rPr>
                <w:rFonts w:hint="eastAsia" w:ascii="宋体" w:hAnsi="宋体" w:eastAsia="宋体" w:cs="宋体"/>
                <w:i w:val="0"/>
                <w:iCs w:val="0"/>
                <w:color w:val="333333"/>
                <w:sz w:val="18"/>
                <w:szCs w:val="18"/>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BB714">
            <w:pPr>
              <w:jc w:val="center"/>
              <w:rPr>
                <w:rFonts w:hint="eastAsia" w:ascii="宋体" w:hAnsi="宋体" w:eastAsia="宋体" w:cs="宋体"/>
                <w:i w:val="0"/>
                <w:iCs w:val="0"/>
                <w:color w:val="000000"/>
                <w:sz w:val="18"/>
                <w:szCs w:val="18"/>
                <w:u w:val="none"/>
              </w:rPr>
            </w:pPr>
          </w:p>
        </w:tc>
        <w:tc>
          <w:tcPr>
            <w:tcW w:w="506" w:type="dxa"/>
            <w:tcBorders>
              <w:top w:val="single" w:color="000000" w:sz="4" w:space="0"/>
              <w:left w:val="nil"/>
              <w:bottom w:val="single" w:color="000000" w:sz="4" w:space="0"/>
              <w:right w:val="single" w:color="000000" w:sz="4" w:space="0"/>
            </w:tcBorders>
            <w:shd w:val="clear" w:color="auto" w:fill="auto"/>
            <w:noWrap/>
            <w:vAlign w:val="center"/>
          </w:tcPr>
          <w:p w14:paraId="03D7F9A7">
            <w:pPr>
              <w:jc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1EE1A">
            <w:pPr>
              <w:rPr>
                <w:rFonts w:hint="eastAsia" w:ascii="宋体" w:hAnsi="宋体" w:eastAsia="宋体" w:cs="宋体"/>
                <w:i w:val="0"/>
                <w:iCs w:val="0"/>
                <w:color w:val="000000"/>
                <w:sz w:val="18"/>
                <w:szCs w:val="18"/>
                <w:u w:val="none"/>
              </w:rPr>
            </w:pPr>
          </w:p>
        </w:tc>
      </w:tr>
      <w:tr w14:paraId="70737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1857"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C9B822">
            <w:pPr>
              <w:jc w:val="center"/>
              <w:rPr>
                <w:rFonts w:hint="eastAsia" w:ascii="宋体" w:hAnsi="宋体" w:eastAsia="宋体" w:cs="宋体"/>
                <w:i w:val="0"/>
                <w:iCs w:val="0"/>
                <w:color w:val="333333"/>
                <w:sz w:val="18"/>
                <w:szCs w:val="18"/>
                <w:u w:val="none"/>
              </w:rPr>
            </w:pPr>
          </w:p>
        </w:tc>
        <w:tc>
          <w:tcPr>
            <w:tcW w:w="1212" w:type="dxa"/>
            <w:gridSpan w:val="2"/>
            <w:tcBorders>
              <w:top w:val="single" w:color="000000" w:sz="4" w:space="0"/>
              <w:left w:val="single" w:color="000000" w:sz="4" w:space="0"/>
              <w:bottom w:val="single" w:color="000000" w:sz="4" w:space="0"/>
              <w:right w:val="nil"/>
            </w:tcBorders>
            <w:shd w:val="clear" w:color="auto" w:fill="FFFFFF"/>
            <w:noWrap/>
            <w:vAlign w:val="center"/>
          </w:tcPr>
          <w:p w14:paraId="1773ACC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19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349B39">
            <w:pPr>
              <w:keepNext w:val="0"/>
              <w:keepLines w:val="0"/>
              <w:widowControl/>
              <w:suppressLineNumbers w:val="0"/>
              <w:jc w:val="both"/>
              <w:textAlignment w:val="center"/>
              <w:rPr>
                <w:rFonts w:hint="eastAsia" w:ascii="宋体" w:hAnsi="宋体" w:eastAsia="宋体" w:cs="宋体"/>
                <w:i w:val="0"/>
                <w:iCs w:val="0"/>
                <w:color w:val="333333"/>
                <w:sz w:val="18"/>
                <w:szCs w:val="18"/>
                <w:u w:val="none"/>
                <w:lang w:val="en-US" w:eastAsia="zh-CN"/>
              </w:rPr>
            </w:pPr>
          </w:p>
        </w:tc>
        <w:tc>
          <w:tcPr>
            <w:tcW w:w="13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FBE63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p>
        </w:tc>
        <w:tc>
          <w:tcPr>
            <w:tcW w:w="8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4F68C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3FA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506" w:type="dxa"/>
            <w:tcBorders>
              <w:top w:val="single" w:color="000000" w:sz="4" w:space="0"/>
              <w:left w:val="nil"/>
              <w:bottom w:val="single" w:color="000000" w:sz="4" w:space="0"/>
              <w:right w:val="single" w:color="000000" w:sz="4" w:space="0"/>
            </w:tcBorders>
            <w:shd w:val="clear" w:color="auto" w:fill="auto"/>
            <w:noWrap/>
            <w:vAlign w:val="center"/>
          </w:tcPr>
          <w:p w14:paraId="77E9DB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52229">
            <w:pPr>
              <w:rPr>
                <w:rFonts w:hint="eastAsia" w:ascii="宋体" w:hAnsi="宋体" w:eastAsia="宋体" w:cs="宋体"/>
                <w:i w:val="0"/>
                <w:iCs w:val="0"/>
                <w:color w:val="000000"/>
                <w:sz w:val="18"/>
                <w:szCs w:val="18"/>
                <w:u w:val="none"/>
              </w:rPr>
            </w:pPr>
          </w:p>
        </w:tc>
      </w:tr>
      <w:tr w14:paraId="4F4F0D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18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218C3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212" w:type="dxa"/>
            <w:gridSpan w:val="2"/>
            <w:tcBorders>
              <w:top w:val="single" w:color="000000" w:sz="4" w:space="0"/>
              <w:left w:val="single" w:color="000000" w:sz="4" w:space="0"/>
              <w:bottom w:val="single" w:color="000000" w:sz="4" w:space="0"/>
              <w:right w:val="nil"/>
            </w:tcBorders>
            <w:shd w:val="clear" w:color="auto" w:fill="FFFFFF"/>
            <w:noWrap/>
            <w:vAlign w:val="center"/>
          </w:tcPr>
          <w:p w14:paraId="122A15D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93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C5D991">
            <w:pPr>
              <w:keepNext w:val="0"/>
              <w:keepLines w:val="0"/>
              <w:widowControl/>
              <w:suppressLineNumbers w:val="0"/>
              <w:jc w:val="both"/>
              <w:textAlignment w:val="center"/>
              <w:rPr>
                <w:rFonts w:hint="eastAsia" w:ascii="宋体" w:hAnsi="宋体" w:eastAsia="宋体" w:cs="宋体"/>
                <w:i w:val="0"/>
                <w:iCs w:val="0"/>
                <w:color w:val="333333"/>
                <w:sz w:val="18"/>
                <w:szCs w:val="18"/>
                <w:u w:val="none"/>
                <w:lang w:val="en-US" w:eastAsia="zh-CN"/>
              </w:rPr>
            </w:pPr>
          </w:p>
        </w:tc>
        <w:tc>
          <w:tcPr>
            <w:tcW w:w="13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208F7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p>
        </w:tc>
        <w:tc>
          <w:tcPr>
            <w:tcW w:w="8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47403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E7D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506" w:type="dxa"/>
            <w:tcBorders>
              <w:top w:val="single" w:color="000000" w:sz="4" w:space="0"/>
              <w:left w:val="nil"/>
              <w:bottom w:val="single" w:color="000000" w:sz="4" w:space="0"/>
              <w:right w:val="single" w:color="000000" w:sz="4" w:space="0"/>
            </w:tcBorders>
            <w:shd w:val="clear" w:color="auto" w:fill="auto"/>
            <w:noWrap/>
            <w:vAlign w:val="center"/>
          </w:tcPr>
          <w:p w14:paraId="23613E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19499">
            <w:pPr>
              <w:rPr>
                <w:rFonts w:hint="eastAsia" w:ascii="宋体" w:hAnsi="宋体" w:eastAsia="宋体" w:cs="宋体"/>
                <w:i w:val="0"/>
                <w:iCs w:val="0"/>
                <w:color w:val="000000"/>
                <w:sz w:val="18"/>
                <w:szCs w:val="18"/>
                <w:u w:val="none"/>
              </w:rPr>
            </w:pPr>
          </w:p>
        </w:tc>
      </w:tr>
      <w:tr w14:paraId="767D2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9565" w:type="dxa"/>
            <w:gridSpan w:val="9"/>
            <w:tcBorders>
              <w:top w:val="single" w:color="000000" w:sz="4" w:space="0"/>
              <w:left w:val="nil"/>
              <w:bottom w:val="nil"/>
              <w:right w:val="nil"/>
            </w:tcBorders>
            <w:shd w:val="clear" w:color="auto" w:fill="auto"/>
            <w:vAlign w:val="center"/>
          </w:tcPr>
          <w:p w14:paraId="53DD3FF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说明：1.预算执行率得分=全年执行数/全年预算数*10分；</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xml:space="preserve">      2.“产出指标、效益指标、满意度指标”一共90分，对应的是一体化系统中单位编制的项目绩效目标。</w:t>
            </w:r>
          </w:p>
        </w:tc>
      </w:tr>
    </w:tbl>
    <w:p w14:paraId="3FDCE0C3">
      <w:pPr>
        <w:spacing w:line="600" w:lineRule="exact"/>
        <w:jc w:val="center"/>
        <w:outlineLvl w:val="0"/>
        <w:rPr>
          <w:rFonts w:hint="eastAsia" w:ascii="宋体" w:hAnsi="宋体" w:eastAsia="宋体" w:cs="宋体"/>
        </w:rPr>
      </w:pPr>
      <w:r>
        <w:rPr>
          <w:rFonts w:hint="eastAsia" w:ascii="宋体" w:hAnsi="宋体" w:eastAsia="宋体" w:cs="宋体"/>
          <w:sz w:val="44"/>
          <w:szCs w:val="44"/>
        </w:rPr>
        <w:t>第</w:t>
      </w:r>
      <w:r>
        <w:rPr>
          <w:rStyle w:val="29"/>
          <w:rFonts w:hint="eastAsia" w:ascii="宋体" w:hAnsi="宋体" w:eastAsia="宋体" w:cs="宋体"/>
          <w:b w:val="0"/>
        </w:rPr>
        <w:t>五部分 附表</w:t>
      </w:r>
      <w:bookmarkEnd w:id="51"/>
      <w:bookmarkEnd w:id="53"/>
      <w:bookmarkStart w:id="54" w:name="_Toc15396619"/>
    </w:p>
    <w:p w14:paraId="2BE9FFDF">
      <w:pPr>
        <w:pStyle w:val="3"/>
        <w:keepNext/>
        <w:keepLines/>
        <w:pageBreakBefore w:val="0"/>
        <w:widowControl w:val="0"/>
        <w:kinsoku/>
        <w:wordWrap/>
        <w:overflowPunct/>
        <w:topLinePunct w:val="0"/>
        <w:autoSpaceDE/>
        <w:autoSpaceDN/>
        <w:bidi w:val="0"/>
        <w:adjustRightInd/>
        <w:snapToGrid/>
        <w:spacing w:before="0" w:after="0" w:line="700" w:lineRule="exact"/>
        <w:textAlignment w:val="auto"/>
        <w:rPr>
          <w:rFonts w:hint="eastAsia" w:ascii="宋体" w:hAnsi="宋体" w:eastAsia="宋体" w:cs="宋体"/>
          <w:b w:val="0"/>
        </w:rPr>
      </w:pPr>
    </w:p>
    <w:p w14:paraId="0D7EF161">
      <w:pPr>
        <w:pStyle w:val="3"/>
        <w:keepNext/>
        <w:keepLines/>
        <w:pageBreakBefore w:val="0"/>
        <w:widowControl w:val="0"/>
        <w:kinsoku/>
        <w:wordWrap/>
        <w:overflowPunct/>
        <w:topLinePunct w:val="0"/>
        <w:autoSpaceDE/>
        <w:autoSpaceDN/>
        <w:bidi w:val="0"/>
        <w:adjustRightInd/>
        <w:snapToGrid/>
        <w:spacing w:before="0" w:after="0" w:line="700" w:lineRule="exact"/>
        <w:textAlignment w:val="auto"/>
        <w:rPr>
          <w:rFonts w:hint="eastAsia" w:ascii="宋体" w:hAnsi="宋体" w:eastAsia="宋体" w:cs="宋体"/>
        </w:rPr>
      </w:pPr>
      <w:r>
        <w:rPr>
          <w:rFonts w:hint="eastAsia" w:ascii="宋体" w:hAnsi="宋体" w:eastAsia="宋体" w:cs="宋体"/>
          <w:b w:val="0"/>
        </w:rPr>
        <w:t>一、收</w:t>
      </w:r>
      <w:r>
        <w:rPr>
          <w:rStyle w:val="30"/>
          <w:rFonts w:hint="eastAsia" w:ascii="宋体" w:hAnsi="宋体" w:eastAsia="宋体" w:cs="宋体"/>
          <w:b w:val="0"/>
          <w:bCs w:val="0"/>
        </w:rPr>
        <w:t>入支出决算总表</w:t>
      </w:r>
      <w:bookmarkEnd w:id="54"/>
    </w:p>
    <w:p w14:paraId="5E80DCDB">
      <w:pPr>
        <w:pStyle w:val="3"/>
        <w:keepNext/>
        <w:keepLines/>
        <w:pageBreakBefore w:val="0"/>
        <w:widowControl w:val="0"/>
        <w:kinsoku/>
        <w:wordWrap/>
        <w:overflowPunct/>
        <w:topLinePunct w:val="0"/>
        <w:autoSpaceDE/>
        <w:autoSpaceDN/>
        <w:bidi w:val="0"/>
        <w:adjustRightInd/>
        <w:snapToGrid/>
        <w:spacing w:before="0" w:after="0" w:line="700" w:lineRule="exact"/>
        <w:textAlignment w:val="auto"/>
        <w:rPr>
          <w:rFonts w:hint="eastAsia" w:ascii="宋体" w:hAnsi="宋体" w:eastAsia="宋体" w:cs="宋体"/>
        </w:rPr>
      </w:pPr>
      <w:bookmarkStart w:id="55" w:name="_Toc15396620"/>
      <w:r>
        <w:rPr>
          <w:rFonts w:hint="eastAsia" w:ascii="宋体" w:hAnsi="宋体" w:eastAsia="宋体" w:cs="宋体"/>
          <w:b w:val="0"/>
        </w:rPr>
        <w:t>二、收</w:t>
      </w:r>
      <w:r>
        <w:rPr>
          <w:rStyle w:val="30"/>
          <w:rFonts w:hint="eastAsia" w:ascii="宋体" w:hAnsi="宋体" w:eastAsia="宋体" w:cs="宋体"/>
          <w:b w:val="0"/>
          <w:bCs w:val="0"/>
        </w:rPr>
        <w:t>入决算表</w:t>
      </w:r>
      <w:bookmarkEnd w:id="55"/>
    </w:p>
    <w:p w14:paraId="085DCEB9">
      <w:pPr>
        <w:pStyle w:val="3"/>
        <w:keepNext/>
        <w:keepLines/>
        <w:pageBreakBefore w:val="0"/>
        <w:widowControl w:val="0"/>
        <w:kinsoku/>
        <w:wordWrap/>
        <w:overflowPunct/>
        <w:topLinePunct w:val="0"/>
        <w:autoSpaceDE/>
        <w:autoSpaceDN/>
        <w:bidi w:val="0"/>
        <w:adjustRightInd/>
        <w:snapToGrid/>
        <w:spacing w:before="0" w:after="0" w:line="700" w:lineRule="exact"/>
        <w:textAlignment w:val="auto"/>
        <w:rPr>
          <w:rFonts w:hint="eastAsia" w:ascii="宋体" w:hAnsi="宋体" w:eastAsia="宋体" w:cs="宋体"/>
        </w:rPr>
      </w:pPr>
      <w:bookmarkStart w:id="56" w:name="_Toc15396621"/>
      <w:r>
        <w:rPr>
          <w:rStyle w:val="30"/>
          <w:rFonts w:hint="eastAsia" w:ascii="宋体" w:hAnsi="宋体" w:eastAsia="宋体" w:cs="宋体"/>
          <w:b w:val="0"/>
          <w:bCs w:val="0"/>
        </w:rPr>
        <w:t>三、</w:t>
      </w:r>
      <w:r>
        <w:rPr>
          <w:rFonts w:hint="eastAsia" w:ascii="宋体" w:hAnsi="宋体" w:eastAsia="宋体" w:cs="宋体"/>
          <w:b w:val="0"/>
        </w:rPr>
        <w:t>支</w:t>
      </w:r>
      <w:r>
        <w:rPr>
          <w:rStyle w:val="30"/>
          <w:rFonts w:hint="eastAsia" w:ascii="宋体" w:hAnsi="宋体" w:eastAsia="宋体" w:cs="宋体"/>
          <w:b w:val="0"/>
          <w:bCs w:val="0"/>
        </w:rPr>
        <w:t>出决算表</w:t>
      </w:r>
      <w:bookmarkEnd w:id="56"/>
    </w:p>
    <w:p w14:paraId="684E4E52">
      <w:pPr>
        <w:pStyle w:val="3"/>
        <w:keepNext/>
        <w:keepLines/>
        <w:pageBreakBefore w:val="0"/>
        <w:widowControl w:val="0"/>
        <w:kinsoku/>
        <w:wordWrap/>
        <w:overflowPunct/>
        <w:topLinePunct w:val="0"/>
        <w:autoSpaceDE/>
        <w:autoSpaceDN/>
        <w:bidi w:val="0"/>
        <w:adjustRightInd/>
        <w:snapToGrid/>
        <w:spacing w:before="0" w:after="0" w:line="700" w:lineRule="exact"/>
        <w:textAlignment w:val="auto"/>
        <w:rPr>
          <w:rFonts w:hint="eastAsia" w:ascii="宋体" w:hAnsi="宋体" w:eastAsia="宋体" w:cs="宋体"/>
          <w:b w:val="0"/>
        </w:rPr>
      </w:pPr>
      <w:bookmarkStart w:id="57" w:name="_Toc15396622"/>
      <w:r>
        <w:rPr>
          <w:rStyle w:val="30"/>
          <w:rFonts w:hint="eastAsia" w:ascii="宋体" w:hAnsi="宋体" w:eastAsia="宋体" w:cs="宋体"/>
          <w:b w:val="0"/>
          <w:bCs w:val="0"/>
        </w:rPr>
        <w:t>四、</w:t>
      </w:r>
      <w:r>
        <w:rPr>
          <w:rFonts w:hint="eastAsia" w:ascii="宋体" w:hAnsi="宋体" w:eastAsia="宋体" w:cs="宋体"/>
          <w:b w:val="0"/>
        </w:rPr>
        <w:t>财</w:t>
      </w:r>
      <w:r>
        <w:rPr>
          <w:rStyle w:val="30"/>
          <w:rFonts w:hint="eastAsia" w:ascii="宋体" w:hAnsi="宋体" w:eastAsia="宋体" w:cs="宋体"/>
          <w:b w:val="0"/>
          <w:bCs w:val="0"/>
        </w:rPr>
        <w:t>政拨款收入支出决算总表</w:t>
      </w:r>
      <w:bookmarkEnd w:id="57"/>
    </w:p>
    <w:p w14:paraId="6364098A">
      <w:pPr>
        <w:pStyle w:val="3"/>
        <w:keepNext/>
        <w:keepLines/>
        <w:pageBreakBefore w:val="0"/>
        <w:widowControl w:val="0"/>
        <w:kinsoku/>
        <w:wordWrap/>
        <w:overflowPunct/>
        <w:topLinePunct w:val="0"/>
        <w:autoSpaceDE/>
        <w:autoSpaceDN/>
        <w:bidi w:val="0"/>
        <w:adjustRightInd/>
        <w:snapToGrid/>
        <w:spacing w:before="0" w:after="0" w:line="700" w:lineRule="exact"/>
        <w:textAlignment w:val="auto"/>
        <w:rPr>
          <w:rStyle w:val="30"/>
          <w:rFonts w:hint="eastAsia" w:ascii="宋体" w:hAnsi="宋体" w:eastAsia="宋体" w:cs="宋体"/>
          <w:b w:val="0"/>
          <w:bCs w:val="0"/>
        </w:rPr>
      </w:pPr>
      <w:bookmarkStart w:id="58" w:name="_Toc15396623"/>
      <w:r>
        <w:rPr>
          <w:rStyle w:val="30"/>
          <w:rFonts w:hint="eastAsia" w:ascii="宋体" w:hAnsi="宋体" w:eastAsia="宋体" w:cs="宋体"/>
          <w:b w:val="0"/>
          <w:bCs w:val="0"/>
        </w:rPr>
        <w:t>五、</w:t>
      </w:r>
      <w:r>
        <w:rPr>
          <w:rFonts w:hint="eastAsia" w:ascii="宋体" w:hAnsi="宋体" w:eastAsia="宋体" w:cs="宋体"/>
          <w:b w:val="0"/>
        </w:rPr>
        <w:t>财</w:t>
      </w:r>
      <w:r>
        <w:rPr>
          <w:rStyle w:val="30"/>
          <w:rFonts w:hint="eastAsia" w:ascii="宋体" w:hAnsi="宋体" w:eastAsia="宋体" w:cs="宋体"/>
          <w:b w:val="0"/>
          <w:bCs w:val="0"/>
        </w:rPr>
        <w:t>政拨款支出决算明细表</w:t>
      </w:r>
      <w:bookmarkEnd w:id="58"/>
      <w:bookmarkStart w:id="59" w:name="_Toc15396624"/>
    </w:p>
    <w:p w14:paraId="73AB5A6B">
      <w:pPr>
        <w:pStyle w:val="3"/>
        <w:keepNext/>
        <w:keepLines/>
        <w:pageBreakBefore w:val="0"/>
        <w:widowControl w:val="0"/>
        <w:kinsoku/>
        <w:wordWrap/>
        <w:overflowPunct/>
        <w:topLinePunct w:val="0"/>
        <w:autoSpaceDE/>
        <w:autoSpaceDN/>
        <w:bidi w:val="0"/>
        <w:adjustRightInd/>
        <w:snapToGrid/>
        <w:spacing w:before="0" w:after="0" w:line="700" w:lineRule="exact"/>
        <w:textAlignment w:val="auto"/>
        <w:rPr>
          <w:rFonts w:hint="eastAsia" w:ascii="宋体" w:hAnsi="宋体" w:eastAsia="宋体" w:cs="宋体"/>
        </w:rPr>
      </w:pPr>
      <w:r>
        <w:rPr>
          <w:rStyle w:val="30"/>
          <w:rFonts w:hint="eastAsia" w:ascii="宋体" w:hAnsi="宋体" w:eastAsia="宋体" w:cs="宋体"/>
          <w:b w:val="0"/>
          <w:bCs w:val="0"/>
        </w:rPr>
        <w:t>六、</w:t>
      </w:r>
      <w:r>
        <w:rPr>
          <w:rFonts w:hint="eastAsia" w:ascii="宋体" w:hAnsi="宋体" w:eastAsia="宋体" w:cs="宋体"/>
          <w:b w:val="0"/>
        </w:rPr>
        <w:t>一</w:t>
      </w:r>
      <w:r>
        <w:rPr>
          <w:rStyle w:val="30"/>
          <w:rFonts w:hint="eastAsia" w:ascii="宋体" w:hAnsi="宋体" w:eastAsia="宋体" w:cs="宋体"/>
          <w:b w:val="0"/>
          <w:bCs w:val="0"/>
        </w:rPr>
        <w:t>般公共预算财政拨款支出决算表</w:t>
      </w:r>
      <w:bookmarkEnd w:id="59"/>
    </w:p>
    <w:p w14:paraId="60A244AB">
      <w:pPr>
        <w:pStyle w:val="3"/>
        <w:keepNext/>
        <w:keepLines/>
        <w:pageBreakBefore w:val="0"/>
        <w:widowControl w:val="0"/>
        <w:kinsoku/>
        <w:wordWrap/>
        <w:overflowPunct/>
        <w:topLinePunct w:val="0"/>
        <w:autoSpaceDE/>
        <w:autoSpaceDN/>
        <w:bidi w:val="0"/>
        <w:adjustRightInd/>
        <w:snapToGrid/>
        <w:spacing w:before="0" w:after="0" w:line="700" w:lineRule="exact"/>
        <w:textAlignment w:val="auto"/>
        <w:rPr>
          <w:rFonts w:hint="eastAsia" w:ascii="宋体" w:hAnsi="宋体" w:eastAsia="宋体" w:cs="宋体"/>
        </w:rPr>
      </w:pPr>
      <w:bookmarkStart w:id="60" w:name="_Toc15396625"/>
      <w:r>
        <w:rPr>
          <w:rStyle w:val="30"/>
          <w:rFonts w:hint="eastAsia" w:ascii="宋体" w:hAnsi="宋体" w:eastAsia="宋体" w:cs="宋体"/>
          <w:b w:val="0"/>
          <w:bCs w:val="0"/>
        </w:rPr>
        <w:t>七、</w:t>
      </w:r>
      <w:r>
        <w:rPr>
          <w:rFonts w:hint="eastAsia" w:ascii="宋体" w:hAnsi="宋体" w:eastAsia="宋体" w:cs="宋体"/>
          <w:b w:val="0"/>
        </w:rPr>
        <w:t>一</w:t>
      </w:r>
      <w:r>
        <w:rPr>
          <w:rStyle w:val="30"/>
          <w:rFonts w:hint="eastAsia" w:ascii="宋体" w:hAnsi="宋体" w:eastAsia="宋体" w:cs="宋体"/>
          <w:b w:val="0"/>
          <w:bCs w:val="0"/>
        </w:rPr>
        <w:t>般公共预算财政拨款支出决算明细表</w:t>
      </w:r>
      <w:bookmarkEnd w:id="60"/>
    </w:p>
    <w:p w14:paraId="50C24112">
      <w:pPr>
        <w:pStyle w:val="3"/>
        <w:keepNext/>
        <w:keepLines/>
        <w:pageBreakBefore w:val="0"/>
        <w:widowControl w:val="0"/>
        <w:kinsoku/>
        <w:wordWrap/>
        <w:overflowPunct/>
        <w:topLinePunct w:val="0"/>
        <w:autoSpaceDE/>
        <w:autoSpaceDN/>
        <w:bidi w:val="0"/>
        <w:adjustRightInd/>
        <w:snapToGrid/>
        <w:spacing w:before="0" w:after="0" w:line="700" w:lineRule="exact"/>
        <w:textAlignment w:val="auto"/>
        <w:rPr>
          <w:rFonts w:hint="eastAsia" w:ascii="宋体" w:hAnsi="宋体" w:eastAsia="宋体" w:cs="宋体"/>
        </w:rPr>
      </w:pPr>
      <w:bookmarkStart w:id="61" w:name="_Toc15396626"/>
      <w:r>
        <w:rPr>
          <w:rStyle w:val="30"/>
          <w:rFonts w:hint="eastAsia" w:ascii="宋体" w:hAnsi="宋体" w:eastAsia="宋体" w:cs="宋体"/>
          <w:b w:val="0"/>
          <w:bCs w:val="0"/>
        </w:rPr>
        <w:t>八、</w:t>
      </w:r>
      <w:r>
        <w:rPr>
          <w:rFonts w:hint="eastAsia" w:ascii="宋体" w:hAnsi="宋体" w:eastAsia="宋体" w:cs="宋体"/>
          <w:b w:val="0"/>
        </w:rPr>
        <w:t>一</w:t>
      </w:r>
      <w:r>
        <w:rPr>
          <w:rStyle w:val="30"/>
          <w:rFonts w:hint="eastAsia" w:ascii="宋体" w:hAnsi="宋体" w:eastAsia="宋体" w:cs="宋体"/>
          <w:b w:val="0"/>
          <w:bCs w:val="0"/>
        </w:rPr>
        <w:t>般公共预算财政拨款基本支出决算表</w:t>
      </w:r>
      <w:bookmarkEnd w:id="61"/>
    </w:p>
    <w:p w14:paraId="1F7860DA">
      <w:pPr>
        <w:pStyle w:val="3"/>
        <w:keepNext/>
        <w:keepLines/>
        <w:pageBreakBefore w:val="0"/>
        <w:widowControl w:val="0"/>
        <w:kinsoku/>
        <w:wordWrap/>
        <w:overflowPunct/>
        <w:topLinePunct w:val="0"/>
        <w:autoSpaceDE/>
        <w:autoSpaceDN/>
        <w:bidi w:val="0"/>
        <w:adjustRightInd/>
        <w:snapToGrid/>
        <w:spacing w:before="0" w:after="0" w:line="700" w:lineRule="exact"/>
        <w:textAlignment w:val="auto"/>
        <w:rPr>
          <w:rFonts w:hint="eastAsia" w:ascii="宋体" w:hAnsi="宋体" w:eastAsia="宋体" w:cs="宋体"/>
        </w:rPr>
      </w:pPr>
      <w:bookmarkStart w:id="62" w:name="_Toc15396627"/>
      <w:r>
        <w:rPr>
          <w:rStyle w:val="30"/>
          <w:rFonts w:hint="eastAsia" w:ascii="宋体" w:hAnsi="宋体" w:eastAsia="宋体" w:cs="宋体"/>
          <w:b w:val="0"/>
          <w:bCs w:val="0"/>
        </w:rPr>
        <w:t>九、</w:t>
      </w:r>
      <w:r>
        <w:rPr>
          <w:rFonts w:hint="eastAsia" w:ascii="宋体" w:hAnsi="宋体" w:eastAsia="宋体" w:cs="宋体"/>
          <w:b w:val="0"/>
        </w:rPr>
        <w:t>一</w:t>
      </w:r>
      <w:r>
        <w:rPr>
          <w:rStyle w:val="30"/>
          <w:rFonts w:hint="eastAsia" w:ascii="宋体" w:hAnsi="宋体" w:eastAsia="宋体" w:cs="宋体"/>
          <w:b w:val="0"/>
          <w:bCs w:val="0"/>
        </w:rPr>
        <w:t>般公共预算财政拨款项目支出决算表</w:t>
      </w:r>
      <w:bookmarkEnd w:id="62"/>
    </w:p>
    <w:p w14:paraId="33BDDA99">
      <w:pPr>
        <w:pStyle w:val="3"/>
        <w:keepNext/>
        <w:keepLines/>
        <w:pageBreakBefore w:val="0"/>
        <w:widowControl w:val="0"/>
        <w:kinsoku/>
        <w:wordWrap/>
        <w:overflowPunct/>
        <w:topLinePunct w:val="0"/>
        <w:autoSpaceDE/>
        <w:autoSpaceDN/>
        <w:bidi w:val="0"/>
        <w:adjustRightInd/>
        <w:snapToGrid/>
        <w:spacing w:before="0" w:after="0" w:line="700" w:lineRule="exact"/>
        <w:textAlignment w:val="auto"/>
        <w:rPr>
          <w:rFonts w:hint="eastAsia" w:ascii="宋体" w:hAnsi="宋体" w:eastAsia="宋体" w:cs="宋体"/>
        </w:rPr>
      </w:pPr>
      <w:bookmarkStart w:id="63" w:name="_Toc15396628"/>
      <w:r>
        <w:rPr>
          <w:rStyle w:val="30"/>
          <w:rFonts w:hint="eastAsia" w:ascii="宋体" w:hAnsi="宋体" w:eastAsia="宋体" w:cs="宋体"/>
          <w:b w:val="0"/>
          <w:bCs w:val="0"/>
        </w:rPr>
        <w:t>十、</w:t>
      </w:r>
      <w:bookmarkEnd w:id="63"/>
      <w:r>
        <w:rPr>
          <w:rFonts w:hint="eastAsia" w:ascii="宋体" w:hAnsi="宋体" w:eastAsia="宋体" w:cs="宋体"/>
          <w:b w:val="0"/>
        </w:rPr>
        <w:t>政</w:t>
      </w:r>
      <w:r>
        <w:rPr>
          <w:rStyle w:val="30"/>
          <w:rFonts w:hint="eastAsia" w:ascii="宋体" w:hAnsi="宋体" w:eastAsia="宋体" w:cs="宋体"/>
          <w:b w:val="0"/>
          <w:bCs w:val="0"/>
        </w:rPr>
        <w:t>府性基金预算财政拨款收入支出决算表</w:t>
      </w:r>
    </w:p>
    <w:p w14:paraId="1EBA1527">
      <w:pPr>
        <w:pStyle w:val="3"/>
        <w:keepNext/>
        <w:keepLines/>
        <w:pageBreakBefore w:val="0"/>
        <w:widowControl w:val="0"/>
        <w:kinsoku/>
        <w:wordWrap/>
        <w:overflowPunct/>
        <w:topLinePunct w:val="0"/>
        <w:autoSpaceDE/>
        <w:autoSpaceDN/>
        <w:bidi w:val="0"/>
        <w:adjustRightInd/>
        <w:snapToGrid/>
        <w:spacing w:before="0" w:after="0" w:line="700" w:lineRule="exact"/>
        <w:textAlignment w:val="auto"/>
        <w:rPr>
          <w:rFonts w:hint="eastAsia" w:ascii="宋体" w:hAnsi="宋体" w:eastAsia="宋体" w:cs="宋体"/>
        </w:rPr>
      </w:pPr>
      <w:bookmarkStart w:id="64" w:name="_Toc15396629"/>
      <w:r>
        <w:rPr>
          <w:rStyle w:val="30"/>
          <w:rFonts w:hint="eastAsia" w:ascii="宋体" w:hAnsi="宋体" w:eastAsia="宋体" w:cs="宋体"/>
          <w:b w:val="0"/>
          <w:bCs w:val="0"/>
        </w:rPr>
        <w:t>十一、</w:t>
      </w:r>
      <w:bookmarkEnd w:id="64"/>
      <w:r>
        <w:rPr>
          <w:rFonts w:hint="eastAsia" w:ascii="宋体" w:hAnsi="宋体" w:eastAsia="宋体" w:cs="宋体"/>
          <w:b w:val="0"/>
        </w:rPr>
        <w:t>国</w:t>
      </w:r>
      <w:r>
        <w:rPr>
          <w:rStyle w:val="30"/>
          <w:rFonts w:hint="eastAsia" w:ascii="宋体" w:hAnsi="宋体" w:eastAsia="宋体" w:cs="宋体"/>
          <w:b w:val="0"/>
          <w:bCs w:val="0"/>
        </w:rPr>
        <w:t>有资本经营预算财政拨款收入支出决算表</w:t>
      </w:r>
    </w:p>
    <w:p w14:paraId="2FA0969A">
      <w:pPr>
        <w:pStyle w:val="3"/>
        <w:keepNext/>
        <w:keepLines/>
        <w:pageBreakBefore w:val="0"/>
        <w:widowControl w:val="0"/>
        <w:kinsoku/>
        <w:wordWrap/>
        <w:overflowPunct/>
        <w:topLinePunct w:val="0"/>
        <w:autoSpaceDE/>
        <w:autoSpaceDN/>
        <w:bidi w:val="0"/>
        <w:adjustRightInd/>
        <w:snapToGrid/>
        <w:spacing w:before="0" w:after="0" w:line="700" w:lineRule="exact"/>
        <w:textAlignment w:val="auto"/>
        <w:rPr>
          <w:rFonts w:hint="eastAsia" w:ascii="宋体" w:hAnsi="宋体" w:eastAsia="宋体" w:cs="宋体"/>
        </w:rPr>
      </w:pPr>
      <w:bookmarkStart w:id="65" w:name="_Toc15396630"/>
      <w:r>
        <w:rPr>
          <w:rStyle w:val="30"/>
          <w:rFonts w:hint="eastAsia" w:ascii="宋体" w:hAnsi="宋体" w:eastAsia="宋体" w:cs="宋体"/>
          <w:b w:val="0"/>
          <w:bCs w:val="0"/>
        </w:rPr>
        <w:t>十二、</w:t>
      </w:r>
      <w:bookmarkEnd w:id="65"/>
      <w:r>
        <w:rPr>
          <w:rStyle w:val="30"/>
          <w:rFonts w:hint="eastAsia" w:ascii="宋体" w:hAnsi="宋体" w:eastAsia="宋体" w:cs="宋体"/>
          <w:b w:val="0"/>
          <w:bCs w:val="0"/>
        </w:rPr>
        <w:t>国有资本经营预算财政拨款支出决算表</w:t>
      </w:r>
    </w:p>
    <w:p w14:paraId="39F5BF18">
      <w:pPr>
        <w:pStyle w:val="3"/>
        <w:keepNext/>
        <w:keepLines/>
        <w:pageBreakBefore w:val="0"/>
        <w:widowControl w:val="0"/>
        <w:kinsoku/>
        <w:wordWrap/>
        <w:overflowPunct/>
        <w:topLinePunct w:val="0"/>
        <w:autoSpaceDE/>
        <w:autoSpaceDN/>
        <w:bidi w:val="0"/>
        <w:adjustRightInd/>
        <w:snapToGrid/>
        <w:spacing w:before="0" w:after="0" w:line="700" w:lineRule="exact"/>
        <w:textAlignment w:val="auto"/>
        <w:rPr>
          <w:rFonts w:hint="eastAsia" w:ascii="宋体" w:hAnsi="宋体" w:eastAsia="宋体" w:cs="宋体"/>
        </w:rPr>
      </w:pPr>
      <w:bookmarkStart w:id="66" w:name="_Toc15396631"/>
      <w:r>
        <w:rPr>
          <w:rStyle w:val="30"/>
          <w:rFonts w:hint="eastAsia" w:ascii="宋体" w:hAnsi="宋体" w:eastAsia="宋体" w:cs="宋体"/>
          <w:b w:val="0"/>
          <w:bCs w:val="0"/>
        </w:rPr>
        <w:t>十三、</w:t>
      </w:r>
      <w:bookmarkEnd w:id="66"/>
      <w:r>
        <w:rPr>
          <w:rStyle w:val="30"/>
          <w:rFonts w:hint="eastAsia" w:ascii="宋体" w:hAnsi="宋体" w:eastAsia="宋体" w:cs="宋体"/>
          <w:b w:val="0"/>
          <w:bCs w:val="0"/>
        </w:rPr>
        <w:t>财政拨款“三公”经费支出决算表</w:t>
      </w:r>
    </w:p>
    <w:sectPr>
      <w:footerReference r:id="rId5" w:type="first"/>
      <w:footerReference r:id="rId4"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55ABD8">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6AB187">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176AB187">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D843F">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CDDE5F">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32CDDE5F">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19F0A">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jNDVkN2U0MGI3MGYwNzE0ODlhOGY2N2QwOGM5NTM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A1DAD"/>
    <w:rsid w:val="001C0962"/>
    <w:rsid w:val="001D7531"/>
    <w:rsid w:val="001E737D"/>
    <w:rsid w:val="001F0592"/>
    <w:rsid w:val="001F7506"/>
    <w:rsid w:val="002006CD"/>
    <w:rsid w:val="00202B36"/>
    <w:rsid w:val="00204B7A"/>
    <w:rsid w:val="00204CDE"/>
    <w:rsid w:val="00206907"/>
    <w:rsid w:val="0021101A"/>
    <w:rsid w:val="00212B4A"/>
    <w:rsid w:val="00220536"/>
    <w:rsid w:val="00235629"/>
    <w:rsid w:val="00260C38"/>
    <w:rsid w:val="002616C0"/>
    <w:rsid w:val="00265372"/>
    <w:rsid w:val="002662AA"/>
    <w:rsid w:val="00280496"/>
    <w:rsid w:val="00294DC9"/>
    <w:rsid w:val="00295495"/>
    <w:rsid w:val="002A31DE"/>
    <w:rsid w:val="002B2613"/>
    <w:rsid w:val="002C5004"/>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25C50"/>
    <w:rsid w:val="0043177C"/>
    <w:rsid w:val="00434489"/>
    <w:rsid w:val="00437085"/>
    <w:rsid w:val="00443880"/>
    <w:rsid w:val="004464F4"/>
    <w:rsid w:val="0046049C"/>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533CF"/>
    <w:rsid w:val="005664BB"/>
    <w:rsid w:val="00566FFA"/>
    <w:rsid w:val="0057481D"/>
    <w:rsid w:val="0058486E"/>
    <w:rsid w:val="00585B33"/>
    <w:rsid w:val="0059014D"/>
    <w:rsid w:val="005B5C64"/>
    <w:rsid w:val="005B6E8A"/>
    <w:rsid w:val="005C5337"/>
    <w:rsid w:val="005C6BD0"/>
    <w:rsid w:val="005D1C8B"/>
    <w:rsid w:val="005D468D"/>
    <w:rsid w:val="005D5CED"/>
    <w:rsid w:val="005F10BC"/>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55FC5"/>
    <w:rsid w:val="0066343B"/>
    <w:rsid w:val="00664777"/>
    <w:rsid w:val="006748A4"/>
    <w:rsid w:val="00681A31"/>
    <w:rsid w:val="00683E73"/>
    <w:rsid w:val="006A3141"/>
    <w:rsid w:val="006A5E34"/>
    <w:rsid w:val="006B2422"/>
    <w:rsid w:val="006B2B9A"/>
    <w:rsid w:val="006C1937"/>
    <w:rsid w:val="006F020C"/>
    <w:rsid w:val="0071021A"/>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10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C7FD8"/>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1E6F"/>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20E3033"/>
    <w:rsid w:val="028402EE"/>
    <w:rsid w:val="02B056CA"/>
    <w:rsid w:val="03DC2831"/>
    <w:rsid w:val="07052543"/>
    <w:rsid w:val="076D25F0"/>
    <w:rsid w:val="07CD0CE2"/>
    <w:rsid w:val="081B5E94"/>
    <w:rsid w:val="08F2429F"/>
    <w:rsid w:val="0A2032A3"/>
    <w:rsid w:val="0B8A37D8"/>
    <w:rsid w:val="0F5FFB2F"/>
    <w:rsid w:val="0F7D08BF"/>
    <w:rsid w:val="0FFFCF60"/>
    <w:rsid w:val="10C055FF"/>
    <w:rsid w:val="118107EC"/>
    <w:rsid w:val="11DD6519"/>
    <w:rsid w:val="14626CBD"/>
    <w:rsid w:val="1617388C"/>
    <w:rsid w:val="16BB723D"/>
    <w:rsid w:val="17C91F04"/>
    <w:rsid w:val="18015F3F"/>
    <w:rsid w:val="1BE8440E"/>
    <w:rsid w:val="1D155CEE"/>
    <w:rsid w:val="1F9A55BB"/>
    <w:rsid w:val="1FDBBF84"/>
    <w:rsid w:val="20F57F95"/>
    <w:rsid w:val="240371BF"/>
    <w:rsid w:val="25711CC6"/>
    <w:rsid w:val="25C741E6"/>
    <w:rsid w:val="276F80C0"/>
    <w:rsid w:val="27842671"/>
    <w:rsid w:val="29FD04D3"/>
    <w:rsid w:val="2ABE7A3E"/>
    <w:rsid w:val="2AFF09B6"/>
    <w:rsid w:val="2CA234A8"/>
    <w:rsid w:val="2CCC2152"/>
    <w:rsid w:val="2E184774"/>
    <w:rsid w:val="2EFA178C"/>
    <w:rsid w:val="2EFDF86C"/>
    <w:rsid w:val="2F9D17E1"/>
    <w:rsid w:val="30B46D73"/>
    <w:rsid w:val="319F7F4E"/>
    <w:rsid w:val="356A28F1"/>
    <w:rsid w:val="357C035A"/>
    <w:rsid w:val="368E000D"/>
    <w:rsid w:val="383D272C"/>
    <w:rsid w:val="39AE70AB"/>
    <w:rsid w:val="3A4DCE41"/>
    <w:rsid w:val="3B4629D9"/>
    <w:rsid w:val="3BCB56FA"/>
    <w:rsid w:val="3C0C0783"/>
    <w:rsid w:val="3C634773"/>
    <w:rsid w:val="3EE7C2F4"/>
    <w:rsid w:val="3F371B56"/>
    <w:rsid w:val="3F792ED8"/>
    <w:rsid w:val="3F9F3A96"/>
    <w:rsid w:val="3FECA4B2"/>
    <w:rsid w:val="3FF58C48"/>
    <w:rsid w:val="42FF6694"/>
    <w:rsid w:val="449160E2"/>
    <w:rsid w:val="48BF60AB"/>
    <w:rsid w:val="493C27E9"/>
    <w:rsid w:val="496F39ED"/>
    <w:rsid w:val="49FF41D3"/>
    <w:rsid w:val="4ADE4968"/>
    <w:rsid w:val="4B460AC5"/>
    <w:rsid w:val="4BE068DB"/>
    <w:rsid w:val="4BF6002B"/>
    <w:rsid w:val="4BFFC6BE"/>
    <w:rsid w:val="4CCB71BF"/>
    <w:rsid w:val="4ECE2238"/>
    <w:rsid w:val="4EE9181F"/>
    <w:rsid w:val="502B33A2"/>
    <w:rsid w:val="51DB4B86"/>
    <w:rsid w:val="51F64DB0"/>
    <w:rsid w:val="55333C3E"/>
    <w:rsid w:val="561C27C1"/>
    <w:rsid w:val="569F5C1E"/>
    <w:rsid w:val="59FE7D84"/>
    <w:rsid w:val="5F67802D"/>
    <w:rsid w:val="5F7DC4F2"/>
    <w:rsid w:val="5FB36814"/>
    <w:rsid w:val="5FBB8E56"/>
    <w:rsid w:val="5FFB5535"/>
    <w:rsid w:val="648B6F56"/>
    <w:rsid w:val="64CA39A1"/>
    <w:rsid w:val="695D15F3"/>
    <w:rsid w:val="69630ADE"/>
    <w:rsid w:val="69BD5F13"/>
    <w:rsid w:val="69FB0B4B"/>
    <w:rsid w:val="6BFFE1FB"/>
    <w:rsid w:val="6C4A05C8"/>
    <w:rsid w:val="6D3B1A89"/>
    <w:rsid w:val="6DB7D8A3"/>
    <w:rsid w:val="6EC78701"/>
    <w:rsid w:val="6F7A5481"/>
    <w:rsid w:val="6FFE07A9"/>
    <w:rsid w:val="71BF4EC2"/>
    <w:rsid w:val="72390E05"/>
    <w:rsid w:val="72734D90"/>
    <w:rsid w:val="72CB429C"/>
    <w:rsid w:val="73E75B71"/>
    <w:rsid w:val="7412278C"/>
    <w:rsid w:val="74C855F9"/>
    <w:rsid w:val="759B375F"/>
    <w:rsid w:val="75DDCDA9"/>
    <w:rsid w:val="75FF44B1"/>
    <w:rsid w:val="77670518"/>
    <w:rsid w:val="777FA627"/>
    <w:rsid w:val="77B965CF"/>
    <w:rsid w:val="77BE13EB"/>
    <w:rsid w:val="77DF1B5F"/>
    <w:rsid w:val="77EF2D9D"/>
    <w:rsid w:val="79E7B28D"/>
    <w:rsid w:val="7ACFF0C2"/>
    <w:rsid w:val="7AFB9108"/>
    <w:rsid w:val="7BD5340C"/>
    <w:rsid w:val="7BFB19D2"/>
    <w:rsid w:val="7BFD1750"/>
    <w:rsid w:val="7BFDAA1B"/>
    <w:rsid w:val="7CDF9A82"/>
    <w:rsid w:val="7CFFA1BD"/>
    <w:rsid w:val="7D2C54CB"/>
    <w:rsid w:val="7D2E3F7A"/>
    <w:rsid w:val="7DED9490"/>
    <w:rsid w:val="7DFF4872"/>
    <w:rsid w:val="7E7487E6"/>
    <w:rsid w:val="7E7C2A54"/>
    <w:rsid w:val="7EEEFD72"/>
    <w:rsid w:val="7EF20A2B"/>
    <w:rsid w:val="7F1D517C"/>
    <w:rsid w:val="7F5DA057"/>
    <w:rsid w:val="7F6C2237"/>
    <w:rsid w:val="7F7F319B"/>
    <w:rsid w:val="7F8244DD"/>
    <w:rsid w:val="7F9F20EE"/>
    <w:rsid w:val="7FBBE890"/>
    <w:rsid w:val="7FBC2ABD"/>
    <w:rsid w:val="7FBF5D48"/>
    <w:rsid w:val="7FCCFC01"/>
    <w:rsid w:val="7FDD1748"/>
    <w:rsid w:val="7FE769C6"/>
    <w:rsid w:val="7FFD083E"/>
    <w:rsid w:val="7FFF9372"/>
    <w:rsid w:val="84BF1F3B"/>
    <w:rsid w:val="8F55B106"/>
    <w:rsid w:val="95DF317D"/>
    <w:rsid w:val="97E77C70"/>
    <w:rsid w:val="9E3A10E2"/>
    <w:rsid w:val="9FB91FBD"/>
    <w:rsid w:val="9FD54998"/>
    <w:rsid w:val="A671883B"/>
    <w:rsid w:val="A7EFD17F"/>
    <w:rsid w:val="A7FFE43F"/>
    <w:rsid w:val="BDFEA317"/>
    <w:rsid w:val="CD9BBABB"/>
    <w:rsid w:val="CF99F292"/>
    <w:rsid w:val="D5DA60B3"/>
    <w:rsid w:val="D7C6F579"/>
    <w:rsid w:val="D8FECA92"/>
    <w:rsid w:val="DAFFBE66"/>
    <w:rsid w:val="DD2C0BFE"/>
    <w:rsid w:val="DE3F332B"/>
    <w:rsid w:val="DE6F4A3D"/>
    <w:rsid w:val="DF69F8B0"/>
    <w:rsid w:val="DFC71555"/>
    <w:rsid w:val="DFFC559C"/>
    <w:rsid w:val="DFFEDFAE"/>
    <w:rsid w:val="DFFFB5EB"/>
    <w:rsid w:val="E4B33E57"/>
    <w:rsid w:val="E5BF946A"/>
    <w:rsid w:val="EB39BD45"/>
    <w:rsid w:val="EBCF1FC2"/>
    <w:rsid w:val="EBD18F66"/>
    <w:rsid w:val="ED17392C"/>
    <w:rsid w:val="ED9FFD9A"/>
    <w:rsid w:val="EDB7968B"/>
    <w:rsid w:val="EEF73F60"/>
    <w:rsid w:val="EFED9E42"/>
    <w:rsid w:val="EFFFB194"/>
    <w:rsid w:val="F2E1F9D4"/>
    <w:rsid w:val="F5FF7449"/>
    <w:rsid w:val="F7880819"/>
    <w:rsid w:val="F7AF180D"/>
    <w:rsid w:val="F7BDBFA7"/>
    <w:rsid w:val="F7FAD68F"/>
    <w:rsid w:val="F7FB14CF"/>
    <w:rsid w:val="FB3FC69C"/>
    <w:rsid w:val="FBDFF225"/>
    <w:rsid w:val="FBF7AB63"/>
    <w:rsid w:val="FC2F3373"/>
    <w:rsid w:val="FCF51535"/>
    <w:rsid w:val="FD77F6B8"/>
    <w:rsid w:val="FDD69328"/>
    <w:rsid w:val="FDDFEC0E"/>
    <w:rsid w:val="FDE58BDD"/>
    <w:rsid w:val="FDEC7001"/>
    <w:rsid w:val="FEDFE87F"/>
    <w:rsid w:val="FEF1D25B"/>
    <w:rsid w:val="FF3EF90F"/>
    <w:rsid w:val="FFAF6081"/>
    <w:rsid w:val="FFECCD8C"/>
    <w:rsid w:val="FFED60BD"/>
    <w:rsid w:val="FFEE08F0"/>
    <w:rsid w:val="FFEE7F9F"/>
    <w:rsid w:val="FFFF31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6">
    <w:name w:val="Body Text"/>
    <w:basedOn w:val="1"/>
    <w:link w:val="26"/>
    <w:qFormat/>
    <w:uiPriority w:val="99"/>
    <w:pPr>
      <w:spacing w:beforeLines="30"/>
    </w:pPr>
    <w:rPr>
      <w:rFonts w:ascii="仿宋_GB2312" w:eastAsia="仿宋_GB2312"/>
      <w:kern w:val="0"/>
      <w:sz w:val="30"/>
    </w:rPr>
  </w:style>
  <w:style w:type="paragraph" w:styleId="7">
    <w:name w:val="Body Text Indent"/>
    <w:basedOn w:val="1"/>
    <w:qFormat/>
    <w:uiPriority w:val="0"/>
    <w:pPr>
      <w:spacing w:after="120"/>
      <w:ind w:left="200" w:leftChars="200"/>
    </w:pPr>
    <w:rPr>
      <w:rFonts w:ascii="仿宋_GB2312"/>
      <w:szCs w:val="32"/>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2"/>
    <w:semiHidden/>
    <w:unhideWhenUsed/>
    <w:qFormat/>
    <w:uiPriority w:val="99"/>
    <w:rPr>
      <w:sz w:val="18"/>
      <w:szCs w:val="18"/>
    </w:rPr>
  </w:style>
  <w:style w:type="paragraph" w:styleId="10">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paragraph" w:styleId="14">
    <w:name w:val="Normal (Web)"/>
    <w:basedOn w:val="1"/>
    <w:unhideWhenUsed/>
    <w:qFormat/>
    <w:uiPriority w:val="99"/>
    <w:rPr>
      <w:sz w:val="24"/>
    </w:rPr>
  </w:style>
  <w:style w:type="paragraph" w:styleId="15">
    <w:name w:val="Body Text First Indent 2"/>
    <w:basedOn w:val="7"/>
    <w:next w:val="6"/>
    <w:unhideWhenUsed/>
    <w:qFormat/>
    <w:uiPriority w:val="99"/>
    <w:pPr>
      <w:ind w:firstLine="420" w:firstLine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paragraph" w:customStyle="1" w:styleId="20">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1">
    <w:name w:val="Header Char"/>
    <w:basedOn w:val="17"/>
    <w:semiHidden/>
    <w:qFormat/>
    <w:uiPriority w:val="99"/>
    <w:rPr>
      <w:rFonts w:ascii="Times New Roman" w:hAnsi="Times New Roman"/>
      <w:sz w:val="18"/>
      <w:szCs w:val="18"/>
    </w:rPr>
  </w:style>
  <w:style w:type="character" w:customStyle="1" w:styleId="22">
    <w:name w:val="页眉 字符"/>
    <w:link w:val="11"/>
    <w:semiHidden/>
    <w:qFormat/>
    <w:locked/>
    <w:uiPriority w:val="99"/>
    <w:rPr>
      <w:sz w:val="18"/>
    </w:rPr>
  </w:style>
  <w:style w:type="character" w:customStyle="1" w:styleId="23">
    <w:name w:val="Footer Char"/>
    <w:basedOn w:val="17"/>
    <w:semiHidden/>
    <w:qFormat/>
    <w:uiPriority w:val="99"/>
    <w:rPr>
      <w:rFonts w:ascii="Times New Roman" w:hAnsi="Times New Roman"/>
      <w:sz w:val="18"/>
      <w:szCs w:val="18"/>
    </w:rPr>
  </w:style>
  <w:style w:type="character" w:customStyle="1" w:styleId="24">
    <w:name w:val="页脚 字符"/>
    <w:link w:val="10"/>
    <w:qFormat/>
    <w:locked/>
    <w:uiPriority w:val="99"/>
    <w:rPr>
      <w:sz w:val="18"/>
    </w:rPr>
  </w:style>
  <w:style w:type="character" w:customStyle="1" w:styleId="25">
    <w:name w:val="Body Text Char"/>
    <w:basedOn w:val="17"/>
    <w:semiHidden/>
    <w:qFormat/>
    <w:uiPriority w:val="99"/>
    <w:rPr>
      <w:rFonts w:ascii="Times New Roman" w:hAnsi="Times New Roman"/>
      <w:szCs w:val="24"/>
    </w:rPr>
  </w:style>
  <w:style w:type="character" w:customStyle="1" w:styleId="26">
    <w:name w:val="正文文本 字符"/>
    <w:link w:val="6"/>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字符"/>
    <w:basedOn w:val="17"/>
    <w:link w:val="2"/>
    <w:qFormat/>
    <w:uiPriority w:val="9"/>
    <w:rPr>
      <w:rFonts w:ascii="Times New Roman" w:hAnsi="Times New Roman"/>
      <w:b/>
      <w:bCs/>
      <w:kern w:val="44"/>
      <w:sz w:val="44"/>
      <w:szCs w:val="44"/>
    </w:rPr>
  </w:style>
  <w:style w:type="character" w:customStyle="1" w:styleId="30">
    <w:name w:val="标题 2 字符"/>
    <w:basedOn w:val="17"/>
    <w:link w:val="3"/>
    <w:qFormat/>
    <w:uiPriority w:val="9"/>
    <w:rPr>
      <w:rFonts w:asciiTheme="majorHAnsi" w:hAnsiTheme="majorHAnsi" w:eastAsiaTheme="majorEastAsia" w:cstheme="majorBidi"/>
      <w:b/>
      <w:bCs/>
      <w:kern w:val="2"/>
      <w:sz w:val="32"/>
      <w:szCs w:val="32"/>
    </w:rPr>
  </w:style>
  <w:style w:type="paragraph" w:customStyle="1" w:styleId="31">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字符"/>
    <w:basedOn w:val="17"/>
    <w:link w:val="9"/>
    <w:semiHidden/>
    <w:qFormat/>
    <w:uiPriority w:val="99"/>
    <w:rPr>
      <w:rFonts w:ascii="Times New Roman" w:hAnsi="Times New Roman"/>
      <w:kern w:val="2"/>
      <w:sz w:val="18"/>
      <w:szCs w:val="18"/>
    </w:rPr>
  </w:style>
  <w:style w:type="character" w:customStyle="1" w:styleId="33">
    <w:name w:val="标题 3 字符"/>
    <w:basedOn w:val="17"/>
    <w:link w:val="4"/>
    <w:qFormat/>
    <w:uiPriority w:val="9"/>
    <w:rPr>
      <w:rFonts w:ascii="Times New Roman" w:hAnsi="Times New Roman"/>
      <w:b/>
      <w:bCs/>
      <w:kern w:val="2"/>
      <w:sz w:val="32"/>
      <w:szCs w:val="32"/>
    </w:rPr>
  </w:style>
  <w:style w:type="paragraph" w:customStyle="1" w:styleId="34">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24037;&#20316;&#31807;1"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24037;&#20316;&#31807;1"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24037;&#20316;&#31807;1"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24037;&#20316;&#31807;1"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24037;&#20316;&#31807;1"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24037;&#20316;&#31807;1"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file:///C:\Users\Administrator\Desktop\&#24037;&#20316;&#31807;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收、支决算总计变动情况图</a:t>
            </a:r>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[工作簿1]Sheet1!$A$1:$B$1</c:f>
              <c:strCache>
                <c:ptCount val="2"/>
                <c:pt idx="0">
                  <c:v>2022年度收支总计</c:v>
                </c:pt>
                <c:pt idx="1">
                  <c:v>2023年度收支总计</c:v>
                </c:pt>
              </c:strCache>
            </c:strRef>
          </c:cat>
          <c:val>
            <c:numRef>
              <c:f>[工作簿1]Sheet1!$A$2:$B$2</c:f>
              <c:numCache>
                <c:formatCode>General</c:formatCode>
                <c:ptCount val="2"/>
                <c:pt idx="0">
                  <c:v>0</c:v>
                </c:pt>
                <c:pt idx="1">
                  <c:v>166.41</c:v>
                </c:pt>
              </c:numCache>
            </c:numRef>
          </c:val>
        </c:ser>
        <c:dLbls>
          <c:showLegendKey val="0"/>
          <c:showVal val="1"/>
          <c:showCatName val="0"/>
          <c:showSerName val="0"/>
          <c:showPercent val="0"/>
          <c:showBubbleSize val="0"/>
        </c:dLbls>
        <c:gapWidth val="246"/>
        <c:overlap val="-28"/>
        <c:axId val="330100545"/>
        <c:axId val="33328112"/>
      </c:barChart>
      <c:catAx>
        <c:axId val="330100545"/>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3328112"/>
        <c:crosses val="autoZero"/>
        <c:auto val="1"/>
        <c:lblAlgn val="ctr"/>
        <c:lblOffset val="100"/>
        <c:noMultiLvlLbl val="0"/>
      </c:catAx>
      <c:valAx>
        <c:axId val="33328112"/>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30100545"/>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收入决算结构图</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manualLayout>
                  <c:x val="0.0063607426949709"/>
                  <c:y val="-0.00489860585750348"/>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200684005307426"/>
                  <c:y val="-0.00489845502423184"/>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[工作簿1]Sheet2!$A$1:$B$1</c:f>
              <c:strCache>
                <c:ptCount val="2"/>
                <c:pt idx="0">
                  <c:v>收入合计</c:v>
                </c:pt>
                <c:pt idx="1">
                  <c:v>一般公共预算财政拨款收入</c:v>
                </c:pt>
              </c:strCache>
            </c:strRef>
          </c:cat>
          <c:val>
            <c:numRef>
              <c:f>[工作簿1]Sheet2!$A$2:$B$2</c:f>
              <c:numCache>
                <c:formatCode>0%</c:formatCode>
                <c:ptCount val="2"/>
                <c:pt idx="0">
                  <c:v>1</c:v>
                </c:pt>
                <c:pt idx="1">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支出决算结构图</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manualLayout>
                  <c:x val="0.0063607426949709"/>
                  <c:y val="-0.00489860585750348"/>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200684005307426"/>
                  <c:y val="-0.00489845502423184"/>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[工作簿1]Sheet2!$A$1:$B$1</c:f>
              <c:strCache>
                <c:ptCount val="2"/>
                <c:pt idx="0">
                  <c:v>支出合计</c:v>
                </c:pt>
                <c:pt idx="1">
                  <c:v>基本支出</c:v>
                </c:pt>
              </c:strCache>
            </c:strRef>
          </c:cat>
          <c:val>
            <c:numRef>
              <c:f>[工作簿1]Sheet2!$A$2:$B$2</c:f>
              <c:numCache>
                <c:formatCode>0%</c:formatCode>
                <c:ptCount val="2"/>
                <c:pt idx="0">
                  <c:v>1</c:v>
                </c:pt>
                <c:pt idx="1">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财政拨款收、支决算总计变动情况</a:t>
            </a:r>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[工作簿1]Sheet1!$A$1:$B$1</c:f>
              <c:strCache>
                <c:ptCount val="2"/>
                <c:pt idx="0">
                  <c:v>2022年度财政拨款收、支总计</c:v>
                </c:pt>
                <c:pt idx="1">
                  <c:v>2023年度财政拨款收、支总计</c:v>
                </c:pt>
              </c:strCache>
            </c:strRef>
          </c:cat>
          <c:val>
            <c:numRef>
              <c:f>[工作簿1]Sheet1!$A$2:$B$2</c:f>
              <c:numCache>
                <c:formatCode>General</c:formatCode>
                <c:ptCount val="2"/>
                <c:pt idx="0">
                  <c:v>0</c:v>
                </c:pt>
                <c:pt idx="1">
                  <c:v>166.41</c:v>
                </c:pt>
              </c:numCache>
            </c:numRef>
          </c:val>
        </c:ser>
        <c:dLbls>
          <c:showLegendKey val="0"/>
          <c:showVal val="1"/>
          <c:showCatName val="0"/>
          <c:showSerName val="0"/>
          <c:showPercent val="0"/>
          <c:showBubbleSize val="0"/>
        </c:dLbls>
        <c:gapWidth val="246"/>
        <c:overlap val="-28"/>
        <c:axId val="330100545"/>
        <c:axId val="33328112"/>
      </c:barChart>
      <c:catAx>
        <c:axId val="330100545"/>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3328112"/>
        <c:crosses val="autoZero"/>
        <c:auto val="1"/>
        <c:lblAlgn val="ctr"/>
        <c:lblOffset val="100"/>
        <c:noMultiLvlLbl val="0"/>
      </c:catAx>
      <c:valAx>
        <c:axId val="33328112"/>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30100545"/>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一般公共预算财政拨款支出决算变动情况</a:t>
            </a:r>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[工作簿1]Sheet1!$A$1:$B$1</c:f>
              <c:strCache>
                <c:ptCount val="2"/>
                <c:pt idx="0">
                  <c:v>2022年度一般公共预算财政拨款支出</c:v>
                </c:pt>
                <c:pt idx="1">
                  <c:v>2023年度一般公共预算财政拨款支出</c:v>
                </c:pt>
              </c:strCache>
            </c:strRef>
          </c:cat>
          <c:val>
            <c:numRef>
              <c:f>[工作簿1]Sheet1!$A$2:$B$2</c:f>
              <c:numCache>
                <c:formatCode>General</c:formatCode>
                <c:ptCount val="2"/>
                <c:pt idx="0">
                  <c:v>0</c:v>
                </c:pt>
                <c:pt idx="1">
                  <c:v>166.41</c:v>
                </c:pt>
              </c:numCache>
            </c:numRef>
          </c:val>
        </c:ser>
        <c:dLbls>
          <c:showLegendKey val="0"/>
          <c:showVal val="1"/>
          <c:showCatName val="0"/>
          <c:showSerName val="0"/>
          <c:showPercent val="0"/>
          <c:showBubbleSize val="0"/>
        </c:dLbls>
        <c:gapWidth val="246"/>
        <c:overlap val="-28"/>
        <c:axId val="330100545"/>
        <c:axId val="33328112"/>
      </c:barChart>
      <c:catAx>
        <c:axId val="330100545"/>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3328112"/>
        <c:crosses val="autoZero"/>
        <c:auto val="1"/>
        <c:lblAlgn val="ctr"/>
        <c:lblOffset val="100"/>
        <c:noMultiLvlLbl val="0"/>
      </c:catAx>
      <c:valAx>
        <c:axId val="33328112"/>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30100545"/>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一般公共预算财政拨款支出决算结构</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dLbl>
              <c:idx val="0"/>
              <c:layout>
                <c:manualLayout>
                  <c:x val="0.0218010359001753"/>
                  <c:y val="0.0171997785597747"/>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394789290145842"/>
                  <c:y val="-0.10340417792522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[工作簿1]Sheet3!$A$1:$D$1</c:f>
              <c:strCache>
                <c:ptCount val="4"/>
                <c:pt idx="0">
                  <c:v>社会保障和就业支出</c:v>
                </c:pt>
                <c:pt idx="1">
                  <c:v>卫生健康支出</c:v>
                </c:pt>
                <c:pt idx="2">
                  <c:v>住房保障支出</c:v>
                </c:pt>
                <c:pt idx="3">
                  <c:v>资源勘探工业信息等支出</c:v>
                </c:pt>
              </c:strCache>
            </c:strRef>
          </c:cat>
          <c:val>
            <c:numRef>
              <c:f>[工作簿1]Sheet3!$A$2:$D$2</c:f>
              <c:numCache>
                <c:formatCode>0%</c:formatCode>
                <c:ptCount val="4"/>
                <c:pt idx="0">
                  <c:v>0.15</c:v>
                </c:pt>
                <c:pt idx="1" c:formatCode="0.00%">
                  <c:v>0.0305</c:v>
                </c:pt>
                <c:pt idx="2" c:formatCode="0.00%">
                  <c:v>0.075</c:v>
                </c:pt>
                <c:pt idx="3" c:formatCode="0.00%">
                  <c:v>0.7445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“三公”经费财政拨款支出结构</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dLbl>
              <c:idx val="1"/>
              <c:layout>
                <c:manualLayout>
                  <c:x val="0.131868964996125"/>
                  <c:y val="-0.0655739953169787"/>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[工作簿1.xlsx]Sheet4!$A$1:$C$1</c:f>
              <c:strCache>
                <c:ptCount val="3"/>
                <c:pt idx="0">
                  <c:v>因公出国（境）费支出决算</c:v>
                </c:pt>
                <c:pt idx="1">
                  <c:v>公务用车购置及运行维护费支出决算</c:v>
                </c:pt>
                <c:pt idx="2">
                  <c:v>公务接待费支出决算</c:v>
                </c:pt>
              </c:strCache>
            </c:strRef>
          </c:cat>
          <c:val>
            <c:numRef>
              <c:f>[工作簿1.xlsx]Sheet4!$A$2:$C$2</c:f>
              <c:numCache>
                <c:formatCode>0%</c:formatCode>
                <c:ptCount val="3"/>
                <c:pt idx="0">
                  <c:v>0</c:v>
                </c:pt>
                <c:pt idx="1">
                  <c:v>1</c:v>
                </c:pt>
                <c:pt idx="2">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17</Pages>
  <Words>4627</Words>
  <Characters>4975</Characters>
  <Lines>54</Lines>
  <Paragraphs>15</Paragraphs>
  <TotalTime>2</TotalTime>
  <ScaleCrop>false</ScaleCrop>
  <LinksUpToDate>false</LinksUpToDate>
  <CharactersWithSpaces>5036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2020-08-08T01:49:00Z</dcterms:created>
  <dc:creator>曹颖</dc:creator>
  <cp:lastModifiedBy>蘑菇菇</cp:lastModifiedBy>
  <cp:lastPrinted>2023-08-03T02:35:00Z</cp:lastPrinted>
  <dcterms:modified xsi:type="dcterms:W3CDTF">2024-10-28T07:14:42Z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349BD80E021E44EC93FFC7F1D68D0A50_13</vt:lpwstr>
  </property>
</Properties>
</file>