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5"/>
        <w:spacing w:before="93"/>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24426"/>
      <w:bookmarkStart w:id="2" w:name="_Toc15396475"/>
      <w:bookmarkStart w:id="3" w:name="_Toc485"/>
      <w:bookmarkStart w:id="4" w:name="_Toc26505"/>
      <w:bookmarkStart w:id="5" w:name="_Toc15377425"/>
      <w:bookmarkStart w:id="6" w:name="_Toc15396597"/>
      <w:bookmarkStart w:id="7" w:name="_Toc15377193"/>
      <w:bookmarkStart w:id="8" w:name="_Toc15378441"/>
      <w:bookmarkStart w:id="9" w:name="_Toc13796"/>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bookmarkEnd w:id="9"/>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247"/>
      <w:bookmarkStart w:id="11" w:name="_Toc25318"/>
      <w:bookmarkStart w:id="12" w:name="_Toc14958"/>
      <w:bookmarkStart w:id="13" w:name="_Toc15377426"/>
      <w:bookmarkStart w:id="14" w:name="_Toc15396598"/>
      <w:bookmarkStart w:id="15" w:name="_Toc15396476"/>
      <w:bookmarkStart w:id="16" w:name="_Toc15378442"/>
      <w:bookmarkStart w:id="17" w:name="_Toc15377194"/>
      <w:bookmarkStart w:id="18" w:name="_Toc17153"/>
      <w:r>
        <w:rPr>
          <w:rFonts w:hint="eastAsia" w:ascii="方正小标宋简体" w:hAnsi="方正小标宋简体" w:eastAsia="方正小标宋简体" w:cs="方正小标宋简体"/>
          <w:sz w:val="72"/>
          <w:szCs w:val="72"/>
        </w:rPr>
        <w:t>四川省</w:t>
      </w:r>
      <w:bookmarkEnd w:id="0"/>
      <w:bookmarkStart w:id="19" w:name="_Toc15306268"/>
      <w:r>
        <w:rPr>
          <w:rFonts w:hint="eastAsia" w:ascii="方正小标宋简体" w:hAnsi="方正小标宋简体" w:eastAsia="方正小标宋简体" w:cs="方正小标宋简体"/>
          <w:sz w:val="72"/>
          <w:szCs w:val="72"/>
        </w:rPr>
        <w:t>乐山冠英新区开发建设服务中心单位决算</w:t>
      </w:r>
      <w:bookmarkEnd w:id="10"/>
      <w:bookmarkEnd w:id="11"/>
      <w:bookmarkEnd w:id="12"/>
      <w:bookmarkEnd w:id="13"/>
      <w:bookmarkEnd w:id="14"/>
      <w:bookmarkEnd w:id="15"/>
      <w:bookmarkEnd w:id="16"/>
      <w:bookmarkEnd w:id="17"/>
      <w:bookmarkEnd w:id="18"/>
      <w:bookmarkEnd w:id="19"/>
    </w:p>
    <w:p>
      <w:pPr>
        <w:pStyle w:val="12"/>
        <w:rPr>
          <w:rFonts w:hint="eastAsia"/>
        </w:rPr>
      </w:pPr>
      <w:r>
        <w:rPr>
          <w:rFonts w:ascii="方正小标宋简体" w:hAnsi="宋体" w:eastAsia="方正小标宋简体"/>
          <w:sz w:val="36"/>
          <w:szCs w:val="36"/>
        </w:rPr>
        <w:br w:type="page"/>
      </w:r>
    </w:p>
    <w:p>
      <w:pPr>
        <w:rPr>
          <w:rFonts w:ascii="Times New Roman" w:hAnsi="Times New Roman" w:eastAsia="宋体" w:cs="Times New Roman"/>
          <w:b/>
          <w:kern w:val="2"/>
          <w:sz w:val="21"/>
          <w:szCs w:val="24"/>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hint="eastAsia" w:ascii="黑体" w:hAnsi="黑体" w:eastAsia="黑体"/>
          <w:sz w:val="48"/>
          <w:szCs w:val="48"/>
          <w:lang w:val="en-US" w:eastAsia="zh-CN"/>
        </w:rPr>
      </w:pPr>
      <w:r>
        <w:rPr>
          <w:rFonts w:hint="eastAsia" w:ascii="黑体" w:hAnsi="黑体" w:eastAsia="黑体"/>
          <w:sz w:val="48"/>
          <w:szCs w:val="48"/>
          <w:lang w:val="en-US" w:eastAsia="zh-CN"/>
        </w:rPr>
        <w:t>目录</w:t>
      </w:r>
      <w:bookmarkStart w:id="230" w:name="_GoBack"/>
      <w:bookmarkEnd w:id="230"/>
    </w:p>
    <w:p>
      <w:pPr>
        <w:pStyle w:val="12"/>
        <w:rPr>
          <w:rStyle w:val="29"/>
          <w:rFonts w:hint="eastAsia" w:ascii="仿宋" w:hAnsi="仿宋" w:eastAsia="仿宋" w:cs="仿宋"/>
          <w:b w:val="0"/>
          <w:bCs w:val="0"/>
          <w:lang w:val="en-US" w:eastAsia="zh-CN" w:bidi="ar-SA"/>
        </w:rPr>
      </w:pPr>
      <w:r>
        <w:rPr>
          <w:rFonts w:hint="eastAsia" w:ascii="仿宋_GB2312" w:hAnsi="仿宋_GB2312" w:eastAsia="仿宋_GB2312" w:cs="仿宋_GB2312"/>
          <w:kern w:val="2"/>
          <w:sz w:val="32"/>
          <w:szCs w:val="32"/>
          <w:lang w:val="en-US" w:eastAsia="zh-CN" w:bidi="ar-SA"/>
        </w:rPr>
        <w:t>公开时间：2024年10月25日</w:t>
      </w:r>
    </w:p>
    <w:sdt>
      <w:sdtPr>
        <w:rPr>
          <w:rStyle w:val="29"/>
          <w:rFonts w:hint="eastAsia" w:ascii="仿宋" w:hAnsi="仿宋" w:eastAsia="仿宋" w:cs="仿宋"/>
          <w:b w:val="0"/>
          <w:bCs w:val="0"/>
          <w:lang w:val="en-US" w:eastAsia="zh-CN" w:bidi="ar-SA"/>
        </w:rPr>
        <w:id w:val="147476444"/>
        <w15:color w:val="DBDBDB"/>
        <w:docPartObj>
          <w:docPartGallery w:val="Table of Contents"/>
          <w:docPartUnique/>
        </w:docPartObj>
      </w:sdtPr>
      <w:sdtEndPr>
        <w:rPr>
          <w:rStyle w:val="29"/>
          <w:rFonts w:hint="eastAsia" w:ascii="仿宋" w:hAnsi="仿宋" w:eastAsia="仿宋" w:cs="仿宋"/>
          <w:b w:val="0"/>
          <w:bCs w:val="0"/>
          <w:lang w:val="en-US" w:eastAsia="zh-CN" w:bidi="ar-SA"/>
        </w:rPr>
      </w:sdtEndPr>
      <w:sdtContent>
        <w:p>
          <w:pPr>
            <w:pStyle w:val="34"/>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TOC \o "1-2" \h \u </w:instrText>
          </w:r>
          <w:r>
            <w:rPr>
              <w:rStyle w:val="29"/>
              <w:rFonts w:hint="eastAsia" w:ascii="仿宋" w:hAnsi="仿宋" w:eastAsia="仿宋" w:cs="仿宋"/>
              <w:b w:val="0"/>
              <w:bCs w:val="0"/>
              <w:lang w:val="en-US" w:eastAsia="zh-CN" w:bidi="ar-SA"/>
            </w:rPr>
            <w:fldChar w:fldCharType="separate"/>
          </w:r>
        </w:p>
        <w:p>
          <w:pPr>
            <w:pStyle w:val="34"/>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_Toc14785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第一部分 单位概况</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t>1</w:t>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_Toc15650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一、主要职责</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t>1</w:t>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_Toc18504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二、机构设置</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t>2</w:t>
          </w:r>
          <w:r>
            <w:rPr>
              <w:rStyle w:val="29"/>
              <w:rFonts w:hint="eastAsia" w:ascii="仿宋" w:hAnsi="仿宋" w:eastAsia="仿宋" w:cs="仿宋"/>
              <w:b w:val="0"/>
              <w:bCs w:val="0"/>
              <w:lang w:val="en-US" w:eastAsia="zh-CN" w:bidi="ar-SA"/>
            </w:rPr>
            <w:fldChar w:fldCharType="end"/>
          </w:r>
        </w:p>
        <w:p>
          <w:pPr>
            <w:pStyle w:val="34"/>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_Toc27917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第二部分 2023年度单位决算情况说明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t>3</w:t>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_Toc13606 </w:instrText>
          </w:r>
          <w:r>
            <w:rPr>
              <w:rStyle w:val="29"/>
              <w:rFonts w:hint="eastAsia" w:ascii="仿宋" w:hAnsi="仿宋" w:eastAsia="仿宋" w:cs="仿宋"/>
              <w:b w:val="0"/>
              <w:bCs w:val="0"/>
              <w:lang w:val="en-US" w:eastAsia="zh-CN" w:bidi="ar-SA"/>
            </w:rPr>
            <w:fldChar w:fldCharType="separate"/>
          </w:r>
          <w:r>
            <w:rPr>
              <w:rStyle w:val="29"/>
              <w:rFonts w:hint="default" w:ascii="仿宋" w:hAnsi="仿宋" w:eastAsia="仿宋" w:cs="仿宋"/>
              <w:b w:val="0"/>
              <w:bCs w:val="0"/>
              <w:lang w:val="en-US" w:eastAsia="zh-CN" w:bidi="ar-SA"/>
            </w:rPr>
            <w:t xml:space="preserve">一、 </w:t>
          </w:r>
          <w:r>
            <w:rPr>
              <w:rStyle w:val="29"/>
              <w:rFonts w:hint="eastAsia" w:ascii="仿宋" w:hAnsi="仿宋" w:eastAsia="仿宋" w:cs="仿宋"/>
              <w:b w:val="0"/>
              <w:bCs w:val="0"/>
              <w:lang w:val="en-US" w:eastAsia="zh-CN" w:bidi="ar-SA"/>
            </w:rPr>
            <w:t>收入支出决算总体情况说明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t>3</w:t>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_Toc10257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二、收入决算情况说明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_Toc10257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3</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_Toc3735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三、支出决算情况说明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_Toc3735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4</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_Toc21438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四、财政拨款收入支出决算总体情况说明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_Toc21438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4</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_Toc2072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五、一般公共预算财政拨款支出决算情况说明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_Toc2072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_Toc3755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六、一般公共预算财政拨款基本支出决算情况说明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_Toc3755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8</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_Toc20323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七、财政拨款“三公”经费支出决算情况说明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_Toc20323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8</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_Toc5988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八、政府性基金预算支出决算情况说明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_Toc5988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9</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_Toc26706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九、国有资本经营预算支出决算情况说明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_Toc26706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9</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_Toc25708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十、其他重要事项的情况说明</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_Toc25708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9</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4"/>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_Toc9826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第三部分 名词解释</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_Toc9826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11</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4"/>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_Toc26279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第四部分 附件</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_Toc26279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13</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4"/>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_Toc17095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第五部分 附表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_Toc17095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_Toc1402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一、收入支出决算总表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_Toc1402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_Toc13768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二、收入决算表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_Toc13768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_Toc25435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三、支出决算表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_Toc25435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_Toc26650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四、财政拨款收入支出决算总表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_Toc26650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_Toc5800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五、财政拨款支出决算明细表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_Toc5800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_Toc25874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六、一般公共预算财政拨款支出决算表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_Toc25874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_Toc31302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七、一般公共预算财政拨款支出决算明细表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_Toc31302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_Toc19773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八、一般公共预算财政拨款基本支出决算表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_Toc19773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_Toc8398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九、一般公共预算财政拨款项目支出决算表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_Toc8398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_Toc29737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十、政府性基金预算财政拨款收入支出决算表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_Toc29737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_Toc13728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十一、国有资本经营预算财政拨款收入支出决算表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_Toc13728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_Toc3479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十二、国有资本经营预算财政拨款支出决算表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_Toc3479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pStyle w:val="35"/>
            <w:tabs>
              <w:tab w:val="right" w:leader="dot" w:pos="8306"/>
            </w:tabs>
            <w:rPr>
              <w:rStyle w:val="29"/>
              <w:rFonts w:hint="eastAsia" w:ascii="仿宋" w:hAnsi="仿宋" w:eastAsia="仿宋" w:cs="仿宋"/>
              <w:b w:val="0"/>
              <w:bCs w:val="0"/>
              <w:lang w:val="en-US" w:eastAsia="zh-CN" w:bidi="ar-SA"/>
            </w:rPr>
          </w:pP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HYPERLINK \l _Toc975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十三、财政拨款“三公”经费支出决算表</w:t>
          </w:r>
          <w:r>
            <w:rPr>
              <w:rStyle w:val="29"/>
              <w:rFonts w:hint="eastAsia" w:ascii="仿宋" w:hAnsi="仿宋" w:eastAsia="仿宋" w:cs="仿宋"/>
              <w:b w:val="0"/>
              <w:bCs w:val="0"/>
              <w:lang w:val="en-US" w:eastAsia="zh-CN" w:bidi="ar-SA"/>
            </w:rPr>
            <w:tab/>
          </w:r>
          <w:r>
            <w:rPr>
              <w:rStyle w:val="29"/>
              <w:rFonts w:hint="eastAsia" w:ascii="仿宋" w:hAnsi="仿宋" w:eastAsia="仿宋" w:cs="仿宋"/>
              <w:b w:val="0"/>
              <w:bCs w:val="0"/>
              <w:lang w:val="en-US" w:eastAsia="zh-CN" w:bidi="ar-SA"/>
            </w:rPr>
            <w:fldChar w:fldCharType="begin"/>
          </w:r>
          <w:r>
            <w:rPr>
              <w:rStyle w:val="29"/>
              <w:rFonts w:hint="eastAsia" w:ascii="仿宋" w:hAnsi="仿宋" w:eastAsia="仿宋" w:cs="仿宋"/>
              <w:b w:val="0"/>
              <w:bCs w:val="0"/>
              <w:lang w:val="en-US" w:eastAsia="zh-CN" w:bidi="ar-SA"/>
            </w:rPr>
            <w:instrText xml:space="preserve"> PAGEREF _Toc975 \h </w:instrText>
          </w:r>
          <w:r>
            <w:rPr>
              <w:rStyle w:val="29"/>
              <w:rFonts w:hint="eastAsia" w:ascii="仿宋" w:hAnsi="仿宋" w:eastAsia="仿宋" w:cs="仿宋"/>
              <w:b w:val="0"/>
              <w:bCs w:val="0"/>
              <w:lang w:val="en-US" w:eastAsia="zh-CN" w:bidi="ar-SA"/>
            </w:rPr>
            <w:fldChar w:fldCharType="separate"/>
          </w:r>
          <w:r>
            <w:rPr>
              <w:rStyle w:val="29"/>
              <w:rFonts w:hint="eastAsia" w:ascii="仿宋" w:hAnsi="仿宋" w:eastAsia="仿宋" w:cs="仿宋"/>
              <w:b w:val="0"/>
              <w:bCs w:val="0"/>
              <w:lang w:val="en-US" w:eastAsia="zh-CN" w:bidi="ar-SA"/>
            </w:rPr>
            <w:t>25</w:t>
          </w:r>
          <w:r>
            <w:rPr>
              <w:rStyle w:val="29"/>
              <w:rFonts w:hint="eastAsia" w:ascii="仿宋" w:hAnsi="仿宋" w:eastAsia="仿宋" w:cs="仿宋"/>
              <w:b w:val="0"/>
              <w:bCs w:val="0"/>
              <w:lang w:val="en-US" w:eastAsia="zh-CN" w:bidi="ar-SA"/>
            </w:rPr>
            <w:fldChar w:fldCharType="end"/>
          </w:r>
          <w:r>
            <w:rPr>
              <w:rStyle w:val="29"/>
              <w:rFonts w:hint="eastAsia" w:ascii="仿宋" w:hAnsi="仿宋" w:eastAsia="仿宋" w:cs="仿宋"/>
              <w:b w:val="0"/>
              <w:bCs w:val="0"/>
              <w:lang w:val="en-US" w:eastAsia="zh-CN" w:bidi="ar-SA"/>
            </w:rPr>
            <w:fldChar w:fldCharType="end"/>
          </w:r>
        </w:p>
        <w:p>
          <w:pPr>
            <w:rPr>
              <w:rStyle w:val="29"/>
              <w:rFonts w:hint="eastAsia" w:ascii="仿宋" w:hAnsi="仿宋" w:eastAsia="仿宋" w:cs="仿宋"/>
              <w:b w:val="0"/>
              <w:bCs w:val="0"/>
              <w:lang w:val="en-US" w:eastAsia="zh-CN" w:bidi="ar-SA"/>
            </w:rPr>
            <w:sectPr>
              <w:pgSz w:w="11906" w:h="16838"/>
              <w:pgMar w:top="1440" w:right="1800" w:bottom="1440" w:left="1800" w:header="851" w:footer="992" w:gutter="0"/>
              <w:pgNumType w:start="1"/>
              <w:cols w:space="425" w:num="1"/>
              <w:titlePg/>
              <w:docGrid w:type="lines" w:linePitch="312" w:charSpace="0"/>
            </w:sectPr>
          </w:pPr>
          <w:r>
            <w:rPr>
              <w:rStyle w:val="29"/>
              <w:rFonts w:hint="eastAsia" w:ascii="仿宋" w:hAnsi="仿宋" w:eastAsia="仿宋" w:cs="仿宋"/>
              <w:b w:val="0"/>
              <w:bCs w:val="0"/>
              <w:lang w:val="en-US" w:eastAsia="zh-CN" w:bidi="ar-SA"/>
            </w:rPr>
            <w:fldChar w:fldCharType="end"/>
          </w:r>
        </w:p>
      </w:sdtContent>
    </w:sdt>
    <w:p>
      <w:pPr>
        <w:rPr>
          <w:b/>
        </w:rPr>
      </w:pPr>
    </w:p>
    <w:p>
      <w:pPr>
        <w:pStyle w:val="2"/>
        <w:jc w:val="center"/>
        <w:rPr>
          <w:rStyle w:val="28"/>
          <w:rFonts w:ascii="黑体" w:hAnsi="黑体" w:eastAsia="黑体"/>
          <w:b/>
          <w:bCs w:val="0"/>
        </w:rPr>
      </w:pPr>
      <w:bookmarkStart w:id="20" w:name="_Toc9486"/>
      <w:bookmarkStart w:id="21" w:name="_Toc14785"/>
      <w:r>
        <w:rPr>
          <w:rFonts w:hint="eastAsia" w:ascii="黑体" w:hAnsi="黑体" w:eastAsia="黑体"/>
          <w:b w:val="0"/>
        </w:rPr>
        <w:t>第一部分 单位</w:t>
      </w:r>
      <w:r>
        <w:rPr>
          <w:rStyle w:val="28"/>
          <w:rFonts w:hint="eastAsia" w:ascii="黑体" w:hAnsi="黑体" w:eastAsia="黑体"/>
          <w:b w:val="0"/>
          <w:bCs w:val="0"/>
        </w:rPr>
        <w:t>概况</w:t>
      </w:r>
      <w:bookmarkEnd w:id="20"/>
      <w:bookmarkEnd w:id="21"/>
    </w:p>
    <w:p>
      <w:pPr>
        <w:widowControl/>
        <w:jc w:val="left"/>
        <w:rPr>
          <w:rFonts w:ascii="黑体" w:eastAsia="黑体"/>
          <w:sz w:val="32"/>
          <w:szCs w:val="32"/>
        </w:rPr>
      </w:pPr>
    </w:p>
    <w:p>
      <w:pPr>
        <w:pStyle w:val="3"/>
        <w:numPr>
          <w:ilvl w:val="0"/>
          <w:numId w:val="0"/>
        </w:numPr>
        <w:rPr>
          <w:rStyle w:val="29"/>
          <w:rFonts w:ascii="黑体" w:hAnsi="黑体" w:eastAsia="黑体"/>
          <w:b w:val="0"/>
          <w:bCs w:val="0"/>
        </w:rPr>
      </w:pPr>
      <w:bookmarkStart w:id="22" w:name="_Toc18585"/>
      <w:bookmarkStart w:id="23" w:name="_Toc23061"/>
      <w:bookmarkStart w:id="24" w:name="_Toc19343"/>
      <w:bookmarkStart w:id="25" w:name="_Toc15650"/>
      <w:bookmarkStart w:id="26" w:name="_Toc15396600"/>
      <w:bookmarkStart w:id="27" w:name="_Toc15377197"/>
      <w:r>
        <w:rPr>
          <w:rStyle w:val="29"/>
          <w:rFonts w:hint="eastAsia" w:ascii="黑体" w:hAnsi="黑体" w:eastAsia="黑体"/>
          <w:b w:val="0"/>
          <w:bCs w:val="0"/>
          <w:lang w:eastAsia="zh-CN"/>
        </w:rPr>
        <w:t>一、</w:t>
      </w:r>
      <w:r>
        <w:rPr>
          <w:rStyle w:val="29"/>
          <w:rFonts w:hint="eastAsia" w:ascii="黑体" w:hAnsi="黑体" w:eastAsia="黑体"/>
          <w:b w:val="0"/>
          <w:bCs w:val="0"/>
        </w:rPr>
        <w:t>主要职责</w:t>
      </w:r>
      <w:bookmarkEnd w:id="22"/>
      <w:bookmarkEnd w:id="23"/>
      <w:bookmarkEnd w:id="24"/>
      <w:bookmarkEnd w:id="25"/>
    </w:p>
    <w:p>
      <w:pPr>
        <w:pStyle w:val="3"/>
        <w:numPr>
          <w:ilvl w:val="0"/>
          <w:numId w:val="0"/>
        </w:numPr>
        <w:ind w:firstLine="640" w:firstLineChars="200"/>
        <w:rPr>
          <w:rStyle w:val="29"/>
          <w:rFonts w:hint="eastAsia" w:ascii="仿宋" w:hAnsi="仿宋" w:eastAsia="仿宋" w:cs="仿宋"/>
          <w:b w:val="0"/>
          <w:bCs w:val="0"/>
        </w:rPr>
      </w:pPr>
      <w:bookmarkStart w:id="28" w:name="_Toc22416"/>
      <w:bookmarkStart w:id="29" w:name="_Toc31658"/>
      <w:bookmarkStart w:id="30" w:name="_Toc18029"/>
      <w:bookmarkStart w:id="31" w:name="_Toc21852"/>
      <w:r>
        <w:rPr>
          <w:rStyle w:val="29"/>
          <w:rFonts w:hint="eastAsia" w:ascii="仿宋" w:hAnsi="仿宋" w:eastAsia="仿宋" w:cs="仿宋"/>
          <w:b w:val="0"/>
          <w:bCs w:val="0"/>
          <w:lang w:val="en-US" w:eastAsia="zh-CN"/>
        </w:rPr>
        <w:t>2023年冠英新区开发服务中心的主要职责是：</w:t>
      </w:r>
      <w:r>
        <w:rPr>
          <w:rStyle w:val="29"/>
          <w:rFonts w:hint="eastAsia" w:ascii="仿宋" w:hAnsi="仿宋" w:eastAsia="仿宋" w:cs="仿宋"/>
          <w:b w:val="0"/>
          <w:bCs w:val="0"/>
        </w:rPr>
        <w:t>为园区发展提供服务保障。 承担园区内经济组织的综合协调服务工作 对园区内企业报批报建等项目提供统一受理、全程协办等服务</w:t>
      </w:r>
      <w:bookmarkEnd w:id="28"/>
      <w:bookmarkEnd w:id="29"/>
      <w:bookmarkEnd w:id="30"/>
      <w:bookmarkEnd w:id="31"/>
    </w:p>
    <w:p>
      <w:pPr>
        <w:pStyle w:val="3"/>
        <w:rPr>
          <w:rFonts w:ascii="黑体" w:hAnsi="黑体" w:eastAsia="黑体"/>
          <w:b w:val="0"/>
        </w:rPr>
      </w:pPr>
      <w:bookmarkStart w:id="32" w:name="_Toc22059"/>
      <w:bookmarkStart w:id="33" w:name="_Toc9214"/>
      <w:bookmarkStart w:id="34" w:name="_Toc11442"/>
      <w:bookmarkStart w:id="35" w:name="_Toc18504"/>
      <w:r>
        <w:rPr>
          <w:rFonts w:hint="eastAsia" w:ascii="黑体" w:hAnsi="黑体" w:eastAsia="黑体"/>
          <w:b w:val="0"/>
        </w:rPr>
        <w:t>二、机构设置</w:t>
      </w:r>
      <w:bookmarkEnd w:id="32"/>
      <w:bookmarkEnd w:id="33"/>
      <w:bookmarkEnd w:id="34"/>
      <w:bookmarkEnd w:id="35"/>
    </w:p>
    <w:bookmarkEnd w:id="26"/>
    <w:bookmarkEnd w:id="27"/>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乐山冠英新区开发建设</w:t>
      </w:r>
      <w:r>
        <w:rPr>
          <w:rFonts w:hint="eastAsia" w:ascii="仿宋_GB2312" w:hAnsi="仿宋_GB2312" w:eastAsia="仿宋_GB2312" w:cs="仿宋_GB2312"/>
          <w:sz w:val="32"/>
          <w:szCs w:val="32"/>
          <w:lang w:eastAsia="zh-CN"/>
        </w:rPr>
        <w:t>服务中心</w:t>
      </w:r>
      <w:r>
        <w:rPr>
          <w:rFonts w:hint="eastAsia" w:ascii="仿宋_GB2312" w:hAnsi="仿宋_GB2312" w:eastAsia="仿宋_GB2312" w:cs="仿宋_GB2312"/>
          <w:sz w:val="32"/>
          <w:szCs w:val="32"/>
        </w:rPr>
        <w:t>属二级</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单位，其他事业单位。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u w:val="none"/>
        </w:rPr>
      </w:pPr>
      <w:r>
        <w:rPr>
          <w:rFonts w:hint="eastAsia" w:ascii="Times New Roman" w:hAnsi="Times New Roman" w:eastAsia="仿宋_GB2312" w:cs="Times New Roman"/>
          <w:sz w:val="32"/>
          <w:szCs w:val="32"/>
        </w:rPr>
        <w:t>事业编制</w:t>
      </w:r>
      <w:r>
        <w:rPr>
          <w:rFonts w:hint="eastAsia" w:ascii="Times New Roman" w:hAnsi="Times New Roman" w:eastAsia="仿宋_GB2312" w:cs="Times New Roman"/>
          <w:sz w:val="32"/>
          <w:szCs w:val="32"/>
          <w:lang w:val="en-US" w:eastAsia="zh-CN"/>
        </w:rPr>
        <w:t>数</w:t>
      </w:r>
      <w:r>
        <w:rPr>
          <w:rFonts w:hint="eastAsia" w:ascii="Times New Roman" w:hAnsi="Times New Roman" w:eastAsia="仿宋_GB2312" w:cs="Times New Roman"/>
          <w:sz w:val="32"/>
          <w:szCs w:val="32"/>
        </w:rPr>
        <w:t>10人，实有人数10人。</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outlineLvl w:val="9"/>
        <w:rPr>
          <w:rFonts w:hint="eastAsia" w:ascii="黑体" w:hAnsi="黑体" w:eastAsia="黑体"/>
          <w:b w:val="0"/>
        </w:rPr>
      </w:pPr>
      <w:bookmarkStart w:id="36" w:name="_Toc15396602"/>
      <w:bookmarkStart w:id="37" w:name="_Toc15377204"/>
    </w:p>
    <w:p>
      <w:pPr>
        <w:pStyle w:val="2"/>
        <w:ind w:right="440"/>
        <w:jc w:val="center"/>
        <w:rPr>
          <w:rStyle w:val="28"/>
          <w:rFonts w:ascii="黑体" w:hAnsi="黑体" w:eastAsia="黑体"/>
          <w:b w:val="0"/>
          <w:bCs/>
        </w:rPr>
      </w:pPr>
      <w:bookmarkStart w:id="38" w:name="_Toc27917"/>
      <w:bookmarkStart w:id="39" w:name="_Toc4355"/>
      <w:bookmarkStart w:id="40" w:name="_Toc12555"/>
      <w:bookmarkStart w:id="41" w:name="_Toc31113"/>
      <w:r>
        <w:rPr>
          <w:rFonts w:hint="eastAsia" w:ascii="黑体" w:hAnsi="黑体" w:eastAsia="黑体"/>
          <w:b w:val="0"/>
        </w:rPr>
        <w:t>第二部分 2023年度</w:t>
      </w:r>
      <w:r>
        <w:rPr>
          <w:rStyle w:val="28"/>
          <w:rFonts w:hint="eastAsia" w:ascii="黑体" w:hAnsi="黑体" w:eastAsia="黑体"/>
          <w:b w:val="0"/>
          <w:bCs/>
        </w:rPr>
        <w:t>单位决算情况说明</w:t>
      </w:r>
      <w:bookmarkEnd w:id="36"/>
      <w:bookmarkEnd w:id="37"/>
      <w:bookmarkEnd w:id="38"/>
      <w:bookmarkEnd w:id="39"/>
      <w:bookmarkEnd w:id="40"/>
      <w:bookmarkEnd w:id="41"/>
    </w:p>
    <w:p/>
    <w:p>
      <w:pPr>
        <w:pStyle w:val="27"/>
        <w:numPr>
          <w:ilvl w:val="0"/>
          <w:numId w:val="1"/>
        </w:numPr>
        <w:spacing w:line="600" w:lineRule="exact"/>
        <w:ind w:firstLineChars="0"/>
        <w:outlineLvl w:val="1"/>
        <w:rPr>
          <w:rStyle w:val="29"/>
          <w:rFonts w:ascii="黑体" w:hAnsi="黑体" w:eastAsia="黑体"/>
          <w:b w:val="0"/>
        </w:rPr>
      </w:pPr>
      <w:bookmarkStart w:id="42" w:name="_Toc13606"/>
      <w:bookmarkStart w:id="43" w:name="_Toc5125"/>
      <w:bookmarkStart w:id="44" w:name="_Toc10446"/>
      <w:bookmarkStart w:id="45" w:name="_Toc15377205"/>
      <w:bookmarkStart w:id="46" w:name="_Toc2952"/>
      <w:bookmarkStart w:id="47"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42"/>
      <w:bookmarkEnd w:id="43"/>
      <w:bookmarkEnd w:id="44"/>
      <w:bookmarkEnd w:id="45"/>
      <w:bookmarkEnd w:id="46"/>
      <w:bookmarkEnd w:id="4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 w:hAnsi="仿宋" w:eastAsia="仿宋"/>
          <w:sz w:val="32"/>
          <w:szCs w:val="32"/>
        </w:rPr>
        <w:t>2023年度收、支总计均为</w:t>
      </w:r>
      <w:bookmarkStart w:id="48" w:name="OLE_LINK5"/>
      <w:r>
        <w:rPr>
          <w:rFonts w:hint="eastAsia" w:ascii="仿宋" w:hAnsi="仿宋" w:eastAsia="仿宋"/>
          <w:b/>
          <w:sz w:val="32"/>
          <w:szCs w:val="32"/>
        </w:rPr>
        <w:t>164.06</w:t>
      </w:r>
      <w:bookmarkEnd w:id="48"/>
      <w:r>
        <w:rPr>
          <w:rFonts w:hint="eastAsia" w:ascii="仿宋" w:hAnsi="仿宋" w:eastAsia="仿宋"/>
          <w:sz w:val="32"/>
          <w:szCs w:val="32"/>
        </w:rPr>
        <w:t>万元。</w:t>
      </w:r>
      <w:r>
        <w:rPr>
          <w:rFonts w:hint="eastAsia" w:ascii="仿宋_GB2312" w:hAnsi="仿宋_GB2312" w:eastAsia="仿宋_GB2312" w:cs="仿宋_GB2312"/>
          <w:color w:val="auto"/>
          <w:sz w:val="32"/>
          <w:szCs w:val="32"/>
        </w:rPr>
        <w:t>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年比，收、支总计</w:t>
      </w:r>
      <w:r>
        <w:rPr>
          <w:rFonts w:hint="eastAsia" w:ascii="仿宋_GB2312" w:hAnsi="仿宋_GB2312" w:eastAsia="仿宋_GB2312" w:cs="仿宋_GB2312"/>
          <w:color w:val="auto"/>
          <w:sz w:val="32"/>
          <w:szCs w:val="32"/>
          <w:lang w:eastAsia="zh-CN"/>
        </w:rPr>
        <w:t>各增加了</w:t>
      </w:r>
      <w:r>
        <w:rPr>
          <w:rFonts w:hint="eastAsia" w:ascii="仿宋_GB2312" w:hAnsi="仿宋_GB2312" w:eastAsia="仿宋_GB2312" w:cs="仿宋_GB2312"/>
          <w:color w:val="auto"/>
          <w:sz w:val="32"/>
          <w:szCs w:val="32"/>
          <w:lang w:val="en-US" w:eastAsia="zh-CN"/>
        </w:rPr>
        <w:t>13.73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事业人员增资及招录事业人员，其工资、社保、公用经</w:t>
      </w:r>
      <w:r>
        <w:rPr>
          <w:rFonts w:hint="eastAsia" w:ascii="仿宋_GB2312" w:hAnsi="仿宋_GB2312" w:eastAsia="仿宋_GB2312" w:cs="仿宋_GB2312"/>
          <w:color w:val="auto"/>
          <w:sz w:val="32"/>
          <w:szCs w:val="32"/>
        </w:rPr>
        <w:t>相</w:t>
      </w:r>
      <w:r>
        <w:rPr>
          <w:rFonts w:hint="eastAsia" w:ascii="仿宋_GB2312" w:hAnsi="仿宋_GB2312" w:eastAsia="仿宋_GB2312" w:cs="仿宋_GB2312"/>
          <w:color w:val="auto"/>
          <w:sz w:val="32"/>
          <w:szCs w:val="32"/>
          <w:lang w:eastAsia="zh-CN"/>
        </w:rPr>
        <w:t>费增加。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FF0000"/>
          <w:sz w:val="32"/>
          <w:szCs w:val="32"/>
          <w:lang w:eastAsia="zh-CN"/>
        </w:rPr>
      </w:pPr>
      <w:r>
        <w:rPr>
          <w:rFonts w:hint="eastAsia"/>
          <w:lang w:val="en-US" w:eastAsia="zh-CN"/>
        </w:rPr>
        <w:t xml:space="preserve"> </w:t>
      </w:r>
      <w:r>
        <w:drawing>
          <wp:inline distT="0" distB="0" distL="114300" distR="114300">
            <wp:extent cx="3544570" cy="2780665"/>
            <wp:effectExtent l="4445" t="4445" r="13335" b="1524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rPr>
          <w:rFonts w:ascii="仿宋" w:hAnsi="仿宋" w:eastAsia="仿宋"/>
          <w:color w:val="auto"/>
          <w:sz w:val="32"/>
          <w:szCs w:val="32"/>
          <w:highlight w:val="none"/>
        </w:rPr>
      </w:pPr>
      <w:bookmarkStart w:id="49" w:name="_Toc29775"/>
      <w:bookmarkStart w:id="50" w:name="_Toc15377206"/>
      <w:bookmarkStart w:id="51" w:name="_Toc5355"/>
      <w:bookmarkStart w:id="52" w:name="_Toc15396604"/>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7"/>
        <w:numPr>
          <w:ilvl w:val="0"/>
          <w:numId w:val="0"/>
        </w:numPr>
        <w:spacing w:line="600" w:lineRule="exact"/>
        <w:ind w:firstLine="640" w:firstLineChars="200"/>
        <w:outlineLvl w:val="1"/>
        <w:rPr>
          <w:rStyle w:val="29"/>
          <w:rFonts w:ascii="黑体" w:hAnsi="黑体" w:eastAsia="黑体"/>
          <w:b w:val="0"/>
        </w:rPr>
      </w:pPr>
      <w:bookmarkStart w:id="53" w:name="_Toc15485"/>
      <w:bookmarkStart w:id="54" w:name="_Toc10257"/>
      <w:r>
        <w:rPr>
          <w:rFonts w:hint="eastAsia" w:ascii="黑体" w:hAnsi="黑体" w:eastAsia="黑体"/>
          <w:sz w:val="32"/>
          <w:szCs w:val="32"/>
          <w:lang w:eastAsia="zh-CN"/>
        </w:rPr>
        <w:t>二、</w:t>
      </w:r>
      <w:r>
        <w:rPr>
          <w:rFonts w:hint="eastAsia" w:ascii="黑体" w:hAnsi="黑体" w:eastAsia="黑体"/>
          <w:sz w:val="32"/>
          <w:szCs w:val="32"/>
        </w:rPr>
        <w:t>收</w:t>
      </w:r>
      <w:r>
        <w:rPr>
          <w:rStyle w:val="29"/>
          <w:rFonts w:hint="eastAsia" w:ascii="黑体" w:hAnsi="黑体" w:eastAsia="黑体"/>
          <w:b w:val="0"/>
        </w:rPr>
        <w:t>入决算情况说明</w:t>
      </w:r>
      <w:bookmarkEnd w:id="49"/>
      <w:bookmarkEnd w:id="50"/>
      <w:bookmarkEnd w:id="51"/>
      <w:bookmarkEnd w:id="52"/>
      <w:bookmarkEnd w:id="53"/>
      <w:bookmarkEnd w:id="54"/>
    </w:p>
    <w:p>
      <w:pPr>
        <w:spacing w:line="600" w:lineRule="exact"/>
        <w:ind w:firstLine="640" w:firstLineChars="200"/>
        <w:outlineLvl w:val="1"/>
        <w:rPr>
          <w:rFonts w:hint="eastAsia" w:ascii="仿宋" w:hAnsi="仿宋" w:eastAsia="仿宋"/>
          <w:b/>
          <w:sz w:val="32"/>
          <w:szCs w:val="32"/>
          <w:lang w:eastAsia="zh-CN"/>
        </w:rPr>
      </w:pPr>
      <w:bookmarkStart w:id="55" w:name="_Toc31771"/>
      <w:bookmarkStart w:id="56" w:name="_Toc17215"/>
      <w:bookmarkStart w:id="57" w:name="_Toc25182"/>
      <w:bookmarkStart w:id="58" w:name="_Toc21919"/>
      <w:r>
        <w:rPr>
          <w:rFonts w:hint="eastAsia" w:ascii="仿宋" w:hAnsi="仿宋" w:eastAsia="仿宋"/>
          <w:sz w:val="32"/>
          <w:szCs w:val="32"/>
        </w:rPr>
        <w:t>2023年度本年收入合计</w:t>
      </w:r>
      <w:r>
        <w:rPr>
          <w:rFonts w:ascii="仿宋" w:hAnsi="仿宋" w:eastAsia="仿宋"/>
          <w:b/>
          <w:sz w:val="32"/>
          <w:szCs w:val="32"/>
        </w:rPr>
        <w:t>164.06</w:t>
      </w:r>
      <w:r>
        <w:rPr>
          <w:rFonts w:hint="eastAsia" w:ascii="仿宋" w:hAnsi="仿宋" w:eastAsia="仿宋"/>
          <w:sz w:val="32"/>
          <w:szCs w:val="32"/>
        </w:rPr>
        <w:t>万元，其中：一般公共预算财政拨款收入</w:t>
      </w:r>
      <w:r>
        <w:rPr>
          <w:rFonts w:ascii="仿宋" w:hAnsi="仿宋" w:eastAsia="仿宋"/>
          <w:b/>
          <w:sz w:val="32"/>
          <w:szCs w:val="32"/>
        </w:rPr>
        <w:t>164.06</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bookmarkEnd w:id="55"/>
      <w:bookmarkEnd w:id="56"/>
      <w:bookmarkEnd w:id="57"/>
      <w:bookmarkEnd w:id="58"/>
    </w:p>
    <w:p>
      <w:pPr>
        <w:spacing w:line="600" w:lineRule="exact"/>
        <w:ind w:firstLine="643" w:firstLineChars="200"/>
        <w:outlineLvl w:val="1"/>
        <w:rPr>
          <w:rFonts w:ascii="仿宋" w:hAnsi="仿宋" w:eastAsia="仿宋"/>
          <w:b/>
          <w:color w:val="auto"/>
          <w:sz w:val="32"/>
          <w:szCs w:val="32"/>
          <w:highlight w:val="none"/>
        </w:rPr>
      </w:pPr>
      <w:bookmarkStart w:id="59" w:name="_Toc14357"/>
      <w:bookmarkStart w:id="60" w:name="_Toc12422"/>
      <w:bookmarkStart w:id="61" w:name="_Toc4514"/>
      <w:bookmarkStart w:id="62" w:name="_Toc23608"/>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bookmarkEnd w:id="59"/>
      <w:bookmarkEnd w:id="60"/>
      <w:bookmarkEnd w:id="61"/>
      <w:bookmarkEnd w:id="62"/>
    </w:p>
    <w:p>
      <w:pPr>
        <w:spacing w:line="240" w:lineRule="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drawing>
          <wp:inline distT="0" distB="0" distL="114300" distR="114300">
            <wp:extent cx="3035935" cy="2346960"/>
            <wp:effectExtent l="0" t="0" r="12065" b="152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3035935" cy="2346960"/>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bookmarkStart w:id="63" w:name="_Toc25080"/>
      <w:bookmarkStart w:id="64" w:name="_Toc31598"/>
      <w:bookmarkStart w:id="65" w:name="_Toc15377207"/>
      <w:bookmarkStart w:id="66" w:name="_Toc15396605"/>
      <w:r>
        <w:rPr>
          <w:rFonts w:hint="eastAsia" w:ascii="仿宋" w:hAnsi="仿宋" w:eastAsia="仿宋"/>
          <w:color w:val="auto"/>
          <w:sz w:val="32"/>
          <w:szCs w:val="32"/>
          <w:highlight w:val="none"/>
        </w:rPr>
        <w:t>（图2：收入决算结构图）（饼状图）</w:t>
      </w:r>
    </w:p>
    <w:p>
      <w:pPr>
        <w:pStyle w:val="27"/>
        <w:numPr>
          <w:ilvl w:val="0"/>
          <w:numId w:val="0"/>
        </w:numPr>
        <w:spacing w:line="600" w:lineRule="exact"/>
        <w:outlineLvl w:val="1"/>
        <w:rPr>
          <w:rStyle w:val="29"/>
          <w:rFonts w:ascii="黑体" w:hAnsi="黑体" w:eastAsia="黑体"/>
          <w:b w:val="0"/>
        </w:rPr>
      </w:pPr>
      <w:bookmarkStart w:id="67" w:name="_Toc3735"/>
      <w:bookmarkStart w:id="68" w:name="_Toc14522"/>
      <w:r>
        <w:rPr>
          <w:rFonts w:hint="eastAsia" w:ascii="黑体" w:hAnsi="黑体" w:eastAsia="黑体"/>
          <w:sz w:val="32"/>
          <w:szCs w:val="32"/>
          <w:lang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63"/>
      <w:bookmarkEnd w:id="64"/>
      <w:bookmarkEnd w:id="65"/>
      <w:bookmarkEnd w:id="66"/>
      <w:bookmarkEnd w:id="67"/>
      <w:bookmarkEnd w:id="68"/>
    </w:p>
    <w:p>
      <w:pPr>
        <w:spacing w:line="600" w:lineRule="exact"/>
        <w:ind w:firstLine="640" w:firstLineChars="200"/>
        <w:outlineLvl w:val="1"/>
        <w:rPr>
          <w:rFonts w:hint="eastAsia" w:ascii="仿宋" w:hAnsi="仿宋" w:eastAsia="仿宋"/>
          <w:sz w:val="32"/>
          <w:szCs w:val="32"/>
          <w:lang w:eastAsia="zh-CN"/>
        </w:rPr>
      </w:pPr>
      <w:bookmarkStart w:id="69" w:name="_Toc2340"/>
      <w:bookmarkStart w:id="70" w:name="_Toc29174"/>
      <w:bookmarkStart w:id="71" w:name="_Toc29577"/>
      <w:bookmarkStart w:id="72" w:name="_Toc27516"/>
      <w:r>
        <w:rPr>
          <w:rFonts w:hint="eastAsia" w:ascii="仿宋" w:hAnsi="仿宋" w:eastAsia="仿宋"/>
          <w:sz w:val="32"/>
          <w:szCs w:val="32"/>
        </w:rPr>
        <w:t>2023年度本年支出合计</w:t>
      </w:r>
      <w:r>
        <w:rPr>
          <w:rFonts w:ascii="仿宋" w:hAnsi="仿宋" w:eastAsia="仿宋"/>
          <w:b/>
          <w:sz w:val="32"/>
          <w:szCs w:val="32"/>
        </w:rPr>
        <w:t>164.06</w:t>
      </w:r>
      <w:r>
        <w:rPr>
          <w:rFonts w:hint="eastAsia" w:ascii="仿宋" w:hAnsi="仿宋" w:eastAsia="仿宋"/>
          <w:sz w:val="32"/>
          <w:szCs w:val="32"/>
        </w:rPr>
        <w:t>万元，其中：基本支出</w:t>
      </w:r>
      <w:r>
        <w:rPr>
          <w:rFonts w:ascii="仿宋" w:hAnsi="仿宋" w:eastAsia="仿宋"/>
          <w:b/>
          <w:sz w:val="32"/>
          <w:szCs w:val="32"/>
        </w:rPr>
        <w:t>164.06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lang w:eastAsia="zh-CN"/>
        </w:rPr>
        <w:t>。</w:t>
      </w:r>
      <w:bookmarkEnd w:id="69"/>
      <w:bookmarkEnd w:id="70"/>
      <w:bookmarkEnd w:id="71"/>
      <w:bookmarkEnd w:id="72"/>
    </w:p>
    <w:p>
      <w:pPr>
        <w:spacing w:line="600" w:lineRule="exact"/>
        <w:ind w:firstLine="643" w:firstLineChars="200"/>
        <w:outlineLvl w:val="1"/>
        <w:rPr>
          <w:rFonts w:ascii="仿宋" w:hAnsi="仿宋" w:eastAsia="仿宋"/>
          <w:b/>
          <w:color w:val="auto"/>
          <w:sz w:val="32"/>
          <w:szCs w:val="32"/>
          <w:highlight w:val="none"/>
        </w:rPr>
      </w:pPr>
      <w:bookmarkStart w:id="73" w:name="_Toc20535"/>
      <w:bookmarkStart w:id="74" w:name="_Toc19175"/>
      <w:bookmarkStart w:id="75" w:name="_Toc22300"/>
      <w:bookmarkStart w:id="76" w:name="_Toc15919"/>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lang w:val="en-US" w:eastAsia="zh-CN"/>
        </w:rPr>
        <w:t>4</w:t>
      </w:r>
      <w:r>
        <w:rPr>
          <w:rFonts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bookmarkEnd w:id="73"/>
      <w:bookmarkEnd w:id="74"/>
      <w:bookmarkEnd w:id="75"/>
      <w:bookmarkEnd w:id="76"/>
    </w:p>
    <w:p>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035935" cy="2346960"/>
            <wp:effectExtent l="0" t="0" r="12065"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8"/>
                    <a:stretch>
                      <a:fillRect/>
                    </a:stretch>
                  </pic:blipFill>
                  <pic:spPr>
                    <a:xfrm>
                      <a:off x="0" y="0"/>
                      <a:ext cx="3035935" cy="2346960"/>
                    </a:xfrm>
                    <a:prstGeom prst="rect">
                      <a:avLst/>
                    </a:prstGeom>
                  </pic:spPr>
                </pic:pic>
              </a:graphicData>
            </a:graphic>
          </wp:inline>
        </w:drawing>
      </w:r>
    </w:p>
    <w:p>
      <w:pPr>
        <w:spacing w:line="600" w:lineRule="exact"/>
        <w:ind w:firstLine="640"/>
        <w:rPr>
          <w:rFonts w:ascii="仿宋" w:hAnsi="仿宋" w:eastAsia="仿宋"/>
          <w:sz w:val="32"/>
          <w:szCs w:val="32"/>
          <w:shd w:val="pct10" w:color="auto" w:fill="FFFFFF"/>
        </w:rPr>
      </w:pPr>
      <w:bookmarkStart w:id="77" w:name="_Toc20929"/>
      <w:bookmarkStart w:id="78" w:name="_Toc7152"/>
      <w:bookmarkStart w:id="79" w:name="_Toc15396606"/>
      <w:bookmarkStart w:id="80" w:name="_Toc15377208"/>
      <w:r>
        <w:rPr>
          <w:rFonts w:hint="eastAsia" w:ascii="仿宋" w:hAnsi="仿宋" w:eastAsia="仿宋"/>
          <w:color w:val="auto"/>
          <w:sz w:val="32"/>
          <w:szCs w:val="32"/>
          <w:highlight w:val="none"/>
        </w:rPr>
        <w:t>（图3：支出决算结构图）（饼状图）</w:t>
      </w:r>
    </w:p>
    <w:p>
      <w:pPr>
        <w:spacing w:line="600" w:lineRule="exact"/>
        <w:ind w:firstLine="320" w:firstLineChars="100"/>
        <w:outlineLvl w:val="1"/>
        <w:rPr>
          <w:rStyle w:val="29"/>
          <w:rFonts w:ascii="黑体" w:hAnsi="黑体" w:eastAsia="黑体"/>
          <w:b w:val="0"/>
        </w:rPr>
      </w:pPr>
      <w:bookmarkStart w:id="81" w:name="_Toc21438"/>
      <w:bookmarkStart w:id="82" w:name="_Toc91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77"/>
      <w:bookmarkEnd w:id="78"/>
      <w:bookmarkEnd w:id="79"/>
      <w:bookmarkEnd w:id="80"/>
      <w:bookmarkEnd w:id="81"/>
      <w:bookmarkEnd w:id="8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164.06</w:t>
      </w:r>
      <w:r>
        <w:rPr>
          <w:rFonts w:hint="eastAsia" w:ascii="仿宋" w:hAnsi="仿宋" w:eastAsia="仿宋"/>
          <w:sz w:val="32"/>
          <w:szCs w:val="32"/>
        </w:rPr>
        <w:t>万元。</w:t>
      </w:r>
      <w:r>
        <w:rPr>
          <w:rFonts w:hint="eastAsia" w:ascii="仿宋_GB2312" w:hAnsi="仿宋_GB2312" w:eastAsia="仿宋_GB2312" w:cs="仿宋_GB2312"/>
          <w:color w:val="auto"/>
          <w:sz w:val="32"/>
          <w:szCs w:val="32"/>
        </w:rPr>
        <w:t>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年相比，财政拨款收、支总计各</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13.73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事业人员增资及招录事业人员，其工资、社保、公用经费增加。</w:t>
      </w:r>
    </w:p>
    <w:p>
      <w:pPr>
        <w:spacing w:line="6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240" w:lineRule="auto"/>
        <w:ind w:firstLine="640"/>
        <w:rPr>
          <w:rFonts w:hint="eastAsia" w:ascii="仿宋" w:hAnsi="仿宋" w:eastAsia="仿宋"/>
          <w:color w:val="FF0000"/>
          <w:sz w:val="32"/>
          <w:szCs w:val="32"/>
          <w:highlight w:val="none"/>
        </w:rPr>
      </w:pPr>
      <w:r>
        <w:rPr>
          <w:rFonts w:hint="eastAsia" w:ascii="仿宋" w:hAnsi="仿宋" w:eastAsia="仿宋"/>
          <w:b/>
          <w:color w:val="FF0000"/>
          <w:sz w:val="32"/>
          <w:szCs w:val="32"/>
          <w:highlight w:val="none"/>
          <w:lang w:eastAsia="zh-CN"/>
        </w:rPr>
        <w:drawing>
          <wp:inline distT="0" distB="0" distL="114300" distR="114300">
            <wp:extent cx="3559810" cy="2792095"/>
            <wp:effectExtent l="0" t="0" r="2540" b="8255"/>
            <wp:docPr id="3" name="图片 3"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5"/>
                    <pic:cNvPicPr>
                      <a:picLocks noChangeAspect="1"/>
                    </pic:cNvPicPr>
                  </pic:nvPicPr>
                  <pic:blipFill>
                    <a:blip r:embed="rId9"/>
                    <a:stretch>
                      <a:fillRect/>
                    </a:stretch>
                  </pic:blipFill>
                  <pic:spPr>
                    <a:xfrm>
                      <a:off x="0" y="0"/>
                      <a:ext cx="3559810" cy="2792095"/>
                    </a:xfrm>
                    <a:prstGeom prst="rect">
                      <a:avLst/>
                    </a:prstGeom>
                  </pic:spPr>
                </pic:pic>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9"/>
          <w:rFonts w:ascii="黑体" w:hAnsi="黑体" w:eastAsia="黑体"/>
          <w:b w:val="0"/>
        </w:rPr>
      </w:pPr>
      <w:bookmarkStart w:id="83" w:name="_Toc2072"/>
      <w:bookmarkStart w:id="84" w:name="_Toc23231"/>
      <w:bookmarkStart w:id="85" w:name="_Toc15377209"/>
      <w:bookmarkStart w:id="86" w:name="_Toc15396607"/>
      <w:bookmarkStart w:id="87" w:name="_Toc26406"/>
      <w:bookmarkStart w:id="88" w:name="_Toc1490"/>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83"/>
      <w:bookmarkEnd w:id="84"/>
      <w:bookmarkEnd w:id="85"/>
      <w:bookmarkEnd w:id="86"/>
      <w:bookmarkEnd w:id="87"/>
      <w:bookmarkEnd w:id="88"/>
    </w:p>
    <w:p>
      <w:pPr>
        <w:spacing w:line="600" w:lineRule="exact"/>
        <w:ind w:firstLine="643" w:firstLineChars="200"/>
        <w:outlineLvl w:val="2"/>
        <w:rPr>
          <w:rFonts w:ascii="仿宋" w:hAnsi="仿宋" w:eastAsia="仿宋"/>
          <w:b/>
          <w:sz w:val="32"/>
          <w:szCs w:val="32"/>
        </w:rPr>
      </w:pPr>
      <w:bookmarkStart w:id="89" w:name="_Toc15377210"/>
      <w:r>
        <w:rPr>
          <w:rFonts w:hint="eastAsia" w:ascii="仿宋" w:hAnsi="仿宋" w:eastAsia="仿宋"/>
          <w:b/>
          <w:sz w:val="32"/>
          <w:szCs w:val="32"/>
        </w:rPr>
        <w:t>（一）一般公共预算财政拨款支出决算总体情况</w:t>
      </w:r>
      <w:bookmarkEnd w:id="8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164.06</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color w:val="auto"/>
          <w:sz w:val="32"/>
          <w:szCs w:val="32"/>
        </w:rPr>
        <w:t>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年相比，一般公共预算财政拨款</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13.73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%。主要变动原因是因为</w:t>
      </w:r>
      <w:r>
        <w:rPr>
          <w:rFonts w:hint="eastAsia" w:ascii="仿宋_GB2312" w:hAnsi="仿宋_GB2312" w:eastAsia="仿宋_GB2312" w:cs="仿宋_GB2312"/>
          <w:color w:val="auto"/>
          <w:sz w:val="32"/>
          <w:szCs w:val="32"/>
          <w:lang w:eastAsia="zh-CN"/>
        </w:rPr>
        <w:t>事业人员增资及招录事业人员，其工资、社保、公用经费增加。</w:t>
      </w:r>
    </w:p>
    <w:p>
      <w:pPr>
        <w:pStyle w:val="13"/>
        <w:rPr>
          <w:rFonts w:hint="eastAsia"/>
          <w:color w:val="auto"/>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FF0000"/>
          <w:sz w:val="32"/>
          <w:szCs w:val="32"/>
          <w:lang w:val="en-US" w:eastAsia="zh-CN"/>
        </w:rPr>
      </w:pPr>
      <w:r>
        <w:rPr>
          <w:rFonts w:hint="eastAsia"/>
          <w:lang w:val="en-US" w:eastAsia="zh-CN"/>
        </w:rPr>
        <w:t xml:space="preserve">    </w:t>
      </w:r>
      <w:r>
        <w:drawing>
          <wp:inline distT="0" distB="0" distL="114300" distR="114300">
            <wp:extent cx="3544570" cy="2780665"/>
            <wp:effectExtent l="4445" t="4445" r="13335" b="15240"/>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3"/>
        <w:rPr>
          <w:rFonts w:hint="eastAsia"/>
          <w:color w:val="auto"/>
          <w:lang w:val="en-US" w:eastAsia="zh-CN"/>
        </w:rPr>
      </w:pPr>
      <w:bookmarkStart w:id="90" w:name="_Toc15377211"/>
      <w:r>
        <w:rPr>
          <w:rFonts w:hint="eastAsia" w:ascii="仿宋" w:hAnsi="仿宋" w:eastAsia="仿宋"/>
          <w:color w:val="auto"/>
          <w:sz w:val="32"/>
          <w:szCs w:val="32"/>
          <w:highlight w:val="none"/>
        </w:rPr>
        <w:t>（图5：一般公共预算财政拨款支出决算变动情况）（柱状图）</w:t>
      </w:r>
    </w:p>
    <w:p>
      <w:pPr>
        <w:spacing w:line="600" w:lineRule="exact"/>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90"/>
    </w:p>
    <w:p>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164.06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bookmarkStart w:id="91" w:name="OLE_LINK2"/>
      <w:r>
        <w:rPr>
          <w:rFonts w:hint="eastAsia" w:ascii="仿宋" w:hAnsi="仿宋" w:eastAsia="仿宋"/>
          <w:sz w:val="32"/>
          <w:szCs w:val="32"/>
          <w:lang w:val="en-US" w:eastAsia="zh-CN"/>
        </w:rPr>
        <w:t>25.23</w:t>
      </w:r>
      <w:bookmarkEnd w:id="91"/>
      <w:r>
        <w:rPr>
          <w:rFonts w:hint="eastAsia" w:ascii="仿宋" w:hAnsi="仿宋" w:eastAsia="仿宋"/>
          <w:sz w:val="32"/>
          <w:szCs w:val="32"/>
        </w:rPr>
        <w:t>万元，占</w:t>
      </w:r>
      <w:r>
        <w:rPr>
          <w:rFonts w:hint="eastAsia" w:ascii="仿宋" w:hAnsi="仿宋" w:eastAsia="仿宋"/>
          <w:sz w:val="32"/>
          <w:szCs w:val="32"/>
          <w:lang w:val="en-US" w:eastAsia="zh-CN"/>
        </w:rPr>
        <w:t>15.38</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5.18万元，占3.16%；</w:t>
      </w:r>
      <w:r>
        <w:rPr>
          <w:rFonts w:hint="eastAsia" w:ascii="仿宋" w:hAnsi="仿宋" w:eastAsia="仿宋"/>
          <w:b/>
          <w:bCs/>
          <w:sz w:val="32"/>
          <w:szCs w:val="32"/>
        </w:rPr>
        <w:t>住房保障支出</w:t>
      </w:r>
      <w:r>
        <w:rPr>
          <w:rFonts w:hint="eastAsia" w:ascii="仿宋" w:hAnsi="仿宋" w:eastAsia="仿宋"/>
          <w:sz w:val="32"/>
          <w:szCs w:val="32"/>
          <w:lang w:val="en-US" w:eastAsia="zh-CN"/>
        </w:rPr>
        <w:t>12.05万元，</w:t>
      </w:r>
      <w:bookmarkStart w:id="92" w:name="OLE_LINK1"/>
      <w:r>
        <w:rPr>
          <w:rFonts w:hint="eastAsia" w:ascii="仿宋" w:hAnsi="仿宋" w:eastAsia="仿宋"/>
          <w:sz w:val="32"/>
          <w:szCs w:val="32"/>
          <w:lang w:val="en-US" w:eastAsia="zh-CN"/>
        </w:rPr>
        <w:t>占7.34%</w:t>
      </w:r>
      <w:bookmarkEnd w:id="92"/>
      <w:r>
        <w:rPr>
          <w:rFonts w:hint="eastAsia" w:ascii="仿宋" w:hAnsi="仿宋" w:eastAsia="仿宋"/>
          <w:sz w:val="32"/>
          <w:szCs w:val="32"/>
          <w:lang w:val="en-US" w:eastAsia="zh-CN"/>
        </w:rPr>
        <w:t>；</w:t>
      </w:r>
      <w:r>
        <w:rPr>
          <w:rFonts w:hint="eastAsia" w:ascii="仿宋" w:hAnsi="仿宋" w:eastAsia="仿宋"/>
          <w:b/>
          <w:bCs/>
          <w:sz w:val="32"/>
          <w:szCs w:val="32"/>
        </w:rPr>
        <w:t>资源勘探工业信息等支出</w:t>
      </w:r>
      <w:r>
        <w:rPr>
          <w:rFonts w:hint="eastAsia" w:ascii="仿宋" w:hAnsi="仿宋" w:eastAsia="仿宋"/>
          <w:sz w:val="32"/>
          <w:szCs w:val="32"/>
          <w:lang w:val="en-US" w:eastAsia="zh-CN"/>
        </w:rPr>
        <w:t>121.60万元，占74.12%。</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spacing w:line="600" w:lineRule="exact"/>
        <w:ind w:firstLine="640" w:firstLineChars="200"/>
        <w:rPr>
          <w:rFonts w:ascii="仿宋" w:hAnsi="仿宋" w:eastAsia="仿宋"/>
          <w:color w:val="auto"/>
          <w:sz w:val="32"/>
          <w:szCs w:val="32"/>
          <w:highlight w:val="none"/>
        </w:rPr>
      </w:pPr>
    </w:p>
    <w:p>
      <w:pPr>
        <w:spacing w:line="600" w:lineRule="exact"/>
        <w:ind w:firstLine="640"/>
        <w:rPr>
          <w:rFonts w:hint="eastAsia" w:ascii="仿宋" w:hAnsi="仿宋" w:eastAsia="仿宋"/>
          <w:sz w:val="32"/>
          <w:szCs w:val="32"/>
          <w:lang w:val="en-US" w:eastAsia="zh-CN"/>
        </w:rPr>
      </w:pPr>
    </w:p>
    <w:p>
      <w:pPr>
        <w:spacing w:line="240" w:lineRule="auto"/>
        <w:ind w:firstLine="643" w:firstLineChars="200"/>
        <w:outlineLvl w:val="9"/>
        <w:rPr>
          <w:rFonts w:hint="eastAsia" w:ascii="仿宋" w:hAnsi="仿宋" w:eastAsia="仿宋"/>
          <w:b/>
          <w:sz w:val="32"/>
          <w:szCs w:val="32"/>
          <w:lang w:eastAsia="zh-CN"/>
        </w:rPr>
      </w:pPr>
      <w:bookmarkStart w:id="93" w:name="_Toc15377212"/>
      <w:r>
        <w:rPr>
          <w:rFonts w:hint="eastAsia" w:ascii="仿宋" w:hAnsi="仿宋" w:eastAsia="仿宋"/>
          <w:b/>
          <w:sz w:val="32"/>
          <w:szCs w:val="32"/>
          <w:lang w:eastAsia="zh-CN"/>
        </w:rPr>
        <w:drawing>
          <wp:inline distT="0" distB="0" distL="114300" distR="114300">
            <wp:extent cx="3035935" cy="2517775"/>
            <wp:effectExtent l="0" t="0" r="12065" b="15875"/>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11"/>
                    <a:stretch>
                      <a:fillRect/>
                    </a:stretch>
                  </pic:blipFill>
                  <pic:spPr>
                    <a:xfrm>
                      <a:off x="0" y="0"/>
                      <a:ext cx="3035935" cy="251777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93"/>
    </w:p>
    <w:p>
      <w:pPr>
        <w:spacing w:line="600" w:lineRule="exact"/>
        <w:ind w:firstLine="643" w:firstLineChars="200"/>
        <w:outlineLvl w:val="1"/>
        <w:rPr>
          <w:rFonts w:ascii="仿宋" w:hAnsi="仿宋" w:eastAsia="仿宋"/>
          <w:sz w:val="32"/>
          <w:szCs w:val="32"/>
        </w:rPr>
      </w:pPr>
      <w:bookmarkStart w:id="94" w:name="_Toc4783"/>
      <w:bookmarkStart w:id="95" w:name="_Toc11928"/>
      <w:bookmarkStart w:id="96" w:name="_Toc15377213"/>
      <w:bookmarkStart w:id="97" w:name="_Toc15377444"/>
      <w:bookmarkStart w:id="98" w:name="_Toc15378460"/>
      <w:bookmarkStart w:id="99" w:name="_Toc30378"/>
      <w:bookmarkStart w:id="100" w:name="_Toc28849"/>
      <w:r>
        <w:rPr>
          <w:rFonts w:hint="eastAsia" w:ascii="仿宋" w:hAnsi="仿宋" w:eastAsia="仿宋"/>
          <w:b/>
          <w:sz w:val="32"/>
          <w:szCs w:val="32"/>
        </w:rPr>
        <w:t>2023年度一般公共预算支出决算数为</w:t>
      </w:r>
      <w:r>
        <w:rPr>
          <w:rFonts w:ascii="仿宋" w:hAnsi="仿宋" w:eastAsia="仿宋"/>
          <w:b/>
          <w:sz w:val="32"/>
          <w:szCs w:val="32"/>
        </w:rPr>
        <w:t>164.06</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94"/>
      <w:bookmarkEnd w:id="95"/>
      <w:bookmarkEnd w:id="96"/>
      <w:bookmarkEnd w:id="97"/>
      <w:bookmarkEnd w:id="98"/>
      <w:bookmarkEnd w:id="99"/>
      <w:bookmarkEnd w:id="100"/>
    </w:p>
    <w:p>
      <w:pPr>
        <w:numPr>
          <w:ilvl w:val="0"/>
          <w:numId w:val="2"/>
        </w:numPr>
        <w:spacing w:line="600" w:lineRule="exact"/>
        <w:ind w:firstLine="640" w:firstLineChars="200"/>
        <w:rPr>
          <w:rStyle w:val="17"/>
          <w:rFonts w:hint="eastAsia" w:ascii="仿宋" w:hAnsi="仿宋" w:eastAsia="仿宋" w:cstheme="minorBidi"/>
          <w:b w:val="0"/>
          <w:bCs/>
          <w:sz w:val="32"/>
          <w:szCs w:val="32"/>
          <w:lang w:eastAsia="zh-CN"/>
        </w:rPr>
      </w:pPr>
      <w:bookmarkStart w:id="101" w:name="OLE_LINK19"/>
      <w:r>
        <w:rPr>
          <w:rStyle w:val="17"/>
          <w:rFonts w:hint="eastAsia" w:ascii="仿宋" w:hAnsi="仿宋" w:eastAsia="仿宋" w:cstheme="minorBidi"/>
          <w:b w:val="0"/>
          <w:bCs/>
          <w:sz w:val="32"/>
          <w:szCs w:val="32"/>
          <w:lang w:eastAsia="zh-CN"/>
        </w:rPr>
        <w:t>社会保障和就业支出（类）行政事业单位养老支出（款）机关事业单位基本养老保险缴费支出（项）:</w:t>
      </w:r>
      <w:bookmarkStart w:id="102" w:name="OLE_LINK6"/>
      <w:r>
        <w:rPr>
          <w:rStyle w:val="17"/>
          <w:rFonts w:hint="eastAsia" w:ascii="仿宋" w:hAnsi="仿宋" w:eastAsia="仿宋" w:cstheme="minorBidi"/>
          <w:b w:val="0"/>
          <w:bCs/>
          <w:sz w:val="32"/>
          <w:szCs w:val="32"/>
          <w:lang w:eastAsia="zh-CN"/>
        </w:rPr>
        <w:t>支出决算为16.82万</w:t>
      </w:r>
      <w:bookmarkEnd w:id="102"/>
      <w:r>
        <w:rPr>
          <w:rStyle w:val="17"/>
          <w:rFonts w:hint="eastAsia" w:ascii="仿宋" w:hAnsi="仿宋" w:eastAsia="仿宋" w:cstheme="minorBidi"/>
          <w:b w:val="0"/>
          <w:bCs/>
          <w:sz w:val="32"/>
          <w:szCs w:val="32"/>
          <w:lang w:eastAsia="zh-CN"/>
        </w:rPr>
        <w:t>元，</w:t>
      </w:r>
      <w:bookmarkStart w:id="103" w:name="OLE_LINK7"/>
      <w:r>
        <w:rPr>
          <w:rStyle w:val="17"/>
          <w:rFonts w:hint="eastAsia" w:ascii="仿宋" w:hAnsi="仿宋" w:eastAsia="仿宋" w:cstheme="minorBidi"/>
          <w:b w:val="0"/>
          <w:bCs/>
          <w:sz w:val="32"/>
          <w:szCs w:val="32"/>
          <w:lang w:eastAsia="zh-CN"/>
        </w:rPr>
        <w:t>完成预算</w:t>
      </w:r>
      <w:bookmarkStart w:id="104" w:name="OLE_LINK15"/>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lang w:eastAsia="zh-CN"/>
        </w:rPr>
        <w:t>%</w:t>
      </w:r>
      <w:bookmarkEnd w:id="103"/>
      <w:r>
        <w:rPr>
          <w:rStyle w:val="17"/>
          <w:rFonts w:hint="eastAsia" w:ascii="仿宋" w:hAnsi="仿宋" w:eastAsia="仿宋" w:cstheme="minorBidi"/>
          <w:b w:val="0"/>
          <w:bCs/>
          <w:sz w:val="32"/>
          <w:szCs w:val="32"/>
          <w:lang w:eastAsia="zh-CN"/>
        </w:rPr>
        <w:t>。</w:t>
      </w:r>
      <w:bookmarkEnd w:id="104"/>
      <w:r>
        <w:rPr>
          <w:rStyle w:val="17"/>
          <w:rFonts w:hint="eastAsia" w:ascii="仿宋" w:hAnsi="仿宋" w:eastAsia="仿宋" w:cstheme="minorBidi"/>
          <w:b w:val="0"/>
          <w:bCs/>
          <w:sz w:val="32"/>
          <w:szCs w:val="32"/>
          <w:lang w:eastAsia="zh-CN"/>
        </w:rPr>
        <w:t xml:space="preserve"> </w:t>
      </w:r>
    </w:p>
    <w:p>
      <w:pPr>
        <w:numPr>
          <w:ilvl w:val="0"/>
          <w:numId w:val="2"/>
        </w:numPr>
        <w:spacing w:line="600" w:lineRule="exact"/>
        <w:ind w:firstLine="640" w:firstLineChars="200"/>
        <w:rPr>
          <w:rStyle w:val="17"/>
          <w:rFonts w:hint="eastAsia" w:ascii="仿宋" w:hAnsi="仿宋" w:eastAsia="仿宋" w:cstheme="minorBidi"/>
          <w:b w:val="0"/>
          <w:bCs/>
          <w:sz w:val="32"/>
          <w:szCs w:val="32"/>
          <w:lang w:eastAsia="zh-CN"/>
        </w:rPr>
      </w:pPr>
      <w:r>
        <w:rPr>
          <w:rStyle w:val="17"/>
          <w:rFonts w:hint="eastAsia" w:ascii="仿宋" w:hAnsi="仿宋" w:eastAsia="仿宋" w:cstheme="minorBidi"/>
          <w:b w:val="0"/>
          <w:bCs/>
          <w:sz w:val="32"/>
          <w:szCs w:val="32"/>
          <w:lang w:eastAsia="zh-CN"/>
        </w:rPr>
        <w:t>社会保障和就业支出（类）行政事业单位养老支出（款）机关事业单位职业年金缴费支出（项）:支出决算为</w:t>
      </w:r>
      <w:r>
        <w:rPr>
          <w:rStyle w:val="17"/>
          <w:rFonts w:hint="eastAsia" w:ascii="仿宋" w:hAnsi="仿宋" w:eastAsia="仿宋" w:cstheme="minorBidi"/>
          <w:b w:val="0"/>
          <w:bCs/>
          <w:sz w:val="32"/>
          <w:szCs w:val="32"/>
          <w:lang w:val="en-US" w:eastAsia="zh-CN"/>
        </w:rPr>
        <w:t>8.41</w:t>
      </w:r>
      <w:r>
        <w:rPr>
          <w:rStyle w:val="17"/>
          <w:rFonts w:hint="eastAsia" w:ascii="仿宋" w:hAnsi="仿宋" w:eastAsia="仿宋" w:cstheme="minorBidi"/>
          <w:b w:val="0"/>
          <w:bCs/>
          <w:sz w:val="32"/>
          <w:szCs w:val="32"/>
          <w:lang w:eastAsia="zh-CN"/>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lang w:eastAsia="zh-CN"/>
        </w:rPr>
        <w:t>%。</w:t>
      </w:r>
    </w:p>
    <w:p>
      <w:pPr>
        <w:numPr>
          <w:ilvl w:val="0"/>
          <w:numId w:val="2"/>
        </w:numPr>
        <w:spacing w:line="600" w:lineRule="exact"/>
        <w:ind w:firstLine="640" w:firstLineChars="200"/>
        <w:rPr>
          <w:rStyle w:val="17"/>
          <w:rFonts w:hint="eastAsia" w:ascii="仿宋" w:hAnsi="仿宋" w:eastAsia="仿宋" w:cstheme="minorBidi"/>
          <w:b w:val="0"/>
          <w:bCs/>
          <w:sz w:val="32"/>
          <w:szCs w:val="32"/>
          <w:lang w:eastAsia="zh-CN"/>
        </w:rPr>
      </w:pPr>
      <w:bookmarkStart w:id="105" w:name="OLE_LINK20"/>
      <w:r>
        <w:rPr>
          <w:rStyle w:val="17"/>
          <w:rFonts w:hint="eastAsia" w:ascii="仿宋" w:hAnsi="仿宋" w:eastAsia="仿宋" w:cstheme="minorBidi"/>
          <w:b w:val="0"/>
          <w:bCs/>
          <w:sz w:val="32"/>
          <w:szCs w:val="32"/>
          <w:lang w:eastAsia="zh-CN"/>
        </w:rPr>
        <w:t xml:space="preserve"> 卫生健康支出（类）行政事业单位医疗（款）事业单位医疗（项）:支出决算为</w:t>
      </w:r>
      <w:r>
        <w:rPr>
          <w:rStyle w:val="17"/>
          <w:rFonts w:hint="eastAsia" w:ascii="仿宋" w:hAnsi="仿宋" w:eastAsia="仿宋" w:cstheme="minorBidi"/>
          <w:b w:val="0"/>
          <w:bCs/>
          <w:sz w:val="32"/>
          <w:szCs w:val="32"/>
          <w:lang w:val="en-US" w:eastAsia="zh-CN"/>
        </w:rPr>
        <w:t>4.38</w:t>
      </w:r>
      <w:r>
        <w:rPr>
          <w:rStyle w:val="17"/>
          <w:rFonts w:hint="eastAsia" w:ascii="仿宋" w:hAnsi="仿宋" w:eastAsia="仿宋" w:cstheme="minorBidi"/>
          <w:b w:val="0"/>
          <w:bCs/>
          <w:sz w:val="32"/>
          <w:szCs w:val="32"/>
          <w:lang w:eastAsia="zh-CN"/>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lang w:eastAsia="zh-CN"/>
        </w:rPr>
        <w:t>%。</w:t>
      </w:r>
      <w:bookmarkEnd w:id="105"/>
    </w:p>
    <w:p>
      <w:pPr>
        <w:numPr>
          <w:ilvl w:val="0"/>
          <w:numId w:val="2"/>
        </w:numPr>
        <w:spacing w:line="600" w:lineRule="exact"/>
        <w:ind w:firstLine="640" w:firstLineChars="200"/>
        <w:rPr>
          <w:rStyle w:val="17"/>
          <w:rFonts w:hint="eastAsia" w:ascii="仿宋" w:hAnsi="仿宋" w:eastAsia="仿宋" w:cstheme="minorBidi"/>
          <w:b w:val="0"/>
          <w:bCs/>
          <w:sz w:val="32"/>
          <w:szCs w:val="32"/>
          <w:lang w:eastAsia="zh-CN"/>
        </w:rPr>
      </w:pPr>
      <w:r>
        <w:rPr>
          <w:rStyle w:val="17"/>
          <w:rFonts w:hint="eastAsia" w:ascii="仿宋" w:hAnsi="仿宋" w:eastAsia="仿宋" w:cstheme="minorBidi"/>
          <w:b w:val="0"/>
          <w:bCs/>
          <w:sz w:val="32"/>
          <w:szCs w:val="32"/>
          <w:lang w:eastAsia="zh-CN"/>
        </w:rPr>
        <w:t xml:space="preserve"> 卫生健康支出（类）行政事业单位医疗（款）其他行政事业单位医疗支出（项）:支出决算为</w:t>
      </w:r>
      <w:r>
        <w:rPr>
          <w:rStyle w:val="17"/>
          <w:rFonts w:hint="eastAsia" w:ascii="仿宋" w:hAnsi="仿宋" w:eastAsia="仿宋" w:cstheme="minorBidi"/>
          <w:b w:val="0"/>
          <w:bCs/>
          <w:sz w:val="32"/>
          <w:szCs w:val="32"/>
          <w:lang w:val="en-US" w:eastAsia="zh-CN"/>
        </w:rPr>
        <w:t>0.80</w:t>
      </w:r>
      <w:r>
        <w:rPr>
          <w:rStyle w:val="17"/>
          <w:rFonts w:hint="eastAsia" w:ascii="仿宋" w:hAnsi="仿宋" w:eastAsia="仿宋" w:cstheme="minorBidi"/>
          <w:b w:val="0"/>
          <w:bCs/>
          <w:sz w:val="32"/>
          <w:szCs w:val="32"/>
          <w:lang w:eastAsia="zh-CN"/>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lang w:eastAsia="zh-CN"/>
        </w:rPr>
        <w:t>%。</w:t>
      </w:r>
    </w:p>
    <w:p>
      <w:pPr>
        <w:numPr>
          <w:ilvl w:val="0"/>
          <w:numId w:val="2"/>
        </w:numPr>
        <w:spacing w:line="600" w:lineRule="exact"/>
        <w:ind w:firstLine="640" w:firstLineChars="200"/>
        <w:rPr>
          <w:rStyle w:val="17"/>
          <w:rFonts w:hint="eastAsia" w:ascii="仿宋" w:hAnsi="仿宋" w:eastAsia="仿宋" w:cstheme="minorBidi"/>
          <w:b w:val="0"/>
          <w:bCs/>
          <w:sz w:val="32"/>
          <w:szCs w:val="32"/>
          <w:lang w:eastAsia="zh-CN"/>
        </w:rPr>
      </w:pPr>
      <w:bookmarkStart w:id="106" w:name="OLE_LINK21"/>
      <w:r>
        <w:rPr>
          <w:rStyle w:val="17"/>
          <w:rFonts w:hint="eastAsia" w:ascii="仿宋" w:hAnsi="仿宋" w:eastAsia="仿宋" w:cstheme="minorBidi"/>
          <w:b w:val="0"/>
          <w:bCs/>
          <w:sz w:val="32"/>
          <w:szCs w:val="32"/>
          <w:lang w:eastAsia="zh-CN"/>
        </w:rPr>
        <w:t xml:space="preserve"> 资源勘探工业信息等支出（类）工业和信息产业监管（款）事业运行（项）:支出决算为</w:t>
      </w:r>
      <w:r>
        <w:rPr>
          <w:rStyle w:val="17"/>
          <w:rFonts w:hint="eastAsia" w:ascii="仿宋" w:hAnsi="仿宋" w:eastAsia="仿宋" w:cstheme="minorBidi"/>
          <w:b w:val="0"/>
          <w:bCs/>
          <w:sz w:val="32"/>
          <w:szCs w:val="32"/>
          <w:lang w:val="en-US" w:eastAsia="zh-CN"/>
        </w:rPr>
        <w:t>121.60</w:t>
      </w:r>
      <w:r>
        <w:rPr>
          <w:rStyle w:val="17"/>
          <w:rFonts w:hint="eastAsia" w:ascii="仿宋" w:hAnsi="仿宋" w:eastAsia="仿宋" w:cstheme="minorBidi"/>
          <w:b w:val="0"/>
          <w:bCs/>
          <w:sz w:val="32"/>
          <w:szCs w:val="32"/>
          <w:lang w:eastAsia="zh-CN"/>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lang w:eastAsia="zh-CN"/>
        </w:rPr>
        <w:t>%。</w:t>
      </w:r>
      <w:bookmarkEnd w:id="101"/>
    </w:p>
    <w:p>
      <w:pPr>
        <w:numPr>
          <w:ilvl w:val="0"/>
          <w:numId w:val="2"/>
        </w:numPr>
        <w:spacing w:line="600" w:lineRule="exact"/>
        <w:ind w:firstLine="640" w:firstLineChars="200"/>
        <w:rPr>
          <w:rStyle w:val="17"/>
          <w:rFonts w:hint="eastAsia" w:ascii="仿宋" w:hAnsi="仿宋" w:eastAsia="仿宋" w:cstheme="minorBidi"/>
          <w:b w:val="0"/>
          <w:bCs/>
          <w:sz w:val="32"/>
          <w:szCs w:val="32"/>
          <w:lang w:eastAsia="zh-CN"/>
        </w:rPr>
      </w:pPr>
      <w:r>
        <w:rPr>
          <w:rStyle w:val="17"/>
          <w:rFonts w:hint="eastAsia" w:ascii="仿宋" w:hAnsi="仿宋" w:eastAsia="仿宋" w:cstheme="minorBidi"/>
          <w:b w:val="0"/>
          <w:bCs/>
          <w:sz w:val="32"/>
          <w:szCs w:val="32"/>
          <w:lang w:eastAsia="zh-CN"/>
        </w:rPr>
        <w:t xml:space="preserve"> 住房保障支出（类）住房改革支出（款）住房公积金（项）:支出决算为</w:t>
      </w:r>
      <w:r>
        <w:rPr>
          <w:rStyle w:val="17"/>
          <w:rFonts w:hint="eastAsia" w:ascii="仿宋" w:hAnsi="仿宋" w:eastAsia="仿宋" w:cstheme="minorBidi"/>
          <w:b w:val="0"/>
          <w:bCs/>
          <w:sz w:val="32"/>
          <w:szCs w:val="32"/>
          <w:lang w:val="en-US" w:eastAsia="zh-CN"/>
        </w:rPr>
        <w:t>12.05</w:t>
      </w:r>
      <w:r>
        <w:rPr>
          <w:rStyle w:val="17"/>
          <w:rFonts w:hint="eastAsia" w:ascii="仿宋" w:hAnsi="仿宋" w:eastAsia="仿宋" w:cstheme="minorBidi"/>
          <w:b w:val="0"/>
          <w:bCs/>
          <w:sz w:val="32"/>
          <w:szCs w:val="32"/>
          <w:lang w:eastAsia="zh-CN"/>
        </w:rPr>
        <w:t>万元，完成预算</w:t>
      </w:r>
      <w:r>
        <w:rPr>
          <w:rStyle w:val="17"/>
          <w:rFonts w:hint="eastAsia" w:ascii="仿宋" w:hAnsi="仿宋" w:eastAsia="仿宋" w:cstheme="minorBidi"/>
          <w:b w:val="0"/>
          <w:bCs/>
          <w:sz w:val="32"/>
          <w:szCs w:val="32"/>
          <w:lang w:val="en-US" w:eastAsia="zh-CN"/>
        </w:rPr>
        <w:t>100</w:t>
      </w:r>
      <w:r>
        <w:rPr>
          <w:rStyle w:val="17"/>
          <w:rFonts w:hint="eastAsia" w:ascii="仿宋" w:hAnsi="仿宋" w:eastAsia="仿宋" w:cstheme="minorBidi"/>
          <w:b w:val="0"/>
          <w:bCs/>
          <w:sz w:val="32"/>
          <w:szCs w:val="32"/>
          <w:lang w:eastAsia="zh-CN"/>
        </w:rPr>
        <w:t>%。</w:t>
      </w:r>
    </w:p>
    <w:p>
      <w:pPr>
        <w:spacing w:line="600" w:lineRule="exact"/>
        <w:ind w:firstLine="643" w:firstLineChars="20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hint="eastAsia" w:ascii="仿宋" w:hAnsi="仿宋" w:eastAsia="仿宋"/>
          <w:b/>
          <w:color w:val="auto"/>
          <w:sz w:val="32"/>
          <w:szCs w:val="32"/>
          <w:highlight w:val="none"/>
          <w:lang w:eastAsia="zh-CN"/>
        </w:rPr>
        <w:t>）</w:t>
      </w:r>
    </w:p>
    <w:bookmarkEnd w:id="106"/>
    <w:p>
      <w:pPr>
        <w:tabs>
          <w:tab w:val="right" w:pos="8306"/>
        </w:tabs>
        <w:spacing w:line="600" w:lineRule="exact"/>
        <w:ind w:firstLine="320" w:firstLineChars="100"/>
        <w:outlineLvl w:val="1"/>
        <w:rPr>
          <w:rStyle w:val="29"/>
        </w:rPr>
      </w:pPr>
      <w:bookmarkStart w:id="107" w:name="_Toc3755"/>
      <w:bookmarkStart w:id="108" w:name="_Toc20531"/>
      <w:bookmarkStart w:id="109" w:name="_Toc31219"/>
      <w:bookmarkStart w:id="110" w:name="_Toc24757"/>
      <w:bookmarkStart w:id="111" w:name="_Toc15377214"/>
      <w:bookmarkStart w:id="112"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107"/>
      <w:bookmarkEnd w:id="108"/>
      <w:bookmarkEnd w:id="109"/>
      <w:bookmarkEnd w:id="110"/>
      <w:bookmarkEnd w:id="111"/>
      <w:bookmarkEnd w:id="112"/>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164.06</w:t>
      </w:r>
      <w:r>
        <w:rPr>
          <w:rFonts w:hint="eastAsia" w:ascii="仿宋" w:hAnsi="仿宋" w:eastAsia="仿宋"/>
          <w:sz w:val="32"/>
          <w:szCs w:val="32"/>
        </w:rPr>
        <w:t>万元，其中：</w:t>
      </w:r>
    </w:p>
    <w:p>
      <w:pPr>
        <w:spacing w:line="600" w:lineRule="exact"/>
        <w:ind w:firstLine="645"/>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rPr>
        <w:t>人员经费</w:t>
      </w:r>
      <w:r>
        <w:rPr>
          <w:rFonts w:ascii="仿宋" w:hAnsi="仿宋" w:eastAsia="仿宋"/>
          <w:b/>
          <w:sz w:val="32"/>
          <w:szCs w:val="32"/>
        </w:rPr>
        <w:t>147.86</w:t>
      </w:r>
      <w:r>
        <w:rPr>
          <w:rFonts w:hint="eastAsia" w:ascii="仿宋" w:hAnsi="仿宋" w:eastAsia="仿宋"/>
          <w:sz w:val="32"/>
          <w:szCs w:val="32"/>
        </w:rPr>
        <w:t>万元，主要包括：</w:t>
      </w:r>
      <w:r>
        <w:rPr>
          <w:rFonts w:hint="eastAsia" w:ascii="仿宋" w:hAnsi="仿宋" w:eastAsia="仿宋"/>
          <w:color w:val="000000" w:themeColor="text1"/>
          <w:sz w:val="32"/>
          <w:szCs w:val="32"/>
          <w14:textFill>
            <w14:solidFill>
              <w14:schemeClr w14:val="tx1"/>
            </w14:solidFill>
          </w14:textFill>
        </w:rPr>
        <w:t>基本工资、津贴补贴、绩效工资、机关事业单位基本养老保险缴费、职业年金缴费、 职工基本医疗保险缴费</w:t>
      </w:r>
      <w:r>
        <w:rPr>
          <w:rFonts w:hint="eastAsia" w:ascii="仿宋" w:hAnsi="仿宋" w:eastAsia="仿宋"/>
          <w:color w:val="000000" w:themeColor="text1"/>
          <w:sz w:val="32"/>
          <w:szCs w:val="32"/>
          <w:lang w:eastAsia="zh-CN"/>
          <w14:textFill>
            <w14:solidFill>
              <w14:schemeClr w14:val="tx1"/>
            </w14:solidFill>
          </w14:textFill>
        </w:rPr>
        <w:t>、公务员医疗补助缴费、</w:t>
      </w:r>
      <w:r>
        <w:rPr>
          <w:rFonts w:hint="eastAsia" w:ascii="仿宋" w:hAnsi="仿宋" w:eastAsia="仿宋"/>
          <w:color w:val="000000" w:themeColor="text1"/>
          <w:sz w:val="32"/>
          <w:szCs w:val="32"/>
          <w14:textFill>
            <w14:solidFill>
              <w14:schemeClr w14:val="tx1"/>
            </w14:solidFill>
          </w14:textFill>
        </w:rPr>
        <w:t>其他社会保障缴费、医疗费补助、住房公积金、</w:t>
      </w:r>
    </w:p>
    <w:p>
      <w:pPr>
        <w:spacing w:line="600" w:lineRule="exact"/>
        <w:ind w:firstLine="645"/>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rPr>
        <w:t>公用经费</w:t>
      </w:r>
      <w:r>
        <w:rPr>
          <w:rFonts w:ascii="仿宋" w:hAnsi="仿宋" w:eastAsia="仿宋"/>
          <w:b/>
          <w:sz w:val="32"/>
          <w:szCs w:val="32"/>
        </w:rPr>
        <w:t>16.2</w:t>
      </w:r>
      <w:r>
        <w:rPr>
          <w:rFonts w:hint="eastAsia" w:ascii="仿宋" w:hAnsi="仿宋" w:eastAsia="仿宋"/>
          <w:sz w:val="32"/>
          <w:szCs w:val="32"/>
        </w:rPr>
        <w:t>万元，主要包括：</w:t>
      </w:r>
      <w:r>
        <w:rPr>
          <w:rFonts w:hint="eastAsia" w:ascii="仿宋" w:hAnsi="仿宋" w:eastAsia="仿宋"/>
          <w:color w:val="000000" w:themeColor="text1"/>
          <w:sz w:val="32"/>
          <w:szCs w:val="32"/>
          <w14:textFill>
            <w14:solidFill>
              <w14:schemeClr w14:val="tx1"/>
            </w14:solidFill>
          </w14:textFill>
        </w:rPr>
        <w:t>办公费</w:t>
      </w:r>
      <w:r>
        <w:rPr>
          <w:rFonts w:hint="eastAsia" w:ascii="仿宋" w:hAnsi="仿宋" w:eastAsia="仿宋"/>
          <w:color w:val="C0504D" w:themeColor="accent2"/>
          <w:sz w:val="32"/>
          <w:szCs w:val="32"/>
          <w14:textFill>
            <w14:solidFill>
              <w14:schemeClr w14:val="accent2"/>
            </w14:solidFill>
          </w14:textFill>
        </w:rPr>
        <w:t>、</w:t>
      </w:r>
      <w:r>
        <w:rPr>
          <w:rFonts w:hint="eastAsia" w:ascii="仿宋" w:hAnsi="仿宋" w:eastAsia="仿宋"/>
          <w:color w:val="000000" w:themeColor="text1"/>
          <w:sz w:val="32"/>
          <w:szCs w:val="32"/>
          <w14:textFill>
            <w14:solidFill>
              <w14:schemeClr w14:val="tx1"/>
            </w14:solidFill>
          </w14:textFill>
        </w:rPr>
        <w:t>差旅费、工会经费、福利费其他商品和服务支出</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320" w:firstLineChars="100"/>
        <w:outlineLvl w:val="1"/>
        <w:rPr>
          <w:rStyle w:val="29"/>
          <w:rFonts w:ascii="黑体" w:hAnsi="黑体" w:eastAsia="黑体"/>
          <w:b w:val="0"/>
        </w:rPr>
      </w:pPr>
      <w:bookmarkStart w:id="113" w:name="_Toc20323"/>
      <w:bookmarkStart w:id="114" w:name="_Toc22622"/>
      <w:bookmarkStart w:id="115" w:name="_Toc16435"/>
      <w:bookmarkStart w:id="116" w:name="_Toc14282"/>
      <w:bookmarkStart w:id="117" w:name="_Toc15377215"/>
      <w:bookmarkStart w:id="118"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113"/>
      <w:bookmarkEnd w:id="114"/>
      <w:bookmarkEnd w:id="115"/>
      <w:bookmarkEnd w:id="116"/>
      <w:bookmarkEnd w:id="117"/>
      <w:bookmarkEnd w:id="118"/>
    </w:p>
    <w:p>
      <w:pPr>
        <w:spacing w:line="600" w:lineRule="exact"/>
        <w:ind w:firstLine="640"/>
        <w:outlineLvl w:val="2"/>
        <w:rPr>
          <w:rFonts w:ascii="仿宋" w:hAnsi="仿宋" w:eastAsia="仿宋"/>
          <w:b/>
          <w:sz w:val="32"/>
          <w:szCs w:val="32"/>
        </w:rPr>
      </w:pPr>
      <w:bookmarkStart w:id="119" w:name="_Toc15377216"/>
      <w:r>
        <w:rPr>
          <w:rFonts w:hint="eastAsia" w:ascii="仿宋" w:hAnsi="仿宋" w:eastAsia="仿宋"/>
          <w:b/>
          <w:sz w:val="32"/>
          <w:szCs w:val="32"/>
        </w:rPr>
        <w:t>（一）“三公”经费财政拨款支出决算总体情况说明</w:t>
      </w:r>
      <w:bookmarkEnd w:id="119"/>
    </w:p>
    <w:p>
      <w:pPr>
        <w:spacing w:line="600" w:lineRule="exact"/>
        <w:ind w:firstLine="640"/>
        <w:rPr>
          <w:rFonts w:hint="eastAsia" w:ascii="仿宋" w:hAnsi="仿宋" w:eastAsia="仿宋"/>
          <w:b/>
          <w:sz w:val="32"/>
          <w:szCs w:val="32"/>
          <w:lang w:eastAsia="zh-CN"/>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120" w:name="_Toc15377217"/>
      <w:r>
        <w:rPr>
          <w:rFonts w:hint="eastAsia" w:ascii="仿宋" w:hAnsi="仿宋" w:eastAsia="仿宋"/>
          <w:b/>
          <w:sz w:val="32"/>
          <w:szCs w:val="32"/>
        </w:rPr>
        <w:t>（二）“三公”经费财政拨款支出决算具体情况说明</w:t>
      </w:r>
      <w:bookmarkEnd w:id="120"/>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万元；公务用车购置及运行维护费支出决算</w:t>
      </w:r>
      <w:r>
        <w:rPr>
          <w:rFonts w:ascii="仿宋" w:hAnsi="仿宋" w:eastAsia="仿宋"/>
          <w:b/>
          <w:sz w:val="32"/>
          <w:szCs w:val="32"/>
        </w:rPr>
        <w:t>0</w:t>
      </w:r>
      <w:r>
        <w:rPr>
          <w:rFonts w:hint="eastAsia" w:ascii="仿宋" w:hAnsi="仿宋" w:eastAsia="仿宋"/>
          <w:sz w:val="32"/>
          <w:szCs w:val="32"/>
        </w:rPr>
        <w:t>万元；公务接待费支出决算</w:t>
      </w:r>
      <w:r>
        <w:rPr>
          <w:rFonts w:ascii="仿宋" w:hAnsi="仿宋" w:eastAsia="仿宋"/>
          <w:b/>
          <w:sz w:val="32"/>
          <w:szCs w:val="32"/>
        </w:rPr>
        <w:t>0</w:t>
      </w:r>
      <w:r>
        <w:rPr>
          <w:rFonts w:hint="eastAsia" w:ascii="仿宋" w:hAnsi="仿宋" w:eastAsia="仿宋"/>
          <w:sz w:val="32"/>
          <w:szCs w:val="32"/>
        </w:rPr>
        <w:t>万元。具体情况如下：</w:t>
      </w:r>
    </w:p>
    <w:p>
      <w:pPr>
        <w:numPr>
          <w:ilvl w:val="0"/>
          <w:numId w:val="3"/>
        </w:numPr>
        <w:spacing w:line="600" w:lineRule="exact"/>
        <w:ind w:firstLine="640"/>
        <w:rPr>
          <w:rFonts w:ascii="仿宋_GB2312" w:eastAsia="仿宋_GB2312"/>
          <w:b/>
          <w:sz w:val="32"/>
          <w:szCs w:val="32"/>
        </w:rPr>
      </w:pPr>
      <w:bookmarkStart w:id="121" w:name="_Toc15396610"/>
      <w:bookmarkStart w:id="122"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numPr>
          <w:ilvl w:val="0"/>
          <w:numId w:val="3"/>
        </w:numPr>
        <w:spacing w:line="600" w:lineRule="exact"/>
        <w:ind w:firstLine="640"/>
        <w:rPr>
          <w:rFonts w:ascii="仿宋_GB2312" w:eastAsia="仿宋_GB2312"/>
          <w:b/>
          <w:sz w:val="32"/>
          <w:szCs w:val="32"/>
        </w:rPr>
      </w:pP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Style w:val="17"/>
          <w:rFonts w:hint="eastAsia" w:ascii="仿宋" w:hAnsi="仿宋" w:eastAsia="仿宋"/>
          <w:b w:val="0"/>
          <w:bCs/>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outlineLvl w:val="1"/>
        <w:rPr>
          <w:rStyle w:val="29"/>
          <w:rFonts w:ascii="黑体" w:hAnsi="黑体" w:eastAsia="黑体"/>
        </w:rPr>
      </w:pPr>
      <w:bookmarkStart w:id="123" w:name="_Toc5988"/>
      <w:bookmarkStart w:id="124" w:name="_Toc27543"/>
      <w:bookmarkStart w:id="125" w:name="_Toc3782"/>
      <w:bookmarkStart w:id="126" w:name="_Toc20390"/>
      <w:r>
        <w:rPr>
          <w:rFonts w:hint="eastAsia" w:ascii="黑体" w:eastAsia="黑体"/>
          <w:sz w:val="32"/>
          <w:szCs w:val="32"/>
        </w:rPr>
        <w:t>八、</w:t>
      </w:r>
      <w:r>
        <w:rPr>
          <w:rStyle w:val="29"/>
          <w:rFonts w:hint="eastAsia" w:ascii="黑体" w:hAnsi="黑体" w:eastAsia="黑体"/>
          <w:b w:val="0"/>
        </w:rPr>
        <w:t>政府性基金预算支出决算情况说明</w:t>
      </w:r>
      <w:bookmarkEnd w:id="121"/>
      <w:bookmarkEnd w:id="122"/>
      <w:bookmarkEnd w:id="123"/>
      <w:bookmarkEnd w:id="124"/>
      <w:bookmarkEnd w:id="125"/>
      <w:bookmarkEnd w:id="126"/>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0"/>
        </w:numPr>
        <w:spacing w:line="600" w:lineRule="exact"/>
        <w:ind w:firstLine="640" w:firstLineChars="200"/>
        <w:outlineLvl w:val="1"/>
        <w:rPr>
          <w:rStyle w:val="29"/>
          <w:rFonts w:ascii="黑体" w:hAnsi="黑体" w:eastAsia="黑体"/>
          <w:b w:val="0"/>
        </w:rPr>
      </w:pPr>
      <w:bookmarkStart w:id="127" w:name="_Toc26706"/>
      <w:bookmarkStart w:id="128" w:name="_Toc5808"/>
      <w:bookmarkStart w:id="129" w:name="_Toc23195"/>
      <w:bookmarkStart w:id="130" w:name="_Toc10451"/>
      <w:bookmarkStart w:id="131" w:name="_Toc15377219"/>
      <w:bookmarkStart w:id="132" w:name="_Toc15396611"/>
      <w:r>
        <w:rPr>
          <w:rStyle w:val="29"/>
          <w:rFonts w:hint="eastAsia" w:ascii="黑体" w:hAnsi="黑体" w:eastAsia="黑体"/>
          <w:b w:val="0"/>
          <w:lang w:eastAsia="zh-CN"/>
        </w:rPr>
        <w:t>九、</w:t>
      </w:r>
      <w:r>
        <w:rPr>
          <w:rStyle w:val="29"/>
          <w:rFonts w:hint="eastAsia" w:ascii="黑体" w:hAnsi="黑体" w:eastAsia="黑体"/>
          <w:b w:val="0"/>
        </w:rPr>
        <w:t>国有资本经营预算支出决算情况说明</w:t>
      </w:r>
      <w:bookmarkEnd w:id="127"/>
      <w:bookmarkEnd w:id="128"/>
      <w:bookmarkEnd w:id="129"/>
      <w:bookmarkEnd w:id="130"/>
      <w:bookmarkEnd w:id="131"/>
      <w:bookmarkEnd w:id="132"/>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0"/>
        </w:numPr>
        <w:spacing w:line="600" w:lineRule="exact"/>
        <w:ind w:firstLine="640" w:firstLineChars="200"/>
        <w:outlineLvl w:val="1"/>
        <w:rPr>
          <w:rStyle w:val="29"/>
          <w:rFonts w:ascii="黑体" w:hAnsi="黑体" w:eastAsia="黑体"/>
          <w:b w:val="0"/>
        </w:rPr>
      </w:pPr>
      <w:bookmarkStart w:id="133" w:name="_Toc25708"/>
      <w:bookmarkStart w:id="134" w:name="_Toc28487"/>
      <w:bookmarkStart w:id="135" w:name="_Toc15377221"/>
      <w:bookmarkStart w:id="136" w:name="_Toc8848"/>
      <w:bookmarkStart w:id="137" w:name="_Toc11788"/>
      <w:bookmarkStart w:id="138" w:name="_Toc15396612"/>
      <w:r>
        <w:rPr>
          <w:rStyle w:val="29"/>
          <w:rFonts w:hint="eastAsia" w:ascii="黑体" w:hAnsi="黑体" w:eastAsia="黑体"/>
          <w:b w:val="0"/>
          <w:lang w:eastAsia="zh-CN"/>
        </w:rPr>
        <w:t>十、</w:t>
      </w:r>
      <w:r>
        <w:rPr>
          <w:rStyle w:val="29"/>
          <w:rFonts w:hint="eastAsia" w:ascii="黑体" w:hAnsi="黑体" w:eastAsia="黑体"/>
          <w:b w:val="0"/>
        </w:rPr>
        <w:t>其他重要事项的情况说明</w:t>
      </w:r>
      <w:bookmarkEnd w:id="133"/>
      <w:bookmarkEnd w:id="134"/>
      <w:bookmarkEnd w:id="135"/>
      <w:bookmarkEnd w:id="136"/>
      <w:bookmarkEnd w:id="137"/>
      <w:bookmarkEnd w:id="138"/>
    </w:p>
    <w:p>
      <w:pPr>
        <w:spacing w:line="600" w:lineRule="exact"/>
        <w:ind w:firstLine="643" w:firstLineChars="200"/>
        <w:outlineLvl w:val="2"/>
        <w:rPr>
          <w:rFonts w:ascii="仿宋" w:hAnsi="仿宋" w:eastAsia="仿宋"/>
          <w:color w:val="auto"/>
          <w:sz w:val="32"/>
          <w:szCs w:val="32"/>
        </w:rPr>
      </w:pPr>
      <w:bookmarkStart w:id="139" w:name="_Toc15377222"/>
      <w:r>
        <w:rPr>
          <w:rFonts w:hint="eastAsia" w:ascii="仿宋" w:hAnsi="仿宋" w:eastAsia="仿宋"/>
          <w:b/>
          <w:color w:val="auto"/>
          <w:sz w:val="32"/>
          <w:szCs w:val="32"/>
        </w:rPr>
        <w:t>（一）</w:t>
      </w:r>
      <w:r>
        <w:rPr>
          <w:rFonts w:hint="eastAsia" w:ascii="仿宋" w:hAnsi="仿宋" w:eastAsia="仿宋"/>
          <w:b/>
          <w:color w:val="auto"/>
          <w:sz w:val="32"/>
          <w:szCs w:val="32"/>
          <w:lang w:eastAsia="zh-CN"/>
        </w:rPr>
        <w:t>事业</w:t>
      </w:r>
      <w:r>
        <w:rPr>
          <w:rFonts w:hint="eastAsia" w:ascii="仿宋" w:hAnsi="仿宋" w:eastAsia="仿宋"/>
          <w:b/>
          <w:color w:val="auto"/>
          <w:sz w:val="32"/>
          <w:szCs w:val="32"/>
        </w:rPr>
        <w:t>运行经费支出情况</w:t>
      </w:r>
      <w:bookmarkEnd w:id="139"/>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rPr>
        <w:t>2023年度，</w:t>
      </w:r>
      <w:r>
        <w:rPr>
          <w:rFonts w:ascii="仿宋_GB2312" w:eastAsia="仿宋_GB2312"/>
          <w:b/>
          <w:color w:val="auto"/>
          <w:sz w:val="32"/>
          <w:szCs w:val="32"/>
        </w:rPr>
        <w:t>乐山冠英新区开发建设服务</w:t>
      </w:r>
      <w:r>
        <w:rPr>
          <w:rFonts w:hint="eastAsia" w:ascii="仿宋_GB2312" w:eastAsia="仿宋_GB2312"/>
          <w:b/>
          <w:color w:val="auto"/>
          <w:sz w:val="32"/>
          <w:szCs w:val="32"/>
          <w:lang w:eastAsia="zh-CN"/>
        </w:rPr>
        <w:t>中心事业</w:t>
      </w:r>
      <w:r>
        <w:rPr>
          <w:rFonts w:hint="eastAsia" w:ascii="仿宋_GB2312" w:eastAsia="仿宋_GB2312"/>
          <w:color w:val="auto"/>
          <w:sz w:val="32"/>
          <w:szCs w:val="32"/>
        </w:rPr>
        <w:t>运行经费支出</w:t>
      </w:r>
      <w:r>
        <w:rPr>
          <w:rFonts w:hint="eastAsia" w:ascii="仿宋_GB2312" w:eastAsia="仿宋_GB2312"/>
          <w:color w:val="auto"/>
          <w:sz w:val="32"/>
          <w:szCs w:val="32"/>
          <w:lang w:val="en-US" w:eastAsia="zh-CN"/>
        </w:rPr>
        <w:t>16.2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比20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年增加</w:t>
      </w:r>
      <w:r>
        <w:rPr>
          <w:rFonts w:hint="eastAsia" w:ascii="仿宋_GB2312" w:hAnsi="仿宋_GB2312" w:eastAsia="仿宋_GB2312" w:cs="仿宋_GB2312"/>
          <w:color w:val="auto"/>
          <w:sz w:val="32"/>
          <w:szCs w:val="32"/>
          <w:lang w:val="en-US" w:eastAsia="zh-CN"/>
        </w:rPr>
        <w:t>1.4万元，增长9.46%。</w:t>
      </w:r>
      <w:r>
        <w:rPr>
          <w:rFonts w:hint="eastAsia" w:ascii="仿宋_GB2312" w:hAnsi="仿宋_GB2312" w:eastAsia="仿宋_GB2312" w:cs="仿宋_GB2312"/>
          <w:color w:val="auto"/>
          <w:sz w:val="32"/>
          <w:szCs w:val="32"/>
          <w:lang w:eastAsia="zh-CN"/>
        </w:rPr>
        <w:t>主要原因是事业人员增加，公用经费增加。</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40" w:name="_Toc15377223"/>
      <w:r>
        <w:rPr>
          <w:rFonts w:hint="eastAsia" w:ascii="仿宋" w:hAnsi="仿宋" w:eastAsia="仿宋"/>
          <w:b/>
          <w:sz w:val="32"/>
          <w:szCs w:val="32"/>
        </w:rPr>
        <w:t>（二）政府采购支出情况</w:t>
      </w:r>
      <w:bookmarkEnd w:id="14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乐山冠英新区开发建设服务中心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41" w:name="_Toc15377224"/>
      <w:r>
        <w:rPr>
          <w:rFonts w:hint="eastAsia" w:ascii="仿宋" w:hAnsi="仿宋" w:eastAsia="仿宋"/>
          <w:b/>
          <w:sz w:val="32"/>
          <w:szCs w:val="32"/>
        </w:rPr>
        <w:t>（三）国有资产占有使用情况</w:t>
      </w:r>
      <w:bookmarkEnd w:id="141"/>
    </w:p>
    <w:p>
      <w:pPr>
        <w:autoSpaceDE w:val="0"/>
        <w:autoSpaceDN w:val="0"/>
        <w:adjustRightInd w:val="0"/>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乐山冠英新区开发建设服务中心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color w:val="auto"/>
          <w:sz w:val="32"/>
          <w:szCs w:val="32"/>
          <w:lang w:val="en-US" w:eastAsia="zh-CN"/>
        </w:rPr>
        <w:t>工资性支出（行政）</w:t>
      </w:r>
      <w:r>
        <w:rPr>
          <w:rFonts w:hint="eastAsia" w:ascii="仿宋_GB2312" w:eastAsia="仿宋_GB2312"/>
          <w:color w:val="auto"/>
          <w:sz w:val="32"/>
          <w:szCs w:val="32"/>
        </w:rPr>
        <w:t>项目等</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个项目开展了预算事前绩效评估，对</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个项目编制了绩效目标，预算执行过程中，选取</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个项目开展绩效监控，组织对</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个项目开展绩效自评，绩效自评表详见第四部分附件。绩效自评，</w:t>
      </w:r>
      <w:r>
        <w:rPr>
          <w:rFonts w:hint="eastAsia" w:ascii="仿宋_GB2312" w:eastAsia="仿宋_GB2312"/>
          <w:sz w:val="32"/>
          <w:szCs w:val="32"/>
        </w:rPr>
        <w:t>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黑体" w:hAnsi="黑体" w:eastAsia="黑体" w:cs="黑体"/>
          <w:sz w:val="44"/>
          <w:szCs w:val="44"/>
        </w:rPr>
      </w:pPr>
      <w:bookmarkStart w:id="142" w:name="_Toc15377226"/>
    </w:p>
    <w:p>
      <w:pPr>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0"/>
        <w:rPr>
          <w:rFonts w:hint="eastAsia" w:ascii="黑体" w:hAnsi="黑体" w:eastAsia="黑体" w:cs="黑体"/>
          <w:sz w:val="44"/>
          <w:szCs w:val="44"/>
        </w:rPr>
      </w:pPr>
      <w:bookmarkStart w:id="143" w:name="_Toc9826"/>
      <w:bookmarkStart w:id="144" w:name="_Toc32586"/>
      <w:bookmarkStart w:id="145" w:name="_Toc21237"/>
      <w:bookmarkStart w:id="146" w:name="_Toc4642"/>
      <w:r>
        <w:rPr>
          <w:rFonts w:hint="eastAsia" w:ascii="黑体" w:hAnsi="黑体" w:eastAsia="黑体" w:cs="黑体"/>
          <w:sz w:val="44"/>
          <w:szCs w:val="44"/>
        </w:rPr>
        <w:t>第三部分 名词解释</w:t>
      </w:r>
      <w:bookmarkEnd w:id="143"/>
      <w:bookmarkEnd w:id="144"/>
      <w:bookmarkEnd w:id="145"/>
      <w:bookmarkEnd w:id="14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bookmarkStart w:id="147" w:name="_Toc29922"/>
      <w:bookmarkStart w:id="148" w:name="_Toc19357"/>
      <w:bookmarkStart w:id="149" w:name="_Toc20982"/>
      <w:bookmarkStart w:id="150" w:name="_Toc20416"/>
      <w:r>
        <w:rPr>
          <w:rFonts w:hint="eastAsia" w:ascii="仿宋_GB2312" w:hAnsi="仿宋_GB2312" w:eastAsia="仿宋_GB2312" w:cs="仿宋_GB2312"/>
          <w:sz w:val="32"/>
          <w:szCs w:val="32"/>
          <w:lang w:eastAsia="zh-CN"/>
        </w:rPr>
        <w:t>（一）财政拨款收入：指区级财政当年拨付的资金。</w:t>
      </w:r>
      <w:bookmarkEnd w:id="147"/>
      <w:bookmarkEnd w:id="148"/>
      <w:bookmarkEnd w:id="149"/>
      <w:bookmarkEnd w:id="15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（二）一般公共服务支出（类）政府办公厅（室）及相关机构事务（款）行政运行（项）：指行政单位的基本支出。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（三）社会保障和就业（类）行政事业单位离退休（款）机关事业单位基本养老保险缴费支出（项）：指机关事业单位基本养老保险缴费支出。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（四）医疗卫生与计划生育支出（类）医疗保障（款）行政事业单位医疗（项）：指财政部门集中安排的行政事业单位基本医疗保险缴费经费。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城乡社区支出（类）城乡社区公共设施（款）城乡社区公共设施支出（项）：指用于城市基础设施配套费安排用于城市道路、桥涵、公共交通、道路照明、供排水、燃气、供热等公共设施维护、建设和管理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（六）城乡社区支出（类）城乡社区公共设施（款）其他城乡社区公共设施支出（项）：指用于城乡社区公共设施方面的支出。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资源勘探信息等支出（类）工业和信息监管（款）行政运行、一般行政管理事务、其他工业和信息产业监管支出（项）：指行政单位的基本支出、未单独设置项及科目的其他项目支出及上述项目以外其他用于工业和信息产业监管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（八）住房保障支出（类）住房改革支出（款）住房公积金（项）：指行政事业单位按人力资源和社会保障部、财政部规定的基本工资和津贴补贴以及规定比例为职工缴纳的住房公积金。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（九）基本支出：指为保障机构正常运转、完成日常工作任务而发生的人员支出和公用支出。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（十一）“三公”经费：纳入区级财政预决算管理的“三公”经费，是指部门用财政拨款安排的因公出国（境）经费、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务用车购置及运行维护费、公务接待费。其中，因公出国（境）经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二）事业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9"/>
        <w:rPr>
          <w:rFonts w:ascii="宋体"/>
          <w:b/>
          <w:sz w:val="44"/>
          <w:szCs w:val="44"/>
        </w:rPr>
      </w:pPr>
      <w:r>
        <w:rPr>
          <w:rFonts w:ascii="宋体"/>
          <w:b/>
          <w:sz w:val="44"/>
          <w:szCs w:val="44"/>
        </w:rPr>
        <w:br w:type="page"/>
      </w:r>
      <w:bookmarkStart w:id="151" w:name="_Toc15396614"/>
    </w:p>
    <w:p>
      <w:pPr>
        <w:spacing w:line="600" w:lineRule="exact"/>
        <w:jc w:val="center"/>
        <w:outlineLvl w:val="9"/>
        <w:rPr>
          <w:rFonts w:ascii="宋体"/>
          <w:b/>
          <w:sz w:val="44"/>
          <w:szCs w:val="44"/>
        </w:rPr>
      </w:pPr>
    </w:p>
    <w:p>
      <w:pPr>
        <w:spacing w:line="600" w:lineRule="exact"/>
        <w:jc w:val="center"/>
        <w:outlineLvl w:val="0"/>
        <w:rPr>
          <w:rStyle w:val="28"/>
          <w:rFonts w:ascii="黑体" w:hAnsi="黑体" w:eastAsia="黑体"/>
          <w:b w:val="0"/>
          <w:color w:val="auto"/>
        </w:rPr>
      </w:pPr>
      <w:bookmarkStart w:id="152" w:name="_Toc26993"/>
      <w:bookmarkStart w:id="153" w:name="_Toc21632"/>
      <w:bookmarkStart w:id="154" w:name="_Toc18901"/>
      <w:bookmarkStart w:id="155" w:name="_Toc26279"/>
      <w:r>
        <w:rPr>
          <w:rFonts w:hint="eastAsia" w:ascii="黑体" w:hAnsi="黑体" w:eastAsia="黑体"/>
          <w:color w:val="auto"/>
          <w:sz w:val="44"/>
          <w:szCs w:val="44"/>
        </w:rPr>
        <w:t>第</w:t>
      </w:r>
      <w:r>
        <w:rPr>
          <w:rStyle w:val="28"/>
          <w:rFonts w:hint="eastAsia" w:ascii="黑体" w:hAnsi="黑体" w:eastAsia="黑体"/>
          <w:b w:val="0"/>
          <w:color w:val="auto"/>
        </w:rPr>
        <w:t>四部分 附件</w:t>
      </w:r>
      <w:bookmarkEnd w:id="151"/>
      <w:bookmarkEnd w:id="152"/>
      <w:bookmarkEnd w:id="153"/>
      <w:bookmarkEnd w:id="154"/>
      <w:bookmarkEnd w:id="155"/>
    </w:p>
    <w:p>
      <w:pPr>
        <w:spacing w:line="572" w:lineRule="exact"/>
        <w:jc w:val="left"/>
        <w:outlineLvl w:val="9"/>
        <w:rPr>
          <w:rFonts w:ascii="仿宋_GB2312" w:hAnsi="仿宋_GB2312" w:eastAsia="仿宋_GB2312" w:cs="仿宋_GB2312"/>
          <w:color w:val="auto"/>
          <w:sz w:val="32"/>
          <w:szCs w:val="32"/>
        </w:rPr>
      </w:pPr>
    </w:p>
    <w:p>
      <w:pPr>
        <w:spacing w:line="600" w:lineRule="exact"/>
        <w:jc w:val="center"/>
        <w:outlineLvl w:val="1"/>
        <w:rPr>
          <w:rFonts w:hint="eastAsia"/>
          <w:color w:val="auto"/>
          <w:sz w:val="32"/>
          <w:szCs w:val="32"/>
        </w:rPr>
      </w:pPr>
      <w:bookmarkStart w:id="156" w:name="_Toc31478"/>
      <w:bookmarkStart w:id="157" w:name="_Toc3193"/>
      <w:bookmarkStart w:id="158" w:name="_Toc27195"/>
      <w:bookmarkStart w:id="159" w:name="_Toc1905"/>
      <w:bookmarkStart w:id="160" w:name="_Toc15396618"/>
      <w:r>
        <w:rPr>
          <w:rFonts w:hint="eastAsia"/>
          <w:color w:val="auto"/>
          <w:sz w:val="32"/>
          <w:szCs w:val="32"/>
        </w:rPr>
        <w:t>部门预算项目支出绩效自评表（2023年度）</w:t>
      </w:r>
      <w:bookmarkEnd w:id="156"/>
      <w:bookmarkEnd w:id="157"/>
      <w:bookmarkEnd w:id="158"/>
      <w:bookmarkEnd w:id="159"/>
    </w:p>
    <w:tbl>
      <w:tblPr>
        <w:tblStyle w:val="15"/>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49"/>
        <w:gridCol w:w="1069"/>
        <w:gridCol w:w="382"/>
        <w:gridCol w:w="690"/>
        <w:gridCol w:w="613"/>
        <w:gridCol w:w="425"/>
        <w:gridCol w:w="464"/>
        <w:gridCol w:w="486"/>
        <w:gridCol w:w="64"/>
        <w:gridCol w:w="521"/>
        <w:gridCol w:w="171"/>
        <w:gridCol w:w="851"/>
        <w:gridCol w:w="11"/>
        <w:gridCol w:w="475"/>
        <w:gridCol w:w="371"/>
        <w:gridCol w:w="25"/>
        <w:gridCol w:w="479"/>
        <w:gridCol w:w="456"/>
        <w:gridCol w:w="314"/>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65" w:type="dxa"/>
          <w:trHeight w:val="286" w:hRule="atLeast"/>
        </w:trPr>
        <w:tc>
          <w:tcPr>
            <w:tcW w:w="6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8"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8"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9"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5" w:type="dxa"/>
          <w:trHeight w:val="286" w:hRule="atLeast"/>
        </w:trPr>
        <w:tc>
          <w:tcPr>
            <w:tcW w:w="6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8"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8"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9"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51111221R000000028090-工资性支出（事业）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61.13</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65.22</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61.13</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65.22</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51111221R000000028139-养老保险（事业）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14.15</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14.15</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51111221R000000028154-职业年金（事业）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7.08</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7.08</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51111221R000000028166-医疗保险（事业）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51111221R000000028299-工伤保险（事业）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0.49</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0.49</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51111221R000000028705-残疾人保障金（事业）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51111221R000000028727-住房公积金（事业）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11.84</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12.05</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11.84</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12.05</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51111221Y000000029361-日常公用经费（事业）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13.83</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13.83</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51111221Y000000029861-工会及福利费（事业）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51111222R000000412382-公务员医疗补助缴费（事业）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51111222R000006332821-事业人员基本绩效工资（不含教育、卫生）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27.32</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27.32</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27.32</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27.32</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0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39"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51111222R000006333096-事业人员动态调控激励绩效工资（不含教育、卫生）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11.95</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11.95</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9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bl>
    <w:p>
      <w:pPr>
        <w:pStyle w:val="7"/>
        <w:spacing w:line="560" w:lineRule="exact"/>
        <w:ind w:left="0" w:leftChars="0" w:firstLine="640"/>
        <w:rPr>
          <w:color w:val="FF0000"/>
          <w:sz w:val="32"/>
        </w:rPr>
      </w:pPr>
    </w:p>
    <w:p>
      <w:pPr>
        <w:spacing w:line="600" w:lineRule="exact"/>
        <w:ind w:firstLine="3520" w:firstLineChars="800"/>
        <w:jc w:val="both"/>
        <w:outlineLvl w:val="9"/>
        <w:rPr>
          <w:rFonts w:hint="eastAsia" w:ascii="黑体" w:hAnsi="黑体" w:eastAsia="黑体"/>
          <w:sz w:val="44"/>
          <w:szCs w:val="44"/>
        </w:rPr>
      </w:pPr>
      <w:bookmarkStart w:id="161" w:name="_Toc8422"/>
      <w:bookmarkStart w:id="162" w:name="_Toc12838"/>
    </w:p>
    <w:p>
      <w:pPr>
        <w:spacing w:line="600" w:lineRule="exact"/>
        <w:ind w:firstLine="2200" w:firstLineChars="500"/>
        <w:jc w:val="both"/>
        <w:outlineLvl w:val="0"/>
        <w:rPr>
          <w:rFonts w:ascii="仿宋" w:hAnsi="仿宋" w:eastAsia="仿宋"/>
        </w:rPr>
      </w:pPr>
      <w:bookmarkStart w:id="163" w:name="_Toc59"/>
      <w:bookmarkStart w:id="164" w:name="_Toc17095"/>
      <w:r>
        <w:rPr>
          <w:rFonts w:hint="eastAsia" w:ascii="黑体" w:hAnsi="黑体" w:eastAsia="黑体"/>
          <w:sz w:val="44"/>
          <w:szCs w:val="44"/>
        </w:rPr>
        <w:t>第</w:t>
      </w:r>
      <w:r>
        <w:rPr>
          <w:rStyle w:val="28"/>
          <w:rFonts w:hint="eastAsia" w:ascii="黑体" w:hAnsi="黑体" w:eastAsia="黑体"/>
          <w:b w:val="0"/>
        </w:rPr>
        <w:t>五部分 附表</w:t>
      </w:r>
      <w:bookmarkEnd w:id="142"/>
      <w:bookmarkEnd w:id="160"/>
      <w:bookmarkEnd w:id="161"/>
      <w:bookmarkEnd w:id="162"/>
      <w:bookmarkEnd w:id="163"/>
      <w:bookmarkEnd w:id="164"/>
      <w:bookmarkStart w:id="165" w:name="_Toc15396619"/>
    </w:p>
    <w:p>
      <w:pPr>
        <w:pStyle w:val="3"/>
        <w:rPr>
          <w:rFonts w:ascii="仿宋" w:hAnsi="仿宋" w:eastAsia="仿宋"/>
        </w:rPr>
      </w:pPr>
      <w:bookmarkStart w:id="166" w:name="_Toc29504"/>
      <w:bookmarkStart w:id="167" w:name="_Toc31951"/>
      <w:bookmarkStart w:id="168" w:name="_Toc12729"/>
      <w:bookmarkStart w:id="169" w:name="_Toc1402"/>
      <w:r>
        <w:rPr>
          <w:rFonts w:hint="eastAsia" w:ascii="仿宋" w:hAnsi="仿宋" w:eastAsia="仿宋"/>
          <w:b w:val="0"/>
        </w:rPr>
        <w:t>一、收</w:t>
      </w:r>
      <w:r>
        <w:rPr>
          <w:rStyle w:val="29"/>
          <w:rFonts w:hint="eastAsia" w:ascii="仿宋" w:hAnsi="仿宋" w:eastAsia="仿宋"/>
          <w:b w:val="0"/>
          <w:bCs w:val="0"/>
        </w:rPr>
        <w:t>入支出决算总表</w:t>
      </w:r>
      <w:bookmarkEnd w:id="165"/>
      <w:bookmarkEnd w:id="166"/>
      <w:bookmarkEnd w:id="167"/>
      <w:bookmarkEnd w:id="168"/>
      <w:bookmarkEnd w:id="169"/>
    </w:p>
    <w:p>
      <w:pPr>
        <w:pStyle w:val="3"/>
        <w:rPr>
          <w:rFonts w:ascii="仿宋" w:hAnsi="仿宋" w:eastAsia="仿宋"/>
        </w:rPr>
      </w:pPr>
      <w:bookmarkStart w:id="170" w:name="_Toc15396620"/>
      <w:bookmarkStart w:id="171" w:name="_Toc21212"/>
      <w:bookmarkStart w:id="172" w:name="_Toc15936"/>
      <w:bookmarkStart w:id="173" w:name="_Toc6045"/>
      <w:bookmarkStart w:id="174" w:name="_Toc13768"/>
      <w:r>
        <w:rPr>
          <w:rFonts w:hint="eastAsia" w:ascii="仿宋" w:hAnsi="仿宋" w:eastAsia="仿宋"/>
          <w:b w:val="0"/>
        </w:rPr>
        <w:t>二、收</w:t>
      </w:r>
      <w:r>
        <w:rPr>
          <w:rStyle w:val="29"/>
          <w:rFonts w:hint="eastAsia" w:ascii="仿宋" w:hAnsi="仿宋" w:eastAsia="仿宋"/>
          <w:b w:val="0"/>
          <w:bCs w:val="0"/>
        </w:rPr>
        <w:t>入决算表</w:t>
      </w:r>
      <w:bookmarkEnd w:id="170"/>
      <w:bookmarkEnd w:id="171"/>
      <w:bookmarkEnd w:id="172"/>
      <w:bookmarkEnd w:id="173"/>
      <w:bookmarkEnd w:id="174"/>
    </w:p>
    <w:p>
      <w:pPr>
        <w:pStyle w:val="3"/>
        <w:rPr>
          <w:rFonts w:ascii="仿宋" w:hAnsi="仿宋" w:eastAsia="仿宋"/>
        </w:rPr>
      </w:pPr>
      <w:bookmarkStart w:id="175" w:name="_Toc15396621"/>
      <w:bookmarkStart w:id="176" w:name="_Toc1101"/>
      <w:bookmarkStart w:id="177" w:name="_Toc23179"/>
      <w:bookmarkStart w:id="178" w:name="_Toc19714"/>
      <w:bookmarkStart w:id="179" w:name="_Toc25435"/>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75"/>
      <w:bookmarkEnd w:id="176"/>
      <w:bookmarkEnd w:id="177"/>
      <w:bookmarkEnd w:id="178"/>
      <w:bookmarkEnd w:id="179"/>
    </w:p>
    <w:p>
      <w:pPr>
        <w:pStyle w:val="3"/>
        <w:rPr>
          <w:rFonts w:ascii="仿宋" w:hAnsi="仿宋" w:eastAsia="仿宋"/>
          <w:b w:val="0"/>
        </w:rPr>
      </w:pPr>
      <w:bookmarkStart w:id="180" w:name="_Toc15396622"/>
      <w:bookmarkStart w:id="181" w:name="_Toc4198"/>
      <w:bookmarkStart w:id="182" w:name="_Toc1839"/>
      <w:bookmarkStart w:id="183" w:name="_Toc13586"/>
      <w:bookmarkStart w:id="184" w:name="_Toc26650"/>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80"/>
      <w:bookmarkEnd w:id="181"/>
      <w:bookmarkEnd w:id="182"/>
      <w:bookmarkEnd w:id="183"/>
      <w:bookmarkEnd w:id="184"/>
    </w:p>
    <w:p>
      <w:pPr>
        <w:pStyle w:val="3"/>
        <w:rPr>
          <w:rStyle w:val="29"/>
          <w:rFonts w:ascii="仿宋" w:hAnsi="仿宋" w:eastAsia="仿宋"/>
          <w:b w:val="0"/>
          <w:bCs w:val="0"/>
        </w:rPr>
      </w:pPr>
      <w:bookmarkStart w:id="185" w:name="_Toc15396623"/>
      <w:bookmarkStart w:id="186" w:name="_Toc2254"/>
      <w:bookmarkStart w:id="187" w:name="_Toc24795"/>
      <w:bookmarkStart w:id="188" w:name="_Toc27608"/>
      <w:bookmarkStart w:id="189" w:name="_Toc5800"/>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85"/>
      <w:bookmarkEnd w:id="186"/>
      <w:bookmarkEnd w:id="187"/>
      <w:bookmarkEnd w:id="188"/>
      <w:bookmarkEnd w:id="189"/>
      <w:bookmarkStart w:id="190" w:name="_Toc15396624"/>
    </w:p>
    <w:p>
      <w:pPr>
        <w:pStyle w:val="3"/>
        <w:rPr>
          <w:rFonts w:ascii="仿宋" w:hAnsi="仿宋" w:eastAsia="仿宋"/>
        </w:rPr>
      </w:pPr>
      <w:bookmarkStart w:id="191" w:name="_Toc4001"/>
      <w:bookmarkStart w:id="192" w:name="_Toc18573"/>
      <w:bookmarkStart w:id="193" w:name="_Toc9110"/>
      <w:bookmarkStart w:id="194" w:name="_Toc25874"/>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90"/>
      <w:bookmarkEnd w:id="191"/>
      <w:bookmarkEnd w:id="192"/>
      <w:bookmarkEnd w:id="193"/>
      <w:bookmarkEnd w:id="194"/>
    </w:p>
    <w:p>
      <w:pPr>
        <w:pStyle w:val="3"/>
        <w:rPr>
          <w:rFonts w:ascii="仿宋" w:hAnsi="仿宋" w:eastAsia="仿宋"/>
        </w:rPr>
      </w:pPr>
      <w:bookmarkStart w:id="195" w:name="_Toc12595"/>
      <w:bookmarkStart w:id="196" w:name="_Toc15396625"/>
      <w:bookmarkStart w:id="197" w:name="_Toc8261"/>
      <w:bookmarkStart w:id="198" w:name="_Toc11613"/>
      <w:bookmarkStart w:id="199" w:name="_Toc31302"/>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95"/>
      <w:bookmarkEnd w:id="196"/>
      <w:bookmarkEnd w:id="197"/>
      <w:bookmarkEnd w:id="198"/>
      <w:bookmarkEnd w:id="199"/>
    </w:p>
    <w:p>
      <w:pPr>
        <w:pStyle w:val="3"/>
        <w:rPr>
          <w:rFonts w:ascii="仿宋" w:hAnsi="仿宋" w:eastAsia="仿宋"/>
        </w:rPr>
      </w:pPr>
      <w:bookmarkStart w:id="200" w:name="_Toc15396626"/>
      <w:bookmarkStart w:id="201" w:name="_Toc22471"/>
      <w:bookmarkStart w:id="202" w:name="_Toc26086"/>
      <w:bookmarkStart w:id="203" w:name="_Toc28021"/>
      <w:bookmarkStart w:id="204" w:name="_Toc19773"/>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200"/>
      <w:bookmarkEnd w:id="201"/>
      <w:bookmarkEnd w:id="202"/>
      <w:bookmarkEnd w:id="203"/>
      <w:bookmarkEnd w:id="204"/>
    </w:p>
    <w:p>
      <w:pPr>
        <w:pStyle w:val="3"/>
        <w:rPr>
          <w:rFonts w:ascii="仿宋" w:hAnsi="仿宋" w:eastAsia="仿宋"/>
        </w:rPr>
      </w:pPr>
      <w:bookmarkStart w:id="205" w:name="_Toc15396627"/>
      <w:bookmarkStart w:id="206" w:name="_Toc31197"/>
      <w:bookmarkStart w:id="207" w:name="_Toc789"/>
      <w:bookmarkStart w:id="208" w:name="_Toc921"/>
      <w:bookmarkStart w:id="209" w:name="_Toc8398"/>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205"/>
      <w:bookmarkEnd w:id="206"/>
      <w:bookmarkEnd w:id="207"/>
      <w:bookmarkEnd w:id="208"/>
      <w:bookmarkEnd w:id="209"/>
    </w:p>
    <w:p>
      <w:pPr>
        <w:pStyle w:val="3"/>
        <w:rPr>
          <w:rFonts w:ascii="仿宋" w:hAnsi="仿宋" w:eastAsia="仿宋"/>
        </w:rPr>
      </w:pPr>
      <w:bookmarkStart w:id="210" w:name="_Toc15396628"/>
      <w:bookmarkStart w:id="211" w:name="_Toc27415"/>
      <w:bookmarkStart w:id="212" w:name="_Toc9221"/>
      <w:bookmarkStart w:id="213" w:name="_Toc12758"/>
      <w:bookmarkStart w:id="214" w:name="_Toc29737"/>
      <w:r>
        <w:rPr>
          <w:rStyle w:val="29"/>
          <w:rFonts w:hint="eastAsia" w:ascii="仿宋" w:hAnsi="仿宋" w:eastAsia="仿宋"/>
          <w:b w:val="0"/>
          <w:bCs w:val="0"/>
        </w:rPr>
        <w:t>十、</w:t>
      </w:r>
      <w:bookmarkEnd w:id="210"/>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211"/>
      <w:bookmarkEnd w:id="212"/>
      <w:bookmarkEnd w:id="213"/>
      <w:bookmarkEnd w:id="214"/>
    </w:p>
    <w:p>
      <w:pPr>
        <w:pStyle w:val="3"/>
        <w:rPr>
          <w:rFonts w:ascii="仿宋" w:hAnsi="仿宋" w:eastAsia="仿宋"/>
        </w:rPr>
      </w:pPr>
      <w:bookmarkStart w:id="215" w:name="_Toc15396629"/>
      <w:bookmarkStart w:id="216" w:name="_Toc1573"/>
      <w:bookmarkStart w:id="217" w:name="_Toc20398"/>
      <w:bookmarkStart w:id="218" w:name="_Toc14669"/>
      <w:bookmarkStart w:id="219" w:name="_Toc13728"/>
      <w:r>
        <w:rPr>
          <w:rStyle w:val="29"/>
          <w:rFonts w:hint="eastAsia" w:ascii="仿宋" w:hAnsi="仿宋" w:eastAsia="仿宋"/>
          <w:b w:val="0"/>
          <w:bCs w:val="0"/>
        </w:rPr>
        <w:t>十一、</w:t>
      </w:r>
      <w:bookmarkEnd w:id="215"/>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216"/>
      <w:bookmarkEnd w:id="217"/>
      <w:bookmarkEnd w:id="218"/>
      <w:bookmarkEnd w:id="219"/>
    </w:p>
    <w:p>
      <w:pPr>
        <w:pStyle w:val="3"/>
        <w:rPr>
          <w:rFonts w:ascii="仿宋" w:hAnsi="仿宋" w:eastAsia="仿宋"/>
        </w:rPr>
      </w:pPr>
      <w:bookmarkStart w:id="220" w:name="_Toc15396630"/>
      <w:bookmarkStart w:id="221" w:name="_Toc31098"/>
      <w:bookmarkStart w:id="222" w:name="_Toc18739"/>
      <w:bookmarkStart w:id="223" w:name="_Toc32719"/>
      <w:bookmarkStart w:id="224" w:name="_Toc3479"/>
      <w:r>
        <w:rPr>
          <w:rStyle w:val="29"/>
          <w:rFonts w:hint="eastAsia" w:ascii="仿宋" w:hAnsi="仿宋" w:eastAsia="仿宋"/>
          <w:b w:val="0"/>
          <w:bCs w:val="0"/>
        </w:rPr>
        <w:t>十二、</w:t>
      </w:r>
      <w:bookmarkEnd w:id="220"/>
      <w:r>
        <w:rPr>
          <w:rStyle w:val="29"/>
          <w:rFonts w:hint="eastAsia" w:ascii="仿宋" w:hAnsi="仿宋" w:eastAsia="仿宋"/>
          <w:b w:val="0"/>
          <w:bCs w:val="0"/>
        </w:rPr>
        <w:t>国有资本经营预算财政拨款支出决算表</w:t>
      </w:r>
      <w:bookmarkEnd w:id="221"/>
      <w:bookmarkEnd w:id="222"/>
      <w:bookmarkEnd w:id="223"/>
      <w:bookmarkEnd w:id="224"/>
    </w:p>
    <w:p>
      <w:pPr>
        <w:pStyle w:val="3"/>
        <w:rPr>
          <w:rFonts w:eastAsia="仿宋"/>
        </w:rPr>
      </w:pPr>
      <w:bookmarkStart w:id="225" w:name="_Toc15396631"/>
      <w:bookmarkStart w:id="226" w:name="_Toc25106"/>
      <w:bookmarkStart w:id="227" w:name="_Toc11568"/>
      <w:bookmarkStart w:id="228" w:name="_Toc6985"/>
      <w:bookmarkStart w:id="229" w:name="_Toc975"/>
      <w:r>
        <w:rPr>
          <w:rStyle w:val="29"/>
          <w:rFonts w:hint="eastAsia" w:ascii="仿宋" w:hAnsi="仿宋" w:eastAsia="仿宋"/>
          <w:b w:val="0"/>
          <w:bCs w:val="0"/>
        </w:rPr>
        <w:t>十三、</w:t>
      </w:r>
      <w:bookmarkEnd w:id="225"/>
      <w:r>
        <w:rPr>
          <w:rStyle w:val="29"/>
          <w:rFonts w:hint="eastAsia" w:ascii="仿宋" w:hAnsi="仿宋" w:eastAsia="仿宋"/>
          <w:b w:val="0"/>
          <w:bCs w:val="0"/>
        </w:rPr>
        <w:t>财政拨款“三公”经费支出决算表</w:t>
      </w:r>
      <w:bookmarkEnd w:id="226"/>
      <w:bookmarkEnd w:id="227"/>
      <w:bookmarkEnd w:id="228"/>
      <w:bookmarkEnd w:id="229"/>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30D13"/>
    <w:multiLevelType w:val="singleLevel"/>
    <w:tmpl w:val="9C430D13"/>
    <w:lvl w:ilvl="0" w:tentative="0">
      <w:start w:val="1"/>
      <w:numFmt w:val="decimal"/>
      <w:lvlText w:val="%1."/>
      <w:lvlJc w:val="left"/>
      <w:pPr>
        <w:tabs>
          <w:tab w:val="left" w:pos="312"/>
        </w:tabs>
      </w:p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D85744"/>
    <w:multiLevelType w:val="singleLevel"/>
    <w:tmpl w:val="7ED8574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2IzYTU5M2FjNmQ1N2UxOGY3Nzg1NTlkMGM0N2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14BB"/>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50329"/>
    <w:rsid w:val="02A56735"/>
    <w:rsid w:val="02D84642"/>
    <w:rsid w:val="03A45678"/>
    <w:rsid w:val="03DC2831"/>
    <w:rsid w:val="03FA45CE"/>
    <w:rsid w:val="04471852"/>
    <w:rsid w:val="05191440"/>
    <w:rsid w:val="06334DBE"/>
    <w:rsid w:val="07AF7E3A"/>
    <w:rsid w:val="081B5E94"/>
    <w:rsid w:val="088017D6"/>
    <w:rsid w:val="0A2032A3"/>
    <w:rsid w:val="0B1948D4"/>
    <w:rsid w:val="0B662F05"/>
    <w:rsid w:val="0B8A37D8"/>
    <w:rsid w:val="0E697582"/>
    <w:rsid w:val="0F5FFB2F"/>
    <w:rsid w:val="0FA6001E"/>
    <w:rsid w:val="0FFFCF60"/>
    <w:rsid w:val="10A71EC6"/>
    <w:rsid w:val="10C055FF"/>
    <w:rsid w:val="1109192F"/>
    <w:rsid w:val="118107EC"/>
    <w:rsid w:val="118E0C59"/>
    <w:rsid w:val="11D4713D"/>
    <w:rsid w:val="11DD6519"/>
    <w:rsid w:val="12A63DE9"/>
    <w:rsid w:val="12E50BB3"/>
    <w:rsid w:val="12E511FD"/>
    <w:rsid w:val="132C233E"/>
    <w:rsid w:val="13942D1B"/>
    <w:rsid w:val="14510943"/>
    <w:rsid w:val="16555AC3"/>
    <w:rsid w:val="169E5370"/>
    <w:rsid w:val="16BB723D"/>
    <w:rsid w:val="173A1679"/>
    <w:rsid w:val="18015F3F"/>
    <w:rsid w:val="183A54FD"/>
    <w:rsid w:val="18952734"/>
    <w:rsid w:val="191129A6"/>
    <w:rsid w:val="192470C1"/>
    <w:rsid w:val="1B0E7ED6"/>
    <w:rsid w:val="1B164009"/>
    <w:rsid w:val="1BE8440E"/>
    <w:rsid w:val="1D155CEE"/>
    <w:rsid w:val="1D99674B"/>
    <w:rsid w:val="1DD1544F"/>
    <w:rsid w:val="1FAD4807"/>
    <w:rsid w:val="1FDBBF84"/>
    <w:rsid w:val="1FE83A91"/>
    <w:rsid w:val="20EA22D2"/>
    <w:rsid w:val="20F57F95"/>
    <w:rsid w:val="22317971"/>
    <w:rsid w:val="22596EC8"/>
    <w:rsid w:val="23405992"/>
    <w:rsid w:val="23EF6ABD"/>
    <w:rsid w:val="24031554"/>
    <w:rsid w:val="240371BF"/>
    <w:rsid w:val="24D87E3B"/>
    <w:rsid w:val="25711CC6"/>
    <w:rsid w:val="25C741E6"/>
    <w:rsid w:val="26284BE7"/>
    <w:rsid w:val="26AB75C6"/>
    <w:rsid w:val="276F80C0"/>
    <w:rsid w:val="27842671"/>
    <w:rsid w:val="28C85FAF"/>
    <w:rsid w:val="29FD04D3"/>
    <w:rsid w:val="2ABE7A3E"/>
    <w:rsid w:val="2AFF09B6"/>
    <w:rsid w:val="2BB1742D"/>
    <w:rsid w:val="2C5F332D"/>
    <w:rsid w:val="2C736DD8"/>
    <w:rsid w:val="2CA234A8"/>
    <w:rsid w:val="2CDD6369"/>
    <w:rsid w:val="2DD92C6B"/>
    <w:rsid w:val="2E78429A"/>
    <w:rsid w:val="2ECB4CA9"/>
    <w:rsid w:val="2EFA178C"/>
    <w:rsid w:val="2EFDF86C"/>
    <w:rsid w:val="2F9D17E1"/>
    <w:rsid w:val="2FFA49B0"/>
    <w:rsid w:val="307F0B1B"/>
    <w:rsid w:val="30B46D73"/>
    <w:rsid w:val="319F7F4E"/>
    <w:rsid w:val="350D64BA"/>
    <w:rsid w:val="3562005C"/>
    <w:rsid w:val="356A28F1"/>
    <w:rsid w:val="357C035A"/>
    <w:rsid w:val="35B77D36"/>
    <w:rsid w:val="368E000D"/>
    <w:rsid w:val="36C7044C"/>
    <w:rsid w:val="37190C79"/>
    <w:rsid w:val="37B51C40"/>
    <w:rsid w:val="383C0483"/>
    <w:rsid w:val="383D272C"/>
    <w:rsid w:val="387A58E0"/>
    <w:rsid w:val="3891486E"/>
    <w:rsid w:val="389C3831"/>
    <w:rsid w:val="392E3BBB"/>
    <w:rsid w:val="39AE70AB"/>
    <w:rsid w:val="3A4DCE41"/>
    <w:rsid w:val="3A802DEC"/>
    <w:rsid w:val="3AED5FA8"/>
    <w:rsid w:val="3B113271"/>
    <w:rsid w:val="3B6C3370"/>
    <w:rsid w:val="3BCB56FA"/>
    <w:rsid w:val="3BCD6B65"/>
    <w:rsid w:val="3C0C0783"/>
    <w:rsid w:val="3DD351FF"/>
    <w:rsid w:val="3E6432A1"/>
    <w:rsid w:val="3E6D08C9"/>
    <w:rsid w:val="3EE7C2F4"/>
    <w:rsid w:val="3F0062A9"/>
    <w:rsid w:val="3F371B56"/>
    <w:rsid w:val="3F792ED8"/>
    <w:rsid w:val="3F9F3A96"/>
    <w:rsid w:val="3FB878F5"/>
    <w:rsid w:val="3FECA4B2"/>
    <w:rsid w:val="3FF58C48"/>
    <w:rsid w:val="40085AC1"/>
    <w:rsid w:val="405D02E0"/>
    <w:rsid w:val="41692A16"/>
    <w:rsid w:val="42FF6694"/>
    <w:rsid w:val="43C46194"/>
    <w:rsid w:val="445552E9"/>
    <w:rsid w:val="447557A8"/>
    <w:rsid w:val="4592761C"/>
    <w:rsid w:val="46535859"/>
    <w:rsid w:val="474A2A25"/>
    <w:rsid w:val="48BF60AB"/>
    <w:rsid w:val="490A4BD6"/>
    <w:rsid w:val="493C27E9"/>
    <w:rsid w:val="496F39ED"/>
    <w:rsid w:val="49FF41D3"/>
    <w:rsid w:val="4A131D24"/>
    <w:rsid w:val="4A513E5D"/>
    <w:rsid w:val="4A954692"/>
    <w:rsid w:val="4B771FE9"/>
    <w:rsid w:val="4BE068DB"/>
    <w:rsid w:val="4BF6002B"/>
    <w:rsid w:val="4BFFC6BE"/>
    <w:rsid w:val="4ECE2238"/>
    <w:rsid w:val="4F936CC6"/>
    <w:rsid w:val="50CF6DC7"/>
    <w:rsid w:val="51DB4B86"/>
    <w:rsid w:val="51F64DB0"/>
    <w:rsid w:val="52E86EA4"/>
    <w:rsid w:val="52EA4E4F"/>
    <w:rsid w:val="55333C3E"/>
    <w:rsid w:val="5592371C"/>
    <w:rsid w:val="55A31CE8"/>
    <w:rsid w:val="56D227CA"/>
    <w:rsid w:val="56E86862"/>
    <w:rsid w:val="58FB39D0"/>
    <w:rsid w:val="5C036F81"/>
    <w:rsid w:val="5F67802D"/>
    <w:rsid w:val="5F7DC4F2"/>
    <w:rsid w:val="5FB36814"/>
    <w:rsid w:val="5FB97FB5"/>
    <w:rsid w:val="5FBB8E56"/>
    <w:rsid w:val="5FFB5535"/>
    <w:rsid w:val="61131A15"/>
    <w:rsid w:val="613E3E44"/>
    <w:rsid w:val="61E635CD"/>
    <w:rsid w:val="621023F8"/>
    <w:rsid w:val="625C2E7B"/>
    <w:rsid w:val="62BE7470"/>
    <w:rsid w:val="63E079CB"/>
    <w:rsid w:val="64A357A5"/>
    <w:rsid w:val="64A62BA0"/>
    <w:rsid w:val="64CA39A1"/>
    <w:rsid w:val="650E70C3"/>
    <w:rsid w:val="6615622F"/>
    <w:rsid w:val="668F7D8F"/>
    <w:rsid w:val="69630ADE"/>
    <w:rsid w:val="69BD5F13"/>
    <w:rsid w:val="69CA7330"/>
    <w:rsid w:val="69FB0B4B"/>
    <w:rsid w:val="6BFFE1FB"/>
    <w:rsid w:val="6C4A05C8"/>
    <w:rsid w:val="6D3B1A89"/>
    <w:rsid w:val="6DAC6F68"/>
    <w:rsid w:val="6DB7D8A3"/>
    <w:rsid w:val="6EC78701"/>
    <w:rsid w:val="6F7A5481"/>
    <w:rsid w:val="6FFE07A9"/>
    <w:rsid w:val="703419A7"/>
    <w:rsid w:val="708C3591"/>
    <w:rsid w:val="70C40A27"/>
    <w:rsid w:val="71BF4EC2"/>
    <w:rsid w:val="72501E55"/>
    <w:rsid w:val="72734D90"/>
    <w:rsid w:val="7295067E"/>
    <w:rsid w:val="72D51220"/>
    <w:rsid w:val="72F84F0E"/>
    <w:rsid w:val="73E75B71"/>
    <w:rsid w:val="7412278C"/>
    <w:rsid w:val="747E3920"/>
    <w:rsid w:val="74D07EF1"/>
    <w:rsid w:val="757C5AC9"/>
    <w:rsid w:val="75A06198"/>
    <w:rsid w:val="75DDCDA9"/>
    <w:rsid w:val="75FF44B1"/>
    <w:rsid w:val="76B178AE"/>
    <w:rsid w:val="77670518"/>
    <w:rsid w:val="777FA627"/>
    <w:rsid w:val="77DF1B5F"/>
    <w:rsid w:val="77EF2D9D"/>
    <w:rsid w:val="793B78DB"/>
    <w:rsid w:val="79770A36"/>
    <w:rsid w:val="79E24222"/>
    <w:rsid w:val="79E7B28D"/>
    <w:rsid w:val="7ACFF0C2"/>
    <w:rsid w:val="7AFB9108"/>
    <w:rsid w:val="7B271F47"/>
    <w:rsid w:val="7BD5340C"/>
    <w:rsid w:val="7BDC04A1"/>
    <w:rsid w:val="7BFB19D2"/>
    <w:rsid w:val="7BFD1750"/>
    <w:rsid w:val="7BFDAA1B"/>
    <w:rsid w:val="7C69156E"/>
    <w:rsid w:val="7CDF9A82"/>
    <w:rsid w:val="7CFFA1BD"/>
    <w:rsid w:val="7D105570"/>
    <w:rsid w:val="7D2E3F7A"/>
    <w:rsid w:val="7DED9490"/>
    <w:rsid w:val="7DFF4872"/>
    <w:rsid w:val="7E064668"/>
    <w:rsid w:val="7E7203AD"/>
    <w:rsid w:val="7E7487E6"/>
    <w:rsid w:val="7E7C2A54"/>
    <w:rsid w:val="7EEEFD72"/>
    <w:rsid w:val="7F1D517C"/>
    <w:rsid w:val="7F5DA057"/>
    <w:rsid w:val="7F6C2237"/>
    <w:rsid w:val="7F7F319B"/>
    <w:rsid w:val="7F9F20EE"/>
    <w:rsid w:val="7FBBE890"/>
    <w:rsid w:val="7FBC2ABD"/>
    <w:rsid w:val="7FBF5D48"/>
    <w:rsid w:val="7FC84441"/>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autoRedefine/>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5"/>
    <w:autoRedefine/>
    <w:qFormat/>
    <w:uiPriority w:val="99"/>
    <w:pPr>
      <w:spacing w:beforeLines="30"/>
    </w:pPr>
    <w:rPr>
      <w:rFonts w:ascii="仿宋_GB2312" w:eastAsia="仿宋_GB2312"/>
      <w:kern w:val="0"/>
      <w:sz w:val="30"/>
    </w:rPr>
  </w:style>
  <w:style w:type="paragraph" w:styleId="6">
    <w:name w:val="Body Text Indent"/>
    <w:basedOn w:val="1"/>
    <w:next w:val="7"/>
    <w:autoRedefine/>
    <w:qFormat/>
    <w:uiPriority w:val="0"/>
    <w:pPr>
      <w:spacing w:after="120"/>
      <w:ind w:left="200" w:leftChars="200"/>
    </w:pPr>
    <w:rPr>
      <w:rFonts w:ascii="仿宋_GB2312"/>
      <w:szCs w:val="32"/>
    </w:rPr>
  </w:style>
  <w:style w:type="paragraph" w:styleId="7">
    <w:name w:val="Body Text First Indent 2"/>
    <w:basedOn w:val="6"/>
    <w:next w:val="1"/>
    <w:autoRedefine/>
    <w:unhideWhenUsed/>
    <w:qFormat/>
    <w:uiPriority w:val="99"/>
    <w:pPr>
      <w:ind w:firstLine="420" w:firstLineChars="200"/>
    </w:p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1"/>
    <w:autoRedefine/>
    <w:semiHidden/>
    <w:unhideWhenUsed/>
    <w:qFormat/>
    <w:uiPriority w:val="99"/>
    <w:rPr>
      <w:sz w:val="18"/>
      <w:szCs w:val="18"/>
    </w:rPr>
  </w:style>
  <w:style w:type="paragraph" w:styleId="10">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autoRedefine/>
    <w:semiHidden/>
    <w:qFormat/>
    <w:uiPriority w:val="0"/>
    <w:pPr>
      <w:snapToGrid w:val="0"/>
      <w:jc w:val="left"/>
    </w:pPr>
    <w:rPr>
      <w:sz w:val="18"/>
      <w:szCs w:val="18"/>
    </w:rPr>
  </w:style>
  <w:style w:type="paragraph" w:styleId="14">
    <w:name w:val="toc 2"/>
    <w:basedOn w:val="1"/>
    <w:next w:val="1"/>
    <w:autoRedefine/>
    <w:unhideWhenUsed/>
    <w:qFormat/>
    <w:uiPriority w:val="39"/>
    <w:pPr>
      <w:tabs>
        <w:tab w:val="right" w:leader="dot" w:pos="8296"/>
      </w:tabs>
      <w:ind w:left="420" w:leftChars="200"/>
    </w:pPr>
  </w:style>
  <w:style w:type="character" w:styleId="17">
    <w:name w:val="Strong"/>
    <w:basedOn w:val="16"/>
    <w:autoRedefine/>
    <w:qFormat/>
    <w:uiPriority w:val="99"/>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autoRedefine/>
    <w:semiHidden/>
    <w:qFormat/>
    <w:uiPriority w:val="99"/>
    <w:rPr>
      <w:rFonts w:ascii="Times New Roman" w:hAnsi="Times New Roman"/>
      <w:sz w:val="18"/>
      <w:szCs w:val="18"/>
    </w:rPr>
  </w:style>
  <w:style w:type="character" w:customStyle="1" w:styleId="21">
    <w:name w:val="页眉 字符"/>
    <w:link w:val="11"/>
    <w:autoRedefine/>
    <w:semiHidden/>
    <w:qFormat/>
    <w:locked/>
    <w:uiPriority w:val="99"/>
    <w:rPr>
      <w:sz w:val="18"/>
    </w:rPr>
  </w:style>
  <w:style w:type="character" w:customStyle="1" w:styleId="22">
    <w:name w:val="Footer Char"/>
    <w:basedOn w:val="16"/>
    <w:autoRedefine/>
    <w:semiHidden/>
    <w:qFormat/>
    <w:uiPriority w:val="99"/>
    <w:rPr>
      <w:rFonts w:ascii="Times New Roman" w:hAnsi="Times New Roman"/>
      <w:sz w:val="18"/>
      <w:szCs w:val="18"/>
    </w:rPr>
  </w:style>
  <w:style w:type="character" w:customStyle="1" w:styleId="23">
    <w:name w:val="页脚 字符"/>
    <w:link w:val="10"/>
    <w:autoRedefine/>
    <w:qFormat/>
    <w:locked/>
    <w:uiPriority w:val="99"/>
    <w:rPr>
      <w:sz w:val="18"/>
    </w:rPr>
  </w:style>
  <w:style w:type="character" w:customStyle="1" w:styleId="24">
    <w:name w:val="Body Text Char"/>
    <w:basedOn w:val="16"/>
    <w:autoRedefine/>
    <w:semiHidden/>
    <w:qFormat/>
    <w:uiPriority w:val="99"/>
    <w:rPr>
      <w:rFonts w:ascii="Times New Roman" w:hAnsi="Times New Roman"/>
      <w:szCs w:val="24"/>
    </w:rPr>
  </w:style>
  <w:style w:type="character" w:customStyle="1" w:styleId="25">
    <w:name w:val="正文文本 字符"/>
    <w:link w:val="5"/>
    <w:autoRedefine/>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标题 1 字符"/>
    <w:basedOn w:val="16"/>
    <w:link w:val="2"/>
    <w:autoRedefine/>
    <w:qFormat/>
    <w:uiPriority w:val="9"/>
    <w:rPr>
      <w:rFonts w:ascii="Times New Roman" w:hAnsi="Times New Roman"/>
      <w:b/>
      <w:bCs/>
      <w:kern w:val="44"/>
      <w:sz w:val="44"/>
      <w:szCs w:val="44"/>
    </w:rPr>
  </w:style>
  <w:style w:type="character" w:customStyle="1" w:styleId="29">
    <w:name w:val="标题 2 字符"/>
    <w:basedOn w:val="16"/>
    <w:link w:val="3"/>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autoRedefine/>
    <w:semiHidden/>
    <w:qFormat/>
    <w:uiPriority w:val="99"/>
    <w:rPr>
      <w:rFonts w:ascii="Times New Roman" w:hAnsi="Times New Roman"/>
      <w:kern w:val="2"/>
      <w:sz w:val="18"/>
      <w:szCs w:val="18"/>
    </w:rPr>
  </w:style>
  <w:style w:type="character" w:customStyle="1" w:styleId="32">
    <w:name w:val="标题 3 字符"/>
    <w:basedOn w:val="16"/>
    <w:link w:val="4"/>
    <w:autoRedefine/>
    <w:qFormat/>
    <w:uiPriority w:val="9"/>
    <w:rPr>
      <w:rFonts w:ascii="Times New Roman" w:hAnsi="Times New Roman"/>
      <w:b/>
      <w:bCs/>
      <w:kern w:val="2"/>
      <w:sz w:val="32"/>
      <w:szCs w:val="32"/>
    </w:rPr>
  </w:style>
  <w:style w:type="paragraph" w:customStyle="1" w:styleId="33">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7743;&#21335;&#65288;&#26032;&#65289;\&#39044;&#20915;&#31639;\2023&#24180;&#20915;&#31639;&#20844;&#24320;\2023&#24180;&#20915;&#31639;&#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7743;&#21335;&#65288;&#26032;&#65289;\&#39044;&#20915;&#31639;\2023&#24180;&#20915;&#31639;&#20844;&#24320;\2023&#24180;&#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manualLayout>
          <c:layoutTarget val="inner"/>
          <c:xMode val="edge"/>
          <c:yMode val="edge"/>
          <c:x val="0.165267649759628"/>
          <c:y val="0.20308066477503"/>
          <c:w val="0.731939718035975"/>
          <c:h val="0.439683826509931"/>
        </c:manualLayout>
      </c:layout>
      <c:barChart>
        <c:barDir val="col"/>
        <c:grouping val="clustered"/>
        <c:varyColors val="0"/>
        <c:ser>
          <c:idx val="0"/>
          <c:order val="0"/>
          <c:tx>
            <c:strRef>
              <c:f>'[2023年决算图表.xlsx]图1收支决算总计变动图 '!$G$7</c:f>
              <c:strCache>
                <c:ptCount val="1"/>
                <c:pt idx="0">
                  <c:v/>
                </c:pt>
              </c:strCache>
            </c:strRef>
          </c:tx>
          <c:spPr>
            <a:solidFill>
              <a:schemeClr val="accent1"/>
            </a:solidFill>
            <a:ln>
              <a:noFill/>
            </a:ln>
            <a:effectLst/>
          </c:spPr>
          <c:invertIfNegative val="0"/>
          <c:dLbls>
            <c:dLbl>
              <c:idx val="1"/>
              <c:layout>
                <c:manualLayout>
                  <c:x val="-0.0160427807486631"/>
                  <c:y val="0.01520064856100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'[2023年决算图表.xlsx]图1收支决算总计变动图 '!$F$8:$F$13</c:f>
              <c:numCache>
                <c:formatCode>General</c:formatCode>
                <c:ptCount val="6"/>
                <c:pt idx="0">
                  <c:v>2022</c:v>
                </c:pt>
                <c:pt idx="1">
                  <c:v>2023</c:v>
                </c:pt>
              </c:numCache>
            </c:numRef>
          </c:cat>
          <c:val>
            <c:numRef>
              <c:f>'[2023年决算图表.xlsx]图1收支决算总计变动图 '!$G$8:$G$13</c:f>
              <c:numCache>
                <c:formatCode>General</c:formatCode>
                <c:ptCount val="6"/>
                <c:pt idx="0">
                  <c:v>150.33</c:v>
                </c:pt>
                <c:pt idx="1" c:formatCode="0.00_ ">
                  <c:v>164.06</c:v>
                </c:pt>
              </c:numCache>
            </c:numRef>
          </c:val>
        </c:ser>
        <c:ser>
          <c:idx val="1"/>
          <c:order val="1"/>
          <c:tx>
            <c:strRef>
              <c:f>'[2023年决算图表.xlsx]图1收支决算总计变动图 '!$H$7</c:f>
              <c:strCache>
                <c:ptCount val="1"/>
                <c:pt idx="0">
                  <c:v/>
                </c:pt>
              </c:strCache>
            </c:strRef>
          </c:tx>
          <c:spPr>
            <a:solidFill>
              <a:schemeClr val="accent2"/>
            </a:solidFill>
            <a:ln>
              <a:noFill/>
            </a:ln>
            <a:effectLst/>
          </c:spPr>
          <c:invertIfNegative val="0"/>
          <c:dLbls>
            <c:dLbl>
              <c:idx val="2"/>
              <c:layout>
                <c:manualLayout>
                  <c:x val="-0.0035650623885918"/>
                  <c:y val="0.003040129712201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695187165775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130124777183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'[2023年决算图表.xlsx]图1收支决算总计变动图 '!$F$8:$F$13</c:f>
              <c:numCache>
                <c:formatCode>General</c:formatCode>
                <c:ptCount val="6"/>
                <c:pt idx="0">
                  <c:v>2022</c:v>
                </c:pt>
                <c:pt idx="1">
                  <c:v>2023</c:v>
                </c:pt>
              </c:numCache>
            </c:numRef>
          </c:cat>
          <c:val>
            <c:numRef>
              <c:f>'[2023年决算图表.xlsx]图1收支决算总计变动图 '!$H$8:$H$13</c:f>
              <c:numCache>
                <c:formatCode>General</c:formatCode>
                <c:ptCount val="6"/>
              </c:numCache>
            </c:numRef>
          </c:val>
        </c:ser>
        <c:ser>
          <c:idx val="2"/>
          <c:order val="2"/>
          <c:tx>
            <c:strRef>
              <c:f>'[2023年决算图表.xlsx]图1收支决算总计变动图 '!$I$7</c:f>
              <c:strCache>
                <c:ptCount val="1"/>
                <c:pt idx="0">
                  <c:v/>
                </c:pt>
              </c:strCache>
            </c:strRef>
          </c:tx>
          <c:spPr>
            <a:solidFill>
              <a:schemeClr val="accent3"/>
            </a:solidFill>
            <a:ln>
              <a:noFill/>
            </a:ln>
            <a:effectLst/>
          </c:spPr>
          <c:invertIfNegative val="0"/>
          <c:dLbls>
            <c:dLbl>
              <c:idx val="1"/>
              <c:layout>
                <c:manualLayout>
                  <c:x val="0.01782531194295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4777183600713"/>
                  <c:y val="0.006080259424402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477718360071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60249554367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'[2023年决算图表.xlsx]图1收支决算总计变动图 '!$F$8:$F$13</c:f>
              <c:numCache>
                <c:formatCode>General</c:formatCode>
                <c:ptCount val="6"/>
                <c:pt idx="0">
                  <c:v>2022</c:v>
                </c:pt>
                <c:pt idx="1">
                  <c:v>2023</c:v>
                </c:pt>
              </c:numCache>
            </c:numRef>
          </c:cat>
          <c:val>
            <c:numRef>
              <c:f>'[2023年决算图表.xlsx]图1收支决算总计变动图 '!$I$8:$I$13</c:f>
              <c:numCache>
                <c:formatCode>General</c:formatCode>
                <c:ptCount val="6"/>
              </c:numCache>
            </c:numRef>
          </c:val>
        </c:ser>
        <c:dLbls>
          <c:showLegendKey val="0"/>
          <c:showVal val="1"/>
          <c:showCatName val="0"/>
          <c:showSerName val="0"/>
          <c:showPercent val="0"/>
          <c:showBubbleSize val="0"/>
        </c:dLbls>
        <c:gapWidth val="219"/>
        <c:overlap val="-27"/>
        <c:axId val="451387723"/>
        <c:axId val="444212283"/>
      </c:barChart>
      <c:catAx>
        <c:axId val="45138772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a:t>年度</a:t>
                </a:r>
                <a:endParaRPr altLang="en-US"/>
              </a:p>
            </c:rich>
          </c:tx>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212283"/>
        <c:crosses val="autoZero"/>
        <c:auto val="1"/>
        <c:lblAlgn val="ctr"/>
        <c:lblOffset val="100"/>
        <c:noMultiLvlLbl val="0"/>
      </c:catAx>
      <c:valAx>
        <c:axId val="4442122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manualLayout>
              <c:xMode val="edge"/>
              <c:yMode val="edge"/>
              <c:x val="0.0107488355428162"/>
              <c:y val="0.295952950261099"/>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3877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：一般公共预算财政拨款支出决算变动情况</a:t>
            </a:r>
            <a:endParaRPr altLang="en-US"/>
          </a:p>
        </c:rich>
      </c:tx>
      <c:layout/>
      <c:overlay val="0"/>
      <c:spPr>
        <a:noFill/>
        <a:ln>
          <a:noFill/>
        </a:ln>
        <a:effectLst/>
      </c:spPr>
    </c:title>
    <c:autoTitleDeleted val="0"/>
    <c:plotArea>
      <c:layout>
        <c:manualLayout>
          <c:layoutTarget val="inner"/>
          <c:xMode val="edge"/>
          <c:yMode val="edge"/>
          <c:x val="0.165267649759628"/>
          <c:y val="0.20308066477503"/>
          <c:w val="0.731939718035975"/>
          <c:h val="0.439683826509931"/>
        </c:manualLayout>
      </c:layout>
      <c:barChart>
        <c:barDir val="col"/>
        <c:grouping val="clustered"/>
        <c:varyColors val="0"/>
        <c:ser>
          <c:idx val="0"/>
          <c:order val="0"/>
          <c:tx>
            <c:strRef>
              <c:f>[2023年决算图表.xlsx]图5一般公共预算财政拨款支出决算变动情况!$G$7</c:f>
              <c:strCache>
                <c:ptCount val="1"/>
                <c:pt idx="0">
                  <c:v/>
                </c:pt>
              </c:strCache>
            </c:strRef>
          </c:tx>
          <c:spPr>
            <a:solidFill>
              <a:schemeClr val="accent1"/>
            </a:solidFill>
            <a:ln>
              <a:noFill/>
            </a:ln>
            <a:effectLst/>
          </c:spPr>
          <c:invertIfNegative val="0"/>
          <c:dLbls>
            <c:dLbl>
              <c:idx val="1"/>
              <c:layout>
                <c:manualLayout>
                  <c:x val="-0.0160427807486631"/>
                  <c:y val="0.01520064856100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[2023年决算图表.xlsx]图5一般公共预算财政拨款支出决算变动情况!$F$8:$F$13</c:f>
              <c:numCache>
                <c:formatCode>General</c:formatCode>
                <c:ptCount val="6"/>
                <c:pt idx="0">
                  <c:v>2022</c:v>
                </c:pt>
                <c:pt idx="1">
                  <c:v>2023</c:v>
                </c:pt>
              </c:numCache>
            </c:numRef>
          </c:cat>
          <c:val>
            <c:numRef>
              <c:f>[2023年决算图表.xlsx]图5一般公共预算财政拨款支出决算变动情况!$G$8:$G$13</c:f>
              <c:numCache>
                <c:formatCode>General</c:formatCode>
                <c:ptCount val="6"/>
                <c:pt idx="0">
                  <c:v>150.33</c:v>
                </c:pt>
                <c:pt idx="1">
                  <c:v>164.06</c:v>
                </c:pt>
              </c:numCache>
            </c:numRef>
          </c:val>
        </c:ser>
        <c:ser>
          <c:idx val="1"/>
          <c:order val="1"/>
          <c:tx>
            <c:strRef>
              <c:f>[2023年决算图表.xlsx]图5一般公共预算财政拨款支出决算变动情况!$H$7</c:f>
              <c:strCache>
                <c:ptCount val="1"/>
                <c:pt idx="0">
                  <c:v/>
                </c:pt>
              </c:strCache>
            </c:strRef>
          </c:tx>
          <c:spPr>
            <a:solidFill>
              <a:schemeClr val="accent2"/>
            </a:solidFill>
            <a:ln>
              <a:noFill/>
            </a:ln>
            <a:effectLst/>
          </c:spPr>
          <c:invertIfNegative val="0"/>
          <c:dLbls>
            <c:dLbl>
              <c:idx val="2"/>
              <c:layout>
                <c:manualLayout>
                  <c:x val="-0.0035650623885918"/>
                  <c:y val="0.003040129712201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695187165775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130124777183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[2023年决算图表.xlsx]图5一般公共预算财政拨款支出决算变动情况!$F$8:$F$13</c:f>
              <c:numCache>
                <c:formatCode>General</c:formatCode>
                <c:ptCount val="6"/>
                <c:pt idx="0">
                  <c:v>2022</c:v>
                </c:pt>
                <c:pt idx="1">
                  <c:v>2023</c:v>
                </c:pt>
              </c:numCache>
            </c:numRef>
          </c:cat>
          <c:val>
            <c:numRef>
              <c:f>[2023年决算图表.xlsx]图5一般公共预算财政拨款支出决算变动情况!$H$8:$H$13</c:f>
              <c:numCache>
                <c:formatCode>General</c:formatCode>
                <c:ptCount val="6"/>
              </c:numCache>
            </c:numRef>
          </c:val>
        </c:ser>
        <c:ser>
          <c:idx val="2"/>
          <c:order val="2"/>
          <c:tx>
            <c:strRef>
              <c:f>[2023年决算图表.xlsx]图5一般公共预算财政拨款支出决算变动情况!$I$7</c:f>
              <c:strCache>
                <c:ptCount val="1"/>
                <c:pt idx="0">
                  <c:v/>
                </c:pt>
              </c:strCache>
            </c:strRef>
          </c:tx>
          <c:spPr>
            <a:solidFill>
              <a:schemeClr val="accent3"/>
            </a:solidFill>
            <a:ln>
              <a:noFill/>
            </a:ln>
            <a:effectLst/>
          </c:spPr>
          <c:invertIfNegative val="0"/>
          <c:dLbls>
            <c:dLbl>
              <c:idx val="1"/>
              <c:layout>
                <c:manualLayout>
                  <c:x val="0.01782531194295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4777183600713"/>
                  <c:y val="0.006080259424402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477718360071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60249554367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[2023年决算图表.xlsx]图5一般公共预算财政拨款支出决算变动情况!$F$8:$F$13</c:f>
              <c:numCache>
                <c:formatCode>General</c:formatCode>
                <c:ptCount val="6"/>
                <c:pt idx="0">
                  <c:v>2022</c:v>
                </c:pt>
                <c:pt idx="1">
                  <c:v>2023</c:v>
                </c:pt>
              </c:numCache>
            </c:numRef>
          </c:cat>
          <c:val>
            <c:numRef>
              <c:f>[2023年决算图表.xlsx]图5一般公共预算财政拨款支出决算变动情况!$I$8:$I$13</c:f>
              <c:numCache>
                <c:formatCode>General</c:formatCode>
                <c:ptCount val="6"/>
              </c:numCache>
            </c:numRef>
          </c:val>
        </c:ser>
        <c:dLbls>
          <c:showLegendKey val="0"/>
          <c:showVal val="1"/>
          <c:showCatName val="0"/>
          <c:showSerName val="0"/>
          <c:showPercent val="0"/>
          <c:showBubbleSize val="0"/>
        </c:dLbls>
        <c:gapWidth val="219"/>
        <c:overlap val="-27"/>
        <c:axId val="451387723"/>
        <c:axId val="444212283"/>
      </c:barChart>
      <c:catAx>
        <c:axId val="45138772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212283"/>
        <c:crosses val="autoZero"/>
        <c:auto val="1"/>
        <c:lblAlgn val="ctr"/>
        <c:lblOffset val="100"/>
        <c:noMultiLvlLbl val="0"/>
      </c:catAx>
      <c:valAx>
        <c:axId val="4442122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3877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10958</Words>
  <Characters>12421</Characters>
  <Lines>54</Lines>
  <Paragraphs>15</Paragraphs>
  <TotalTime>0</TotalTime>
  <ScaleCrop>false</ScaleCrop>
  <LinksUpToDate>false</LinksUpToDate>
  <CharactersWithSpaces>12557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2024-10-25T06:44:42Z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294BA1F98CCD4EEC8BFFD7916605A3B7_13</vt:lpwstr>
  </property>
</Properties>
</file>