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A25E8">
      <w:pPr>
        <w:spacing w:line="600" w:lineRule="exact"/>
        <w:jc w:val="center"/>
        <w:outlineLvl w:val="0"/>
        <w:rPr>
          <w:rFonts w:ascii="方正小标宋简体" w:hAnsi="宋体" w:eastAsia="方正小标宋简体"/>
          <w:sz w:val="72"/>
          <w:szCs w:val="72"/>
        </w:rPr>
      </w:pPr>
      <w:bookmarkStart w:id="0" w:name="_Toc15378441"/>
      <w:bookmarkStart w:id="1" w:name="_Toc15396475"/>
      <w:bookmarkStart w:id="2" w:name="_Toc15377193"/>
      <w:bookmarkStart w:id="3" w:name="_Toc15377425"/>
      <w:bookmarkStart w:id="4" w:name="_Toc15396597"/>
      <w:bookmarkStart w:id="5" w:name="_Toc15306267"/>
    </w:p>
    <w:p w14:paraId="66027E02">
      <w:pPr>
        <w:spacing w:line="600" w:lineRule="exact"/>
        <w:jc w:val="both"/>
        <w:outlineLvl w:val="0"/>
        <w:rPr>
          <w:rFonts w:ascii="方正小标宋简体" w:hAnsi="宋体" w:eastAsia="方正小标宋简体"/>
          <w:sz w:val="72"/>
          <w:szCs w:val="72"/>
        </w:rPr>
      </w:pPr>
    </w:p>
    <w:p w14:paraId="44FF3F5A">
      <w:pPr>
        <w:spacing w:line="600" w:lineRule="exact"/>
        <w:jc w:val="center"/>
        <w:outlineLvl w:val="0"/>
        <w:rPr>
          <w:rFonts w:hint="eastAsia" w:ascii="方正小标宋简体" w:hAnsi="宋体" w:eastAsia="方正小标宋简体"/>
          <w:sz w:val="72"/>
          <w:szCs w:val="72"/>
          <w:lang w:eastAsia="zh-CN"/>
        </w:rPr>
      </w:pPr>
    </w:p>
    <w:p w14:paraId="1E65792D">
      <w:pPr>
        <w:spacing w:line="600" w:lineRule="exact"/>
        <w:jc w:val="center"/>
        <w:outlineLvl w:val="0"/>
        <w:rPr>
          <w:rFonts w:hint="eastAsia" w:ascii="方正小标宋简体" w:hAnsi="宋体" w:eastAsia="方正小标宋简体"/>
          <w:sz w:val="72"/>
          <w:szCs w:val="72"/>
          <w:lang w:eastAsia="zh-CN"/>
        </w:rPr>
      </w:pPr>
    </w:p>
    <w:p w14:paraId="7D9D749D">
      <w:pPr>
        <w:spacing w:line="600" w:lineRule="exact"/>
        <w:jc w:val="center"/>
        <w:outlineLvl w:val="0"/>
        <w:rPr>
          <w:rFonts w:hint="eastAsia" w:ascii="方正小标宋简体" w:hAnsi="宋体" w:eastAsia="方正小标宋简体"/>
          <w:sz w:val="72"/>
          <w:szCs w:val="72"/>
          <w:lang w:eastAsia="zh-CN"/>
        </w:rPr>
      </w:pPr>
    </w:p>
    <w:p w14:paraId="3762005D">
      <w:pPr>
        <w:adjustRightInd w:val="0"/>
        <w:snapToGrid w:val="0"/>
        <w:spacing w:line="360" w:lineRule="auto"/>
        <w:jc w:val="center"/>
        <w:outlineLvl w:val="0"/>
        <w:rPr>
          <w:rFonts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2023年度</w:t>
      </w:r>
      <w:bookmarkEnd w:id="0"/>
      <w:bookmarkEnd w:id="1"/>
      <w:bookmarkEnd w:id="2"/>
      <w:bookmarkEnd w:id="3"/>
      <w:bookmarkEnd w:id="4"/>
    </w:p>
    <w:p w14:paraId="2E471B4D">
      <w:pPr>
        <w:adjustRightInd w:val="0"/>
        <w:snapToGrid w:val="0"/>
        <w:spacing w:line="240" w:lineRule="auto"/>
        <w:jc w:val="center"/>
        <w:outlineLvl w:val="0"/>
        <w:rPr>
          <w:rFonts w:hint="eastAsia" w:ascii="方正小标宋简体" w:hAnsi="方正小标宋简体" w:eastAsia="方正小标宋简体" w:cs="方正小标宋简体"/>
          <w:sz w:val="52"/>
          <w:szCs w:val="52"/>
          <w:lang w:val="en-US" w:eastAsia="zh-CN"/>
        </w:rPr>
      </w:pPr>
      <w:bookmarkStart w:id="6" w:name="_Toc15377426"/>
      <w:bookmarkStart w:id="7" w:name="_Toc15378442"/>
      <w:bookmarkStart w:id="8" w:name="_Toc15377194"/>
      <w:bookmarkStart w:id="9" w:name="_Toc15396476"/>
      <w:bookmarkStart w:id="10" w:name="_Toc15396598"/>
      <w:r>
        <w:rPr>
          <w:rFonts w:hint="eastAsia" w:ascii="方正小标宋简体" w:hAnsi="方正小标宋简体" w:eastAsia="方正小标宋简体" w:cs="方正小标宋简体"/>
          <w:sz w:val="52"/>
          <w:szCs w:val="52"/>
        </w:rPr>
        <w:t>四川</w:t>
      </w:r>
      <w:bookmarkEnd w:id="5"/>
      <w:bookmarkStart w:id="11" w:name="_Toc15306268"/>
      <w:r>
        <w:rPr>
          <w:rFonts w:hint="eastAsia" w:ascii="方正小标宋简体" w:hAnsi="方正小标宋简体" w:eastAsia="方正小标宋简体" w:cs="方正小标宋简体"/>
          <w:sz w:val="52"/>
          <w:szCs w:val="52"/>
          <w:lang w:val="en-US" w:eastAsia="zh-CN"/>
        </w:rPr>
        <w:t>五通桥经济开发区管理委员会</w:t>
      </w:r>
    </w:p>
    <w:p w14:paraId="5F91C650">
      <w:pPr>
        <w:adjustRightInd w:val="0"/>
        <w:snapToGrid w:val="0"/>
        <w:spacing w:line="360" w:lineRule="auto"/>
        <w:jc w:val="both"/>
        <w:outlineLvl w:val="0"/>
        <w:rPr>
          <w:rFonts w:hint="eastAsia" w:ascii="方正小标宋简体" w:hAnsi="方正小标宋简体" w:eastAsia="方正小标宋简体" w:cs="方正小标宋简体"/>
          <w:sz w:val="72"/>
          <w:szCs w:val="72"/>
        </w:rPr>
      </w:pPr>
    </w:p>
    <w:p w14:paraId="060F56A3">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14:paraId="1D2E47E4">
      <w:pPr>
        <w:widowControl/>
        <w:jc w:val="center"/>
        <w:rPr>
          <w:rFonts w:hint="eastAsia" w:ascii="黑体" w:hAnsi="黑体" w:eastAsia="黑体"/>
          <w:sz w:val="48"/>
          <w:szCs w:val="48"/>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14:paraId="36E73B76">
      <w:pPr>
        <w:widowControl/>
        <w:jc w:val="center"/>
        <w:rPr>
          <w:rFonts w:ascii="黑体" w:hAnsi="黑体" w:eastAsia="黑体"/>
          <w:sz w:val="48"/>
          <w:szCs w:val="48"/>
        </w:rPr>
      </w:pPr>
      <w:r>
        <w:rPr>
          <w:rFonts w:hint="eastAsia" w:ascii="黑体" w:hAnsi="黑体" w:eastAsia="黑体"/>
          <w:sz w:val="48"/>
          <w:szCs w:val="48"/>
        </w:rPr>
        <w:t>目录</w:t>
      </w:r>
    </w:p>
    <w:p w14:paraId="72F86FEE">
      <w:pPr>
        <w:widowControl/>
        <w:jc w:val="center"/>
        <w:rPr>
          <w:rFonts w:ascii="黑体" w:hAnsi="黑体" w:eastAsia="黑体" w:cstheme="minorBidi"/>
          <w:sz w:val="28"/>
          <w:szCs w:val="28"/>
        </w:rPr>
      </w:pPr>
    </w:p>
    <w:p w14:paraId="2906E33D">
      <w:pPr>
        <w:pStyle w:val="12"/>
        <w:rPr>
          <w:rFonts w:hint="eastAsia" w:ascii="宋体" w:hAnsi="宋体" w:eastAsia="宋体" w:cs="宋体"/>
          <w:sz w:val="24"/>
          <w:szCs w:val="24"/>
        </w:rPr>
      </w:pPr>
      <w:r>
        <w:rPr>
          <w:rFonts w:hint="eastAsia" w:ascii="宋体" w:hAnsi="宋体" w:eastAsia="宋体" w:cs="宋体"/>
          <w:sz w:val="24"/>
          <w:szCs w:val="24"/>
        </w:rPr>
        <w:t>公开时间：202</w:t>
      </w:r>
      <w:r>
        <w:rPr>
          <w:rFonts w:hint="eastAsia" w:ascii="宋体" w:hAnsi="宋体" w:eastAsia="宋体" w:cs="宋体"/>
          <w:sz w:val="24"/>
          <w:szCs w:val="24"/>
          <w:lang w:val="en-US" w:eastAsia="zh-CN"/>
        </w:rPr>
        <w:t>4</w:t>
      </w:r>
      <w:r>
        <w:rPr>
          <w:rFonts w:hint="eastAsia" w:ascii="宋体" w:hAnsi="宋体" w:eastAsia="宋体" w:cs="宋体"/>
          <w:sz w:val="24"/>
          <w:szCs w:val="24"/>
        </w:rPr>
        <w:t>年</w:t>
      </w: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28</w:t>
      </w:r>
      <w:r>
        <w:rPr>
          <w:rFonts w:hint="eastAsia" w:ascii="宋体" w:hAnsi="宋体" w:eastAsia="宋体" w:cs="宋体"/>
          <w:sz w:val="24"/>
          <w:szCs w:val="24"/>
        </w:rPr>
        <w:t xml:space="preserve"> 日</w:t>
      </w:r>
    </w:p>
    <w:p w14:paraId="5F2F6CFB">
      <w:pPr>
        <w:rPr>
          <w:rFonts w:hint="eastAsia" w:ascii="宋体" w:hAnsi="宋体" w:eastAsia="宋体" w:cs="宋体"/>
          <w:sz w:val="24"/>
          <w:szCs w:val="24"/>
        </w:rPr>
      </w:pPr>
    </w:p>
    <w:p w14:paraId="010A01C1">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600" w:lineRule="exact"/>
        <w:ind w:left="0" w:leftChars="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第一部分 部门概况</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w:t>
      </w:r>
    </w:p>
    <w:p w14:paraId="6C2272B2">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一、部门职责</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w:t>
      </w:r>
    </w:p>
    <w:p w14:paraId="34B625C6">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二、机构设置</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w:t>
      </w:r>
    </w:p>
    <w:p w14:paraId="48EB138C">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600" w:lineRule="exact"/>
        <w:ind w:left="0" w:leftChars="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第二部分 2023年度部门决算情况说明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2</w:t>
      </w:r>
    </w:p>
    <w:p w14:paraId="73351C17">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一、收入支出决算总体情况说明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2</w:t>
      </w:r>
    </w:p>
    <w:p w14:paraId="0B73CA4F">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二、收入决算情况说明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2</w:t>
      </w:r>
    </w:p>
    <w:p w14:paraId="7CA2CBFE">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三、支出决算情况说明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3</w:t>
      </w:r>
    </w:p>
    <w:p w14:paraId="0B1EF4D6">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四、财政拨款收入支出决算总体情况说明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4</w:t>
      </w:r>
    </w:p>
    <w:p w14:paraId="781F51E1">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五、一般公共预算财政拨款支出决算情况说明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w:t>
      </w:r>
    </w:p>
    <w:p w14:paraId="48C76708">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六、一般公共预算财政拨款基本支出决算情况说明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8</w:t>
      </w:r>
    </w:p>
    <w:p w14:paraId="4FF0CDF4">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七、财政拨款“三公”经费支出决算情况说明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9</w:t>
      </w:r>
    </w:p>
    <w:p w14:paraId="787465BB">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八、政府性基金预算支出决算情况说明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11</w:t>
      </w:r>
    </w:p>
    <w:p w14:paraId="629B7177">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九、国有资本经营预算支出决算情况说明</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11</w:t>
      </w:r>
    </w:p>
    <w:p w14:paraId="614D0880">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auto"/>
          <w:sz w:val="24"/>
          <w:szCs w:val="24"/>
          <w:u w:val="none"/>
        </w:rPr>
        <w:t>十、</w:t>
      </w:r>
      <w:r>
        <w:rPr>
          <w:rFonts w:hint="eastAsia" w:ascii="宋体" w:hAnsi="宋体" w:eastAsia="宋体" w:cs="宋体"/>
          <w:sz w:val="24"/>
          <w:szCs w:val="24"/>
        </w:rPr>
        <w:t>其他重要事项的情况说明</w:t>
      </w:r>
      <w:r>
        <w:rPr>
          <w:rFonts w:hint="eastAsia" w:ascii="宋体" w:hAnsi="宋体" w:cs="宋体"/>
          <w:sz w:val="24"/>
          <w:szCs w:val="24"/>
          <w:lang w:val="en-US" w:eastAsia="zh-CN"/>
        </w:rPr>
        <w:tab/>
      </w:r>
      <w:r>
        <w:rPr>
          <w:rFonts w:hint="eastAsia" w:ascii="宋体" w:hAnsi="宋体" w:eastAsia="宋体" w:cs="宋体"/>
          <w:sz w:val="24"/>
          <w:szCs w:val="24"/>
          <w:lang w:val="en-US" w:eastAsia="zh-CN"/>
        </w:rPr>
        <w:t>11</w:t>
      </w:r>
    </w:p>
    <w:p w14:paraId="0CD790A9">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600" w:lineRule="exact"/>
        <w:ind w:left="0" w:leftChars="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第三部分 名词解释</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14</w:t>
      </w:r>
    </w:p>
    <w:p w14:paraId="55C825CC">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600" w:lineRule="exact"/>
        <w:ind w:left="0" w:leftChars="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第四部分 附件</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17</w:t>
      </w:r>
    </w:p>
    <w:p w14:paraId="577BD963">
      <w:pPr>
        <w:keepNext w:val="0"/>
        <w:keepLines w:val="0"/>
        <w:pageBreakBefore w:val="0"/>
        <w:widowControl w:val="0"/>
        <w:tabs>
          <w:tab w:val="right" w:leader="dot" w:pos="8190"/>
        </w:tabs>
        <w:kinsoku/>
        <w:wordWrap/>
        <w:overflowPunct/>
        <w:topLinePunct w:val="0"/>
        <w:autoSpaceDE/>
        <w:autoSpaceDN/>
        <w:bidi w:val="0"/>
        <w:adjustRightInd w:val="0"/>
        <w:snapToGrid w:val="0"/>
        <w:spacing w:before="0" w:line="600" w:lineRule="exact"/>
        <w:ind w:left="0" w:leftChars="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第五部分 附表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1B9BC22D">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一、收入支出决算总表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2BBBBE6E">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二、收入决算表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51E9FC12">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三、支出决算表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3BCAD48F">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四、财政拨款收入支出决算总表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113534E9">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五、财政拨款支出决算明细表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571C7A97">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六、一般公共预算财政拨款支出决算表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566D92D9">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七、一般公共预算财政拨款支出决算明细表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754C242A">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八、一般公共预算财政拨款基本支出决算明细表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3FBD4C11">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九、一般公共预算财政拨款项目支出决算表</w:t>
      </w:r>
      <w:r>
        <w:rPr>
          <w:rFonts w:hint="eastAsia" w:ascii="宋体" w:hAnsi="宋体" w:cs="宋体"/>
          <w:kern w:val="2"/>
          <w:sz w:val="24"/>
          <w:szCs w:val="24"/>
          <w:lang w:val="en-US" w:eastAsia="zh-CN" w:bidi="ar-SA"/>
        </w:rPr>
        <w:tab/>
      </w:r>
      <w:r>
        <w:rPr>
          <w:rFonts w:hint="eastAsia" w:ascii="宋体" w:hAnsi="宋体" w:eastAsia="宋体" w:cs="宋体"/>
          <w:sz w:val="24"/>
          <w:szCs w:val="24"/>
          <w:lang w:val="en-US" w:eastAsia="zh-CN"/>
        </w:rPr>
        <w:t>50</w:t>
      </w:r>
    </w:p>
    <w:p w14:paraId="45E87524">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十、政府性基金预算财政拨款收入支出决算表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1A57C9C4">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十一、国有资本经营预算财政拨款收入支出决算表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7BB15F1E">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十二、国有资本经营预算财政拨款支出决算表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23789412">
      <w:pPr>
        <w:keepNext w:val="0"/>
        <w:keepLines w:val="0"/>
        <w:pageBreakBefore w:val="0"/>
        <w:widowControl w:val="0"/>
        <w:tabs>
          <w:tab w:val="right" w:leader="dot" w:pos="8190"/>
        </w:tabs>
        <w:kinsoku/>
        <w:wordWrap/>
        <w:overflowPunct/>
        <w:topLinePunct w:val="0"/>
        <w:autoSpaceDE/>
        <w:autoSpaceDN/>
        <w:bidi w:val="0"/>
        <w:adjustRightInd w:val="0"/>
        <w:snapToGrid w:val="0"/>
        <w:spacing w:line="600" w:lineRule="exact"/>
        <w:ind w:left="0" w:leftChars="0" w:firstLine="480" w:firstLineChars="200"/>
        <w:jc w:val="left"/>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十三、财政拨款“三公”经费支出决算表</w:t>
      </w:r>
      <w:r>
        <w:rPr>
          <w:rFonts w:hint="eastAsia" w:ascii="宋体" w:hAnsi="宋体" w:cs="宋体"/>
          <w:kern w:val="2"/>
          <w:sz w:val="24"/>
          <w:szCs w:val="24"/>
          <w:lang w:val="en-US" w:eastAsia="zh-CN" w:bidi="ar-SA"/>
        </w:rPr>
        <w:tab/>
      </w:r>
      <w:r>
        <w:rPr>
          <w:rFonts w:hint="eastAsia" w:ascii="宋体" w:hAnsi="宋体" w:eastAsia="宋体" w:cs="宋体"/>
          <w:kern w:val="2"/>
          <w:sz w:val="24"/>
          <w:szCs w:val="24"/>
          <w:lang w:val="en-US" w:eastAsia="zh-CN" w:bidi="ar-SA"/>
        </w:rPr>
        <w:t>50</w:t>
      </w:r>
    </w:p>
    <w:p w14:paraId="456B3BE9">
      <w:pPr>
        <w:pStyle w:val="2"/>
        <w:jc w:val="center"/>
        <w:rPr>
          <w:rFonts w:hint="eastAsia" w:ascii="宋体" w:hAnsi="宋体" w:eastAsia="宋体" w:cs="宋体"/>
          <w:b w:val="0"/>
          <w:sz w:val="24"/>
          <w:szCs w:val="24"/>
        </w:rPr>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pPr>
      <w:bookmarkStart w:id="12" w:name="_Toc15377196"/>
      <w:bookmarkStart w:id="13" w:name="_Toc15396599"/>
    </w:p>
    <w:p w14:paraId="7AA7D964">
      <w:pPr>
        <w:pStyle w:val="2"/>
        <w:jc w:val="center"/>
        <w:rPr>
          <w:rFonts w:ascii="黑体" w:eastAsia="黑体"/>
          <w:sz w:val="32"/>
          <w:szCs w:val="32"/>
        </w:rPr>
      </w:pPr>
      <w:r>
        <w:rPr>
          <w:rFonts w:hint="eastAsia" w:ascii="黑体" w:hAnsi="黑体" w:eastAsia="黑体"/>
          <w:b w:val="0"/>
        </w:rPr>
        <w:t xml:space="preserve">第一部分 </w:t>
      </w:r>
      <w:r>
        <w:rPr>
          <w:rStyle w:val="30"/>
          <w:rFonts w:hint="eastAsia" w:ascii="黑体" w:hAnsi="黑体" w:eastAsia="黑体"/>
          <w:b w:val="0"/>
          <w:bCs w:val="0"/>
        </w:rPr>
        <w:t>部门概况</w:t>
      </w:r>
      <w:bookmarkEnd w:id="12"/>
      <w:bookmarkEnd w:id="13"/>
    </w:p>
    <w:p w14:paraId="11F13B77">
      <w:pPr>
        <w:pStyle w:val="3"/>
        <w:pageBreakBefore w:val="0"/>
        <w:widowControl w:val="0"/>
        <w:numPr>
          <w:ilvl w:val="0"/>
          <w:numId w:val="0"/>
        </w:numPr>
        <w:kinsoku/>
        <w:wordWrap/>
        <w:overflowPunct/>
        <w:topLinePunct w:val="0"/>
        <w:autoSpaceDE/>
        <w:autoSpaceDN/>
        <w:bidi w:val="0"/>
        <w:adjustRightInd/>
        <w:snapToGrid/>
        <w:spacing w:before="0" w:after="0" w:line="620" w:lineRule="exact"/>
        <w:ind w:firstLine="643" w:firstLineChars="200"/>
        <w:textAlignment w:val="auto"/>
        <w:rPr>
          <w:rFonts w:hint="eastAsia" w:ascii="宋体" w:hAnsi="宋体" w:eastAsia="宋体" w:cs="宋体"/>
          <w:b/>
          <w:bCs w:val="0"/>
          <w:sz w:val="32"/>
          <w:szCs w:val="32"/>
        </w:rPr>
      </w:pPr>
      <w:r>
        <w:rPr>
          <w:rFonts w:hint="eastAsia" w:ascii="宋体" w:hAnsi="宋体" w:eastAsia="宋体" w:cs="宋体"/>
          <w:b/>
          <w:bCs w:val="0"/>
          <w:kern w:val="2"/>
          <w:sz w:val="32"/>
          <w:szCs w:val="32"/>
          <w:lang w:val="en-US" w:eastAsia="zh-CN" w:bidi="ar-SA"/>
        </w:rPr>
        <w:t>一、</w:t>
      </w:r>
      <w:r>
        <w:rPr>
          <w:rFonts w:hint="eastAsia" w:ascii="宋体" w:hAnsi="宋体" w:eastAsia="宋体" w:cs="宋体"/>
          <w:b/>
          <w:bCs w:val="0"/>
          <w:sz w:val="32"/>
          <w:szCs w:val="32"/>
        </w:rPr>
        <w:t>部门职责</w:t>
      </w:r>
    </w:p>
    <w:p w14:paraId="34451B59">
      <w:pPr>
        <w:keepNext w:val="0"/>
        <w:keepLines w:val="0"/>
        <w:pageBreakBefore w:val="0"/>
        <w:widowControl w:val="0"/>
        <w:kinsoku/>
        <w:wordWrap/>
        <w:overflowPunct/>
        <w:topLinePunct w:val="0"/>
        <w:autoSpaceDE/>
        <w:autoSpaceDN/>
        <w:bidi w:val="0"/>
        <w:adjustRightInd/>
        <w:snapToGrid/>
        <w:spacing w:line="62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000000"/>
          <w:sz w:val="28"/>
          <w:szCs w:val="28"/>
          <w:lang w:val="en-US" w:eastAsia="zh-CN"/>
        </w:rPr>
        <w:t>四川五通桥经济开发区管理委员</w:t>
      </w:r>
      <w:r>
        <w:rPr>
          <w:rFonts w:hint="eastAsia" w:ascii="宋体" w:hAnsi="宋体" w:cs="宋体"/>
          <w:color w:val="000000"/>
          <w:sz w:val="28"/>
          <w:szCs w:val="28"/>
          <w:lang w:val="en-US" w:eastAsia="zh-CN"/>
        </w:rPr>
        <w:t>会</w:t>
      </w:r>
      <w:bookmarkStart w:id="51" w:name="_GoBack"/>
      <w:bookmarkEnd w:id="51"/>
      <w:r>
        <w:rPr>
          <w:rFonts w:hint="eastAsia" w:ascii="宋体" w:hAnsi="宋体" w:eastAsia="宋体" w:cs="宋体"/>
          <w:color w:val="000000"/>
          <w:sz w:val="28"/>
          <w:szCs w:val="28"/>
        </w:rPr>
        <w:t>其主要职责是:</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认真贯彻执行党和国家的方针、政策和法律法规,依法制定</w:t>
      </w:r>
      <w:r>
        <w:rPr>
          <w:rFonts w:hint="eastAsia" w:ascii="宋体" w:hAnsi="宋体" w:eastAsia="宋体" w:cs="宋体"/>
          <w:color w:val="000000"/>
          <w:sz w:val="28"/>
          <w:szCs w:val="28"/>
          <w:lang w:val="en-US" w:eastAsia="zh-CN"/>
        </w:rPr>
        <w:t>基地管委会内</w:t>
      </w:r>
      <w:r>
        <w:rPr>
          <w:rFonts w:hint="eastAsia" w:ascii="宋体" w:hAnsi="宋体" w:eastAsia="宋体" w:cs="宋体"/>
          <w:color w:val="000000"/>
          <w:sz w:val="28"/>
          <w:szCs w:val="28"/>
        </w:rPr>
        <w:t>管理办法。</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2</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按照乐山市产业布局规划和五通桥城乡总体规划,负责编制工业集中区内控制性详细规划。</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3</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组织编制</w:t>
      </w:r>
      <w:r>
        <w:rPr>
          <w:rFonts w:hint="eastAsia" w:ascii="宋体" w:hAnsi="宋体" w:eastAsia="宋体" w:cs="宋体"/>
          <w:color w:val="000000"/>
          <w:sz w:val="28"/>
          <w:szCs w:val="28"/>
          <w:lang w:val="en-US" w:eastAsia="zh-CN"/>
        </w:rPr>
        <w:t>工业园区</w:t>
      </w:r>
      <w:r>
        <w:rPr>
          <w:rFonts w:hint="eastAsia" w:ascii="宋体" w:hAnsi="宋体" w:eastAsia="宋体" w:cs="宋体"/>
          <w:color w:val="000000"/>
          <w:sz w:val="28"/>
          <w:szCs w:val="28"/>
        </w:rPr>
        <w:t>内招商引资计划,协调投资项目的审批或报批,负责承接东部产业转移工作。</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4</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协调办理园区环境影响评价、企业登记注册等手续,协调、配合做好集中区内项目用地、拆迁安置、基础设施建设等工作。</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5</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建立多渠道融资平台,负责园区内基础设施建设、技术改造、税收返还等扶持政策的申报兑现工作。</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完成省、市、区下达的各项目标任务,负责统计和相关信息收集工作。</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7</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完成区委、区政府交办的其他工作任务。</w:t>
      </w:r>
    </w:p>
    <w:p w14:paraId="0D8BADF8">
      <w:pPr>
        <w:pStyle w:val="3"/>
        <w:pageBreakBefore w:val="0"/>
        <w:widowControl w:val="0"/>
        <w:kinsoku/>
        <w:wordWrap/>
        <w:overflowPunct/>
        <w:topLinePunct w:val="0"/>
        <w:autoSpaceDE/>
        <w:autoSpaceDN/>
        <w:bidi w:val="0"/>
        <w:adjustRightInd/>
        <w:snapToGrid/>
        <w:spacing w:before="0" w:after="0" w:line="620" w:lineRule="exact"/>
        <w:ind w:firstLine="643" w:firstLineChars="200"/>
        <w:textAlignment w:val="auto"/>
        <w:rPr>
          <w:rStyle w:val="31"/>
          <w:rFonts w:hint="eastAsia" w:ascii="宋体" w:hAnsi="宋体" w:eastAsia="宋体" w:cs="宋体"/>
          <w:b/>
          <w:bCs w:val="0"/>
          <w:sz w:val="32"/>
          <w:szCs w:val="32"/>
        </w:rPr>
      </w:pPr>
      <w:bookmarkStart w:id="14" w:name="_Toc15377200"/>
      <w:bookmarkStart w:id="15" w:name="_Toc15396601"/>
      <w:r>
        <w:rPr>
          <w:rFonts w:hint="eastAsia" w:ascii="宋体" w:hAnsi="宋体" w:eastAsia="宋体" w:cs="宋体"/>
          <w:b/>
          <w:bCs w:val="0"/>
          <w:sz w:val="32"/>
          <w:szCs w:val="32"/>
        </w:rPr>
        <w:t>二、机</w:t>
      </w:r>
      <w:r>
        <w:rPr>
          <w:rStyle w:val="31"/>
          <w:rFonts w:hint="eastAsia" w:ascii="宋体" w:hAnsi="宋体" w:eastAsia="宋体" w:cs="宋体"/>
          <w:b/>
          <w:bCs w:val="0"/>
          <w:sz w:val="32"/>
          <w:szCs w:val="32"/>
        </w:rPr>
        <w:t>构设置</w:t>
      </w:r>
      <w:bookmarkEnd w:id="14"/>
      <w:bookmarkEnd w:id="15"/>
    </w:p>
    <w:p w14:paraId="6A9A8972">
      <w:pPr>
        <w:pageBreakBefore w:val="0"/>
        <w:widowControl w:val="0"/>
        <w:kinsoku/>
        <w:wordWrap/>
        <w:overflowPunct/>
        <w:topLinePunct w:val="0"/>
        <w:autoSpaceDE/>
        <w:autoSpaceDN/>
        <w:bidi w:val="0"/>
        <w:adjustRightInd/>
        <w:snapToGrid/>
        <w:spacing w:line="62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四川五通桥经济开发区管理委员会下属二级预算单位2个，其中行政单位</w:t>
      </w:r>
      <w:r>
        <w:rPr>
          <w:rFonts w:hint="eastAsia" w:ascii="宋体" w:hAnsi="宋体" w:eastAsia="宋体" w:cs="宋体"/>
          <w:sz w:val="28"/>
          <w:szCs w:val="28"/>
          <w:lang w:val="en-US" w:eastAsia="zh-CN"/>
        </w:rPr>
        <w:t>1</w:t>
      </w:r>
      <w:r>
        <w:rPr>
          <w:rFonts w:hint="eastAsia" w:ascii="宋体" w:hAnsi="宋体" w:eastAsia="宋体" w:cs="宋体"/>
          <w:sz w:val="28"/>
          <w:szCs w:val="28"/>
        </w:rPr>
        <w:t>个，参照公务员法管理的事业单位</w:t>
      </w:r>
      <w:r>
        <w:rPr>
          <w:rFonts w:hint="eastAsia" w:ascii="宋体" w:hAnsi="宋体" w:eastAsia="宋体" w:cs="宋体"/>
          <w:sz w:val="28"/>
          <w:szCs w:val="28"/>
          <w:lang w:val="en-US" w:eastAsia="zh-CN"/>
        </w:rPr>
        <w:t>0</w:t>
      </w:r>
      <w:r>
        <w:rPr>
          <w:rFonts w:hint="eastAsia" w:ascii="宋体" w:hAnsi="宋体" w:eastAsia="宋体" w:cs="宋体"/>
          <w:sz w:val="28"/>
          <w:szCs w:val="28"/>
        </w:rPr>
        <w:t>个，其他事业单位</w:t>
      </w:r>
      <w:r>
        <w:rPr>
          <w:rFonts w:hint="eastAsia" w:ascii="宋体" w:hAnsi="宋体" w:eastAsia="宋体" w:cs="宋体"/>
          <w:sz w:val="28"/>
          <w:szCs w:val="28"/>
          <w:lang w:val="en-US" w:eastAsia="zh-CN"/>
        </w:rPr>
        <w:t>1</w:t>
      </w:r>
      <w:r>
        <w:rPr>
          <w:rFonts w:hint="eastAsia" w:ascii="宋体" w:hAnsi="宋体" w:eastAsia="宋体" w:cs="宋体"/>
          <w:sz w:val="28"/>
          <w:szCs w:val="28"/>
        </w:rPr>
        <w:t>个。</w:t>
      </w:r>
    </w:p>
    <w:p w14:paraId="6C708E26">
      <w:pPr>
        <w:pageBreakBefore w:val="0"/>
        <w:widowControl w:val="0"/>
        <w:kinsoku/>
        <w:wordWrap/>
        <w:overflowPunct/>
        <w:topLinePunct w:val="0"/>
        <w:autoSpaceDE/>
        <w:autoSpaceDN/>
        <w:bidi w:val="0"/>
        <w:adjustRightInd/>
        <w:snapToGrid/>
        <w:spacing w:line="620" w:lineRule="exact"/>
        <w:ind w:firstLine="560" w:firstLineChars="200"/>
        <w:jc w:val="both"/>
        <w:textAlignment w:val="auto"/>
        <w:rPr>
          <w:rFonts w:hint="eastAsia" w:ascii="宋体" w:hAnsi="宋体" w:eastAsia="宋体" w:cs="宋体"/>
          <w:color w:val="000000"/>
          <w:kern w:val="2"/>
          <w:sz w:val="28"/>
          <w:szCs w:val="28"/>
          <w:highlight w:val="yellow"/>
          <w:lang w:val="en-US" w:eastAsia="zh-CN"/>
        </w:rPr>
      </w:pPr>
      <w:r>
        <w:rPr>
          <w:rFonts w:hint="eastAsia" w:ascii="宋体" w:hAnsi="宋体" w:eastAsia="宋体" w:cs="宋体"/>
          <w:sz w:val="28"/>
          <w:szCs w:val="28"/>
        </w:rPr>
        <w:t>纳入</w:t>
      </w:r>
      <w:r>
        <w:rPr>
          <w:rFonts w:hint="eastAsia" w:ascii="宋体" w:hAnsi="宋体" w:eastAsia="宋体" w:cs="宋体"/>
          <w:kern w:val="2"/>
          <w:sz w:val="28"/>
          <w:szCs w:val="28"/>
        </w:rPr>
        <w:t>四川五通桥经济开发区管理委员会</w:t>
      </w:r>
      <w:r>
        <w:rPr>
          <w:rFonts w:hint="eastAsia" w:ascii="宋体" w:hAnsi="宋体" w:eastAsia="宋体" w:cs="宋体"/>
          <w:sz w:val="28"/>
          <w:szCs w:val="28"/>
        </w:rPr>
        <w:t>2023年度部门决算编制范围的二级预算单位包括：</w:t>
      </w:r>
      <w:r>
        <w:rPr>
          <w:rFonts w:hint="eastAsia" w:ascii="宋体" w:hAnsi="宋体" w:eastAsia="宋体" w:cs="宋体"/>
          <w:color w:val="000000"/>
          <w:sz w:val="28"/>
          <w:szCs w:val="28"/>
          <w:lang w:val="en-US" w:eastAsia="zh-CN"/>
        </w:rPr>
        <w:t>五通桥区工业基地服务中心。</w:t>
      </w:r>
    </w:p>
    <w:p w14:paraId="70C9D580">
      <w:pPr>
        <w:pStyle w:val="6"/>
        <w:pageBreakBefore w:val="0"/>
        <w:kinsoku/>
        <w:wordWrap/>
        <w:overflowPunct/>
        <w:topLinePunct w:val="0"/>
        <w:autoSpaceDE/>
        <w:autoSpaceDN/>
        <w:bidi w:val="0"/>
        <w:adjustRightInd w:val="0"/>
        <w:snapToGrid w:val="0"/>
        <w:spacing w:before="93" w:line="620" w:lineRule="exact"/>
        <w:textAlignment w:val="auto"/>
        <w:rPr>
          <w:rFonts w:ascii="仿宋" w:hAnsi="仿宋" w:eastAsia="仿宋"/>
          <w:sz w:val="32"/>
          <w:szCs w:val="32"/>
        </w:rPr>
      </w:pPr>
    </w:p>
    <w:p w14:paraId="5330C998">
      <w:pPr>
        <w:pageBreakBefore w:val="0"/>
        <w:widowControl/>
        <w:kinsoku/>
        <w:wordWrap/>
        <w:overflowPunct/>
        <w:topLinePunct w:val="0"/>
        <w:autoSpaceDE/>
        <w:autoSpaceDN/>
        <w:bidi w:val="0"/>
        <w:spacing w:line="620" w:lineRule="exact"/>
        <w:jc w:val="left"/>
        <w:textAlignment w:val="auto"/>
        <w:rPr>
          <w:rFonts w:ascii="仿宋" w:hAnsi="仿宋" w:eastAsia="仿宋"/>
          <w:kern w:val="0"/>
          <w:sz w:val="32"/>
          <w:szCs w:val="32"/>
        </w:rPr>
      </w:pPr>
      <w:r>
        <w:rPr>
          <w:rFonts w:ascii="仿宋" w:hAnsi="仿宋" w:eastAsia="仿宋"/>
          <w:sz w:val="32"/>
          <w:szCs w:val="32"/>
        </w:rPr>
        <w:br w:type="page"/>
      </w:r>
    </w:p>
    <w:p w14:paraId="4B79AA63">
      <w:pPr>
        <w:pStyle w:val="2"/>
        <w:ind w:right="440"/>
        <w:jc w:val="center"/>
        <w:rPr>
          <w:rStyle w:val="30"/>
          <w:rFonts w:ascii="黑体" w:hAnsi="黑体" w:eastAsia="黑体"/>
          <w:b w:val="0"/>
          <w:bCs/>
        </w:rPr>
      </w:pPr>
      <w:bookmarkStart w:id="16" w:name="_Toc15377204"/>
      <w:bookmarkStart w:id="17" w:name="_Toc15396602"/>
      <w:r>
        <w:rPr>
          <w:rFonts w:hint="eastAsia" w:ascii="黑体" w:hAnsi="黑体" w:eastAsia="黑体"/>
          <w:b w:val="0"/>
        </w:rPr>
        <w:t>第二部分 2023年度</w:t>
      </w:r>
      <w:r>
        <w:rPr>
          <w:rStyle w:val="30"/>
          <w:rFonts w:hint="eastAsia" w:ascii="黑体" w:hAnsi="黑体" w:eastAsia="黑体"/>
          <w:b w:val="0"/>
          <w:bCs/>
        </w:rPr>
        <w:t>部门决算情况说明</w:t>
      </w:r>
      <w:bookmarkEnd w:id="16"/>
      <w:bookmarkEnd w:id="17"/>
    </w:p>
    <w:p w14:paraId="755DDDF8"/>
    <w:p w14:paraId="20A5ED3B">
      <w:pPr>
        <w:pStyle w:val="29"/>
        <w:numPr>
          <w:ilvl w:val="0"/>
          <w:numId w:val="0"/>
        </w:numPr>
        <w:spacing w:line="600" w:lineRule="exact"/>
        <w:ind w:left="1360" w:leftChars="0" w:hanging="720" w:firstLineChars="0"/>
        <w:jc w:val="both"/>
        <w:outlineLvl w:val="1"/>
        <w:rPr>
          <w:rStyle w:val="31"/>
          <w:rFonts w:hint="eastAsia" w:ascii="宋体" w:hAnsi="宋体" w:eastAsia="宋体" w:cs="宋体"/>
          <w:b/>
          <w:bCs w:val="0"/>
          <w:sz w:val="32"/>
          <w:szCs w:val="32"/>
        </w:rPr>
      </w:pPr>
      <w:bookmarkStart w:id="18" w:name="_Toc15396603"/>
      <w:bookmarkStart w:id="19" w:name="_Toc15377205"/>
      <w:r>
        <w:rPr>
          <w:rFonts w:hint="eastAsia" w:ascii="宋体" w:hAnsi="宋体" w:eastAsia="宋体" w:cs="宋体"/>
          <w:b/>
          <w:bCs w:val="0"/>
          <w:kern w:val="2"/>
          <w:sz w:val="32"/>
          <w:szCs w:val="32"/>
          <w:lang w:val="en-US" w:eastAsia="zh-CN" w:bidi="ar-SA"/>
        </w:rPr>
        <w:t>一、</w:t>
      </w:r>
      <w:r>
        <w:rPr>
          <w:rFonts w:hint="eastAsia" w:ascii="宋体" w:hAnsi="宋体" w:eastAsia="宋体" w:cs="宋体"/>
          <w:b/>
          <w:bCs w:val="0"/>
          <w:sz w:val="32"/>
          <w:szCs w:val="32"/>
        </w:rPr>
        <w:t>收</w:t>
      </w:r>
      <w:r>
        <w:rPr>
          <w:rStyle w:val="31"/>
          <w:rFonts w:hint="eastAsia" w:ascii="宋体" w:hAnsi="宋体" w:eastAsia="宋体" w:cs="宋体"/>
          <w:b/>
          <w:bCs w:val="0"/>
          <w:sz w:val="32"/>
          <w:szCs w:val="32"/>
        </w:rPr>
        <w:t>入支出决算总体情况说明</w:t>
      </w:r>
      <w:bookmarkEnd w:id="18"/>
      <w:bookmarkEnd w:id="19"/>
    </w:p>
    <w:p w14:paraId="6C809DE9">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2023年度收、支总计均为289105.34万元。与2022年度相比，收、支总计各增加</w:t>
      </w:r>
      <w:r>
        <w:rPr>
          <w:rFonts w:hint="eastAsia" w:ascii="宋体" w:hAnsi="宋体" w:eastAsia="宋体" w:cs="宋体"/>
          <w:sz w:val="28"/>
          <w:szCs w:val="28"/>
          <w:lang w:val="en-US" w:eastAsia="zh-CN"/>
        </w:rPr>
        <w:t>159813.56</w:t>
      </w:r>
      <w:r>
        <w:rPr>
          <w:rFonts w:hint="eastAsia" w:ascii="宋体" w:hAnsi="宋体" w:eastAsia="宋体" w:cs="宋体"/>
          <w:sz w:val="28"/>
          <w:szCs w:val="28"/>
        </w:rPr>
        <w:t>万元，增长</w:t>
      </w:r>
      <w:r>
        <w:rPr>
          <w:rFonts w:hint="eastAsia" w:ascii="宋体" w:hAnsi="宋体" w:eastAsia="宋体" w:cs="宋体"/>
          <w:sz w:val="28"/>
          <w:szCs w:val="28"/>
          <w:lang w:val="en-US" w:eastAsia="zh-CN"/>
        </w:rPr>
        <w:t>123.6</w:t>
      </w:r>
      <w:r>
        <w:rPr>
          <w:rFonts w:hint="eastAsia" w:ascii="宋体" w:hAnsi="宋体" w:eastAsia="宋体" w:cs="宋体"/>
          <w:sz w:val="28"/>
          <w:szCs w:val="28"/>
        </w:rPr>
        <w:t>%。</w:t>
      </w:r>
      <w:r>
        <w:rPr>
          <w:rFonts w:hint="eastAsia" w:ascii="宋体" w:hAnsi="宋体" w:eastAsia="宋体" w:cs="宋体"/>
          <w:color w:val="000000"/>
          <w:kern w:val="2"/>
          <w:sz w:val="28"/>
          <w:szCs w:val="28"/>
          <w:lang w:val="zh-CN"/>
        </w:rPr>
        <w:t>主要变动原</w:t>
      </w:r>
      <w:r>
        <w:rPr>
          <w:rFonts w:hint="eastAsia" w:ascii="宋体" w:hAnsi="宋体" w:eastAsia="宋体" w:cs="宋体"/>
          <w:color w:val="000000"/>
          <w:kern w:val="2"/>
          <w:sz w:val="28"/>
          <w:szCs w:val="28"/>
          <w:highlight w:val="none"/>
          <w:lang w:val="zh-CN"/>
        </w:rPr>
        <w:t>因是一般公共服务支出增加</w:t>
      </w:r>
      <w:r>
        <w:rPr>
          <w:rFonts w:hint="eastAsia" w:ascii="宋体" w:hAnsi="宋体" w:eastAsia="宋体" w:cs="宋体"/>
          <w:color w:val="000000"/>
          <w:kern w:val="2"/>
          <w:sz w:val="28"/>
          <w:szCs w:val="28"/>
          <w:highlight w:val="none"/>
          <w:lang w:val="en-US" w:eastAsia="zh-CN"/>
        </w:rPr>
        <w:t>1474.43</w:t>
      </w:r>
      <w:r>
        <w:rPr>
          <w:rFonts w:hint="eastAsia" w:ascii="宋体" w:hAnsi="宋体" w:eastAsia="宋体" w:cs="宋体"/>
          <w:color w:val="000000"/>
          <w:kern w:val="2"/>
          <w:sz w:val="28"/>
          <w:szCs w:val="28"/>
          <w:highlight w:val="none"/>
          <w:lang w:val="zh-CN"/>
        </w:rPr>
        <w:t>万元、科学技术支出</w:t>
      </w:r>
      <w:r>
        <w:rPr>
          <w:rFonts w:hint="eastAsia" w:ascii="宋体" w:hAnsi="宋体" w:eastAsia="宋体" w:cs="宋体"/>
          <w:color w:val="000000"/>
          <w:kern w:val="2"/>
          <w:sz w:val="28"/>
          <w:szCs w:val="28"/>
          <w:highlight w:val="none"/>
          <w:lang w:val="en-US" w:eastAsia="zh-CN"/>
        </w:rPr>
        <w:t>增加9294.68万元、</w:t>
      </w:r>
      <w:r>
        <w:rPr>
          <w:rFonts w:hint="eastAsia" w:ascii="宋体" w:hAnsi="宋体" w:eastAsia="宋体" w:cs="宋体"/>
          <w:color w:val="000000"/>
          <w:kern w:val="2"/>
          <w:sz w:val="28"/>
          <w:szCs w:val="28"/>
          <w:highlight w:val="none"/>
          <w:lang w:val="zh-CN"/>
        </w:rPr>
        <w:t>社会保障和就业支出增加</w:t>
      </w:r>
      <w:r>
        <w:rPr>
          <w:rFonts w:hint="eastAsia" w:ascii="宋体" w:hAnsi="宋体" w:eastAsia="宋体" w:cs="宋体"/>
          <w:color w:val="000000"/>
          <w:kern w:val="2"/>
          <w:sz w:val="28"/>
          <w:szCs w:val="28"/>
          <w:highlight w:val="none"/>
          <w:lang w:val="en-US" w:eastAsia="zh-CN"/>
        </w:rPr>
        <w:t>31.32</w:t>
      </w:r>
      <w:r>
        <w:rPr>
          <w:rFonts w:hint="eastAsia" w:ascii="宋体" w:hAnsi="宋体" w:eastAsia="宋体" w:cs="宋体"/>
          <w:color w:val="000000"/>
          <w:kern w:val="2"/>
          <w:sz w:val="28"/>
          <w:szCs w:val="28"/>
          <w:highlight w:val="none"/>
          <w:lang w:val="zh-CN"/>
        </w:rPr>
        <w:t>万元、卫生健康支出</w:t>
      </w:r>
      <w:r>
        <w:rPr>
          <w:rFonts w:hint="eastAsia" w:ascii="宋体" w:hAnsi="宋体" w:eastAsia="宋体" w:cs="宋体"/>
          <w:color w:val="000000"/>
          <w:kern w:val="2"/>
          <w:sz w:val="28"/>
          <w:szCs w:val="28"/>
          <w:highlight w:val="none"/>
          <w:lang w:val="en-US" w:eastAsia="zh-CN"/>
        </w:rPr>
        <w:t>增加1.54</w:t>
      </w:r>
      <w:r>
        <w:rPr>
          <w:rFonts w:hint="eastAsia" w:ascii="宋体" w:hAnsi="宋体" w:eastAsia="宋体" w:cs="宋体"/>
          <w:color w:val="000000"/>
          <w:kern w:val="2"/>
          <w:sz w:val="28"/>
          <w:szCs w:val="28"/>
          <w:highlight w:val="none"/>
          <w:lang w:val="zh-CN"/>
        </w:rPr>
        <w:t>万元、城乡社区支出增加</w:t>
      </w:r>
      <w:r>
        <w:rPr>
          <w:rFonts w:hint="eastAsia" w:ascii="宋体" w:hAnsi="宋体" w:eastAsia="宋体" w:cs="宋体"/>
          <w:color w:val="000000"/>
          <w:kern w:val="2"/>
          <w:sz w:val="28"/>
          <w:szCs w:val="28"/>
          <w:highlight w:val="none"/>
          <w:lang w:val="en-US" w:eastAsia="zh-CN"/>
        </w:rPr>
        <w:t>21032.33</w:t>
      </w:r>
      <w:r>
        <w:rPr>
          <w:rFonts w:hint="eastAsia" w:ascii="宋体" w:hAnsi="宋体" w:eastAsia="宋体" w:cs="宋体"/>
          <w:color w:val="000000"/>
          <w:kern w:val="2"/>
          <w:sz w:val="28"/>
          <w:szCs w:val="28"/>
          <w:highlight w:val="none"/>
          <w:lang w:val="zh-CN"/>
        </w:rPr>
        <w:t>万元、资源勘探工业信息等支出增加</w:t>
      </w:r>
      <w:r>
        <w:rPr>
          <w:rFonts w:hint="eastAsia" w:ascii="宋体" w:hAnsi="宋体" w:eastAsia="宋体" w:cs="宋体"/>
          <w:color w:val="000000"/>
          <w:kern w:val="2"/>
          <w:sz w:val="28"/>
          <w:szCs w:val="28"/>
          <w:highlight w:val="none"/>
          <w:lang w:val="en-US" w:eastAsia="zh-CN"/>
        </w:rPr>
        <w:t>123267.64</w:t>
      </w:r>
      <w:r>
        <w:rPr>
          <w:rFonts w:hint="eastAsia" w:ascii="宋体" w:hAnsi="宋体" w:eastAsia="宋体" w:cs="宋体"/>
          <w:color w:val="000000"/>
          <w:kern w:val="2"/>
          <w:sz w:val="28"/>
          <w:szCs w:val="28"/>
          <w:highlight w:val="none"/>
          <w:lang w:val="zh-CN"/>
        </w:rPr>
        <w:t>万元、住房保障支出</w:t>
      </w:r>
      <w:r>
        <w:rPr>
          <w:rFonts w:hint="eastAsia" w:ascii="宋体" w:hAnsi="宋体" w:eastAsia="宋体" w:cs="宋体"/>
          <w:color w:val="000000"/>
          <w:kern w:val="2"/>
          <w:sz w:val="28"/>
          <w:szCs w:val="28"/>
          <w:highlight w:val="none"/>
          <w:lang w:val="en-US" w:eastAsia="zh-CN"/>
        </w:rPr>
        <w:t>增加10.14万元、其他支出增加4700万元，年末结转和结余1.48万元所致</w:t>
      </w:r>
      <w:r>
        <w:rPr>
          <w:rFonts w:hint="eastAsia" w:ascii="宋体" w:hAnsi="宋体" w:eastAsia="宋体" w:cs="宋体"/>
          <w:color w:val="000000"/>
          <w:kern w:val="2"/>
          <w:sz w:val="28"/>
          <w:szCs w:val="28"/>
          <w:highlight w:val="none"/>
          <w:lang w:val="zh-CN"/>
        </w:rPr>
        <w:t>。</w:t>
      </w:r>
    </w:p>
    <w:p w14:paraId="2367EDD3">
      <w:pPr>
        <w:spacing w:line="600" w:lineRule="exact"/>
        <w:ind w:firstLine="420" w:firstLineChars="200"/>
        <w:jc w:val="left"/>
        <w:rPr>
          <w:rFonts w:ascii="仿宋_GB2312" w:eastAsia="仿宋_GB2312"/>
          <w:sz w:val="32"/>
          <w:szCs w:val="32"/>
        </w:rPr>
      </w:pPr>
      <w:r>
        <w:drawing>
          <wp:anchor distT="0" distB="0" distL="114300" distR="114300" simplePos="0" relativeHeight="251662336" behindDoc="1" locked="0" layoutInCell="1" allowOverlap="1">
            <wp:simplePos x="0" y="0"/>
            <wp:positionH relativeFrom="column">
              <wp:posOffset>127000</wp:posOffset>
            </wp:positionH>
            <wp:positionV relativeFrom="paragraph">
              <wp:posOffset>264795</wp:posOffset>
            </wp:positionV>
            <wp:extent cx="5024120" cy="3211830"/>
            <wp:effectExtent l="4445" t="4445" r="19685" b="22225"/>
            <wp:wrapNone/>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01798F07">
      <w:pPr>
        <w:spacing w:line="600" w:lineRule="exact"/>
        <w:ind w:firstLine="640" w:firstLineChars="200"/>
        <w:jc w:val="left"/>
        <w:rPr>
          <w:rFonts w:ascii="仿宋_GB2312" w:eastAsia="仿宋_GB2312"/>
          <w:sz w:val="32"/>
          <w:szCs w:val="32"/>
        </w:rPr>
      </w:pPr>
    </w:p>
    <w:p w14:paraId="5C57681C">
      <w:pPr>
        <w:spacing w:line="600" w:lineRule="exact"/>
        <w:ind w:firstLine="640" w:firstLineChars="200"/>
        <w:jc w:val="left"/>
        <w:rPr>
          <w:rFonts w:ascii="仿宋_GB2312" w:eastAsia="仿宋_GB2312"/>
          <w:sz w:val="32"/>
          <w:szCs w:val="32"/>
        </w:rPr>
      </w:pPr>
    </w:p>
    <w:p w14:paraId="7CAC5EA4">
      <w:pPr>
        <w:spacing w:line="600" w:lineRule="exact"/>
        <w:ind w:firstLine="640" w:firstLineChars="200"/>
        <w:jc w:val="left"/>
        <w:rPr>
          <w:rFonts w:ascii="仿宋_GB2312" w:eastAsia="仿宋_GB2312"/>
          <w:sz w:val="32"/>
          <w:szCs w:val="32"/>
        </w:rPr>
      </w:pPr>
    </w:p>
    <w:p w14:paraId="4B9F0BE6">
      <w:pPr>
        <w:spacing w:line="600" w:lineRule="exact"/>
        <w:ind w:firstLine="640" w:firstLineChars="200"/>
        <w:jc w:val="left"/>
        <w:rPr>
          <w:rFonts w:ascii="仿宋_GB2312" w:eastAsia="仿宋_GB2312"/>
          <w:sz w:val="32"/>
          <w:szCs w:val="32"/>
        </w:rPr>
      </w:pPr>
    </w:p>
    <w:p w14:paraId="482FF37D">
      <w:pPr>
        <w:spacing w:line="600" w:lineRule="exact"/>
        <w:ind w:firstLine="640" w:firstLineChars="200"/>
        <w:jc w:val="left"/>
        <w:rPr>
          <w:rFonts w:ascii="仿宋_GB2312" w:eastAsia="仿宋_GB2312"/>
          <w:sz w:val="32"/>
          <w:szCs w:val="32"/>
        </w:rPr>
      </w:pPr>
    </w:p>
    <w:p w14:paraId="4EC31A5E">
      <w:pPr>
        <w:spacing w:line="600" w:lineRule="exact"/>
        <w:ind w:firstLine="640" w:firstLineChars="200"/>
        <w:jc w:val="left"/>
        <w:rPr>
          <w:rFonts w:ascii="仿宋_GB2312" w:eastAsia="仿宋_GB2312"/>
          <w:sz w:val="32"/>
          <w:szCs w:val="32"/>
        </w:rPr>
      </w:pPr>
    </w:p>
    <w:p w14:paraId="7F8E39C6">
      <w:pPr>
        <w:spacing w:line="600" w:lineRule="exact"/>
        <w:ind w:firstLine="640" w:firstLineChars="200"/>
        <w:jc w:val="left"/>
        <w:rPr>
          <w:rFonts w:ascii="仿宋_GB2312" w:eastAsia="仿宋_GB2312"/>
          <w:sz w:val="32"/>
          <w:szCs w:val="32"/>
        </w:rPr>
      </w:pPr>
    </w:p>
    <w:p w14:paraId="27B0E981">
      <w:pPr>
        <w:pStyle w:val="29"/>
        <w:numPr>
          <w:ilvl w:val="0"/>
          <w:numId w:val="0"/>
        </w:numPr>
        <w:spacing w:line="600" w:lineRule="exact"/>
        <w:outlineLvl w:val="1"/>
        <w:rPr>
          <w:rFonts w:hint="default" w:ascii="黑体" w:hAnsi="黑体" w:eastAsia="黑体" w:cstheme="majorBidi"/>
          <w:b w:val="0"/>
          <w:bCs/>
          <w:kern w:val="2"/>
          <w:sz w:val="32"/>
          <w:szCs w:val="32"/>
          <w:lang w:val="en-US" w:eastAsia="zh-CN" w:bidi="ar-SA"/>
        </w:rPr>
      </w:pPr>
      <w:bookmarkStart w:id="20" w:name="_Toc15396604"/>
      <w:bookmarkStart w:id="21" w:name="_Toc15377206"/>
    </w:p>
    <w:p w14:paraId="49D011E0">
      <w:pPr>
        <w:pStyle w:val="29"/>
        <w:numPr>
          <w:ilvl w:val="0"/>
          <w:numId w:val="0"/>
        </w:numPr>
        <w:spacing w:line="600" w:lineRule="exact"/>
        <w:ind w:left="1360" w:leftChars="0" w:hanging="720" w:firstLineChars="0"/>
        <w:outlineLvl w:val="1"/>
        <w:rPr>
          <w:rStyle w:val="31"/>
          <w:rFonts w:hint="eastAsia" w:ascii="宋体" w:hAnsi="宋体" w:eastAsia="宋体" w:cs="宋体"/>
          <w:b/>
          <w:bCs w:val="0"/>
          <w:sz w:val="32"/>
          <w:szCs w:val="32"/>
        </w:rPr>
      </w:pPr>
      <w:r>
        <w:rPr>
          <w:rFonts w:hint="eastAsia" w:ascii="宋体" w:hAnsi="宋体" w:eastAsia="宋体" w:cs="宋体"/>
          <w:b/>
          <w:bCs w:val="0"/>
          <w:kern w:val="2"/>
          <w:sz w:val="32"/>
          <w:szCs w:val="32"/>
          <w:lang w:val="en-US" w:eastAsia="zh-CN" w:bidi="ar-SA"/>
        </w:rPr>
        <w:t>二、</w:t>
      </w:r>
      <w:r>
        <w:rPr>
          <w:rFonts w:hint="eastAsia" w:ascii="宋体" w:hAnsi="宋体" w:eastAsia="宋体" w:cs="宋体"/>
          <w:b/>
          <w:bCs w:val="0"/>
          <w:sz w:val="32"/>
          <w:szCs w:val="32"/>
        </w:rPr>
        <w:t>收</w:t>
      </w:r>
      <w:r>
        <w:rPr>
          <w:rStyle w:val="31"/>
          <w:rFonts w:hint="eastAsia" w:ascii="宋体" w:hAnsi="宋体" w:eastAsia="宋体" w:cs="宋体"/>
          <w:b/>
          <w:bCs w:val="0"/>
          <w:sz w:val="32"/>
          <w:szCs w:val="32"/>
        </w:rPr>
        <w:t>入决算情况说明</w:t>
      </w:r>
      <w:bookmarkEnd w:id="20"/>
      <w:bookmarkEnd w:id="21"/>
    </w:p>
    <w:p w14:paraId="42A281BF">
      <w:pPr>
        <w:spacing w:line="600" w:lineRule="exact"/>
        <w:ind w:firstLine="560" w:firstLineChars="200"/>
        <w:jc w:val="left"/>
        <w:outlineLvl w:val="1"/>
        <w:rPr>
          <w:rFonts w:hint="eastAsia" w:ascii="宋体" w:hAnsi="宋体" w:eastAsia="宋体" w:cs="宋体"/>
          <w:sz w:val="28"/>
          <w:szCs w:val="28"/>
        </w:rPr>
      </w:pPr>
      <w:r>
        <w:rPr>
          <w:rFonts w:hint="eastAsia" w:ascii="宋体" w:hAnsi="宋体" w:eastAsia="宋体" w:cs="宋体"/>
          <w:sz w:val="28"/>
          <w:szCs w:val="28"/>
        </w:rPr>
        <w:t>2023年度本年收入合计289095.18万元，其中：一般公共预算财政拨款收入58962.91万元，占20.39%；政府性基金预算财政拨款收入126086.61万元，占43.61%；其他收入104045.67万元，占35.99%。</w:t>
      </w:r>
    </w:p>
    <w:p w14:paraId="60F9C802">
      <w:pPr>
        <w:spacing w:line="600" w:lineRule="exact"/>
        <w:ind w:firstLine="420" w:firstLineChars="200"/>
        <w:rPr>
          <w:rFonts w:ascii="仿宋_GB2312" w:eastAsia="仿宋_GB2312"/>
          <w:sz w:val="32"/>
          <w:szCs w:val="32"/>
        </w:rPr>
      </w:pPr>
      <w:r>
        <w:drawing>
          <wp:anchor distT="0" distB="0" distL="114300" distR="114300" simplePos="0" relativeHeight="251660288" behindDoc="1" locked="0" layoutInCell="1" allowOverlap="1">
            <wp:simplePos x="0" y="0"/>
            <wp:positionH relativeFrom="column">
              <wp:posOffset>419735</wp:posOffset>
            </wp:positionH>
            <wp:positionV relativeFrom="paragraph">
              <wp:posOffset>196215</wp:posOffset>
            </wp:positionV>
            <wp:extent cx="4829810" cy="3054985"/>
            <wp:effectExtent l="4445" t="4445" r="23495" b="7620"/>
            <wp:wrapNone/>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20C76A74">
      <w:pPr>
        <w:spacing w:line="600" w:lineRule="exact"/>
        <w:ind w:firstLine="640" w:firstLineChars="200"/>
        <w:rPr>
          <w:rFonts w:ascii="仿宋_GB2312" w:eastAsia="仿宋_GB2312"/>
          <w:sz w:val="32"/>
          <w:szCs w:val="32"/>
        </w:rPr>
      </w:pPr>
    </w:p>
    <w:p w14:paraId="77586E45">
      <w:pPr>
        <w:spacing w:line="600" w:lineRule="exact"/>
        <w:rPr>
          <w:rFonts w:ascii="仿宋_GB2312" w:eastAsia="仿宋_GB2312"/>
          <w:sz w:val="32"/>
          <w:szCs w:val="32"/>
        </w:rPr>
      </w:pPr>
    </w:p>
    <w:p w14:paraId="5EEE958E">
      <w:pPr>
        <w:spacing w:line="600" w:lineRule="exact"/>
        <w:ind w:firstLine="640" w:firstLineChars="200"/>
        <w:rPr>
          <w:rFonts w:ascii="仿宋_GB2312" w:eastAsia="仿宋_GB2312"/>
          <w:sz w:val="32"/>
          <w:szCs w:val="32"/>
        </w:rPr>
      </w:pPr>
    </w:p>
    <w:p w14:paraId="128E7545">
      <w:pPr>
        <w:spacing w:line="600" w:lineRule="exact"/>
        <w:ind w:firstLine="640" w:firstLineChars="200"/>
        <w:rPr>
          <w:rFonts w:ascii="仿宋_GB2312" w:eastAsia="仿宋_GB2312"/>
          <w:sz w:val="32"/>
          <w:szCs w:val="32"/>
        </w:rPr>
      </w:pPr>
    </w:p>
    <w:p w14:paraId="23B55612">
      <w:pPr>
        <w:spacing w:line="600" w:lineRule="exact"/>
        <w:ind w:firstLine="640" w:firstLineChars="200"/>
        <w:rPr>
          <w:rFonts w:ascii="仿宋_GB2312" w:eastAsia="仿宋_GB2312"/>
          <w:sz w:val="32"/>
          <w:szCs w:val="32"/>
        </w:rPr>
      </w:pPr>
    </w:p>
    <w:p w14:paraId="75DD3D84">
      <w:pPr>
        <w:spacing w:line="600" w:lineRule="exact"/>
        <w:ind w:firstLine="640" w:firstLineChars="200"/>
        <w:rPr>
          <w:rFonts w:ascii="仿宋_GB2312" w:eastAsia="仿宋_GB2312"/>
          <w:sz w:val="32"/>
          <w:szCs w:val="32"/>
        </w:rPr>
      </w:pPr>
    </w:p>
    <w:p w14:paraId="608972F9">
      <w:pPr>
        <w:pStyle w:val="29"/>
        <w:numPr>
          <w:ilvl w:val="0"/>
          <w:numId w:val="0"/>
        </w:numPr>
        <w:spacing w:line="600" w:lineRule="exact"/>
        <w:ind w:firstLine="643" w:firstLineChars="200"/>
        <w:outlineLvl w:val="1"/>
        <w:rPr>
          <w:rFonts w:hint="eastAsia" w:ascii="宋体" w:hAnsi="宋体" w:eastAsia="宋体" w:cs="宋体"/>
          <w:b/>
          <w:bCs w:val="0"/>
          <w:kern w:val="2"/>
          <w:sz w:val="32"/>
          <w:szCs w:val="32"/>
          <w:lang w:val="en-US" w:eastAsia="zh-CN" w:bidi="ar-SA"/>
        </w:rPr>
      </w:pPr>
      <w:bookmarkStart w:id="22" w:name="_Toc15396605"/>
      <w:bookmarkStart w:id="23" w:name="_Toc15377207"/>
    </w:p>
    <w:p w14:paraId="611E0CF1">
      <w:pPr>
        <w:pStyle w:val="29"/>
        <w:numPr>
          <w:ilvl w:val="0"/>
          <w:numId w:val="0"/>
        </w:numPr>
        <w:spacing w:line="600" w:lineRule="exact"/>
        <w:ind w:firstLine="643" w:firstLineChars="200"/>
        <w:outlineLvl w:val="1"/>
        <w:rPr>
          <w:rFonts w:hint="eastAsia" w:ascii="宋体" w:hAnsi="宋体" w:eastAsia="宋体" w:cs="宋体"/>
          <w:b/>
          <w:bCs w:val="0"/>
          <w:kern w:val="2"/>
          <w:sz w:val="32"/>
          <w:szCs w:val="32"/>
          <w:lang w:val="en-US" w:eastAsia="zh-CN" w:bidi="ar-SA"/>
        </w:rPr>
      </w:pPr>
    </w:p>
    <w:p w14:paraId="40BF2C15">
      <w:pPr>
        <w:pStyle w:val="29"/>
        <w:numPr>
          <w:ilvl w:val="0"/>
          <w:numId w:val="0"/>
        </w:numPr>
        <w:spacing w:line="600" w:lineRule="exact"/>
        <w:ind w:firstLine="643" w:firstLineChars="200"/>
        <w:outlineLvl w:val="1"/>
        <w:rPr>
          <w:rStyle w:val="31"/>
          <w:rFonts w:hint="eastAsia" w:ascii="宋体" w:hAnsi="宋体" w:eastAsia="宋体" w:cs="宋体"/>
          <w:b/>
          <w:bCs w:val="0"/>
          <w:sz w:val="32"/>
          <w:szCs w:val="32"/>
        </w:rPr>
      </w:pPr>
      <w:r>
        <w:rPr>
          <w:rFonts w:hint="eastAsia" w:ascii="宋体" w:hAnsi="宋体" w:eastAsia="宋体" w:cs="宋体"/>
          <w:b/>
          <w:bCs w:val="0"/>
          <w:kern w:val="2"/>
          <w:sz w:val="32"/>
          <w:szCs w:val="32"/>
          <w:lang w:val="en-US" w:eastAsia="zh-CN" w:bidi="ar-SA"/>
        </w:rPr>
        <w:t>三、</w:t>
      </w:r>
      <w:r>
        <w:rPr>
          <w:rFonts w:hint="eastAsia" w:ascii="宋体" w:hAnsi="宋体" w:eastAsia="宋体" w:cs="宋体"/>
          <w:b/>
          <w:bCs w:val="0"/>
          <w:sz w:val="32"/>
          <w:szCs w:val="32"/>
        </w:rPr>
        <w:t>支</w:t>
      </w:r>
      <w:r>
        <w:rPr>
          <w:rStyle w:val="31"/>
          <w:rFonts w:hint="eastAsia" w:ascii="宋体" w:hAnsi="宋体" w:eastAsia="宋体" w:cs="宋体"/>
          <w:b/>
          <w:bCs w:val="0"/>
          <w:sz w:val="32"/>
          <w:szCs w:val="32"/>
        </w:rPr>
        <w:t>出决算情况说明</w:t>
      </w:r>
      <w:bookmarkEnd w:id="22"/>
      <w:bookmarkEnd w:id="23"/>
    </w:p>
    <w:p w14:paraId="3A2CB3FA">
      <w:pPr>
        <w:spacing w:line="600" w:lineRule="exact"/>
        <w:ind w:firstLine="560" w:firstLineChars="200"/>
        <w:outlineLvl w:val="1"/>
        <w:rPr>
          <w:rFonts w:hint="eastAsia" w:ascii="宋体" w:hAnsi="宋体" w:eastAsia="宋体" w:cs="宋体"/>
          <w:sz w:val="28"/>
          <w:szCs w:val="28"/>
        </w:rPr>
      </w:pPr>
      <w:r>
        <w:rPr>
          <w:rFonts w:hint="eastAsia" w:ascii="宋体" w:hAnsi="宋体" w:eastAsia="宋体" w:cs="宋体"/>
          <w:sz w:val="28"/>
          <w:szCs w:val="28"/>
        </w:rPr>
        <w:t>2023年度本年支出合计289103.87万元，其中：基本支出389.21万元，占0.13%；项目支出288714.66万元，占99.86%；</w:t>
      </w:r>
    </w:p>
    <w:p w14:paraId="39F22157">
      <w:pPr>
        <w:spacing w:line="600" w:lineRule="exact"/>
        <w:ind w:firstLine="640"/>
        <w:rPr>
          <w:rFonts w:ascii="仿宋" w:hAnsi="仿宋" w:eastAsia="仿宋"/>
          <w:sz w:val="32"/>
          <w:szCs w:val="32"/>
          <w:shd w:val="pct10" w:color="auto" w:fill="FFFFFF"/>
        </w:rPr>
      </w:pPr>
      <w:r>
        <w:drawing>
          <wp:anchor distT="0" distB="0" distL="114300" distR="114300" simplePos="0" relativeHeight="251661312" behindDoc="1" locked="0" layoutInCell="1" allowOverlap="1">
            <wp:simplePos x="0" y="0"/>
            <wp:positionH relativeFrom="column">
              <wp:posOffset>317500</wp:posOffset>
            </wp:positionH>
            <wp:positionV relativeFrom="paragraph">
              <wp:posOffset>207010</wp:posOffset>
            </wp:positionV>
            <wp:extent cx="4829810" cy="2972435"/>
            <wp:effectExtent l="4445" t="4445" r="23495" b="13970"/>
            <wp:wrapNone/>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36B9EF76">
      <w:pPr>
        <w:spacing w:line="600" w:lineRule="exact"/>
        <w:ind w:firstLine="640" w:firstLineChars="200"/>
        <w:rPr>
          <w:rFonts w:ascii="仿宋_GB2312" w:eastAsia="仿宋_GB2312"/>
          <w:sz w:val="32"/>
          <w:szCs w:val="32"/>
        </w:rPr>
      </w:pPr>
    </w:p>
    <w:p w14:paraId="2F04EF62">
      <w:pPr>
        <w:spacing w:line="600" w:lineRule="exact"/>
        <w:ind w:firstLine="640" w:firstLineChars="200"/>
        <w:rPr>
          <w:rFonts w:ascii="仿宋_GB2312" w:eastAsia="仿宋_GB2312"/>
          <w:sz w:val="32"/>
          <w:szCs w:val="32"/>
        </w:rPr>
      </w:pPr>
    </w:p>
    <w:p w14:paraId="6AF723D4">
      <w:pPr>
        <w:spacing w:line="600" w:lineRule="exact"/>
        <w:ind w:firstLine="640" w:firstLineChars="200"/>
        <w:rPr>
          <w:rFonts w:ascii="仿宋_GB2312" w:eastAsia="仿宋_GB2312"/>
          <w:sz w:val="32"/>
          <w:szCs w:val="32"/>
        </w:rPr>
      </w:pPr>
    </w:p>
    <w:p w14:paraId="35D18790">
      <w:pPr>
        <w:spacing w:line="600" w:lineRule="exact"/>
        <w:ind w:firstLine="640" w:firstLineChars="200"/>
        <w:rPr>
          <w:rFonts w:ascii="仿宋_GB2312" w:eastAsia="仿宋_GB2312"/>
          <w:sz w:val="32"/>
          <w:szCs w:val="32"/>
        </w:rPr>
      </w:pPr>
    </w:p>
    <w:p w14:paraId="529D97EE">
      <w:pPr>
        <w:spacing w:line="600" w:lineRule="exact"/>
        <w:ind w:firstLine="640" w:firstLineChars="200"/>
        <w:rPr>
          <w:rFonts w:ascii="仿宋_GB2312" w:eastAsia="仿宋_GB2312"/>
          <w:sz w:val="32"/>
          <w:szCs w:val="32"/>
        </w:rPr>
      </w:pPr>
    </w:p>
    <w:p w14:paraId="662D2A67">
      <w:pPr>
        <w:spacing w:line="600" w:lineRule="exact"/>
        <w:ind w:firstLine="640" w:firstLineChars="200"/>
        <w:rPr>
          <w:rFonts w:ascii="仿宋_GB2312" w:eastAsia="仿宋_GB2312"/>
          <w:sz w:val="32"/>
          <w:szCs w:val="32"/>
        </w:rPr>
      </w:pPr>
    </w:p>
    <w:p w14:paraId="3B6228A8">
      <w:pPr>
        <w:spacing w:line="600" w:lineRule="exact"/>
        <w:ind w:firstLine="640" w:firstLineChars="200"/>
        <w:outlineLvl w:val="1"/>
        <w:rPr>
          <w:rFonts w:hint="eastAsia" w:ascii="黑体" w:hAnsi="黑体" w:eastAsia="黑体"/>
          <w:sz w:val="32"/>
          <w:szCs w:val="32"/>
        </w:rPr>
      </w:pPr>
      <w:bookmarkStart w:id="24" w:name="_Toc15396606"/>
      <w:bookmarkStart w:id="25" w:name="_Toc15377208"/>
    </w:p>
    <w:p w14:paraId="7B6BB2CD">
      <w:pPr>
        <w:spacing w:line="600" w:lineRule="exact"/>
        <w:ind w:firstLine="640" w:firstLineChars="200"/>
        <w:outlineLvl w:val="1"/>
        <w:rPr>
          <w:rFonts w:hint="eastAsia" w:ascii="黑体" w:hAnsi="黑体" w:eastAsia="黑体"/>
          <w:sz w:val="32"/>
          <w:szCs w:val="32"/>
        </w:rPr>
      </w:pPr>
    </w:p>
    <w:p w14:paraId="68F95137">
      <w:pPr>
        <w:spacing w:line="600" w:lineRule="exact"/>
        <w:ind w:firstLine="640" w:firstLineChars="200"/>
        <w:outlineLvl w:val="1"/>
        <w:rPr>
          <w:rFonts w:hint="eastAsia" w:ascii="黑体" w:hAnsi="黑体" w:eastAsia="黑体"/>
          <w:sz w:val="32"/>
          <w:szCs w:val="32"/>
        </w:rPr>
      </w:pPr>
    </w:p>
    <w:p w14:paraId="3919AD36">
      <w:pPr>
        <w:spacing w:line="600" w:lineRule="exact"/>
        <w:ind w:firstLine="643" w:firstLineChars="200"/>
        <w:outlineLvl w:val="1"/>
        <w:rPr>
          <w:rStyle w:val="31"/>
          <w:rFonts w:hint="eastAsia" w:ascii="宋体" w:hAnsi="宋体" w:eastAsia="宋体" w:cs="宋体"/>
          <w:b/>
          <w:bCs/>
          <w:sz w:val="32"/>
          <w:szCs w:val="32"/>
        </w:rPr>
      </w:pPr>
      <w:r>
        <w:rPr>
          <w:rFonts w:hint="eastAsia" w:ascii="宋体" w:hAnsi="宋体" w:eastAsia="宋体" w:cs="宋体"/>
          <w:b/>
          <w:bCs/>
          <w:sz w:val="32"/>
          <w:szCs w:val="32"/>
        </w:rPr>
        <w:t>四、财</w:t>
      </w:r>
      <w:r>
        <w:rPr>
          <w:rStyle w:val="31"/>
          <w:rFonts w:hint="eastAsia" w:ascii="宋体" w:hAnsi="宋体" w:eastAsia="宋体" w:cs="宋体"/>
          <w:b/>
          <w:bCs/>
          <w:sz w:val="32"/>
          <w:szCs w:val="32"/>
        </w:rPr>
        <w:t>政拨款收入支出决算总体情况说明</w:t>
      </w:r>
      <w:bookmarkEnd w:id="24"/>
      <w:bookmarkEnd w:id="25"/>
    </w:p>
    <w:p w14:paraId="5B71422C">
      <w:pPr>
        <w:keepNext/>
        <w:keepLines/>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2023年度财政拨款收、支总计均为185049.5</w:t>
      </w:r>
      <w:r>
        <w:rPr>
          <w:rFonts w:hint="eastAsia" w:ascii="宋体" w:hAnsi="宋体" w:eastAsia="宋体" w:cs="宋体"/>
          <w:sz w:val="28"/>
          <w:szCs w:val="28"/>
          <w:lang w:val="en-US" w:eastAsia="zh-CN"/>
        </w:rPr>
        <w:t>1</w:t>
      </w:r>
      <w:r>
        <w:rPr>
          <w:rFonts w:hint="eastAsia" w:ascii="宋体" w:hAnsi="宋体" w:eastAsia="宋体" w:cs="宋体"/>
          <w:sz w:val="28"/>
          <w:szCs w:val="28"/>
        </w:rPr>
        <w:t>万元。与2022年度相比，财政拨款收、支总计各增加</w:t>
      </w:r>
      <w:r>
        <w:rPr>
          <w:rFonts w:hint="eastAsia" w:ascii="宋体" w:hAnsi="宋体" w:eastAsia="宋体" w:cs="宋体"/>
          <w:sz w:val="28"/>
          <w:szCs w:val="28"/>
          <w:lang w:val="en-US" w:eastAsia="zh-CN"/>
        </w:rPr>
        <w:t>55757.72</w:t>
      </w:r>
      <w:r>
        <w:rPr>
          <w:rFonts w:hint="eastAsia" w:ascii="宋体" w:hAnsi="宋体" w:eastAsia="宋体" w:cs="宋体"/>
          <w:sz w:val="28"/>
          <w:szCs w:val="28"/>
        </w:rPr>
        <w:t>万元，增长</w:t>
      </w:r>
      <w:r>
        <w:rPr>
          <w:rFonts w:hint="eastAsia" w:ascii="宋体" w:hAnsi="宋体" w:eastAsia="宋体" w:cs="宋体"/>
          <w:sz w:val="28"/>
          <w:szCs w:val="28"/>
          <w:lang w:val="en-US" w:eastAsia="zh-CN"/>
        </w:rPr>
        <w:t>43.1</w:t>
      </w:r>
      <w:r>
        <w:rPr>
          <w:rFonts w:hint="eastAsia" w:ascii="宋体" w:hAnsi="宋体" w:eastAsia="宋体" w:cs="宋体"/>
          <w:sz w:val="28"/>
          <w:szCs w:val="28"/>
        </w:rPr>
        <w:t>%。</w:t>
      </w:r>
      <w:r>
        <w:rPr>
          <w:rFonts w:hint="eastAsia" w:ascii="宋体" w:hAnsi="宋体" w:eastAsia="宋体" w:cs="宋体"/>
          <w:color w:val="000000"/>
          <w:kern w:val="2"/>
          <w:sz w:val="28"/>
          <w:szCs w:val="28"/>
          <w:lang w:val="zh-CN"/>
        </w:rPr>
        <w:t>主要变动原</w:t>
      </w:r>
      <w:r>
        <w:rPr>
          <w:rFonts w:hint="eastAsia" w:ascii="宋体" w:hAnsi="宋体" w:eastAsia="宋体" w:cs="宋体"/>
          <w:color w:val="000000"/>
          <w:kern w:val="2"/>
          <w:sz w:val="28"/>
          <w:szCs w:val="28"/>
          <w:highlight w:val="none"/>
          <w:lang w:val="zh-CN"/>
        </w:rPr>
        <w:t>因是一般公共服务支出增加</w:t>
      </w:r>
      <w:r>
        <w:rPr>
          <w:rFonts w:hint="eastAsia" w:ascii="宋体" w:hAnsi="宋体" w:eastAsia="宋体" w:cs="宋体"/>
          <w:color w:val="000000"/>
          <w:kern w:val="2"/>
          <w:sz w:val="28"/>
          <w:szCs w:val="28"/>
          <w:highlight w:val="none"/>
          <w:lang w:val="en-US" w:eastAsia="zh-CN"/>
        </w:rPr>
        <w:t>1474.43</w:t>
      </w:r>
      <w:r>
        <w:rPr>
          <w:rFonts w:hint="eastAsia" w:ascii="宋体" w:hAnsi="宋体" w:eastAsia="宋体" w:cs="宋体"/>
          <w:color w:val="000000"/>
          <w:kern w:val="2"/>
          <w:sz w:val="28"/>
          <w:szCs w:val="28"/>
          <w:highlight w:val="none"/>
          <w:lang w:val="zh-CN"/>
        </w:rPr>
        <w:t>万元、科学技术支出</w:t>
      </w:r>
      <w:r>
        <w:rPr>
          <w:rFonts w:hint="eastAsia" w:ascii="宋体" w:hAnsi="宋体" w:eastAsia="宋体" w:cs="宋体"/>
          <w:color w:val="000000"/>
          <w:kern w:val="2"/>
          <w:sz w:val="28"/>
          <w:szCs w:val="28"/>
          <w:highlight w:val="none"/>
          <w:lang w:val="en-US" w:eastAsia="zh-CN"/>
        </w:rPr>
        <w:t>增加 9294.68万元、</w:t>
      </w:r>
      <w:r>
        <w:rPr>
          <w:rFonts w:hint="eastAsia" w:ascii="宋体" w:hAnsi="宋体" w:eastAsia="宋体" w:cs="宋体"/>
          <w:color w:val="000000"/>
          <w:kern w:val="2"/>
          <w:sz w:val="28"/>
          <w:szCs w:val="28"/>
          <w:highlight w:val="none"/>
          <w:lang w:val="zh-CN"/>
        </w:rPr>
        <w:t>社会保障和就业支出增加</w:t>
      </w:r>
      <w:r>
        <w:rPr>
          <w:rFonts w:hint="eastAsia" w:ascii="宋体" w:hAnsi="宋体" w:eastAsia="宋体" w:cs="宋体"/>
          <w:color w:val="000000"/>
          <w:kern w:val="2"/>
          <w:sz w:val="28"/>
          <w:szCs w:val="28"/>
          <w:highlight w:val="none"/>
          <w:lang w:val="en-US" w:eastAsia="zh-CN"/>
        </w:rPr>
        <w:t>31.32</w:t>
      </w:r>
      <w:r>
        <w:rPr>
          <w:rFonts w:hint="eastAsia" w:ascii="宋体" w:hAnsi="宋体" w:eastAsia="宋体" w:cs="宋体"/>
          <w:color w:val="000000"/>
          <w:kern w:val="2"/>
          <w:sz w:val="28"/>
          <w:szCs w:val="28"/>
          <w:highlight w:val="none"/>
          <w:lang w:val="zh-CN"/>
        </w:rPr>
        <w:t>万元、卫生健康支出</w:t>
      </w:r>
      <w:r>
        <w:rPr>
          <w:rFonts w:hint="eastAsia" w:ascii="宋体" w:hAnsi="宋体" w:eastAsia="宋体" w:cs="宋体"/>
          <w:color w:val="000000"/>
          <w:kern w:val="2"/>
          <w:sz w:val="28"/>
          <w:szCs w:val="28"/>
          <w:highlight w:val="none"/>
          <w:lang w:val="en-US" w:eastAsia="zh-CN"/>
        </w:rPr>
        <w:t>增加1.54</w:t>
      </w:r>
      <w:r>
        <w:rPr>
          <w:rFonts w:hint="eastAsia" w:ascii="宋体" w:hAnsi="宋体" w:eastAsia="宋体" w:cs="宋体"/>
          <w:color w:val="000000"/>
          <w:kern w:val="2"/>
          <w:sz w:val="28"/>
          <w:szCs w:val="28"/>
          <w:highlight w:val="none"/>
          <w:lang w:val="zh-CN"/>
        </w:rPr>
        <w:t>万元、城乡社区支出增加</w:t>
      </w:r>
      <w:r>
        <w:rPr>
          <w:rFonts w:hint="eastAsia" w:ascii="宋体" w:hAnsi="宋体" w:eastAsia="宋体" w:cs="宋体"/>
          <w:color w:val="000000"/>
          <w:kern w:val="2"/>
          <w:sz w:val="28"/>
          <w:szCs w:val="28"/>
          <w:highlight w:val="none"/>
          <w:lang w:val="en-US" w:eastAsia="zh-CN"/>
        </w:rPr>
        <w:t>21032.33</w:t>
      </w:r>
      <w:r>
        <w:rPr>
          <w:rFonts w:hint="eastAsia" w:ascii="宋体" w:hAnsi="宋体" w:eastAsia="宋体" w:cs="宋体"/>
          <w:color w:val="000000"/>
          <w:kern w:val="2"/>
          <w:sz w:val="28"/>
          <w:szCs w:val="28"/>
          <w:highlight w:val="none"/>
          <w:lang w:val="zh-CN"/>
        </w:rPr>
        <w:t>万元、资源勘探工业信息等支出增加</w:t>
      </w:r>
      <w:r>
        <w:rPr>
          <w:rFonts w:hint="eastAsia" w:ascii="宋体" w:hAnsi="宋体" w:eastAsia="宋体" w:cs="宋体"/>
          <w:color w:val="000000"/>
          <w:kern w:val="2"/>
          <w:sz w:val="28"/>
          <w:szCs w:val="28"/>
          <w:highlight w:val="none"/>
          <w:lang w:val="en-US" w:eastAsia="zh-CN"/>
        </w:rPr>
        <w:t>19213.28</w:t>
      </w:r>
      <w:r>
        <w:rPr>
          <w:rFonts w:hint="eastAsia" w:ascii="宋体" w:hAnsi="宋体" w:eastAsia="宋体" w:cs="宋体"/>
          <w:color w:val="000000"/>
          <w:kern w:val="2"/>
          <w:sz w:val="28"/>
          <w:szCs w:val="28"/>
          <w:highlight w:val="none"/>
          <w:lang w:val="zh-CN"/>
        </w:rPr>
        <w:t>万元、住房保障支出</w:t>
      </w:r>
      <w:r>
        <w:rPr>
          <w:rFonts w:hint="eastAsia" w:ascii="宋体" w:hAnsi="宋体" w:eastAsia="宋体" w:cs="宋体"/>
          <w:color w:val="000000"/>
          <w:kern w:val="2"/>
          <w:sz w:val="28"/>
          <w:szCs w:val="28"/>
          <w:highlight w:val="none"/>
          <w:lang w:val="en-US" w:eastAsia="zh-CN"/>
        </w:rPr>
        <w:t>增加10.14万元、其他支出增加4700万元</w:t>
      </w:r>
      <w:r>
        <w:rPr>
          <w:rFonts w:hint="eastAsia" w:ascii="宋体" w:hAnsi="宋体" w:eastAsia="宋体" w:cs="宋体"/>
          <w:color w:val="000000"/>
          <w:kern w:val="2"/>
          <w:sz w:val="28"/>
          <w:szCs w:val="28"/>
          <w:highlight w:val="none"/>
          <w:lang w:val="zh-CN"/>
        </w:rPr>
        <w:t>。</w:t>
      </w:r>
    </w:p>
    <w:p w14:paraId="486169D3">
      <w:pPr>
        <w:spacing w:line="600" w:lineRule="exact"/>
        <w:ind w:firstLine="640"/>
        <w:rPr>
          <w:rFonts w:ascii="仿宋" w:hAnsi="仿宋" w:eastAsia="仿宋"/>
          <w:b/>
          <w:sz w:val="32"/>
          <w:szCs w:val="32"/>
        </w:rPr>
      </w:pPr>
      <w:r>
        <w:drawing>
          <wp:anchor distT="0" distB="0" distL="114300" distR="114300" simplePos="0" relativeHeight="251663360" behindDoc="1" locked="0" layoutInCell="1" allowOverlap="1">
            <wp:simplePos x="0" y="0"/>
            <wp:positionH relativeFrom="column">
              <wp:posOffset>11430</wp:posOffset>
            </wp:positionH>
            <wp:positionV relativeFrom="paragraph">
              <wp:posOffset>308610</wp:posOffset>
            </wp:positionV>
            <wp:extent cx="5364480" cy="4545330"/>
            <wp:effectExtent l="4445" t="4445" r="22225" b="22225"/>
            <wp:wrapNone/>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336C63D5">
      <w:pPr>
        <w:spacing w:line="600" w:lineRule="exact"/>
        <w:ind w:firstLine="640"/>
        <w:rPr>
          <w:rFonts w:ascii="仿宋" w:hAnsi="仿宋" w:eastAsia="仿宋"/>
          <w:b/>
          <w:sz w:val="32"/>
          <w:szCs w:val="32"/>
        </w:rPr>
      </w:pPr>
    </w:p>
    <w:p w14:paraId="759D1B19">
      <w:pPr>
        <w:spacing w:line="600" w:lineRule="exact"/>
        <w:ind w:firstLine="640"/>
        <w:rPr>
          <w:rFonts w:ascii="仿宋" w:hAnsi="仿宋" w:eastAsia="仿宋"/>
          <w:b/>
          <w:sz w:val="32"/>
          <w:szCs w:val="32"/>
        </w:rPr>
      </w:pPr>
    </w:p>
    <w:p w14:paraId="109CD8BB">
      <w:pPr>
        <w:spacing w:line="600" w:lineRule="exact"/>
        <w:ind w:firstLine="640"/>
        <w:rPr>
          <w:rFonts w:ascii="仿宋" w:hAnsi="仿宋" w:eastAsia="仿宋"/>
          <w:b/>
          <w:sz w:val="32"/>
          <w:szCs w:val="32"/>
        </w:rPr>
      </w:pPr>
    </w:p>
    <w:p w14:paraId="18093EB7">
      <w:pPr>
        <w:spacing w:line="600" w:lineRule="exact"/>
        <w:ind w:firstLine="640"/>
        <w:rPr>
          <w:rFonts w:ascii="仿宋" w:hAnsi="仿宋" w:eastAsia="仿宋"/>
          <w:b/>
          <w:sz w:val="32"/>
          <w:szCs w:val="32"/>
        </w:rPr>
      </w:pPr>
    </w:p>
    <w:p w14:paraId="13929422">
      <w:pPr>
        <w:spacing w:line="600" w:lineRule="exact"/>
        <w:ind w:firstLine="640"/>
        <w:rPr>
          <w:rFonts w:ascii="仿宋" w:hAnsi="仿宋" w:eastAsia="仿宋"/>
          <w:b/>
          <w:sz w:val="32"/>
          <w:szCs w:val="32"/>
        </w:rPr>
      </w:pPr>
    </w:p>
    <w:p w14:paraId="26164842">
      <w:pPr>
        <w:spacing w:line="600" w:lineRule="exact"/>
        <w:ind w:firstLine="640"/>
        <w:rPr>
          <w:rFonts w:ascii="仿宋" w:hAnsi="仿宋" w:eastAsia="仿宋"/>
          <w:b/>
          <w:sz w:val="32"/>
          <w:szCs w:val="32"/>
        </w:rPr>
      </w:pPr>
    </w:p>
    <w:p w14:paraId="13BB4F67">
      <w:pPr>
        <w:spacing w:line="600" w:lineRule="exact"/>
        <w:ind w:firstLine="640"/>
        <w:rPr>
          <w:rFonts w:ascii="仿宋" w:hAnsi="仿宋" w:eastAsia="仿宋"/>
          <w:b/>
          <w:sz w:val="32"/>
          <w:szCs w:val="32"/>
        </w:rPr>
      </w:pPr>
    </w:p>
    <w:p w14:paraId="73F3A066">
      <w:pPr>
        <w:spacing w:line="600" w:lineRule="exact"/>
        <w:ind w:firstLine="640"/>
        <w:rPr>
          <w:rFonts w:ascii="仿宋" w:hAnsi="仿宋" w:eastAsia="仿宋"/>
          <w:b/>
          <w:sz w:val="32"/>
          <w:szCs w:val="32"/>
        </w:rPr>
      </w:pPr>
    </w:p>
    <w:p w14:paraId="5AC7B0A5">
      <w:pPr>
        <w:spacing w:line="600" w:lineRule="exact"/>
        <w:ind w:firstLine="640"/>
        <w:rPr>
          <w:rFonts w:ascii="仿宋" w:hAnsi="仿宋" w:eastAsia="仿宋"/>
          <w:b/>
          <w:sz w:val="32"/>
          <w:szCs w:val="32"/>
        </w:rPr>
      </w:pPr>
    </w:p>
    <w:p w14:paraId="032B85FF">
      <w:pPr>
        <w:spacing w:line="600" w:lineRule="exact"/>
        <w:ind w:firstLine="640" w:firstLineChars="200"/>
        <w:outlineLvl w:val="1"/>
        <w:rPr>
          <w:rFonts w:hint="eastAsia" w:ascii="黑体" w:hAnsi="黑体" w:eastAsia="黑体"/>
          <w:sz w:val="32"/>
          <w:szCs w:val="32"/>
        </w:rPr>
      </w:pPr>
      <w:bookmarkStart w:id="26" w:name="_Toc15377209"/>
      <w:bookmarkStart w:id="27" w:name="_Toc15396607"/>
    </w:p>
    <w:p w14:paraId="6E0F87BB">
      <w:pPr>
        <w:spacing w:line="600" w:lineRule="exact"/>
        <w:ind w:firstLine="640" w:firstLineChars="200"/>
        <w:outlineLvl w:val="1"/>
        <w:rPr>
          <w:rFonts w:hint="eastAsia" w:ascii="黑体" w:hAnsi="黑体" w:eastAsia="黑体"/>
          <w:sz w:val="32"/>
          <w:szCs w:val="32"/>
        </w:rPr>
      </w:pPr>
    </w:p>
    <w:p w14:paraId="4AF4B1DB">
      <w:pPr>
        <w:spacing w:line="600" w:lineRule="exact"/>
        <w:ind w:firstLine="640" w:firstLineChars="200"/>
        <w:outlineLvl w:val="1"/>
        <w:rPr>
          <w:rFonts w:hint="eastAsia" w:ascii="黑体" w:hAnsi="黑体" w:eastAsia="黑体"/>
          <w:sz w:val="32"/>
          <w:szCs w:val="32"/>
        </w:rPr>
      </w:pPr>
    </w:p>
    <w:p w14:paraId="7D437036">
      <w:pPr>
        <w:spacing w:line="600" w:lineRule="exact"/>
        <w:ind w:firstLine="640" w:firstLineChars="200"/>
        <w:outlineLvl w:val="1"/>
        <w:rPr>
          <w:rFonts w:hint="eastAsia" w:ascii="黑体" w:hAnsi="黑体" w:eastAsia="黑体"/>
          <w:sz w:val="32"/>
          <w:szCs w:val="32"/>
        </w:rPr>
      </w:pPr>
    </w:p>
    <w:p w14:paraId="318D0392">
      <w:pPr>
        <w:spacing w:line="600" w:lineRule="exact"/>
        <w:ind w:firstLine="640" w:firstLineChars="200"/>
        <w:outlineLvl w:val="1"/>
        <w:rPr>
          <w:rFonts w:hint="eastAsia" w:ascii="黑体" w:hAnsi="黑体" w:eastAsia="黑体"/>
          <w:sz w:val="32"/>
          <w:szCs w:val="32"/>
        </w:rPr>
      </w:pPr>
    </w:p>
    <w:p w14:paraId="20EDC03B">
      <w:pPr>
        <w:spacing w:line="600" w:lineRule="exact"/>
        <w:ind w:firstLine="643" w:firstLineChars="200"/>
        <w:outlineLvl w:val="1"/>
        <w:rPr>
          <w:rStyle w:val="31"/>
          <w:rFonts w:hint="eastAsia" w:ascii="宋体" w:hAnsi="宋体" w:eastAsia="宋体" w:cs="宋体"/>
          <w:b/>
          <w:bCs/>
          <w:sz w:val="32"/>
          <w:szCs w:val="32"/>
        </w:rPr>
      </w:pPr>
      <w:r>
        <w:rPr>
          <w:rFonts w:hint="eastAsia" w:ascii="宋体" w:hAnsi="宋体" w:eastAsia="宋体" w:cs="宋体"/>
          <w:b/>
          <w:bCs/>
          <w:sz w:val="32"/>
          <w:szCs w:val="32"/>
        </w:rPr>
        <w:t>五、一</w:t>
      </w:r>
      <w:r>
        <w:rPr>
          <w:rStyle w:val="31"/>
          <w:rFonts w:hint="eastAsia" w:ascii="宋体" w:hAnsi="宋体" w:eastAsia="宋体" w:cs="宋体"/>
          <w:b/>
          <w:bCs/>
          <w:sz w:val="32"/>
          <w:szCs w:val="32"/>
        </w:rPr>
        <w:t>般公共预算财政拨款支出决算情况说明</w:t>
      </w:r>
      <w:bookmarkEnd w:id="26"/>
      <w:bookmarkEnd w:id="27"/>
    </w:p>
    <w:p w14:paraId="4EEF6B36">
      <w:pPr>
        <w:pageBreakBefore w:val="0"/>
        <w:widowControl w:val="0"/>
        <w:kinsoku/>
        <w:wordWrap/>
        <w:overflowPunct/>
        <w:topLinePunct w:val="0"/>
        <w:autoSpaceDE/>
        <w:autoSpaceDN/>
        <w:bidi w:val="0"/>
        <w:adjustRightInd/>
        <w:snapToGrid/>
        <w:spacing w:line="600" w:lineRule="exact"/>
        <w:ind w:firstLine="562" w:firstLineChars="200"/>
        <w:textAlignment w:val="auto"/>
        <w:outlineLvl w:val="2"/>
        <w:rPr>
          <w:rFonts w:hint="eastAsia" w:ascii="宋体" w:hAnsi="宋体" w:eastAsia="宋体" w:cs="宋体"/>
          <w:b/>
          <w:sz w:val="28"/>
          <w:szCs w:val="28"/>
        </w:rPr>
      </w:pPr>
      <w:bookmarkStart w:id="28" w:name="_Toc15377210"/>
      <w:r>
        <w:rPr>
          <w:rFonts w:hint="eastAsia" w:ascii="宋体" w:hAnsi="宋体" w:eastAsia="宋体" w:cs="宋体"/>
          <w:b/>
          <w:sz w:val="28"/>
          <w:szCs w:val="28"/>
        </w:rPr>
        <w:t>（一）一般公共预算财政拨款支出决算总体情况</w:t>
      </w:r>
      <w:bookmarkEnd w:id="28"/>
    </w:p>
    <w:p w14:paraId="3225C31F">
      <w:pPr>
        <w:keepNext/>
        <w:keepLines/>
        <w:pageBreakBefore w:val="0"/>
        <w:widowControl w:val="0"/>
        <w:kinsoku/>
        <w:wordWrap/>
        <w:overflowPunct/>
        <w:topLinePunct w:val="0"/>
        <w:autoSpaceDE/>
        <w:autoSpaceDN/>
        <w:bidi w:val="0"/>
        <w:adjustRightInd/>
        <w:snapToGrid/>
        <w:spacing w:line="600" w:lineRule="exact"/>
        <w:ind w:firstLine="560" w:firstLineChars="200"/>
        <w:jc w:val="both"/>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sz w:val="28"/>
          <w:szCs w:val="28"/>
        </w:rPr>
        <w:t>2023年度一般公共预算财政拨款支出58962.91万元，占本年支出合计的20.39%。与2022年度相比，一般公共预算财政拨款支出增加</w:t>
      </w:r>
      <w:r>
        <w:rPr>
          <w:rFonts w:hint="eastAsia" w:ascii="宋体" w:hAnsi="宋体" w:eastAsia="宋体" w:cs="宋体"/>
          <w:sz w:val="28"/>
          <w:szCs w:val="28"/>
          <w:lang w:val="en-US" w:eastAsia="zh-CN"/>
        </w:rPr>
        <w:t>31527.7</w:t>
      </w:r>
      <w:r>
        <w:rPr>
          <w:rFonts w:hint="eastAsia" w:ascii="宋体" w:hAnsi="宋体" w:eastAsia="宋体" w:cs="宋体"/>
          <w:sz w:val="28"/>
          <w:szCs w:val="28"/>
        </w:rPr>
        <w:t>万元，增长</w:t>
      </w:r>
      <w:r>
        <w:rPr>
          <w:rFonts w:hint="eastAsia" w:ascii="宋体" w:hAnsi="宋体" w:eastAsia="宋体" w:cs="宋体"/>
          <w:sz w:val="28"/>
          <w:szCs w:val="28"/>
          <w:lang w:val="en-US" w:eastAsia="zh-CN"/>
        </w:rPr>
        <w:t>114.9</w:t>
      </w:r>
      <w:r>
        <w:rPr>
          <w:rFonts w:hint="eastAsia" w:ascii="宋体" w:hAnsi="宋体" w:eastAsia="宋体" w:cs="宋体"/>
          <w:sz w:val="28"/>
          <w:szCs w:val="28"/>
        </w:rPr>
        <w:t>%。</w:t>
      </w:r>
      <w:r>
        <w:rPr>
          <w:rFonts w:hint="eastAsia" w:ascii="宋体" w:hAnsi="宋体" w:eastAsia="宋体" w:cs="宋体"/>
          <w:color w:val="000000" w:themeColor="text1"/>
          <w:kern w:val="2"/>
          <w:sz w:val="28"/>
          <w:szCs w:val="28"/>
          <w:lang w:val="zh-CN"/>
          <w14:textFill>
            <w14:solidFill>
              <w14:schemeClr w14:val="tx1"/>
            </w14:solidFill>
          </w14:textFill>
        </w:rPr>
        <w:t>主要变动原因是</w:t>
      </w:r>
      <w:r>
        <w:rPr>
          <w:rFonts w:hint="eastAsia" w:ascii="宋体" w:hAnsi="宋体" w:eastAsia="宋体" w:cs="宋体"/>
          <w:color w:val="000000" w:themeColor="text1"/>
          <w:kern w:val="2"/>
          <w:sz w:val="28"/>
          <w:szCs w:val="28"/>
          <w:highlight w:val="none"/>
          <w:lang w:val="zh-CN"/>
          <w14:textFill>
            <w14:solidFill>
              <w14:schemeClr w14:val="tx1"/>
            </w14:solidFill>
          </w14:textFill>
        </w:rPr>
        <w:t>一般公共服务支出增</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1474.43</w:t>
      </w:r>
      <w:r>
        <w:rPr>
          <w:rFonts w:hint="eastAsia" w:ascii="宋体" w:hAnsi="宋体" w:eastAsia="宋体" w:cs="宋体"/>
          <w:color w:val="000000" w:themeColor="text1"/>
          <w:kern w:val="2"/>
          <w:sz w:val="28"/>
          <w:szCs w:val="28"/>
          <w:highlight w:val="none"/>
          <w:lang w:val="zh-CN"/>
          <w14:textFill>
            <w14:solidFill>
              <w14:schemeClr w14:val="tx1"/>
            </w14:solidFill>
          </w14:textFill>
        </w:rPr>
        <w:t>万元、科学技术支出</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增加 9294.68万元、</w:t>
      </w:r>
      <w:r>
        <w:rPr>
          <w:rFonts w:hint="eastAsia" w:ascii="宋体" w:hAnsi="宋体" w:eastAsia="宋体" w:cs="宋体"/>
          <w:color w:val="000000" w:themeColor="text1"/>
          <w:kern w:val="2"/>
          <w:sz w:val="28"/>
          <w:szCs w:val="28"/>
          <w:highlight w:val="none"/>
          <w:lang w:val="zh-CN"/>
          <w14:textFill>
            <w14:solidFill>
              <w14:schemeClr w14:val="tx1"/>
            </w14:solidFill>
          </w14:textFill>
        </w:rPr>
        <w:t>社会保障和就业支出增加</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31.31</w:t>
      </w:r>
      <w:r>
        <w:rPr>
          <w:rFonts w:hint="eastAsia" w:ascii="宋体" w:hAnsi="宋体" w:eastAsia="宋体" w:cs="宋体"/>
          <w:color w:val="000000" w:themeColor="text1"/>
          <w:kern w:val="2"/>
          <w:sz w:val="28"/>
          <w:szCs w:val="28"/>
          <w:highlight w:val="none"/>
          <w:lang w:val="zh-CN"/>
          <w14:textFill>
            <w14:solidFill>
              <w14:schemeClr w14:val="tx1"/>
            </w14:solidFill>
          </w14:textFill>
        </w:rPr>
        <w:t>万元、卫生健康支出</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增加1.55</w:t>
      </w:r>
      <w:r>
        <w:rPr>
          <w:rFonts w:hint="eastAsia" w:ascii="宋体" w:hAnsi="宋体" w:eastAsia="宋体" w:cs="宋体"/>
          <w:color w:val="000000" w:themeColor="text1"/>
          <w:kern w:val="2"/>
          <w:sz w:val="28"/>
          <w:szCs w:val="28"/>
          <w:highlight w:val="none"/>
          <w:lang w:val="zh-CN"/>
          <w14:textFill>
            <w14:solidFill>
              <w14:schemeClr w14:val="tx1"/>
            </w14:solidFill>
          </w14:textFill>
        </w:rPr>
        <w:t>万元、城乡社区支出</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增加502.31万元、</w:t>
      </w:r>
      <w:r>
        <w:rPr>
          <w:rFonts w:hint="eastAsia" w:ascii="宋体" w:hAnsi="宋体" w:eastAsia="宋体" w:cs="宋体"/>
          <w:color w:val="000000" w:themeColor="text1"/>
          <w:kern w:val="2"/>
          <w:sz w:val="28"/>
          <w:szCs w:val="28"/>
          <w:highlight w:val="none"/>
          <w:lang w:val="zh-CN"/>
          <w14:textFill>
            <w14:solidFill>
              <w14:schemeClr w14:val="tx1"/>
            </w14:solidFill>
          </w14:textFill>
        </w:rPr>
        <w:t>资源勘探工业信息等支出增加</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19213.28</w:t>
      </w:r>
      <w:r>
        <w:rPr>
          <w:rFonts w:hint="eastAsia" w:ascii="宋体" w:hAnsi="宋体" w:eastAsia="宋体" w:cs="宋体"/>
          <w:color w:val="000000" w:themeColor="text1"/>
          <w:kern w:val="2"/>
          <w:sz w:val="28"/>
          <w:szCs w:val="28"/>
          <w:highlight w:val="none"/>
          <w:lang w:val="zh-CN"/>
          <w14:textFill>
            <w14:solidFill>
              <w14:schemeClr w14:val="tx1"/>
            </w14:solidFill>
          </w14:textFill>
        </w:rPr>
        <w:t>万元、住房保障支出</w:t>
      </w:r>
      <w:r>
        <w:rPr>
          <w:rFonts w:hint="eastAsia" w:ascii="宋体" w:hAnsi="宋体" w:eastAsia="宋体" w:cs="宋体"/>
          <w:color w:val="000000" w:themeColor="text1"/>
          <w:kern w:val="2"/>
          <w:sz w:val="28"/>
          <w:szCs w:val="28"/>
          <w:highlight w:val="none"/>
          <w:lang w:val="en-US" w:eastAsia="zh-CN"/>
          <w14:textFill>
            <w14:solidFill>
              <w14:schemeClr w14:val="tx1"/>
            </w14:solidFill>
          </w14:textFill>
        </w:rPr>
        <w:t>增加10.14万元、其他支出增加1000万元所致</w:t>
      </w:r>
      <w:r>
        <w:rPr>
          <w:rFonts w:hint="eastAsia" w:ascii="宋体" w:hAnsi="宋体" w:eastAsia="宋体" w:cs="宋体"/>
          <w:color w:val="000000" w:themeColor="text1"/>
          <w:kern w:val="2"/>
          <w:sz w:val="28"/>
          <w:szCs w:val="28"/>
          <w:highlight w:val="none"/>
          <w:lang w:val="zh-CN"/>
          <w14:textFill>
            <w14:solidFill>
              <w14:schemeClr w14:val="tx1"/>
            </w14:solidFill>
          </w14:textFill>
        </w:rPr>
        <w:t>。</w:t>
      </w:r>
    </w:p>
    <w:p w14:paraId="3416F5C7">
      <w:pPr>
        <w:spacing w:line="600" w:lineRule="exact"/>
        <w:ind w:firstLine="420" w:firstLineChars="200"/>
        <w:outlineLvl w:val="2"/>
        <w:rPr>
          <w:rFonts w:hint="eastAsia" w:ascii="仿宋" w:hAnsi="仿宋" w:eastAsia="仿宋"/>
          <w:b/>
          <w:sz w:val="32"/>
          <w:szCs w:val="32"/>
        </w:rPr>
      </w:pPr>
      <w:bookmarkStart w:id="29" w:name="_Toc15377211"/>
      <w:r>
        <w:drawing>
          <wp:anchor distT="0" distB="0" distL="114300" distR="114300" simplePos="0" relativeHeight="251664384" behindDoc="1" locked="0" layoutInCell="1" allowOverlap="1">
            <wp:simplePos x="0" y="0"/>
            <wp:positionH relativeFrom="column">
              <wp:posOffset>76200</wp:posOffset>
            </wp:positionH>
            <wp:positionV relativeFrom="paragraph">
              <wp:posOffset>64135</wp:posOffset>
            </wp:positionV>
            <wp:extent cx="5269865" cy="3390900"/>
            <wp:effectExtent l="4445" t="4445" r="21590" b="14605"/>
            <wp:wrapNone/>
            <wp:docPr id="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14:paraId="3239617C">
      <w:pPr>
        <w:spacing w:line="600" w:lineRule="exact"/>
        <w:ind w:firstLine="643" w:firstLineChars="200"/>
        <w:outlineLvl w:val="2"/>
        <w:rPr>
          <w:rFonts w:hint="eastAsia" w:ascii="仿宋" w:hAnsi="仿宋" w:eastAsia="仿宋"/>
          <w:b/>
          <w:sz w:val="32"/>
          <w:szCs w:val="32"/>
        </w:rPr>
      </w:pPr>
    </w:p>
    <w:p w14:paraId="41A9EA56">
      <w:pPr>
        <w:spacing w:line="600" w:lineRule="exact"/>
        <w:ind w:firstLine="643" w:firstLineChars="200"/>
        <w:outlineLvl w:val="2"/>
        <w:rPr>
          <w:rFonts w:hint="eastAsia" w:ascii="仿宋" w:hAnsi="仿宋" w:eastAsia="仿宋"/>
          <w:b/>
          <w:sz w:val="32"/>
          <w:szCs w:val="32"/>
        </w:rPr>
      </w:pPr>
    </w:p>
    <w:p w14:paraId="71837E52">
      <w:pPr>
        <w:spacing w:line="600" w:lineRule="exact"/>
        <w:ind w:firstLine="643" w:firstLineChars="200"/>
        <w:outlineLvl w:val="2"/>
        <w:rPr>
          <w:rFonts w:hint="eastAsia" w:ascii="仿宋" w:hAnsi="仿宋" w:eastAsia="仿宋"/>
          <w:b/>
          <w:sz w:val="32"/>
          <w:szCs w:val="32"/>
        </w:rPr>
      </w:pPr>
    </w:p>
    <w:p w14:paraId="629D366C">
      <w:pPr>
        <w:spacing w:line="600" w:lineRule="exact"/>
        <w:ind w:firstLine="643" w:firstLineChars="200"/>
        <w:outlineLvl w:val="2"/>
        <w:rPr>
          <w:rFonts w:hint="eastAsia" w:ascii="仿宋" w:hAnsi="仿宋" w:eastAsia="仿宋"/>
          <w:b/>
          <w:sz w:val="32"/>
          <w:szCs w:val="32"/>
        </w:rPr>
      </w:pPr>
    </w:p>
    <w:p w14:paraId="2958808B">
      <w:pPr>
        <w:spacing w:line="600" w:lineRule="exact"/>
        <w:ind w:firstLine="643" w:firstLineChars="200"/>
        <w:outlineLvl w:val="2"/>
        <w:rPr>
          <w:rFonts w:hint="eastAsia" w:ascii="仿宋" w:hAnsi="仿宋" w:eastAsia="仿宋"/>
          <w:b/>
          <w:sz w:val="32"/>
          <w:szCs w:val="32"/>
        </w:rPr>
      </w:pPr>
    </w:p>
    <w:p w14:paraId="42E89CFB">
      <w:pPr>
        <w:spacing w:line="600" w:lineRule="exact"/>
        <w:ind w:firstLine="643" w:firstLineChars="200"/>
        <w:outlineLvl w:val="2"/>
        <w:rPr>
          <w:rFonts w:hint="eastAsia" w:ascii="仿宋" w:hAnsi="仿宋" w:eastAsia="仿宋"/>
          <w:b/>
          <w:sz w:val="32"/>
          <w:szCs w:val="32"/>
        </w:rPr>
      </w:pPr>
    </w:p>
    <w:p w14:paraId="000ABE67">
      <w:pPr>
        <w:spacing w:line="600" w:lineRule="exact"/>
        <w:ind w:firstLine="643" w:firstLineChars="200"/>
        <w:outlineLvl w:val="2"/>
        <w:rPr>
          <w:rFonts w:hint="eastAsia" w:ascii="仿宋" w:hAnsi="仿宋" w:eastAsia="仿宋"/>
          <w:b/>
          <w:sz w:val="32"/>
          <w:szCs w:val="32"/>
        </w:rPr>
      </w:pPr>
    </w:p>
    <w:p w14:paraId="56672396">
      <w:pPr>
        <w:spacing w:line="600" w:lineRule="exact"/>
        <w:ind w:firstLine="643" w:firstLineChars="200"/>
        <w:outlineLvl w:val="2"/>
        <w:rPr>
          <w:rFonts w:hint="eastAsia" w:ascii="仿宋" w:hAnsi="仿宋" w:eastAsia="仿宋"/>
          <w:b/>
          <w:sz w:val="32"/>
          <w:szCs w:val="32"/>
        </w:rPr>
      </w:pPr>
    </w:p>
    <w:p w14:paraId="121ABD59">
      <w:pPr>
        <w:spacing w:line="600" w:lineRule="exact"/>
        <w:ind w:firstLine="562" w:firstLineChars="200"/>
        <w:outlineLvl w:val="2"/>
        <w:rPr>
          <w:rFonts w:hint="eastAsia" w:ascii="宋体" w:hAnsi="宋体" w:eastAsia="宋体" w:cs="宋体"/>
          <w:b/>
          <w:sz w:val="28"/>
          <w:szCs w:val="28"/>
        </w:rPr>
      </w:pPr>
      <w:r>
        <w:rPr>
          <w:rFonts w:hint="eastAsia" w:ascii="宋体" w:hAnsi="宋体" w:eastAsia="宋体" w:cs="宋体"/>
          <w:b/>
          <w:sz w:val="28"/>
          <w:szCs w:val="28"/>
        </w:rPr>
        <w:t>（二）一般公共预算财政拨款支出决算结构情况</w:t>
      </w:r>
      <w:bookmarkEnd w:id="29"/>
    </w:p>
    <w:p w14:paraId="381BAED0">
      <w:pPr>
        <w:spacing w:line="600" w:lineRule="exact"/>
        <w:ind w:firstLine="640"/>
        <w:rPr>
          <w:rFonts w:hint="eastAsia" w:ascii="宋体" w:hAnsi="宋体" w:eastAsia="宋体" w:cs="宋体"/>
          <w:sz w:val="28"/>
          <w:szCs w:val="28"/>
          <w:lang w:eastAsia="zh-CN"/>
        </w:rPr>
      </w:pPr>
      <w:r>
        <w:rPr>
          <w:rFonts w:hint="eastAsia" w:ascii="宋体" w:hAnsi="宋体" w:eastAsia="宋体" w:cs="宋体"/>
          <w:sz w:val="28"/>
          <w:szCs w:val="28"/>
        </w:rPr>
        <w:t>2023年度一般公共预算财政拨款支出58962.91万元，主要用于以下方面:</w:t>
      </w:r>
      <w:r>
        <w:rPr>
          <w:rFonts w:hint="eastAsia" w:ascii="宋体" w:hAnsi="宋体" w:eastAsia="宋体" w:cs="宋体"/>
          <w:b/>
          <w:sz w:val="28"/>
          <w:szCs w:val="28"/>
        </w:rPr>
        <w:t>一般公共服务</w:t>
      </w:r>
      <w:r>
        <w:rPr>
          <w:rFonts w:hint="eastAsia" w:ascii="宋体" w:hAnsi="宋体" w:eastAsia="宋体" w:cs="宋体"/>
          <w:b/>
          <w:bCs/>
          <w:sz w:val="28"/>
          <w:szCs w:val="28"/>
        </w:rPr>
        <w:t>支出</w:t>
      </w:r>
      <w:r>
        <w:rPr>
          <w:rFonts w:hint="eastAsia" w:ascii="宋体" w:hAnsi="宋体" w:eastAsia="宋体" w:cs="宋体"/>
          <w:b/>
          <w:bCs/>
          <w:sz w:val="28"/>
          <w:szCs w:val="28"/>
          <w:lang w:val="en-US" w:eastAsia="zh-CN"/>
        </w:rPr>
        <w:t>4402.83</w:t>
      </w:r>
      <w:r>
        <w:rPr>
          <w:rFonts w:hint="eastAsia" w:ascii="宋体" w:hAnsi="宋体" w:eastAsia="宋体" w:cs="宋体"/>
          <w:sz w:val="28"/>
          <w:szCs w:val="28"/>
        </w:rPr>
        <w:t>万元，占</w:t>
      </w:r>
      <w:r>
        <w:rPr>
          <w:rFonts w:hint="eastAsia" w:ascii="宋体" w:hAnsi="宋体" w:eastAsia="宋体" w:cs="宋体"/>
          <w:sz w:val="28"/>
          <w:szCs w:val="28"/>
          <w:lang w:val="en-US" w:eastAsia="zh-CN"/>
        </w:rPr>
        <w:t>7.46</w:t>
      </w:r>
      <w:r>
        <w:rPr>
          <w:rFonts w:hint="eastAsia" w:ascii="宋体" w:hAnsi="宋体" w:eastAsia="宋体" w:cs="宋体"/>
          <w:sz w:val="28"/>
          <w:szCs w:val="28"/>
        </w:rPr>
        <w:t>%；</w:t>
      </w:r>
      <w:r>
        <w:rPr>
          <w:rFonts w:hint="eastAsia" w:ascii="宋体" w:hAnsi="宋体" w:eastAsia="宋体" w:cs="宋体"/>
          <w:b/>
          <w:sz w:val="28"/>
          <w:szCs w:val="28"/>
        </w:rPr>
        <w:t>科学技术</w:t>
      </w:r>
      <w:r>
        <w:rPr>
          <w:rFonts w:hint="eastAsia" w:ascii="宋体" w:hAnsi="宋体" w:eastAsia="宋体" w:cs="宋体"/>
          <w:b/>
          <w:bCs/>
          <w:sz w:val="28"/>
          <w:szCs w:val="28"/>
        </w:rPr>
        <w:t>支出</w:t>
      </w:r>
      <w:r>
        <w:rPr>
          <w:rFonts w:hint="eastAsia" w:ascii="宋体" w:hAnsi="宋体" w:eastAsia="宋体" w:cs="宋体"/>
          <w:b/>
          <w:bCs/>
          <w:sz w:val="28"/>
          <w:szCs w:val="28"/>
          <w:lang w:val="en-US" w:eastAsia="zh-CN"/>
        </w:rPr>
        <w:t>9294.68</w:t>
      </w:r>
      <w:r>
        <w:rPr>
          <w:rFonts w:hint="eastAsia" w:ascii="宋体" w:hAnsi="宋体" w:eastAsia="宋体" w:cs="宋体"/>
          <w:sz w:val="28"/>
          <w:szCs w:val="28"/>
        </w:rPr>
        <w:t>万元，占</w:t>
      </w:r>
      <w:r>
        <w:rPr>
          <w:rFonts w:hint="eastAsia" w:ascii="宋体" w:hAnsi="宋体" w:eastAsia="宋体" w:cs="宋体"/>
          <w:sz w:val="28"/>
          <w:szCs w:val="28"/>
          <w:lang w:val="en-US" w:eastAsia="zh-CN"/>
        </w:rPr>
        <w:t>15.76</w:t>
      </w:r>
      <w:r>
        <w:rPr>
          <w:rFonts w:hint="eastAsia" w:ascii="宋体" w:hAnsi="宋体" w:eastAsia="宋体" w:cs="宋体"/>
          <w:sz w:val="28"/>
          <w:szCs w:val="28"/>
        </w:rPr>
        <w:t>%；</w:t>
      </w:r>
      <w:r>
        <w:rPr>
          <w:rFonts w:hint="eastAsia" w:ascii="宋体" w:hAnsi="宋体" w:eastAsia="宋体" w:cs="宋体"/>
          <w:b/>
          <w:sz w:val="28"/>
          <w:szCs w:val="28"/>
        </w:rPr>
        <w:t>社会保障和就业</w:t>
      </w:r>
      <w:r>
        <w:rPr>
          <w:rFonts w:hint="eastAsia" w:ascii="宋体" w:hAnsi="宋体" w:eastAsia="宋体" w:cs="宋体"/>
          <w:b/>
          <w:bCs/>
          <w:sz w:val="28"/>
          <w:szCs w:val="28"/>
        </w:rPr>
        <w:t>支出</w:t>
      </w:r>
      <w:r>
        <w:rPr>
          <w:rFonts w:hint="eastAsia" w:ascii="宋体" w:hAnsi="宋体" w:eastAsia="宋体" w:cs="宋体"/>
          <w:b/>
          <w:bCs/>
          <w:sz w:val="28"/>
          <w:szCs w:val="28"/>
          <w:lang w:val="en-US" w:eastAsia="zh-CN"/>
        </w:rPr>
        <w:t>54.77</w:t>
      </w:r>
      <w:r>
        <w:rPr>
          <w:rFonts w:hint="eastAsia" w:ascii="宋体" w:hAnsi="宋体" w:eastAsia="宋体" w:cs="宋体"/>
          <w:sz w:val="28"/>
          <w:szCs w:val="28"/>
        </w:rPr>
        <w:t>万元，占</w:t>
      </w:r>
      <w:r>
        <w:rPr>
          <w:rFonts w:hint="eastAsia" w:ascii="宋体" w:hAnsi="宋体" w:eastAsia="宋体" w:cs="宋体"/>
          <w:sz w:val="28"/>
          <w:szCs w:val="28"/>
          <w:lang w:val="en-US" w:eastAsia="zh-CN"/>
        </w:rPr>
        <w:t>0.09</w:t>
      </w:r>
      <w:r>
        <w:rPr>
          <w:rFonts w:hint="eastAsia" w:ascii="宋体" w:hAnsi="宋体" w:eastAsia="宋体" w:cs="宋体"/>
          <w:sz w:val="28"/>
          <w:szCs w:val="28"/>
        </w:rPr>
        <w:t>%；</w:t>
      </w:r>
      <w:r>
        <w:rPr>
          <w:rFonts w:hint="eastAsia" w:ascii="宋体" w:hAnsi="宋体" w:eastAsia="宋体" w:cs="宋体"/>
          <w:b/>
          <w:bCs/>
          <w:sz w:val="28"/>
          <w:szCs w:val="28"/>
        </w:rPr>
        <w:t>卫生健康支出</w:t>
      </w:r>
      <w:r>
        <w:rPr>
          <w:rFonts w:hint="eastAsia" w:ascii="宋体" w:hAnsi="宋体" w:eastAsia="宋体" w:cs="宋体"/>
          <w:b/>
          <w:bCs/>
          <w:sz w:val="28"/>
          <w:szCs w:val="28"/>
          <w:lang w:val="en-US" w:eastAsia="zh-CN"/>
        </w:rPr>
        <w:t>10.84</w:t>
      </w:r>
      <w:r>
        <w:rPr>
          <w:rFonts w:hint="eastAsia" w:ascii="宋体" w:hAnsi="宋体" w:eastAsia="宋体" w:cs="宋体"/>
          <w:sz w:val="28"/>
          <w:szCs w:val="28"/>
        </w:rPr>
        <w:t>万元，占</w:t>
      </w:r>
      <w:r>
        <w:rPr>
          <w:rFonts w:hint="eastAsia" w:ascii="宋体" w:hAnsi="宋体" w:eastAsia="宋体" w:cs="宋体"/>
          <w:sz w:val="28"/>
          <w:szCs w:val="28"/>
          <w:lang w:val="en-US" w:eastAsia="zh-CN"/>
        </w:rPr>
        <w:t>0.01</w:t>
      </w:r>
      <w:r>
        <w:rPr>
          <w:rFonts w:hint="eastAsia" w:ascii="宋体" w:hAnsi="宋体" w:eastAsia="宋体" w:cs="宋体"/>
          <w:sz w:val="28"/>
          <w:szCs w:val="28"/>
        </w:rPr>
        <w:t>%；</w:t>
      </w:r>
      <w:r>
        <w:rPr>
          <w:rFonts w:hint="eastAsia" w:ascii="宋体" w:hAnsi="宋体" w:eastAsia="宋体" w:cs="宋体"/>
          <w:b/>
          <w:bCs/>
          <w:sz w:val="28"/>
          <w:szCs w:val="28"/>
        </w:rPr>
        <w:t>城乡社区支出</w:t>
      </w:r>
      <w:r>
        <w:rPr>
          <w:rFonts w:hint="eastAsia" w:ascii="宋体" w:hAnsi="宋体" w:eastAsia="宋体" w:cs="宋体"/>
          <w:sz w:val="28"/>
          <w:szCs w:val="28"/>
          <w:lang w:val="en-US" w:eastAsia="zh-CN"/>
        </w:rPr>
        <w:t>502.31万元，</w:t>
      </w:r>
      <w:r>
        <w:rPr>
          <w:rFonts w:hint="eastAsia" w:ascii="宋体" w:hAnsi="宋体" w:eastAsia="宋体" w:cs="宋体"/>
          <w:sz w:val="28"/>
          <w:szCs w:val="28"/>
        </w:rPr>
        <w:t>占</w:t>
      </w:r>
      <w:r>
        <w:rPr>
          <w:rFonts w:hint="eastAsia" w:ascii="宋体" w:hAnsi="宋体" w:eastAsia="宋体" w:cs="宋体"/>
          <w:sz w:val="28"/>
          <w:szCs w:val="28"/>
          <w:lang w:val="en-US" w:eastAsia="zh-CN"/>
        </w:rPr>
        <w:t>0.85</w:t>
      </w:r>
      <w:r>
        <w:rPr>
          <w:rFonts w:hint="eastAsia" w:ascii="宋体" w:hAnsi="宋体" w:eastAsia="宋体" w:cs="宋体"/>
          <w:sz w:val="28"/>
          <w:szCs w:val="28"/>
        </w:rPr>
        <w:t>%</w:t>
      </w:r>
      <w:r>
        <w:rPr>
          <w:rFonts w:hint="eastAsia" w:ascii="宋体" w:hAnsi="宋体" w:eastAsia="宋体" w:cs="宋体"/>
          <w:sz w:val="28"/>
          <w:szCs w:val="28"/>
          <w:lang w:val="en-US" w:eastAsia="zh-CN"/>
        </w:rPr>
        <w:t>;</w:t>
      </w:r>
      <w:r>
        <w:rPr>
          <w:rFonts w:hint="eastAsia" w:ascii="宋体" w:hAnsi="宋体" w:eastAsia="宋体" w:cs="宋体"/>
          <w:b/>
          <w:bCs/>
          <w:sz w:val="28"/>
          <w:szCs w:val="28"/>
          <w:lang w:val="en-US" w:eastAsia="zh-CN"/>
        </w:rPr>
        <w:t>资源勘探工业信息等支出</w:t>
      </w:r>
      <w:r>
        <w:rPr>
          <w:rFonts w:hint="eastAsia" w:ascii="宋体" w:hAnsi="宋体" w:eastAsia="宋体" w:cs="宋体"/>
          <w:sz w:val="28"/>
          <w:szCs w:val="28"/>
          <w:lang w:val="en-US" w:eastAsia="zh-CN"/>
        </w:rPr>
        <w:t>43670.32万元，</w:t>
      </w:r>
      <w:r>
        <w:rPr>
          <w:rFonts w:hint="eastAsia" w:ascii="宋体" w:hAnsi="宋体" w:eastAsia="宋体" w:cs="宋体"/>
          <w:sz w:val="28"/>
          <w:szCs w:val="28"/>
        </w:rPr>
        <w:t>占</w:t>
      </w:r>
      <w:r>
        <w:rPr>
          <w:rFonts w:hint="eastAsia" w:ascii="宋体" w:hAnsi="宋体" w:eastAsia="宋体" w:cs="宋体"/>
          <w:sz w:val="28"/>
          <w:szCs w:val="28"/>
          <w:lang w:val="en-US" w:eastAsia="zh-CN"/>
        </w:rPr>
        <w:t>74.1</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b/>
          <w:bCs/>
          <w:sz w:val="28"/>
          <w:szCs w:val="28"/>
        </w:rPr>
        <w:t>住房保障支出</w:t>
      </w:r>
      <w:r>
        <w:rPr>
          <w:rFonts w:hint="eastAsia" w:ascii="宋体" w:hAnsi="宋体" w:eastAsia="宋体" w:cs="宋体"/>
          <w:b/>
          <w:bCs/>
          <w:sz w:val="28"/>
          <w:szCs w:val="28"/>
          <w:lang w:val="en-US" w:eastAsia="zh-CN"/>
        </w:rPr>
        <w:t>27.16</w:t>
      </w:r>
      <w:r>
        <w:rPr>
          <w:rFonts w:hint="eastAsia" w:ascii="宋体" w:hAnsi="宋体" w:eastAsia="宋体" w:cs="宋体"/>
          <w:sz w:val="28"/>
          <w:szCs w:val="28"/>
        </w:rPr>
        <w:t>万元，占</w:t>
      </w:r>
      <w:r>
        <w:rPr>
          <w:rFonts w:hint="eastAsia" w:ascii="宋体" w:hAnsi="宋体" w:eastAsia="宋体" w:cs="宋体"/>
          <w:sz w:val="28"/>
          <w:szCs w:val="28"/>
          <w:lang w:val="en-US" w:eastAsia="zh-CN"/>
        </w:rPr>
        <w:t>0.04</w:t>
      </w:r>
      <w:r>
        <w:rPr>
          <w:rFonts w:hint="eastAsia" w:ascii="宋体" w:hAnsi="宋体" w:eastAsia="宋体" w:cs="宋体"/>
          <w:sz w:val="28"/>
          <w:szCs w:val="28"/>
        </w:rPr>
        <w:t>%；</w:t>
      </w:r>
      <w:r>
        <w:rPr>
          <w:rFonts w:hint="eastAsia" w:ascii="宋体" w:hAnsi="宋体" w:eastAsia="宋体" w:cs="宋体"/>
          <w:b/>
          <w:bCs/>
          <w:sz w:val="28"/>
          <w:szCs w:val="28"/>
        </w:rPr>
        <w:t>其他支出</w:t>
      </w:r>
      <w:r>
        <w:rPr>
          <w:rFonts w:hint="eastAsia" w:ascii="宋体" w:hAnsi="宋体" w:eastAsia="宋体" w:cs="宋体"/>
          <w:sz w:val="28"/>
          <w:szCs w:val="28"/>
          <w:lang w:val="en-US" w:eastAsia="zh-CN"/>
        </w:rPr>
        <w:t>1000万元，</w:t>
      </w:r>
      <w:r>
        <w:rPr>
          <w:rFonts w:hint="eastAsia" w:ascii="宋体" w:hAnsi="宋体" w:eastAsia="宋体" w:cs="宋体"/>
          <w:sz w:val="28"/>
          <w:szCs w:val="28"/>
        </w:rPr>
        <w:t>占</w:t>
      </w:r>
      <w:r>
        <w:rPr>
          <w:rFonts w:hint="eastAsia" w:ascii="宋体" w:hAnsi="宋体" w:eastAsia="宋体" w:cs="宋体"/>
          <w:sz w:val="28"/>
          <w:szCs w:val="28"/>
          <w:lang w:val="en-US" w:eastAsia="zh-CN"/>
        </w:rPr>
        <w:t>1.69</w:t>
      </w:r>
      <w:r>
        <w:rPr>
          <w:rFonts w:hint="eastAsia" w:ascii="宋体" w:hAnsi="宋体" w:eastAsia="宋体" w:cs="宋体"/>
          <w:sz w:val="28"/>
          <w:szCs w:val="28"/>
        </w:rPr>
        <w:t>%</w:t>
      </w:r>
      <w:r>
        <w:rPr>
          <w:rFonts w:hint="eastAsia" w:ascii="宋体" w:hAnsi="宋体" w:eastAsia="宋体" w:cs="宋体"/>
          <w:sz w:val="28"/>
          <w:szCs w:val="28"/>
          <w:lang w:eastAsia="zh-CN"/>
        </w:rPr>
        <w:t>。</w:t>
      </w:r>
    </w:p>
    <w:p w14:paraId="67AFC025">
      <w:pPr>
        <w:spacing w:line="600" w:lineRule="exact"/>
        <w:ind w:firstLine="420" w:firstLineChars="200"/>
        <w:rPr>
          <w:rFonts w:ascii="仿宋" w:hAnsi="仿宋" w:eastAsia="仿宋"/>
          <w:sz w:val="32"/>
          <w:szCs w:val="32"/>
        </w:rPr>
      </w:pPr>
      <w:r>
        <w:drawing>
          <wp:anchor distT="0" distB="0" distL="114300" distR="114300" simplePos="0" relativeHeight="251659264" behindDoc="1" locked="0" layoutInCell="1" allowOverlap="1">
            <wp:simplePos x="0" y="0"/>
            <wp:positionH relativeFrom="column">
              <wp:posOffset>68580</wp:posOffset>
            </wp:positionH>
            <wp:positionV relativeFrom="paragraph">
              <wp:posOffset>237490</wp:posOffset>
            </wp:positionV>
            <wp:extent cx="5123180" cy="3467735"/>
            <wp:effectExtent l="4445" t="4445" r="15875" b="13970"/>
            <wp:wrapNone/>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14:paraId="3E5570A9">
      <w:pPr>
        <w:spacing w:line="600" w:lineRule="exact"/>
        <w:ind w:firstLine="643" w:firstLineChars="200"/>
        <w:outlineLvl w:val="2"/>
        <w:rPr>
          <w:rFonts w:hint="eastAsia" w:ascii="仿宋" w:hAnsi="仿宋" w:eastAsia="仿宋"/>
          <w:b/>
          <w:sz w:val="32"/>
          <w:szCs w:val="32"/>
        </w:rPr>
      </w:pPr>
      <w:bookmarkStart w:id="30" w:name="_Toc15377212"/>
    </w:p>
    <w:p w14:paraId="6535CAA6">
      <w:pPr>
        <w:spacing w:line="600" w:lineRule="exact"/>
        <w:ind w:firstLine="643" w:firstLineChars="200"/>
        <w:outlineLvl w:val="2"/>
        <w:rPr>
          <w:rFonts w:hint="eastAsia" w:ascii="仿宋" w:hAnsi="仿宋" w:eastAsia="仿宋"/>
          <w:b/>
          <w:sz w:val="32"/>
          <w:szCs w:val="32"/>
        </w:rPr>
      </w:pPr>
    </w:p>
    <w:p w14:paraId="2A15DF73">
      <w:pPr>
        <w:spacing w:line="600" w:lineRule="exact"/>
        <w:ind w:firstLine="643" w:firstLineChars="200"/>
        <w:outlineLvl w:val="2"/>
        <w:rPr>
          <w:rFonts w:hint="eastAsia" w:ascii="仿宋" w:hAnsi="仿宋" w:eastAsia="仿宋"/>
          <w:b/>
          <w:sz w:val="32"/>
          <w:szCs w:val="32"/>
        </w:rPr>
      </w:pPr>
    </w:p>
    <w:p w14:paraId="1EC46C05">
      <w:pPr>
        <w:spacing w:line="600" w:lineRule="exact"/>
        <w:ind w:firstLine="643" w:firstLineChars="200"/>
        <w:outlineLvl w:val="2"/>
        <w:rPr>
          <w:rFonts w:hint="eastAsia" w:ascii="仿宋" w:hAnsi="仿宋" w:eastAsia="仿宋"/>
          <w:b/>
          <w:sz w:val="32"/>
          <w:szCs w:val="32"/>
        </w:rPr>
      </w:pPr>
    </w:p>
    <w:p w14:paraId="3D839D51">
      <w:pPr>
        <w:spacing w:line="600" w:lineRule="exact"/>
        <w:ind w:firstLine="643" w:firstLineChars="200"/>
        <w:outlineLvl w:val="2"/>
        <w:rPr>
          <w:rFonts w:hint="eastAsia" w:ascii="仿宋" w:hAnsi="仿宋" w:eastAsia="仿宋"/>
          <w:b/>
          <w:sz w:val="32"/>
          <w:szCs w:val="32"/>
        </w:rPr>
      </w:pPr>
    </w:p>
    <w:p w14:paraId="4E821F88">
      <w:pPr>
        <w:spacing w:line="600" w:lineRule="exact"/>
        <w:ind w:firstLine="643" w:firstLineChars="200"/>
        <w:outlineLvl w:val="2"/>
        <w:rPr>
          <w:rFonts w:hint="eastAsia" w:ascii="仿宋" w:hAnsi="仿宋" w:eastAsia="仿宋"/>
          <w:b/>
          <w:sz w:val="32"/>
          <w:szCs w:val="32"/>
        </w:rPr>
      </w:pPr>
    </w:p>
    <w:p w14:paraId="2EE2E03D">
      <w:pPr>
        <w:spacing w:line="600" w:lineRule="exact"/>
        <w:ind w:firstLine="643" w:firstLineChars="200"/>
        <w:outlineLvl w:val="2"/>
        <w:rPr>
          <w:rFonts w:hint="eastAsia" w:ascii="仿宋" w:hAnsi="仿宋" w:eastAsia="仿宋"/>
          <w:b/>
          <w:sz w:val="32"/>
          <w:szCs w:val="32"/>
        </w:rPr>
      </w:pPr>
    </w:p>
    <w:p w14:paraId="545E365C">
      <w:pPr>
        <w:spacing w:line="600" w:lineRule="exact"/>
        <w:outlineLvl w:val="2"/>
        <w:rPr>
          <w:rFonts w:hint="eastAsia" w:ascii="仿宋" w:hAnsi="仿宋" w:eastAsia="仿宋"/>
          <w:b/>
          <w:sz w:val="32"/>
          <w:szCs w:val="32"/>
        </w:rPr>
      </w:pPr>
    </w:p>
    <w:p w14:paraId="4BB649E9">
      <w:pPr>
        <w:spacing w:line="600" w:lineRule="exact"/>
        <w:ind w:firstLine="643" w:firstLineChars="200"/>
        <w:outlineLvl w:val="2"/>
        <w:rPr>
          <w:rFonts w:hint="eastAsia" w:ascii="仿宋" w:hAnsi="仿宋" w:eastAsia="仿宋"/>
          <w:b/>
          <w:sz w:val="32"/>
          <w:szCs w:val="32"/>
        </w:rPr>
      </w:pPr>
    </w:p>
    <w:p w14:paraId="198DFA0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outlineLvl w:val="2"/>
        <w:rPr>
          <w:rFonts w:hint="eastAsia" w:ascii="宋体" w:hAnsi="宋体" w:eastAsia="宋体" w:cs="宋体"/>
          <w:b/>
          <w:sz w:val="28"/>
          <w:szCs w:val="28"/>
        </w:rPr>
      </w:pPr>
      <w:r>
        <w:rPr>
          <w:rFonts w:hint="eastAsia" w:ascii="宋体" w:hAnsi="宋体" w:eastAsia="宋体" w:cs="宋体"/>
          <w:b/>
          <w:sz w:val="28"/>
          <w:szCs w:val="28"/>
        </w:rPr>
        <w:t>（三）一般公共预算财政拨款支出决算具体情况</w:t>
      </w:r>
      <w:bookmarkEnd w:id="30"/>
    </w:p>
    <w:p w14:paraId="52934F0E">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outlineLvl w:val="2"/>
        <w:rPr>
          <w:rFonts w:hint="eastAsia" w:ascii="宋体" w:hAnsi="宋体" w:eastAsia="宋体" w:cs="宋体"/>
          <w:sz w:val="28"/>
          <w:szCs w:val="28"/>
        </w:rPr>
      </w:pPr>
      <w:bookmarkStart w:id="31" w:name="_Toc15377213"/>
      <w:bookmarkStart w:id="32" w:name="_Toc15378460"/>
      <w:bookmarkStart w:id="33" w:name="_Toc15377444"/>
      <w:r>
        <w:rPr>
          <w:rFonts w:hint="eastAsia" w:ascii="宋体" w:hAnsi="宋体" w:eastAsia="宋体" w:cs="宋体"/>
          <w:b/>
          <w:sz w:val="28"/>
          <w:szCs w:val="28"/>
        </w:rPr>
        <w:t>2023年度一般公共预算支出决算数为</w:t>
      </w:r>
      <w:r>
        <w:rPr>
          <w:rFonts w:hint="eastAsia" w:ascii="宋体" w:hAnsi="宋体" w:eastAsia="宋体" w:cs="宋体"/>
          <w:sz w:val="28"/>
          <w:szCs w:val="28"/>
        </w:rPr>
        <w:t>58962.91，</w:t>
      </w:r>
      <w:r>
        <w:rPr>
          <w:rStyle w:val="19"/>
          <w:rFonts w:hint="eastAsia" w:ascii="宋体" w:hAnsi="宋体" w:eastAsia="宋体" w:cs="宋体"/>
          <w:bCs/>
          <w:sz w:val="28"/>
          <w:szCs w:val="28"/>
        </w:rPr>
        <w:t>完成预算</w:t>
      </w:r>
      <w:r>
        <w:rPr>
          <w:rStyle w:val="19"/>
          <w:rFonts w:hint="eastAsia" w:ascii="宋体" w:hAnsi="宋体" w:eastAsia="宋体" w:cs="宋体"/>
          <w:bCs/>
          <w:sz w:val="28"/>
          <w:szCs w:val="28"/>
          <w:lang w:val="en-US" w:eastAsia="zh-CN"/>
        </w:rPr>
        <w:t>100</w:t>
      </w:r>
      <w:r>
        <w:rPr>
          <w:rStyle w:val="19"/>
          <w:rFonts w:hint="eastAsia" w:ascii="宋体" w:hAnsi="宋体" w:eastAsia="宋体" w:cs="宋体"/>
          <w:bCs/>
          <w:sz w:val="28"/>
          <w:szCs w:val="28"/>
        </w:rPr>
        <w:t>%。其中：</w:t>
      </w:r>
      <w:bookmarkEnd w:id="31"/>
      <w:bookmarkEnd w:id="32"/>
      <w:bookmarkEnd w:id="33"/>
    </w:p>
    <w:p w14:paraId="39F8824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Style w:val="19"/>
          <w:rFonts w:hint="eastAsia" w:ascii="宋体" w:hAnsi="宋体" w:eastAsia="宋体" w:cs="宋体"/>
          <w:b w:val="0"/>
          <w:bCs/>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color w:val="000000" w:themeColor="text1"/>
          <w:kern w:val="2"/>
          <w:sz w:val="28"/>
          <w:szCs w:val="28"/>
          <w:lang w:val="en-US" w:eastAsia="zh-CN" w:bidi="ar-SA"/>
          <w14:textFill>
            <w14:solidFill>
              <w14:schemeClr w14:val="tx1"/>
            </w14:solidFill>
          </w14:textFill>
        </w:rPr>
        <w:t>1.</w:t>
      </w:r>
      <w:r>
        <w:rPr>
          <w:rStyle w:val="19"/>
          <w:rFonts w:hint="eastAsia" w:ascii="宋体" w:hAnsi="宋体" w:eastAsia="宋体" w:cs="宋体"/>
          <w:bCs/>
          <w:sz w:val="28"/>
          <w:szCs w:val="28"/>
        </w:rPr>
        <w:t>一般公共服务（类）</w:t>
      </w:r>
      <w:r>
        <w:rPr>
          <w:rStyle w:val="19"/>
          <w:rFonts w:hint="eastAsia" w:ascii="宋体" w:hAnsi="宋体" w:eastAsia="宋体" w:cs="宋体"/>
          <w:bCs/>
          <w:color w:val="000000" w:themeColor="text1"/>
          <w:sz w:val="28"/>
          <w:szCs w:val="28"/>
          <w:highlight w:val="none"/>
          <w14:textFill>
            <w14:solidFill>
              <w14:schemeClr w14:val="tx1"/>
            </w14:solidFill>
          </w14:textFill>
        </w:rPr>
        <w:t>商贸事务</w:t>
      </w:r>
      <w:r>
        <w:rPr>
          <w:rStyle w:val="19"/>
          <w:rFonts w:hint="eastAsia" w:ascii="宋体" w:hAnsi="宋体" w:eastAsia="宋体" w:cs="宋体"/>
          <w:bCs/>
          <w:sz w:val="28"/>
          <w:szCs w:val="28"/>
        </w:rPr>
        <w:t>（款）</w:t>
      </w:r>
      <w:r>
        <w:rPr>
          <w:rStyle w:val="19"/>
          <w:rFonts w:hint="eastAsia" w:ascii="宋体" w:hAnsi="宋体" w:eastAsia="宋体" w:cs="宋体"/>
          <w:bCs/>
          <w:color w:val="000000" w:themeColor="text1"/>
          <w:sz w:val="28"/>
          <w:szCs w:val="28"/>
          <w:highlight w:val="none"/>
          <w14:textFill>
            <w14:solidFill>
              <w14:schemeClr w14:val="tx1"/>
            </w14:solidFill>
          </w14:textFill>
        </w:rPr>
        <w:t>招商引资</w:t>
      </w:r>
      <w:r>
        <w:rPr>
          <w:rStyle w:val="19"/>
          <w:rFonts w:hint="eastAsia" w:ascii="宋体" w:hAnsi="宋体" w:eastAsia="宋体" w:cs="宋体"/>
          <w:bCs/>
          <w:sz w:val="28"/>
          <w:szCs w:val="28"/>
        </w:rPr>
        <w:t>（项）:</w:t>
      </w:r>
      <w:r>
        <w:rPr>
          <w:rStyle w:val="19"/>
          <w:rFonts w:hint="eastAsia" w:ascii="宋体" w:hAnsi="宋体" w:eastAsia="宋体" w:cs="宋体"/>
          <w:b w:val="0"/>
          <w:bCs/>
          <w:sz w:val="28"/>
          <w:szCs w:val="28"/>
        </w:rPr>
        <w:t xml:space="preserve"> </w:t>
      </w:r>
      <w:r>
        <w:rPr>
          <w:rStyle w:val="19"/>
          <w:rFonts w:hint="eastAsia" w:ascii="宋体" w:hAnsi="宋体" w:eastAsia="宋体" w:cs="宋体"/>
          <w:b w:val="0"/>
          <w:bCs/>
          <w:color w:val="000000" w:themeColor="text1"/>
          <w:sz w:val="28"/>
          <w:szCs w:val="28"/>
          <w:lang w:val="en-US" w:eastAsia="zh-CN"/>
          <w14:textFill>
            <w14:solidFill>
              <w14:schemeClr w14:val="tx1"/>
            </w14:solidFill>
          </w14:textFill>
        </w:rPr>
        <w:t>2023年</w:t>
      </w:r>
      <w:r>
        <w:rPr>
          <w:rStyle w:val="19"/>
          <w:rFonts w:hint="eastAsia" w:ascii="宋体" w:hAnsi="宋体" w:eastAsia="宋体" w:cs="宋体"/>
          <w:b w:val="0"/>
          <w:bCs/>
          <w:color w:val="000000" w:themeColor="text1"/>
          <w:sz w:val="28"/>
          <w:szCs w:val="28"/>
          <w14:textFill>
            <w14:solidFill>
              <w14:schemeClr w14:val="tx1"/>
            </w14:solidFill>
          </w14:textFill>
        </w:rPr>
        <w:t>支出决算为</w:t>
      </w:r>
      <w:r>
        <w:rPr>
          <w:rStyle w:val="19"/>
          <w:rFonts w:hint="eastAsia" w:ascii="宋体" w:hAnsi="宋体" w:eastAsia="宋体" w:cs="宋体"/>
          <w:b w:val="0"/>
          <w:bCs/>
          <w:color w:val="000000" w:themeColor="text1"/>
          <w:sz w:val="28"/>
          <w:szCs w:val="28"/>
          <w:lang w:val="en-US" w:eastAsia="zh-CN"/>
          <w14:textFill>
            <w14:solidFill>
              <w14:schemeClr w14:val="tx1"/>
            </w14:solidFill>
          </w14:textFill>
        </w:rPr>
        <w:t>4402.83</w:t>
      </w:r>
      <w:r>
        <w:rPr>
          <w:rStyle w:val="19"/>
          <w:rFonts w:hint="eastAsia" w:ascii="宋体" w:hAnsi="宋体" w:eastAsia="宋体" w:cs="宋体"/>
          <w:b w:val="0"/>
          <w:bCs/>
          <w:color w:val="000000" w:themeColor="text1"/>
          <w:sz w:val="28"/>
          <w:szCs w:val="28"/>
          <w14:textFill>
            <w14:solidFill>
              <w14:schemeClr w14:val="tx1"/>
            </w14:solidFill>
          </w14:textFill>
        </w:rPr>
        <w:t>万元，完成预算</w:t>
      </w:r>
      <w:r>
        <w:rPr>
          <w:rStyle w:val="19"/>
          <w:rFonts w:hint="eastAsia" w:ascii="宋体" w:hAnsi="宋体" w:eastAsia="宋体" w:cs="宋体"/>
          <w:b w:val="0"/>
          <w:bCs/>
          <w:color w:val="000000" w:themeColor="text1"/>
          <w:sz w:val="28"/>
          <w:szCs w:val="28"/>
          <w:lang w:val="en-US" w:eastAsia="zh-CN"/>
          <w14:textFill>
            <w14:solidFill>
              <w14:schemeClr w14:val="tx1"/>
            </w14:solidFill>
          </w14:textFill>
        </w:rPr>
        <w:t>100</w:t>
      </w:r>
      <w:r>
        <w:rPr>
          <w:rStyle w:val="19"/>
          <w:rFonts w:hint="eastAsia" w:ascii="宋体" w:hAnsi="宋体" w:eastAsia="宋体" w:cs="宋体"/>
          <w:b w:val="0"/>
          <w:bCs/>
          <w:color w:val="000000" w:themeColor="text1"/>
          <w:sz w:val="28"/>
          <w:szCs w:val="28"/>
          <w14:textFill>
            <w14:solidFill>
              <w14:schemeClr w14:val="tx1"/>
            </w14:solidFill>
          </w14:textFill>
        </w:rPr>
        <w:t>%，</w:t>
      </w:r>
      <w:r>
        <w:rPr>
          <w:rStyle w:val="19"/>
          <w:rFonts w:hint="eastAsia" w:ascii="宋体" w:hAnsi="宋体" w:eastAsia="宋体" w:cs="宋体"/>
          <w:b w:val="0"/>
          <w:bCs/>
          <w:color w:val="000000" w:themeColor="text1"/>
          <w:sz w:val="28"/>
          <w:szCs w:val="28"/>
          <w:highlight w:val="none"/>
          <w14:textFill>
            <w14:solidFill>
              <w14:schemeClr w14:val="tx1"/>
            </w14:solidFill>
          </w14:textFill>
        </w:rPr>
        <w:t>决算数等于预算数。</w:t>
      </w:r>
      <w:r>
        <w:rPr>
          <w:rStyle w:val="19"/>
          <w:rFonts w:hint="eastAsia" w:ascii="宋体" w:hAnsi="宋体" w:eastAsia="宋体" w:cs="宋体"/>
          <w:b w:val="0"/>
          <w:bCs/>
          <w:color w:val="000000" w:themeColor="text1"/>
          <w:sz w:val="28"/>
          <w:szCs w:val="28"/>
          <w:highlight w:val="none"/>
          <w:lang w:val="en-US" w:eastAsia="zh-CN"/>
          <w14:textFill>
            <w14:solidFill>
              <w14:schemeClr w14:val="tx1"/>
            </w14:solidFill>
          </w14:textFill>
        </w:rPr>
        <w:t xml:space="preserve"> </w:t>
      </w:r>
    </w:p>
    <w:p w14:paraId="73D5688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color w:val="000000" w:themeColor="text1"/>
          <w:sz w:val="28"/>
          <w:szCs w:val="28"/>
          <w14:textFill>
            <w14:solidFill>
              <w14:schemeClr w14:val="tx1"/>
            </w14:solidFill>
          </w14:textFill>
        </w:rPr>
      </w:pPr>
      <w:r>
        <w:rPr>
          <w:rStyle w:val="19"/>
          <w:rFonts w:hint="eastAsia" w:ascii="宋体" w:hAnsi="宋体" w:eastAsia="宋体" w:cs="宋体"/>
          <w:bCs/>
          <w:color w:val="000000" w:themeColor="text1"/>
          <w:sz w:val="28"/>
          <w:szCs w:val="28"/>
          <w14:textFill>
            <w14:solidFill>
              <w14:schemeClr w14:val="tx1"/>
            </w14:solidFill>
          </w14:textFill>
        </w:rPr>
        <w:t>2.科学技术支出（类）其他科学技术支出（款）其他科学技术支出（项）:</w:t>
      </w:r>
      <w:r>
        <w:rPr>
          <w:rStyle w:val="19"/>
          <w:rFonts w:hint="eastAsia" w:ascii="宋体" w:hAnsi="宋体" w:eastAsia="宋体" w:cs="宋体"/>
          <w:b w:val="0"/>
          <w:bCs/>
          <w:color w:val="000000" w:themeColor="text1"/>
          <w:sz w:val="28"/>
          <w:szCs w:val="28"/>
          <w14:textFill>
            <w14:solidFill>
              <w14:schemeClr w14:val="tx1"/>
            </w14:solidFill>
          </w14:textFill>
        </w:rPr>
        <w:t xml:space="preserve"> </w:t>
      </w:r>
      <w:r>
        <w:rPr>
          <w:rStyle w:val="19"/>
          <w:rFonts w:hint="eastAsia" w:ascii="宋体" w:hAnsi="宋体" w:eastAsia="宋体" w:cs="宋体"/>
          <w:b w:val="0"/>
          <w:bCs/>
          <w:color w:val="000000" w:themeColor="text1"/>
          <w:sz w:val="28"/>
          <w:szCs w:val="28"/>
          <w:lang w:val="en-US" w:eastAsia="zh-CN"/>
          <w14:textFill>
            <w14:solidFill>
              <w14:schemeClr w14:val="tx1"/>
            </w14:solidFill>
          </w14:textFill>
        </w:rPr>
        <w:t>2023年</w:t>
      </w:r>
      <w:r>
        <w:rPr>
          <w:rStyle w:val="19"/>
          <w:rFonts w:hint="eastAsia" w:ascii="宋体" w:hAnsi="宋体" w:eastAsia="宋体" w:cs="宋体"/>
          <w:b w:val="0"/>
          <w:bCs/>
          <w:color w:val="000000" w:themeColor="text1"/>
          <w:sz w:val="28"/>
          <w:szCs w:val="28"/>
          <w14:textFill>
            <w14:solidFill>
              <w14:schemeClr w14:val="tx1"/>
            </w14:solidFill>
          </w14:textFill>
        </w:rPr>
        <w:t>支出决算为</w:t>
      </w:r>
      <w:r>
        <w:rPr>
          <w:rStyle w:val="19"/>
          <w:rFonts w:hint="eastAsia" w:ascii="宋体" w:hAnsi="宋体" w:eastAsia="宋体" w:cs="宋体"/>
          <w:b w:val="0"/>
          <w:bCs/>
          <w:color w:val="000000" w:themeColor="text1"/>
          <w:sz w:val="28"/>
          <w:szCs w:val="28"/>
          <w:lang w:val="en-US" w:eastAsia="zh-CN"/>
          <w14:textFill>
            <w14:solidFill>
              <w14:schemeClr w14:val="tx1"/>
            </w14:solidFill>
          </w14:textFill>
        </w:rPr>
        <w:t>9294.68</w:t>
      </w:r>
      <w:r>
        <w:rPr>
          <w:rStyle w:val="19"/>
          <w:rFonts w:hint="eastAsia" w:ascii="宋体" w:hAnsi="宋体" w:eastAsia="宋体" w:cs="宋体"/>
          <w:b w:val="0"/>
          <w:bCs/>
          <w:color w:val="000000" w:themeColor="text1"/>
          <w:sz w:val="28"/>
          <w:szCs w:val="28"/>
          <w14:textFill>
            <w14:solidFill>
              <w14:schemeClr w14:val="tx1"/>
            </w14:solidFill>
          </w14:textFill>
        </w:rPr>
        <w:t>万元，完成预算</w:t>
      </w:r>
      <w:r>
        <w:rPr>
          <w:rStyle w:val="19"/>
          <w:rFonts w:hint="eastAsia" w:ascii="宋体" w:hAnsi="宋体" w:eastAsia="宋体" w:cs="宋体"/>
          <w:b w:val="0"/>
          <w:bCs/>
          <w:color w:val="000000" w:themeColor="text1"/>
          <w:sz w:val="28"/>
          <w:szCs w:val="28"/>
          <w:lang w:val="en-US" w:eastAsia="zh-CN"/>
          <w14:textFill>
            <w14:solidFill>
              <w14:schemeClr w14:val="tx1"/>
            </w14:solidFill>
          </w14:textFill>
        </w:rPr>
        <w:t>100</w:t>
      </w:r>
      <w:r>
        <w:rPr>
          <w:rStyle w:val="19"/>
          <w:rFonts w:hint="eastAsia" w:ascii="宋体" w:hAnsi="宋体" w:eastAsia="宋体" w:cs="宋体"/>
          <w:b w:val="0"/>
          <w:bCs/>
          <w:color w:val="000000" w:themeColor="text1"/>
          <w:sz w:val="28"/>
          <w:szCs w:val="28"/>
          <w14:textFill>
            <w14:solidFill>
              <w14:schemeClr w14:val="tx1"/>
            </w14:solidFill>
          </w14:textFill>
        </w:rPr>
        <w:t>%，</w:t>
      </w:r>
      <w:r>
        <w:rPr>
          <w:rStyle w:val="19"/>
          <w:rFonts w:hint="eastAsia" w:ascii="宋体" w:hAnsi="宋体" w:eastAsia="宋体" w:cs="宋体"/>
          <w:b w:val="0"/>
          <w:bCs/>
          <w:color w:val="000000" w:themeColor="text1"/>
          <w:sz w:val="28"/>
          <w:szCs w:val="28"/>
          <w:highlight w:val="none"/>
          <w14:textFill>
            <w14:solidFill>
              <w14:schemeClr w14:val="tx1"/>
            </w14:solidFill>
          </w14:textFill>
        </w:rPr>
        <w:t>决算数等于预算数。</w:t>
      </w:r>
    </w:p>
    <w:p w14:paraId="17FFB9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rPr>
          <w:rStyle w:val="19"/>
          <w:rFonts w:hint="eastAsia" w:ascii="宋体" w:hAnsi="宋体" w:eastAsia="宋体" w:cs="宋体"/>
          <w:b w:val="0"/>
          <w:bCs/>
          <w:color w:val="000000" w:themeColor="text1"/>
          <w:sz w:val="28"/>
          <w:szCs w:val="28"/>
          <w:highlight w:val="none"/>
          <w14:textFill>
            <w14:solidFill>
              <w14:schemeClr w14:val="tx1"/>
            </w14:solidFill>
          </w14:textFill>
        </w:rPr>
      </w:pPr>
      <w:r>
        <w:rPr>
          <w:rStyle w:val="19"/>
          <w:rFonts w:hint="eastAsia" w:ascii="宋体" w:hAnsi="宋体" w:eastAsia="宋体" w:cs="宋体"/>
          <w:bCs/>
          <w:color w:val="000000" w:themeColor="text1"/>
          <w:sz w:val="28"/>
          <w:szCs w:val="28"/>
          <w:lang w:val="en-US" w:eastAsia="zh-CN"/>
          <w14:textFill>
            <w14:solidFill>
              <w14:schemeClr w14:val="tx1"/>
            </w14:solidFill>
          </w14:textFill>
        </w:rPr>
        <w:t>3.</w:t>
      </w:r>
      <w:r>
        <w:rPr>
          <w:rStyle w:val="19"/>
          <w:rFonts w:hint="eastAsia" w:ascii="宋体" w:hAnsi="宋体" w:eastAsia="宋体" w:cs="宋体"/>
          <w:bCs/>
          <w:color w:val="000000" w:themeColor="text1"/>
          <w:sz w:val="28"/>
          <w:szCs w:val="28"/>
          <w14:textFill>
            <w14:solidFill>
              <w14:schemeClr w14:val="tx1"/>
            </w14:solidFill>
          </w14:textFill>
        </w:rPr>
        <w:t>社会保障和就业（类）行政事业单位养老支出（款）机关事业单位基本养老保险缴费支出（项）</w:t>
      </w:r>
      <w:r>
        <w:rPr>
          <w:rStyle w:val="19"/>
          <w:rFonts w:hint="eastAsia" w:ascii="宋体" w:hAnsi="宋体" w:eastAsia="宋体" w:cs="宋体"/>
          <w:bCs/>
          <w:sz w:val="28"/>
          <w:szCs w:val="28"/>
        </w:rPr>
        <w:t>:</w:t>
      </w:r>
      <w:r>
        <w:rPr>
          <w:rStyle w:val="19"/>
          <w:rFonts w:hint="eastAsia" w:ascii="宋体" w:hAnsi="宋体" w:eastAsia="宋体" w:cs="宋体"/>
          <w:b w:val="0"/>
          <w:bCs/>
          <w:sz w:val="28"/>
          <w:szCs w:val="28"/>
        </w:rPr>
        <w:t xml:space="preserve"> 支出决算为</w:t>
      </w:r>
      <w:r>
        <w:rPr>
          <w:rStyle w:val="19"/>
          <w:rFonts w:hint="eastAsia" w:ascii="宋体" w:hAnsi="宋体" w:eastAsia="宋体" w:cs="宋体"/>
          <w:b w:val="0"/>
          <w:bCs/>
          <w:sz w:val="28"/>
          <w:szCs w:val="28"/>
          <w:lang w:val="en-US" w:eastAsia="zh-CN"/>
        </w:rPr>
        <w:t>36.51</w:t>
      </w:r>
      <w:r>
        <w:rPr>
          <w:rStyle w:val="19"/>
          <w:rFonts w:hint="eastAsia" w:ascii="宋体" w:hAnsi="宋体" w:eastAsia="宋体" w:cs="宋体"/>
          <w:b w:val="0"/>
          <w:bCs/>
          <w:sz w:val="28"/>
          <w:szCs w:val="28"/>
        </w:rPr>
        <w:t>万元，完成预算</w:t>
      </w:r>
      <w:r>
        <w:rPr>
          <w:rStyle w:val="19"/>
          <w:rFonts w:hint="eastAsia" w:ascii="宋体" w:hAnsi="宋体" w:eastAsia="宋体" w:cs="宋体"/>
          <w:b w:val="0"/>
          <w:bCs/>
          <w:sz w:val="28"/>
          <w:szCs w:val="28"/>
          <w:lang w:val="en-US" w:eastAsia="zh-CN"/>
        </w:rPr>
        <w:t>100</w:t>
      </w:r>
      <w:r>
        <w:rPr>
          <w:rStyle w:val="19"/>
          <w:rFonts w:hint="eastAsia" w:ascii="宋体" w:hAnsi="宋体" w:eastAsia="宋体" w:cs="宋体"/>
          <w:b w:val="0"/>
          <w:bCs/>
          <w:sz w:val="28"/>
          <w:szCs w:val="28"/>
        </w:rPr>
        <w:t>%，</w:t>
      </w:r>
      <w:r>
        <w:rPr>
          <w:rStyle w:val="19"/>
          <w:rFonts w:hint="eastAsia" w:ascii="宋体" w:hAnsi="宋体" w:eastAsia="宋体" w:cs="宋体"/>
          <w:b w:val="0"/>
          <w:bCs/>
          <w:color w:val="000000" w:themeColor="text1"/>
          <w:sz w:val="28"/>
          <w:szCs w:val="28"/>
          <w:highlight w:val="none"/>
          <w14:textFill>
            <w14:solidFill>
              <w14:schemeClr w14:val="tx1"/>
            </w14:solidFill>
          </w14:textFill>
        </w:rPr>
        <w:t>决算数等于预算数</w:t>
      </w:r>
    </w:p>
    <w:p w14:paraId="2F15B72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Style w:val="19"/>
          <w:rFonts w:hint="eastAsia" w:ascii="宋体" w:hAnsi="宋体" w:eastAsia="宋体" w:cs="宋体"/>
          <w:b w:val="0"/>
          <w:bCs/>
          <w:color w:val="000000" w:themeColor="text1"/>
          <w:sz w:val="28"/>
          <w:szCs w:val="28"/>
          <w:highlight w:val="none"/>
          <w14:textFill>
            <w14:solidFill>
              <w14:schemeClr w14:val="tx1"/>
            </w14:solidFill>
          </w14:textFill>
        </w:rPr>
      </w:pPr>
      <w:r>
        <w:rPr>
          <w:rFonts w:hint="eastAsia" w:ascii="宋体" w:hAnsi="宋体" w:eastAsia="宋体" w:cs="宋体"/>
          <w:color w:val="auto"/>
          <w:kern w:val="0"/>
          <w:sz w:val="28"/>
          <w:szCs w:val="28"/>
          <w:highlight w:val="none"/>
          <w:lang w:val="en-US" w:eastAsia="zh-CN" w:bidi="ar-SA"/>
        </w:rPr>
        <w:t>4.</w:t>
      </w:r>
      <w:r>
        <w:rPr>
          <w:rFonts w:hint="eastAsia" w:ascii="宋体" w:hAnsi="宋体" w:eastAsia="宋体" w:cs="宋体"/>
          <w:b/>
          <w:bCs/>
          <w:color w:val="auto"/>
          <w:kern w:val="0"/>
          <w:sz w:val="28"/>
          <w:szCs w:val="28"/>
          <w:highlight w:val="none"/>
          <w:lang w:val="zh-CN" w:eastAsia="zh-CN" w:bidi="ar-SA"/>
        </w:rPr>
        <w:t>社会保障和就业（类）行政事业单位养老支出（款）机关事业单位职业年金缴费支出（项）</w:t>
      </w:r>
      <w:r>
        <w:rPr>
          <w:rFonts w:hint="eastAsia" w:ascii="宋体" w:hAnsi="宋体" w:eastAsia="宋体" w:cs="宋体"/>
          <w:color w:val="auto"/>
          <w:kern w:val="0"/>
          <w:sz w:val="28"/>
          <w:szCs w:val="28"/>
          <w:highlight w:val="none"/>
          <w:lang w:val="zh-CN" w:eastAsia="zh-CN" w:bidi="ar-SA"/>
        </w:rPr>
        <w:t xml:space="preserve">: </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18.26</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4A564AA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lang w:val="zh-CN" w:eastAsia="zh-CN" w:bidi="ar-SA"/>
        </w:rPr>
        <w:t>5.</w:t>
      </w:r>
      <w:r>
        <w:rPr>
          <w:rFonts w:hint="eastAsia" w:ascii="宋体" w:hAnsi="宋体" w:eastAsia="宋体" w:cs="宋体"/>
          <w:b/>
          <w:bCs/>
          <w:sz w:val="28"/>
          <w:szCs w:val="28"/>
        </w:rPr>
        <w:t>卫生健康</w:t>
      </w:r>
      <w:r>
        <w:rPr>
          <w:rStyle w:val="19"/>
          <w:rFonts w:hint="eastAsia" w:ascii="宋体" w:hAnsi="宋体" w:eastAsia="宋体" w:cs="宋体"/>
          <w:bCs/>
          <w:sz w:val="28"/>
          <w:szCs w:val="28"/>
        </w:rPr>
        <w:t>（类）行政事业单位医疗（款）行政单位医疗（项）:</w:t>
      </w:r>
      <w:r>
        <w:rPr>
          <w:rStyle w:val="19"/>
          <w:rFonts w:hint="eastAsia" w:ascii="宋体" w:hAnsi="宋体" w:eastAsia="宋体" w:cs="宋体"/>
          <w:bCs/>
          <w:sz w:val="28"/>
          <w:szCs w:val="28"/>
          <w:lang w:val="en-US" w:eastAsia="zh-CN"/>
        </w:rPr>
        <w:t>2023年</w:t>
      </w:r>
      <w:r>
        <w:rPr>
          <w:rStyle w:val="19"/>
          <w:rFonts w:hint="eastAsia" w:ascii="宋体" w:hAnsi="宋体" w:eastAsia="宋体" w:cs="宋体"/>
          <w:b w:val="0"/>
          <w:bCs/>
          <w:sz w:val="28"/>
          <w:szCs w:val="28"/>
        </w:rPr>
        <w:t>支出决算为</w:t>
      </w:r>
      <w:r>
        <w:rPr>
          <w:rStyle w:val="19"/>
          <w:rFonts w:hint="eastAsia" w:ascii="宋体" w:hAnsi="宋体" w:eastAsia="宋体" w:cs="宋体"/>
          <w:b w:val="0"/>
          <w:bCs/>
          <w:sz w:val="28"/>
          <w:szCs w:val="28"/>
          <w:lang w:val="en-US" w:eastAsia="zh-CN"/>
        </w:rPr>
        <w:t>4.74</w:t>
      </w:r>
      <w:r>
        <w:rPr>
          <w:rStyle w:val="19"/>
          <w:rFonts w:hint="eastAsia" w:ascii="宋体" w:hAnsi="宋体" w:eastAsia="宋体" w:cs="宋体"/>
          <w:b w:val="0"/>
          <w:bCs/>
          <w:sz w:val="28"/>
          <w:szCs w:val="28"/>
        </w:rPr>
        <w:t>万元，</w:t>
      </w:r>
      <w:r>
        <w:rPr>
          <w:rFonts w:hint="eastAsia" w:ascii="宋体" w:hAnsi="宋体" w:eastAsia="宋体" w:cs="宋体"/>
          <w:color w:val="auto"/>
          <w:kern w:val="0"/>
          <w:sz w:val="28"/>
          <w:szCs w:val="28"/>
          <w:highlight w:val="none"/>
          <w:lang w:val="zh-CN" w:eastAsia="zh-CN" w:bidi="ar-SA"/>
        </w:rPr>
        <w:t>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2E76E9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color w:val="auto"/>
          <w:kern w:val="0"/>
          <w:sz w:val="28"/>
          <w:szCs w:val="28"/>
          <w:highlight w:val="none"/>
          <w:lang w:val="zh-CN" w:eastAsia="zh-CN" w:bidi="ar-SA"/>
        </w:rPr>
      </w:pPr>
      <w:r>
        <w:rPr>
          <w:rStyle w:val="19"/>
          <w:rFonts w:hint="eastAsia" w:ascii="宋体" w:hAnsi="宋体" w:eastAsia="宋体" w:cs="宋体"/>
          <w:bCs/>
          <w:sz w:val="28"/>
          <w:szCs w:val="28"/>
          <w:lang w:val="en-US" w:eastAsia="zh-CN"/>
        </w:rPr>
        <w:t>6</w:t>
      </w:r>
      <w:r>
        <w:rPr>
          <w:rStyle w:val="19"/>
          <w:rFonts w:hint="eastAsia" w:ascii="宋体" w:hAnsi="宋体" w:eastAsia="宋体" w:cs="宋体"/>
          <w:bCs/>
          <w:sz w:val="28"/>
          <w:szCs w:val="28"/>
        </w:rPr>
        <w:t>.</w:t>
      </w:r>
      <w:r>
        <w:rPr>
          <w:rFonts w:hint="eastAsia" w:ascii="宋体" w:hAnsi="宋体" w:eastAsia="宋体" w:cs="宋体"/>
          <w:b/>
          <w:bCs/>
          <w:sz w:val="28"/>
          <w:szCs w:val="28"/>
        </w:rPr>
        <w:t>卫生健康</w:t>
      </w:r>
      <w:r>
        <w:rPr>
          <w:rStyle w:val="19"/>
          <w:rFonts w:hint="eastAsia" w:ascii="宋体" w:hAnsi="宋体" w:eastAsia="宋体" w:cs="宋体"/>
          <w:bCs/>
          <w:sz w:val="28"/>
          <w:szCs w:val="28"/>
        </w:rPr>
        <w:t>（类）行政事业单位医疗（款）事业单位医疗（项）:</w:t>
      </w:r>
      <w:r>
        <w:rPr>
          <w:rStyle w:val="19"/>
          <w:rFonts w:hint="eastAsia" w:ascii="宋体" w:hAnsi="宋体" w:eastAsia="宋体" w:cs="宋体"/>
          <w:bCs/>
          <w:sz w:val="28"/>
          <w:szCs w:val="28"/>
          <w:lang w:val="en-US" w:eastAsia="zh-CN"/>
        </w:rPr>
        <w:t>2023年</w:t>
      </w:r>
      <w:r>
        <w:rPr>
          <w:rStyle w:val="19"/>
          <w:rFonts w:hint="eastAsia" w:ascii="宋体" w:hAnsi="宋体" w:eastAsia="宋体" w:cs="宋体"/>
          <w:b w:val="0"/>
          <w:bCs/>
          <w:sz w:val="28"/>
          <w:szCs w:val="28"/>
        </w:rPr>
        <w:t>支出决算为</w:t>
      </w:r>
      <w:r>
        <w:rPr>
          <w:rStyle w:val="19"/>
          <w:rFonts w:hint="eastAsia" w:ascii="宋体" w:hAnsi="宋体" w:eastAsia="宋体" w:cs="宋体"/>
          <w:b w:val="0"/>
          <w:bCs/>
          <w:sz w:val="28"/>
          <w:szCs w:val="28"/>
          <w:lang w:val="en-US" w:eastAsia="zh-CN"/>
        </w:rPr>
        <w:t>4.19</w:t>
      </w:r>
      <w:r>
        <w:rPr>
          <w:rStyle w:val="19"/>
          <w:rFonts w:hint="eastAsia" w:ascii="宋体" w:hAnsi="宋体" w:eastAsia="宋体" w:cs="宋体"/>
          <w:b w:val="0"/>
          <w:bCs/>
          <w:sz w:val="28"/>
          <w:szCs w:val="28"/>
        </w:rPr>
        <w:t>万元，</w:t>
      </w:r>
      <w:r>
        <w:rPr>
          <w:rFonts w:hint="eastAsia" w:ascii="宋体" w:hAnsi="宋体" w:eastAsia="宋体" w:cs="宋体"/>
          <w:color w:val="auto"/>
          <w:kern w:val="0"/>
          <w:sz w:val="28"/>
          <w:szCs w:val="28"/>
          <w:highlight w:val="none"/>
          <w:lang w:val="zh-CN" w:eastAsia="zh-CN" w:bidi="ar-SA"/>
        </w:rPr>
        <w:t>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07B7C6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b/>
          <w:bCs/>
          <w:sz w:val="28"/>
          <w:szCs w:val="28"/>
          <w:lang w:val="en-US" w:eastAsia="zh-CN"/>
        </w:rPr>
        <w:t>7.</w:t>
      </w:r>
      <w:r>
        <w:rPr>
          <w:rFonts w:hint="eastAsia" w:ascii="宋体" w:hAnsi="宋体" w:eastAsia="宋体" w:cs="宋体"/>
          <w:b/>
          <w:bCs/>
          <w:sz w:val="28"/>
          <w:szCs w:val="28"/>
        </w:rPr>
        <w:t>卫生健康</w:t>
      </w:r>
      <w:r>
        <w:rPr>
          <w:rStyle w:val="19"/>
          <w:rFonts w:hint="eastAsia" w:ascii="宋体" w:hAnsi="宋体" w:eastAsia="宋体" w:cs="宋体"/>
          <w:bCs/>
          <w:sz w:val="28"/>
          <w:szCs w:val="28"/>
        </w:rPr>
        <w:t>（类）行政事业单位医疗（款）公务员医疗补助（项）:</w:t>
      </w:r>
      <w:r>
        <w:rPr>
          <w:rStyle w:val="19"/>
          <w:rFonts w:hint="eastAsia" w:ascii="宋体" w:hAnsi="宋体" w:eastAsia="宋体" w:cs="宋体"/>
          <w:bCs/>
          <w:sz w:val="28"/>
          <w:szCs w:val="28"/>
          <w:lang w:val="en-US" w:eastAsia="zh-CN"/>
        </w:rPr>
        <w:t>2023年</w:t>
      </w:r>
      <w:r>
        <w:rPr>
          <w:rStyle w:val="19"/>
          <w:rFonts w:hint="eastAsia" w:ascii="宋体" w:hAnsi="宋体" w:eastAsia="宋体" w:cs="宋体"/>
          <w:b w:val="0"/>
          <w:bCs/>
          <w:sz w:val="28"/>
          <w:szCs w:val="28"/>
        </w:rPr>
        <w:t>支出决算为</w:t>
      </w:r>
      <w:r>
        <w:rPr>
          <w:rStyle w:val="19"/>
          <w:rFonts w:hint="eastAsia" w:ascii="宋体" w:hAnsi="宋体" w:eastAsia="宋体" w:cs="宋体"/>
          <w:b w:val="0"/>
          <w:bCs/>
          <w:sz w:val="28"/>
          <w:szCs w:val="28"/>
          <w:lang w:val="en-US" w:eastAsia="zh-CN"/>
        </w:rPr>
        <w:t>1</w:t>
      </w:r>
      <w:r>
        <w:rPr>
          <w:rStyle w:val="19"/>
          <w:rFonts w:hint="eastAsia" w:ascii="宋体" w:hAnsi="宋体" w:eastAsia="宋体" w:cs="宋体"/>
          <w:b w:val="0"/>
          <w:bCs/>
          <w:sz w:val="28"/>
          <w:szCs w:val="28"/>
        </w:rPr>
        <w:t>万元，</w:t>
      </w:r>
      <w:r>
        <w:rPr>
          <w:rFonts w:hint="eastAsia" w:ascii="宋体" w:hAnsi="宋体" w:eastAsia="宋体" w:cs="宋体"/>
          <w:color w:val="auto"/>
          <w:kern w:val="0"/>
          <w:sz w:val="28"/>
          <w:szCs w:val="28"/>
          <w:highlight w:val="none"/>
          <w:lang w:val="zh-CN" w:eastAsia="zh-CN" w:bidi="ar-SA"/>
        </w:rPr>
        <w:t>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5B85AFB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both"/>
        <w:textAlignment w:val="auto"/>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b/>
          <w:bCs/>
          <w:sz w:val="28"/>
          <w:szCs w:val="28"/>
          <w:lang w:val="en-US" w:eastAsia="zh-CN"/>
        </w:rPr>
        <w:t>8.</w:t>
      </w:r>
      <w:r>
        <w:rPr>
          <w:rFonts w:hint="eastAsia" w:ascii="宋体" w:hAnsi="宋体" w:eastAsia="宋体" w:cs="宋体"/>
          <w:b/>
          <w:bCs/>
          <w:sz w:val="28"/>
          <w:szCs w:val="28"/>
        </w:rPr>
        <w:t>卫生健康</w:t>
      </w:r>
      <w:r>
        <w:rPr>
          <w:rStyle w:val="19"/>
          <w:rFonts w:hint="eastAsia" w:ascii="宋体" w:hAnsi="宋体" w:eastAsia="宋体" w:cs="宋体"/>
          <w:bCs/>
          <w:sz w:val="28"/>
          <w:szCs w:val="28"/>
        </w:rPr>
        <w:t>（类）行政事业单位医疗（款）其他行政事业单位医疗支出（项）:</w:t>
      </w:r>
      <w:r>
        <w:rPr>
          <w:rStyle w:val="19"/>
          <w:rFonts w:hint="eastAsia" w:ascii="宋体" w:hAnsi="宋体" w:eastAsia="宋体" w:cs="宋体"/>
          <w:bCs/>
          <w:sz w:val="28"/>
          <w:szCs w:val="28"/>
          <w:lang w:val="en-US" w:eastAsia="zh-CN"/>
        </w:rPr>
        <w:t>2023年</w:t>
      </w:r>
      <w:r>
        <w:rPr>
          <w:rStyle w:val="19"/>
          <w:rFonts w:hint="eastAsia" w:ascii="宋体" w:hAnsi="宋体" w:eastAsia="宋体" w:cs="宋体"/>
          <w:b w:val="0"/>
          <w:bCs/>
          <w:sz w:val="28"/>
          <w:szCs w:val="28"/>
        </w:rPr>
        <w:t>支出决算为</w:t>
      </w:r>
      <w:r>
        <w:rPr>
          <w:rStyle w:val="19"/>
          <w:rFonts w:hint="eastAsia" w:ascii="宋体" w:hAnsi="宋体" w:eastAsia="宋体" w:cs="宋体"/>
          <w:b w:val="0"/>
          <w:bCs/>
          <w:sz w:val="28"/>
          <w:szCs w:val="28"/>
          <w:lang w:val="en-US" w:eastAsia="zh-CN"/>
        </w:rPr>
        <w:t>0.9</w:t>
      </w:r>
      <w:r>
        <w:rPr>
          <w:rStyle w:val="19"/>
          <w:rFonts w:hint="eastAsia" w:ascii="宋体" w:hAnsi="宋体" w:eastAsia="宋体" w:cs="宋体"/>
          <w:b w:val="0"/>
          <w:bCs/>
          <w:sz w:val="28"/>
          <w:szCs w:val="28"/>
        </w:rPr>
        <w:t>万元，</w:t>
      </w:r>
      <w:r>
        <w:rPr>
          <w:rFonts w:hint="eastAsia" w:ascii="宋体" w:hAnsi="宋体" w:eastAsia="宋体" w:cs="宋体"/>
          <w:color w:val="auto"/>
          <w:kern w:val="0"/>
          <w:sz w:val="28"/>
          <w:szCs w:val="28"/>
          <w:highlight w:val="none"/>
          <w:lang w:val="zh-CN" w:eastAsia="zh-CN" w:bidi="ar-SA"/>
        </w:rPr>
        <w:t>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2D2536B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9.城乡社区支出</w:t>
      </w:r>
      <w:r>
        <w:rPr>
          <w:rFonts w:hint="eastAsia" w:ascii="宋体" w:hAnsi="宋体" w:eastAsia="宋体" w:cs="宋体"/>
          <w:color w:val="auto"/>
          <w:kern w:val="0"/>
          <w:sz w:val="28"/>
          <w:szCs w:val="28"/>
          <w:highlight w:val="none"/>
          <w:lang w:val="zh-CN" w:eastAsia="zh-CN" w:bidi="ar-SA"/>
        </w:rPr>
        <w:t>（类）城乡社区公共设施（款）其他城乡社区公共设施支出（项）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0.2</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4262507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10.城乡社区支出</w:t>
      </w:r>
      <w:r>
        <w:rPr>
          <w:rFonts w:hint="eastAsia" w:ascii="宋体" w:hAnsi="宋体" w:eastAsia="宋体" w:cs="宋体"/>
          <w:color w:val="auto"/>
          <w:kern w:val="0"/>
          <w:sz w:val="28"/>
          <w:szCs w:val="28"/>
          <w:highlight w:val="none"/>
          <w:lang w:val="zh-CN" w:eastAsia="zh-CN" w:bidi="ar-SA"/>
        </w:rPr>
        <w:t>（类）城乡社区环境卫生（款）城乡社区环境卫生（项）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502.11</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2D09E14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000000" w:themeColor="text1"/>
          <w:kern w:val="0"/>
          <w:sz w:val="28"/>
          <w:szCs w:val="28"/>
          <w:highlight w:val="none"/>
          <w:lang w:val="en-US" w:eastAsia="zh-CN" w:bidi="ar-SA"/>
          <w14:textFill>
            <w14:solidFill>
              <w14:schemeClr w14:val="tx1"/>
            </w14:solidFill>
          </w14:textFill>
        </w:rPr>
        <w:t>11.资源勘</w:t>
      </w:r>
      <w:r>
        <w:rPr>
          <w:rFonts w:hint="eastAsia" w:ascii="宋体" w:hAnsi="宋体" w:eastAsia="宋体" w:cs="宋体"/>
          <w:color w:val="auto"/>
          <w:kern w:val="0"/>
          <w:sz w:val="28"/>
          <w:szCs w:val="28"/>
          <w:highlight w:val="none"/>
          <w:lang w:val="en-US" w:eastAsia="zh-CN" w:bidi="ar-SA"/>
        </w:rPr>
        <w:t>探工业信息等支出</w:t>
      </w:r>
      <w:r>
        <w:rPr>
          <w:rFonts w:hint="eastAsia" w:ascii="宋体" w:hAnsi="宋体" w:eastAsia="宋体" w:cs="宋体"/>
          <w:color w:val="auto"/>
          <w:kern w:val="0"/>
          <w:sz w:val="28"/>
          <w:szCs w:val="28"/>
          <w:highlight w:val="none"/>
          <w:lang w:val="zh-CN" w:eastAsia="zh-CN" w:bidi="ar-SA"/>
        </w:rPr>
        <w:t>（类）资源勘探开发（款）行政运行（项）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3.78</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74BF0A6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12.资源勘探工业信息等支出</w:t>
      </w:r>
      <w:r>
        <w:rPr>
          <w:rFonts w:hint="eastAsia" w:ascii="宋体" w:hAnsi="宋体" w:eastAsia="宋体" w:cs="宋体"/>
          <w:color w:val="auto"/>
          <w:kern w:val="0"/>
          <w:sz w:val="28"/>
          <w:szCs w:val="28"/>
          <w:highlight w:val="none"/>
          <w:lang w:val="zh-CN" w:eastAsia="zh-CN" w:bidi="ar-SA"/>
        </w:rPr>
        <w:t>（类）制造业（款）其他制造业支出（项）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516</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6FEF7C2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13.资源勘探工业信息等支出</w:t>
      </w:r>
      <w:r>
        <w:rPr>
          <w:rFonts w:hint="eastAsia" w:ascii="宋体" w:hAnsi="宋体" w:eastAsia="宋体" w:cs="宋体"/>
          <w:color w:val="auto"/>
          <w:kern w:val="0"/>
          <w:sz w:val="28"/>
          <w:szCs w:val="28"/>
          <w:highlight w:val="none"/>
          <w:lang w:val="zh-CN" w:eastAsia="zh-CN" w:bidi="ar-SA"/>
        </w:rPr>
        <w:t>（类）工业和信息产业监管（款）行政运行（项）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168.4</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7689526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14.资源勘探工业信息等支出</w:t>
      </w:r>
      <w:r>
        <w:rPr>
          <w:rFonts w:hint="eastAsia" w:ascii="宋体" w:hAnsi="宋体" w:eastAsia="宋体" w:cs="宋体"/>
          <w:color w:val="auto"/>
          <w:kern w:val="0"/>
          <w:sz w:val="28"/>
          <w:szCs w:val="28"/>
          <w:highlight w:val="none"/>
          <w:lang w:val="zh-CN" w:eastAsia="zh-CN" w:bidi="ar-SA"/>
        </w:rPr>
        <w:t>（类）工业和信息产业监管（款）事业运行（项）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124.27</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5D714112">
      <w:pPr>
        <w:pStyle w:val="6"/>
        <w:keepNext w:val="0"/>
        <w:keepLines w:val="0"/>
        <w:pageBreakBefore w:val="0"/>
        <w:widowControl w:val="0"/>
        <w:kinsoku/>
        <w:wordWrap/>
        <w:overflowPunct/>
        <w:topLinePunct w:val="0"/>
        <w:autoSpaceDE/>
        <w:autoSpaceDN/>
        <w:bidi w:val="0"/>
        <w:adjustRightInd/>
        <w:snapToGrid/>
        <w:spacing w:beforeLines="0" w:line="600" w:lineRule="exact"/>
        <w:ind w:firstLine="560" w:firstLineChars="200"/>
        <w:textAlignment w:val="auto"/>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15.资源勘探工业信息等支出</w:t>
      </w:r>
      <w:r>
        <w:rPr>
          <w:rFonts w:hint="eastAsia" w:ascii="宋体" w:hAnsi="宋体" w:eastAsia="宋体" w:cs="宋体"/>
          <w:color w:val="auto"/>
          <w:kern w:val="0"/>
          <w:sz w:val="28"/>
          <w:szCs w:val="28"/>
          <w:highlight w:val="none"/>
          <w:lang w:val="zh-CN" w:eastAsia="zh-CN" w:bidi="ar-SA"/>
        </w:rPr>
        <w:t>（类）工业和信息产业监管（款）其他工业和信息产业监管支出（项）：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41357.87</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2EA43831">
      <w:pPr>
        <w:pStyle w:val="6"/>
        <w:keepNext w:val="0"/>
        <w:keepLines w:val="0"/>
        <w:pageBreakBefore w:val="0"/>
        <w:widowControl w:val="0"/>
        <w:kinsoku/>
        <w:wordWrap/>
        <w:overflowPunct/>
        <w:topLinePunct w:val="0"/>
        <w:autoSpaceDE/>
        <w:autoSpaceDN/>
        <w:bidi w:val="0"/>
        <w:adjustRightInd/>
        <w:snapToGrid/>
        <w:spacing w:beforeLines="0" w:line="600" w:lineRule="exact"/>
        <w:ind w:firstLine="560" w:firstLineChars="200"/>
        <w:textAlignment w:val="auto"/>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16.资源勘探工业信息等支出</w:t>
      </w:r>
      <w:r>
        <w:rPr>
          <w:rFonts w:hint="eastAsia" w:ascii="宋体" w:hAnsi="宋体" w:eastAsia="宋体" w:cs="宋体"/>
          <w:color w:val="auto"/>
          <w:kern w:val="0"/>
          <w:sz w:val="28"/>
          <w:szCs w:val="28"/>
          <w:highlight w:val="none"/>
          <w:lang w:val="zh-CN" w:eastAsia="zh-CN" w:bidi="ar-SA"/>
        </w:rPr>
        <w:t>（类）其他资源勘探工业信息等支出（款）其他资源勘探工业信息等支出（项）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1500</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75BA2BA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color w:val="auto"/>
          <w:kern w:val="0"/>
          <w:sz w:val="28"/>
          <w:szCs w:val="28"/>
          <w:highlight w:val="none"/>
          <w:lang w:val="zh-CN" w:eastAsia="zh-CN" w:bidi="ar-SA"/>
        </w:rPr>
      </w:pPr>
      <w:r>
        <w:rPr>
          <w:rFonts w:hint="eastAsia" w:ascii="宋体" w:hAnsi="宋体" w:eastAsia="宋体" w:cs="宋体"/>
          <w:color w:val="auto"/>
          <w:kern w:val="0"/>
          <w:sz w:val="28"/>
          <w:szCs w:val="28"/>
          <w:highlight w:val="none"/>
          <w:lang w:val="en-US" w:eastAsia="zh-CN" w:bidi="ar-SA"/>
        </w:rPr>
        <w:t>17.</w:t>
      </w:r>
      <w:r>
        <w:rPr>
          <w:rFonts w:hint="eastAsia" w:ascii="宋体" w:hAnsi="宋体" w:eastAsia="宋体" w:cs="宋体"/>
          <w:color w:val="auto"/>
          <w:kern w:val="0"/>
          <w:sz w:val="28"/>
          <w:szCs w:val="28"/>
          <w:highlight w:val="none"/>
          <w:lang w:val="zh-CN" w:eastAsia="zh-CN" w:bidi="ar-SA"/>
        </w:rPr>
        <w:t>住房保障支出（类）住房改革支出（款） 住房公积金（项）: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27.16</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p>
    <w:p w14:paraId="5BD5BF4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2"/>
        <w:rPr>
          <w:rFonts w:hint="eastAsia" w:ascii="宋体" w:hAnsi="宋体" w:eastAsia="宋体" w:cs="宋体"/>
          <w:sz w:val="28"/>
          <w:szCs w:val="28"/>
        </w:rPr>
      </w:pPr>
      <w:r>
        <w:rPr>
          <w:rFonts w:hint="eastAsia" w:ascii="宋体" w:hAnsi="宋体" w:eastAsia="宋体" w:cs="宋体"/>
          <w:color w:val="auto"/>
          <w:kern w:val="0"/>
          <w:sz w:val="28"/>
          <w:szCs w:val="28"/>
          <w:highlight w:val="none"/>
          <w:lang w:val="en-US" w:eastAsia="zh-CN" w:bidi="ar-SA"/>
        </w:rPr>
        <w:t>18.</w:t>
      </w:r>
      <w:r>
        <w:rPr>
          <w:rFonts w:hint="eastAsia" w:ascii="宋体" w:hAnsi="宋体" w:eastAsia="宋体" w:cs="宋体"/>
          <w:color w:val="auto"/>
          <w:kern w:val="0"/>
          <w:sz w:val="28"/>
          <w:szCs w:val="28"/>
          <w:highlight w:val="none"/>
          <w:lang w:val="zh-CN" w:eastAsia="zh-CN" w:bidi="ar-SA"/>
        </w:rPr>
        <w:t>其他支出（类）其他支出（款）其他支出（项）</w:t>
      </w:r>
      <w:r>
        <w:rPr>
          <w:rFonts w:hint="eastAsia" w:ascii="宋体" w:hAnsi="宋体" w:eastAsia="宋体" w:cs="宋体"/>
          <w:color w:val="auto"/>
          <w:kern w:val="0"/>
          <w:sz w:val="28"/>
          <w:szCs w:val="28"/>
          <w:highlight w:val="none"/>
          <w:lang w:val="en-US" w:eastAsia="zh-CN" w:bidi="ar-SA"/>
        </w:rPr>
        <w:t>2023年</w:t>
      </w:r>
      <w:r>
        <w:rPr>
          <w:rFonts w:hint="eastAsia" w:ascii="宋体" w:hAnsi="宋体" w:eastAsia="宋体" w:cs="宋体"/>
          <w:color w:val="auto"/>
          <w:kern w:val="0"/>
          <w:sz w:val="28"/>
          <w:szCs w:val="28"/>
          <w:highlight w:val="none"/>
          <w:lang w:val="zh-CN" w:eastAsia="zh-CN" w:bidi="ar-SA"/>
        </w:rPr>
        <w:t>支出决算为</w:t>
      </w:r>
      <w:r>
        <w:rPr>
          <w:rFonts w:hint="eastAsia" w:ascii="宋体" w:hAnsi="宋体" w:eastAsia="宋体" w:cs="宋体"/>
          <w:color w:val="auto"/>
          <w:kern w:val="0"/>
          <w:sz w:val="28"/>
          <w:szCs w:val="28"/>
          <w:highlight w:val="none"/>
          <w:lang w:val="en-US" w:eastAsia="zh-CN" w:bidi="ar-SA"/>
        </w:rPr>
        <w:t>1000</w:t>
      </w:r>
      <w:r>
        <w:rPr>
          <w:rFonts w:hint="eastAsia" w:ascii="宋体" w:hAnsi="宋体" w:eastAsia="宋体" w:cs="宋体"/>
          <w:color w:val="auto"/>
          <w:kern w:val="0"/>
          <w:sz w:val="28"/>
          <w:szCs w:val="28"/>
          <w:highlight w:val="none"/>
          <w:lang w:val="zh-CN" w:eastAsia="zh-CN" w:bidi="ar-SA"/>
        </w:rPr>
        <w:t>万元，完成预算</w:t>
      </w:r>
      <w:r>
        <w:rPr>
          <w:rFonts w:hint="eastAsia" w:ascii="宋体" w:hAnsi="宋体" w:eastAsia="宋体" w:cs="宋体"/>
          <w:color w:val="auto"/>
          <w:kern w:val="0"/>
          <w:sz w:val="28"/>
          <w:szCs w:val="28"/>
          <w:highlight w:val="none"/>
          <w:lang w:val="en-US" w:eastAsia="zh-CN" w:bidi="ar-SA"/>
        </w:rPr>
        <w:t>100</w:t>
      </w:r>
      <w:r>
        <w:rPr>
          <w:rFonts w:hint="eastAsia" w:ascii="宋体" w:hAnsi="宋体" w:eastAsia="宋体" w:cs="宋体"/>
          <w:color w:val="auto"/>
          <w:kern w:val="0"/>
          <w:sz w:val="28"/>
          <w:szCs w:val="28"/>
          <w:highlight w:val="none"/>
          <w:lang w:val="zh-CN" w:eastAsia="zh-CN" w:bidi="ar-SA"/>
        </w:rPr>
        <w:t>%。决算数等于预算数。</w:t>
      </w:r>
      <w:bookmarkStart w:id="34" w:name="_Toc15396608"/>
      <w:bookmarkStart w:id="35" w:name="_Toc15377214"/>
    </w:p>
    <w:p w14:paraId="32D4EE10">
      <w:pPr>
        <w:keepNext w:val="0"/>
        <w:keepLines w:val="0"/>
        <w:pageBreakBefore w:val="0"/>
        <w:widowControl w:val="0"/>
        <w:tabs>
          <w:tab w:val="right" w:pos="8306"/>
        </w:tabs>
        <w:kinsoku/>
        <w:wordWrap/>
        <w:overflowPunct/>
        <w:topLinePunct w:val="0"/>
        <w:autoSpaceDE/>
        <w:autoSpaceDN/>
        <w:bidi w:val="0"/>
        <w:adjustRightInd/>
        <w:snapToGrid/>
        <w:spacing w:line="600" w:lineRule="exact"/>
        <w:ind w:firstLine="643" w:firstLineChars="200"/>
        <w:textAlignment w:val="auto"/>
        <w:outlineLvl w:val="1"/>
        <w:rPr>
          <w:rStyle w:val="31"/>
          <w:rFonts w:hint="eastAsia" w:ascii="宋体" w:hAnsi="宋体" w:eastAsia="宋体" w:cs="宋体"/>
          <w:sz w:val="28"/>
          <w:szCs w:val="28"/>
        </w:rPr>
      </w:pPr>
      <w:r>
        <w:rPr>
          <w:rFonts w:hint="eastAsia" w:ascii="宋体" w:hAnsi="宋体" w:eastAsia="宋体" w:cs="宋体"/>
          <w:b/>
          <w:bCs/>
          <w:sz w:val="32"/>
          <w:szCs w:val="32"/>
        </w:rPr>
        <w:t>六、一</w:t>
      </w:r>
      <w:r>
        <w:rPr>
          <w:rStyle w:val="31"/>
          <w:rFonts w:hint="eastAsia" w:ascii="宋体" w:hAnsi="宋体" w:eastAsia="宋体" w:cs="宋体"/>
          <w:b/>
          <w:bCs/>
          <w:sz w:val="32"/>
          <w:szCs w:val="32"/>
        </w:rPr>
        <w:t>般公共预算财政拨款基本支出决算情况说明</w:t>
      </w:r>
      <w:bookmarkEnd w:id="34"/>
      <w:bookmarkEnd w:id="35"/>
      <w:r>
        <w:rPr>
          <w:rStyle w:val="31"/>
          <w:rFonts w:hint="eastAsia" w:ascii="宋体" w:hAnsi="宋体" w:eastAsia="宋体" w:cs="宋体"/>
          <w:b w:val="0"/>
          <w:sz w:val="28"/>
          <w:szCs w:val="28"/>
        </w:rPr>
        <w:tab/>
      </w:r>
    </w:p>
    <w:p w14:paraId="2B47A2E9">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宋体" w:hAnsi="宋体" w:eastAsia="宋体" w:cs="宋体"/>
          <w:sz w:val="28"/>
          <w:szCs w:val="28"/>
        </w:rPr>
      </w:pPr>
      <w:r>
        <w:rPr>
          <w:rFonts w:hint="eastAsia" w:ascii="宋体" w:hAnsi="宋体" w:eastAsia="宋体" w:cs="宋体"/>
          <w:sz w:val="28"/>
          <w:szCs w:val="28"/>
        </w:rPr>
        <w:t>2023年度一般公共预算财政拨款基本支出389.21万元，其中：</w:t>
      </w:r>
    </w:p>
    <w:p w14:paraId="7DDA3905">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宋体" w:hAnsi="宋体" w:eastAsia="宋体" w:cs="宋体"/>
          <w:sz w:val="28"/>
          <w:szCs w:val="28"/>
          <w:lang w:eastAsia="zh-CN"/>
        </w:rPr>
      </w:pPr>
      <w:r>
        <w:rPr>
          <w:rFonts w:hint="eastAsia" w:ascii="宋体" w:hAnsi="宋体" w:eastAsia="宋体" w:cs="宋体"/>
          <w:sz w:val="28"/>
          <w:szCs w:val="28"/>
        </w:rPr>
        <w:t>人员经费335.72万元，主要包括：</w:t>
      </w:r>
      <w:r>
        <w:rPr>
          <w:rFonts w:hint="eastAsia" w:ascii="宋体" w:hAnsi="宋体" w:eastAsia="宋体" w:cs="宋体"/>
          <w:color w:val="000000" w:themeColor="text1"/>
          <w:sz w:val="28"/>
          <w:szCs w:val="28"/>
          <w14:textFill>
            <w14:solidFill>
              <w14:schemeClr w14:val="tx1"/>
            </w14:solidFill>
          </w14:textFill>
        </w:rPr>
        <w:t>基本工资、津贴补贴、奖金</w:t>
      </w:r>
      <w:r>
        <w:rPr>
          <w:rFonts w:hint="eastAsia" w:ascii="宋体" w:hAnsi="宋体" w:eastAsia="宋体" w:cs="宋体"/>
          <w:sz w:val="28"/>
          <w:szCs w:val="28"/>
        </w:rPr>
        <w:t>、绩效工资</w:t>
      </w:r>
      <w:r>
        <w:rPr>
          <w:rFonts w:hint="eastAsia" w:ascii="宋体" w:hAnsi="宋体" w:eastAsia="宋体" w:cs="宋体"/>
          <w:sz w:val="28"/>
          <w:szCs w:val="28"/>
          <w:lang w:eastAsia="zh-CN"/>
        </w:rPr>
        <w:t>、</w:t>
      </w:r>
      <w:r>
        <w:rPr>
          <w:rFonts w:hint="eastAsia" w:ascii="宋体" w:hAnsi="宋体" w:eastAsia="宋体" w:cs="宋体"/>
          <w:color w:val="000000" w:themeColor="text1"/>
          <w:sz w:val="28"/>
          <w:szCs w:val="28"/>
          <w14:textFill>
            <w14:solidFill>
              <w14:schemeClr w14:val="tx1"/>
            </w14:solidFill>
          </w14:textFill>
        </w:rPr>
        <w:t>机关事业单位基本养老保险缴费、职业年金缴费</w:t>
      </w:r>
      <w:r>
        <w:rPr>
          <w:rFonts w:hint="eastAsia" w:ascii="宋体" w:hAnsi="宋体" w:eastAsia="宋体" w:cs="宋体"/>
          <w:sz w:val="28"/>
          <w:szCs w:val="28"/>
        </w:rPr>
        <w:t>、</w:t>
      </w:r>
      <w:r>
        <w:rPr>
          <w:rFonts w:hint="eastAsia" w:ascii="宋体" w:hAnsi="宋体" w:eastAsia="宋体" w:cs="宋体"/>
          <w:color w:val="000000" w:themeColor="text1"/>
          <w:sz w:val="28"/>
          <w:szCs w:val="28"/>
          <w14:textFill>
            <w14:solidFill>
              <w14:schemeClr w14:val="tx1"/>
            </w14:solidFill>
          </w14:textFill>
        </w:rPr>
        <w:t>职工基本医疗保险缴费</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其他社会保障缴费、公务员医疗补助缴费、住房公积金</w:t>
      </w:r>
      <w:r>
        <w:rPr>
          <w:rFonts w:hint="eastAsia" w:ascii="宋体" w:hAnsi="宋体" w:eastAsia="宋体" w:cs="宋体"/>
          <w:sz w:val="28"/>
          <w:szCs w:val="28"/>
        </w:rPr>
        <w:t>、其他工资福利支出。</w:t>
      </w:r>
    </w:p>
    <w:p w14:paraId="4AA9110D">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eastAsia="宋体" w:cs="宋体"/>
          <w:sz w:val="28"/>
          <w:szCs w:val="28"/>
        </w:rPr>
        <w:t>公用经费53.49万元，主要包括</w:t>
      </w:r>
      <w:r>
        <w:rPr>
          <w:rFonts w:hint="eastAsia" w:ascii="宋体" w:hAnsi="宋体" w:eastAsia="宋体" w:cs="宋体"/>
          <w:color w:val="000000" w:themeColor="text1"/>
          <w:sz w:val="28"/>
          <w:szCs w:val="28"/>
          <w14:textFill>
            <w14:solidFill>
              <w14:schemeClr w14:val="tx1"/>
            </w14:solidFill>
          </w14:textFill>
        </w:rPr>
        <w:t>：办公费、咨询费、邮电费、差旅费、劳务费、工会经费、福利费、公务用车运行维护费、其他交通费</w:t>
      </w:r>
      <w:r>
        <w:rPr>
          <w:rFonts w:hint="eastAsia" w:ascii="宋体" w:hAnsi="宋体" w:eastAsia="宋体" w:cs="宋体"/>
          <w:color w:val="000000" w:themeColor="text1"/>
          <w:sz w:val="28"/>
          <w:szCs w:val="28"/>
          <w:lang w:eastAsia="zh-CN"/>
          <w14:textFill>
            <w14:solidFill>
              <w14:schemeClr w14:val="tx1"/>
            </w14:solidFill>
          </w14:textFill>
        </w:rPr>
        <w:t>。</w:t>
      </w:r>
    </w:p>
    <w:p w14:paraId="7FEB091B">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outlineLvl w:val="1"/>
        <w:rPr>
          <w:rStyle w:val="31"/>
          <w:rFonts w:hint="eastAsia" w:ascii="宋体" w:hAnsi="宋体" w:eastAsia="宋体" w:cs="宋体"/>
          <w:b/>
          <w:bCs/>
          <w:sz w:val="32"/>
          <w:szCs w:val="32"/>
        </w:rPr>
      </w:pPr>
      <w:bookmarkStart w:id="36" w:name="_Toc15377215"/>
      <w:bookmarkStart w:id="37" w:name="_Toc15396609"/>
      <w:r>
        <w:rPr>
          <w:rFonts w:hint="eastAsia" w:ascii="宋体" w:hAnsi="宋体" w:eastAsia="宋体" w:cs="宋体"/>
          <w:b/>
          <w:bCs/>
          <w:sz w:val="32"/>
          <w:szCs w:val="32"/>
        </w:rPr>
        <w:t>七、</w:t>
      </w:r>
      <w:r>
        <w:rPr>
          <w:rStyle w:val="31"/>
          <w:rFonts w:hint="eastAsia" w:ascii="宋体" w:hAnsi="宋体" w:eastAsia="宋体" w:cs="宋体"/>
          <w:b/>
          <w:bCs/>
          <w:sz w:val="32"/>
          <w:szCs w:val="32"/>
        </w:rPr>
        <w:t>财政拨款“三公”经费支出决算情况说明</w:t>
      </w:r>
      <w:bookmarkEnd w:id="36"/>
      <w:bookmarkEnd w:id="37"/>
    </w:p>
    <w:p w14:paraId="0AA95691">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2"/>
        <w:rPr>
          <w:rFonts w:hint="eastAsia" w:ascii="宋体" w:hAnsi="宋体" w:eastAsia="宋体" w:cs="宋体"/>
          <w:b/>
          <w:sz w:val="28"/>
          <w:szCs w:val="28"/>
        </w:rPr>
      </w:pPr>
      <w:bookmarkStart w:id="38" w:name="_Toc15377216"/>
      <w:r>
        <w:rPr>
          <w:rFonts w:hint="eastAsia" w:ascii="宋体" w:hAnsi="宋体" w:eastAsia="宋体" w:cs="宋体"/>
          <w:b/>
          <w:sz w:val="28"/>
          <w:szCs w:val="28"/>
        </w:rPr>
        <w:t>（一）“三公”经费财政拨款支出决算总体情况说明</w:t>
      </w:r>
      <w:bookmarkEnd w:id="38"/>
    </w:p>
    <w:p w14:paraId="16535A6C">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rPr>
      </w:pPr>
      <w:r>
        <w:rPr>
          <w:rFonts w:hint="eastAsia" w:ascii="宋体" w:hAnsi="宋体" w:eastAsia="宋体" w:cs="宋体"/>
          <w:sz w:val="28"/>
          <w:szCs w:val="28"/>
        </w:rPr>
        <w:t>2023年度“三公”经费财政拨款支出决算为1.98万元，完成预算100%，较上年度减少</w:t>
      </w:r>
      <w:r>
        <w:rPr>
          <w:rFonts w:hint="eastAsia" w:ascii="宋体" w:hAnsi="宋体" w:eastAsia="宋体" w:cs="宋体"/>
          <w:sz w:val="28"/>
          <w:szCs w:val="28"/>
          <w:lang w:val="en-US" w:eastAsia="zh-CN"/>
        </w:rPr>
        <w:t>1.91</w:t>
      </w:r>
      <w:r>
        <w:rPr>
          <w:rFonts w:hint="eastAsia" w:ascii="宋体" w:hAnsi="宋体" w:eastAsia="宋体" w:cs="宋体"/>
          <w:sz w:val="28"/>
          <w:szCs w:val="28"/>
        </w:rPr>
        <w:t>万元，下降</w:t>
      </w:r>
      <w:r>
        <w:rPr>
          <w:rFonts w:hint="eastAsia" w:ascii="宋体" w:hAnsi="宋体" w:eastAsia="宋体" w:cs="宋体"/>
          <w:sz w:val="28"/>
          <w:szCs w:val="28"/>
          <w:lang w:val="en-US" w:eastAsia="zh-CN"/>
        </w:rPr>
        <w:t>49.1</w:t>
      </w:r>
      <w:r>
        <w:rPr>
          <w:rFonts w:hint="eastAsia" w:ascii="宋体" w:hAnsi="宋体" w:eastAsia="宋体" w:cs="宋体"/>
          <w:sz w:val="28"/>
          <w:szCs w:val="28"/>
        </w:rPr>
        <w:t>%。</w:t>
      </w:r>
      <w:r>
        <w:rPr>
          <w:rStyle w:val="19"/>
          <w:rFonts w:hint="eastAsia" w:ascii="宋体" w:hAnsi="宋体" w:eastAsia="宋体" w:cs="宋体"/>
          <w:b w:val="0"/>
          <w:bCs/>
          <w:color w:val="000000" w:themeColor="text1"/>
          <w:sz w:val="28"/>
          <w:szCs w:val="28"/>
          <w:highlight w:val="none"/>
          <w14:textFill>
            <w14:solidFill>
              <w14:schemeClr w14:val="tx1"/>
            </w14:solidFill>
          </w14:textFill>
        </w:rPr>
        <w:t>决算数等于预算数。</w:t>
      </w:r>
    </w:p>
    <w:p w14:paraId="1EB63597">
      <w:pPr>
        <w:keepNext w:val="0"/>
        <w:keepLines w:val="0"/>
        <w:pageBreakBefore w:val="0"/>
        <w:widowControl w:val="0"/>
        <w:kinsoku/>
        <w:wordWrap/>
        <w:overflowPunct/>
        <w:topLinePunct w:val="0"/>
        <w:autoSpaceDE/>
        <w:autoSpaceDN/>
        <w:bidi w:val="0"/>
        <w:adjustRightInd/>
        <w:snapToGrid/>
        <w:spacing w:line="600" w:lineRule="exact"/>
        <w:ind w:firstLine="640"/>
        <w:textAlignment w:val="auto"/>
        <w:outlineLvl w:val="2"/>
        <w:rPr>
          <w:rFonts w:hint="eastAsia" w:ascii="宋体" w:hAnsi="宋体" w:eastAsia="宋体" w:cs="宋体"/>
          <w:b/>
          <w:sz w:val="28"/>
          <w:szCs w:val="28"/>
        </w:rPr>
      </w:pPr>
      <w:bookmarkStart w:id="39" w:name="_Toc15377217"/>
      <w:r>
        <w:rPr>
          <w:rFonts w:hint="eastAsia" w:ascii="宋体" w:hAnsi="宋体" w:eastAsia="宋体" w:cs="宋体"/>
          <w:b/>
          <w:sz w:val="28"/>
          <w:szCs w:val="28"/>
        </w:rPr>
        <w:t>（二）“三公”经费财政拨款支出决算具体情况说明</w:t>
      </w:r>
      <w:bookmarkEnd w:id="39"/>
    </w:p>
    <w:p w14:paraId="7461C9BB">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rPr>
      </w:pPr>
      <w:r>
        <w:rPr>
          <w:rFonts w:hint="eastAsia" w:ascii="宋体" w:hAnsi="宋体" w:eastAsia="宋体" w:cs="宋体"/>
          <w:sz w:val="28"/>
          <w:szCs w:val="28"/>
        </w:rPr>
        <w:t>2023年度“三公”经费财政拨款支出决算中，因公出国（境）费支出决算0万元，占0%；公务用车购置及运行维护费支出决算1.98万元，占100%；公务接待费支出决算0万元，占0%。具体情况如下：</w:t>
      </w:r>
    </w:p>
    <w:p w14:paraId="6C80180E">
      <w:pPr>
        <w:numPr>
          <w:ilvl w:val="0"/>
          <w:numId w:val="0"/>
        </w:numPr>
        <w:spacing w:line="600" w:lineRule="exact"/>
        <w:rPr>
          <w:rFonts w:hint="eastAsia" w:ascii="仿宋_GB2312" w:hAnsi="Times New Roman" w:eastAsia="仿宋_GB2312" w:cs="Times New Roman"/>
          <w:kern w:val="2"/>
          <w:sz w:val="32"/>
          <w:szCs w:val="32"/>
          <w:lang w:val="en-US" w:eastAsia="zh-CN" w:bidi="ar-SA"/>
        </w:rPr>
      </w:pPr>
      <w:r>
        <w:drawing>
          <wp:anchor distT="0" distB="0" distL="114300" distR="114300" simplePos="0" relativeHeight="251665408" behindDoc="1" locked="0" layoutInCell="1" allowOverlap="1">
            <wp:simplePos x="0" y="0"/>
            <wp:positionH relativeFrom="column">
              <wp:posOffset>154305</wp:posOffset>
            </wp:positionH>
            <wp:positionV relativeFrom="paragraph">
              <wp:posOffset>322580</wp:posOffset>
            </wp:positionV>
            <wp:extent cx="5102225" cy="3256915"/>
            <wp:effectExtent l="4445" t="4445" r="17780" b="15240"/>
            <wp:wrapNone/>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14:paraId="27957E9D">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01F9A301">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2E643304">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7ACDCF7B">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67B1E6BF">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0E648E14">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5D42931E">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2E7421AE">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5756999E">
      <w:pPr>
        <w:numPr>
          <w:ilvl w:val="0"/>
          <w:numId w:val="0"/>
        </w:numPr>
        <w:spacing w:line="600" w:lineRule="exact"/>
        <w:rPr>
          <w:rFonts w:hint="eastAsia" w:ascii="仿宋_GB2312" w:hAnsi="Times New Roman" w:eastAsia="仿宋_GB2312" w:cs="Times New Roman"/>
          <w:kern w:val="2"/>
          <w:sz w:val="32"/>
          <w:szCs w:val="32"/>
          <w:lang w:val="en-US" w:eastAsia="zh-CN" w:bidi="ar-SA"/>
        </w:rPr>
      </w:pPr>
    </w:p>
    <w:p w14:paraId="49CE682C">
      <w:pPr>
        <w:numPr>
          <w:ilvl w:val="0"/>
          <w:numId w:val="0"/>
        </w:numPr>
        <w:spacing w:line="600" w:lineRule="exact"/>
        <w:ind w:firstLine="640" w:firstLineChars="0"/>
        <w:rPr>
          <w:rFonts w:hint="eastAsia" w:ascii="仿宋_GB2312" w:hAnsi="Times New Roman" w:eastAsia="仿宋_GB2312" w:cs="Times New Roman"/>
          <w:kern w:val="2"/>
          <w:sz w:val="32"/>
          <w:szCs w:val="32"/>
          <w:lang w:val="en-US" w:eastAsia="zh-CN" w:bidi="ar-SA"/>
        </w:rPr>
      </w:pPr>
    </w:p>
    <w:p w14:paraId="4BAC2D07">
      <w:pPr>
        <w:pageBreakBefore w:val="0"/>
        <w:widowControl w:val="0"/>
        <w:numPr>
          <w:ilvl w:val="0"/>
          <w:numId w:val="0"/>
        </w:numPr>
        <w:kinsoku/>
        <w:wordWrap/>
        <w:overflowPunct/>
        <w:topLinePunct w:val="0"/>
        <w:autoSpaceDE/>
        <w:autoSpaceDN/>
        <w:bidi w:val="0"/>
        <w:adjustRightInd/>
        <w:snapToGrid/>
        <w:spacing w:line="600" w:lineRule="exact"/>
        <w:ind w:firstLine="640" w:firstLineChars="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1.</w:t>
      </w:r>
      <w:r>
        <w:rPr>
          <w:rFonts w:hint="eastAsia" w:ascii="宋体" w:hAnsi="宋体" w:eastAsia="宋体" w:cs="宋体"/>
          <w:b/>
          <w:sz w:val="28"/>
          <w:szCs w:val="28"/>
        </w:rPr>
        <w:t>因公出国（境）经费支出</w:t>
      </w:r>
      <w:r>
        <w:rPr>
          <w:rFonts w:hint="eastAsia" w:ascii="宋体" w:hAnsi="宋体" w:eastAsia="宋体" w:cs="宋体"/>
          <w:sz w:val="28"/>
          <w:szCs w:val="28"/>
        </w:rPr>
        <w:t>0万元，</w:t>
      </w:r>
      <w:r>
        <w:rPr>
          <w:rStyle w:val="19"/>
          <w:rFonts w:hint="eastAsia" w:ascii="宋体" w:hAnsi="宋体" w:eastAsia="宋体" w:cs="宋体"/>
          <w:b w:val="0"/>
          <w:bCs/>
          <w:sz w:val="28"/>
          <w:szCs w:val="28"/>
        </w:rPr>
        <w:t>完成预算</w:t>
      </w:r>
      <w:r>
        <w:rPr>
          <w:rFonts w:hint="eastAsia" w:ascii="宋体" w:hAnsi="宋体" w:eastAsia="宋体" w:cs="宋体"/>
          <w:sz w:val="28"/>
          <w:szCs w:val="28"/>
        </w:rPr>
        <w:t>0</w:t>
      </w:r>
      <w:r>
        <w:rPr>
          <w:rStyle w:val="19"/>
          <w:rFonts w:hint="eastAsia" w:ascii="宋体" w:hAnsi="宋体" w:eastAsia="宋体" w:cs="宋体"/>
          <w:b w:val="0"/>
          <w:bCs/>
          <w:sz w:val="28"/>
          <w:szCs w:val="28"/>
        </w:rPr>
        <w:t>%。</w:t>
      </w:r>
      <w:r>
        <w:rPr>
          <w:rFonts w:hint="eastAsia" w:ascii="宋体" w:hAnsi="宋体" w:eastAsia="宋体" w:cs="宋体"/>
          <w:sz w:val="28"/>
          <w:szCs w:val="28"/>
        </w:rPr>
        <w:t>全年安排因公出国（境）团组0次，出国（境）0人。因公出国（境）支出决算比2022年增加</w:t>
      </w:r>
      <w:r>
        <w:rPr>
          <w:rFonts w:hint="eastAsia" w:ascii="宋体" w:hAnsi="宋体" w:eastAsia="宋体" w:cs="宋体"/>
          <w:sz w:val="28"/>
          <w:szCs w:val="28"/>
          <w:lang w:val="en-US" w:eastAsia="zh-CN"/>
        </w:rPr>
        <w:t>0</w:t>
      </w:r>
      <w:r>
        <w:rPr>
          <w:rFonts w:hint="eastAsia" w:ascii="宋体" w:hAnsi="宋体" w:eastAsia="宋体" w:cs="宋体"/>
          <w:sz w:val="28"/>
          <w:szCs w:val="28"/>
        </w:rPr>
        <w:t>万元，增长</w:t>
      </w:r>
      <w:r>
        <w:rPr>
          <w:rFonts w:hint="eastAsia" w:ascii="宋体" w:hAnsi="宋体" w:eastAsia="宋体" w:cs="宋体"/>
          <w:sz w:val="28"/>
          <w:szCs w:val="28"/>
          <w:lang w:val="en-US" w:eastAsia="zh-CN"/>
        </w:rPr>
        <w:t>0</w:t>
      </w:r>
      <w:r>
        <w:rPr>
          <w:rFonts w:hint="eastAsia" w:ascii="宋体" w:hAnsi="宋体" w:eastAsia="宋体" w:cs="宋体"/>
          <w:sz w:val="28"/>
          <w:szCs w:val="28"/>
        </w:rPr>
        <w:t>%。</w:t>
      </w:r>
    </w:p>
    <w:p w14:paraId="59904891">
      <w:pPr>
        <w:keepNext/>
        <w:keepLines/>
        <w:pageBreakBefore w:val="0"/>
        <w:widowControl w:val="0"/>
        <w:kinsoku/>
        <w:wordWrap/>
        <w:overflowPunct/>
        <w:topLinePunct w:val="0"/>
        <w:autoSpaceDE/>
        <w:autoSpaceDN/>
        <w:bidi w:val="0"/>
        <w:adjustRightInd/>
        <w:snapToGrid/>
        <w:spacing w:line="600" w:lineRule="exact"/>
        <w:ind w:firstLine="643"/>
        <w:jc w:val="both"/>
        <w:textAlignment w:val="auto"/>
        <w:rPr>
          <w:rFonts w:hint="eastAsia" w:ascii="宋体" w:hAnsi="宋体" w:eastAsia="宋体" w:cs="宋体"/>
          <w:color w:val="000000"/>
          <w:kern w:val="2"/>
          <w:sz w:val="28"/>
          <w:szCs w:val="28"/>
          <w:highlight w:val="none"/>
          <w:lang w:val="zh-CN"/>
        </w:rPr>
      </w:pPr>
      <w:r>
        <w:rPr>
          <w:rFonts w:hint="eastAsia" w:ascii="宋体" w:hAnsi="宋体" w:eastAsia="宋体" w:cs="宋体"/>
          <w:b/>
          <w:sz w:val="28"/>
          <w:szCs w:val="28"/>
        </w:rPr>
        <w:t>2.公务用车购置及运行维护费支出</w:t>
      </w:r>
      <w:r>
        <w:rPr>
          <w:rFonts w:hint="eastAsia" w:ascii="宋体" w:hAnsi="宋体" w:eastAsia="宋体" w:cs="宋体"/>
          <w:sz w:val="28"/>
          <w:szCs w:val="28"/>
        </w:rPr>
        <w:t>1.98万元,</w:t>
      </w:r>
      <w:r>
        <w:rPr>
          <w:rStyle w:val="19"/>
          <w:rFonts w:hint="eastAsia" w:ascii="宋体" w:hAnsi="宋体" w:eastAsia="宋体" w:cs="宋体"/>
          <w:b w:val="0"/>
          <w:bCs/>
          <w:sz w:val="28"/>
          <w:szCs w:val="28"/>
        </w:rPr>
        <w:t>完成预算</w:t>
      </w:r>
      <w:r>
        <w:rPr>
          <w:rFonts w:hint="eastAsia" w:ascii="宋体" w:hAnsi="宋体" w:eastAsia="宋体" w:cs="宋体"/>
          <w:sz w:val="28"/>
          <w:szCs w:val="28"/>
        </w:rPr>
        <w:t>100</w:t>
      </w:r>
      <w:r>
        <w:rPr>
          <w:rStyle w:val="19"/>
          <w:rFonts w:hint="eastAsia" w:ascii="宋体" w:hAnsi="宋体" w:eastAsia="宋体" w:cs="宋体"/>
          <w:b w:val="0"/>
          <w:bCs/>
          <w:sz w:val="28"/>
          <w:szCs w:val="28"/>
        </w:rPr>
        <w:t>%。</w:t>
      </w:r>
      <w:r>
        <w:rPr>
          <w:rFonts w:hint="eastAsia" w:ascii="宋体" w:hAnsi="宋体" w:eastAsia="宋体" w:cs="宋体"/>
          <w:sz w:val="28"/>
          <w:szCs w:val="28"/>
        </w:rPr>
        <w:t>公务用车购置及运行维护费支出决算比2022年度减少</w:t>
      </w:r>
      <w:r>
        <w:rPr>
          <w:rFonts w:hint="eastAsia" w:ascii="宋体" w:hAnsi="宋体" w:eastAsia="宋体" w:cs="宋体"/>
          <w:sz w:val="28"/>
          <w:szCs w:val="28"/>
          <w:lang w:val="en-US" w:eastAsia="zh-CN"/>
        </w:rPr>
        <w:t>1.91</w:t>
      </w:r>
      <w:r>
        <w:rPr>
          <w:rFonts w:hint="eastAsia" w:ascii="宋体" w:hAnsi="宋体" w:eastAsia="宋体" w:cs="宋体"/>
          <w:sz w:val="28"/>
          <w:szCs w:val="28"/>
        </w:rPr>
        <w:t>元，下降</w:t>
      </w:r>
      <w:r>
        <w:rPr>
          <w:rFonts w:hint="eastAsia" w:ascii="宋体" w:hAnsi="宋体" w:eastAsia="宋体" w:cs="宋体"/>
          <w:sz w:val="28"/>
          <w:szCs w:val="28"/>
          <w:lang w:val="en-US" w:eastAsia="zh-CN"/>
        </w:rPr>
        <w:t>49.1</w:t>
      </w:r>
      <w:r>
        <w:rPr>
          <w:rFonts w:hint="eastAsia" w:ascii="宋体" w:hAnsi="宋体" w:eastAsia="宋体" w:cs="宋体"/>
          <w:sz w:val="28"/>
          <w:szCs w:val="28"/>
        </w:rPr>
        <w:t>%。</w:t>
      </w:r>
      <w:r>
        <w:rPr>
          <w:rFonts w:hint="eastAsia" w:ascii="宋体" w:hAnsi="宋体" w:eastAsia="宋体" w:cs="宋体"/>
          <w:color w:val="000000"/>
          <w:kern w:val="2"/>
          <w:sz w:val="28"/>
          <w:szCs w:val="28"/>
          <w:highlight w:val="none"/>
          <w:lang w:val="zh-CN"/>
        </w:rPr>
        <w:t>主要原因</w:t>
      </w:r>
      <w:r>
        <w:rPr>
          <w:rFonts w:hint="eastAsia" w:ascii="宋体" w:hAnsi="宋体" w:eastAsia="宋体" w:cs="宋体"/>
          <w:color w:val="000000"/>
          <w:kern w:val="2"/>
          <w:sz w:val="28"/>
          <w:szCs w:val="28"/>
          <w:highlight w:val="none"/>
          <w:lang w:val="en-US" w:eastAsia="zh-CN"/>
        </w:rPr>
        <w:t>是本部门厉行节约，减少公务车运行维护费支出</w:t>
      </w:r>
      <w:r>
        <w:rPr>
          <w:rFonts w:hint="eastAsia" w:ascii="宋体" w:hAnsi="宋体" w:eastAsia="宋体" w:cs="宋体"/>
          <w:color w:val="000000"/>
          <w:kern w:val="2"/>
          <w:sz w:val="28"/>
          <w:szCs w:val="28"/>
          <w:highlight w:val="none"/>
          <w:lang w:val="zh-CN"/>
        </w:rPr>
        <w:t>。</w:t>
      </w:r>
    </w:p>
    <w:p w14:paraId="7AAEFBE6">
      <w:pPr>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sz w:val="28"/>
          <w:szCs w:val="28"/>
        </w:rPr>
      </w:pPr>
      <w:r>
        <w:rPr>
          <w:rFonts w:hint="eastAsia" w:ascii="宋体" w:hAnsi="宋体" w:eastAsia="宋体" w:cs="宋体"/>
          <w:sz w:val="28"/>
          <w:szCs w:val="28"/>
        </w:rPr>
        <w:t>其中：</w:t>
      </w:r>
      <w:r>
        <w:rPr>
          <w:rFonts w:hint="eastAsia" w:ascii="宋体" w:hAnsi="宋体" w:eastAsia="宋体" w:cs="宋体"/>
          <w:b/>
          <w:sz w:val="28"/>
          <w:szCs w:val="28"/>
        </w:rPr>
        <w:t>公务用车购置支出</w:t>
      </w:r>
      <w:r>
        <w:rPr>
          <w:rFonts w:hint="eastAsia" w:ascii="宋体" w:hAnsi="宋体" w:eastAsia="宋体" w:cs="宋体"/>
          <w:sz w:val="28"/>
          <w:szCs w:val="28"/>
        </w:rPr>
        <w:t>0万元。全年按规定更新购置公务用车</w:t>
      </w:r>
      <w:r>
        <w:rPr>
          <w:rFonts w:hint="eastAsia" w:ascii="宋体" w:hAnsi="宋体" w:eastAsia="宋体" w:cs="宋体"/>
          <w:sz w:val="28"/>
          <w:szCs w:val="28"/>
          <w:lang w:val="en-US" w:eastAsia="zh-CN"/>
        </w:rPr>
        <w:t>0</w:t>
      </w:r>
      <w:r>
        <w:rPr>
          <w:rFonts w:hint="eastAsia" w:ascii="宋体" w:hAnsi="宋体" w:eastAsia="宋体" w:cs="宋体"/>
          <w:sz w:val="28"/>
          <w:szCs w:val="28"/>
        </w:rPr>
        <w:t>辆，其中：轿车</w:t>
      </w:r>
      <w:r>
        <w:rPr>
          <w:rFonts w:hint="eastAsia" w:ascii="宋体" w:hAnsi="宋体" w:eastAsia="宋体" w:cs="宋体"/>
          <w:sz w:val="28"/>
          <w:szCs w:val="28"/>
          <w:lang w:val="en-US" w:eastAsia="zh-CN"/>
        </w:rPr>
        <w:t>0</w:t>
      </w:r>
      <w:r>
        <w:rPr>
          <w:rFonts w:hint="eastAsia" w:ascii="宋体" w:hAnsi="宋体" w:eastAsia="宋体" w:cs="宋体"/>
          <w:sz w:val="28"/>
          <w:szCs w:val="28"/>
        </w:rPr>
        <w:t>辆、金额</w:t>
      </w:r>
      <w:r>
        <w:rPr>
          <w:rFonts w:hint="eastAsia" w:ascii="宋体" w:hAnsi="宋体" w:eastAsia="宋体" w:cs="宋体"/>
          <w:sz w:val="28"/>
          <w:szCs w:val="28"/>
          <w:lang w:val="en-US" w:eastAsia="zh-CN"/>
        </w:rPr>
        <w:t>0</w:t>
      </w:r>
      <w:r>
        <w:rPr>
          <w:rFonts w:hint="eastAsia" w:ascii="宋体" w:hAnsi="宋体" w:eastAsia="宋体" w:cs="宋体"/>
          <w:sz w:val="28"/>
          <w:szCs w:val="28"/>
        </w:rPr>
        <w:t>万元，越野车</w:t>
      </w:r>
      <w:r>
        <w:rPr>
          <w:rFonts w:hint="eastAsia" w:ascii="宋体" w:hAnsi="宋体" w:eastAsia="宋体" w:cs="宋体"/>
          <w:sz w:val="28"/>
          <w:szCs w:val="28"/>
          <w:lang w:val="en-US" w:eastAsia="zh-CN"/>
        </w:rPr>
        <w:t>0</w:t>
      </w:r>
      <w:r>
        <w:rPr>
          <w:rFonts w:hint="eastAsia" w:ascii="宋体" w:hAnsi="宋体" w:eastAsia="宋体" w:cs="宋体"/>
          <w:sz w:val="28"/>
          <w:szCs w:val="28"/>
        </w:rPr>
        <w:t>辆、金额</w:t>
      </w:r>
      <w:r>
        <w:rPr>
          <w:rFonts w:hint="eastAsia" w:ascii="宋体" w:hAnsi="宋体" w:eastAsia="宋体" w:cs="宋体"/>
          <w:sz w:val="28"/>
          <w:szCs w:val="28"/>
          <w:lang w:val="en-US" w:eastAsia="zh-CN"/>
        </w:rPr>
        <w:t>0</w:t>
      </w:r>
      <w:r>
        <w:rPr>
          <w:rFonts w:hint="eastAsia" w:ascii="宋体" w:hAnsi="宋体" w:eastAsia="宋体" w:cs="宋体"/>
          <w:sz w:val="28"/>
          <w:szCs w:val="28"/>
        </w:rPr>
        <w:t>万元，载客汽车</w:t>
      </w:r>
      <w:r>
        <w:rPr>
          <w:rFonts w:hint="eastAsia" w:ascii="宋体" w:hAnsi="宋体" w:eastAsia="宋体" w:cs="宋体"/>
          <w:sz w:val="28"/>
          <w:szCs w:val="28"/>
          <w:lang w:val="en-US" w:eastAsia="zh-CN"/>
        </w:rPr>
        <w:t>0</w:t>
      </w:r>
      <w:r>
        <w:rPr>
          <w:rFonts w:hint="eastAsia" w:ascii="宋体" w:hAnsi="宋体" w:eastAsia="宋体" w:cs="宋体"/>
          <w:sz w:val="28"/>
          <w:szCs w:val="28"/>
        </w:rPr>
        <w:t>辆、金额</w:t>
      </w:r>
      <w:r>
        <w:rPr>
          <w:rFonts w:hint="eastAsia" w:ascii="宋体" w:hAnsi="宋体" w:eastAsia="宋体" w:cs="宋体"/>
          <w:sz w:val="28"/>
          <w:szCs w:val="28"/>
          <w:lang w:val="en-US" w:eastAsia="zh-CN"/>
        </w:rPr>
        <w:t>0</w:t>
      </w:r>
      <w:r>
        <w:rPr>
          <w:rFonts w:hint="eastAsia" w:ascii="宋体" w:hAnsi="宋体" w:eastAsia="宋体" w:cs="宋体"/>
          <w:sz w:val="28"/>
          <w:szCs w:val="28"/>
        </w:rPr>
        <w:t>万元。截至2023年12月31日，单位共有公务用车</w:t>
      </w:r>
      <w:r>
        <w:rPr>
          <w:rFonts w:hint="eastAsia" w:ascii="宋体" w:hAnsi="宋体" w:eastAsia="宋体" w:cs="宋体"/>
          <w:sz w:val="28"/>
          <w:szCs w:val="28"/>
          <w:lang w:val="en-US" w:eastAsia="zh-CN"/>
        </w:rPr>
        <w:t>1</w:t>
      </w:r>
      <w:r>
        <w:rPr>
          <w:rFonts w:hint="eastAsia" w:ascii="宋体" w:hAnsi="宋体" w:eastAsia="宋体" w:cs="宋体"/>
          <w:sz w:val="28"/>
          <w:szCs w:val="28"/>
        </w:rPr>
        <w:t>辆，其中：轿车</w:t>
      </w:r>
      <w:r>
        <w:rPr>
          <w:rFonts w:hint="eastAsia" w:ascii="宋体" w:hAnsi="宋体" w:eastAsia="宋体" w:cs="宋体"/>
          <w:sz w:val="28"/>
          <w:szCs w:val="28"/>
          <w:lang w:val="en-US" w:eastAsia="zh-CN"/>
        </w:rPr>
        <w:t>0</w:t>
      </w:r>
      <w:r>
        <w:rPr>
          <w:rFonts w:hint="eastAsia" w:ascii="宋体" w:hAnsi="宋体" w:eastAsia="宋体" w:cs="宋体"/>
          <w:sz w:val="28"/>
          <w:szCs w:val="28"/>
        </w:rPr>
        <w:t>辆、越野车</w:t>
      </w:r>
      <w:r>
        <w:rPr>
          <w:rFonts w:hint="eastAsia" w:ascii="宋体" w:hAnsi="宋体" w:eastAsia="宋体" w:cs="宋体"/>
          <w:sz w:val="28"/>
          <w:szCs w:val="28"/>
          <w:lang w:val="en-US" w:eastAsia="zh-CN"/>
        </w:rPr>
        <w:t>0</w:t>
      </w:r>
      <w:r>
        <w:rPr>
          <w:rFonts w:hint="eastAsia" w:ascii="宋体" w:hAnsi="宋体" w:eastAsia="宋体" w:cs="宋体"/>
          <w:sz w:val="28"/>
          <w:szCs w:val="28"/>
        </w:rPr>
        <w:t>辆、载客汽车</w:t>
      </w:r>
      <w:r>
        <w:rPr>
          <w:rFonts w:hint="eastAsia" w:ascii="宋体" w:hAnsi="宋体" w:eastAsia="宋体" w:cs="宋体"/>
          <w:sz w:val="28"/>
          <w:szCs w:val="28"/>
          <w:lang w:val="en-US" w:eastAsia="zh-CN"/>
        </w:rPr>
        <w:t>0</w:t>
      </w:r>
      <w:r>
        <w:rPr>
          <w:rFonts w:hint="eastAsia" w:ascii="宋体" w:hAnsi="宋体" w:eastAsia="宋体" w:cs="宋体"/>
          <w:sz w:val="28"/>
          <w:szCs w:val="28"/>
        </w:rPr>
        <w:t>辆。</w:t>
      </w:r>
    </w:p>
    <w:p w14:paraId="4250DB9C">
      <w:pPr>
        <w:keepNext/>
        <w:keepLines/>
        <w:pageBreakBefore w:val="0"/>
        <w:widowControl w:val="0"/>
        <w:kinsoku/>
        <w:wordWrap/>
        <w:overflowPunct/>
        <w:topLinePunct w:val="0"/>
        <w:autoSpaceDE/>
        <w:autoSpaceDN/>
        <w:bidi w:val="0"/>
        <w:adjustRightInd/>
        <w:snapToGrid/>
        <w:spacing w:line="600" w:lineRule="exact"/>
        <w:ind w:firstLine="643"/>
        <w:jc w:val="both"/>
        <w:textAlignment w:val="auto"/>
        <w:rPr>
          <w:rFonts w:hint="eastAsia" w:ascii="宋体" w:hAnsi="宋体" w:eastAsia="宋体" w:cs="宋体"/>
          <w:color w:val="000000"/>
          <w:kern w:val="2"/>
          <w:sz w:val="28"/>
          <w:szCs w:val="28"/>
          <w:highlight w:val="none"/>
          <w:lang w:val="zh-CN"/>
        </w:rPr>
      </w:pPr>
      <w:r>
        <w:rPr>
          <w:rFonts w:hint="eastAsia" w:ascii="宋体" w:hAnsi="宋体" w:eastAsia="宋体" w:cs="宋体"/>
          <w:b/>
          <w:sz w:val="28"/>
          <w:szCs w:val="28"/>
        </w:rPr>
        <w:t>公务用车运行维护费支出</w:t>
      </w:r>
      <w:r>
        <w:rPr>
          <w:rFonts w:hint="eastAsia" w:ascii="宋体" w:hAnsi="宋体" w:eastAsia="宋体" w:cs="宋体"/>
          <w:sz w:val="28"/>
          <w:szCs w:val="28"/>
        </w:rPr>
        <w:t>1.98万元。</w:t>
      </w:r>
      <w:r>
        <w:rPr>
          <w:rFonts w:hint="eastAsia" w:ascii="宋体" w:hAnsi="宋体" w:eastAsia="宋体" w:cs="宋体"/>
          <w:color w:val="000000"/>
          <w:kern w:val="2"/>
          <w:sz w:val="28"/>
          <w:szCs w:val="28"/>
          <w:highlight w:val="none"/>
          <w:lang w:val="zh-CN"/>
        </w:rPr>
        <w:t>主要用于</w:t>
      </w:r>
      <w:r>
        <w:rPr>
          <w:rFonts w:hint="eastAsia" w:ascii="宋体" w:hAnsi="宋体" w:eastAsia="宋体" w:cs="宋体"/>
          <w:color w:val="000000"/>
          <w:kern w:val="2"/>
          <w:sz w:val="28"/>
          <w:szCs w:val="28"/>
          <w:highlight w:val="none"/>
          <w:lang w:val="en-US" w:eastAsia="zh-CN"/>
        </w:rPr>
        <w:t>工业园区招商引资、</w:t>
      </w:r>
      <w:r>
        <w:rPr>
          <w:rFonts w:hint="eastAsia" w:ascii="宋体" w:hAnsi="宋体" w:eastAsia="宋体" w:cs="宋体"/>
          <w:color w:val="000000"/>
          <w:sz w:val="28"/>
          <w:szCs w:val="28"/>
          <w:highlight w:val="none"/>
        </w:rPr>
        <w:t>协调投资项目的审批或报批,负责承接东部产业转移工作</w:t>
      </w:r>
      <w:r>
        <w:rPr>
          <w:rFonts w:hint="eastAsia" w:ascii="宋体" w:hAnsi="宋体" w:eastAsia="宋体" w:cs="宋体"/>
          <w:color w:val="000000"/>
          <w:sz w:val="28"/>
          <w:szCs w:val="28"/>
          <w:highlight w:val="none"/>
          <w:lang w:eastAsia="zh-CN"/>
        </w:rPr>
        <w:t>，</w:t>
      </w:r>
      <w:r>
        <w:rPr>
          <w:rFonts w:hint="eastAsia" w:ascii="宋体" w:hAnsi="宋体" w:eastAsia="宋体" w:cs="宋体"/>
          <w:color w:val="000000"/>
          <w:sz w:val="28"/>
          <w:szCs w:val="28"/>
          <w:highlight w:val="none"/>
        </w:rPr>
        <w:t>协调办理园区环境影响评价、企业登记注册等手续,协调、配合做好集中区内项目用地、拆迁安置、基础设施建设等工作</w:t>
      </w:r>
      <w:r>
        <w:rPr>
          <w:rFonts w:hint="eastAsia" w:ascii="宋体" w:hAnsi="宋体" w:eastAsia="宋体" w:cs="宋体"/>
          <w:color w:val="000000"/>
          <w:kern w:val="2"/>
          <w:sz w:val="28"/>
          <w:szCs w:val="28"/>
          <w:highlight w:val="none"/>
          <w:lang w:val="zh-CN"/>
        </w:rPr>
        <w:t>所需的公务用车燃料费、维修费、过路过桥费、保险费等支出。</w:t>
      </w:r>
    </w:p>
    <w:p w14:paraId="469D0FE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3.公务接待费支出</w:t>
      </w:r>
      <w:r>
        <w:rPr>
          <w:rFonts w:hint="eastAsia" w:ascii="宋体" w:hAnsi="宋体" w:eastAsia="宋体" w:cs="宋体"/>
          <w:sz w:val="28"/>
          <w:szCs w:val="28"/>
        </w:rPr>
        <w:t>0万元，</w:t>
      </w:r>
      <w:r>
        <w:rPr>
          <w:rStyle w:val="19"/>
          <w:rFonts w:hint="eastAsia" w:ascii="宋体" w:hAnsi="宋体" w:eastAsia="宋体" w:cs="宋体"/>
          <w:b w:val="0"/>
          <w:bCs/>
          <w:sz w:val="28"/>
          <w:szCs w:val="28"/>
        </w:rPr>
        <w:t>完成预算</w:t>
      </w:r>
      <w:r>
        <w:rPr>
          <w:rFonts w:hint="eastAsia" w:ascii="宋体" w:hAnsi="宋体" w:eastAsia="宋体" w:cs="宋体"/>
          <w:sz w:val="28"/>
          <w:szCs w:val="28"/>
        </w:rPr>
        <w:t>0%</w:t>
      </w:r>
      <w:r>
        <w:rPr>
          <w:rStyle w:val="19"/>
          <w:rFonts w:hint="eastAsia" w:ascii="宋体" w:hAnsi="宋体" w:eastAsia="宋体" w:cs="宋体"/>
          <w:b w:val="0"/>
          <w:bCs/>
          <w:sz w:val="28"/>
          <w:szCs w:val="28"/>
        </w:rPr>
        <w:t>。</w:t>
      </w:r>
      <w:r>
        <w:rPr>
          <w:rFonts w:hint="eastAsia" w:ascii="宋体" w:hAnsi="宋体" w:eastAsia="宋体" w:cs="宋体"/>
          <w:sz w:val="28"/>
          <w:szCs w:val="28"/>
        </w:rPr>
        <w:t>公务接待费支出决算比2022年度减少</w:t>
      </w:r>
      <w:r>
        <w:rPr>
          <w:rFonts w:hint="eastAsia" w:ascii="宋体" w:hAnsi="宋体" w:eastAsia="宋体" w:cs="宋体"/>
          <w:sz w:val="28"/>
          <w:szCs w:val="28"/>
          <w:lang w:val="en-US" w:eastAsia="zh-CN"/>
        </w:rPr>
        <w:t>0.48</w:t>
      </w:r>
      <w:r>
        <w:rPr>
          <w:rFonts w:hint="eastAsia" w:ascii="宋体" w:hAnsi="宋体" w:eastAsia="宋体" w:cs="宋体"/>
          <w:sz w:val="28"/>
          <w:szCs w:val="28"/>
        </w:rPr>
        <w:t>万元，下降</w:t>
      </w:r>
      <w:r>
        <w:rPr>
          <w:rFonts w:hint="eastAsia" w:ascii="宋体" w:hAnsi="宋体" w:eastAsia="宋体" w:cs="宋体"/>
          <w:sz w:val="28"/>
          <w:szCs w:val="28"/>
          <w:lang w:val="en-US" w:eastAsia="zh-CN"/>
        </w:rPr>
        <w:t>100</w:t>
      </w:r>
      <w:r>
        <w:rPr>
          <w:rFonts w:hint="eastAsia" w:ascii="宋体" w:hAnsi="宋体" w:eastAsia="宋体" w:cs="宋体"/>
          <w:sz w:val="28"/>
          <w:szCs w:val="28"/>
        </w:rPr>
        <w:t>%。</w:t>
      </w:r>
      <w:r>
        <w:rPr>
          <w:rFonts w:hint="eastAsia" w:ascii="宋体" w:hAnsi="宋体" w:eastAsia="宋体" w:cs="宋体"/>
          <w:color w:val="000000"/>
          <w:kern w:val="2"/>
          <w:sz w:val="28"/>
          <w:szCs w:val="28"/>
          <w:highlight w:val="none"/>
          <w:lang w:val="zh-CN"/>
        </w:rPr>
        <w:t>主要原因是</w:t>
      </w:r>
      <w:r>
        <w:rPr>
          <w:rFonts w:hint="eastAsia" w:ascii="宋体" w:hAnsi="宋体" w:eastAsia="宋体" w:cs="宋体"/>
          <w:color w:val="000000"/>
          <w:kern w:val="2"/>
          <w:sz w:val="28"/>
          <w:szCs w:val="28"/>
          <w:highlight w:val="none"/>
          <w:lang w:val="en-US" w:eastAsia="zh-CN"/>
        </w:rPr>
        <w:t>本部门厉行节约，减少公务接待费支出</w:t>
      </w:r>
      <w:r>
        <w:rPr>
          <w:rFonts w:hint="eastAsia" w:ascii="宋体" w:hAnsi="宋体" w:eastAsia="宋体" w:cs="宋体"/>
          <w:sz w:val="28"/>
          <w:szCs w:val="28"/>
        </w:rPr>
        <w:t>。</w:t>
      </w:r>
    </w:p>
    <w:p w14:paraId="52C401AF">
      <w:pPr>
        <w:pageBreakBefore w:val="0"/>
        <w:widowControl w:val="0"/>
        <w:kinsoku/>
        <w:wordWrap/>
        <w:overflowPunct/>
        <w:topLinePunct w:val="0"/>
        <w:autoSpaceDE/>
        <w:autoSpaceDN/>
        <w:bidi w:val="0"/>
        <w:adjustRightInd/>
        <w:snapToGrid/>
        <w:spacing w:line="600" w:lineRule="exact"/>
        <w:ind w:firstLine="640"/>
        <w:textAlignment w:val="auto"/>
        <w:rPr>
          <w:rFonts w:hint="eastAsia" w:ascii="宋体" w:hAnsi="宋体" w:eastAsia="宋体" w:cs="宋体"/>
          <w:sz w:val="28"/>
          <w:szCs w:val="28"/>
          <w:lang w:eastAsia="zh-CN"/>
        </w:rPr>
      </w:pPr>
      <w:r>
        <w:rPr>
          <w:rFonts w:hint="eastAsia" w:ascii="宋体" w:hAnsi="宋体" w:eastAsia="宋体" w:cs="宋体"/>
          <w:b/>
          <w:sz w:val="28"/>
          <w:szCs w:val="28"/>
        </w:rPr>
        <w:t>国内公务接待支出</w:t>
      </w:r>
      <w:r>
        <w:rPr>
          <w:rFonts w:hint="eastAsia" w:ascii="宋体" w:hAnsi="宋体" w:eastAsia="宋体" w:cs="宋体"/>
          <w:b/>
          <w:sz w:val="28"/>
          <w:szCs w:val="28"/>
          <w:lang w:val="en-US" w:eastAsia="zh-CN"/>
        </w:rPr>
        <w:t>0</w:t>
      </w:r>
      <w:r>
        <w:rPr>
          <w:rFonts w:hint="eastAsia" w:ascii="宋体" w:hAnsi="宋体" w:eastAsia="宋体" w:cs="宋体"/>
          <w:sz w:val="28"/>
          <w:szCs w:val="28"/>
        </w:rPr>
        <w:t>万元，国内公务接待</w:t>
      </w:r>
      <w:r>
        <w:rPr>
          <w:rFonts w:hint="eastAsia" w:ascii="宋体" w:hAnsi="宋体" w:eastAsia="宋体" w:cs="宋体"/>
          <w:sz w:val="28"/>
          <w:szCs w:val="28"/>
          <w:lang w:val="en-US" w:eastAsia="zh-CN"/>
        </w:rPr>
        <w:t>0</w:t>
      </w:r>
      <w:r>
        <w:rPr>
          <w:rFonts w:hint="eastAsia" w:ascii="宋体" w:hAnsi="宋体" w:eastAsia="宋体" w:cs="宋体"/>
          <w:sz w:val="28"/>
          <w:szCs w:val="28"/>
        </w:rPr>
        <w:t>批次，</w:t>
      </w:r>
      <w:r>
        <w:rPr>
          <w:rFonts w:hint="eastAsia" w:ascii="宋体" w:hAnsi="宋体" w:eastAsia="宋体" w:cs="宋体"/>
          <w:sz w:val="28"/>
          <w:szCs w:val="28"/>
          <w:lang w:val="en-US" w:eastAsia="zh-CN"/>
        </w:rPr>
        <w:t>0</w:t>
      </w:r>
      <w:r>
        <w:rPr>
          <w:rFonts w:hint="eastAsia" w:ascii="宋体" w:hAnsi="宋体" w:eastAsia="宋体" w:cs="宋体"/>
          <w:sz w:val="28"/>
          <w:szCs w:val="28"/>
        </w:rPr>
        <w:t>人次（不包括陪同人员），共计支出</w:t>
      </w:r>
      <w:r>
        <w:rPr>
          <w:rFonts w:hint="eastAsia" w:ascii="宋体" w:hAnsi="宋体" w:eastAsia="宋体" w:cs="宋体"/>
          <w:sz w:val="28"/>
          <w:szCs w:val="28"/>
          <w:lang w:val="en-US" w:eastAsia="zh-CN"/>
        </w:rPr>
        <w:t>0</w:t>
      </w:r>
      <w:r>
        <w:rPr>
          <w:rFonts w:hint="eastAsia" w:ascii="宋体" w:hAnsi="宋体" w:eastAsia="宋体" w:cs="宋体"/>
          <w:sz w:val="28"/>
          <w:szCs w:val="28"/>
        </w:rPr>
        <w:t>万元</w:t>
      </w:r>
      <w:r>
        <w:rPr>
          <w:rFonts w:hint="eastAsia" w:ascii="宋体" w:hAnsi="宋体" w:eastAsia="宋体" w:cs="宋体"/>
          <w:sz w:val="28"/>
          <w:szCs w:val="28"/>
          <w:lang w:eastAsia="zh-CN"/>
        </w:rPr>
        <w:t>。</w:t>
      </w:r>
    </w:p>
    <w:p w14:paraId="59F2E68D">
      <w:pPr>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外事接待支出</w:t>
      </w:r>
      <w:r>
        <w:rPr>
          <w:rFonts w:hint="eastAsia" w:ascii="宋体" w:hAnsi="宋体" w:eastAsia="宋体" w:cs="宋体"/>
          <w:b/>
          <w:sz w:val="28"/>
          <w:szCs w:val="28"/>
          <w:lang w:val="en-US" w:eastAsia="zh-CN"/>
        </w:rPr>
        <w:t>0</w:t>
      </w:r>
      <w:r>
        <w:rPr>
          <w:rFonts w:hint="eastAsia" w:ascii="宋体" w:hAnsi="宋体" w:eastAsia="宋体" w:cs="宋体"/>
          <w:sz w:val="28"/>
          <w:szCs w:val="28"/>
        </w:rPr>
        <w:t>万元。外事接待</w:t>
      </w:r>
      <w:r>
        <w:rPr>
          <w:rFonts w:hint="eastAsia" w:ascii="宋体" w:hAnsi="宋体" w:eastAsia="宋体" w:cs="宋体"/>
          <w:sz w:val="28"/>
          <w:szCs w:val="28"/>
          <w:lang w:val="en-US" w:eastAsia="zh-CN"/>
        </w:rPr>
        <w:t>0</w:t>
      </w:r>
      <w:r>
        <w:rPr>
          <w:rFonts w:hint="eastAsia" w:ascii="宋体" w:hAnsi="宋体" w:eastAsia="宋体" w:cs="宋体"/>
          <w:sz w:val="28"/>
          <w:szCs w:val="28"/>
        </w:rPr>
        <w:t>批次，</w:t>
      </w:r>
      <w:r>
        <w:rPr>
          <w:rFonts w:hint="eastAsia" w:ascii="宋体" w:hAnsi="宋体" w:eastAsia="宋体" w:cs="宋体"/>
          <w:sz w:val="28"/>
          <w:szCs w:val="28"/>
          <w:lang w:val="en-US" w:eastAsia="zh-CN"/>
        </w:rPr>
        <w:t>0</w:t>
      </w:r>
      <w:r>
        <w:rPr>
          <w:rFonts w:hint="eastAsia" w:ascii="宋体" w:hAnsi="宋体" w:eastAsia="宋体" w:cs="宋体"/>
          <w:sz w:val="28"/>
          <w:szCs w:val="28"/>
        </w:rPr>
        <w:t>人次（不包括陪同人员），共计支出</w:t>
      </w:r>
      <w:r>
        <w:rPr>
          <w:rFonts w:hint="eastAsia" w:ascii="宋体" w:hAnsi="宋体" w:eastAsia="宋体" w:cs="宋体"/>
          <w:sz w:val="28"/>
          <w:szCs w:val="28"/>
          <w:lang w:val="en-US" w:eastAsia="zh-CN"/>
        </w:rPr>
        <w:t>0</w:t>
      </w:r>
      <w:r>
        <w:rPr>
          <w:rFonts w:hint="eastAsia" w:ascii="宋体" w:hAnsi="宋体" w:eastAsia="宋体" w:cs="宋体"/>
          <w:sz w:val="28"/>
          <w:szCs w:val="28"/>
        </w:rPr>
        <w:t>万元。</w:t>
      </w:r>
    </w:p>
    <w:p w14:paraId="69E9C8BD">
      <w:pPr>
        <w:pageBreakBefore w:val="0"/>
        <w:widowControl w:val="0"/>
        <w:kinsoku/>
        <w:wordWrap/>
        <w:overflowPunct/>
        <w:topLinePunct w:val="0"/>
        <w:autoSpaceDE/>
        <w:autoSpaceDN/>
        <w:bidi w:val="0"/>
        <w:adjustRightInd/>
        <w:snapToGrid/>
        <w:spacing w:line="600" w:lineRule="exact"/>
        <w:ind w:firstLine="640"/>
        <w:textAlignment w:val="auto"/>
        <w:outlineLvl w:val="1"/>
        <w:rPr>
          <w:rFonts w:hint="eastAsia" w:ascii="宋体" w:hAnsi="宋体" w:eastAsia="宋体" w:cs="宋体"/>
          <w:sz w:val="28"/>
          <w:szCs w:val="28"/>
        </w:rPr>
      </w:pPr>
      <w:bookmarkStart w:id="40" w:name="_Toc15377218"/>
      <w:bookmarkStart w:id="41" w:name="_Toc15396610"/>
    </w:p>
    <w:p w14:paraId="3BEB345C">
      <w:pPr>
        <w:spacing w:line="600" w:lineRule="exact"/>
        <w:ind w:firstLine="640"/>
        <w:outlineLvl w:val="1"/>
        <w:rPr>
          <w:rStyle w:val="31"/>
          <w:rFonts w:hint="eastAsia" w:ascii="宋体" w:hAnsi="宋体" w:eastAsia="宋体" w:cs="宋体"/>
          <w:b/>
          <w:bCs/>
          <w:sz w:val="32"/>
          <w:szCs w:val="32"/>
        </w:rPr>
      </w:pPr>
      <w:r>
        <w:rPr>
          <w:rFonts w:hint="eastAsia" w:ascii="宋体" w:hAnsi="宋体" w:eastAsia="宋体" w:cs="宋体"/>
          <w:b/>
          <w:bCs/>
          <w:sz w:val="32"/>
          <w:szCs w:val="32"/>
        </w:rPr>
        <w:t>八、</w:t>
      </w:r>
      <w:r>
        <w:rPr>
          <w:rStyle w:val="31"/>
          <w:rFonts w:hint="eastAsia" w:ascii="宋体" w:hAnsi="宋体" w:eastAsia="宋体" w:cs="宋体"/>
          <w:b/>
          <w:bCs/>
          <w:sz w:val="32"/>
          <w:szCs w:val="32"/>
        </w:rPr>
        <w:t>政府性基金预算支出决算情况说明</w:t>
      </w:r>
      <w:bookmarkEnd w:id="40"/>
      <w:bookmarkEnd w:id="41"/>
    </w:p>
    <w:p w14:paraId="2B050792">
      <w:pPr>
        <w:spacing w:line="600" w:lineRule="exact"/>
        <w:ind w:firstLine="640"/>
        <w:rPr>
          <w:rFonts w:hint="eastAsia" w:ascii="宋体" w:hAnsi="宋体" w:eastAsia="宋体" w:cs="宋体"/>
          <w:sz w:val="28"/>
          <w:szCs w:val="28"/>
        </w:rPr>
      </w:pPr>
      <w:r>
        <w:rPr>
          <w:rFonts w:hint="eastAsia" w:ascii="宋体" w:hAnsi="宋体" w:eastAsia="宋体" w:cs="宋体"/>
          <w:sz w:val="28"/>
          <w:szCs w:val="28"/>
        </w:rPr>
        <w:t>2023年度政府性基金预算财政拨款支出126086.61万元。</w:t>
      </w:r>
    </w:p>
    <w:p w14:paraId="2E77D89D">
      <w:pPr>
        <w:numPr>
          <w:ilvl w:val="0"/>
          <w:numId w:val="0"/>
        </w:numPr>
        <w:spacing w:line="600" w:lineRule="exact"/>
        <w:ind w:firstLine="640" w:firstLineChars="0"/>
        <w:outlineLvl w:val="1"/>
        <w:rPr>
          <w:rStyle w:val="31"/>
          <w:rFonts w:hint="eastAsia" w:ascii="宋体" w:hAnsi="宋体" w:eastAsia="宋体" w:cs="宋体"/>
          <w:b/>
          <w:bCs w:val="0"/>
          <w:sz w:val="32"/>
          <w:szCs w:val="32"/>
        </w:rPr>
      </w:pPr>
      <w:bookmarkStart w:id="42" w:name="_Toc15396611"/>
      <w:bookmarkStart w:id="43" w:name="_Toc15377219"/>
      <w:r>
        <w:rPr>
          <w:rFonts w:hint="eastAsia" w:ascii="宋体" w:hAnsi="宋体" w:eastAsia="宋体" w:cs="宋体"/>
          <w:b/>
          <w:bCs w:val="0"/>
          <w:kern w:val="2"/>
          <w:sz w:val="32"/>
          <w:szCs w:val="32"/>
          <w:lang w:val="en-US" w:eastAsia="zh-CN" w:bidi="ar-SA"/>
        </w:rPr>
        <w:t>九、</w:t>
      </w:r>
      <w:r>
        <w:rPr>
          <w:rStyle w:val="31"/>
          <w:rFonts w:hint="eastAsia" w:ascii="宋体" w:hAnsi="宋体" w:eastAsia="宋体" w:cs="宋体"/>
          <w:b/>
          <w:bCs w:val="0"/>
          <w:sz w:val="32"/>
          <w:szCs w:val="32"/>
        </w:rPr>
        <w:t>国有资本经营预算支出决算情况说明</w:t>
      </w:r>
      <w:bookmarkEnd w:id="42"/>
      <w:bookmarkEnd w:id="43"/>
    </w:p>
    <w:p w14:paraId="33618B0A">
      <w:pPr>
        <w:spacing w:line="600" w:lineRule="exact"/>
        <w:ind w:firstLine="640"/>
        <w:rPr>
          <w:rFonts w:hint="eastAsia" w:ascii="宋体" w:hAnsi="宋体" w:eastAsia="宋体" w:cs="宋体"/>
          <w:sz w:val="28"/>
          <w:szCs w:val="28"/>
        </w:rPr>
      </w:pPr>
      <w:r>
        <w:rPr>
          <w:rFonts w:hint="eastAsia" w:ascii="宋体" w:hAnsi="宋体" w:eastAsia="宋体" w:cs="宋体"/>
          <w:sz w:val="28"/>
          <w:szCs w:val="28"/>
        </w:rPr>
        <w:t>2023年度国有资本经营预算财政拨款支出0万元。</w:t>
      </w:r>
    </w:p>
    <w:p w14:paraId="59ADA412">
      <w:pPr>
        <w:numPr>
          <w:ilvl w:val="0"/>
          <w:numId w:val="0"/>
        </w:numPr>
        <w:spacing w:line="600" w:lineRule="exact"/>
        <w:ind w:firstLine="640" w:firstLineChars="0"/>
        <w:outlineLvl w:val="1"/>
        <w:rPr>
          <w:rStyle w:val="31"/>
          <w:rFonts w:hint="eastAsia" w:ascii="宋体" w:hAnsi="宋体" w:eastAsia="宋体" w:cs="宋体"/>
          <w:b/>
          <w:bCs w:val="0"/>
          <w:sz w:val="32"/>
          <w:szCs w:val="32"/>
        </w:rPr>
      </w:pPr>
      <w:bookmarkStart w:id="44" w:name="_Toc15377221"/>
      <w:bookmarkStart w:id="45" w:name="_Toc15396612"/>
      <w:r>
        <w:rPr>
          <w:rFonts w:hint="eastAsia" w:ascii="宋体" w:hAnsi="宋体" w:eastAsia="宋体" w:cs="宋体"/>
          <w:b/>
          <w:bCs w:val="0"/>
          <w:kern w:val="2"/>
          <w:sz w:val="32"/>
          <w:szCs w:val="32"/>
          <w:lang w:val="en-US" w:eastAsia="zh-CN" w:bidi="ar-SA"/>
        </w:rPr>
        <w:t>十、</w:t>
      </w:r>
      <w:r>
        <w:rPr>
          <w:rStyle w:val="31"/>
          <w:rFonts w:hint="eastAsia" w:ascii="宋体" w:hAnsi="宋体" w:eastAsia="宋体" w:cs="宋体"/>
          <w:b/>
          <w:bCs w:val="0"/>
          <w:sz w:val="32"/>
          <w:szCs w:val="32"/>
        </w:rPr>
        <w:t>其他重要事项的情况说明</w:t>
      </w:r>
      <w:bookmarkEnd w:id="44"/>
      <w:bookmarkEnd w:id="45"/>
    </w:p>
    <w:p w14:paraId="614BF44A">
      <w:pPr>
        <w:keepNext w:val="0"/>
        <w:keepLines w:val="0"/>
        <w:pageBreakBefore w:val="0"/>
        <w:widowControl w:val="0"/>
        <w:kinsoku/>
        <w:wordWrap/>
        <w:overflowPunct/>
        <w:topLinePunct w:val="0"/>
        <w:bidi w:val="0"/>
        <w:snapToGrid/>
        <w:spacing w:line="600" w:lineRule="exact"/>
        <w:ind w:firstLine="562" w:firstLineChars="200"/>
        <w:textAlignment w:val="auto"/>
        <w:outlineLvl w:val="2"/>
        <w:rPr>
          <w:rFonts w:hint="eastAsia" w:ascii="宋体" w:hAnsi="宋体" w:eastAsia="宋体" w:cs="宋体"/>
          <w:sz w:val="28"/>
          <w:szCs w:val="28"/>
        </w:rPr>
      </w:pPr>
      <w:bookmarkStart w:id="46" w:name="_Toc15377222"/>
      <w:r>
        <w:rPr>
          <w:rFonts w:hint="eastAsia" w:ascii="宋体" w:hAnsi="宋体" w:eastAsia="宋体" w:cs="宋体"/>
          <w:b/>
          <w:sz w:val="28"/>
          <w:szCs w:val="28"/>
        </w:rPr>
        <w:t>（一）机关运行经费支出情况</w:t>
      </w:r>
      <w:bookmarkEnd w:id="46"/>
    </w:p>
    <w:p w14:paraId="58BC970A">
      <w:pPr>
        <w:keepNext w:val="0"/>
        <w:keepLines w:val="0"/>
        <w:pageBreakBefore w:val="0"/>
        <w:widowControl w:val="0"/>
        <w:kinsoku/>
        <w:wordWrap/>
        <w:overflowPunct/>
        <w:topLinePunct w:val="0"/>
        <w:bidi w:val="0"/>
        <w:snapToGrid/>
        <w:spacing w:line="600" w:lineRule="exact"/>
        <w:ind w:firstLine="560" w:firstLineChars="200"/>
        <w:jc w:val="both"/>
        <w:textAlignment w:val="auto"/>
        <w:rPr>
          <w:rFonts w:hint="eastAsia" w:ascii="宋体" w:hAnsi="宋体" w:eastAsia="宋体" w:cs="宋体"/>
          <w:color w:val="000000"/>
          <w:kern w:val="2"/>
          <w:sz w:val="28"/>
          <w:szCs w:val="28"/>
          <w:lang w:val="zh-CN"/>
        </w:rPr>
      </w:pPr>
      <w:r>
        <w:rPr>
          <w:rFonts w:hint="eastAsia" w:ascii="宋体" w:hAnsi="宋体" w:eastAsia="宋体" w:cs="宋体"/>
          <w:sz w:val="28"/>
          <w:szCs w:val="28"/>
        </w:rPr>
        <w:t>2023年度，四川五通桥经济开发区管理委员会机关运行经费支出36.22万元，比2022年度增加</w:t>
      </w:r>
      <w:r>
        <w:rPr>
          <w:rFonts w:hint="eastAsia" w:ascii="宋体" w:hAnsi="宋体" w:eastAsia="宋体" w:cs="宋体"/>
          <w:sz w:val="28"/>
          <w:szCs w:val="28"/>
          <w:lang w:val="en-US" w:eastAsia="zh-CN"/>
        </w:rPr>
        <w:t>9.21</w:t>
      </w:r>
      <w:r>
        <w:rPr>
          <w:rFonts w:hint="eastAsia" w:ascii="宋体" w:hAnsi="宋体" w:eastAsia="宋体" w:cs="宋体"/>
          <w:sz w:val="28"/>
          <w:szCs w:val="28"/>
        </w:rPr>
        <w:t>万元，增长</w:t>
      </w:r>
      <w:r>
        <w:rPr>
          <w:rFonts w:hint="eastAsia" w:ascii="宋体" w:hAnsi="宋体" w:eastAsia="宋体" w:cs="宋体"/>
          <w:sz w:val="28"/>
          <w:szCs w:val="28"/>
          <w:lang w:val="en-US" w:eastAsia="zh-CN"/>
        </w:rPr>
        <w:t>34</w:t>
      </w:r>
      <w:r>
        <w:rPr>
          <w:rFonts w:hint="eastAsia" w:ascii="宋体" w:hAnsi="宋体" w:eastAsia="宋体" w:cs="宋体"/>
          <w:sz w:val="28"/>
          <w:szCs w:val="28"/>
        </w:rPr>
        <w:t>%</w:t>
      </w:r>
      <w:r>
        <w:rPr>
          <w:rFonts w:hint="eastAsia" w:ascii="宋体" w:hAnsi="宋体" w:eastAsia="宋体" w:cs="宋体"/>
          <w:sz w:val="28"/>
          <w:szCs w:val="28"/>
          <w:lang w:eastAsia="zh-CN"/>
        </w:rPr>
        <w:t>，</w:t>
      </w:r>
      <w:r>
        <w:rPr>
          <w:rFonts w:hint="eastAsia" w:ascii="宋体" w:hAnsi="宋体" w:eastAsia="宋体" w:cs="宋体"/>
          <w:color w:val="000000"/>
          <w:kern w:val="2"/>
          <w:sz w:val="28"/>
          <w:szCs w:val="28"/>
          <w:lang w:val="zh-CN"/>
        </w:rPr>
        <w:t>主要原因是</w:t>
      </w:r>
      <w:r>
        <w:rPr>
          <w:rFonts w:hint="eastAsia" w:ascii="宋体" w:hAnsi="宋体" w:eastAsia="宋体" w:cs="宋体"/>
          <w:color w:val="000000"/>
          <w:kern w:val="2"/>
          <w:sz w:val="28"/>
          <w:szCs w:val="28"/>
          <w:highlight w:val="none"/>
          <w:lang w:val="zh-CN"/>
        </w:rPr>
        <w:t>办公费</w:t>
      </w:r>
      <w:r>
        <w:rPr>
          <w:rFonts w:hint="eastAsia" w:ascii="宋体" w:hAnsi="宋体" w:eastAsia="宋体" w:cs="宋体"/>
          <w:color w:val="000000"/>
          <w:kern w:val="2"/>
          <w:sz w:val="28"/>
          <w:szCs w:val="28"/>
          <w:highlight w:val="none"/>
          <w:lang w:val="en-US" w:eastAsia="zh-CN"/>
        </w:rPr>
        <w:t>增加6.76万元</w:t>
      </w:r>
      <w:r>
        <w:rPr>
          <w:rFonts w:hint="eastAsia" w:ascii="宋体" w:hAnsi="宋体" w:eastAsia="宋体" w:cs="宋体"/>
          <w:color w:val="000000"/>
          <w:kern w:val="2"/>
          <w:sz w:val="28"/>
          <w:szCs w:val="28"/>
          <w:highlight w:val="none"/>
          <w:lang w:val="zh-CN"/>
        </w:rPr>
        <w:t>、印刷费</w:t>
      </w:r>
      <w:r>
        <w:rPr>
          <w:rFonts w:hint="eastAsia" w:ascii="宋体" w:hAnsi="宋体" w:eastAsia="宋体" w:cs="宋体"/>
          <w:color w:val="000000"/>
          <w:kern w:val="2"/>
          <w:sz w:val="28"/>
          <w:szCs w:val="28"/>
          <w:highlight w:val="none"/>
          <w:lang w:val="en-US" w:eastAsia="zh-CN"/>
        </w:rPr>
        <w:t>减少1.09万元、 咨询费增加1万元，水费减少0.30万元、电费减少0.50万元、 邮电费增加0.09万元、物业管理费减少0.02万元，差旅费增加8.31万元、 维修（护）费减少0.03万元，劳务费减少5.51万元、工会经费减少2.15万元、 福利费增加0.8万元、 其他交通费用增加7.93万元、其他商品和服务支出减少6.08万元等所致。</w:t>
      </w:r>
    </w:p>
    <w:p w14:paraId="49486FDA">
      <w:pPr>
        <w:keepNext w:val="0"/>
        <w:keepLines w:val="0"/>
        <w:pageBreakBefore w:val="0"/>
        <w:widowControl w:val="0"/>
        <w:kinsoku/>
        <w:wordWrap/>
        <w:overflowPunct/>
        <w:topLinePunct w:val="0"/>
        <w:autoSpaceDE w:val="0"/>
        <w:autoSpaceDN w:val="0"/>
        <w:bidi w:val="0"/>
        <w:adjustRightInd w:val="0"/>
        <w:snapToGrid/>
        <w:spacing w:line="600" w:lineRule="exact"/>
        <w:ind w:firstLine="562" w:firstLineChars="200"/>
        <w:jc w:val="left"/>
        <w:textAlignment w:val="auto"/>
        <w:outlineLvl w:val="2"/>
        <w:rPr>
          <w:rFonts w:hint="eastAsia" w:ascii="宋体" w:hAnsi="宋体" w:eastAsia="宋体" w:cs="宋体"/>
          <w:b/>
          <w:sz w:val="28"/>
          <w:szCs w:val="28"/>
        </w:rPr>
      </w:pPr>
      <w:bookmarkStart w:id="47" w:name="_Toc15377223"/>
      <w:r>
        <w:rPr>
          <w:rFonts w:hint="eastAsia" w:ascii="宋体" w:hAnsi="宋体" w:eastAsia="宋体" w:cs="宋体"/>
          <w:b/>
          <w:sz w:val="28"/>
          <w:szCs w:val="28"/>
        </w:rPr>
        <w:t>（二）政府采购支出情况</w:t>
      </w:r>
      <w:bookmarkEnd w:id="47"/>
    </w:p>
    <w:p w14:paraId="39B0A1F4">
      <w:pPr>
        <w:keepNext w:val="0"/>
        <w:keepLines w:val="0"/>
        <w:pageBreakBefore w:val="0"/>
        <w:widowControl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2023年度，四川五通桥经济开发区管理委员会政府采购支出总额0万元，其中：政府采购货物支出0万元、政府采购工程支出0万元、政府采购服务支出0万元。主要用于…（具体工作）。授予中小企业合同金额0万元，占政府采购支出总额的0%，其中：授予小微企业合同金额0万元，占政府采购支出总额的0%。</w:t>
      </w:r>
    </w:p>
    <w:p w14:paraId="14C7113E">
      <w:pPr>
        <w:keepNext w:val="0"/>
        <w:keepLines w:val="0"/>
        <w:pageBreakBefore w:val="0"/>
        <w:widowControl w:val="0"/>
        <w:kinsoku/>
        <w:wordWrap/>
        <w:overflowPunct/>
        <w:topLinePunct w:val="0"/>
        <w:autoSpaceDE w:val="0"/>
        <w:autoSpaceDN w:val="0"/>
        <w:bidi w:val="0"/>
        <w:adjustRightInd w:val="0"/>
        <w:snapToGrid/>
        <w:spacing w:line="600" w:lineRule="exact"/>
        <w:ind w:firstLine="562" w:firstLineChars="200"/>
        <w:jc w:val="left"/>
        <w:textAlignment w:val="auto"/>
        <w:outlineLvl w:val="2"/>
        <w:rPr>
          <w:rFonts w:hint="eastAsia" w:ascii="宋体" w:hAnsi="宋体" w:eastAsia="宋体" w:cs="宋体"/>
          <w:b/>
          <w:sz w:val="28"/>
          <w:szCs w:val="28"/>
        </w:rPr>
      </w:pPr>
      <w:bookmarkStart w:id="48" w:name="_Toc15377224"/>
      <w:r>
        <w:rPr>
          <w:rFonts w:hint="eastAsia" w:ascii="宋体" w:hAnsi="宋体" w:eastAsia="宋体" w:cs="宋体"/>
          <w:b/>
          <w:sz w:val="28"/>
          <w:szCs w:val="28"/>
        </w:rPr>
        <w:t>（三）国有资产占有使用情况</w:t>
      </w:r>
      <w:bookmarkEnd w:id="48"/>
    </w:p>
    <w:p w14:paraId="1F2A39B6">
      <w:pPr>
        <w:keepNext w:val="0"/>
        <w:keepLines w:val="0"/>
        <w:pageBreakBefore w:val="0"/>
        <w:widowControl w:val="0"/>
        <w:kinsoku/>
        <w:wordWrap/>
        <w:overflowPunct/>
        <w:topLinePunct w:val="0"/>
        <w:autoSpaceDE w:val="0"/>
        <w:autoSpaceDN w:val="0"/>
        <w:bidi w:val="0"/>
        <w:adjustRightInd w:val="0"/>
        <w:snapToGrid/>
        <w:spacing w:line="600" w:lineRule="exact"/>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截至2023年12月31日，四川五通桥经济开发区管理委员会共有车辆</w:t>
      </w:r>
      <w:r>
        <w:rPr>
          <w:rFonts w:hint="eastAsia" w:ascii="宋体" w:hAnsi="宋体" w:eastAsia="宋体" w:cs="宋体"/>
          <w:sz w:val="28"/>
          <w:szCs w:val="28"/>
          <w:lang w:val="en-US" w:eastAsia="zh-CN"/>
        </w:rPr>
        <w:t>1</w:t>
      </w:r>
      <w:r>
        <w:rPr>
          <w:rFonts w:hint="eastAsia" w:ascii="宋体" w:hAnsi="宋体" w:eastAsia="宋体" w:cs="宋体"/>
          <w:sz w:val="28"/>
          <w:szCs w:val="28"/>
        </w:rPr>
        <w:t>辆，其中：主要领导干部用车</w:t>
      </w:r>
      <w:r>
        <w:rPr>
          <w:rFonts w:hint="eastAsia" w:ascii="宋体" w:hAnsi="宋体" w:eastAsia="宋体" w:cs="宋体"/>
          <w:sz w:val="28"/>
          <w:szCs w:val="28"/>
          <w:lang w:val="en-US" w:eastAsia="zh-CN"/>
        </w:rPr>
        <w:t>0</w:t>
      </w:r>
      <w:r>
        <w:rPr>
          <w:rFonts w:hint="eastAsia" w:ascii="宋体" w:hAnsi="宋体" w:eastAsia="宋体" w:cs="宋体"/>
          <w:sz w:val="28"/>
          <w:szCs w:val="28"/>
        </w:rPr>
        <w:t>辆、机要通信用车</w:t>
      </w:r>
      <w:r>
        <w:rPr>
          <w:rFonts w:hint="eastAsia" w:ascii="宋体" w:hAnsi="宋体" w:eastAsia="宋体" w:cs="宋体"/>
          <w:sz w:val="28"/>
          <w:szCs w:val="28"/>
          <w:lang w:val="en-US" w:eastAsia="zh-CN"/>
        </w:rPr>
        <w:t>0</w:t>
      </w:r>
      <w:r>
        <w:rPr>
          <w:rFonts w:hint="eastAsia" w:ascii="宋体" w:hAnsi="宋体" w:eastAsia="宋体" w:cs="宋体"/>
          <w:sz w:val="28"/>
          <w:szCs w:val="28"/>
        </w:rPr>
        <w:t>辆、应急保障用车</w:t>
      </w:r>
      <w:r>
        <w:rPr>
          <w:rFonts w:hint="eastAsia" w:ascii="宋体" w:hAnsi="宋体" w:eastAsia="宋体" w:cs="宋体"/>
          <w:sz w:val="28"/>
          <w:szCs w:val="28"/>
          <w:lang w:val="en-US" w:eastAsia="zh-CN"/>
        </w:rPr>
        <w:t>0</w:t>
      </w:r>
      <w:r>
        <w:rPr>
          <w:rFonts w:hint="eastAsia" w:ascii="宋体" w:hAnsi="宋体" w:eastAsia="宋体" w:cs="宋体"/>
          <w:sz w:val="28"/>
          <w:szCs w:val="28"/>
        </w:rPr>
        <w:t>辆、其他用车</w:t>
      </w:r>
      <w:r>
        <w:rPr>
          <w:rFonts w:hint="eastAsia" w:ascii="宋体" w:hAnsi="宋体" w:eastAsia="宋体" w:cs="宋体"/>
          <w:sz w:val="28"/>
          <w:szCs w:val="28"/>
          <w:lang w:val="en-US" w:eastAsia="zh-CN"/>
        </w:rPr>
        <w:t>1</w:t>
      </w:r>
      <w:r>
        <w:rPr>
          <w:rFonts w:hint="eastAsia" w:ascii="宋体" w:hAnsi="宋体" w:eastAsia="宋体" w:cs="宋体"/>
          <w:sz w:val="28"/>
          <w:szCs w:val="28"/>
        </w:rPr>
        <w:t>辆，</w:t>
      </w:r>
      <w:r>
        <w:rPr>
          <w:rFonts w:hint="eastAsia" w:ascii="宋体" w:hAnsi="宋体" w:eastAsia="宋体" w:cs="宋体"/>
          <w:color w:val="000000"/>
          <w:kern w:val="2"/>
          <w:sz w:val="28"/>
          <w:szCs w:val="28"/>
          <w:highlight w:val="none"/>
          <w:lang w:val="zh-CN"/>
        </w:rPr>
        <w:t>其他用车主要是用于</w:t>
      </w:r>
      <w:r>
        <w:rPr>
          <w:rFonts w:hint="eastAsia" w:ascii="宋体" w:hAnsi="宋体" w:eastAsia="宋体" w:cs="宋体"/>
          <w:color w:val="000000"/>
          <w:sz w:val="28"/>
          <w:szCs w:val="28"/>
          <w:lang w:val="en-US" w:eastAsia="zh-CN"/>
        </w:rPr>
        <w:t>工业园区</w:t>
      </w:r>
      <w:r>
        <w:rPr>
          <w:rFonts w:hint="eastAsia" w:ascii="宋体" w:hAnsi="宋体" w:eastAsia="宋体" w:cs="宋体"/>
          <w:color w:val="000000"/>
          <w:sz w:val="28"/>
          <w:szCs w:val="28"/>
        </w:rPr>
        <w:t>内招商引资</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协调办理园区环境影响评价、企业登记注册等手续,协调、配合做好集中区内项目用地、拆迁安置、基础设施建设等工作</w:t>
      </w:r>
      <w:r>
        <w:rPr>
          <w:rFonts w:hint="eastAsia" w:ascii="宋体" w:hAnsi="宋体" w:eastAsia="宋体" w:cs="宋体"/>
          <w:sz w:val="28"/>
          <w:szCs w:val="28"/>
        </w:rPr>
        <w:t>。单价100万元以上设备（不含车辆）</w:t>
      </w:r>
      <w:r>
        <w:rPr>
          <w:rFonts w:hint="eastAsia" w:ascii="宋体" w:hAnsi="宋体" w:eastAsia="宋体" w:cs="宋体"/>
          <w:b/>
          <w:sz w:val="28"/>
          <w:szCs w:val="28"/>
        </w:rPr>
        <w:t>0</w:t>
      </w:r>
      <w:r>
        <w:rPr>
          <w:rFonts w:hint="eastAsia" w:ascii="宋体" w:hAnsi="宋体" w:eastAsia="宋体" w:cs="宋体"/>
          <w:sz w:val="28"/>
          <w:szCs w:val="28"/>
        </w:rPr>
        <w:t>台（套）。</w:t>
      </w:r>
    </w:p>
    <w:p w14:paraId="60DC0548">
      <w:pPr>
        <w:autoSpaceDE w:val="0"/>
        <w:autoSpaceDN w:val="0"/>
        <w:adjustRightInd w:val="0"/>
        <w:spacing w:line="600" w:lineRule="exact"/>
        <w:ind w:firstLine="562" w:firstLineChars="200"/>
        <w:jc w:val="left"/>
        <w:rPr>
          <w:rFonts w:hint="eastAsia" w:ascii="宋体" w:hAnsi="宋体" w:eastAsia="宋体" w:cs="宋体"/>
          <w:b/>
          <w:sz w:val="28"/>
          <w:szCs w:val="28"/>
        </w:rPr>
      </w:pPr>
      <w:r>
        <w:rPr>
          <w:rFonts w:hint="eastAsia" w:ascii="宋体" w:hAnsi="宋体" w:eastAsia="宋体" w:cs="宋体"/>
          <w:b/>
          <w:sz w:val="28"/>
          <w:szCs w:val="28"/>
        </w:rPr>
        <w:t>（四）预算绩效管理情况</w:t>
      </w:r>
    </w:p>
    <w:p w14:paraId="48645D04">
      <w:pPr>
        <w:keepNext w:val="0"/>
        <w:keepLines w:val="0"/>
        <w:pageBreakBefore w:val="0"/>
        <w:widowControl/>
        <w:kinsoku/>
        <w:wordWrap/>
        <w:overflowPunct/>
        <w:topLinePunct w:val="0"/>
        <w:bidi w:val="0"/>
        <w:snapToGrid/>
        <w:spacing w:line="560" w:lineRule="exact"/>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根据预算绩效管理要求，本部门在202</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年度预算编制阶段，组织对</w:t>
      </w:r>
      <w:r>
        <w:rPr>
          <w:rFonts w:hint="eastAsia" w:ascii="宋体" w:hAnsi="宋体" w:eastAsia="宋体" w:cs="宋体"/>
          <w:color w:val="auto"/>
          <w:sz w:val="28"/>
          <w:szCs w:val="28"/>
          <w:highlight w:val="none"/>
          <w:lang w:eastAsia="zh-CN"/>
        </w:rPr>
        <w:t>：专项债资本金、退岸入园基础设施建设项目（一期）可研和一案两书、工业园区基建专项债前期综合咨询服务费、2022年省级财政招商引资激励奖补资金、京运通一期项目固定投资奖励、鸿瑞公司搬迁奖励、四川中氟泰华第一批次固投奖、京运通行政事业性收费补贴、四川晶科能源政策兑现、四川晶科能源达产奖、高测20GW光伏大硅片及配套项目发展奖、2022年省级真抓实干成效明显激励资金、四川永祥新能源有限公司相关扶持政策、电价补贴</w:t>
      </w:r>
      <w:r>
        <w:rPr>
          <w:rFonts w:hint="eastAsia" w:ascii="宋体" w:hAnsi="宋体" w:eastAsia="宋体" w:cs="宋体"/>
          <w:color w:val="auto"/>
          <w:sz w:val="28"/>
          <w:szCs w:val="28"/>
          <w:highlight w:val="none"/>
          <w:lang w:val="en-US" w:eastAsia="zh-CN"/>
        </w:rPr>
        <w:t>、盛发公司购电服务费、东西部扶贫协作新型工业基地基础设施建设专项债、新型工业基地园区退岸入园基础设施建设专项债、220KV龙翔输变电新建工程专项债、110千伏红豆输变电新建工程专项债、110千伏楠木湾输变电新建工程专项债、2022年新型工业基地基础设施及配套项目专项债资金、省级化工园区补充项目采购服务编制、省级工业园区申报委托编制采购事项、绿色硅谷路网畅通工程一般债申报资料编报、五通桥区新型工业基地规划水资源论证报告</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val="0"/>
          <w:bCs w:val="0"/>
          <w:color w:val="auto"/>
          <w:sz w:val="28"/>
          <w:szCs w:val="28"/>
          <w:highlight w:val="none"/>
          <w:lang w:val="en-US" w:eastAsia="zh-CN"/>
        </w:rPr>
        <w:t>五通桥新型工业基地景观设计导则、园区总规控规修编、四川五通桥经济开发区发展规划编制服务费、编制绿色低碳优势产业重点园区申报服务项目、云平台建设项目、江边水泵房租赁费、五通桥区工业基地工业供水厂及配套管网项目、五通桥工业基地污水处理厂尾水管网、污水处理厂及配套管网工程（设备采购）、五通桥工业基地污水处理厂（一期）、永祥组团工业废水集中处理管网工程、协鑫场平工程款及相关费用、晶科一、二区临时供水管道加固、晶科宿舍区二区、生活区产品工程、110KV桥高、桥易、桥易线迁改工程、永祥二期土石方二标段工程、经开产投公司运营补贴、中国绿色硅谷路网畅通一般债、单位资金等</w:t>
      </w:r>
      <w:r>
        <w:rPr>
          <w:rFonts w:hint="eastAsia" w:ascii="宋体" w:hAnsi="宋体" w:eastAsia="宋体" w:cs="宋体"/>
          <w:color w:val="auto"/>
          <w:sz w:val="28"/>
          <w:szCs w:val="28"/>
          <w:highlight w:val="none"/>
          <w:lang w:val="en-US" w:eastAsia="zh-CN"/>
        </w:rPr>
        <w:t>45</w:t>
      </w:r>
      <w:r>
        <w:rPr>
          <w:rFonts w:hint="eastAsia" w:ascii="宋体" w:hAnsi="宋体" w:eastAsia="宋体" w:cs="宋体"/>
          <w:color w:val="auto"/>
          <w:sz w:val="28"/>
          <w:szCs w:val="28"/>
          <w:highlight w:val="none"/>
        </w:rPr>
        <w:t>个项目开展了预算事前绩效评估，对</w:t>
      </w:r>
      <w:r>
        <w:rPr>
          <w:rFonts w:hint="eastAsia" w:ascii="宋体" w:hAnsi="宋体" w:eastAsia="宋体" w:cs="宋体"/>
          <w:color w:val="auto"/>
          <w:sz w:val="28"/>
          <w:szCs w:val="28"/>
          <w:highlight w:val="none"/>
          <w:lang w:val="en-US" w:eastAsia="zh-CN"/>
        </w:rPr>
        <w:t>45</w:t>
      </w:r>
      <w:r>
        <w:rPr>
          <w:rFonts w:hint="eastAsia" w:ascii="宋体" w:hAnsi="宋体" w:eastAsia="宋体" w:cs="宋体"/>
          <w:color w:val="auto"/>
          <w:sz w:val="28"/>
          <w:szCs w:val="28"/>
          <w:highlight w:val="none"/>
        </w:rPr>
        <w:t>个项目编制了绩效目标，预算执行过程中，选取</w:t>
      </w:r>
      <w:r>
        <w:rPr>
          <w:rFonts w:hint="eastAsia" w:ascii="宋体" w:hAnsi="宋体" w:eastAsia="宋体" w:cs="宋体"/>
          <w:color w:val="auto"/>
          <w:sz w:val="28"/>
          <w:szCs w:val="28"/>
          <w:highlight w:val="none"/>
          <w:lang w:val="en-US" w:eastAsia="zh-CN"/>
        </w:rPr>
        <w:t>45</w:t>
      </w:r>
      <w:r>
        <w:rPr>
          <w:rFonts w:hint="eastAsia" w:ascii="宋体" w:hAnsi="宋体" w:eastAsia="宋体" w:cs="宋体"/>
          <w:color w:val="auto"/>
          <w:sz w:val="28"/>
          <w:szCs w:val="28"/>
          <w:highlight w:val="none"/>
        </w:rPr>
        <w:t>个项目开展绩效监控。</w:t>
      </w:r>
    </w:p>
    <w:p w14:paraId="2B413719">
      <w:pPr>
        <w:keepNext w:val="0"/>
        <w:keepLines w:val="0"/>
        <w:pageBreakBefore w:val="0"/>
        <w:kinsoku/>
        <w:wordWrap/>
        <w:overflowPunct/>
        <w:topLinePunct w:val="0"/>
        <w:bidi w:val="0"/>
        <w:snapToGrid/>
        <w:spacing w:line="560" w:lineRule="exact"/>
        <w:ind w:firstLine="560" w:firstLineChars="200"/>
        <w:jc w:val="left"/>
        <w:textAlignment w:val="auto"/>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组织对202</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年度一般公共预算、政府性基金预算等全面开展绩效自评，形成</w:t>
      </w:r>
      <w:r>
        <w:rPr>
          <w:rFonts w:hint="eastAsia" w:ascii="宋体" w:hAnsi="宋体" w:eastAsia="宋体" w:cs="宋体"/>
          <w:b w:val="0"/>
          <w:bCs/>
          <w:sz w:val="28"/>
          <w:szCs w:val="28"/>
          <w:highlight w:val="none"/>
        </w:rPr>
        <w:t>四川五通桥经济开发区管理委员</w:t>
      </w:r>
      <w:r>
        <w:rPr>
          <w:rFonts w:hint="eastAsia" w:ascii="宋体" w:hAnsi="宋体" w:eastAsia="宋体" w:cs="宋体"/>
          <w:color w:val="auto"/>
          <w:sz w:val="28"/>
          <w:szCs w:val="28"/>
          <w:highlight w:val="none"/>
        </w:rPr>
        <w:t>部门整体（含部门预算项目）绩效自评报告</w:t>
      </w:r>
      <w:r>
        <w:rPr>
          <w:rFonts w:hint="eastAsia" w:ascii="宋体" w:hAnsi="宋体" w:eastAsia="宋体" w:cs="宋体"/>
          <w:color w:val="auto"/>
          <w:sz w:val="28"/>
          <w:szCs w:val="28"/>
          <w:highlight w:val="none"/>
          <w:lang w:eastAsia="zh-CN"/>
        </w:rPr>
        <w:t>，</w:t>
      </w:r>
      <w:r>
        <w:rPr>
          <w:rFonts w:hint="eastAsia" w:ascii="宋体" w:hAnsi="宋体" w:eastAsia="宋体" w:cs="宋体"/>
          <w:sz w:val="28"/>
          <w:szCs w:val="28"/>
        </w:rPr>
        <w:t>绩效自评表详见第四部分附件</w:t>
      </w:r>
      <w:r>
        <w:rPr>
          <w:rFonts w:hint="eastAsia" w:ascii="宋体" w:hAnsi="宋体" w:eastAsia="宋体" w:cs="宋体"/>
          <w:sz w:val="28"/>
          <w:szCs w:val="28"/>
          <w:lang w:eastAsia="zh-CN"/>
        </w:rPr>
        <w:t>。</w:t>
      </w:r>
      <w:r>
        <w:rPr>
          <w:rFonts w:hint="eastAsia" w:ascii="宋体" w:hAnsi="宋体" w:eastAsia="宋体" w:cs="宋体"/>
          <w:b/>
          <w:color w:val="auto"/>
          <w:sz w:val="28"/>
          <w:szCs w:val="28"/>
          <w:highlight w:val="none"/>
        </w:rPr>
        <w:br w:type="page"/>
      </w:r>
    </w:p>
    <w:p w14:paraId="3A0D23B0">
      <w:pPr>
        <w:pStyle w:val="2"/>
        <w:jc w:val="center"/>
        <w:rPr>
          <w:rFonts w:hint="eastAsia" w:ascii="黑体" w:hAnsi="黑体" w:eastAsia="黑体" w:cs="黑体"/>
          <w:b w:val="0"/>
          <w:bCs w:val="0"/>
        </w:rPr>
      </w:pPr>
      <w:r>
        <w:rPr>
          <w:rFonts w:hint="eastAsia" w:ascii="黑体" w:hAnsi="黑体" w:eastAsia="黑体" w:cs="黑体"/>
          <w:b w:val="0"/>
          <w:bCs w:val="0"/>
        </w:rPr>
        <w:t>第三部分 名词解释</w:t>
      </w:r>
    </w:p>
    <w:p w14:paraId="0A7778F8"/>
    <w:p w14:paraId="77050583">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1.财政拨款收入：指单位从同级财政部门取得的财政预算资金。</w:t>
      </w:r>
    </w:p>
    <w:p w14:paraId="689C4CC0">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000000" w:themeColor="text1"/>
          <w:sz w:val="28"/>
          <w:szCs w:val="28"/>
          <w14:textFill>
            <w14:solidFill>
              <w14:schemeClr w14:val="tx1"/>
            </w14:solidFill>
          </w14:textFill>
        </w:rPr>
        <w:t>2.事业收入：指事业单位开展专业业务活</w:t>
      </w:r>
      <w:r>
        <w:rPr>
          <w:rFonts w:hint="eastAsia" w:ascii="宋体" w:hAnsi="宋体" w:eastAsia="宋体" w:cs="宋体"/>
          <w:sz w:val="28"/>
          <w:szCs w:val="28"/>
        </w:rPr>
        <w:t>动及辅助活动取得的收入。</w:t>
      </w:r>
    </w:p>
    <w:p w14:paraId="23F4A721">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.其他收入：指单位取得的除上述收入以外的各项收入。</w:t>
      </w:r>
    </w:p>
    <w:p w14:paraId="32A4F482">
      <w:pPr>
        <w:pStyle w:val="28"/>
        <w:keepNext w:val="0"/>
        <w:keepLines w:val="0"/>
        <w:pageBreakBefore w:val="0"/>
        <w:widowControl w:val="0"/>
        <w:kinsoku/>
        <w:wordWrap/>
        <w:overflowPunct/>
        <w:topLinePunct w:val="0"/>
        <w:bidi w:val="0"/>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 xml:space="preserve">.年初结转和结余：指以前年度尚未完成、结转到本年按有关规定继续使用的资金。 </w:t>
      </w:r>
    </w:p>
    <w:p w14:paraId="5BCBCD15">
      <w:pPr>
        <w:pStyle w:val="28"/>
        <w:keepNext w:val="0"/>
        <w:keepLines w:val="0"/>
        <w:pageBreakBefore w:val="0"/>
        <w:widowControl w:val="0"/>
        <w:kinsoku/>
        <w:wordWrap/>
        <w:overflowPunct/>
        <w:topLinePunct w:val="0"/>
        <w:bidi w:val="0"/>
        <w:snapToGrid/>
        <w:spacing w:line="60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.年末结转和结余：指单位按有关规定结转到下年或以后年度继续使用的资金。</w:t>
      </w:r>
    </w:p>
    <w:p w14:paraId="61C5D763">
      <w:pPr>
        <w:pStyle w:val="14"/>
        <w:keepNext w:val="0"/>
        <w:keepLines w:val="0"/>
        <w:pageBreakBefore w:val="0"/>
        <w:widowControl/>
        <w:suppressLineNumbers w:val="0"/>
        <w:shd w:val="clear" w:color="auto" w:fill="FFFFFF"/>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i w:val="0"/>
          <w:caps w:val="0"/>
          <w:color w:val="000000"/>
          <w:spacing w:val="0"/>
          <w:sz w:val="28"/>
          <w:szCs w:val="28"/>
          <w:shd w:val="clear" w:color="auto" w:fill="FFFFFF"/>
          <w:lang w:val="en-US" w:eastAsia="zh-CN"/>
        </w:rPr>
      </w:pPr>
      <w:r>
        <w:rPr>
          <w:rFonts w:hint="eastAsia" w:ascii="宋体" w:hAnsi="宋体" w:eastAsia="宋体" w:cs="宋体"/>
          <w:sz w:val="28"/>
          <w:szCs w:val="28"/>
          <w:lang w:val="en-US" w:eastAsia="zh-CN"/>
        </w:rPr>
        <w:t>6</w:t>
      </w:r>
      <w:r>
        <w:rPr>
          <w:rFonts w:hint="eastAsia" w:ascii="宋体" w:hAnsi="宋体" w:eastAsia="宋体" w:cs="宋体"/>
          <w:sz w:val="28"/>
          <w:szCs w:val="28"/>
        </w:rPr>
        <w:t>.</w:t>
      </w:r>
      <w:r>
        <w:rPr>
          <w:rFonts w:hint="eastAsia" w:ascii="宋体" w:hAnsi="宋体" w:eastAsia="宋体" w:cs="宋体"/>
          <w:i w:val="0"/>
          <w:caps w:val="0"/>
          <w:color w:val="000000"/>
          <w:spacing w:val="0"/>
          <w:sz w:val="28"/>
          <w:szCs w:val="28"/>
          <w:shd w:val="clear" w:color="auto" w:fill="FFFFFF"/>
        </w:rPr>
        <w:t>一般公共服务支出(类)商贸事务(款) 招商引资(项)指主要用</w:t>
      </w:r>
      <w:r>
        <w:rPr>
          <w:rFonts w:hint="eastAsia" w:ascii="宋体" w:hAnsi="宋体" w:eastAsia="宋体" w:cs="宋体"/>
          <w:i w:val="0"/>
          <w:caps w:val="0"/>
          <w:color w:val="000000"/>
          <w:spacing w:val="0"/>
          <w:sz w:val="28"/>
          <w:szCs w:val="28"/>
          <w:shd w:val="clear" w:color="auto" w:fill="FFFFFF"/>
          <w:lang w:val="en-US" w:eastAsia="zh-CN"/>
        </w:rPr>
        <w:t>于</w:t>
      </w:r>
      <w:r>
        <w:rPr>
          <w:rFonts w:hint="eastAsia" w:ascii="宋体" w:hAnsi="宋体" w:eastAsia="宋体" w:cs="宋体"/>
          <w:i w:val="0"/>
          <w:caps w:val="0"/>
          <w:color w:val="000000"/>
          <w:spacing w:val="0"/>
          <w:sz w:val="28"/>
          <w:szCs w:val="28"/>
          <w:shd w:val="clear" w:color="auto" w:fill="FFFFFF"/>
        </w:rPr>
        <w:t xml:space="preserve"> 招商引资</w:t>
      </w:r>
      <w:r>
        <w:rPr>
          <w:rFonts w:hint="eastAsia" w:ascii="宋体" w:hAnsi="宋体" w:eastAsia="宋体" w:cs="宋体"/>
          <w:i w:val="0"/>
          <w:caps w:val="0"/>
          <w:color w:val="000000"/>
          <w:spacing w:val="0"/>
          <w:sz w:val="28"/>
          <w:szCs w:val="28"/>
          <w:shd w:val="clear" w:color="auto" w:fill="FFFFFF"/>
          <w:lang w:eastAsia="zh-CN"/>
        </w:rPr>
        <w:t>、</w:t>
      </w:r>
      <w:r>
        <w:rPr>
          <w:rFonts w:hint="eastAsia" w:ascii="宋体" w:hAnsi="宋体" w:eastAsia="宋体" w:cs="宋体"/>
          <w:i w:val="0"/>
          <w:caps w:val="0"/>
          <w:color w:val="000000"/>
          <w:spacing w:val="0"/>
          <w:sz w:val="28"/>
          <w:szCs w:val="28"/>
          <w:shd w:val="clear" w:color="auto" w:fill="FFFFFF"/>
          <w:lang w:val="en-US" w:eastAsia="zh-CN"/>
        </w:rPr>
        <w:t>优化经济环境等方面的支出。</w:t>
      </w:r>
    </w:p>
    <w:p w14:paraId="7402B64C">
      <w:pPr>
        <w:pStyle w:val="14"/>
        <w:keepNext w:val="0"/>
        <w:keepLines w:val="0"/>
        <w:pageBreakBefore w:val="0"/>
        <w:widowControl/>
        <w:suppressLineNumbers w:val="0"/>
        <w:shd w:val="clear" w:color="auto" w:fill="FFFFFF"/>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i w:val="0"/>
          <w:caps w:val="0"/>
          <w:color w:val="000000"/>
          <w:spacing w:val="0"/>
          <w:sz w:val="28"/>
          <w:szCs w:val="28"/>
          <w:shd w:val="clear" w:color="auto" w:fill="FFFFFF"/>
          <w:lang w:val="en-US" w:eastAsia="zh-CN"/>
        </w:rPr>
      </w:pPr>
      <w:r>
        <w:rPr>
          <w:rFonts w:hint="eastAsia" w:ascii="宋体" w:hAnsi="宋体" w:eastAsia="宋体" w:cs="宋体"/>
          <w:sz w:val="28"/>
          <w:szCs w:val="28"/>
          <w:lang w:val="en-US" w:eastAsia="zh-CN"/>
        </w:rPr>
        <w:t>7.</w:t>
      </w:r>
      <w:r>
        <w:rPr>
          <w:rStyle w:val="19"/>
          <w:rFonts w:hint="eastAsia" w:ascii="宋体" w:hAnsi="宋体" w:eastAsia="宋体" w:cs="宋体"/>
          <w:b w:val="0"/>
          <w:bCs w:val="0"/>
          <w:color w:val="000000" w:themeColor="text1"/>
          <w:sz w:val="28"/>
          <w:szCs w:val="28"/>
          <w14:textFill>
            <w14:solidFill>
              <w14:schemeClr w14:val="tx1"/>
            </w14:solidFill>
          </w14:textFill>
        </w:rPr>
        <w:t>科学技术支出（类）其他科学技术支出（款）其他科学技术支出（项）</w:t>
      </w:r>
      <w:r>
        <w:rPr>
          <w:rFonts w:hint="eastAsia" w:ascii="宋体" w:hAnsi="宋体" w:eastAsia="宋体" w:cs="宋体"/>
          <w:b w:val="0"/>
          <w:bCs w:val="0"/>
          <w:i w:val="0"/>
          <w:caps w:val="0"/>
          <w:color w:val="000000"/>
          <w:spacing w:val="0"/>
          <w:sz w:val="28"/>
          <w:szCs w:val="28"/>
          <w:shd w:val="clear" w:color="auto" w:fill="FFFFFF"/>
        </w:rPr>
        <w:t>指主要用</w:t>
      </w:r>
      <w:r>
        <w:rPr>
          <w:rFonts w:hint="eastAsia" w:ascii="宋体" w:hAnsi="宋体" w:eastAsia="宋体" w:cs="宋体"/>
          <w:b w:val="0"/>
          <w:bCs w:val="0"/>
          <w:i w:val="0"/>
          <w:caps w:val="0"/>
          <w:color w:val="000000"/>
          <w:spacing w:val="0"/>
          <w:sz w:val="28"/>
          <w:szCs w:val="28"/>
          <w:shd w:val="clear" w:color="auto" w:fill="FFFFFF"/>
          <w:lang w:val="en-US" w:eastAsia="zh-CN"/>
        </w:rPr>
        <w:t>于</w:t>
      </w:r>
      <w:r>
        <w:rPr>
          <w:rFonts w:hint="eastAsia" w:ascii="宋体" w:hAnsi="宋体" w:eastAsia="宋体" w:cs="宋体"/>
          <w:b w:val="0"/>
          <w:bCs w:val="0"/>
          <w:i w:val="0"/>
          <w:caps w:val="0"/>
          <w:color w:val="000000"/>
          <w:spacing w:val="0"/>
          <w:sz w:val="28"/>
          <w:szCs w:val="28"/>
          <w:shd w:val="clear" w:color="auto" w:fill="FFFFFF"/>
        </w:rPr>
        <w:t xml:space="preserve"> </w:t>
      </w:r>
      <w:r>
        <w:rPr>
          <w:rFonts w:hint="eastAsia" w:ascii="宋体" w:hAnsi="宋体" w:eastAsia="宋体" w:cs="宋体"/>
          <w:b w:val="0"/>
          <w:bCs w:val="0"/>
          <w:i w:val="0"/>
          <w:caps w:val="0"/>
          <w:color w:val="000000"/>
          <w:spacing w:val="0"/>
          <w:sz w:val="28"/>
          <w:szCs w:val="28"/>
          <w:shd w:val="clear" w:color="auto" w:fill="FFFFFF"/>
          <w:lang w:val="en-US" w:eastAsia="zh-CN"/>
        </w:rPr>
        <w:t>科学技术等方面的支出。</w:t>
      </w:r>
    </w:p>
    <w:p w14:paraId="23AF8F88">
      <w:pPr>
        <w:keepNext w:val="0"/>
        <w:keepLines w:val="0"/>
        <w:pageBreakBefore w:val="0"/>
        <w:widowControl w:val="0"/>
        <w:kinsoku/>
        <w:wordWrap/>
        <w:overflowPunct/>
        <w:topLinePunct w:val="0"/>
        <w:bidi w:val="0"/>
        <w:snapToGrid/>
        <w:spacing w:line="600" w:lineRule="exact"/>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b w:val="0"/>
          <w:bCs w:val="0"/>
          <w:i w:val="0"/>
          <w:caps w:val="0"/>
          <w:color w:val="000000"/>
          <w:spacing w:val="0"/>
          <w:sz w:val="28"/>
          <w:szCs w:val="28"/>
          <w:highlight w:val="none"/>
          <w:shd w:val="clear" w:color="auto" w:fill="FFFFFF"/>
        </w:rPr>
        <w:t>社会保障和就业支出(类)</w:t>
      </w:r>
      <w:r>
        <w:rPr>
          <w:rFonts w:hint="eastAsia" w:ascii="宋体" w:hAnsi="宋体" w:eastAsia="宋体" w:cs="宋体"/>
          <w:b w:val="0"/>
          <w:bCs w:val="0"/>
          <w:i w:val="0"/>
          <w:caps w:val="0"/>
          <w:color w:val="000000"/>
          <w:spacing w:val="0"/>
          <w:sz w:val="28"/>
          <w:szCs w:val="28"/>
          <w:highlight w:val="none"/>
          <w:shd w:val="clear" w:color="auto" w:fill="FFFFFF"/>
          <w:lang w:eastAsia="zh-CN"/>
        </w:rPr>
        <w:t>：指反映政府在</w:t>
      </w:r>
      <w:r>
        <w:rPr>
          <w:rFonts w:hint="eastAsia" w:ascii="宋体" w:hAnsi="宋体" w:eastAsia="宋体" w:cs="宋体"/>
          <w:b w:val="0"/>
          <w:bCs w:val="0"/>
          <w:i w:val="0"/>
          <w:caps w:val="0"/>
          <w:color w:val="000000"/>
          <w:spacing w:val="0"/>
          <w:sz w:val="28"/>
          <w:szCs w:val="28"/>
          <w:highlight w:val="none"/>
          <w:shd w:val="clear" w:color="auto" w:fill="FFFFFF"/>
        </w:rPr>
        <w:t>社会保障和就业</w:t>
      </w:r>
      <w:r>
        <w:rPr>
          <w:rFonts w:hint="eastAsia" w:ascii="宋体" w:hAnsi="宋体" w:eastAsia="宋体" w:cs="宋体"/>
          <w:b w:val="0"/>
          <w:bCs w:val="0"/>
          <w:i w:val="0"/>
          <w:caps w:val="0"/>
          <w:color w:val="000000"/>
          <w:spacing w:val="0"/>
          <w:sz w:val="28"/>
          <w:szCs w:val="28"/>
          <w:highlight w:val="none"/>
          <w:shd w:val="clear" w:color="auto" w:fill="FFFFFF"/>
          <w:lang w:eastAsia="zh-CN"/>
        </w:rPr>
        <w:t>方面的</w:t>
      </w:r>
      <w:r>
        <w:rPr>
          <w:rFonts w:hint="eastAsia" w:ascii="宋体" w:hAnsi="宋体" w:eastAsia="宋体" w:cs="宋体"/>
          <w:b w:val="0"/>
          <w:bCs w:val="0"/>
          <w:i w:val="0"/>
          <w:caps w:val="0"/>
          <w:color w:val="000000"/>
          <w:spacing w:val="0"/>
          <w:sz w:val="28"/>
          <w:szCs w:val="28"/>
          <w:highlight w:val="none"/>
          <w:shd w:val="clear" w:color="auto" w:fill="FFFFFF"/>
        </w:rPr>
        <w:t>支出</w:t>
      </w:r>
      <w:r>
        <w:rPr>
          <w:rFonts w:hint="eastAsia" w:ascii="宋体" w:hAnsi="宋体" w:eastAsia="宋体" w:cs="宋体"/>
          <w:b w:val="0"/>
          <w:bCs w:val="0"/>
          <w:i w:val="0"/>
          <w:caps w:val="0"/>
          <w:color w:val="000000"/>
          <w:spacing w:val="0"/>
          <w:sz w:val="28"/>
          <w:szCs w:val="28"/>
          <w:highlight w:val="none"/>
          <w:shd w:val="clear" w:color="auto" w:fill="FFFFFF"/>
          <w:lang w:eastAsia="zh-CN"/>
        </w:rPr>
        <w:t>。行</w:t>
      </w:r>
      <w:r>
        <w:rPr>
          <w:rStyle w:val="19"/>
          <w:rFonts w:hint="eastAsia" w:ascii="宋体" w:hAnsi="宋体" w:eastAsia="宋体" w:cs="宋体"/>
          <w:b w:val="0"/>
          <w:bCs w:val="0"/>
          <w:sz w:val="28"/>
          <w:szCs w:val="28"/>
          <w:highlight w:val="none"/>
        </w:rPr>
        <w:t>政事业单位离退休</w:t>
      </w:r>
      <w:r>
        <w:rPr>
          <w:rStyle w:val="19"/>
          <w:rFonts w:hint="eastAsia" w:ascii="宋体" w:hAnsi="宋体" w:eastAsia="宋体" w:cs="宋体"/>
          <w:b w:val="0"/>
          <w:bCs w:val="0"/>
          <w:sz w:val="28"/>
          <w:szCs w:val="28"/>
          <w:highlight w:val="none"/>
          <w:lang w:eastAsia="zh-CN"/>
        </w:rPr>
        <w:t>（款）</w:t>
      </w:r>
      <w:r>
        <w:rPr>
          <w:rFonts w:hint="eastAsia" w:ascii="宋体" w:hAnsi="宋体" w:eastAsia="宋体" w:cs="宋体"/>
          <w:b w:val="0"/>
          <w:bCs w:val="0"/>
          <w:sz w:val="28"/>
          <w:szCs w:val="28"/>
          <w:highlight w:val="none"/>
        </w:rPr>
        <w:t>机关事业单位基本养老保险缴费支出</w:t>
      </w:r>
      <w:r>
        <w:rPr>
          <w:rFonts w:hint="eastAsia" w:ascii="宋体" w:hAnsi="宋体" w:eastAsia="宋体" w:cs="宋体"/>
          <w:b w:val="0"/>
          <w:bCs w:val="0"/>
          <w:sz w:val="28"/>
          <w:szCs w:val="28"/>
          <w:highlight w:val="none"/>
          <w:lang w:eastAsia="zh-CN"/>
        </w:rPr>
        <w:t>（项）</w:t>
      </w:r>
      <w:r>
        <w:rPr>
          <w:rFonts w:hint="eastAsia" w:ascii="宋体" w:hAnsi="宋体" w:eastAsia="宋体" w:cs="宋体"/>
          <w:b w:val="0"/>
          <w:bCs w:val="0"/>
          <w:sz w:val="28"/>
          <w:szCs w:val="28"/>
          <w:highlight w:val="none"/>
        </w:rPr>
        <w:t>是指机关事业单位实旗养老保险制度由单位缴纳的基本养老保险费支出</w:t>
      </w:r>
      <w:r>
        <w:rPr>
          <w:rFonts w:hint="eastAsia" w:ascii="宋体" w:hAnsi="宋体" w:eastAsia="宋体" w:cs="宋体"/>
          <w:b w:val="0"/>
          <w:bCs w:val="0"/>
          <w:sz w:val="28"/>
          <w:szCs w:val="28"/>
          <w:highlight w:val="none"/>
          <w:lang w:eastAsia="zh-CN"/>
        </w:rPr>
        <w:t>。</w:t>
      </w:r>
      <w:r>
        <w:rPr>
          <w:rFonts w:hint="eastAsia" w:ascii="宋体" w:hAnsi="宋体" w:eastAsia="宋体" w:cs="宋体"/>
          <w:b w:val="0"/>
          <w:bCs w:val="0"/>
          <w:sz w:val="28"/>
          <w:szCs w:val="28"/>
          <w:highlight w:val="none"/>
          <w:lang w:val="en-US" w:eastAsia="zh-CN"/>
        </w:rPr>
        <w:t>行</w:t>
      </w:r>
      <w:r>
        <w:rPr>
          <w:rStyle w:val="19"/>
          <w:rFonts w:hint="eastAsia" w:ascii="宋体" w:hAnsi="宋体" w:eastAsia="宋体" w:cs="宋体"/>
          <w:b w:val="0"/>
          <w:bCs w:val="0"/>
          <w:sz w:val="28"/>
          <w:szCs w:val="28"/>
          <w:highlight w:val="none"/>
        </w:rPr>
        <w:t>政事业单位离退休</w:t>
      </w:r>
      <w:r>
        <w:rPr>
          <w:rStyle w:val="19"/>
          <w:rFonts w:hint="eastAsia" w:ascii="宋体" w:hAnsi="宋体" w:eastAsia="宋体" w:cs="宋体"/>
          <w:b w:val="0"/>
          <w:bCs w:val="0"/>
          <w:sz w:val="28"/>
          <w:szCs w:val="28"/>
          <w:highlight w:val="none"/>
          <w:lang w:eastAsia="zh-CN"/>
        </w:rPr>
        <w:t>（款）</w:t>
      </w:r>
      <w:r>
        <w:rPr>
          <w:rFonts w:hint="eastAsia" w:ascii="宋体" w:hAnsi="宋体" w:eastAsia="宋体" w:cs="宋体"/>
          <w:b w:val="0"/>
          <w:bCs w:val="0"/>
          <w:color w:val="000000"/>
          <w:sz w:val="28"/>
          <w:szCs w:val="28"/>
          <w:highlight w:val="none"/>
        </w:rPr>
        <w:t>机关事业单位职业年金缴费支出</w:t>
      </w:r>
      <w:r>
        <w:rPr>
          <w:rFonts w:hint="eastAsia" w:ascii="宋体" w:hAnsi="宋体" w:eastAsia="宋体" w:cs="宋体"/>
          <w:b w:val="0"/>
          <w:bCs w:val="0"/>
          <w:color w:val="000000"/>
          <w:sz w:val="28"/>
          <w:szCs w:val="28"/>
          <w:highlight w:val="none"/>
          <w:lang w:eastAsia="zh-CN"/>
        </w:rPr>
        <w:t>（项）</w:t>
      </w:r>
      <w:r>
        <w:rPr>
          <w:rFonts w:hint="eastAsia" w:ascii="宋体" w:hAnsi="宋体" w:eastAsia="宋体" w:cs="宋体"/>
          <w:b w:val="0"/>
          <w:bCs w:val="0"/>
          <w:color w:val="000000"/>
          <w:sz w:val="28"/>
          <w:szCs w:val="28"/>
          <w:highlight w:val="none"/>
        </w:rPr>
        <w:t>是指机关事业单位实</w:t>
      </w:r>
      <w:r>
        <w:rPr>
          <w:rFonts w:hint="eastAsia" w:ascii="宋体" w:hAnsi="宋体" w:eastAsia="宋体" w:cs="宋体"/>
          <w:b w:val="0"/>
          <w:bCs w:val="0"/>
          <w:color w:val="000000"/>
          <w:sz w:val="28"/>
          <w:szCs w:val="28"/>
          <w:highlight w:val="none"/>
          <w:lang w:eastAsia="zh-CN"/>
        </w:rPr>
        <w:t>施</w:t>
      </w:r>
      <w:r>
        <w:rPr>
          <w:rFonts w:hint="eastAsia" w:ascii="宋体" w:hAnsi="宋体" w:eastAsia="宋体" w:cs="宋体"/>
          <w:b w:val="0"/>
          <w:bCs w:val="0"/>
          <w:color w:val="000000"/>
          <w:sz w:val="28"/>
          <w:szCs w:val="28"/>
          <w:highlight w:val="none"/>
        </w:rPr>
        <w:t>养老保险制度由单位缴纳的职业年金缴费支出支出。</w:t>
      </w:r>
    </w:p>
    <w:p w14:paraId="396B5298">
      <w:pPr>
        <w:keepNext w:val="0"/>
        <w:keepLines w:val="0"/>
        <w:pageBreakBefore w:val="0"/>
        <w:numPr>
          <w:ilvl w:val="0"/>
          <w:numId w:val="0"/>
        </w:numPr>
        <w:kinsoku/>
        <w:wordWrap/>
        <w:overflowPunct/>
        <w:topLinePunct w:val="0"/>
        <w:bidi w:val="0"/>
        <w:snapToGrid/>
        <w:spacing w:line="600" w:lineRule="exact"/>
        <w:ind w:firstLine="560" w:firstLineChars="200"/>
        <w:textAlignment w:val="auto"/>
        <w:rPr>
          <w:rStyle w:val="19"/>
          <w:rFonts w:hint="eastAsia" w:ascii="宋体" w:hAnsi="宋体" w:eastAsia="宋体" w:cs="宋体"/>
          <w:b w:val="0"/>
          <w:bCs w:val="0"/>
          <w:sz w:val="28"/>
          <w:szCs w:val="28"/>
          <w:highlight w:val="none"/>
        </w:rPr>
      </w:pPr>
      <w:r>
        <w:rPr>
          <w:rFonts w:hint="eastAsia" w:ascii="宋体" w:hAnsi="宋体" w:eastAsia="宋体" w:cs="宋体"/>
          <w:sz w:val="28"/>
          <w:szCs w:val="28"/>
          <w:lang w:val="en-US" w:eastAsia="zh-CN"/>
        </w:rPr>
        <w:t>9</w:t>
      </w:r>
      <w:r>
        <w:rPr>
          <w:rFonts w:hint="eastAsia" w:ascii="宋体" w:hAnsi="宋体" w:eastAsia="宋体" w:cs="宋体"/>
          <w:sz w:val="28"/>
          <w:szCs w:val="28"/>
        </w:rPr>
        <w:t>.</w:t>
      </w:r>
      <w:r>
        <w:rPr>
          <w:rFonts w:hint="eastAsia" w:ascii="宋体" w:hAnsi="宋体" w:eastAsia="宋体" w:cs="宋体"/>
          <w:b w:val="0"/>
          <w:bCs w:val="0"/>
          <w:color w:val="000000"/>
          <w:sz w:val="28"/>
          <w:szCs w:val="28"/>
          <w:highlight w:val="none"/>
        </w:rPr>
        <w:t>卫生健康</w:t>
      </w:r>
      <w:r>
        <w:rPr>
          <w:rStyle w:val="19"/>
          <w:rFonts w:hint="eastAsia" w:ascii="宋体" w:hAnsi="宋体" w:eastAsia="宋体" w:cs="宋体"/>
          <w:b w:val="0"/>
          <w:bCs w:val="0"/>
          <w:color w:val="000000"/>
          <w:sz w:val="28"/>
          <w:szCs w:val="28"/>
          <w:highlight w:val="none"/>
        </w:rPr>
        <w:t>（类）</w:t>
      </w:r>
      <w:r>
        <w:rPr>
          <w:rStyle w:val="19"/>
          <w:rFonts w:hint="eastAsia" w:ascii="宋体" w:hAnsi="宋体" w:eastAsia="宋体" w:cs="宋体"/>
          <w:b w:val="0"/>
          <w:bCs w:val="0"/>
          <w:color w:val="000000"/>
          <w:sz w:val="28"/>
          <w:szCs w:val="28"/>
          <w:highlight w:val="none"/>
          <w:lang w:eastAsia="zh-CN"/>
        </w:rPr>
        <w:t>：反映政府</w:t>
      </w:r>
      <w:r>
        <w:rPr>
          <w:rFonts w:hint="eastAsia" w:ascii="宋体" w:hAnsi="宋体" w:eastAsia="宋体" w:cs="宋体"/>
          <w:b w:val="0"/>
          <w:bCs w:val="0"/>
          <w:color w:val="000000"/>
          <w:sz w:val="28"/>
          <w:szCs w:val="28"/>
          <w:highlight w:val="none"/>
        </w:rPr>
        <w:t>卫生健康</w:t>
      </w:r>
      <w:r>
        <w:rPr>
          <w:rFonts w:hint="eastAsia" w:ascii="宋体" w:hAnsi="宋体" w:eastAsia="宋体" w:cs="宋体"/>
          <w:b w:val="0"/>
          <w:bCs w:val="0"/>
          <w:color w:val="000000"/>
          <w:sz w:val="28"/>
          <w:szCs w:val="28"/>
          <w:highlight w:val="none"/>
          <w:lang w:eastAsia="zh-CN"/>
        </w:rPr>
        <w:t>方面的支出。</w:t>
      </w:r>
      <w:r>
        <w:rPr>
          <w:rStyle w:val="19"/>
          <w:rFonts w:hint="eastAsia" w:ascii="宋体" w:hAnsi="宋体" w:eastAsia="宋体" w:cs="宋体"/>
          <w:b w:val="0"/>
          <w:bCs w:val="0"/>
          <w:color w:val="000000"/>
          <w:sz w:val="28"/>
          <w:szCs w:val="28"/>
          <w:highlight w:val="none"/>
        </w:rPr>
        <w:t>公共卫生（款）</w:t>
      </w:r>
      <w:r>
        <w:rPr>
          <w:rStyle w:val="19"/>
          <w:rFonts w:hint="eastAsia" w:ascii="宋体" w:hAnsi="宋体" w:eastAsia="宋体" w:cs="宋体"/>
          <w:b w:val="0"/>
          <w:bCs w:val="0"/>
          <w:color w:val="000000"/>
          <w:sz w:val="28"/>
          <w:szCs w:val="28"/>
          <w:highlight w:val="none"/>
          <w:lang w:eastAsia="zh-CN"/>
        </w:rPr>
        <w:t>反映</w:t>
      </w:r>
      <w:r>
        <w:rPr>
          <w:rStyle w:val="19"/>
          <w:rFonts w:hint="eastAsia" w:ascii="宋体" w:hAnsi="宋体" w:eastAsia="宋体" w:cs="宋体"/>
          <w:b w:val="0"/>
          <w:bCs w:val="0"/>
          <w:color w:val="000000"/>
          <w:sz w:val="28"/>
          <w:szCs w:val="28"/>
          <w:highlight w:val="none"/>
        </w:rPr>
        <w:t>公共卫生</w:t>
      </w:r>
      <w:r>
        <w:rPr>
          <w:rStyle w:val="19"/>
          <w:rFonts w:hint="eastAsia" w:ascii="宋体" w:hAnsi="宋体" w:eastAsia="宋体" w:cs="宋体"/>
          <w:b w:val="0"/>
          <w:bCs w:val="0"/>
          <w:color w:val="000000"/>
          <w:sz w:val="28"/>
          <w:szCs w:val="28"/>
          <w:highlight w:val="none"/>
          <w:lang w:eastAsia="zh-CN"/>
        </w:rPr>
        <w:t>的支出。</w:t>
      </w:r>
      <w:r>
        <w:rPr>
          <w:rStyle w:val="19"/>
          <w:rFonts w:hint="eastAsia" w:ascii="宋体" w:hAnsi="宋体" w:eastAsia="宋体" w:cs="宋体"/>
          <w:b w:val="0"/>
          <w:bCs w:val="0"/>
          <w:sz w:val="28"/>
          <w:szCs w:val="28"/>
          <w:highlight w:val="none"/>
        </w:rPr>
        <w:t>行政事业单位医疗</w:t>
      </w:r>
      <w:r>
        <w:rPr>
          <w:rStyle w:val="19"/>
          <w:rFonts w:hint="eastAsia" w:ascii="宋体" w:hAnsi="宋体" w:eastAsia="宋体" w:cs="宋体"/>
          <w:b w:val="0"/>
          <w:bCs w:val="0"/>
          <w:sz w:val="28"/>
          <w:szCs w:val="28"/>
          <w:highlight w:val="none"/>
          <w:lang w:eastAsia="zh-CN"/>
        </w:rPr>
        <w:t>（款）</w:t>
      </w:r>
      <w:r>
        <w:rPr>
          <w:rStyle w:val="19"/>
          <w:rFonts w:hint="eastAsia" w:ascii="宋体" w:hAnsi="宋体" w:eastAsia="宋体" w:cs="宋体"/>
          <w:b w:val="0"/>
          <w:bCs w:val="0"/>
          <w:sz w:val="28"/>
          <w:szCs w:val="28"/>
          <w:highlight w:val="none"/>
        </w:rPr>
        <w:t>行政单位医疗</w:t>
      </w:r>
      <w:r>
        <w:rPr>
          <w:rStyle w:val="19"/>
          <w:rFonts w:hint="eastAsia" w:ascii="宋体" w:hAnsi="宋体" w:eastAsia="宋体" w:cs="宋体"/>
          <w:b w:val="0"/>
          <w:bCs w:val="0"/>
          <w:sz w:val="28"/>
          <w:szCs w:val="28"/>
          <w:highlight w:val="none"/>
          <w:lang w:eastAsia="zh-CN"/>
        </w:rPr>
        <w:t>（项）</w:t>
      </w:r>
      <w:r>
        <w:rPr>
          <w:rStyle w:val="19"/>
          <w:rFonts w:hint="eastAsia" w:ascii="宋体" w:hAnsi="宋体" w:eastAsia="宋体" w:cs="宋体"/>
          <w:b w:val="0"/>
          <w:bCs w:val="0"/>
          <w:sz w:val="28"/>
          <w:szCs w:val="28"/>
          <w:highlight w:val="none"/>
        </w:rPr>
        <w:t>是指财政部门集中安排的行政单位基本医疗保险缴费经费，未参加医疗保险的行政单位基本的公费医疗经费，按国家规定享受离休人员、老红军战士待遇人员的医疗经费。行政事业单位医疗</w:t>
      </w:r>
      <w:r>
        <w:rPr>
          <w:rStyle w:val="19"/>
          <w:rFonts w:hint="eastAsia" w:ascii="宋体" w:hAnsi="宋体" w:eastAsia="宋体" w:cs="宋体"/>
          <w:b w:val="0"/>
          <w:bCs w:val="0"/>
          <w:sz w:val="28"/>
          <w:szCs w:val="28"/>
          <w:highlight w:val="none"/>
          <w:lang w:eastAsia="zh-CN"/>
        </w:rPr>
        <w:t>（款）</w:t>
      </w:r>
      <w:r>
        <w:rPr>
          <w:rStyle w:val="19"/>
          <w:rFonts w:hint="eastAsia" w:ascii="宋体" w:hAnsi="宋体" w:eastAsia="宋体" w:cs="宋体"/>
          <w:b w:val="0"/>
          <w:bCs w:val="0"/>
          <w:sz w:val="28"/>
          <w:szCs w:val="28"/>
          <w:highlight w:val="none"/>
        </w:rPr>
        <w:t>事业单位医疗</w:t>
      </w:r>
      <w:r>
        <w:rPr>
          <w:rStyle w:val="19"/>
          <w:rFonts w:hint="eastAsia" w:ascii="宋体" w:hAnsi="宋体" w:eastAsia="宋体" w:cs="宋体"/>
          <w:b w:val="0"/>
          <w:bCs w:val="0"/>
          <w:sz w:val="28"/>
          <w:szCs w:val="28"/>
          <w:highlight w:val="none"/>
          <w:lang w:eastAsia="zh-CN"/>
        </w:rPr>
        <w:t>（项）</w:t>
      </w:r>
      <w:r>
        <w:rPr>
          <w:rStyle w:val="19"/>
          <w:rFonts w:hint="eastAsia" w:ascii="宋体" w:hAnsi="宋体" w:eastAsia="宋体" w:cs="宋体"/>
          <w:b w:val="0"/>
          <w:bCs w:val="0"/>
          <w:sz w:val="28"/>
          <w:szCs w:val="28"/>
          <w:highlight w:val="none"/>
        </w:rPr>
        <w:t>是指财政部门集中安排的事业单位基本医疗保险缴费经费，未参加医疗保险的事业单位基本的公费医疗经费，按国家规定享受离休人员待遇人员的医疗经费。</w:t>
      </w:r>
    </w:p>
    <w:p w14:paraId="5BB0AAFF">
      <w:pPr>
        <w:pStyle w:val="14"/>
        <w:keepNext w:val="0"/>
        <w:keepLines w:val="0"/>
        <w:pageBreakBefore w:val="0"/>
        <w:widowControl/>
        <w:suppressLineNumbers w:val="0"/>
        <w:shd w:val="clear" w:color="auto" w:fill="FFFFFF"/>
        <w:kinsoku/>
        <w:wordWrap/>
        <w:overflowPunct/>
        <w:topLinePunct w:val="0"/>
        <w:autoSpaceDE/>
        <w:autoSpaceDN/>
        <w:bidi w:val="0"/>
        <w:adjustRightInd/>
        <w:snapToGrid/>
        <w:spacing w:line="600" w:lineRule="exact"/>
        <w:ind w:firstLine="560" w:firstLineChars="200"/>
        <w:jc w:val="left"/>
        <w:textAlignment w:val="auto"/>
        <w:rPr>
          <w:rStyle w:val="19"/>
          <w:rFonts w:hint="eastAsia" w:ascii="宋体" w:hAnsi="宋体" w:eastAsia="宋体" w:cs="宋体"/>
          <w:b w:val="0"/>
          <w:bCs w:val="0"/>
          <w:color w:val="000000"/>
          <w:sz w:val="28"/>
          <w:szCs w:val="28"/>
          <w:highlight w:val="none"/>
          <w:lang w:val="en-US" w:eastAsia="zh-CN"/>
        </w:rPr>
      </w:pPr>
      <w:r>
        <w:rPr>
          <w:rFonts w:hint="eastAsia" w:ascii="宋体" w:hAnsi="宋体" w:eastAsia="宋体" w:cs="宋体"/>
          <w:b w:val="0"/>
          <w:bCs w:val="0"/>
          <w:color w:val="000000"/>
          <w:sz w:val="28"/>
          <w:szCs w:val="28"/>
          <w:highlight w:val="none"/>
          <w:lang w:val="en-US" w:eastAsia="zh-CN"/>
        </w:rPr>
        <w:t>10.城乡社区支出</w:t>
      </w:r>
      <w:r>
        <w:rPr>
          <w:rStyle w:val="19"/>
          <w:rFonts w:hint="eastAsia" w:ascii="宋体" w:hAnsi="宋体" w:eastAsia="宋体" w:cs="宋体"/>
          <w:b w:val="0"/>
          <w:bCs w:val="0"/>
          <w:color w:val="000000"/>
          <w:sz w:val="28"/>
          <w:szCs w:val="28"/>
          <w:highlight w:val="none"/>
        </w:rPr>
        <w:t>（类）</w:t>
      </w:r>
      <w:r>
        <w:rPr>
          <w:rStyle w:val="19"/>
          <w:rFonts w:hint="eastAsia" w:ascii="宋体" w:hAnsi="宋体" w:eastAsia="宋体" w:cs="宋体"/>
          <w:b w:val="0"/>
          <w:bCs w:val="0"/>
          <w:color w:val="000000"/>
          <w:sz w:val="28"/>
          <w:szCs w:val="28"/>
          <w:highlight w:val="none"/>
          <w:lang w:eastAsia="zh-CN"/>
        </w:rPr>
        <w:t>：反映政府</w:t>
      </w:r>
      <w:r>
        <w:rPr>
          <w:rFonts w:hint="eastAsia" w:ascii="宋体" w:hAnsi="宋体" w:eastAsia="宋体" w:cs="宋体"/>
          <w:b w:val="0"/>
          <w:bCs w:val="0"/>
          <w:color w:val="000000"/>
          <w:sz w:val="28"/>
          <w:szCs w:val="28"/>
          <w:highlight w:val="none"/>
          <w:lang w:val="en-US" w:eastAsia="zh-CN"/>
        </w:rPr>
        <w:t>城乡社区事务</w:t>
      </w:r>
      <w:r>
        <w:rPr>
          <w:rFonts w:hint="eastAsia" w:ascii="宋体" w:hAnsi="宋体" w:eastAsia="宋体" w:cs="宋体"/>
          <w:b w:val="0"/>
          <w:bCs w:val="0"/>
          <w:color w:val="000000"/>
          <w:sz w:val="28"/>
          <w:szCs w:val="28"/>
          <w:highlight w:val="none"/>
          <w:lang w:eastAsia="zh-CN"/>
        </w:rPr>
        <w:t>的支出。国有土地使用权出让收入安排的支出</w:t>
      </w:r>
      <w:r>
        <w:rPr>
          <w:rStyle w:val="19"/>
          <w:rFonts w:hint="eastAsia" w:ascii="宋体" w:hAnsi="宋体" w:eastAsia="宋体" w:cs="宋体"/>
          <w:b w:val="0"/>
          <w:bCs w:val="0"/>
          <w:color w:val="000000"/>
          <w:sz w:val="28"/>
          <w:szCs w:val="28"/>
          <w:highlight w:val="none"/>
        </w:rPr>
        <w:t>（款）</w:t>
      </w:r>
      <w:r>
        <w:rPr>
          <w:rStyle w:val="19"/>
          <w:rFonts w:hint="eastAsia" w:ascii="宋体" w:hAnsi="宋体" w:eastAsia="宋体" w:cs="宋体"/>
          <w:b w:val="0"/>
          <w:bCs w:val="0"/>
          <w:color w:val="000000"/>
          <w:sz w:val="28"/>
          <w:szCs w:val="28"/>
          <w:highlight w:val="none"/>
          <w:lang w:eastAsia="zh-CN"/>
        </w:rPr>
        <w:t>：反映</w:t>
      </w:r>
      <w:r>
        <w:rPr>
          <w:rStyle w:val="19"/>
          <w:rFonts w:hint="eastAsia" w:ascii="宋体" w:hAnsi="宋体" w:eastAsia="宋体" w:cs="宋体"/>
          <w:b w:val="0"/>
          <w:bCs w:val="0"/>
          <w:color w:val="000000"/>
          <w:sz w:val="28"/>
          <w:szCs w:val="28"/>
          <w:highlight w:val="none"/>
          <w:lang w:val="en-US" w:eastAsia="zh-CN"/>
        </w:rPr>
        <w:t>用不含计提和划转部分的国有土地使用权出让收入按排的支出。 其他国有土地使用权出让收入安排的支出</w:t>
      </w:r>
      <w:r>
        <w:rPr>
          <w:rStyle w:val="19"/>
          <w:rFonts w:hint="eastAsia" w:ascii="宋体" w:hAnsi="宋体" w:eastAsia="宋体" w:cs="宋体"/>
          <w:b w:val="0"/>
          <w:bCs w:val="0"/>
          <w:sz w:val="28"/>
          <w:szCs w:val="28"/>
          <w:highlight w:val="none"/>
          <w:lang w:eastAsia="zh-CN"/>
        </w:rPr>
        <w:t>（项）：</w:t>
      </w:r>
      <w:r>
        <w:rPr>
          <w:rStyle w:val="19"/>
          <w:rFonts w:hint="eastAsia" w:ascii="宋体" w:hAnsi="宋体" w:eastAsia="宋体" w:cs="宋体"/>
          <w:b w:val="0"/>
          <w:bCs w:val="0"/>
          <w:color w:val="000000"/>
          <w:sz w:val="28"/>
          <w:szCs w:val="28"/>
          <w:highlight w:val="none"/>
          <w:lang w:val="en-US" w:eastAsia="zh-CN"/>
        </w:rPr>
        <w:t>土地出让收入用于其他方面的支出。城市基础设施配套费安排的支出</w:t>
      </w:r>
      <w:r>
        <w:rPr>
          <w:rStyle w:val="19"/>
          <w:rFonts w:hint="eastAsia" w:ascii="宋体" w:hAnsi="宋体" w:eastAsia="宋体" w:cs="宋体"/>
          <w:b w:val="0"/>
          <w:bCs w:val="0"/>
          <w:color w:val="000000"/>
          <w:sz w:val="28"/>
          <w:szCs w:val="28"/>
          <w:highlight w:val="none"/>
        </w:rPr>
        <w:t>（款）</w:t>
      </w:r>
      <w:r>
        <w:rPr>
          <w:rStyle w:val="19"/>
          <w:rFonts w:hint="eastAsia" w:ascii="宋体" w:hAnsi="宋体" w:eastAsia="宋体" w:cs="宋体"/>
          <w:b w:val="0"/>
          <w:bCs w:val="0"/>
          <w:color w:val="000000"/>
          <w:sz w:val="28"/>
          <w:szCs w:val="28"/>
          <w:highlight w:val="none"/>
          <w:lang w:eastAsia="zh-CN"/>
        </w:rPr>
        <w:t>：反映</w:t>
      </w:r>
      <w:r>
        <w:rPr>
          <w:rStyle w:val="19"/>
          <w:rFonts w:hint="eastAsia" w:ascii="宋体" w:hAnsi="宋体" w:eastAsia="宋体" w:cs="宋体"/>
          <w:b w:val="0"/>
          <w:bCs w:val="0"/>
          <w:color w:val="000000"/>
          <w:sz w:val="28"/>
          <w:szCs w:val="28"/>
          <w:highlight w:val="none"/>
          <w:lang w:val="en-US" w:eastAsia="zh-CN"/>
        </w:rPr>
        <w:t>城市基础设施配套费安排的支出。城市公共设施</w:t>
      </w:r>
      <w:r>
        <w:rPr>
          <w:rStyle w:val="19"/>
          <w:rFonts w:hint="eastAsia" w:ascii="宋体" w:hAnsi="宋体" w:eastAsia="宋体" w:cs="宋体"/>
          <w:b w:val="0"/>
          <w:bCs w:val="0"/>
          <w:sz w:val="28"/>
          <w:szCs w:val="28"/>
          <w:highlight w:val="none"/>
          <w:lang w:eastAsia="zh-CN"/>
        </w:rPr>
        <w:t>（项）：</w:t>
      </w:r>
      <w:r>
        <w:rPr>
          <w:rStyle w:val="19"/>
          <w:rFonts w:hint="eastAsia" w:ascii="宋体" w:hAnsi="宋体" w:eastAsia="宋体" w:cs="宋体"/>
          <w:b w:val="0"/>
          <w:bCs w:val="0"/>
          <w:color w:val="000000"/>
          <w:sz w:val="28"/>
          <w:szCs w:val="28"/>
          <w:highlight w:val="none"/>
          <w:lang w:eastAsia="zh-CN"/>
        </w:rPr>
        <w:t>反映</w:t>
      </w:r>
      <w:r>
        <w:rPr>
          <w:rStyle w:val="19"/>
          <w:rFonts w:hint="eastAsia" w:ascii="宋体" w:hAnsi="宋体" w:eastAsia="宋体" w:cs="宋体"/>
          <w:b w:val="0"/>
          <w:bCs w:val="0"/>
          <w:color w:val="000000"/>
          <w:sz w:val="28"/>
          <w:szCs w:val="28"/>
          <w:highlight w:val="none"/>
          <w:lang w:val="en-US" w:eastAsia="zh-CN"/>
        </w:rPr>
        <w:t>城市基础设施配套费安排用于城市道路、公共交通、道路照明等公共设施维护、建设和管理方面的支出。</w:t>
      </w:r>
    </w:p>
    <w:p w14:paraId="16996C30">
      <w:pPr>
        <w:pStyle w:val="14"/>
        <w:keepNext w:val="0"/>
        <w:keepLines w:val="0"/>
        <w:pageBreakBefore w:val="0"/>
        <w:widowControl/>
        <w:numPr>
          <w:ilvl w:val="0"/>
          <w:numId w:val="0"/>
        </w:numPr>
        <w:suppressLineNumbers w:val="0"/>
        <w:shd w:val="clear" w:color="auto" w:fill="FFFFFF"/>
        <w:kinsoku/>
        <w:wordWrap/>
        <w:overflowPunct/>
        <w:topLinePunct w:val="0"/>
        <w:bidi w:val="0"/>
        <w:snapToGrid/>
        <w:spacing w:line="600" w:lineRule="exact"/>
        <w:ind w:firstLine="560" w:firstLineChars="200"/>
        <w:jc w:val="left"/>
        <w:textAlignment w:val="auto"/>
        <w:rPr>
          <w:rStyle w:val="19"/>
          <w:rFonts w:hint="eastAsia" w:ascii="宋体" w:hAnsi="宋体" w:eastAsia="宋体" w:cs="宋体"/>
          <w:b w:val="0"/>
          <w:bCs w:val="0"/>
          <w:color w:val="000000"/>
          <w:sz w:val="28"/>
          <w:szCs w:val="28"/>
          <w:highlight w:val="none"/>
          <w:lang w:val="en-US" w:eastAsia="zh-CN"/>
        </w:rPr>
      </w:pPr>
      <w:r>
        <w:rPr>
          <w:rStyle w:val="19"/>
          <w:rFonts w:hint="eastAsia" w:ascii="宋体" w:hAnsi="宋体" w:eastAsia="宋体" w:cs="宋体"/>
          <w:b w:val="0"/>
          <w:bCs w:val="0"/>
          <w:color w:val="000000"/>
          <w:sz w:val="28"/>
          <w:szCs w:val="28"/>
          <w:highlight w:val="none"/>
          <w:lang w:val="en-US" w:eastAsia="zh-CN"/>
        </w:rPr>
        <w:t>11、资源勘探工业信息等支出</w:t>
      </w:r>
      <w:r>
        <w:rPr>
          <w:rStyle w:val="19"/>
          <w:rFonts w:hint="eastAsia" w:ascii="宋体" w:hAnsi="宋体" w:eastAsia="宋体" w:cs="宋体"/>
          <w:b w:val="0"/>
          <w:bCs w:val="0"/>
          <w:color w:val="000000"/>
          <w:sz w:val="28"/>
          <w:szCs w:val="28"/>
          <w:highlight w:val="none"/>
          <w:lang w:eastAsia="zh-CN"/>
        </w:rPr>
        <w:t>资源勘探工业信息等支出</w:t>
      </w:r>
      <w:r>
        <w:rPr>
          <w:rStyle w:val="19"/>
          <w:rFonts w:hint="eastAsia" w:ascii="宋体" w:hAnsi="宋体" w:eastAsia="宋体" w:cs="宋体"/>
          <w:b w:val="0"/>
          <w:bCs w:val="0"/>
          <w:color w:val="000000"/>
          <w:sz w:val="28"/>
          <w:szCs w:val="28"/>
          <w:highlight w:val="none"/>
        </w:rPr>
        <w:t>（类）制造业</w:t>
      </w:r>
      <w:r>
        <w:rPr>
          <w:rStyle w:val="19"/>
          <w:rFonts w:hint="eastAsia" w:ascii="宋体" w:hAnsi="宋体" w:eastAsia="宋体" w:cs="宋体"/>
          <w:b w:val="0"/>
          <w:bCs w:val="0"/>
          <w:color w:val="000000"/>
          <w:sz w:val="28"/>
          <w:szCs w:val="28"/>
          <w:highlight w:val="none"/>
          <w:lang w:val="en-US" w:eastAsia="zh-CN"/>
        </w:rPr>
        <w:t>(款)其他制造业支出（</w:t>
      </w:r>
      <w:r>
        <w:rPr>
          <w:rStyle w:val="19"/>
          <w:rFonts w:hint="eastAsia" w:ascii="宋体" w:hAnsi="宋体" w:eastAsia="宋体" w:cs="宋体"/>
          <w:b w:val="0"/>
          <w:bCs w:val="0"/>
          <w:sz w:val="28"/>
          <w:szCs w:val="28"/>
          <w:highlight w:val="none"/>
          <w:lang w:eastAsia="zh-CN"/>
        </w:rPr>
        <w:t>项</w:t>
      </w:r>
      <w:r>
        <w:rPr>
          <w:rStyle w:val="19"/>
          <w:rFonts w:hint="eastAsia" w:ascii="宋体" w:hAnsi="宋体" w:eastAsia="宋体" w:cs="宋体"/>
          <w:b w:val="0"/>
          <w:bCs w:val="0"/>
          <w:color w:val="000000"/>
          <w:sz w:val="28"/>
          <w:szCs w:val="28"/>
          <w:highlight w:val="none"/>
          <w:lang w:val="en-US" w:eastAsia="zh-CN"/>
        </w:rPr>
        <w:t>）:指其他用于制造业方面的支出。</w:t>
      </w:r>
    </w:p>
    <w:p w14:paraId="2CAA4CEA">
      <w:pPr>
        <w:pStyle w:val="14"/>
        <w:keepNext w:val="0"/>
        <w:keepLines w:val="0"/>
        <w:pageBreakBefore w:val="0"/>
        <w:widowControl/>
        <w:numPr>
          <w:ilvl w:val="0"/>
          <w:numId w:val="0"/>
        </w:numPr>
        <w:suppressLineNumbers w:val="0"/>
        <w:shd w:val="clear" w:color="auto" w:fill="FFFFFF"/>
        <w:kinsoku/>
        <w:wordWrap/>
        <w:overflowPunct/>
        <w:topLinePunct w:val="0"/>
        <w:bidi w:val="0"/>
        <w:snapToGrid/>
        <w:spacing w:line="600" w:lineRule="exact"/>
        <w:ind w:firstLine="560" w:firstLineChars="200"/>
        <w:jc w:val="left"/>
        <w:textAlignment w:val="auto"/>
        <w:rPr>
          <w:rStyle w:val="19"/>
          <w:rFonts w:hint="eastAsia" w:ascii="宋体" w:hAnsi="宋体" w:eastAsia="宋体" w:cs="宋体"/>
          <w:b w:val="0"/>
          <w:bCs w:val="0"/>
          <w:color w:val="000000"/>
          <w:sz w:val="28"/>
          <w:szCs w:val="28"/>
          <w:highlight w:val="none"/>
          <w:lang w:val="en-US" w:eastAsia="zh-CN"/>
        </w:rPr>
      </w:pPr>
      <w:r>
        <w:rPr>
          <w:rStyle w:val="19"/>
          <w:rFonts w:hint="eastAsia" w:ascii="宋体" w:hAnsi="宋体" w:eastAsia="宋体" w:cs="宋体"/>
          <w:b w:val="0"/>
          <w:bCs w:val="0"/>
          <w:color w:val="000000"/>
          <w:sz w:val="28"/>
          <w:szCs w:val="28"/>
          <w:highlight w:val="none"/>
          <w:lang w:val="en-US" w:eastAsia="zh-CN"/>
        </w:rPr>
        <w:t>11、</w:t>
      </w:r>
      <w:r>
        <w:rPr>
          <w:rStyle w:val="19"/>
          <w:rFonts w:hint="eastAsia" w:ascii="宋体" w:hAnsi="宋体" w:eastAsia="宋体" w:cs="宋体"/>
          <w:b w:val="0"/>
          <w:bCs w:val="0"/>
          <w:color w:val="000000"/>
          <w:sz w:val="28"/>
          <w:szCs w:val="28"/>
          <w:highlight w:val="none"/>
          <w:lang w:eastAsia="zh-CN"/>
        </w:rPr>
        <w:t>资源勘探工业信息等支出</w:t>
      </w:r>
      <w:r>
        <w:rPr>
          <w:rStyle w:val="19"/>
          <w:rFonts w:hint="eastAsia" w:ascii="宋体" w:hAnsi="宋体" w:eastAsia="宋体" w:cs="宋体"/>
          <w:b w:val="0"/>
          <w:bCs w:val="0"/>
          <w:color w:val="000000"/>
          <w:sz w:val="28"/>
          <w:szCs w:val="28"/>
          <w:highlight w:val="none"/>
        </w:rPr>
        <w:t>（类）工业和信息产业监管</w:t>
      </w:r>
      <w:r>
        <w:rPr>
          <w:rStyle w:val="19"/>
          <w:rFonts w:hint="eastAsia" w:ascii="宋体" w:hAnsi="宋体" w:eastAsia="宋体" w:cs="宋体"/>
          <w:b w:val="0"/>
          <w:bCs w:val="0"/>
          <w:color w:val="000000"/>
          <w:sz w:val="28"/>
          <w:szCs w:val="28"/>
          <w:highlight w:val="none"/>
          <w:lang w:val="en-US" w:eastAsia="zh-CN"/>
        </w:rPr>
        <w:t>(款)其他工业和信息产业监管支出（</w:t>
      </w:r>
      <w:r>
        <w:rPr>
          <w:rStyle w:val="19"/>
          <w:rFonts w:hint="eastAsia" w:ascii="宋体" w:hAnsi="宋体" w:eastAsia="宋体" w:cs="宋体"/>
          <w:b w:val="0"/>
          <w:bCs w:val="0"/>
          <w:sz w:val="28"/>
          <w:szCs w:val="28"/>
          <w:highlight w:val="none"/>
          <w:lang w:eastAsia="zh-CN"/>
        </w:rPr>
        <w:t>项</w:t>
      </w:r>
      <w:r>
        <w:rPr>
          <w:rStyle w:val="19"/>
          <w:rFonts w:hint="eastAsia" w:ascii="宋体" w:hAnsi="宋体" w:eastAsia="宋体" w:cs="宋体"/>
          <w:b w:val="0"/>
          <w:bCs w:val="0"/>
          <w:color w:val="000000"/>
          <w:sz w:val="28"/>
          <w:szCs w:val="28"/>
          <w:highlight w:val="none"/>
          <w:lang w:val="en-US" w:eastAsia="zh-CN"/>
        </w:rPr>
        <w:t>）:指其他用于</w:t>
      </w:r>
      <w:r>
        <w:rPr>
          <w:rStyle w:val="19"/>
          <w:rFonts w:hint="eastAsia" w:ascii="宋体" w:hAnsi="宋体" w:eastAsia="宋体" w:cs="宋体"/>
          <w:b w:val="0"/>
          <w:bCs w:val="0"/>
          <w:color w:val="000000"/>
          <w:sz w:val="28"/>
          <w:szCs w:val="28"/>
          <w:highlight w:val="none"/>
        </w:rPr>
        <w:t>工业和信息产业监管</w:t>
      </w:r>
      <w:r>
        <w:rPr>
          <w:rStyle w:val="19"/>
          <w:rFonts w:hint="eastAsia" w:ascii="宋体" w:hAnsi="宋体" w:eastAsia="宋体" w:cs="宋体"/>
          <w:b w:val="0"/>
          <w:bCs w:val="0"/>
          <w:color w:val="000000"/>
          <w:sz w:val="28"/>
          <w:szCs w:val="28"/>
          <w:highlight w:val="none"/>
          <w:lang w:val="en-US" w:eastAsia="zh-CN"/>
        </w:rPr>
        <w:t>方面的支出。</w:t>
      </w:r>
    </w:p>
    <w:p w14:paraId="2CA8BD71">
      <w:pPr>
        <w:pStyle w:val="14"/>
        <w:keepNext w:val="0"/>
        <w:keepLines w:val="0"/>
        <w:pageBreakBefore w:val="0"/>
        <w:widowControl/>
        <w:numPr>
          <w:ilvl w:val="0"/>
          <w:numId w:val="0"/>
        </w:numPr>
        <w:suppressLineNumbers w:val="0"/>
        <w:shd w:val="clear" w:color="auto" w:fill="FFFFFF"/>
        <w:kinsoku/>
        <w:wordWrap/>
        <w:overflowPunct/>
        <w:topLinePunct w:val="0"/>
        <w:bidi w:val="0"/>
        <w:snapToGrid/>
        <w:spacing w:line="600" w:lineRule="exact"/>
        <w:ind w:firstLine="560" w:firstLineChars="200"/>
        <w:jc w:val="left"/>
        <w:textAlignment w:val="auto"/>
        <w:rPr>
          <w:rStyle w:val="19"/>
          <w:rFonts w:hint="eastAsia" w:ascii="宋体" w:hAnsi="宋体" w:eastAsia="宋体" w:cs="宋体"/>
          <w:b w:val="0"/>
          <w:bCs w:val="0"/>
          <w:color w:val="000000"/>
          <w:sz w:val="28"/>
          <w:szCs w:val="28"/>
          <w:highlight w:val="none"/>
          <w:lang w:eastAsia="zh-CN"/>
        </w:rPr>
      </w:pPr>
      <w:r>
        <w:rPr>
          <w:rFonts w:hint="eastAsia" w:ascii="宋体" w:hAnsi="宋体" w:eastAsia="宋体" w:cs="宋体"/>
          <w:b w:val="0"/>
          <w:bCs w:val="0"/>
          <w:color w:val="auto"/>
          <w:sz w:val="28"/>
          <w:szCs w:val="28"/>
          <w:highlight w:val="none"/>
          <w:lang w:val="en-US" w:eastAsia="zh-CN"/>
        </w:rPr>
        <w:t>12、</w:t>
      </w:r>
      <w:r>
        <w:rPr>
          <w:rFonts w:hint="eastAsia" w:ascii="宋体" w:hAnsi="宋体" w:eastAsia="宋体" w:cs="宋体"/>
          <w:b w:val="0"/>
          <w:bCs w:val="0"/>
          <w:color w:val="auto"/>
          <w:sz w:val="28"/>
          <w:szCs w:val="28"/>
          <w:highlight w:val="none"/>
        </w:rPr>
        <w:t>住房保障支出</w:t>
      </w:r>
      <w:r>
        <w:rPr>
          <w:rStyle w:val="19"/>
          <w:rFonts w:hint="eastAsia" w:ascii="宋体" w:hAnsi="宋体" w:eastAsia="宋体" w:cs="宋体"/>
          <w:b w:val="0"/>
          <w:bCs w:val="0"/>
          <w:color w:val="auto"/>
          <w:sz w:val="28"/>
          <w:szCs w:val="28"/>
          <w:highlight w:val="none"/>
        </w:rPr>
        <w:t>（</w:t>
      </w:r>
      <w:r>
        <w:rPr>
          <w:rStyle w:val="19"/>
          <w:rFonts w:hint="eastAsia" w:ascii="宋体" w:hAnsi="宋体" w:eastAsia="宋体" w:cs="宋体"/>
          <w:b w:val="0"/>
          <w:bCs w:val="0"/>
          <w:color w:val="000000"/>
          <w:sz w:val="28"/>
          <w:szCs w:val="28"/>
          <w:highlight w:val="none"/>
        </w:rPr>
        <w:t>类）</w:t>
      </w:r>
      <w:r>
        <w:rPr>
          <w:rStyle w:val="19"/>
          <w:rFonts w:hint="eastAsia" w:ascii="宋体" w:hAnsi="宋体" w:eastAsia="宋体" w:cs="宋体"/>
          <w:b w:val="0"/>
          <w:bCs w:val="0"/>
          <w:color w:val="000000"/>
          <w:sz w:val="28"/>
          <w:szCs w:val="28"/>
          <w:highlight w:val="none"/>
          <w:lang w:eastAsia="zh-CN"/>
        </w:rPr>
        <w:t>：集中反映政府用于住房方面的支出。</w:t>
      </w:r>
      <w:r>
        <w:rPr>
          <w:rStyle w:val="19"/>
          <w:rFonts w:hint="eastAsia" w:ascii="宋体" w:hAnsi="宋体" w:eastAsia="宋体" w:cs="宋体"/>
          <w:b w:val="0"/>
          <w:bCs w:val="0"/>
          <w:color w:val="000000"/>
          <w:sz w:val="28"/>
          <w:szCs w:val="28"/>
          <w:highlight w:val="none"/>
        </w:rPr>
        <w:t xml:space="preserve">住房改革支出（款） </w:t>
      </w:r>
      <w:r>
        <w:rPr>
          <w:rStyle w:val="19"/>
          <w:rFonts w:hint="eastAsia" w:ascii="宋体" w:hAnsi="宋体" w:eastAsia="宋体" w:cs="宋体"/>
          <w:b w:val="0"/>
          <w:bCs w:val="0"/>
          <w:color w:val="000000"/>
          <w:sz w:val="28"/>
          <w:szCs w:val="28"/>
          <w:highlight w:val="none"/>
          <w:lang w:eastAsia="zh-CN"/>
        </w:rPr>
        <w:t>反映行政事业单位用财政拨款资金和其他资金等安排的</w:t>
      </w:r>
      <w:r>
        <w:rPr>
          <w:rStyle w:val="19"/>
          <w:rFonts w:hint="eastAsia" w:ascii="宋体" w:hAnsi="宋体" w:eastAsia="宋体" w:cs="宋体"/>
          <w:b w:val="0"/>
          <w:bCs w:val="0"/>
          <w:color w:val="000000"/>
          <w:sz w:val="28"/>
          <w:szCs w:val="28"/>
          <w:highlight w:val="none"/>
        </w:rPr>
        <w:t>住房改革支出</w:t>
      </w:r>
      <w:r>
        <w:rPr>
          <w:rStyle w:val="19"/>
          <w:rFonts w:hint="eastAsia" w:ascii="宋体" w:hAnsi="宋体" w:eastAsia="宋体" w:cs="宋体"/>
          <w:b w:val="0"/>
          <w:bCs w:val="0"/>
          <w:color w:val="000000"/>
          <w:sz w:val="28"/>
          <w:szCs w:val="28"/>
          <w:highlight w:val="none"/>
          <w:lang w:eastAsia="zh-CN"/>
        </w:rPr>
        <w:t>。</w:t>
      </w:r>
      <w:r>
        <w:rPr>
          <w:rStyle w:val="19"/>
          <w:rFonts w:hint="eastAsia" w:ascii="宋体" w:hAnsi="宋体" w:eastAsia="宋体" w:cs="宋体"/>
          <w:b w:val="0"/>
          <w:bCs w:val="0"/>
          <w:color w:val="000000"/>
          <w:sz w:val="28"/>
          <w:szCs w:val="28"/>
          <w:highlight w:val="none"/>
        </w:rPr>
        <w:t>住房公积金（项）:</w:t>
      </w:r>
      <w:r>
        <w:rPr>
          <w:rStyle w:val="19"/>
          <w:rFonts w:hint="eastAsia" w:ascii="宋体" w:hAnsi="宋体" w:eastAsia="宋体" w:cs="宋体"/>
          <w:b w:val="0"/>
          <w:bCs w:val="0"/>
          <w:color w:val="000000"/>
          <w:sz w:val="28"/>
          <w:szCs w:val="28"/>
          <w:highlight w:val="none"/>
          <w:lang w:eastAsia="zh-CN"/>
        </w:rPr>
        <w:t>反映行政事业单位按人力资源和社会保障部、财政部规定的基本工资和津贴补贴以及规定比例为职工缴纳的</w:t>
      </w:r>
      <w:r>
        <w:rPr>
          <w:rStyle w:val="19"/>
          <w:rFonts w:hint="eastAsia" w:ascii="宋体" w:hAnsi="宋体" w:eastAsia="宋体" w:cs="宋体"/>
          <w:b w:val="0"/>
          <w:bCs w:val="0"/>
          <w:color w:val="000000"/>
          <w:sz w:val="28"/>
          <w:szCs w:val="28"/>
          <w:highlight w:val="none"/>
        </w:rPr>
        <w:t>住房公积金</w:t>
      </w:r>
      <w:r>
        <w:rPr>
          <w:rStyle w:val="19"/>
          <w:rFonts w:hint="eastAsia" w:ascii="宋体" w:hAnsi="宋体" w:eastAsia="宋体" w:cs="宋体"/>
          <w:b w:val="0"/>
          <w:bCs w:val="0"/>
          <w:color w:val="000000"/>
          <w:sz w:val="28"/>
          <w:szCs w:val="28"/>
          <w:highlight w:val="none"/>
          <w:lang w:eastAsia="zh-CN"/>
        </w:rPr>
        <w:t>。</w:t>
      </w:r>
    </w:p>
    <w:p w14:paraId="7E805FE4">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13</w:t>
      </w:r>
      <w:r>
        <w:rPr>
          <w:rFonts w:hint="eastAsia" w:ascii="宋体" w:hAnsi="宋体" w:eastAsia="宋体" w:cs="宋体"/>
          <w:sz w:val="28"/>
          <w:szCs w:val="28"/>
        </w:rPr>
        <w:t>.基本支出：指为保障机构正常运转、完成日常工作任务而发生的人员支出和公用支出。</w:t>
      </w:r>
    </w:p>
    <w:p w14:paraId="14F6438A">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14</w:t>
      </w:r>
      <w:r>
        <w:rPr>
          <w:rFonts w:hint="eastAsia" w:ascii="宋体" w:hAnsi="宋体" w:eastAsia="宋体" w:cs="宋体"/>
          <w:sz w:val="28"/>
          <w:szCs w:val="28"/>
        </w:rPr>
        <w:t xml:space="preserve">.项目支出：指在基本支出之外为完成特定行政任务和事业发展目标所发生的支出。 </w:t>
      </w:r>
    </w:p>
    <w:p w14:paraId="5E226C42">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15</w:t>
      </w:r>
      <w:r>
        <w:rPr>
          <w:rFonts w:hint="eastAsia" w:ascii="宋体" w:hAnsi="宋体" w:eastAsia="宋体" w:cs="宋体"/>
          <w:sz w:val="28"/>
          <w:szCs w:val="28"/>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8637638">
      <w:pPr>
        <w:keepNext w:val="0"/>
        <w:keepLines w:val="0"/>
        <w:pageBreakBefore w:val="0"/>
        <w:kinsoku/>
        <w:wordWrap/>
        <w:overflowPunct/>
        <w:topLinePunct w:val="0"/>
        <w:bidi w:val="0"/>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16</w:t>
      </w:r>
      <w:r>
        <w:rPr>
          <w:rFonts w:hint="eastAsia" w:ascii="宋体" w:hAnsi="宋体" w:eastAsia="宋体" w:cs="宋体"/>
          <w:sz w:val="28"/>
          <w:szCs w:val="28"/>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9208CD">
      <w:pPr>
        <w:ind w:firstLine="640" w:firstLineChars="200"/>
        <w:rPr>
          <w:rFonts w:ascii="仿宋_GB2312" w:eastAsia="仿宋_GB2312"/>
          <w:sz w:val="32"/>
          <w:szCs w:val="32"/>
        </w:rPr>
      </w:pPr>
    </w:p>
    <w:p w14:paraId="57B0B88F">
      <w:pPr>
        <w:ind w:firstLine="420" w:firstLineChars="200"/>
      </w:pPr>
    </w:p>
    <w:p w14:paraId="4FB8F6FF">
      <w:pPr>
        <w:ind w:firstLine="643" w:firstLineChars="200"/>
        <w:rPr>
          <w:rFonts w:ascii="仿宋" w:hAnsi="仿宋" w:eastAsia="仿宋"/>
          <w:b/>
          <w:sz w:val="32"/>
          <w:szCs w:val="32"/>
        </w:rPr>
      </w:pPr>
      <w:r>
        <w:rPr>
          <w:rFonts w:ascii="仿宋" w:hAnsi="仿宋" w:eastAsia="仿宋"/>
          <w:b/>
          <w:sz w:val="32"/>
          <w:szCs w:val="32"/>
        </w:rPr>
        <w:br w:type="page"/>
      </w:r>
    </w:p>
    <w:p w14:paraId="42BA8AE6">
      <w:pPr>
        <w:pStyle w:val="2"/>
        <w:jc w:val="center"/>
        <w:rPr>
          <w:rFonts w:ascii="黑体" w:hAnsi="黑体" w:eastAsia="黑体"/>
          <w:b w:val="0"/>
        </w:rPr>
      </w:pPr>
      <w:r>
        <w:rPr>
          <w:rFonts w:hint="eastAsia" w:ascii="黑体" w:hAnsi="黑体" w:eastAsia="黑体"/>
          <w:b w:val="0"/>
        </w:rPr>
        <w:t>第四部分 附件</w:t>
      </w:r>
    </w:p>
    <w:p w14:paraId="4C8DBB0A"/>
    <w:p w14:paraId="13C560D6">
      <w:pPr>
        <w:rPr>
          <w:rFonts w:ascii="黑体" w:hAnsi="黑体" w:eastAsia="黑体"/>
          <w:sz w:val="32"/>
          <w:szCs w:val="32"/>
        </w:rPr>
      </w:pPr>
      <w:r>
        <w:rPr>
          <w:rFonts w:hint="eastAsia" w:ascii="黑体" w:hAnsi="黑体" w:eastAsia="黑体"/>
          <w:sz w:val="32"/>
          <w:szCs w:val="32"/>
        </w:rPr>
        <w:t>附件1</w:t>
      </w:r>
    </w:p>
    <w:p w14:paraId="03A0F31E">
      <w:pPr>
        <w:jc w:val="center"/>
        <w:rPr>
          <w:rFonts w:hint="eastAsia" w:ascii="宋体" w:hAnsi="宋体" w:eastAsia="宋体" w:cs="宋体"/>
          <w:b/>
          <w:sz w:val="36"/>
          <w:szCs w:val="36"/>
        </w:rPr>
      </w:pPr>
      <w:r>
        <w:rPr>
          <w:rFonts w:hint="eastAsia" w:ascii="宋体" w:hAnsi="宋体" w:eastAsia="宋体" w:cs="宋体"/>
          <w:b/>
          <w:sz w:val="36"/>
          <w:szCs w:val="36"/>
        </w:rPr>
        <w:t>四川五通桥经济开发区管理委员会</w:t>
      </w:r>
    </w:p>
    <w:p w14:paraId="035F253C">
      <w:pPr>
        <w:jc w:val="center"/>
        <w:rPr>
          <w:rFonts w:hint="eastAsia" w:ascii="宋体" w:hAnsi="宋体" w:eastAsia="宋体" w:cs="宋体"/>
          <w:b/>
          <w:sz w:val="36"/>
          <w:szCs w:val="36"/>
          <w:lang w:val="en-US" w:eastAsia="zh-CN"/>
        </w:rPr>
      </w:pPr>
      <w:r>
        <w:rPr>
          <w:rFonts w:hint="eastAsia" w:ascii="宋体" w:hAnsi="宋体" w:eastAsia="宋体" w:cs="宋体"/>
          <w:b/>
          <w:sz w:val="36"/>
          <w:szCs w:val="36"/>
        </w:rPr>
        <w:t>202</w:t>
      </w:r>
      <w:r>
        <w:rPr>
          <w:rFonts w:hint="eastAsia" w:ascii="宋体" w:hAnsi="宋体" w:cs="宋体"/>
          <w:b/>
          <w:sz w:val="36"/>
          <w:szCs w:val="36"/>
          <w:lang w:val="en-US" w:eastAsia="zh-CN"/>
        </w:rPr>
        <w:t>3</w:t>
      </w:r>
      <w:r>
        <w:rPr>
          <w:rFonts w:hint="eastAsia" w:ascii="宋体" w:hAnsi="宋体" w:eastAsia="宋体" w:cs="宋体"/>
          <w:b/>
          <w:sz w:val="36"/>
          <w:szCs w:val="36"/>
        </w:rPr>
        <w:t>年部门整体支出绩效</w:t>
      </w:r>
      <w:r>
        <w:rPr>
          <w:rFonts w:hint="eastAsia" w:ascii="宋体" w:hAnsi="宋体" w:eastAsia="宋体" w:cs="宋体"/>
          <w:b/>
          <w:sz w:val="36"/>
          <w:szCs w:val="36"/>
          <w:lang w:val="en-US" w:eastAsia="zh-CN"/>
        </w:rPr>
        <w:t>报告</w:t>
      </w:r>
    </w:p>
    <w:p w14:paraId="2E4D1CDF"/>
    <w:p w14:paraId="6317987C">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一、部门（单位）基本情况</w:t>
      </w:r>
    </w:p>
    <w:p w14:paraId="47D2378D">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（一）机构组成。</w:t>
      </w:r>
      <w:r>
        <w:rPr>
          <w:rFonts w:hint="eastAsia" w:ascii="宋体" w:hAnsi="宋体" w:eastAsia="宋体" w:cs="宋体"/>
          <w:sz w:val="28"/>
          <w:szCs w:val="28"/>
        </w:rPr>
        <w:t>四川五通桥经济开发区管委会设办公室（党群工作部）、经济发展股、安全环保股等三个内设机构。</w:t>
      </w:r>
    </w:p>
    <w:p w14:paraId="47981B81">
      <w:pPr>
        <w:pStyle w:val="37"/>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（二）机构职能。</w:t>
      </w:r>
      <w:r>
        <w:rPr>
          <w:rFonts w:hint="eastAsia" w:ascii="宋体" w:hAnsi="宋体" w:eastAsia="宋体" w:cs="宋体"/>
          <w:sz w:val="28"/>
          <w:szCs w:val="28"/>
        </w:rPr>
        <w:t>区委区政府授权基地党工委、管委会对五通桥工业基地履行“规划、建设、管理、服务”职能。</w:t>
      </w:r>
    </w:p>
    <w:p w14:paraId="5D95ABC6">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1、党工委主要职责</w:t>
      </w:r>
    </w:p>
    <w:p w14:paraId="3175E71C">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①认真贯彻执行党和国家的路线方针、政策。</w:t>
      </w:r>
    </w:p>
    <w:p w14:paraId="4B694EC2">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②研究园区的重要事务和重大事项，并报区委批准后组织实施。</w:t>
      </w:r>
    </w:p>
    <w:p w14:paraId="7E9EF5E9">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③承担园区内党的建设、党风廉政建设、精神文明建设、社会管理综合治理以及群团工作。</w:t>
      </w:r>
    </w:p>
    <w:p w14:paraId="5AE97AD6">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④承担区委交办的其他工作事项。</w:t>
      </w:r>
    </w:p>
    <w:p w14:paraId="2F74CC22">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2、管委会主要职责</w:t>
      </w:r>
    </w:p>
    <w:p w14:paraId="4B148B1B">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①认真贯彻执行党和国家的方针、政策和法律法规，依法制定园区管理办法。</w:t>
      </w:r>
    </w:p>
    <w:p w14:paraId="57B49FAD">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②研究园区的相关重要事务和重大事项，并报区政府批准后组织实施。</w:t>
      </w:r>
    </w:p>
    <w:p w14:paraId="24D05318">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③负责园区的规划、建设、管理和服务工作。</w:t>
      </w:r>
    </w:p>
    <w:p w14:paraId="612F0738">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④负责编制园区总体规划、控制性详规、产业发展规划、经济社会发展计划及社会事业发展等规划，经批准后组织实施。</w:t>
      </w:r>
    </w:p>
    <w:p w14:paraId="0665ED8C">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⑤负责职责范围内安全生产和职业健康、生态环境保护等工作。</w:t>
      </w:r>
    </w:p>
    <w:p w14:paraId="0B7D4261">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⑥履行区政府及相关职能部门授权的相关职能。</w:t>
      </w:r>
    </w:p>
    <w:p w14:paraId="2DB8B8B8">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⑦开展重大项目代办工作。</w:t>
      </w:r>
    </w:p>
    <w:p w14:paraId="24C9C9B9">
      <w:pPr>
        <w:pStyle w:val="3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⑧承担区委、区政府交办的其他工作事项。</w:t>
      </w:r>
    </w:p>
    <w:p w14:paraId="1D5A2937">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（三）</w:t>
      </w:r>
      <w:r>
        <w:rPr>
          <w:rFonts w:hint="eastAsia" w:ascii="宋体" w:hAnsi="宋体" w:eastAsia="宋体" w:cs="宋体"/>
          <w:b/>
          <w:sz w:val="28"/>
          <w:szCs w:val="28"/>
        </w:rPr>
        <w:t>人员概况。</w:t>
      </w:r>
      <w:r>
        <w:rPr>
          <w:rFonts w:hint="eastAsia" w:ascii="宋体" w:hAnsi="宋体" w:eastAsia="宋体" w:cs="宋体"/>
          <w:sz w:val="28"/>
          <w:szCs w:val="28"/>
        </w:rPr>
        <w:t xml:space="preserve"> 截止2023年12月31日，基地管委会行政编制8名,实有人数10人。其中，主持全面工作副主任1名，副主任1名，党工委专职副书记1名，中层正职3名；基地管委会下属区工业基地服务中心人员编制10名，实有人数10人。</w:t>
      </w:r>
    </w:p>
    <w:p w14:paraId="1E9A13CC">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（四）</w:t>
      </w:r>
      <w:r>
        <w:rPr>
          <w:rFonts w:hint="eastAsia" w:ascii="宋体" w:hAnsi="宋体" w:eastAsia="宋体" w:cs="宋体"/>
          <w:sz w:val="28"/>
          <w:szCs w:val="28"/>
        </w:rPr>
        <w:t>年度主要工作任务</w:t>
      </w:r>
    </w:p>
    <w:p w14:paraId="7E71E164">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1、强担当，抓好组织指挥力建设</w:t>
      </w:r>
    </w:p>
    <w:p w14:paraId="495B502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加强经开区管委会和基地公司人员管理，做大做强基地公司，合理调整人员分工，保证项目建设过程中各项工作有序推进。落实领导干部挂联企业，点对点全方位服务企业，及时收集企业发展中存在的问题，及时研究解决措施。强化在建项目监管，加强项目推进过程中的协调调度，定期分析研判，及时处理存在问题，确保各项工程项目按期竣工。</w:t>
      </w:r>
    </w:p>
    <w:p w14:paraId="042EC4CB">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2、战项目，全力保障企业入驻</w:t>
      </w:r>
    </w:p>
    <w:p w14:paraId="4493F703">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全力推进在建项目，加快推进南三路、龙翔路扩建、北二路二期等项目，力争在2023年一季度全面建成投运。加快龙翔、银海山及乐山南变电站建设，全力推进供水二厂、污水处理二厂等项目，保障永祥能源科技12万吨高纯晶硅项目和京运通二期项目落地所需用水、用电等。加快推进会云路、东三路等道路项目前期工作，保障中小企业园和永祥能源科技等企业通行需求。加快张家山片区杆管线迁改，开展张家山片区场平前期工作，为下一步项目入驻打下基础。紧盯福华先进材料产业园项目，全力做好项目落地各项要素保障事项。做好退岸入园片区基础设施项目规划，保障后续项目顺利入驻。</w:t>
      </w:r>
    </w:p>
    <w:p w14:paraId="3DB7335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强弱项，积极推动要素保障</w:t>
      </w:r>
    </w:p>
    <w:p w14:paraId="288CD639">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继续配合相关部门完成省级化工园区申报工作。持续按程序推进基地公司AA级信用评级工作。谋划好园区资金运转，统筹规划一批项目包装，积极申报发行专项债，加大力度对接银行、金融机构，多渠道解决资金缺口问题，以保障2023年园区基础设施项目和征地拆迁资金持续跟进，确保重点工作不断档。完善园区管理体系，规范园区环境治理，做好龙翔路景观设计和主次干道路灯安装，规划建设园区公共停车场，提升园区整体形象。</w:t>
      </w:r>
    </w:p>
    <w:p w14:paraId="5DD6DCC6">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二、部门资金收支情况</w:t>
      </w:r>
    </w:p>
    <w:p w14:paraId="5F349E20">
      <w:pPr>
        <w:pStyle w:val="37"/>
        <w:keepNext w:val="0"/>
        <w:keepLines w:val="0"/>
        <w:pageBreakBefore w:val="0"/>
        <w:kinsoku/>
        <w:wordWrap/>
        <w:overflowPunct/>
        <w:topLinePunct w:val="0"/>
        <w:autoSpaceDE/>
        <w:autoSpaceDN/>
        <w:bidi w:val="0"/>
        <w:adjustRightInd/>
        <w:snapToGrid/>
        <w:spacing w:line="600" w:lineRule="exact"/>
        <w:ind w:left="0" w:firstLine="562" w:firstLineChars="200"/>
        <w:textAlignment w:val="auto"/>
        <w:rPr>
          <w:rFonts w:hint="eastAsia" w:ascii="宋体" w:hAnsi="宋体" w:eastAsia="宋体" w:cs="宋体"/>
          <w:sz w:val="28"/>
          <w:szCs w:val="28"/>
          <w:lang w:val="en-US" w:eastAsia="zh-CN"/>
        </w:rPr>
      </w:pPr>
      <w:r>
        <w:rPr>
          <w:rFonts w:hint="eastAsia" w:ascii="宋体" w:hAnsi="宋体" w:eastAsia="宋体" w:cs="宋体"/>
          <w:b/>
          <w:bCs w:val="0"/>
          <w:sz w:val="28"/>
          <w:szCs w:val="28"/>
        </w:rPr>
        <w:t>（一）收入情况。</w:t>
      </w:r>
      <w:r>
        <w:rPr>
          <w:rFonts w:hint="eastAsia" w:ascii="宋体" w:hAnsi="宋体" w:eastAsia="宋体" w:cs="宋体"/>
          <w:sz w:val="28"/>
          <w:szCs w:val="28"/>
        </w:rPr>
        <w:t xml:space="preserve"> 经开区管委会及工业基地服务中心2023年年初基本支出预算收入3311590.47元，调整后预算收入2,891,053,442.92元，上年结转</w:t>
      </w:r>
      <w:r>
        <w:rPr>
          <w:rFonts w:hint="eastAsia" w:ascii="宋体" w:hAnsi="宋体" w:eastAsia="宋体" w:cs="宋体"/>
          <w:sz w:val="28"/>
          <w:szCs w:val="28"/>
          <w:lang w:val="en-US" w:eastAsia="zh-CN"/>
        </w:rPr>
        <w:t>101638.49元</w:t>
      </w:r>
      <w:r>
        <w:rPr>
          <w:rFonts w:hint="eastAsia" w:ascii="宋体" w:hAnsi="宋体" w:eastAsia="宋体" w:cs="宋体"/>
          <w:sz w:val="28"/>
          <w:szCs w:val="28"/>
        </w:rPr>
        <w:t>。根据决算报表反映</w:t>
      </w:r>
      <w:r>
        <w:rPr>
          <w:rFonts w:hint="eastAsia" w:ascii="宋体" w:hAnsi="宋体" w:eastAsia="宋体" w:cs="宋体"/>
          <w:sz w:val="28"/>
          <w:szCs w:val="28"/>
          <w:lang w:eastAsia="zh-CN"/>
        </w:rPr>
        <w:t>，</w:t>
      </w:r>
      <w:r>
        <w:rPr>
          <w:rFonts w:hint="eastAsia" w:ascii="宋体" w:hAnsi="宋体" w:eastAsia="宋体" w:cs="宋体"/>
          <w:sz w:val="28"/>
          <w:szCs w:val="28"/>
        </w:rPr>
        <w:t>202</w:t>
      </w:r>
      <w:r>
        <w:rPr>
          <w:rFonts w:hint="eastAsia" w:ascii="宋体" w:hAnsi="宋体" w:eastAsia="宋体" w:cs="宋体"/>
          <w:sz w:val="28"/>
          <w:szCs w:val="28"/>
          <w:lang w:val="en-US" w:eastAsia="zh-CN"/>
        </w:rPr>
        <w:t>3</w:t>
      </w:r>
      <w:r>
        <w:rPr>
          <w:rFonts w:hint="eastAsia" w:ascii="宋体" w:hAnsi="宋体" w:eastAsia="宋体" w:cs="宋体"/>
          <w:sz w:val="28"/>
          <w:szCs w:val="28"/>
        </w:rPr>
        <w:t>年决算收入</w:t>
      </w:r>
      <w:r>
        <w:rPr>
          <w:rFonts w:hint="eastAsia" w:ascii="宋体" w:hAnsi="宋体" w:eastAsia="宋体" w:cs="宋体"/>
          <w:sz w:val="28"/>
          <w:szCs w:val="28"/>
          <w:lang w:val="en-US" w:eastAsia="zh-CN"/>
        </w:rPr>
        <w:t>2890951804.43</w:t>
      </w:r>
      <w:r>
        <w:rPr>
          <w:rFonts w:hint="eastAsia" w:ascii="宋体" w:hAnsi="宋体" w:eastAsia="宋体" w:cs="宋体"/>
          <w:sz w:val="28"/>
          <w:szCs w:val="28"/>
        </w:rPr>
        <w:t>元（其中：一般公共预算财政拨款</w:t>
      </w:r>
      <w:r>
        <w:rPr>
          <w:rFonts w:hint="eastAsia" w:ascii="宋体" w:hAnsi="宋体" w:eastAsia="宋体" w:cs="宋体"/>
          <w:sz w:val="28"/>
          <w:szCs w:val="28"/>
          <w:lang w:val="en-US" w:eastAsia="zh-CN"/>
        </w:rPr>
        <w:t>589629051.17</w:t>
      </w:r>
      <w:r>
        <w:rPr>
          <w:rFonts w:hint="eastAsia" w:ascii="宋体" w:hAnsi="宋体" w:eastAsia="宋体" w:cs="宋体"/>
          <w:sz w:val="28"/>
          <w:szCs w:val="28"/>
        </w:rPr>
        <w:t>元，政府性基金预算财政拨款</w:t>
      </w:r>
      <w:r>
        <w:rPr>
          <w:rFonts w:hint="eastAsia" w:ascii="宋体" w:hAnsi="宋体" w:eastAsia="宋体" w:cs="宋体"/>
          <w:sz w:val="28"/>
          <w:szCs w:val="28"/>
          <w:lang w:val="en-US" w:eastAsia="zh-CN"/>
        </w:rPr>
        <w:t>1260866054.09</w:t>
      </w:r>
      <w:r>
        <w:rPr>
          <w:rFonts w:hint="eastAsia" w:ascii="宋体" w:hAnsi="宋体" w:eastAsia="宋体" w:cs="宋体"/>
          <w:sz w:val="28"/>
          <w:szCs w:val="28"/>
        </w:rPr>
        <w:t>元，事业收入0元，其他收入</w:t>
      </w:r>
      <w:r>
        <w:rPr>
          <w:rFonts w:hint="eastAsia" w:ascii="宋体" w:hAnsi="宋体" w:eastAsia="宋体" w:cs="宋体"/>
          <w:sz w:val="28"/>
          <w:szCs w:val="28"/>
          <w:lang w:val="en-US" w:eastAsia="zh-CN"/>
        </w:rPr>
        <w:t>1040456699.17</w:t>
      </w:r>
      <w:r>
        <w:rPr>
          <w:rFonts w:hint="eastAsia" w:ascii="宋体" w:hAnsi="宋体" w:eastAsia="宋体" w:cs="宋体"/>
          <w:sz w:val="28"/>
          <w:szCs w:val="28"/>
        </w:rPr>
        <w:t>元），202</w:t>
      </w:r>
      <w:r>
        <w:rPr>
          <w:rFonts w:hint="eastAsia" w:ascii="宋体" w:hAnsi="宋体" w:eastAsia="宋体" w:cs="宋体"/>
          <w:sz w:val="28"/>
          <w:szCs w:val="28"/>
          <w:lang w:val="en-US" w:eastAsia="zh-CN"/>
        </w:rPr>
        <w:t>3</w:t>
      </w:r>
      <w:r>
        <w:rPr>
          <w:rFonts w:hint="eastAsia" w:ascii="宋体" w:hAnsi="宋体" w:eastAsia="宋体" w:cs="宋体"/>
          <w:sz w:val="28"/>
          <w:szCs w:val="28"/>
        </w:rPr>
        <w:t>年年初结转结余</w:t>
      </w:r>
      <w:r>
        <w:rPr>
          <w:rFonts w:hint="eastAsia" w:ascii="宋体" w:hAnsi="宋体" w:eastAsia="宋体" w:cs="宋体"/>
          <w:sz w:val="28"/>
          <w:szCs w:val="28"/>
          <w:lang w:val="en-US" w:eastAsia="zh-CN"/>
        </w:rPr>
        <w:t>101638.49</w:t>
      </w:r>
      <w:r>
        <w:rPr>
          <w:rFonts w:hint="eastAsia" w:ascii="宋体" w:hAnsi="宋体" w:eastAsia="宋体" w:cs="宋体"/>
          <w:sz w:val="28"/>
          <w:szCs w:val="28"/>
        </w:rPr>
        <w:t>元</w:t>
      </w:r>
      <w:r>
        <w:rPr>
          <w:rFonts w:hint="eastAsia" w:ascii="宋体" w:hAnsi="宋体" w:eastAsia="宋体" w:cs="宋体"/>
          <w:sz w:val="28"/>
          <w:szCs w:val="28"/>
          <w:lang w:val="en-US" w:eastAsia="zh-CN"/>
        </w:rPr>
        <w:t>.</w:t>
      </w:r>
    </w:p>
    <w:p w14:paraId="3FBCC4C6">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sz w:val="28"/>
          <w:szCs w:val="28"/>
          <w:lang w:eastAsia="zh-CN"/>
        </w:rPr>
      </w:pPr>
      <w:bookmarkStart w:id="49" w:name="_Toc85103585"/>
      <w:bookmarkStart w:id="50" w:name="_Toc24990"/>
      <w:r>
        <w:rPr>
          <w:rFonts w:hint="eastAsia" w:ascii="宋体" w:hAnsi="宋体" w:eastAsia="宋体" w:cs="宋体"/>
          <w:b/>
          <w:bCs/>
          <w:sz w:val="28"/>
          <w:szCs w:val="28"/>
        </w:rPr>
        <w:t xml:space="preserve"> （二）支出、结余情况</w:t>
      </w:r>
      <w:bookmarkEnd w:id="49"/>
      <w:bookmarkEnd w:id="50"/>
      <w:r>
        <w:rPr>
          <w:rFonts w:hint="eastAsia" w:ascii="宋体" w:hAnsi="宋体" w:eastAsia="宋体" w:cs="宋体"/>
          <w:b/>
          <w:bCs/>
          <w:sz w:val="28"/>
          <w:szCs w:val="28"/>
          <w:lang w:eastAsia="zh-CN"/>
        </w:rPr>
        <w:t>。</w:t>
      </w:r>
    </w:p>
    <w:p w14:paraId="7F3BE16A">
      <w:pPr>
        <w:keepNext w:val="0"/>
        <w:keepLines w:val="0"/>
        <w:pageBreakBefore w:val="0"/>
        <w:widowControl/>
        <w:kinsoku/>
        <w:wordWrap/>
        <w:overflowPunct/>
        <w:topLinePunct w:val="0"/>
        <w:autoSpaceDE/>
        <w:autoSpaceDN/>
        <w:bidi w:val="0"/>
        <w:adjustRightInd/>
        <w:snapToGrid/>
        <w:spacing w:line="600" w:lineRule="exact"/>
        <w:ind w:left="0" w:firstLine="560" w:firstLineChars="200"/>
        <w:textAlignment w:val="auto"/>
        <w:rPr>
          <w:rFonts w:hint="eastAsia" w:ascii="宋体" w:hAnsi="宋体" w:eastAsia="宋体" w:cs="宋体"/>
          <w:sz w:val="28"/>
          <w:szCs w:val="28"/>
        </w:rPr>
      </w:pPr>
      <w:r>
        <w:rPr>
          <w:rFonts w:hint="eastAsia" w:ascii="宋体" w:hAnsi="宋体" w:eastAsia="宋体" w:cs="宋体"/>
          <w:color w:val="000000"/>
          <w:kern w:val="0"/>
          <w:sz w:val="28"/>
          <w:szCs w:val="28"/>
        </w:rPr>
        <w:t>经开区管委会年初预算反映，202</w:t>
      </w: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年预算安排支出</w:t>
      </w:r>
      <w:r>
        <w:rPr>
          <w:rFonts w:hint="eastAsia" w:ascii="宋体" w:hAnsi="宋体" w:eastAsia="宋体" w:cs="宋体"/>
          <w:color w:val="000000"/>
          <w:kern w:val="0"/>
          <w:sz w:val="28"/>
          <w:szCs w:val="28"/>
          <w:lang w:val="en-US" w:eastAsia="zh-CN"/>
        </w:rPr>
        <w:t>3311590.47</w:t>
      </w:r>
      <w:r>
        <w:rPr>
          <w:rFonts w:hint="eastAsia" w:ascii="宋体" w:hAnsi="宋体" w:eastAsia="宋体" w:cs="宋体"/>
          <w:color w:val="000000"/>
          <w:kern w:val="0"/>
          <w:sz w:val="28"/>
          <w:szCs w:val="28"/>
        </w:rPr>
        <w:t>元。</w:t>
      </w:r>
    </w:p>
    <w:p w14:paraId="22824A2C">
      <w:pPr>
        <w:keepNext w:val="0"/>
        <w:keepLines w:val="0"/>
        <w:pageBreakBefore w:val="0"/>
        <w:widowControl/>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决算报表反映，202</w:t>
      </w: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年决算支出</w:t>
      </w:r>
      <w:r>
        <w:rPr>
          <w:rFonts w:hint="eastAsia" w:ascii="宋体" w:hAnsi="宋体" w:eastAsia="宋体" w:cs="宋体"/>
          <w:color w:val="000000"/>
          <w:kern w:val="0"/>
          <w:sz w:val="28"/>
          <w:szCs w:val="28"/>
          <w:lang w:val="en-US" w:eastAsia="zh-CN"/>
        </w:rPr>
        <w:t>2891038691.51</w:t>
      </w:r>
      <w:r>
        <w:rPr>
          <w:rFonts w:hint="eastAsia" w:ascii="宋体" w:hAnsi="宋体" w:eastAsia="宋体" w:cs="宋体"/>
          <w:color w:val="000000"/>
          <w:kern w:val="0"/>
          <w:sz w:val="28"/>
          <w:szCs w:val="28"/>
        </w:rPr>
        <w:t>元，其中：基本支出</w:t>
      </w:r>
      <w:r>
        <w:rPr>
          <w:rFonts w:hint="eastAsia" w:ascii="宋体" w:hAnsi="宋体" w:eastAsia="宋体" w:cs="宋体"/>
          <w:color w:val="000000"/>
          <w:kern w:val="0"/>
          <w:sz w:val="28"/>
          <w:szCs w:val="28"/>
          <w:lang w:val="en-US" w:eastAsia="zh-CN"/>
        </w:rPr>
        <w:t>3892139.12</w:t>
      </w:r>
      <w:r>
        <w:rPr>
          <w:rFonts w:hint="eastAsia" w:ascii="宋体" w:hAnsi="宋体" w:eastAsia="宋体" w:cs="宋体"/>
          <w:color w:val="000000"/>
          <w:kern w:val="0"/>
          <w:sz w:val="28"/>
          <w:szCs w:val="28"/>
        </w:rPr>
        <w:t>元（人员经费</w:t>
      </w:r>
      <w:r>
        <w:rPr>
          <w:rFonts w:hint="eastAsia" w:ascii="宋体" w:hAnsi="宋体" w:eastAsia="宋体" w:cs="宋体"/>
          <w:color w:val="000000"/>
          <w:kern w:val="0"/>
          <w:sz w:val="28"/>
          <w:szCs w:val="28"/>
          <w:lang w:val="en-US" w:eastAsia="zh-CN"/>
        </w:rPr>
        <w:t>3357209.6</w:t>
      </w:r>
      <w:r>
        <w:rPr>
          <w:rFonts w:hint="eastAsia" w:ascii="宋体" w:hAnsi="宋体" w:eastAsia="宋体" w:cs="宋体"/>
          <w:color w:val="000000"/>
          <w:kern w:val="0"/>
          <w:sz w:val="28"/>
          <w:szCs w:val="28"/>
        </w:rPr>
        <w:t>元、日常公用经费</w:t>
      </w:r>
      <w:r>
        <w:rPr>
          <w:rFonts w:hint="eastAsia" w:ascii="宋体" w:hAnsi="宋体" w:eastAsia="宋体" w:cs="宋体"/>
          <w:color w:val="000000"/>
          <w:kern w:val="0"/>
          <w:sz w:val="28"/>
          <w:szCs w:val="28"/>
          <w:lang w:val="en-US" w:eastAsia="zh-CN"/>
        </w:rPr>
        <w:t>534929.52</w:t>
      </w:r>
      <w:r>
        <w:rPr>
          <w:rFonts w:hint="eastAsia" w:ascii="宋体" w:hAnsi="宋体" w:eastAsia="宋体" w:cs="宋体"/>
          <w:color w:val="000000"/>
          <w:kern w:val="0"/>
          <w:sz w:val="28"/>
          <w:szCs w:val="28"/>
        </w:rPr>
        <w:t>元），项目支出</w:t>
      </w:r>
      <w:r>
        <w:rPr>
          <w:rFonts w:hint="eastAsia" w:ascii="宋体" w:hAnsi="宋体" w:eastAsia="宋体" w:cs="宋体"/>
          <w:color w:val="000000"/>
          <w:kern w:val="0"/>
          <w:sz w:val="28"/>
          <w:szCs w:val="28"/>
          <w:lang w:val="en-US" w:eastAsia="zh-CN"/>
        </w:rPr>
        <w:t>2887146552.39</w:t>
      </w:r>
      <w:r>
        <w:rPr>
          <w:rFonts w:hint="eastAsia" w:ascii="宋体" w:hAnsi="宋体" w:eastAsia="宋体" w:cs="宋体"/>
          <w:color w:val="000000"/>
          <w:kern w:val="0"/>
          <w:sz w:val="28"/>
          <w:szCs w:val="28"/>
        </w:rPr>
        <w:t>元。</w:t>
      </w:r>
    </w:p>
    <w:p w14:paraId="013F59FC">
      <w:pPr>
        <w:keepNext w:val="0"/>
        <w:keepLines w:val="0"/>
        <w:pageBreakBefore w:val="0"/>
        <w:numPr>
          <w:ilvl w:val="0"/>
          <w:numId w:val="0"/>
        </w:numPr>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（三）</w:t>
      </w:r>
      <w:r>
        <w:rPr>
          <w:rFonts w:hint="eastAsia" w:ascii="宋体" w:hAnsi="宋体" w:eastAsia="宋体" w:cs="宋体"/>
          <w:b/>
          <w:sz w:val="28"/>
          <w:szCs w:val="28"/>
        </w:rPr>
        <w:t>结余分配和结转结余情况。</w:t>
      </w:r>
    </w:p>
    <w:p w14:paraId="3AE6048E">
      <w:pPr>
        <w:keepNext w:val="0"/>
        <w:keepLines w:val="0"/>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000000"/>
          <w:kern w:val="0"/>
          <w:sz w:val="28"/>
          <w:szCs w:val="28"/>
        </w:rPr>
        <w:t>经开区管委会</w:t>
      </w:r>
      <w:r>
        <w:rPr>
          <w:rFonts w:hint="eastAsia" w:ascii="宋体" w:hAnsi="宋体" w:eastAsia="宋体" w:cs="宋体"/>
          <w:sz w:val="28"/>
          <w:szCs w:val="28"/>
        </w:rPr>
        <w:t>）2023年决算报表</w:t>
      </w:r>
      <w:r>
        <w:rPr>
          <w:rFonts w:hint="eastAsia" w:ascii="宋体" w:hAnsi="宋体" w:eastAsia="宋体" w:cs="宋体"/>
          <w:color w:val="000000"/>
          <w:kern w:val="0"/>
          <w:sz w:val="28"/>
          <w:szCs w:val="28"/>
        </w:rPr>
        <w:t>决算报表反映</w:t>
      </w:r>
      <w:r>
        <w:rPr>
          <w:rFonts w:hint="eastAsia" w:ascii="宋体" w:hAnsi="宋体" w:eastAsia="宋体" w:cs="宋体"/>
          <w:sz w:val="28"/>
          <w:szCs w:val="28"/>
        </w:rPr>
        <w:t>结转结余情况</w:t>
      </w:r>
      <w:r>
        <w:rPr>
          <w:rFonts w:hint="eastAsia" w:ascii="宋体" w:hAnsi="宋体" w:eastAsia="宋体" w:cs="宋体"/>
          <w:sz w:val="28"/>
          <w:szCs w:val="28"/>
          <w:lang w:val="en-US" w:eastAsia="zh-CN"/>
        </w:rPr>
        <w:t>:</w:t>
      </w:r>
      <w:r>
        <w:rPr>
          <w:rFonts w:hint="eastAsia" w:ascii="宋体" w:hAnsi="宋体" w:eastAsia="宋体" w:cs="宋体"/>
          <w:sz w:val="28"/>
          <w:szCs w:val="28"/>
        </w:rPr>
        <w:t>年末结转结余为</w:t>
      </w:r>
      <w:r>
        <w:rPr>
          <w:rFonts w:hint="eastAsia" w:ascii="宋体" w:hAnsi="宋体" w:eastAsia="宋体" w:cs="宋体"/>
          <w:sz w:val="28"/>
          <w:szCs w:val="28"/>
          <w:lang w:val="en-US" w:eastAsia="zh-CN"/>
        </w:rPr>
        <w:t>14751.41</w:t>
      </w:r>
      <w:r>
        <w:rPr>
          <w:rFonts w:hint="eastAsia" w:ascii="宋体" w:hAnsi="宋体" w:eastAsia="宋体" w:cs="宋体"/>
          <w:sz w:val="28"/>
          <w:szCs w:val="28"/>
        </w:rPr>
        <w:t>元。</w:t>
      </w:r>
    </w:p>
    <w:p w14:paraId="7E8629AA">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三、部门预算绩效分析</w:t>
      </w:r>
    </w:p>
    <w:p w14:paraId="1C9B1E63">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sz w:val="28"/>
          <w:szCs w:val="28"/>
        </w:rPr>
      </w:pPr>
      <w:r>
        <w:rPr>
          <w:rFonts w:hint="eastAsia" w:ascii="宋体" w:hAnsi="宋体" w:eastAsia="宋体" w:cs="宋体"/>
          <w:b/>
          <w:sz w:val="28"/>
          <w:szCs w:val="28"/>
        </w:rPr>
        <w:t>（一）部门预算总体绩效分析。</w:t>
      </w:r>
    </w:p>
    <w:p w14:paraId="0EB6F78D">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1、组织对本部门（含产投公司）绩效目标开展了内部审核。该项指标分10分，自评得分10分。</w:t>
      </w:r>
    </w:p>
    <w:p w14:paraId="7C02B444">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2、根据年度绩效目标实现情况，部门绩效目标科学合理、规范完整、细化量化并与预算安排相匹配。该项指标分值10分，自评得分10分；</w:t>
      </w:r>
    </w:p>
    <w:p w14:paraId="68840F25">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3、部门整体支出</w:t>
      </w:r>
      <w:r>
        <w:rPr>
          <w:rFonts w:hint="eastAsia" w:ascii="宋体" w:hAnsi="宋体" w:eastAsia="宋体" w:cs="宋体"/>
          <w:sz w:val="28"/>
          <w:szCs w:val="28"/>
          <w:lang w:val="en-US" w:eastAsia="zh-CN"/>
        </w:rPr>
        <w:t>2890951804.43</w:t>
      </w:r>
      <w:r>
        <w:rPr>
          <w:rFonts w:hint="eastAsia" w:ascii="宋体" w:hAnsi="宋体" w:eastAsia="宋体" w:cs="宋体"/>
          <w:sz w:val="28"/>
          <w:szCs w:val="28"/>
        </w:rPr>
        <w:t>元，绩效目标实现程度与预期目标相符。指标分10分，自评得分10分。</w:t>
      </w:r>
    </w:p>
    <w:p w14:paraId="567908CB">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4、部门预算项目支出2887146552.39元，预算项目实际完成情况与预期绩效目标相符。指标分值10分，自评得分10分。</w:t>
      </w:r>
    </w:p>
    <w:p w14:paraId="7E5F2018">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5、部门公用经费及非定额公用支出控制情况:经开区管委会及服务中心本年度公用经费预算收入534929.52元，决算支出534929.52元，总体收支相符无偏离。</w:t>
      </w:r>
    </w:p>
    <w:p w14:paraId="258E8C43">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水、电费、物业费、印刷费开支实际耗用金额0元，与本年预算金额0元相比，节约金额0元，预算节约比例0%。                                                                                                                                                                                                                                                                                                                                                                                                                                                                                                                                                                                                                                                                                                                                                                                                                                                                                                                                                                                                                                                                                                                                                                                                                                                                                                                                                                                                                                                                                                                                                                                                                                                                                                                                                                                                                                                                                                                                                                                                                                                                                                                                                                                                                                                                                                                                                                                                                                                                                                                                                                                                                                                                                                                                                                                                                                                                                                                                                                                                                                                                                                                                                                                                                                                                                                                                                                                                                                                                                                                                                                                                                                                                                                                                                                                                                                                                                                                                                                                                                                                                                                                                                             </w:t>
      </w:r>
      <w:r>
        <w:rPr>
          <w:rFonts w:hint="eastAsia" w:ascii="宋体" w:hAnsi="宋体" w:eastAsia="宋体" w:cs="宋体"/>
          <w:sz w:val="28"/>
          <w:szCs w:val="28"/>
        </w:rPr>
        <w:t xml:space="preserve">                                                                                                                                                                                                                                                                        </w:t>
      </w:r>
    </w:p>
    <w:p w14:paraId="6FF8DC7A">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公务用车：公务用车年初预算32000元，决算支出19800元，决算较预算减少12200元。</w:t>
      </w:r>
    </w:p>
    <w:p w14:paraId="7F36F8D3">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公务接待费：公务接待费年初预算0元，决算支出0元。</w:t>
      </w:r>
    </w:p>
    <w:p w14:paraId="112E46C1">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因公出国（境）经费：本年无因公出国（境）经费。</w:t>
      </w:r>
    </w:p>
    <w:p w14:paraId="7D72301A">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办公经费：2023年经开区管委会及服务中心办公费预算112000元，决算支出132092.07元，中途内部调剂调增加20092.07元，预决算偏差度17.9%。</w:t>
      </w:r>
    </w:p>
    <w:p w14:paraId="7776477E">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“支出控制”指标满分10分，根据指标体系评分标准该项得5分。</w:t>
      </w:r>
    </w:p>
    <w:p w14:paraId="4B82D1F4">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6、绩效运行监控未发现问题。指标分5分，自评得分5分。</w:t>
      </w:r>
    </w:p>
    <w:p w14:paraId="37BEE285">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7、部门预算执行进度在6、9、11月实际支出进度分别达到40%、67.5%、82.5%以上，该项指标分值10分，自评得分10分。</w:t>
      </w:r>
    </w:p>
    <w:p w14:paraId="6E86E637">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8、部门预算项目年终资金结余情况：2023年项目预算收入2887161303.8元  ，决算支出2887146552.39元，结余14751.41元，项目资金结余率均小于0.1 。该项指标分5分，自评得分5分。</w:t>
      </w:r>
    </w:p>
    <w:p w14:paraId="392EA0A6">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9、依据评价年度审计监督、财会监督和部门自查结果，无未落实党政机关过紧日子相关要求，以及部门预算管理方面违纪违规等问题的。该项无扣分。</w:t>
      </w:r>
    </w:p>
    <w:p w14:paraId="32779E55">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10、 将经开区管委会内设机构和下属单位工业基地服务中心绩效自评情况纳入内部考核体系，建立对内设机构和下属单位预算与绩效挂钩机制。该项指标分10分，自评得分10分。</w:t>
      </w:r>
    </w:p>
    <w:p w14:paraId="05FD4879">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11、按要求将相关绩效信息随同决算公开。 该项指标分值10分，自评得分10分。</w:t>
      </w:r>
    </w:p>
    <w:p w14:paraId="1FAE3986">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12、绩效管理过程中（包括绩效目标核查、绩效监控核查和重点绩效评价）发现问题时，及时进行了整改。该项指标分值5分，自评得分5分。</w:t>
      </w:r>
    </w:p>
    <w:p w14:paraId="1144A763">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13、在规定时间内向财政部门反馈应用绩效结果报告 。该项指标分值5分，自评得分5分。</w:t>
      </w:r>
    </w:p>
    <w:p w14:paraId="210F7B76">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14、 财政重点绩效评价工作开展过程中，无拖延推诿、提交资料不及时等拒不配合评价工作情况。该项无扣分。</w:t>
      </w:r>
    </w:p>
    <w:p w14:paraId="10086561">
      <w:pPr>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部门整体绩效目标完成情况和部门履职情况总体评价得分95分。           </w:t>
      </w:r>
    </w:p>
    <w:p w14:paraId="2133B6A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kern w:val="2"/>
          <w:sz w:val="28"/>
          <w:szCs w:val="28"/>
          <w:lang w:val="en-US" w:eastAsia="zh-CN" w:bidi="ar-SA"/>
          <w14:textFill>
            <w14:solidFill>
              <w14:schemeClr w14:val="tx1"/>
            </w14:solidFill>
          </w14:textFill>
        </w:rPr>
        <w:t>（二）</w:t>
      </w:r>
      <w:r>
        <w:rPr>
          <w:rFonts w:hint="eastAsia" w:ascii="宋体" w:hAnsi="宋体" w:eastAsia="宋体" w:cs="宋体"/>
          <w:b/>
          <w:color w:val="000000" w:themeColor="text1"/>
          <w:sz w:val="28"/>
          <w:szCs w:val="28"/>
          <w14:textFill>
            <w14:solidFill>
              <w14:schemeClr w14:val="tx1"/>
            </w14:solidFill>
          </w14:textFill>
        </w:rPr>
        <w:t>部门预算项目绩效分析。</w:t>
      </w:r>
      <w:r>
        <w:rPr>
          <w:rFonts w:hint="eastAsia" w:ascii="宋体" w:hAnsi="宋体" w:eastAsia="宋体" w:cs="宋体"/>
          <w:color w:val="000000" w:themeColor="text1"/>
          <w:sz w:val="28"/>
          <w:szCs w:val="28"/>
          <w14:textFill>
            <w14:solidFill>
              <w14:schemeClr w14:val="tx1"/>
            </w14:solidFill>
          </w14:textFill>
        </w:rPr>
        <w:t xml:space="preserve">   </w:t>
      </w:r>
    </w:p>
    <w:p w14:paraId="7AD3FFF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2023年项目资金预算收入2887161303.8元，决算支出2887146552.39元，年末结余14751.41元。项目资金主要用于园区基础设施建设，包括道路、变电站修建，电力线路迁改、污水供水二厂修建及管网铺设、场平等。</w:t>
      </w:r>
    </w:p>
    <w:p w14:paraId="6D69B64D">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1</w:t>
      </w:r>
      <w:r>
        <w:rPr>
          <w:rFonts w:hint="eastAsia" w:ascii="宋体" w:hAnsi="宋体" w:eastAsia="宋体" w:cs="宋体"/>
          <w:b/>
          <w:bCs/>
          <w:color w:val="000000" w:themeColor="text1"/>
          <w:sz w:val="28"/>
          <w:szCs w:val="28"/>
          <w14:textFill>
            <w14:solidFill>
              <w14:schemeClr w14:val="tx1"/>
            </w14:solidFill>
          </w14:textFill>
        </w:rPr>
        <w:t>.企业奖补</w:t>
      </w:r>
      <w:r>
        <w:rPr>
          <w:rFonts w:hint="eastAsia" w:ascii="宋体" w:hAnsi="宋体" w:eastAsia="宋体" w:cs="宋体"/>
          <w:b/>
          <w:bCs/>
          <w:color w:val="000000" w:themeColor="text1"/>
          <w:sz w:val="28"/>
          <w:szCs w:val="28"/>
          <w:lang w:val="en-US" w:eastAsia="zh-CN"/>
          <w14:textFill>
            <w14:solidFill>
              <w14:schemeClr w14:val="tx1"/>
            </w14:solidFill>
          </w14:textFill>
        </w:rPr>
        <w:t>资金</w:t>
      </w:r>
    </w:p>
    <w:p w14:paraId="539A1D5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2023年园区企业奖补资金包括永祥新能源公司相关扶持政策（2017-2021年）奖励8662</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4</w:t>
      </w:r>
      <w:r>
        <w:rPr>
          <w:rFonts w:hint="eastAsia" w:ascii="宋体" w:hAnsi="宋体" w:eastAsia="宋体" w:cs="宋体"/>
          <w:color w:val="000000" w:themeColor="text1"/>
          <w:sz w:val="28"/>
          <w:szCs w:val="28"/>
          <w:lang w:val="en-US" w:eastAsia="zh-CN"/>
          <w14:textFill>
            <w14:solidFill>
              <w14:schemeClr w14:val="tx1"/>
            </w14:solidFill>
          </w14:textFill>
        </w:rPr>
        <w:t>4万</w:t>
      </w:r>
      <w:r>
        <w:rPr>
          <w:rFonts w:hint="eastAsia" w:ascii="宋体" w:hAnsi="宋体" w:eastAsia="宋体" w:cs="宋体"/>
          <w:color w:val="000000" w:themeColor="text1"/>
          <w:sz w:val="28"/>
          <w:szCs w:val="28"/>
          <w14:textFill>
            <w14:solidFill>
              <w14:schemeClr w14:val="tx1"/>
            </w14:solidFill>
          </w14:textFill>
        </w:rPr>
        <w:t>元、相关政策扶持奖励29520</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8</w:t>
      </w:r>
      <w:r>
        <w:rPr>
          <w:rFonts w:hint="eastAsia" w:ascii="宋体" w:hAnsi="宋体" w:eastAsia="宋体" w:cs="宋体"/>
          <w:color w:val="000000" w:themeColor="text1"/>
          <w:sz w:val="28"/>
          <w:szCs w:val="28"/>
          <w:lang w:val="en-US" w:eastAsia="zh-CN"/>
          <w14:textFill>
            <w14:solidFill>
              <w14:schemeClr w14:val="tx1"/>
            </w14:solidFill>
          </w14:textFill>
        </w:rPr>
        <w:t>2万</w:t>
      </w:r>
      <w:r>
        <w:rPr>
          <w:rFonts w:hint="eastAsia" w:ascii="宋体" w:hAnsi="宋体" w:eastAsia="宋体" w:cs="宋体"/>
          <w:color w:val="000000" w:themeColor="text1"/>
          <w:sz w:val="28"/>
          <w:szCs w:val="28"/>
          <w14:textFill>
            <w14:solidFill>
              <w14:schemeClr w14:val="tx1"/>
            </w14:solidFill>
          </w14:textFill>
        </w:rPr>
        <w:t>元、2021-2022年电价补贴及企业发展奖2055</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0</w:t>
      </w:r>
      <w:r>
        <w:rPr>
          <w:rFonts w:hint="eastAsia" w:ascii="宋体" w:hAnsi="宋体" w:eastAsia="宋体" w:cs="宋体"/>
          <w:color w:val="000000" w:themeColor="text1"/>
          <w:sz w:val="28"/>
          <w:szCs w:val="28"/>
          <w:lang w:val="en-US" w:eastAsia="zh-CN"/>
          <w14:textFill>
            <w14:solidFill>
              <w14:schemeClr w14:val="tx1"/>
            </w14:solidFill>
          </w14:textFill>
        </w:rPr>
        <w:t>5万</w:t>
      </w:r>
      <w:r>
        <w:rPr>
          <w:rFonts w:hint="eastAsia" w:ascii="宋体" w:hAnsi="宋体" w:eastAsia="宋体" w:cs="宋体"/>
          <w:color w:val="000000" w:themeColor="text1"/>
          <w:sz w:val="28"/>
          <w:szCs w:val="28"/>
          <w14:textFill>
            <w14:solidFill>
              <w14:schemeClr w14:val="tx1"/>
            </w14:solidFill>
          </w14:textFill>
        </w:rPr>
        <w:t>元、固投和发展奖5500</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元，合计</w:t>
      </w:r>
      <w:r>
        <w:rPr>
          <w:rFonts w:hint="eastAsia" w:ascii="宋体" w:hAnsi="宋体" w:eastAsia="宋体" w:cs="宋体"/>
          <w:color w:val="000000" w:themeColor="text1"/>
          <w:sz w:val="28"/>
          <w:szCs w:val="28"/>
          <w:lang w:val="en-US" w:eastAsia="zh-CN"/>
          <w14:textFill>
            <w14:solidFill>
              <w14:schemeClr w14:val="tx1"/>
            </w14:solidFill>
          </w14:textFill>
        </w:rPr>
        <w:t>45738.31万</w:t>
      </w:r>
      <w:r>
        <w:rPr>
          <w:rFonts w:hint="eastAsia" w:ascii="宋体" w:hAnsi="宋体" w:eastAsia="宋体" w:cs="宋体"/>
          <w:color w:val="000000" w:themeColor="text1"/>
          <w:sz w:val="28"/>
          <w:szCs w:val="28"/>
          <w14:textFill>
            <w14:solidFill>
              <w14:schemeClr w14:val="tx1"/>
            </w14:solidFill>
          </w14:textFill>
        </w:rPr>
        <w:t>元；永祥光伏科技电价补贴1275</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lang w:val="en-US" w:eastAsia="zh-CN"/>
          <w14:textFill>
            <w14:solidFill>
              <w14:schemeClr w14:val="tx1"/>
            </w14:solidFill>
          </w14:textFill>
        </w:rPr>
        <w:t>8万</w:t>
      </w:r>
      <w:r>
        <w:rPr>
          <w:rFonts w:hint="eastAsia" w:ascii="宋体" w:hAnsi="宋体" w:eastAsia="宋体" w:cs="宋体"/>
          <w:color w:val="000000" w:themeColor="text1"/>
          <w:sz w:val="28"/>
          <w:szCs w:val="28"/>
          <w14:textFill>
            <w14:solidFill>
              <w14:schemeClr w14:val="tx1"/>
            </w14:solidFill>
          </w14:textFill>
        </w:rPr>
        <w:t>元；晶科政策兑现奖5023</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22</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元、达产奖1500</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元，合计</w:t>
      </w:r>
      <w:r>
        <w:rPr>
          <w:rFonts w:hint="eastAsia" w:ascii="宋体" w:hAnsi="宋体" w:eastAsia="宋体" w:cs="宋体"/>
          <w:color w:val="000000" w:themeColor="text1"/>
          <w:sz w:val="28"/>
          <w:szCs w:val="28"/>
          <w:lang w:val="en-US" w:eastAsia="zh-CN"/>
          <w14:textFill>
            <w14:solidFill>
              <w14:schemeClr w14:val="tx1"/>
            </w14:solidFill>
          </w14:textFill>
        </w:rPr>
        <w:t>7798.5万</w:t>
      </w:r>
      <w:r>
        <w:rPr>
          <w:rFonts w:hint="eastAsia" w:ascii="宋体" w:hAnsi="宋体" w:eastAsia="宋体" w:cs="宋体"/>
          <w:color w:val="000000" w:themeColor="text1"/>
          <w:sz w:val="28"/>
          <w:szCs w:val="28"/>
          <w14:textFill>
            <w14:solidFill>
              <w14:schemeClr w14:val="tx1"/>
            </w14:solidFill>
          </w14:textFill>
        </w:rPr>
        <w:t>元；京运通固投奖2794</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68</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元、行政事业性收费奖105</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32</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元、固投奖1205</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32</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元、2022年电价补贴2943</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66</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元，合计7048</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98</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元；中氟泰华新材料第一批次固投奖2000</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元，高测发展奖1000</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元，鸿瑞公司搬迁奖48</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6</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w:t>
      </w:r>
      <w:r>
        <w:rPr>
          <w:rFonts w:hint="eastAsia" w:ascii="宋体" w:hAnsi="宋体" w:eastAsia="宋体" w:cs="宋体"/>
          <w:color w:val="000000" w:themeColor="text1"/>
          <w:sz w:val="28"/>
          <w:szCs w:val="28"/>
          <w:lang w:val="en-US" w:eastAsia="zh-CN"/>
          <w14:textFill>
            <w14:solidFill>
              <w14:schemeClr w14:val="tx1"/>
            </w14:solidFill>
          </w14:textFill>
        </w:rPr>
        <w:t>合计3048.6万元，</w:t>
      </w:r>
      <w:r>
        <w:rPr>
          <w:rFonts w:hint="eastAsia" w:ascii="宋体" w:hAnsi="宋体" w:eastAsia="宋体" w:cs="宋体"/>
          <w:color w:val="000000" w:themeColor="text1"/>
          <w:sz w:val="28"/>
          <w:szCs w:val="28"/>
          <w14:textFill>
            <w14:solidFill>
              <w14:schemeClr w14:val="tx1"/>
            </w14:solidFill>
          </w14:textFill>
        </w:rPr>
        <w:t>2023年园区企业奖励资金共计</w:t>
      </w:r>
      <w:r>
        <w:rPr>
          <w:rFonts w:hint="eastAsia" w:ascii="宋体" w:hAnsi="宋体" w:eastAsia="宋体" w:cs="宋体"/>
          <w:color w:val="000000" w:themeColor="text1"/>
          <w:sz w:val="28"/>
          <w:szCs w:val="28"/>
          <w:lang w:val="en-US" w:eastAsia="zh-CN"/>
          <w14:textFill>
            <w14:solidFill>
              <w14:schemeClr w14:val="tx1"/>
            </w14:solidFill>
          </w14:textFill>
        </w:rPr>
        <w:t>63634.39万</w:t>
      </w:r>
      <w:r>
        <w:rPr>
          <w:rFonts w:hint="eastAsia" w:ascii="宋体" w:hAnsi="宋体" w:eastAsia="宋体" w:cs="宋体"/>
          <w:color w:val="000000" w:themeColor="text1"/>
          <w:sz w:val="28"/>
          <w:szCs w:val="28"/>
          <w14:textFill>
            <w14:solidFill>
              <w14:schemeClr w14:val="tx1"/>
            </w14:solidFill>
          </w14:textFill>
        </w:rPr>
        <w:t>元。提高了园区企业生产积极性，园区企业产值达到提升，为打造千亿产值园区奠定基础。2023年，园区实现工业产值约802.40亿元，实现税收52.35亿元，完成固定资产投资122.03亿元。</w:t>
      </w:r>
    </w:p>
    <w:p w14:paraId="2B5DA2E4">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2</w:t>
      </w:r>
      <w:r>
        <w:rPr>
          <w:rFonts w:hint="eastAsia" w:ascii="宋体" w:hAnsi="宋体" w:cs="宋体"/>
          <w:b/>
          <w:bCs/>
          <w:color w:val="000000" w:themeColor="text1"/>
          <w:sz w:val="28"/>
          <w:szCs w:val="28"/>
          <w:lang w:val="en-US" w:eastAsia="zh-CN"/>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盛发公司电价补贴及购电服务费</w:t>
      </w:r>
    </w:p>
    <w:p w14:paraId="0D95821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2023年财政划拨盛发公司购电服务费11028</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32</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元、电价补贴6010</w:t>
      </w:r>
      <w:r>
        <w:rPr>
          <w:rFonts w:hint="eastAsia" w:ascii="宋体" w:hAnsi="宋体" w:eastAsia="宋体" w:cs="宋体"/>
          <w:color w:val="000000" w:themeColor="text1"/>
          <w:sz w:val="28"/>
          <w:szCs w:val="28"/>
          <w:lang w:val="en-US" w:eastAsia="zh-CN"/>
          <w14:textFill>
            <w14:solidFill>
              <w14:schemeClr w14:val="tx1"/>
            </w14:solidFill>
          </w14:textFill>
        </w:rPr>
        <w:t>.3万</w:t>
      </w:r>
      <w:r>
        <w:rPr>
          <w:rFonts w:hint="eastAsia" w:ascii="宋体" w:hAnsi="宋体" w:eastAsia="宋体" w:cs="宋体"/>
          <w:color w:val="000000" w:themeColor="text1"/>
          <w:sz w:val="28"/>
          <w:szCs w:val="28"/>
          <w14:textFill>
            <w14:solidFill>
              <w14:schemeClr w14:val="tx1"/>
            </w14:solidFill>
          </w14:textFill>
        </w:rPr>
        <w:t>元，共计</w:t>
      </w:r>
      <w:r>
        <w:rPr>
          <w:rFonts w:hint="eastAsia" w:ascii="宋体" w:hAnsi="宋体" w:eastAsia="宋体" w:cs="宋体"/>
          <w:color w:val="000000" w:themeColor="text1"/>
          <w:sz w:val="28"/>
          <w:szCs w:val="28"/>
          <w:lang w:val="en-US" w:eastAsia="zh-CN"/>
          <w14:textFill>
            <w14:solidFill>
              <w14:schemeClr w14:val="tx1"/>
            </w14:solidFill>
          </w14:textFill>
        </w:rPr>
        <w:t>17038.62万</w:t>
      </w:r>
      <w:r>
        <w:rPr>
          <w:rFonts w:hint="eastAsia" w:ascii="宋体" w:hAnsi="宋体" w:eastAsia="宋体" w:cs="宋体"/>
          <w:color w:val="000000" w:themeColor="text1"/>
          <w:sz w:val="28"/>
          <w:szCs w:val="28"/>
          <w14:textFill>
            <w14:solidFill>
              <w14:schemeClr w14:val="tx1"/>
            </w14:solidFill>
          </w14:textFill>
        </w:rPr>
        <w:t>元，确保了盛发公司的政策运营，保障了园区企业生产用电，产值较2022年提升了167亿元，提升率26%。</w:t>
      </w:r>
    </w:p>
    <w:p w14:paraId="393104D3">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3</w:t>
      </w:r>
      <w:r>
        <w:rPr>
          <w:rFonts w:hint="eastAsia" w:ascii="宋体" w:hAnsi="宋体" w:cs="宋体"/>
          <w:b/>
          <w:bCs/>
          <w:color w:val="000000" w:themeColor="text1"/>
          <w:sz w:val="28"/>
          <w:szCs w:val="28"/>
          <w:lang w:val="en-US" w:eastAsia="zh-CN"/>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经开产投公司运营补贴</w:t>
      </w:r>
    </w:p>
    <w:p w14:paraId="3CECCE3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2023年财政划拨经开产投集团公司运营补贴27000</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元，保障了产投公司的正常运营，围绕全区“百日攻坚”任务清单，全力推进园区基础设施项目建设，提升园区承载能力。全年争取债券资金共计10.4亿元，计划融资规模约15亿元。成功获批AA信用主体评级。</w:t>
      </w:r>
    </w:p>
    <w:p w14:paraId="3C747FAA">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 </w:t>
      </w:r>
      <w:r>
        <w:rPr>
          <w:rFonts w:hint="eastAsia" w:ascii="宋体" w:hAnsi="宋体" w:eastAsia="宋体" w:cs="宋体"/>
          <w:b/>
          <w:bCs/>
          <w:color w:val="000000" w:themeColor="text1"/>
          <w:sz w:val="28"/>
          <w:szCs w:val="28"/>
          <w:lang w:val="en-US" w:eastAsia="zh-CN"/>
          <w14:textFill>
            <w14:solidFill>
              <w14:schemeClr w14:val="tx1"/>
            </w14:solidFill>
          </w14:textFill>
        </w:rPr>
        <w:t>4</w:t>
      </w:r>
      <w:r>
        <w:rPr>
          <w:rFonts w:hint="eastAsia" w:ascii="宋体" w:hAnsi="宋体" w:cs="宋体"/>
          <w:b/>
          <w:bCs/>
          <w:color w:val="000000" w:themeColor="text1"/>
          <w:sz w:val="28"/>
          <w:szCs w:val="28"/>
          <w:lang w:val="en-US" w:eastAsia="zh-CN"/>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园区政府采购项目服务费</w:t>
      </w:r>
    </w:p>
    <w:p w14:paraId="720C9DD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color w:val="000000" w:themeColor="text1"/>
          <w:sz w:val="28"/>
          <w:szCs w:val="28"/>
          <w14:textFill>
            <w14:solidFill>
              <w14:schemeClr w14:val="tx1"/>
            </w14:solidFill>
          </w14:textFill>
        </w:rPr>
        <w:t>2023年支付省级化工园区项目采购服务费271</w:t>
      </w:r>
      <w:r>
        <w:rPr>
          <w:rFonts w:hint="eastAsia" w:ascii="宋体" w:hAnsi="宋体" w:eastAsia="宋体" w:cs="宋体"/>
          <w:color w:val="000000" w:themeColor="text1"/>
          <w:sz w:val="28"/>
          <w:szCs w:val="28"/>
          <w:lang w:val="en-US"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元，绿色</w:t>
      </w:r>
      <w:r>
        <w:rPr>
          <w:rFonts w:hint="eastAsia" w:ascii="宋体" w:hAnsi="宋体" w:eastAsia="宋体" w:cs="宋体"/>
          <w:sz w:val="28"/>
          <w:szCs w:val="28"/>
        </w:rPr>
        <w:t>低碳优势产业重点园区申报服务费38</w:t>
      </w:r>
      <w:r>
        <w:rPr>
          <w:rFonts w:hint="eastAsia" w:ascii="宋体" w:hAnsi="宋体" w:eastAsia="宋体" w:cs="宋体"/>
          <w:sz w:val="28"/>
          <w:szCs w:val="28"/>
          <w:lang w:val="en-US" w:eastAsia="zh-CN"/>
        </w:rPr>
        <w:t>.</w:t>
      </w:r>
      <w:r>
        <w:rPr>
          <w:rFonts w:hint="eastAsia" w:ascii="宋体" w:hAnsi="宋体" w:eastAsia="宋体" w:cs="宋体"/>
          <w:sz w:val="28"/>
          <w:szCs w:val="28"/>
        </w:rPr>
        <w:t>9</w:t>
      </w:r>
      <w:r>
        <w:rPr>
          <w:rFonts w:hint="eastAsia" w:ascii="宋体" w:hAnsi="宋体" w:eastAsia="宋体" w:cs="宋体"/>
          <w:sz w:val="28"/>
          <w:szCs w:val="28"/>
          <w:lang w:val="en-US" w:eastAsia="zh-CN"/>
        </w:rPr>
        <w:t>万</w:t>
      </w:r>
      <w:r>
        <w:rPr>
          <w:rFonts w:hint="eastAsia" w:ascii="宋体" w:hAnsi="宋体" w:eastAsia="宋体" w:cs="宋体"/>
          <w:sz w:val="28"/>
          <w:szCs w:val="28"/>
        </w:rPr>
        <w:t>元，新型工业基地规划水资源论证报告编制费27</w:t>
      </w:r>
      <w:r>
        <w:rPr>
          <w:rFonts w:hint="eastAsia" w:ascii="宋体" w:hAnsi="宋体" w:eastAsia="宋体" w:cs="宋体"/>
          <w:sz w:val="28"/>
          <w:szCs w:val="28"/>
          <w:lang w:val="en-US" w:eastAsia="zh-CN"/>
        </w:rPr>
        <w:t>.</w:t>
      </w:r>
      <w:r>
        <w:rPr>
          <w:rFonts w:hint="eastAsia" w:ascii="宋体" w:hAnsi="宋体" w:eastAsia="宋体" w:cs="宋体"/>
          <w:sz w:val="28"/>
          <w:szCs w:val="28"/>
        </w:rPr>
        <w:t>5</w:t>
      </w:r>
      <w:r>
        <w:rPr>
          <w:rFonts w:hint="eastAsia" w:ascii="宋体" w:hAnsi="宋体" w:eastAsia="宋体" w:cs="宋体"/>
          <w:sz w:val="28"/>
          <w:szCs w:val="28"/>
          <w:lang w:val="en-US" w:eastAsia="zh-CN"/>
        </w:rPr>
        <w:t>万</w:t>
      </w:r>
      <w:r>
        <w:rPr>
          <w:rFonts w:hint="eastAsia" w:ascii="宋体" w:hAnsi="宋体" w:eastAsia="宋体" w:cs="宋体"/>
          <w:sz w:val="28"/>
          <w:szCs w:val="28"/>
        </w:rPr>
        <w:t>元，经开区发展规划编制费3</w:t>
      </w:r>
      <w:r>
        <w:rPr>
          <w:rFonts w:hint="eastAsia" w:ascii="宋体" w:hAnsi="宋体" w:eastAsia="宋体" w:cs="宋体"/>
          <w:sz w:val="28"/>
          <w:szCs w:val="28"/>
          <w:lang w:val="en-US" w:eastAsia="zh-CN"/>
        </w:rPr>
        <w:t>.</w:t>
      </w:r>
      <w:r>
        <w:rPr>
          <w:rFonts w:hint="eastAsia" w:ascii="宋体" w:hAnsi="宋体" w:eastAsia="宋体" w:cs="宋体"/>
          <w:sz w:val="28"/>
          <w:szCs w:val="28"/>
        </w:rPr>
        <w:t>6</w:t>
      </w:r>
      <w:r>
        <w:rPr>
          <w:rFonts w:hint="eastAsia" w:ascii="宋体" w:hAnsi="宋体" w:eastAsia="宋体" w:cs="宋体"/>
          <w:sz w:val="28"/>
          <w:szCs w:val="28"/>
          <w:lang w:val="en-US" w:eastAsia="zh-CN"/>
        </w:rPr>
        <w:t>万</w:t>
      </w:r>
      <w:r>
        <w:rPr>
          <w:rFonts w:hint="eastAsia" w:ascii="宋体" w:hAnsi="宋体" w:eastAsia="宋体" w:cs="宋体"/>
          <w:sz w:val="28"/>
          <w:szCs w:val="28"/>
        </w:rPr>
        <w:t>元，园区总规、控规修编费6</w:t>
      </w:r>
      <w:r>
        <w:rPr>
          <w:rFonts w:hint="eastAsia" w:ascii="宋体" w:hAnsi="宋体" w:eastAsia="宋体" w:cs="宋体"/>
          <w:sz w:val="28"/>
          <w:szCs w:val="28"/>
          <w:lang w:val="en-US" w:eastAsia="zh-CN"/>
        </w:rPr>
        <w:t>万</w:t>
      </w:r>
      <w:r>
        <w:rPr>
          <w:rFonts w:hint="eastAsia" w:ascii="宋体" w:hAnsi="宋体" w:eastAsia="宋体" w:cs="宋体"/>
          <w:sz w:val="28"/>
          <w:szCs w:val="28"/>
        </w:rPr>
        <w:t>元，新型工业基地景观设计导则4</w:t>
      </w:r>
      <w:r>
        <w:rPr>
          <w:rFonts w:hint="eastAsia" w:ascii="宋体" w:hAnsi="宋体" w:eastAsia="宋体" w:cs="宋体"/>
          <w:sz w:val="28"/>
          <w:szCs w:val="28"/>
          <w:lang w:val="en-US" w:eastAsia="zh-CN"/>
        </w:rPr>
        <w:t>.</w:t>
      </w:r>
      <w:r>
        <w:rPr>
          <w:rFonts w:hint="eastAsia" w:ascii="宋体" w:hAnsi="宋体" w:eastAsia="宋体" w:cs="宋体"/>
          <w:sz w:val="28"/>
          <w:szCs w:val="28"/>
        </w:rPr>
        <w:t>98</w:t>
      </w:r>
      <w:r>
        <w:rPr>
          <w:rFonts w:hint="eastAsia" w:ascii="宋体" w:hAnsi="宋体" w:eastAsia="宋体" w:cs="宋体"/>
          <w:sz w:val="28"/>
          <w:szCs w:val="28"/>
          <w:lang w:val="en-US" w:eastAsia="zh-CN"/>
        </w:rPr>
        <w:t>万</w:t>
      </w:r>
      <w:r>
        <w:rPr>
          <w:rFonts w:hint="eastAsia" w:ascii="宋体" w:hAnsi="宋体" w:eastAsia="宋体" w:cs="宋体"/>
          <w:sz w:val="28"/>
          <w:szCs w:val="28"/>
        </w:rPr>
        <w:t>元，绿色硅谷路网畅通工程一般债券申报资料编报2</w:t>
      </w:r>
      <w:r>
        <w:rPr>
          <w:rFonts w:hint="eastAsia" w:ascii="宋体" w:hAnsi="宋体" w:eastAsia="宋体" w:cs="宋体"/>
          <w:sz w:val="28"/>
          <w:szCs w:val="28"/>
          <w:lang w:val="en-US" w:eastAsia="zh-CN"/>
        </w:rPr>
        <w:t>万</w:t>
      </w:r>
      <w:r>
        <w:rPr>
          <w:rFonts w:hint="eastAsia" w:ascii="宋体" w:hAnsi="宋体" w:eastAsia="宋体" w:cs="宋体"/>
          <w:sz w:val="28"/>
          <w:szCs w:val="28"/>
        </w:rPr>
        <w:t>元，共计354</w:t>
      </w:r>
      <w:r>
        <w:rPr>
          <w:rFonts w:hint="eastAsia" w:ascii="宋体" w:hAnsi="宋体" w:eastAsia="宋体" w:cs="宋体"/>
          <w:sz w:val="28"/>
          <w:szCs w:val="28"/>
          <w:lang w:val="en-US" w:eastAsia="zh-CN"/>
        </w:rPr>
        <w:t>.</w:t>
      </w:r>
      <w:r>
        <w:rPr>
          <w:rFonts w:hint="eastAsia" w:ascii="宋体" w:hAnsi="宋体" w:eastAsia="宋体" w:cs="宋体"/>
          <w:sz w:val="28"/>
          <w:szCs w:val="28"/>
        </w:rPr>
        <w:t>18</w:t>
      </w:r>
      <w:r>
        <w:rPr>
          <w:rFonts w:hint="eastAsia" w:ascii="宋体" w:hAnsi="宋体" w:eastAsia="宋体" w:cs="宋体"/>
          <w:sz w:val="28"/>
          <w:szCs w:val="28"/>
          <w:lang w:val="en-US" w:eastAsia="zh-CN"/>
        </w:rPr>
        <w:t>万</w:t>
      </w:r>
      <w:r>
        <w:rPr>
          <w:rFonts w:hint="eastAsia" w:ascii="宋体" w:hAnsi="宋体" w:eastAsia="宋体" w:cs="宋体"/>
          <w:sz w:val="28"/>
          <w:szCs w:val="28"/>
        </w:rPr>
        <w:t>元。扎实推进乐山五通桥新型工业基地转型升级、跨越式发展，加快产业强区发展战略，成功获批省级经开区，持续推进省级化工园区申报工作。</w:t>
      </w:r>
    </w:p>
    <w:p w14:paraId="65A28C5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
          <w:bCs/>
          <w:sz w:val="28"/>
          <w:szCs w:val="28"/>
        </w:rPr>
      </w:pPr>
      <w:r>
        <w:rPr>
          <w:rFonts w:hint="eastAsia" w:ascii="宋体" w:hAnsi="宋体" w:eastAsia="宋体" w:cs="宋体"/>
          <w:sz w:val="28"/>
          <w:szCs w:val="28"/>
          <w:lang w:val="en-US" w:eastAsia="zh-CN"/>
        </w:rPr>
        <w:t>5.</w:t>
      </w:r>
      <w:r>
        <w:rPr>
          <w:rFonts w:hint="eastAsia" w:ascii="宋体" w:hAnsi="宋体" w:eastAsia="宋体" w:cs="宋体"/>
          <w:b/>
          <w:bCs/>
          <w:sz w:val="28"/>
          <w:szCs w:val="28"/>
        </w:rPr>
        <w:t>园区专项债、一般债资金</w:t>
      </w:r>
    </w:p>
    <w:p w14:paraId="0FD3469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bCs/>
          <w:sz w:val="28"/>
          <w:szCs w:val="28"/>
        </w:rPr>
      </w:pPr>
      <w:r>
        <w:rPr>
          <w:rFonts w:hint="eastAsia" w:ascii="宋体" w:hAnsi="宋体" w:eastAsia="宋体" w:cs="宋体"/>
          <w:bCs/>
          <w:sz w:val="28"/>
          <w:szCs w:val="28"/>
        </w:rPr>
        <w:t>园区现有工业企业20家，其中规上企业13家。2023年，园区实现工业产值约802.40亿元，实现税收52.35亿元，完成固定资产投资122.03亿元。</w:t>
      </w:r>
    </w:p>
    <w:p w14:paraId="4A48898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2023年园区专项债资金包括6个项目：乐山市220千伏龙翔输变电新建工程项目22000万元、东西部扶贫协作新型工业园区基础设施建设项目4100万元、乐山市五通桥区2022年新型工业基地园区基础设施建设及配套项目1900万元、110千伏红豆输变电新建工程1000万元、110千伏楠木湾输变电新建工程1500万元、园区退岸入园基础设施建设项目73500万元，绿色硅谷路网畅通工程一般债4500万元，共计108500万元。项目顺利推进，实现了年初目标，资金使用规范。年内建成了总里程达5公里的北二路二期、南三路等4条道路，完成了2.5公里龙翔路扩建工程，在建北一路二期1条0.8公里；建成龙翔220千伏变电站，成功投运全省一次建成投运规模最大的500千伏智能变电站500千伏乐山南变电站，在建一座220千伏银海山变电站</w:t>
      </w:r>
    </w:p>
    <w:p w14:paraId="4E62AF6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cs="宋体"/>
          <w:sz w:val="28"/>
          <w:szCs w:val="28"/>
          <w:lang w:val="en-US" w:eastAsia="zh-CN"/>
        </w:rPr>
        <w:t>.</w:t>
      </w:r>
      <w:r>
        <w:rPr>
          <w:rFonts w:hint="eastAsia" w:ascii="宋体" w:hAnsi="宋体" w:eastAsia="宋体" w:cs="宋体"/>
          <w:sz w:val="28"/>
          <w:szCs w:val="28"/>
        </w:rPr>
        <w:t>供水、污水处理厂及管网、设备</w:t>
      </w:r>
    </w:p>
    <w:p w14:paraId="32C98B9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2023年支付园区工业供水厂及配套管网工程款4980</w:t>
      </w:r>
      <w:r>
        <w:rPr>
          <w:rFonts w:hint="eastAsia" w:ascii="宋体" w:hAnsi="宋体" w:eastAsia="宋体" w:cs="宋体"/>
          <w:sz w:val="28"/>
          <w:szCs w:val="28"/>
          <w:lang w:val="en-US" w:eastAsia="zh-CN"/>
        </w:rPr>
        <w:t>.3万</w:t>
      </w:r>
      <w:r>
        <w:rPr>
          <w:rFonts w:hint="eastAsia" w:ascii="宋体" w:hAnsi="宋体" w:eastAsia="宋体" w:cs="宋体"/>
          <w:sz w:val="28"/>
          <w:szCs w:val="28"/>
        </w:rPr>
        <w:t>元，污水处理一期工程款824</w:t>
      </w:r>
      <w:r>
        <w:rPr>
          <w:rFonts w:hint="eastAsia" w:ascii="宋体" w:hAnsi="宋体" w:eastAsia="宋体" w:cs="宋体"/>
          <w:sz w:val="28"/>
          <w:szCs w:val="28"/>
          <w:lang w:val="en-US" w:eastAsia="zh-CN"/>
        </w:rPr>
        <w:t>.</w:t>
      </w:r>
      <w:r>
        <w:rPr>
          <w:rFonts w:hint="eastAsia" w:ascii="宋体" w:hAnsi="宋体" w:eastAsia="宋体" w:cs="宋体"/>
          <w:sz w:val="28"/>
          <w:szCs w:val="28"/>
        </w:rPr>
        <w:t>84</w:t>
      </w:r>
      <w:r>
        <w:rPr>
          <w:rFonts w:hint="eastAsia" w:ascii="宋体" w:hAnsi="宋体" w:eastAsia="宋体" w:cs="宋体"/>
          <w:sz w:val="28"/>
          <w:szCs w:val="28"/>
          <w:lang w:val="en-US" w:eastAsia="zh-CN"/>
        </w:rPr>
        <w:t>万</w:t>
      </w:r>
      <w:r>
        <w:rPr>
          <w:rFonts w:hint="eastAsia" w:ascii="宋体" w:hAnsi="宋体" w:eastAsia="宋体" w:cs="宋体"/>
          <w:sz w:val="28"/>
          <w:szCs w:val="28"/>
        </w:rPr>
        <w:t>元，污水处理厂尾水管网工程款141</w:t>
      </w:r>
      <w:r>
        <w:rPr>
          <w:rFonts w:hint="eastAsia" w:ascii="宋体" w:hAnsi="宋体" w:eastAsia="宋体" w:cs="宋体"/>
          <w:sz w:val="28"/>
          <w:szCs w:val="28"/>
          <w:lang w:val="en-US" w:eastAsia="zh-CN"/>
        </w:rPr>
        <w:t>.</w:t>
      </w:r>
      <w:r>
        <w:rPr>
          <w:rFonts w:hint="eastAsia" w:ascii="宋体" w:hAnsi="宋体" w:eastAsia="宋体" w:cs="宋体"/>
          <w:sz w:val="28"/>
          <w:szCs w:val="28"/>
        </w:rPr>
        <w:t>18</w:t>
      </w:r>
      <w:r>
        <w:rPr>
          <w:rFonts w:hint="eastAsia" w:ascii="宋体" w:hAnsi="宋体" w:eastAsia="宋体" w:cs="宋体"/>
          <w:sz w:val="28"/>
          <w:szCs w:val="28"/>
          <w:lang w:val="en-US" w:eastAsia="zh-CN"/>
        </w:rPr>
        <w:t>万</w:t>
      </w:r>
      <w:r>
        <w:rPr>
          <w:rFonts w:hint="eastAsia" w:ascii="宋体" w:hAnsi="宋体" w:eastAsia="宋体" w:cs="宋体"/>
          <w:sz w:val="28"/>
          <w:szCs w:val="28"/>
        </w:rPr>
        <w:t>元，污水处理厂设备采购款309</w:t>
      </w:r>
      <w:r>
        <w:rPr>
          <w:rFonts w:hint="eastAsia" w:ascii="宋体" w:hAnsi="宋体" w:eastAsia="宋体" w:cs="宋体"/>
          <w:sz w:val="28"/>
          <w:szCs w:val="28"/>
          <w:lang w:val="en-US" w:eastAsia="zh-CN"/>
        </w:rPr>
        <w:t>.</w:t>
      </w:r>
      <w:r>
        <w:rPr>
          <w:rFonts w:hint="eastAsia" w:ascii="宋体" w:hAnsi="宋体" w:eastAsia="宋体" w:cs="宋体"/>
          <w:sz w:val="28"/>
          <w:szCs w:val="28"/>
        </w:rPr>
        <w:t>94</w:t>
      </w:r>
      <w:r>
        <w:rPr>
          <w:rFonts w:hint="eastAsia" w:ascii="宋体" w:hAnsi="宋体" w:eastAsia="宋体" w:cs="宋体"/>
          <w:sz w:val="28"/>
          <w:szCs w:val="28"/>
          <w:lang w:val="en-US" w:eastAsia="zh-CN"/>
        </w:rPr>
        <w:t>万</w:t>
      </w:r>
      <w:r>
        <w:rPr>
          <w:rFonts w:hint="eastAsia" w:ascii="宋体" w:hAnsi="宋体" w:eastAsia="宋体" w:cs="宋体"/>
          <w:sz w:val="28"/>
          <w:szCs w:val="28"/>
        </w:rPr>
        <w:t>元，永祥组团工业废水集中处理工程款100</w:t>
      </w:r>
      <w:r>
        <w:rPr>
          <w:rFonts w:hint="eastAsia" w:ascii="宋体" w:hAnsi="宋体" w:eastAsia="宋体" w:cs="宋体"/>
          <w:sz w:val="28"/>
          <w:szCs w:val="28"/>
          <w:lang w:val="en-US" w:eastAsia="zh-CN"/>
        </w:rPr>
        <w:t>万</w:t>
      </w:r>
      <w:r>
        <w:rPr>
          <w:rFonts w:hint="eastAsia" w:ascii="宋体" w:hAnsi="宋体" w:eastAsia="宋体" w:cs="宋体"/>
          <w:sz w:val="28"/>
          <w:szCs w:val="28"/>
        </w:rPr>
        <w:t>元，晶科一、二期临时供水管道加固4</w:t>
      </w:r>
      <w:r>
        <w:rPr>
          <w:rFonts w:hint="eastAsia" w:ascii="宋体" w:hAnsi="宋体" w:eastAsia="宋体" w:cs="宋体"/>
          <w:sz w:val="28"/>
          <w:szCs w:val="28"/>
          <w:lang w:val="en-US" w:eastAsia="zh-CN"/>
        </w:rPr>
        <w:t>.</w:t>
      </w:r>
      <w:r>
        <w:rPr>
          <w:rFonts w:hint="eastAsia" w:ascii="宋体" w:hAnsi="宋体" w:eastAsia="宋体" w:cs="宋体"/>
          <w:sz w:val="28"/>
          <w:szCs w:val="28"/>
        </w:rPr>
        <w:t>98</w:t>
      </w:r>
      <w:r>
        <w:rPr>
          <w:rFonts w:hint="eastAsia" w:ascii="宋体" w:hAnsi="宋体" w:eastAsia="宋体" w:cs="宋体"/>
          <w:sz w:val="28"/>
          <w:szCs w:val="28"/>
          <w:lang w:val="en-US" w:eastAsia="zh-CN"/>
        </w:rPr>
        <w:t>万</w:t>
      </w:r>
      <w:r>
        <w:rPr>
          <w:rFonts w:hint="eastAsia" w:ascii="宋体" w:hAnsi="宋体" w:eastAsia="宋体" w:cs="宋体"/>
          <w:sz w:val="28"/>
          <w:szCs w:val="28"/>
        </w:rPr>
        <w:t>元，共计6361</w:t>
      </w:r>
      <w:r>
        <w:rPr>
          <w:rFonts w:hint="eastAsia" w:ascii="宋体" w:hAnsi="宋体" w:eastAsia="宋体" w:cs="宋体"/>
          <w:sz w:val="28"/>
          <w:szCs w:val="28"/>
          <w:lang w:val="en-US" w:eastAsia="zh-CN"/>
        </w:rPr>
        <w:t>.24万</w:t>
      </w:r>
      <w:r>
        <w:rPr>
          <w:rFonts w:hint="eastAsia" w:ascii="宋体" w:hAnsi="宋体" w:eastAsia="宋体" w:cs="宋体"/>
          <w:sz w:val="28"/>
          <w:szCs w:val="28"/>
        </w:rPr>
        <w:t>元。已建成投用工业污水厂一期，正加快推进工业供水厂二期（20万吨/天）、工业污水厂二期（9.2万吨/天）建设，保障园区企业正常生产运营。</w:t>
      </w:r>
    </w:p>
    <w:p w14:paraId="59B42E97">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7</w:t>
      </w:r>
      <w:r>
        <w:rPr>
          <w:rFonts w:hint="eastAsia" w:ascii="宋体" w:hAnsi="宋体" w:cs="宋体"/>
          <w:b/>
          <w:bCs/>
          <w:sz w:val="28"/>
          <w:szCs w:val="28"/>
          <w:lang w:val="en-US" w:eastAsia="zh-CN"/>
        </w:rPr>
        <w:t>.</w:t>
      </w:r>
      <w:r>
        <w:rPr>
          <w:rFonts w:hint="eastAsia" w:ascii="宋体" w:hAnsi="宋体" w:eastAsia="宋体" w:cs="宋体"/>
          <w:b/>
          <w:bCs/>
          <w:sz w:val="28"/>
          <w:szCs w:val="28"/>
        </w:rPr>
        <w:t>专项债资本金、可研等</w:t>
      </w:r>
    </w:p>
    <w:p w14:paraId="6316BA1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2023年全年支付专项债资本金6490</w:t>
      </w:r>
      <w:r>
        <w:rPr>
          <w:rFonts w:hint="eastAsia" w:ascii="宋体" w:hAnsi="宋体" w:eastAsia="宋体" w:cs="宋体"/>
          <w:sz w:val="28"/>
          <w:szCs w:val="28"/>
          <w:lang w:val="en-US" w:eastAsia="zh-CN"/>
        </w:rPr>
        <w:t>.</w:t>
      </w:r>
      <w:r>
        <w:rPr>
          <w:rFonts w:hint="eastAsia" w:ascii="宋体" w:hAnsi="宋体" w:eastAsia="宋体" w:cs="宋体"/>
          <w:sz w:val="28"/>
          <w:szCs w:val="28"/>
        </w:rPr>
        <w:t>42</w:t>
      </w:r>
      <w:r>
        <w:rPr>
          <w:rFonts w:hint="eastAsia" w:ascii="宋体" w:hAnsi="宋体" w:eastAsia="宋体" w:cs="宋体"/>
          <w:sz w:val="28"/>
          <w:szCs w:val="28"/>
          <w:lang w:val="en-US" w:eastAsia="zh-CN"/>
        </w:rPr>
        <w:t>万</w:t>
      </w:r>
      <w:r>
        <w:rPr>
          <w:rFonts w:hint="eastAsia" w:ascii="宋体" w:hAnsi="宋体" w:eastAsia="宋体" w:cs="宋体"/>
          <w:sz w:val="28"/>
          <w:szCs w:val="28"/>
        </w:rPr>
        <w:t>元，退岸入园专项债可研和一案两书编制费34</w:t>
      </w:r>
      <w:r>
        <w:rPr>
          <w:rFonts w:hint="eastAsia" w:ascii="宋体" w:hAnsi="宋体" w:eastAsia="宋体" w:cs="宋体"/>
          <w:sz w:val="28"/>
          <w:szCs w:val="28"/>
          <w:lang w:val="en-US" w:eastAsia="zh-CN"/>
        </w:rPr>
        <w:t>.</w:t>
      </w:r>
      <w:r>
        <w:rPr>
          <w:rFonts w:hint="eastAsia" w:ascii="宋体" w:hAnsi="宋体" w:eastAsia="宋体" w:cs="宋体"/>
          <w:sz w:val="28"/>
          <w:szCs w:val="28"/>
        </w:rPr>
        <w:t>88</w:t>
      </w:r>
      <w:r>
        <w:rPr>
          <w:rFonts w:hint="eastAsia" w:ascii="宋体" w:hAnsi="宋体" w:eastAsia="宋体" w:cs="宋体"/>
          <w:sz w:val="28"/>
          <w:szCs w:val="28"/>
          <w:lang w:val="en-US" w:eastAsia="zh-CN"/>
        </w:rPr>
        <w:t>万元</w:t>
      </w:r>
      <w:r>
        <w:rPr>
          <w:rFonts w:hint="eastAsia" w:ascii="宋体" w:hAnsi="宋体" w:eastAsia="宋体" w:cs="宋体"/>
          <w:sz w:val="28"/>
          <w:szCs w:val="28"/>
        </w:rPr>
        <w:t>，工业园区基建专项债前期综合咨询服务费40</w:t>
      </w:r>
      <w:r>
        <w:rPr>
          <w:rFonts w:hint="eastAsia" w:ascii="宋体" w:hAnsi="宋体" w:eastAsia="宋体" w:cs="宋体"/>
          <w:sz w:val="28"/>
          <w:szCs w:val="28"/>
          <w:lang w:val="en-US" w:eastAsia="zh-CN"/>
        </w:rPr>
        <w:t>.8万</w:t>
      </w:r>
      <w:r>
        <w:rPr>
          <w:rFonts w:hint="eastAsia" w:ascii="宋体" w:hAnsi="宋体" w:eastAsia="宋体" w:cs="宋体"/>
          <w:sz w:val="28"/>
          <w:szCs w:val="28"/>
        </w:rPr>
        <w:t>元，共计</w:t>
      </w:r>
      <w:r>
        <w:rPr>
          <w:rFonts w:hint="eastAsia" w:ascii="宋体" w:hAnsi="宋体" w:eastAsia="宋体" w:cs="宋体"/>
          <w:sz w:val="28"/>
          <w:szCs w:val="28"/>
          <w:lang w:val="en-US" w:eastAsia="zh-CN"/>
        </w:rPr>
        <w:t>6566.1万</w:t>
      </w:r>
      <w:r>
        <w:rPr>
          <w:rFonts w:hint="eastAsia" w:ascii="宋体" w:hAnsi="宋体" w:eastAsia="宋体" w:cs="宋体"/>
          <w:sz w:val="28"/>
          <w:szCs w:val="28"/>
        </w:rPr>
        <w:t>元。全年争取专项债资金10.4亿元。</w:t>
      </w:r>
    </w:p>
    <w:p w14:paraId="5A8EBB2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cs="宋体"/>
          <w:sz w:val="28"/>
          <w:szCs w:val="28"/>
          <w:lang w:val="en-US" w:eastAsia="zh-CN"/>
        </w:rPr>
        <w:t>.</w:t>
      </w:r>
      <w:r>
        <w:rPr>
          <w:rFonts w:hint="eastAsia" w:ascii="宋体" w:hAnsi="宋体" w:eastAsia="宋体" w:cs="宋体"/>
          <w:sz w:val="28"/>
          <w:szCs w:val="28"/>
        </w:rPr>
        <w:t>其他项目建设工程款</w:t>
      </w:r>
    </w:p>
    <w:p w14:paraId="383767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rPr>
        <w:t>2023年支付云平台建设工程款516</w:t>
      </w:r>
      <w:r>
        <w:rPr>
          <w:rFonts w:hint="eastAsia" w:ascii="宋体" w:hAnsi="宋体" w:eastAsia="宋体" w:cs="宋体"/>
          <w:sz w:val="28"/>
          <w:szCs w:val="28"/>
          <w:lang w:val="en-US" w:eastAsia="zh-CN"/>
        </w:rPr>
        <w:t>万</w:t>
      </w:r>
      <w:r>
        <w:rPr>
          <w:rFonts w:hint="eastAsia" w:ascii="宋体" w:hAnsi="宋体" w:eastAsia="宋体" w:cs="宋体"/>
          <w:sz w:val="28"/>
          <w:szCs w:val="28"/>
        </w:rPr>
        <w:t>元，永祥二期土石方二标段工程款840</w:t>
      </w:r>
      <w:r>
        <w:rPr>
          <w:rFonts w:hint="eastAsia" w:ascii="宋体" w:hAnsi="宋体" w:eastAsia="宋体" w:cs="宋体"/>
          <w:sz w:val="28"/>
          <w:szCs w:val="28"/>
          <w:lang w:val="en-US" w:eastAsia="zh-CN"/>
        </w:rPr>
        <w:t>万</w:t>
      </w:r>
      <w:r>
        <w:rPr>
          <w:rFonts w:hint="eastAsia" w:ascii="宋体" w:hAnsi="宋体" w:eastAsia="宋体" w:cs="宋体"/>
          <w:sz w:val="28"/>
          <w:szCs w:val="28"/>
        </w:rPr>
        <w:t>元，110KV桥高、桥易、桥杨线迁改工程款300</w:t>
      </w:r>
      <w:r>
        <w:rPr>
          <w:rFonts w:hint="eastAsia" w:ascii="宋体" w:hAnsi="宋体" w:eastAsia="宋体" w:cs="宋体"/>
          <w:sz w:val="28"/>
          <w:szCs w:val="28"/>
          <w:lang w:val="en-US" w:eastAsia="zh-CN"/>
        </w:rPr>
        <w:t>万</w:t>
      </w:r>
      <w:r>
        <w:rPr>
          <w:rFonts w:hint="eastAsia" w:ascii="宋体" w:hAnsi="宋体" w:eastAsia="宋体" w:cs="宋体"/>
          <w:sz w:val="28"/>
          <w:szCs w:val="28"/>
        </w:rPr>
        <w:t>元，协鑫场平及相关费用936</w:t>
      </w:r>
      <w:r>
        <w:rPr>
          <w:rFonts w:hint="eastAsia" w:ascii="宋体" w:hAnsi="宋体" w:eastAsia="宋体" w:cs="宋体"/>
          <w:sz w:val="28"/>
          <w:szCs w:val="28"/>
          <w:lang w:val="en-US" w:eastAsia="zh-CN"/>
        </w:rPr>
        <w:t>.</w:t>
      </w:r>
      <w:r>
        <w:rPr>
          <w:rFonts w:hint="eastAsia" w:ascii="宋体" w:hAnsi="宋体" w:eastAsia="宋体" w:cs="宋体"/>
          <w:sz w:val="28"/>
          <w:szCs w:val="28"/>
        </w:rPr>
        <w:t>4</w:t>
      </w:r>
      <w:r>
        <w:rPr>
          <w:rFonts w:hint="eastAsia" w:ascii="宋体" w:hAnsi="宋体" w:eastAsia="宋体" w:cs="宋体"/>
          <w:sz w:val="28"/>
          <w:szCs w:val="28"/>
          <w:lang w:val="en-US" w:eastAsia="zh-CN"/>
        </w:rPr>
        <w:t>1万</w:t>
      </w:r>
      <w:r>
        <w:rPr>
          <w:rFonts w:hint="eastAsia" w:ascii="宋体" w:hAnsi="宋体" w:eastAsia="宋体" w:cs="宋体"/>
          <w:sz w:val="28"/>
          <w:szCs w:val="28"/>
        </w:rPr>
        <w:t>元，晶科宿舍二期、生活区场平工程款1826</w:t>
      </w:r>
      <w:r>
        <w:rPr>
          <w:rFonts w:hint="eastAsia" w:ascii="宋体" w:hAnsi="宋体" w:eastAsia="宋体" w:cs="宋体"/>
          <w:sz w:val="28"/>
          <w:szCs w:val="28"/>
          <w:lang w:val="en-US" w:eastAsia="zh-CN"/>
        </w:rPr>
        <w:t>.</w:t>
      </w:r>
      <w:r>
        <w:rPr>
          <w:rFonts w:hint="eastAsia" w:ascii="宋体" w:hAnsi="宋体" w:eastAsia="宋体" w:cs="宋体"/>
          <w:sz w:val="28"/>
          <w:szCs w:val="28"/>
        </w:rPr>
        <w:t>4</w:t>
      </w:r>
      <w:r>
        <w:rPr>
          <w:rFonts w:hint="eastAsia" w:ascii="宋体" w:hAnsi="宋体" w:eastAsia="宋体" w:cs="宋体"/>
          <w:sz w:val="28"/>
          <w:szCs w:val="28"/>
          <w:lang w:val="en-US" w:eastAsia="zh-CN"/>
        </w:rPr>
        <w:t>9万</w:t>
      </w:r>
      <w:r>
        <w:rPr>
          <w:rFonts w:hint="eastAsia" w:ascii="宋体" w:hAnsi="宋体" w:eastAsia="宋体" w:cs="宋体"/>
          <w:sz w:val="28"/>
          <w:szCs w:val="28"/>
        </w:rPr>
        <w:t>元，共计4418</w:t>
      </w:r>
      <w:r>
        <w:rPr>
          <w:rFonts w:hint="eastAsia" w:ascii="宋体" w:hAnsi="宋体" w:eastAsia="宋体" w:cs="宋体"/>
          <w:sz w:val="28"/>
          <w:szCs w:val="28"/>
          <w:lang w:val="en-US" w:eastAsia="zh-CN"/>
        </w:rPr>
        <w:t>.9万</w:t>
      </w:r>
      <w:r>
        <w:rPr>
          <w:rFonts w:hint="eastAsia" w:ascii="宋体" w:hAnsi="宋体" w:eastAsia="宋体" w:cs="宋体"/>
          <w:sz w:val="28"/>
          <w:szCs w:val="28"/>
        </w:rPr>
        <w:t>元。完成了场平、电力线路迁改等工程建设，保障了入驻投产。</w:t>
      </w:r>
    </w:p>
    <w:p w14:paraId="5E1E5796">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四、评价结论及建议</w:t>
      </w:r>
    </w:p>
    <w:p w14:paraId="0EA15430">
      <w:pPr>
        <w:keepNext w:val="0"/>
        <w:keepLines w:val="0"/>
        <w:pageBreakBefore w:val="0"/>
        <w:widowControl w:val="0"/>
        <w:kinsoku/>
        <w:wordWrap/>
        <w:overflowPunct/>
        <w:topLinePunct w:val="0"/>
        <w:autoSpaceDE/>
        <w:autoSpaceDN/>
        <w:bidi w:val="0"/>
        <w:adjustRightInd/>
        <w:snapToGrid/>
        <w:spacing w:line="600" w:lineRule="exact"/>
        <w:ind w:firstLine="562" w:firstLineChars="200"/>
        <w:textAlignment w:val="auto"/>
        <w:rPr>
          <w:rFonts w:hint="eastAsia" w:ascii="宋体" w:hAnsi="宋体" w:eastAsia="宋体" w:cs="宋体"/>
          <w:b/>
          <w:sz w:val="28"/>
          <w:szCs w:val="28"/>
        </w:rPr>
      </w:pPr>
      <w:r>
        <w:rPr>
          <w:rFonts w:hint="eastAsia" w:ascii="宋体" w:hAnsi="宋体" w:eastAsia="宋体" w:cs="宋体"/>
          <w:b/>
          <w:sz w:val="28"/>
          <w:szCs w:val="28"/>
        </w:rPr>
        <w:t>（一）评价结论。</w:t>
      </w:r>
    </w:p>
    <w:p w14:paraId="1D75A7F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按照《2023年度五通桥区部门整体支出绩效评价指标体系》设定的绩效指标和计分标准，经开区管委会2023年部门整体支出绩效评价得分为95分。项目绩效目标制定详实，各项工程进展顺利，资金按进度支付。各项奖补资金按相关政策依据及时奖补到企业。</w:t>
      </w:r>
    </w:p>
    <w:p w14:paraId="1933C5E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2" w:firstLineChars="200"/>
        <w:textAlignment w:val="auto"/>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（三）</w:t>
      </w:r>
      <w:r>
        <w:rPr>
          <w:rFonts w:hint="eastAsia" w:ascii="宋体" w:hAnsi="宋体" w:eastAsia="宋体" w:cs="宋体"/>
          <w:b/>
          <w:sz w:val="28"/>
          <w:szCs w:val="28"/>
        </w:rPr>
        <w:t>存在问题。</w:t>
      </w:r>
    </w:p>
    <w:p w14:paraId="7B6048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rPr>
        <w:t>在编制部门预算时按要求填报了部门整体支出绩效目标以及项目支出绩效目标。绩效目标的完成指标、效益指标及满意度指标三大要素基本完整，但部分项目仍存在绩效目标设置量化、细化程度不够的问题。</w:t>
      </w:r>
    </w:p>
    <w:p w14:paraId="347C491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2" w:firstLineChars="200"/>
        <w:textAlignment w:val="auto"/>
        <w:rPr>
          <w:rFonts w:hint="eastAsia" w:ascii="宋体" w:hAnsi="宋体" w:eastAsia="宋体" w:cs="宋体"/>
          <w:b/>
          <w:sz w:val="28"/>
          <w:szCs w:val="28"/>
        </w:rPr>
      </w:pPr>
      <w:r>
        <w:rPr>
          <w:rFonts w:hint="eastAsia" w:ascii="宋体" w:hAnsi="宋体" w:eastAsia="宋体" w:cs="宋体"/>
          <w:b/>
          <w:kern w:val="2"/>
          <w:sz w:val="28"/>
          <w:szCs w:val="28"/>
          <w:lang w:val="en-US" w:eastAsia="zh-CN" w:bidi="ar-SA"/>
        </w:rPr>
        <w:t>（四）</w:t>
      </w:r>
      <w:r>
        <w:rPr>
          <w:rFonts w:hint="eastAsia" w:ascii="宋体" w:hAnsi="宋体" w:eastAsia="宋体" w:cs="宋体"/>
          <w:b/>
          <w:sz w:val="28"/>
          <w:szCs w:val="28"/>
        </w:rPr>
        <w:t>改进建议。</w:t>
      </w:r>
    </w:p>
    <w:p w14:paraId="4A8808B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rPr>
        <w:t xml:space="preserve"> 充分了解预算需求，合理安排支出结构，提高预算编制的准确度。同时，积极应用绩效监控结果指导预算调整，提高预算编制与预算执行的一致性，强化预算精细化管理水平。</w:t>
      </w:r>
    </w:p>
    <w:p w14:paraId="4D5256B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zh-CN"/>
        </w:rPr>
      </w:pPr>
    </w:p>
    <w:p w14:paraId="1D358266">
      <w:pPr>
        <w:ind w:firstLine="560" w:firstLineChars="200"/>
        <w:rPr>
          <w:rFonts w:asciiTheme="minorEastAsia" w:hAnsiTheme="minorEastAsia" w:eastAsiaTheme="minorEastAsia"/>
          <w:sz w:val="28"/>
          <w:szCs w:val="28"/>
          <w:lang w:val="zh-CN"/>
        </w:rPr>
      </w:pPr>
      <w:r>
        <w:rPr>
          <w:rFonts w:hint="eastAsia" w:asciiTheme="minorEastAsia" w:hAnsiTheme="minorEastAsia" w:eastAsiaTheme="minorEastAsia"/>
          <w:sz w:val="28"/>
          <w:szCs w:val="28"/>
          <w:lang w:val="zh-CN"/>
        </w:rPr>
        <w:t>附表：</w:t>
      </w:r>
      <w:r>
        <w:rPr>
          <w:rFonts w:hint="eastAsia" w:asciiTheme="minorEastAsia" w:hAnsiTheme="minorEastAsia" w:eastAsiaTheme="minorEastAsia"/>
          <w:sz w:val="28"/>
          <w:szCs w:val="28"/>
        </w:rPr>
        <w:t>部门</w:t>
      </w:r>
      <w:r>
        <w:rPr>
          <w:rFonts w:hint="eastAsia" w:asciiTheme="minorEastAsia" w:hAnsiTheme="minorEastAsia" w:eastAsiaTheme="minorEastAsia"/>
          <w:sz w:val="28"/>
          <w:szCs w:val="28"/>
          <w:lang w:val="zh-CN"/>
        </w:rPr>
        <w:t>预算项目支出绩效自评表（2023年度）</w:t>
      </w:r>
    </w:p>
    <w:p w14:paraId="48138830">
      <w:pPr>
        <w:rPr>
          <w:rFonts w:hint="eastAsia" w:eastAsia="宋体"/>
          <w:lang w:eastAsia="zh-CN"/>
        </w:rPr>
      </w:pPr>
    </w:p>
    <w:p w14:paraId="3407A58D">
      <w:pPr>
        <w:rPr>
          <w:rFonts w:hint="eastAsia" w:eastAsia="宋体"/>
          <w:lang w:eastAsia="zh-CN"/>
        </w:rPr>
      </w:pPr>
    </w:p>
    <w:p w14:paraId="2A0753C0">
      <w:pPr>
        <w:rPr>
          <w:rFonts w:hint="eastAsia" w:eastAsia="宋体"/>
          <w:lang w:eastAsia="zh-CN"/>
        </w:rPr>
      </w:pPr>
    </w:p>
    <w:p w14:paraId="475D226F">
      <w:pPr>
        <w:rPr>
          <w:rFonts w:hint="eastAsia" w:eastAsia="宋体"/>
          <w:lang w:eastAsia="zh-CN"/>
        </w:rPr>
      </w:pPr>
    </w:p>
    <w:p w14:paraId="6EDFFB67">
      <w:pPr>
        <w:rPr>
          <w:rFonts w:hint="eastAsia" w:eastAsia="宋体"/>
          <w:lang w:eastAsia="zh-CN"/>
        </w:rPr>
      </w:pPr>
    </w:p>
    <w:p w14:paraId="680F6F9A">
      <w:pPr>
        <w:rPr>
          <w:rFonts w:hint="eastAsia" w:eastAsia="宋体"/>
          <w:lang w:eastAsia="zh-CN"/>
        </w:rPr>
      </w:pPr>
    </w:p>
    <w:p w14:paraId="29E9E76E">
      <w:pPr>
        <w:rPr>
          <w:rFonts w:hint="eastAsia" w:eastAsia="宋体"/>
          <w:lang w:eastAsia="zh-CN"/>
        </w:rPr>
      </w:pPr>
    </w:p>
    <w:p w14:paraId="5CD114F5">
      <w:pPr>
        <w:rPr>
          <w:rFonts w:hint="eastAsia" w:eastAsia="宋体"/>
          <w:lang w:eastAsia="zh-CN"/>
        </w:rPr>
      </w:pPr>
    </w:p>
    <w:p w14:paraId="088EB5FE">
      <w:pPr>
        <w:rPr>
          <w:rFonts w:hint="eastAsia" w:eastAsia="宋体"/>
          <w:lang w:eastAsia="zh-CN"/>
        </w:rPr>
      </w:pPr>
    </w:p>
    <w:p w14:paraId="59E9EC6B">
      <w:pPr>
        <w:rPr>
          <w:rFonts w:hint="eastAsia" w:eastAsia="宋体"/>
          <w:lang w:eastAsia="zh-CN"/>
        </w:rPr>
      </w:pPr>
    </w:p>
    <w:p w14:paraId="400B90D2">
      <w:pPr>
        <w:rPr>
          <w:rFonts w:hint="eastAsia" w:eastAsia="宋体"/>
          <w:lang w:eastAsia="zh-CN"/>
        </w:rPr>
      </w:pPr>
    </w:p>
    <w:p w14:paraId="752DFEB2">
      <w:pPr>
        <w:rPr>
          <w:rFonts w:hint="eastAsia" w:eastAsia="宋体"/>
          <w:lang w:eastAsia="zh-CN"/>
        </w:rPr>
      </w:pPr>
    </w:p>
    <w:p w14:paraId="31D6FB17">
      <w:pPr>
        <w:rPr>
          <w:rFonts w:hint="eastAsia" w:eastAsia="宋体"/>
          <w:lang w:eastAsia="zh-CN"/>
        </w:rPr>
      </w:pPr>
    </w:p>
    <w:p w14:paraId="18C710D5">
      <w:pPr>
        <w:rPr>
          <w:rFonts w:hint="eastAsia" w:eastAsia="宋体"/>
          <w:lang w:eastAsia="zh-CN"/>
        </w:rPr>
      </w:pPr>
    </w:p>
    <w:p w14:paraId="369A9CD8">
      <w:pPr>
        <w:rPr>
          <w:rFonts w:hint="eastAsia" w:eastAsia="宋体"/>
          <w:lang w:eastAsia="zh-CN"/>
        </w:rPr>
      </w:pPr>
    </w:p>
    <w:p w14:paraId="203E2989">
      <w:pPr>
        <w:rPr>
          <w:rFonts w:hint="eastAsia" w:eastAsia="宋体"/>
          <w:lang w:eastAsia="zh-CN"/>
        </w:rPr>
      </w:pPr>
    </w:p>
    <w:p w14:paraId="5EAE1915">
      <w:pPr>
        <w:rPr>
          <w:rFonts w:hint="eastAsia" w:eastAsia="宋体"/>
          <w:lang w:eastAsia="zh-CN"/>
        </w:rPr>
      </w:pPr>
    </w:p>
    <w:p w14:paraId="6C847BCF">
      <w:pPr>
        <w:rPr>
          <w:rFonts w:hint="eastAsia" w:eastAsia="宋体"/>
          <w:lang w:eastAsia="zh-CN"/>
        </w:rPr>
      </w:pPr>
    </w:p>
    <w:p w14:paraId="6EAD6003">
      <w:pPr>
        <w:rPr>
          <w:rFonts w:hint="eastAsia" w:eastAsia="宋体"/>
          <w:lang w:eastAsia="zh-CN"/>
        </w:rPr>
      </w:pPr>
    </w:p>
    <w:p w14:paraId="04EBF482"/>
    <w:p w14:paraId="44EC97DA">
      <w:pPr>
        <w:rPr>
          <w:rFonts w:hint="eastAsia" w:ascii="黑体" w:hAnsi="黑体" w:eastAsia="黑体"/>
          <w:sz w:val="32"/>
          <w:szCs w:val="32"/>
        </w:rPr>
      </w:pPr>
    </w:p>
    <w:p w14:paraId="4F66E0FE">
      <w:pPr>
        <w:rPr>
          <w:rFonts w:hint="eastAsia" w:ascii="黑体" w:hAnsi="黑体" w:eastAsia="黑体"/>
          <w:sz w:val="32"/>
          <w:szCs w:val="32"/>
        </w:rPr>
      </w:pPr>
    </w:p>
    <w:p w14:paraId="5CD43808">
      <w:pPr>
        <w:rPr>
          <w:rFonts w:hint="eastAsia" w:ascii="黑体" w:hAnsi="黑体" w:eastAsia="黑体"/>
          <w:sz w:val="32"/>
          <w:szCs w:val="32"/>
        </w:rPr>
      </w:pPr>
    </w:p>
    <w:p w14:paraId="3EF1A4D0">
      <w:pPr>
        <w:rPr>
          <w:rFonts w:hint="eastAsia" w:ascii="黑体" w:hAnsi="黑体" w:eastAsia="黑体"/>
          <w:sz w:val="32"/>
          <w:szCs w:val="32"/>
        </w:rPr>
      </w:pPr>
    </w:p>
    <w:p w14:paraId="2D323C2F">
      <w:pPr>
        <w:rPr>
          <w:rFonts w:hint="eastAsia" w:ascii="黑体" w:hAnsi="黑体" w:eastAsia="黑体"/>
          <w:sz w:val="32"/>
          <w:szCs w:val="32"/>
        </w:rPr>
      </w:pPr>
    </w:p>
    <w:p w14:paraId="09EAF05A">
      <w:pPr>
        <w:rPr>
          <w:rFonts w:hint="eastAsia" w:ascii="黑体" w:hAnsi="黑体" w:eastAsia="黑体"/>
          <w:sz w:val="32"/>
          <w:szCs w:val="32"/>
        </w:rPr>
      </w:pPr>
    </w:p>
    <w:p w14:paraId="3FC0EF80">
      <w:pPr>
        <w:rPr>
          <w:rFonts w:ascii="黑体" w:hAnsi="黑体" w:eastAsia="黑体"/>
          <w:sz w:val="32"/>
          <w:szCs w:val="32"/>
        </w:rPr>
      </w:pPr>
      <w:r>
        <w:rPr>
          <w:rFonts w:hint="eastAsia" w:ascii="黑体" w:hAnsi="黑体" w:eastAsia="黑体"/>
          <w:sz w:val="32"/>
          <w:szCs w:val="32"/>
        </w:rPr>
        <w:t>附件2</w:t>
      </w:r>
    </w:p>
    <w:p w14:paraId="31C69039">
      <w:pPr>
        <w:keepNext w:val="0"/>
        <w:keepLines w:val="0"/>
        <w:pageBreakBefore w:val="0"/>
        <w:widowControl/>
        <w:suppressLineNumbers w:val="0"/>
        <w:kinsoku/>
        <w:wordWrap/>
        <w:overflowPunct/>
        <w:topLinePunct w:val="0"/>
        <w:autoSpaceDE/>
        <w:autoSpaceDN/>
        <w:bidi w:val="0"/>
        <w:adjustRightInd/>
        <w:snapToGrid/>
        <w:spacing w:line="800" w:lineRule="exact"/>
        <w:ind w:left="0" w:firstLine="0" w:firstLineChars="0"/>
        <w:jc w:val="center"/>
        <w:textAlignment w:val="auto"/>
        <w:rPr>
          <w:rFonts w:hint="eastAsia" w:ascii="宋体" w:hAnsi="宋体" w:eastAsia="宋体" w:cs="宋体"/>
          <w:b/>
          <w:bCs/>
          <w:color w:val="000000"/>
          <w:kern w:val="0"/>
          <w:sz w:val="43"/>
          <w:szCs w:val="43"/>
          <w:lang w:val="en-US" w:eastAsia="zh-CN" w:bidi="ar"/>
        </w:rPr>
      </w:pPr>
      <w:r>
        <w:rPr>
          <w:rFonts w:hint="eastAsia" w:ascii="宋体" w:hAnsi="宋体" w:eastAsia="宋体" w:cs="宋体"/>
          <w:b/>
          <w:bCs/>
          <w:color w:val="000000"/>
          <w:kern w:val="0"/>
          <w:sz w:val="43"/>
          <w:szCs w:val="43"/>
          <w:lang w:val="en-US" w:eastAsia="zh-CN" w:bidi="ar"/>
        </w:rPr>
        <w:t>五通桥区新型工业基地园区退岸入园基础设施建设项目（一期）</w:t>
      </w:r>
    </w:p>
    <w:p w14:paraId="2DBCA326">
      <w:pPr>
        <w:keepNext w:val="0"/>
        <w:keepLines w:val="0"/>
        <w:pageBreakBefore w:val="0"/>
        <w:widowControl/>
        <w:suppressLineNumbers w:val="0"/>
        <w:kinsoku/>
        <w:wordWrap/>
        <w:overflowPunct/>
        <w:topLinePunct w:val="0"/>
        <w:autoSpaceDE/>
        <w:autoSpaceDN/>
        <w:bidi w:val="0"/>
        <w:adjustRightInd/>
        <w:snapToGrid/>
        <w:spacing w:line="800" w:lineRule="exact"/>
        <w:ind w:left="0" w:firstLine="0" w:firstLineChars="0"/>
        <w:jc w:val="center"/>
        <w:textAlignment w:val="auto"/>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rPr>
        <w:t>绩效评价报告</w:t>
      </w:r>
    </w:p>
    <w:p w14:paraId="65056781">
      <w:pPr>
        <w:keepNext w:val="0"/>
        <w:keepLines w:val="0"/>
        <w:pageBreakBefore w:val="0"/>
        <w:widowControl/>
        <w:suppressLineNumbers w:val="0"/>
        <w:kinsoku/>
        <w:wordWrap/>
        <w:overflowPunct/>
        <w:topLinePunct w:val="0"/>
        <w:autoSpaceDE/>
        <w:autoSpaceDN/>
        <w:bidi w:val="0"/>
        <w:adjustRightInd/>
        <w:snapToGrid/>
        <w:spacing w:line="800" w:lineRule="exact"/>
        <w:ind w:left="0" w:firstLine="0" w:firstLineChars="0"/>
        <w:jc w:val="center"/>
        <w:textAlignment w:val="auto"/>
        <w:rPr>
          <w:rFonts w:hint="eastAsia" w:ascii="方正小标宋简体" w:hAnsi="方正小标宋简体" w:eastAsia="方正小标宋简体"/>
          <w:sz w:val="44"/>
          <w:szCs w:val="44"/>
          <w:lang w:val="zh-CN"/>
        </w:rPr>
      </w:pPr>
    </w:p>
    <w:p w14:paraId="4734FBD2">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color w:val="000000" w:themeColor="text1"/>
          <w:sz w:val="28"/>
          <w:szCs w:val="28"/>
          <w:lang w:val="zh-CN"/>
          <w14:textFill>
            <w14:solidFill>
              <w14:schemeClr w14:val="tx1"/>
            </w14:solidFill>
          </w14:textFill>
        </w:rPr>
      </w:pPr>
      <w:r>
        <w:rPr>
          <w:rFonts w:hint="eastAsia" w:ascii="宋体" w:hAnsi="宋体" w:eastAsia="宋体" w:cs="宋体"/>
          <w:b/>
          <w:bCs/>
          <w:color w:val="000000" w:themeColor="text1"/>
          <w:sz w:val="28"/>
          <w:szCs w:val="28"/>
          <w:lang w:val="zh-CN"/>
          <w14:textFill>
            <w14:solidFill>
              <w14:schemeClr w14:val="tx1"/>
            </w14:solidFill>
          </w14:textFill>
        </w:rPr>
        <w:t>一、项目概况</w:t>
      </w:r>
    </w:p>
    <w:p w14:paraId="7717DE9C">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color w:val="000000" w:themeColor="text1"/>
          <w:sz w:val="28"/>
          <w:szCs w:val="28"/>
          <w:lang w:val="zh-CN"/>
          <w14:textFill>
            <w14:solidFill>
              <w14:schemeClr w14:val="tx1"/>
            </w14:solidFill>
          </w14:textFill>
        </w:rPr>
      </w:pPr>
      <w:r>
        <w:rPr>
          <w:rFonts w:hint="eastAsia" w:ascii="宋体" w:hAnsi="宋体" w:eastAsia="宋体" w:cs="宋体"/>
          <w:b/>
          <w:color w:val="000000" w:themeColor="text1"/>
          <w:sz w:val="28"/>
          <w:szCs w:val="28"/>
          <w:lang w:val="zh-CN"/>
          <w14:textFill>
            <w14:solidFill>
              <w14:schemeClr w14:val="tx1"/>
            </w14:solidFill>
          </w14:textFill>
        </w:rPr>
        <w:t>（一）设立背景及基本情况。</w:t>
      </w:r>
    </w:p>
    <w:p w14:paraId="16DB537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中央一号文件指出，推进城乡发展一体化要把工业和农业、城市和乡村作为一个整体统筹谋划，促进城乡在规划布局、要素配置、产业发展公共服务、生态保护等方面相互融合和共同发展。着力点是通过建立城乡 融合体制机制，形成以工促农、以城带乡、工农互惠、城乡一体的新型工农城乡关系，目标是逐步实现城乡居民基本权益平等化、城乡公共服务均等化、城乡居民收入均衡化、城乡要素配置合理化，以及城乡产业发展融合化。自十九大以来，五通桥政府对照新要求、确立新目标、谋划新发展，继续推进新农村建设，坚持以改革为动力，不断破解城乡二元结构，完善规划体制，通盘考虑城乡发展规划编制，一体设计，多规合一。同时改善农村基础设施建设机制，创新农村基础设施和公共服务设施决策、投入、建设、运行管护的机制，积极引导社会资本参与农村公益性基础设施建设。 </w:t>
      </w:r>
    </w:p>
    <w:p w14:paraId="1F88A435">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为和切实加快实施乡村战略步伐，推进城乡融合发展，强化脱贫攻坚力度，加快全面建成小康社会，实现城乡一体化，乐山市五通桥区新型工业基地园区退岸入园基础设施建设项目（一期）。通过项目建设，有利于加快实施城乡一体化战略步伐，进一步提升城乡协调统一的产业发展、基础设施和公共服务能力。本项目的实施将通过 改善交通基础设施条件，推进城镇化进程，以城带乡，城乡互动，促进城乡协调发展、区域协调发展。有利于改善农业生产基础设施条件，优化农业产业结构，不断夯实脱贫致富基础，增加农民收入水平，加快贫困户脱 贫致富步伐。通过乡村振兴战略为重要抓手，补齐基础设施短板，推动城乡融合发展、城乡居民共同富裕，开启城乡融合发展和现代化建设新局面，打造宜居宜业美丽五通桥。</w:t>
      </w:r>
    </w:p>
    <w:p w14:paraId="754AE262">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建设内容：</w:t>
      </w:r>
      <w:r>
        <w:rPr>
          <w:rFonts w:hint="eastAsia" w:ascii="宋体" w:hAnsi="宋体" w:eastAsia="宋体" w:cs="宋体"/>
          <w:color w:val="000000"/>
          <w:kern w:val="0"/>
          <w:sz w:val="28"/>
          <w:szCs w:val="28"/>
          <w:lang w:val="en-US" w:eastAsia="zh-CN" w:bidi="ar"/>
        </w:rPr>
        <w:t>项目总投资为145,600.00万元；本项目主要涉及建设标准化厂房建设150000平方米、配套仓储房20000平方米，建设新型材料及稀土研发中心25000平方米，建设日供水量4.5万吨供水厂一座、日处理量5万吨污水处理厂一座，配套建设园区固废处理系统、园区道路、消防、通讯、雨污管网、停车场以及智慧园区管理系统等配套设施。工程内容包括建筑工程、市政配套工程、场平工程、防洪工程以及园区其他配套附属工程等。</w:t>
      </w:r>
    </w:p>
    <w:p w14:paraId="177186F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lang w:val="zh-CN"/>
        </w:rPr>
      </w:pPr>
      <w:r>
        <w:rPr>
          <w:rFonts w:hint="eastAsia" w:ascii="宋体" w:hAnsi="宋体" w:eastAsia="宋体" w:cs="宋体"/>
          <w:b/>
          <w:sz w:val="28"/>
          <w:szCs w:val="28"/>
          <w:lang w:val="zh-CN"/>
        </w:rPr>
        <w:t>（</w:t>
      </w:r>
      <w:r>
        <w:rPr>
          <w:rFonts w:hint="eastAsia" w:ascii="宋体" w:hAnsi="宋体" w:eastAsia="宋体" w:cs="宋体"/>
          <w:b/>
          <w:sz w:val="28"/>
          <w:szCs w:val="28"/>
          <w:lang w:val="en-US" w:eastAsia="zh-CN"/>
        </w:rPr>
        <w:t>二</w:t>
      </w:r>
      <w:r>
        <w:rPr>
          <w:rFonts w:hint="eastAsia" w:ascii="宋体" w:hAnsi="宋体" w:eastAsia="宋体" w:cs="宋体"/>
          <w:b/>
          <w:sz w:val="28"/>
          <w:szCs w:val="28"/>
          <w:lang w:val="zh-CN"/>
        </w:rPr>
        <w:t>）实施目的及支持方向。</w:t>
      </w:r>
    </w:p>
    <w:p w14:paraId="52DE23A3">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本项目总投资估算金额为145,600.00万元，其中工程费用94,102.01万元，占项目总投资的64.63%；工程建设其他费用7,393.24万元，占项目总投资的5.08%；预备费用5,074.76万元，占项目总投资的3.49%；征地拆迁及土地费用30,000.00万元，占项目总投资的20.60%；专项债券建设期利息7,310.00万元，占项目总投资的5.02%；专项债券发行费用100.00万元，占项目总投资的0.07%；市场化融资建设期利息1,620.00万元，占项目总投资的1.11%</w:t>
      </w:r>
      <w:r>
        <w:rPr>
          <w:rFonts w:hint="eastAsia" w:ascii="宋体" w:hAnsi="宋体" w:cs="宋体"/>
          <w:color w:val="000000"/>
          <w:kern w:val="0"/>
          <w:sz w:val="28"/>
          <w:szCs w:val="28"/>
          <w:lang w:val="en-US" w:eastAsia="zh-CN" w:bidi="ar"/>
        </w:rPr>
        <w:t>。</w:t>
      </w:r>
    </w:p>
    <w:p w14:paraId="12C56CAF">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资金管理方案</w:t>
      </w:r>
    </w:p>
    <w:p w14:paraId="72122C4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（1）统一管理项目资金本项目通过发行专项债券取得的工程建设资金将实行统一管理、专款专用、分账核算、定期结算。 </w:t>
      </w:r>
    </w:p>
    <w:p w14:paraId="2C56E92E">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（2）合理使用项目资金按照项目进度分批发放工程资金，根据项目实施情况适当调剂项目使用基金，避免工程资金的浪费和资金紧缺。 </w:t>
      </w:r>
    </w:p>
    <w:p w14:paraId="2D312A2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（3）建立应急经费保障机制建立应急经费保障机制，预留一部分应急资金应对突发情况，并不定期对项目财务风险进行监测、识别和防范。 </w:t>
      </w:r>
    </w:p>
    <w:p w14:paraId="13CFCEA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（4）相关部门监管项目相关政府单位将对本项目资金使用情况进行监管，确保项目建设资金合理有效使用。 </w:t>
      </w:r>
    </w:p>
    <w:p w14:paraId="238524A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（5）项目专项债券利息和发行费用根据债券规模、利率、费率等情况合理预计，列入政府性基金预算支出统筹安排。 </w:t>
      </w:r>
    </w:p>
    <w:p w14:paraId="5C84C7D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（6）项目专项债券还本支出根据当年到期债券规模、政府性基金财力、调入专项收入等因素合理预计，妥善安排，并列入年度预算草案。 </w:t>
      </w:r>
    </w:p>
    <w:p w14:paraId="6A5FEEA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（7）项目取得的政府性基金收入或专项收入，按照该项目对应的专项债券余额统筹安排资金，专门用于偿还到期债券本息</w:t>
      </w:r>
      <w:r>
        <w:rPr>
          <w:rFonts w:hint="eastAsia" w:ascii="宋体" w:hAnsi="宋体" w:cs="宋体"/>
          <w:color w:val="000000"/>
          <w:kern w:val="0"/>
          <w:sz w:val="28"/>
          <w:szCs w:val="28"/>
          <w:lang w:val="en-US" w:eastAsia="zh-CN" w:bidi="ar"/>
        </w:rPr>
        <w:t>。</w:t>
      </w:r>
    </w:p>
    <w:p w14:paraId="7C50A75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color w:val="FF0000"/>
          <w:sz w:val="28"/>
          <w:szCs w:val="28"/>
          <w:lang w:val="zh-CN"/>
        </w:rPr>
      </w:pPr>
      <w:r>
        <w:rPr>
          <w:rFonts w:hint="eastAsia" w:ascii="宋体" w:hAnsi="宋体" w:eastAsia="宋体" w:cs="宋体"/>
          <w:b/>
          <w:sz w:val="28"/>
          <w:szCs w:val="28"/>
          <w:lang w:val="en-US" w:eastAsia="zh-CN"/>
        </w:rPr>
        <w:t>(三）</w:t>
      </w:r>
      <w:r>
        <w:rPr>
          <w:rFonts w:hint="eastAsia" w:ascii="宋体" w:hAnsi="宋体" w:eastAsia="宋体" w:cs="宋体"/>
          <w:b/>
          <w:sz w:val="28"/>
          <w:szCs w:val="28"/>
          <w:lang w:val="zh-CN"/>
        </w:rPr>
        <w:t>预算安排及分配管理。</w:t>
      </w:r>
    </w:p>
    <w:p w14:paraId="2658B65C">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项目实施计划</w:t>
      </w:r>
      <w:r>
        <w:rPr>
          <w:rFonts w:hint="eastAsia" w:ascii="宋体" w:hAnsi="宋体" w:eastAsia="宋体" w:cs="宋体"/>
          <w:color w:val="000000"/>
          <w:kern w:val="0"/>
          <w:sz w:val="28"/>
          <w:szCs w:val="28"/>
          <w:lang w:val="en-US" w:eastAsia="zh-CN" w:bidi="ar"/>
        </w:rPr>
        <w:t>：</w:t>
      </w:r>
    </w:p>
    <w:p w14:paraId="3667E9B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项目目前已完成的前期工作有：可行性研究报告编制审查、已取得选址规划意见书、用地预审文件、环境影响评价批复等。实施单位可根据资金情况、现场实际情况，对项目各个实施阶段进行统一调配安排。项目工期48个月。 </w:t>
      </w:r>
    </w:p>
    <w:p w14:paraId="637B68B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1</w:t>
      </w:r>
      <w:r>
        <w:rPr>
          <w:rFonts w:hint="eastAsia" w:ascii="宋体" w:hAnsi="宋体" w:cs="宋体"/>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 xml:space="preserve">前期工作阶段：2022年12月前：可行性研究报告编制和审批、项目设计、工程招标等前期准备。 </w:t>
      </w:r>
    </w:p>
    <w:p w14:paraId="1AEB644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2</w:t>
      </w:r>
      <w:r>
        <w:rPr>
          <w:rFonts w:hint="eastAsia" w:ascii="宋体" w:hAnsi="宋体" w:cs="宋体"/>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 xml:space="preserve">工程实施阶段：2023年1月－2026年11月：工程施工。 </w:t>
      </w:r>
    </w:p>
    <w:p w14:paraId="592C766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3</w:t>
      </w:r>
      <w:r>
        <w:rPr>
          <w:rFonts w:hint="eastAsia" w:ascii="宋体" w:hAnsi="宋体" w:cs="宋体"/>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竣工验收阶段：2026年12月：竣工验收</w:t>
      </w:r>
    </w:p>
    <w:p w14:paraId="05EAF148">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资金投入计划：</w:t>
      </w:r>
      <w:r>
        <w:rPr>
          <w:rFonts w:hint="eastAsia" w:ascii="宋体" w:hAnsi="宋体" w:eastAsia="宋体" w:cs="宋体"/>
          <w:color w:val="000000"/>
          <w:kern w:val="0"/>
          <w:sz w:val="28"/>
          <w:szCs w:val="28"/>
          <w:lang w:val="en-US" w:eastAsia="zh-CN" w:bidi="ar"/>
        </w:rPr>
        <w:t>资金主要用于项目建设投资、融资费用、债券建设期利息等 相关费用。本项目资金来源由资本金、专项债券、市场化融资组成。其中：资本金30,600.00万元，由实施单位自筹解决，按项目实施进度逐步安排到位；发行专项债100,000.00万元，市场 化融资15,000.00万元。</w:t>
      </w:r>
    </w:p>
    <w:p w14:paraId="0C28ADBF">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资金管理方案</w:t>
      </w:r>
    </w:p>
    <w:p w14:paraId="2D47553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1.资金专户管理 </w:t>
      </w:r>
    </w:p>
    <w:p w14:paraId="716AFD9D">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实施单位在银行设置独立于日常经营账户的债券募集资金使用专户、对应专项债券部分的项目收入归集专户、专项债券偿债资金专户，分别存放项目收益债券的募集资金、对应专项债券部分的项目收资金和项目收益、债券还本付息资金。规范选择专户开户银行，采用集体决策方式和竞争性方式选择开户银行，程序规范、责任明确、操作可行，并与专户银行签订规范的服务协议，约定开户银行履行部分监管职责，确保融资资金按约定用途和程序使用，发现有违规操作时应采取相关措施并及时向财政部门报告。专户资金的使用情况和结余情况应接受财政部门、审计部门和项目主管部门的监督检查。实施单位对专户资金进行定期报告和披露，资金专户的收支情况和结余情况，一方面定期（每年一次）向财政部门和项目主管部门报告，另一方面也按约定的方式向社会进行披露。 </w:t>
      </w:r>
    </w:p>
    <w:p w14:paraId="518BC85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资金流入管理项目资金流入主要包括资本金、债券资金和项目收入流入。本项目资本金来源由实施单位自筹，按项目实施进度到位。对于审批通过项目资本金，严格按资金需求进度进行支付。本项目专项债券资金由本级财政统一管理。 </w:t>
      </w:r>
    </w:p>
    <w:p w14:paraId="153E909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3.资金流出管理 </w:t>
      </w:r>
    </w:p>
    <w:p w14:paraId="471286D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本项目资金流出主要包括项目建设投资支出、债券本息偿付和项目运营成本等。关于项目建设投资支出，负责项目建设的单位按照进度提出申请，并报送相关要件，审核后拨付。关于债券本息偿付，由本级财政组织准备需要到期支付的债券本息，并逐级向省财政缴纳本期应当承担的还本付息资金。</w:t>
      </w:r>
    </w:p>
    <w:p w14:paraId="1AFB3C62">
      <w:pPr>
        <w:keepNext w:val="0"/>
        <w:keepLines w:val="0"/>
        <w:pageBreakBefore w:val="0"/>
        <w:widowControl/>
        <w:numPr>
          <w:ilvl w:val="0"/>
          <w:numId w:val="0"/>
        </w:numPr>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sz w:val="28"/>
          <w:szCs w:val="28"/>
          <w:lang w:val="zh-CN"/>
        </w:rPr>
      </w:pPr>
      <w:r>
        <w:rPr>
          <w:rFonts w:hint="eastAsia" w:ascii="宋体" w:hAnsi="宋体" w:eastAsia="宋体" w:cs="宋体"/>
          <w:b/>
          <w:bCs/>
          <w:kern w:val="2"/>
          <w:sz w:val="28"/>
          <w:szCs w:val="28"/>
          <w:lang w:val="zh-CN" w:eastAsia="zh-CN" w:bidi="ar-SA"/>
        </w:rPr>
        <w:t>（</w:t>
      </w:r>
      <w:r>
        <w:rPr>
          <w:rFonts w:hint="eastAsia" w:ascii="宋体" w:hAnsi="宋体" w:eastAsia="宋体" w:cs="宋体"/>
          <w:b/>
          <w:bCs/>
          <w:kern w:val="2"/>
          <w:sz w:val="28"/>
          <w:szCs w:val="28"/>
          <w:lang w:val="en-US" w:eastAsia="zh-CN" w:bidi="ar-SA"/>
        </w:rPr>
        <w:t>四</w:t>
      </w:r>
      <w:r>
        <w:rPr>
          <w:rFonts w:hint="eastAsia" w:ascii="宋体" w:hAnsi="宋体" w:eastAsia="宋体" w:cs="宋体"/>
          <w:b/>
          <w:bCs/>
          <w:kern w:val="2"/>
          <w:sz w:val="28"/>
          <w:szCs w:val="28"/>
          <w:lang w:val="zh-CN" w:eastAsia="zh-CN" w:bidi="ar-SA"/>
        </w:rPr>
        <w:t>）</w:t>
      </w:r>
      <w:r>
        <w:rPr>
          <w:rFonts w:hint="eastAsia" w:ascii="宋体" w:hAnsi="宋体" w:eastAsia="宋体" w:cs="宋体"/>
          <w:b/>
          <w:bCs/>
          <w:sz w:val="28"/>
          <w:szCs w:val="28"/>
          <w:lang w:val="zh-CN"/>
        </w:rPr>
        <w:t>项目绩效目标设置。</w:t>
      </w:r>
    </w:p>
    <w:p w14:paraId="48688777">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sz w:val="28"/>
          <w:szCs w:val="28"/>
          <w:lang w:val="en-US" w:eastAsia="zh-CN"/>
        </w:rPr>
        <w:t>本项目实行全面绩效管理，</w:t>
      </w:r>
      <w:r>
        <w:rPr>
          <w:rFonts w:hint="eastAsia" w:ascii="宋体" w:hAnsi="宋体" w:eastAsia="宋体" w:cs="宋体"/>
          <w:color w:val="000000"/>
          <w:kern w:val="0"/>
          <w:sz w:val="28"/>
          <w:szCs w:val="28"/>
          <w:lang w:val="en-US" w:eastAsia="zh-CN" w:bidi="ar"/>
        </w:rPr>
        <w:t>本项目绩效目标与部门的长期规划目标、年度工作目标相一致，结合相关历史数据、行业标准、计划标准等因素，本项目制定了定性定量的绩效目标。项目绩效目标可行、合理。 通过对本项目的功能特性进行梳理，结合项目的经济效益、社会效益、生态效益、可持续影响和群众满意度等指标分析，项目预期提供的产品、服务、效益或其他目标明确细化，可衡量项目绩效目标明确。</w:t>
      </w:r>
    </w:p>
    <w:p w14:paraId="5A467421">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二、评价实施</w:t>
      </w:r>
    </w:p>
    <w:p w14:paraId="44681565">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sz w:val="28"/>
          <w:szCs w:val="28"/>
          <w:lang w:val="zh-CN"/>
        </w:rPr>
        <w:t>（一）评价目的。</w:t>
      </w:r>
      <w:r>
        <w:rPr>
          <w:rFonts w:hint="eastAsia" w:ascii="宋体" w:hAnsi="宋体" w:eastAsia="宋体" w:cs="宋体"/>
          <w:color w:val="000000"/>
          <w:kern w:val="0"/>
          <w:sz w:val="28"/>
          <w:szCs w:val="28"/>
          <w:lang w:val="en-US" w:eastAsia="zh-CN" w:bidi="ar"/>
        </w:rPr>
        <w:t>为了清楚了解项目背景及行业特征，从立项的必要性、项目绩效的可实现性、项目实施方案的有效性、项目预期绩效的可持续性、财政资金投入的可行性及风险等方面实现项目收益和融资自求平衡，绩效目标合理。</w:t>
      </w:r>
    </w:p>
    <w:p w14:paraId="6583C453">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（二）</w:t>
      </w:r>
      <w:r>
        <w:rPr>
          <w:rFonts w:hint="eastAsia" w:ascii="宋体" w:hAnsi="宋体" w:eastAsia="宋体" w:cs="宋体"/>
          <w:b/>
          <w:sz w:val="28"/>
          <w:szCs w:val="28"/>
          <w:lang w:val="zh-CN"/>
        </w:rPr>
        <w:t>预设问题及评价重点。</w:t>
      </w:r>
    </w:p>
    <w:p w14:paraId="1CD656F5">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本项目主要以偿债来源、融资与项目收益平衡、成本、支出属性四个要素作为管理动因，从项目决策、绩效目标、项目管理以及项目绩效四个方面对项目进行全面绩效管理，推进财政资金统筹使用，避免资金使用“碎片化”，盘活各领域“沉睡”的财政资金，把“零钱”化为“整钱”，增加资金有效供给。</w:t>
      </w:r>
    </w:p>
    <w:p w14:paraId="188FE9F0">
      <w:pPr>
        <w:keepNext w:val="0"/>
        <w:keepLines w:val="0"/>
        <w:pageBreakBefore w:val="0"/>
        <w:widowControl/>
        <w:numPr>
          <w:ilvl w:val="0"/>
          <w:numId w:val="0"/>
        </w:numPr>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sz w:val="28"/>
          <w:szCs w:val="28"/>
          <w:lang w:val="zh-CN"/>
        </w:rPr>
      </w:pPr>
      <w:r>
        <w:rPr>
          <w:rFonts w:hint="eastAsia" w:ascii="宋体" w:hAnsi="宋体" w:eastAsia="宋体" w:cs="宋体"/>
          <w:b/>
          <w:kern w:val="2"/>
          <w:sz w:val="28"/>
          <w:szCs w:val="28"/>
          <w:lang w:val="zh-CN" w:eastAsia="zh-CN" w:bidi="ar-SA"/>
        </w:rPr>
        <w:t>（</w:t>
      </w:r>
      <w:r>
        <w:rPr>
          <w:rFonts w:hint="eastAsia" w:ascii="宋体" w:hAnsi="宋体" w:eastAsia="宋体" w:cs="宋体"/>
          <w:b/>
          <w:kern w:val="2"/>
          <w:sz w:val="28"/>
          <w:szCs w:val="28"/>
          <w:lang w:val="en-US" w:eastAsia="zh-CN" w:bidi="ar-SA"/>
        </w:rPr>
        <w:t>三</w:t>
      </w:r>
      <w:r>
        <w:rPr>
          <w:rFonts w:hint="eastAsia" w:ascii="宋体" w:hAnsi="宋体" w:eastAsia="宋体" w:cs="宋体"/>
          <w:b/>
          <w:kern w:val="2"/>
          <w:sz w:val="28"/>
          <w:szCs w:val="28"/>
          <w:lang w:val="zh-CN" w:eastAsia="zh-CN" w:bidi="ar-SA"/>
        </w:rPr>
        <w:t>）</w:t>
      </w:r>
      <w:r>
        <w:rPr>
          <w:rFonts w:hint="eastAsia" w:ascii="宋体" w:hAnsi="宋体" w:eastAsia="宋体" w:cs="宋体"/>
          <w:b/>
          <w:sz w:val="28"/>
          <w:szCs w:val="28"/>
          <w:lang w:val="zh-CN"/>
        </w:rPr>
        <w:t>评价方法。</w:t>
      </w:r>
    </w:p>
    <w:p w14:paraId="615282F7">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查阅资料：通过网络、图书馆、专家以及与项目相关单位沟通等多种途径，查阅了国家、相关的行业规划、文件、政策，并收集了国内外相关实际做法，以及公共财政在该项目领域的支持范围及方式等相关资料。</w:t>
      </w:r>
    </w:p>
    <w:p w14:paraId="1B29424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专家咨询：评价工作组通过多种渠道聘请了绩同时，邀请财务专家和业务专家作为事前绩效评估组成员，参与、指导事前绩效评价工作效管理及财政财务等方面的专家，共同组成了评估专家组。</w:t>
      </w:r>
    </w:p>
    <w:p w14:paraId="5337B39F">
      <w:pPr>
        <w:keepNext w:val="0"/>
        <w:keepLines w:val="0"/>
        <w:pageBreakBefore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zh-CN"/>
        </w:rPr>
      </w:pPr>
    </w:p>
    <w:p w14:paraId="255CE253">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三、绩效分析</w:t>
      </w:r>
    </w:p>
    <w:p w14:paraId="065459C3">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项目社会效益</w:t>
      </w:r>
    </w:p>
    <w:p w14:paraId="7E7123EF">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项目建成后，企业建设中和建成后都将需要大批的劳动力，这就为 本地居民提供了大量的就业机会，从而增加居民的经济收入，提高居民 22乐山市五通桥区新型工业基地园区退岸入园基础设施建设项目（一期）的生活水平；同时也将带动周边地区的经济发展，所以本工程的修建对于沿线资源的开发利用和促进地区经济的发展将起着积极的作用。项目的建成必将为沿线经济的快速发展提供便捷的基础、交通条件，缩小地区经济及文化等方面差距，对促进沿线地区的商品流通和脱贫致富起着积极的作用；对实现全国人民代表大会提出的社会经济分“三步走”的战略目标和“共同富裕”的大政方针都有现实意义。</w:t>
      </w:r>
    </w:p>
    <w:p w14:paraId="637CA5D5">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项目公益性论证 </w:t>
      </w:r>
    </w:p>
    <w:p w14:paraId="743D0E21">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本项目以追求社会效益为主，属于具有一定收益的公益性项目。项目 受益对象为乐山市范围居民。项目建设期间，将提供一定的就业机会，一定程度上有助于居民生活质量和水平的提高。项目所在地的供水、供电等基础配套设施解决方案力度较好，可保障项目运营所需；项目实施不会给当地基础服务容量形成超负荷的压力。一方面工程建设需要大量的建筑工人和一定量的管理人员，对人才和劳动力市场形成一定的需求，另一方面，建成后作为五通桥重点经济建设 项目，能为附近对缓解现阶段社会就业压力起到一定的作用；同时也能够 提升企业的核心竞争力。本项目的实施，将会产生良好的社会效益和经济效益，从而推动经济 发展和社会进步，与建设小康社会、和谐社会的目标是一致的。必将受到 社会各界和广大人民群众的大力支持，对项目顺利进行产生积极的社会反响。 </w:t>
      </w:r>
    </w:p>
    <w:p w14:paraId="1F36653E">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b/>
          <w:sz w:val="28"/>
          <w:szCs w:val="28"/>
          <w:lang w:val="zh-CN"/>
        </w:rPr>
      </w:pPr>
      <w:r>
        <w:rPr>
          <w:rFonts w:hint="eastAsia" w:ascii="宋体" w:hAnsi="宋体" w:eastAsia="宋体" w:cs="宋体"/>
          <w:b/>
          <w:sz w:val="28"/>
          <w:szCs w:val="28"/>
          <w:lang w:val="zh-CN"/>
        </w:rPr>
        <w:t>（一）通用指标绩效分析。</w:t>
      </w:r>
    </w:p>
    <w:p w14:paraId="2E01CA45">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zh-CN"/>
        </w:rPr>
        <w:t>1.项目决策。</w:t>
      </w:r>
      <w:r>
        <w:rPr>
          <w:rFonts w:hint="eastAsia" w:ascii="宋体" w:hAnsi="宋体" w:eastAsia="宋体" w:cs="宋体"/>
          <w:color w:val="000000"/>
          <w:kern w:val="0"/>
          <w:sz w:val="28"/>
          <w:szCs w:val="28"/>
          <w:lang w:val="en-US" w:eastAsia="zh-CN" w:bidi="ar"/>
        </w:rPr>
        <w:t xml:space="preserve">根据相关文件要求，专项债券必须用于有一定收益的重大项 目，融资规模要保持与项目收益相平衡。按照“资金跟着项目走” 的原则，专项债券重点用于交通基础设施、能源、农林水利、生态环保、社会事业、城乡冷链物流基础设施、市政和产业园区基 础设施、新型基础设施、国家重大领域区域战略项目、保障性安 </w:t>
      </w:r>
    </w:p>
    <w:p w14:paraId="4D98DDC1">
      <w:pPr>
        <w:keepNext w:val="0"/>
        <w:keepLines w:val="0"/>
        <w:pageBreakBefore w:val="0"/>
        <w:widowControl/>
        <w:suppressLineNumbers w:val="0"/>
        <w:kinsoku/>
        <w:wordWrap/>
        <w:overflowPunct/>
        <w:topLinePunct w:val="0"/>
        <w:autoSpaceDE/>
        <w:autoSpaceDN/>
        <w:bidi w:val="0"/>
        <w:adjustRightInd/>
        <w:snapToGrid/>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居工程等领域符合条件的重大项目通过科学规划，乐山市五通桥区新型工业基地园区退岸入园基础设施建设项目（一期）是未来具备一定收益的公益性建设项目，</w:t>
      </w:r>
      <w:r>
        <w:rPr>
          <w:rFonts w:hint="eastAsia" w:ascii="宋体" w:hAnsi="宋体" w:eastAsia="宋体" w:cs="宋体"/>
          <w:b/>
          <w:bCs/>
          <w:color w:val="000000"/>
          <w:kern w:val="0"/>
          <w:sz w:val="28"/>
          <w:szCs w:val="28"/>
          <w:lang w:val="en-US" w:eastAsia="zh-CN" w:bidi="ar"/>
        </w:rPr>
        <w:t>项目属于市政和产业园区基础设施领域产业园基础设施投向</w:t>
      </w:r>
      <w:r>
        <w:rPr>
          <w:rFonts w:hint="eastAsia" w:ascii="宋体" w:hAnsi="宋体" w:eastAsia="宋体" w:cs="宋体"/>
          <w:color w:val="000000"/>
          <w:kern w:val="0"/>
          <w:sz w:val="28"/>
          <w:szCs w:val="28"/>
          <w:lang w:val="en-US" w:eastAsia="zh-CN" w:bidi="ar"/>
        </w:rPr>
        <w:t>，项目收入可覆盖本次债券本息资金，债务风险可锁定在项目内，并按照市场规则向投资者进行详细的项目信息披露，保障投资者 权益，更好地发挥专项债券对地方稳增长、促改革、调结构、惠民生、防风险的支持作用。</w:t>
      </w:r>
    </w:p>
    <w:p w14:paraId="780DEC9C">
      <w:pPr>
        <w:keepNext w:val="0"/>
        <w:keepLines w:val="0"/>
        <w:pageBreakBefore w:val="0"/>
        <w:numPr>
          <w:ilvl w:val="0"/>
          <w:numId w:val="0"/>
        </w:numPr>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lang w:val="zh-CN"/>
        </w:rPr>
      </w:pPr>
      <w:r>
        <w:rPr>
          <w:rFonts w:hint="eastAsia" w:ascii="宋体" w:hAnsi="宋体" w:eastAsia="宋体" w:cs="宋体"/>
          <w:kern w:val="2"/>
          <w:sz w:val="28"/>
          <w:szCs w:val="28"/>
          <w:lang w:val="zh-CN" w:eastAsia="zh-CN" w:bidi="ar-SA"/>
        </w:rPr>
        <w:t>2.</w:t>
      </w:r>
      <w:r>
        <w:rPr>
          <w:rFonts w:hint="eastAsia" w:ascii="宋体" w:hAnsi="宋体" w:eastAsia="宋体" w:cs="宋体"/>
          <w:sz w:val="28"/>
          <w:szCs w:val="28"/>
          <w:lang w:val="zh-CN"/>
        </w:rPr>
        <w:t>项目管理。</w:t>
      </w:r>
      <w:r>
        <w:rPr>
          <w:rFonts w:hint="eastAsia" w:ascii="宋体" w:hAnsi="宋体" w:eastAsia="宋体" w:cs="宋体"/>
          <w:sz w:val="28"/>
          <w:szCs w:val="28"/>
          <w:lang w:val="en-US" w:eastAsia="zh-CN"/>
        </w:rPr>
        <w:t>项目管理分为资金管理、项目建设管理</w:t>
      </w:r>
    </w:p>
    <w:p w14:paraId="76590A1C">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资金管理</w:t>
      </w:r>
    </w:p>
    <w:p w14:paraId="6ED96AC5">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建立地方政府债券项目管理责任制，保证项目稳健实施，资金使用合规安全。为切实发挥债券资金使用效益，严格债券资金拨付及使用流程。项目债券资金到达后，财政部门主动加强工作对接，积极协调会商，及时完善相关资料，疏通有关工作流程。 </w:t>
      </w:r>
    </w:p>
    <w:p w14:paraId="21A1D18A">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建立债券资金使用台账、规范债券资金通过债务人转拨程序、严格库款资金垫付及回补要求等措施，进一步强化对债券资金的使用管理。严格按照规定，加强支出管理，强化拨付流程，建立债券资金支出月报制，动态管控每笔债券资金的支出情况及使用情况，严禁以任何形式的截留、挤占、挪用政府债券资金，全力确保债券资金发挥应有效益。</w:t>
      </w:r>
    </w:p>
    <w:p w14:paraId="36301B47">
      <w:pPr>
        <w:keepNext w:val="0"/>
        <w:keepLines w:val="0"/>
        <w:pageBreakBefore w:val="0"/>
        <w:numPr>
          <w:ilvl w:val="0"/>
          <w:numId w:val="0"/>
        </w:numPr>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项目建设管理</w:t>
      </w:r>
    </w:p>
    <w:p w14:paraId="484F7E1A">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工程质量达到国家现行规范要求，并经验收合格。通过招标的优惠条件鼓励施工单位加快进度，控制对投资的投放速度，控制对物资的供应，建立相应的奖励和惩罚措施等合同管理是工程建设的重要内容之一，是控制工程投资、进度、质量的基本依据。从加强对项目工程质量、工程进度、资金使用等方面的监督检查入手，进一步加强对项目的全程监督和检查，确保工程质量和资金效益。建立完善以项目负责人为首的安全生产领导组织，有组织、有领导地开展安全管理活动，承担组织、领导安全生产的责任</w:t>
      </w:r>
    </w:p>
    <w:p w14:paraId="12B55FEF">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lang w:val="zh-CN"/>
        </w:rPr>
      </w:pPr>
      <w:r>
        <w:rPr>
          <w:rFonts w:hint="eastAsia" w:ascii="宋体" w:hAnsi="宋体" w:eastAsia="宋体" w:cs="宋体"/>
          <w:b/>
          <w:sz w:val="28"/>
          <w:szCs w:val="28"/>
          <w:lang w:val="zh-CN"/>
        </w:rPr>
        <w:t>（二）专用指标绩效分析。</w:t>
      </w:r>
      <w:r>
        <w:rPr>
          <w:rFonts w:hint="eastAsia" w:ascii="宋体" w:hAnsi="宋体" w:eastAsia="宋体" w:cs="宋体"/>
          <w:sz w:val="28"/>
          <w:szCs w:val="28"/>
          <w:lang w:val="zh-CN"/>
        </w:rPr>
        <w:t>根据专项预算项目资金支持对象选择所属指标进行绩效分析。支持对象包括产业发展、民生保障、基础设施、行政运转等方面。</w:t>
      </w:r>
    </w:p>
    <w:p w14:paraId="6B1B3548">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zh-CN"/>
        </w:rPr>
        <w:t>1.产业发展。</w:t>
      </w:r>
      <w:r>
        <w:rPr>
          <w:rFonts w:hint="eastAsia" w:ascii="宋体" w:hAnsi="宋体" w:eastAsia="宋体" w:cs="宋体"/>
          <w:color w:val="000000"/>
          <w:kern w:val="0"/>
          <w:sz w:val="28"/>
          <w:szCs w:val="28"/>
          <w:lang w:val="en-US" w:eastAsia="zh-CN" w:bidi="ar"/>
        </w:rPr>
        <w:t>建成后作为五通桥重点经济建设项目，能为附近对缓解现阶段社会就业压力起到一定的作用；同时也能够提升企业的核心竞争力。</w:t>
      </w:r>
    </w:p>
    <w:p w14:paraId="5D314825">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zh-CN"/>
        </w:rPr>
        <w:t>2.民生保障。</w:t>
      </w:r>
      <w:r>
        <w:rPr>
          <w:rFonts w:hint="eastAsia" w:ascii="宋体" w:hAnsi="宋体" w:eastAsia="宋体" w:cs="宋体"/>
          <w:color w:val="000000"/>
          <w:kern w:val="0"/>
          <w:sz w:val="28"/>
          <w:szCs w:val="28"/>
          <w:lang w:val="en-US" w:eastAsia="zh-CN" w:bidi="ar"/>
        </w:rPr>
        <w:t xml:space="preserve">项目建设期间，将提供一定的就业机会，一定程度上有助于居民生活质量和水平的提高，项目所在地的供水、供电等基础配 套设施解决方案力度较好，可保障项目运营所需项目实施不会。 </w:t>
      </w:r>
    </w:p>
    <w:p w14:paraId="6A2E4F2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zh-CN"/>
        </w:rPr>
        <w:t>3.基础设施。</w:t>
      </w:r>
      <w:r>
        <w:rPr>
          <w:rFonts w:hint="eastAsia" w:ascii="宋体" w:hAnsi="宋体" w:eastAsia="宋体" w:cs="宋体"/>
          <w:color w:val="000000"/>
          <w:kern w:val="0"/>
          <w:sz w:val="28"/>
          <w:szCs w:val="28"/>
          <w:lang w:val="en-US" w:eastAsia="zh-CN" w:bidi="ar"/>
        </w:rPr>
        <w:t xml:space="preserve">本项目主要涉及建设标准化厂房建设150000平方米、配套仓储房20000平方米，建设新型材料及稀土研发中心25000平方米，建设日供水量4.5万吨供水厂一座、日处理量5万吨污水处理厂一座，配套建设园区固废处理系统、园区道路、消防、通讯、雨污管网、停车场以及智慧园区管理系统等配套设施。 </w:t>
      </w:r>
    </w:p>
    <w:p w14:paraId="7552045B">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四、评价结论</w:t>
      </w:r>
    </w:p>
    <w:p w14:paraId="3EAC161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经审核，在对项目收益预测及其所依据的各项假设前提下，本次评价的项目预期各项收费净收入能够合理保障偿还融资本金和利息，实现项目收益和融资自求平衡，绩效目标合理。该项目事前绩效评估的总体意见为：建议支持。</w:t>
      </w:r>
    </w:p>
    <w:p w14:paraId="6610D1E7">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五、存在主要问题</w:t>
      </w:r>
    </w:p>
    <w:p w14:paraId="21BEDE2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通过分析各指标的评价结果，总结项目的存在的问题及原因，明确责任主体，为提出相关建议奠定基础。</w:t>
      </w:r>
    </w:p>
    <w:p w14:paraId="6D53019C">
      <w:pPr>
        <w:keepNext w:val="0"/>
        <w:keepLines w:val="0"/>
        <w:pageBreakBefore w:val="0"/>
        <w:widowControl/>
        <w:numPr>
          <w:numId w:val="0"/>
        </w:numPr>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lang w:val="en-US" w:eastAsia="zh-CN" w:bidi="ar"/>
        </w:rPr>
      </w:pPr>
      <w:r>
        <w:rPr>
          <w:rFonts w:hint="eastAsia" w:ascii="宋体" w:hAnsi="宋体" w:cs="宋体"/>
          <w:b/>
          <w:bCs/>
          <w:color w:val="000000"/>
          <w:kern w:val="0"/>
          <w:sz w:val="28"/>
          <w:szCs w:val="28"/>
          <w:lang w:val="en-US" w:eastAsia="zh-CN" w:bidi="ar"/>
        </w:rPr>
        <w:t>1.</w:t>
      </w:r>
      <w:r>
        <w:rPr>
          <w:rFonts w:hint="eastAsia" w:ascii="宋体" w:hAnsi="宋体" w:eastAsia="宋体" w:cs="宋体"/>
          <w:b/>
          <w:bCs/>
          <w:color w:val="000000"/>
          <w:kern w:val="0"/>
          <w:sz w:val="28"/>
          <w:szCs w:val="28"/>
          <w:lang w:val="en-US" w:eastAsia="zh-CN" w:bidi="ar"/>
        </w:rPr>
        <w:t>投资准确性问题</w:t>
      </w:r>
    </w:p>
    <w:p w14:paraId="01D33DD9">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本项目总投资的核算和规划布局是根据工程可行性研究报告得出，政府主管部门批复后可能会有小幅度的变动，影响资金项目资本金投入和发债计划安排。按照政府主管部门的批复结果 及时调整项目资本金投入计划，保障项目顺利实施</w:t>
      </w:r>
      <w:r>
        <w:rPr>
          <w:rFonts w:hint="eastAsia" w:ascii="宋体" w:hAnsi="宋体" w:cs="宋体"/>
          <w:color w:val="000000"/>
          <w:kern w:val="0"/>
          <w:sz w:val="28"/>
          <w:szCs w:val="28"/>
          <w:lang w:val="en-US" w:eastAsia="zh-CN" w:bidi="ar"/>
        </w:rPr>
        <w:t>。</w:t>
      </w:r>
    </w:p>
    <w:p w14:paraId="6757238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2.风险问题</w:t>
      </w:r>
    </w:p>
    <w:p w14:paraId="65E8A3C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项目在经营和管理过程中，由于外部环境变化或运营者的行为疏忽，或者组织结构上的缺陷，可能直接影响项目获利能力的情况。做好潜在影响项目收益和融资平衡结果的各种风险评估，完善控制措施。</w:t>
      </w:r>
    </w:p>
    <w:p w14:paraId="59C0051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3.还款保障问题</w:t>
      </w:r>
    </w:p>
    <w:p w14:paraId="0FCAE83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如偿债出现困难，将通过调减投资计划、处置可变现资产、调整预算支出结构等方式筹集资金偿还债务。未按时足额向省财政缴纳专项债券还本付息资金的，省财政采取适当方式扣回。</w:t>
      </w:r>
    </w:p>
    <w:p w14:paraId="082E4B58">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六、改进建议</w:t>
      </w:r>
    </w:p>
    <w:p w14:paraId="6D75E221">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1.建立完善专项债务管理制度，加强地方专项债券全生命周期风险管理</w:t>
      </w:r>
    </w:p>
    <w:p w14:paraId="4709A25F">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一是建立和完善专项债务相关制度。应按照《专项债务预算管理办法》的规定，建立和完善专项债务相关制度，加强对本地区专项债务的管理和监督；防范风险管控，加快制定并出台本政府性债务风险应急处置预案。二是建立地方政府专项债券项目库。在项目前期论证方面，公益性和稳定收益是专项债券资金项目筛选的基本前提，当地财政部门和项目主管部门要扎实推进专项债券资金项目前期论证工作，对项目进行全面评估，并考察地方财政实力，进一步衡量项目社会生态效益，筛选出收益稳定且财政资金紧缺的重大项目，纳入专项债券项目发行库，并把预期盈利空间较大的项目纳入专项债券项目储备库。三是建立政府投资项目财务管理制度。项目建设单位应当细化项目的预算资金，分解项目各年度资金实际需求，建立健全政府投资项目建设财务管理制度和内部控制制度</w:t>
      </w:r>
      <w:r>
        <w:rPr>
          <w:rFonts w:hint="eastAsia" w:ascii="宋体" w:hAnsi="宋体" w:cs="宋体"/>
          <w:color w:val="000000"/>
          <w:kern w:val="0"/>
          <w:sz w:val="28"/>
          <w:szCs w:val="28"/>
          <w:lang w:val="en-US" w:eastAsia="zh-CN" w:bidi="ar"/>
        </w:rPr>
        <w:t>。</w:t>
      </w:r>
    </w:p>
    <w:p w14:paraId="5C3AB2E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2.加强预算绩效目标管理，提升绩效指标完整性、合理性和科学性</w:t>
      </w:r>
    </w:p>
    <w:p w14:paraId="5BB8CFD5">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强化绩效目标管理，提高预算项目绩效目标填报的完整性、合理性、科学性。项目所设定的绩效目标要依据充分，符合客观实际工作内容。绩效指标要与项目目标任务数或政府投资计划相对应，确保绩效目标的完整性、合理性、科学性。</w:t>
      </w:r>
    </w:p>
    <w:p w14:paraId="4B4BFABC">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3.加强专项债券项目管理，确保工程质量和施工进度</w:t>
      </w:r>
    </w:p>
    <w:p w14:paraId="152AFE4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是严格项目遴选管理。在项目选择上，应优先选择已经完成立项、论证和审核等程序的项目，对前期手续不完备的项目，应严格限制申报。二是加强专项债券项目建设管理。科学合理制定建设内容，避免相邻建设项目的建设内容重合与交叉；规范招标投标活动，严格按照《招标投标改革的若干规定》进行招投标。三是加强对参单位监督管理。按规定开展履约评价，开展项目阶段履约考核和项目最终履约考核。四是及时办理设计变更备案手续。五是加强项目档案管理。 </w:t>
      </w:r>
    </w:p>
    <w:p w14:paraId="2E806C1C">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4.规范专项债券项目资金管理，提高债券资金使用效益</w:t>
      </w:r>
    </w:p>
    <w:p w14:paraId="0732B04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一是规范专项债券资金管理。严格按照专项债券的相关规定使用资金，提高资金使用效益，杜绝用于项目总投资内容之外的项目，不得截留、挤占、挪用、虚列支出。二是规范工程合同价款结算。支付的工程进度款须扣除相关罚款金额，避免专项债券资金超付，提高资金的使用效益。</w:t>
      </w:r>
    </w:p>
    <w:p w14:paraId="0FB71FA8">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5.细化投资分项，做到测算科学合理，提高准确性</w:t>
      </w:r>
    </w:p>
    <w:p w14:paraId="48D64EA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细化预算内容，合理测算资金需求，明确项目单价标准，提高预算的可执行性；明确成本控制标准和措施，按照成本绩效管理要求，有效控制运营成本</w:t>
      </w:r>
      <w:r>
        <w:rPr>
          <w:rFonts w:hint="eastAsia" w:ascii="宋体" w:hAnsi="宋体" w:cs="宋体"/>
          <w:color w:val="000000"/>
          <w:kern w:val="0"/>
          <w:sz w:val="28"/>
          <w:szCs w:val="28"/>
          <w:lang w:val="en-US" w:eastAsia="zh-CN" w:bidi="ar"/>
        </w:rPr>
        <w:t>。</w:t>
      </w:r>
    </w:p>
    <w:p w14:paraId="2D866ED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lang w:val="en-US" w:eastAsia="zh-CN"/>
        </w:rPr>
      </w:pPr>
    </w:p>
    <w:p w14:paraId="5FD5CE9B">
      <w:pPr>
        <w:keepNext w:val="0"/>
        <w:keepLines w:val="0"/>
        <w:pageBreakBefore w:val="0"/>
        <w:widowControl/>
        <w:suppressLineNumbers w:val="0"/>
        <w:kinsoku/>
        <w:wordWrap/>
        <w:overflowPunct/>
        <w:topLinePunct w:val="0"/>
        <w:autoSpaceDE/>
        <w:autoSpaceDN/>
        <w:bidi w:val="0"/>
        <w:adjustRightInd/>
        <w:snapToGrid/>
        <w:ind w:firstLine="883" w:firstLineChars="200"/>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10千伏楠木湾输变电新建工程</w:t>
      </w:r>
    </w:p>
    <w:p w14:paraId="192D64A3">
      <w:pPr>
        <w:keepNext w:val="0"/>
        <w:keepLines w:val="0"/>
        <w:pageBreakBefore w:val="0"/>
        <w:widowControl/>
        <w:suppressLineNumbers w:val="0"/>
        <w:kinsoku/>
        <w:wordWrap/>
        <w:overflowPunct/>
        <w:topLinePunct w:val="0"/>
        <w:autoSpaceDE/>
        <w:autoSpaceDN/>
        <w:bidi w:val="0"/>
        <w:adjustRightInd/>
        <w:snapToGrid/>
        <w:ind w:firstLine="883" w:firstLineChars="200"/>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绩效评价报告</w:t>
      </w:r>
    </w:p>
    <w:p w14:paraId="6150029F">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一、项目概况</w:t>
      </w:r>
    </w:p>
    <w:p w14:paraId="4854E7E0">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sz w:val="28"/>
          <w:szCs w:val="28"/>
          <w:lang w:val="zh-CN"/>
        </w:rPr>
      </w:pPr>
      <w:r>
        <w:rPr>
          <w:rFonts w:hint="eastAsia" w:ascii="宋体" w:hAnsi="宋体" w:eastAsia="宋体" w:cs="宋体"/>
          <w:b/>
          <w:sz w:val="28"/>
          <w:szCs w:val="28"/>
          <w:lang w:val="zh-CN"/>
        </w:rPr>
        <w:t>（一）设立背景及基本情况。</w:t>
      </w:r>
    </w:p>
    <w:p w14:paraId="40C3795F">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110 千伏楠木湾输变电新建工程属于具有一定收益的公益性事业领域</w:t>
      </w:r>
      <w:r>
        <w:rPr>
          <w:rFonts w:hint="eastAsia" w:ascii="宋体" w:hAnsi="宋体" w:cs="宋体"/>
          <w:color w:val="000000"/>
          <w:kern w:val="0"/>
          <w:sz w:val="28"/>
          <w:szCs w:val="28"/>
          <w:lang w:val="en-US" w:eastAsia="zh-CN" w:bidi="ar"/>
        </w:rPr>
        <w:t>。</w:t>
      </w:r>
      <w:r>
        <w:rPr>
          <w:rFonts w:hint="eastAsia" w:ascii="宋体" w:hAnsi="宋体" w:eastAsia="宋体" w:cs="宋体"/>
          <w:color w:val="000000"/>
          <w:kern w:val="0"/>
          <w:sz w:val="28"/>
          <w:szCs w:val="28"/>
          <w:lang w:val="en-US" w:eastAsia="zh-CN" w:bidi="ar"/>
        </w:rPr>
        <w:t xml:space="preserve">截止2020年底，乐山电网在市域西部、东部、东南部分别布点建有一座500千伏变电站，作为节点嵌入四川500千伏梯格电网。220 千伏电网结构上，在市域中西部形成以500千伏南天站为核心、串联5座220千伏站点的双环网，覆盖市中区、峨眉山市、沙湾区、夹江县等4个区县；在市域东部和南部形成以500千伏嘉州站为支撑的双回辐射网络。110千伏电网结构上，主要以多个220千伏变电站为中心，形成多个单链及少数双射供电网。35千伏电网结构，主要以110千伏站点为支撑，形成较为独立的单链、单环或单射供电网。五通桥电网现有用220kV变电站3座，分别是桥沟变电站、涌斯变电站和新华变电站，变压器6台，总容量102万kVA。 </w:t>
      </w:r>
    </w:p>
    <w:p w14:paraId="7FDC780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lang w:val="zh-CN"/>
        </w:rPr>
      </w:pPr>
      <w:r>
        <w:rPr>
          <w:rFonts w:hint="eastAsia" w:ascii="宋体" w:hAnsi="宋体" w:eastAsia="宋体" w:cs="宋体"/>
          <w:b/>
          <w:sz w:val="28"/>
          <w:szCs w:val="28"/>
          <w:lang w:val="en-US" w:eastAsia="zh-CN"/>
        </w:rPr>
        <w:t>（二）</w:t>
      </w:r>
      <w:r>
        <w:rPr>
          <w:rFonts w:hint="eastAsia" w:ascii="宋体" w:hAnsi="宋体" w:eastAsia="宋体" w:cs="宋体"/>
          <w:b/>
          <w:sz w:val="28"/>
          <w:szCs w:val="28"/>
          <w:lang w:val="zh-CN"/>
        </w:rPr>
        <w:t>实施目的及支持方向。</w:t>
      </w:r>
    </w:p>
    <w:p w14:paraId="3527F1A6">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根据乐山协鑫新能源科技有限公司用电申请，10万吨颗粒硅项目地址位于乐山市五通桥区工业基地园区内，项目用电总负荷约28.6 万KW，项目计划于2022年2月投产。作为本期项目的电力配套设施项目，乐山高新投五通桥基地开发建设有限公司拟投资建设两座110kV 变电站承担项目的用电需求，分别为110kV楠木湾变电站（供电负荷约14.7万KW）和110kV楠木湾变电站（供电负荷约13.9万KW）。乐山协鑫新能源科技有限公司10万吨颗粒硅项目作为乐山市委2021年牵头督查的重大项目之一，从乐山市委市政府到国网四川省电力公司以及乐山供电公司均对该工程高度关注并给予了大力支持，希望早日建成配套供电项目之一的110kV楠木湾变电站，为企业生产发展用电解决后顾之忧，增加当地的就业岗位数量，提高就业率，加快产业结构调整，促进地方国民经济良性发展。因此，该工程的建设非常必要。</w:t>
      </w:r>
    </w:p>
    <w:p w14:paraId="4E665CF1">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color w:val="FF0000"/>
          <w:sz w:val="28"/>
          <w:szCs w:val="28"/>
          <w:lang w:val="zh-CN"/>
        </w:rPr>
      </w:pPr>
      <w:r>
        <w:rPr>
          <w:rFonts w:hint="eastAsia" w:ascii="宋体" w:hAnsi="宋体" w:eastAsia="宋体" w:cs="宋体"/>
          <w:b/>
          <w:sz w:val="28"/>
          <w:szCs w:val="28"/>
          <w:lang w:val="en-US" w:eastAsia="zh-CN"/>
        </w:rPr>
        <w:t>(三）</w:t>
      </w:r>
      <w:r>
        <w:rPr>
          <w:rFonts w:hint="eastAsia" w:ascii="宋体" w:hAnsi="宋体" w:eastAsia="宋体" w:cs="宋体"/>
          <w:b/>
          <w:sz w:val="28"/>
          <w:szCs w:val="28"/>
          <w:lang w:val="zh-CN"/>
        </w:rPr>
        <w:t>预算安排及分配管理。</w:t>
      </w:r>
    </w:p>
    <w:p w14:paraId="7E485668">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项目实施计划</w:t>
      </w:r>
      <w:r>
        <w:rPr>
          <w:rFonts w:hint="eastAsia" w:ascii="宋体" w:hAnsi="宋体" w:eastAsia="宋体" w:cs="宋体"/>
          <w:color w:val="000000"/>
          <w:kern w:val="0"/>
          <w:sz w:val="28"/>
          <w:szCs w:val="28"/>
          <w:lang w:val="en-US" w:eastAsia="zh-CN" w:bidi="ar"/>
        </w:rPr>
        <w:t>：</w:t>
      </w:r>
    </w:p>
    <w:p w14:paraId="6EE843F7">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color w:val="000000"/>
          <w:kern w:val="0"/>
          <w:sz w:val="28"/>
          <w:szCs w:val="28"/>
          <w:lang w:val="en-US" w:eastAsia="zh-CN" w:bidi="ar"/>
        </w:rPr>
        <w:t>项目目前已完成的前期工作有：可行性研究报告编制审查、已取得选址规划意见书、用地预审文件、环境影响评价批复等。实施单位可根据资金情况、现场实际情况，对项目各个实施阶段进行统一调</w:t>
      </w:r>
      <w:r>
        <w:rPr>
          <w:rFonts w:hint="eastAsia" w:ascii="宋体" w:hAnsi="宋体" w:cs="宋体"/>
          <w:color w:val="000000"/>
          <w:kern w:val="0"/>
          <w:sz w:val="28"/>
          <w:szCs w:val="28"/>
          <w:lang w:val="en-US" w:eastAsia="zh-CN" w:bidi="ar"/>
        </w:rPr>
        <w:t>度。</w:t>
      </w:r>
    </w:p>
    <w:p w14:paraId="25BF7AE9">
      <w:pPr>
        <w:keepNext w:val="0"/>
        <w:keepLines w:val="0"/>
        <w:pageBreakBefore w:val="0"/>
        <w:numPr>
          <w:ilvl w:val="0"/>
          <w:numId w:val="0"/>
        </w:numPr>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资金投入计划</w:t>
      </w:r>
      <w:r>
        <w:rPr>
          <w:rFonts w:hint="eastAsia" w:ascii="宋体" w:hAnsi="宋体" w:cs="宋体"/>
          <w:b/>
          <w:bCs/>
          <w:sz w:val="28"/>
          <w:szCs w:val="28"/>
          <w:lang w:val="en-US" w:eastAsia="zh-CN"/>
        </w:rPr>
        <w:t>：</w:t>
      </w:r>
    </w:p>
    <w:p w14:paraId="0D6ED4F7">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项目2022年预计投入9,753.00万元，其中项目资本金2,253.00 万元，专项债券7,500.00万元。资金主要用于项目建设投资、发行费用、债券建设期利息等相关费用。资金主要用于项目建设投资、发行费用、债券建设期利息等 相关费用。</w:t>
      </w:r>
    </w:p>
    <w:p w14:paraId="6641E3FE">
      <w:pPr>
        <w:keepNext w:val="0"/>
        <w:keepLines w:val="0"/>
        <w:pageBreakBefore w:val="0"/>
        <w:numPr>
          <w:ilvl w:val="0"/>
          <w:numId w:val="0"/>
        </w:numPr>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资金管理方案：</w:t>
      </w:r>
    </w:p>
    <w:p w14:paraId="6109BC1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（1）统一管理项目资金 </w:t>
      </w:r>
    </w:p>
    <w:p w14:paraId="454CF53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本项目通过发行专项债券取得的工程建设资金将实行统一管理、专款专用、分账核算、定期结算。</w:t>
      </w:r>
    </w:p>
    <w:p w14:paraId="6EFE3A8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（2）合理使用项目资金 </w:t>
      </w:r>
    </w:p>
    <w:p w14:paraId="6455960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按照项目进度分批发放工程资金，根据项目实施情况适当调剂项目使用基金，避免工程资金的浪费和资金紧缺。 </w:t>
      </w:r>
    </w:p>
    <w:p w14:paraId="0E5C44C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（3）建立应急经费保障机制 建立应急经费保障机制，预留一部分应急资金应对突发情况，并不定期对项目财务风险进行监测、识别和防范。 </w:t>
      </w:r>
    </w:p>
    <w:p w14:paraId="144CF761">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（4）相关部门监管 </w:t>
      </w:r>
    </w:p>
    <w:p w14:paraId="1312606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项目相关政府单位将对本项目资金使用情况进行监管，确保项目建设资金合理有效使用</w:t>
      </w:r>
    </w:p>
    <w:p w14:paraId="1DB191C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（5）项目专项债券利息和发行费用根据债券规模、利率、费率等情况合理预计，列入政府性基金预算支出统筹安排。 </w:t>
      </w:r>
    </w:p>
    <w:p w14:paraId="55512D5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（6）项目专项债券还本支出根据当年到期债券规模、政府性基金财力、调入专项收入等因素合理预计，妥善安排，并列入年度预算草案。 </w:t>
      </w:r>
    </w:p>
    <w:p w14:paraId="32BF932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（7）项目取得的政府性基金收入或专项收入，按照该项目对应的专项债券余额统筹安排资金，专门用于偿还到期债券本息。</w:t>
      </w:r>
    </w:p>
    <w:p w14:paraId="264DA322">
      <w:pPr>
        <w:keepNext w:val="0"/>
        <w:keepLines w:val="0"/>
        <w:pageBreakBefore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sz w:val="28"/>
          <w:szCs w:val="28"/>
          <w:lang w:val="zh-CN"/>
        </w:rPr>
      </w:pPr>
      <w:r>
        <w:rPr>
          <w:rFonts w:hint="eastAsia" w:ascii="宋体" w:hAnsi="宋体" w:eastAsia="宋体" w:cs="宋体"/>
          <w:b/>
          <w:sz w:val="28"/>
          <w:szCs w:val="28"/>
          <w:lang w:val="zh-CN"/>
        </w:rPr>
        <w:t>项目绩效目标设置</w:t>
      </w:r>
    </w:p>
    <w:p w14:paraId="1062CCB7">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lang w:val="zh-CN"/>
        </w:rPr>
      </w:pPr>
      <w:r>
        <w:rPr>
          <w:rFonts w:hint="eastAsia" w:ascii="宋体" w:hAnsi="宋体" w:eastAsia="宋体" w:cs="宋体"/>
          <w:kern w:val="2"/>
          <w:sz w:val="28"/>
          <w:szCs w:val="28"/>
          <w:lang w:val="zh-CN" w:eastAsia="zh-CN" w:bidi="ar-SA"/>
        </w:rPr>
        <w:t>（三）</w:t>
      </w:r>
      <w:r>
        <w:rPr>
          <w:rFonts w:hint="eastAsia" w:ascii="宋体" w:hAnsi="宋体" w:eastAsia="宋体" w:cs="宋体"/>
          <w:b/>
          <w:sz w:val="28"/>
          <w:szCs w:val="28"/>
          <w:lang w:val="zh-CN"/>
        </w:rPr>
        <w:t>项目绩效目标设置。</w:t>
      </w:r>
    </w:p>
    <w:p w14:paraId="1F1E2737">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sz w:val="28"/>
          <w:szCs w:val="28"/>
          <w:lang w:val="en-US" w:eastAsia="zh-CN"/>
        </w:rPr>
        <w:t>本项目实行全面绩效管理，</w:t>
      </w:r>
      <w:r>
        <w:rPr>
          <w:rFonts w:hint="eastAsia" w:ascii="宋体" w:hAnsi="宋体" w:eastAsia="宋体" w:cs="宋体"/>
          <w:color w:val="000000"/>
          <w:kern w:val="0"/>
          <w:sz w:val="28"/>
          <w:szCs w:val="28"/>
          <w:lang w:val="en-US" w:eastAsia="zh-CN" w:bidi="ar"/>
        </w:rPr>
        <w:t>本本项目绩效目标与部门的长期规划目标、年度工作目标相一 致，结合相关历史数据、行业标准、计划标准等因素，本项目制 定了定性定量的绩效目标。项目绩效目标可行、合理。</w:t>
      </w:r>
    </w:p>
    <w:p w14:paraId="785CC77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通过对本项目的功能特性进行梳理，结合项目的经济效益、社会效益、生态效益、可持续影响和群众满意度等指标分析，项目预期提供的产品、服务、效益或其他目标明确细化，可衡量。项目绩效目标明确。</w:t>
      </w:r>
    </w:p>
    <w:p w14:paraId="652813D2">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二、评价实施</w:t>
      </w:r>
    </w:p>
    <w:p w14:paraId="12BF5DB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sz w:val="28"/>
          <w:szCs w:val="28"/>
          <w:lang w:val="zh-CN"/>
        </w:rPr>
        <w:t>（一）评价目的。</w:t>
      </w:r>
      <w:r>
        <w:rPr>
          <w:rFonts w:hint="eastAsia" w:ascii="宋体" w:hAnsi="宋体" w:eastAsia="宋体" w:cs="宋体"/>
          <w:color w:val="000000"/>
          <w:kern w:val="0"/>
          <w:sz w:val="28"/>
          <w:szCs w:val="28"/>
          <w:lang w:val="en-US" w:eastAsia="zh-CN" w:bidi="ar"/>
        </w:rPr>
        <w:t>为了清楚了解项目背景及行业特征，从立项的必要性、项目绩效的可实现性、项目实施方案的有效性、项目预期绩效的可持续性、财政资金投入的可行性及风险等方面实现项目收益和融资自求平衡，绩效目标合理。</w:t>
      </w:r>
    </w:p>
    <w:p w14:paraId="2926FCAE">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（二）</w:t>
      </w:r>
      <w:r>
        <w:rPr>
          <w:rFonts w:hint="eastAsia" w:ascii="宋体" w:hAnsi="宋体" w:eastAsia="宋体" w:cs="宋体"/>
          <w:b/>
          <w:sz w:val="28"/>
          <w:szCs w:val="28"/>
          <w:lang w:val="zh-CN"/>
        </w:rPr>
        <w:t>预设问题及评价重点</w:t>
      </w:r>
      <w:r>
        <w:rPr>
          <w:rFonts w:hint="eastAsia" w:ascii="宋体" w:hAnsi="宋体" w:eastAsia="宋体" w:cs="宋体"/>
          <w:color w:val="000000"/>
          <w:kern w:val="0"/>
          <w:sz w:val="28"/>
          <w:szCs w:val="28"/>
          <w:lang w:val="en-US" w:eastAsia="zh-CN" w:bidi="ar"/>
        </w:rPr>
        <w:t>，</w:t>
      </w:r>
    </w:p>
    <w:p w14:paraId="14AE0B86">
      <w:pPr>
        <w:keepNext w:val="0"/>
        <w:keepLines w:val="0"/>
        <w:pageBreakBefore w:val="0"/>
        <w:widowControl/>
        <w:numPr>
          <w:ilvl w:val="0"/>
          <w:numId w:val="0"/>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本项目主要以偿债来源、融资与项目收益平衡、成本、支出属性四个要素作为管理动因，从项目决策、绩效目标、项目管理以及项目绩效四个方面对项目进行全面绩效管理，推进财政资金统筹使用，避免资金使用“碎片化”，盘活各领域“沉睡”的财政资金，把“零钱”化为“整钱”，增加资金有效供给。</w:t>
      </w:r>
    </w:p>
    <w:p w14:paraId="26F2CED9">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sz w:val="28"/>
          <w:szCs w:val="28"/>
          <w:lang w:val="zh-CN"/>
        </w:rPr>
        <w:t>（</w:t>
      </w:r>
      <w:r>
        <w:rPr>
          <w:rFonts w:hint="eastAsia" w:ascii="宋体" w:hAnsi="宋体" w:eastAsia="宋体" w:cs="宋体"/>
          <w:b/>
          <w:sz w:val="28"/>
          <w:szCs w:val="28"/>
          <w:lang w:val="en-US" w:eastAsia="zh-CN"/>
        </w:rPr>
        <w:t>三</w:t>
      </w:r>
      <w:r>
        <w:rPr>
          <w:rFonts w:hint="eastAsia" w:ascii="宋体" w:hAnsi="宋体" w:eastAsia="宋体" w:cs="宋体"/>
          <w:b/>
          <w:sz w:val="28"/>
          <w:szCs w:val="28"/>
          <w:lang w:val="zh-CN"/>
        </w:rPr>
        <w:t>）评价方法。</w:t>
      </w:r>
      <w:r>
        <w:rPr>
          <w:rFonts w:hint="eastAsia" w:ascii="宋体" w:hAnsi="宋体" w:eastAsia="宋体" w:cs="宋体"/>
          <w:color w:val="000000"/>
          <w:kern w:val="0"/>
          <w:sz w:val="28"/>
          <w:szCs w:val="28"/>
          <w:lang w:val="en-US" w:eastAsia="zh-CN" w:bidi="ar"/>
        </w:rPr>
        <w:t>查阅资料：通过网络、图书馆、专家以及与项目相关单 位沟通等多种途径，查阅了国家、相关的行业规划、文件、政策，并收集了国内外相关实际做法，以及公共财政在该项目领域的支持范围及方式等相关资料</w:t>
      </w:r>
      <w:r>
        <w:rPr>
          <w:rFonts w:hint="eastAsia" w:ascii="宋体" w:hAnsi="宋体" w:cs="宋体"/>
          <w:color w:val="000000"/>
          <w:kern w:val="0"/>
          <w:sz w:val="28"/>
          <w:szCs w:val="28"/>
          <w:lang w:val="en-US" w:eastAsia="zh-CN" w:bidi="ar"/>
        </w:rPr>
        <w:t>。</w:t>
      </w:r>
    </w:p>
    <w:p w14:paraId="7A9B1BF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专家咨询：评价工作组通过多种渠道聘请了绩同时，邀请财务专家和业务专家作为事前绩效评估组成员，参与、指导事前绩效评价工作效管理及财政财务等方面的专家，共同组成了评估专家组</w:t>
      </w:r>
      <w:r>
        <w:rPr>
          <w:rFonts w:hint="eastAsia" w:ascii="宋体" w:hAnsi="宋体" w:cs="宋体"/>
          <w:color w:val="000000"/>
          <w:kern w:val="0"/>
          <w:sz w:val="28"/>
          <w:szCs w:val="28"/>
          <w:lang w:val="en-US" w:eastAsia="zh-CN" w:bidi="ar"/>
        </w:rPr>
        <w:t>。</w:t>
      </w:r>
    </w:p>
    <w:p w14:paraId="13D6C205">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三、绩效分析</w:t>
      </w:r>
    </w:p>
    <w:p w14:paraId="37D87CDF">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项目社会效益</w:t>
      </w:r>
    </w:p>
    <w:p w14:paraId="078FF37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促进就业，提升产业园区核心竞争力：一方面工程建设需要大量的建筑工人和一定量的管理人员，对人才和劳动力市场形成一定的需求，另一方面，建成后作为五通桥重点经济建设项目，能为附近对缓解现阶段社会就业压力起到一定的作用；同时也能够提升企业的核心竞争力。</w:t>
      </w:r>
    </w:p>
    <w:p w14:paraId="700325C5">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b/>
          <w:sz w:val="28"/>
          <w:szCs w:val="28"/>
          <w:lang w:val="zh-CN"/>
        </w:rPr>
      </w:pPr>
      <w:r>
        <w:rPr>
          <w:rFonts w:hint="eastAsia" w:ascii="宋体" w:hAnsi="宋体" w:eastAsia="宋体" w:cs="宋体"/>
          <w:b/>
          <w:sz w:val="28"/>
          <w:szCs w:val="28"/>
          <w:lang w:val="zh-CN"/>
        </w:rPr>
        <w:t>（一）通用指标绩效分析。</w:t>
      </w:r>
    </w:p>
    <w:p w14:paraId="1A60E94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zh-CN"/>
        </w:rPr>
        <w:t>1.项目决策。</w:t>
      </w:r>
      <w:r>
        <w:rPr>
          <w:rFonts w:hint="eastAsia" w:ascii="宋体" w:hAnsi="宋体" w:eastAsia="宋体" w:cs="宋体"/>
          <w:color w:val="000000"/>
          <w:kern w:val="0"/>
          <w:sz w:val="28"/>
          <w:szCs w:val="28"/>
          <w:lang w:val="en-US" w:eastAsia="zh-CN" w:bidi="ar"/>
        </w:rPr>
        <w:t xml:space="preserve">本项目基于中央、省、市、区决策部署的要求，根据《四川 省国民经济和社会发展第十四个五年规划纲要》、《乐山市国民经济和社会发展第十四个五年规划纲要》、《乐山市城市总体规划》等文件精神，立足于项目的科学性与公益性，提出了本项目。 </w:t>
      </w:r>
    </w:p>
    <w:p w14:paraId="49F8123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本项目符合当前经济社会发展需求，与政策和实际需求相吻合， 项目决策科学、合理</w:t>
      </w:r>
      <w:r>
        <w:rPr>
          <w:rFonts w:hint="eastAsia" w:ascii="宋体" w:hAnsi="宋体" w:cs="宋体"/>
          <w:color w:val="000000"/>
          <w:kern w:val="0"/>
          <w:sz w:val="28"/>
          <w:szCs w:val="28"/>
          <w:lang w:val="en-US" w:eastAsia="zh-CN" w:bidi="ar"/>
        </w:rPr>
        <w:t>。</w:t>
      </w:r>
    </w:p>
    <w:p w14:paraId="3F689FBD">
      <w:pPr>
        <w:keepNext w:val="0"/>
        <w:keepLines w:val="0"/>
        <w:pageBreakBefore w:val="0"/>
        <w:numPr>
          <w:ilvl w:val="0"/>
          <w:numId w:val="0"/>
        </w:numPr>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lang w:val="zh-CN"/>
        </w:rPr>
      </w:pPr>
      <w:r>
        <w:rPr>
          <w:rFonts w:hint="eastAsia" w:ascii="宋体" w:hAnsi="宋体" w:eastAsia="宋体" w:cs="宋体"/>
          <w:sz w:val="28"/>
          <w:szCs w:val="28"/>
          <w:lang w:val="en-US" w:eastAsia="zh-CN"/>
        </w:rPr>
        <w:t>2.</w:t>
      </w:r>
      <w:r>
        <w:rPr>
          <w:rFonts w:hint="eastAsia" w:ascii="宋体" w:hAnsi="宋体" w:eastAsia="宋体" w:cs="宋体"/>
          <w:sz w:val="28"/>
          <w:szCs w:val="28"/>
          <w:lang w:val="zh-CN"/>
        </w:rPr>
        <w:t>项目管理。</w:t>
      </w:r>
      <w:r>
        <w:rPr>
          <w:rFonts w:hint="eastAsia" w:ascii="宋体" w:hAnsi="宋体" w:eastAsia="宋体" w:cs="宋体"/>
          <w:sz w:val="28"/>
          <w:szCs w:val="28"/>
          <w:lang w:val="en-US" w:eastAsia="zh-CN"/>
        </w:rPr>
        <w:t>项目管理分为资金管理、项目建设管理</w:t>
      </w:r>
      <w:r>
        <w:rPr>
          <w:rFonts w:hint="eastAsia" w:ascii="宋体" w:hAnsi="宋体" w:cs="宋体"/>
          <w:sz w:val="28"/>
          <w:szCs w:val="28"/>
          <w:lang w:val="en-US" w:eastAsia="zh-CN"/>
        </w:rPr>
        <w:t>。</w:t>
      </w:r>
    </w:p>
    <w:p w14:paraId="054A7129">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资金管理</w:t>
      </w:r>
    </w:p>
    <w:p w14:paraId="534ADFA5">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建立地方政府债券项目管理责任制，保证项目稳健实施，资金使用合规安全。为切实发挥债券资金使用效益，严格债券资金拨付及使用流程。项目债券资金到达后，财政部门主动加强工作对接，积极协调会商，及时完善相关资料，疏通有关工作流程。建立债券资金使用台账、规范债券资金通过债务人转拨程序、严格库款资金垫付及回补要求等措施，进一步强化对债券资金的使用管理。严格按照规定，加强支出管理，强化拨付流程，建立债券资金支出月报制，动态管控每笔债券资金的支出情况及使用情况，严禁以任何形式的截留、挤占、挪用政府债券资金，全力确保债券资金发挥应有效益。</w:t>
      </w:r>
    </w:p>
    <w:p w14:paraId="1B05516B">
      <w:pPr>
        <w:keepNext w:val="0"/>
        <w:keepLines w:val="0"/>
        <w:pageBreakBefore w:val="0"/>
        <w:numPr>
          <w:ilvl w:val="0"/>
          <w:numId w:val="0"/>
        </w:numPr>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项目建设管理</w:t>
      </w:r>
    </w:p>
    <w:p w14:paraId="0452978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工程质量达到国家现行规范要求，并经验收合格。通过招标的优惠条件鼓励施工单位加快进度，控制对投资的投放速度，控制对物资的供应，建立相应的奖励和惩罚措施等合同管理是工程建设的重要内容之一，是控制工程投资、进度、质量的基本依据。从加强对项目工程质量、工程进度、资金使用等方面的监督检查入手，进一步加强对项目的全程监督和检查，确保工程质量和资金效益。建立完善以项目负责人为首的安全生产领导组织，有组织、有领导地开展安全管理活动，承担组织、领导安全生产的责任</w:t>
      </w:r>
      <w:r>
        <w:rPr>
          <w:rFonts w:hint="eastAsia" w:ascii="宋体" w:hAnsi="宋体" w:cs="宋体"/>
          <w:color w:val="000000"/>
          <w:kern w:val="0"/>
          <w:sz w:val="28"/>
          <w:szCs w:val="28"/>
          <w:lang w:val="en-US" w:eastAsia="zh-CN" w:bidi="ar"/>
        </w:rPr>
        <w:t>。</w:t>
      </w:r>
    </w:p>
    <w:p w14:paraId="4ACA6734">
      <w:pPr>
        <w:keepNext w:val="0"/>
        <w:keepLines w:val="0"/>
        <w:pageBreakBefore w:val="0"/>
        <w:kinsoku/>
        <w:wordWrap/>
        <w:overflowPunct/>
        <w:topLinePunct w:val="0"/>
        <w:autoSpaceDE/>
        <w:autoSpaceDN/>
        <w:bidi w:val="0"/>
        <w:adjustRightInd/>
        <w:snapToGrid/>
        <w:ind w:firstLine="562" w:firstLineChars="200"/>
        <w:textAlignment w:val="auto"/>
        <w:rPr>
          <w:rFonts w:hint="eastAsia" w:ascii="宋体" w:hAnsi="宋体" w:eastAsia="宋体" w:cs="宋体"/>
          <w:sz w:val="28"/>
          <w:szCs w:val="28"/>
          <w:lang w:val="zh-CN"/>
        </w:rPr>
      </w:pPr>
      <w:r>
        <w:rPr>
          <w:rFonts w:hint="eastAsia" w:ascii="宋体" w:hAnsi="宋体" w:eastAsia="宋体" w:cs="宋体"/>
          <w:b/>
          <w:sz w:val="28"/>
          <w:szCs w:val="28"/>
          <w:lang w:val="zh-CN"/>
        </w:rPr>
        <w:t>专用指标绩效分析。</w:t>
      </w:r>
      <w:r>
        <w:rPr>
          <w:rFonts w:hint="eastAsia" w:ascii="宋体" w:hAnsi="宋体" w:eastAsia="宋体" w:cs="宋体"/>
          <w:sz w:val="28"/>
          <w:szCs w:val="28"/>
          <w:lang w:val="zh-CN"/>
        </w:rPr>
        <w:t>根据专项预算项目资金支持对象选择所属指标进行绩效分析。支持对象包括产业发展、民生保障、基础设施、行政运转等方面。</w:t>
      </w:r>
    </w:p>
    <w:p w14:paraId="1C790EED">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zh-CN"/>
        </w:rPr>
        <w:t>1.产业发展。</w:t>
      </w:r>
      <w:r>
        <w:rPr>
          <w:rFonts w:hint="eastAsia" w:ascii="宋体" w:hAnsi="宋体" w:eastAsia="宋体" w:cs="宋体"/>
          <w:color w:val="000000"/>
          <w:kern w:val="0"/>
          <w:sz w:val="28"/>
          <w:szCs w:val="28"/>
          <w:lang w:val="en-US" w:eastAsia="zh-CN" w:bidi="ar"/>
        </w:rPr>
        <w:t>110kV楠木湾输变电工程的建设从长远角度分析，是当地经济发展的 前提和基础，电力的发展有利于当地招商引资，有利于当地工业、商业的发展，带动产业发展，增加当地的就业岗位数量，提高就业率，形成当地经济的良性循环为。总的来说，本工程主要为满足五通桥区负荷发展需要，满足乐山协鑫新能源科技有限公司10万吨颗粒硅项目用电需求提供电力保证。本工程的建设同时对改善乐山南部电网结构起着至关重要的作用，提高了该区域电网的可靠性和稳定性，使 110kV 电网更趋合理，吞吐能力更强，供电更加安全、可靠，对促进区域经济、交通、市政建设、医疗卫生等公共基础设施项目的建设和发展提供电力保障。</w:t>
      </w:r>
    </w:p>
    <w:p w14:paraId="67E77D2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val="zh-CN"/>
        </w:rPr>
        <w:t>2.民生保障。</w:t>
      </w:r>
      <w:r>
        <w:rPr>
          <w:rFonts w:hint="eastAsia" w:ascii="宋体" w:hAnsi="宋体" w:eastAsia="宋体" w:cs="宋体"/>
          <w:color w:val="000000"/>
          <w:kern w:val="0"/>
          <w:sz w:val="28"/>
          <w:szCs w:val="28"/>
          <w:lang w:val="en-US" w:eastAsia="zh-CN" w:bidi="ar"/>
        </w:rPr>
        <w:t xml:space="preserve">项目建设期间，将提供一定的就业机会，一定程度上有助于居民生活质量和水平的提高，通过项目的建设，能够缓解五通桥区用电压力，保障居民用电需求，促进片区经济发展。 </w:t>
      </w:r>
    </w:p>
    <w:p w14:paraId="26F32967">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 </w:t>
      </w:r>
      <w:r>
        <w:rPr>
          <w:rFonts w:hint="eastAsia" w:ascii="宋体" w:hAnsi="宋体" w:eastAsia="宋体" w:cs="宋体"/>
          <w:sz w:val="28"/>
          <w:szCs w:val="28"/>
          <w:lang w:val="zh-CN"/>
        </w:rPr>
        <w:t>3.基础设施。</w:t>
      </w:r>
      <w:r>
        <w:rPr>
          <w:rFonts w:hint="eastAsia" w:ascii="宋体" w:hAnsi="宋体" w:eastAsia="宋体" w:cs="宋体"/>
          <w:color w:val="000000"/>
          <w:kern w:val="0"/>
          <w:sz w:val="28"/>
          <w:szCs w:val="28"/>
          <w:lang w:val="en-US" w:eastAsia="zh-CN" w:bidi="ar"/>
        </w:rPr>
        <w:t>110千伏楠木湾输变电新建工程：（一）变电工程。1.楠木湾110kV变电站新建工程：主变规模4*63兆伏安；110千伏出线为2回，采用单母线分段接线；10千伏出线32回，每段母线出线8回；另单独设置10千伏应急母线，进线4回，出线18回。2.红云220千伏变电站110千伏间隔扩建工程：红云220千伏变电站扩建2回110千伏出线间隔。（二）线路工程。 新建红云220千伏变电站至楠木湾110千伏变电站双回110千伏线路，线路路径长度2*1.15千米。（三）系统通信。配置一套具有交叉连接功能的2.5G平台SDH光同步复用传输设备</w:t>
      </w:r>
      <w:r>
        <w:rPr>
          <w:rFonts w:hint="eastAsia" w:ascii="宋体" w:hAnsi="宋体" w:cs="宋体"/>
          <w:color w:val="000000"/>
          <w:kern w:val="0"/>
          <w:sz w:val="28"/>
          <w:szCs w:val="28"/>
          <w:lang w:val="en-US" w:eastAsia="zh-CN" w:bidi="ar"/>
        </w:rPr>
        <w:t>。</w:t>
      </w:r>
    </w:p>
    <w:p w14:paraId="20DD3029">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四、评价结论</w:t>
      </w:r>
    </w:p>
    <w:p w14:paraId="085AB844">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经审核，在对项目收益预测及其所依据的各项假设前提下，本次评价的项目预期各项收费净收入能够合理保障偿还融资本金和利息，实现项目收益和融资自求平衡，绩效目标合理。该项目事前绩效评估的总体意见为：建议支持。</w:t>
      </w:r>
    </w:p>
    <w:p w14:paraId="74BB5B63">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五、存在主要问题</w:t>
      </w:r>
    </w:p>
    <w:p w14:paraId="6C9CBED3">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通过分析各指标的评价结果 ，总结项目的存在的问题及</w:t>
      </w:r>
      <w:r>
        <w:rPr>
          <w:rFonts w:hint="eastAsia" w:ascii="宋体" w:hAnsi="宋体" w:cs="宋体"/>
          <w:color w:val="000000"/>
          <w:kern w:val="0"/>
          <w:sz w:val="28"/>
          <w:szCs w:val="28"/>
          <w:lang w:val="en-US" w:eastAsia="zh-CN" w:bidi="ar"/>
        </w:rPr>
        <w:t>原</w:t>
      </w:r>
      <w:r>
        <w:rPr>
          <w:rFonts w:hint="eastAsia" w:ascii="宋体" w:hAnsi="宋体" w:eastAsia="宋体" w:cs="宋体"/>
          <w:color w:val="000000"/>
          <w:kern w:val="0"/>
          <w:sz w:val="28"/>
          <w:szCs w:val="28"/>
          <w:lang w:val="en-US" w:eastAsia="zh-CN" w:bidi="ar"/>
        </w:rPr>
        <w:t>因，明确责任主体，为提出相关建议奠定基础。</w:t>
      </w:r>
    </w:p>
    <w:p w14:paraId="5A8728EE">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1.投资准确性问题 </w:t>
      </w:r>
    </w:p>
    <w:p w14:paraId="4C5875F2">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本项目总投资的核算和规划布局是根据工程可行性研究报告得出，政府主管部门批复后可能会有小幅度的变动，影响资金项目资本金投入和发债计划安排。按照政府主管部门的批复结果及时调整项目资本金投入计划，保障项目顺利实施。</w:t>
      </w:r>
    </w:p>
    <w:p w14:paraId="1A89594F">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2.风险问题</w:t>
      </w:r>
    </w:p>
    <w:p w14:paraId="2D1BB9D2">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项目在经营和管理过程中，由于外部环境变化或运营者的行为疏忽，或者组织结构上的缺陷，可能直接影响项目获利能力的情况。做好潜在影响项目收益和融资平衡结果的各种风险评估，完善控制措施。</w:t>
      </w:r>
    </w:p>
    <w:p w14:paraId="3B6674DB">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3.还款保障问题</w:t>
      </w:r>
    </w:p>
    <w:p w14:paraId="3B6B8D3B">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如偿债出现困难，将通过调减投资计划、处置可变现资产、调整预算支出结构等方式筹集资金偿还债务。未按时足额向省财政缴纳专项债券还本付息资金的，省财政采取适当方式扣回。</w:t>
      </w:r>
    </w:p>
    <w:p w14:paraId="095C383E">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b/>
          <w:bCs/>
          <w:sz w:val="28"/>
          <w:szCs w:val="28"/>
          <w:lang w:val="zh-CN"/>
        </w:rPr>
      </w:pPr>
      <w:r>
        <w:rPr>
          <w:rFonts w:hint="eastAsia" w:ascii="宋体" w:hAnsi="宋体" w:eastAsia="宋体" w:cs="宋体"/>
          <w:b/>
          <w:bCs/>
          <w:sz w:val="28"/>
          <w:szCs w:val="28"/>
          <w:lang w:val="zh-CN"/>
        </w:rPr>
        <w:t>六、改进建议</w:t>
      </w:r>
    </w:p>
    <w:p w14:paraId="14EF7462">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 xml:space="preserve">1.建立完善专项债务管理制度，加强地方专项债券全生命 </w:t>
      </w:r>
    </w:p>
    <w:p w14:paraId="40F271B1">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周期风险管理</w:t>
      </w:r>
    </w:p>
    <w:p w14:paraId="3552AEE6">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一是建立和完善专项债务相关制度。应按照《专项债务预算管理办法》的规定，建立和完善专项债务相关制度，加强对本地区专项债务的管理和监督；防范风险管控，加快制定并出台本政府性债务风险应急处置预案。二是建立地方政府专项债券项目库。在项目前期论证方面，公益性和稳定收益是专项债券资金项目筛选的基本前提，当地财政部门和项目主管部门要扎实推进专项债券资金项目前期论证工作，对项目进行全面评估，并考察地方财政实力，进一步衡量项目社会生态效益，筛选出收益稳定且财政资金紧缺的重大项目，纳入专项债券项目发行库，并把预期盈利空间较大的项目纳入专项债券项目储备库。三是建立政府投资项目财务管理制度。项目建设单位应当细化项目的预算资金，分解项目各年度资金实际需求，建立健全政府投资项目建设财务管理制度和内部控制制度</w:t>
      </w:r>
      <w:r>
        <w:rPr>
          <w:rFonts w:hint="eastAsia" w:ascii="宋体" w:hAnsi="宋体" w:cs="宋体"/>
          <w:color w:val="000000"/>
          <w:kern w:val="0"/>
          <w:sz w:val="28"/>
          <w:szCs w:val="28"/>
          <w:lang w:val="en-US" w:eastAsia="zh-CN" w:bidi="ar"/>
        </w:rPr>
        <w:t>。</w:t>
      </w:r>
    </w:p>
    <w:p w14:paraId="738C098E">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2.加强预算绩效目标管理，提升绩效指标完整性、合理性和科学性</w:t>
      </w:r>
    </w:p>
    <w:p w14:paraId="6C1BC3B4">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强化绩效目标管理，提高预算项目绩效目标填报的完整性、合理性、科学性。项目所设定的绩效目标要依据充分，符合客观实际工作内容。绩效指标要与项目目标任务数或政府投资计划相对应，确保绩效目标的完整性、合理性、科学性。</w:t>
      </w:r>
    </w:p>
    <w:p w14:paraId="626F89F8">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3.加强专项债券项目管理，确保工程质量和施工进度</w:t>
      </w:r>
    </w:p>
    <w:p w14:paraId="52B8988E">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 xml:space="preserve">一是严格项目遴选管理。在项目选择上，应优先选择已经完成立项、论证和审核等程序的项目，对前期手续不完备的项目 应严格限制申报。二是加强专项债券项目建设管理。科学合理制定建设内容，避免相邻建设项目的建设内容重合与交叉；规范招标投标活动，严格按照《招标投标改革的若干规定》进行招投标。三是加强对参单位监督管理。按规定开展履约评价，开展项目阶段履约考核和项目最终履约考核。四是及时办理设计变更备案手续。五是加强项目档案管理。 </w:t>
      </w:r>
    </w:p>
    <w:p w14:paraId="6A35FC2C">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4.规范专项债券项目资金管理，提高债券资金使用效益</w:t>
      </w:r>
    </w:p>
    <w:p w14:paraId="052506FF">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一是规范专项债券资金管理。严格按照专项债券的相关规定使用资金，提高资金使用效益，杜绝用于项目总投资内容之外的项目，不得截留、挤占、挪用、虚列支出。二是规范工程合同价款结算。支付的工程进度款须扣除相关罚款金额，避免专项债券资金超付，提高资金的使用效益。</w:t>
      </w:r>
    </w:p>
    <w:p w14:paraId="7AA10EC9">
      <w:pPr>
        <w:keepNext w:val="0"/>
        <w:keepLines w:val="0"/>
        <w:pageBreakBefore w:val="0"/>
        <w:widowControl/>
        <w:suppressLineNumbers w:val="0"/>
        <w:kinsoku/>
        <w:wordWrap/>
        <w:overflowPunct/>
        <w:topLinePunct w:val="0"/>
        <w:autoSpaceDE/>
        <w:autoSpaceDN/>
        <w:bidi w:val="0"/>
        <w:adjustRightInd/>
        <w:snapToGrid/>
        <w:ind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5.细化投资分项，做到测算科学合理，提高准确性</w:t>
      </w:r>
    </w:p>
    <w:p w14:paraId="65349114">
      <w:pPr>
        <w:keepNext w:val="0"/>
        <w:keepLines w:val="0"/>
        <w:pageBreakBefore w:val="0"/>
        <w:widowControl/>
        <w:suppressLineNumbers w:val="0"/>
        <w:kinsoku/>
        <w:wordWrap/>
        <w:overflowPunct/>
        <w:topLinePunct w:val="0"/>
        <w:autoSpaceDE/>
        <w:autoSpaceDN/>
        <w:bidi w:val="0"/>
        <w:adjustRightInd/>
        <w:snapToGrid/>
        <w:ind w:firstLine="560" w:firstLineChars="200"/>
        <w:jc w:val="both"/>
        <w:textAlignment w:val="auto"/>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细化预算内容，合理测算资金需求，明确项目单价标准，提高预算的可执行性；明确成本控制标准和措施，按照成本绩效管理要求，有效控制运营成本</w:t>
      </w:r>
      <w:r>
        <w:rPr>
          <w:rFonts w:hint="eastAsia" w:ascii="宋体" w:hAnsi="宋体" w:cs="宋体"/>
          <w:color w:val="000000"/>
          <w:kern w:val="0"/>
          <w:sz w:val="28"/>
          <w:szCs w:val="28"/>
          <w:lang w:val="en-US" w:eastAsia="zh-CN" w:bidi="ar"/>
        </w:rPr>
        <w:t>。</w:t>
      </w:r>
    </w:p>
    <w:p w14:paraId="499DCAB5">
      <w:pPr>
        <w:ind w:firstLine="560" w:firstLineChars="200"/>
        <w:rPr>
          <w:rFonts w:hint="eastAsia" w:ascii="宋体" w:hAnsi="宋体" w:eastAsia="宋体" w:cs="宋体"/>
          <w:sz w:val="28"/>
          <w:szCs w:val="28"/>
          <w:lang w:val="zh-CN"/>
        </w:rPr>
      </w:pPr>
    </w:p>
    <w:p w14:paraId="26CEB8FB">
      <w:pPr>
        <w:ind w:firstLine="560" w:firstLineChars="200"/>
        <w:rPr>
          <w:rFonts w:hint="eastAsia" w:ascii="宋体" w:hAnsi="宋体" w:eastAsia="宋体" w:cs="宋体"/>
          <w:color w:val="FF0000"/>
          <w:sz w:val="28"/>
          <w:szCs w:val="28"/>
          <w:lang w:val="zh-CN"/>
        </w:rPr>
      </w:pPr>
    </w:p>
    <w:p w14:paraId="2C663F16">
      <w:pPr>
        <w:ind w:firstLine="560" w:firstLineChars="200"/>
        <w:rPr>
          <w:rFonts w:hint="eastAsia" w:ascii="宋体" w:hAnsi="宋体" w:eastAsia="宋体" w:cs="宋体"/>
          <w:color w:val="FF0000"/>
          <w:sz w:val="28"/>
          <w:szCs w:val="28"/>
          <w:lang w:val="zh-CN"/>
        </w:rPr>
      </w:pPr>
    </w:p>
    <w:p w14:paraId="6B6886F7">
      <w:pPr>
        <w:pStyle w:val="2"/>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第五部分 附表</w:t>
      </w:r>
    </w:p>
    <w:p w14:paraId="6D9150C6">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一、收入支出决算总表</w:t>
      </w:r>
    </w:p>
    <w:p w14:paraId="244A4B15">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二、收入决算表</w:t>
      </w:r>
    </w:p>
    <w:p w14:paraId="3D069019">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三、支出决算表</w:t>
      </w:r>
    </w:p>
    <w:p w14:paraId="4EBFBC7D">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四、财政拨款收入支出决算总表</w:t>
      </w:r>
    </w:p>
    <w:p w14:paraId="12C83A0B">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五、财政拨款支出决算明细表</w:t>
      </w:r>
    </w:p>
    <w:p w14:paraId="74896268">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六、一般公共预算财政拨款支出决算表</w:t>
      </w:r>
    </w:p>
    <w:p w14:paraId="696D3989">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七、一般公共预算财政拨款支出决算明细表</w:t>
      </w:r>
    </w:p>
    <w:p w14:paraId="166D7831">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八、一般公共预算财政拨款基本支出决算表</w:t>
      </w:r>
    </w:p>
    <w:p w14:paraId="6DCAE036">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九、一般公共预算财政拨款项目支出决算表</w:t>
      </w:r>
    </w:p>
    <w:p w14:paraId="4020D48E">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十、政府性基金预算财政拨款收入支出决算表</w:t>
      </w:r>
    </w:p>
    <w:p w14:paraId="6D952DF6">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十一、国有资本经营预算财政拨款收入支出决算表</w:t>
      </w:r>
    </w:p>
    <w:p w14:paraId="16AE08F3">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十二、国有资本经营预算财政拨款支出决算表</w:t>
      </w:r>
    </w:p>
    <w:p w14:paraId="6F8D8007">
      <w:pPr>
        <w:keepNext w:val="0"/>
        <w:keepLines w:val="0"/>
        <w:pageBreakBefore w:val="0"/>
        <w:widowControl w:val="0"/>
        <w:kinsoku/>
        <w:wordWrap/>
        <w:overflowPunct/>
        <w:topLinePunct w:val="0"/>
        <w:autoSpaceDE/>
        <w:autoSpaceDN/>
        <w:bidi w:val="0"/>
        <w:adjustRightInd/>
        <w:snapToGrid/>
        <w:spacing w:line="800" w:lineRule="exact"/>
        <w:textAlignment w:val="auto"/>
        <w:rPr>
          <w:rFonts w:hint="eastAsia" w:ascii="宋体" w:hAnsi="宋体" w:eastAsia="宋体" w:cs="宋体"/>
          <w:sz w:val="32"/>
          <w:szCs w:val="32"/>
        </w:rPr>
      </w:pPr>
      <w:r>
        <w:rPr>
          <w:rFonts w:hint="eastAsia" w:ascii="宋体" w:hAnsi="宋体" w:eastAsia="宋体" w:cs="宋体"/>
          <w:sz w:val="32"/>
          <w:szCs w:val="32"/>
        </w:rPr>
        <w:t>十三、财政拨款“三公”经费支出决算表</w:t>
      </w:r>
    </w:p>
    <w:sectPr>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AC294CC">
        <w:pPr>
          <w:pStyle w:val="10"/>
          <w:jc w:val="center"/>
        </w:pPr>
        <w:r>
          <w:fldChar w:fldCharType="begin"/>
        </w:r>
        <w:r>
          <w:instrText xml:space="preserve">PAGE   \* MERGEFORMAT</w:instrText>
        </w:r>
        <w:r>
          <w:fldChar w:fldCharType="separate"/>
        </w:r>
        <w:r>
          <w:rPr>
            <w:lang w:val="zh-CN"/>
          </w:rPr>
          <w:t>23</w:t>
        </w:r>
        <w:r>
          <w:fldChar w:fldCharType="end"/>
        </w:r>
      </w:p>
    </w:sdtContent>
  </w:sdt>
  <w:p w14:paraId="626859F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6F2CA">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D0D5F">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3358"/>
    </w:sdtPr>
    <w:sdtContent>
      <w:p w14:paraId="6ADC971E">
        <w:pPr>
          <w:pStyle w:val="10"/>
          <w:jc w:val="center"/>
        </w:pPr>
        <w:r>
          <w:fldChar w:fldCharType="begin"/>
        </w:r>
        <w:r>
          <w:instrText xml:space="preserve">PAGE   \* MERGEFORMAT</w:instrText>
        </w:r>
        <w:r>
          <w:fldChar w:fldCharType="separate"/>
        </w:r>
        <w:r>
          <w:rPr>
            <w:lang w:val="zh-CN"/>
          </w:rPr>
          <w:t>23</w:t>
        </w:r>
        <w:r>
          <w:fldChar w:fldCharType="end"/>
        </w:r>
      </w:p>
    </w:sdtContent>
  </w:sdt>
  <w:p w14:paraId="5FD0F42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DEB9A">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jNDVkN2U0MGI3MGYwNzE0ODlhOGY2N2QwOGM5NTMifQ=="/>
  </w:docVars>
  <w:rsids>
    <w:rsidRoot w:val="00F1361C"/>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975B8"/>
    <w:rsid w:val="02FEBE30"/>
    <w:rsid w:val="03581BE4"/>
    <w:rsid w:val="036F8141"/>
    <w:rsid w:val="056501A5"/>
    <w:rsid w:val="066E0107"/>
    <w:rsid w:val="07996F6E"/>
    <w:rsid w:val="07DFD8BA"/>
    <w:rsid w:val="08390BC7"/>
    <w:rsid w:val="0A2032A3"/>
    <w:rsid w:val="0B043FF8"/>
    <w:rsid w:val="0B301FD9"/>
    <w:rsid w:val="0D35B1ED"/>
    <w:rsid w:val="0DA539EB"/>
    <w:rsid w:val="0E627547"/>
    <w:rsid w:val="0E7ED1F5"/>
    <w:rsid w:val="0F98263C"/>
    <w:rsid w:val="101860EC"/>
    <w:rsid w:val="10C055FF"/>
    <w:rsid w:val="118107EC"/>
    <w:rsid w:val="13D50BC4"/>
    <w:rsid w:val="13F5616D"/>
    <w:rsid w:val="14CE0495"/>
    <w:rsid w:val="16BB723D"/>
    <w:rsid w:val="16ED6288"/>
    <w:rsid w:val="178C0C42"/>
    <w:rsid w:val="17F9714D"/>
    <w:rsid w:val="1918F934"/>
    <w:rsid w:val="1BE8440E"/>
    <w:rsid w:val="1D155CEE"/>
    <w:rsid w:val="1DFBC4B3"/>
    <w:rsid w:val="1E740ACF"/>
    <w:rsid w:val="1F19C781"/>
    <w:rsid w:val="1F33FCE5"/>
    <w:rsid w:val="1F7F7398"/>
    <w:rsid w:val="1FD2DB6F"/>
    <w:rsid w:val="1FF35744"/>
    <w:rsid w:val="1FF6BC77"/>
    <w:rsid w:val="1FF9236D"/>
    <w:rsid w:val="206A030D"/>
    <w:rsid w:val="22174261"/>
    <w:rsid w:val="22E569AE"/>
    <w:rsid w:val="2333840E"/>
    <w:rsid w:val="23860B96"/>
    <w:rsid w:val="240371BF"/>
    <w:rsid w:val="257C638F"/>
    <w:rsid w:val="25824836"/>
    <w:rsid w:val="258F72DF"/>
    <w:rsid w:val="262477ED"/>
    <w:rsid w:val="26435EC5"/>
    <w:rsid w:val="273B79C5"/>
    <w:rsid w:val="29FD04D3"/>
    <w:rsid w:val="2AC80F74"/>
    <w:rsid w:val="2BFF7BC6"/>
    <w:rsid w:val="2C6444DC"/>
    <w:rsid w:val="2C8A61B5"/>
    <w:rsid w:val="2CD59C95"/>
    <w:rsid w:val="2DCE076A"/>
    <w:rsid w:val="2DF04E50"/>
    <w:rsid w:val="2E192DA2"/>
    <w:rsid w:val="2EFD05E5"/>
    <w:rsid w:val="2F040D46"/>
    <w:rsid w:val="2F4F95CE"/>
    <w:rsid w:val="2FACAFDD"/>
    <w:rsid w:val="2FAE5751"/>
    <w:rsid w:val="2FB1A395"/>
    <w:rsid w:val="2FCF0B76"/>
    <w:rsid w:val="2FD9A7D8"/>
    <w:rsid w:val="319F7F4E"/>
    <w:rsid w:val="32A87F1E"/>
    <w:rsid w:val="3304709D"/>
    <w:rsid w:val="35F3772C"/>
    <w:rsid w:val="36AA5135"/>
    <w:rsid w:val="36BE0DA7"/>
    <w:rsid w:val="376B6AA6"/>
    <w:rsid w:val="376D39B2"/>
    <w:rsid w:val="37E16F03"/>
    <w:rsid w:val="37F53A3B"/>
    <w:rsid w:val="387A7D9B"/>
    <w:rsid w:val="38D469F0"/>
    <w:rsid w:val="38F78389"/>
    <w:rsid w:val="397BAF1F"/>
    <w:rsid w:val="39E7B272"/>
    <w:rsid w:val="39F7642F"/>
    <w:rsid w:val="39FF7B37"/>
    <w:rsid w:val="3AB79AF3"/>
    <w:rsid w:val="3AFDCB77"/>
    <w:rsid w:val="3B7EF35A"/>
    <w:rsid w:val="3B9FDB6C"/>
    <w:rsid w:val="3BF5BC2F"/>
    <w:rsid w:val="3BF7C23A"/>
    <w:rsid w:val="3BFF223E"/>
    <w:rsid w:val="3C034722"/>
    <w:rsid w:val="3C6EC0A1"/>
    <w:rsid w:val="3CAB27A0"/>
    <w:rsid w:val="3CDB0824"/>
    <w:rsid w:val="3CEBA265"/>
    <w:rsid w:val="3D6A7F9F"/>
    <w:rsid w:val="3D7E7F4D"/>
    <w:rsid w:val="3D98207C"/>
    <w:rsid w:val="3D9CF30A"/>
    <w:rsid w:val="3DFF5A3E"/>
    <w:rsid w:val="3E78745D"/>
    <w:rsid w:val="3EEE77E9"/>
    <w:rsid w:val="3F394AF5"/>
    <w:rsid w:val="3FBE5714"/>
    <w:rsid w:val="3FDD8615"/>
    <w:rsid w:val="3FDFB2FF"/>
    <w:rsid w:val="3FE060DB"/>
    <w:rsid w:val="3FF4CAE0"/>
    <w:rsid w:val="3FF75FAF"/>
    <w:rsid w:val="3FF7B227"/>
    <w:rsid w:val="4245617F"/>
    <w:rsid w:val="42783265"/>
    <w:rsid w:val="431B23F4"/>
    <w:rsid w:val="44E268DA"/>
    <w:rsid w:val="457F4F6B"/>
    <w:rsid w:val="4737FB58"/>
    <w:rsid w:val="47ECCB02"/>
    <w:rsid w:val="47FA6A3F"/>
    <w:rsid w:val="48F62014"/>
    <w:rsid w:val="49D7AE48"/>
    <w:rsid w:val="4A3F6C7E"/>
    <w:rsid w:val="4A5E579F"/>
    <w:rsid w:val="4A627F82"/>
    <w:rsid w:val="4B0E749A"/>
    <w:rsid w:val="4B4F25DA"/>
    <w:rsid w:val="4BBB4781"/>
    <w:rsid w:val="4BD709A5"/>
    <w:rsid w:val="4BDD9BFF"/>
    <w:rsid w:val="4BE068DB"/>
    <w:rsid w:val="4C52210E"/>
    <w:rsid w:val="4D577224"/>
    <w:rsid w:val="4DBF1CEB"/>
    <w:rsid w:val="4DBF6A6B"/>
    <w:rsid w:val="4DF6A672"/>
    <w:rsid w:val="4EAB630A"/>
    <w:rsid w:val="4EBA5B39"/>
    <w:rsid w:val="4ECE2238"/>
    <w:rsid w:val="4F7EA413"/>
    <w:rsid w:val="4FAB812F"/>
    <w:rsid w:val="4FE9BD67"/>
    <w:rsid w:val="4FEE4C07"/>
    <w:rsid w:val="4FFB052F"/>
    <w:rsid w:val="50E95A0B"/>
    <w:rsid w:val="512332C1"/>
    <w:rsid w:val="52B53AC5"/>
    <w:rsid w:val="537E6D0A"/>
    <w:rsid w:val="53AB6B88"/>
    <w:rsid w:val="53F74C96"/>
    <w:rsid w:val="53FD665B"/>
    <w:rsid w:val="5583522D"/>
    <w:rsid w:val="57BD3DD4"/>
    <w:rsid w:val="57F9CD1E"/>
    <w:rsid w:val="597436C4"/>
    <w:rsid w:val="5A88774A"/>
    <w:rsid w:val="5AF92295"/>
    <w:rsid w:val="5AF9D8E9"/>
    <w:rsid w:val="5B3C2B9E"/>
    <w:rsid w:val="5BDD38BD"/>
    <w:rsid w:val="5BDD79E6"/>
    <w:rsid w:val="5BEFC772"/>
    <w:rsid w:val="5BFF5DFC"/>
    <w:rsid w:val="5CD71FC4"/>
    <w:rsid w:val="5D1F11B5"/>
    <w:rsid w:val="5D3647F9"/>
    <w:rsid w:val="5D994BE6"/>
    <w:rsid w:val="5DA644D4"/>
    <w:rsid w:val="5DAE1B18"/>
    <w:rsid w:val="5DE7D9E5"/>
    <w:rsid w:val="5ECEC941"/>
    <w:rsid w:val="5EFF8FC6"/>
    <w:rsid w:val="5F5BA39A"/>
    <w:rsid w:val="5F7D3B79"/>
    <w:rsid w:val="5F7F4610"/>
    <w:rsid w:val="5FBF9FF3"/>
    <w:rsid w:val="5FCD4E2C"/>
    <w:rsid w:val="5FEF394A"/>
    <w:rsid w:val="5FF67715"/>
    <w:rsid w:val="60F3256A"/>
    <w:rsid w:val="61CA71D5"/>
    <w:rsid w:val="61F335F4"/>
    <w:rsid w:val="627EE9EA"/>
    <w:rsid w:val="63B23AA5"/>
    <w:rsid w:val="647F5392"/>
    <w:rsid w:val="64E322C4"/>
    <w:rsid w:val="65FB93B9"/>
    <w:rsid w:val="6633C463"/>
    <w:rsid w:val="67D55B77"/>
    <w:rsid w:val="67EE7F84"/>
    <w:rsid w:val="686F5F53"/>
    <w:rsid w:val="6A483872"/>
    <w:rsid w:val="6AFFCEAF"/>
    <w:rsid w:val="6B96E9E6"/>
    <w:rsid w:val="6BCE57B5"/>
    <w:rsid w:val="6BFEA4DB"/>
    <w:rsid w:val="6BFFB662"/>
    <w:rsid w:val="6C4A05C8"/>
    <w:rsid w:val="6CC30781"/>
    <w:rsid w:val="6CFF4FB8"/>
    <w:rsid w:val="6D134A72"/>
    <w:rsid w:val="6D6BD6E0"/>
    <w:rsid w:val="6D77E73C"/>
    <w:rsid w:val="6DBF5E93"/>
    <w:rsid w:val="6DFF077E"/>
    <w:rsid w:val="6E7E3605"/>
    <w:rsid w:val="6E7FDCC7"/>
    <w:rsid w:val="6ED6A62E"/>
    <w:rsid w:val="6EE00B15"/>
    <w:rsid w:val="6EE737B2"/>
    <w:rsid w:val="6EEB2329"/>
    <w:rsid w:val="6EECE67A"/>
    <w:rsid w:val="6F231417"/>
    <w:rsid w:val="6F5B3075"/>
    <w:rsid w:val="6F6D2C38"/>
    <w:rsid w:val="6F6F90A8"/>
    <w:rsid w:val="6F6FB3EB"/>
    <w:rsid w:val="6F8731EA"/>
    <w:rsid w:val="6FBC2ADD"/>
    <w:rsid w:val="6FD57C00"/>
    <w:rsid w:val="6FEFFFD8"/>
    <w:rsid w:val="6FF5CC65"/>
    <w:rsid w:val="6FFB47EC"/>
    <w:rsid w:val="6FFF034A"/>
    <w:rsid w:val="712A28F1"/>
    <w:rsid w:val="715C0E4B"/>
    <w:rsid w:val="71FFD401"/>
    <w:rsid w:val="72233669"/>
    <w:rsid w:val="72734D90"/>
    <w:rsid w:val="7332FE48"/>
    <w:rsid w:val="73AD73D5"/>
    <w:rsid w:val="73B6EB34"/>
    <w:rsid w:val="73FA497D"/>
    <w:rsid w:val="744731E5"/>
    <w:rsid w:val="74BBD01D"/>
    <w:rsid w:val="74ED5379"/>
    <w:rsid w:val="75D10A03"/>
    <w:rsid w:val="75DEEEC2"/>
    <w:rsid w:val="767F479D"/>
    <w:rsid w:val="76E3355F"/>
    <w:rsid w:val="76E569CF"/>
    <w:rsid w:val="76F742AF"/>
    <w:rsid w:val="76F7BE7D"/>
    <w:rsid w:val="76FF5125"/>
    <w:rsid w:val="773570D3"/>
    <w:rsid w:val="77597F31"/>
    <w:rsid w:val="776F6FFA"/>
    <w:rsid w:val="7777A522"/>
    <w:rsid w:val="77858688"/>
    <w:rsid w:val="778769C8"/>
    <w:rsid w:val="77CB741A"/>
    <w:rsid w:val="77D7BE3A"/>
    <w:rsid w:val="77DC22F5"/>
    <w:rsid w:val="781F149D"/>
    <w:rsid w:val="797E3A6C"/>
    <w:rsid w:val="79CF70E2"/>
    <w:rsid w:val="79D7FD79"/>
    <w:rsid w:val="79E75806"/>
    <w:rsid w:val="79EE5BA4"/>
    <w:rsid w:val="7A641148"/>
    <w:rsid w:val="7A6F8BF5"/>
    <w:rsid w:val="7A894339"/>
    <w:rsid w:val="7AA628E1"/>
    <w:rsid w:val="7ACF82B5"/>
    <w:rsid w:val="7AFF28C9"/>
    <w:rsid w:val="7AFF72A0"/>
    <w:rsid w:val="7AFF7572"/>
    <w:rsid w:val="7B6C7DFB"/>
    <w:rsid w:val="7B7D76A7"/>
    <w:rsid w:val="7BAE2FE2"/>
    <w:rsid w:val="7BAF6951"/>
    <w:rsid w:val="7BBFBED0"/>
    <w:rsid w:val="7BC3E394"/>
    <w:rsid w:val="7BF3FE4C"/>
    <w:rsid w:val="7BFB5035"/>
    <w:rsid w:val="7BFDE17E"/>
    <w:rsid w:val="7CBFC87B"/>
    <w:rsid w:val="7CFE0F48"/>
    <w:rsid w:val="7D3DE31C"/>
    <w:rsid w:val="7D7EC23E"/>
    <w:rsid w:val="7D7F8A13"/>
    <w:rsid w:val="7DBBCB01"/>
    <w:rsid w:val="7DC765D0"/>
    <w:rsid w:val="7DDB0EE0"/>
    <w:rsid w:val="7DFF51D8"/>
    <w:rsid w:val="7E634199"/>
    <w:rsid w:val="7E8ADEBF"/>
    <w:rsid w:val="7EEF11D3"/>
    <w:rsid w:val="7EF78C20"/>
    <w:rsid w:val="7F3F679B"/>
    <w:rsid w:val="7F4FC4EF"/>
    <w:rsid w:val="7F5E4D54"/>
    <w:rsid w:val="7F6B75FA"/>
    <w:rsid w:val="7F9F518D"/>
    <w:rsid w:val="7FA30C79"/>
    <w:rsid w:val="7FAF8ABF"/>
    <w:rsid w:val="7FB7269E"/>
    <w:rsid w:val="7FBD6753"/>
    <w:rsid w:val="7FBFABB4"/>
    <w:rsid w:val="7FC65084"/>
    <w:rsid w:val="7FC96657"/>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FBD24E"/>
    <w:rsid w:val="BD079C78"/>
    <w:rsid w:val="BD2DD278"/>
    <w:rsid w:val="BD733540"/>
    <w:rsid w:val="BDF7970E"/>
    <w:rsid w:val="BDFE68BD"/>
    <w:rsid w:val="BE6FC990"/>
    <w:rsid w:val="BEBE9537"/>
    <w:rsid w:val="BEFF0D62"/>
    <w:rsid w:val="BEFF90EF"/>
    <w:rsid w:val="BF3735D5"/>
    <w:rsid w:val="BF7F09AC"/>
    <w:rsid w:val="BFB3380D"/>
    <w:rsid w:val="BFB7E7A2"/>
    <w:rsid w:val="BFC2F103"/>
    <w:rsid w:val="BFD475C3"/>
    <w:rsid w:val="BFDE5EA6"/>
    <w:rsid w:val="BFEF99E9"/>
    <w:rsid w:val="BFF9E564"/>
    <w:rsid w:val="BFFF3A69"/>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rPr>
      <w:sz w:val="24"/>
    </w:rPr>
  </w:style>
  <w:style w:type="paragraph" w:styleId="15">
    <w:name w:val="Body Text First Indent 2"/>
    <w:basedOn w:val="7"/>
    <w:unhideWhenUsed/>
    <w:qFormat/>
    <w:uiPriority w:val="99"/>
    <w:pPr>
      <w:ind w:firstLine="420" w:firstLineChars="200"/>
    </w:pPr>
  </w:style>
  <w:style w:type="table" w:styleId="17">
    <w:name w:val="Table Grid"/>
    <w:basedOn w:val="1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字符"/>
    <w:link w:val="11"/>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字符"/>
    <w:link w:val="10"/>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字符"/>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8"/>
    <w:link w:val="2"/>
    <w:qFormat/>
    <w:uiPriority w:val="9"/>
    <w:rPr>
      <w:rFonts w:ascii="Times New Roman" w:hAnsi="Times New Roman"/>
      <w:b/>
      <w:bCs/>
      <w:kern w:val="44"/>
      <w:sz w:val="44"/>
      <w:szCs w:val="44"/>
    </w:rPr>
  </w:style>
  <w:style w:type="character" w:customStyle="1" w:styleId="31">
    <w:name w:val="标题 2 字符"/>
    <w:basedOn w:val="18"/>
    <w:link w:val="3"/>
    <w:qFormat/>
    <w:uiPriority w:val="9"/>
    <w:rPr>
      <w:rFonts w:asciiTheme="majorHAnsi" w:hAnsiTheme="majorHAnsi" w:eastAsiaTheme="majorEastAsia" w:cstheme="majorBidi"/>
      <w:b/>
      <w:bCs/>
      <w:kern w:val="2"/>
      <w:sz w:val="32"/>
      <w:szCs w:val="32"/>
    </w:rPr>
  </w:style>
  <w:style w:type="paragraph" w:customStyle="1" w:styleId="32">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8"/>
    <w:link w:val="9"/>
    <w:semiHidden/>
    <w:qFormat/>
    <w:uiPriority w:val="99"/>
    <w:rPr>
      <w:rFonts w:ascii="Times New Roman" w:hAnsi="Times New Roman"/>
      <w:kern w:val="2"/>
      <w:sz w:val="18"/>
      <w:szCs w:val="18"/>
    </w:rPr>
  </w:style>
  <w:style w:type="character" w:customStyle="1" w:styleId="34">
    <w:name w:val="标题 3 字符"/>
    <w:basedOn w:val="18"/>
    <w:link w:val="4"/>
    <w:qFormat/>
    <w:uiPriority w:val="9"/>
    <w:rPr>
      <w:rFonts w:ascii="Times New Roman" w:hAnsi="Times New Roman"/>
      <w:b/>
      <w:bCs/>
      <w:kern w:val="2"/>
      <w:sz w:val="32"/>
      <w:szCs w:val="32"/>
    </w:rPr>
  </w:style>
  <w:style w:type="paragraph" w:customStyle="1" w:styleId="35">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 w:type="paragraph" w:customStyle="1" w:styleId="37">
    <w:name w:val="列出段落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2.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3.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4.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ysClr val="windowText" lastClr="000000">
                    <a:lumMod val="75000"/>
                    <a:lumOff val="25000"/>
                  </a:sys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spPr>
            <a:solidFill>
              <a:srgbClr val="4874CB"/>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[工作簿1]Sheet2!$A$1:$D$1</c:f>
              <c:strCache>
                <c:ptCount val="4"/>
                <c:pt idx="0">
                  <c:v>2022年度收入总计</c:v>
                </c:pt>
                <c:pt idx="1">
                  <c:v>2023年度收入总计</c:v>
                </c:pt>
                <c:pt idx="2">
                  <c:v>2022年度支出总计</c:v>
                </c:pt>
                <c:pt idx="3">
                  <c:v>2023年度支出总计</c:v>
                </c:pt>
              </c:strCache>
            </c:strRef>
          </c:cat>
          <c:val>
            <c:numRef>
              <c:f>[工作簿1]Sheet2!$A$2:$D$2</c:f>
              <c:numCache>
                <c:formatCode>General</c:formatCode>
                <c:ptCount val="4"/>
                <c:pt idx="0">
                  <c:v>129291.78</c:v>
                </c:pt>
                <c:pt idx="1">
                  <c:v>289105.34</c:v>
                </c:pt>
                <c:pt idx="2">
                  <c:v>129291.78</c:v>
                </c:pt>
                <c:pt idx="3">
                  <c:v>289105.34</c:v>
                </c:pt>
              </c:numCache>
            </c:numRef>
          </c:val>
        </c:ser>
        <c:dLbls>
          <c:showLegendKey val="0"/>
          <c:showVal val="1"/>
          <c:showCatName val="0"/>
          <c:showSerName val="0"/>
          <c:showPercent val="0"/>
          <c:showBubbleSize val="0"/>
        </c:dLbls>
        <c:gapWidth val="246"/>
        <c:overlap val="-28"/>
        <c:axId val="341596999"/>
        <c:axId val="774372593"/>
      </c:barChart>
      <c:catAx>
        <c:axId val="341596999"/>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774372593"/>
        <c:crosses val="autoZero"/>
        <c:auto val="1"/>
        <c:lblAlgn val="ctr"/>
        <c:lblOffset val="100"/>
        <c:noMultiLvlLbl val="0"/>
      </c:catAx>
      <c:valAx>
        <c:axId val="774372593"/>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34159699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manualLayout>
                  <c:x val="0.029934550845487"/>
                  <c:y val="0.056120676347646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461877159123244"/>
                  <c:y val="-0.06667109733840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00671519996551336"/>
                  <c:y val="0.0885264317044139"/>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[工作簿1]Sheet3!$A$1:$C$1</c:f>
              <c:strCache>
                <c:ptCount val="3"/>
                <c:pt idx="0">
                  <c:v>一般公共预算财政拨款收入</c:v>
                </c:pt>
                <c:pt idx="1">
                  <c:v>政府性基金预算财政拨款收入</c:v>
                </c:pt>
                <c:pt idx="2">
                  <c:v>其他收入</c:v>
                </c:pt>
              </c:strCache>
            </c:strRef>
          </c:cat>
          <c:val>
            <c:numRef>
              <c:f>[工作簿1]Sheet3!$A$2:$C$2</c:f>
              <c:numCache>
                <c:formatCode>0.00%</c:formatCode>
                <c:ptCount val="3"/>
                <c:pt idx="0">
                  <c:v>0.2039</c:v>
                </c:pt>
                <c:pt idx="1">
                  <c:v>0.4361</c:v>
                </c:pt>
                <c:pt idx="2">
                  <c:v>0.3599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1"/>
              <c:layout>
                <c:manualLayout>
                  <c:x val="-0.149367636611094"/>
                  <c:y val="-0.11111449026088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[工作簿1]Sheet3!$A$1:$B$1</c:f>
              <c:strCache>
                <c:ptCount val="2"/>
                <c:pt idx="0">
                  <c:v>基本支出</c:v>
                </c:pt>
                <c:pt idx="1">
                  <c:v>项目支出</c:v>
                </c:pt>
              </c:strCache>
            </c:strRef>
          </c:cat>
          <c:val>
            <c:numRef>
              <c:f>[工作簿1]Sheet3!$A$2:$B$2</c:f>
              <c:numCache>
                <c:formatCode>0.00%</c:formatCode>
                <c:ptCount val="2"/>
                <c:pt idx="0">
                  <c:v>0.0013</c:v>
                </c:pt>
                <c:pt idx="1">
                  <c:v>0.9986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ysClr val="windowText" lastClr="000000">
                    <a:lumMod val="75000"/>
                    <a:lumOff val="25000"/>
                  </a:sys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rgbClr val="4874CB"/>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[工作簿1]Sheet4!$A$1:$D$1</c:f>
              <c:strCache>
                <c:ptCount val="4"/>
                <c:pt idx="0">
                  <c:v>2022年度财政拨款收入总计</c:v>
                </c:pt>
                <c:pt idx="1">
                  <c:v>2023年度财政拨款收入总计</c:v>
                </c:pt>
                <c:pt idx="2">
                  <c:v>2022年度财政拨款支出总计</c:v>
                </c:pt>
                <c:pt idx="3">
                  <c:v>2023年度财政拨款支出总计</c:v>
                </c:pt>
              </c:strCache>
            </c:strRef>
          </c:cat>
          <c:val>
            <c:numRef>
              <c:f>[工作簿1]Sheet4!$A$2:$D$2</c:f>
              <c:numCache>
                <c:formatCode>General</c:formatCode>
                <c:ptCount val="4"/>
                <c:pt idx="0">
                  <c:v>129291.79</c:v>
                </c:pt>
                <c:pt idx="1">
                  <c:v>185049.51</c:v>
                </c:pt>
                <c:pt idx="2">
                  <c:v>129291.79</c:v>
                </c:pt>
                <c:pt idx="3">
                  <c:v>185049.51</c:v>
                </c:pt>
              </c:numCache>
            </c:numRef>
          </c:val>
        </c:ser>
        <c:dLbls>
          <c:showLegendKey val="0"/>
          <c:showVal val="1"/>
          <c:showCatName val="0"/>
          <c:showSerName val="0"/>
          <c:showPercent val="0"/>
          <c:showBubbleSize val="0"/>
        </c:dLbls>
        <c:gapWidth val="246"/>
        <c:overlap val="-28"/>
        <c:axId val="240124153"/>
        <c:axId val="448375487"/>
      </c:barChart>
      <c:catAx>
        <c:axId val="240124153"/>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48375487"/>
        <c:crosses val="autoZero"/>
        <c:auto val="1"/>
        <c:lblAlgn val="ctr"/>
        <c:lblOffset val="100"/>
        <c:noMultiLvlLbl val="0"/>
      </c:catAx>
      <c:valAx>
        <c:axId val="448375487"/>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24012415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ysClr val="windowText" lastClr="000000">
                    <a:lumMod val="75000"/>
                    <a:lumOff val="25000"/>
                  </a:sysClr>
                </a:solidFill>
                <a:latin typeface="+mn-lt"/>
                <a:ea typeface="+mn-ea"/>
                <a:cs typeface="+mn-cs"/>
              </a:defRPr>
            </a:pPr>
            <a:r>
              <a:t>一般公共预算财政拨款支出决算变动情况</a:t>
            </a:r>
          </a:p>
        </c:rich>
      </c:tx>
      <c:layout/>
      <c:overlay val="0"/>
      <c:spPr>
        <a:noFill/>
        <a:ln>
          <a:noFill/>
        </a:ln>
        <a:effectLst/>
      </c:spPr>
    </c:title>
    <c:autoTitleDeleted val="0"/>
    <c:plotArea>
      <c:layout/>
      <c:barChart>
        <c:barDir val="col"/>
        <c:grouping val="clustered"/>
        <c:varyColors val="0"/>
        <c:ser>
          <c:idx val="0"/>
          <c:order val="0"/>
          <c:spPr>
            <a:solidFill>
              <a:srgbClr val="4874CB"/>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[工作簿1]Sheet5!$A$1:$B$1</c:f>
              <c:strCache>
                <c:ptCount val="2"/>
                <c:pt idx="0">
                  <c:v>2022年度一般公共预算财政拨款支出</c:v>
                </c:pt>
                <c:pt idx="1">
                  <c:v>2023年度一般公共预算财政拨款支出</c:v>
                </c:pt>
              </c:strCache>
            </c:strRef>
          </c:cat>
          <c:val>
            <c:numRef>
              <c:f>[工作簿1]Sheet5!$A$2:$B$2</c:f>
              <c:numCache>
                <c:formatCode>General</c:formatCode>
                <c:ptCount val="2"/>
                <c:pt idx="0">
                  <c:v>27435.21</c:v>
                </c:pt>
                <c:pt idx="1">
                  <c:v>58962.91</c:v>
                </c:pt>
              </c:numCache>
            </c:numRef>
          </c:val>
        </c:ser>
        <c:dLbls>
          <c:showLegendKey val="0"/>
          <c:showVal val="1"/>
          <c:showCatName val="0"/>
          <c:showSerName val="0"/>
          <c:showPercent val="0"/>
          <c:showBubbleSize val="0"/>
        </c:dLbls>
        <c:gapWidth val="246"/>
        <c:overlap val="-28"/>
        <c:axId val="858990953"/>
        <c:axId val="40971586"/>
      </c:barChart>
      <c:catAx>
        <c:axId val="858990953"/>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971586"/>
        <c:crosses val="autoZero"/>
        <c:auto val="1"/>
        <c:lblAlgn val="ctr"/>
        <c:lblOffset val="100"/>
        <c:noMultiLvlLbl val="0"/>
      </c:catAx>
      <c:valAx>
        <c:axId val="40971586"/>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85899095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dLbl>
              <c:idx val="0"/>
              <c:layout>
                <c:manualLayout>
                  <c:x val="0.0134886640761209"/>
                  <c:y val="0.016147250579057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605924078140524"/>
                  <c:y val="0.016039927933431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122331357675753"/>
                  <c:y val="0.084255677171667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134095611447153"/>
                  <c:y val="-0.080431890601279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359632624978037"/>
                  <c:y val="-0.11953425965497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976320208910586"/>
                  <c:y val="-0.0159838337416608"/>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916570839028186"/>
                  <c:y val="0.0054896139129836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[工作簿1]Sheet1!$A$1:$H$1</c:f>
              <c:strCache>
                <c:ptCount val="8"/>
                <c:pt idx="0">
                  <c:v>一般公共服务支出</c:v>
                </c:pt>
                <c:pt idx="1">
                  <c:v>科学技术支出</c:v>
                </c:pt>
                <c:pt idx="2">
                  <c:v>社会保障和就业支出</c:v>
                </c:pt>
                <c:pt idx="3">
                  <c:v>卫生健康支出</c:v>
                </c:pt>
                <c:pt idx="4">
                  <c:v>城乡社区支出</c:v>
                </c:pt>
                <c:pt idx="5">
                  <c:v>资源勘探工业信息等支出</c:v>
                </c:pt>
                <c:pt idx="6">
                  <c:v>住房保障支出</c:v>
                </c:pt>
                <c:pt idx="7">
                  <c:v>其他支出</c:v>
                </c:pt>
              </c:strCache>
            </c:strRef>
          </c:cat>
          <c:val>
            <c:numRef>
              <c:f>[工作簿1]Sheet1!$A$2:$H$2</c:f>
              <c:numCache>
                <c:formatCode>0.00%</c:formatCode>
                <c:ptCount val="8"/>
                <c:pt idx="0">
                  <c:v>0.0746</c:v>
                </c:pt>
                <c:pt idx="1">
                  <c:v>0.1576</c:v>
                </c:pt>
                <c:pt idx="2">
                  <c:v>0.0009</c:v>
                </c:pt>
                <c:pt idx="3">
                  <c:v>0.0001</c:v>
                </c:pt>
                <c:pt idx="4">
                  <c:v>0.0085</c:v>
                </c:pt>
                <c:pt idx="5">
                  <c:v>0.741</c:v>
                </c:pt>
                <c:pt idx="6">
                  <c:v>0.0004</c:v>
                </c:pt>
                <c:pt idx="7">
                  <c:v>0.0169</c:v>
                </c:pt>
              </c:numCache>
            </c:numRef>
          </c:val>
        </c:ser>
        <c:ser>
          <c:idx val="1"/>
          <c:order val="1"/>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Pt>
            <c:idx val="5"/>
            <c:bubble3D val="0"/>
            <c:spPr>
              <a:solidFill>
                <a:schemeClr val="accent6"/>
              </a:solidFill>
              <a:ln>
                <a:solidFill>
                  <a:schemeClr val="bg1"/>
                </a:solidFill>
              </a:ln>
              <a:effectLst/>
            </c:spPr>
          </c:dPt>
          <c:dPt>
            <c:idx val="6"/>
            <c:bubble3D val="0"/>
            <c:spPr>
              <a:solidFill>
                <a:schemeClr val="accent1">
                  <a:lumMod val="60000"/>
                </a:schemeClr>
              </a:solidFill>
              <a:ln>
                <a:solidFill>
                  <a:schemeClr val="bg1"/>
                </a:solidFill>
              </a:ln>
              <a:effectLst/>
            </c:spPr>
          </c:dPt>
          <c:dPt>
            <c:idx val="7"/>
            <c:bubble3D val="0"/>
            <c:spPr>
              <a:solidFill>
                <a:schemeClr val="accent2">
                  <a:lumMod val="60000"/>
                </a:schemeClr>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[工作簿1]Sheet1!$A$1:$H$1</c:f>
              <c:strCache>
                <c:ptCount val="8"/>
                <c:pt idx="0">
                  <c:v>一般公共服务支出</c:v>
                </c:pt>
                <c:pt idx="1">
                  <c:v>科学技术支出</c:v>
                </c:pt>
                <c:pt idx="2">
                  <c:v>社会保障和就业支出</c:v>
                </c:pt>
                <c:pt idx="3">
                  <c:v>卫生健康支出</c:v>
                </c:pt>
                <c:pt idx="4">
                  <c:v>城乡社区支出</c:v>
                </c:pt>
                <c:pt idx="5">
                  <c:v>资源勘探工业信息等支出</c:v>
                </c:pt>
                <c:pt idx="6">
                  <c:v>住房保障支出</c:v>
                </c:pt>
                <c:pt idx="7">
                  <c:v>其他支出</c:v>
                </c:pt>
              </c:strCache>
            </c:strRef>
          </c:cat>
          <c:val>
            <c:numRef>
              <c:f>[工作簿1]Sheet1!$A$3:$H$3</c:f>
              <c:numCache>
                <c:formatCode>General</c:formatCode>
                <c:ptCount val="8"/>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ysClr val="windowText" lastClr="000000">
                    <a:lumMod val="75000"/>
                    <a:lumOff val="25000"/>
                  </a:sysClr>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spPr/>
          <c:explosion val="0"/>
          <c:dPt>
            <c:idx val="0"/>
            <c:bubble3D val="0"/>
            <c:spPr>
              <a:solidFill>
                <a:srgbClr val="4874CB"/>
              </a:solidFill>
              <a:ln>
                <a:solidFill>
                  <a:sysClr val="window" lastClr="FFFFFF"/>
                </a:solidFill>
              </a:ln>
              <a:effectLst/>
            </c:spPr>
          </c:dPt>
          <c:dPt>
            <c:idx val="1"/>
            <c:bubble3D val="0"/>
            <c:spPr>
              <a:solidFill>
                <a:srgbClr val="EE822F"/>
              </a:solidFill>
              <a:ln>
                <a:solidFill>
                  <a:sysClr val="window" lastClr="FFFFFF"/>
                </a:solidFill>
              </a:ln>
              <a:effectLst/>
            </c:spPr>
          </c:dPt>
          <c:dPt>
            <c:idx val="2"/>
            <c:bubble3D val="0"/>
            <c:spPr>
              <a:solidFill>
                <a:srgbClr val="F2BA02"/>
              </a:solidFill>
              <a:ln>
                <a:solidFill>
                  <a:sysClr val="window" lastClr="FFFFFF"/>
                </a:solidFill>
              </a:ln>
              <a:effectLst/>
            </c:spPr>
          </c:dPt>
          <c:dLbls>
            <c:dLbl>
              <c:idx val="1"/>
              <c:layout>
                <c:manualLayout>
                  <c:x val="0.145612187967476"/>
                  <c:y val="-0.0752145587097181"/>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[工作簿1]Sheet6!$A$1:$C$1</c:f>
              <c:strCache>
                <c:ptCount val="3"/>
                <c:pt idx="0">
                  <c:v>因公出国（境）费支出决算</c:v>
                </c:pt>
                <c:pt idx="1">
                  <c:v>公务用车购置及运行维护费支出决算</c:v>
                </c:pt>
                <c:pt idx="2">
                  <c:v>公务接待费支出决算</c:v>
                </c:pt>
              </c:strCache>
            </c:strRef>
          </c:cat>
          <c:val>
            <c:numRef>
              <c:f>[工作簿1]Sheet6!$A$2:$C$2</c:f>
              <c:numCache>
                <c:formatCode>0%</c:formatCode>
                <c:ptCount val="3"/>
                <c:pt idx="0">
                  <c:v>0</c:v>
                </c:pt>
                <c:pt idx="1">
                  <c:v>1</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solidFill>
          <a:sysClr val="window" lastClr="FFFFFF"/>
        </a:solidFill>
      </a:ln>
      <a:effectLst/>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Company>四川省财政厅</Company>
  <Pages>52</Pages>
  <Words>22668</Words>
  <Characters>24596</Characters>
  <Lines>72</Lines>
  <Paragraphs>20</Paragraphs>
  <TotalTime>47</TotalTime>
  <ScaleCrop>false</ScaleCrop>
  <LinksUpToDate>false</LinksUpToDate>
  <CharactersWithSpaces>29452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2024-08-05T07:12:00Z</dcterms:created>
  <dc:creator>曹颖</dc:creator>
  <cp:lastModifiedBy>蘑菇菇</cp:lastModifiedBy>
  <cp:lastPrinted>2023-08-03T10:35:00Z</cp:lastPrinted>
  <dcterms:modified xsi:type="dcterms:W3CDTF">2024-10-28T07:11:39Z</dcterms:modified>
  <dc:title>四川省***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5DED8FA587154ED6B59E7342304E49BA_12</vt:lpwstr>
  </property>
</Properties>
</file>