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9"/>
        <w:rPr>
          <w:rFonts w:ascii="方正小标宋简体" w:hAnsi="宋体" w:eastAsia="方正小标宋简体"/>
          <w:szCs w:val="21"/>
        </w:rPr>
      </w:pPr>
      <w:bookmarkStart w:id="0" w:name="_Toc15306267"/>
    </w:p>
    <w:p>
      <w:pPr>
        <w:pStyle w:val="4"/>
        <w:spacing w:before="93"/>
      </w:pPr>
    </w:p>
    <w:p>
      <w:pPr>
        <w:spacing w:line="600" w:lineRule="exact"/>
        <w:jc w:val="center"/>
        <w:outlineLvl w:val="9"/>
        <w:rPr>
          <w:rFonts w:ascii="方正小标宋简体" w:hAnsi="宋体" w:eastAsia="方正小标宋简体"/>
          <w:sz w:val="72"/>
          <w:szCs w:val="72"/>
        </w:rPr>
      </w:pPr>
    </w:p>
    <w:p>
      <w:pPr>
        <w:adjustRightInd w:val="0"/>
        <w:snapToGrid w:val="0"/>
        <w:spacing w:line="360" w:lineRule="auto"/>
        <w:jc w:val="center"/>
        <w:outlineLvl w:val="0"/>
        <w:rPr>
          <w:rFonts w:hint="eastAsia" w:ascii="方正小标宋简体" w:hAnsi="方正小标宋简体" w:eastAsia="方正小标宋简体" w:cs="方正小标宋简体"/>
          <w:sz w:val="72"/>
          <w:szCs w:val="72"/>
          <w:lang w:eastAsia="zh-CN"/>
        </w:rPr>
      </w:pPr>
      <w:bookmarkStart w:id="1" w:name="_Toc15396475"/>
      <w:bookmarkStart w:id="2" w:name="_Toc15378441"/>
      <w:bookmarkStart w:id="3" w:name="_Toc15396597"/>
      <w:bookmarkStart w:id="4" w:name="_Toc15377425"/>
      <w:bookmarkStart w:id="5" w:name="_Toc15377193"/>
      <w:bookmarkStart w:id="6" w:name="_Toc17611"/>
      <w:r>
        <w:rPr>
          <w:rFonts w:hint="eastAsia" w:ascii="方正小标宋简体" w:hAnsi="方正小标宋简体" w:eastAsia="方正小标宋简体" w:cs="方正小标宋简体"/>
          <w:sz w:val="72"/>
          <w:szCs w:val="72"/>
        </w:rPr>
        <w:t>2023年度</w:t>
      </w:r>
      <w:bookmarkEnd w:id="1"/>
      <w:bookmarkEnd w:id="2"/>
      <w:bookmarkEnd w:id="3"/>
      <w:bookmarkEnd w:id="4"/>
      <w:bookmarkEnd w:id="5"/>
      <w:bookmarkEnd w:id="6"/>
      <w:bookmarkStart w:id="7" w:name="_Toc8902"/>
      <w:bookmarkStart w:id="8" w:name="_Toc15377194"/>
      <w:bookmarkStart w:id="9" w:name="_Toc15396476"/>
      <w:bookmarkStart w:id="10" w:name="_Toc15396598"/>
      <w:bookmarkStart w:id="11" w:name="_Toc15378442"/>
      <w:bookmarkStart w:id="12" w:name="_Toc15377426"/>
      <w:r>
        <w:rPr>
          <w:rFonts w:hint="eastAsia" w:ascii="方正小标宋简体" w:hAnsi="方正小标宋简体" w:eastAsia="方正小标宋简体" w:cs="方正小标宋简体"/>
          <w:sz w:val="72"/>
          <w:szCs w:val="72"/>
        </w:rPr>
        <w:t>四川省</w:t>
      </w:r>
      <w:bookmarkEnd w:id="0"/>
      <w:bookmarkStart w:id="13" w:name="_Toc15306268"/>
      <w:r>
        <w:rPr>
          <w:rFonts w:hint="eastAsia" w:ascii="方正小标宋简体" w:hAnsi="方正小标宋简体" w:eastAsia="方正小标宋简体" w:cs="方正小标宋简体"/>
          <w:sz w:val="72"/>
          <w:szCs w:val="72"/>
          <w:lang w:eastAsia="zh-CN"/>
        </w:rPr>
        <w:t>乐山市</w:t>
      </w:r>
      <w:bookmarkEnd w:id="7"/>
    </w:p>
    <w:p>
      <w:pPr>
        <w:adjustRightInd w:val="0"/>
        <w:snapToGrid w:val="0"/>
        <w:spacing w:line="360" w:lineRule="auto"/>
        <w:jc w:val="center"/>
        <w:outlineLvl w:val="0"/>
        <w:rPr>
          <w:rFonts w:hint="eastAsia" w:ascii="方正小标宋简体" w:hAnsi="方正小标宋简体" w:eastAsia="方正小标宋简体" w:cs="方正小标宋简体"/>
          <w:sz w:val="72"/>
          <w:szCs w:val="72"/>
        </w:rPr>
      </w:pPr>
      <w:bookmarkStart w:id="14" w:name="_Toc25471"/>
      <w:r>
        <w:rPr>
          <w:rFonts w:hint="eastAsia" w:ascii="方正小标宋简体" w:hAnsi="方正小标宋简体" w:eastAsia="方正小标宋简体" w:cs="方正小标宋简体"/>
          <w:sz w:val="72"/>
          <w:szCs w:val="72"/>
        </w:rPr>
        <w:t>五通桥区档案馆</w:t>
      </w:r>
      <w:bookmarkEnd w:id="14"/>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5" w:name="_Toc31371"/>
      <w:r>
        <w:rPr>
          <w:rFonts w:hint="eastAsia" w:ascii="方正小标宋简体" w:hAnsi="方正小标宋简体" w:eastAsia="方正小标宋简体" w:cs="方正小标宋简体"/>
          <w:sz w:val="72"/>
          <w:szCs w:val="72"/>
        </w:rPr>
        <w:t>单位决算</w:t>
      </w:r>
      <w:bookmarkEnd w:id="8"/>
      <w:bookmarkEnd w:id="9"/>
      <w:bookmarkEnd w:id="10"/>
      <w:bookmarkEnd w:id="11"/>
      <w:bookmarkEnd w:id="12"/>
      <w:bookmarkEnd w:id="13"/>
      <w:bookmarkEnd w:id="15"/>
    </w:p>
    <w:p>
      <w:pPr>
        <w:widowControl/>
        <w:jc w:val="center"/>
        <w:rPr>
          <w:rFonts w:ascii="黑体" w:hAnsi="黑体" w:eastAsia="黑体" w:cstheme="minorBidi"/>
          <w:sz w:val="28"/>
          <w:szCs w:val="28"/>
        </w:rPr>
      </w:pPr>
      <w:r>
        <w:rPr>
          <w:rFonts w:ascii="方正小标宋简体" w:hAnsi="宋体" w:eastAsia="方正小标宋简体"/>
          <w:sz w:val="36"/>
          <w:szCs w:val="36"/>
        </w:rPr>
        <w:br w:type="page"/>
      </w:r>
      <w:r>
        <w:rPr>
          <w:rFonts w:hint="eastAsia" w:ascii="黑体" w:hAnsi="黑体" w:eastAsia="黑体"/>
          <w:sz w:val="48"/>
          <w:szCs w:val="48"/>
        </w:rPr>
        <w:t>目录</w:t>
      </w:r>
    </w:p>
    <w:p>
      <w:pPr>
        <w:pStyle w:val="12"/>
        <w:rPr>
          <w:rFonts w:hint="eastAsia"/>
          <w:highlight w:val="none"/>
        </w:rPr>
      </w:pPr>
      <w:r>
        <w:rPr>
          <w:rFonts w:hint="eastAsia"/>
          <w:highlight w:val="none"/>
        </w:rPr>
        <w:t>公开时间：202</w:t>
      </w:r>
      <w:r>
        <w:rPr>
          <w:rFonts w:hint="eastAsia"/>
          <w:highlight w:val="none"/>
          <w:lang w:val="en-US" w:eastAsia="zh-CN"/>
        </w:rPr>
        <w:t>4</w:t>
      </w:r>
      <w:r>
        <w:rPr>
          <w:rFonts w:hint="eastAsia"/>
          <w:highlight w:val="none"/>
        </w:rPr>
        <w:t>年</w:t>
      </w:r>
      <w:r>
        <w:rPr>
          <w:rFonts w:hint="eastAsia"/>
          <w:highlight w:val="none"/>
          <w:lang w:val="en-US" w:eastAsia="zh-CN"/>
        </w:rPr>
        <w:t>10</w:t>
      </w:r>
      <w:r>
        <w:rPr>
          <w:rFonts w:hint="eastAsia"/>
          <w:highlight w:val="none"/>
        </w:rPr>
        <w:t>月</w:t>
      </w:r>
      <w:r>
        <w:rPr>
          <w:rFonts w:hint="eastAsia"/>
          <w:highlight w:val="none"/>
          <w:lang w:val="en-US" w:eastAsia="zh-CN"/>
        </w:rPr>
        <w:t>25</w:t>
      </w:r>
      <w:r>
        <w:rPr>
          <w:rFonts w:hint="eastAsia"/>
          <w:highlight w:val="none"/>
        </w:rPr>
        <w:t>日</w:t>
      </w:r>
    </w:p>
    <w:p>
      <w:bookmarkStart w:id="104" w:name="_GoBack"/>
      <w:bookmarkEnd w:id="104"/>
    </w:p>
    <w:sdt>
      <w:sdtPr>
        <w:rPr>
          <w:rFonts w:ascii="宋体" w:hAnsi="宋体" w:eastAsia="宋体" w:cs="Times New Roman"/>
          <w:kern w:val="2"/>
          <w:sz w:val="21"/>
          <w:szCs w:val="24"/>
          <w:lang w:val="en-US" w:eastAsia="zh-CN" w:bidi="ar-SA"/>
        </w:rPr>
        <w:id w:val="147467182"/>
        <w15:color w:val="DBDBDB"/>
        <w:docPartObj>
          <w:docPartGallery w:val="Table of Contents"/>
          <w:docPartUnique/>
        </w:docPartObj>
      </w:sdtPr>
      <w:sdtEndPr>
        <w:rPr>
          <w:rFonts w:ascii="宋体" w:hAnsi="宋体" w:eastAsia="宋体" w:cs="Times New Roman"/>
          <w:b/>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p>
        <w:p>
          <w:pPr>
            <w:pStyle w:val="35"/>
            <w:tabs>
              <w:tab w:val="right" w:leader="dot" w:pos="8306"/>
            </w:tabs>
            <w:rPr>
              <w:b/>
            </w:rPr>
          </w:pPr>
          <w:r>
            <w:fldChar w:fldCharType="begin"/>
          </w:r>
          <w:r>
            <w:instrText xml:space="preserve">TOC \o "1-2" \h \u </w:instrText>
          </w:r>
          <w:r>
            <w:fldChar w:fldCharType="separate"/>
          </w:r>
        </w:p>
        <w:p>
          <w:pPr>
            <w:pStyle w:val="35"/>
            <w:tabs>
              <w:tab w:val="right" w:leader="dot" w:pos="8306"/>
            </w:tabs>
            <w:rPr>
              <w:b/>
            </w:rPr>
          </w:pPr>
          <w:r>
            <w:rPr>
              <w:b/>
            </w:rPr>
            <w:fldChar w:fldCharType="begin"/>
          </w:r>
          <w:r>
            <w:rPr>
              <w:b/>
            </w:rPr>
            <w:instrText xml:space="preserve"> HYPERLINK \l _Toc11827 </w:instrText>
          </w:r>
          <w:r>
            <w:rPr>
              <w:b/>
            </w:rPr>
            <w:fldChar w:fldCharType="separate"/>
          </w:r>
          <w:r>
            <w:rPr>
              <w:rFonts w:hint="eastAsia" w:ascii="黑体" w:hAnsi="黑体" w:eastAsia="黑体"/>
              <w:b/>
            </w:rPr>
            <w:t>第一部分 单位</w:t>
          </w:r>
          <w:r>
            <w:rPr>
              <w:rFonts w:hint="eastAsia" w:ascii="黑体" w:hAnsi="黑体" w:eastAsia="黑体"/>
              <w:b/>
              <w:bCs w:val="0"/>
            </w:rPr>
            <w:t>概况</w:t>
          </w:r>
          <w:r>
            <w:rPr>
              <w:b/>
            </w:rPr>
            <w:tab/>
          </w:r>
          <w:r>
            <w:rPr>
              <w:b/>
            </w:rPr>
            <w:fldChar w:fldCharType="begin"/>
          </w:r>
          <w:r>
            <w:rPr>
              <w:b/>
            </w:rPr>
            <w:instrText xml:space="preserve"> PAGEREF _Toc11827 \h </w:instrText>
          </w:r>
          <w:r>
            <w:rPr>
              <w:b/>
            </w:rPr>
            <w:fldChar w:fldCharType="separate"/>
          </w:r>
          <w:r>
            <w:rPr>
              <w:b/>
            </w:rPr>
            <w:t>3</w:t>
          </w:r>
          <w:r>
            <w:rPr>
              <w:b/>
            </w:rPr>
            <w:fldChar w:fldCharType="end"/>
          </w:r>
          <w:r>
            <w:rPr>
              <w:b/>
            </w:rPr>
            <w:fldChar w:fldCharType="end"/>
          </w:r>
        </w:p>
        <w:p>
          <w:pPr>
            <w:pStyle w:val="36"/>
            <w:tabs>
              <w:tab w:val="right" w:leader="dot" w:pos="8306"/>
            </w:tabs>
          </w:pPr>
          <w:r>
            <w:fldChar w:fldCharType="begin"/>
          </w:r>
          <w:r>
            <w:instrText xml:space="preserve"> HYPERLINK \l _Toc23427 </w:instrText>
          </w:r>
          <w:r>
            <w:fldChar w:fldCharType="separate"/>
          </w:r>
          <w:r>
            <w:rPr>
              <w:rFonts w:hint="eastAsia" w:ascii="黑体" w:hAnsi="黑体" w:eastAsia="黑体"/>
              <w:bCs w:val="0"/>
            </w:rPr>
            <w:t>一、 主要职责</w:t>
          </w:r>
          <w:r>
            <w:tab/>
          </w:r>
          <w:r>
            <w:fldChar w:fldCharType="begin"/>
          </w:r>
          <w:r>
            <w:instrText xml:space="preserve"> PAGEREF _Toc23427 \h </w:instrText>
          </w:r>
          <w:r>
            <w:fldChar w:fldCharType="separate"/>
          </w:r>
          <w:r>
            <w:t>3</w:t>
          </w:r>
          <w:r>
            <w:fldChar w:fldCharType="end"/>
          </w:r>
          <w:r>
            <w:fldChar w:fldCharType="end"/>
          </w:r>
        </w:p>
        <w:p>
          <w:pPr>
            <w:pStyle w:val="36"/>
            <w:tabs>
              <w:tab w:val="right" w:leader="dot" w:pos="8306"/>
            </w:tabs>
          </w:pPr>
          <w:r>
            <w:fldChar w:fldCharType="begin"/>
          </w:r>
          <w:r>
            <w:instrText xml:space="preserve"> HYPERLINK \l _Toc8873 </w:instrText>
          </w:r>
          <w:r>
            <w:fldChar w:fldCharType="separate"/>
          </w:r>
          <w:r>
            <w:rPr>
              <w:rFonts w:hint="eastAsia" w:ascii="黑体" w:hAnsi="黑体" w:eastAsia="黑体"/>
            </w:rPr>
            <w:t>二、机构设置</w:t>
          </w:r>
          <w:r>
            <w:tab/>
          </w:r>
          <w:r>
            <w:fldChar w:fldCharType="begin"/>
          </w:r>
          <w:r>
            <w:instrText xml:space="preserve"> PAGEREF _Toc8873 \h </w:instrText>
          </w:r>
          <w:r>
            <w:fldChar w:fldCharType="separate"/>
          </w:r>
          <w:r>
            <w:t>3</w:t>
          </w:r>
          <w:r>
            <w:fldChar w:fldCharType="end"/>
          </w:r>
          <w:r>
            <w:fldChar w:fldCharType="end"/>
          </w:r>
        </w:p>
        <w:p>
          <w:pPr>
            <w:pStyle w:val="35"/>
            <w:tabs>
              <w:tab w:val="right" w:leader="dot" w:pos="8306"/>
            </w:tabs>
            <w:rPr>
              <w:b/>
            </w:rPr>
          </w:pPr>
          <w:r>
            <w:rPr>
              <w:b/>
            </w:rPr>
            <w:fldChar w:fldCharType="begin"/>
          </w:r>
          <w:r>
            <w:rPr>
              <w:b/>
            </w:rPr>
            <w:instrText xml:space="preserve"> HYPERLINK \l _Toc10281 </w:instrText>
          </w:r>
          <w:r>
            <w:rPr>
              <w:b/>
            </w:rPr>
            <w:fldChar w:fldCharType="separate"/>
          </w:r>
          <w:r>
            <w:rPr>
              <w:rFonts w:hint="eastAsia" w:ascii="黑体" w:hAnsi="黑体" w:eastAsia="黑体"/>
              <w:b/>
            </w:rPr>
            <w:t>第二部分 2023年度</w:t>
          </w:r>
          <w:r>
            <w:rPr>
              <w:rFonts w:hint="eastAsia" w:ascii="黑体" w:hAnsi="黑体" w:eastAsia="黑体"/>
              <w:b/>
              <w:bCs/>
            </w:rPr>
            <w:t>单位决算情况说明</w:t>
          </w:r>
          <w:r>
            <w:rPr>
              <w:b/>
            </w:rPr>
            <w:tab/>
          </w:r>
          <w:r>
            <w:rPr>
              <w:b/>
            </w:rPr>
            <w:fldChar w:fldCharType="begin"/>
          </w:r>
          <w:r>
            <w:rPr>
              <w:b/>
            </w:rPr>
            <w:instrText xml:space="preserve"> PAGEREF _Toc10281 \h </w:instrText>
          </w:r>
          <w:r>
            <w:rPr>
              <w:b/>
            </w:rPr>
            <w:fldChar w:fldCharType="separate"/>
          </w:r>
          <w:r>
            <w:rPr>
              <w:b/>
            </w:rPr>
            <w:t>3</w:t>
          </w:r>
          <w:r>
            <w:rPr>
              <w:b/>
            </w:rPr>
            <w:fldChar w:fldCharType="end"/>
          </w:r>
          <w:r>
            <w:rPr>
              <w:b/>
            </w:rPr>
            <w:fldChar w:fldCharType="end"/>
          </w:r>
        </w:p>
        <w:p>
          <w:pPr>
            <w:pStyle w:val="36"/>
            <w:tabs>
              <w:tab w:val="right" w:leader="dot" w:pos="8306"/>
            </w:tabs>
          </w:pPr>
          <w:r>
            <w:fldChar w:fldCharType="begin"/>
          </w:r>
          <w:r>
            <w:instrText xml:space="preserve"> HYPERLINK \l _Toc28225 </w:instrText>
          </w:r>
          <w:r>
            <w:fldChar w:fldCharType="separate"/>
          </w:r>
          <w:r>
            <w:rPr>
              <w:rFonts w:hint="default" w:ascii="黑体" w:hAnsi="黑体" w:eastAsia="黑体"/>
            </w:rPr>
            <w:t xml:space="preserve">一、 </w:t>
          </w:r>
          <w:r>
            <w:rPr>
              <w:rFonts w:hint="eastAsia" w:ascii="黑体" w:hAnsi="黑体" w:eastAsia="黑体"/>
              <w:szCs w:val="32"/>
            </w:rPr>
            <w:t>收</w:t>
          </w:r>
          <w:r>
            <w:rPr>
              <w:rFonts w:hint="eastAsia" w:ascii="黑体" w:hAnsi="黑体" w:eastAsia="黑体"/>
            </w:rPr>
            <w:t>入支出决算总体情况说明</w:t>
          </w:r>
          <w:r>
            <w:tab/>
          </w:r>
          <w:r>
            <w:fldChar w:fldCharType="begin"/>
          </w:r>
          <w:r>
            <w:instrText xml:space="preserve"> PAGEREF _Toc28225 \h </w:instrText>
          </w:r>
          <w:r>
            <w:fldChar w:fldCharType="separate"/>
          </w:r>
          <w:r>
            <w:t>3</w:t>
          </w:r>
          <w:r>
            <w:fldChar w:fldCharType="end"/>
          </w:r>
          <w:r>
            <w:fldChar w:fldCharType="end"/>
          </w:r>
        </w:p>
        <w:p>
          <w:pPr>
            <w:pStyle w:val="36"/>
            <w:tabs>
              <w:tab w:val="right" w:leader="dot" w:pos="8306"/>
            </w:tabs>
          </w:pPr>
          <w:r>
            <w:fldChar w:fldCharType="begin"/>
          </w:r>
          <w:r>
            <w:instrText xml:space="preserve"> HYPERLINK \l _Toc8676 </w:instrText>
          </w:r>
          <w:r>
            <w:fldChar w:fldCharType="separate"/>
          </w:r>
          <w:r>
            <w:rPr>
              <w:rFonts w:hint="default" w:ascii="黑体" w:hAnsi="黑体" w:eastAsia="黑体"/>
            </w:rPr>
            <w:t xml:space="preserve">二、 </w:t>
          </w:r>
          <w:r>
            <w:rPr>
              <w:rFonts w:hint="eastAsia" w:ascii="黑体" w:hAnsi="黑体" w:eastAsia="黑体"/>
              <w:szCs w:val="32"/>
            </w:rPr>
            <w:t>收</w:t>
          </w:r>
          <w:r>
            <w:rPr>
              <w:rFonts w:hint="eastAsia" w:ascii="黑体" w:hAnsi="黑体" w:eastAsia="黑体"/>
            </w:rPr>
            <w:t>入决算情况说明</w:t>
          </w:r>
          <w:r>
            <w:tab/>
          </w:r>
          <w:r>
            <w:fldChar w:fldCharType="begin"/>
          </w:r>
          <w:r>
            <w:instrText xml:space="preserve"> PAGEREF _Toc8676 \h </w:instrText>
          </w:r>
          <w:r>
            <w:fldChar w:fldCharType="separate"/>
          </w:r>
          <w:r>
            <w:t>4</w:t>
          </w:r>
          <w:r>
            <w:fldChar w:fldCharType="end"/>
          </w:r>
          <w:r>
            <w:fldChar w:fldCharType="end"/>
          </w:r>
        </w:p>
        <w:p>
          <w:pPr>
            <w:pStyle w:val="36"/>
            <w:tabs>
              <w:tab w:val="right" w:leader="dot" w:pos="8306"/>
            </w:tabs>
          </w:pPr>
          <w:r>
            <w:fldChar w:fldCharType="begin"/>
          </w:r>
          <w:r>
            <w:instrText xml:space="preserve"> HYPERLINK \l _Toc26054 </w:instrText>
          </w:r>
          <w:r>
            <w:fldChar w:fldCharType="separate"/>
          </w:r>
          <w:r>
            <w:rPr>
              <w:rFonts w:hint="default" w:ascii="黑体" w:hAnsi="黑体" w:eastAsia="黑体"/>
            </w:rPr>
            <w:t xml:space="preserve">三、 </w:t>
          </w:r>
          <w:r>
            <w:rPr>
              <w:rFonts w:hint="eastAsia" w:ascii="黑体" w:hAnsi="黑体" w:eastAsia="黑体"/>
              <w:szCs w:val="32"/>
            </w:rPr>
            <w:t>支</w:t>
          </w:r>
          <w:r>
            <w:rPr>
              <w:rFonts w:hint="eastAsia" w:ascii="黑体" w:hAnsi="黑体" w:eastAsia="黑体"/>
            </w:rPr>
            <w:t>出决算情况说明</w:t>
          </w:r>
          <w:r>
            <w:tab/>
          </w:r>
          <w:r>
            <w:fldChar w:fldCharType="begin"/>
          </w:r>
          <w:r>
            <w:instrText xml:space="preserve"> PAGEREF _Toc26054 \h </w:instrText>
          </w:r>
          <w:r>
            <w:fldChar w:fldCharType="separate"/>
          </w:r>
          <w:r>
            <w:t>5</w:t>
          </w:r>
          <w:r>
            <w:fldChar w:fldCharType="end"/>
          </w:r>
          <w:r>
            <w:fldChar w:fldCharType="end"/>
          </w:r>
        </w:p>
        <w:p>
          <w:pPr>
            <w:pStyle w:val="36"/>
            <w:tabs>
              <w:tab w:val="right" w:leader="dot" w:pos="8306"/>
            </w:tabs>
          </w:pPr>
          <w:r>
            <w:fldChar w:fldCharType="begin"/>
          </w:r>
          <w:r>
            <w:instrText xml:space="preserve"> HYPERLINK \l _Toc8245 </w:instrText>
          </w:r>
          <w:r>
            <w:fldChar w:fldCharType="separate"/>
          </w:r>
          <w:r>
            <w:rPr>
              <w:rFonts w:hint="eastAsia" w:ascii="黑体" w:hAnsi="黑体" w:eastAsia="黑体"/>
              <w:szCs w:val="32"/>
            </w:rPr>
            <w:t>四、财</w:t>
          </w:r>
          <w:r>
            <w:rPr>
              <w:rFonts w:hint="eastAsia" w:ascii="黑体" w:hAnsi="黑体" w:eastAsia="黑体"/>
            </w:rPr>
            <w:t>政拨款收入支出决算总体情况说明</w:t>
          </w:r>
          <w:r>
            <w:tab/>
          </w:r>
          <w:r>
            <w:fldChar w:fldCharType="begin"/>
          </w:r>
          <w:r>
            <w:instrText xml:space="preserve"> PAGEREF _Toc8245 \h </w:instrText>
          </w:r>
          <w:r>
            <w:fldChar w:fldCharType="separate"/>
          </w:r>
          <w:r>
            <w:t>5</w:t>
          </w:r>
          <w:r>
            <w:fldChar w:fldCharType="end"/>
          </w:r>
          <w:r>
            <w:fldChar w:fldCharType="end"/>
          </w:r>
        </w:p>
        <w:p>
          <w:pPr>
            <w:pStyle w:val="36"/>
            <w:tabs>
              <w:tab w:val="right" w:leader="dot" w:pos="8306"/>
            </w:tabs>
          </w:pPr>
          <w:r>
            <w:fldChar w:fldCharType="begin"/>
          </w:r>
          <w:r>
            <w:instrText xml:space="preserve"> HYPERLINK \l _Toc4757 </w:instrText>
          </w:r>
          <w:r>
            <w:fldChar w:fldCharType="separate"/>
          </w:r>
          <w:r>
            <w:rPr>
              <w:rFonts w:hint="eastAsia" w:ascii="黑体" w:hAnsi="黑体" w:eastAsia="黑体"/>
              <w:szCs w:val="32"/>
            </w:rPr>
            <w:t>五、一</w:t>
          </w:r>
          <w:r>
            <w:rPr>
              <w:rFonts w:hint="eastAsia" w:ascii="黑体" w:hAnsi="黑体" w:eastAsia="黑体"/>
            </w:rPr>
            <w:t>般公共预算财政拨款支出决算情况说明</w:t>
          </w:r>
          <w:r>
            <w:tab/>
          </w:r>
          <w:r>
            <w:fldChar w:fldCharType="begin"/>
          </w:r>
          <w:r>
            <w:instrText xml:space="preserve"> PAGEREF _Toc4757 \h </w:instrText>
          </w:r>
          <w:r>
            <w:fldChar w:fldCharType="separate"/>
          </w:r>
          <w:r>
            <w:t>6</w:t>
          </w:r>
          <w:r>
            <w:fldChar w:fldCharType="end"/>
          </w:r>
          <w:r>
            <w:fldChar w:fldCharType="end"/>
          </w:r>
        </w:p>
        <w:p>
          <w:pPr>
            <w:pStyle w:val="36"/>
            <w:tabs>
              <w:tab w:val="right" w:leader="dot" w:pos="8306"/>
            </w:tabs>
          </w:pPr>
          <w:r>
            <w:fldChar w:fldCharType="begin"/>
          </w:r>
          <w:r>
            <w:instrText xml:space="preserve"> HYPERLINK \l _Toc15868 </w:instrText>
          </w:r>
          <w:r>
            <w:fldChar w:fldCharType="separate"/>
          </w:r>
          <w:r>
            <w:rPr>
              <w:rFonts w:hint="eastAsia" w:ascii="黑体" w:eastAsia="黑体"/>
              <w:szCs w:val="32"/>
            </w:rPr>
            <w:t>六、</w:t>
          </w:r>
          <w:r>
            <w:rPr>
              <w:rFonts w:hint="eastAsia" w:ascii="黑体" w:hAnsi="黑体" w:eastAsia="黑体"/>
              <w:szCs w:val="32"/>
            </w:rPr>
            <w:t>一</w:t>
          </w:r>
          <w:r>
            <w:rPr>
              <w:rFonts w:hint="eastAsia" w:ascii="黑体" w:hAnsi="黑体" w:eastAsia="黑体"/>
            </w:rPr>
            <w:t>般公共预算财政拨款基本支出决算情况说明</w:t>
          </w:r>
          <w:r>
            <w:tab/>
          </w:r>
          <w:r>
            <w:fldChar w:fldCharType="begin"/>
          </w:r>
          <w:r>
            <w:instrText xml:space="preserve"> PAGEREF _Toc15868 \h </w:instrText>
          </w:r>
          <w:r>
            <w:fldChar w:fldCharType="separate"/>
          </w:r>
          <w:r>
            <w:t>9</w:t>
          </w:r>
          <w:r>
            <w:fldChar w:fldCharType="end"/>
          </w:r>
          <w:r>
            <w:fldChar w:fldCharType="end"/>
          </w:r>
        </w:p>
        <w:p>
          <w:pPr>
            <w:pStyle w:val="36"/>
            <w:tabs>
              <w:tab w:val="right" w:leader="dot" w:pos="8306"/>
            </w:tabs>
          </w:pPr>
          <w:r>
            <w:fldChar w:fldCharType="begin"/>
          </w:r>
          <w:r>
            <w:instrText xml:space="preserve"> HYPERLINK \l _Toc7463 </w:instrText>
          </w:r>
          <w:r>
            <w:fldChar w:fldCharType="separate"/>
          </w:r>
          <w:r>
            <w:rPr>
              <w:rFonts w:hint="eastAsia" w:ascii="黑体" w:eastAsia="黑体"/>
              <w:szCs w:val="32"/>
            </w:rPr>
            <w:t>七、</w:t>
          </w:r>
          <w:r>
            <w:rPr>
              <w:rFonts w:hint="eastAsia" w:ascii="黑体" w:hAnsi="黑体" w:eastAsia="黑体"/>
            </w:rPr>
            <w:t>财政拨款“三公”经费支出决算情况说明</w:t>
          </w:r>
          <w:r>
            <w:tab/>
          </w:r>
          <w:r>
            <w:fldChar w:fldCharType="begin"/>
          </w:r>
          <w:r>
            <w:instrText xml:space="preserve"> PAGEREF _Toc7463 \h </w:instrText>
          </w:r>
          <w:r>
            <w:fldChar w:fldCharType="separate"/>
          </w:r>
          <w:r>
            <w:t>10</w:t>
          </w:r>
          <w:r>
            <w:fldChar w:fldCharType="end"/>
          </w:r>
          <w:r>
            <w:fldChar w:fldCharType="end"/>
          </w:r>
        </w:p>
        <w:p>
          <w:pPr>
            <w:pStyle w:val="36"/>
            <w:tabs>
              <w:tab w:val="right" w:leader="dot" w:pos="8306"/>
            </w:tabs>
          </w:pPr>
          <w:r>
            <w:fldChar w:fldCharType="begin"/>
          </w:r>
          <w:r>
            <w:instrText xml:space="preserve"> HYPERLINK \l _Toc24759 </w:instrText>
          </w:r>
          <w:r>
            <w:fldChar w:fldCharType="separate"/>
          </w:r>
          <w:r>
            <w:rPr>
              <w:rFonts w:hint="eastAsia" w:ascii="黑体" w:eastAsia="黑体"/>
              <w:szCs w:val="32"/>
            </w:rPr>
            <w:t>八、</w:t>
          </w:r>
          <w:r>
            <w:rPr>
              <w:rFonts w:hint="eastAsia" w:ascii="黑体" w:hAnsi="黑体" w:eastAsia="黑体"/>
            </w:rPr>
            <w:t>政府性基金预算支出决算情况说明</w:t>
          </w:r>
          <w:r>
            <w:tab/>
          </w:r>
          <w:r>
            <w:fldChar w:fldCharType="begin"/>
          </w:r>
          <w:r>
            <w:instrText xml:space="preserve"> PAGEREF _Toc24759 \h </w:instrText>
          </w:r>
          <w:r>
            <w:fldChar w:fldCharType="separate"/>
          </w:r>
          <w:r>
            <w:t>11</w:t>
          </w:r>
          <w:r>
            <w:fldChar w:fldCharType="end"/>
          </w:r>
          <w:r>
            <w:fldChar w:fldCharType="end"/>
          </w:r>
        </w:p>
        <w:p>
          <w:pPr>
            <w:pStyle w:val="36"/>
            <w:tabs>
              <w:tab w:val="right" w:leader="dot" w:pos="8306"/>
            </w:tabs>
          </w:pPr>
          <w:r>
            <w:fldChar w:fldCharType="begin"/>
          </w:r>
          <w:r>
            <w:instrText xml:space="preserve"> HYPERLINK \l _Toc9026 </w:instrText>
          </w:r>
          <w:r>
            <w:fldChar w:fldCharType="separate"/>
          </w:r>
          <w:r>
            <w:rPr>
              <w:rFonts w:hint="eastAsia" w:ascii="黑体" w:hAnsi="黑体" w:eastAsia="黑体"/>
            </w:rPr>
            <w:t>九、 国有资本经营预算支出决算情况说明</w:t>
          </w:r>
          <w:r>
            <w:tab/>
          </w:r>
          <w:r>
            <w:fldChar w:fldCharType="begin"/>
          </w:r>
          <w:r>
            <w:instrText xml:space="preserve"> PAGEREF _Toc9026 \h </w:instrText>
          </w:r>
          <w:r>
            <w:fldChar w:fldCharType="separate"/>
          </w:r>
          <w:r>
            <w:t>11</w:t>
          </w:r>
          <w:r>
            <w:fldChar w:fldCharType="end"/>
          </w:r>
          <w:r>
            <w:fldChar w:fldCharType="end"/>
          </w:r>
        </w:p>
        <w:p>
          <w:pPr>
            <w:pStyle w:val="36"/>
            <w:tabs>
              <w:tab w:val="right" w:leader="dot" w:pos="8306"/>
            </w:tabs>
          </w:pPr>
          <w:r>
            <w:fldChar w:fldCharType="begin"/>
          </w:r>
          <w:r>
            <w:instrText xml:space="preserve"> HYPERLINK \l _Toc25246 </w:instrText>
          </w:r>
          <w:r>
            <w:fldChar w:fldCharType="separate"/>
          </w:r>
          <w:r>
            <w:rPr>
              <w:rFonts w:hint="eastAsia" w:ascii="黑体" w:hAnsi="黑体" w:eastAsia="黑体"/>
            </w:rPr>
            <w:t>十、 其他重要事项的情况说明</w:t>
          </w:r>
          <w:r>
            <w:tab/>
          </w:r>
          <w:r>
            <w:fldChar w:fldCharType="begin"/>
          </w:r>
          <w:r>
            <w:instrText xml:space="preserve"> PAGEREF _Toc25246 \h </w:instrText>
          </w:r>
          <w:r>
            <w:fldChar w:fldCharType="separate"/>
          </w:r>
          <w:r>
            <w:t>12</w:t>
          </w:r>
          <w:r>
            <w:fldChar w:fldCharType="end"/>
          </w:r>
          <w:r>
            <w:fldChar w:fldCharType="end"/>
          </w:r>
        </w:p>
        <w:p>
          <w:pPr>
            <w:pStyle w:val="35"/>
            <w:tabs>
              <w:tab w:val="right" w:leader="dot" w:pos="8306"/>
            </w:tabs>
            <w:rPr>
              <w:b/>
            </w:rPr>
          </w:pPr>
          <w:r>
            <w:rPr>
              <w:b/>
            </w:rPr>
            <w:fldChar w:fldCharType="begin"/>
          </w:r>
          <w:r>
            <w:rPr>
              <w:b/>
            </w:rPr>
            <w:instrText xml:space="preserve"> HYPERLINK \l _Toc17285 </w:instrText>
          </w:r>
          <w:r>
            <w:rPr>
              <w:b/>
            </w:rPr>
            <w:fldChar w:fldCharType="separate"/>
          </w:r>
          <w:r>
            <w:rPr>
              <w:rFonts w:hint="eastAsia" w:ascii="黑体" w:hAnsi="黑体" w:eastAsia="黑体" w:cs="黑体"/>
              <w:b/>
              <w:szCs w:val="44"/>
            </w:rPr>
            <w:t xml:space="preserve">第三部分 </w:t>
          </w:r>
          <w:r>
            <w:rPr>
              <w:rFonts w:hint="eastAsia" w:ascii="黑体" w:hAnsi="黑体" w:eastAsia="黑体"/>
              <w:b/>
              <w:szCs w:val="44"/>
            </w:rPr>
            <w:t>名</w:t>
          </w:r>
          <w:r>
            <w:rPr>
              <w:rFonts w:hint="eastAsia" w:ascii="黑体" w:hAnsi="黑体" w:eastAsia="黑体"/>
              <w:b/>
            </w:rPr>
            <w:t>词解释</w:t>
          </w:r>
          <w:r>
            <w:rPr>
              <w:b/>
            </w:rPr>
            <w:tab/>
          </w:r>
          <w:r>
            <w:rPr>
              <w:b/>
            </w:rPr>
            <w:fldChar w:fldCharType="begin"/>
          </w:r>
          <w:r>
            <w:rPr>
              <w:b/>
            </w:rPr>
            <w:instrText xml:space="preserve"> PAGEREF _Toc17285 \h </w:instrText>
          </w:r>
          <w:r>
            <w:rPr>
              <w:b/>
            </w:rPr>
            <w:fldChar w:fldCharType="separate"/>
          </w:r>
          <w:r>
            <w:rPr>
              <w:b/>
            </w:rPr>
            <w:t>14</w:t>
          </w:r>
          <w:r>
            <w:rPr>
              <w:b/>
            </w:rPr>
            <w:fldChar w:fldCharType="end"/>
          </w:r>
          <w:r>
            <w:rPr>
              <w:b/>
            </w:rPr>
            <w:fldChar w:fldCharType="end"/>
          </w:r>
        </w:p>
        <w:p>
          <w:pPr>
            <w:pStyle w:val="35"/>
            <w:tabs>
              <w:tab w:val="right" w:leader="dot" w:pos="8306"/>
            </w:tabs>
            <w:rPr>
              <w:b/>
            </w:rPr>
          </w:pPr>
          <w:r>
            <w:rPr>
              <w:b/>
            </w:rPr>
            <w:fldChar w:fldCharType="begin"/>
          </w:r>
          <w:r>
            <w:rPr>
              <w:b/>
            </w:rPr>
            <w:instrText xml:space="preserve"> HYPERLINK \l _Toc26638 </w:instrText>
          </w:r>
          <w:r>
            <w:rPr>
              <w:b/>
            </w:rPr>
            <w:fldChar w:fldCharType="separate"/>
          </w:r>
          <w:r>
            <w:rPr>
              <w:rFonts w:hint="eastAsia" w:ascii="黑体" w:hAnsi="黑体" w:eastAsia="黑体"/>
              <w:b/>
              <w:szCs w:val="44"/>
            </w:rPr>
            <w:t>第</w:t>
          </w:r>
          <w:r>
            <w:rPr>
              <w:rFonts w:hint="eastAsia" w:ascii="黑体" w:hAnsi="黑体" w:eastAsia="黑体"/>
              <w:b/>
            </w:rPr>
            <w:t>四部分 附件</w:t>
          </w:r>
          <w:r>
            <w:rPr>
              <w:b/>
            </w:rPr>
            <w:tab/>
          </w:r>
          <w:r>
            <w:rPr>
              <w:b/>
            </w:rPr>
            <w:fldChar w:fldCharType="begin"/>
          </w:r>
          <w:r>
            <w:rPr>
              <w:b/>
            </w:rPr>
            <w:instrText xml:space="preserve"> PAGEREF _Toc26638 \h </w:instrText>
          </w:r>
          <w:r>
            <w:rPr>
              <w:b/>
            </w:rPr>
            <w:fldChar w:fldCharType="separate"/>
          </w:r>
          <w:r>
            <w:rPr>
              <w:b/>
            </w:rPr>
            <w:t>18</w:t>
          </w:r>
          <w:r>
            <w:rPr>
              <w:b/>
            </w:rPr>
            <w:fldChar w:fldCharType="end"/>
          </w:r>
          <w:r>
            <w:rPr>
              <w:b/>
            </w:rPr>
            <w:fldChar w:fldCharType="end"/>
          </w:r>
        </w:p>
        <w:p>
          <w:pPr>
            <w:pStyle w:val="35"/>
            <w:tabs>
              <w:tab w:val="right" w:leader="dot" w:pos="8306"/>
            </w:tabs>
            <w:rPr>
              <w:b/>
            </w:rPr>
          </w:pPr>
          <w:r>
            <w:rPr>
              <w:b/>
            </w:rPr>
            <w:fldChar w:fldCharType="begin"/>
          </w:r>
          <w:r>
            <w:rPr>
              <w:b/>
            </w:rPr>
            <w:instrText xml:space="preserve"> HYPERLINK \l _Toc5222 </w:instrText>
          </w:r>
          <w:r>
            <w:rPr>
              <w:b/>
            </w:rPr>
            <w:fldChar w:fldCharType="separate"/>
          </w:r>
          <w:r>
            <w:rPr>
              <w:rFonts w:hint="eastAsia" w:ascii="黑体" w:hAnsi="黑体" w:eastAsia="黑体"/>
              <w:b/>
              <w:szCs w:val="44"/>
            </w:rPr>
            <w:t>第</w:t>
          </w:r>
          <w:r>
            <w:rPr>
              <w:rFonts w:hint="eastAsia" w:ascii="黑体" w:hAnsi="黑体" w:eastAsia="黑体"/>
              <w:b/>
            </w:rPr>
            <w:t>五部分 附表</w:t>
          </w:r>
          <w:r>
            <w:rPr>
              <w:b/>
            </w:rPr>
            <w:tab/>
          </w:r>
          <w:r>
            <w:rPr>
              <w:b/>
            </w:rPr>
            <w:fldChar w:fldCharType="begin"/>
          </w:r>
          <w:r>
            <w:rPr>
              <w:b/>
            </w:rPr>
            <w:instrText xml:space="preserve"> PAGEREF _Toc5222 \h </w:instrText>
          </w:r>
          <w:r>
            <w:rPr>
              <w:b/>
            </w:rPr>
            <w:fldChar w:fldCharType="separate"/>
          </w:r>
          <w:r>
            <w:rPr>
              <w:b/>
            </w:rPr>
            <w:t>22</w:t>
          </w:r>
          <w:r>
            <w:rPr>
              <w:b/>
            </w:rPr>
            <w:fldChar w:fldCharType="end"/>
          </w:r>
          <w:r>
            <w:rPr>
              <w:b/>
            </w:rPr>
            <w:fldChar w:fldCharType="end"/>
          </w:r>
        </w:p>
        <w:p>
          <w:pPr>
            <w:pStyle w:val="36"/>
            <w:tabs>
              <w:tab w:val="right" w:leader="dot" w:pos="8306"/>
            </w:tabs>
            <w:rPr>
              <w:b/>
              <w:bCs/>
            </w:rPr>
          </w:pPr>
          <w:r>
            <w:rPr>
              <w:b/>
              <w:bCs/>
            </w:rPr>
            <w:fldChar w:fldCharType="begin"/>
          </w:r>
          <w:r>
            <w:rPr>
              <w:b/>
              <w:bCs/>
            </w:rPr>
            <w:instrText xml:space="preserve"> HYPERLINK \l _Toc18675 </w:instrText>
          </w:r>
          <w:r>
            <w:rPr>
              <w:b/>
              <w:bCs/>
            </w:rPr>
            <w:fldChar w:fldCharType="separate"/>
          </w:r>
          <w:r>
            <w:rPr>
              <w:rFonts w:hint="eastAsia" w:ascii="仿宋" w:hAnsi="仿宋" w:eastAsia="仿宋"/>
              <w:b/>
              <w:bCs/>
            </w:rPr>
            <w:t>一、收入支出决算总表</w:t>
          </w:r>
          <w:r>
            <w:rPr>
              <w:b/>
              <w:bCs/>
            </w:rPr>
            <w:tab/>
          </w:r>
          <w:r>
            <w:rPr>
              <w:b/>
              <w:bCs/>
            </w:rPr>
            <w:fldChar w:fldCharType="begin"/>
          </w:r>
          <w:r>
            <w:rPr>
              <w:b/>
              <w:bCs/>
            </w:rPr>
            <w:instrText xml:space="preserve"> PAGEREF _Toc18675 \h </w:instrText>
          </w:r>
          <w:r>
            <w:rPr>
              <w:b/>
              <w:bCs/>
            </w:rPr>
            <w:fldChar w:fldCharType="separate"/>
          </w:r>
          <w:r>
            <w:rPr>
              <w:b/>
              <w:bCs/>
            </w:rPr>
            <w:t>22</w:t>
          </w:r>
          <w:r>
            <w:rPr>
              <w:b/>
              <w:bCs/>
            </w:rPr>
            <w:fldChar w:fldCharType="end"/>
          </w:r>
          <w:r>
            <w:rPr>
              <w:b/>
              <w:bCs/>
            </w:rPr>
            <w:fldChar w:fldCharType="end"/>
          </w:r>
        </w:p>
        <w:p>
          <w:pPr>
            <w:pStyle w:val="36"/>
            <w:tabs>
              <w:tab w:val="right" w:leader="dot" w:pos="8306"/>
            </w:tabs>
            <w:rPr>
              <w:b/>
              <w:bCs/>
            </w:rPr>
          </w:pPr>
          <w:r>
            <w:rPr>
              <w:b/>
              <w:bCs/>
            </w:rPr>
            <w:fldChar w:fldCharType="begin"/>
          </w:r>
          <w:r>
            <w:rPr>
              <w:b/>
              <w:bCs/>
            </w:rPr>
            <w:instrText xml:space="preserve"> HYPERLINK \l _Toc689 </w:instrText>
          </w:r>
          <w:r>
            <w:rPr>
              <w:b/>
              <w:bCs/>
            </w:rPr>
            <w:fldChar w:fldCharType="separate"/>
          </w:r>
          <w:r>
            <w:rPr>
              <w:rFonts w:hint="eastAsia" w:ascii="仿宋" w:hAnsi="仿宋" w:eastAsia="仿宋"/>
              <w:b/>
              <w:bCs/>
            </w:rPr>
            <w:t>二、收入决算表</w:t>
          </w:r>
          <w:r>
            <w:rPr>
              <w:b/>
              <w:bCs/>
            </w:rPr>
            <w:tab/>
          </w:r>
          <w:r>
            <w:rPr>
              <w:b/>
              <w:bCs/>
            </w:rPr>
            <w:fldChar w:fldCharType="begin"/>
          </w:r>
          <w:r>
            <w:rPr>
              <w:b/>
              <w:bCs/>
            </w:rPr>
            <w:instrText xml:space="preserve"> PAGEREF _Toc689 \h </w:instrText>
          </w:r>
          <w:r>
            <w:rPr>
              <w:b/>
              <w:bCs/>
            </w:rPr>
            <w:fldChar w:fldCharType="separate"/>
          </w:r>
          <w:r>
            <w:rPr>
              <w:b/>
              <w:bCs/>
            </w:rPr>
            <w:t>22</w:t>
          </w:r>
          <w:r>
            <w:rPr>
              <w:b/>
              <w:bCs/>
            </w:rPr>
            <w:fldChar w:fldCharType="end"/>
          </w:r>
          <w:r>
            <w:rPr>
              <w:b/>
              <w:bCs/>
            </w:rPr>
            <w:fldChar w:fldCharType="end"/>
          </w:r>
        </w:p>
        <w:p>
          <w:pPr>
            <w:pStyle w:val="36"/>
            <w:tabs>
              <w:tab w:val="right" w:leader="dot" w:pos="8306"/>
            </w:tabs>
            <w:rPr>
              <w:b/>
              <w:bCs/>
            </w:rPr>
          </w:pPr>
          <w:r>
            <w:rPr>
              <w:b/>
              <w:bCs/>
            </w:rPr>
            <w:fldChar w:fldCharType="begin"/>
          </w:r>
          <w:r>
            <w:rPr>
              <w:b/>
              <w:bCs/>
            </w:rPr>
            <w:instrText xml:space="preserve"> HYPERLINK \l _Toc13746 </w:instrText>
          </w:r>
          <w:r>
            <w:rPr>
              <w:b/>
              <w:bCs/>
            </w:rPr>
            <w:fldChar w:fldCharType="separate"/>
          </w:r>
          <w:r>
            <w:rPr>
              <w:rFonts w:hint="eastAsia" w:ascii="仿宋" w:hAnsi="仿宋" w:eastAsia="仿宋"/>
              <w:b/>
              <w:bCs/>
            </w:rPr>
            <w:t>三、支出决算表</w:t>
          </w:r>
          <w:r>
            <w:rPr>
              <w:b/>
              <w:bCs/>
            </w:rPr>
            <w:tab/>
          </w:r>
          <w:r>
            <w:rPr>
              <w:b/>
              <w:bCs/>
            </w:rPr>
            <w:fldChar w:fldCharType="begin"/>
          </w:r>
          <w:r>
            <w:rPr>
              <w:b/>
              <w:bCs/>
            </w:rPr>
            <w:instrText xml:space="preserve"> PAGEREF _Toc13746 \h </w:instrText>
          </w:r>
          <w:r>
            <w:rPr>
              <w:b/>
              <w:bCs/>
            </w:rPr>
            <w:fldChar w:fldCharType="separate"/>
          </w:r>
          <w:r>
            <w:rPr>
              <w:b/>
              <w:bCs/>
            </w:rPr>
            <w:t>22</w:t>
          </w:r>
          <w:r>
            <w:rPr>
              <w:b/>
              <w:bCs/>
            </w:rPr>
            <w:fldChar w:fldCharType="end"/>
          </w:r>
          <w:r>
            <w:rPr>
              <w:b/>
              <w:bCs/>
            </w:rPr>
            <w:fldChar w:fldCharType="end"/>
          </w:r>
        </w:p>
        <w:p>
          <w:pPr>
            <w:pStyle w:val="36"/>
            <w:tabs>
              <w:tab w:val="right" w:leader="dot" w:pos="8306"/>
            </w:tabs>
            <w:rPr>
              <w:b/>
              <w:bCs/>
            </w:rPr>
          </w:pPr>
          <w:r>
            <w:rPr>
              <w:b/>
              <w:bCs/>
            </w:rPr>
            <w:fldChar w:fldCharType="begin"/>
          </w:r>
          <w:r>
            <w:rPr>
              <w:b/>
              <w:bCs/>
            </w:rPr>
            <w:instrText xml:space="preserve"> HYPERLINK \l _Toc2221 </w:instrText>
          </w:r>
          <w:r>
            <w:rPr>
              <w:b/>
              <w:bCs/>
            </w:rPr>
            <w:fldChar w:fldCharType="separate"/>
          </w:r>
          <w:r>
            <w:rPr>
              <w:rFonts w:hint="eastAsia" w:ascii="仿宋" w:hAnsi="仿宋" w:eastAsia="仿宋"/>
              <w:b/>
              <w:bCs/>
            </w:rPr>
            <w:t>四、财政拨款收入支出决算总表</w:t>
          </w:r>
          <w:r>
            <w:rPr>
              <w:b/>
              <w:bCs/>
            </w:rPr>
            <w:tab/>
          </w:r>
          <w:r>
            <w:rPr>
              <w:b/>
              <w:bCs/>
            </w:rPr>
            <w:fldChar w:fldCharType="begin"/>
          </w:r>
          <w:r>
            <w:rPr>
              <w:b/>
              <w:bCs/>
            </w:rPr>
            <w:instrText xml:space="preserve"> PAGEREF _Toc2221 \h </w:instrText>
          </w:r>
          <w:r>
            <w:rPr>
              <w:b/>
              <w:bCs/>
            </w:rPr>
            <w:fldChar w:fldCharType="separate"/>
          </w:r>
          <w:r>
            <w:rPr>
              <w:b/>
              <w:bCs/>
            </w:rPr>
            <w:t>22</w:t>
          </w:r>
          <w:r>
            <w:rPr>
              <w:b/>
              <w:bCs/>
            </w:rPr>
            <w:fldChar w:fldCharType="end"/>
          </w:r>
          <w:r>
            <w:rPr>
              <w:b/>
              <w:bCs/>
            </w:rPr>
            <w:fldChar w:fldCharType="end"/>
          </w:r>
        </w:p>
        <w:p>
          <w:pPr>
            <w:pStyle w:val="36"/>
            <w:tabs>
              <w:tab w:val="right" w:leader="dot" w:pos="8306"/>
            </w:tabs>
            <w:rPr>
              <w:b/>
              <w:bCs/>
            </w:rPr>
          </w:pPr>
          <w:r>
            <w:rPr>
              <w:b/>
              <w:bCs/>
            </w:rPr>
            <w:fldChar w:fldCharType="begin"/>
          </w:r>
          <w:r>
            <w:rPr>
              <w:b/>
              <w:bCs/>
            </w:rPr>
            <w:instrText xml:space="preserve"> HYPERLINK \l _Toc26036 </w:instrText>
          </w:r>
          <w:r>
            <w:rPr>
              <w:b/>
              <w:bCs/>
            </w:rPr>
            <w:fldChar w:fldCharType="separate"/>
          </w:r>
          <w:r>
            <w:rPr>
              <w:rFonts w:hint="eastAsia" w:ascii="仿宋" w:hAnsi="仿宋" w:eastAsia="仿宋"/>
              <w:b/>
              <w:bCs/>
            </w:rPr>
            <w:t>五、财政拨款支出决算明细表</w:t>
          </w:r>
          <w:r>
            <w:rPr>
              <w:b/>
              <w:bCs/>
            </w:rPr>
            <w:tab/>
          </w:r>
          <w:r>
            <w:rPr>
              <w:b/>
              <w:bCs/>
            </w:rPr>
            <w:fldChar w:fldCharType="begin"/>
          </w:r>
          <w:r>
            <w:rPr>
              <w:b/>
              <w:bCs/>
            </w:rPr>
            <w:instrText xml:space="preserve"> PAGEREF _Toc26036 \h </w:instrText>
          </w:r>
          <w:r>
            <w:rPr>
              <w:b/>
              <w:bCs/>
            </w:rPr>
            <w:fldChar w:fldCharType="separate"/>
          </w:r>
          <w:r>
            <w:rPr>
              <w:b/>
              <w:bCs/>
            </w:rPr>
            <w:t>22</w:t>
          </w:r>
          <w:r>
            <w:rPr>
              <w:b/>
              <w:bCs/>
            </w:rPr>
            <w:fldChar w:fldCharType="end"/>
          </w:r>
          <w:r>
            <w:rPr>
              <w:b/>
              <w:bCs/>
            </w:rPr>
            <w:fldChar w:fldCharType="end"/>
          </w:r>
        </w:p>
        <w:p>
          <w:pPr>
            <w:pStyle w:val="36"/>
            <w:tabs>
              <w:tab w:val="right" w:leader="dot" w:pos="8306"/>
            </w:tabs>
            <w:rPr>
              <w:b/>
              <w:bCs/>
            </w:rPr>
          </w:pPr>
          <w:r>
            <w:rPr>
              <w:b/>
              <w:bCs/>
            </w:rPr>
            <w:fldChar w:fldCharType="begin"/>
          </w:r>
          <w:r>
            <w:rPr>
              <w:b/>
              <w:bCs/>
            </w:rPr>
            <w:instrText xml:space="preserve"> HYPERLINK \l _Toc16107 </w:instrText>
          </w:r>
          <w:r>
            <w:rPr>
              <w:b/>
              <w:bCs/>
            </w:rPr>
            <w:fldChar w:fldCharType="separate"/>
          </w:r>
          <w:r>
            <w:rPr>
              <w:rFonts w:hint="eastAsia" w:ascii="仿宋" w:hAnsi="仿宋" w:eastAsia="仿宋"/>
              <w:b/>
              <w:bCs/>
            </w:rPr>
            <w:t>六、一般公共预算财政拨款支出决算表</w:t>
          </w:r>
          <w:r>
            <w:rPr>
              <w:b/>
              <w:bCs/>
            </w:rPr>
            <w:tab/>
          </w:r>
          <w:r>
            <w:rPr>
              <w:b/>
              <w:bCs/>
            </w:rPr>
            <w:fldChar w:fldCharType="begin"/>
          </w:r>
          <w:r>
            <w:rPr>
              <w:b/>
              <w:bCs/>
            </w:rPr>
            <w:instrText xml:space="preserve"> PAGEREF _Toc16107 \h </w:instrText>
          </w:r>
          <w:r>
            <w:rPr>
              <w:b/>
              <w:bCs/>
            </w:rPr>
            <w:fldChar w:fldCharType="separate"/>
          </w:r>
          <w:r>
            <w:rPr>
              <w:b/>
              <w:bCs/>
            </w:rPr>
            <w:t>22</w:t>
          </w:r>
          <w:r>
            <w:rPr>
              <w:b/>
              <w:bCs/>
            </w:rPr>
            <w:fldChar w:fldCharType="end"/>
          </w:r>
          <w:r>
            <w:rPr>
              <w:b/>
              <w:bCs/>
            </w:rPr>
            <w:fldChar w:fldCharType="end"/>
          </w:r>
        </w:p>
        <w:p>
          <w:pPr>
            <w:pStyle w:val="36"/>
            <w:tabs>
              <w:tab w:val="right" w:leader="dot" w:pos="8306"/>
            </w:tabs>
            <w:rPr>
              <w:b/>
              <w:bCs/>
            </w:rPr>
          </w:pPr>
          <w:r>
            <w:rPr>
              <w:b/>
              <w:bCs/>
            </w:rPr>
            <w:fldChar w:fldCharType="begin"/>
          </w:r>
          <w:r>
            <w:rPr>
              <w:b/>
              <w:bCs/>
            </w:rPr>
            <w:instrText xml:space="preserve"> HYPERLINK \l _Toc19412 </w:instrText>
          </w:r>
          <w:r>
            <w:rPr>
              <w:b/>
              <w:bCs/>
            </w:rPr>
            <w:fldChar w:fldCharType="separate"/>
          </w:r>
          <w:r>
            <w:rPr>
              <w:rFonts w:hint="eastAsia" w:ascii="仿宋" w:hAnsi="仿宋" w:eastAsia="仿宋"/>
              <w:b/>
              <w:bCs/>
            </w:rPr>
            <w:t>七、一般公共预算财政拨款支出决算明细表</w:t>
          </w:r>
          <w:r>
            <w:rPr>
              <w:b/>
              <w:bCs/>
            </w:rPr>
            <w:tab/>
          </w:r>
          <w:r>
            <w:rPr>
              <w:b/>
              <w:bCs/>
            </w:rPr>
            <w:fldChar w:fldCharType="begin"/>
          </w:r>
          <w:r>
            <w:rPr>
              <w:b/>
              <w:bCs/>
            </w:rPr>
            <w:instrText xml:space="preserve"> PAGEREF _Toc19412 \h </w:instrText>
          </w:r>
          <w:r>
            <w:rPr>
              <w:b/>
              <w:bCs/>
            </w:rPr>
            <w:fldChar w:fldCharType="separate"/>
          </w:r>
          <w:r>
            <w:rPr>
              <w:b/>
              <w:bCs/>
            </w:rPr>
            <w:t>22</w:t>
          </w:r>
          <w:r>
            <w:rPr>
              <w:b/>
              <w:bCs/>
            </w:rPr>
            <w:fldChar w:fldCharType="end"/>
          </w:r>
          <w:r>
            <w:rPr>
              <w:b/>
              <w:bCs/>
            </w:rPr>
            <w:fldChar w:fldCharType="end"/>
          </w:r>
        </w:p>
        <w:p>
          <w:pPr>
            <w:pStyle w:val="36"/>
            <w:tabs>
              <w:tab w:val="right" w:leader="dot" w:pos="8306"/>
            </w:tabs>
            <w:rPr>
              <w:b/>
              <w:bCs/>
            </w:rPr>
          </w:pPr>
          <w:r>
            <w:rPr>
              <w:b/>
              <w:bCs/>
            </w:rPr>
            <w:fldChar w:fldCharType="begin"/>
          </w:r>
          <w:r>
            <w:rPr>
              <w:b/>
              <w:bCs/>
            </w:rPr>
            <w:instrText xml:space="preserve"> HYPERLINK \l _Toc24352 </w:instrText>
          </w:r>
          <w:r>
            <w:rPr>
              <w:b/>
              <w:bCs/>
            </w:rPr>
            <w:fldChar w:fldCharType="separate"/>
          </w:r>
          <w:r>
            <w:rPr>
              <w:rFonts w:hint="eastAsia" w:ascii="仿宋" w:hAnsi="仿宋" w:eastAsia="仿宋"/>
              <w:b/>
              <w:bCs/>
            </w:rPr>
            <w:t>八、一般公共预算财政拨款基本支出决算表</w:t>
          </w:r>
          <w:r>
            <w:rPr>
              <w:b/>
              <w:bCs/>
            </w:rPr>
            <w:tab/>
          </w:r>
          <w:r>
            <w:rPr>
              <w:b/>
              <w:bCs/>
            </w:rPr>
            <w:fldChar w:fldCharType="begin"/>
          </w:r>
          <w:r>
            <w:rPr>
              <w:b/>
              <w:bCs/>
            </w:rPr>
            <w:instrText xml:space="preserve"> PAGEREF _Toc24352 \h </w:instrText>
          </w:r>
          <w:r>
            <w:rPr>
              <w:b/>
              <w:bCs/>
            </w:rPr>
            <w:fldChar w:fldCharType="separate"/>
          </w:r>
          <w:r>
            <w:rPr>
              <w:b/>
              <w:bCs/>
            </w:rPr>
            <w:t>22</w:t>
          </w:r>
          <w:r>
            <w:rPr>
              <w:b/>
              <w:bCs/>
            </w:rPr>
            <w:fldChar w:fldCharType="end"/>
          </w:r>
          <w:r>
            <w:rPr>
              <w:b/>
              <w:bCs/>
            </w:rPr>
            <w:fldChar w:fldCharType="end"/>
          </w:r>
        </w:p>
        <w:p>
          <w:pPr>
            <w:pStyle w:val="36"/>
            <w:tabs>
              <w:tab w:val="right" w:leader="dot" w:pos="8306"/>
            </w:tabs>
            <w:rPr>
              <w:b/>
              <w:bCs/>
            </w:rPr>
          </w:pPr>
          <w:r>
            <w:rPr>
              <w:b/>
              <w:bCs/>
            </w:rPr>
            <w:fldChar w:fldCharType="begin"/>
          </w:r>
          <w:r>
            <w:rPr>
              <w:b/>
              <w:bCs/>
            </w:rPr>
            <w:instrText xml:space="preserve"> HYPERLINK \l _Toc11283 </w:instrText>
          </w:r>
          <w:r>
            <w:rPr>
              <w:b/>
              <w:bCs/>
            </w:rPr>
            <w:fldChar w:fldCharType="separate"/>
          </w:r>
          <w:r>
            <w:rPr>
              <w:rFonts w:hint="eastAsia" w:ascii="仿宋" w:hAnsi="仿宋" w:eastAsia="仿宋"/>
              <w:b/>
              <w:bCs/>
            </w:rPr>
            <w:t>九、一般公共预算财政拨款项目支出决算表</w:t>
          </w:r>
          <w:r>
            <w:rPr>
              <w:b/>
              <w:bCs/>
            </w:rPr>
            <w:tab/>
          </w:r>
          <w:r>
            <w:rPr>
              <w:b/>
              <w:bCs/>
            </w:rPr>
            <w:fldChar w:fldCharType="begin"/>
          </w:r>
          <w:r>
            <w:rPr>
              <w:b/>
              <w:bCs/>
            </w:rPr>
            <w:instrText xml:space="preserve"> PAGEREF _Toc11283 \h </w:instrText>
          </w:r>
          <w:r>
            <w:rPr>
              <w:b/>
              <w:bCs/>
            </w:rPr>
            <w:fldChar w:fldCharType="separate"/>
          </w:r>
          <w:r>
            <w:rPr>
              <w:b/>
              <w:bCs/>
            </w:rPr>
            <w:t>22</w:t>
          </w:r>
          <w:r>
            <w:rPr>
              <w:b/>
              <w:bCs/>
            </w:rPr>
            <w:fldChar w:fldCharType="end"/>
          </w:r>
          <w:r>
            <w:rPr>
              <w:b/>
              <w:bCs/>
            </w:rPr>
            <w:fldChar w:fldCharType="end"/>
          </w:r>
        </w:p>
        <w:p>
          <w:pPr>
            <w:pStyle w:val="36"/>
            <w:tabs>
              <w:tab w:val="right" w:leader="dot" w:pos="8306"/>
            </w:tabs>
            <w:rPr>
              <w:b/>
              <w:bCs/>
            </w:rPr>
          </w:pPr>
          <w:r>
            <w:rPr>
              <w:b/>
              <w:bCs/>
            </w:rPr>
            <w:fldChar w:fldCharType="begin"/>
          </w:r>
          <w:r>
            <w:rPr>
              <w:b/>
              <w:bCs/>
            </w:rPr>
            <w:instrText xml:space="preserve"> HYPERLINK \l _Toc20966 </w:instrText>
          </w:r>
          <w:r>
            <w:rPr>
              <w:b/>
              <w:bCs/>
            </w:rPr>
            <w:fldChar w:fldCharType="separate"/>
          </w:r>
          <w:r>
            <w:rPr>
              <w:rFonts w:hint="eastAsia" w:ascii="仿宋" w:hAnsi="仿宋" w:eastAsia="仿宋"/>
              <w:b/>
              <w:bCs/>
            </w:rPr>
            <w:t>十、政府性基金预算财政拨款收入支出决算表</w:t>
          </w:r>
          <w:r>
            <w:rPr>
              <w:b/>
              <w:bCs/>
            </w:rPr>
            <w:tab/>
          </w:r>
          <w:r>
            <w:rPr>
              <w:b/>
              <w:bCs/>
            </w:rPr>
            <w:fldChar w:fldCharType="begin"/>
          </w:r>
          <w:r>
            <w:rPr>
              <w:b/>
              <w:bCs/>
            </w:rPr>
            <w:instrText xml:space="preserve"> PAGEREF _Toc20966 \h </w:instrText>
          </w:r>
          <w:r>
            <w:rPr>
              <w:b/>
              <w:bCs/>
            </w:rPr>
            <w:fldChar w:fldCharType="separate"/>
          </w:r>
          <w:r>
            <w:rPr>
              <w:b/>
              <w:bCs/>
            </w:rPr>
            <w:t>22</w:t>
          </w:r>
          <w:r>
            <w:rPr>
              <w:b/>
              <w:bCs/>
            </w:rPr>
            <w:fldChar w:fldCharType="end"/>
          </w:r>
          <w:r>
            <w:rPr>
              <w:b/>
              <w:bCs/>
            </w:rPr>
            <w:fldChar w:fldCharType="end"/>
          </w:r>
        </w:p>
        <w:p>
          <w:pPr>
            <w:pStyle w:val="36"/>
            <w:tabs>
              <w:tab w:val="right" w:leader="dot" w:pos="8306"/>
            </w:tabs>
            <w:rPr>
              <w:b/>
              <w:bCs/>
            </w:rPr>
          </w:pPr>
          <w:r>
            <w:rPr>
              <w:b/>
              <w:bCs/>
            </w:rPr>
            <w:fldChar w:fldCharType="begin"/>
          </w:r>
          <w:r>
            <w:rPr>
              <w:b/>
              <w:bCs/>
            </w:rPr>
            <w:instrText xml:space="preserve"> HYPERLINK \l _Toc5848 </w:instrText>
          </w:r>
          <w:r>
            <w:rPr>
              <w:b/>
              <w:bCs/>
            </w:rPr>
            <w:fldChar w:fldCharType="separate"/>
          </w:r>
          <w:r>
            <w:rPr>
              <w:rFonts w:hint="eastAsia" w:ascii="仿宋" w:hAnsi="仿宋" w:eastAsia="仿宋"/>
              <w:b/>
              <w:bCs/>
            </w:rPr>
            <w:t>十一、国有资本经营预算财政拨款收入支出决算表</w:t>
          </w:r>
          <w:r>
            <w:rPr>
              <w:b/>
              <w:bCs/>
            </w:rPr>
            <w:tab/>
          </w:r>
          <w:r>
            <w:rPr>
              <w:b/>
              <w:bCs/>
            </w:rPr>
            <w:fldChar w:fldCharType="begin"/>
          </w:r>
          <w:r>
            <w:rPr>
              <w:b/>
              <w:bCs/>
            </w:rPr>
            <w:instrText xml:space="preserve"> PAGEREF _Toc5848 \h </w:instrText>
          </w:r>
          <w:r>
            <w:rPr>
              <w:b/>
              <w:bCs/>
            </w:rPr>
            <w:fldChar w:fldCharType="separate"/>
          </w:r>
          <w:r>
            <w:rPr>
              <w:b/>
              <w:bCs/>
            </w:rPr>
            <w:t>22</w:t>
          </w:r>
          <w:r>
            <w:rPr>
              <w:b/>
              <w:bCs/>
            </w:rPr>
            <w:fldChar w:fldCharType="end"/>
          </w:r>
          <w:r>
            <w:rPr>
              <w:b/>
              <w:bCs/>
            </w:rPr>
            <w:fldChar w:fldCharType="end"/>
          </w:r>
        </w:p>
        <w:p>
          <w:pPr>
            <w:pStyle w:val="36"/>
            <w:tabs>
              <w:tab w:val="right" w:leader="dot" w:pos="8306"/>
            </w:tabs>
            <w:rPr>
              <w:b/>
              <w:bCs/>
            </w:rPr>
          </w:pPr>
          <w:r>
            <w:rPr>
              <w:b/>
              <w:bCs/>
            </w:rPr>
            <w:fldChar w:fldCharType="begin"/>
          </w:r>
          <w:r>
            <w:rPr>
              <w:b/>
              <w:bCs/>
            </w:rPr>
            <w:instrText xml:space="preserve"> HYPERLINK \l _Toc20337 </w:instrText>
          </w:r>
          <w:r>
            <w:rPr>
              <w:b/>
              <w:bCs/>
            </w:rPr>
            <w:fldChar w:fldCharType="separate"/>
          </w:r>
          <w:r>
            <w:rPr>
              <w:rFonts w:hint="eastAsia" w:ascii="仿宋" w:hAnsi="仿宋" w:eastAsia="仿宋"/>
              <w:b/>
              <w:bCs/>
            </w:rPr>
            <w:t>十二、国有资本经营预算财政拨款支出决算表</w:t>
          </w:r>
          <w:r>
            <w:rPr>
              <w:b/>
              <w:bCs/>
            </w:rPr>
            <w:tab/>
          </w:r>
          <w:r>
            <w:rPr>
              <w:b/>
              <w:bCs/>
            </w:rPr>
            <w:fldChar w:fldCharType="begin"/>
          </w:r>
          <w:r>
            <w:rPr>
              <w:b/>
              <w:bCs/>
            </w:rPr>
            <w:instrText xml:space="preserve"> PAGEREF _Toc20337 \h </w:instrText>
          </w:r>
          <w:r>
            <w:rPr>
              <w:b/>
              <w:bCs/>
            </w:rPr>
            <w:fldChar w:fldCharType="separate"/>
          </w:r>
          <w:r>
            <w:rPr>
              <w:b/>
              <w:bCs/>
            </w:rPr>
            <w:t>22</w:t>
          </w:r>
          <w:r>
            <w:rPr>
              <w:b/>
              <w:bCs/>
            </w:rPr>
            <w:fldChar w:fldCharType="end"/>
          </w:r>
          <w:r>
            <w:rPr>
              <w:b/>
              <w:bCs/>
            </w:rPr>
            <w:fldChar w:fldCharType="end"/>
          </w:r>
        </w:p>
        <w:p>
          <w:pPr>
            <w:pStyle w:val="36"/>
            <w:tabs>
              <w:tab w:val="right" w:leader="dot" w:pos="8306"/>
            </w:tabs>
          </w:pPr>
          <w:r>
            <w:rPr>
              <w:b/>
              <w:bCs/>
            </w:rPr>
            <w:fldChar w:fldCharType="begin"/>
          </w:r>
          <w:r>
            <w:rPr>
              <w:b/>
              <w:bCs/>
            </w:rPr>
            <w:instrText xml:space="preserve"> HYPERLINK \l _Toc20297 </w:instrText>
          </w:r>
          <w:r>
            <w:rPr>
              <w:b/>
              <w:bCs/>
            </w:rPr>
            <w:fldChar w:fldCharType="separate"/>
          </w:r>
          <w:r>
            <w:rPr>
              <w:rFonts w:hint="eastAsia" w:ascii="仿宋" w:hAnsi="仿宋" w:eastAsia="仿宋"/>
              <w:b/>
              <w:bCs/>
            </w:rPr>
            <w:t>十三、财政拨款“三公”经费支出决算表</w:t>
          </w:r>
          <w:r>
            <w:rPr>
              <w:b/>
              <w:bCs/>
            </w:rPr>
            <w:tab/>
          </w:r>
          <w:r>
            <w:rPr>
              <w:b/>
              <w:bCs/>
            </w:rPr>
            <w:fldChar w:fldCharType="begin"/>
          </w:r>
          <w:r>
            <w:rPr>
              <w:b/>
              <w:bCs/>
            </w:rPr>
            <w:instrText xml:space="preserve"> PAGEREF _Toc20297 \h </w:instrText>
          </w:r>
          <w:r>
            <w:rPr>
              <w:b/>
              <w:bCs/>
            </w:rPr>
            <w:fldChar w:fldCharType="separate"/>
          </w:r>
          <w:r>
            <w:rPr>
              <w:b/>
              <w:bCs/>
            </w:rPr>
            <w:t>22</w:t>
          </w:r>
          <w:r>
            <w:rPr>
              <w:b/>
              <w:bCs/>
            </w:rPr>
            <w:fldChar w:fldCharType="end"/>
          </w:r>
          <w:r>
            <w:rPr>
              <w:b/>
              <w:bCs/>
            </w:rPr>
            <w:fldChar w:fldCharType="end"/>
          </w:r>
        </w:p>
        <w:p>
          <w:pPr>
            <w:rPr>
              <w:b/>
            </w:rPr>
            <w:sectPr>
              <w:headerReference r:id="rId4" w:type="first"/>
              <w:footerReference r:id="rId6" w:type="first"/>
              <w:headerReference r:id="rId3" w:type="default"/>
              <w:footerReference r:id="rId5" w:type="default"/>
              <w:pgSz w:w="11906" w:h="16838"/>
              <w:pgMar w:top="1440" w:right="1800" w:bottom="1440" w:left="1800" w:header="851" w:footer="992" w:gutter="0"/>
              <w:pgNumType w:fmt="decimal" w:start="1"/>
              <w:cols w:space="425" w:num="1"/>
              <w:docGrid w:type="lines" w:linePitch="312" w:charSpace="0"/>
            </w:sectPr>
          </w:pPr>
          <w:r>
            <w:rPr>
              <w:b/>
            </w:rPr>
            <w:fldChar w:fldCharType="end"/>
          </w:r>
        </w:p>
      </w:sdtContent>
    </w:sdt>
    <w:p>
      <w:pPr>
        <w:widowControl/>
        <w:spacing w:line="440" w:lineRule="exact"/>
        <w:jc w:val="center"/>
        <w:rPr>
          <w:rFonts w:hint="eastAsia" w:ascii="黑体" w:hAnsi="黑体" w:eastAsia="黑体" w:cs="Times New Roman"/>
          <w:b w:val="0"/>
          <w:bCs/>
          <w:color w:val="auto"/>
          <w:kern w:val="44"/>
          <w:sz w:val="44"/>
          <w:szCs w:val="44"/>
          <w:highlight w:val="none"/>
          <w:lang w:val="en-US" w:eastAsia="zh-CN" w:bidi="ar-SA"/>
        </w:rPr>
      </w:pPr>
      <w:bookmarkStart w:id="16" w:name="_Toc15396599"/>
      <w:bookmarkStart w:id="17" w:name="_Toc11827"/>
      <w:bookmarkStart w:id="18" w:name="_Toc15377196"/>
      <w:r>
        <w:rPr>
          <w:rFonts w:hint="eastAsia" w:ascii="黑体" w:hAnsi="黑体" w:eastAsia="黑体" w:cs="Times New Roman"/>
          <w:b w:val="0"/>
          <w:bCs/>
          <w:color w:val="auto"/>
          <w:kern w:val="44"/>
          <w:sz w:val="44"/>
          <w:szCs w:val="44"/>
          <w:highlight w:val="none"/>
          <w:lang w:val="en-US" w:eastAsia="zh-CN" w:bidi="ar-SA"/>
        </w:rPr>
        <w:t>第一部分 单位概况</w:t>
      </w:r>
      <w:bookmarkEnd w:id="16"/>
      <w:bookmarkEnd w:id="17"/>
      <w:bookmarkEnd w:id="18"/>
    </w:p>
    <w:p>
      <w:pPr>
        <w:pStyle w:val="6"/>
        <w:numPr>
          <w:ilvl w:val="0"/>
          <w:numId w:val="2"/>
        </w:numPr>
        <w:rPr>
          <w:rStyle w:val="30"/>
          <w:rFonts w:ascii="黑体" w:hAnsi="黑体" w:eastAsia="黑体"/>
          <w:b w:val="0"/>
          <w:bCs w:val="0"/>
        </w:rPr>
      </w:pPr>
      <w:bookmarkStart w:id="19" w:name="_Toc23427"/>
      <w:bookmarkStart w:id="20" w:name="_Toc15396600"/>
      <w:bookmarkStart w:id="21" w:name="_Toc15377197"/>
      <w:r>
        <w:rPr>
          <w:rStyle w:val="30"/>
          <w:rFonts w:hint="eastAsia" w:ascii="黑体" w:hAnsi="黑体" w:eastAsia="黑体"/>
          <w:b w:val="0"/>
          <w:bCs w:val="0"/>
        </w:rPr>
        <w:t>主要职责</w:t>
      </w:r>
      <w:bookmarkEnd w:id="19"/>
    </w:p>
    <w:p>
      <w:pPr>
        <w:pStyle w:val="39"/>
        <w:numPr>
          <w:ilvl w:val="0"/>
          <w:numId w:val="0"/>
        </w:numPr>
        <w:spacing w:line="360" w:lineRule="auto"/>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负责集中统一管理和依法接收、征集应由区档案馆保管的档案资料，并对所保存的档案资料进行整理和日常保管、保护；组织实施对馆藏档案的鉴定、解密、划控、开放，对褪变、破损档案进行抢救，对失去保管价值的档案进行销毁；及时准确为利用者提供档案服务；开发馆藏档案信息资源， 编研、编辑、公布档案史料，为经济建设、社会发展和科学研究服务；开展爱国主义教育基地、档案安全保管基地、档案利用服务中心、政府公开信息查阅中心、电子档案备份管理中心等档案馆“五位一体”功能建设。编辑出版区《年鉴》。</w:t>
      </w:r>
    </w:p>
    <w:p>
      <w:pPr>
        <w:pStyle w:val="6"/>
        <w:rPr>
          <w:rFonts w:ascii="黑体" w:hAnsi="黑体" w:eastAsia="黑体"/>
          <w:b w:val="0"/>
        </w:rPr>
      </w:pPr>
      <w:bookmarkStart w:id="22" w:name="_Toc8873"/>
      <w:r>
        <w:rPr>
          <w:rFonts w:hint="eastAsia" w:ascii="黑体" w:hAnsi="黑体" w:eastAsia="黑体"/>
          <w:b w:val="0"/>
        </w:rPr>
        <w:t>二、机构设置</w:t>
      </w:r>
      <w:bookmarkEnd w:id="22"/>
    </w:p>
    <w:bookmarkEnd w:id="20"/>
    <w:bookmarkEnd w:id="21"/>
    <w:p>
      <w:pPr>
        <w:spacing w:line="360" w:lineRule="auto"/>
        <w:ind w:firstLine="660"/>
        <w:rPr>
          <w:rFonts w:hint="eastAsia" w:ascii="仿宋" w:hAnsi="仿宋" w:eastAsia="仿宋" w:cs="Times New Roman"/>
          <w:color w:val="auto"/>
          <w:kern w:val="0"/>
          <w:sz w:val="32"/>
          <w:szCs w:val="32"/>
          <w:highlight w:val="none"/>
          <w:lang w:val="en-US" w:eastAsia="zh-CN" w:bidi="ar-SA"/>
        </w:rPr>
      </w:pPr>
      <w:r>
        <w:rPr>
          <w:rFonts w:hint="eastAsia" w:ascii="仿宋" w:hAnsi="仿宋" w:eastAsia="仿宋" w:cs="Times New Roman"/>
          <w:color w:val="auto"/>
          <w:kern w:val="0"/>
          <w:sz w:val="32"/>
          <w:szCs w:val="32"/>
          <w:highlight w:val="none"/>
          <w:lang w:val="en-US" w:eastAsia="zh-CN" w:bidi="ar-SA"/>
        </w:rPr>
        <w:t>五通桥区档案馆下属二级单位1个，其中行政单位0个，参照公务员法管理的事业单位1个，其他事业单位0个。</w:t>
      </w:r>
    </w:p>
    <w:p>
      <w:pPr>
        <w:spacing w:line="360" w:lineRule="auto"/>
        <w:ind w:firstLine="660"/>
        <w:rPr>
          <w:rFonts w:hint="eastAsia" w:ascii="仿宋" w:hAnsi="仿宋" w:eastAsia="仿宋" w:cs="Times New Roman"/>
          <w:color w:val="auto"/>
          <w:kern w:val="0"/>
          <w:sz w:val="32"/>
          <w:szCs w:val="32"/>
          <w:highlight w:val="none"/>
          <w:lang w:val="en-US" w:eastAsia="zh-CN" w:bidi="ar-SA"/>
        </w:rPr>
      </w:pPr>
      <w:r>
        <w:rPr>
          <w:rFonts w:hint="eastAsia" w:ascii="仿宋" w:hAnsi="仿宋" w:eastAsia="仿宋" w:cs="Times New Roman"/>
          <w:color w:val="auto"/>
          <w:kern w:val="0"/>
          <w:sz w:val="32"/>
          <w:szCs w:val="32"/>
          <w:highlight w:val="none"/>
          <w:lang w:val="en-US" w:eastAsia="zh-CN" w:bidi="ar-SA"/>
        </w:rPr>
        <w:t>纳入乐山市五通桥区档案馆2023年度部门决算编制范围的二级预算单位：五通桥区档案馆。</w:t>
      </w:r>
    </w:p>
    <w:p>
      <w:pPr>
        <w:widowControl/>
        <w:jc w:val="left"/>
        <w:rPr>
          <w:rStyle w:val="29"/>
          <w:rFonts w:hint="eastAsia" w:ascii="黑体" w:hAnsi="黑体" w:eastAsia="黑体" w:cstheme="minorBidi"/>
          <w:b w:val="0"/>
          <w:bCs/>
        </w:rPr>
      </w:pPr>
      <w:bookmarkStart w:id="23" w:name="_Toc10281"/>
      <w:bookmarkStart w:id="24" w:name="_Toc15377204"/>
      <w:bookmarkStart w:id="25" w:name="_Toc15396602"/>
      <w:r>
        <w:rPr>
          <w:rStyle w:val="29"/>
          <w:rFonts w:hint="eastAsia" w:ascii="黑体" w:hAnsi="黑体" w:eastAsia="黑体" w:cstheme="minorBidi"/>
          <w:b w:val="0"/>
          <w:bCs/>
        </w:rPr>
        <w:t>第二部分 2023年度单位决算情况说明</w:t>
      </w:r>
      <w:bookmarkEnd w:id="23"/>
      <w:bookmarkEnd w:id="24"/>
      <w:bookmarkEnd w:id="25"/>
    </w:p>
    <w:p/>
    <w:p>
      <w:pPr>
        <w:pStyle w:val="28"/>
        <w:numPr>
          <w:ilvl w:val="0"/>
          <w:numId w:val="3"/>
        </w:numPr>
        <w:spacing w:line="600" w:lineRule="exact"/>
        <w:ind w:firstLineChars="0"/>
        <w:outlineLvl w:val="1"/>
        <w:rPr>
          <w:rStyle w:val="30"/>
          <w:rFonts w:ascii="黑体" w:hAnsi="黑体" w:eastAsia="黑体"/>
          <w:b w:val="0"/>
        </w:rPr>
      </w:pPr>
      <w:bookmarkStart w:id="26" w:name="_Toc28225"/>
      <w:bookmarkStart w:id="27" w:name="_Toc15396603"/>
      <w:bookmarkStart w:id="28" w:name="_Toc15377205"/>
      <w:r>
        <w:rPr>
          <w:rFonts w:hint="eastAsia" w:ascii="黑体" w:hAnsi="黑体" w:eastAsia="黑体"/>
          <w:sz w:val="32"/>
          <w:szCs w:val="32"/>
        </w:rPr>
        <w:t>收</w:t>
      </w:r>
      <w:r>
        <w:rPr>
          <w:rStyle w:val="30"/>
          <w:rFonts w:hint="eastAsia" w:ascii="黑体" w:hAnsi="黑体" w:eastAsia="黑体"/>
          <w:b w:val="0"/>
        </w:rPr>
        <w:t>入支出决算总体情况说明</w:t>
      </w:r>
      <w:bookmarkEnd w:id="26"/>
      <w:bookmarkEnd w:id="27"/>
      <w:bookmarkEnd w:id="28"/>
    </w:p>
    <w:p>
      <w:pPr>
        <w:bidi w:val="0"/>
        <w:ind w:firstLine="640" w:firstLineChars="200"/>
        <w:rPr>
          <w:rFonts w:ascii="仿宋" w:hAnsi="仿宋" w:eastAsia="仿宋"/>
          <w:sz w:val="32"/>
          <w:szCs w:val="32"/>
        </w:rPr>
      </w:pPr>
      <w:r>
        <w:rPr>
          <w:rFonts w:hint="eastAsia" w:ascii="仿宋" w:hAnsi="仿宋" w:eastAsia="仿宋"/>
          <w:sz w:val="32"/>
          <w:szCs w:val="32"/>
        </w:rPr>
        <w:t>2023年度收、支总计均为</w:t>
      </w:r>
      <w:r>
        <w:rPr>
          <w:rFonts w:hint="eastAsia" w:ascii="仿宋" w:hAnsi="仿宋" w:eastAsia="仿宋"/>
          <w:b/>
          <w:sz w:val="32"/>
          <w:szCs w:val="32"/>
        </w:rPr>
        <w:t>292.31</w:t>
      </w:r>
      <w:r>
        <w:rPr>
          <w:rFonts w:hint="eastAsia" w:ascii="仿宋" w:hAnsi="仿宋" w:eastAsia="仿宋"/>
          <w:sz w:val="32"/>
          <w:szCs w:val="32"/>
        </w:rPr>
        <w:t>万元。与2022年度</w:t>
      </w:r>
      <w:r>
        <w:rPr>
          <w:rFonts w:hint="eastAsia" w:ascii="仿宋" w:hAnsi="仿宋" w:eastAsia="仿宋"/>
          <w:sz w:val="32"/>
          <w:szCs w:val="32"/>
          <w:lang w:val="en-US" w:eastAsia="zh-CN"/>
        </w:rPr>
        <w:t>312.02万元</w:t>
      </w:r>
      <w:r>
        <w:rPr>
          <w:rFonts w:hint="eastAsia" w:ascii="仿宋" w:hAnsi="仿宋" w:eastAsia="仿宋"/>
          <w:sz w:val="32"/>
          <w:szCs w:val="32"/>
        </w:rPr>
        <w:t>相比，收、支总计各减少</w:t>
      </w:r>
      <w:r>
        <w:rPr>
          <w:rFonts w:hint="eastAsia" w:ascii="仿宋" w:hAnsi="仿宋" w:eastAsia="仿宋"/>
          <w:sz w:val="32"/>
          <w:szCs w:val="32"/>
          <w:lang w:val="en-US" w:eastAsia="zh-CN"/>
        </w:rPr>
        <w:t>19.71</w:t>
      </w:r>
      <w:r>
        <w:rPr>
          <w:rFonts w:hint="eastAsia" w:ascii="仿宋" w:hAnsi="仿宋" w:eastAsia="仿宋"/>
          <w:sz w:val="32"/>
          <w:szCs w:val="32"/>
        </w:rPr>
        <w:t>万元，下降</w:t>
      </w:r>
      <w:r>
        <w:rPr>
          <w:rFonts w:hint="eastAsia" w:ascii="仿宋" w:hAnsi="仿宋" w:eastAsia="仿宋"/>
          <w:sz w:val="32"/>
          <w:szCs w:val="32"/>
          <w:lang w:val="en-US" w:eastAsia="zh-CN"/>
        </w:rPr>
        <w:t>6.3</w:t>
      </w:r>
      <w:r>
        <w:rPr>
          <w:rFonts w:ascii="仿宋" w:hAnsi="仿宋" w:eastAsia="仿宋"/>
          <w:sz w:val="32"/>
          <w:szCs w:val="32"/>
        </w:rPr>
        <w:t>%</w:t>
      </w:r>
      <w:r>
        <w:rPr>
          <w:rFonts w:hint="eastAsia" w:ascii="仿宋" w:hAnsi="仿宋" w:eastAsia="仿宋"/>
          <w:sz w:val="32"/>
          <w:szCs w:val="32"/>
        </w:rPr>
        <w:t>。主要变动原因是一般公共预算财政拨款收</w:t>
      </w:r>
      <w:r>
        <w:rPr>
          <w:rFonts w:hint="eastAsia" w:ascii="仿宋" w:hAnsi="仿宋" w:eastAsia="仿宋"/>
          <w:sz w:val="32"/>
          <w:szCs w:val="32"/>
          <w:lang w:eastAsia="zh-CN"/>
        </w:rPr>
        <w:t>入增加</w:t>
      </w:r>
      <w:r>
        <w:rPr>
          <w:rFonts w:hint="eastAsia" w:ascii="仿宋" w:hAnsi="仿宋" w:eastAsia="仿宋"/>
          <w:sz w:val="32"/>
          <w:szCs w:val="32"/>
          <w:lang w:val="en-US" w:eastAsia="zh-CN"/>
        </w:rPr>
        <w:t>23.16</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国有资本经营预算财政拨款收入</w:t>
      </w:r>
      <w:r>
        <w:rPr>
          <w:rFonts w:hint="eastAsia" w:ascii="仿宋" w:hAnsi="仿宋" w:eastAsia="仿宋"/>
          <w:sz w:val="32"/>
          <w:szCs w:val="32"/>
          <w:lang w:eastAsia="zh-CN"/>
        </w:rPr>
        <w:t>减少</w:t>
      </w:r>
      <w:r>
        <w:rPr>
          <w:rFonts w:hint="eastAsia" w:ascii="仿宋" w:hAnsi="仿宋" w:eastAsia="仿宋"/>
          <w:sz w:val="32"/>
          <w:szCs w:val="32"/>
          <w:lang w:val="en-US" w:eastAsia="zh-CN"/>
        </w:rPr>
        <w:t>45万元、其他收入增加0.15万元、年初结转和结余增加1.98万元、</w:t>
      </w:r>
      <w:r>
        <w:rPr>
          <w:rFonts w:hint="eastAsia" w:ascii="仿宋_GB2312" w:hAnsi="仿宋_GB2312" w:eastAsia="仿宋_GB2312"/>
          <w:color w:val="000000"/>
          <w:kern w:val="2"/>
          <w:sz w:val="32"/>
          <w:lang w:val="zh-CN"/>
        </w:rPr>
        <w:t>一般公共服务支出</w:t>
      </w:r>
      <w:r>
        <w:rPr>
          <w:rFonts w:hint="eastAsia" w:ascii="仿宋_GB2312" w:hAnsi="仿宋_GB2312" w:eastAsia="仿宋_GB2312"/>
          <w:color w:val="000000"/>
          <w:kern w:val="2"/>
          <w:sz w:val="32"/>
          <w:lang w:val="en-US" w:eastAsia="zh-CN"/>
        </w:rPr>
        <w:t>增加2.43</w:t>
      </w:r>
      <w:r>
        <w:rPr>
          <w:rFonts w:hint="eastAsia" w:ascii="仿宋_GB2312" w:hAnsi="仿宋_GB2312" w:eastAsia="仿宋_GB2312"/>
          <w:color w:val="000000"/>
          <w:kern w:val="2"/>
          <w:sz w:val="32"/>
          <w:lang w:val="zh-CN"/>
        </w:rPr>
        <w:t>万元、社会保障和就业支出增加</w:t>
      </w:r>
      <w:r>
        <w:rPr>
          <w:rFonts w:hint="eastAsia" w:ascii="仿宋_GB2312" w:hAnsi="仿宋_GB2312" w:eastAsia="仿宋_GB2312"/>
          <w:color w:val="000000"/>
          <w:kern w:val="2"/>
          <w:sz w:val="32"/>
          <w:lang w:val="en-US" w:eastAsia="zh-CN"/>
        </w:rPr>
        <w:t>19.03</w:t>
      </w:r>
      <w:r>
        <w:rPr>
          <w:rFonts w:hint="eastAsia" w:ascii="仿宋_GB2312" w:hAnsi="仿宋_GB2312" w:eastAsia="仿宋_GB2312"/>
          <w:color w:val="000000"/>
          <w:kern w:val="2"/>
          <w:sz w:val="32"/>
          <w:lang w:val="zh-CN"/>
        </w:rPr>
        <w:t>万元、卫生健康支出增加</w:t>
      </w:r>
      <w:r>
        <w:rPr>
          <w:rFonts w:hint="eastAsia" w:ascii="仿宋_GB2312" w:hAnsi="仿宋_GB2312" w:eastAsia="仿宋_GB2312"/>
          <w:color w:val="000000"/>
          <w:kern w:val="2"/>
          <w:sz w:val="32"/>
          <w:lang w:val="en-US" w:eastAsia="zh-CN"/>
        </w:rPr>
        <w:t>0.53</w:t>
      </w:r>
      <w:r>
        <w:rPr>
          <w:rFonts w:hint="eastAsia" w:ascii="仿宋_GB2312" w:hAnsi="仿宋_GB2312" w:eastAsia="仿宋_GB2312"/>
          <w:color w:val="000000"/>
          <w:kern w:val="2"/>
          <w:sz w:val="32"/>
          <w:lang w:val="zh-CN"/>
        </w:rPr>
        <w:t>万元、住房保障支出增加</w:t>
      </w:r>
      <w:r>
        <w:rPr>
          <w:rFonts w:hint="eastAsia" w:ascii="仿宋_GB2312" w:hAnsi="仿宋_GB2312" w:eastAsia="仿宋_GB2312"/>
          <w:color w:val="000000"/>
          <w:kern w:val="2"/>
          <w:sz w:val="32"/>
          <w:lang w:val="en-US" w:eastAsia="zh-CN"/>
        </w:rPr>
        <w:t>1.25</w:t>
      </w:r>
      <w:r>
        <w:rPr>
          <w:rFonts w:hint="eastAsia" w:ascii="仿宋_GB2312" w:hAnsi="仿宋_GB2312" w:eastAsia="仿宋_GB2312"/>
          <w:color w:val="000000"/>
          <w:kern w:val="2"/>
          <w:sz w:val="32"/>
          <w:lang w:val="zh-CN"/>
        </w:rPr>
        <w:t>万元、国有资本经营预算支出减少</w:t>
      </w:r>
      <w:r>
        <w:rPr>
          <w:rFonts w:hint="eastAsia" w:ascii="仿宋_GB2312" w:hAnsi="仿宋_GB2312" w:eastAsia="仿宋_GB2312"/>
          <w:color w:val="000000"/>
          <w:kern w:val="2"/>
          <w:sz w:val="32"/>
          <w:lang w:val="en-US" w:eastAsia="zh-CN"/>
        </w:rPr>
        <w:t>45万元、</w:t>
      </w:r>
      <w:r>
        <w:rPr>
          <w:rFonts w:hint="eastAsia" w:ascii="仿宋_GB2312" w:hAnsi="仿宋_GB2312" w:eastAsia="仿宋_GB2312"/>
          <w:color w:val="000000"/>
          <w:kern w:val="2"/>
          <w:sz w:val="32"/>
          <w:lang w:val="zh-CN"/>
        </w:rPr>
        <w:t>年末结转和结余增加</w:t>
      </w:r>
      <w:r>
        <w:rPr>
          <w:rFonts w:hint="eastAsia" w:ascii="仿宋_GB2312" w:hAnsi="仿宋_GB2312" w:eastAsia="仿宋_GB2312"/>
          <w:color w:val="000000"/>
          <w:kern w:val="2"/>
          <w:sz w:val="32"/>
          <w:lang w:val="en-US" w:eastAsia="zh-CN"/>
        </w:rPr>
        <w:t>2.04万元</w:t>
      </w:r>
      <w:r>
        <w:rPr>
          <w:rFonts w:hint="eastAsia" w:ascii="仿宋_GB2312" w:hAnsi="仿宋_GB2312" w:eastAsia="仿宋_GB2312"/>
          <w:color w:val="000000"/>
          <w:kern w:val="2"/>
          <w:sz w:val="32"/>
          <w:lang w:val="zh-CN"/>
        </w:rPr>
        <w:t>所致。</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w:t>
      </w:r>
    </w:p>
    <w:p>
      <w:pPr>
        <w:spacing w:line="240" w:lineRule="auto"/>
        <w:ind w:firstLine="640" w:firstLineChars="200"/>
        <w:rPr>
          <w:rFonts w:ascii="仿宋_GB2312" w:eastAsia="仿宋_GB2312"/>
          <w:sz w:val="32"/>
          <w:szCs w:val="32"/>
        </w:rPr>
      </w:pPr>
      <w:r>
        <w:rPr>
          <w:rFonts w:hint="eastAsia" w:ascii="仿宋" w:hAnsi="仿宋" w:eastAsia="仿宋"/>
          <w:sz w:val="32"/>
          <w:szCs w:val="32"/>
          <w:lang w:eastAsia="zh-CN"/>
        </w:rPr>
        <w:drawing>
          <wp:inline distT="0" distB="0" distL="114300" distR="114300">
            <wp:extent cx="4584065" cy="2889250"/>
            <wp:effectExtent l="0" t="0" r="6985" b="6350"/>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1"/>
                    <pic:cNvPicPr>
                      <a:picLocks noChangeAspect="1"/>
                    </pic:cNvPicPr>
                  </pic:nvPicPr>
                  <pic:blipFill>
                    <a:blip r:embed="rId8"/>
                    <a:stretch>
                      <a:fillRect/>
                    </a:stretch>
                  </pic:blipFill>
                  <pic:spPr>
                    <a:xfrm>
                      <a:off x="0" y="0"/>
                      <a:ext cx="4584065" cy="2889250"/>
                    </a:xfrm>
                    <a:prstGeom prst="rect">
                      <a:avLst/>
                    </a:prstGeom>
                  </pic:spPr>
                </pic:pic>
              </a:graphicData>
            </a:graphic>
          </wp:inline>
        </w:drawing>
      </w:r>
    </w:p>
    <w:p>
      <w:pPr>
        <w:pStyle w:val="28"/>
        <w:numPr>
          <w:ilvl w:val="0"/>
          <w:numId w:val="3"/>
        </w:numPr>
        <w:spacing w:line="600" w:lineRule="exact"/>
        <w:ind w:firstLineChars="0"/>
        <w:outlineLvl w:val="1"/>
        <w:rPr>
          <w:rStyle w:val="30"/>
          <w:rFonts w:ascii="黑体" w:hAnsi="黑体" w:eastAsia="黑体"/>
          <w:b w:val="0"/>
        </w:rPr>
      </w:pPr>
      <w:bookmarkStart w:id="29" w:name="_Toc8676"/>
      <w:bookmarkStart w:id="30" w:name="_Toc15396604"/>
      <w:bookmarkStart w:id="31" w:name="_Toc15377206"/>
      <w:r>
        <w:rPr>
          <w:rFonts w:hint="eastAsia" w:ascii="黑体" w:hAnsi="黑体" w:eastAsia="黑体"/>
          <w:sz w:val="32"/>
          <w:szCs w:val="32"/>
        </w:rPr>
        <w:t>收</w:t>
      </w:r>
      <w:r>
        <w:rPr>
          <w:rStyle w:val="30"/>
          <w:rFonts w:hint="eastAsia" w:ascii="黑体" w:hAnsi="黑体" w:eastAsia="黑体"/>
          <w:b w:val="0"/>
        </w:rPr>
        <w:t>入决算情况说明</w:t>
      </w:r>
      <w:bookmarkEnd w:id="29"/>
      <w:bookmarkEnd w:id="30"/>
      <w:bookmarkEnd w:id="31"/>
    </w:p>
    <w:p>
      <w:pPr>
        <w:spacing w:line="600" w:lineRule="exact"/>
        <w:ind w:firstLine="640" w:firstLineChars="200"/>
        <w:outlineLvl w:val="1"/>
        <w:rPr>
          <w:rFonts w:hint="eastAsia" w:ascii="仿宋" w:hAnsi="仿宋" w:eastAsia="仿宋"/>
          <w:sz w:val="32"/>
          <w:szCs w:val="32"/>
          <w:lang w:eastAsia="zh-CN"/>
        </w:rPr>
      </w:pPr>
      <w:bookmarkStart w:id="32" w:name="_Toc6182"/>
      <w:r>
        <w:rPr>
          <w:rFonts w:hint="eastAsia" w:ascii="仿宋" w:hAnsi="仿宋" w:eastAsia="仿宋"/>
          <w:sz w:val="32"/>
          <w:szCs w:val="32"/>
        </w:rPr>
        <w:t>2023年度本年收入合计</w:t>
      </w:r>
      <w:r>
        <w:rPr>
          <w:rFonts w:ascii="仿宋" w:hAnsi="仿宋" w:eastAsia="仿宋"/>
          <w:b/>
          <w:sz w:val="32"/>
          <w:szCs w:val="32"/>
        </w:rPr>
        <w:t>290.32</w:t>
      </w:r>
      <w:r>
        <w:rPr>
          <w:rFonts w:hint="eastAsia" w:ascii="仿宋" w:hAnsi="仿宋" w:eastAsia="仿宋"/>
          <w:sz w:val="32"/>
          <w:szCs w:val="32"/>
        </w:rPr>
        <w:t>万元，其中：一般公共预算财政拨款收入</w:t>
      </w:r>
      <w:r>
        <w:rPr>
          <w:rFonts w:ascii="仿宋" w:hAnsi="仿宋" w:eastAsia="仿宋"/>
          <w:b/>
          <w:sz w:val="32"/>
          <w:szCs w:val="32"/>
        </w:rPr>
        <w:t>290.18</w:t>
      </w:r>
      <w:r>
        <w:rPr>
          <w:rFonts w:hint="eastAsia" w:ascii="仿宋" w:hAnsi="仿宋" w:eastAsia="仿宋"/>
          <w:sz w:val="32"/>
          <w:szCs w:val="32"/>
        </w:rPr>
        <w:t>万元，占</w:t>
      </w:r>
      <w:r>
        <w:rPr>
          <w:rFonts w:ascii="仿宋" w:hAnsi="仿宋" w:eastAsia="仿宋"/>
          <w:b/>
          <w:sz w:val="32"/>
          <w:szCs w:val="32"/>
        </w:rPr>
        <w:t>99.9%</w:t>
      </w:r>
      <w:r>
        <w:rPr>
          <w:rFonts w:hint="eastAsia" w:ascii="仿宋" w:hAnsi="仿宋" w:eastAsia="仿宋"/>
          <w:sz w:val="32"/>
          <w:szCs w:val="32"/>
        </w:rPr>
        <w:t>；其他收入</w:t>
      </w:r>
      <w:r>
        <w:rPr>
          <w:rFonts w:ascii="仿宋" w:hAnsi="仿宋" w:eastAsia="仿宋"/>
          <w:b/>
          <w:sz w:val="32"/>
          <w:szCs w:val="32"/>
        </w:rPr>
        <w:t>0.15</w:t>
      </w:r>
      <w:r>
        <w:rPr>
          <w:rFonts w:hint="eastAsia" w:ascii="仿宋" w:hAnsi="仿宋" w:eastAsia="仿宋"/>
          <w:sz w:val="32"/>
          <w:szCs w:val="32"/>
        </w:rPr>
        <w:t>万元，占</w:t>
      </w:r>
      <w:r>
        <w:rPr>
          <w:rFonts w:ascii="仿宋" w:hAnsi="仿宋" w:eastAsia="仿宋"/>
          <w:b/>
          <w:sz w:val="32"/>
          <w:szCs w:val="32"/>
        </w:rPr>
        <w:t>0.</w:t>
      </w:r>
      <w:r>
        <w:rPr>
          <w:rFonts w:hint="eastAsia" w:ascii="仿宋" w:hAnsi="仿宋" w:eastAsia="仿宋"/>
          <w:b/>
          <w:sz w:val="32"/>
          <w:szCs w:val="32"/>
          <w:lang w:val="en-US" w:eastAsia="zh-CN"/>
        </w:rPr>
        <w:t>1</w:t>
      </w:r>
      <w:r>
        <w:rPr>
          <w:rFonts w:ascii="仿宋" w:hAnsi="仿宋" w:eastAsia="仿宋"/>
          <w:sz w:val="32"/>
          <w:szCs w:val="32"/>
        </w:rPr>
        <w:t>%</w:t>
      </w:r>
      <w:bookmarkEnd w:id="32"/>
      <w:r>
        <w:rPr>
          <w:rFonts w:hint="eastAsia" w:ascii="仿宋" w:hAnsi="仿宋" w:eastAsia="仿宋"/>
          <w:sz w:val="32"/>
          <w:szCs w:val="32"/>
          <w:lang w:eastAsia="zh-CN"/>
        </w:rPr>
        <w:t>。</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图2：收入决算结构图</w:t>
      </w:r>
    </w:p>
    <w:p>
      <w:pPr>
        <w:spacing w:line="600" w:lineRule="exact"/>
        <w:ind w:firstLine="640" w:firstLineChars="200"/>
        <w:rPr>
          <w:rFonts w:hint="eastAsia" w:ascii="仿宋" w:hAnsi="仿宋" w:eastAsia="仿宋"/>
          <w:sz w:val="32"/>
          <w:szCs w:val="32"/>
        </w:rPr>
      </w:pPr>
    </w:p>
    <w:p>
      <w:pPr>
        <w:spacing w:line="240" w:lineRule="auto"/>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drawing>
          <wp:inline distT="0" distB="0" distL="114300" distR="114300">
            <wp:extent cx="4584065" cy="3029585"/>
            <wp:effectExtent l="0" t="0" r="6985" b="18415"/>
            <wp:docPr id="4" name="图片 4"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2"/>
                    <pic:cNvPicPr>
                      <a:picLocks noChangeAspect="1"/>
                    </pic:cNvPicPr>
                  </pic:nvPicPr>
                  <pic:blipFill>
                    <a:blip r:embed="rId9"/>
                    <a:stretch>
                      <a:fillRect/>
                    </a:stretch>
                  </pic:blipFill>
                  <pic:spPr>
                    <a:xfrm>
                      <a:off x="0" y="0"/>
                      <a:ext cx="4584065" cy="3029585"/>
                    </a:xfrm>
                    <a:prstGeom prst="rect">
                      <a:avLst/>
                    </a:prstGeom>
                  </pic:spPr>
                </pic:pic>
              </a:graphicData>
            </a:graphic>
          </wp:inline>
        </w:drawing>
      </w:r>
    </w:p>
    <w:p>
      <w:pPr>
        <w:spacing w:line="600" w:lineRule="exact"/>
        <w:ind w:firstLine="640" w:firstLineChars="200"/>
        <w:rPr>
          <w:rFonts w:ascii="仿宋_GB2312" w:eastAsia="仿宋_GB2312"/>
          <w:sz w:val="32"/>
          <w:szCs w:val="32"/>
        </w:rPr>
      </w:pPr>
    </w:p>
    <w:p>
      <w:pPr>
        <w:pStyle w:val="28"/>
        <w:numPr>
          <w:ilvl w:val="0"/>
          <w:numId w:val="3"/>
        </w:numPr>
        <w:spacing w:line="600" w:lineRule="exact"/>
        <w:ind w:firstLineChars="0"/>
        <w:outlineLvl w:val="1"/>
        <w:rPr>
          <w:rStyle w:val="30"/>
          <w:rFonts w:ascii="黑体" w:hAnsi="黑体" w:eastAsia="黑体"/>
          <w:b w:val="0"/>
        </w:rPr>
      </w:pPr>
      <w:bookmarkStart w:id="33" w:name="_Toc15377207"/>
      <w:bookmarkStart w:id="34" w:name="_Toc26054"/>
      <w:bookmarkStart w:id="35" w:name="_Toc15396605"/>
      <w:r>
        <w:rPr>
          <w:rFonts w:hint="eastAsia" w:ascii="黑体" w:hAnsi="黑体" w:eastAsia="黑体"/>
          <w:sz w:val="32"/>
          <w:szCs w:val="32"/>
        </w:rPr>
        <w:t>支</w:t>
      </w:r>
      <w:r>
        <w:rPr>
          <w:rStyle w:val="30"/>
          <w:rFonts w:hint="eastAsia" w:ascii="黑体" w:hAnsi="黑体" w:eastAsia="黑体"/>
          <w:b w:val="0"/>
        </w:rPr>
        <w:t>出决算情况说明</w:t>
      </w:r>
      <w:bookmarkEnd w:id="33"/>
      <w:bookmarkEnd w:id="34"/>
      <w:bookmarkEnd w:id="35"/>
    </w:p>
    <w:p>
      <w:pPr>
        <w:spacing w:line="600" w:lineRule="exact"/>
        <w:ind w:firstLine="640" w:firstLineChars="200"/>
        <w:outlineLvl w:val="1"/>
        <w:rPr>
          <w:rFonts w:ascii="仿宋" w:hAnsi="仿宋" w:eastAsia="仿宋"/>
          <w:sz w:val="32"/>
          <w:szCs w:val="32"/>
          <w:shd w:val="pct10" w:color="auto" w:fill="FFFFFF"/>
        </w:rPr>
      </w:pPr>
      <w:bookmarkStart w:id="36" w:name="_Toc25092"/>
      <w:r>
        <w:rPr>
          <w:rFonts w:hint="eastAsia" w:ascii="仿宋" w:hAnsi="仿宋" w:eastAsia="仿宋"/>
          <w:sz w:val="32"/>
          <w:szCs w:val="32"/>
        </w:rPr>
        <w:t>2023年度本年支出合计</w:t>
      </w:r>
      <w:r>
        <w:rPr>
          <w:rFonts w:ascii="仿宋" w:hAnsi="仿宋" w:eastAsia="仿宋"/>
          <w:b/>
          <w:sz w:val="32"/>
          <w:szCs w:val="32"/>
        </w:rPr>
        <w:t>290.27</w:t>
      </w:r>
      <w:r>
        <w:rPr>
          <w:rFonts w:hint="eastAsia" w:ascii="仿宋" w:hAnsi="仿宋" w:eastAsia="仿宋"/>
          <w:sz w:val="32"/>
          <w:szCs w:val="32"/>
        </w:rPr>
        <w:t>万元，其中：基本支出</w:t>
      </w:r>
      <w:r>
        <w:rPr>
          <w:rFonts w:ascii="仿宋" w:hAnsi="仿宋" w:eastAsia="仿宋"/>
          <w:b/>
          <w:sz w:val="32"/>
          <w:szCs w:val="32"/>
        </w:rPr>
        <w:t>253.75</w:t>
      </w:r>
      <w:r>
        <w:rPr>
          <w:rFonts w:hint="eastAsia" w:ascii="仿宋" w:hAnsi="仿宋" w:eastAsia="仿宋"/>
          <w:sz w:val="32"/>
          <w:szCs w:val="32"/>
        </w:rPr>
        <w:t>万元，占</w:t>
      </w:r>
      <w:r>
        <w:rPr>
          <w:rFonts w:ascii="仿宋" w:hAnsi="仿宋" w:eastAsia="仿宋"/>
          <w:b/>
          <w:sz w:val="32"/>
          <w:szCs w:val="32"/>
        </w:rPr>
        <w:t>87.4</w:t>
      </w:r>
      <w:r>
        <w:rPr>
          <w:rFonts w:ascii="仿宋" w:hAnsi="仿宋" w:eastAsia="仿宋"/>
          <w:sz w:val="32"/>
          <w:szCs w:val="32"/>
        </w:rPr>
        <w:t>%</w:t>
      </w:r>
      <w:r>
        <w:rPr>
          <w:rFonts w:hint="eastAsia" w:ascii="仿宋" w:hAnsi="仿宋" w:eastAsia="仿宋"/>
          <w:sz w:val="32"/>
          <w:szCs w:val="32"/>
        </w:rPr>
        <w:t>；项目支出</w:t>
      </w:r>
      <w:r>
        <w:rPr>
          <w:rFonts w:ascii="仿宋" w:hAnsi="仿宋" w:eastAsia="仿宋"/>
          <w:b/>
          <w:sz w:val="32"/>
          <w:szCs w:val="32"/>
        </w:rPr>
        <w:t>36.52</w:t>
      </w:r>
      <w:r>
        <w:rPr>
          <w:rFonts w:hint="eastAsia" w:ascii="仿宋" w:hAnsi="仿宋" w:eastAsia="仿宋"/>
          <w:sz w:val="32"/>
          <w:szCs w:val="32"/>
        </w:rPr>
        <w:t>万元，占</w:t>
      </w:r>
      <w:r>
        <w:rPr>
          <w:rFonts w:ascii="仿宋" w:hAnsi="仿宋" w:eastAsia="仿宋"/>
          <w:b/>
          <w:sz w:val="32"/>
          <w:szCs w:val="32"/>
        </w:rPr>
        <w:t>12.</w:t>
      </w:r>
      <w:r>
        <w:rPr>
          <w:rFonts w:hint="eastAsia" w:ascii="仿宋" w:hAnsi="仿宋" w:eastAsia="仿宋"/>
          <w:b/>
          <w:sz w:val="32"/>
          <w:szCs w:val="32"/>
          <w:lang w:val="en-US" w:eastAsia="zh-CN"/>
        </w:rPr>
        <w:t>6</w:t>
      </w:r>
      <w:r>
        <w:rPr>
          <w:rFonts w:ascii="仿宋" w:hAnsi="仿宋" w:eastAsia="仿宋"/>
          <w:sz w:val="32"/>
          <w:szCs w:val="32"/>
        </w:rPr>
        <w:t>%</w:t>
      </w:r>
      <w:r>
        <w:rPr>
          <w:rFonts w:hint="eastAsia" w:ascii="仿宋" w:hAnsi="仿宋" w:eastAsia="仿宋"/>
          <w:sz w:val="32"/>
          <w:szCs w:val="32"/>
        </w:rPr>
        <w:t>；</w:t>
      </w:r>
      <w:bookmarkEnd w:id="36"/>
    </w:p>
    <w:p>
      <w:pPr>
        <w:spacing w:line="600" w:lineRule="exact"/>
        <w:ind w:firstLine="640" w:firstLineChars="200"/>
        <w:rPr>
          <w:rFonts w:ascii="仿宋" w:hAnsi="仿宋" w:eastAsia="仿宋"/>
          <w:sz w:val="32"/>
          <w:szCs w:val="32"/>
        </w:rPr>
      </w:pPr>
      <w:r>
        <w:rPr>
          <w:rFonts w:hint="eastAsia" w:ascii="仿宋" w:hAnsi="仿宋" w:eastAsia="仿宋"/>
          <w:sz w:val="32"/>
          <w:szCs w:val="32"/>
        </w:rPr>
        <w:t>图3：支出决算结构图</w:t>
      </w:r>
    </w:p>
    <w:p>
      <w:pPr>
        <w:spacing w:line="24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drawing>
          <wp:inline distT="0" distB="0" distL="114300" distR="114300">
            <wp:extent cx="4584065" cy="2889250"/>
            <wp:effectExtent l="0" t="0" r="6985" b="6350"/>
            <wp:docPr id="5" name="图片 5"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3"/>
                    <pic:cNvPicPr>
                      <a:picLocks noChangeAspect="1"/>
                    </pic:cNvPicPr>
                  </pic:nvPicPr>
                  <pic:blipFill>
                    <a:blip r:embed="rId10"/>
                    <a:stretch>
                      <a:fillRect/>
                    </a:stretch>
                  </pic:blipFill>
                  <pic:spPr>
                    <a:xfrm>
                      <a:off x="0" y="0"/>
                      <a:ext cx="4584065" cy="2889250"/>
                    </a:xfrm>
                    <a:prstGeom prst="rect">
                      <a:avLst/>
                    </a:prstGeom>
                  </pic:spPr>
                </pic:pic>
              </a:graphicData>
            </a:graphic>
          </wp:inline>
        </w:drawing>
      </w:r>
    </w:p>
    <w:p>
      <w:pPr>
        <w:spacing w:line="600" w:lineRule="exact"/>
        <w:ind w:firstLine="640" w:firstLineChars="200"/>
        <w:outlineLvl w:val="1"/>
        <w:rPr>
          <w:rStyle w:val="30"/>
          <w:rFonts w:ascii="黑体" w:hAnsi="黑体" w:eastAsia="黑体"/>
          <w:b w:val="0"/>
        </w:rPr>
      </w:pPr>
      <w:bookmarkStart w:id="37" w:name="_Toc15396606"/>
      <w:bookmarkStart w:id="38" w:name="_Toc15377208"/>
      <w:bookmarkStart w:id="39" w:name="_Toc8245"/>
      <w:r>
        <w:rPr>
          <w:rFonts w:hint="eastAsia" w:ascii="黑体" w:hAnsi="黑体" w:eastAsia="黑体"/>
          <w:sz w:val="32"/>
          <w:szCs w:val="32"/>
        </w:rPr>
        <w:t>四、财</w:t>
      </w:r>
      <w:r>
        <w:rPr>
          <w:rStyle w:val="30"/>
          <w:rFonts w:hint="eastAsia" w:ascii="黑体" w:hAnsi="黑体" w:eastAsia="黑体"/>
          <w:b w:val="0"/>
        </w:rPr>
        <w:t>政拨款收入支出决算总体情况说明</w:t>
      </w:r>
      <w:bookmarkEnd w:id="37"/>
      <w:bookmarkEnd w:id="38"/>
      <w:bookmarkEnd w:id="39"/>
    </w:p>
    <w:p>
      <w:pPr>
        <w:bidi w:val="0"/>
        <w:ind w:firstLine="640" w:firstLineChars="200"/>
        <w:rPr>
          <w:rFonts w:ascii="仿宋" w:hAnsi="仿宋" w:eastAsia="仿宋"/>
          <w:sz w:val="32"/>
          <w:szCs w:val="32"/>
        </w:rPr>
      </w:pPr>
      <w:r>
        <w:rPr>
          <w:rFonts w:hint="eastAsia" w:ascii="仿宋" w:hAnsi="仿宋" w:eastAsia="仿宋"/>
          <w:sz w:val="32"/>
          <w:szCs w:val="32"/>
        </w:rPr>
        <w:t>2023年度财政拨款收、支总计均为</w:t>
      </w:r>
      <w:r>
        <w:rPr>
          <w:rFonts w:ascii="仿宋" w:hAnsi="仿宋" w:eastAsia="仿宋"/>
          <w:b/>
          <w:sz w:val="32"/>
          <w:szCs w:val="32"/>
        </w:rPr>
        <w:t>290.18</w:t>
      </w:r>
      <w:r>
        <w:rPr>
          <w:rFonts w:hint="eastAsia" w:ascii="仿宋" w:hAnsi="仿宋" w:eastAsia="仿宋"/>
          <w:sz w:val="32"/>
          <w:szCs w:val="32"/>
        </w:rPr>
        <w:t>万元。与2022年度</w:t>
      </w:r>
      <w:r>
        <w:rPr>
          <w:rFonts w:hint="eastAsia" w:ascii="仿宋" w:hAnsi="仿宋" w:eastAsia="仿宋"/>
          <w:sz w:val="32"/>
          <w:szCs w:val="32"/>
          <w:lang w:val="en-US" w:eastAsia="zh-CN"/>
        </w:rPr>
        <w:t>312.02万元</w:t>
      </w:r>
      <w:r>
        <w:rPr>
          <w:rFonts w:hint="eastAsia" w:ascii="仿宋" w:hAnsi="仿宋" w:eastAsia="仿宋"/>
          <w:sz w:val="32"/>
          <w:szCs w:val="32"/>
        </w:rPr>
        <w:t>相比，财政拨款收、支总计各减少</w:t>
      </w:r>
      <w:r>
        <w:rPr>
          <w:rFonts w:hint="eastAsia" w:ascii="仿宋" w:hAnsi="仿宋" w:eastAsia="仿宋"/>
          <w:sz w:val="32"/>
          <w:szCs w:val="32"/>
          <w:lang w:val="en-US" w:eastAsia="zh-CN"/>
        </w:rPr>
        <w:t>21.84</w:t>
      </w:r>
      <w:r>
        <w:rPr>
          <w:rFonts w:hint="eastAsia" w:ascii="仿宋" w:hAnsi="仿宋" w:eastAsia="仿宋"/>
          <w:sz w:val="32"/>
          <w:szCs w:val="32"/>
        </w:rPr>
        <w:t>万元，下降</w:t>
      </w:r>
      <w:r>
        <w:rPr>
          <w:rFonts w:hint="eastAsia" w:ascii="仿宋" w:hAnsi="仿宋" w:eastAsia="仿宋"/>
          <w:sz w:val="32"/>
          <w:szCs w:val="32"/>
          <w:lang w:val="en-US" w:eastAsia="zh-CN"/>
        </w:rPr>
        <w:t>7</w:t>
      </w:r>
      <w:r>
        <w:rPr>
          <w:rFonts w:ascii="仿宋" w:hAnsi="仿宋" w:eastAsia="仿宋"/>
          <w:sz w:val="32"/>
          <w:szCs w:val="32"/>
        </w:rPr>
        <w:t>%</w:t>
      </w:r>
      <w:r>
        <w:rPr>
          <w:rFonts w:hint="eastAsia" w:ascii="仿宋" w:hAnsi="仿宋" w:eastAsia="仿宋"/>
          <w:sz w:val="32"/>
          <w:szCs w:val="32"/>
        </w:rPr>
        <w:t>。主要变动原因是一般公共预算财政拨款收</w:t>
      </w:r>
      <w:r>
        <w:rPr>
          <w:rFonts w:hint="eastAsia" w:ascii="仿宋" w:hAnsi="仿宋" w:eastAsia="仿宋"/>
          <w:sz w:val="32"/>
          <w:szCs w:val="32"/>
          <w:lang w:eastAsia="zh-CN"/>
        </w:rPr>
        <w:t>入增加</w:t>
      </w:r>
      <w:r>
        <w:rPr>
          <w:rFonts w:hint="eastAsia" w:ascii="仿宋" w:hAnsi="仿宋" w:eastAsia="仿宋"/>
          <w:sz w:val="32"/>
          <w:szCs w:val="32"/>
          <w:lang w:val="en-US" w:eastAsia="zh-CN"/>
        </w:rPr>
        <w:t>23.16</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国有资本经营预算财政拨款收入</w:t>
      </w:r>
      <w:r>
        <w:rPr>
          <w:rFonts w:hint="eastAsia" w:ascii="仿宋" w:hAnsi="仿宋" w:eastAsia="仿宋"/>
          <w:sz w:val="32"/>
          <w:szCs w:val="32"/>
          <w:lang w:eastAsia="zh-CN"/>
        </w:rPr>
        <w:t>减少</w:t>
      </w:r>
      <w:r>
        <w:rPr>
          <w:rFonts w:hint="eastAsia" w:ascii="仿宋" w:hAnsi="仿宋" w:eastAsia="仿宋"/>
          <w:sz w:val="32"/>
          <w:szCs w:val="32"/>
          <w:lang w:val="en-US" w:eastAsia="zh-CN"/>
        </w:rPr>
        <w:t>45万元、</w:t>
      </w:r>
      <w:r>
        <w:rPr>
          <w:rFonts w:hint="eastAsia" w:ascii="仿宋_GB2312" w:hAnsi="仿宋_GB2312" w:eastAsia="仿宋_GB2312"/>
          <w:color w:val="000000"/>
          <w:kern w:val="2"/>
          <w:sz w:val="32"/>
          <w:lang w:val="zh-CN"/>
        </w:rPr>
        <w:t>一般公共服务支出</w:t>
      </w:r>
      <w:r>
        <w:rPr>
          <w:rFonts w:hint="eastAsia" w:ascii="仿宋_GB2312" w:hAnsi="仿宋_GB2312" w:eastAsia="仿宋_GB2312"/>
          <w:color w:val="000000"/>
          <w:kern w:val="2"/>
          <w:sz w:val="32"/>
          <w:lang w:val="en-US" w:eastAsia="zh-CN"/>
        </w:rPr>
        <w:t>增加2.35</w:t>
      </w:r>
      <w:r>
        <w:rPr>
          <w:rFonts w:hint="eastAsia" w:ascii="仿宋_GB2312" w:hAnsi="仿宋_GB2312" w:eastAsia="仿宋_GB2312"/>
          <w:color w:val="000000"/>
          <w:kern w:val="2"/>
          <w:sz w:val="32"/>
          <w:lang w:val="zh-CN"/>
        </w:rPr>
        <w:t>万元、社会保障和就业支出增加</w:t>
      </w:r>
      <w:r>
        <w:rPr>
          <w:rFonts w:hint="eastAsia" w:ascii="仿宋_GB2312" w:hAnsi="仿宋_GB2312" w:eastAsia="仿宋_GB2312"/>
          <w:color w:val="000000"/>
          <w:kern w:val="2"/>
          <w:sz w:val="32"/>
          <w:lang w:val="en-US" w:eastAsia="zh-CN"/>
        </w:rPr>
        <w:t>19.03</w:t>
      </w:r>
      <w:r>
        <w:rPr>
          <w:rFonts w:hint="eastAsia" w:ascii="仿宋_GB2312" w:hAnsi="仿宋_GB2312" w:eastAsia="仿宋_GB2312"/>
          <w:color w:val="000000"/>
          <w:kern w:val="2"/>
          <w:sz w:val="32"/>
          <w:lang w:val="zh-CN"/>
        </w:rPr>
        <w:t>万元、卫生健康支出增加</w:t>
      </w:r>
      <w:r>
        <w:rPr>
          <w:rFonts w:hint="eastAsia" w:ascii="仿宋_GB2312" w:hAnsi="仿宋_GB2312" w:eastAsia="仿宋_GB2312"/>
          <w:color w:val="000000"/>
          <w:kern w:val="2"/>
          <w:sz w:val="32"/>
          <w:lang w:val="en-US" w:eastAsia="zh-CN"/>
        </w:rPr>
        <w:t>0.53</w:t>
      </w:r>
      <w:r>
        <w:rPr>
          <w:rFonts w:hint="eastAsia" w:ascii="仿宋_GB2312" w:hAnsi="仿宋_GB2312" w:eastAsia="仿宋_GB2312"/>
          <w:color w:val="000000"/>
          <w:kern w:val="2"/>
          <w:sz w:val="32"/>
          <w:lang w:val="zh-CN"/>
        </w:rPr>
        <w:t>万元、住房保障支出增加</w:t>
      </w:r>
      <w:r>
        <w:rPr>
          <w:rFonts w:hint="eastAsia" w:ascii="仿宋_GB2312" w:hAnsi="仿宋_GB2312" w:eastAsia="仿宋_GB2312"/>
          <w:color w:val="000000"/>
          <w:kern w:val="2"/>
          <w:sz w:val="32"/>
          <w:lang w:val="en-US" w:eastAsia="zh-CN"/>
        </w:rPr>
        <w:t>1.25</w:t>
      </w:r>
      <w:r>
        <w:rPr>
          <w:rFonts w:hint="eastAsia" w:ascii="仿宋_GB2312" w:hAnsi="仿宋_GB2312" w:eastAsia="仿宋_GB2312"/>
          <w:color w:val="000000"/>
          <w:kern w:val="2"/>
          <w:sz w:val="32"/>
          <w:lang w:val="zh-CN"/>
        </w:rPr>
        <w:t>万元、国有资本经营预算支出减少</w:t>
      </w:r>
      <w:r>
        <w:rPr>
          <w:rFonts w:hint="eastAsia" w:ascii="仿宋_GB2312" w:hAnsi="仿宋_GB2312" w:eastAsia="仿宋_GB2312"/>
          <w:color w:val="000000"/>
          <w:kern w:val="2"/>
          <w:sz w:val="32"/>
          <w:lang w:val="en-US" w:eastAsia="zh-CN"/>
        </w:rPr>
        <w:t>45万元</w:t>
      </w:r>
      <w:r>
        <w:rPr>
          <w:rFonts w:hint="eastAsia" w:ascii="仿宋_GB2312" w:hAnsi="仿宋_GB2312" w:eastAsia="仿宋_GB2312"/>
          <w:color w:val="000000"/>
          <w:kern w:val="2"/>
          <w:sz w:val="32"/>
          <w:lang w:val="zh-CN"/>
        </w:rPr>
        <w:t>所致。</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图4：财政拨款收、支决算总计变动情况</w:t>
      </w:r>
    </w:p>
    <w:p>
      <w:pPr>
        <w:spacing w:line="600" w:lineRule="exact"/>
        <w:ind w:firstLine="640" w:firstLineChars="200"/>
        <w:rPr>
          <w:rFonts w:hint="eastAsia" w:ascii="仿宋" w:hAnsi="仿宋" w:eastAsia="仿宋"/>
          <w:sz w:val="32"/>
          <w:szCs w:val="32"/>
        </w:rPr>
      </w:pPr>
    </w:p>
    <w:p>
      <w:pPr>
        <w:spacing w:line="240" w:lineRule="auto"/>
        <w:ind w:firstLine="640" w:firstLineChars="200"/>
        <w:rPr>
          <w:rFonts w:ascii="仿宋" w:hAnsi="仿宋" w:eastAsia="仿宋"/>
          <w:b/>
          <w:sz w:val="32"/>
          <w:szCs w:val="32"/>
        </w:rPr>
      </w:pPr>
      <w:r>
        <w:rPr>
          <w:rFonts w:hint="eastAsia" w:ascii="仿宋" w:hAnsi="仿宋" w:eastAsia="仿宋"/>
          <w:sz w:val="32"/>
          <w:szCs w:val="32"/>
          <w:lang w:eastAsia="zh-CN"/>
        </w:rPr>
        <w:drawing>
          <wp:inline distT="0" distB="0" distL="114300" distR="114300">
            <wp:extent cx="4584065" cy="2755265"/>
            <wp:effectExtent l="0" t="0" r="6985" b="6985"/>
            <wp:docPr id="6" name="图片 6" descr="图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5"/>
                    <pic:cNvPicPr>
                      <a:picLocks noChangeAspect="1"/>
                    </pic:cNvPicPr>
                  </pic:nvPicPr>
                  <pic:blipFill>
                    <a:blip r:embed="rId11"/>
                    <a:stretch>
                      <a:fillRect/>
                    </a:stretch>
                  </pic:blipFill>
                  <pic:spPr>
                    <a:xfrm>
                      <a:off x="0" y="0"/>
                      <a:ext cx="4584065" cy="2755265"/>
                    </a:xfrm>
                    <a:prstGeom prst="rect">
                      <a:avLst/>
                    </a:prstGeom>
                  </pic:spPr>
                </pic:pic>
              </a:graphicData>
            </a:graphic>
          </wp:inline>
        </w:drawing>
      </w:r>
    </w:p>
    <w:p>
      <w:pPr>
        <w:spacing w:line="600" w:lineRule="exact"/>
        <w:ind w:firstLine="640" w:firstLineChars="200"/>
        <w:outlineLvl w:val="1"/>
        <w:rPr>
          <w:rStyle w:val="30"/>
          <w:rFonts w:ascii="黑体" w:hAnsi="黑体" w:eastAsia="黑体"/>
          <w:b w:val="0"/>
        </w:rPr>
      </w:pPr>
      <w:bookmarkStart w:id="40" w:name="_Toc15377209"/>
      <w:bookmarkStart w:id="41" w:name="_Toc4757"/>
      <w:bookmarkStart w:id="42" w:name="_Toc15396607"/>
      <w:r>
        <w:rPr>
          <w:rFonts w:hint="eastAsia" w:ascii="黑体" w:hAnsi="黑体" w:eastAsia="黑体"/>
          <w:sz w:val="32"/>
          <w:szCs w:val="32"/>
        </w:rPr>
        <w:t>五、</w:t>
      </w:r>
      <w:r>
        <w:rPr>
          <w:rFonts w:hint="eastAsia" w:ascii="黑体" w:hAnsi="黑体" w:eastAsia="黑体"/>
          <w:b/>
          <w:sz w:val="32"/>
          <w:szCs w:val="32"/>
        </w:rPr>
        <w:t>一</w:t>
      </w:r>
      <w:r>
        <w:rPr>
          <w:rStyle w:val="30"/>
          <w:rFonts w:hint="eastAsia" w:ascii="黑体" w:hAnsi="黑体" w:eastAsia="黑体"/>
          <w:b w:val="0"/>
        </w:rPr>
        <w:t>般公共预算财政拨款支出决算情况说明</w:t>
      </w:r>
      <w:bookmarkEnd w:id="40"/>
      <w:bookmarkEnd w:id="41"/>
      <w:bookmarkEnd w:id="42"/>
    </w:p>
    <w:p>
      <w:pPr>
        <w:spacing w:line="600" w:lineRule="exact"/>
        <w:ind w:firstLine="643" w:firstLineChars="200"/>
        <w:outlineLvl w:val="2"/>
        <w:rPr>
          <w:rFonts w:ascii="仿宋" w:hAnsi="仿宋" w:eastAsia="仿宋"/>
          <w:b/>
          <w:sz w:val="32"/>
          <w:szCs w:val="32"/>
        </w:rPr>
      </w:pPr>
      <w:bookmarkStart w:id="43" w:name="_Toc15377210"/>
      <w:r>
        <w:rPr>
          <w:rFonts w:hint="eastAsia" w:ascii="仿宋" w:hAnsi="仿宋" w:eastAsia="仿宋"/>
          <w:b/>
          <w:sz w:val="32"/>
          <w:szCs w:val="32"/>
        </w:rPr>
        <w:t>（一）一般公共预算财政拨款支出决算总体情况</w:t>
      </w:r>
      <w:bookmarkEnd w:id="43"/>
    </w:p>
    <w:p>
      <w:pPr>
        <w:bidi w:val="0"/>
        <w:ind w:firstLine="640" w:firstLineChars="200"/>
        <w:rPr>
          <w:rFonts w:hint="eastAsia" w:ascii="仿宋" w:hAnsi="仿宋" w:eastAsia="仿宋"/>
          <w:sz w:val="32"/>
          <w:szCs w:val="32"/>
        </w:rPr>
      </w:pPr>
      <w:r>
        <w:rPr>
          <w:rFonts w:hint="eastAsia" w:ascii="仿宋" w:hAnsi="仿宋" w:eastAsia="仿宋"/>
          <w:sz w:val="32"/>
          <w:szCs w:val="32"/>
        </w:rPr>
        <w:t>2023年度一般公共预算财政拨款支出</w:t>
      </w:r>
      <w:r>
        <w:rPr>
          <w:rFonts w:ascii="仿宋" w:hAnsi="仿宋" w:eastAsia="仿宋"/>
          <w:b/>
          <w:sz w:val="32"/>
          <w:szCs w:val="32"/>
        </w:rPr>
        <w:t>290.18</w:t>
      </w:r>
      <w:r>
        <w:rPr>
          <w:rFonts w:hint="eastAsia" w:ascii="仿宋" w:hAnsi="仿宋" w:eastAsia="仿宋"/>
          <w:sz w:val="32"/>
          <w:szCs w:val="32"/>
        </w:rPr>
        <w:t>万元，占本年支出合计的</w:t>
      </w:r>
      <w:r>
        <w:rPr>
          <w:rFonts w:ascii="仿宋" w:hAnsi="仿宋" w:eastAsia="仿宋"/>
          <w:b/>
          <w:sz w:val="32"/>
          <w:szCs w:val="32"/>
        </w:rPr>
        <w:t>99.96</w:t>
      </w:r>
      <w:r>
        <w:rPr>
          <w:rFonts w:ascii="仿宋" w:hAnsi="仿宋" w:eastAsia="仿宋"/>
          <w:sz w:val="32"/>
          <w:szCs w:val="32"/>
        </w:rPr>
        <w:t>%</w:t>
      </w:r>
      <w:r>
        <w:rPr>
          <w:rFonts w:hint="eastAsia" w:ascii="仿宋" w:hAnsi="仿宋" w:eastAsia="仿宋"/>
          <w:sz w:val="32"/>
          <w:szCs w:val="32"/>
        </w:rPr>
        <w:t>。与2022年度</w:t>
      </w:r>
      <w:r>
        <w:rPr>
          <w:rFonts w:hint="eastAsia" w:ascii="仿宋" w:hAnsi="仿宋" w:eastAsia="仿宋"/>
          <w:sz w:val="32"/>
          <w:szCs w:val="32"/>
          <w:lang w:val="en-US" w:eastAsia="zh-CN"/>
        </w:rPr>
        <w:t>312.02万元</w:t>
      </w:r>
      <w:r>
        <w:rPr>
          <w:rFonts w:hint="eastAsia" w:ascii="仿宋" w:hAnsi="仿宋" w:eastAsia="仿宋"/>
          <w:sz w:val="32"/>
          <w:szCs w:val="32"/>
        </w:rPr>
        <w:t>相比，一般公共预算财政拨款支出减少</w:t>
      </w:r>
      <w:r>
        <w:rPr>
          <w:rFonts w:hint="eastAsia" w:ascii="仿宋" w:hAnsi="仿宋" w:eastAsia="仿宋"/>
          <w:sz w:val="32"/>
          <w:szCs w:val="32"/>
          <w:lang w:val="en-US" w:eastAsia="zh-CN"/>
        </w:rPr>
        <w:t>21.84</w:t>
      </w:r>
      <w:r>
        <w:rPr>
          <w:rFonts w:hint="eastAsia" w:ascii="仿宋" w:hAnsi="仿宋" w:eastAsia="仿宋"/>
          <w:sz w:val="32"/>
          <w:szCs w:val="32"/>
        </w:rPr>
        <w:t>万元，下降</w:t>
      </w:r>
      <w:r>
        <w:rPr>
          <w:rFonts w:hint="eastAsia" w:ascii="仿宋" w:hAnsi="仿宋" w:eastAsia="仿宋"/>
          <w:sz w:val="32"/>
          <w:szCs w:val="32"/>
          <w:lang w:val="en-US" w:eastAsia="zh-CN"/>
        </w:rPr>
        <w:t>7</w:t>
      </w:r>
      <w:r>
        <w:rPr>
          <w:rFonts w:ascii="仿宋" w:hAnsi="仿宋" w:eastAsia="仿宋"/>
          <w:sz w:val="32"/>
          <w:szCs w:val="32"/>
        </w:rPr>
        <w:t>%</w:t>
      </w:r>
      <w:r>
        <w:rPr>
          <w:rFonts w:hint="eastAsia" w:ascii="仿宋" w:hAnsi="仿宋" w:eastAsia="仿宋"/>
          <w:sz w:val="32"/>
          <w:szCs w:val="32"/>
        </w:rPr>
        <w:t>。主要变动原因是</w:t>
      </w:r>
      <w:r>
        <w:rPr>
          <w:rFonts w:hint="eastAsia" w:ascii="仿宋_GB2312" w:hAnsi="仿宋_GB2312" w:eastAsia="仿宋_GB2312"/>
          <w:color w:val="000000"/>
          <w:kern w:val="2"/>
          <w:sz w:val="32"/>
          <w:lang w:val="zh-CN"/>
        </w:rPr>
        <w:t>一般公共服务支出</w:t>
      </w:r>
      <w:r>
        <w:rPr>
          <w:rFonts w:hint="eastAsia" w:ascii="仿宋_GB2312" w:hAnsi="仿宋_GB2312" w:eastAsia="仿宋_GB2312"/>
          <w:color w:val="000000"/>
          <w:kern w:val="2"/>
          <w:sz w:val="32"/>
          <w:lang w:val="en-US" w:eastAsia="zh-CN"/>
        </w:rPr>
        <w:t>增加2.35</w:t>
      </w:r>
      <w:r>
        <w:rPr>
          <w:rFonts w:hint="eastAsia" w:ascii="仿宋_GB2312" w:hAnsi="仿宋_GB2312" w:eastAsia="仿宋_GB2312"/>
          <w:color w:val="000000"/>
          <w:kern w:val="2"/>
          <w:sz w:val="32"/>
          <w:lang w:val="zh-CN"/>
        </w:rPr>
        <w:t>万元、社会保障和就业支出增加</w:t>
      </w:r>
      <w:r>
        <w:rPr>
          <w:rFonts w:hint="eastAsia" w:ascii="仿宋_GB2312" w:hAnsi="仿宋_GB2312" w:eastAsia="仿宋_GB2312"/>
          <w:color w:val="000000"/>
          <w:kern w:val="2"/>
          <w:sz w:val="32"/>
          <w:lang w:val="en-US" w:eastAsia="zh-CN"/>
        </w:rPr>
        <w:t>19.03</w:t>
      </w:r>
      <w:r>
        <w:rPr>
          <w:rFonts w:hint="eastAsia" w:ascii="仿宋_GB2312" w:hAnsi="仿宋_GB2312" w:eastAsia="仿宋_GB2312"/>
          <w:color w:val="000000"/>
          <w:kern w:val="2"/>
          <w:sz w:val="32"/>
          <w:lang w:val="zh-CN"/>
        </w:rPr>
        <w:t>万元、卫生健康支出增加</w:t>
      </w:r>
      <w:r>
        <w:rPr>
          <w:rFonts w:hint="eastAsia" w:ascii="仿宋_GB2312" w:hAnsi="仿宋_GB2312" w:eastAsia="仿宋_GB2312"/>
          <w:color w:val="000000"/>
          <w:kern w:val="2"/>
          <w:sz w:val="32"/>
          <w:lang w:val="en-US" w:eastAsia="zh-CN"/>
        </w:rPr>
        <w:t>0.53</w:t>
      </w:r>
      <w:r>
        <w:rPr>
          <w:rFonts w:hint="eastAsia" w:ascii="仿宋_GB2312" w:hAnsi="仿宋_GB2312" w:eastAsia="仿宋_GB2312"/>
          <w:color w:val="000000"/>
          <w:kern w:val="2"/>
          <w:sz w:val="32"/>
          <w:lang w:val="zh-CN"/>
        </w:rPr>
        <w:t>万元、住房保障支出增加</w:t>
      </w:r>
      <w:r>
        <w:rPr>
          <w:rFonts w:hint="eastAsia" w:ascii="仿宋_GB2312" w:hAnsi="仿宋_GB2312" w:eastAsia="仿宋_GB2312"/>
          <w:color w:val="000000"/>
          <w:kern w:val="2"/>
          <w:sz w:val="32"/>
          <w:lang w:val="en-US" w:eastAsia="zh-CN"/>
        </w:rPr>
        <w:t>1.25</w:t>
      </w:r>
      <w:r>
        <w:rPr>
          <w:rFonts w:hint="eastAsia" w:ascii="仿宋_GB2312" w:hAnsi="仿宋_GB2312" w:eastAsia="仿宋_GB2312"/>
          <w:color w:val="000000"/>
          <w:kern w:val="2"/>
          <w:sz w:val="32"/>
          <w:lang w:val="zh-CN"/>
        </w:rPr>
        <w:t>万元、国有资本经营预算支出减少</w:t>
      </w:r>
      <w:r>
        <w:rPr>
          <w:rFonts w:hint="eastAsia" w:ascii="仿宋_GB2312" w:hAnsi="仿宋_GB2312" w:eastAsia="仿宋_GB2312"/>
          <w:color w:val="000000"/>
          <w:kern w:val="2"/>
          <w:sz w:val="32"/>
          <w:lang w:val="en-US" w:eastAsia="zh-CN"/>
        </w:rPr>
        <w:t>45万元</w:t>
      </w:r>
      <w:r>
        <w:rPr>
          <w:rFonts w:hint="eastAsia" w:ascii="仿宋_GB2312" w:hAnsi="仿宋_GB2312" w:eastAsia="仿宋_GB2312"/>
          <w:color w:val="000000"/>
          <w:kern w:val="2"/>
          <w:sz w:val="32"/>
          <w:lang w:val="zh-CN"/>
        </w:rPr>
        <w:t>所致。</w:t>
      </w:r>
      <w:r>
        <w:rPr>
          <w:rFonts w:hint="eastAsia" w:ascii="仿宋" w:hAnsi="仿宋" w:eastAsia="仿宋"/>
          <w:sz w:val="32"/>
          <w:szCs w:val="32"/>
        </w:rPr>
        <w:t>图5：一般公共预算财政拨款支出决算变动情况</w:t>
      </w:r>
    </w:p>
    <w:p>
      <w:pPr>
        <w:spacing w:line="240" w:lineRule="auto"/>
        <w:ind w:firstLine="320" w:firstLineChars="100"/>
        <w:rPr>
          <w:rFonts w:hint="eastAsia" w:ascii="仿宋" w:hAnsi="仿宋" w:eastAsia="仿宋"/>
          <w:sz w:val="32"/>
          <w:szCs w:val="32"/>
          <w:lang w:eastAsia="zh-CN"/>
        </w:rPr>
      </w:pPr>
      <w:r>
        <w:rPr>
          <w:rFonts w:hint="eastAsia" w:ascii="仿宋" w:hAnsi="仿宋" w:eastAsia="仿宋"/>
          <w:sz w:val="32"/>
          <w:szCs w:val="32"/>
          <w:lang w:eastAsia="zh-CN"/>
        </w:rPr>
        <w:drawing>
          <wp:inline distT="0" distB="0" distL="114300" distR="114300">
            <wp:extent cx="4651375" cy="2432050"/>
            <wp:effectExtent l="0" t="0" r="15875" b="6350"/>
            <wp:docPr id="7" name="图片 7" descr="图片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6"/>
                    <pic:cNvPicPr>
                      <a:picLocks noChangeAspect="1"/>
                    </pic:cNvPicPr>
                  </pic:nvPicPr>
                  <pic:blipFill>
                    <a:blip r:embed="rId12"/>
                    <a:stretch>
                      <a:fillRect/>
                    </a:stretch>
                  </pic:blipFill>
                  <pic:spPr>
                    <a:xfrm>
                      <a:off x="0" y="0"/>
                      <a:ext cx="4651375" cy="2432050"/>
                    </a:xfrm>
                    <a:prstGeom prst="rect">
                      <a:avLst/>
                    </a:prstGeom>
                  </pic:spPr>
                </pic:pic>
              </a:graphicData>
            </a:graphic>
          </wp:inline>
        </w:drawing>
      </w:r>
    </w:p>
    <w:p>
      <w:pPr>
        <w:spacing w:line="600" w:lineRule="exact"/>
        <w:ind w:firstLine="640" w:firstLineChars="200"/>
        <w:rPr>
          <w:rFonts w:ascii="仿宋" w:hAnsi="仿宋" w:eastAsia="仿宋"/>
          <w:sz w:val="32"/>
          <w:szCs w:val="32"/>
        </w:rPr>
      </w:pPr>
    </w:p>
    <w:p>
      <w:pPr>
        <w:spacing w:line="600" w:lineRule="exact"/>
        <w:ind w:firstLine="643" w:firstLineChars="200"/>
        <w:outlineLvl w:val="2"/>
        <w:rPr>
          <w:rFonts w:ascii="仿宋" w:hAnsi="仿宋" w:eastAsia="仿宋"/>
          <w:b/>
          <w:sz w:val="32"/>
          <w:szCs w:val="32"/>
        </w:rPr>
      </w:pPr>
      <w:bookmarkStart w:id="44" w:name="_Toc15377211"/>
      <w:r>
        <w:rPr>
          <w:rFonts w:hint="eastAsia" w:ascii="仿宋" w:hAnsi="仿宋" w:eastAsia="仿宋"/>
          <w:b/>
          <w:sz w:val="32"/>
          <w:szCs w:val="32"/>
        </w:rPr>
        <w:t>（二）一般公共预算财政拨款支出决算结构情况</w:t>
      </w:r>
      <w:bookmarkEnd w:id="44"/>
    </w:p>
    <w:p>
      <w:pPr>
        <w:spacing w:line="600" w:lineRule="exact"/>
        <w:ind w:firstLine="640"/>
        <w:rPr>
          <w:rFonts w:ascii="仿宋" w:hAnsi="仿宋" w:eastAsia="仿宋"/>
          <w:b/>
          <w:sz w:val="32"/>
          <w:szCs w:val="32"/>
        </w:rPr>
      </w:pPr>
      <w:r>
        <w:rPr>
          <w:rFonts w:hint="eastAsia" w:ascii="仿宋" w:hAnsi="仿宋" w:eastAsia="仿宋"/>
          <w:sz w:val="32"/>
          <w:szCs w:val="32"/>
        </w:rPr>
        <w:t>2023年度一般公共预算财政拨款支出</w:t>
      </w:r>
      <w:r>
        <w:rPr>
          <w:rFonts w:ascii="仿宋" w:hAnsi="仿宋" w:eastAsia="仿宋"/>
          <w:b/>
          <w:sz w:val="32"/>
          <w:szCs w:val="32"/>
        </w:rPr>
        <w:t>290.18</w:t>
      </w:r>
      <w:r>
        <w:rPr>
          <w:rFonts w:hint="eastAsia" w:ascii="仿宋" w:hAnsi="仿宋" w:eastAsia="仿宋"/>
          <w:sz w:val="32"/>
          <w:szCs w:val="32"/>
        </w:rPr>
        <w:t>万元，主要用于以下方面</w:t>
      </w:r>
      <w:r>
        <w:rPr>
          <w:rFonts w:ascii="仿宋" w:hAnsi="仿宋" w:eastAsia="仿宋"/>
          <w:sz w:val="32"/>
          <w:szCs w:val="32"/>
        </w:rPr>
        <w:t>:</w:t>
      </w:r>
      <w:r>
        <w:rPr>
          <w:rFonts w:hint="eastAsia" w:ascii="仿宋" w:hAnsi="仿宋" w:eastAsia="仿宋"/>
          <w:b/>
          <w:sz w:val="32"/>
          <w:szCs w:val="32"/>
        </w:rPr>
        <w:t>一般公共服务</w:t>
      </w:r>
      <w:r>
        <w:rPr>
          <w:rFonts w:hint="eastAsia" w:ascii="仿宋" w:hAnsi="仿宋" w:eastAsia="仿宋"/>
          <w:b/>
          <w:bCs/>
          <w:sz w:val="32"/>
          <w:szCs w:val="32"/>
        </w:rPr>
        <w:t>支出</w:t>
      </w:r>
      <w:r>
        <w:rPr>
          <w:rFonts w:hint="eastAsia" w:ascii="仿宋" w:hAnsi="仿宋" w:eastAsia="仿宋"/>
          <w:sz w:val="32"/>
          <w:szCs w:val="32"/>
          <w:lang w:val="en-US" w:eastAsia="zh-CN"/>
        </w:rPr>
        <w:t>219.21</w:t>
      </w:r>
      <w:r>
        <w:rPr>
          <w:rFonts w:hint="eastAsia" w:ascii="仿宋" w:hAnsi="仿宋" w:eastAsia="仿宋"/>
          <w:sz w:val="32"/>
          <w:szCs w:val="32"/>
        </w:rPr>
        <w:t>万元，占</w:t>
      </w:r>
      <w:r>
        <w:rPr>
          <w:rFonts w:hint="eastAsia" w:ascii="仿宋" w:hAnsi="仿宋" w:eastAsia="仿宋"/>
          <w:sz w:val="32"/>
          <w:szCs w:val="32"/>
          <w:lang w:val="en-US" w:eastAsia="zh-CN"/>
        </w:rPr>
        <w:t>75.6</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社会保障和就业</w:t>
      </w:r>
      <w:r>
        <w:rPr>
          <w:rFonts w:hint="eastAsia" w:ascii="仿宋" w:hAnsi="仿宋" w:eastAsia="仿宋"/>
          <w:b/>
          <w:bCs/>
          <w:sz w:val="32"/>
          <w:szCs w:val="32"/>
        </w:rPr>
        <w:t>支出</w:t>
      </w:r>
      <w:r>
        <w:rPr>
          <w:rFonts w:hint="eastAsia" w:ascii="仿宋" w:hAnsi="仿宋" w:eastAsia="仿宋"/>
          <w:sz w:val="32"/>
          <w:szCs w:val="32"/>
          <w:lang w:val="en-US" w:eastAsia="zh-CN"/>
        </w:rPr>
        <w:t>45.99</w:t>
      </w:r>
      <w:r>
        <w:rPr>
          <w:rFonts w:hint="eastAsia" w:ascii="仿宋" w:hAnsi="仿宋" w:eastAsia="仿宋"/>
          <w:sz w:val="32"/>
          <w:szCs w:val="32"/>
        </w:rPr>
        <w:t>万元，占</w:t>
      </w:r>
      <w:r>
        <w:rPr>
          <w:rFonts w:hint="eastAsia" w:ascii="仿宋" w:hAnsi="仿宋" w:eastAsia="仿宋"/>
          <w:sz w:val="32"/>
          <w:szCs w:val="32"/>
          <w:lang w:val="en-US" w:eastAsia="zh-CN"/>
        </w:rPr>
        <w:t>15.8</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卫生健康支出</w:t>
      </w:r>
      <w:r>
        <w:rPr>
          <w:rFonts w:hint="eastAsia" w:ascii="仿宋" w:hAnsi="仿宋" w:eastAsia="仿宋"/>
          <w:sz w:val="32"/>
          <w:szCs w:val="32"/>
          <w:lang w:val="en-US" w:eastAsia="zh-CN"/>
        </w:rPr>
        <w:t>7.29</w:t>
      </w:r>
      <w:r>
        <w:rPr>
          <w:rFonts w:hint="eastAsia" w:ascii="仿宋" w:hAnsi="仿宋" w:eastAsia="仿宋"/>
          <w:sz w:val="32"/>
          <w:szCs w:val="32"/>
        </w:rPr>
        <w:t>万元，占</w:t>
      </w:r>
      <w:r>
        <w:rPr>
          <w:rFonts w:hint="eastAsia" w:ascii="仿宋" w:hAnsi="仿宋" w:eastAsia="仿宋"/>
          <w:sz w:val="32"/>
          <w:szCs w:val="32"/>
          <w:lang w:val="en-US" w:eastAsia="zh-CN"/>
        </w:rPr>
        <w:t>2.5</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住房保障支出</w:t>
      </w:r>
      <w:r>
        <w:rPr>
          <w:rFonts w:hint="eastAsia" w:ascii="仿宋" w:hAnsi="仿宋" w:eastAsia="仿宋"/>
          <w:sz w:val="32"/>
          <w:szCs w:val="32"/>
          <w:lang w:val="en-US" w:eastAsia="zh-CN"/>
        </w:rPr>
        <w:t>17.69</w:t>
      </w:r>
      <w:r>
        <w:rPr>
          <w:rFonts w:hint="eastAsia" w:ascii="仿宋" w:hAnsi="仿宋" w:eastAsia="仿宋"/>
          <w:sz w:val="32"/>
          <w:szCs w:val="32"/>
        </w:rPr>
        <w:t>万元，占</w:t>
      </w:r>
      <w:r>
        <w:rPr>
          <w:rFonts w:hint="eastAsia" w:ascii="仿宋" w:hAnsi="仿宋" w:eastAsia="仿宋"/>
          <w:sz w:val="32"/>
          <w:szCs w:val="32"/>
          <w:lang w:val="en-US" w:eastAsia="zh-CN"/>
        </w:rPr>
        <w:t>6.1%</w:t>
      </w:r>
      <w:r>
        <w:rPr>
          <w:rFonts w:hint="eastAsia" w:ascii="仿宋" w:hAnsi="仿宋" w:eastAsia="仿宋"/>
          <w:sz w:val="32"/>
          <w:szCs w:val="32"/>
        </w:rPr>
        <w:t>。</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图6：一般公共预算财政拨款支出决算结构</w:t>
      </w:r>
    </w:p>
    <w:p>
      <w:pPr>
        <w:spacing w:line="240" w:lineRule="auto"/>
        <w:ind w:firstLine="640" w:firstLineChars="200"/>
        <w:rPr>
          <w:rFonts w:ascii="仿宋" w:hAnsi="仿宋" w:eastAsia="仿宋"/>
          <w:sz w:val="32"/>
          <w:szCs w:val="32"/>
        </w:rPr>
      </w:pPr>
      <w:r>
        <w:rPr>
          <w:rFonts w:hint="eastAsia" w:ascii="仿宋" w:hAnsi="仿宋" w:eastAsia="仿宋"/>
          <w:sz w:val="32"/>
          <w:szCs w:val="32"/>
          <w:lang w:eastAsia="zh-CN"/>
        </w:rPr>
        <w:drawing>
          <wp:inline distT="0" distB="0" distL="114300" distR="114300">
            <wp:extent cx="4243070" cy="3401695"/>
            <wp:effectExtent l="0" t="0" r="5080" b="8255"/>
            <wp:docPr id="8" name="图片 8" descr="图片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7"/>
                    <pic:cNvPicPr>
                      <a:picLocks noChangeAspect="1"/>
                    </pic:cNvPicPr>
                  </pic:nvPicPr>
                  <pic:blipFill>
                    <a:blip r:embed="rId13"/>
                    <a:stretch>
                      <a:fillRect/>
                    </a:stretch>
                  </pic:blipFill>
                  <pic:spPr>
                    <a:xfrm>
                      <a:off x="0" y="0"/>
                      <a:ext cx="4243070" cy="3401695"/>
                    </a:xfrm>
                    <a:prstGeom prst="rect">
                      <a:avLst/>
                    </a:prstGeom>
                  </pic:spPr>
                </pic:pic>
              </a:graphicData>
            </a:graphic>
          </wp:inline>
        </w:drawing>
      </w:r>
    </w:p>
    <w:p>
      <w:pPr>
        <w:spacing w:line="600" w:lineRule="exact"/>
        <w:ind w:firstLine="643" w:firstLineChars="200"/>
        <w:outlineLvl w:val="2"/>
        <w:rPr>
          <w:rFonts w:ascii="仿宋" w:hAnsi="仿宋" w:eastAsia="仿宋"/>
          <w:b/>
          <w:sz w:val="32"/>
          <w:szCs w:val="32"/>
        </w:rPr>
      </w:pPr>
      <w:bookmarkStart w:id="45" w:name="_Toc15377212"/>
      <w:r>
        <w:rPr>
          <w:rFonts w:hint="eastAsia" w:ascii="仿宋" w:hAnsi="仿宋" w:eastAsia="仿宋"/>
          <w:b/>
          <w:sz w:val="32"/>
          <w:szCs w:val="32"/>
        </w:rPr>
        <w:t>（三）一般公共预算财政拨款支出决算具体情况</w:t>
      </w:r>
      <w:bookmarkEnd w:id="45"/>
    </w:p>
    <w:p>
      <w:pPr>
        <w:spacing w:line="600" w:lineRule="exact"/>
        <w:ind w:firstLine="643" w:firstLineChars="200"/>
        <w:outlineLvl w:val="2"/>
        <w:rPr>
          <w:rFonts w:ascii="仿宋" w:hAnsi="仿宋" w:eastAsia="仿宋"/>
          <w:sz w:val="32"/>
          <w:szCs w:val="32"/>
        </w:rPr>
      </w:pPr>
      <w:bookmarkStart w:id="46" w:name="_Toc15377213"/>
      <w:bookmarkStart w:id="47" w:name="_Toc15378460"/>
      <w:bookmarkStart w:id="48" w:name="_Toc15377444"/>
      <w:r>
        <w:rPr>
          <w:rFonts w:hint="eastAsia" w:ascii="仿宋" w:hAnsi="仿宋" w:eastAsia="仿宋"/>
          <w:b/>
          <w:sz w:val="32"/>
          <w:szCs w:val="32"/>
        </w:rPr>
        <w:t>2023年度一般公共预算支出决算数为</w:t>
      </w:r>
      <w:r>
        <w:rPr>
          <w:rFonts w:ascii="仿宋" w:hAnsi="仿宋" w:eastAsia="仿宋"/>
          <w:b/>
          <w:sz w:val="32"/>
          <w:szCs w:val="32"/>
        </w:rPr>
        <w:t>290.18</w:t>
      </w:r>
      <w:r>
        <w:rPr>
          <w:rFonts w:hint="eastAsia" w:ascii="仿宋" w:hAnsi="仿宋" w:eastAsia="仿宋"/>
          <w:sz w:val="32"/>
          <w:szCs w:val="32"/>
        </w:rPr>
        <w:t>，</w:t>
      </w:r>
      <w:r>
        <w:rPr>
          <w:rStyle w:val="18"/>
          <w:rFonts w:hint="eastAsia" w:ascii="仿宋" w:hAnsi="仿宋" w:eastAsia="仿宋"/>
          <w:bCs/>
          <w:sz w:val="32"/>
          <w:szCs w:val="32"/>
        </w:rPr>
        <w:t>完成预算</w:t>
      </w:r>
      <w:r>
        <w:rPr>
          <w:rStyle w:val="18"/>
          <w:rFonts w:hint="eastAsia" w:ascii="仿宋" w:hAnsi="仿宋" w:eastAsia="仿宋"/>
          <w:bCs/>
          <w:sz w:val="32"/>
          <w:szCs w:val="32"/>
          <w:lang w:val="en-US" w:eastAsia="zh-CN"/>
        </w:rPr>
        <w:t>100</w:t>
      </w:r>
      <w:r>
        <w:rPr>
          <w:rStyle w:val="18"/>
          <w:rFonts w:ascii="仿宋" w:hAnsi="仿宋" w:eastAsia="仿宋"/>
          <w:bCs/>
          <w:sz w:val="32"/>
          <w:szCs w:val="32"/>
        </w:rPr>
        <w:t>%</w:t>
      </w:r>
      <w:r>
        <w:rPr>
          <w:rStyle w:val="18"/>
          <w:rFonts w:hint="eastAsia" w:ascii="仿宋" w:hAnsi="仿宋" w:eastAsia="仿宋"/>
          <w:bCs/>
          <w:sz w:val="32"/>
          <w:szCs w:val="32"/>
        </w:rPr>
        <w:t>。其中：</w:t>
      </w:r>
      <w:bookmarkEnd w:id="46"/>
      <w:bookmarkEnd w:id="47"/>
      <w:bookmarkEnd w:id="48"/>
    </w:p>
    <w:p>
      <w:pPr>
        <w:numPr>
          <w:ilvl w:val="0"/>
          <w:numId w:val="4"/>
        </w:numPr>
        <w:spacing w:line="600" w:lineRule="exact"/>
        <w:ind w:firstLine="640" w:firstLineChars="200"/>
        <w:outlineLvl w:val="2"/>
        <w:rPr>
          <w:rFonts w:hint="eastAsia" w:ascii="仿宋" w:hAnsi="仿宋" w:eastAsia="仿宋" w:cs="Times New Roman"/>
          <w:color w:val="auto"/>
          <w:kern w:val="0"/>
          <w:sz w:val="32"/>
          <w:szCs w:val="32"/>
          <w:highlight w:val="none"/>
          <w:lang w:val="zh-CN" w:eastAsia="zh-CN" w:bidi="ar-SA"/>
        </w:rPr>
      </w:pPr>
      <w:r>
        <w:rPr>
          <w:rFonts w:hint="eastAsia" w:ascii="仿宋" w:hAnsi="仿宋" w:eastAsia="仿宋" w:cs="Times New Roman"/>
          <w:color w:val="auto"/>
          <w:kern w:val="0"/>
          <w:sz w:val="32"/>
          <w:szCs w:val="32"/>
          <w:highlight w:val="none"/>
          <w:lang w:val="zh-CN" w:eastAsia="zh-CN" w:bidi="ar-SA"/>
        </w:rPr>
        <w:t>一般公共服务（类）档案事务（款）行政运行（项）: 支出决算为</w:t>
      </w:r>
      <w:r>
        <w:rPr>
          <w:rFonts w:hint="eastAsia" w:ascii="仿宋" w:hAnsi="仿宋" w:eastAsia="仿宋" w:cs="Times New Roman"/>
          <w:color w:val="auto"/>
          <w:kern w:val="0"/>
          <w:sz w:val="32"/>
          <w:szCs w:val="32"/>
          <w:highlight w:val="none"/>
          <w:lang w:val="en-US" w:eastAsia="zh-CN" w:bidi="ar-SA"/>
        </w:rPr>
        <w:t>182.68</w:t>
      </w:r>
      <w:r>
        <w:rPr>
          <w:rFonts w:hint="eastAsia" w:ascii="仿宋" w:hAnsi="仿宋" w:eastAsia="仿宋" w:cs="Times New Roman"/>
          <w:color w:val="auto"/>
          <w:kern w:val="0"/>
          <w:sz w:val="32"/>
          <w:szCs w:val="32"/>
          <w:highlight w:val="none"/>
          <w:lang w:val="zh-CN" w:eastAsia="zh-CN" w:bidi="ar-SA"/>
        </w:rPr>
        <w:t>万元，完成预算</w:t>
      </w:r>
      <w:r>
        <w:rPr>
          <w:rFonts w:hint="eastAsia" w:ascii="仿宋" w:hAnsi="仿宋" w:eastAsia="仿宋" w:cs="Times New Roman"/>
          <w:color w:val="auto"/>
          <w:kern w:val="0"/>
          <w:sz w:val="32"/>
          <w:szCs w:val="32"/>
          <w:highlight w:val="none"/>
          <w:lang w:val="en-US" w:eastAsia="zh-CN" w:bidi="ar-SA"/>
        </w:rPr>
        <w:t>100</w:t>
      </w:r>
      <w:r>
        <w:rPr>
          <w:rFonts w:hint="eastAsia" w:ascii="仿宋" w:hAnsi="仿宋" w:eastAsia="仿宋" w:cs="Times New Roman"/>
          <w:color w:val="auto"/>
          <w:kern w:val="0"/>
          <w:sz w:val="32"/>
          <w:szCs w:val="32"/>
          <w:highlight w:val="none"/>
          <w:lang w:val="zh-CN" w:eastAsia="zh-CN" w:bidi="ar-SA"/>
        </w:rPr>
        <w:t>%。决算数等于预算数。</w:t>
      </w:r>
    </w:p>
    <w:p>
      <w:pPr>
        <w:numPr>
          <w:ilvl w:val="0"/>
          <w:numId w:val="4"/>
        </w:numPr>
        <w:spacing w:line="600" w:lineRule="exact"/>
        <w:ind w:firstLine="640" w:firstLineChars="200"/>
        <w:outlineLvl w:val="2"/>
        <w:rPr>
          <w:rFonts w:hint="eastAsia" w:ascii="仿宋" w:hAnsi="仿宋" w:eastAsia="仿宋" w:cs="Times New Roman"/>
          <w:color w:val="auto"/>
          <w:kern w:val="0"/>
          <w:sz w:val="32"/>
          <w:szCs w:val="32"/>
          <w:highlight w:val="none"/>
          <w:lang w:val="zh-CN" w:eastAsia="zh-CN" w:bidi="ar-SA"/>
        </w:rPr>
      </w:pPr>
      <w:r>
        <w:rPr>
          <w:rFonts w:hint="eastAsia" w:ascii="仿宋" w:hAnsi="仿宋" w:eastAsia="仿宋" w:cs="Times New Roman"/>
          <w:color w:val="auto"/>
          <w:kern w:val="0"/>
          <w:sz w:val="32"/>
          <w:szCs w:val="32"/>
          <w:highlight w:val="none"/>
          <w:lang w:val="zh-CN" w:eastAsia="zh-CN" w:bidi="ar-SA"/>
        </w:rPr>
        <w:t>一般公共服务（类）档案事务（款）档案馆（项）: 支出决算为</w:t>
      </w:r>
      <w:r>
        <w:rPr>
          <w:rFonts w:hint="eastAsia" w:ascii="仿宋" w:hAnsi="仿宋" w:eastAsia="仿宋" w:cs="Times New Roman"/>
          <w:color w:val="auto"/>
          <w:kern w:val="0"/>
          <w:sz w:val="32"/>
          <w:szCs w:val="32"/>
          <w:highlight w:val="none"/>
          <w:lang w:val="en-US" w:eastAsia="zh-CN" w:bidi="ar-SA"/>
        </w:rPr>
        <w:t>36.52</w:t>
      </w:r>
      <w:r>
        <w:rPr>
          <w:rFonts w:hint="eastAsia" w:ascii="仿宋" w:hAnsi="仿宋" w:eastAsia="仿宋" w:cs="Times New Roman"/>
          <w:color w:val="auto"/>
          <w:kern w:val="0"/>
          <w:sz w:val="32"/>
          <w:szCs w:val="32"/>
          <w:highlight w:val="none"/>
          <w:lang w:val="zh-CN" w:eastAsia="zh-CN" w:bidi="ar-SA"/>
        </w:rPr>
        <w:t>万元，完成预算</w:t>
      </w:r>
      <w:r>
        <w:rPr>
          <w:rFonts w:hint="eastAsia" w:ascii="仿宋" w:hAnsi="仿宋" w:eastAsia="仿宋" w:cs="Times New Roman"/>
          <w:color w:val="auto"/>
          <w:kern w:val="0"/>
          <w:sz w:val="32"/>
          <w:szCs w:val="32"/>
          <w:highlight w:val="none"/>
          <w:lang w:val="en-US" w:eastAsia="zh-CN" w:bidi="ar-SA"/>
        </w:rPr>
        <w:t>100</w:t>
      </w:r>
      <w:r>
        <w:rPr>
          <w:rFonts w:hint="eastAsia" w:ascii="仿宋" w:hAnsi="仿宋" w:eastAsia="仿宋" w:cs="Times New Roman"/>
          <w:color w:val="auto"/>
          <w:kern w:val="0"/>
          <w:sz w:val="32"/>
          <w:szCs w:val="32"/>
          <w:highlight w:val="none"/>
          <w:lang w:val="zh-CN" w:eastAsia="zh-CN" w:bidi="ar-SA"/>
        </w:rPr>
        <w:t>%。决算数等于预算数。</w:t>
      </w:r>
    </w:p>
    <w:p>
      <w:pPr>
        <w:numPr>
          <w:ilvl w:val="0"/>
          <w:numId w:val="4"/>
        </w:numPr>
        <w:spacing w:line="600" w:lineRule="exact"/>
        <w:ind w:firstLine="640" w:firstLineChars="200"/>
        <w:outlineLvl w:val="2"/>
        <w:rPr>
          <w:rFonts w:hint="eastAsia" w:ascii="仿宋" w:hAnsi="仿宋" w:eastAsia="仿宋" w:cs="Times New Roman"/>
          <w:color w:val="auto"/>
          <w:kern w:val="0"/>
          <w:sz w:val="32"/>
          <w:szCs w:val="32"/>
          <w:highlight w:val="none"/>
          <w:lang w:val="zh-CN" w:eastAsia="zh-CN" w:bidi="ar-SA"/>
        </w:rPr>
      </w:pPr>
      <w:r>
        <w:rPr>
          <w:rFonts w:hint="eastAsia" w:ascii="仿宋" w:hAnsi="仿宋" w:eastAsia="仿宋" w:cs="Times New Roman"/>
          <w:color w:val="auto"/>
          <w:kern w:val="0"/>
          <w:sz w:val="32"/>
          <w:szCs w:val="32"/>
          <w:highlight w:val="none"/>
          <w:lang w:val="zh-CN" w:eastAsia="zh-CN" w:bidi="ar-SA"/>
        </w:rPr>
        <w:t>社会保障和就业（类）行政事业单位养老支出（款）机关事业单位基本养老保险缴费支出（项）: 支出决算为</w:t>
      </w:r>
      <w:r>
        <w:rPr>
          <w:rFonts w:hint="eastAsia" w:ascii="仿宋" w:hAnsi="仿宋" w:eastAsia="仿宋" w:cs="Times New Roman"/>
          <w:color w:val="auto"/>
          <w:kern w:val="0"/>
          <w:sz w:val="32"/>
          <w:szCs w:val="32"/>
          <w:highlight w:val="none"/>
          <w:lang w:val="en-US" w:eastAsia="zh-CN" w:bidi="ar-SA"/>
        </w:rPr>
        <w:t>22.90</w:t>
      </w:r>
      <w:r>
        <w:rPr>
          <w:rFonts w:hint="eastAsia" w:ascii="仿宋" w:hAnsi="仿宋" w:eastAsia="仿宋" w:cs="Times New Roman"/>
          <w:color w:val="auto"/>
          <w:kern w:val="0"/>
          <w:sz w:val="32"/>
          <w:szCs w:val="32"/>
          <w:highlight w:val="none"/>
          <w:lang w:val="zh-CN" w:eastAsia="zh-CN" w:bidi="ar-SA"/>
        </w:rPr>
        <w:t>万元，完成预算</w:t>
      </w:r>
      <w:r>
        <w:rPr>
          <w:rFonts w:hint="eastAsia" w:ascii="仿宋" w:hAnsi="仿宋" w:eastAsia="仿宋" w:cs="Times New Roman"/>
          <w:color w:val="auto"/>
          <w:kern w:val="0"/>
          <w:sz w:val="32"/>
          <w:szCs w:val="32"/>
          <w:highlight w:val="none"/>
          <w:lang w:val="en-US" w:eastAsia="zh-CN" w:bidi="ar-SA"/>
        </w:rPr>
        <w:t>100</w:t>
      </w:r>
      <w:r>
        <w:rPr>
          <w:rFonts w:hint="eastAsia" w:ascii="仿宋" w:hAnsi="仿宋" w:eastAsia="仿宋" w:cs="Times New Roman"/>
          <w:color w:val="auto"/>
          <w:kern w:val="0"/>
          <w:sz w:val="32"/>
          <w:szCs w:val="32"/>
          <w:highlight w:val="none"/>
          <w:lang w:val="zh-CN" w:eastAsia="zh-CN" w:bidi="ar-SA"/>
        </w:rPr>
        <w:t>%。决算数等于预算数。</w:t>
      </w:r>
    </w:p>
    <w:p>
      <w:pPr>
        <w:numPr>
          <w:ilvl w:val="0"/>
          <w:numId w:val="4"/>
        </w:numPr>
        <w:spacing w:line="600" w:lineRule="exact"/>
        <w:ind w:firstLine="640" w:firstLineChars="200"/>
        <w:outlineLvl w:val="2"/>
        <w:rPr>
          <w:rFonts w:hint="eastAsia" w:ascii="仿宋" w:hAnsi="仿宋" w:eastAsia="仿宋" w:cs="Times New Roman"/>
          <w:color w:val="auto"/>
          <w:kern w:val="0"/>
          <w:sz w:val="32"/>
          <w:szCs w:val="32"/>
          <w:highlight w:val="none"/>
          <w:lang w:val="zh-CN" w:eastAsia="zh-CN" w:bidi="ar-SA"/>
        </w:rPr>
      </w:pPr>
      <w:r>
        <w:rPr>
          <w:rFonts w:hint="eastAsia" w:ascii="仿宋" w:hAnsi="仿宋" w:eastAsia="仿宋" w:cs="Times New Roman"/>
          <w:color w:val="auto"/>
          <w:kern w:val="0"/>
          <w:sz w:val="32"/>
          <w:szCs w:val="32"/>
          <w:highlight w:val="none"/>
          <w:lang w:val="zh-CN" w:eastAsia="zh-CN" w:bidi="ar-SA"/>
        </w:rPr>
        <w:t>社会保障和就业（类）行政事业单位养老支出（款）机关事业单位职业年金缴费支出（项）: 支出决算为</w:t>
      </w:r>
      <w:r>
        <w:rPr>
          <w:rFonts w:hint="eastAsia" w:ascii="仿宋" w:hAnsi="仿宋" w:eastAsia="仿宋" w:cs="Times New Roman"/>
          <w:color w:val="auto"/>
          <w:kern w:val="0"/>
          <w:sz w:val="32"/>
          <w:szCs w:val="32"/>
          <w:highlight w:val="none"/>
          <w:lang w:val="en-US" w:eastAsia="zh-CN" w:bidi="ar-SA"/>
        </w:rPr>
        <w:t>13.41</w:t>
      </w:r>
      <w:r>
        <w:rPr>
          <w:rFonts w:hint="eastAsia" w:ascii="仿宋" w:hAnsi="仿宋" w:eastAsia="仿宋" w:cs="Times New Roman"/>
          <w:color w:val="auto"/>
          <w:kern w:val="0"/>
          <w:sz w:val="32"/>
          <w:szCs w:val="32"/>
          <w:highlight w:val="none"/>
          <w:lang w:val="zh-CN" w:eastAsia="zh-CN" w:bidi="ar-SA"/>
        </w:rPr>
        <w:t>万元，完成预算</w:t>
      </w:r>
      <w:r>
        <w:rPr>
          <w:rFonts w:hint="eastAsia" w:ascii="仿宋" w:hAnsi="仿宋" w:eastAsia="仿宋" w:cs="Times New Roman"/>
          <w:color w:val="auto"/>
          <w:kern w:val="0"/>
          <w:sz w:val="32"/>
          <w:szCs w:val="32"/>
          <w:highlight w:val="none"/>
          <w:lang w:val="en-US" w:eastAsia="zh-CN" w:bidi="ar-SA"/>
        </w:rPr>
        <w:t>100</w:t>
      </w:r>
      <w:r>
        <w:rPr>
          <w:rFonts w:hint="eastAsia" w:ascii="仿宋" w:hAnsi="仿宋" w:eastAsia="仿宋" w:cs="Times New Roman"/>
          <w:color w:val="auto"/>
          <w:kern w:val="0"/>
          <w:sz w:val="32"/>
          <w:szCs w:val="32"/>
          <w:highlight w:val="none"/>
          <w:lang w:val="zh-CN" w:eastAsia="zh-CN" w:bidi="ar-SA"/>
        </w:rPr>
        <w:t>%。决算数等于预算数。</w:t>
      </w:r>
    </w:p>
    <w:p>
      <w:pPr>
        <w:numPr>
          <w:ilvl w:val="0"/>
          <w:numId w:val="4"/>
        </w:numPr>
        <w:spacing w:line="600" w:lineRule="exact"/>
        <w:ind w:firstLine="640" w:firstLineChars="200"/>
        <w:outlineLvl w:val="2"/>
        <w:rPr>
          <w:rFonts w:hint="eastAsia" w:ascii="仿宋" w:hAnsi="仿宋" w:eastAsia="仿宋" w:cs="Times New Roman"/>
          <w:color w:val="auto"/>
          <w:kern w:val="0"/>
          <w:sz w:val="32"/>
          <w:szCs w:val="32"/>
          <w:highlight w:val="none"/>
          <w:lang w:val="zh-CN" w:eastAsia="zh-CN" w:bidi="ar-SA"/>
        </w:rPr>
      </w:pPr>
      <w:r>
        <w:rPr>
          <w:rFonts w:hint="eastAsia" w:ascii="仿宋" w:hAnsi="仿宋" w:eastAsia="仿宋" w:cs="Times New Roman"/>
          <w:color w:val="auto"/>
          <w:kern w:val="0"/>
          <w:sz w:val="32"/>
          <w:szCs w:val="32"/>
          <w:highlight w:val="none"/>
          <w:lang w:val="zh-CN" w:eastAsia="zh-CN" w:bidi="ar-SA"/>
        </w:rPr>
        <w:t>社会保障和就业（类）行政事业单位养老支出（款）其他行政事业单位养老支出（项）: 支出决算为</w:t>
      </w:r>
      <w:r>
        <w:rPr>
          <w:rFonts w:hint="eastAsia" w:ascii="仿宋" w:hAnsi="仿宋" w:eastAsia="仿宋" w:cs="Times New Roman"/>
          <w:color w:val="auto"/>
          <w:kern w:val="0"/>
          <w:sz w:val="32"/>
          <w:szCs w:val="32"/>
          <w:highlight w:val="none"/>
          <w:lang w:val="en-US" w:eastAsia="zh-CN" w:bidi="ar-SA"/>
        </w:rPr>
        <w:t>9.68</w:t>
      </w:r>
      <w:r>
        <w:rPr>
          <w:rFonts w:hint="eastAsia" w:ascii="仿宋" w:hAnsi="仿宋" w:eastAsia="仿宋" w:cs="Times New Roman"/>
          <w:color w:val="auto"/>
          <w:kern w:val="0"/>
          <w:sz w:val="32"/>
          <w:szCs w:val="32"/>
          <w:highlight w:val="none"/>
          <w:lang w:val="zh-CN" w:eastAsia="zh-CN" w:bidi="ar-SA"/>
        </w:rPr>
        <w:t>万元，完成预算</w:t>
      </w:r>
      <w:r>
        <w:rPr>
          <w:rFonts w:hint="eastAsia" w:ascii="仿宋" w:hAnsi="仿宋" w:eastAsia="仿宋" w:cs="Times New Roman"/>
          <w:color w:val="auto"/>
          <w:kern w:val="0"/>
          <w:sz w:val="32"/>
          <w:szCs w:val="32"/>
          <w:highlight w:val="none"/>
          <w:lang w:val="en-US" w:eastAsia="zh-CN" w:bidi="ar-SA"/>
        </w:rPr>
        <w:t>100</w:t>
      </w:r>
      <w:r>
        <w:rPr>
          <w:rFonts w:hint="eastAsia" w:ascii="仿宋" w:hAnsi="仿宋" w:eastAsia="仿宋" w:cs="Times New Roman"/>
          <w:color w:val="auto"/>
          <w:kern w:val="0"/>
          <w:sz w:val="32"/>
          <w:szCs w:val="32"/>
          <w:highlight w:val="none"/>
          <w:lang w:val="zh-CN" w:eastAsia="zh-CN" w:bidi="ar-SA"/>
        </w:rPr>
        <w:t>%。决算数等于预算数。</w:t>
      </w:r>
    </w:p>
    <w:p>
      <w:pPr>
        <w:numPr>
          <w:ilvl w:val="0"/>
          <w:numId w:val="4"/>
        </w:numPr>
        <w:spacing w:line="600" w:lineRule="exact"/>
        <w:ind w:firstLine="640" w:firstLineChars="200"/>
        <w:outlineLvl w:val="2"/>
        <w:rPr>
          <w:rFonts w:hint="eastAsia" w:ascii="仿宋" w:hAnsi="仿宋" w:eastAsia="仿宋" w:cs="Times New Roman"/>
          <w:color w:val="auto"/>
          <w:kern w:val="0"/>
          <w:sz w:val="32"/>
          <w:szCs w:val="32"/>
          <w:highlight w:val="none"/>
          <w:lang w:val="zh-CN" w:eastAsia="zh-CN" w:bidi="ar-SA"/>
        </w:rPr>
      </w:pPr>
      <w:r>
        <w:rPr>
          <w:rFonts w:hint="eastAsia" w:ascii="仿宋" w:hAnsi="仿宋" w:eastAsia="仿宋" w:cs="Times New Roman"/>
          <w:color w:val="auto"/>
          <w:kern w:val="0"/>
          <w:sz w:val="32"/>
          <w:szCs w:val="32"/>
          <w:highlight w:val="none"/>
          <w:lang w:val="zh-CN" w:eastAsia="zh-CN" w:bidi="ar-SA"/>
        </w:rPr>
        <w:t>卫生健康（类）行政事业单位医疗（款）行政单位医疗（项）:支出决算为</w:t>
      </w:r>
      <w:r>
        <w:rPr>
          <w:rFonts w:hint="eastAsia" w:ascii="仿宋" w:hAnsi="仿宋" w:eastAsia="仿宋" w:cs="Times New Roman"/>
          <w:color w:val="auto"/>
          <w:kern w:val="0"/>
          <w:sz w:val="32"/>
          <w:szCs w:val="32"/>
          <w:highlight w:val="none"/>
          <w:lang w:val="en-US" w:eastAsia="zh-CN" w:bidi="ar-SA"/>
        </w:rPr>
        <w:t>5.39</w:t>
      </w:r>
      <w:r>
        <w:rPr>
          <w:rFonts w:hint="eastAsia" w:ascii="仿宋" w:hAnsi="仿宋" w:eastAsia="仿宋" w:cs="Times New Roman"/>
          <w:color w:val="auto"/>
          <w:kern w:val="0"/>
          <w:sz w:val="32"/>
          <w:szCs w:val="32"/>
          <w:highlight w:val="none"/>
          <w:lang w:val="zh-CN" w:eastAsia="zh-CN" w:bidi="ar-SA"/>
        </w:rPr>
        <w:t>万元，完成预算</w:t>
      </w:r>
      <w:r>
        <w:rPr>
          <w:rFonts w:hint="eastAsia" w:ascii="仿宋" w:hAnsi="仿宋" w:eastAsia="仿宋" w:cs="Times New Roman"/>
          <w:color w:val="auto"/>
          <w:kern w:val="0"/>
          <w:sz w:val="32"/>
          <w:szCs w:val="32"/>
          <w:highlight w:val="none"/>
          <w:lang w:val="en-US" w:eastAsia="zh-CN" w:bidi="ar-SA"/>
        </w:rPr>
        <w:t>100</w:t>
      </w:r>
      <w:r>
        <w:rPr>
          <w:rFonts w:hint="eastAsia" w:ascii="仿宋" w:hAnsi="仿宋" w:eastAsia="仿宋" w:cs="Times New Roman"/>
          <w:color w:val="auto"/>
          <w:kern w:val="0"/>
          <w:sz w:val="32"/>
          <w:szCs w:val="32"/>
          <w:highlight w:val="none"/>
          <w:lang w:val="zh-CN" w:eastAsia="zh-CN" w:bidi="ar-SA"/>
        </w:rPr>
        <w:t>%。决算数等于预算数。</w:t>
      </w:r>
    </w:p>
    <w:p>
      <w:pPr>
        <w:numPr>
          <w:ilvl w:val="0"/>
          <w:numId w:val="4"/>
        </w:numPr>
        <w:spacing w:line="600" w:lineRule="exact"/>
        <w:ind w:firstLine="640" w:firstLineChars="200"/>
        <w:outlineLvl w:val="2"/>
        <w:rPr>
          <w:rFonts w:ascii="仿宋" w:hAnsi="仿宋" w:eastAsia="仿宋"/>
          <w:b/>
          <w:sz w:val="32"/>
          <w:szCs w:val="32"/>
        </w:rPr>
      </w:pPr>
      <w:r>
        <w:rPr>
          <w:rFonts w:hint="eastAsia" w:ascii="仿宋" w:hAnsi="仿宋" w:eastAsia="仿宋" w:cs="Times New Roman"/>
          <w:color w:val="auto"/>
          <w:kern w:val="0"/>
          <w:sz w:val="32"/>
          <w:szCs w:val="32"/>
          <w:highlight w:val="none"/>
          <w:lang w:val="zh-CN" w:eastAsia="zh-CN" w:bidi="ar-SA"/>
        </w:rPr>
        <w:t>卫生健康（类）行政事业单位医疗（款）公务员医疗补助（项）:支出决算为</w:t>
      </w:r>
      <w:r>
        <w:rPr>
          <w:rFonts w:hint="eastAsia" w:ascii="仿宋" w:hAnsi="仿宋" w:eastAsia="仿宋" w:cs="Times New Roman"/>
          <w:color w:val="auto"/>
          <w:kern w:val="0"/>
          <w:sz w:val="32"/>
          <w:szCs w:val="32"/>
          <w:highlight w:val="none"/>
          <w:lang w:val="en-US" w:eastAsia="zh-CN" w:bidi="ar-SA"/>
        </w:rPr>
        <w:t>1.9</w:t>
      </w:r>
      <w:r>
        <w:rPr>
          <w:rFonts w:hint="eastAsia" w:ascii="仿宋" w:hAnsi="仿宋" w:eastAsia="仿宋" w:cs="Times New Roman"/>
          <w:color w:val="auto"/>
          <w:kern w:val="0"/>
          <w:sz w:val="32"/>
          <w:szCs w:val="32"/>
          <w:highlight w:val="none"/>
          <w:lang w:val="zh-CN" w:eastAsia="zh-CN" w:bidi="ar-SA"/>
        </w:rPr>
        <w:t>万元，完成预算</w:t>
      </w:r>
      <w:r>
        <w:rPr>
          <w:rFonts w:hint="eastAsia" w:ascii="仿宋" w:hAnsi="仿宋" w:eastAsia="仿宋" w:cs="Times New Roman"/>
          <w:color w:val="auto"/>
          <w:kern w:val="0"/>
          <w:sz w:val="32"/>
          <w:szCs w:val="32"/>
          <w:highlight w:val="none"/>
          <w:lang w:val="en-US" w:eastAsia="zh-CN" w:bidi="ar-SA"/>
        </w:rPr>
        <w:t>100</w:t>
      </w:r>
      <w:r>
        <w:rPr>
          <w:rFonts w:hint="eastAsia" w:ascii="仿宋" w:hAnsi="仿宋" w:eastAsia="仿宋" w:cs="Times New Roman"/>
          <w:color w:val="auto"/>
          <w:kern w:val="0"/>
          <w:sz w:val="32"/>
          <w:szCs w:val="32"/>
          <w:highlight w:val="none"/>
          <w:lang w:val="zh-CN" w:eastAsia="zh-CN" w:bidi="ar-SA"/>
        </w:rPr>
        <w:t>%，决算数等于预算数。</w:t>
      </w:r>
    </w:p>
    <w:p>
      <w:pPr>
        <w:numPr>
          <w:ilvl w:val="0"/>
          <w:numId w:val="4"/>
        </w:numPr>
        <w:spacing w:line="600" w:lineRule="exact"/>
        <w:ind w:firstLine="640" w:firstLineChars="200"/>
        <w:outlineLvl w:val="2"/>
        <w:rPr>
          <w:rFonts w:ascii="仿宋" w:hAnsi="仿宋" w:eastAsia="仿宋"/>
          <w:b/>
          <w:sz w:val="32"/>
          <w:szCs w:val="32"/>
        </w:rPr>
      </w:pPr>
      <w:r>
        <w:rPr>
          <w:rFonts w:hint="eastAsia" w:ascii="仿宋" w:hAnsi="仿宋" w:eastAsia="仿宋" w:cs="Times New Roman"/>
          <w:color w:val="auto"/>
          <w:kern w:val="0"/>
          <w:sz w:val="32"/>
          <w:szCs w:val="32"/>
          <w:highlight w:val="none"/>
          <w:lang w:val="zh-CN" w:eastAsia="zh-CN" w:bidi="ar-SA"/>
        </w:rPr>
        <w:t>住房保障支出（类）住房改革支出（款） 住房公积金（项）:支出决算为</w:t>
      </w:r>
      <w:r>
        <w:rPr>
          <w:rFonts w:hint="eastAsia" w:ascii="仿宋" w:hAnsi="仿宋" w:eastAsia="仿宋" w:cs="Times New Roman"/>
          <w:color w:val="auto"/>
          <w:kern w:val="0"/>
          <w:sz w:val="32"/>
          <w:szCs w:val="32"/>
          <w:highlight w:val="none"/>
          <w:lang w:val="en-US" w:eastAsia="zh-CN" w:bidi="ar-SA"/>
        </w:rPr>
        <w:t>17.69</w:t>
      </w:r>
      <w:r>
        <w:rPr>
          <w:rFonts w:hint="eastAsia" w:ascii="仿宋" w:hAnsi="仿宋" w:eastAsia="仿宋" w:cs="Times New Roman"/>
          <w:color w:val="auto"/>
          <w:kern w:val="0"/>
          <w:sz w:val="32"/>
          <w:szCs w:val="32"/>
          <w:highlight w:val="none"/>
          <w:lang w:val="zh-CN" w:eastAsia="zh-CN" w:bidi="ar-SA"/>
        </w:rPr>
        <w:t>万元，完成预算</w:t>
      </w:r>
      <w:r>
        <w:rPr>
          <w:rFonts w:hint="eastAsia" w:ascii="仿宋" w:hAnsi="仿宋" w:eastAsia="仿宋" w:cs="Times New Roman"/>
          <w:color w:val="auto"/>
          <w:kern w:val="0"/>
          <w:sz w:val="32"/>
          <w:szCs w:val="32"/>
          <w:highlight w:val="none"/>
          <w:lang w:val="en-US" w:eastAsia="zh-CN" w:bidi="ar-SA"/>
        </w:rPr>
        <w:t>100</w:t>
      </w:r>
      <w:r>
        <w:rPr>
          <w:rFonts w:hint="eastAsia" w:ascii="仿宋" w:hAnsi="仿宋" w:eastAsia="仿宋" w:cs="Times New Roman"/>
          <w:color w:val="auto"/>
          <w:kern w:val="0"/>
          <w:sz w:val="32"/>
          <w:szCs w:val="32"/>
          <w:highlight w:val="none"/>
          <w:lang w:val="zh-CN" w:eastAsia="zh-CN" w:bidi="ar-SA"/>
        </w:rPr>
        <w:t>%。决算数等于预算数。</w:t>
      </w:r>
    </w:p>
    <w:p>
      <w:pPr>
        <w:tabs>
          <w:tab w:val="right" w:pos="8306"/>
        </w:tabs>
        <w:spacing w:line="600" w:lineRule="exact"/>
        <w:ind w:firstLine="640"/>
        <w:outlineLvl w:val="1"/>
        <w:rPr>
          <w:rStyle w:val="30"/>
        </w:rPr>
      </w:pPr>
      <w:bookmarkStart w:id="49" w:name="_Toc15868"/>
      <w:bookmarkStart w:id="50" w:name="_Toc15377214"/>
      <w:bookmarkStart w:id="51" w:name="_Toc15396608"/>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30"/>
          <w:rFonts w:hint="eastAsia" w:ascii="黑体" w:hAnsi="黑体" w:eastAsia="黑体"/>
          <w:b w:val="0"/>
        </w:rPr>
        <w:t>般公共预算财政拨款基本支出决算情况说明</w:t>
      </w:r>
      <w:bookmarkEnd w:id="49"/>
      <w:bookmarkEnd w:id="50"/>
      <w:bookmarkEnd w:id="51"/>
      <w:r>
        <w:rPr>
          <w:rStyle w:val="30"/>
          <w:rFonts w:ascii="黑体" w:hAnsi="黑体" w:eastAsia="黑体"/>
          <w:b w:val="0"/>
        </w:rPr>
        <w:tab/>
      </w:r>
    </w:p>
    <w:p>
      <w:pPr>
        <w:spacing w:line="600" w:lineRule="exact"/>
        <w:ind w:firstLine="645"/>
        <w:rPr>
          <w:rFonts w:ascii="仿宋" w:hAnsi="仿宋" w:eastAsia="仿宋"/>
          <w:sz w:val="32"/>
          <w:szCs w:val="32"/>
        </w:rPr>
      </w:pPr>
      <w:r>
        <w:rPr>
          <w:rFonts w:hint="eastAsia" w:ascii="仿宋" w:hAnsi="仿宋" w:eastAsia="仿宋"/>
          <w:sz w:val="32"/>
          <w:szCs w:val="32"/>
        </w:rPr>
        <w:t>2023年度一般公共预算财政拨款基本支出</w:t>
      </w:r>
      <w:r>
        <w:rPr>
          <w:rFonts w:ascii="仿宋" w:hAnsi="仿宋" w:eastAsia="仿宋"/>
          <w:b/>
          <w:sz w:val="32"/>
          <w:szCs w:val="32"/>
        </w:rPr>
        <w:t>253.66</w:t>
      </w:r>
      <w:r>
        <w:rPr>
          <w:rFonts w:hint="eastAsia" w:ascii="仿宋" w:hAnsi="仿宋" w:eastAsia="仿宋"/>
          <w:sz w:val="32"/>
          <w:szCs w:val="32"/>
        </w:rPr>
        <w:t>万元，其中：</w:t>
      </w:r>
    </w:p>
    <w:p>
      <w:pPr>
        <w:spacing w:line="600" w:lineRule="exact"/>
        <w:ind w:firstLine="645"/>
        <w:rPr>
          <w:rFonts w:ascii="仿宋" w:hAnsi="仿宋" w:eastAsia="仿宋"/>
          <w:b/>
          <w:sz w:val="32"/>
          <w:szCs w:val="32"/>
        </w:rPr>
      </w:pPr>
      <w:r>
        <w:rPr>
          <w:rFonts w:hint="eastAsia" w:ascii="仿宋" w:hAnsi="仿宋" w:eastAsia="仿宋"/>
          <w:sz w:val="32"/>
          <w:szCs w:val="32"/>
        </w:rPr>
        <w:t>人员经费</w:t>
      </w:r>
      <w:r>
        <w:rPr>
          <w:rFonts w:ascii="仿宋" w:hAnsi="仿宋" w:eastAsia="仿宋"/>
          <w:b/>
          <w:sz w:val="32"/>
          <w:szCs w:val="32"/>
        </w:rPr>
        <w:t>223.18</w:t>
      </w:r>
      <w:r>
        <w:rPr>
          <w:rFonts w:hint="eastAsia" w:ascii="仿宋" w:hAnsi="仿宋" w:eastAsia="仿宋"/>
          <w:sz w:val="32"/>
          <w:szCs w:val="32"/>
        </w:rPr>
        <w:t>万元，主要包括：基本工资、津贴补贴、奖金、机关事业单位基本养老保险缴费、职业年金缴费、医疗费补助</w:t>
      </w:r>
      <w:r>
        <w:rPr>
          <w:rFonts w:hint="eastAsia" w:ascii="仿宋" w:hAnsi="仿宋" w:eastAsia="仿宋"/>
          <w:sz w:val="32"/>
          <w:szCs w:val="32"/>
          <w:lang w:eastAsia="zh-CN"/>
        </w:rPr>
        <w:t>、</w:t>
      </w:r>
      <w:r>
        <w:rPr>
          <w:rFonts w:hint="eastAsia" w:ascii="仿宋" w:hAnsi="仿宋" w:eastAsia="仿宋"/>
          <w:sz w:val="32"/>
          <w:szCs w:val="32"/>
        </w:rPr>
        <w:t>其他社会保障缴费、住房公积金、其他工资福利支出、其他对个人和家庭的补助支出等。</w:t>
      </w:r>
      <w:r>
        <w:rPr>
          <w:rFonts w:ascii="仿宋" w:hAnsi="仿宋" w:eastAsia="仿宋"/>
          <w:sz w:val="32"/>
          <w:szCs w:val="32"/>
        </w:rPr>
        <w:br w:type="textWrapping"/>
      </w:r>
      <w:r>
        <w:rPr>
          <w:rFonts w:hint="eastAsia" w:ascii="仿宋" w:hAnsi="仿宋" w:eastAsia="仿宋"/>
          <w:sz w:val="32"/>
          <w:szCs w:val="32"/>
        </w:rPr>
        <w:t>　　公用经费</w:t>
      </w:r>
      <w:r>
        <w:rPr>
          <w:rFonts w:ascii="仿宋" w:hAnsi="仿宋" w:eastAsia="仿宋"/>
          <w:b/>
          <w:sz w:val="32"/>
          <w:szCs w:val="32"/>
        </w:rPr>
        <w:t>30.48</w:t>
      </w:r>
      <w:r>
        <w:rPr>
          <w:rFonts w:hint="eastAsia" w:ascii="仿宋" w:hAnsi="仿宋" w:eastAsia="仿宋"/>
          <w:sz w:val="32"/>
          <w:szCs w:val="32"/>
        </w:rPr>
        <w:t>万元，主要包括：办公费、水费、电费、邮电费、差旅费、培训费、公务接待费、劳务费、工会经费、福利费、其他交通费、其他商品和服务支出等。</w:t>
      </w:r>
    </w:p>
    <w:p>
      <w:pPr>
        <w:spacing w:line="600" w:lineRule="exact"/>
        <w:ind w:firstLine="640"/>
        <w:outlineLvl w:val="1"/>
        <w:rPr>
          <w:rStyle w:val="30"/>
          <w:rFonts w:ascii="黑体" w:hAnsi="黑体" w:eastAsia="黑体"/>
          <w:b w:val="0"/>
        </w:rPr>
      </w:pPr>
      <w:bookmarkStart w:id="52" w:name="_Toc7463"/>
      <w:bookmarkStart w:id="53" w:name="_Toc15377215"/>
      <w:bookmarkStart w:id="54" w:name="_Toc15396609"/>
      <w:r>
        <w:rPr>
          <w:rFonts w:hint="eastAsia" w:ascii="黑体" w:eastAsia="黑体"/>
          <w:sz w:val="32"/>
          <w:szCs w:val="32"/>
        </w:rPr>
        <w:t>七、</w:t>
      </w:r>
      <w:r>
        <w:rPr>
          <w:rStyle w:val="30"/>
          <w:rFonts w:hint="eastAsia" w:ascii="黑体" w:hAnsi="黑体" w:eastAsia="黑体"/>
          <w:b w:val="0"/>
        </w:rPr>
        <w:t>财政拨款</w:t>
      </w:r>
      <w:r>
        <w:rPr>
          <w:rStyle w:val="30"/>
          <w:rFonts w:hint="eastAsia" w:ascii="黑体" w:hAnsi="黑体" w:eastAsia="黑体"/>
        </w:rPr>
        <w:t>“</w:t>
      </w:r>
      <w:r>
        <w:rPr>
          <w:rStyle w:val="30"/>
          <w:rFonts w:hint="eastAsia" w:ascii="黑体" w:hAnsi="黑体" w:eastAsia="黑体"/>
          <w:b w:val="0"/>
        </w:rPr>
        <w:t>三公”经费支出决算情况说明</w:t>
      </w:r>
      <w:bookmarkEnd w:id="52"/>
      <w:bookmarkEnd w:id="53"/>
      <w:bookmarkEnd w:id="54"/>
    </w:p>
    <w:p>
      <w:pPr>
        <w:spacing w:line="600" w:lineRule="exact"/>
        <w:ind w:firstLine="640"/>
        <w:outlineLvl w:val="2"/>
        <w:rPr>
          <w:rFonts w:ascii="仿宋" w:hAnsi="仿宋" w:eastAsia="仿宋"/>
          <w:b/>
          <w:sz w:val="32"/>
          <w:szCs w:val="32"/>
        </w:rPr>
      </w:pPr>
      <w:bookmarkStart w:id="55" w:name="_Toc15377216"/>
      <w:r>
        <w:rPr>
          <w:rFonts w:hint="eastAsia" w:ascii="仿宋" w:hAnsi="仿宋" w:eastAsia="仿宋"/>
          <w:b/>
          <w:sz w:val="32"/>
          <w:szCs w:val="32"/>
        </w:rPr>
        <w:t>（一）“三公”经费财政拨款支出决算总体情况说明</w:t>
      </w:r>
      <w:bookmarkEnd w:id="55"/>
    </w:p>
    <w:p>
      <w:pPr>
        <w:spacing w:line="600" w:lineRule="exact"/>
        <w:ind w:firstLine="640"/>
        <w:rPr>
          <w:rFonts w:hint="eastAsia" w:ascii="仿宋" w:hAnsi="仿宋" w:eastAsia="仿宋"/>
          <w:sz w:val="32"/>
          <w:szCs w:val="32"/>
          <w:lang w:eastAsia="zh-CN"/>
        </w:rPr>
      </w:pPr>
      <w:r>
        <w:rPr>
          <w:rFonts w:hint="eastAsia" w:ascii="仿宋" w:hAnsi="仿宋" w:eastAsia="仿宋"/>
          <w:sz w:val="32"/>
          <w:szCs w:val="32"/>
        </w:rPr>
        <w:t>2023年度“三公”经费财政拨款支出决算为</w:t>
      </w:r>
      <w:r>
        <w:rPr>
          <w:rFonts w:ascii="仿宋" w:hAnsi="仿宋" w:eastAsia="仿宋"/>
          <w:b/>
          <w:sz w:val="32"/>
          <w:szCs w:val="32"/>
        </w:rPr>
        <w:t>0.33</w:t>
      </w:r>
      <w:r>
        <w:rPr>
          <w:rFonts w:hint="eastAsia" w:ascii="仿宋" w:hAnsi="仿宋" w:eastAsia="仿宋"/>
          <w:sz w:val="32"/>
          <w:szCs w:val="32"/>
        </w:rPr>
        <w:t>万元，完成预算</w:t>
      </w:r>
      <w:r>
        <w:rPr>
          <w:rFonts w:ascii="仿宋" w:hAnsi="仿宋" w:eastAsia="仿宋"/>
          <w:b/>
          <w:sz w:val="32"/>
          <w:szCs w:val="32"/>
        </w:rPr>
        <w:t>100</w:t>
      </w:r>
      <w:r>
        <w:rPr>
          <w:rFonts w:ascii="仿宋" w:hAnsi="仿宋" w:eastAsia="仿宋"/>
          <w:sz w:val="32"/>
          <w:szCs w:val="32"/>
        </w:rPr>
        <w:t>%</w:t>
      </w:r>
      <w:r>
        <w:rPr>
          <w:rFonts w:hint="eastAsia" w:ascii="仿宋" w:hAnsi="仿宋" w:eastAsia="仿宋"/>
          <w:sz w:val="32"/>
          <w:szCs w:val="32"/>
        </w:rPr>
        <w:t>，较上年度</w:t>
      </w:r>
      <w:r>
        <w:rPr>
          <w:rFonts w:hint="eastAsia" w:ascii="仿宋" w:hAnsi="仿宋" w:eastAsia="仿宋"/>
          <w:color w:val="auto"/>
          <w:kern w:val="2"/>
          <w:sz w:val="32"/>
          <w:lang w:val="zh-CN"/>
        </w:rPr>
        <w:t>0.61万元</w:t>
      </w:r>
      <w:r>
        <w:rPr>
          <w:rFonts w:hint="eastAsia" w:ascii="仿宋" w:hAnsi="仿宋" w:eastAsia="仿宋"/>
          <w:sz w:val="32"/>
          <w:szCs w:val="32"/>
        </w:rPr>
        <w:t>减少</w:t>
      </w:r>
      <w:r>
        <w:rPr>
          <w:rFonts w:hint="eastAsia" w:ascii="仿宋" w:hAnsi="仿宋" w:eastAsia="仿宋"/>
          <w:sz w:val="32"/>
          <w:szCs w:val="32"/>
          <w:lang w:val="en-US" w:eastAsia="zh-CN"/>
        </w:rPr>
        <w:t>0.28</w:t>
      </w:r>
      <w:r>
        <w:rPr>
          <w:rFonts w:hint="eastAsia" w:ascii="仿宋" w:hAnsi="仿宋" w:eastAsia="仿宋"/>
          <w:sz w:val="32"/>
          <w:szCs w:val="32"/>
        </w:rPr>
        <w:t>万元，下降</w:t>
      </w:r>
      <w:r>
        <w:rPr>
          <w:rFonts w:hint="eastAsia" w:ascii="仿宋" w:hAnsi="仿宋" w:eastAsia="仿宋"/>
          <w:sz w:val="32"/>
          <w:szCs w:val="32"/>
          <w:lang w:val="en-US" w:eastAsia="zh-CN"/>
        </w:rPr>
        <w:t>45.9</w:t>
      </w:r>
      <w:r>
        <w:rPr>
          <w:rFonts w:hint="eastAsia" w:ascii="仿宋" w:hAnsi="仿宋" w:eastAsia="仿宋"/>
          <w:sz w:val="32"/>
          <w:szCs w:val="32"/>
        </w:rPr>
        <w:t>%。决算数与预算数持平</w:t>
      </w:r>
      <w:r>
        <w:rPr>
          <w:rFonts w:hint="eastAsia" w:ascii="仿宋" w:hAnsi="仿宋" w:eastAsia="仿宋"/>
          <w:sz w:val="32"/>
          <w:szCs w:val="32"/>
          <w:lang w:eastAsia="zh-CN"/>
        </w:rPr>
        <w:t>。</w:t>
      </w:r>
    </w:p>
    <w:p>
      <w:pPr>
        <w:spacing w:line="600" w:lineRule="exact"/>
        <w:ind w:firstLine="640"/>
        <w:outlineLvl w:val="2"/>
        <w:rPr>
          <w:rFonts w:ascii="仿宋" w:hAnsi="仿宋" w:eastAsia="仿宋"/>
          <w:b/>
          <w:sz w:val="32"/>
          <w:szCs w:val="32"/>
        </w:rPr>
      </w:pPr>
      <w:bookmarkStart w:id="56" w:name="_Toc15377217"/>
      <w:r>
        <w:rPr>
          <w:rFonts w:hint="eastAsia" w:ascii="仿宋" w:hAnsi="仿宋" w:eastAsia="仿宋"/>
          <w:b/>
          <w:sz w:val="32"/>
          <w:szCs w:val="32"/>
        </w:rPr>
        <w:t>（二）“三公”经费财政拨款支出决算具体情况说明</w:t>
      </w:r>
      <w:bookmarkEnd w:id="56"/>
    </w:p>
    <w:p>
      <w:pPr>
        <w:spacing w:line="600" w:lineRule="exact"/>
        <w:ind w:firstLine="640"/>
        <w:rPr>
          <w:rFonts w:ascii="仿宋" w:hAnsi="仿宋" w:eastAsia="仿宋"/>
          <w:sz w:val="32"/>
          <w:szCs w:val="32"/>
        </w:rPr>
      </w:pPr>
      <w:r>
        <w:rPr>
          <w:rFonts w:hint="eastAsia" w:ascii="仿宋" w:hAnsi="仿宋" w:eastAsia="仿宋"/>
          <w:sz w:val="32"/>
          <w:szCs w:val="32"/>
        </w:rPr>
        <w:t>2023年度“三公”经费财政拨款支出决算中，因公出国（境）费支出决算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；公务用车购置及运行维护费支出决算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；公务接待费支出决算</w:t>
      </w:r>
      <w:r>
        <w:rPr>
          <w:rFonts w:ascii="仿宋" w:hAnsi="仿宋" w:eastAsia="仿宋"/>
          <w:b/>
          <w:sz w:val="32"/>
          <w:szCs w:val="32"/>
        </w:rPr>
        <w:t>0.33</w:t>
      </w:r>
      <w:r>
        <w:rPr>
          <w:rFonts w:hint="eastAsia" w:ascii="仿宋" w:hAnsi="仿宋" w:eastAsia="仿宋"/>
          <w:sz w:val="32"/>
          <w:szCs w:val="32"/>
        </w:rPr>
        <w:t>万元，占</w:t>
      </w:r>
      <w:r>
        <w:rPr>
          <w:rFonts w:ascii="仿宋" w:hAnsi="仿宋" w:eastAsia="仿宋"/>
          <w:b/>
          <w:sz w:val="32"/>
          <w:szCs w:val="32"/>
        </w:rPr>
        <w:t>100</w:t>
      </w:r>
      <w:r>
        <w:rPr>
          <w:rFonts w:ascii="仿宋" w:hAnsi="仿宋" w:eastAsia="仿宋"/>
          <w:sz w:val="32"/>
          <w:szCs w:val="32"/>
        </w:rPr>
        <w:t>%</w:t>
      </w:r>
      <w:r>
        <w:rPr>
          <w:rFonts w:hint="eastAsia" w:ascii="仿宋" w:hAnsi="仿宋" w:eastAsia="仿宋"/>
          <w:sz w:val="32"/>
          <w:szCs w:val="32"/>
        </w:rPr>
        <w:t>。具体情况如下：</w:t>
      </w:r>
    </w:p>
    <w:p>
      <w:pPr>
        <w:spacing w:line="600" w:lineRule="exact"/>
        <w:ind w:firstLine="640"/>
        <w:rPr>
          <w:rFonts w:hint="eastAsia" w:ascii="仿宋" w:hAnsi="仿宋" w:eastAsia="仿宋"/>
          <w:sz w:val="32"/>
          <w:szCs w:val="32"/>
        </w:rPr>
      </w:pPr>
      <w:r>
        <w:rPr>
          <w:rFonts w:hint="eastAsia" w:ascii="仿宋" w:hAnsi="仿宋" w:eastAsia="仿宋"/>
          <w:sz w:val="32"/>
          <w:szCs w:val="32"/>
        </w:rPr>
        <w:t>图7：“三公”经费财政拨款支出结构</w:t>
      </w:r>
    </w:p>
    <w:p>
      <w:pPr>
        <w:pStyle w:val="2"/>
        <w:rPr>
          <w:rFonts w:hint="eastAsia" w:ascii="仿宋" w:hAnsi="仿宋" w:eastAsia="仿宋"/>
          <w:sz w:val="32"/>
          <w:szCs w:val="32"/>
        </w:rPr>
      </w:pPr>
      <w:r>
        <w:rPr>
          <w:rFonts w:hint="eastAsia" w:ascii="仿宋" w:hAnsi="仿宋" w:eastAsia="仿宋"/>
          <w:sz w:val="32"/>
          <w:szCs w:val="32"/>
          <w:lang w:eastAsia="zh-CN"/>
        </w:rPr>
        <w:drawing>
          <wp:inline distT="0" distB="0" distL="114300" distR="114300">
            <wp:extent cx="4578350" cy="3176270"/>
            <wp:effectExtent l="0" t="0" r="12700" b="5080"/>
            <wp:docPr id="9" name="图片 9" descr="图片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8"/>
                    <pic:cNvPicPr>
                      <a:picLocks noChangeAspect="1"/>
                    </pic:cNvPicPr>
                  </pic:nvPicPr>
                  <pic:blipFill>
                    <a:blip r:embed="rId14"/>
                    <a:stretch>
                      <a:fillRect/>
                    </a:stretch>
                  </pic:blipFill>
                  <pic:spPr>
                    <a:xfrm>
                      <a:off x="0" y="0"/>
                      <a:ext cx="4578350" cy="3176270"/>
                    </a:xfrm>
                    <a:prstGeom prst="rect">
                      <a:avLst/>
                    </a:prstGeom>
                  </pic:spPr>
                </pic:pic>
              </a:graphicData>
            </a:graphic>
          </wp:inline>
        </w:drawing>
      </w:r>
    </w:p>
    <w:p>
      <w:pPr>
        <w:pStyle w:val="4"/>
        <w:ind w:firstLine="643" w:firstLineChars="200"/>
        <w:rPr>
          <w:rFonts w:ascii="仿宋_GB2312" w:eastAsia="仿宋_GB2312"/>
          <w:b/>
          <w:sz w:val="32"/>
          <w:szCs w:val="32"/>
        </w:rPr>
      </w:pPr>
      <w:bookmarkStart w:id="57" w:name="_Toc15396610"/>
      <w:bookmarkStart w:id="58" w:name="_Toc15377218"/>
      <w:r>
        <w:rPr>
          <w:rFonts w:ascii="仿宋_GB2312" w:eastAsia="仿宋_GB2312"/>
          <w:b/>
          <w:sz w:val="32"/>
          <w:szCs w:val="32"/>
        </w:rPr>
        <w:t>1.</w:t>
      </w:r>
      <w:r>
        <w:rPr>
          <w:rFonts w:hint="eastAsia" w:ascii="仿宋_GB2312" w:eastAsia="仿宋_GB2312"/>
          <w:b/>
          <w:sz w:val="32"/>
          <w:szCs w:val="32"/>
        </w:rPr>
        <w:t>因公出国（境）经费支出</w:t>
      </w:r>
      <w:r>
        <w:rPr>
          <w:rFonts w:ascii="仿宋" w:hAnsi="仿宋" w:eastAsia="仿宋"/>
          <w:b/>
          <w:sz w:val="32"/>
          <w:szCs w:val="32"/>
        </w:rPr>
        <w:t>0</w:t>
      </w:r>
      <w:r>
        <w:rPr>
          <w:rFonts w:hint="eastAsia" w:ascii="仿宋_GB2312" w:eastAsia="仿宋_GB2312"/>
          <w:sz w:val="32"/>
          <w:szCs w:val="32"/>
        </w:rPr>
        <w:t>万元，</w:t>
      </w:r>
      <w:r>
        <w:rPr>
          <w:rStyle w:val="18"/>
          <w:rFonts w:hint="eastAsia" w:ascii="仿宋" w:hAnsi="仿宋" w:eastAsia="仿宋"/>
          <w:b w:val="0"/>
          <w:bCs/>
          <w:sz w:val="32"/>
          <w:szCs w:val="32"/>
        </w:rPr>
        <w:t>完成预算</w:t>
      </w:r>
      <w:r>
        <w:rPr>
          <w:rStyle w:val="18"/>
          <w:rFonts w:ascii="仿宋" w:hAnsi="仿宋" w:eastAsia="仿宋"/>
          <w:bCs/>
          <w:sz w:val="32"/>
          <w:szCs w:val="32"/>
        </w:rPr>
        <w:t>0</w:t>
      </w:r>
      <w:r>
        <w:rPr>
          <w:rStyle w:val="18"/>
          <w:rFonts w:ascii="仿宋" w:hAnsi="仿宋" w:eastAsia="仿宋"/>
          <w:b w:val="0"/>
          <w:bCs/>
          <w:sz w:val="32"/>
          <w:szCs w:val="32"/>
        </w:rPr>
        <w:t>%</w:t>
      </w:r>
      <w:r>
        <w:rPr>
          <w:rStyle w:val="18"/>
          <w:rFonts w:hint="eastAsia" w:ascii="仿宋" w:hAnsi="仿宋" w:eastAsia="仿宋"/>
          <w:b w:val="0"/>
          <w:bCs/>
          <w:sz w:val="32"/>
          <w:szCs w:val="32"/>
        </w:rPr>
        <w:t>。</w:t>
      </w:r>
      <w:r>
        <w:rPr>
          <w:rFonts w:hint="eastAsia" w:ascii="仿宋_GB2312" w:eastAsia="仿宋_GB2312"/>
          <w:sz w:val="32"/>
          <w:szCs w:val="32"/>
        </w:rPr>
        <w:t>全年安排因公出国（境）团组</w:t>
      </w:r>
      <w:r>
        <w:rPr>
          <w:rFonts w:ascii="仿宋_GB2312" w:eastAsia="仿宋_GB2312"/>
          <w:b/>
          <w:sz w:val="32"/>
          <w:szCs w:val="32"/>
        </w:rPr>
        <w:t>0</w:t>
      </w:r>
      <w:r>
        <w:rPr>
          <w:rFonts w:hint="eastAsia" w:ascii="仿宋_GB2312" w:eastAsia="仿宋_GB2312"/>
          <w:sz w:val="32"/>
          <w:szCs w:val="32"/>
        </w:rPr>
        <w:t>次，出国（境）</w:t>
      </w:r>
      <w:r>
        <w:rPr>
          <w:rFonts w:ascii="仿宋_GB2312" w:eastAsia="仿宋_GB2312"/>
          <w:b/>
          <w:sz w:val="32"/>
          <w:szCs w:val="32"/>
        </w:rPr>
        <w:t>0</w:t>
      </w:r>
      <w:r>
        <w:rPr>
          <w:rFonts w:hint="eastAsia" w:ascii="仿宋_GB2312" w:eastAsia="仿宋_GB2312"/>
          <w:sz w:val="32"/>
          <w:szCs w:val="32"/>
        </w:rPr>
        <w:t>人。因公出国（境）支出决算比2022年增加</w:t>
      </w:r>
      <w:r>
        <w:rPr>
          <w:rFonts w:hint="eastAsia" w:ascii="仿宋_GB2312" w:eastAsia="仿宋_GB2312"/>
          <w:sz w:val="32"/>
          <w:szCs w:val="32"/>
          <w:lang w:val="en-US" w:eastAsia="zh-CN"/>
        </w:rPr>
        <w:t>0</w:t>
      </w:r>
      <w:r>
        <w:rPr>
          <w:rFonts w:hint="eastAsia" w:ascii="仿宋_GB2312" w:eastAsia="仿宋_GB2312"/>
          <w:sz w:val="32"/>
          <w:szCs w:val="32"/>
        </w:rPr>
        <w:t>万元，增长</w:t>
      </w:r>
      <w:r>
        <w:rPr>
          <w:rFonts w:ascii="仿宋_GB2312" w:eastAsia="仿宋_GB2312"/>
          <w:sz w:val="32"/>
          <w:szCs w:val="32"/>
        </w:rPr>
        <w:t>/</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。主要原因是</w:t>
      </w:r>
      <w:r>
        <w:rPr>
          <w:rFonts w:hint="eastAsia" w:ascii="仿宋" w:hAnsi="仿宋" w:eastAsia="仿宋"/>
          <w:sz w:val="32"/>
          <w:szCs w:val="32"/>
          <w:lang w:val="en-US" w:eastAsia="zh-CN"/>
        </w:rPr>
        <w:t>未安排该项支出。</w:t>
      </w:r>
    </w:p>
    <w:p>
      <w:pPr>
        <w:pStyle w:val="4"/>
        <w:ind w:firstLine="643" w:firstLineChars="200"/>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公务用车购置及运行维护费支出</w:t>
      </w:r>
      <w:r>
        <w:rPr>
          <w:rFonts w:ascii="仿宋" w:hAnsi="仿宋" w:eastAsia="仿宋"/>
          <w:b/>
          <w:sz w:val="32"/>
          <w:szCs w:val="32"/>
        </w:rPr>
        <w:t>0</w:t>
      </w:r>
      <w:r>
        <w:rPr>
          <w:rFonts w:hint="eastAsia" w:ascii="仿宋_GB2312" w:eastAsia="仿宋_GB2312"/>
          <w:sz w:val="32"/>
          <w:szCs w:val="32"/>
        </w:rPr>
        <w:t>万元,</w:t>
      </w:r>
      <w:r>
        <w:rPr>
          <w:rStyle w:val="18"/>
          <w:rFonts w:hint="eastAsia" w:ascii="仿宋" w:hAnsi="仿宋" w:eastAsia="仿宋"/>
          <w:b w:val="0"/>
          <w:bCs/>
          <w:sz w:val="32"/>
          <w:szCs w:val="32"/>
        </w:rPr>
        <w:t>完成预算</w:t>
      </w:r>
      <w:r>
        <w:rPr>
          <w:rStyle w:val="18"/>
          <w:rFonts w:ascii="仿宋" w:hAnsi="仿宋" w:eastAsia="仿宋"/>
          <w:bCs/>
          <w:sz w:val="32"/>
          <w:szCs w:val="32"/>
        </w:rPr>
        <w:t>0</w:t>
      </w:r>
      <w:r>
        <w:rPr>
          <w:rStyle w:val="18"/>
          <w:rFonts w:ascii="仿宋" w:hAnsi="仿宋" w:eastAsia="仿宋"/>
          <w:b w:val="0"/>
          <w:bCs/>
          <w:sz w:val="32"/>
          <w:szCs w:val="32"/>
        </w:rPr>
        <w:t>%</w:t>
      </w:r>
      <w:r>
        <w:rPr>
          <w:rStyle w:val="18"/>
          <w:rFonts w:hint="eastAsia" w:ascii="仿宋" w:hAnsi="仿宋" w:eastAsia="仿宋"/>
          <w:b w:val="0"/>
          <w:bCs/>
          <w:sz w:val="32"/>
          <w:szCs w:val="32"/>
        </w:rPr>
        <w:t>。</w:t>
      </w:r>
      <w:r>
        <w:rPr>
          <w:rFonts w:hint="eastAsia" w:ascii="仿宋_GB2312" w:eastAsia="仿宋_GB2312"/>
          <w:sz w:val="32"/>
          <w:szCs w:val="32"/>
        </w:rPr>
        <w:t>公务用车购置及运行维护费支出决算比2022年度增加</w:t>
      </w:r>
      <w:r>
        <w:rPr>
          <w:rFonts w:hint="eastAsia"/>
          <w:sz w:val="32"/>
          <w:szCs w:val="32"/>
          <w:lang w:val="en-US" w:eastAsia="zh-CN"/>
        </w:rPr>
        <w:t>0</w:t>
      </w:r>
      <w:r>
        <w:rPr>
          <w:rFonts w:hint="eastAsia" w:ascii="仿宋_GB2312" w:eastAsia="仿宋_GB2312"/>
          <w:sz w:val="32"/>
          <w:szCs w:val="32"/>
        </w:rPr>
        <w:t>万元，增长</w:t>
      </w:r>
      <w:r>
        <w:rPr>
          <w:rFonts w:hint="eastAsia"/>
          <w:sz w:val="32"/>
          <w:szCs w:val="32"/>
          <w:lang w:val="en-US" w:eastAsia="zh-CN"/>
        </w:rPr>
        <w:t>0</w:t>
      </w:r>
      <w:r>
        <w:rPr>
          <w:rFonts w:ascii="仿宋_GB2312" w:eastAsia="仿宋_GB2312"/>
          <w:sz w:val="32"/>
          <w:szCs w:val="32"/>
        </w:rPr>
        <w:t>%</w:t>
      </w:r>
      <w:r>
        <w:rPr>
          <w:rFonts w:hint="eastAsia" w:ascii="仿宋_GB2312" w:eastAsia="仿宋_GB2312"/>
          <w:sz w:val="32"/>
          <w:szCs w:val="32"/>
        </w:rPr>
        <w:t>。主要原因是</w:t>
      </w:r>
      <w:r>
        <w:rPr>
          <w:rFonts w:hint="eastAsia" w:ascii="仿宋" w:hAnsi="仿宋" w:eastAsia="仿宋"/>
          <w:sz w:val="32"/>
          <w:szCs w:val="32"/>
          <w:lang w:val="en-US" w:eastAsia="zh-CN"/>
        </w:rPr>
        <w:t>未安排该项支出。</w:t>
      </w:r>
    </w:p>
    <w:p>
      <w:pPr>
        <w:spacing w:line="600" w:lineRule="exact"/>
        <w:ind w:firstLine="640" w:firstLineChars="200"/>
        <w:rPr>
          <w:rFonts w:ascii="仿宋_GB2312" w:eastAsia="仿宋_GB2312"/>
          <w:b/>
          <w:sz w:val="32"/>
          <w:szCs w:val="32"/>
        </w:rPr>
      </w:pPr>
      <w:r>
        <w:rPr>
          <w:rFonts w:hint="eastAsia" w:ascii="仿宋_GB2312" w:eastAsia="仿宋_GB2312"/>
          <w:sz w:val="32"/>
          <w:szCs w:val="32"/>
        </w:rPr>
        <w:t>其中：</w:t>
      </w:r>
      <w:r>
        <w:rPr>
          <w:rFonts w:hint="eastAsia" w:ascii="仿宋_GB2312" w:eastAsia="仿宋_GB2312"/>
          <w:b/>
          <w:sz w:val="32"/>
          <w:szCs w:val="32"/>
        </w:rPr>
        <w:t>公务用车购置支出</w:t>
      </w:r>
      <w:r>
        <w:rPr>
          <w:rFonts w:ascii="仿宋" w:hAnsi="仿宋" w:eastAsia="仿宋"/>
          <w:b/>
          <w:sz w:val="32"/>
          <w:szCs w:val="32"/>
        </w:rPr>
        <w:t>0</w:t>
      </w:r>
      <w:r>
        <w:rPr>
          <w:rFonts w:hint="eastAsia" w:ascii="仿宋_GB2312" w:eastAsia="仿宋_GB2312"/>
          <w:sz w:val="32"/>
          <w:szCs w:val="32"/>
        </w:rPr>
        <w:t>万元。全年按规定更新购置公务用车</w:t>
      </w:r>
      <w:r>
        <w:rPr>
          <w:rFonts w:hint="eastAsia" w:ascii="仿宋_GB2312" w:eastAsia="仿宋_GB2312"/>
          <w:sz w:val="32"/>
          <w:szCs w:val="32"/>
          <w:lang w:val="en-US" w:eastAsia="zh-CN"/>
        </w:rPr>
        <w:t>0</w:t>
      </w:r>
      <w:r>
        <w:rPr>
          <w:rFonts w:hint="eastAsia" w:ascii="仿宋_GB2312" w:eastAsia="仿宋_GB2312"/>
          <w:sz w:val="32"/>
          <w:szCs w:val="32"/>
        </w:rPr>
        <w:t>辆，其中：轿车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万元，越野车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万元，载客汽车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万元，主要用于</w:t>
      </w:r>
      <w:r>
        <w:rPr>
          <w:rFonts w:hint="eastAsia" w:ascii="仿宋_GB2312" w:eastAsia="仿宋_GB2312"/>
          <w:sz w:val="32"/>
          <w:szCs w:val="32"/>
          <w:lang w:eastAsia="zh-CN"/>
        </w:rPr>
        <w:t>：无。</w:t>
      </w: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月31日，单位共有公务用车</w:t>
      </w:r>
      <w:r>
        <w:rPr>
          <w:rFonts w:hint="eastAsia" w:ascii="仿宋_GB2312" w:eastAsia="仿宋_GB2312"/>
          <w:sz w:val="32"/>
          <w:szCs w:val="32"/>
          <w:lang w:val="en-US" w:eastAsia="zh-CN"/>
        </w:rPr>
        <w:t>0</w:t>
      </w:r>
      <w:r>
        <w:rPr>
          <w:rFonts w:hint="eastAsia" w:ascii="仿宋_GB2312" w:eastAsia="仿宋_GB2312"/>
          <w:sz w:val="32"/>
          <w:szCs w:val="32"/>
        </w:rPr>
        <w:t>辆，其中：轿车</w:t>
      </w:r>
      <w:r>
        <w:rPr>
          <w:rFonts w:hint="eastAsia" w:ascii="仿宋_GB2312" w:eastAsia="仿宋_GB2312"/>
          <w:sz w:val="32"/>
          <w:szCs w:val="32"/>
          <w:lang w:val="en-US" w:eastAsia="zh-CN"/>
        </w:rPr>
        <w:t>0</w:t>
      </w:r>
      <w:r>
        <w:rPr>
          <w:rFonts w:hint="eastAsia" w:ascii="仿宋_GB2312" w:eastAsia="仿宋_GB2312"/>
          <w:sz w:val="32"/>
          <w:szCs w:val="32"/>
        </w:rPr>
        <w:t>辆、越野车</w:t>
      </w:r>
      <w:r>
        <w:rPr>
          <w:rFonts w:hint="eastAsia" w:ascii="仿宋_GB2312" w:eastAsia="仿宋_GB2312"/>
          <w:sz w:val="32"/>
          <w:szCs w:val="32"/>
          <w:lang w:val="en-US" w:eastAsia="zh-CN"/>
        </w:rPr>
        <w:t>0</w:t>
      </w:r>
      <w:r>
        <w:rPr>
          <w:rFonts w:hint="eastAsia" w:ascii="仿宋_GB2312" w:eastAsia="仿宋_GB2312"/>
          <w:sz w:val="32"/>
          <w:szCs w:val="32"/>
        </w:rPr>
        <w:t>辆、载客汽车</w:t>
      </w:r>
      <w:r>
        <w:rPr>
          <w:rFonts w:hint="eastAsia" w:ascii="仿宋_GB2312" w:eastAsia="仿宋_GB2312"/>
          <w:sz w:val="32"/>
          <w:szCs w:val="32"/>
          <w:lang w:val="en-US" w:eastAsia="zh-CN"/>
        </w:rPr>
        <w:t>0</w:t>
      </w:r>
      <w:r>
        <w:rPr>
          <w:rFonts w:hint="eastAsia" w:ascii="仿宋_GB2312" w:eastAsia="仿宋_GB2312"/>
          <w:sz w:val="32"/>
          <w:szCs w:val="32"/>
        </w:rPr>
        <w:t>辆。</w:t>
      </w:r>
    </w:p>
    <w:p>
      <w:pPr>
        <w:spacing w:line="600" w:lineRule="exact"/>
        <w:ind w:firstLine="640"/>
        <w:rPr>
          <w:rFonts w:hint="eastAsia" w:ascii="仿宋_GB2312" w:eastAsia="仿宋_GB2312"/>
          <w:sz w:val="32"/>
          <w:szCs w:val="32"/>
          <w:lang w:eastAsia="zh-CN"/>
        </w:rPr>
      </w:pPr>
      <w:r>
        <w:rPr>
          <w:rFonts w:hint="eastAsia" w:ascii="仿宋_GB2312" w:eastAsia="仿宋_GB2312"/>
          <w:b/>
          <w:sz w:val="32"/>
          <w:szCs w:val="32"/>
        </w:rPr>
        <w:t>公务用车运行维护费支出</w:t>
      </w:r>
      <w:r>
        <w:rPr>
          <w:rFonts w:ascii="仿宋" w:hAnsi="仿宋" w:eastAsia="仿宋"/>
          <w:b/>
          <w:sz w:val="32"/>
          <w:szCs w:val="32"/>
        </w:rPr>
        <w:t>0</w:t>
      </w:r>
      <w:r>
        <w:rPr>
          <w:rFonts w:hint="eastAsia" w:ascii="仿宋_GB2312" w:eastAsia="仿宋_GB2312"/>
          <w:sz w:val="32"/>
          <w:szCs w:val="32"/>
        </w:rPr>
        <w:t>万元。主要用于</w:t>
      </w:r>
      <w:r>
        <w:rPr>
          <w:rFonts w:hint="eastAsia" w:ascii="仿宋_GB2312" w:eastAsia="仿宋_GB2312"/>
          <w:sz w:val="32"/>
          <w:szCs w:val="32"/>
          <w:lang w:eastAsia="zh-CN"/>
        </w:rPr>
        <w:t>：无。</w:t>
      </w:r>
    </w:p>
    <w:p>
      <w:pPr>
        <w:spacing w:line="600" w:lineRule="exact"/>
        <w:ind w:firstLine="640"/>
        <w:rPr>
          <w:rFonts w:ascii="仿宋_GB2312" w:eastAsia="仿宋_GB2312"/>
          <w:sz w:val="32"/>
          <w:szCs w:val="32"/>
        </w:rPr>
      </w:pPr>
      <w:r>
        <w:rPr>
          <w:rFonts w:ascii="仿宋_GB2312" w:eastAsia="仿宋_GB2312"/>
          <w:b/>
          <w:sz w:val="32"/>
          <w:szCs w:val="32"/>
        </w:rPr>
        <w:t>3.</w:t>
      </w:r>
      <w:r>
        <w:rPr>
          <w:rFonts w:hint="eastAsia" w:ascii="仿宋_GB2312" w:eastAsia="仿宋_GB2312"/>
          <w:b/>
          <w:sz w:val="32"/>
          <w:szCs w:val="32"/>
        </w:rPr>
        <w:t>公务接待费支出</w:t>
      </w:r>
      <w:r>
        <w:rPr>
          <w:rFonts w:ascii="仿宋" w:hAnsi="仿宋" w:eastAsia="仿宋"/>
          <w:b/>
          <w:sz w:val="32"/>
          <w:szCs w:val="32"/>
        </w:rPr>
        <w:t>0.33</w:t>
      </w:r>
      <w:r>
        <w:rPr>
          <w:rFonts w:hint="eastAsia" w:ascii="仿宋_GB2312" w:eastAsia="仿宋_GB2312"/>
          <w:sz w:val="32"/>
          <w:szCs w:val="32"/>
        </w:rPr>
        <w:t>万元，</w:t>
      </w:r>
      <w:r>
        <w:rPr>
          <w:rStyle w:val="18"/>
          <w:rFonts w:hint="eastAsia" w:ascii="仿宋" w:hAnsi="仿宋" w:eastAsia="仿宋"/>
          <w:b w:val="0"/>
          <w:bCs/>
          <w:sz w:val="32"/>
          <w:szCs w:val="32"/>
        </w:rPr>
        <w:t>完成预算</w:t>
      </w:r>
      <w:r>
        <w:rPr>
          <w:rStyle w:val="18"/>
          <w:rFonts w:ascii="仿宋" w:hAnsi="仿宋" w:eastAsia="仿宋"/>
          <w:b w:val="0"/>
          <w:bCs/>
          <w:sz w:val="32"/>
          <w:szCs w:val="32"/>
        </w:rPr>
        <w:t>100%</w:t>
      </w:r>
      <w:r>
        <w:rPr>
          <w:rStyle w:val="18"/>
          <w:rFonts w:hint="eastAsia" w:ascii="仿宋" w:hAnsi="仿宋" w:eastAsia="仿宋"/>
          <w:b w:val="0"/>
          <w:bCs/>
          <w:sz w:val="32"/>
          <w:szCs w:val="32"/>
        </w:rPr>
        <w:t>。</w:t>
      </w:r>
      <w:r>
        <w:rPr>
          <w:rFonts w:hint="eastAsia" w:ascii="仿宋_GB2312" w:eastAsia="仿宋_GB2312"/>
          <w:sz w:val="32"/>
          <w:szCs w:val="32"/>
        </w:rPr>
        <w:t>公务接待费支出决算比2022年度</w:t>
      </w:r>
      <w:r>
        <w:rPr>
          <w:rFonts w:hint="eastAsia" w:ascii="仿宋_GB2312" w:eastAsia="仿宋_GB2312"/>
          <w:sz w:val="32"/>
          <w:szCs w:val="32"/>
          <w:lang w:val="en-US" w:eastAsia="zh-CN"/>
        </w:rPr>
        <w:t>0.61</w:t>
      </w:r>
      <w:r>
        <w:rPr>
          <w:rFonts w:hint="eastAsia" w:ascii="仿宋_GB2312" w:eastAsia="仿宋_GB2312"/>
          <w:sz w:val="32"/>
          <w:szCs w:val="32"/>
        </w:rPr>
        <w:t>减少</w:t>
      </w:r>
      <w:r>
        <w:rPr>
          <w:rFonts w:hint="eastAsia" w:ascii="仿宋_GB2312" w:eastAsia="仿宋_GB2312"/>
          <w:sz w:val="32"/>
          <w:szCs w:val="32"/>
          <w:lang w:val="en-US" w:eastAsia="zh-CN"/>
        </w:rPr>
        <w:t>0.28</w:t>
      </w:r>
      <w:r>
        <w:rPr>
          <w:rFonts w:hint="eastAsia" w:ascii="仿宋_GB2312" w:eastAsia="仿宋_GB2312"/>
          <w:sz w:val="32"/>
          <w:szCs w:val="32"/>
        </w:rPr>
        <w:t>万元，下降</w:t>
      </w:r>
      <w:r>
        <w:rPr>
          <w:rFonts w:hint="eastAsia" w:ascii="仿宋_GB2312" w:eastAsia="仿宋_GB2312"/>
          <w:sz w:val="32"/>
          <w:szCs w:val="32"/>
          <w:lang w:val="en-US" w:eastAsia="zh-CN"/>
        </w:rPr>
        <w:t>45.9</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eastAsia="zh-CN"/>
        </w:rPr>
        <w:t>本年接待事项减少，相应减少了</w:t>
      </w:r>
      <w:r>
        <w:rPr>
          <w:rFonts w:hint="eastAsia" w:ascii="仿宋_GB2312" w:hAnsi="Times New Roman" w:eastAsia="仿宋_GB2312" w:cs="Times New Roman"/>
          <w:sz w:val="32"/>
          <w:szCs w:val="32"/>
        </w:rPr>
        <w:t>公务接待费支出</w:t>
      </w:r>
      <w:r>
        <w:rPr>
          <w:rFonts w:hint="eastAsia" w:ascii="仿宋_GB2312" w:eastAsia="仿宋_GB2312"/>
          <w:sz w:val="32"/>
          <w:szCs w:val="32"/>
        </w:rPr>
        <w:t>。其中：</w:t>
      </w:r>
    </w:p>
    <w:p>
      <w:pPr>
        <w:keepNext/>
        <w:keepLines/>
        <w:spacing w:beforeLines="0" w:afterLines="0" w:line="576" w:lineRule="exact"/>
        <w:ind w:firstLine="643"/>
        <w:jc w:val="both"/>
        <w:rPr>
          <w:rFonts w:ascii="仿宋_GB2312" w:eastAsia="仿宋_GB2312"/>
          <w:sz w:val="32"/>
          <w:szCs w:val="32"/>
        </w:rPr>
      </w:pPr>
      <w:r>
        <w:rPr>
          <w:rFonts w:hint="eastAsia" w:ascii="仿宋" w:hAnsi="仿宋" w:eastAsia="仿宋"/>
          <w:b/>
          <w:sz w:val="32"/>
          <w:szCs w:val="32"/>
        </w:rPr>
        <w:t>国内公务接待支出</w:t>
      </w:r>
      <w:r>
        <w:rPr>
          <w:rFonts w:ascii="仿宋" w:hAnsi="仿宋" w:eastAsia="仿宋"/>
          <w:b/>
          <w:sz w:val="32"/>
          <w:szCs w:val="32"/>
        </w:rPr>
        <w:t>0.33</w:t>
      </w:r>
      <w:r>
        <w:rPr>
          <w:rFonts w:hint="eastAsia" w:ascii="仿宋_GB2312" w:eastAsia="仿宋_GB2312"/>
          <w:sz w:val="32"/>
          <w:szCs w:val="32"/>
        </w:rPr>
        <w:t>万元，主要用于</w:t>
      </w:r>
      <w:r>
        <w:rPr>
          <w:rFonts w:hint="eastAsia" w:ascii="仿宋" w:hAnsi="仿宋" w:eastAsia="仿宋" w:cs="Times New Roman"/>
          <w:color w:val="auto"/>
          <w:kern w:val="2"/>
          <w:sz w:val="32"/>
          <w:szCs w:val="24"/>
          <w:lang w:val="en-US" w:eastAsia="zh-CN" w:bidi="ar-SA"/>
        </w:rPr>
        <w:t>执行公务、开展业务活动开支的用餐费</w:t>
      </w:r>
      <w:r>
        <w:rPr>
          <w:rFonts w:hint="eastAsia" w:ascii="仿宋_GB2312" w:eastAsia="仿宋_GB2312"/>
          <w:sz w:val="32"/>
          <w:szCs w:val="32"/>
        </w:rPr>
        <w:t>。国内公务接待</w:t>
      </w:r>
      <w:r>
        <w:rPr>
          <w:rFonts w:hint="eastAsia" w:ascii="仿宋_GB2312" w:eastAsia="仿宋_GB2312"/>
          <w:sz w:val="32"/>
          <w:szCs w:val="32"/>
          <w:lang w:val="en-US" w:eastAsia="zh-CN"/>
        </w:rPr>
        <w:t>2</w:t>
      </w:r>
      <w:r>
        <w:rPr>
          <w:rFonts w:hint="eastAsia" w:ascii="仿宋_GB2312" w:eastAsia="仿宋_GB2312"/>
          <w:sz w:val="32"/>
          <w:szCs w:val="32"/>
        </w:rPr>
        <w:t>批次，</w:t>
      </w:r>
      <w:r>
        <w:rPr>
          <w:rFonts w:hint="eastAsia" w:ascii="仿宋_GB2312" w:eastAsia="仿宋_GB2312"/>
          <w:sz w:val="32"/>
          <w:szCs w:val="32"/>
          <w:lang w:val="en-US" w:eastAsia="zh-CN"/>
        </w:rPr>
        <w:t>35</w:t>
      </w:r>
      <w:r>
        <w:rPr>
          <w:rFonts w:hint="eastAsia" w:ascii="仿宋_GB2312" w:eastAsia="仿宋_GB2312"/>
          <w:sz w:val="32"/>
          <w:szCs w:val="32"/>
        </w:rPr>
        <w:t>人次（不包括陪同人员），共计支出</w:t>
      </w:r>
      <w:r>
        <w:rPr>
          <w:rFonts w:hint="eastAsia" w:ascii="仿宋_GB2312" w:eastAsia="仿宋_GB2312"/>
          <w:sz w:val="32"/>
          <w:szCs w:val="32"/>
          <w:lang w:val="en-US" w:eastAsia="zh-CN"/>
        </w:rPr>
        <w:t>0.33</w:t>
      </w:r>
      <w:r>
        <w:rPr>
          <w:rFonts w:hint="eastAsia" w:ascii="仿宋_GB2312" w:eastAsia="仿宋_GB2312"/>
          <w:sz w:val="32"/>
          <w:szCs w:val="32"/>
        </w:rPr>
        <w:t>万元，具体内容包括：</w:t>
      </w:r>
      <w:r>
        <w:rPr>
          <w:rFonts w:hint="eastAsia" w:ascii="仿宋" w:hAnsi="仿宋" w:eastAsia="仿宋" w:cs="Times New Roman"/>
          <w:color w:val="auto"/>
          <w:kern w:val="2"/>
          <w:sz w:val="32"/>
          <w:szCs w:val="24"/>
          <w:lang w:val="zh-CN" w:eastAsia="zh-CN" w:bidi="ar-SA"/>
        </w:rPr>
        <w:t>在行政运行经费中支出的</w:t>
      </w:r>
      <w:r>
        <w:rPr>
          <w:rFonts w:hint="eastAsia" w:ascii="仿宋" w:hAnsi="仿宋" w:eastAsia="仿宋" w:cs="Times New Roman"/>
          <w:color w:val="auto"/>
          <w:kern w:val="2"/>
          <w:sz w:val="32"/>
          <w:szCs w:val="24"/>
          <w:lang w:val="en-US" w:eastAsia="zh-CN" w:bidi="ar-SA"/>
        </w:rPr>
        <w:t>用餐费0.33万元。</w:t>
      </w:r>
    </w:p>
    <w:p>
      <w:pPr>
        <w:spacing w:line="600" w:lineRule="exact"/>
        <w:ind w:firstLine="643" w:firstLineChars="200"/>
        <w:rPr>
          <w:rFonts w:ascii="黑体" w:eastAsia="黑体"/>
          <w:sz w:val="32"/>
          <w:szCs w:val="32"/>
        </w:rPr>
      </w:pPr>
      <w:r>
        <w:rPr>
          <w:rFonts w:hint="eastAsia" w:ascii="仿宋" w:hAnsi="仿宋" w:eastAsia="仿宋"/>
          <w:b/>
          <w:sz w:val="32"/>
          <w:szCs w:val="32"/>
        </w:rPr>
        <w:t>外事接待支出</w:t>
      </w:r>
      <w:r>
        <w:rPr>
          <w:rFonts w:ascii="仿宋" w:hAnsi="仿宋" w:eastAsia="仿宋"/>
          <w:b/>
          <w:sz w:val="32"/>
          <w:szCs w:val="32"/>
        </w:rPr>
        <w:t>0</w:t>
      </w:r>
      <w:r>
        <w:rPr>
          <w:rFonts w:hint="eastAsia" w:ascii="仿宋_GB2312" w:eastAsia="仿宋_GB2312"/>
          <w:sz w:val="32"/>
          <w:szCs w:val="32"/>
        </w:rPr>
        <w:t>万元，主要用于接待</w:t>
      </w:r>
      <w:r>
        <w:rPr>
          <w:rFonts w:hint="eastAsia" w:ascii="仿宋_GB2312" w:eastAsia="仿宋_GB2312"/>
          <w:sz w:val="32"/>
          <w:szCs w:val="32"/>
          <w:lang w:eastAsia="zh-CN"/>
        </w:rPr>
        <w:t>：无。</w:t>
      </w:r>
      <w:r>
        <w:rPr>
          <w:rFonts w:hint="eastAsia" w:ascii="仿宋_GB2312" w:eastAsia="仿宋_GB2312"/>
          <w:sz w:val="32"/>
          <w:szCs w:val="32"/>
        </w:rPr>
        <w:t>外事接待</w:t>
      </w:r>
      <w:r>
        <w:rPr>
          <w:rFonts w:hint="eastAsia" w:ascii="仿宋_GB2312" w:eastAsia="仿宋_GB2312"/>
          <w:sz w:val="32"/>
          <w:szCs w:val="32"/>
          <w:lang w:val="en-US" w:eastAsia="zh-CN"/>
        </w:rPr>
        <w:t>0</w:t>
      </w:r>
      <w:r>
        <w:rPr>
          <w:rFonts w:hint="eastAsia" w:ascii="仿宋_GB2312" w:eastAsia="仿宋_GB2312"/>
          <w:sz w:val="32"/>
          <w:szCs w:val="32"/>
        </w:rPr>
        <w:t>批次，</w:t>
      </w:r>
      <w:r>
        <w:rPr>
          <w:rFonts w:hint="eastAsia" w:ascii="仿宋_GB2312" w:eastAsia="仿宋_GB2312"/>
          <w:sz w:val="32"/>
          <w:szCs w:val="32"/>
          <w:lang w:val="en-US" w:eastAsia="zh-CN"/>
        </w:rPr>
        <w:t>0</w:t>
      </w:r>
      <w:r>
        <w:rPr>
          <w:rFonts w:hint="eastAsia" w:ascii="仿宋_GB2312" w:eastAsia="仿宋_GB2312"/>
          <w:sz w:val="32"/>
          <w:szCs w:val="32"/>
        </w:rPr>
        <w:t>人次（不包括陪同人员），共计支出</w:t>
      </w:r>
      <w:r>
        <w:rPr>
          <w:rFonts w:hint="eastAsia" w:ascii="仿宋_GB2312" w:eastAsia="仿宋_GB2312"/>
          <w:sz w:val="32"/>
          <w:szCs w:val="32"/>
          <w:lang w:val="en-US" w:eastAsia="zh-CN"/>
        </w:rPr>
        <w:t>0</w:t>
      </w:r>
      <w:r>
        <w:rPr>
          <w:rFonts w:hint="eastAsia" w:ascii="仿宋_GB2312" w:eastAsia="仿宋_GB2312"/>
          <w:sz w:val="32"/>
          <w:szCs w:val="32"/>
        </w:rPr>
        <w:t>万元。</w:t>
      </w:r>
    </w:p>
    <w:p>
      <w:pPr>
        <w:spacing w:line="600" w:lineRule="exact"/>
        <w:ind w:firstLine="640"/>
        <w:outlineLvl w:val="1"/>
        <w:rPr>
          <w:rStyle w:val="30"/>
          <w:rFonts w:ascii="黑体" w:hAnsi="黑体" w:eastAsia="黑体"/>
        </w:rPr>
      </w:pPr>
      <w:bookmarkStart w:id="59" w:name="_Toc24759"/>
      <w:r>
        <w:rPr>
          <w:rFonts w:hint="eastAsia" w:ascii="黑体" w:eastAsia="黑体"/>
          <w:sz w:val="32"/>
          <w:szCs w:val="32"/>
        </w:rPr>
        <w:t>八、</w:t>
      </w:r>
      <w:r>
        <w:rPr>
          <w:rStyle w:val="30"/>
          <w:rFonts w:hint="eastAsia" w:ascii="黑体" w:hAnsi="黑体" w:eastAsia="黑体"/>
          <w:b w:val="0"/>
        </w:rPr>
        <w:t>政府性基金预算支出决算情况说明</w:t>
      </w:r>
      <w:bookmarkEnd w:id="57"/>
      <w:bookmarkEnd w:id="58"/>
      <w:bookmarkEnd w:id="59"/>
    </w:p>
    <w:p>
      <w:pPr>
        <w:spacing w:line="600" w:lineRule="exact"/>
        <w:ind w:firstLine="640"/>
        <w:rPr>
          <w:rFonts w:ascii="仿宋_GB2312" w:eastAsia="仿宋_GB2312"/>
          <w:sz w:val="32"/>
          <w:szCs w:val="32"/>
        </w:rPr>
      </w:pPr>
      <w:r>
        <w:rPr>
          <w:rFonts w:hint="eastAsia" w:ascii="仿宋_GB2312" w:eastAsia="仿宋_GB2312"/>
          <w:sz w:val="32"/>
          <w:szCs w:val="32"/>
        </w:rPr>
        <w:t>2023年度政府性基金预算财政拨款支出</w:t>
      </w:r>
      <w:r>
        <w:rPr>
          <w:rFonts w:ascii="仿宋" w:hAnsi="仿宋" w:eastAsia="仿宋"/>
          <w:b/>
          <w:sz w:val="32"/>
          <w:szCs w:val="32"/>
        </w:rPr>
        <w:t>0</w:t>
      </w:r>
      <w:r>
        <w:rPr>
          <w:rFonts w:hint="eastAsia" w:ascii="仿宋_GB2312" w:eastAsia="仿宋_GB2312"/>
          <w:sz w:val="32"/>
          <w:szCs w:val="32"/>
        </w:rPr>
        <w:t>万元。</w:t>
      </w:r>
    </w:p>
    <w:p>
      <w:pPr>
        <w:numPr>
          <w:ilvl w:val="0"/>
          <w:numId w:val="5"/>
        </w:numPr>
        <w:spacing w:line="600" w:lineRule="exact"/>
        <w:ind w:firstLine="640"/>
        <w:outlineLvl w:val="1"/>
        <w:rPr>
          <w:rStyle w:val="30"/>
          <w:rFonts w:ascii="黑体" w:hAnsi="黑体" w:eastAsia="黑体"/>
          <w:b w:val="0"/>
        </w:rPr>
      </w:pPr>
      <w:bookmarkStart w:id="60" w:name="_Toc15377219"/>
      <w:bookmarkStart w:id="61" w:name="_Toc9026"/>
      <w:bookmarkStart w:id="62" w:name="_Toc15396611"/>
      <w:r>
        <w:rPr>
          <w:rStyle w:val="30"/>
          <w:rFonts w:hint="eastAsia" w:ascii="黑体" w:hAnsi="黑体" w:eastAsia="黑体"/>
          <w:b w:val="0"/>
        </w:rPr>
        <w:t>国有资本经营预算支出决算情况说明</w:t>
      </w:r>
      <w:bookmarkEnd w:id="60"/>
      <w:bookmarkEnd w:id="61"/>
      <w:bookmarkEnd w:id="62"/>
    </w:p>
    <w:p>
      <w:pPr>
        <w:spacing w:line="600" w:lineRule="exact"/>
        <w:ind w:firstLine="640"/>
        <w:rPr>
          <w:rFonts w:ascii="方正小标宋简体" w:hAnsi="方正小标宋简体" w:eastAsia="方正小标宋简体" w:cs="方正小标宋简体"/>
          <w:sz w:val="44"/>
          <w:szCs w:val="44"/>
        </w:rPr>
      </w:pPr>
      <w:r>
        <w:rPr>
          <w:rFonts w:hint="eastAsia" w:ascii="仿宋_GB2312" w:eastAsia="仿宋_GB2312"/>
          <w:sz w:val="32"/>
          <w:szCs w:val="32"/>
        </w:rPr>
        <w:t>2023年度国有资本经营预算财政拨款支出</w:t>
      </w:r>
      <w:r>
        <w:rPr>
          <w:rFonts w:ascii="仿宋" w:hAnsi="仿宋" w:eastAsia="仿宋"/>
          <w:b/>
          <w:sz w:val="32"/>
          <w:szCs w:val="32"/>
        </w:rPr>
        <w:t>0</w:t>
      </w:r>
      <w:r>
        <w:rPr>
          <w:rFonts w:hint="eastAsia" w:ascii="仿宋_GB2312" w:eastAsia="仿宋_GB2312"/>
          <w:sz w:val="32"/>
          <w:szCs w:val="32"/>
        </w:rPr>
        <w:t>万元。</w:t>
      </w:r>
    </w:p>
    <w:p>
      <w:pPr>
        <w:numPr>
          <w:ilvl w:val="0"/>
          <w:numId w:val="5"/>
        </w:numPr>
        <w:spacing w:line="600" w:lineRule="exact"/>
        <w:ind w:firstLine="640"/>
        <w:outlineLvl w:val="1"/>
        <w:rPr>
          <w:rStyle w:val="30"/>
          <w:rFonts w:ascii="黑体" w:hAnsi="黑体" w:eastAsia="黑体"/>
          <w:b w:val="0"/>
        </w:rPr>
      </w:pPr>
      <w:bookmarkStart w:id="63" w:name="_Toc15396612"/>
      <w:bookmarkStart w:id="64" w:name="_Toc25246"/>
      <w:bookmarkStart w:id="65" w:name="_Toc15377221"/>
      <w:r>
        <w:rPr>
          <w:rStyle w:val="30"/>
          <w:rFonts w:hint="eastAsia" w:ascii="黑体" w:hAnsi="黑体" w:eastAsia="黑体"/>
          <w:b w:val="0"/>
        </w:rPr>
        <w:t>其他重要事项的情况说明</w:t>
      </w:r>
      <w:bookmarkEnd w:id="63"/>
      <w:bookmarkEnd w:id="64"/>
      <w:bookmarkEnd w:id="65"/>
    </w:p>
    <w:p>
      <w:pPr>
        <w:spacing w:line="600" w:lineRule="exact"/>
        <w:ind w:firstLine="643" w:firstLineChars="200"/>
        <w:outlineLvl w:val="2"/>
        <w:rPr>
          <w:rFonts w:ascii="仿宋" w:hAnsi="仿宋" w:eastAsia="仿宋"/>
          <w:sz w:val="32"/>
          <w:szCs w:val="32"/>
        </w:rPr>
      </w:pPr>
      <w:bookmarkStart w:id="66" w:name="_Toc15377222"/>
      <w:r>
        <w:rPr>
          <w:rFonts w:hint="eastAsia" w:ascii="仿宋" w:hAnsi="仿宋" w:eastAsia="仿宋"/>
          <w:b/>
          <w:sz w:val="32"/>
          <w:szCs w:val="32"/>
        </w:rPr>
        <w:t>（一）机关运行经费支出情况</w:t>
      </w:r>
      <w:bookmarkEnd w:id="66"/>
    </w:p>
    <w:p>
      <w:pPr>
        <w:spacing w:line="600" w:lineRule="exact"/>
        <w:ind w:firstLine="640"/>
        <w:rPr>
          <w:rFonts w:hint="eastAsia" w:ascii="仿宋" w:hAnsi="仿宋" w:eastAsia="仿宋" w:cs="Times New Roman"/>
          <w:color w:val="auto"/>
          <w:kern w:val="2"/>
          <w:sz w:val="32"/>
          <w:szCs w:val="24"/>
          <w:lang w:val="en-US" w:eastAsia="zh-CN" w:bidi="ar-SA"/>
        </w:rPr>
      </w:pPr>
      <w:r>
        <w:rPr>
          <w:rFonts w:hint="eastAsia" w:ascii="仿宋_GB2312" w:eastAsia="仿宋_GB2312"/>
          <w:sz w:val="32"/>
          <w:szCs w:val="32"/>
        </w:rPr>
        <w:t>2023年度，</w:t>
      </w:r>
      <w:r>
        <w:rPr>
          <w:rFonts w:ascii="仿宋_GB2312" w:eastAsia="仿宋_GB2312"/>
          <w:b/>
          <w:sz w:val="32"/>
          <w:szCs w:val="32"/>
        </w:rPr>
        <w:t>五通桥区档案馆</w:t>
      </w:r>
      <w:r>
        <w:rPr>
          <w:rFonts w:hint="eastAsia" w:ascii="仿宋_GB2312" w:eastAsia="仿宋_GB2312"/>
          <w:sz w:val="32"/>
          <w:szCs w:val="32"/>
        </w:rPr>
        <w:t>机关运行经费支出</w:t>
      </w:r>
      <w:r>
        <w:rPr>
          <w:rFonts w:ascii="仿宋" w:hAnsi="仿宋" w:eastAsia="仿宋"/>
          <w:b/>
          <w:sz w:val="32"/>
          <w:szCs w:val="32"/>
        </w:rPr>
        <w:t>30.48</w:t>
      </w:r>
      <w:r>
        <w:rPr>
          <w:rFonts w:hint="eastAsia" w:ascii="仿宋_GB2312" w:eastAsia="仿宋_GB2312"/>
          <w:sz w:val="32"/>
          <w:szCs w:val="32"/>
        </w:rPr>
        <w:t>万元，比2022年度</w:t>
      </w:r>
      <w:r>
        <w:rPr>
          <w:rFonts w:hint="eastAsia" w:ascii="仿宋_GB2312" w:eastAsia="仿宋_GB2312"/>
          <w:sz w:val="32"/>
          <w:szCs w:val="32"/>
          <w:lang w:val="en-US" w:eastAsia="zh-CN"/>
        </w:rPr>
        <w:t>20.25万元</w:t>
      </w:r>
      <w:r>
        <w:rPr>
          <w:rFonts w:hint="eastAsia" w:ascii="仿宋_GB2312" w:eastAsia="仿宋_GB2312"/>
          <w:sz w:val="32"/>
          <w:szCs w:val="32"/>
        </w:rPr>
        <w:t>增加</w:t>
      </w:r>
      <w:r>
        <w:rPr>
          <w:rFonts w:hint="eastAsia" w:ascii="仿宋_GB2312" w:eastAsia="仿宋_GB2312"/>
          <w:sz w:val="32"/>
          <w:szCs w:val="32"/>
          <w:lang w:val="en-US" w:eastAsia="zh-CN"/>
        </w:rPr>
        <w:t>10.23</w:t>
      </w:r>
      <w:r>
        <w:rPr>
          <w:rFonts w:hint="eastAsia" w:ascii="仿宋_GB2312" w:eastAsia="仿宋_GB2312"/>
          <w:sz w:val="32"/>
          <w:szCs w:val="32"/>
        </w:rPr>
        <w:t>万元，增长</w:t>
      </w:r>
      <w:r>
        <w:rPr>
          <w:rFonts w:hint="eastAsia" w:ascii="仿宋_GB2312" w:eastAsia="仿宋_GB2312"/>
          <w:sz w:val="32"/>
          <w:szCs w:val="32"/>
          <w:lang w:val="en-US" w:eastAsia="zh-CN"/>
        </w:rPr>
        <w:t>50.1</w:t>
      </w:r>
      <w:r>
        <w:rPr>
          <w:rFonts w:ascii="仿宋_GB2312" w:eastAsia="仿宋_GB2312"/>
          <w:sz w:val="32"/>
          <w:szCs w:val="32"/>
        </w:rPr>
        <w:t>%</w:t>
      </w:r>
      <w:r>
        <w:rPr>
          <w:rFonts w:hint="eastAsia" w:ascii="仿宋_GB2312" w:eastAsia="仿宋_GB2312"/>
          <w:sz w:val="32"/>
          <w:szCs w:val="32"/>
        </w:rPr>
        <w:t>主要原因是</w:t>
      </w:r>
      <w:r>
        <w:rPr>
          <w:rFonts w:hint="eastAsia" w:ascii="仿宋" w:hAnsi="仿宋" w:eastAsia="仿宋" w:cs="Times New Roman"/>
          <w:color w:val="auto"/>
          <w:kern w:val="2"/>
          <w:sz w:val="32"/>
          <w:szCs w:val="24"/>
          <w:lang w:val="zh-CN" w:eastAsia="zh-CN" w:bidi="ar-SA"/>
        </w:rPr>
        <w:t>主要原因是办公费增加5.25万元、印刷费减少</w:t>
      </w:r>
      <w:r>
        <w:rPr>
          <w:rFonts w:hint="eastAsia" w:ascii="仿宋" w:hAnsi="仿宋" w:eastAsia="仿宋" w:cs="Times New Roman"/>
          <w:color w:val="auto"/>
          <w:kern w:val="2"/>
          <w:sz w:val="32"/>
          <w:szCs w:val="24"/>
          <w:lang w:val="en-US" w:eastAsia="zh-CN" w:bidi="ar-SA"/>
        </w:rPr>
        <w:t>3.08万元、</w:t>
      </w:r>
      <w:r>
        <w:rPr>
          <w:rFonts w:hint="eastAsia" w:ascii="仿宋" w:hAnsi="仿宋" w:eastAsia="仿宋" w:cs="Times New Roman"/>
          <w:color w:val="auto"/>
          <w:kern w:val="2"/>
          <w:sz w:val="32"/>
          <w:szCs w:val="24"/>
          <w:lang w:val="zh-CN" w:eastAsia="zh-CN" w:bidi="ar-SA"/>
        </w:rPr>
        <w:t>咨询费减少</w:t>
      </w:r>
      <w:r>
        <w:rPr>
          <w:rFonts w:hint="eastAsia" w:ascii="仿宋" w:hAnsi="仿宋" w:eastAsia="仿宋" w:cs="Times New Roman"/>
          <w:color w:val="auto"/>
          <w:kern w:val="2"/>
          <w:sz w:val="32"/>
          <w:szCs w:val="24"/>
          <w:lang w:val="en-US" w:eastAsia="zh-CN" w:bidi="ar-SA"/>
        </w:rPr>
        <w:t>0.6万元、水、电费减少0.17万元、  邮电费增加1.02万元、物业管理费减少8.22万元、差旅费增加4.78万元、维修（护）费减少0.52万元、培训费增加0.29万元、公务接待费增加0.33万元、专用材料费减少0.09万元、劳务费增加0.43万元、委托业务费减少0.03万元、工会经费减少2.02万元、福利费增加2.33万元、 其他交通费用增加8.81万元、其他商品和服务支出增加1.72万元所致。</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67" w:name="_Toc15377223"/>
      <w:r>
        <w:rPr>
          <w:rFonts w:hint="eastAsia" w:ascii="仿宋" w:hAnsi="仿宋" w:eastAsia="仿宋"/>
          <w:b/>
          <w:sz w:val="32"/>
          <w:szCs w:val="32"/>
        </w:rPr>
        <w:t>（二）政府采购支出情况</w:t>
      </w:r>
      <w:bookmarkEnd w:id="67"/>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五通桥区档案馆</w:t>
      </w:r>
      <w:r>
        <w:rPr>
          <w:rFonts w:hint="eastAsia" w:ascii="仿宋_GB2312" w:eastAsia="仿宋_GB2312"/>
          <w:sz w:val="32"/>
          <w:szCs w:val="32"/>
        </w:rPr>
        <w:t>政府采购支出总额</w:t>
      </w:r>
      <w:r>
        <w:rPr>
          <w:rFonts w:ascii="仿宋" w:hAnsi="仿宋" w:eastAsia="仿宋"/>
          <w:b/>
          <w:sz w:val="32"/>
          <w:szCs w:val="32"/>
        </w:rPr>
        <w:t>83.99</w:t>
      </w:r>
      <w:r>
        <w:rPr>
          <w:rFonts w:hint="eastAsia" w:ascii="仿宋_GB2312" w:eastAsia="仿宋_GB2312"/>
          <w:sz w:val="32"/>
          <w:szCs w:val="32"/>
        </w:rPr>
        <w:t>万元，其中：政府采购货物支出</w:t>
      </w:r>
      <w:r>
        <w:rPr>
          <w:rFonts w:ascii="仿宋" w:hAnsi="仿宋" w:eastAsia="仿宋"/>
          <w:b/>
          <w:sz w:val="32"/>
          <w:szCs w:val="32"/>
        </w:rPr>
        <w:t>83.99</w:t>
      </w:r>
      <w:r>
        <w:rPr>
          <w:rFonts w:hint="eastAsia" w:ascii="仿宋_GB2312" w:eastAsia="仿宋_GB2312"/>
          <w:sz w:val="32"/>
          <w:szCs w:val="32"/>
        </w:rPr>
        <w:t>万元、政府采购工程支出</w:t>
      </w:r>
      <w:r>
        <w:rPr>
          <w:rFonts w:ascii="仿宋" w:hAnsi="仿宋" w:eastAsia="仿宋"/>
          <w:b/>
          <w:sz w:val="32"/>
          <w:szCs w:val="32"/>
        </w:rPr>
        <w:t>0</w:t>
      </w:r>
      <w:r>
        <w:rPr>
          <w:rFonts w:hint="eastAsia" w:ascii="仿宋_GB2312" w:eastAsia="仿宋_GB2312"/>
          <w:sz w:val="32"/>
          <w:szCs w:val="32"/>
        </w:rPr>
        <w:t>万元、政府采购服务支出</w:t>
      </w:r>
      <w:r>
        <w:rPr>
          <w:rFonts w:ascii="仿宋" w:hAnsi="仿宋" w:eastAsia="仿宋"/>
          <w:b/>
          <w:sz w:val="32"/>
          <w:szCs w:val="32"/>
        </w:rPr>
        <w:t>0</w:t>
      </w:r>
      <w:r>
        <w:rPr>
          <w:rFonts w:hint="eastAsia" w:ascii="仿宋_GB2312" w:eastAsia="仿宋_GB2312"/>
          <w:sz w:val="32"/>
          <w:szCs w:val="32"/>
        </w:rPr>
        <w:t>万元。</w:t>
      </w:r>
      <w:r>
        <w:rPr>
          <w:rFonts w:hint="eastAsia" w:ascii="仿宋_GB2312" w:eastAsia="仿宋_GB2312"/>
          <w:sz w:val="32"/>
          <w:szCs w:val="32"/>
          <w:highlight w:val="none"/>
        </w:rPr>
        <w:t>用于</w:t>
      </w:r>
      <w:r>
        <w:rPr>
          <w:rFonts w:hint="eastAsia" w:ascii="仿宋_GB2312" w:eastAsia="仿宋_GB2312"/>
          <w:sz w:val="32"/>
          <w:szCs w:val="32"/>
          <w:highlight w:val="none"/>
          <w:lang w:eastAsia="zh-CN"/>
        </w:rPr>
        <w:t>购买</w:t>
      </w:r>
      <w:r>
        <w:rPr>
          <w:rFonts w:hint="eastAsia" w:ascii="仿宋_GB2312" w:eastAsia="仿宋_GB2312"/>
          <w:sz w:val="32"/>
          <w:szCs w:val="32"/>
          <w:highlight w:val="none"/>
          <w:lang w:val="en-US" w:eastAsia="zh-CN"/>
        </w:rPr>
        <w:t>4、5楼库房密集柜架，摆放入馆档案</w:t>
      </w:r>
      <w:r>
        <w:rPr>
          <w:rFonts w:hint="eastAsia" w:ascii="仿宋_GB2312" w:eastAsia="仿宋_GB2312"/>
          <w:sz w:val="32"/>
          <w:szCs w:val="32"/>
        </w:rPr>
        <w:t>。授予中小企业合同金额</w:t>
      </w:r>
      <w:r>
        <w:rPr>
          <w:rFonts w:ascii="仿宋" w:hAnsi="仿宋" w:eastAsia="仿宋"/>
          <w:b/>
          <w:sz w:val="32"/>
          <w:szCs w:val="32"/>
        </w:rPr>
        <w:t>83.99</w:t>
      </w:r>
      <w:r>
        <w:rPr>
          <w:rFonts w:hint="eastAsia" w:ascii="仿宋_GB2312" w:eastAsia="仿宋_GB2312"/>
          <w:sz w:val="32"/>
          <w:szCs w:val="32"/>
        </w:rPr>
        <w:t>万元，占政府采购支出总额的</w:t>
      </w:r>
      <w:r>
        <w:rPr>
          <w:rFonts w:ascii="仿宋_GB2312" w:eastAsia="仿宋_GB2312"/>
          <w:sz w:val="32"/>
          <w:szCs w:val="32"/>
        </w:rPr>
        <w:t>1</w:t>
      </w:r>
      <w:r>
        <w:rPr>
          <w:rFonts w:hint="eastAsia" w:ascii="仿宋_GB2312" w:eastAsia="仿宋_GB2312"/>
          <w:sz w:val="32"/>
          <w:szCs w:val="32"/>
          <w:lang w:val="en-US" w:eastAsia="zh-CN"/>
        </w:rPr>
        <w:t>00</w:t>
      </w:r>
      <w:r>
        <w:rPr>
          <w:rFonts w:ascii="仿宋_GB2312" w:eastAsia="仿宋_GB2312"/>
          <w:sz w:val="32"/>
          <w:szCs w:val="32"/>
        </w:rPr>
        <w:t>%</w:t>
      </w:r>
      <w:r>
        <w:rPr>
          <w:rFonts w:hint="eastAsia" w:ascii="仿宋_GB2312" w:eastAsia="仿宋_GB2312"/>
          <w:sz w:val="32"/>
          <w:szCs w:val="32"/>
        </w:rPr>
        <w:t>，其中：授予小微企业合同金额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b/>
          <w:sz w:val="32"/>
          <w:szCs w:val="32"/>
        </w:rPr>
        <w:t>0</w:t>
      </w:r>
      <w:r>
        <w:rPr>
          <w:rFonts w:ascii="仿宋_GB2312" w:eastAsia="仿宋_GB2312"/>
          <w:sz w:val="32"/>
          <w:szCs w:val="32"/>
        </w:rPr>
        <w:t>%</w:t>
      </w:r>
      <w:r>
        <w:rPr>
          <w:rFonts w:hint="eastAsia" w:ascii="仿宋_GB2312" w:eastAsia="仿宋_GB2312"/>
          <w:sz w:val="32"/>
          <w:szCs w:val="32"/>
        </w:rPr>
        <w:t>。</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68" w:name="_Toc15377224"/>
      <w:r>
        <w:rPr>
          <w:rFonts w:hint="eastAsia" w:ascii="仿宋" w:hAnsi="仿宋" w:eastAsia="仿宋"/>
          <w:b/>
          <w:sz w:val="32"/>
          <w:szCs w:val="32"/>
        </w:rPr>
        <w:t>（三）国有资产占有使用情况</w:t>
      </w:r>
      <w:bookmarkEnd w:id="68"/>
    </w:p>
    <w:p>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ascii="仿宋_GB2312" w:eastAsia="仿宋_GB2312"/>
          <w:b/>
          <w:sz w:val="32"/>
          <w:szCs w:val="32"/>
        </w:rPr>
        <w:t>五通桥区档案馆</w:t>
      </w:r>
      <w:r>
        <w:rPr>
          <w:rFonts w:hint="eastAsia" w:ascii="仿宋_GB2312" w:eastAsia="仿宋_GB2312"/>
          <w:sz w:val="32"/>
          <w:szCs w:val="32"/>
        </w:rPr>
        <w:t>共有车辆</w:t>
      </w:r>
      <w:r>
        <w:rPr>
          <w:rFonts w:hint="eastAsia" w:ascii="仿宋_GB2312" w:eastAsia="仿宋_GB2312"/>
          <w:b/>
          <w:sz w:val="32"/>
          <w:szCs w:val="32"/>
        </w:rPr>
        <w:t>0</w:t>
      </w:r>
      <w:r>
        <w:rPr>
          <w:rFonts w:hint="eastAsia" w:ascii="仿宋_GB2312" w:eastAsia="仿宋_GB2312"/>
          <w:sz w:val="32"/>
          <w:szCs w:val="32"/>
        </w:rPr>
        <w:t>辆，其中：主要领导干部用车</w:t>
      </w:r>
      <w:r>
        <w:rPr>
          <w:rFonts w:hint="eastAsia" w:ascii="仿宋_GB2312" w:eastAsia="仿宋_GB2312"/>
          <w:sz w:val="32"/>
          <w:szCs w:val="32"/>
          <w:lang w:val="en-US" w:eastAsia="zh-CN"/>
        </w:rPr>
        <w:t>0</w:t>
      </w:r>
      <w:r>
        <w:rPr>
          <w:rFonts w:hint="eastAsia" w:ascii="仿宋_GB2312" w:eastAsia="仿宋_GB2312"/>
          <w:sz w:val="32"/>
          <w:szCs w:val="32"/>
        </w:rPr>
        <w:t>辆、机要通信用车</w:t>
      </w:r>
      <w:r>
        <w:rPr>
          <w:rFonts w:hint="eastAsia" w:ascii="仿宋_GB2312" w:eastAsia="仿宋_GB2312"/>
          <w:sz w:val="32"/>
          <w:szCs w:val="32"/>
          <w:lang w:val="en-US" w:eastAsia="zh-CN"/>
        </w:rPr>
        <w:t>0</w:t>
      </w:r>
      <w:r>
        <w:rPr>
          <w:rFonts w:hint="eastAsia" w:ascii="仿宋_GB2312" w:eastAsia="仿宋_GB2312"/>
          <w:sz w:val="32"/>
          <w:szCs w:val="32"/>
        </w:rPr>
        <w:t>辆、应急保障用车</w:t>
      </w:r>
      <w:r>
        <w:rPr>
          <w:rFonts w:hint="eastAsia" w:ascii="仿宋_GB2312" w:eastAsia="仿宋_GB2312"/>
          <w:sz w:val="32"/>
          <w:szCs w:val="32"/>
          <w:lang w:val="en-US" w:eastAsia="zh-CN"/>
        </w:rPr>
        <w:t>0</w:t>
      </w:r>
      <w:r>
        <w:rPr>
          <w:rFonts w:hint="eastAsia" w:ascii="仿宋_GB2312" w:eastAsia="仿宋_GB2312"/>
          <w:sz w:val="32"/>
          <w:szCs w:val="32"/>
        </w:rPr>
        <w:t>辆、其他用车</w:t>
      </w:r>
      <w:r>
        <w:rPr>
          <w:rFonts w:hint="eastAsia" w:ascii="仿宋_GB2312" w:eastAsia="仿宋_GB2312"/>
          <w:sz w:val="32"/>
          <w:szCs w:val="32"/>
          <w:lang w:val="en-US" w:eastAsia="zh-CN"/>
        </w:rPr>
        <w:t>0</w:t>
      </w:r>
      <w:r>
        <w:rPr>
          <w:rFonts w:hint="eastAsia" w:ascii="仿宋_GB2312" w:eastAsia="仿宋_GB2312"/>
          <w:sz w:val="32"/>
          <w:szCs w:val="32"/>
        </w:rPr>
        <w:t>辆，其他用车主要是用于</w:t>
      </w:r>
      <w:r>
        <w:rPr>
          <w:rFonts w:hint="eastAsia" w:ascii="仿宋_GB2312" w:eastAsia="仿宋_GB2312"/>
          <w:sz w:val="32"/>
          <w:szCs w:val="32"/>
          <w:lang w:eastAsia="zh-CN"/>
        </w:rPr>
        <w:t>：无</w:t>
      </w:r>
      <w:r>
        <w:rPr>
          <w:rFonts w:hint="eastAsia" w:ascii="仿宋_GB2312" w:eastAsia="仿宋_GB2312"/>
          <w:sz w:val="32"/>
          <w:szCs w:val="32"/>
        </w:rPr>
        <w:t>。单价</w:t>
      </w:r>
      <w:r>
        <w:rPr>
          <w:rFonts w:ascii="仿宋_GB2312" w:eastAsia="仿宋_GB2312"/>
          <w:sz w:val="32"/>
          <w:szCs w:val="32"/>
        </w:rPr>
        <w:t>100</w:t>
      </w:r>
      <w:r>
        <w:rPr>
          <w:rFonts w:hint="eastAsia" w:ascii="仿宋_GB2312" w:eastAsia="仿宋_GB2312"/>
          <w:sz w:val="32"/>
          <w:szCs w:val="32"/>
        </w:rPr>
        <w:t>万元以上设备（不含车辆）</w:t>
      </w:r>
      <w:r>
        <w:rPr>
          <w:rFonts w:ascii="仿宋_GB2312" w:eastAsia="仿宋_GB2312"/>
          <w:b/>
          <w:sz w:val="32"/>
          <w:szCs w:val="32"/>
        </w:rPr>
        <w:t>0</w:t>
      </w:r>
      <w:r>
        <w:rPr>
          <w:rFonts w:hint="eastAsia" w:ascii="仿宋_GB2312" w:eastAsia="仿宋_GB2312"/>
          <w:sz w:val="32"/>
          <w:szCs w:val="32"/>
        </w:rPr>
        <w:t>台（套）。</w:t>
      </w:r>
    </w:p>
    <w:p>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（四）预算绩效管理情况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根据预算绩效管理要求，本单位在2023年度预算编制阶段，组织对档案馆临聘人员支出</w:t>
      </w:r>
      <w:r>
        <w:rPr>
          <w:rFonts w:hint="eastAsia" w:ascii="仿宋_GB2312" w:eastAsia="仿宋_GB2312"/>
          <w:sz w:val="32"/>
          <w:szCs w:val="32"/>
          <w:lang w:eastAsia="zh-CN"/>
        </w:rPr>
        <w:t>、档案馆临聘人员支出、档案保管保护费</w:t>
      </w:r>
      <w:r>
        <w:rPr>
          <w:rFonts w:hint="eastAsia" w:ascii="仿宋_GB2312" w:eastAsia="仿宋_GB2312"/>
          <w:sz w:val="32"/>
          <w:szCs w:val="32"/>
        </w:rPr>
        <w:t>等</w:t>
      </w:r>
      <w:r>
        <w:rPr>
          <w:rFonts w:hint="eastAsia" w:ascii="仿宋_GB2312" w:eastAsia="仿宋_GB2312"/>
          <w:sz w:val="32"/>
          <w:szCs w:val="32"/>
          <w:lang w:val="en-US" w:eastAsia="zh-CN"/>
        </w:rPr>
        <w:t>3</w:t>
      </w:r>
      <w:r>
        <w:rPr>
          <w:rFonts w:hint="eastAsia" w:ascii="仿宋_GB2312" w:eastAsia="仿宋_GB2312"/>
          <w:sz w:val="32"/>
          <w:szCs w:val="32"/>
        </w:rPr>
        <w:t>个项目开展了预算事前绩效评估，对</w:t>
      </w:r>
      <w:r>
        <w:rPr>
          <w:rFonts w:hint="eastAsia" w:ascii="仿宋_GB2312" w:eastAsia="仿宋_GB2312"/>
          <w:sz w:val="32"/>
          <w:szCs w:val="32"/>
          <w:lang w:val="en-US" w:eastAsia="zh-CN"/>
        </w:rPr>
        <w:t>3</w:t>
      </w:r>
      <w:r>
        <w:rPr>
          <w:rFonts w:hint="eastAsia" w:ascii="仿宋_GB2312" w:eastAsia="仿宋_GB2312"/>
          <w:sz w:val="32"/>
          <w:szCs w:val="32"/>
        </w:rPr>
        <w:t>个项目编制了绩效目标，预算执行过程中，选取</w:t>
      </w:r>
      <w:r>
        <w:rPr>
          <w:rFonts w:hint="eastAsia" w:ascii="仿宋_GB2312" w:eastAsia="仿宋_GB2312"/>
          <w:sz w:val="32"/>
          <w:szCs w:val="32"/>
          <w:lang w:val="en-US" w:eastAsia="zh-CN"/>
        </w:rPr>
        <w:t>1</w:t>
      </w:r>
      <w:r>
        <w:rPr>
          <w:rFonts w:hint="eastAsia" w:ascii="仿宋_GB2312" w:eastAsia="仿宋_GB2312"/>
          <w:sz w:val="32"/>
          <w:szCs w:val="32"/>
        </w:rPr>
        <w:t>个项目开展绩效监控，组织对</w:t>
      </w:r>
      <w:r>
        <w:rPr>
          <w:rFonts w:hint="eastAsia" w:ascii="仿宋_GB2312" w:eastAsia="仿宋_GB2312"/>
          <w:sz w:val="32"/>
          <w:szCs w:val="32"/>
          <w:lang w:val="en-US" w:eastAsia="zh-CN"/>
        </w:rPr>
        <w:t>3</w:t>
      </w:r>
      <w:r>
        <w:rPr>
          <w:rFonts w:hint="eastAsia" w:ascii="仿宋_GB2312" w:eastAsia="仿宋_GB2312"/>
          <w:sz w:val="32"/>
          <w:szCs w:val="32"/>
        </w:rPr>
        <w:t>个项目开展绩效自评，绩效自评表详见第四部分附件。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br w:type="page"/>
      </w:r>
    </w:p>
    <w:p>
      <w:pPr>
        <w:numPr>
          <w:ilvl w:val="0"/>
          <w:numId w:val="6"/>
        </w:numPr>
        <w:spacing w:line="600" w:lineRule="exact"/>
        <w:ind w:firstLine="660" w:firstLineChars="150"/>
        <w:jc w:val="center"/>
        <w:outlineLvl w:val="0"/>
        <w:rPr>
          <w:rStyle w:val="29"/>
          <w:rFonts w:ascii="黑体" w:hAnsi="黑体" w:eastAsia="黑体"/>
          <w:b w:val="0"/>
        </w:rPr>
      </w:pPr>
      <w:bookmarkStart w:id="69" w:name="_Toc15377225"/>
      <w:bookmarkStart w:id="70" w:name="_Toc15396613"/>
      <w:bookmarkStart w:id="71" w:name="_Toc17285"/>
      <w:r>
        <w:rPr>
          <w:rFonts w:hint="eastAsia" w:ascii="黑体" w:hAnsi="黑体" w:eastAsia="黑体"/>
          <w:sz w:val="44"/>
          <w:szCs w:val="44"/>
        </w:rPr>
        <w:t>名</w:t>
      </w:r>
      <w:r>
        <w:rPr>
          <w:rStyle w:val="29"/>
          <w:rFonts w:hint="eastAsia" w:ascii="黑体" w:hAnsi="黑体" w:eastAsia="黑体"/>
          <w:b w:val="0"/>
        </w:rPr>
        <w:t>词解释</w:t>
      </w:r>
      <w:bookmarkEnd w:id="69"/>
      <w:bookmarkEnd w:id="70"/>
      <w:bookmarkEnd w:id="71"/>
    </w:p>
    <w:p>
      <w:pPr>
        <w:spacing w:line="600" w:lineRule="exact"/>
        <w:jc w:val="left"/>
        <w:rPr>
          <w:rFonts w:ascii="宋体"/>
          <w:b/>
          <w:sz w:val="44"/>
          <w:szCs w:val="44"/>
        </w:rPr>
      </w:pPr>
    </w:p>
    <w:p>
      <w:pPr>
        <w:pStyle w:val="27"/>
        <w:spacing w:line="560" w:lineRule="exact"/>
        <w:ind w:firstLine="640" w:firstLineChars="200"/>
        <w:rPr>
          <w:rFonts w:hint="eastAsia" w:ascii="仿宋" w:hAnsi="仿宋" w:eastAsia="仿宋" w:cs="Times New Roman"/>
          <w:color w:val="auto"/>
          <w:kern w:val="2"/>
          <w:sz w:val="32"/>
          <w:szCs w:val="24"/>
          <w:lang w:val="en-US" w:eastAsia="zh-CN" w:bidi="ar-SA"/>
        </w:rPr>
      </w:pPr>
      <w:bookmarkStart w:id="72" w:name="_Toc15377226"/>
      <w:r>
        <w:rPr>
          <w:rFonts w:hint="eastAsia" w:ascii="仿宋" w:hAnsi="仿宋" w:eastAsia="仿宋" w:cs="Times New Roman"/>
          <w:color w:val="auto"/>
          <w:kern w:val="2"/>
          <w:sz w:val="32"/>
          <w:szCs w:val="24"/>
          <w:lang w:val="en-US" w:eastAsia="zh-CN" w:bidi="ar-SA"/>
        </w:rPr>
        <w:t>1.财政拨款收入：指单位从同级财政部门取得的财政预算资金。</w:t>
      </w:r>
    </w:p>
    <w:p>
      <w:pPr>
        <w:pStyle w:val="27"/>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2.事业收入：指事业单位开展专业业务活动及辅助活动取得的收入。</w:t>
      </w:r>
    </w:p>
    <w:p>
      <w:pPr>
        <w:pStyle w:val="27"/>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3.经营收入：指事业单位在专业业务活动及其辅助活动之外开展非独立核算经营活动取得的收入。</w:t>
      </w:r>
    </w:p>
    <w:p>
      <w:pPr>
        <w:pStyle w:val="27"/>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4.其他收入：指单位取得的除上述收入以外的各项收入。</w:t>
      </w:r>
    </w:p>
    <w:p>
      <w:pPr>
        <w:pStyle w:val="27"/>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 xml:space="preserve">5.使用非财政拨款结余：指事业单位使用以前年度积累的非财政拨款结余弥补当年收支差额的金额。 </w:t>
      </w:r>
    </w:p>
    <w:p>
      <w:pPr>
        <w:pStyle w:val="27"/>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 xml:space="preserve">6.年初结转和结余：指以前年度尚未完成、结转到本年按有关规定继续使用的资金。 </w:t>
      </w:r>
    </w:p>
    <w:p>
      <w:pPr>
        <w:pStyle w:val="27"/>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7.结余分配：指事业单位按照会计制度规定缴纳的所得税、提取的专用结余以及转入非财政拨款结余的金额等。</w:t>
      </w:r>
    </w:p>
    <w:p>
      <w:pPr>
        <w:pStyle w:val="27"/>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8、年末结转和结余：指单位按有关规定结转到下年或以后年度继续使用的资金。</w:t>
      </w:r>
    </w:p>
    <w:p>
      <w:pPr>
        <w:spacing w:line="240" w:lineRule="auto"/>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9、 一般公共服务（类）档案事务（款）行政运行（项）是指行政单位（包括实行公务员管理的事业单位）的基本支出。</w:t>
      </w:r>
    </w:p>
    <w:p>
      <w:pPr>
        <w:spacing w:line="240" w:lineRule="auto"/>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10、一般公共服务支出（类）档案事务（款） 档案馆（项）是指中央和地方各级档案馆的指出。包括档案资料征集、档案抢救、保护、编纂、修复、现代化管理，档案信息资源开发、提供、利用，档案馆设施购置、维护、档案陈列展览等方面的支出。</w:t>
      </w:r>
    </w:p>
    <w:p>
      <w:pPr>
        <w:spacing w:line="360" w:lineRule="auto"/>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11、一般公共服务支出（类）宣传事务（款） 一般行政管理事务（项）:宣传事务指反映中国共产党宣传部门的支出。一般行政管理事务指反映行政单位（包括实行公务员管理的事业单位）未独产设置项级科目的其他项目支出。</w:t>
      </w:r>
    </w:p>
    <w:p>
      <w:pPr>
        <w:pStyle w:val="15"/>
        <w:keepNext w:val="0"/>
        <w:keepLines w:val="0"/>
        <w:widowControl/>
        <w:suppressLineNumbers w:val="0"/>
        <w:shd w:val="clear" w:color="auto" w:fill="FFFFFF"/>
        <w:ind w:firstLine="640" w:firstLineChars="200"/>
        <w:jc w:val="left"/>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12、 社会保障和就业（类）政事业单位离退休（款）机关事业单位基本养老保险缴费支出（项）是指机关事业单位实施养老保险制度由单位缴纳的基本养老保险费支出。</w:t>
      </w:r>
    </w:p>
    <w:p>
      <w:pPr>
        <w:spacing w:line="240" w:lineRule="auto"/>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13、社会保障和就业（类）政事业单位离退休（款）机关事业单位职业年金缴费支出（项）是指机关事业单位实施养老保险制度由单位缴纳的职业年金缴费支出支出。</w:t>
      </w:r>
    </w:p>
    <w:p>
      <w:pPr>
        <w:spacing w:line="240" w:lineRule="auto"/>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14、社会保障和就业（类）政事业单位离退休（款）其他行政事业单位离退休支出（项）是指其他用于行政事业单位离退休方面的支出。</w:t>
      </w:r>
    </w:p>
    <w:p>
      <w:pPr>
        <w:numPr>
          <w:ilvl w:val="0"/>
          <w:numId w:val="0"/>
        </w:numPr>
        <w:spacing w:line="360" w:lineRule="auto"/>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15、卫生健康（类）：反映政府卫生健康方面的支出。行政事业单位医疗（款）行政单位医疗（项）是指财政部门集中安排的行政单位基本医疗保险缴费经费，未参加医疗保险的行政单位基本的公费医疗经费，按国家规定享受离休人员、老红军战士待遇人员的医疗经费。行政事业单位医疗（款）事业单位医疗（项）是指财政部门集中安排的事业单位基本医疗保险缴费经费，未参加医疗保险的事业单位基本的公费医疗经费，按国家规定享受离休人员待遇人员的医疗经费。</w:t>
      </w:r>
    </w:p>
    <w:p>
      <w:pPr>
        <w:pStyle w:val="15"/>
        <w:keepNext w:val="0"/>
        <w:keepLines w:val="0"/>
        <w:widowControl/>
        <w:numPr>
          <w:ilvl w:val="0"/>
          <w:numId w:val="0"/>
        </w:numPr>
        <w:suppressLineNumbers w:val="0"/>
        <w:shd w:val="clear" w:color="auto" w:fill="FFFFFF"/>
        <w:ind w:firstLine="640" w:firstLineChars="200"/>
        <w:jc w:val="left"/>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16、住房保障支出（类）：集中反映政府用于住房方面的支出。住房改革支出（款） 反映行政事业单位用财政拨款资金和其他资金等安排的住房改革支出。住房公积金（项）:反映行政事业单位按人力资源和社会保障部、财政部规定的基本工资和津贴补贴以及规定比例为职工缴纳的住房公积金。</w:t>
      </w:r>
    </w:p>
    <w:p>
      <w:pPr>
        <w:pStyle w:val="15"/>
        <w:keepNext w:val="0"/>
        <w:keepLines w:val="0"/>
        <w:widowControl/>
        <w:numPr>
          <w:ilvl w:val="0"/>
          <w:numId w:val="0"/>
        </w:numPr>
        <w:suppressLineNumbers w:val="0"/>
        <w:shd w:val="clear" w:color="auto" w:fill="FFFFFF"/>
        <w:ind w:firstLine="640" w:firstLineChars="200"/>
        <w:jc w:val="left"/>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17、基本支出：指为保障机构正常运转、完成日常工作任务而发生的人员支出和公用支出。</w:t>
      </w:r>
    </w:p>
    <w:p>
      <w:pPr>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 xml:space="preserve">18、项目支出：指在基本支出之外为完成特定行政任务和事业发展目标所发生的支出。 </w:t>
      </w:r>
    </w:p>
    <w:p>
      <w:pPr>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19、经营支出：指事业单位在专业业务活动及其辅助活动之外开展非独立核算经营活动发生的支出。</w:t>
      </w:r>
    </w:p>
    <w:p>
      <w:pPr>
        <w:pStyle w:val="27"/>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20、“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7"/>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21、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29"/>
          <w:rFonts w:ascii="黑体" w:hAnsi="黑体" w:eastAsia="黑体"/>
          <w:b w:val="0"/>
        </w:rPr>
      </w:pPr>
      <w:r>
        <w:rPr>
          <w:rFonts w:ascii="宋体"/>
          <w:b/>
          <w:sz w:val="44"/>
          <w:szCs w:val="44"/>
        </w:rPr>
        <w:br w:type="page"/>
      </w:r>
      <w:bookmarkStart w:id="73" w:name="_Toc15396614"/>
      <w:bookmarkStart w:id="74" w:name="_Toc26638"/>
      <w:r>
        <w:rPr>
          <w:rFonts w:hint="eastAsia" w:ascii="黑体" w:hAnsi="黑体" w:eastAsia="黑体"/>
          <w:sz w:val="44"/>
          <w:szCs w:val="44"/>
        </w:rPr>
        <w:t>第</w:t>
      </w:r>
      <w:r>
        <w:rPr>
          <w:rStyle w:val="29"/>
          <w:rFonts w:hint="eastAsia" w:ascii="黑体" w:hAnsi="黑体" w:eastAsia="黑体"/>
          <w:b w:val="0"/>
        </w:rPr>
        <w:t>四部分 附件</w:t>
      </w:r>
      <w:bookmarkEnd w:id="73"/>
      <w:bookmarkEnd w:id="74"/>
    </w:p>
    <w:p>
      <w:pPr>
        <w:spacing w:line="572" w:lineRule="exact"/>
        <w:jc w:val="left"/>
        <w:outlineLvl w:val="9"/>
        <w:rPr>
          <w:rFonts w:ascii="仿宋_GB2312" w:hAnsi="仿宋_GB2312" w:eastAsia="仿宋_GB2312" w:cs="仿宋_GB2312"/>
          <w:sz w:val="32"/>
          <w:szCs w:val="32"/>
        </w:rPr>
      </w:pPr>
    </w:p>
    <w:p>
      <w:pPr>
        <w:spacing w:line="600" w:lineRule="exact"/>
        <w:jc w:val="center"/>
        <w:outlineLvl w:val="0"/>
        <w:rPr>
          <w:rFonts w:ascii="黑体" w:hAnsi="黑体" w:eastAsia="黑体"/>
          <w:color w:val="FF0000"/>
          <w:sz w:val="44"/>
          <w:szCs w:val="44"/>
        </w:rPr>
      </w:pPr>
      <w:bookmarkStart w:id="75" w:name="_Toc30761"/>
      <w:bookmarkStart w:id="76" w:name="_Toc15396618"/>
      <w:r>
        <w:rPr>
          <w:rFonts w:hint="eastAsia"/>
          <w:sz w:val="32"/>
          <w:szCs w:val="32"/>
        </w:rPr>
        <w:t>部门预算项目支出绩效自评表（2023年度）</w:t>
      </w:r>
      <w:bookmarkEnd w:id="75"/>
    </w:p>
    <w:p>
      <w:pPr>
        <w:pStyle w:val="2"/>
        <w:spacing w:line="560" w:lineRule="exact"/>
        <w:ind w:left="0" w:leftChars="0" w:firstLine="640"/>
        <w:rPr>
          <w:sz w:val="32"/>
        </w:rPr>
      </w:pPr>
    </w:p>
    <w:tbl>
      <w:tblPr>
        <w:tblStyle w:val="16"/>
        <w:tblW w:w="8341" w:type="dxa"/>
        <w:tblInd w:w="0" w:type="dxa"/>
        <w:shd w:val="clear" w:color="auto" w:fill="auto"/>
        <w:tblLayout w:type="fixed"/>
        <w:tblCellMar>
          <w:top w:w="0" w:type="dxa"/>
          <w:left w:w="0" w:type="dxa"/>
          <w:bottom w:w="0" w:type="dxa"/>
          <w:right w:w="0" w:type="dxa"/>
        </w:tblCellMar>
      </w:tblPr>
      <w:tblGrid>
        <w:gridCol w:w="1262"/>
        <w:gridCol w:w="5"/>
        <w:gridCol w:w="26"/>
        <w:gridCol w:w="1294"/>
        <w:gridCol w:w="9"/>
        <w:gridCol w:w="54"/>
        <w:gridCol w:w="1601"/>
        <w:gridCol w:w="139"/>
        <w:gridCol w:w="76"/>
        <w:gridCol w:w="867"/>
        <w:gridCol w:w="118"/>
        <w:gridCol w:w="72"/>
        <w:gridCol w:w="788"/>
        <w:gridCol w:w="98"/>
        <w:gridCol w:w="68"/>
        <w:gridCol w:w="678"/>
        <w:gridCol w:w="79"/>
        <w:gridCol w:w="66"/>
        <w:gridCol w:w="264"/>
        <w:gridCol w:w="72"/>
        <w:gridCol w:w="64"/>
        <w:gridCol w:w="521"/>
        <w:gridCol w:w="60"/>
        <w:gridCol w:w="60"/>
      </w:tblGrid>
      <w:tr>
        <w:tblPrEx>
          <w:shd w:val="clear" w:color="auto" w:fill="auto"/>
          <w:tblCellMar>
            <w:top w:w="0" w:type="dxa"/>
            <w:left w:w="0" w:type="dxa"/>
            <w:bottom w:w="0" w:type="dxa"/>
            <w:right w:w="0" w:type="dxa"/>
          </w:tblCellMar>
        </w:tblPrEx>
        <w:trPr>
          <w:gridAfter w:val="1"/>
          <w:wAfter w:w="60" w:type="dxa"/>
          <w:trHeight w:val="698" w:hRule="atLeast"/>
        </w:trPr>
        <w:tc>
          <w:tcPr>
            <w:tcW w:w="8281" w:type="dxa"/>
            <w:gridSpan w:val="23"/>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区级项目支出绩效自评表</w:t>
            </w:r>
          </w:p>
        </w:tc>
      </w:tr>
      <w:tr>
        <w:tblPrEx>
          <w:tblCellMar>
            <w:top w:w="0" w:type="dxa"/>
            <w:left w:w="0" w:type="dxa"/>
            <w:bottom w:w="0" w:type="dxa"/>
            <w:right w:w="0" w:type="dxa"/>
          </w:tblCellMar>
        </w:tblPrEx>
        <w:trPr>
          <w:gridAfter w:val="1"/>
          <w:wAfter w:w="60" w:type="dxa"/>
          <w:trHeight w:val="488" w:hRule="atLeast"/>
        </w:trPr>
        <w:tc>
          <w:tcPr>
            <w:tcW w:w="12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3123"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馆藏档案数字化项目</w:t>
            </w:r>
          </w:p>
        </w:tc>
        <w:tc>
          <w:tcPr>
            <w:tcW w:w="106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w:t>
            </w:r>
          </w:p>
        </w:tc>
        <w:tc>
          <w:tcPr>
            <w:tcW w:w="2830"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w:t>
            </w:r>
          </w:p>
        </w:tc>
      </w:tr>
      <w:tr>
        <w:tblPrEx>
          <w:tblCellMar>
            <w:top w:w="0" w:type="dxa"/>
            <w:left w:w="0" w:type="dxa"/>
            <w:bottom w:w="0" w:type="dxa"/>
            <w:right w:w="0" w:type="dxa"/>
          </w:tblCellMar>
        </w:tblPrEx>
        <w:trPr>
          <w:gridAfter w:val="1"/>
          <w:wAfter w:w="60" w:type="dxa"/>
          <w:trHeight w:val="488" w:hRule="atLeast"/>
        </w:trPr>
        <w:tc>
          <w:tcPr>
            <w:tcW w:w="12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3123"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830"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五通桥区档案馆</w:t>
            </w:r>
          </w:p>
        </w:tc>
      </w:tr>
      <w:tr>
        <w:tblPrEx>
          <w:tblCellMar>
            <w:top w:w="0" w:type="dxa"/>
            <w:left w:w="0" w:type="dxa"/>
            <w:bottom w:w="0" w:type="dxa"/>
            <w:right w:w="0" w:type="dxa"/>
          </w:tblCellMar>
        </w:tblPrEx>
        <w:trPr>
          <w:gridAfter w:val="1"/>
          <w:wAfter w:w="60" w:type="dxa"/>
          <w:trHeight w:val="488" w:hRule="atLeast"/>
        </w:trPr>
        <w:tc>
          <w:tcPr>
            <w:tcW w:w="8281" w:type="dxa"/>
            <w:gridSpan w:val="2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项目资金（万元）</w:t>
            </w:r>
          </w:p>
        </w:tc>
      </w:tr>
      <w:tr>
        <w:tblPrEx>
          <w:tblCellMar>
            <w:top w:w="0" w:type="dxa"/>
            <w:left w:w="0" w:type="dxa"/>
            <w:bottom w:w="0" w:type="dxa"/>
            <w:right w:w="0" w:type="dxa"/>
          </w:tblCellMar>
        </w:tblPrEx>
        <w:trPr>
          <w:gridAfter w:val="1"/>
          <w:wAfter w:w="60" w:type="dxa"/>
          <w:trHeight w:val="488" w:hRule="atLeast"/>
        </w:trPr>
        <w:tc>
          <w:tcPr>
            <w:tcW w:w="2596" w:type="dxa"/>
            <w:gridSpan w:val="5"/>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2019"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1872"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预算执行率</w:t>
            </w:r>
          </w:p>
        </w:tc>
      </w:tr>
      <w:tr>
        <w:tblPrEx>
          <w:tblCellMar>
            <w:top w:w="0" w:type="dxa"/>
            <w:left w:w="0" w:type="dxa"/>
            <w:bottom w:w="0" w:type="dxa"/>
            <w:right w:w="0" w:type="dxa"/>
          </w:tblCellMar>
        </w:tblPrEx>
        <w:trPr>
          <w:gridAfter w:val="1"/>
          <w:wAfter w:w="60" w:type="dxa"/>
          <w:trHeight w:val="488" w:hRule="atLeast"/>
        </w:trPr>
        <w:tc>
          <w:tcPr>
            <w:tcW w:w="25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2019"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1872"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gridAfter w:val="1"/>
          <w:wAfter w:w="60" w:type="dxa"/>
          <w:trHeight w:val="488" w:hRule="atLeast"/>
        </w:trPr>
        <w:tc>
          <w:tcPr>
            <w:tcW w:w="25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其中：财政拨款</w:t>
            </w:r>
          </w:p>
        </w:tc>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2019"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1872"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gridAfter w:val="1"/>
          <w:wAfter w:w="60" w:type="dxa"/>
          <w:trHeight w:val="488" w:hRule="atLeast"/>
        </w:trPr>
        <w:tc>
          <w:tcPr>
            <w:tcW w:w="25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9"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872"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#DIV/0!</w:t>
            </w:r>
          </w:p>
        </w:tc>
      </w:tr>
      <w:tr>
        <w:tblPrEx>
          <w:tblCellMar>
            <w:top w:w="0" w:type="dxa"/>
            <w:left w:w="0" w:type="dxa"/>
            <w:bottom w:w="0" w:type="dxa"/>
            <w:right w:w="0" w:type="dxa"/>
          </w:tblCellMar>
        </w:tblPrEx>
        <w:trPr>
          <w:gridAfter w:val="1"/>
          <w:wAfter w:w="60" w:type="dxa"/>
          <w:trHeight w:val="488" w:hRule="atLeast"/>
        </w:trPr>
        <w:tc>
          <w:tcPr>
            <w:tcW w:w="12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418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2830"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CellMar>
            <w:top w:w="0" w:type="dxa"/>
            <w:left w:w="0" w:type="dxa"/>
            <w:bottom w:w="0" w:type="dxa"/>
            <w:right w:w="0" w:type="dxa"/>
          </w:tblCellMar>
        </w:tblPrEx>
        <w:trPr>
          <w:gridAfter w:val="1"/>
          <w:wAfter w:w="60" w:type="dxa"/>
          <w:trHeight w:val="1014" w:hRule="atLeast"/>
        </w:trPr>
        <w:tc>
          <w:tcPr>
            <w:tcW w:w="12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184" w:type="dxa"/>
            <w:gridSpan w:val="9"/>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完成馆藏档案数字化30%</w:t>
            </w:r>
          </w:p>
        </w:tc>
        <w:tc>
          <w:tcPr>
            <w:tcW w:w="283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完成馆藏档案数字化约10万卷</w:t>
            </w:r>
          </w:p>
        </w:tc>
      </w:tr>
      <w:tr>
        <w:tblPrEx>
          <w:tblCellMar>
            <w:top w:w="0" w:type="dxa"/>
            <w:left w:w="0" w:type="dxa"/>
            <w:bottom w:w="0" w:type="dxa"/>
            <w:right w:w="0" w:type="dxa"/>
          </w:tblCellMar>
        </w:tblPrEx>
        <w:trPr>
          <w:gridAfter w:val="1"/>
          <w:wAfter w:w="60" w:type="dxa"/>
          <w:trHeight w:val="719" w:hRule="atLeast"/>
        </w:trPr>
        <w:tc>
          <w:tcPr>
            <w:tcW w:w="126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2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6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58"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分值/权重</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（百分制）</w:t>
            </w:r>
          </w:p>
        </w:tc>
        <w:tc>
          <w:tcPr>
            <w:tcW w:w="402"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6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扣分原因分析</w:t>
            </w:r>
          </w:p>
        </w:tc>
      </w:tr>
      <w:tr>
        <w:tblPrEx>
          <w:tblCellMar>
            <w:top w:w="0" w:type="dxa"/>
            <w:left w:w="0" w:type="dxa"/>
            <w:bottom w:w="0" w:type="dxa"/>
            <w:right w:w="0" w:type="dxa"/>
          </w:tblCellMar>
        </w:tblPrEx>
        <w:trPr>
          <w:gridAfter w:val="1"/>
          <w:wAfter w:w="60" w:type="dxa"/>
          <w:trHeight w:val="488" w:hRule="atLeast"/>
        </w:trPr>
        <w:tc>
          <w:tcPr>
            <w:tcW w:w="6409"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    分</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4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60" w:type="dxa"/>
          <w:trHeight w:val="488" w:hRule="atLeast"/>
        </w:trPr>
        <w:tc>
          <w:tcPr>
            <w:tcW w:w="4390" w:type="dxa"/>
            <w:gridSpan w:val="8"/>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预算执行率（10分）</w:t>
            </w:r>
          </w:p>
        </w:tc>
        <w:tc>
          <w:tcPr>
            <w:tcW w:w="1061"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5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2"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60" w:type="dxa"/>
          <w:trHeight w:val="864" w:hRule="atLeast"/>
        </w:trPr>
        <w:tc>
          <w:tcPr>
            <w:tcW w:w="1267"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产出指标</w:t>
            </w:r>
          </w:p>
        </w:tc>
        <w:tc>
          <w:tcPr>
            <w:tcW w:w="1329"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数量指标</w:t>
            </w:r>
          </w:p>
        </w:tc>
        <w:tc>
          <w:tcPr>
            <w:tcW w:w="1794"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馆藏档案数字化</w:t>
            </w:r>
          </w:p>
        </w:tc>
        <w:tc>
          <w:tcPr>
            <w:tcW w:w="1061"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10万卷</w:t>
            </w:r>
          </w:p>
        </w:tc>
        <w:tc>
          <w:tcPr>
            <w:tcW w:w="95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2"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60" w:type="dxa"/>
          <w:trHeight w:val="757" w:hRule="atLeast"/>
        </w:trPr>
        <w:tc>
          <w:tcPr>
            <w:tcW w:w="1267"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9"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质量指标</w:t>
            </w:r>
          </w:p>
        </w:tc>
        <w:tc>
          <w:tcPr>
            <w:tcW w:w="1794"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 xml:space="preserve"> </w:t>
            </w:r>
            <w:r>
              <w:rPr>
                <w:rFonts w:hint="eastAsia" w:ascii="宋体" w:hAnsi="宋体" w:eastAsia="宋体" w:cs="宋体"/>
                <w:i w:val="0"/>
                <w:color w:val="333333"/>
                <w:kern w:val="0"/>
                <w:sz w:val="20"/>
                <w:szCs w:val="20"/>
                <w:u w:val="none"/>
                <w:lang w:val="en-US" w:eastAsia="zh-CN" w:bidi="ar"/>
              </w:rPr>
              <w:br w:type="textWrapping"/>
            </w:r>
            <w:r>
              <w:rPr>
                <w:rFonts w:hint="eastAsia" w:ascii="宋体" w:hAnsi="宋体" w:eastAsia="宋体" w:cs="宋体"/>
                <w:i w:val="0"/>
                <w:color w:val="333333"/>
                <w:kern w:val="0"/>
                <w:sz w:val="20"/>
                <w:szCs w:val="20"/>
                <w:u w:val="none"/>
                <w:lang w:val="en-US" w:eastAsia="zh-CN" w:bidi="ar"/>
              </w:rPr>
              <w:t>馆藏档案数字化成果</w:t>
            </w:r>
          </w:p>
        </w:tc>
        <w:tc>
          <w:tcPr>
            <w:tcW w:w="1061"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优良中差</w:t>
            </w:r>
          </w:p>
        </w:tc>
        <w:tc>
          <w:tcPr>
            <w:tcW w:w="95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2"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60" w:type="dxa"/>
          <w:trHeight w:val="757" w:hRule="atLeast"/>
        </w:trPr>
        <w:tc>
          <w:tcPr>
            <w:tcW w:w="1267"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9"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时效指标</w:t>
            </w:r>
          </w:p>
        </w:tc>
        <w:tc>
          <w:tcPr>
            <w:tcW w:w="1794"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馆藏档案数字化完成速度</w:t>
            </w:r>
          </w:p>
        </w:tc>
        <w:tc>
          <w:tcPr>
            <w:tcW w:w="1061"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好坏</w:t>
            </w:r>
          </w:p>
        </w:tc>
        <w:tc>
          <w:tcPr>
            <w:tcW w:w="95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好</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2"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60" w:type="dxa"/>
          <w:trHeight w:val="488" w:hRule="atLeast"/>
        </w:trPr>
        <w:tc>
          <w:tcPr>
            <w:tcW w:w="1267"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9"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成本指标</w:t>
            </w:r>
          </w:p>
        </w:tc>
        <w:tc>
          <w:tcPr>
            <w:tcW w:w="1794"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馆藏档案数字化</w:t>
            </w:r>
          </w:p>
        </w:tc>
        <w:tc>
          <w:tcPr>
            <w:tcW w:w="1061"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35万元</w:t>
            </w:r>
          </w:p>
        </w:tc>
        <w:tc>
          <w:tcPr>
            <w:tcW w:w="95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2"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60" w:type="dxa"/>
          <w:trHeight w:val="488" w:hRule="atLeast"/>
        </w:trPr>
        <w:tc>
          <w:tcPr>
            <w:tcW w:w="1267"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效益指标</w:t>
            </w:r>
          </w:p>
        </w:tc>
        <w:tc>
          <w:tcPr>
            <w:tcW w:w="1329"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经济效益指标</w:t>
            </w:r>
          </w:p>
        </w:tc>
        <w:tc>
          <w:tcPr>
            <w:tcW w:w="1794"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61"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5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2"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60" w:type="dxa"/>
          <w:trHeight w:val="757" w:hRule="atLeast"/>
        </w:trPr>
        <w:tc>
          <w:tcPr>
            <w:tcW w:w="1267"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9"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社会效益指标</w:t>
            </w:r>
          </w:p>
        </w:tc>
        <w:tc>
          <w:tcPr>
            <w:tcW w:w="1794"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 xml:space="preserve"> </w:t>
            </w:r>
            <w:r>
              <w:rPr>
                <w:rFonts w:hint="eastAsia" w:ascii="宋体" w:hAnsi="宋体" w:eastAsia="宋体" w:cs="宋体"/>
                <w:i w:val="0"/>
                <w:color w:val="333333"/>
                <w:kern w:val="0"/>
                <w:sz w:val="18"/>
                <w:szCs w:val="18"/>
                <w:u w:val="none"/>
                <w:lang w:val="en-US" w:eastAsia="zh-CN" w:bidi="ar"/>
              </w:rPr>
              <w:br w:type="textWrapping"/>
            </w:r>
            <w:r>
              <w:rPr>
                <w:rFonts w:hint="eastAsia" w:ascii="宋体" w:hAnsi="宋体" w:eastAsia="宋体" w:cs="宋体"/>
                <w:i w:val="0"/>
                <w:color w:val="333333"/>
                <w:kern w:val="0"/>
                <w:sz w:val="18"/>
                <w:szCs w:val="18"/>
                <w:u w:val="none"/>
                <w:lang w:val="en-US" w:eastAsia="zh-CN" w:bidi="ar"/>
              </w:rPr>
              <w:t>馆藏档案数字化运用</w:t>
            </w:r>
          </w:p>
        </w:tc>
        <w:tc>
          <w:tcPr>
            <w:tcW w:w="1061"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优良中差</w:t>
            </w:r>
          </w:p>
        </w:tc>
        <w:tc>
          <w:tcPr>
            <w:tcW w:w="95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2"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60" w:type="dxa"/>
          <w:trHeight w:val="488" w:hRule="atLeast"/>
        </w:trPr>
        <w:tc>
          <w:tcPr>
            <w:tcW w:w="1267"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9"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生态效益指标</w:t>
            </w:r>
          </w:p>
        </w:tc>
        <w:tc>
          <w:tcPr>
            <w:tcW w:w="1794"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61"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5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2"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60" w:type="dxa"/>
          <w:trHeight w:val="488" w:hRule="atLeast"/>
        </w:trPr>
        <w:tc>
          <w:tcPr>
            <w:tcW w:w="1267"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9"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可持续影响指标</w:t>
            </w:r>
          </w:p>
        </w:tc>
        <w:tc>
          <w:tcPr>
            <w:tcW w:w="1794"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更好保护纸质档案</w:t>
            </w:r>
          </w:p>
        </w:tc>
        <w:tc>
          <w:tcPr>
            <w:tcW w:w="1061"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优良中差</w:t>
            </w:r>
          </w:p>
        </w:tc>
        <w:tc>
          <w:tcPr>
            <w:tcW w:w="95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2"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60" w:type="dxa"/>
          <w:trHeight w:val="864" w:hRule="atLeast"/>
        </w:trPr>
        <w:tc>
          <w:tcPr>
            <w:tcW w:w="126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满意度指标</w:t>
            </w:r>
          </w:p>
        </w:tc>
        <w:tc>
          <w:tcPr>
            <w:tcW w:w="1329"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满意度指标</w:t>
            </w:r>
          </w:p>
        </w:tc>
        <w:tc>
          <w:tcPr>
            <w:tcW w:w="1794"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查阅档案群众提供便利</w:t>
            </w:r>
          </w:p>
        </w:tc>
        <w:tc>
          <w:tcPr>
            <w:tcW w:w="1061"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5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2"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2"/>
          <w:wAfter w:w="120" w:type="dxa"/>
          <w:trHeight w:val="665" w:hRule="atLeast"/>
        </w:trPr>
        <w:tc>
          <w:tcPr>
            <w:tcW w:w="8221" w:type="dxa"/>
            <w:gridSpan w:val="2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区级项目支出绩效自评表</w:t>
            </w:r>
          </w:p>
        </w:tc>
      </w:tr>
      <w:tr>
        <w:tblPrEx>
          <w:tblCellMar>
            <w:top w:w="0" w:type="dxa"/>
            <w:left w:w="0" w:type="dxa"/>
            <w:bottom w:w="0" w:type="dxa"/>
            <w:right w:w="0" w:type="dxa"/>
          </w:tblCellMar>
        </w:tblPrEx>
        <w:trPr>
          <w:gridAfter w:val="2"/>
          <w:wAfter w:w="120" w:type="dxa"/>
          <w:trHeight w:val="450" w:hRule="atLeast"/>
        </w:trPr>
        <w:tc>
          <w:tcPr>
            <w:tcW w:w="129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295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档案事务管理经费</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w:t>
            </w:r>
          </w:p>
        </w:tc>
        <w:tc>
          <w:tcPr>
            <w:tcW w:w="2888"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w:t>
            </w:r>
          </w:p>
        </w:tc>
      </w:tr>
      <w:tr>
        <w:tblPrEx>
          <w:tblCellMar>
            <w:top w:w="0" w:type="dxa"/>
            <w:left w:w="0" w:type="dxa"/>
            <w:bottom w:w="0" w:type="dxa"/>
            <w:right w:w="0" w:type="dxa"/>
          </w:tblCellMar>
        </w:tblPrEx>
        <w:trPr>
          <w:gridAfter w:val="2"/>
          <w:wAfter w:w="120" w:type="dxa"/>
          <w:trHeight w:val="450" w:hRule="atLeast"/>
        </w:trPr>
        <w:tc>
          <w:tcPr>
            <w:tcW w:w="129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295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888"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五通桥区档案馆</w:t>
            </w:r>
          </w:p>
        </w:tc>
      </w:tr>
      <w:tr>
        <w:tblPrEx>
          <w:tblCellMar>
            <w:top w:w="0" w:type="dxa"/>
            <w:left w:w="0" w:type="dxa"/>
            <w:bottom w:w="0" w:type="dxa"/>
            <w:right w:w="0" w:type="dxa"/>
          </w:tblCellMar>
        </w:tblPrEx>
        <w:trPr>
          <w:gridAfter w:val="2"/>
          <w:wAfter w:w="120" w:type="dxa"/>
          <w:trHeight w:val="450" w:hRule="atLeast"/>
        </w:trPr>
        <w:tc>
          <w:tcPr>
            <w:tcW w:w="8221" w:type="dxa"/>
            <w:gridSpan w:val="2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项目资金（万元）</w:t>
            </w:r>
          </w:p>
        </w:tc>
      </w:tr>
      <w:tr>
        <w:tblPrEx>
          <w:tblCellMar>
            <w:top w:w="0" w:type="dxa"/>
            <w:left w:w="0" w:type="dxa"/>
            <w:bottom w:w="0" w:type="dxa"/>
            <w:right w:w="0" w:type="dxa"/>
          </w:tblCellMar>
        </w:tblPrEx>
        <w:trPr>
          <w:gridAfter w:val="2"/>
          <w:wAfter w:w="120" w:type="dxa"/>
          <w:trHeight w:val="450" w:hRule="atLeast"/>
        </w:trPr>
        <w:tc>
          <w:tcPr>
            <w:tcW w:w="2650" w:type="dxa"/>
            <w:gridSpan w:val="6"/>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206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191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预算执行率</w:t>
            </w:r>
          </w:p>
        </w:tc>
      </w:tr>
      <w:tr>
        <w:tblPrEx>
          <w:tblCellMar>
            <w:top w:w="0" w:type="dxa"/>
            <w:left w:w="0" w:type="dxa"/>
            <w:bottom w:w="0" w:type="dxa"/>
            <w:right w:w="0" w:type="dxa"/>
          </w:tblCellMar>
        </w:tblPrEx>
        <w:trPr>
          <w:gridAfter w:val="2"/>
          <w:wAfter w:w="120" w:type="dxa"/>
          <w:trHeight w:val="450" w:hRule="atLeast"/>
        </w:trPr>
        <w:tc>
          <w:tcPr>
            <w:tcW w:w="265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5.44</w:t>
            </w:r>
          </w:p>
        </w:tc>
        <w:tc>
          <w:tcPr>
            <w:tcW w:w="206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5.44</w:t>
            </w:r>
          </w:p>
        </w:tc>
        <w:tc>
          <w:tcPr>
            <w:tcW w:w="191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gridAfter w:val="2"/>
          <w:wAfter w:w="120" w:type="dxa"/>
          <w:trHeight w:val="450" w:hRule="atLeast"/>
        </w:trPr>
        <w:tc>
          <w:tcPr>
            <w:tcW w:w="265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其中：财政拨款</w:t>
            </w: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5.44</w:t>
            </w:r>
          </w:p>
        </w:tc>
        <w:tc>
          <w:tcPr>
            <w:tcW w:w="206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5.44</w:t>
            </w:r>
          </w:p>
        </w:tc>
        <w:tc>
          <w:tcPr>
            <w:tcW w:w="191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gridAfter w:val="2"/>
          <w:wAfter w:w="120" w:type="dxa"/>
          <w:trHeight w:val="450" w:hRule="atLeast"/>
        </w:trPr>
        <w:tc>
          <w:tcPr>
            <w:tcW w:w="265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6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191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#NAME?</w:t>
            </w:r>
          </w:p>
        </w:tc>
      </w:tr>
      <w:tr>
        <w:tblPrEx>
          <w:tblCellMar>
            <w:top w:w="0" w:type="dxa"/>
            <w:left w:w="0" w:type="dxa"/>
            <w:bottom w:w="0" w:type="dxa"/>
            <w:right w:w="0" w:type="dxa"/>
          </w:tblCellMar>
        </w:tblPrEx>
        <w:trPr>
          <w:gridAfter w:val="2"/>
          <w:wAfter w:w="120" w:type="dxa"/>
          <w:trHeight w:val="450" w:hRule="atLeast"/>
        </w:trPr>
        <w:tc>
          <w:tcPr>
            <w:tcW w:w="129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4040"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2888"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CellMar>
            <w:top w:w="0" w:type="dxa"/>
            <w:left w:w="0" w:type="dxa"/>
            <w:bottom w:w="0" w:type="dxa"/>
            <w:right w:w="0" w:type="dxa"/>
          </w:tblCellMar>
        </w:tblPrEx>
        <w:trPr>
          <w:gridAfter w:val="2"/>
          <w:wAfter w:w="120" w:type="dxa"/>
          <w:trHeight w:val="963" w:hRule="atLeast"/>
        </w:trPr>
        <w:tc>
          <w:tcPr>
            <w:tcW w:w="129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040" w:type="dxa"/>
            <w:gridSpan w:val="7"/>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档案保管保护，档案查阅利用，《年鉴》出版</w:t>
            </w:r>
          </w:p>
        </w:tc>
        <w:tc>
          <w:tcPr>
            <w:tcW w:w="2888"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全年档案无事故，档案查阅0.6万人（次）《年鉴》按时出版</w:t>
            </w:r>
          </w:p>
        </w:tc>
      </w:tr>
      <w:tr>
        <w:tblPrEx>
          <w:tblCellMar>
            <w:top w:w="0" w:type="dxa"/>
            <w:left w:w="0" w:type="dxa"/>
            <w:bottom w:w="0" w:type="dxa"/>
            <w:right w:w="0" w:type="dxa"/>
          </w:tblCellMar>
        </w:tblPrEx>
        <w:trPr>
          <w:gridAfter w:val="2"/>
          <w:wAfter w:w="120" w:type="dxa"/>
          <w:trHeight w:val="675" w:hRule="atLeast"/>
        </w:trPr>
        <w:tc>
          <w:tcPr>
            <w:tcW w:w="129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5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78"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84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分值/权重</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（百分制）</w:t>
            </w:r>
          </w:p>
        </w:tc>
        <w:tc>
          <w:tcPr>
            <w:tcW w:w="409"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6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扣分原因分析</w:t>
            </w:r>
          </w:p>
        </w:tc>
      </w:tr>
      <w:tr>
        <w:tblPrEx>
          <w:tblCellMar>
            <w:top w:w="0" w:type="dxa"/>
            <w:left w:w="0" w:type="dxa"/>
            <w:bottom w:w="0" w:type="dxa"/>
            <w:right w:w="0" w:type="dxa"/>
          </w:tblCellMar>
        </w:tblPrEx>
        <w:trPr>
          <w:gridAfter w:val="2"/>
          <w:wAfter w:w="120" w:type="dxa"/>
          <w:trHeight w:val="450" w:hRule="atLeast"/>
        </w:trPr>
        <w:tc>
          <w:tcPr>
            <w:tcW w:w="6311"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    分</w:t>
            </w:r>
          </w:p>
        </w:tc>
        <w:tc>
          <w:tcPr>
            <w:tcW w:w="84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40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2"/>
          <w:wAfter w:w="120" w:type="dxa"/>
          <w:trHeight w:val="450" w:hRule="atLeast"/>
        </w:trPr>
        <w:tc>
          <w:tcPr>
            <w:tcW w:w="4251" w:type="dxa"/>
            <w:gridSpan w:val="7"/>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预算执行率（10分）</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7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4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9"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2"/>
          <w:wAfter w:w="120" w:type="dxa"/>
          <w:trHeight w:val="817" w:hRule="atLeast"/>
        </w:trPr>
        <w:tc>
          <w:tcPr>
            <w:tcW w:w="1293"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产出指标</w:t>
            </w:r>
          </w:p>
        </w:tc>
        <w:tc>
          <w:tcPr>
            <w:tcW w:w="1357"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数量指标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《年鉴》出版、档案保管保护及开发利用</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7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4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9"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2"/>
          <w:wAfter w:w="120" w:type="dxa"/>
          <w:trHeight w:val="1129" w:hRule="atLeast"/>
        </w:trPr>
        <w:tc>
          <w:tcPr>
            <w:tcW w:w="1293"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57"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质量指标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《年鉴》按时出版，档案查阅服务及时，档案地志业务指导到位</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7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4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9"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2"/>
          <w:wAfter w:w="120" w:type="dxa"/>
          <w:trHeight w:val="983" w:hRule="atLeast"/>
        </w:trPr>
        <w:tc>
          <w:tcPr>
            <w:tcW w:w="1293"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57"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时效指标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《年鉴》按时出版，档案查阅服务及时</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7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4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9"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2"/>
          <w:wAfter w:w="120" w:type="dxa"/>
          <w:trHeight w:val="450" w:hRule="atLeast"/>
        </w:trPr>
        <w:tc>
          <w:tcPr>
            <w:tcW w:w="1293"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57"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成本指标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综合业务经费到位</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7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4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9"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2"/>
          <w:wAfter w:w="120" w:type="dxa"/>
          <w:trHeight w:val="450" w:hRule="atLeast"/>
        </w:trPr>
        <w:tc>
          <w:tcPr>
            <w:tcW w:w="1293"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效益指标</w:t>
            </w:r>
          </w:p>
        </w:tc>
        <w:tc>
          <w:tcPr>
            <w:tcW w:w="1357"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经济效益指标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7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4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9"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2"/>
          <w:wAfter w:w="120" w:type="dxa"/>
          <w:trHeight w:val="1650" w:hRule="atLeast"/>
        </w:trPr>
        <w:tc>
          <w:tcPr>
            <w:tcW w:w="1293"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57"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社会效益指标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规范整理案卷归档，有效保存工作资料，方便档案查询，让群众更加了解档案的查询使用。按时出版《年鉴》，完成市下目标。</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7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4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9"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2"/>
          <w:wAfter w:w="120" w:type="dxa"/>
          <w:trHeight w:val="450" w:hRule="atLeast"/>
        </w:trPr>
        <w:tc>
          <w:tcPr>
            <w:tcW w:w="1293"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57"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生态效益指标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7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4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9"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2"/>
          <w:wAfter w:w="120" w:type="dxa"/>
          <w:trHeight w:val="450" w:hRule="atLeast"/>
        </w:trPr>
        <w:tc>
          <w:tcPr>
            <w:tcW w:w="1293"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57"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可持续影响指标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7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4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9"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2"/>
          <w:wAfter w:w="120" w:type="dxa"/>
          <w:trHeight w:val="827" w:hRule="atLeast"/>
        </w:trPr>
        <w:tc>
          <w:tcPr>
            <w:tcW w:w="1293"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满意度指标</w:t>
            </w:r>
          </w:p>
        </w:tc>
        <w:tc>
          <w:tcPr>
            <w:tcW w:w="1357"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满意度指标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档案、地方志管理部门、群众满意度</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78"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4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9"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49" w:hRule="atLeast"/>
        </w:trPr>
        <w:tc>
          <w:tcPr>
            <w:tcW w:w="8341" w:type="dxa"/>
            <w:gridSpan w:val="2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区级项目支出绩效自评表</w:t>
            </w:r>
          </w:p>
        </w:tc>
      </w:tr>
      <w:tr>
        <w:tblPrEx>
          <w:tblCellMar>
            <w:top w:w="0" w:type="dxa"/>
            <w:left w:w="0" w:type="dxa"/>
            <w:bottom w:w="0" w:type="dxa"/>
            <w:right w:w="0" w:type="dxa"/>
          </w:tblCellMar>
        </w:tblPrEx>
        <w:trPr>
          <w:trHeight w:val="440"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320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档案馆临聘人员支出</w:t>
            </w:r>
          </w:p>
        </w:tc>
        <w:tc>
          <w:tcPr>
            <w:tcW w:w="105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w:t>
            </w:r>
          </w:p>
        </w:tc>
        <w:tc>
          <w:tcPr>
            <w:tcW w:w="2818"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w:t>
            </w:r>
          </w:p>
        </w:tc>
      </w:tr>
      <w:tr>
        <w:tblPrEx>
          <w:tblCellMar>
            <w:top w:w="0" w:type="dxa"/>
            <w:left w:w="0" w:type="dxa"/>
            <w:bottom w:w="0" w:type="dxa"/>
            <w:right w:w="0" w:type="dxa"/>
          </w:tblCellMar>
        </w:tblPrEx>
        <w:trPr>
          <w:trHeight w:val="440"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320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五通桥区档案馆</w:t>
            </w:r>
          </w:p>
        </w:tc>
        <w:tc>
          <w:tcPr>
            <w:tcW w:w="105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818"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五通桥区档案馆</w:t>
            </w:r>
          </w:p>
        </w:tc>
      </w:tr>
      <w:tr>
        <w:tblPrEx>
          <w:tblCellMar>
            <w:top w:w="0" w:type="dxa"/>
            <w:left w:w="0" w:type="dxa"/>
            <w:bottom w:w="0" w:type="dxa"/>
            <w:right w:w="0" w:type="dxa"/>
          </w:tblCellMar>
        </w:tblPrEx>
        <w:trPr>
          <w:trHeight w:val="440" w:hRule="atLeast"/>
        </w:trPr>
        <w:tc>
          <w:tcPr>
            <w:tcW w:w="8341" w:type="dxa"/>
            <w:gridSpan w:val="2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项目资金（万元）</w:t>
            </w:r>
          </w:p>
        </w:tc>
      </w:tr>
      <w:tr>
        <w:tblPrEx>
          <w:tblCellMar>
            <w:top w:w="0" w:type="dxa"/>
            <w:left w:w="0" w:type="dxa"/>
            <w:bottom w:w="0" w:type="dxa"/>
            <w:right w:w="0" w:type="dxa"/>
          </w:tblCellMar>
        </w:tblPrEx>
        <w:trPr>
          <w:trHeight w:val="440" w:hRule="atLeast"/>
        </w:trPr>
        <w:tc>
          <w:tcPr>
            <w:tcW w:w="2587" w:type="dxa"/>
            <w:gridSpan w:val="4"/>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879"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201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18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预算执行率</w:t>
            </w:r>
          </w:p>
        </w:tc>
      </w:tr>
      <w:tr>
        <w:tblPrEx>
          <w:tblCellMar>
            <w:top w:w="0" w:type="dxa"/>
            <w:left w:w="0" w:type="dxa"/>
            <w:bottom w:w="0" w:type="dxa"/>
            <w:right w:w="0" w:type="dxa"/>
          </w:tblCellMar>
        </w:tblPrEx>
        <w:trPr>
          <w:trHeight w:val="440" w:hRule="atLeast"/>
        </w:trPr>
        <w:tc>
          <w:tcPr>
            <w:tcW w:w="2587"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879"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w:t>
            </w:r>
          </w:p>
        </w:tc>
        <w:tc>
          <w:tcPr>
            <w:tcW w:w="201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w:t>
            </w:r>
          </w:p>
        </w:tc>
        <w:tc>
          <w:tcPr>
            <w:tcW w:w="18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440" w:hRule="atLeast"/>
        </w:trPr>
        <w:tc>
          <w:tcPr>
            <w:tcW w:w="2587"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其中：财政拨款</w:t>
            </w:r>
          </w:p>
        </w:tc>
        <w:tc>
          <w:tcPr>
            <w:tcW w:w="1879"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w:t>
            </w:r>
          </w:p>
        </w:tc>
        <w:tc>
          <w:tcPr>
            <w:tcW w:w="201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w:t>
            </w:r>
          </w:p>
        </w:tc>
        <w:tc>
          <w:tcPr>
            <w:tcW w:w="18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440" w:hRule="atLeast"/>
        </w:trPr>
        <w:tc>
          <w:tcPr>
            <w:tcW w:w="2587"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c>
          <w:tcPr>
            <w:tcW w:w="1879"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8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#DIV/0!</w:t>
            </w:r>
          </w:p>
        </w:tc>
      </w:tr>
      <w:tr>
        <w:tblPrEx>
          <w:tblCellMar>
            <w:top w:w="0" w:type="dxa"/>
            <w:left w:w="0" w:type="dxa"/>
            <w:bottom w:w="0" w:type="dxa"/>
            <w:right w:w="0" w:type="dxa"/>
          </w:tblCellMar>
        </w:tblPrEx>
        <w:trPr>
          <w:trHeight w:val="440" w:hRule="atLeast"/>
        </w:trPr>
        <w:tc>
          <w:tcPr>
            <w:tcW w:w="126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4261"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2818"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CellMar>
            <w:top w:w="0" w:type="dxa"/>
            <w:left w:w="0" w:type="dxa"/>
            <w:bottom w:w="0" w:type="dxa"/>
            <w:right w:w="0" w:type="dxa"/>
          </w:tblCellMar>
        </w:tblPrEx>
        <w:trPr>
          <w:trHeight w:val="9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261" w:type="dxa"/>
            <w:gridSpan w:val="11"/>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2023年聘请临聘人员一人，协助完成档案馆办公室和馆务的各种事务</w:t>
            </w:r>
          </w:p>
        </w:tc>
        <w:tc>
          <w:tcPr>
            <w:tcW w:w="2818"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协助完成档案馆办公室和馆务的各种事务</w:t>
            </w:r>
          </w:p>
        </w:tc>
      </w:tr>
      <w:tr>
        <w:tblPrEx>
          <w:tblCellMar>
            <w:top w:w="0" w:type="dxa"/>
            <w:left w:w="0" w:type="dxa"/>
            <w:bottom w:w="0" w:type="dxa"/>
            <w:right w:w="0" w:type="dxa"/>
          </w:tblCellMar>
        </w:tblPrEx>
        <w:trPr>
          <w:trHeight w:val="1223"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2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879"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5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5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82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分值/权重</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（百分制）</w:t>
            </w:r>
          </w:p>
        </w:tc>
        <w:tc>
          <w:tcPr>
            <w:tcW w:w="400"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6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扣分原因分析</w:t>
            </w:r>
          </w:p>
        </w:tc>
      </w:tr>
      <w:tr>
        <w:tblPrEx>
          <w:tblCellMar>
            <w:top w:w="0" w:type="dxa"/>
            <w:left w:w="0" w:type="dxa"/>
            <w:bottom w:w="0" w:type="dxa"/>
            <w:right w:w="0" w:type="dxa"/>
          </w:tblCellMar>
        </w:tblPrEx>
        <w:trPr>
          <w:trHeight w:val="440" w:hRule="atLeast"/>
        </w:trPr>
        <w:tc>
          <w:tcPr>
            <w:tcW w:w="6477" w:type="dxa"/>
            <w:gridSpan w:val="1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    分</w:t>
            </w:r>
          </w:p>
        </w:tc>
        <w:tc>
          <w:tcPr>
            <w:tcW w:w="82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40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4466" w:type="dxa"/>
            <w:gridSpan w:val="9"/>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预算执行率（10分）</w:t>
            </w:r>
          </w:p>
        </w:tc>
        <w:tc>
          <w:tcPr>
            <w:tcW w:w="105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54"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w:t>
            </w:r>
          </w:p>
        </w:tc>
        <w:tc>
          <w:tcPr>
            <w:tcW w:w="82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0"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restart"/>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产出指标</w:t>
            </w:r>
          </w:p>
        </w:tc>
        <w:tc>
          <w:tcPr>
            <w:tcW w:w="1325"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数量指标</w:t>
            </w:r>
          </w:p>
        </w:tc>
        <w:tc>
          <w:tcPr>
            <w:tcW w:w="1879"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经费支出人数</w:t>
            </w:r>
          </w:p>
        </w:tc>
        <w:tc>
          <w:tcPr>
            <w:tcW w:w="105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54"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w:t>
            </w:r>
          </w:p>
        </w:tc>
        <w:tc>
          <w:tcPr>
            <w:tcW w:w="82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0"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59"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质量指标</w:t>
            </w:r>
          </w:p>
        </w:tc>
        <w:tc>
          <w:tcPr>
            <w:tcW w:w="1879" w:type="dxa"/>
            <w:gridSpan w:val="5"/>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完成办公室日常事务和协助收入馆档案</w:t>
            </w:r>
          </w:p>
        </w:tc>
        <w:tc>
          <w:tcPr>
            <w:tcW w:w="105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优良中差</w:t>
            </w:r>
          </w:p>
        </w:tc>
        <w:tc>
          <w:tcPr>
            <w:tcW w:w="954"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w:t>
            </w:r>
          </w:p>
        </w:tc>
        <w:tc>
          <w:tcPr>
            <w:tcW w:w="82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0"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时效指标</w:t>
            </w:r>
          </w:p>
        </w:tc>
        <w:tc>
          <w:tcPr>
            <w:tcW w:w="1879" w:type="dxa"/>
            <w:gridSpan w:val="5"/>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每年签订聘用合同</w:t>
            </w:r>
          </w:p>
        </w:tc>
        <w:tc>
          <w:tcPr>
            <w:tcW w:w="105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一年一签</w:t>
            </w:r>
          </w:p>
        </w:tc>
        <w:tc>
          <w:tcPr>
            <w:tcW w:w="954"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2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0"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成本指标</w:t>
            </w:r>
          </w:p>
        </w:tc>
        <w:tc>
          <w:tcPr>
            <w:tcW w:w="1879" w:type="dxa"/>
            <w:gridSpan w:val="5"/>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工资额度</w:t>
            </w:r>
          </w:p>
        </w:tc>
        <w:tc>
          <w:tcPr>
            <w:tcW w:w="105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12000元/年</w:t>
            </w:r>
          </w:p>
        </w:tc>
        <w:tc>
          <w:tcPr>
            <w:tcW w:w="954"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2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0"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restart"/>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效益指标</w:t>
            </w:r>
          </w:p>
        </w:tc>
        <w:tc>
          <w:tcPr>
            <w:tcW w:w="1325"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经济效益指标</w:t>
            </w:r>
          </w:p>
        </w:tc>
        <w:tc>
          <w:tcPr>
            <w:tcW w:w="1879" w:type="dxa"/>
            <w:gridSpan w:val="5"/>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5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54"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2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0"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社会效益指标</w:t>
            </w:r>
          </w:p>
        </w:tc>
        <w:tc>
          <w:tcPr>
            <w:tcW w:w="1879" w:type="dxa"/>
            <w:gridSpan w:val="5"/>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5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54"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2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0"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生态效益指标</w:t>
            </w:r>
          </w:p>
        </w:tc>
        <w:tc>
          <w:tcPr>
            <w:tcW w:w="1879" w:type="dxa"/>
            <w:gridSpan w:val="5"/>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5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54"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2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0"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可持续影响指标</w:t>
            </w:r>
          </w:p>
        </w:tc>
        <w:tc>
          <w:tcPr>
            <w:tcW w:w="1879" w:type="dxa"/>
            <w:gridSpan w:val="5"/>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能协助完成内勤工作</w:t>
            </w:r>
          </w:p>
        </w:tc>
        <w:tc>
          <w:tcPr>
            <w:tcW w:w="105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优良中差</w:t>
            </w:r>
          </w:p>
        </w:tc>
        <w:tc>
          <w:tcPr>
            <w:tcW w:w="954"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w:t>
            </w:r>
          </w:p>
        </w:tc>
        <w:tc>
          <w:tcPr>
            <w:tcW w:w="82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0"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满意度指标</w:t>
            </w:r>
          </w:p>
        </w:tc>
        <w:tc>
          <w:tcPr>
            <w:tcW w:w="1325" w:type="dxa"/>
            <w:gridSpan w:val="3"/>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满意度指标</w:t>
            </w:r>
          </w:p>
        </w:tc>
        <w:tc>
          <w:tcPr>
            <w:tcW w:w="1879" w:type="dxa"/>
            <w:gridSpan w:val="5"/>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对此人工作满意度</w:t>
            </w:r>
          </w:p>
        </w:tc>
        <w:tc>
          <w:tcPr>
            <w:tcW w:w="105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优良中差</w:t>
            </w:r>
          </w:p>
        </w:tc>
        <w:tc>
          <w:tcPr>
            <w:tcW w:w="954"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w:t>
            </w:r>
          </w:p>
        </w:tc>
        <w:tc>
          <w:tcPr>
            <w:tcW w:w="82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0" w:type="dxa"/>
            <w:gridSpan w:val="3"/>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93" w:hRule="atLeast"/>
        </w:trPr>
        <w:tc>
          <w:tcPr>
            <w:tcW w:w="8341" w:type="dxa"/>
            <w:gridSpan w:val="24"/>
            <w:tcBorders>
              <w:top w:val="single" w:color="000000" w:sz="4" w:space="0"/>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说明：1.预算执行率得分=全年执行数/全年预算数*10分；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2.“产出指标、效益指标、满意度指标”一共90分，对应的是一体化系统中单位编制的项目绩效目标。</w:t>
            </w:r>
          </w:p>
        </w:tc>
      </w:tr>
    </w:tbl>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spacing w:line="600" w:lineRule="exact"/>
        <w:jc w:val="both"/>
        <w:outlineLvl w:val="0"/>
        <w:rPr>
          <w:rFonts w:hint="eastAsia" w:ascii="黑体" w:hAnsi="黑体" w:eastAsia="黑体"/>
          <w:sz w:val="44"/>
          <w:szCs w:val="44"/>
        </w:rPr>
      </w:pPr>
      <w:bookmarkStart w:id="77" w:name="_Toc5222"/>
    </w:p>
    <w:p>
      <w:pPr>
        <w:spacing w:line="600" w:lineRule="exact"/>
        <w:jc w:val="center"/>
        <w:outlineLvl w:val="0"/>
        <w:rPr>
          <w:rFonts w:ascii="仿宋" w:hAnsi="仿宋" w:eastAsia="仿宋"/>
        </w:rPr>
      </w:pPr>
      <w:r>
        <w:rPr>
          <w:rFonts w:hint="eastAsia" w:ascii="黑体" w:hAnsi="黑体" w:eastAsia="黑体"/>
          <w:sz w:val="44"/>
          <w:szCs w:val="44"/>
        </w:rPr>
        <w:t>第</w:t>
      </w:r>
      <w:r>
        <w:rPr>
          <w:rStyle w:val="29"/>
          <w:rFonts w:hint="eastAsia" w:ascii="黑体" w:hAnsi="黑体" w:eastAsia="黑体"/>
          <w:b w:val="0"/>
        </w:rPr>
        <w:t>五部分 附表</w:t>
      </w:r>
      <w:bookmarkEnd w:id="72"/>
      <w:bookmarkEnd w:id="76"/>
      <w:bookmarkEnd w:id="77"/>
      <w:bookmarkStart w:id="78" w:name="_Toc15396619"/>
    </w:p>
    <w:p>
      <w:pPr>
        <w:pStyle w:val="6"/>
        <w:rPr>
          <w:rFonts w:ascii="仿宋" w:hAnsi="仿宋" w:eastAsia="仿宋"/>
        </w:rPr>
      </w:pPr>
      <w:bookmarkStart w:id="79" w:name="_Toc18675"/>
      <w:r>
        <w:rPr>
          <w:rFonts w:hint="eastAsia" w:ascii="仿宋" w:hAnsi="仿宋" w:eastAsia="仿宋"/>
          <w:b w:val="0"/>
        </w:rPr>
        <w:t>一、收</w:t>
      </w:r>
      <w:r>
        <w:rPr>
          <w:rStyle w:val="30"/>
          <w:rFonts w:hint="eastAsia" w:ascii="仿宋" w:hAnsi="仿宋" w:eastAsia="仿宋"/>
          <w:b w:val="0"/>
          <w:bCs w:val="0"/>
        </w:rPr>
        <w:t>入支出决算总表</w:t>
      </w:r>
      <w:bookmarkEnd w:id="78"/>
      <w:bookmarkEnd w:id="79"/>
    </w:p>
    <w:p>
      <w:pPr>
        <w:pStyle w:val="6"/>
        <w:rPr>
          <w:rFonts w:ascii="仿宋" w:hAnsi="仿宋" w:eastAsia="仿宋"/>
        </w:rPr>
      </w:pPr>
      <w:bookmarkStart w:id="80" w:name="_Toc15396620"/>
      <w:bookmarkStart w:id="81" w:name="_Toc689"/>
      <w:r>
        <w:rPr>
          <w:rFonts w:hint="eastAsia" w:ascii="仿宋" w:hAnsi="仿宋" w:eastAsia="仿宋"/>
          <w:b w:val="0"/>
        </w:rPr>
        <w:t>二、收</w:t>
      </w:r>
      <w:r>
        <w:rPr>
          <w:rStyle w:val="30"/>
          <w:rFonts w:hint="eastAsia" w:ascii="仿宋" w:hAnsi="仿宋" w:eastAsia="仿宋"/>
          <w:b w:val="0"/>
          <w:bCs w:val="0"/>
        </w:rPr>
        <w:t>入决算表</w:t>
      </w:r>
      <w:bookmarkEnd w:id="80"/>
      <w:bookmarkEnd w:id="81"/>
    </w:p>
    <w:p>
      <w:pPr>
        <w:pStyle w:val="6"/>
        <w:rPr>
          <w:rFonts w:ascii="仿宋" w:hAnsi="仿宋" w:eastAsia="仿宋"/>
        </w:rPr>
      </w:pPr>
      <w:bookmarkStart w:id="82" w:name="_Toc13746"/>
      <w:bookmarkStart w:id="83" w:name="_Toc15396621"/>
      <w:r>
        <w:rPr>
          <w:rStyle w:val="30"/>
          <w:rFonts w:hint="eastAsia" w:ascii="仿宋" w:hAnsi="仿宋" w:eastAsia="仿宋"/>
          <w:b w:val="0"/>
          <w:bCs w:val="0"/>
        </w:rPr>
        <w:t>三、</w:t>
      </w:r>
      <w:r>
        <w:rPr>
          <w:rFonts w:hint="eastAsia" w:ascii="仿宋" w:hAnsi="仿宋" w:eastAsia="仿宋"/>
          <w:b w:val="0"/>
        </w:rPr>
        <w:t>支</w:t>
      </w:r>
      <w:r>
        <w:rPr>
          <w:rStyle w:val="30"/>
          <w:rFonts w:hint="eastAsia" w:ascii="仿宋" w:hAnsi="仿宋" w:eastAsia="仿宋"/>
          <w:b w:val="0"/>
          <w:bCs w:val="0"/>
        </w:rPr>
        <w:t>出决算表</w:t>
      </w:r>
      <w:bookmarkEnd w:id="82"/>
      <w:bookmarkEnd w:id="83"/>
    </w:p>
    <w:p>
      <w:pPr>
        <w:pStyle w:val="6"/>
        <w:rPr>
          <w:rFonts w:ascii="仿宋" w:hAnsi="仿宋" w:eastAsia="仿宋"/>
          <w:b w:val="0"/>
        </w:rPr>
      </w:pPr>
      <w:bookmarkStart w:id="84" w:name="_Toc2221"/>
      <w:bookmarkStart w:id="85" w:name="_Toc15396622"/>
      <w:r>
        <w:rPr>
          <w:rStyle w:val="30"/>
          <w:rFonts w:hint="eastAsia" w:ascii="仿宋" w:hAnsi="仿宋" w:eastAsia="仿宋"/>
          <w:b w:val="0"/>
          <w:bCs w:val="0"/>
        </w:rPr>
        <w:t>四、</w:t>
      </w:r>
      <w:r>
        <w:rPr>
          <w:rFonts w:hint="eastAsia" w:ascii="仿宋" w:hAnsi="仿宋" w:eastAsia="仿宋"/>
          <w:b w:val="0"/>
        </w:rPr>
        <w:t>财</w:t>
      </w:r>
      <w:r>
        <w:rPr>
          <w:rStyle w:val="30"/>
          <w:rFonts w:hint="eastAsia" w:ascii="仿宋" w:hAnsi="仿宋" w:eastAsia="仿宋"/>
          <w:b w:val="0"/>
          <w:bCs w:val="0"/>
        </w:rPr>
        <w:t>政拨款收入支出决算总表</w:t>
      </w:r>
      <w:bookmarkEnd w:id="84"/>
      <w:bookmarkEnd w:id="85"/>
    </w:p>
    <w:p>
      <w:pPr>
        <w:pStyle w:val="6"/>
        <w:rPr>
          <w:rStyle w:val="30"/>
          <w:rFonts w:ascii="仿宋" w:hAnsi="仿宋" w:eastAsia="仿宋"/>
          <w:b w:val="0"/>
          <w:bCs w:val="0"/>
        </w:rPr>
      </w:pPr>
      <w:bookmarkStart w:id="86" w:name="_Toc26036"/>
      <w:bookmarkStart w:id="87" w:name="_Toc15396623"/>
      <w:r>
        <w:rPr>
          <w:rStyle w:val="30"/>
          <w:rFonts w:hint="eastAsia" w:ascii="仿宋" w:hAnsi="仿宋" w:eastAsia="仿宋"/>
          <w:b w:val="0"/>
          <w:bCs w:val="0"/>
        </w:rPr>
        <w:t>五、</w:t>
      </w:r>
      <w:r>
        <w:rPr>
          <w:rFonts w:hint="eastAsia" w:ascii="仿宋" w:hAnsi="仿宋" w:eastAsia="仿宋"/>
          <w:b w:val="0"/>
        </w:rPr>
        <w:t>财</w:t>
      </w:r>
      <w:r>
        <w:rPr>
          <w:rStyle w:val="30"/>
          <w:rFonts w:hint="eastAsia" w:ascii="仿宋" w:hAnsi="仿宋" w:eastAsia="仿宋"/>
          <w:b w:val="0"/>
          <w:bCs w:val="0"/>
        </w:rPr>
        <w:t>政拨款支出决算明细表</w:t>
      </w:r>
      <w:bookmarkEnd w:id="86"/>
      <w:bookmarkEnd w:id="87"/>
      <w:bookmarkStart w:id="88" w:name="_Toc15396624"/>
    </w:p>
    <w:p>
      <w:pPr>
        <w:pStyle w:val="6"/>
        <w:rPr>
          <w:rFonts w:ascii="仿宋" w:hAnsi="仿宋" w:eastAsia="仿宋"/>
        </w:rPr>
      </w:pPr>
      <w:bookmarkStart w:id="89" w:name="_Toc16107"/>
      <w:r>
        <w:rPr>
          <w:rStyle w:val="30"/>
          <w:rFonts w:hint="eastAsia" w:ascii="仿宋" w:hAnsi="仿宋" w:eastAsia="仿宋"/>
          <w:b w:val="0"/>
          <w:bCs w:val="0"/>
        </w:rPr>
        <w:t>六、</w:t>
      </w:r>
      <w:r>
        <w:rPr>
          <w:rFonts w:hint="eastAsia" w:ascii="仿宋" w:hAnsi="仿宋" w:eastAsia="仿宋"/>
          <w:b w:val="0"/>
        </w:rPr>
        <w:t>一</w:t>
      </w:r>
      <w:r>
        <w:rPr>
          <w:rStyle w:val="30"/>
          <w:rFonts w:hint="eastAsia" w:ascii="仿宋" w:hAnsi="仿宋" w:eastAsia="仿宋"/>
          <w:b w:val="0"/>
          <w:bCs w:val="0"/>
        </w:rPr>
        <w:t>般公共预算财政拨款支出决算表</w:t>
      </w:r>
      <w:bookmarkEnd w:id="88"/>
      <w:bookmarkEnd w:id="89"/>
    </w:p>
    <w:p>
      <w:pPr>
        <w:pStyle w:val="6"/>
        <w:rPr>
          <w:rFonts w:ascii="仿宋" w:hAnsi="仿宋" w:eastAsia="仿宋"/>
        </w:rPr>
      </w:pPr>
      <w:bookmarkStart w:id="90" w:name="_Toc19412"/>
      <w:bookmarkStart w:id="91" w:name="_Toc15396625"/>
      <w:r>
        <w:rPr>
          <w:rStyle w:val="30"/>
          <w:rFonts w:hint="eastAsia" w:ascii="仿宋" w:hAnsi="仿宋" w:eastAsia="仿宋"/>
          <w:b w:val="0"/>
          <w:bCs w:val="0"/>
        </w:rPr>
        <w:t>七、</w:t>
      </w:r>
      <w:r>
        <w:rPr>
          <w:rFonts w:hint="eastAsia" w:ascii="仿宋" w:hAnsi="仿宋" w:eastAsia="仿宋"/>
          <w:b w:val="0"/>
        </w:rPr>
        <w:t>一</w:t>
      </w:r>
      <w:r>
        <w:rPr>
          <w:rStyle w:val="30"/>
          <w:rFonts w:hint="eastAsia" w:ascii="仿宋" w:hAnsi="仿宋" w:eastAsia="仿宋"/>
          <w:b w:val="0"/>
          <w:bCs w:val="0"/>
        </w:rPr>
        <w:t>般公共预算财政拨款支出决算明细表</w:t>
      </w:r>
      <w:bookmarkEnd w:id="90"/>
      <w:bookmarkEnd w:id="91"/>
    </w:p>
    <w:p>
      <w:pPr>
        <w:pStyle w:val="6"/>
        <w:rPr>
          <w:rFonts w:ascii="仿宋" w:hAnsi="仿宋" w:eastAsia="仿宋"/>
        </w:rPr>
      </w:pPr>
      <w:bookmarkStart w:id="92" w:name="_Toc24352"/>
      <w:bookmarkStart w:id="93" w:name="_Toc15396626"/>
      <w:r>
        <w:rPr>
          <w:rStyle w:val="30"/>
          <w:rFonts w:hint="eastAsia" w:ascii="仿宋" w:hAnsi="仿宋" w:eastAsia="仿宋"/>
          <w:b w:val="0"/>
          <w:bCs w:val="0"/>
        </w:rPr>
        <w:t>八、</w:t>
      </w:r>
      <w:r>
        <w:rPr>
          <w:rFonts w:hint="eastAsia" w:ascii="仿宋" w:hAnsi="仿宋" w:eastAsia="仿宋"/>
          <w:b w:val="0"/>
        </w:rPr>
        <w:t>一</w:t>
      </w:r>
      <w:r>
        <w:rPr>
          <w:rStyle w:val="30"/>
          <w:rFonts w:hint="eastAsia" w:ascii="仿宋" w:hAnsi="仿宋" w:eastAsia="仿宋"/>
          <w:b w:val="0"/>
          <w:bCs w:val="0"/>
        </w:rPr>
        <w:t>般公共预算财政拨款基本支出决算表</w:t>
      </w:r>
      <w:bookmarkEnd w:id="92"/>
      <w:bookmarkEnd w:id="93"/>
    </w:p>
    <w:p>
      <w:pPr>
        <w:pStyle w:val="6"/>
        <w:rPr>
          <w:rFonts w:ascii="仿宋" w:hAnsi="仿宋" w:eastAsia="仿宋"/>
        </w:rPr>
      </w:pPr>
      <w:bookmarkStart w:id="94" w:name="_Toc11283"/>
      <w:bookmarkStart w:id="95" w:name="_Toc15396627"/>
      <w:r>
        <w:rPr>
          <w:rStyle w:val="30"/>
          <w:rFonts w:hint="eastAsia" w:ascii="仿宋" w:hAnsi="仿宋" w:eastAsia="仿宋"/>
          <w:b w:val="0"/>
          <w:bCs w:val="0"/>
        </w:rPr>
        <w:t>九、</w:t>
      </w:r>
      <w:r>
        <w:rPr>
          <w:rFonts w:hint="eastAsia" w:ascii="仿宋" w:hAnsi="仿宋" w:eastAsia="仿宋"/>
          <w:b w:val="0"/>
        </w:rPr>
        <w:t>一</w:t>
      </w:r>
      <w:r>
        <w:rPr>
          <w:rStyle w:val="30"/>
          <w:rFonts w:hint="eastAsia" w:ascii="仿宋" w:hAnsi="仿宋" w:eastAsia="仿宋"/>
          <w:b w:val="0"/>
          <w:bCs w:val="0"/>
        </w:rPr>
        <w:t>般公共预算财政拨款项目支出决算表</w:t>
      </w:r>
      <w:bookmarkEnd w:id="94"/>
      <w:bookmarkEnd w:id="95"/>
    </w:p>
    <w:p>
      <w:pPr>
        <w:pStyle w:val="6"/>
        <w:rPr>
          <w:rFonts w:ascii="仿宋" w:hAnsi="仿宋" w:eastAsia="仿宋"/>
        </w:rPr>
      </w:pPr>
      <w:bookmarkStart w:id="96" w:name="_Toc15396628"/>
      <w:bookmarkStart w:id="97" w:name="_Toc20966"/>
      <w:r>
        <w:rPr>
          <w:rStyle w:val="30"/>
          <w:rFonts w:hint="eastAsia" w:ascii="仿宋" w:hAnsi="仿宋" w:eastAsia="仿宋"/>
          <w:b w:val="0"/>
          <w:bCs w:val="0"/>
        </w:rPr>
        <w:t>十、</w:t>
      </w:r>
      <w:bookmarkEnd w:id="96"/>
      <w:r>
        <w:rPr>
          <w:rFonts w:hint="eastAsia" w:ascii="仿宋" w:hAnsi="仿宋" w:eastAsia="仿宋"/>
          <w:b w:val="0"/>
        </w:rPr>
        <w:t>政</w:t>
      </w:r>
      <w:r>
        <w:rPr>
          <w:rStyle w:val="30"/>
          <w:rFonts w:hint="eastAsia" w:ascii="仿宋" w:hAnsi="仿宋" w:eastAsia="仿宋"/>
          <w:b w:val="0"/>
          <w:bCs w:val="0"/>
        </w:rPr>
        <w:t>府性基金预算财政拨款收入支出决算表</w:t>
      </w:r>
      <w:bookmarkEnd w:id="97"/>
    </w:p>
    <w:p>
      <w:pPr>
        <w:pStyle w:val="6"/>
        <w:rPr>
          <w:rFonts w:ascii="仿宋" w:hAnsi="仿宋" w:eastAsia="仿宋"/>
        </w:rPr>
      </w:pPr>
      <w:bookmarkStart w:id="98" w:name="_Toc15396629"/>
      <w:bookmarkStart w:id="99" w:name="_Toc5848"/>
      <w:r>
        <w:rPr>
          <w:rStyle w:val="30"/>
          <w:rFonts w:hint="eastAsia" w:ascii="仿宋" w:hAnsi="仿宋" w:eastAsia="仿宋"/>
          <w:b w:val="0"/>
          <w:bCs w:val="0"/>
        </w:rPr>
        <w:t>十一、</w:t>
      </w:r>
      <w:bookmarkEnd w:id="98"/>
      <w:r>
        <w:rPr>
          <w:rFonts w:hint="eastAsia" w:ascii="仿宋" w:hAnsi="仿宋" w:eastAsia="仿宋"/>
          <w:b w:val="0"/>
        </w:rPr>
        <w:t>国</w:t>
      </w:r>
      <w:r>
        <w:rPr>
          <w:rStyle w:val="30"/>
          <w:rFonts w:hint="eastAsia" w:ascii="仿宋" w:hAnsi="仿宋" w:eastAsia="仿宋"/>
          <w:b w:val="0"/>
          <w:bCs w:val="0"/>
        </w:rPr>
        <w:t>有资本经营预算财政拨款收入支出决算表</w:t>
      </w:r>
      <w:bookmarkEnd w:id="99"/>
    </w:p>
    <w:p>
      <w:pPr>
        <w:pStyle w:val="6"/>
        <w:rPr>
          <w:rFonts w:ascii="仿宋" w:hAnsi="仿宋" w:eastAsia="仿宋"/>
        </w:rPr>
      </w:pPr>
      <w:bookmarkStart w:id="100" w:name="_Toc15396630"/>
      <w:bookmarkStart w:id="101" w:name="_Toc20337"/>
      <w:r>
        <w:rPr>
          <w:rStyle w:val="30"/>
          <w:rFonts w:hint="eastAsia" w:ascii="仿宋" w:hAnsi="仿宋" w:eastAsia="仿宋"/>
          <w:b w:val="0"/>
          <w:bCs w:val="0"/>
        </w:rPr>
        <w:t>十二、</w:t>
      </w:r>
      <w:bookmarkEnd w:id="100"/>
      <w:r>
        <w:rPr>
          <w:rStyle w:val="30"/>
          <w:rFonts w:hint="eastAsia" w:ascii="仿宋" w:hAnsi="仿宋" w:eastAsia="仿宋"/>
          <w:b w:val="0"/>
          <w:bCs w:val="0"/>
        </w:rPr>
        <w:t>国有资本经营预算财政拨款支出决算表</w:t>
      </w:r>
      <w:bookmarkEnd w:id="101"/>
    </w:p>
    <w:p>
      <w:pPr>
        <w:pStyle w:val="6"/>
        <w:rPr>
          <w:rStyle w:val="30"/>
          <w:rFonts w:hint="eastAsia" w:ascii="仿宋" w:hAnsi="仿宋" w:eastAsia="仿宋"/>
          <w:b w:val="0"/>
          <w:bCs w:val="0"/>
        </w:rPr>
      </w:pPr>
      <w:bookmarkStart w:id="102" w:name="_Toc15396631"/>
      <w:bookmarkStart w:id="103" w:name="_Toc20297"/>
      <w:r>
        <w:rPr>
          <w:rStyle w:val="30"/>
          <w:rFonts w:hint="eastAsia" w:ascii="仿宋" w:hAnsi="仿宋" w:eastAsia="仿宋"/>
          <w:b w:val="0"/>
          <w:bCs w:val="0"/>
        </w:rPr>
        <w:t>十三、</w:t>
      </w:r>
      <w:bookmarkEnd w:id="102"/>
      <w:r>
        <w:rPr>
          <w:rStyle w:val="30"/>
          <w:rFonts w:hint="eastAsia" w:ascii="仿宋" w:hAnsi="仿宋" w:eastAsia="仿宋"/>
          <w:b w:val="0"/>
          <w:bCs w:val="0"/>
        </w:rPr>
        <w:t>财政拨款“三公”经费支出决算表</w:t>
      </w:r>
      <w:bookmarkEnd w:id="103"/>
    </w:p>
    <w:p>
      <w:r>
        <w:rPr>
          <w:rStyle w:val="37"/>
          <w:rFonts w:hint="eastAsia" w:ascii="仿宋" w:hAnsi="仿宋" w:eastAsia="仿宋"/>
          <w:b w:val="0"/>
          <w:bCs w:val="0"/>
          <w:color w:val="auto"/>
          <w:highlight w:val="none"/>
          <w:lang w:eastAsia="zh-CN"/>
        </w:rPr>
        <w:t>注：以上附表详见《</w:t>
      </w:r>
      <w:r>
        <w:rPr>
          <w:rStyle w:val="38"/>
          <w:rFonts w:hint="eastAsia" w:ascii="仿宋" w:hAnsi="仿宋" w:eastAsia="仿宋" w:cs="仿宋"/>
          <w:b w:val="0"/>
          <w:bCs/>
          <w:color w:val="auto"/>
          <w:sz w:val="32"/>
          <w:szCs w:val="32"/>
          <w:highlight w:val="none"/>
          <w:lang w:eastAsia="zh-CN"/>
        </w:rPr>
        <w:t>五通桥区档案馆</w:t>
      </w:r>
      <w:r>
        <w:rPr>
          <w:rStyle w:val="37"/>
          <w:rFonts w:hint="eastAsia" w:ascii="仿宋" w:hAnsi="仿宋" w:eastAsia="仿宋"/>
          <w:b w:val="0"/>
          <w:bCs w:val="0"/>
          <w:color w:val="auto"/>
          <w:highlight w:val="none"/>
          <w:lang w:eastAsia="zh-CN"/>
        </w:rPr>
        <w:t>20</w:t>
      </w:r>
      <w:r>
        <w:rPr>
          <w:rStyle w:val="37"/>
          <w:rFonts w:hint="eastAsia" w:ascii="仿宋" w:hAnsi="仿宋" w:eastAsia="仿宋"/>
          <w:b w:val="0"/>
          <w:bCs w:val="0"/>
          <w:color w:val="auto"/>
          <w:highlight w:val="none"/>
          <w:lang w:val="en-US" w:eastAsia="zh-CN"/>
        </w:rPr>
        <w:t>23</w:t>
      </w:r>
      <w:r>
        <w:rPr>
          <w:rStyle w:val="37"/>
          <w:rFonts w:hint="eastAsia" w:ascii="仿宋" w:hAnsi="仿宋" w:eastAsia="仿宋"/>
          <w:b w:val="0"/>
          <w:bCs w:val="0"/>
          <w:color w:val="auto"/>
          <w:highlight w:val="none"/>
          <w:lang w:eastAsia="zh-CN"/>
        </w:rPr>
        <w:t>年单位决算公开表》</w:t>
      </w:r>
    </w:p>
    <w:sectPr>
      <w:pgSz w:w="11906" w:h="16838"/>
      <w:pgMar w:top="1440" w:right="1800" w:bottom="1440" w:left="1800" w:header="851" w:footer="992" w:gutter="0"/>
      <w:pgNumType w:fmt="decimal"/>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994781956"/>
                          </w:sdtPr>
                          <w:sdtContent>
                            <w:p>
                              <w:pPr>
                                <w:pStyle w:val="10"/>
                                <w:jc w:val="center"/>
                              </w:pPr>
                              <w:r>
                                <w:fldChar w:fldCharType="begin"/>
                              </w:r>
                              <w:r>
                                <w:instrText xml:space="preserve">PAGE   \* MERGEFORMAT</w:instrText>
                              </w:r>
                              <w:r>
                                <w:fldChar w:fldCharType="separate"/>
                              </w:r>
                              <w:r>
                                <w:rPr>
                                  <w:lang w:val="zh-CN"/>
                                </w:rPr>
                                <w:t>15</w:t>
                              </w:r>
                              <w:r>
                                <w:fldChar w:fldCharType="end"/>
                              </w:r>
                            </w:p>
                          </w:sdtContent>
                        </w:sdt>
                        <w:p>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994781956"/>
                    </w:sdtPr>
                    <w:sdtContent>
                      <w:p>
                        <w:pPr>
                          <w:pStyle w:val="10"/>
                          <w:jc w:val="center"/>
                        </w:pPr>
                        <w:r>
                          <w:fldChar w:fldCharType="begin"/>
                        </w:r>
                        <w:r>
                          <w:instrText xml:space="preserve">PAGE   \* MERGEFORMAT</w:instrText>
                        </w:r>
                        <w:r>
                          <w:fldChar w:fldCharType="separate"/>
                        </w:r>
                        <w:r>
                          <w:rPr>
                            <w:lang w:val="zh-CN"/>
                          </w:rPr>
                          <w:t>15</w:t>
                        </w:r>
                        <w:r>
                          <w:fldChar w:fldCharType="end"/>
                        </w:r>
                      </w:p>
                    </w:sdtContent>
                  </w:sdt>
                  <w:p>
                    <w:pPr>
                      <w:pStyle w:val="13"/>
                    </w:pPr>
                  </w:p>
                </w:txbxContent>
              </v:textbox>
            </v:shape>
          </w:pict>
        </mc:Fallback>
      </mc:AlternateContent>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D04026F4"/>
    <w:multiLevelType w:val="singleLevel"/>
    <w:tmpl w:val="D04026F4"/>
    <w:lvl w:ilvl="0" w:tentative="0">
      <w:start w:val="1"/>
      <w:numFmt w:val="decimal"/>
      <w:lvlText w:val="%1."/>
      <w:lvlJc w:val="left"/>
      <w:pPr>
        <w:tabs>
          <w:tab w:val="left" w:pos="312"/>
        </w:tabs>
      </w:pPr>
    </w:lvl>
  </w:abstractNum>
  <w:abstractNum w:abstractNumId="2">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3818A09A"/>
    <w:multiLevelType w:val="singleLevel"/>
    <w:tmpl w:val="3818A09A"/>
    <w:lvl w:ilvl="0" w:tentative="0">
      <w:start w:val="1"/>
      <w:numFmt w:val="chineseCounting"/>
      <w:suff w:val="nothing"/>
      <w:lvlText w:val="%1、"/>
      <w:lvlJc w:val="left"/>
      <w:rPr>
        <w:rFonts w:hint="eastAsia"/>
      </w:rPr>
    </w:lvl>
  </w:abstractNum>
  <w:abstractNum w:abstractNumId="5">
    <w:nsid w:val="434F7B04"/>
    <w:multiLevelType w:val="multilevel"/>
    <w:tmpl w:val="434F7B04"/>
    <w:lvl w:ilvl="0" w:tentative="0">
      <w:start w:val="1"/>
      <w:numFmt w:val="chineseCountingThousand"/>
      <w:pStyle w:val="39"/>
      <w:suff w:val="nothing"/>
      <w:lvlText w:val="（%1）"/>
      <w:lvlJc w:val="left"/>
      <w:pPr>
        <w:ind w:left="0" w:firstLine="63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kY2FlMGQyNDEzM2Q3ODNlYmRhZTM0YmMzNGFlY2M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21127C6"/>
    <w:rsid w:val="03DC2831"/>
    <w:rsid w:val="081B5E94"/>
    <w:rsid w:val="082563B7"/>
    <w:rsid w:val="0A2032A3"/>
    <w:rsid w:val="0B8A37D8"/>
    <w:rsid w:val="0C3D5B15"/>
    <w:rsid w:val="0F5FFB2F"/>
    <w:rsid w:val="0FFFCF60"/>
    <w:rsid w:val="107825E7"/>
    <w:rsid w:val="10C055FF"/>
    <w:rsid w:val="118107EC"/>
    <w:rsid w:val="11CE177A"/>
    <w:rsid w:val="11DD6519"/>
    <w:rsid w:val="12A25A36"/>
    <w:rsid w:val="12DD4691"/>
    <w:rsid w:val="14EC229F"/>
    <w:rsid w:val="16BB723D"/>
    <w:rsid w:val="18015F3F"/>
    <w:rsid w:val="19FE59F1"/>
    <w:rsid w:val="1BE8440E"/>
    <w:rsid w:val="1D155CEE"/>
    <w:rsid w:val="1FDBBF84"/>
    <w:rsid w:val="20F57F95"/>
    <w:rsid w:val="240371BF"/>
    <w:rsid w:val="246464A4"/>
    <w:rsid w:val="25711CC6"/>
    <w:rsid w:val="25C741E6"/>
    <w:rsid w:val="276F80C0"/>
    <w:rsid w:val="27842671"/>
    <w:rsid w:val="29445AC2"/>
    <w:rsid w:val="29FD04D3"/>
    <w:rsid w:val="2ABE7A3E"/>
    <w:rsid w:val="2AFF09B6"/>
    <w:rsid w:val="2CA234A8"/>
    <w:rsid w:val="2EFA178C"/>
    <w:rsid w:val="2EFDF86C"/>
    <w:rsid w:val="2F9D17E1"/>
    <w:rsid w:val="30357A24"/>
    <w:rsid w:val="30B46D73"/>
    <w:rsid w:val="319F7F4E"/>
    <w:rsid w:val="345D2848"/>
    <w:rsid w:val="34D13DB9"/>
    <w:rsid w:val="356A28F1"/>
    <w:rsid w:val="357C035A"/>
    <w:rsid w:val="368E000D"/>
    <w:rsid w:val="383D272C"/>
    <w:rsid w:val="38A464F9"/>
    <w:rsid w:val="39AE70AB"/>
    <w:rsid w:val="3A4DCE41"/>
    <w:rsid w:val="3BCB56FA"/>
    <w:rsid w:val="3C0C0783"/>
    <w:rsid w:val="3EE01818"/>
    <w:rsid w:val="3EE7C2F4"/>
    <w:rsid w:val="3F371B56"/>
    <w:rsid w:val="3F792ED8"/>
    <w:rsid w:val="3F9F3A96"/>
    <w:rsid w:val="3FD66AFE"/>
    <w:rsid w:val="3FECA4B2"/>
    <w:rsid w:val="3FF58C48"/>
    <w:rsid w:val="415C14CF"/>
    <w:rsid w:val="42FF6694"/>
    <w:rsid w:val="48BF60AB"/>
    <w:rsid w:val="493C27E9"/>
    <w:rsid w:val="496F39ED"/>
    <w:rsid w:val="49FF41D3"/>
    <w:rsid w:val="4BE068DB"/>
    <w:rsid w:val="4BF6002B"/>
    <w:rsid w:val="4BFFC6BE"/>
    <w:rsid w:val="4ECE2238"/>
    <w:rsid w:val="501C0E6E"/>
    <w:rsid w:val="510C6D30"/>
    <w:rsid w:val="51DB4B86"/>
    <w:rsid w:val="51F64DB0"/>
    <w:rsid w:val="529C2699"/>
    <w:rsid w:val="55333C3E"/>
    <w:rsid w:val="55BA1E53"/>
    <w:rsid w:val="575F7FC3"/>
    <w:rsid w:val="5F67802D"/>
    <w:rsid w:val="5F7DC4F2"/>
    <w:rsid w:val="5FB36814"/>
    <w:rsid w:val="5FBB8E56"/>
    <w:rsid w:val="5FF92476"/>
    <w:rsid w:val="5FFB5535"/>
    <w:rsid w:val="642F00A4"/>
    <w:rsid w:val="64CA39A1"/>
    <w:rsid w:val="6946316D"/>
    <w:rsid w:val="69630ADE"/>
    <w:rsid w:val="69BD5F13"/>
    <w:rsid w:val="69FB0B4B"/>
    <w:rsid w:val="6BFFE1FB"/>
    <w:rsid w:val="6C4A05C8"/>
    <w:rsid w:val="6CD36D8E"/>
    <w:rsid w:val="6D3B1A89"/>
    <w:rsid w:val="6DB7D8A3"/>
    <w:rsid w:val="6E7B63EF"/>
    <w:rsid w:val="6EC78701"/>
    <w:rsid w:val="6F7A5481"/>
    <w:rsid w:val="6FFE07A9"/>
    <w:rsid w:val="7154371B"/>
    <w:rsid w:val="71BF4EC2"/>
    <w:rsid w:val="72734D90"/>
    <w:rsid w:val="73CE265F"/>
    <w:rsid w:val="73E75B71"/>
    <w:rsid w:val="7412278C"/>
    <w:rsid w:val="758F6E2D"/>
    <w:rsid w:val="75DDCDA9"/>
    <w:rsid w:val="75FF44B1"/>
    <w:rsid w:val="77670518"/>
    <w:rsid w:val="777FA627"/>
    <w:rsid w:val="77DF1B5F"/>
    <w:rsid w:val="77EF2D9D"/>
    <w:rsid w:val="79E7B28D"/>
    <w:rsid w:val="7ACFF0C2"/>
    <w:rsid w:val="7AFB9108"/>
    <w:rsid w:val="7BD5340C"/>
    <w:rsid w:val="7BFB19D2"/>
    <w:rsid w:val="7BFD1750"/>
    <w:rsid w:val="7BFDAA1B"/>
    <w:rsid w:val="7CDF9A82"/>
    <w:rsid w:val="7CFFA1BD"/>
    <w:rsid w:val="7D2E3F7A"/>
    <w:rsid w:val="7DED9490"/>
    <w:rsid w:val="7DFF4872"/>
    <w:rsid w:val="7E7487E6"/>
    <w:rsid w:val="7E7C2A54"/>
    <w:rsid w:val="7EEEFD72"/>
    <w:rsid w:val="7F1D517C"/>
    <w:rsid w:val="7F2705A8"/>
    <w:rsid w:val="7F5DA057"/>
    <w:rsid w:val="7F6C2237"/>
    <w:rsid w:val="7F7F319B"/>
    <w:rsid w:val="7F9F20EE"/>
    <w:rsid w:val="7FBBE890"/>
    <w:rsid w:val="7FBC2ABD"/>
    <w:rsid w:val="7FBF5D48"/>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38"/>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3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style>
  <w:style w:type="paragraph" w:styleId="3">
    <w:name w:val="Body Text Indent"/>
    <w:basedOn w:val="1"/>
    <w:next w:val="2"/>
    <w:qFormat/>
    <w:uiPriority w:val="0"/>
    <w:pPr>
      <w:spacing w:after="120"/>
      <w:ind w:left="200" w:leftChars="200"/>
    </w:pPr>
    <w:rPr>
      <w:rFonts w:ascii="仿宋_GB2312"/>
      <w:szCs w:val="32"/>
    </w:rPr>
  </w:style>
  <w:style w:type="paragraph" w:styleId="4">
    <w:name w:val="Body Text"/>
    <w:basedOn w:val="1"/>
    <w:link w:val="26"/>
    <w:qFormat/>
    <w:uiPriority w:val="99"/>
    <w:pPr>
      <w:spacing w:beforeLines="30"/>
    </w:pPr>
    <w:rPr>
      <w:rFonts w:ascii="仿宋_GB2312" w:eastAsia="仿宋_GB2312"/>
      <w:kern w:val="0"/>
      <w:sz w:val="30"/>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2"/>
    <w:semiHidden/>
    <w:unhideWhenUsed/>
    <w:qFormat/>
    <w:uiPriority w:val="99"/>
    <w:rPr>
      <w:sz w:val="18"/>
      <w:szCs w:val="18"/>
    </w:rPr>
  </w:style>
  <w:style w:type="paragraph" w:styleId="10">
    <w:name w:val="footer"/>
    <w:basedOn w:val="1"/>
    <w:link w:val="24"/>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2"/>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footnote text"/>
    <w:basedOn w:val="1"/>
    <w:next w:val="2"/>
    <w:semiHidden/>
    <w:qFormat/>
    <w:uiPriority w:val="0"/>
    <w:pPr>
      <w:snapToGrid w:val="0"/>
      <w:jc w:val="left"/>
    </w:pPr>
    <w:rPr>
      <w:sz w:val="18"/>
      <w:szCs w:val="18"/>
    </w:rPr>
  </w:style>
  <w:style w:type="paragraph" w:styleId="14">
    <w:name w:val="toc 2"/>
    <w:basedOn w:val="1"/>
    <w:next w:val="1"/>
    <w:unhideWhenUsed/>
    <w:qFormat/>
    <w:uiPriority w:val="39"/>
    <w:pPr>
      <w:tabs>
        <w:tab w:val="right" w:leader="dot" w:pos="8296"/>
      </w:tabs>
      <w:ind w:left="420" w:leftChars="200"/>
    </w:pPr>
  </w:style>
  <w:style w:type="paragraph" w:styleId="15">
    <w:name w:val="Normal (Web)"/>
    <w:basedOn w:val="1"/>
    <w:unhideWhenUsed/>
    <w:qFormat/>
    <w:uiPriority w:val="99"/>
    <w:rPr>
      <w:sz w:val="24"/>
    </w:rPr>
  </w:style>
  <w:style w:type="character" w:styleId="18">
    <w:name w:val="Strong"/>
    <w:basedOn w:val="17"/>
    <w:qFormat/>
    <w:uiPriority w:val="99"/>
    <w:rPr>
      <w:b/>
    </w:rPr>
  </w:style>
  <w:style w:type="character" w:styleId="19">
    <w:name w:val="Hyperlink"/>
    <w:basedOn w:val="17"/>
    <w:unhideWhenUsed/>
    <w:qFormat/>
    <w:uiPriority w:val="99"/>
    <w:rPr>
      <w:color w:val="0000FF" w:themeColor="hyperlink"/>
      <w:u w:val="single"/>
      <w14:textFill>
        <w14:solidFill>
          <w14:schemeClr w14:val="hlink"/>
        </w14:solidFill>
      </w14:textFill>
    </w:rPr>
  </w:style>
  <w:style w:type="paragraph" w:customStyle="1" w:styleId="20">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21">
    <w:name w:val="Header Char"/>
    <w:basedOn w:val="17"/>
    <w:semiHidden/>
    <w:qFormat/>
    <w:uiPriority w:val="99"/>
    <w:rPr>
      <w:rFonts w:ascii="Times New Roman" w:hAnsi="Times New Roman"/>
      <w:sz w:val="18"/>
      <w:szCs w:val="18"/>
    </w:rPr>
  </w:style>
  <w:style w:type="character" w:customStyle="1" w:styleId="22">
    <w:name w:val="页眉 字符"/>
    <w:link w:val="11"/>
    <w:semiHidden/>
    <w:qFormat/>
    <w:locked/>
    <w:uiPriority w:val="99"/>
    <w:rPr>
      <w:sz w:val="18"/>
    </w:rPr>
  </w:style>
  <w:style w:type="character" w:customStyle="1" w:styleId="23">
    <w:name w:val="Footer Char"/>
    <w:basedOn w:val="17"/>
    <w:semiHidden/>
    <w:qFormat/>
    <w:uiPriority w:val="99"/>
    <w:rPr>
      <w:rFonts w:ascii="Times New Roman" w:hAnsi="Times New Roman"/>
      <w:sz w:val="18"/>
      <w:szCs w:val="18"/>
    </w:rPr>
  </w:style>
  <w:style w:type="character" w:customStyle="1" w:styleId="24">
    <w:name w:val="页脚 字符"/>
    <w:link w:val="10"/>
    <w:qFormat/>
    <w:locked/>
    <w:uiPriority w:val="99"/>
    <w:rPr>
      <w:sz w:val="18"/>
    </w:rPr>
  </w:style>
  <w:style w:type="character" w:customStyle="1" w:styleId="25">
    <w:name w:val="Body Text Char"/>
    <w:basedOn w:val="17"/>
    <w:semiHidden/>
    <w:qFormat/>
    <w:uiPriority w:val="99"/>
    <w:rPr>
      <w:rFonts w:ascii="Times New Roman" w:hAnsi="Times New Roman"/>
      <w:szCs w:val="24"/>
    </w:rPr>
  </w:style>
  <w:style w:type="character" w:customStyle="1" w:styleId="26">
    <w:name w:val="正文文本 字符"/>
    <w:link w:val="4"/>
    <w:qFormat/>
    <w:locked/>
    <w:uiPriority w:val="99"/>
    <w:rPr>
      <w:rFonts w:ascii="仿宋_GB2312" w:hAnsi="Times New Roman" w:eastAsia="仿宋_GB2312"/>
      <w:sz w:val="24"/>
    </w:rPr>
  </w:style>
  <w:style w:type="paragraph" w:customStyle="1" w:styleId="27">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8">
    <w:name w:val="List Paragraph"/>
    <w:basedOn w:val="1"/>
    <w:qFormat/>
    <w:uiPriority w:val="34"/>
    <w:pPr>
      <w:ind w:firstLine="420" w:firstLineChars="200"/>
    </w:pPr>
  </w:style>
  <w:style w:type="character" w:customStyle="1" w:styleId="29">
    <w:name w:val="标题 1 字符"/>
    <w:basedOn w:val="17"/>
    <w:link w:val="5"/>
    <w:qFormat/>
    <w:uiPriority w:val="9"/>
    <w:rPr>
      <w:rFonts w:ascii="Times New Roman" w:hAnsi="Times New Roman"/>
      <w:b/>
      <w:bCs/>
      <w:kern w:val="44"/>
      <w:sz w:val="44"/>
      <w:szCs w:val="44"/>
    </w:rPr>
  </w:style>
  <w:style w:type="character" w:customStyle="1" w:styleId="30">
    <w:name w:val="标题 2 字符"/>
    <w:basedOn w:val="17"/>
    <w:link w:val="6"/>
    <w:qFormat/>
    <w:uiPriority w:val="9"/>
    <w:rPr>
      <w:rFonts w:asciiTheme="majorHAnsi" w:hAnsiTheme="majorHAnsi" w:eastAsiaTheme="majorEastAsia" w:cstheme="majorBidi"/>
      <w:b/>
      <w:bCs/>
      <w:kern w:val="2"/>
      <w:sz w:val="32"/>
      <w:szCs w:val="32"/>
    </w:rPr>
  </w:style>
  <w:style w:type="paragraph" w:customStyle="1" w:styleId="31">
    <w:name w:val="TOC 标题1"/>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2">
    <w:name w:val="批注框文本 字符"/>
    <w:basedOn w:val="17"/>
    <w:link w:val="9"/>
    <w:semiHidden/>
    <w:qFormat/>
    <w:uiPriority w:val="99"/>
    <w:rPr>
      <w:rFonts w:ascii="Times New Roman" w:hAnsi="Times New Roman"/>
      <w:kern w:val="2"/>
      <w:sz w:val="18"/>
      <w:szCs w:val="18"/>
    </w:rPr>
  </w:style>
  <w:style w:type="character" w:customStyle="1" w:styleId="33">
    <w:name w:val="标题 3 字符"/>
    <w:basedOn w:val="17"/>
    <w:link w:val="7"/>
    <w:qFormat/>
    <w:uiPriority w:val="9"/>
    <w:rPr>
      <w:rFonts w:ascii="Times New Roman" w:hAnsi="Times New Roman"/>
      <w:b/>
      <w:bCs/>
      <w:kern w:val="2"/>
      <w:sz w:val="32"/>
      <w:szCs w:val="32"/>
    </w:rPr>
  </w:style>
  <w:style w:type="paragraph" w:customStyle="1" w:styleId="34">
    <w:name w:val="TOC 标题2"/>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5">
    <w:name w:val="WPSOffice手动目录 1"/>
    <w:uiPriority w:val="0"/>
    <w:pPr>
      <w:ind w:leftChars="0"/>
    </w:pPr>
    <w:rPr>
      <w:rFonts w:asciiTheme="minorHAnsi" w:hAnsiTheme="minorHAnsi" w:eastAsiaTheme="minorEastAsia" w:cstheme="minorBidi"/>
      <w:sz w:val="20"/>
      <w:szCs w:val="20"/>
    </w:rPr>
  </w:style>
  <w:style w:type="paragraph" w:customStyle="1" w:styleId="36">
    <w:name w:val="WPSOffice手动目录 2"/>
    <w:uiPriority w:val="0"/>
    <w:pPr>
      <w:ind w:leftChars="200"/>
    </w:pPr>
    <w:rPr>
      <w:rFonts w:asciiTheme="minorHAnsi" w:hAnsiTheme="minorHAnsi" w:eastAsiaTheme="minorEastAsia" w:cstheme="minorBidi"/>
      <w:sz w:val="20"/>
      <w:szCs w:val="20"/>
    </w:rPr>
  </w:style>
  <w:style w:type="character" w:customStyle="1" w:styleId="37">
    <w:name w:val="标题 2 Char"/>
    <w:basedOn w:val="17"/>
    <w:link w:val="6"/>
    <w:qFormat/>
    <w:uiPriority w:val="9"/>
    <w:rPr>
      <w:rFonts w:ascii="Calibri Light" w:hAnsi="Calibri Light" w:eastAsia="宋体" w:cs="Times New Roman"/>
      <w:b/>
      <w:bCs/>
      <w:sz w:val="32"/>
      <w:szCs w:val="32"/>
    </w:rPr>
  </w:style>
  <w:style w:type="character" w:customStyle="1" w:styleId="38">
    <w:name w:val="标题 1 Char"/>
    <w:basedOn w:val="17"/>
    <w:link w:val="5"/>
    <w:qFormat/>
    <w:uiPriority w:val="9"/>
    <w:rPr>
      <w:b/>
      <w:bCs/>
      <w:kern w:val="44"/>
      <w:sz w:val="44"/>
      <w:szCs w:val="44"/>
    </w:rPr>
  </w:style>
  <w:style w:type="paragraph" w:customStyle="1" w:styleId="39">
    <w:name w:val="〖B02〗二级标题"/>
    <w:next w:val="1"/>
    <w:qFormat/>
    <w:uiPriority w:val="0"/>
    <w:pPr>
      <w:widowControl w:val="0"/>
      <w:numPr>
        <w:ilvl w:val="0"/>
        <w:numId w:val="1"/>
      </w:numPr>
      <w:spacing w:line="600" w:lineRule="exact"/>
      <w:outlineLvl w:val="1"/>
    </w:pPr>
    <w:rPr>
      <w:rFonts w:ascii="楷体_GB2312" w:hAnsi="Calibri" w:eastAsia="楷体_GB2312" w:cs="Times New Roman"/>
      <w:kern w:val="2"/>
      <w:sz w:val="32"/>
      <w:szCs w:val="21"/>
      <w:lang w:val="zh-CN"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22</Pages>
  <Words>6904</Words>
  <Characters>7663</Characters>
  <Lines>54</Lines>
  <Paragraphs>15</Paragraphs>
  <TotalTime>15</TotalTime>
  <ScaleCrop>false</ScaleCrop>
  <LinksUpToDate>false</LinksUpToDate>
  <CharactersWithSpaces>7929</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Administrator</cp:lastModifiedBy>
  <cp:lastPrinted>2024-10-23T03:16:00Z</cp:lastPrinted>
  <dcterms:modified xsi:type="dcterms:W3CDTF">2024-10-25T01:43:42Z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1F0C220A3F6942619ABEA3929B1676E0_12</vt:lpwstr>
  </property>
</Properties>
</file>