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9"/>
        <w:rPr>
          <w:rFonts w:hint="eastAsia" w:ascii="方正小标宋简体" w:hAnsi="方正小标宋简体" w:eastAsia="方正小标宋简体" w:cs="方正小标宋简体"/>
          <w:sz w:val="72"/>
          <w:szCs w:val="72"/>
        </w:rPr>
      </w:pPr>
      <w:bookmarkStart w:id="0" w:name="OLE_LINK16"/>
    </w:p>
    <w:p>
      <w:pPr>
        <w:adjustRightInd w:val="0"/>
        <w:snapToGrid w:val="0"/>
        <w:spacing w:line="360" w:lineRule="auto"/>
        <w:jc w:val="center"/>
        <w:outlineLvl w:val="9"/>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9"/>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25378"/>
      <w:bookmarkStart w:id="2" w:name="_Toc10850"/>
      <w:bookmarkStart w:id="3" w:name="_Toc28964"/>
      <w:bookmarkStart w:id="4" w:name="_Toc16483"/>
      <w:r>
        <w:rPr>
          <w:rFonts w:hint="eastAsia" w:ascii="方正小标宋简体" w:hAnsi="方正小标宋简体" w:eastAsia="方正小标宋简体" w:cs="方正小标宋简体"/>
          <w:sz w:val="72"/>
          <w:szCs w:val="72"/>
        </w:rPr>
        <w:t>2023年度</w:t>
      </w:r>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5" w:name="_Toc24759"/>
      <w:bookmarkStart w:id="6" w:name="_Toc12803"/>
      <w:bookmarkStart w:id="7" w:name="_Toc14901"/>
      <w:bookmarkStart w:id="8" w:name="_Toc19504"/>
      <w:r>
        <w:rPr>
          <w:rFonts w:hint="eastAsia" w:ascii="方正小标宋简体" w:hAnsi="方正小标宋简体" w:eastAsia="方正小标宋简体" w:cs="方正小标宋简体"/>
          <w:sz w:val="72"/>
          <w:szCs w:val="72"/>
        </w:rPr>
        <w:t>四川省乐山冠英新区开发建设管理委员会</w:t>
      </w:r>
      <w:r>
        <w:rPr>
          <w:rFonts w:hint="eastAsia" w:ascii="方正小标宋简体" w:hAnsi="方正小标宋简体" w:eastAsia="方正小标宋简体" w:cs="方正小标宋简体"/>
          <w:sz w:val="72"/>
          <w:szCs w:val="72"/>
          <w:lang w:eastAsia="zh-CN"/>
        </w:rPr>
        <w:t>部门</w:t>
      </w:r>
      <w:r>
        <w:rPr>
          <w:rFonts w:hint="eastAsia" w:ascii="方正小标宋简体" w:hAnsi="方正小标宋简体" w:eastAsia="方正小标宋简体" w:cs="方正小标宋简体"/>
          <w:sz w:val="72"/>
          <w:szCs w:val="72"/>
        </w:rPr>
        <w:t>决算</w:t>
      </w:r>
      <w:bookmarkEnd w:id="5"/>
      <w:bookmarkEnd w:id="6"/>
      <w:bookmarkEnd w:id="7"/>
      <w:bookmarkEnd w:id="8"/>
    </w:p>
    <w:p>
      <w:pPr>
        <w:adjustRightInd w:val="0"/>
        <w:snapToGrid w:val="0"/>
        <w:spacing w:line="360" w:lineRule="auto"/>
        <w:jc w:val="both"/>
        <w:outlineLvl w:val="9"/>
        <w:rPr>
          <w:rFonts w:hint="eastAsia" w:ascii="方正小标宋简体" w:hAnsi="方正小标宋简体" w:eastAsia="方正小标宋简体" w:cs="方正小标宋简体"/>
          <w:sz w:val="72"/>
          <w:szCs w:val="72"/>
        </w:rPr>
      </w:pPr>
    </w:p>
    <w:p>
      <w:pPr>
        <w:adjustRightInd w:val="0"/>
        <w:snapToGrid w:val="0"/>
        <w:spacing w:line="360" w:lineRule="auto"/>
        <w:jc w:val="both"/>
        <w:outlineLvl w:val="9"/>
        <w:rPr>
          <w:rFonts w:hint="eastAsia" w:ascii="方正小标宋简体" w:hAnsi="方正小标宋简体" w:eastAsia="方正小标宋简体" w:cs="方正小标宋简体"/>
          <w:sz w:val="72"/>
          <w:szCs w:val="72"/>
        </w:rPr>
      </w:pPr>
    </w:p>
    <w:p>
      <w:pPr>
        <w:adjustRightInd w:val="0"/>
        <w:snapToGrid w:val="0"/>
        <w:spacing w:line="360" w:lineRule="auto"/>
        <w:jc w:val="both"/>
        <w:outlineLvl w:val="9"/>
        <w:rPr>
          <w:rFonts w:hint="eastAsia" w:ascii="方正小标宋简体" w:hAnsi="方正小标宋简体" w:eastAsia="方正小标宋简体" w:cs="方正小标宋简体"/>
          <w:sz w:val="72"/>
          <w:szCs w:val="72"/>
        </w:rPr>
      </w:pPr>
    </w:p>
    <w:p>
      <w:pPr>
        <w:widowControl/>
        <w:jc w:val="center"/>
        <w:rPr>
          <w:rFonts w:hint="eastAsia" w:ascii="黑体" w:hAnsi="黑体" w:eastAsia="黑体"/>
          <w:sz w:val="48"/>
          <w:szCs w:val="48"/>
        </w:rPr>
      </w:pPr>
      <w:r>
        <w:rPr>
          <w:rFonts w:hint="eastAsia" w:ascii="黑体" w:hAnsi="黑体" w:eastAsia="黑体"/>
          <w:sz w:val="48"/>
          <w:szCs w:val="48"/>
        </w:rPr>
        <w:t>目录</w:t>
      </w:r>
    </w:p>
    <w:p>
      <w:pPr>
        <w:widowControl/>
        <w:jc w:val="center"/>
        <w:rPr>
          <w:rFonts w:hint="eastAsia" w:ascii="黑体" w:hAnsi="黑体" w:eastAsia="黑体"/>
          <w:sz w:val="48"/>
          <w:szCs w:val="48"/>
        </w:rPr>
      </w:pPr>
      <w:bookmarkStart w:id="173" w:name="_GoBack"/>
      <w:bookmarkEnd w:id="173"/>
    </w:p>
    <w:p>
      <w:pPr>
        <w:pStyle w:val="9"/>
        <w:tabs>
          <w:tab w:val="right" w:leader="dot" w:pos="829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公开时间：2024年10月25日</w:t>
      </w:r>
    </w:p>
    <w:sdt>
      <w:sdtPr>
        <w:rPr>
          <w:rFonts w:ascii="宋体" w:hAnsi="宋体" w:eastAsia="宋体" w:cstheme="minorBidi"/>
          <w:kern w:val="2"/>
          <w:sz w:val="21"/>
          <w:szCs w:val="24"/>
          <w:lang w:val="en-US" w:eastAsia="zh-CN" w:bidi="ar-SA"/>
        </w:rPr>
        <w:id w:val="147472930"/>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0"/>
            <w:tabs>
              <w:tab w:val="right" w:leader="dot" w:pos="8306"/>
            </w:tabs>
            <w:rPr>
              <w:rFonts w:hint="eastAsia" w:ascii="仿宋_GB2312" w:hAnsi="仿宋_GB2312" w:eastAsia="仿宋_GB2312" w:cs="仿宋_GB2312"/>
              <w:kern w:val="2"/>
              <w:sz w:val="32"/>
              <w:szCs w:val="32"/>
              <w:lang w:val="en-US" w:eastAsia="zh-CN" w:bidi="ar-SA"/>
            </w:rPr>
          </w:pPr>
          <w:r>
            <w:rPr>
              <w:b/>
            </w:rPr>
            <w:fldChar w:fldCharType="begin"/>
          </w:r>
          <w:r>
            <w:rPr>
              <w:b/>
            </w:rPr>
            <w:instrText xml:space="preserve">TOC \o "1-2" \h \u </w:instrText>
          </w:r>
          <w:r>
            <w:rPr>
              <w:b/>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_Toc19633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第一部分 部门概况</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_Toc19633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_Toc25449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一、部门职责</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_Toc25449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_Toc2724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二、机构设置</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_Toc2724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0"/>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_Toc31067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第二部分 2023年度部门决算情况说明</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_Toc31067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_Toc20040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一、收入支出决算总体情况说明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_Toc20040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_Toc25786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二、收入决算情况说明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_Toc25786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_Toc14703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三、支出决算情况说明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_Toc14703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_Toc21538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四、财政拨款收入支出决算总体情况说明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_Toc21538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_Toc23695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五、一般公共预算财政拨款支出决算情况说明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_Toc23695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_Toc32729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六、一般公共预算财政拨款基本支出决算情况说明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_Toc32729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_Toc17656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七、财政拨款“三公”经费支出决算情况说明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_Toc17656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_Toc31385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八、政府性基金预算支出决算情况说明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_Toc31385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_Toc21743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九、国有资本经营预算支出决算情况说明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_Toc21743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_Toc30126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十、其他重要事项的情况说明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_Toc30126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0"/>
            <w:tabs>
              <w:tab w:val="right" w:leader="dot" w:pos="8306"/>
            </w:tabs>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_Toc24537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第三部分 名词解释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_Toc24537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11</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20"/>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_Toc12123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第四部分 附件</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_Toc12123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14</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_Toc19210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附件1</w:t>
          </w:r>
          <w:bookmarkStart w:id="9" w:name="OLE_LINK1"/>
          <w:r>
            <w:rPr>
              <w:rFonts w:hint="eastAsia" w:ascii="仿宋" w:hAnsi="仿宋" w:eastAsia="仿宋" w:cs="仿宋"/>
              <w:bCs w:val="0"/>
              <w:sz w:val="28"/>
              <w:szCs w:val="28"/>
              <w:lang w:val="en-US" w:eastAsia="zh-CN"/>
            </w:rPr>
            <w:t>.</w:t>
          </w:r>
          <w:bookmarkEnd w:id="9"/>
          <w:r>
            <w:rPr>
              <w:rFonts w:hint="eastAsia" w:ascii="仿宋" w:hAnsi="仿宋" w:eastAsia="仿宋" w:cs="仿宋"/>
              <w:bCs w:val="0"/>
              <w:sz w:val="28"/>
              <w:szCs w:val="28"/>
              <w:lang w:val="en-US" w:eastAsia="zh-CN"/>
            </w:rPr>
            <w:t>2023年部门预算整体支出绩效自评报告</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_Toc19210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1"/>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_Toc4162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附件2</w:t>
          </w:r>
          <w:r>
            <w:rPr>
              <w:rFonts w:hint="eastAsia" w:ascii="仿宋" w:hAnsi="仿宋" w:eastAsia="仿宋" w:cs="仿宋"/>
              <w:bCs w:val="0"/>
              <w:sz w:val="28"/>
              <w:szCs w:val="28"/>
              <w:lang w:val="en-US" w:eastAsia="zh-CN"/>
            </w:rPr>
            <w:t>.</w:t>
          </w:r>
          <w:r>
            <w:rPr>
              <w:rFonts w:hint="eastAsia" w:ascii="仿宋" w:hAnsi="仿宋" w:eastAsia="仿宋" w:cs="仿宋"/>
              <w:bCs w:val="0"/>
              <w:sz w:val="28"/>
              <w:szCs w:val="28"/>
              <w:lang w:eastAsia="zh-CN"/>
            </w:rPr>
            <w:t>空港产业园物流园区基础设施项目专项债</w:t>
          </w:r>
          <w:r>
            <w:rPr>
              <w:rFonts w:hint="eastAsia" w:ascii="仿宋" w:hAnsi="仿宋" w:eastAsia="仿宋" w:cs="仿宋"/>
              <w:bCs w:val="0"/>
              <w:sz w:val="28"/>
              <w:szCs w:val="28"/>
              <w:lang w:val="en-US" w:eastAsia="zh-CN"/>
            </w:rPr>
            <w:t>2023年绩效评价报告</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_Toc4162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19</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20"/>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_Toc19606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第五部分 附表</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_Toc19606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22</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02" w:firstLineChars="200"/>
            <w:textAlignment w:val="auto"/>
            <w:rPr>
              <w:rFonts w:hint="default" w:ascii="仿宋" w:hAnsi="仿宋" w:eastAsia="仿宋" w:cs="仿宋"/>
              <w:bCs w:val="0"/>
              <w:sz w:val="28"/>
              <w:szCs w:val="28"/>
              <w:lang w:val="en-US" w:eastAsia="zh-CN"/>
            </w:rPr>
          </w:pPr>
          <w:r>
            <w:rPr>
              <w:b/>
            </w:rPr>
            <w:fldChar w:fldCharType="end"/>
          </w:r>
          <w:r>
            <w:rPr>
              <w:rFonts w:hint="eastAsia"/>
              <w:b/>
              <w:lang w:val="en-US" w:eastAsia="zh-CN"/>
            </w:rPr>
            <w:t xml:space="preserve">  </w:t>
          </w:r>
          <w:r>
            <w:rPr>
              <w:rFonts w:hint="eastAsia" w:ascii="仿宋" w:hAnsi="仿宋" w:eastAsia="仿宋" w:cs="仿宋"/>
              <w:bCs w:val="0"/>
              <w:sz w:val="28"/>
              <w:szCs w:val="28"/>
              <w:lang w:eastAsia="zh-CN"/>
            </w:rPr>
            <w:t>一、收入支出决算总表</w:t>
          </w:r>
          <w:bookmarkStart w:id="10" w:name="OLE_LINK3"/>
          <w:r>
            <w:rPr>
              <w:rFonts w:hint="eastAsia" w:ascii="仿宋" w:hAnsi="仿宋" w:eastAsia="仿宋" w:cs="仿宋"/>
              <w:bCs w:val="0"/>
              <w:sz w:val="28"/>
              <w:szCs w:val="28"/>
              <w:lang w:val="en-US" w:eastAsia="zh-CN"/>
            </w:rPr>
            <w:tab/>
          </w:r>
          <w:bookmarkEnd w:id="10"/>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Cs w:val="0"/>
              <w:sz w:val="28"/>
              <w:szCs w:val="28"/>
              <w:lang w:val="en-US" w:eastAsia="zh-CN"/>
            </w:rPr>
          </w:pPr>
          <w:r>
            <w:rPr>
              <w:rFonts w:hint="eastAsia" w:ascii="仿宋" w:hAnsi="仿宋" w:eastAsia="仿宋" w:cs="仿宋"/>
              <w:bCs w:val="0"/>
              <w:sz w:val="28"/>
              <w:szCs w:val="28"/>
              <w:lang w:eastAsia="zh-CN"/>
            </w:rPr>
            <w:t>二、收入决算表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三、支出决算表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四、财政拨款收入支出决算总表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五、财政拨款支出决算明细表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六、一般公共预算财政拨款支出决算表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七、一般公共预算财政拨款支出决算明细表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八、一般公共预算财政拨款基本支出决算表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九、一般公共预算财政拨款项目支出决算表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十、政府性基金预算财政拨款收入支出决算表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十一、国有资本经营预算财政拨款收入支出决算表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eastAsia="zh-CN"/>
            </w:rPr>
          </w:pPr>
          <w:r>
            <w:rPr>
              <w:rFonts w:hint="eastAsia" w:ascii="仿宋" w:hAnsi="仿宋" w:eastAsia="仿宋" w:cs="仿宋"/>
              <w:bCs w:val="0"/>
              <w:sz w:val="28"/>
              <w:szCs w:val="28"/>
              <w:lang w:eastAsia="zh-CN"/>
            </w:rPr>
            <w:t>十二、</w:t>
          </w:r>
          <w:r>
            <w:rPr>
              <w:rFonts w:hint="eastAsia" w:ascii="仿宋" w:hAnsi="仿宋" w:eastAsia="仿宋" w:cs="仿宋"/>
              <w:bCs w:val="0"/>
              <w:sz w:val="28"/>
              <w:szCs w:val="28"/>
              <w:lang w:val="en-US" w:eastAsia="zh-CN"/>
            </w:rPr>
            <w:t>国有资本经营预算财政拨款支出决算表</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val="en-US" w:eastAsia="zh-CN"/>
            </w:rPr>
          </w:pPr>
          <w:r>
            <w:rPr>
              <w:rFonts w:hint="eastAsia" w:ascii="仿宋" w:hAnsi="仿宋" w:eastAsia="仿宋" w:cs="仿宋"/>
              <w:bCs w:val="0"/>
              <w:sz w:val="28"/>
              <w:szCs w:val="28"/>
              <w:lang w:eastAsia="zh-CN"/>
            </w:rPr>
            <w:t>十三、财政拨款“三公”经费支出决算表</w:t>
          </w:r>
          <w:bookmarkStart w:id="11" w:name="OLE_LINK4"/>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bookmarkEnd w:id="11"/>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val="0"/>
              <w:sz w:val="28"/>
              <w:szCs w:val="28"/>
              <w:lang w:val="en-US" w:eastAsia="zh-CN"/>
            </w:rPr>
          </w:pPr>
          <w:r>
            <w:rPr>
              <w:rFonts w:hint="eastAsia" w:ascii="仿宋" w:hAnsi="仿宋" w:eastAsia="仿宋" w:cs="仿宋"/>
              <w:bCs w:val="0"/>
              <w:sz w:val="28"/>
              <w:szCs w:val="28"/>
              <w:lang w:val="en-US" w:eastAsia="zh-CN"/>
            </w:rPr>
            <w:t>十四、部门预算项目支出绩效自评表（2023年度）</w:t>
          </w:r>
          <w:r>
            <w:rPr>
              <w:rFonts w:hint="eastAsia" w:ascii="仿宋" w:hAnsi="仿宋" w:eastAsia="仿宋" w:cs="仿宋"/>
              <w:bCs w:val="0"/>
              <w:sz w:val="28"/>
              <w:szCs w:val="28"/>
              <w:lang w:val="en-US" w:eastAsia="zh-CN"/>
            </w:rPr>
            <w:tab/>
          </w:r>
          <w:r>
            <w:rPr>
              <w:rFonts w:hint="eastAsia" w:ascii="仿宋" w:hAnsi="仿宋" w:eastAsia="仿宋" w:cs="仿宋"/>
              <w:bCs w:val="0"/>
              <w:sz w:val="28"/>
              <w:szCs w:val="28"/>
              <w:lang w:val="en-US" w:eastAsia="zh-CN"/>
            </w:rPr>
            <w:t>22</w:t>
          </w:r>
        </w:p>
        <w:p>
          <w:pPr>
            <w:rPr>
              <w:b/>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sdtContent>
    </w:sdt>
    <w:bookmarkEnd w:id="0"/>
    <w:p>
      <w:pPr>
        <w:widowControl/>
        <w:jc w:val="center"/>
        <w:outlineLvl w:val="0"/>
        <w:rPr>
          <w:rFonts w:hint="eastAsia" w:ascii="黑体" w:hAnsi="黑体" w:eastAsia="黑体" w:cs="Times New Roman"/>
          <w:b/>
          <w:sz w:val="32"/>
          <w:szCs w:val="32"/>
        </w:rPr>
      </w:pPr>
      <w:bookmarkStart w:id="12" w:name="_Toc16297"/>
      <w:bookmarkStart w:id="13" w:name="_Toc23674"/>
      <w:bookmarkStart w:id="14" w:name="_Toc8262"/>
      <w:bookmarkStart w:id="15" w:name="_Toc19633"/>
      <w:bookmarkStart w:id="16" w:name="_Toc23321"/>
      <w:r>
        <w:rPr>
          <w:rFonts w:hint="eastAsia" w:ascii="黑体" w:hAnsi="黑体" w:eastAsia="黑体" w:cs="Times New Roman"/>
          <w:b/>
          <w:sz w:val="32"/>
          <w:szCs w:val="32"/>
        </w:rPr>
        <w:t>第一部分 部门概况</w:t>
      </w:r>
      <w:bookmarkEnd w:id="12"/>
      <w:bookmarkEnd w:id="13"/>
      <w:bookmarkEnd w:id="14"/>
      <w:bookmarkEnd w:id="15"/>
      <w:bookmarkEnd w:id="16"/>
    </w:p>
    <w:p>
      <w:pPr>
        <w:widowControl/>
        <w:jc w:val="center"/>
        <w:outlineLvl w:val="0"/>
        <w:rPr>
          <w:rFonts w:hint="eastAsia" w:ascii="黑体" w:hAnsi="黑体" w:eastAsia="黑体" w:cs="Times New Roman"/>
          <w:b/>
          <w:sz w:val="32"/>
          <w:szCs w:val="32"/>
        </w:rPr>
      </w:pPr>
    </w:p>
    <w:p>
      <w:pPr>
        <w:pStyle w:val="3"/>
        <w:pageBreakBefore w:val="0"/>
        <w:widowControl w:val="0"/>
        <w:kinsoku/>
        <w:wordWrap/>
        <w:overflowPunct/>
        <w:topLinePunct w:val="0"/>
        <w:autoSpaceDE/>
        <w:autoSpaceDN/>
        <w:bidi w:val="0"/>
        <w:adjustRightInd/>
        <w:snapToGrid/>
        <w:spacing w:before="0" w:after="0" w:line="600" w:lineRule="exact"/>
        <w:textAlignment w:val="auto"/>
        <w:rPr>
          <w:rFonts w:hint="eastAsia" w:ascii="楷体_GB2312" w:hAnsi="楷体_GB2312" w:eastAsia="楷体_GB2312" w:cs="楷体_GB2312"/>
          <w:sz w:val="32"/>
          <w:szCs w:val="32"/>
        </w:rPr>
      </w:pPr>
      <w:r>
        <w:rPr>
          <w:rStyle w:val="16"/>
          <w:rFonts w:hint="eastAsia" w:ascii="黑体" w:hAnsi="黑体" w:eastAsia="黑体" w:cs="Times New Roman"/>
          <w:b/>
          <w:bCs/>
          <w:lang w:val="en-US" w:eastAsia="zh-CN"/>
        </w:rPr>
        <w:t xml:space="preserve">    </w:t>
      </w:r>
      <w:bookmarkStart w:id="17" w:name="_Toc4175"/>
      <w:bookmarkStart w:id="18" w:name="_Toc25449"/>
      <w:bookmarkStart w:id="19" w:name="_Toc26623"/>
      <w:bookmarkStart w:id="20" w:name="_Toc27559"/>
      <w:bookmarkStart w:id="21" w:name="_Toc18403"/>
      <w:r>
        <w:rPr>
          <w:rStyle w:val="16"/>
          <w:rFonts w:hint="eastAsia" w:ascii="黑体" w:hAnsi="黑体" w:eastAsia="黑体" w:cs="Times New Roman"/>
          <w:b/>
          <w:bCs/>
        </w:rPr>
        <w:t>一、</w:t>
      </w:r>
      <w:r>
        <w:rPr>
          <w:rFonts w:hint="eastAsia" w:ascii="黑体" w:hAnsi="黑体" w:eastAsia="黑体"/>
          <w:b w:val="0"/>
          <w:color w:val="auto"/>
          <w:highlight w:val="none"/>
          <w:lang w:eastAsia="zh-CN"/>
        </w:rPr>
        <w:t>部门职责</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2023年冠英新区的主要职责是：</w:t>
      </w:r>
      <w:r>
        <w:rPr>
          <w:rFonts w:hint="eastAsia" w:ascii="仿宋_GB2312" w:hAnsi="仿宋_GB2312" w:eastAsia="仿宋_GB2312" w:cs="仿宋_GB2312"/>
          <w:sz w:val="32"/>
          <w:szCs w:val="32"/>
        </w:rPr>
        <w:t>负责牵头编制新区专项规划、产业发展规划等规划，协助编制新区总体规划、控制性详规，经批准后组织实施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负责牵头组织实施新区城市基础设施和公共配套设施的建设，协调配合新区交通、水务等其他工程建设项目的推进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负责新区招商引资、产业培育工作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负责新区城乡规划、土地管理、市政环卫、综合治理、行政执法的协调配合或依法行使相关</w:t>
      </w:r>
      <w:r>
        <w:rPr>
          <w:rFonts w:hint="eastAsia" w:ascii="仿宋_GB2312" w:hAnsi="仿宋_GB2312" w:eastAsia="仿宋_GB2312" w:cs="仿宋_GB2312"/>
          <w:sz w:val="32"/>
          <w:szCs w:val="32"/>
          <w:lang w:eastAsia="zh-CN"/>
        </w:rPr>
        <w:t>权力事项；</w:t>
      </w:r>
      <w:r>
        <w:rPr>
          <w:rFonts w:hint="eastAsia" w:ascii="仿宋_GB2312" w:hAnsi="仿宋_GB2312" w:eastAsia="仿宋_GB2312" w:cs="仿宋_GB2312"/>
          <w:sz w:val="32"/>
          <w:szCs w:val="32"/>
        </w:rPr>
        <w:t>负责新区社会投资项目建设、运营的协调服务工作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负责职责范围内安全生产、职业健康和生态环境保护等工作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履行区政府及相关职能部门授权的相关职能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承担区委、区政府交办的其他工作事项。</w:t>
      </w:r>
    </w:p>
    <w:p>
      <w:pPr>
        <w:pStyle w:val="3"/>
        <w:pageBreakBefore w:val="0"/>
        <w:widowControl w:val="0"/>
        <w:kinsoku/>
        <w:wordWrap/>
        <w:overflowPunct/>
        <w:topLinePunct w:val="0"/>
        <w:autoSpaceDE/>
        <w:autoSpaceDN/>
        <w:bidi w:val="0"/>
        <w:adjustRightInd/>
        <w:snapToGrid/>
        <w:spacing w:before="0" w:after="0" w:line="600" w:lineRule="exact"/>
        <w:textAlignment w:val="auto"/>
        <w:rPr>
          <w:rStyle w:val="16"/>
          <w:rFonts w:hint="eastAsia" w:ascii="黑体" w:hAnsi="黑体" w:eastAsia="黑体" w:cs="Times New Roman"/>
          <w:b/>
          <w:bCs/>
        </w:rPr>
      </w:pPr>
      <w:r>
        <w:rPr>
          <w:rStyle w:val="16"/>
          <w:rFonts w:hint="eastAsia" w:ascii="黑体" w:hAnsi="黑体" w:eastAsia="黑体" w:cs="Times New Roman"/>
          <w:b/>
          <w:bCs/>
          <w:lang w:val="en-US" w:eastAsia="zh-CN"/>
        </w:rPr>
        <w:t xml:space="preserve">    </w:t>
      </w:r>
      <w:bookmarkStart w:id="22" w:name="_Toc32360"/>
      <w:bookmarkStart w:id="23" w:name="_Toc17548"/>
      <w:bookmarkStart w:id="24" w:name="_Toc28471"/>
      <w:bookmarkStart w:id="25" w:name="_Toc2724"/>
      <w:bookmarkStart w:id="26" w:name="_Toc4726"/>
      <w:r>
        <w:rPr>
          <w:rStyle w:val="16"/>
          <w:rFonts w:hint="eastAsia" w:ascii="黑体" w:hAnsi="黑体" w:eastAsia="黑体" w:cs="Times New Roman"/>
          <w:b/>
          <w:bCs/>
        </w:rPr>
        <w:t>二、机构设置</w:t>
      </w:r>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乐山冠英新区开发建设管理委员会下属二级</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单位2个，其中行政单位1个，其他事业单位1个。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纳入乐山冠英新区开发建设管理委员会</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年度部门决算编制范围的</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sz w:val="32"/>
          <w:szCs w:val="32"/>
        </w:rPr>
        <w:t>预算单位包括：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1.乐山冠英新区开发建设管理委员会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2.乐山冠英新区开发建设管理服务中心</w:t>
      </w: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u w:val="none"/>
        </w:rPr>
      </w:pPr>
      <w:r>
        <w:rPr>
          <w:rFonts w:hint="eastAsia" w:ascii="Times New Roman" w:hAnsi="Times New Roman" w:eastAsia="仿宋_GB2312" w:cs="Times New Roman"/>
          <w:sz w:val="32"/>
          <w:szCs w:val="32"/>
        </w:rPr>
        <w:t>行政编制数9人，实有人数9人；事业编制</w:t>
      </w:r>
      <w:r>
        <w:rPr>
          <w:rFonts w:hint="eastAsia" w:ascii="Times New Roman" w:hAnsi="Times New Roman" w:eastAsia="仿宋_GB2312" w:cs="Times New Roman"/>
          <w:sz w:val="32"/>
          <w:szCs w:val="32"/>
          <w:lang w:val="en-US" w:eastAsia="zh-CN"/>
        </w:rPr>
        <w:t>数</w:t>
      </w:r>
      <w:r>
        <w:rPr>
          <w:rFonts w:hint="eastAsia" w:ascii="Times New Roman" w:hAnsi="Times New Roman" w:eastAsia="仿宋_GB2312" w:cs="Times New Roman"/>
          <w:sz w:val="32"/>
          <w:szCs w:val="32"/>
        </w:rPr>
        <w:t>10人，实有人数10人。</w:t>
      </w:r>
    </w:p>
    <w:p>
      <w:pPr>
        <w:snapToGrid w:val="0"/>
        <w:spacing w:line="520" w:lineRule="exact"/>
        <w:ind w:firstLine="643" w:firstLineChars="200"/>
        <w:outlineLvl w:val="0"/>
        <w:rPr>
          <w:rFonts w:hint="eastAsia" w:ascii="楷体_GB2312" w:hAnsi="仿宋" w:eastAsia="楷体_GB2312"/>
          <w:b/>
          <w:color w:val="auto"/>
          <w:sz w:val="32"/>
          <w:szCs w:val="32"/>
        </w:rPr>
      </w:pPr>
      <w:bookmarkStart w:id="27" w:name="_Toc10603"/>
      <w:bookmarkStart w:id="28" w:name="_Toc15909"/>
      <w:bookmarkStart w:id="29" w:name="_Toc13241"/>
      <w:bookmarkStart w:id="30" w:name="_Toc26497"/>
      <w:bookmarkStart w:id="31" w:name="_Toc1504"/>
      <w:r>
        <w:rPr>
          <w:rFonts w:hint="eastAsia" w:ascii="楷体_GB2312" w:hAnsi="仿宋" w:eastAsia="楷体_GB2312"/>
          <w:b/>
          <w:color w:val="auto"/>
          <w:sz w:val="32"/>
          <w:szCs w:val="32"/>
        </w:rPr>
        <w:t>当年取得的主要事业成效</w:t>
      </w:r>
      <w:bookmarkEnd w:id="27"/>
      <w:bookmarkEnd w:id="28"/>
      <w:bookmarkEnd w:id="29"/>
      <w:bookmarkEnd w:id="30"/>
      <w:bookmarkEnd w:id="31"/>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年工作重点是加快</w:t>
      </w:r>
      <w:r>
        <w:rPr>
          <w:rFonts w:hint="eastAsia" w:ascii="仿宋_GB2312" w:hAnsi="仿宋_GB2312" w:eastAsia="仿宋_GB2312" w:cs="仿宋_GB2312"/>
          <w:sz w:val="32"/>
          <w:szCs w:val="32"/>
          <w:lang w:eastAsia="zh-CN"/>
        </w:rPr>
        <w:t>乐山机场、</w:t>
      </w:r>
      <w:r>
        <w:rPr>
          <w:rFonts w:hint="eastAsia" w:ascii="仿宋_GB2312" w:hAnsi="仿宋_GB2312" w:eastAsia="仿宋_GB2312" w:cs="仿宋_GB2312"/>
          <w:sz w:val="32"/>
          <w:szCs w:val="32"/>
          <w:lang w:val="en-US" w:eastAsia="zh-CN"/>
        </w:rPr>
        <w:t>岷江老木孔航电枢纽控制性工程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冠英新区回迁房（三期）、人才培训中心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项目建设</w:t>
      </w:r>
      <w:r>
        <w:rPr>
          <w:rFonts w:hint="eastAsia" w:ascii="仿宋_GB2312" w:hAnsi="仿宋_GB2312" w:eastAsia="仿宋_GB2312" w:cs="仿宋_GB2312"/>
          <w:sz w:val="32"/>
          <w:szCs w:val="32"/>
          <w:lang w:eastAsia="zh-CN"/>
        </w:rPr>
        <w:t>；不断完善基础设施建设，</w:t>
      </w:r>
      <w:r>
        <w:rPr>
          <w:rFonts w:hint="eastAsia" w:ascii="仿宋_GB2312" w:hAnsi="仿宋_GB2312" w:eastAsia="仿宋_GB2312"/>
          <w:color w:val="auto"/>
          <w:sz w:val="32"/>
          <w:lang w:val="en-US" w:eastAsia="zh-CN"/>
        </w:rPr>
        <w:t>完工石子埂路天樾国际城段，开工建设</w:t>
      </w:r>
      <w:r>
        <w:rPr>
          <w:rFonts w:hint="eastAsia" w:ascii="仿宋_GB2312" w:hAnsi="仿宋_GB2312" w:eastAsia="仿宋_GB2312" w:cs="仿宋_GB2312"/>
          <w:color w:val="auto"/>
          <w:sz w:val="32"/>
          <w:lang w:val="en-US" w:eastAsia="zh-CN"/>
        </w:rPr>
        <w:t>双桥路二期、</w:t>
      </w:r>
      <w:r>
        <w:rPr>
          <w:rFonts w:hint="eastAsia" w:ascii="仿宋_GB2312" w:hAnsi="仿宋_GB2312" w:eastAsia="仿宋_GB2312" w:cs="仿宋_GB2312"/>
          <w:i w:val="0"/>
          <w:iCs w:val="0"/>
          <w:color w:val="auto"/>
          <w:sz w:val="32"/>
          <w:szCs w:val="32"/>
          <w:u w:val="none"/>
          <w:lang w:eastAsia="zh-CN"/>
        </w:rPr>
        <w:t>新居路一期Ⅱ标段</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olor w:val="auto"/>
          <w:sz w:val="32"/>
          <w:lang w:val="en-US" w:eastAsia="zh-CN"/>
        </w:rPr>
        <w:t>开展</w:t>
      </w:r>
      <w:r>
        <w:rPr>
          <w:rFonts w:hint="eastAsia" w:ascii="仿宋_GB2312" w:hAnsi="仿宋_GB2312" w:eastAsia="仿宋_GB2312" w:cs="仿宋_GB2312"/>
          <w:color w:val="auto"/>
          <w:sz w:val="32"/>
          <w:lang w:val="en-US" w:eastAsia="zh-CN"/>
        </w:rPr>
        <w:t>修身路二期等9条道路前期工作</w:t>
      </w:r>
      <w:r>
        <w:rPr>
          <w:rFonts w:hint="eastAsia" w:ascii="仿宋_GB2312" w:hAnsi="仿宋_GB2312" w:eastAsia="仿宋_GB2312"/>
          <w:color w:val="auto"/>
          <w:sz w:val="32"/>
          <w:lang w:val="zh-CN"/>
        </w:rPr>
        <w:t>，同步推进电力、通信、广电、给排水、热力、燃气等地下管网铺设；</w:t>
      </w:r>
      <w:r>
        <w:rPr>
          <w:rFonts w:hint="eastAsia" w:ascii="仿宋_GB2312" w:hAnsi="仿宋_GB2312" w:eastAsia="仿宋_GB2312" w:cs="仿宋_GB2312"/>
          <w:sz w:val="32"/>
          <w:szCs w:val="32"/>
        </w:rPr>
        <w:t>推进房地产开发，</w:t>
      </w:r>
      <w:r>
        <w:rPr>
          <w:rFonts w:hint="eastAsia" w:ascii="仿宋_GB2312" w:hAnsi="仿宋_GB2312" w:eastAsia="仿宋_GB2312"/>
          <w:color w:val="auto"/>
          <w:sz w:val="32"/>
          <w:lang w:val="zh-CN"/>
        </w:rPr>
        <w:t>完工东润·学府里、阳光·天樾国际城一期，加快建设蓝城绿洲、阳光·天樾国际城二期等</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val="zh-CN"/>
        </w:rPr>
        <w:t>个房地产项目；</w:t>
      </w:r>
      <w:r>
        <w:rPr>
          <w:rFonts w:hint="eastAsia" w:ascii="仿宋_GB2312" w:hAnsi="仿宋_GB2312" w:eastAsia="仿宋_GB2312" w:cs="仿宋_GB2312"/>
          <w:sz w:val="32"/>
          <w:szCs w:val="32"/>
        </w:rPr>
        <w:t>加大招商引资力度，吸聚文旅、商贸、社会事业等带动力强的项目入驻。</w:t>
      </w:r>
    </w:p>
    <w:p>
      <w:pPr>
        <w:pStyle w:val="4"/>
        <w:ind w:firstLine="480" w:firstLineChars="200"/>
        <w:rPr>
          <w:rFonts w:hint="eastAsia" w:eastAsia="仿宋_GB2312"/>
          <w:lang w:eastAsia="zh-CN"/>
        </w:rPr>
      </w:pPr>
    </w:p>
    <w:p>
      <w:pPr>
        <w:ind w:firstLine="440" w:firstLineChars="100"/>
        <w:jc w:val="both"/>
        <w:outlineLvl w:val="0"/>
        <w:rPr>
          <w:rFonts w:hint="eastAsia" w:ascii="黑体" w:hAnsi="黑体" w:eastAsia="黑体" w:cs="黑体"/>
          <w:sz w:val="44"/>
          <w:szCs w:val="44"/>
        </w:rPr>
      </w:pPr>
      <w:bookmarkStart w:id="32" w:name="_Toc31067"/>
      <w:bookmarkStart w:id="33" w:name="_Toc15992"/>
      <w:bookmarkStart w:id="34" w:name="_Toc29440"/>
      <w:bookmarkStart w:id="35" w:name="_Toc25741"/>
      <w:bookmarkStart w:id="36" w:name="_Toc27129"/>
      <w:r>
        <w:rPr>
          <w:rFonts w:hint="eastAsia" w:ascii="黑体" w:hAnsi="黑体" w:eastAsia="黑体" w:cs="黑体"/>
          <w:sz w:val="44"/>
          <w:szCs w:val="44"/>
        </w:rPr>
        <w:t xml:space="preserve">第二部分 </w:t>
      </w:r>
      <w:r>
        <w:rPr>
          <w:rFonts w:hint="eastAsia" w:ascii="黑体" w:hAnsi="黑体" w:eastAsia="黑体" w:cs="黑体"/>
          <w:sz w:val="44"/>
          <w:szCs w:val="44"/>
          <w:lang w:eastAsia="zh-CN"/>
        </w:rPr>
        <w:t>2023</w:t>
      </w:r>
      <w:r>
        <w:rPr>
          <w:rFonts w:hint="eastAsia" w:ascii="黑体" w:hAnsi="黑体" w:eastAsia="黑体" w:cs="黑体"/>
          <w:sz w:val="44"/>
          <w:szCs w:val="44"/>
        </w:rPr>
        <w:t>年度部门决算情况说明</w:t>
      </w:r>
      <w:bookmarkEnd w:id="32"/>
      <w:bookmarkEnd w:id="33"/>
      <w:bookmarkEnd w:id="34"/>
      <w:bookmarkEnd w:id="35"/>
      <w:bookmarkEnd w:id="36"/>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3"/>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Style w:val="16"/>
          <w:rFonts w:hint="eastAsia" w:ascii="黑体" w:hAnsi="黑体" w:eastAsia="黑体" w:cs="Times New Roman"/>
          <w:b/>
          <w:bCs/>
        </w:rPr>
      </w:pPr>
      <w:bookmarkStart w:id="37" w:name="_Toc6917"/>
      <w:bookmarkStart w:id="38" w:name="_Toc20040"/>
      <w:bookmarkStart w:id="39" w:name="_Toc10679"/>
      <w:bookmarkStart w:id="40" w:name="_Toc27719"/>
      <w:bookmarkStart w:id="41" w:name="_Toc30170"/>
      <w:r>
        <w:rPr>
          <w:rStyle w:val="16"/>
          <w:rFonts w:hint="eastAsia" w:ascii="黑体" w:hAnsi="黑体" w:eastAsia="黑体" w:cs="Times New Roman"/>
          <w:b/>
          <w:bCs/>
        </w:rPr>
        <w:t>一、收入支出决算总体情况说明</w:t>
      </w:r>
      <w:bookmarkEnd w:id="37"/>
      <w:bookmarkEnd w:id="38"/>
      <w:bookmarkEnd w:id="39"/>
      <w:bookmarkEnd w:id="40"/>
      <w:bookmarkEnd w:id="4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eastAsia="zh-CN"/>
        </w:rPr>
        <w:t>均为</w:t>
      </w:r>
      <w:r>
        <w:rPr>
          <w:rFonts w:hint="eastAsia" w:ascii="仿宋_GB2312" w:hAnsi="仿宋" w:eastAsia="仿宋_GB2312"/>
          <w:sz w:val="32"/>
          <w:szCs w:val="32"/>
          <w:lang w:val="en-US" w:eastAsia="zh-CN"/>
        </w:rPr>
        <w:t>22335.22</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年相比，收、支总计</w:t>
      </w:r>
      <w:r>
        <w:rPr>
          <w:rFonts w:hint="eastAsia" w:ascii="仿宋_GB2312" w:hAnsi="仿宋_GB2312" w:eastAsia="仿宋_GB2312" w:cs="仿宋_GB2312"/>
          <w:sz w:val="32"/>
          <w:szCs w:val="32"/>
          <w:lang w:eastAsia="zh-CN"/>
        </w:rPr>
        <w:t>各减少</w:t>
      </w:r>
      <w:r>
        <w:rPr>
          <w:rFonts w:hint="eastAsia" w:ascii="仿宋_GB2312" w:hAnsi="仿宋" w:eastAsia="仿宋_GB2312"/>
          <w:sz w:val="32"/>
          <w:szCs w:val="32"/>
          <w:lang w:val="en-US" w:eastAsia="zh-CN"/>
        </w:rPr>
        <w:t>7232.81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24.46</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年度财政资金统筹政府性基金预算安排建设项目支出</w:t>
      </w:r>
      <w:r>
        <w:rPr>
          <w:rFonts w:hint="eastAsia" w:ascii="仿宋_GB2312" w:hAnsi="仿宋_GB2312" w:eastAsia="仿宋_GB2312" w:cs="仿宋_GB2312"/>
          <w:sz w:val="32"/>
          <w:szCs w:val="32"/>
          <w:lang w:eastAsia="zh-CN"/>
        </w:rPr>
        <w:t>减少。</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4"/>
        <w:rPr>
          <w:rFonts w:hint="eastAsia"/>
        </w:rPr>
      </w:pPr>
    </w:p>
    <w:p>
      <w:pPr>
        <w:pStyle w:val="4"/>
        <w:pageBreakBefore w:val="0"/>
        <w:widowControl w:val="0"/>
        <w:kinsoku/>
        <w:wordWrap/>
        <w:overflowPunct/>
        <w:topLinePunct w:val="0"/>
        <w:autoSpaceDE/>
        <w:autoSpaceDN/>
        <w:bidi w:val="0"/>
        <w:adjustRightInd/>
        <w:snapToGrid/>
        <w:textAlignment w:val="auto"/>
        <w:rPr>
          <w:rFonts w:hint="default" w:eastAsia="仿宋_GB2312"/>
          <w:lang w:val="en-US" w:eastAsia="zh-CN"/>
        </w:rPr>
      </w:pPr>
      <w:r>
        <w:rPr>
          <w:rFonts w:hint="eastAsia"/>
          <w:lang w:val="en-US" w:eastAsia="zh-CN"/>
        </w:rPr>
        <w:t xml:space="preserve">   </w:t>
      </w:r>
      <w:r>
        <w:drawing>
          <wp:inline distT="0" distB="0" distL="114300" distR="114300">
            <wp:extent cx="3544570" cy="2780665"/>
            <wp:effectExtent l="4445" t="4445" r="13335"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lang w:val="en-US" w:eastAsia="zh-CN"/>
        </w:rPr>
        <w:t xml:space="preserve">       </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sz w:val="32"/>
          <w:szCs w:val="32"/>
        </w:rPr>
      </w:pPr>
      <w:bookmarkStart w:id="42" w:name="_Toc15927"/>
      <w:bookmarkStart w:id="43" w:name="_Toc23726"/>
      <w:bookmarkStart w:id="44" w:name="_Toc13816"/>
      <w:bookmarkStart w:id="45" w:name="_Toc25786"/>
      <w:bookmarkStart w:id="46" w:name="_Toc13658"/>
      <w:r>
        <w:rPr>
          <w:rFonts w:hint="eastAsia" w:ascii="黑体" w:hAnsi="黑体" w:eastAsia="黑体" w:cs="黑体"/>
          <w:b w:val="0"/>
          <w:bCs w:val="0"/>
          <w:sz w:val="32"/>
          <w:szCs w:val="32"/>
        </w:rPr>
        <w:t>二、收入决算情况说明</w:t>
      </w:r>
      <w:bookmarkEnd w:id="42"/>
      <w:bookmarkEnd w:id="43"/>
      <w:bookmarkEnd w:id="44"/>
      <w:bookmarkEnd w:id="45"/>
      <w:bookmarkEnd w:id="46"/>
    </w:p>
    <w:p>
      <w:pPr>
        <w:spacing w:line="600" w:lineRule="exact"/>
        <w:ind w:firstLine="640" w:firstLineChars="200"/>
        <w:outlineLvl w:val="1"/>
        <w:rPr>
          <w:rFonts w:hint="eastAsia" w:ascii="仿宋_GB2312" w:hAnsi="仿宋" w:eastAsia="仿宋_GB2312"/>
          <w:sz w:val="32"/>
          <w:szCs w:val="32"/>
          <w:lang w:val="en-US" w:eastAsia="zh-CN"/>
        </w:rPr>
      </w:pPr>
      <w:bookmarkStart w:id="47" w:name="_Toc3492"/>
      <w:bookmarkStart w:id="48" w:name="_Toc17988"/>
      <w:bookmarkStart w:id="49" w:name="_Toc19318"/>
      <w:bookmarkStart w:id="50" w:name="_Toc12681"/>
      <w:bookmarkStart w:id="51" w:name="_Toc17662"/>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年本年收入合计</w:t>
      </w:r>
      <w:r>
        <w:rPr>
          <w:rFonts w:hint="eastAsia" w:ascii="仿宋_GB2312" w:hAnsi="仿宋" w:eastAsia="仿宋_GB2312"/>
          <w:sz w:val="32"/>
          <w:szCs w:val="32"/>
          <w:lang w:val="en-US" w:eastAsia="zh-CN"/>
        </w:rPr>
        <w:t>22335.22</w:t>
      </w:r>
      <w:r>
        <w:rPr>
          <w:rFonts w:hint="eastAsia" w:ascii="仿宋_GB2312" w:hAnsi="仿宋_GB2312" w:eastAsia="仿宋_GB2312" w:cs="仿宋_GB2312"/>
          <w:color w:val="auto"/>
          <w:sz w:val="32"/>
          <w:szCs w:val="32"/>
        </w:rPr>
        <w:t>万元，其中：一般公共预算财政拨款收入</w:t>
      </w:r>
      <w:r>
        <w:rPr>
          <w:rFonts w:hint="eastAsia" w:ascii="仿宋_GB2312" w:hAnsi="仿宋" w:eastAsia="仿宋_GB2312"/>
          <w:sz w:val="32"/>
          <w:szCs w:val="32"/>
          <w:lang w:val="en-US" w:eastAsia="zh-CN"/>
        </w:rPr>
        <w:t>1914.38</w:t>
      </w:r>
      <w:r>
        <w:rPr>
          <w:rFonts w:hint="eastAsia" w:ascii="仿宋_GB2312" w:hAnsi="仿宋_GB2312" w:eastAsia="仿宋_GB2312" w:cs="仿宋_GB2312"/>
          <w:color w:val="auto"/>
          <w:sz w:val="32"/>
          <w:szCs w:val="32"/>
        </w:rPr>
        <w:t>万元，占</w:t>
      </w:r>
      <w:r>
        <w:rPr>
          <w:rFonts w:hint="eastAsia" w:ascii="仿宋_GB2312" w:hAnsi="仿宋" w:eastAsia="仿宋_GB2312"/>
          <w:sz w:val="32"/>
          <w:szCs w:val="32"/>
          <w:lang w:val="en-US" w:eastAsia="zh-CN"/>
        </w:rPr>
        <w:t>8.57</w:t>
      </w:r>
      <w:r>
        <w:rPr>
          <w:rFonts w:hint="eastAsia" w:ascii="仿宋_GB2312" w:hAnsi="仿宋_GB2312" w:eastAsia="仿宋_GB2312" w:cs="仿宋_GB2312"/>
          <w:color w:val="auto"/>
          <w:sz w:val="32"/>
          <w:szCs w:val="32"/>
        </w:rPr>
        <w:t>%；政府性基金预算财政拨款收入</w:t>
      </w:r>
      <w:r>
        <w:rPr>
          <w:rFonts w:hint="eastAsia" w:ascii="仿宋_GB2312" w:hAnsi="仿宋" w:eastAsia="仿宋_GB2312"/>
          <w:sz w:val="32"/>
          <w:szCs w:val="32"/>
          <w:lang w:val="en-US" w:eastAsia="zh-CN"/>
        </w:rPr>
        <w:t>20420.84</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91.43</w:t>
      </w:r>
      <w:r>
        <w:rPr>
          <w:rFonts w:hint="eastAsia" w:ascii="仿宋_GB2312" w:hAnsi="仿宋" w:eastAsia="仿宋_GB2312"/>
          <w:sz w:val="32"/>
          <w:szCs w:val="32"/>
        </w:rPr>
        <w:t>%</w:t>
      </w:r>
      <w:r>
        <w:rPr>
          <w:rFonts w:hint="eastAsia" w:ascii="仿宋_GB2312" w:hAnsi="仿宋" w:eastAsia="仿宋_GB2312"/>
          <w:sz w:val="32"/>
          <w:szCs w:val="32"/>
          <w:lang w:val="en-US" w:eastAsia="zh-CN"/>
        </w:rPr>
        <w:t>.</w:t>
      </w:r>
      <w:bookmarkEnd w:id="47"/>
      <w:bookmarkEnd w:id="48"/>
      <w:bookmarkEnd w:id="49"/>
      <w:bookmarkEnd w:id="50"/>
      <w:bookmarkEnd w:id="51"/>
    </w:p>
    <w:p>
      <w:pPr>
        <w:spacing w:line="600" w:lineRule="exact"/>
        <w:ind w:firstLine="643" w:firstLineChars="200"/>
        <w:outlineLvl w:val="1"/>
        <w:rPr>
          <w:rFonts w:ascii="仿宋" w:hAnsi="仿宋" w:eastAsia="仿宋"/>
          <w:b/>
          <w:color w:val="auto"/>
          <w:sz w:val="32"/>
          <w:szCs w:val="32"/>
          <w:highlight w:val="none"/>
        </w:rPr>
      </w:pPr>
      <w:bookmarkStart w:id="52" w:name="_Toc2376"/>
      <w:bookmarkStart w:id="53" w:name="_Toc29333"/>
      <w:bookmarkStart w:id="54" w:name="_Toc3414"/>
      <w:bookmarkStart w:id="55" w:name="_Toc17570"/>
      <w:bookmarkStart w:id="56" w:name="_Toc2644"/>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bookmarkEnd w:id="52"/>
      <w:bookmarkEnd w:id="53"/>
      <w:bookmarkEnd w:id="54"/>
      <w:bookmarkEnd w:id="55"/>
      <w:bookmarkEnd w:id="56"/>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10"/>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p>
    <w:p>
      <w:pPr>
        <w:pStyle w:val="4"/>
        <w:rPr>
          <w:rFonts w:hint="eastAsia"/>
          <w:lang w:val="en-US" w:eastAsia="zh-CN"/>
        </w:rPr>
      </w:pPr>
      <w:r>
        <w:drawing>
          <wp:inline distT="0" distB="0" distL="114300" distR="114300">
            <wp:extent cx="3020695" cy="2334260"/>
            <wp:effectExtent l="5080" t="4445" r="2222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ind w:firstLine="640" w:firstLineChars="200"/>
        <w:outlineLvl w:val="1"/>
        <w:rPr>
          <w:rFonts w:hint="eastAsia" w:ascii="黑体" w:hAnsi="黑体" w:eastAsia="黑体" w:cs="黑体"/>
          <w:color w:val="FF0000"/>
          <w:sz w:val="32"/>
          <w:szCs w:val="32"/>
        </w:rPr>
      </w:pPr>
      <w:bookmarkStart w:id="57" w:name="_Toc14703"/>
      <w:bookmarkStart w:id="58" w:name="_Toc29314"/>
      <w:bookmarkStart w:id="59" w:name="_Toc26661"/>
      <w:bookmarkStart w:id="60" w:name="_Toc941"/>
      <w:bookmarkStart w:id="61" w:name="_Toc14265"/>
      <w:r>
        <w:rPr>
          <w:rFonts w:hint="eastAsia" w:ascii="黑体" w:hAnsi="黑体" w:eastAsia="黑体" w:cs="黑体"/>
          <w:color w:val="auto"/>
          <w:sz w:val="32"/>
          <w:szCs w:val="32"/>
        </w:rPr>
        <w:t>三、支出决算情况说明</w:t>
      </w:r>
      <w:bookmarkEnd w:id="57"/>
      <w:bookmarkEnd w:id="58"/>
      <w:bookmarkEnd w:id="59"/>
      <w:bookmarkEnd w:id="60"/>
      <w:bookmarkEnd w:id="6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年本年支出合计</w:t>
      </w:r>
      <w:r>
        <w:rPr>
          <w:rFonts w:hint="eastAsia" w:ascii="仿宋_GB2312" w:hAnsi="仿宋" w:eastAsia="仿宋_GB2312"/>
          <w:sz w:val="32"/>
          <w:szCs w:val="32"/>
          <w:lang w:val="en-US" w:eastAsia="zh-CN"/>
        </w:rPr>
        <w:t>22335.22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399.74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21935.48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600" w:lineRule="exact"/>
        <w:ind w:firstLine="643" w:firstLineChars="200"/>
        <w:outlineLvl w:val="1"/>
        <w:rPr>
          <w:rFonts w:ascii="仿宋" w:hAnsi="仿宋" w:eastAsia="仿宋"/>
          <w:b/>
          <w:color w:val="auto"/>
          <w:sz w:val="32"/>
          <w:szCs w:val="32"/>
          <w:highlight w:val="none"/>
        </w:rPr>
      </w:pPr>
      <w:bookmarkStart w:id="62" w:name="_Toc23114"/>
      <w:bookmarkStart w:id="63" w:name="_Toc24332"/>
      <w:bookmarkStart w:id="64" w:name="_Toc2294"/>
      <w:bookmarkStart w:id="65" w:name="_Toc5184"/>
      <w:bookmarkStart w:id="66" w:name="_Toc585"/>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bookmarkEnd w:id="62"/>
      <w:bookmarkEnd w:id="63"/>
      <w:bookmarkEnd w:id="64"/>
      <w:bookmarkEnd w:id="65"/>
      <w:bookmarkEnd w:id="66"/>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10"/>
        <w:rPr>
          <w:rFonts w:hint="eastAsia"/>
          <w:lang w:eastAsia="zh-CN"/>
        </w:rPr>
      </w:pPr>
    </w:p>
    <w:p>
      <w:pPr>
        <w:pStyle w:val="4"/>
        <w:rPr>
          <w:rFonts w:hint="eastAsia"/>
          <w:lang w:eastAsia="zh-CN"/>
        </w:rPr>
      </w:pPr>
      <w:r>
        <w:drawing>
          <wp:inline distT="0" distB="0" distL="114300" distR="114300">
            <wp:extent cx="3020695" cy="2334260"/>
            <wp:effectExtent l="5080" t="4445" r="22225" b="2349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outlineLvl w:val="1"/>
        <w:rPr>
          <w:rFonts w:hint="eastAsia" w:ascii="黑体" w:hAnsi="黑体" w:eastAsia="黑体" w:cs="黑体"/>
          <w:sz w:val="32"/>
          <w:szCs w:val="32"/>
        </w:rPr>
      </w:pPr>
      <w:r>
        <w:rPr>
          <w:rFonts w:hint="eastAsia"/>
          <w:lang w:val="en-US" w:eastAsia="zh-CN"/>
        </w:rPr>
        <w:t xml:space="preserve">     </w:t>
      </w:r>
      <w:bookmarkStart w:id="67" w:name="_Toc31171"/>
      <w:bookmarkStart w:id="68" w:name="_Toc28315"/>
      <w:bookmarkStart w:id="69" w:name="_Toc24380"/>
      <w:bookmarkStart w:id="70" w:name="_Toc5632"/>
      <w:bookmarkStart w:id="71" w:name="_Toc21538"/>
      <w:r>
        <w:rPr>
          <w:rFonts w:hint="eastAsia" w:ascii="黑体" w:hAnsi="黑体" w:eastAsia="黑体" w:cs="黑体"/>
          <w:sz w:val="32"/>
          <w:szCs w:val="32"/>
        </w:rPr>
        <w:t>四、财政拨款收入支出决算总体情况说明</w:t>
      </w:r>
      <w:bookmarkEnd w:id="67"/>
      <w:bookmarkEnd w:id="68"/>
      <w:bookmarkEnd w:id="69"/>
      <w:bookmarkEnd w:id="70"/>
      <w:bookmarkEnd w:id="7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年财政拨款收、支总计</w:t>
      </w:r>
      <w:r>
        <w:rPr>
          <w:rFonts w:hint="eastAsia" w:ascii="仿宋_GB2312" w:hAnsi="仿宋_GB2312" w:eastAsia="仿宋_GB2312" w:cs="仿宋_GB2312"/>
          <w:sz w:val="32"/>
          <w:szCs w:val="32"/>
          <w:lang w:val="en-US" w:eastAsia="zh-CN"/>
        </w:rPr>
        <w:t>均为</w:t>
      </w:r>
      <w:r>
        <w:rPr>
          <w:rFonts w:hint="eastAsia" w:ascii="仿宋_GB2312" w:hAnsi="仿宋" w:eastAsia="仿宋_GB2312"/>
          <w:sz w:val="32"/>
          <w:szCs w:val="32"/>
          <w:lang w:val="en-US" w:eastAsia="zh-CN"/>
        </w:rPr>
        <w:t>22335.22</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年相比，财政拨款收、支总计各</w:t>
      </w:r>
      <w:r>
        <w:rPr>
          <w:rFonts w:hint="eastAsia" w:ascii="仿宋_GB2312" w:hAnsi="仿宋_GB2312" w:eastAsia="仿宋_GB2312" w:cs="仿宋_GB2312"/>
          <w:sz w:val="32"/>
          <w:szCs w:val="32"/>
          <w:lang w:eastAsia="zh-CN"/>
        </w:rPr>
        <w:t>减少</w:t>
      </w:r>
      <w:r>
        <w:rPr>
          <w:rFonts w:hint="eastAsia" w:ascii="仿宋_GB2312" w:hAnsi="仿宋" w:eastAsia="仿宋_GB2312"/>
          <w:sz w:val="32"/>
          <w:szCs w:val="32"/>
          <w:lang w:val="en-US" w:eastAsia="zh-CN"/>
        </w:rPr>
        <w:t>7232.8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24.46</w:t>
      </w:r>
      <w:r>
        <w:rPr>
          <w:rFonts w:hint="eastAsia" w:ascii="仿宋_GB2312" w:hAnsi="仿宋_GB2312" w:eastAsia="仿宋_GB2312" w:cs="仿宋_GB2312"/>
          <w:sz w:val="32"/>
          <w:szCs w:val="32"/>
        </w:rPr>
        <w:t>%。主要变动原因是因为根据</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年度财政资金统筹政府性基金预算安排建设项目支出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10"/>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10"/>
        <w:rPr>
          <w:rFonts w:hint="eastAsia"/>
        </w:rPr>
      </w:pPr>
    </w:p>
    <w:p>
      <w:pPr>
        <w:pStyle w:val="4"/>
        <w:rPr>
          <w:rFonts w:hint="eastAsia"/>
        </w:rPr>
      </w:pPr>
      <w:r>
        <w:drawing>
          <wp:inline distT="0" distB="0" distL="114300" distR="114300">
            <wp:extent cx="3544570" cy="2780665"/>
            <wp:effectExtent l="4445" t="4445" r="13335" b="1524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rPr>
      </w:pPr>
      <w:bookmarkStart w:id="72" w:name="_Toc6950"/>
      <w:bookmarkStart w:id="73" w:name="_Toc22872"/>
      <w:bookmarkStart w:id="74" w:name="_Toc20194"/>
      <w:bookmarkStart w:id="75" w:name="_Toc23695"/>
      <w:bookmarkStart w:id="76" w:name="_Toc8043"/>
      <w:r>
        <w:rPr>
          <w:rFonts w:hint="eastAsia" w:ascii="黑体" w:hAnsi="黑体" w:eastAsia="黑体" w:cs="黑体"/>
          <w:sz w:val="32"/>
          <w:szCs w:val="32"/>
        </w:rPr>
        <w:t>五、一般公共预算财政拨款支出决算情况说明</w:t>
      </w:r>
      <w:bookmarkEnd w:id="72"/>
      <w:bookmarkEnd w:id="73"/>
      <w:bookmarkEnd w:id="74"/>
      <w:bookmarkEnd w:id="75"/>
      <w:bookmarkEnd w:id="7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（一）一般公共预算财政拨款支出决算总体情况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年一般公共预算财政拨款支出</w:t>
      </w:r>
      <w:r>
        <w:rPr>
          <w:rFonts w:hint="eastAsia" w:ascii="仿宋_GB2312" w:hAnsi="仿宋_GB2312" w:eastAsia="仿宋_GB2312" w:cs="仿宋_GB2312"/>
          <w:color w:val="auto"/>
          <w:sz w:val="32"/>
          <w:szCs w:val="32"/>
          <w:lang w:val="en-US" w:eastAsia="zh-CN"/>
        </w:rPr>
        <w:t>1914.38</w:t>
      </w:r>
      <w:r>
        <w:rPr>
          <w:rFonts w:hint="eastAsia" w:ascii="仿宋_GB2312" w:hAnsi="仿宋_GB2312" w:eastAsia="仿宋_GB2312" w:cs="仿宋_GB2312"/>
          <w:color w:val="auto"/>
          <w:sz w:val="32"/>
          <w:szCs w:val="32"/>
        </w:rPr>
        <w:t>万元，占本年支出合计的</w:t>
      </w:r>
      <w:r>
        <w:rPr>
          <w:rFonts w:hint="eastAsia" w:ascii="仿宋_GB2312" w:hAnsi="仿宋_GB2312" w:eastAsia="仿宋_GB2312" w:cs="仿宋_GB2312"/>
          <w:color w:val="auto"/>
          <w:sz w:val="32"/>
          <w:szCs w:val="32"/>
          <w:lang w:val="en-US" w:eastAsia="zh-CN"/>
        </w:rPr>
        <w:t>8.57</w:t>
      </w:r>
      <w:r>
        <w:rPr>
          <w:rFonts w:hint="eastAsia" w:ascii="仿宋_GB2312" w:hAnsi="仿宋_GB2312" w:eastAsia="仿宋_GB2312" w:cs="仿宋_GB2312"/>
          <w:color w:val="auto"/>
          <w:sz w:val="32"/>
          <w:szCs w:val="32"/>
        </w:rPr>
        <w:t>%。与20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年相比，一般公共预算财政拨款</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1523.13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389</w:t>
      </w:r>
      <w:r>
        <w:rPr>
          <w:rFonts w:hint="eastAsia" w:ascii="仿宋_GB2312" w:hAnsi="仿宋_GB2312" w:eastAsia="仿宋_GB2312" w:cs="仿宋_GB2312"/>
          <w:color w:val="auto"/>
          <w:sz w:val="32"/>
          <w:szCs w:val="32"/>
        </w:rPr>
        <w:t>%。主要变动原因是因为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人员变动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2、空港基础设施建设在一般公共预算财政拨款中安排1514.64万元。</w:t>
      </w:r>
    </w:p>
    <w:p>
      <w:pPr>
        <w:pStyle w:val="10"/>
        <w:rPr>
          <w:rFonts w:hint="eastAsia"/>
          <w:lang w:val="en-US" w:eastAsia="zh-CN"/>
        </w:rPr>
      </w:pPr>
      <w:r>
        <w:rPr>
          <w:rFonts w:hint="eastAsia" w:ascii="仿宋" w:hAnsi="仿宋" w:eastAsia="仿宋"/>
          <w:color w:val="auto"/>
          <w:sz w:val="32"/>
          <w:szCs w:val="32"/>
          <w:highlight w:val="none"/>
        </w:rPr>
        <w:t>（图5：一般公共预算财政拨款支出决算变动情况）（柱状图）</w:t>
      </w:r>
    </w:p>
    <w:p>
      <w:pPr>
        <w:pStyle w:val="4"/>
        <w:rPr>
          <w:rFonts w:hint="default"/>
          <w:lang w:val="en-US" w:eastAsia="zh-CN"/>
        </w:rPr>
      </w:pPr>
      <w:r>
        <w:drawing>
          <wp:inline distT="0" distB="0" distL="114300" distR="114300">
            <wp:extent cx="3544570" cy="2780665"/>
            <wp:effectExtent l="4445" t="4445" r="13335" b="1524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（二）一般公共预算财政拨款支出决算结构情况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1914.38</w:t>
      </w:r>
      <w:r>
        <w:rPr>
          <w:rFonts w:hint="eastAsia" w:ascii="仿宋_GB2312" w:hAnsi="仿宋_GB2312" w:eastAsia="仿宋_GB2312" w:cs="仿宋_GB2312"/>
          <w:sz w:val="32"/>
          <w:szCs w:val="32"/>
        </w:rPr>
        <w:t>万元，主要用于以下方面:社会保障和就业支出</w:t>
      </w:r>
      <w:r>
        <w:rPr>
          <w:rFonts w:hint="eastAsia" w:ascii="仿宋_GB2312" w:hAnsi="仿宋_GB2312" w:eastAsia="仿宋_GB2312" w:cs="仿宋_GB2312"/>
          <w:sz w:val="32"/>
          <w:szCs w:val="32"/>
          <w:lang w:val="en-US" w:eastAsia="zh-CN"/>
        </w:rPr>
        <w:t>61.7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%；资源勘探信息支出</w:t>
      </w:r>
      <w:r>
        <w:rPr>
          <w:rFonts w:hint="eastAsia" w:ascii="仿宋_GB2312" w:hAnsi="仿宋_GB2312" w:eastAsia="仿宋_GB2312" w:cs="仿宋_GB2312"/>
          <w:sz w:val="32"/>
          <w:szCs w:val="32"/>
          <w:lang w:val="en-US" w:eastAsia="zh-CN"/>
        </w:rPr>
        <w:t>1813.08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94.72</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10"/>
        <w:rPr>
          <w:rFonts w:hint="eastAsia"/>
        </w:rPr>
      </w:pPr>
    </w:p>
    <w:p>
      <w:pPr>
        <w:pStyle w:val="4"/>
      </w:pPr>
    </w:p>
    <w:p>
      <w:r>
        <w:drawing>
          <wp:inline distT="0" distB="0" distL="114300" distR="114300">
            <wp:extent cx="3020695" cy="2762885"/>
            <wp:effectExtent l="4445" t="4445" r="22860" b="1397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eastAsia"/>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（三）一般公共预算财政拨款支出决算具体情况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年一般公共预算支出决算数为</w:t>
      </w:r>
      <w:r>
        <w:rPr>
          <w:rFonts w:hint="eastAsia" w:ascii="仿宋_GB2312" w:hAnsi="仿宋_GB2312" w:eastAsia="仿宋_GB2312" w:cs="仿宋_GB2312"/>
          <w:sz w:val="32"/>
          <w:szCs w:val="32"/>
          <w:lang w:val="en-US" w:eastAsia="zh-CN"/>
        </w:rPr>
        <w:t>1914.38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，完成预算100%。其中：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（类）行政事业单位养老支出（款）机关事业单位基本养老保险缴费支出（项）:支出决算为</w:t>
      </w:r>
      <w:r>
        <w:rPr>
          <w:rFonts w:hint="eastAsia" w:ascii="仿宋_GB2312" w:hAnsi="仿宋_GB2312" w:eastAsia="仿宋_GB2312" w:cs="仿宋_GB2312"/>
          <w:sz w:val="32"/>
          <w:szCs w:val="32"/>
          <w:lang w:val="en-US" w:eastAsia="zh-CN"/>
        </w:rPr>
        <w:t>37.99</w:t>
      </w:r>
      <w:r>
        <w:rPr>
          <w:rFonts w:hint="eastAsia" w:ascii="仿宋_GB2312" w:hAnsi="仿宋_GB2312" w:eastAsia="仿宋_GB2312" w:cs="仿宋_GB2312"/>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.社会保障和就业（类）行政事业单位养老支出（款）机关事业单位职业年金缴费支出（项）:支出决算为</w:t>
      </w:r>
      <w:r>
        <w:rPr>
          <w:rFonts w:hint="eastAsia" w:ascii="仿宋_GB2312" w:hAnsi="仿宋_GB2312" w:eastAsia="仿宋_GB2312" w:cs="仿宋_GB2312"/>
          <w:sz w:val="32"/>
          <w:szCs w:val="32"/>
          <w:lang w:val="en-US" w:eastAsia="zh-CN"/>
        </w:rPr>
        <w:t>21.09</w:t>
      </w:r>
      <w:r>
        <w:rPr>
          <w:rFonts w:hint="eastAsia" w:ascii="仿宋_GB2312" w:hAnsi="仿宋_GB2312" w:eastAsia="仿宋_GB2312" w:cs="仿宋_GB2312"/>
          <w:sz w:val="32"/>
          <w:szCs w:val="32"/>
        </w:rPr>
        <w:t>万元，完成预算100%。</w:t>
      </w:r>
    </w:p>
    <w:p>
      <w:pPr>
        <w:pStyle w:val="4"/>
        <w:ind w:firstLine="640"/>
        <w:rPr>
          <w:rFonts w:hint="default"/>
          <w:sz w:val="32"/>
          <w:szCs w:val="32"/>
          <w:lang w:val="en-US" w:eastAsia="zh-CN"/>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rPr>
        <w:t>社会保障和就业（类）行政事业单位养老支出（款）</w:t>
      </w:r>
      <w:r>
        <w:rPr>
          <w:rFonts w:hint="eastAsia" w:hAnsi="仿宋_GB2312" w:cs="仿宋_GB2312"/>
          <w:sz w:val="32"/>
          <w:szCs w:val="32"/>
          <w:lang w:eastAsia="zh-CN"/>
        </w:rPr>
        <w:t>其他</w:t>
      </w:r>
      <w:r>
        <w:rPr>
          <w:rFonts w:hint="eastAsia"/>
          <w:sz w:val="32"/>
          <w:szCs w:val="32"/>
          <w:lang w:val="en-US" w:eastAsia="zh-CN"/>
        </w:rPr>
        <w:t>行政事业单位养老支出(</w:t>
      </w:r>
      <w:r>
        <w:rPr>
          <w:rFonts w:hint="eastAsia" w:ascii="仿宋_GB2312" w:hAnsi="仿宋_GB2312" w:eastAsia="仿宋_GB2312" w:cs="仿宋_GB2312"/>
          <w:sz w:val="32"/>
          <w:szCs w:val="32"/>
        </w:rPr>
        <w:t>项</w:t>
      </w:r>
      <w:r>
        <w:rPr>
          <w:rFonts w:hint="eastAsia"/>
          <w:sz w:val="32"/>
          <w:szCs w:val="32"/>
          <w:lang w:val="en-US" w:eastAsia="zh-CN"/>
        </w:rPr>
        <w:t>):支出决算为2.62万元,完成预算100%.</w:t>
      </w:r>
    </w:p>
    <w:p>
      <w:pPr>
        <w:pStyle w:val="4"/>
        <w:ind w:firstLine="640"/>
        <w:rPr>
          <w:rFonts w:hint="eastAsia" w:ascii="仿宋_GB2312" w:hAnsi="仿宋_GB2312" w:eastAsia="仿宋_GB2312" w:cs="仿宋_GB2312"/>
          <w:sz w:val="32"/>
          <w:szCs w:val="32"/>
        </w:rPr>
      </w:pPr>
      <w:r>
        <w:rPr>
          <w:rFonts w:hint="eastAsia" w:hAnsi="仿宋_GB2312" w:cs="仿宋_GB2312"/>
          <w:sz w:val="32"/>
          <w:szCs w:val="32"/>
          <w:lang w:val="en-US" w:eastAsia="zh-CN"/>
        </w:rPr>
        <w:t>4</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（类）行政事业单位医疗（款）行政单位医疗（项）:支出决算为</w:t>
      </w:r>
      <w:r>
        <w:rPr>
          <w:rFonts w:hint="eastAsia" w:ascii="仿宋_GB2312" w:hAnsi="仿宋_GB2312" w:eastAsia="仿宋_GB2312" w:cs="仿宋_GB2312"/>
          <w:sz w:val="32"/>
          <w:szCs w:val="32"/>
          <w:lang w:val="en-US" w:eastAsia="zh-CN"/>
        </w:rPr>
        <w:t>5.02</w:t>
      </w:r>
      <w:r>
        <w:rPr>
          <w:rFonts w:hint="eastAsia" w:ascii="仿宋_GB2312" w:hAnsi="仿宋_GB2312" w:eastAsia="仿宋_GB2312" w:cs="仿宋_GB2312"/>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（类）行政事业单位医疗（款）事业单位医疗（项）:支出决算为</w:t>
      </w:r>
      <w:r>
        <w:rPr>
          <w:rFonts w:hint="eastAsia" w:ascii="仿宋_GB2312" w:hAnsi="仿宋_GB2312" w:eastAsia="仿宋_GB2312" w:cs="仿宋_GB2312"/>
          <w:sz w:val="32"/>
          <w:szCs w:val="32"/>
          <w:lang w:val="en-US" w:eastAsia="zh-CN"/>
        </w:rPr>
        <w:t>4.38</w:t>
      </w:r>
      <w:r>
        <w:rPr>
          <w:rFonts w:hint="eastAsia" w:ascii="仿宋_GB2312" w:hAnsi="仿宋_GB2312" w:eastAsia="仿宋_GB2312" w:cs="仿宋_GB2312"/>
          <w:sz w:val="32"/>
          <w:szCs w:val="32"/>
        </w:rPr>
        <w:t>万元，完成预算100%。</w:t>
      </w:r>
    </w:p>
    <w:p>
      <w:pPr>
        <w:pStyle w:val="4"/>
        <w:rPr>
          <w:rFonts w:hint="eastAsia" w:ascii="仿宋_GB2312" w:hAnsi="仿宋_GB2312" w:eastAsia="仿宋_GB2312" w:cs="仿宋_GB2312"/>
          <w:sz w:val="32"/>
          <w:szCs w:val="32"/>
        </w:rPr>
      </w:pPr>
      <w:r>
        <w:rPr>
          <w:rFonts w:hint="eastAsia" w:hAnsi="仿宋_GB2312" w:cs="仿宋_GB2312"/>
          <w:sz w:val="32"/>
          <w:szCs w:val="32"/>
          <w:lang w:val="en-US" w:eastAsia="zh-CN"/>
        </w:rPr>
        <w:t xml:space="preserve">   6.</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（类）行政事业单位医疗（款）</w:t>
      </w:r>
      <w:r>
        <w:rPr>
          <w:rFonts w:hint="eastAsia" w:hAnsi="仿宋_GB2312" w:cs="仿宋_GB2312"/>
          <w:sz w:val="32"/>
          <w:szCs w:val="32"/>
          <w:lang w:val="en-US" w:eastAsia="zh-CN"/>
        </w:rPr>
        <w:t>公务员医疗补助（项）：</w:t>
      </w:r>
      <w:r>
        <w:rPr>
          <w:rFonts w:hint="eastAsia" w:ascii="仿宋_GB2312" w:hAnsi="仿宋_GB2312" w:eastAsia="仿宋_GB2312" w:cs="仿宋_GB2312"/>
          <w:sz w:val="32"/>
          <w:szCs w:val="32"/>
        </w:rPr>
        <w:t>支出决算为</w:t>
      </w:r>
      <w:r>
        <w:rPr>
          <w:rFonts w:hint="eastAsia" w:hAnsi="仿宋_GB2312" w:cs="仿宋_GB2312"/>
          <w:sz w:val="32"/>
          <w:szCs w:val="32"/>
          <w:lang w:val="en-US" w:eastAsia="zh-CN"/>
        </w:rPr>
        <w:t>0.8万元，</w:t>
      </w:r>
      <w:r>
        <w:rPr>
          <w:rFonts w:hint="eastAsia" w:ascii="仿宋_GB2312" w:hAnsi="仿宋_GB2312" w:eastAsia="仿宋_GB2312" w:cs="仿宋_GB2312"/>
          <w:sz w:val="32"/>
          <w:szCs w:val="32"/>
        </w:rPr>
        <w:t>完成预算100%</w:t>
      </w:r>
    </w:p>
    <w:p>
      <w:pPr>
        <w:pStyle w:val="4"/>
        <w:ind w:firstLine="640" w:firstLineChars="200"/>
        <w:rPr>
          <w:rFonts w:hint="eastAsia" w:ascii="仿宋_GB2312" w:hAnsi="仿宋_GB2312" w:eastAsia="仿宋_GB2312" w:cs="仿宋_GB2312"/>
          <w:sz w:val="32"/>
          <w:szCs w:val="32"/>
        </w:rPr>
      </w:pPr>
      <w:r>
        <w:rPr>
          <w:rFonts w:hint="eastAsia" w:hAnsi="仿宋_GB2312" w:cs="仿宋_GB2312"/>
          <w:sz w:val="32"/>
          <w:szCs w:val="32"/>
          <w:lang w:val="en-US" w:eastAsia="zh-CN"/>
        </w:rPr>
        <w:t>7.</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（类）行政事业单位医疗（款）</w:t>
      </w:r>
      <w:r>
        <w:rPr>
          <w:rFonts w:hint="eastAsia" w:hAnsi="仿宋_GB2312" w:cs="仿宋_GB2312"/>
          <w:sz w:val="32"/>
          <w:szCs w:val="32"/>
          <w:lang w:val="en-US" w:eastAsia="zh-CN"/>
        </w:rPr>
        <w:t>其他行政事业单位医疗支出（项）：</w:t>
      </w:r>
      <w:r>
        <w:rPr>
          <w:rFonts w:hint="eastAsia" w:ascii="仿宋_GB2312" w:hAnsi="仿宋_GB2312" w:eastAsia="仿宋_GB2312" w:cs="仿宋_GB2312"/>
          <w:sz w:val="32"/>
          <w:szCs w:val="32"/>
        </w:rPr>
        <w:t>支出决算为</w:t>
      </w:r>
      <w:r>
        <w:rPr>
          <w:rFonts w:hint="eastAsia" w:hAnsi="仿宋_GB2312" w:cs="仿宋_GB2312"/>
          <w:sz w:val="32"/>
          <w:szCs w:val="32"/>
          <w:lang w:val="en-US" w:eastAsia="zh-CN"/>
        </w:rPr>
        <w:t>0.8万元，</w:t>
      </w:r>
      <w:r>
        <w:rPr>
          <w:rFonts w:hint="eastAsia" w:ascii="仿宋_GB2312" w:hAnsi="仿宋_GB2312" w:eastAsia="仿宋_GB2312" w:cs="仿宋_GB2312"/>
          <w:sz w:val="32"/>
          <w:szCs w:val="32"/>
        </w:rPr>
        <w:t>完成预算100%</w:t>
      </w:r>
    </w:p>
    <w:p>
      <w:pPr>
        <w:pStyle w:val="4"/>
        <w:ind w:firstLine="640" w:firstLineChars="200"/>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8</w:t>
      </w:r>
      <w:r>
        <w:rPr>
          <w:rFonts w:hint="eastAsia" w:ascii="仿宋_GB2312" w:hAnsi="仿宋_GB2312" w:eastAsia="仿宋_GB2312" w:cs="仿宋_GB2312"/>
          <w:sz w:val="32"/>
          <w:szCs w:val="32"/>
        </w:rPr>
        <w:t>.资源勘探工业信息等支出（类）工业和信息监管（款）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（项）：支出决算为</w:t>
      </w:r>
      <w:r>
        <w:rPr>
          <w:rFonts w:hint="eastAsia" w:ascii="仿宋_GB2312" w:hAnsi="仿宋_GB2312" w:eastAsia="仿宋_GB2312" w:cs="仿宋_GB2312"/>
          <w:sz w:val="32"/>
          <w:szCs w:val="32"/>
          <w:lang w:val="en-US" w:eastAsia="zh-CN"/>
        </w:rPr>
        <w:t>176.26</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val="en-US" w:eastAsia="zh-CN"/>
        </w:rPr>
        <w:t xml:space="preserve">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资源勘探工业信息等支出（类）工业和信息监管（款）</w:t>
      </w:r>
      <w:r>
        <w:rPr>
          <w:rFonts w:hint="eastAsia" w:ascii="仿宋_GB2312" w:hAnsi="仿宋_GB2312" w:eastAsia="仿宋_GB2312" w:cs="仿宋_GB2312"/>
          <w:sz w:val="32"/>
          <w:szCs w:val="32"/>
          <w:lang w:eastAsia="zh-CN"/>
        </w:rPr>
        <w:t>事业运行</w:t>
      </w:r>
      <w:r>
        <w:rPr>
          <w:rFonts w:hint="eastAsia" w:ascii="仿宋_GB2312" w:hAnsi="仿宋_GB2312" w:eastAsia="仿宋_GB2312" w:cs="仿宋_GB2312"/>
          <w:sz w:val="32"/>
          <w:szCs w:val="32"/>
        </w:rPr>
        <w:t>（项）：支出决算为</w:t>
      </w:r>
      <w:r>
        <w:rPr>
          <w:rFonts w:hint="eastAsia" w:ascii="仿宋_GB2312" w:hAnsi="仿宋_GB2312" w:eastAsia="仿宋_GB2312" w:cs="仿宋_GB2312"/>
          <w:sz w:val="32"/>
          <w:szCs w:val="32"/>
          <w:lang w:val="en-US" w:eastAsia="zh-CN"/>
        </w:rPr>
        <w:t>121.6</w:t>
      </w:r>
      <w:r>
        <w:rPr>
          <w:rFonts w:hint="eastAsia" w:ascii="仿宋_GB2312" w:hAnsi="仿宋_GB2312" w:eastAsia="仿宋_GB2312" w:cs="仿宋_GB2312"/>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资源勘探工业信息等支出（类）工业和信息监管（款）</w:t>
      </w:r>
      <w:r>
        <w:rPr>
          <w:rFonts w:hint="eastAsia" w:ascii="仿宋_GB2312" w:hAnsi="仿宋_GB2312" w:eastAsia="仿宋_GB2312" w:cs="仿宋_GB2312"/>
          <w:sz w:val="32"/>
          <w:szCs w:val="32"/>
          <w:lang w:eastAsia="zh-CN"/>
        </w:rPr>
        <w:t>其他工业和信息产业监管支出</w:t>
      </w:r>
      <w:r>
        <w:rPr>
          <w:rFonts w:hint="eastAsia" w:ascii="仿宋_GB2312" w:hAnsi="仿宋_GB2312" w:eastAsia="仿宋_GB2312" w:cs="仿宋_GB2312"/>
          <w:sz w:val="32"/>
          <w:szCs w:val="32"/>
        </w:rPr>
        <w:t>（项）：支出决算为</w:t>
      </w:r>
      <w:r>
        <w:rPr>
          <w:rFonts w:hint="eastAsia" w:ascii="仿宋_GB2312" w:hAnsi="仿宋_GB2312" w:eastAsia="仿宋_GB2312" w:cs="仿宋_GB2312"/>
          <w:sz w:val="32"/>
          <w:szCs w:val="32"/>
          <w:lang w:val="en-US" w:eastAsia="zh-CN"/>
        </w:rPr>
        <w:t>0.58</w:t>
      </w:r>
      <w:r>
        <w:rPr>
          <w:rFonts w:hint="eastAsia" w:ascii="仿宋_GB2312" w:hAnsi="仿宋_GB2312" w:eastAsia="仿宋_GB2312" w:cs="仿宋_GB2312"/>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资源勘探工业信息等支出（类）工业和信息监管（款）</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资源勘探工业信息等支出（项）：支出决算为</w:t>
      </w:r>
      <w:r>
        <w:rPr>
          <w:rFonts w:hint="eastAsia" w:ascii="仿宋_GB2312" w:hAnsi="仿宋_GB2312" w:eastAsia="仿宋_GB2312" w:cs="仿宋_GB2312"/>
          <w:sz w:val="32"/>
          <w:szCs w:val="32"/>
          <w:lang w:val="en-US" w:eastAsia="zh-CN"/>
        </w:rPr>
        <w:t>1514.64</w:t>
      </w:r>
      <w:r>
        <w:rPr>
          <w:rFonts w:hint="eastAsia" w:ascii="仿宋_GB2312" w:hAnsi="仿宋_GB2312" w:eastAsia="仿宋_GB2312" w:cs="仿宋_GB2312"/>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.住房保障支出（类）住房改革支出（款）住房公积金（项）：支出决算为</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rPr>
        <w:t>万元，完成预算100%。</w:t>
      </w:r>
    </w:p>
    <w:p>
      <w:pPr>
        <w:spacing w:line="600" w:lineRule="exact"/>
        <w:ind w:firstLine="643" w:firstLineChars="200"/>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hint="eastAsia" w:ascii="仿宋" w:hAnsi="仿宋" w:eastAsia="仿宋"/>
          <w:b/>
          <w:color w:val="auto"/>
          <w:sz w:val="32"/>
          <w:szCs w:val="32"/>
          <w:highlight w:val="none"/>
          <w:lang w:eastAsia="zh-CN"/>
        </w:rPr>
        <w:t>）</w:t>
      </w:r>
    </w:p>
    <w:p>
      <w:pPr>
        <w:spacing w:line="600" w:lineRule="exact"/>
        <w:ind w:firstLine="643" w:firstLineChars="200"/>
        <w:rPr>
          <w:rFonts w:hint="eastAsia" w:ascii="仿宋" w:hAnsi="仿宋" w:eastAsia="仿宋"/>
          <w:b/>
          <w:color w:val="auto"/>
          <w:sz w:val="32"/>
          <w:szCs w:val="32"/>
          <w:highlight w:val="none"/>
        </w:rPr>
      </w:pPr>
    </w:p>
    <w:p>
      <w:pPr>
        <w:spacing w:line="600" w:lineRule="exact"/>
        <w:ind w:firstLine="643" w:firstLineChars="200"/>
        <w:rPr>
          <w:rFonts w:hint="eastAsia" w:ascii="仿宋" w:hAnsi="仿宋" w:eastAsia="仿宋"/>
          <w:b/>
          <w:color w:val="auto"/>
          <w:sz w:val="32"/>
          <w:szCs w:val="32"/>
          <w:highlight w:val="none"/>
        </w:rPr>
      </w:pPr>
    </w:p>
    <w:p>
      <w:pPr>
        <w:pStyle w:val="10"/>
        <w:rPr>
          <w:rFonts w:hint="eastAsia"/>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color w:val="auto"/>
          <w:sz w:val="32"/>
          <w:szCs w:val="32"/>
        </w:rPr>
      </w:pPr>
      <w:bookmarkStart w:id="77" w:name="_Toc20631"/>
      <w:bookmarkStart w:id="78" w:name="_Toc4499"/>
      <w:bookmarkStart w:id="79" w:name="_Toc3652"/>
      <w:bookmarkStart w:id="80" w:name="_Toc32729"/>
      <w:bookmarkStart w:id="81" w:name="_Toc14251"/>
      <w:r>
        <w:rPr>
          <w:rFonts w:hint="eastAsia" w:ascii="黑体" w:hAnsi="黑体" w:eastAsia="黑体" w:cs="黑体"/>
          <w:color w:val="auto"/>
          <w:sz w:val="32"/>
          <w:szCs w:val="32"/>
        </w:rPr>
        <w:t>六、一般公共预算财政拨款基本支出决算情况说明</w:t>
      </w:r>
      <w:bookmarkEnd w:id="77"/>
      <w:bookmarkEnd w:id="78"/>
      <w:bookmarkEnd w:id="79"/>
      <w:bookmarkEnd w:id="80"/>
      <w:bookmarkEnd w:id="81"/>
      <w:r>
        <w:rPr>
          <w:rFonts w:hint="eastAsia" w:ascii="黑体" w:hAnsi="黑体" w:eastAsia="黑体" w:cs="黑体"/>
          <w:color w:val="auto"/>
          <w:sz w:val="32"/>
          <w:szCs w:val="32"/>
        </w:rPr>
        <w:tab/>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年一般公共预算财政拨款基本支出</w:t>
      </w:r>
      <w:r>
        <w:rPr>
          <w:rFonts w:hint="eastAsia" w:ascii="仿宋_GB2312" w:hAnsi="仿宋_GB2312" w:eastAsia="仿宋_GB2312" w:cs="仿宋_GB2312"/>
          <w:color w:val="auto"/>
          <w:sz w:val="32"/>
          <w:szCs w:val="32"/>
          <w:lang w:val="en-US" w:eastAsia="zh-CN"/>
        </w:rPr>
        <w:t>399.74</w:t>
      </w:r>
      <w:r>
        <w:rPr>
          <w:rFonts w:hint="eastAsia" w:ascii="仿宋_GB2312" w:hAnsi="仿宋_GB2312" w:eastAsia="仿宋_GB2312" w:cs="仿宋_GB2312"/>
          <w:color w:val="auto"/>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349.57</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其他社会保障缴费、其他工资福利支出、医疗费补助、住房公积金、其他对个人和家庭的补助支出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日常公用经费</w:t>
      </w:r>
      <w:r>
        <w:rPr>
          <w:rFonts w:hint="eastAsia" w:ascii="仿宋_GB2312" w:hAnsi="仿宋_GB2312" w:eastAsia="仿宋_GB2312" w:cs="仿宋_GB2312"/>
          <w:sz w:val="32"/>
          <w:szCs w:val="32"/>
          <w:lang w:val="en-US" w:eastAsia="zh-CN"/>
        </w:rPr>
        <w:t>50.17</w:t>
      </w:r>
      <w:r>
        <w:rPr>
          <w:rFonts w:hint="eastAsia" w:ascii="仿宋_GB2312" w:hAnsi="仿宋_GB2312" w:eastAsia="仿宋_GB2312" w:cs="仿宋_GB2312"/>
          <w:sz w:val="32"/>
          <w:szCs w:val="32"/>
        </w:rPr>
        <w:t>万元，主要包括：办公费、邮电费、差旅费、劳务费、工会经费、福利费、</w:t>
      </w:r>
      <w:r>
        <w:rPr>
          <w:rFonts w:hint="eastAsia" w:ascii="仿宋_GB2312" w:hAnsi="仿宋_GB2312" w:eastAsia="仿宋_GB2312" w:cs="仿宋_GB2312"/>
          <w:sz w:val="32"/>
          <w:szCs w:val="32"/>
          <w:lang w:eastAsia="zh-CN"/>
        </w:rPr>
        <w:t>其他交通</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、其他商品和服务支出等。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pStyle w:val="10"/>
        <w:rPr>
          <w:rFonts w:hint="eastAsia"/>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color w:val="auto"/>
          <w:sz w:val="32"/>
          <w:szCs w:val="32"/>
        </w:rPr>
      </w:pPr>
      <w:bookmarkStart w:id="82" w:name="_Toc15551"/>
      <w:bookmarkStart w:id="83" w:name="_Toc27930"/>
      <w:bookmarkStart w:id="84" w:name="_Toc29048"/>
      <w:bookmarkStart w:id="85" w:name="_Toc17656"/>
      <w:bookmarkStart w:id="86" w:name="_Toc2615"/>
      <w:r>
        <w:rPr>
          <w:rFonts w:hint="eastAsia" w:ascii="黑体" w:hAnsi="黑体" w:eastAsia="黑体" w:cs="黑体"/>
          <w:color w:val="auto"/>
          <w:sz w:val="32"/>
          <w:szCs w:val="32"/>
        </w:rPr>
        <w:t>七、财政拨款“三公”经费支出决算情况说明</w:t>
      </w:r>
      <w:bookmarkEnd w:id="82"/>
      <w:bookmarkEnd w:id="83"/>
      <w:bookmarkEnd w:id="84"/>
      <w:bookmarkEnd w:id="85"/>
      <w:bookmarkEnd w:id="8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（一）“三公”经费财政拨款支出决算总体情况说明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年“三公”经费财政拨款支出决算为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（二）“三公”经费财政拨款支出决算具体情况说明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年“三公”经费财政拨款支出决算中，因公出国（境）费支出决算0万元；公务用车购置及运行维护费支出决算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万元，。具体情况如下：</w:t>
      </w:r>
    </w:p>
    <w:p>
      <w:pPr>
        <w:pStyle w:val="4"/>
        <w:rPr>
          <w:rFonts w:hint="eastAsia" w:ascii="仿宋_GB2312" w:hAnsi="仿宋_GB2312" w:eastAsia="仿宋_GB2312" w:cs="仿宋_GB2312"/>
          <w:color w:val="auto"/>
          <w:sz w:val="32"/>
          <w:szCs w:val="32"/>
        </w:rPr>
      </w:pPr>
      <w:r>
        <w:rPr>
          <w:rFonts w:hint="eastAsia"/>
          <w:lang w:val="en-US" w:eastAsia="zh-CN"/>
        </w:rPr>
        <w:t xml:space="preserve">       </w:t>
      </w:r>
      <w:r>
        <w:rPr>
          <w:rFonts w:hint="eastAsia" w:ascii="仿宋_GB2312" w:hAnsi="仿宋_GB2312" w:eastAsia="仿宋_GB2312" w:cs="仿宋_GB2312"/>
          <w:color w:val="auto"/>
          <w:sz w:val="32"/>
          <w:szCs w:val="32"/>
        </w:rPr>
        <w:t>1.因公出国（境）经费支出0万元。全年安排因公出国（境）团组0次，出国（境）0人。</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2.公务用车购置及运行维护费支出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公务接待费支出0万元，</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rPr>
        <w:t>完成预算外事接待支出0万元，外事接待0批次，0人。</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rPr>
      </w:pPr>
      <w:bookmarkStart w:id="87" w:name="_Toc32411"/>
      <w:bookmarkStart w:id="88" w:name="_Toc8763"/>
      <w:bookmarkStart w:id="89" w:name="_Toc31385"/>
      <w:bookmarkStart w:id="90" w:name="_Toc30932"/>
      <w:bookmarkStart w:id="91" w:name="_Toc18316"/>
      <w:r>
        <w:rPr>
          <w:rFonts w:hint="eastAsia" w:ascii="黑体" w:hAnsi="黑体" w:eastAsia="黑体" w:cs="黑体"/>
          <w:sz w:val="32"/>
          <w:szCs w:val="32"/>
        </w:rPr>
        <w:t>八、政府性基金预算支出决算情况说明</w:t>
      </w:r>
      <w:bookmarkEnd w:id="87"/>
      <w:bookmarkEnd w:id="88"/>
      <w:bookmarkEnd w:id="89"/>
      <w:bookmarkEnd w:id="90"/>
      <w:bookmarkEnd w:id="9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2023年政府性基金预算财政拨款支出</w:t>
      </w:r>
      <w:r>
        <w:rPr>
          <w:rFonts w:hint="eastAsia" w:ascii="仿宋_GB2312" w:hAnsi="仿宋_GB2312" w:eastAsia="仿宋_GB2312" w:cs="仿宋_GB2312"/>
          <w:sz w:val="32"/>
          <w:szCs w:val="32"/>
          <w:lang w:val="en-US" w:eastAsia="zh-CN"/>
        </w:rPr>
        <w:t>20420.84</w:t>
      </w:r>
      <w:r>
        <w:rPr>
          <w:rFonts w:hint="eastAsia" w:ascii="仿宋_GB2312" w:hAnsi="仿宋_GB2312" w:eastAsia="仿宋_GB2312" w:cs="仿宋_GB2312"/>
          <w:sz w:val="32"/>
          <w:szCs w:val="32"/>
          <w:lang w:eastAsia="zh-CN"/>
        </w:rPr>
        <w:t>万元。</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rPr>
      </w:pPr>
      <w:bookmarkStart w:id="92" w:name="_Toc4556"/>
      <w:bookmarkStart w:id="93" w:name="_Toc6964"/>
      <w:bookmarkStart w:id="94" w:name="_Toc28972"/>
      <w:bookmarkStart w:id="95" w:name="_Toc8205"/>
      <w:bookmarkStart w:id="96" w:name="_Toc21743"/>
      <w:r>
        <w:rPr>
          <w:rFonts w:hint="eastAsia" w:ascii="黑体" w:hAnsi="黑体" w:eastAsia="黑体" w:cs="黑体"/>
          <w:sz w:val="32"/>
          <w:szCs w:val="32"/>
        </w:rPr>
        <w:t>九、国有资本经营预算支出决算情况说明</w:t>
      </w:r>
      <w:bookmarkEnd w:id="92"/>
      <w:bookmarkEnd w:id="93"/>
      <w:bookmarkEnd w:id="94"/>
      <w:bookmarkEnd w:id="95"/>
      <w:bookmarkEnd w:id="9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2023年国有资本经营预算财政拨款支出0万元。</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rPr>
      </w:pPr>
      <w:bookmarkStart w:id="97" w:name="_Toc13284"/>
      <w:bookmarkStart w:id="98" w:name="_Toc15741"/>
      <w:bookmarkStart w:id="99" w:name="_Toc20397"/>
      <w:bookmarkStart w:id="100" w:name="_Toc12790"/>
      <w:bookmarkStart w:id="101" w:name="_Toc30126"/>
      <w:r>
        <w:rPr>
          <w:rFonts w:hint="eastAsia" w:ascii="黑体" w:hAnsi="黑体" w:eastAsia="黑体" w:cs="黑体"/>
          <w:sz w:val="32"/>
          <w:szCs w:val="32"/>
        </w:rPr>
        <w:t>十、其他重要事项的情况说明</w:t>
      </w:r>
      <w:bookmarkEnd w:id="97"/>
      <w:bookmarkEnd w:id="98"/>
      <w:bookmarkEnd w:id="99"/>
      <w:bookmarkEnd w:id="100"/>
      <w:bookmarkEnd w:id="10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（一）机关运行经费支出情况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2023年，冠英新区管委会机关运行经费支出</w:t>
      </w:r>
      <w:r>
        <w:rPr>
          <w:rFonts w:hint="eastAsia" w:ascii="仿宋_GB2312" w:hAnsi="仿宋_GB2312" w:eastAsia="仿宋_GB2312" w:cs="仿宋_GB2312"/>
          <w:color w:val="auto"/>
          <w:sz w:val="32"/>
          <w:szCs w:val="32"/>
          <w:lang w:val="en-US" w:eastAsia="zh-CN"/>
        </w:rPr>
        <w:t>50.17</w:t>
      </w:r>
      <w:r>
        <w:rPr>
          <w:rFonts w:hint="eastAsia" w:ascii="仿宋_GB2312" w:hAnsi="仿宋_GB2312" w:eastAsia="仿宋_GB2312" w:cs="仿宋_GB2312"/>
          <w:color w:val="auto"/>
          <w:sz w:val="32"/>
          <w:szCs w:val="32"/>
          <w:lang w:eastAsia="zh-CN"/>
        </w:rPr>
        <w:t>万元，比20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年增加</w:t>
      </w:r>
      <w:r>
        <w:rPr>
          <w:rFonts w:hint="eastAsia" w:ascii="仿宋_GB2312" w:hAnsi="仿宋_GB2312" w:eastAsia="仿宋_GB2312" w:cs="仿宋_GB2312"/>
          <w:color w:val="auto"/>
          <w:sz w:val="32"/>
          <w:szCs w:val="32"/>
          <w:lang w:val="en-US" w:eastAsia="zh-CN"/>
        </w:rPr>
        <w:t>4.93万元，增长10.9%。</w:t>
      </w:r>
      <w:r>
        <w:rPr>
          <w:rFonts w:hint="eastAsia" w:ascii="仿宋_GB2312" w:hAnsi="仿宋_GB2312" w:eastAsia="仿宋_GB2312" w:cs="仿宋_GB2312"/>
          <w:color w:val="auto"/>
          <w:sz w:val="32"/>
          <w:szCs w:val="32"/>
          <w:lang w:eastAsia="zh-CN"/>
        </w:rPr>
        <w:t>主要原因是成立了冠英新区建设指挥部，办公室设在冠英新区管委会，航电办、机场办人员实行集中办公，相应增加了机关运行经费支出。</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pStyle w:val="10"/>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（二）政府采购支出情况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2023年，冠英新区管委会政府采购支出总额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（三）国有资产占有使用情况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截至2023年12月31日，冠英新区管委会</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）绩效目标</w:t>
      </w:r>
      <w:r>
        <w:rPr>
          <w:rFonts w:hint="eastAsia" w:ascii="楷体_GB2312" w:hAnsi="楷体_GB2312" w:eastAsia="楷体_GB2312" w:cs="楷体_GB2312"/>
          <w:sz w:val="32"/>
          <w:szCs w:val="32"/>
          <w:lang w:val="en-US" w:eastAsia="zh-CN"/>
        </w:rPr>
        <w:t>管理</w:t>
      </w:r>
      <w:r>
        <w:rPr>
          <w:rFonts w:hint="eastAsia" w:ascii="楷体_GB2312" w:hAnsi="楷体_GB2312" w:eastAsia="楷体_GB2312" w:cs="楷体_GB2312"/>
          <w:sz w:val="32"/>
          <w:szCs w:val="32"/>
        </w:rPr>
        <w:t>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1.概述项目绩效目标完成情况。</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根据预算绩效管理要求，本部门在年初预算编制阶段，组织对乐山市五通桥区空港产业园物流园区基础设施建设项目开展了预算事前绩效评估，对该项目编制了绩效目标，预算执行过程中，选取项目开展绩效监控，年终执行完毕后，对项目开展了绩效目标完成情况自评。</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本部门按要求对</w:t>
      </w:r>
      <w:r>
        <w:rPr>
          <w:rFonts w:hint="eastAsia" w:ascii="仿宋_GB2312" w:hAnsi="仿宋" w:eastAsia="仿宋_GB2312" w:cs="Times New Roman"/>
          <w:sz w:val="32"/>
          <w:szCs w:val="32"/>
          <w:lang w:eastAsia="zh-CN"/>
        </w:rPr>
        <w:t>2023</w:t>
      </w:r>
      <w:r>
        <w:rPr>
          <w:rFonts w:hint="eastAsia" w:ascii="仿宋_GB2312" w:hAnsi="仿宋" w:eastAsia="仿宋_GB2312" w:cs="Times New Roman"/>
          <w:sz w:val="32"/>
          <w:szCs w:val="32"/>
        </w:rPr>
        <w:t>年部门整体支出开展绩效自评，从评价情况来看，我委在预算编制、预算执行、支出绩效方面，严格按照资金管理办法及相关规定，做到项目资金专项专用，无截留、挪用等现象，使财政资金发挥最大使用效益。</w:t>
      </w:r>
    </w:p>
    <w:p>
      <w:pPr>
        <w:snapToGrid w:val="0"/>
        <w:spacing w:line="52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本部门组织了对乐山市五通桥区空港产业园物流园区基础设施建设项目支出绩效评价，从评价情况来看项目的组织、实施、管理、资金的使用都严格按照项目要求进行，达到预期效果。</w:t>
      </w:r>
      <w:r>
        <w:rPr>
          <w:rFonts w:hint="eastAsia" w:ascii="仿宋_GB2312" w:hAnsi="仿宋" w:eastAsia="仿宋_GB2312" w:cs="Times New Roman"/>
          <w:sz w:val="32"/>
          <w:szCs w:val="32"/>
          <w:lang w:eastAsia="zh-CN"/>
        </w:rPr>
        <w:t>绩效自评报告详见附件。</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3" w:firstLineChars="200"/>
        <w:rPr>
          <w:rFonts w:hint="eastAsia" w:ascii="楷体_GB2312" w:hAnsi="仿宋" w:eastAsia="楷体_GB2312"/>
          <w:b/>
          <w:sz w:val="32"/>
          <w:szCs w:val="32"/>
        </w:rPr>
      </w:pPr>
    </w:p>
    <w:p>
      <w:pPr>
        <w:pageBreakBefore w:val="0"/>
        <w:widowControl w:val="0"/>
        <w:kinsoku/>
        <w:wordWrap/>
        <w:overflowPunct/>
        <w:topLinePunct w:val="0"/>
        <w:autoSpaceDE/>
        <w:autoSpaceDN/>
        <w:bidi w:val="0"/>
        <w:adjustRightInd/>
        <w:snapToGrid/>
        <w:spacing w:line="600" w:lineRule="exact"/>
        <w:ind w:firstLine="1760" w:firstLineChars="400"/>
        <w:textAlignment w:val="auto"/>
        <w:outlineLvl w:val="0"/>
        <w:rPr>
          <w:rFonts w:hint="eastAsia" w:ascii="黑体" w:hAnsi="黑体" w:eastAsia="黑体" w:cs="黑体"/>
          <w:sz w:val="44"/>
          <w:szCs w:val="44"/>
        </w:rPr>
      </w:pPr>
      <w:bookmarkStart w:id="102" w:name="_Toc29774"/>
      <w:bookmarkStart w:id="103" w:name="_Toc21136"/>
      <w:bookmarkStart w:id="104" w:name="_Toc26384"/>
      <w:bookmarkStart w:id="105" w:name="_Toc20286"/>
      <w:bookmarkStart w:id="106" w:name="_Toc24537"/>
      <w:r>
        <w:rPr>
          <w:rFonts w:hint="eastAsia" w:ascii="黑体" w:hAnsi="黑体" w:eastAsia="黑体" w:cs="黑体"/>
          <w:sz w:val="44"/>
          <w:szCs w:val="44"/>
        </w:rPr>
        <w:t>第</w:t>
      </w:r>
      <w:r>
        <w:rPr>
          <w:rFonts w:hint="eastAsia" w:ascii="黑体" w:hAnsi="黑体" w:eastAsia="黑体" w:cs="黑体"/>
          <w:sz w:val="44"/>
          <w:szCs w:val="44"/>
          <w:lang w:eastAsia="zh-CN"/>
        </w:rPr>
        <w:t>三</w:t>
      </w:r>
      <w:r>
        <w:rPr>
          <w:rFonts w:hint="eastAsia" w:ascii="黑体" w:hAnsi="黑体" w:eastAsia="黑体" w:cs="黑体"/>
          <w:sz w:val="44"/>
          <w:szCs w:val="44"/>
        </w:rPr>
        <w:t>部分 名词解释</w:t>
      </w:r>
      <w:bookmarkEnd w:id="102"/>
      <w:bookmarkEnd w:id="103"/>
      <w:bookmarkEnd w:id="104"/>
      <w:bookmarkEnd w:id="105"/>
      <w:bookmarkEnd w:id="10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bookmarkStart w:id="107" w:name="_Toc13805"/>
      <w:bookmarkStart w:id="108" w:name="_Toc25731"/>
      <w:bookmarkStart w:id="109" w:name="_Toc1597"/>
      <w:bookmarkStart w:id="110" w:name="_Toc8307"/>
      <w:bookmarkStart w:id="111" w:name="_Toc26901"/>
      <w:r>
        <w:rPr>
          <w:rFonts w:hint="eastAsia" w:ascii="仿宋_GB2312" w:hAnsi="仿宋_GB2312" w:eastAsia="仿宋_GB2312" w:cs="仿宋_GB2312"/>
          <w:sz w:val="32"/>
          <w:szCs w:val="32"/>
          <w:lang w:eastAsia="zh-CN"/>
        </w:rPr>
        <w:t>（一）财政拨款收入：指区级财政当年拨付的资金。</w:t>
      </w:r>
      <w:bookmarkEnd w:id="107"/>
      <w:bookmarkEnd w:id="108"/>
      <w:bookmarkEnd w:id="109"/>
      <w:bookmarkEnd w:id="110"/>
      <w:bookmarkEnd w:id="11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（二）一般公共服务支出（类）政府办公厅（室）及相关机构事务（款）行政运行（项）：指行政单位的基本支出。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（三）社会保障和就业（类）行政事业单位离退休（款）机关事业单位基本养老保险缴费支出（项）：指机关事业单位基本养老保险缴费支出。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（四）医疗卫生与计划生育支出（类）医疗保障（款）行政事业单位医疗（项）：指财政部门集中安排的行政事业单位基本医疗保险缴费经费。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城乡社区支出（类）城乡社区公共设施（款）城乡社区公共设施支出（项）：指用于城市基础设施配套费安排用于城市道路、桥涵、公共交通、道路照明、供排水、燃气、供热等公共设施维护、建设和管理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（六）城乡社区支出（类）城乡社区公共设施（款）其他城乡社区公共设施支出（项）：指用于城乡社区公共设施方面的支出。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资源勘探信息等支出（类）工业和信息监管（款）行政运行、一般行政管理事务、其他工业和信息产业监管支出（项）：指行政单位的基本支出、未单独设置项及科目的其他项目支出及上述项目以外其他用于工业和信息产业监管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（八）住房保障支出（类）住房改革支出（款）住房公积金（项）：指行政事业单位按人力资源和社会保障部、财政部规定的基本工资和津贴补贴以及规定比例为职工缴纳的住房公积金。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（九）基本支出：指为保障机构正常运转、完成日常工作任务而发生的人员支出和公用支出。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（十）项目支出：指在基本支出之外为完成特定行政任务和事业发展目标所发生的支出。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（十一）“三公”经费：纳入区级财政预决算管理的“三公”经费，是指部门用财政拨款安排的因公出国（境）经费、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务用车购置及运行维护费、公务接待费。其中，因公出国（境）经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auto"/>
          <w:sz w:val="44"/>
          <w:szCs w:val="44"/>
        </w:rPr>
      </w:pPr>
      <w:bookmarkStart w:id="112" w:name="_Toc27485"/>
      <w:bookmarkStart w:id="113" w:name="_Toc24227"/>
      <w:bookmarkStart w:id="114" w:name="_Toc12123"/>
      <w:bookmarkStart w:id="115" w:name="_Toc11353"/>
      <w:bookmarkStart w:id="116" w:name="_Toc17322"/>
      <w:r>
        <w:rPr>
          <w:rFonts w:hint="eastAsia" w:ascii="黑体" w:hAnsi="黑体" w:eastAsia="黑体" w:cs="黑体"/>
          <w:color w:val="auto"/>
          <w:sz w:val="44"/>
          <w:szCs w:val="44"/>
        </w:rPr>
        <w:t>附件</w:t>
      </w:r>
      <w:bookmarkEnd w:id="112"/>
      <w:bookmarkEnd w:id="113"/>
      <w:bookmarkEnd w:id="114"/>
      <w:bookmarkEnd w:id="115"/>
      <w:bookmarkEnd w:id="116"/>
    </w:p>
    <w:p>
      <w:pPr>
        <w:pStyle w:val="4"/>
        <w:numPr>
          <w:ilvl w:val="0"/>
          <w:numId w:val="0"/>
        </w:numPr>
        <w:outlineLvl w:val="1"/>
        <w:rPr>
          <w:rFonts w:hint="eastAsia"/>
          <w:sz w:val="32"/>
          <w:szCs w:val="32"/>
          <w:lang w:val="en-US" w:eastAsia="zh-CN"/>
        </w:rPr>
      </w:pPr>
      <w:bookmarkStart w:id="117" w:name="_Toc20761"/>
      <w:bookmarkStart w:id="118" w:name="_Toc18487"/>
      <w:bookmarkStart w:id="119" w:name="_Toc23573"/>
      <w:bookmarkStart w:id="120" w:name="_Toc18361"/>
      <w:bookmarkStart w:id="121" w:name="_Toc19210"/>
      <w:r>
        <w:rPr>
          <w:rFonts w:hint="eastAsia"/>
          <w:sz w:val="32"/>
          <w:szCs w:val="32"/>
          <w:lang w:val="en-US" w:eastAsia="zh-CN"/>
        </w:rPr>
        <w:t>附件1</w:t>
      </w:r>
      <w:bookmarkEnd w:id="117"/>
      <w:bookmarkEnd w:id="118"/>
      <w:bookmarkEnd w:id="119"/>
      <w:bookmarkEnd w:id="120"/>
      <w:bookmarkEnd w:id="121"/>
    </w:p>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乐山冠英新区开发建设管理委员会</w:t>
      </w:r>
    </w:p>
    <w:p>
      <w:pPr>
        <w:pStyle w:val="4"/>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2023</w:t>
      </w:r>
      <w:r>
        <w:rPr>
          <w:rFonts w:hint="eastAsia" w:ascii="方正小标宋简体" w:hAnsi="方正小标宋简体" w:eastAsia="方正小标宋简体" w:cs="方正小标宋简体"/>
          <w:sz w:val="44"/>
          <w:szCs w:val="44"/>
        </w:rPr>
        <w:t>年部门预算整体支出绩效</w:t>
      </w: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报告</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textAlignment w:val="auto"/>
        <w:outlineLvl w:val="1"/>
        <w:rPr>
          <w:rFonts w:hint="eastAsia" w:ascii="黑体" w:eastAsia="黑体"/>
          <w:sz w:val="32"/>
          <w:szCs w:val="32"/>
        </w:rPr>
      </w:pPr>
      <w:bookmarkStart w:id="122" w:name="_Toc12074"/>
      <w:bookmarkStart w:id="123" w:name="_Toc14731"/>
      <w:bookmarkStart w:id="124" w:name="_Toc5424"/>
      <w:bookmarkStart w:id="125" w:name="_Toc11857"/>
      <w:bookmarkStart w:id="126" w:name="_Toc14712"/>
      <w:r>
        <w:rPr>
          <w:rFonts w:hint="eastAsia" w:ascii="黑体" w:eastAsia="黑体"/>
          <w:sz w:val="32"/>
          <w:szCs w:val="32"/>
          <w:lang w:eastAsia="zh-CN"/>
        </w:rPr>
        <w:t>一、</w:t>
      </w:r>
      <w:r>
        <w:rPr>
          <w:rFonts w:hint="eastAsia" w:ascii="黑体" w:eastAsia="黑体"/>
          <w:sz w:val="32"/>
          <w:szCs w:val="32"/>
        </w:rPr>
        <w:t>部门概况</w:t>
      </w:r>
      <w:bookmarkEnd w:id="122"/>
      <w:bookmarkEnd w:id="123"/>
      <w:bookmarkEnd w:id="124"/>
      <w:bookmarkEnd w:id="125"/>
      <w:bookmarkEnd w:id="126"/>
    </w:p>
    <w:p>
      <w:pPr>
        <w:keepNext w:val="0"/>
        <w:keepLines w:val="0"/>
        <w:pageBreakBefore w:val="0"/>
        <w:kinsoku/>
        <w:wordWrap/>
        <w:overflowPunct/>
        <w:topLinePunct w:val="0"/>
        <w:autoSpaceDE/>
        <w:autoSpaceDN/>
        <w:bidi w:val="0"/>
        <w:adjustRightInd/>
        <w:snapToGrid/>
        <w:spacing w:line="600" w:lineRule="exact"/>
        <w:ind w:firstLine="422" w:firstLineChars="200"/>
        <w:textAlignment w:val="auto"/>
        <w:rPr>
          <w:rFonts w:hint="eastAsia" w:ascii="楷体_GB2312" w:hAnsi="楷体_GB2312" w:eastAsia="楷体_GB2312" w:cs="楷体_GB2312"/>
          <w:b/>
        </w:rPr>
      </w:pPr>
      <w:r>
        <w:rPr>
          <w:rFonts w:hint="eastAsia" w:ascii="楷体_GB2312" w:hAnsi="楷体_GB2312" w:eastAsia="楷体_GB2312" w:cs="楷体_GB2312"/>
          <w:b/>
        </w:rPr>
        <w:t>（</w:t>
      </w:r>
      <w:r>
        <w:rPr>
          <w:rFonts w:hint="eastAsia" w:ascii="楷体_GB2312" w:hAnsi="楷体_GB2312" w:eastAsia="楷体_GB2312" w:cs="楷体_GB2312"/>
          <w:b/>
          <w:sz w:val="32"/>
          <w:szCs w:val="32"/>
        </w:rPr>
        <w:t>一）机构组成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乐山冠英新区开发建设管理委员会下属</w:t>
      </w:r>
      <w:r>
        <w:rPr>
          <w:rFonts w:hint="eastAsia" w:ascii="Times New Roman" w:hAnsi="Times New Roman" w:cs="Times New Roman"/>
          <w:sz w:val="32"/>
          <w:szCs w:val="32"/>
          <w:lang w:val="en-US" w:eastAsia="zh-CN"/>
        </w:rPr>
        <w:t>二</w:t>
      </w:r>
      <w:r>
        <w:rPr>
          <w:rFonts w:hint="eastAsia" w:ascii="Times New Roman" w:hAnsi="Times New Roman" w:eastAsia="仿宋_GB2312" w:cs="Times New Roman"/>
          <w:sz w:val="32"/>
          <w:szCs w:val="32"/>
        </w:rPr>
        <w:t>级预算单位2个，其中行政单位1个，其他事业单位1个。</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机构职能</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人员概况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负责牵头编制新区专项规划、产业发展规划等规划，协助编制新区总体规划、控制性详规，经批准后组织实施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负责牵头组织实施新区城市基础设施和公共配套设施的建设，协调配合新区交通、水务等其他工程建设项目的推进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负责新区招商引资、产业培育工作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负责新区城乡规划、土地管理、市政环卫、综合治理、行政执法的协调配合或依法行使相关</w:t>
      </w:r>
      <w:r>
        <w:rPr>
          <w:rFonts w:hint="eastAsia" w:ascii="Times New Roman" w:hAnsi="Times New Roman" w:eastAsia="仿宋_GB2312"/>
          <w:sz w:val="32"/>
          <w:szCs w:val="32"/>
          <w:lang w:eastAsia="zh-CN"/>
        </w:rPr>
        <w:t>权力事项；</w:t>
      </w:r>
      <w:r>
        <w:rPr>
          <w:rFonts w:hint="eastAsia" w:ascii="Times New Roman" w:hAnsi="Times New Roman" w:eastAsia="仿宋_GB2312"/>
          <w:sz w:val="32"/>
          <w:szCs w:val="32"/>
        </w:rPr>
        <w:t>负责新区社会投资项目建设、运营的协调服务工作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负责职责范围内安全生产、职业健康和生态环境保护等工作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履行区政府及相关职能部门授权的相关职能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承担区委、区政府交办的其他工作事项。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u w:val="none"/>
        </w:rPr>
      </w:pPr>
      <w:r>
        <w:rPr>
          <w:rFonts w:hint="eastAsia" w:ascii="Times New Roman" w:hAnsi="Times New Roman" w:eastAsia="仿宋_GB2312" w:cs="Times New Roman"/>
          <w:sz w:val="32"/>
          <w:szCs w:val="32"/>
        </w:rPr>
        <w:t>行政编制数</w:t>
      </w:r>
      <w:r>
        <w:rPr>
          <w:rFonts w:hint="eastAsia" w:ascii="Times New Roman" w:hAnsi="Times New Roman" w:cs="Times New Roman"/>
          <w:sz w:val="32"/>
          <w:szCs w:val="32"/>
          <w:lang w:val="en-US" w:eastAsia="zh-CN"/>
        </w:rPr>
        <w:t>9</w:t>
      </w:r>
      <w:r>
        <w:rPr>
          <w:rFonts w:hint="eastAsia" w:ascii="Times New Roman" w:hAnsi="Times New Roman" w:eastAsia="仿宋_GB2312" w:cs="Times New Roman"/>
          <w:sz w:val="32"/>
          <w:szCs w:val="32"/>
        </w:rPr>
        <w:t>人，实有人数</w:t>
      </w:r>
      <w:r>
        <w:rPr>
          <w:rFonts w:hint="eastAsia" w:ascii="Times New Roman" w:hAnsi="Times New Roman" w:cs="Times New Roman"/>
          <w:sz w:val="32"/>
          <w:szCs w:val="32"/>
          <w:lang w:val="en-US" w:eastAsia="zh-CN"/>
        </w:rPr>
        <w:t>9</w:t>
      </w:r>
      <w:r>
        <w:rPr>
          <w:rFonts w:hint="eastAsia" w:ascii="Times New Roman" w:hAnsi="Times New Roman" w:eastAsia="仿宋_GB2312" w:cs="Times New Roman"/>
          <w:sz w:val="32"/>
          <w:szCs w:val="32"/>
        </w:rPr>
        <w:t>人；事业编制10人，实有人数10人。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eastAsia="zh-CN"/>
        </w:rPr>
        <w:t>（三）年度主要工作任务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年工作重点是加快</w:t>
      </w:r>
      <w:r>
        <w:rPr>
          <w:rFonts w:hint="eastAsia" w:ascii="仿宋_GB2312" w:hAnsi="仿宋_GB2312" w:eastAsia="仿宋_GB2312" w:cs="仿宋_GB2312"/>
          <w:sz w:val="32"/>
          <w:szCs w:val="32"/>
          <w:lang w:eastAsia="zh-CN"/>
        </w:rPr>
        <w:t>乐山机场、</w:t>
      </w:r>
      <w:r>
        <w:rPr>
          <w:rFonts w:hint="eastAsia" w:ascii="仿宋_GB2312" w:hAnsi="仿宋_GB2312" w:eastAsia="仿宋_GB2312" w:cs="仿宋_GB2312"/>
          <w:sz w:val="32"/>
          <w:szCs w:val="32"/>
          <w:lang w:val="en-US" w:eastAsia="zh-CN"/>
        </w:rPr>
        <w:t>岷江老木孔航电枢纽控制性工程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冠英新区回迁房（三期）、人才培训中心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项目建设</w:t>
      </w:r>
      <w:r>
        <w:rPr>
          <w:rFonts w:hint="eastAsia" w:ascii="仿宋_GB2312" w:hAnsi="仿宋_GB2312" w:eastAsia="仿宋_GB2312" w:cs="仿宋_GB2312"/>
          <w:sz w:val="32"/>
          <w:szCs w:val="32"/>
          <w:lang w:eastAsia="zh-CN"/>
        </w:rPr>
        <w:t>；不断完善基础设施建设，</w:t>
      </w:r>
      <w:r>
        <w:rPr>
          <w:rFonts w:hint="eastAsia" w:ascii="仿宋_GB2312" w:hAnsi="仿宋_GB2312" w:eastAsia="仿宋_GB2312"/>
          <w:color w:val="auto"/>
          <w:sz w:val="32"/>
          <w:lang w:val="en-US" w:eastAsia="zh-CN"/>
        </w:rPr>
        <w:t>完工石子埂路天樾国际城段，开工建设</w:t>
      </w:r>
      <w:r>
        <w:rPr>
          <w:rFonts w:hint="eastAsia" w:ascii="仿宋_GB2312" w:hAnsi="仿宋_GB2312" w:eastAsia="仿宋_GB2312" w:cs="仿宋_GB2312"/>
          <w:color w:val="auto"/>
          <w:sz w:val="32"/>
          <w:lang w:val="en-US" w:eastAsia="zh-CN"/>
        </w:rPr>
        <w:t>双桥路二期、</w:t>
      </w:r>
      <w:r>
        <w:rPr>
          <w:rFonts w:hint="eastAsia" w:ascii="仿宋_GB2312" w:hAnsi="仿宋_GB2312" w:eastAsia="仿宋_GB2312" w:cs="仿宋_GB2312"/>
          <w:i w:val="0"/>
          <w:iCs w:val="0"/>
          <w:color w:val="auto"/>
          <w:sz w:val="32"/>
          <w:szCs w:val="32"/>
          <w:u w:val="none"/>
          <w:lang w:eastAsia="zh-CN"/>
        </w:rPr>
        <w:t>新居路一期Ⅱ标段</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olor w:val="auto"/>
          <w:sz w:val="32"/>
          <w:lang w:val="en-US" w:eastAsia="zh-CN"/>
        </w:rPr>
        <w:t>开展</w:t>
      </w:r>
      <w:r>
        <w:rPr>
          <w:rFonts w:hint="eastAsia" w:ascii="仿宋_GB2312" w:hAnsi="仿宋_GB2312" w:eastAsia="仿宋_GB2312" w:cs="仿宋_GB2312"/>
          <w:color w:val="auto"/>
          <w:sz w:val="32"/>
          <w:lang w:val="en-US" w:eastAsia="zh-CN"/>
        </w:rPr>
        <w:t>修身路二期等9条道路前期工作</w:t>
      </w:r>
      <w:r>
        <w:rPr>
          <w:rFonts w:hint="eastAsia" w:ascii="仿宋_GB2312" w:hAnsi="仿宋_GB2312" w:eastAsia="仿宋_GB2312"/>
          <w:color w:val="auto"/>
          <w:sz w:val="32"/>
          <w:lang w:val="zh-CN"/>
        </w:rPr>
        <w:t>，同步推进电力、通信、广电、给排水、热力、燃气等地下管网铺设；</w:t>
      </w:r>
      <w:r>
        <w:rPr>
          <w:rFonts w:hint="eastAsia" w:ascii="仿宋_GB2312" w:hAnsi="仿宋_GB2312" w:eastAsia="仿宋_GB2312" w:cs="仿宋_GB2312"/>
          <w:sz w:val="32"/>
          <w:szCs w:val="32"/>
        </w:rPr>
        <w:t>推进房地产开发，</w:t>
      </w:r>
      <w:r>
        <w:rPr>
          <w:rFonts w:hint="eastAsia" w:ascii="仿宋_GB2312" w:hAnsi="仿宋_GB2312" w:eastAsia="仿宋_GB2312"/>
          <w:color w:val="auto"/>
          <w:sz w:val="32"/>
          <w:lang w:val="zh-CN"/>
        </w:rPr>
        <w:t>完工东润·学府里、阳光·天樾国际城一期，加快建设蓝城绿洲、阳光·天樾国际城二期等</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val="zh-CN"/>
        </w:rPr>
        <w:t>个房地产项目；</w:t>
      </w:r>
      <w:r>
        <w:rPr>
          <w:rFonts w:hint="eastAsia" w:ascii="仿宋_GB2312" w:hAnsi="仿宋_GB2312" w:eastAsia="仿宋_GB2312" w:cs="仿宋_GB2312"/>
          <w:sz w:val="32"/>
          <w:szCs w:val="32"/>
        </w:rPr>
        <w:t>加大招商引资力度，吸聚文旅、商贸、社会事业等带动力强的项目入驻。</w:t>
      </w:r>
    </w:p>
    <w:p>
      <w:pPr>
        <w:keepNext w:val="0"/>
        <w:keepLines w:val="0"/>
        <w:pageBreakBefore w:val="0"/>
        <w:kinsoku/>
        <w:wordWrap/>
        <w:overflowPunct/>
        <w:topLinePunct w:val="0"/>
        <w:autoSpaceDE/>
        <w:autoSpaceDN/>
        <w:bidi w:val="0"/>
        <w:adjustRightInd/>
        <w:snapToGrid/>
        <w:spacing w:line="600" w:lineRule="exact"/>
        <w:ind w:firstLine="422" w:firstLineChars="200"/>
        <w:textAlignment w:val="auto"/>
        <w:rPr>
          <w:rFonts w:hint="eastAsia" w:ascii="楷体_GB2312" w:hAnsi="楷体_GB2312" w:eastAsia="楷体_GB2312" w:cs="楷体_GB2312"/>
          <w:b/>
          <w:color w:val="auto"/>
          <w:lang w:eastAsia="zh-CN"/>
        </w:rPr>
      </w:pPr>
      <w:r>
        <w:rPr>
          <w:rFonts w:hint="eastAsia" w:ascii="楷体_GB2312" w:hAnsi="楷体_GB2312" w:eastAsia="楷体_GB2312" w:cs="楷体_GB2312"/>
          <w:b/>
          <w:color w:val="auto"/>
          <w:lang w:eastAsia="zh-CN"/>
        </w:rPr>
        <w:t>（</w:t>
      </w:r>
      <w:r>
        <w:rPr>
          <w:rFonts w:hint="eastAsia" w:ascii="楷体_GB2312" w:hAnsi="楷体_GB2312" w:eastAsia="楷体_GB2312" w:cs="楷体_GB2312"/>
          <w:b/>
          <w:color w:val="auto"/>
          <w:sz w:val="32"/>
          <w:szCs w:val="32"/>
          <w:lang w:eastAsia="zh-CN"/>
        </w:rPr>
        <w:t>四）整体支出绩效目标</w:t>
      </w:r>
      <w:r>
        <w:rPr>
          <w:rFonts w:hint="eastAsia" w:ascii="楷体_GB2312" w:hAnsi="楷体_GB2312" w:eastAsia="楷体_GB2312" w:cs="楷体_GB2312"/>
          <w:b/>
          <w:color w:val="auto"/>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szCs w:val="32"/>
          <w:lang w:eastAsia="zh-CN"/>
        </w:rPr>
      </w:pPr>
      <w:r>
        <w:rPr>
          <w:rFonts w:hint="eastAsia" w:ascii="Times New Roman" w:hAnsi="Times New Roman" w:eastAsia="仿宋_GB2312" w:cs="Times New Roman"/>
          <w:color w:val="auto"/>
          <w:sz w:val="32"/>
          <w:szCs w:val="32"/>
          <w:lang w:eastAsia="zh-CN"/>
        </w:rPr>
        <w:t>保障机关、中心人员开支，为工作完成提供保障；</w:t>
      </w:r>
      <w:r>
        <w:rPr>
          <w:rFonts w:hint="eastAsia" w:ascii="仿宋_GB2312" w:hAnsi="仿宋_GB2312" w:eastAsia="仿宋_GB2312"/>
          <w:color w:val="auto"/>
          <w:sz w:val="32"/>
          <w:lang w:val="en-US" w:eastAsia="zh-CN"/>
        </w:rPr>
        <w:t>完工石子埂路天樾国际城段，开工建设</w:t>
      </w:r>
      <w:r>
        <w:rPr>
          <w:rFonts w:hint="eastAsia" w:ascii="仿宋_GB2312" w:hAnsi="仿宋_GB2312" w:eastAsia="仿宋_GB2312" w:cs="仿宋_GB2312"/>
          <w:color w:val="auto"/>
          <w:sz w:val="32"/>
          <w:lang w:val="en-US" w:eastAsia="zh-CN"/>
        </w:rPr>
        <w:t>双桥路二期、</w:t>
      </w:r>
      <w:r>
        <w:rPr>
          <w:rFonts w:hint="eastAsia" w:ascii="仿宋_GB2312" w:hAnsi="仿宋_GB2312" w:eastAsia="仿宋_GB2312" w:cs="仿宋_GB2312"/>
          <w:i w:val="0"/>
          <w:iCs w:val="0"/>
          <w:color w:val="auto"/>
          <w:sz w:val="32"/>
          <w:szCs w:val="32"/>
          <w:u w:val="none"/>
          <w:lang w:eastAsia="zh-CN"/>
        </w:rPr>
        <w:t>新居路一期Ⅱ标段</w:t>
      </w:r>
      <w:r>
        <w:rPr>
          <w:rFonts w:hint="eastAsia" w:ascii="Times New Roman" w:hAnsi="Times New Roman"/>
          <w:color w:val="auto"/>
          <w:sz w:val="32"/>
          <w:szCs w:val="32"/>
          <w:lang w:eastAsia="zh-CN"/>
        </w:rPr>
        <w:t>，加快推进冠英新区回迁房（三期）、</w:t>
      </w:r>
      <w:r>
        <w:rPr>
          <w:rFonts w:hint="eastAsia" w:ascii="Times New Roman" w:hAnsi="Times New Roman" w:eastAsia="仿宋_GB2312" w:cs="Times New Roman"/>
          <w:color w:val="auto"/>
          <w:sz w:val="32"/>
          <w:szCs w:val="32"/>
          <w:lang w:eastAsia="zh-CN"/>
        </w:rPr>
        <w:t>人才培训中心建设。加大招商引资力度，加快冠英新区建设</w:t>
      </w:r>
      <w:r>
        <w:rPr>
          <w:rFonts w:hint="eastAsia" w:ascii="Times New Roman" w:hAnsi="Times New Roman"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eastAsia="黑体"/>
          <w:sz w:val="32"/>
          <w:szCs w:val="32"/>
        </w:rPr>
      </w:pPr>
      <w:bookmarkStart w:id="127" w:name="_Toc28646"/>
      <w:bookmarkStart w:id="128" w:name="_Toc7292"/>
      <w:bookmarkStart w:id="129" w:name="_Toc31842"/>
      <w:bookmarkStart w:id="130" w:name="_Toc21866"/>
      <w:bookmarkStart w:id="131" w:name="_Toc5426"/>
      <w:r>
        <w:rPr>
          <w:rFonts w:hint="eastAsia" w:ascii="黑体" w:eastAsia="黑体"/>
          <w:sz w:val="32"/>
          <w:szCs w:val="32"/>
        </w:rPr>
        <w:t>二、部门财政资金收支情况</w:t>
      </w:r>
      <w:bookmarkEnd w:id="127"/>
      <w:bookmarkEnd w:id="128"/>
      <w:bookmarkEnd w:id="129"/>
      <w:bookmarkEnd w:id="130"/>
      <w:bookmarkEnd w:id="131"/>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b/>
          <w:sz w:val="28"/>
          <w:szCs w:val="28"/>
        </w:rPr>
      </w:pPr>
      <w:r>
        <w:rPr>
          <w:rFonts w:hint="eastAsia"/>
          <w:b/>
          <w:sz w:val="28"/>
          <w:szCs w:val="28"/>
        </w:rPr>
        <w:t>（一）部门财政资金收入情况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年预算收入总额为</w:t>
      </w:r>
      <w:r>
        <w:rPr>
          <w:rFonts w:hint="eastAsia" w:ascii="仿宋" w:hAnsi="仿宋" w:eastAsia="仿宋" w:cs="仿宋"/>
          <w:sz w:val="32"/>
          <w:szCs w:val="32"/>
          <w:lang w:val="en-US" w:eastAsia="zh-CN"/>
        </w:rPr>
        <w:t>22335.22</w:t>
      </w:r>
      <w:r>
        <w:rPr>
          <w:rFonts w:hint="eastAsia" w:ascii="仿宋" w:hAnsi="仿宋" w:eastAsia="仿宋" w:cs="仿宋"/>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仿宋" w:hAnsi="仿宋" w:eastAsia="仿宋" w:cs="仿宋"/>
          <w:sz w:val="32"/>
          <w:szCs w:val="32"/>
          <w:lang w:val="en-US" w:eastAsia="zh-CN"/>
        </w:rPr>
        <w:t>1、</w:t>
      </w:r>
      <w:r>
        <w:rPr>
          <w:rFonts w:hint="eastAsia" w:ascii="仿宋_GB2312" w:hAnsi="仿宋_GB2312" w:eastAsia="仿宋_GB2312" w:cs="仿宋_GB2312"/>
          <w:sz w:val="32"/>
          <w:szCs w:val="32"/>
        </w:rPr>
        <w:t>一般公共预算财政拨款支出</w:t>
      </w:r>
      <w:r>
        <w:rPr>
          <w:rFonts w:hint="eastAsia" w:ascii="仿宋_GB2312" w:hAnsi="仿宋_GB2312" w:eastAsia="仿宋_GB2312" w:cs="仿宋_GB2312"/>
          <w:sz w:val="32"/>
          <w:szCs w:val="32"/>
          <w:lang w:val="en-US" w:eastAsia="zh-CN"/>
        </w:rPr>
        <w:t>1914.38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主要用于以下方面:社会保障和就业支出</w:t>
      </w:r>
      <w:r>
        <w:rPr>
          <w:rFonts w:hint="eastAsia" w:ascii="仿宋_GB2312" w:hAnsi="仿宋_GB2312" w:eastAsia="仿宋_GB2312" w:cs="仿宋_GB2312"/>
          <w:sz w:val="32"/>
          <w:szCs w:val="32"/>
          <w:lang w:val="en-US" w:eastAsia="zh-CN"/>
        </w:rPr>
        <w:t>61.7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%；资源勘探信息支出</w:t>
      </w:r>
      <w:r>
        <w:rPr>
          <w:rFonts w:hint="eastAsia" w:ascii="仿宋_GB2312" w:hAnsi="仿宋_GB2312" w:eastAsia="仿宋_GB2312" w:cs="仿宋_GB2312"/>
          <w:sz w:val="32"/>
          <w:szCs w:val="32"/>
          <w:lang w:val="en-US" w:eastAsia="zh-CN"/>
        </w:rPr>
        <w:t>1813.08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94.72</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_GB2312" w:hAnsi="仿宋_GB2312" w:eastAsia="仿宋_GB2312" w:cs="仿宋_GB2312"/>
          <w:sz w:val="32"/>
          <w:szCs w:val="32"/>
          <w:lang w:eastAsia="zh-CN"/>
        </w:rPr>
        <w:t>政府性基金预算拨款支出</w:t>
      </w:r>
      <w:r>
        <w:rPr>
          <w:rFonts w:hint="eastAsia" w:ascii="仿宋_GB2312" w:hAnsi="仿宋_GB2312" w:eastAsia="仿宋_GB2312" w:cs="仿宋_GB2312"/>
          <w:sz w:val="32"/>
          <w:szCs w:val="32"/>
          <w:lang w:val="en-US" w:eastAsia="zh-CN"/>
        </w:rPr>
        <w:t>20420.84</w:t>
      </w:r>
      <w:r>
        <w:rPr>
          <w:rFonts w:hint="eastAsia" w:ascii="仿宋_GB2312" w:hAnsi="仿宋_GB2312" w:eastAsia="仿宋_GB2312" w:cs="仿宋_GB2312"/>
          <w:sz w:val="32"/>
          <w:szCs w:val="32"/>
          <w:lang w:eastAsia="zh-CN"/>
        </w:rPr>
        <w:t>万元</w:t>
      </w:r>
      <w:r>
        <w:rPr>
          <w:rFonts w:hint="eastAsia" w:ascii="仿宋_GB2312"/>
          <w:lang w:val="en-US"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91.43</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（二）部门财政资金支出</w:t>
      </w:r>
      <w:r>
        <w:rPr>
          <w:rFonts w:hint="eastAsia" w:ascii="楷体_GB2312" w:hAnsi="楷体_GB2312" w:eastAsia="楷体_GB2312" w:cs="楷体_GB2312"/>
          <w:b/>
          <w:sz w:val="32"/>
          <w:szCs w:val="32"/>
          <w:lang w:eastAsia="zh-CN"/>
        </w:rPr>
        <w:t>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总额为</w:t>
      </w:r>
      <w:r>
        <w:rPr>
          <w:rFonts w:hint="eastAsia" w:ascii="仿宋_GB2312" w:hAnsi="仿宋_GB2312" w:eastAsia="仿宋_GB2312" w:cs="仿宋_GB2312"/>
          <w:sz w:val="32"/>
          <w:szCs w:val="32"/>
          <w:lang w:val="en-US" w:eastAsia="zh-CN"/>
        </w:rPr>
        <w:t>22335.22</w:t>
      </w:r>
      <w:r>
        <w:rPr>
          <w:rFonts w:hint="eastAsia" w:ascii="仿宋_GB2312" w:hAnsi="仿宋_GB2312" w:eastAsia="仿宋_GB2312" w:cs="仿宋_GB2312"/>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一般公共预算财政拨款支出</w:t>
      </w:r>
      <w:r>
        <w:rPr>
          <w:rFonts w:hint="eastAsia" w:ascii="仿宋_GB2312" w:hAnsi="仿宋_GB2312" w:eastAsia="仿宋_GB2312" w:cs="仿宋_GB2312"/>
          <w:sz w:val="32"/>
          <w:szCs w:val="32"/>
          <w:lang w:val="en-US" w:eastAsia="zh-CN"/>
        </w:rPr>
        <w:t>1914.38</w:t>
      </w:r>
      <w:r>
        <w:rPr>
          <w:rFonts w:hint="eastAsia" w:ascii="仿宋_GB2312" w:hAnsi="仿宋_GB2312" w:eastAsia="仿宋_GB2312" w:cs="仿宋_GB2312"/>
          <w:sz w:val="32"/>
          <w:szCs w:val="32"/>
        </w:rPr>
        <w:t>万元，主要用于以下方面:社会保障和就业支出</w:t>
      </w:r>
      <w:r>
        <w:rPr>
          <w:rFonts w:hint="eastAsia" w:ascii="仿宋_GB2312" w:hAnsi="仿宋_GB2312" w:eastAsia="仿宋_GB2312" w:cs="仿宋_GB2312"/>
          <w:sz w:val="32"/>
          <w:szCs w:val="32"/>
          <w:lang w:val="en-US" w:eastAsia="zh-CN"/>
        </w:rPr>
        <w:t>61.7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%；资源勘探信息支出</w:t>
      </w:r>
      <w:r>
        <w:rPr>
          <w:rFonts w:hint="eastAsia" w:ascii="仿宋_GB2312" w:hAnsi="仿宋_GB2312" w:eastAsia="仿宋_GB2312" w:cs="仿宋_GB2312"/>
          <w:sz w:val="32"/>
          <w:szCs w:val="32"/>
          <w:lang w:val="en-US" w:eastAsia="zh-CN"/>
        </w:rPr>
        <w:t>1813.08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94.72</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政府性基金预算拨款支出</w:t>
      </w:r>
      <w:r>
        <w:rPr>
          <w:rFonts w:hint="eastAsia" w:ascii="仿宋_GB2312" w:hAnsi="仿宋_GB2312" w:eastAsia="仿宋_GB2312" w:cs="仿宋_GB2312"/>
          <w:sz w:val="32"/>
          <w:szCs w:val="32"/>
          <w:lang w:val="en-US" w:eastAsia="zh-CN"/>
        </w:rPr>
        <w:t>20420.84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91.43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outlineLvl w:val="1"/>
        <w:rPr>
          <w:rFonts w:hint="eastAsia" w:ascii="黑体" w:eastAsia="黑体" w:cs="Times New Roman"/>
          <w:sz w:val="32"/>
          <w:szCs w:val="32"/>
        </w:rPr>
      </w:pPr>
      <w:bookmarkStart w:id="132" w:name="_Toc3108"/>
      <w:bookmarkStart w:id="133" w:name="_Toc28177"/>
      <w:bookmarkStart w:id="134" w:name="_Toc1398"/>
      <w:bookmarkStart w:id="135" w:name="_Toc17425"/>
      <w:bookmarkStart w:id="136" w:name="_Toc22513"/>
      <w:r>
        <w:rPr>
          <w:rFonts w:hint="eastAsia" w:ascii="黑体" w:eastAsia="黑体" w:cs="Times New Roman"/>
          <w:sz w:val="32"/>
          <w:szCs w:val="32"/>
        </w:rPr>
        <w:t>三、部门</w:t>
      </w:r>
      <w:r>
        <w:rPr>
          <w:rFonts w:hint="eastAsia" w:ascii="黑体" w:eastAsia="黑体" w:cs="Times New Roman"/>
          <w:sz w:val="32"/>
          <w:szCs w:val="32"/>
          <w:lang w:eastAsia="zh-CN"/>
        </w:rPr>
        <w:t>整体绩效</w:t>
      </w:r>
      <w:r>
        <w:rPr>
          <w:rFonts w:hint="eastAsia" w:ascii="黑体" w:eastAsia="黑体" w:cs="Times New Roman"/>
          <w:sz w:val="32"/>
          <w:szCs w:val="32"/>
        </w:rPr>
        <w:t>管理情况</w:t>
      </w:r>
      <w:bookmarkEnd w:id="132"/>
      <w:bookmarkEnd w:id="133"/>
      <w:bookmarkEnd w:id="134"/>
      <w:bookmarkEnd w:id="135"/>
      <w:bookmarkEnd w:id="136"/>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楷体_GB2312" w:hAnsi="楷体_GB2312" w:eastAsia="楷体_GB2312" w:cs="楷体_GB2312"/>
          <w:b/>
          <w:lang w:val="en-US" w:eastAsia="zh-CN"/>
        </w:rPr>
      </w:pPr>
      <w:r>
        <w:rPr>
          <w:rFonts w:hint="eastAsia" w:ascii="楷体_GB2312" w:hAnsi="楷体_GB2312" w:eastAsia="楷体_GB2312" w:cs="楷体_GB2312"/>
          <w:b/>
          <w:sz w:val="30"/>
          <w:szCs w:val="30"/>
        </w:rPr>
        <w:t>（一）</w:t>
      </w:r>
      <w:r>
        <w:rPr>
          <w:rFonts w:hint="eastAsia" w:ascii="楷体_GB2312" w:hAnsi="楷体_GB2312" w:eastAsia="楷体_GB2312" w:cs="楷体_GB2312"/>
          <w:b/>
          <w:sz w:val="30"/>
          <w:szCs w:val="30"/>
          <w:lang w:eastAsia="zh-CN"/>
        </w:rPr>
        <w:t>部门整体履职情况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绩效目标制定。认真编制部门整体支出绩效目标和项目绩效目标，提高资金使用效益。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目标实现。健全完善各类工作制度、流程、机制，加强统筹协调和工作指导，推进各项目标顺利完成。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预算编制。依据相关要求科学编制预算，做到“先预算，后支出”。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支出控制。</w:t>
      </w:r>
      <w:r>
        <w:rPr>
          <w:rFonts w:hint="eastAsia" w:ascii="仿宋_GB2312" w:hAnsi="仿宋_GB2312" w:eastAsia="仿宋_GB2312" w:cs="仿宋_GB2312"/>
          <w:sz w:val="32"/>
          <w:szCs w:val="32"/>
          <w:lang w:eastAsia="zh-CN"/>
        </w:rPr>
        <w:t>严格按照财务支出相关规定和程序，落实责任，</w:t>
      </w:r>
      <w:r>
        <w:rPr>
          <w:rFonts w:hint="eastAsia" w:ascii="仿宋_GB2312" w:hAnsi="仿宋_GB2312" w:eastAsia="仿宋_GB2312" w:cs="仿宋_GB2312"/>
          <w:sz w:val="32"/>
          <w:szCs w:val="32"/>
        </w:rPr>
        <w:t>加强支出票据审核，做到规范支出。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预算动态调整。严格按照预算动态调整有关规定进行预算调整，保障工作正常开展。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执行进度。强化预算执行，严格资金监管，严格按财务管理有关规定支付资金，做到不截留、不挪用、不克扣。</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预算完成情况。所有预算项目均已按要求完成。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违规记录。无。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Times New Roman"/>
          <w:sz w:val="32"/>
          <w:szCs w:val="32"/>
        </w:rPr>
      </w:pPr>
      <w:r>
        <w:rPr>
          <w:rFonts w:hint="eastAsia" w:ascii="仿宋_GB2312" w:cs="Times New Roman"/>
          <w:color w:val="auto"/>
          <w:sz w:val="32"/>
          <w:szCs w:val="32"/>
        </w:rPr>
        <w:t>（二）</w:t>
      </w:r>
      <w:r>
        <w:rPr>
          <w:rFonts w:hint="eastAsia" w:ascii="楷体_GB2312" w:hAnsi="宋体" w:eastAsia="楷体_GB2312" w:cs="宋体"/>
          <w:color w:val="auto"/>
          <w:kern w:val="0"/>
          <w:sz w:val="32"/>
          <w:szCs w:val="32"/>
          <w:shd w:val="clear" w:color="auto" w:fill="FFFFFF"/>
          <w:lang w:val="zh-CN"/>
        </w:rPr>
        <w:t>特定目标类项目绩效</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仿宋_GB2312" w:hAnsi="仿宋_GB2312" w:eastAsia="仿宋_GB2312" w:cs="仿宋_GB2312"/>
          <w:sz w:val="32"/>
          <w:szCs w:val="32"/>
          <w:lang w:eastAsia="zh-CN"/>
        </w:rPr>
      </w:pPr>
      <w:r>
        <w:rPr>
          <w:rFonts w:hint="eastAsia" w:ascii="仿宋_GB2312" w:cs="Times New Roman"/>
          <w:lang w:val="en-US" w:eastAsia="zh-CN"/>
        </w:rPr>
        <w:t>1、</w:t>
      </w:r>
      <w:r>
        <w:rPr>
          <w:rFonts w:hint="eastAsia" w:ascii="仿宋_GB2312" w:hAnsi="仿宋_GB2312" w:eastAsia="仿宋_GB2312" w:cs="仿宋_GB2312"/>
          <w:color w:val="auto"/>
          <w:sz w:val="32"/>
          <w:szCs w:val="32"/>
          <w:lang w:eastAsia="zh-CN"/>
        </w:rPr>
        <w:t>根据预算绩效管理要求，本部门在年初预算编制阶段，组</w:t>
      </w:r>
      <w:r>
        <w:rPr>
          <w:rFonts w:hint="eastAsia" w:ascii="仿宋_GB2312" w:hAnsi="仿宋_GB2312" w:eastAsia="仿宋_GB2312" w:cs="仿宋_GB2312"/>
          <w:sz w:val="32"/>
          <w:szCs w:val="32"/>
          <w:lang w:eastAsia="zh-CN"/>
        </w:rPr>
        <w:t>织对乐山市五通桥区空港产业园物流园区基础设施建设项目、冠英回迁房</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期开展了预算事前绩效评估，对该项目编制了绩效目标，预算执行过</w:t>
      </w:r>
      <w:r>
        <w:rPr>
          <w:rFonts w:hint="eastAsia" w:ascii="仿宋_GB2312" w:hAnsi="仿宋_GB2312" w:eastAsia="仿宋_GB2312" w:cs="仿宋_GB2312"/>
          <w:color w:val="auto"/>
          <w:sz w:val="32"/>
          <w:szCs w:val="32"/>
          <w:lang w:eastAsia="zh-CN"/>
        </w:rPr>
        <w:t>程中，选取项目开</w:t>
      </w:r>
      <w:r>
        <w:rPr>
          <w:rFonts w:hint="eastAsia" w:ascii="仿宋_GB2312" w:hAnsi="仿宋_GB2312" w:eastAsia="仿宋_GB2312" w:cs="仿宋_GB2312"/>
          <w:sz w:val="32"/>
          <w:szCs w:val="32"/>
          <w:lang w:eastAsia="zh-CN"/>
        </w:rPr>
        <w:t>展绩效监控，年终执行完毕后，对项目开展了绩效目标完成情况自评。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cs="Times New Roman"/>
          <w:lang w:val="en-US" w:eastAsia="zh-CN"/>
        </w:rPr>
      </w:pPr>
      <w:r>
        <w:rPr>
          <w:rFonts w:hint="eastAsia" w:ascii="仿宋_GB2312" w:hAnsi="仿宋_GB2312" w:eastAsia="仿宋_GB2312" w:cs="仿宋_GB2312"/>
          <w:sz w:val="32"/>
          <w:szCs w:val="32"/>
          <w:lang w:eastAsia="zh-CN"/>
        </w:rPr>
        <w:t>本部门组织了对</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项目支出绩效评价，从评价情况来看项目的组织、实施、管理、资金的使用都严格按照项目要求进行，达到预期效果。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2、50万以上项目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项目1、</w:t>
      </w:r>
      <w:r>
        <w:rPr>
          <w:rFonts w:hint="eastAsia" w:ascii="仿宋_GB2312" w:hAnsi="仿宋_GB2312" w:eastAsia="仿宋_GB2312" w:cs="仿宋_GB2312"/>
          <w:sz w:val="32"/>
          <w:szCs w:val="32"/>
          <w:lang w:eastAsia="zh-CN"/>
        </w:rPr>
        <w:t>乐山市五通桥区空港产业园物流园区基础设施建设项目，项目全年预算数</w:t>
      </w:r>
      <w:r>
        <w:rPr>
          <w:rFonts w:hint="eastAsia" w:ascii="仿宋_GB2312" w:hAnsi="仿宋_GB2312" w:eastAsia="仿宋_GB2312" w:cs="仿宋_GB2312"/>
          <w:sz w:val="32"/>
          <w:szCs w:val="32"/>
          <w:lang w:val="en-US" w:eastAsia="zh-CN"/>
        </w:rPr>
        <w:t>6314.64</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6314.64</w:t>
      </w:r>
      <w:r>
        <w:rPr>
          <w:rFonts w:hint="eastAsia" w:ascii="仿宋_GB2312" w:hAnsi="仿宋_GB2312" w:eastAsia="仿宋_GB2312" w:cs="仿宋_GB2312"/>
          <w:sz w:val="32"/>
          <w:szCs w:val="32"/>
          <w:lang w:eastAsia="zh-CN"/>
        </w:rPr>
        <w:t>万元，完成预算的100%。通过项目实施，完善了冠英新区基础设施建设，促进了新区的发展，改善了周边环境，方便了群众出行，城市规划更加合理，城市面貌得到改善。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2、冠英回迁房三期</w:t>
      </w:r>
      <w:r>
        <w:rPr>
          <w:rFonts w:hint="eastAsia" w:ascii="仿宋_GB2312" w:hAnsi="仿宋_GB2312" w:eastAsia="仿宋_GB2312" w:cs="仿宋_GB2312"/>
          <w:sz w:val="32"/>
          <w:szCs w:val="32"/>
          <w:lang w:eastAsia="zh-CN"/>
        </w:rPr>
        <w:t>项目全年预算数</w:t>
      </w:r>
      <w:r>
        <w:rPr>
          <w:rFonts w:hint="eastAsia" w:ascii="仿宋_GB2312" w:hAnsi="仿宋_GB2312" w:eastAsia="仿宋_GB2312" w:cs="仿宋_GB2312"/>
          <w:sz w:val="32"/>
          <w:szCs w:val="32"/>
          <w:lang w:val="en-US" w:eastAsia="zh-CN"/>
        </w:rPr>
        <w:t>5603.51</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5603.51</w:t>
      </w:r>
      <w:r>
        <w:rPr>
          <w:rFonts w:hint="eastAsia" w:ascii="仿宋_GB2312" w:hAnsi="仿宋_GB2312" w:eastAsia="仿宋_GB2312" w:cs="仿宋_GB2312"/>
          <w:sz w:val="32"/>
          <w:szCs w:val="32"/>
          <w:lang w:eastAsia="zh-CN"/>
        </w:rPr>
        <w:t>万元，完成预算的100%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以上项目是冠英新区基础设施建设，项目的实施完成，完善了冠英新区基础设施建设，促进了新区的发展，改善了周边环境，方便了群众出行，城市规划更加合理，城市面貌得到改善。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Times New Roman"/>
        </w:rPr>
      </w:pPr>
      <w:r>
        <w:rPr>
          <w:rFonts w:hint="eastAsia" w:ascii="仿宋_GB2312" w:cs="Times New Roman"/>
          <w:sz w:val="32"/>
          <w:szCs w:val="32"/>
          <w:lang w:eastAsia="zh-CN"/>
        </w:rPr>
        <w:t>（三）</w:t>
      </w:r>
      <w:r>
        <w:rPr>
          <w:rFonts w:hint="eastAsia" w:ascii="仿宋_GB2312" w:cs="Times New Roman"/>
          <w:sz w:val="32"/>
          <w:szCs w:val="32"/>
        </w:rPr>
        <w:t>结果应用情况</w:t>
      </w:r>
      <w:r>
        <w:rPr>
          <w:rFonts w:hint="eastAsia" w:ascii="仿宋_GB2312"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1、绩效自评公开。按要求开展绩效自评工作，并在规定时间和范围内公开。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2、评价结果整改。对自查发现的问题认真梳理，举一反三，立行立改，并进一步完善工作机制，落实工作措施，防止问题反弹。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3、应用结果反馈。进一步完善财务管理制度办法并严格落实。</w:t>
      </w:r>
    </w:p>
    <w:p>
      <w:pPr>
        <w:keepNext w:val="0"/>
        <w:keepLines w:val="0"/>
        <w:pageBreakBefore w:val="0"/>
        <w:kinsoku/>
        <w:wordWrap/>
        <w:overflowPunct/>
        <w:topLinePunct w:val="0"/>
        <w:autoSpaceDE/>
        <w:autoSpaceDN/>
        <w:bidi w:val="0"/>
        <w:adjustRightInd/>
        <w:snapToGrid/>
        <w:spacing w:line="600" w:lineRule="exact"/>
        <w:ind w:firstLine="800" w:firstLineChars="250"/>
        <w:textAlignment w:val="auto"/>
        <w:outlineLvl w:val="1"/>
        <w:rPr>
          <w:rFonts w:hint="eastAsia" w:ascii="黑体" w:eastAsia="黑体"/>
          <w:sz w:val="32"/>
          <w:szCs w:val="32"/>
        </w:rPr>
      </w:pPr>
      <w:bookmarkStart w:id="137" w:name="_Toc9051"/>
      <w:bookmarkStart w:id="138" w:name="_Toc3072"/>
      <w:bookmarkStart w:id="139" w:name="_Toc12264"/>
      <w:bookmarkStart w:id="140" w:name="_Toc31733"/>
      <w:bookmarkStart w:id="141" w:name="_Toc18128"/>
      <w:r>
        <w:rPr>
          <w:rFonts w:hint="eastAsia" w:ascii="黑体" w:eastAsia="黑体"/>
          <w:sz w:val="32"/>
          <w:szCs w:val="32"/>
        </w:rPr>
        <w:t>四、评价结论及建议</w:t>
      </w:r>
      <w:bookmarkEnd w:id="137"/>
      <w:bookmarkEnd w:id="138"/>
      <w:bookmarkEnd w:id="139"/>
      <w:bookmarkEnd w:id="140"/>
      <w:bookmarkEnd w:id="141"/>
    </w:p>
    <w:p>
      <w:pPr>
        <w:keepNext w:val="0"/>
        <w:keepLines w:val="0"/>
        <w:pageBreakBefore w:val="0"/>
        <w:kinsoku/>
        <w:wordWrap/>
        <w:overflowPunct/>
        <w:topLinePunct w:val="0"/>
        <w:autoSpaceDE/>
        <w:autoSpaceDN/>
        <w:bidi w:val="0"/>
        <w:adjustRightInd/>
        <w:snapToGrid/>
        <w:spacing w:line="600" w:lineRule="exact"/>
        <w:ind w:firstLine="964" w:firstLineChars="3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（一）评价结论</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b w:val="0"/>
          <w:i w:val="0"/>
          <w:caps w:val="0"/>
          <w:color w:val="auto"/>
          <w:spacing w:val="0"/>
          <w:sz w:val="32"/>
          <w:szCs w:val="32"/>
          <w:shd w:val="clear" w:color="auto" w:fill="FFFFFF"/>
        </w:rPr>
      </w:pPr>
      <w:r>
        <w:rPr>
          <w:rFonts w:hint="eastAsia" w:ascii="仿宋_GB2312" w:hAnsi="仿宋_GB2312" w:eastAsia="仿宋_GB2312" w:cs="仿宋_GB2312"/>
          <w:b w:val="0"/>
          <w:i w:val="0"/>
          <w:caps w:val="0"/>
          <w:color w:val="auto"/>
          <w:spacing w:val="0"/>
          <w:sz w:val="32"/>
          <w:szCs w:val="32"/>
          <w:shd w:val="clear" w:color="auto" w:fill="FFFFFF"/>
        </w:rPr>
        <w:t>从整体情况来看，我</w:t>
      </w:r>
      <w:r>
        <w:rPr>
          <w:rFonts w:hint="eastAsia" w:ascii="仿宋_GB2312" w:hAnsi="仿宋_GB2312" w:eastAsia="仿宋_GB2312" w:cs="仿宋_GB2312"/>
          <w:b w:val="0"/>
          <w:i w:val="0"/>
          <w:caps w:val="0"/>
          <w:color w:val="auto"/>
          <w:spacing w:val="0"/>
          <w:sz w:val="32"/>
          <w:szCs w:val="32"/>
          <w:shd w:val="clear" w:color="auto" w:fill="FFFFFF"/>
          <w:lang w:eastAsia="zh-CN"/>
        </w:rPr>
        <w:t>委</w:t>
      </w:r>
      <w:r>
        <w:rPr>
          <w:rFonts w:hint="eastAsia" w:ascii="仿宋_GB2312" w:hAnsi="仿宋_GB2312" w:eastAsia="仿宋_GB2312" w:cs="仿宋_GB2312"/>
          <w:b w:val="0"/>
          <w:i w:val="0"/>
          <w:caps w:val="0"/>
          <w:color w:val="auto"/>
          <w:spacing w:val="0"/>
          <w:sz w:val="32"/>
          <w:szCs w:val="32"/>
          <w:shd w:val="clear" w:color="auto" w:fill="FFFFFF"/>
        </w:rPr>
        <w:t>在预算编制、预算执行、支出绩效方面，严格按照规定执行，做到资金专项专用，无截留、无挪用等现象，</w:t>
      </w:r>
      <w:r>
        <w:rPr>
          <w:rFonts w:hint="eastAsia" w:ascii="仿宋_GB2312" w:hAnsi="仿宋_GB2312" w:eastAsia="仿宋_GB2312" w:cs="仿宋_GB2312"/>
          <w:b w:val="0"/>
          <w:i w:val="0"/>
          <w:caps w:val="0"/>
          <w:color w:val="auto"/>
          <w:spacing w:val="0"/>
          <w:sz w:val="32"/>
          <w:szCs w:val="32"/>
          <w:shd w:val="clear" w:color="auto" w:fill="FFFFFF"/>
          <w:lang w:eastAsia="zh-CN"/>
        </w:rPr>
        <w:t>确保冠英新区各项工作正常运行，</w:t>
      </w:r>
      <w:r>
        <w:rPr>
          <w:rFonts w:hint="eastAsia" w:ascii="仿宋_GB2312" w:hAnsi="仿宋_GB2312" w:eastAsia="仿宋_GB2312" w:cs="仿宋_GB2312"/>
          <w:b w:val="0"/>
          <w:i w:val="0"/>
          <w:caps w:val="0"/>
          <w:color w:val="auto"/>
          <w:spacing w:val="0"/>
          <w:sz w:val="32"/>
          <w:szCs w:val="32"/>
          <w:shd w:val="clear" w:color="auto" w:fill="FFFFFF"/>
        </w:rPr>
        <w:t>使财政资金发挥最大使用效益。</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（二）存在问题</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b w:val="0"/>
          <w:i w:val="0"/>
          <w:caps w:val="0"/>
          <w:color w:val="auto"/>
          <w:spacing w:val="0"/>
          <w:sz w:val="32"/>
          <w:szCs w:val="32"/>
          <w:shd w:val="clear" w:color="auto" w:fill="FFFFFF"/>
        </w:rPr>
      </w:pPr>
      <w:r>
        <w:rPr>
          <w:rFonts w:hint="eastAsia" w:ascii="仿宋_GB2312" w:hAnsi="仿宋_GB2312" w:eastAsia="仿宋_GB2312" w:cs="仿宋_GB2312"/>
          <w:b w:val="0"/>
          <w:i w:val="0"/>
          <w:caps w:val="0"/>
          <w:color w:val="auto"/>
          <w:spacing w:val="0"/>
          <w:sz w:val="32"/>
          <w:szCs w:val="32"/>
          <w:shd w:val="clear" w:color="auto" w:fill="FFFFFF"/>
        </w:rPr>
        <w:t>按财政预算要求</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b w:val="0"/>
          <w:i w:val="0"/>
          <w:caps w:val="0"/>
          <w:color w:val="auto"/>
          <w:spacing w:val="0"/>
          <w:sz w:val="32"/>
          <w:szCs w:val="32"/>
          <w:shd w:val="clear" w:color="auto" w:fill="FFFFFF"/>
        </w:rPr>
        <w:t>冠英新区承担的项目所需经费，包括已建设完工、未完工及拟建设的项目工程前期费用、工程款</w:t>
      </w:r>
      <w:r>
        <w:rPr>
          <w:rFonts w:hint="eastAsia" w:ascii="仿宋_GB2312" w:hAnsi="仿宋_GB2312" w:eastAsia="仿宋_GB2312" w:cs="仿宋_GB2312"/>
          <w:b w:val="0"/>
          <w:i w:val="0"/>
          <w:caps w:val="0"/>
          <w:color w:val="auto"/>
          <w:spacing w:val="0"/>
          <w:sz w:val="32"/>
          <w:szCs w:val="32"/>
          <w:shd w:val="clear" w:color="auto" w:fill="FFFFFF"/>
          <w:lang w:eastAsia="zh-CN"/>
        </w:rPr>
        <w:t>不能按时足额拨付</w:t>
      </w:r>
      <w:r>
        <w:rPr>
          <w:rFonts w:hint="eastAsia" w:ascii="仿宋_GB2312" w:hAnsi="仿宋_GB2312" w:eastAsia="仿宋_GB2312" w:cs="仿宋_GB2312"/>
          <w:b w:val="0"/>
          <w:i w:val="0"/>
          <w:caps w:val="0"/>
          <w:color w:val="auto"/>
          <w:spacing w:val="0"/>
          <w:sz w:val="32"/>
          <w:szCs w:val="32"/>
          <w:shd w:val="clear" w:color="auto" w:fill="FFFFFF"/>
        </w:rPr>
        <w:t>，一定程度制约了冠英新区的发展进程。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w:t>
      </w:r>
      <w:r>
        <w:rPr>
          <w:rFonts w:hint="eastAsia" w:ascii="楷体_GB2312" w:hAnsi="楷体_GB2312" w:eastAsia="楷体_GB2312" w:cs="楷体_GB2312"/>
          <w:b/>
          <w:sz w:val="32"/>
          <w:szCs w:val="32"/>
          <w:lang w:eastAsia="zh-CN"/>
        </w:rPr>
        <w:t>相关</w:t>
      </w:r>
      <w:r>
        <w:rPr>
          <w:rFonts w:hint="eastAsia" w:ascii="楷体_GB2312" w:hAnsi="楷体_GB2312" w:eastAsia="楷体_GB2312" w:cs="楷体_GB2312"/>
          <w:b/>
          <w:sz w:val="32"/>
          <w:szCs w:val="32"/>
        </w:rPr>
        <w:t>建议</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进一步加强对冠英新区项目建设支持力度，加大投入，推动冠英新区发展。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600" w:lineRule="exact"/>
        <w:ind w:right="0"/>
        <w:textAlignment w:val="auto"/>
        <w:rPr>
          <w:rFonts w:hint="eastAsia" w:ascii="仿宋_GB2312" w:hAnsi="仿宋_GB2312" w:eastAsia="仿宋_GB2312" w:cs="仿宋_GB2312"/>
          <w:b w:val="0"/>
          <w:i w:val="0"/>
          <w:caps w:val="0"/>
          <w:color w:val="auto"/>
          <w:spacing w:val="0"/>
          <w:sz w:val="32"/>
          <w:szCs w:val="32"/>
          <w:shd w:val="clear" w:color="auto" w:fill="FFFFFF"/>
        </w:rPr>
      </w:pPr>
      <w:r>
        <w:rPr>
          <w:rFonts w:hint="eastAsia" w:ascii="仿宋" w:hAnsi="仿宋" w:eastAsia="仿宋" w:cs="仿宋"/>
          <w:sz w:val="32"/>
          <w:szCs w:val="32"/>
        </w:rPr>
        <w:t xml:space="preserve">    </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附件：附表十四、部门预算项目支出绩效自评表（2023年度）</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b w:val="0"/>
          <w:i w:val="0"/>
          <w:caps w:val="0"/>
          <w:color w:val="auto"/>
          <w:spacing w:val="0"/>
          <w:sz w:val="32"/>
          <w:szCs w:val="32"/>
          <w:shd w:val="clear" w:color="auto" w:fill="FFFFFF"/>
        </w:rPr>
      </w:pPr>
      <w:r>
        <w:rPr>
          <w:rFonts w:hint="eastAsia" w:ascii="仿宋_GB2312" w:hAnsi="仿宋_GB2312" w:eastAsia="仿宋_GB2312" w:cs="仿宋_GB2312"/>
          <w:b w:val="0"/>
          <w:i w:val="0"/>
          <w:caps w:val="0"/>
          <w:color w:val="auto"/>
          <w:spacing w:val="0"/>
          <w:sz w:val="32"/>
          <w:szCs w:val="32"/>
          <w:shd w:val="clear" w:color="auto" w:fill="FFFFFF"/>
        </w:rPr>
        <w:t xml:space="preserve">      </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乐山冠英新区开发建设管理委员会</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sz w:val="32"/>
          <w:szCs w:val="32"/>
          <w:lang w:eastAsia="zh-CN"/>
        </w:rPr>
      </w:pP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20</w:t>
      </w:r>
      <w:r>
        <w:rPr>
          <w:rFonts w:hint="eastAsia" w:ascii="仿宋_GB2312" w:hAnsi="仿宋_GB2312" w:eastAsia="仿宋_GB2312" w:cs="仿宋_GB2312"/>
          <w:b w:val="0"/>
          <w:i w:val="0"/>
          <w:caps w:val="0"/>
          <w:color w:val="auto"/>
          <w:spacing w:val="0"/>
          <w:sz w:val="32"/>
          <w:szCs w:val="32"/>
          <w:shd w:val="clear" w:color="auto" w:fill="FFFFFF"/>
          <w:lang w:val="en-US" w:eastAsia="zh-CN"/>
        </w:rPr>
        <w:t>24</w:t>
      </w:r>
      <w:r>
        <w:rPr>
          <w:rFonts w:hint="eastAsia" w:ascii="仿宋_GB2312" w:hAnsi="仿宋_GB2312" w:eastAsia="仿宋_GB2312" w:cs="仿宋_GB2312"/>
          <w:b w:val="0"/>
          <w:i w:val="0"/>
          <w:caps w:val="0"/>
          <w:color w:val="auto"/>
          <w:spacing w:val="0"/>
          <w:sz w:val="32"/>
          <w:szCs w:val="32"/>
          <w:shd w:val="clear" w:color="auto" w:fill="FFFFFF"/>
        </w:rPr>
        <w:t>年</w:t>
      </w:r>
      <w:r>
        <w:rPr>
          <w:rFonts w:hint="eastAsia" w:ascii="仿宋_GB2312" w:hAnsi="仿宋_GB2312" w:eastAsia="仿宋_GB2312" w:cs="仿宋_GB2312"/>
          <w:b w:val="0"/>
          <w:i w:val="0"/>
          <w:caps w:val="0"/>
          <w:color w:val="auto"/>
          <w:spacing w:val="0"/>
          <w:sz w:val="32"/>
          <w:szCs w:val="32"/>
          <w:shd w:val="clear" w:color="auto" w:fill="FFFFFF"/>
          <w:lang w:val="en-US" w:eastAsia="zh-CN"/>
        </w:rPr>
        <w:t>4</w:t>
      </w:r>
      <w:r>
        <w:rPr>
          <w:rFonts w:hint="eastAsia" w:ascii="仿宋_GB2312" w:hAnsi="仿宋_GB2312" w:eastAsia="仿宋_GB2312" w:cs="仿宋_GB2312"/>
          <w:b w:val="0"/>
          <w:i w:val="0"/>
          <w:caps w:val="0"/>
          <w:color w:val="auto"/>
          <w:spacing w:val="0"/>
          <w:sz w:val="32"/>
          <w:szCs w:val="32"/>
          <w:shd w:val="clear" w:color="auto" w:fill="FFFFFF"/>
        </w:rPr>
        <w:t>月1</w:t>
      </w:r>
      <w:r>
        <w:rPr>
          <w:rFonts w:hint="eastAsia" w:ascii="仿宋_GB2312" w:hAnsi="仿宋_GB2312" w:eastAsia="仿宋_GB2312" w:cs="仿宋_GB2312"/>
          <w:b w:val="0"/>
          <w:i w:val="0"/>
          <w:caps w:val="0"/>
          <w:color w:val="auto"/>
          <w:spacing w:val="0"/>
          <w:sz w:val="32"/>
          <w:szCs w:val="32"/>
          <w:shd w:val="clear" w:color="auto" w:fill="FFFFFF"/>
          <w:lang w:val="en-US" w:eastAsia="zh-CN"/>
        </w:rPr>
        <w:t>5</w:t>
      </w:r>
      <w:r>
        <w:rPr>
          <w:rFonts w:hint="eastAsia" w:ascii="仿宋_GB2312" w:hAnsi="仿宋_GB2312" w:eastAsia="仿宋_GB2312" w:cs="仿宋_GB2312"/>
          <w:b w:val="0"/>
          <w:i w:val="0"/>
          <w:caps w:val="0"/>
          <w:color w:val="auto"/>
          <w:spacing w:val="0"/>
          <w:sz w:val="32"/>
          <w:szCs w:val="32"/>
          <w:shd w:val="clear" w:color="auto" w:fill="FFFFFF"/>
        </w:rPr>
        <w:t>日</w:t>
      </w:r>
    </w:p>
    <w:p>
      <w:pPr>
        <w:pageBreakBefore w:val="0"/>
        <w:widowControl w:val="0"/>
        <w:kinsoku/>
        <w:wordWrap/>
        <w:overflowPunct/>
        <w:topLinePunct w:val="0"/>
        <w:autoSpaceDE/>
        <w:autoSpaceDN/>
        <w:bidi w:val="0"/>
        <w:adjustRightInd/>
        <w:snapToGrid/>
        <w:spacing w:line="600" w:lineRule="exact"/>
        <w:textAlignment w:val="auto"/>
        <w:outlineLvl w:val="1"/>
        <w:rPr>
          <w:rFonts w:hint="eastAsia" w:ascii="黑体" w:hAnsi="黑体" w:eastAsia="黑体" w:cs="黑体"/>
          <w:color w:val="auto"/>
          <w:sz w:val="32"/>
          <w:szCs w:val="32"/>
        </w:rPr>
      </w:pPr>
      <w:bookmarkStart w:id="142" w:name="_Toc16856"/>
      <w:bookmarkStart w:id="143" w:name="_Toc12001"/>
      <w:bookmarkStart w:id="144" w:name="_Toc21123"/>
      <w:bookmarkStart w:id="145" w:name="_Toc4162"/>
      <w:bookmarkStart w:id="146" w:name="_Toc9071"/>
      <w:r>
        <w:rPr>
          <w:rFonts w:hint="eastAsia" w:ascii="黑体" w:hAnsi="黑体" w:eastAsia="黑体" w:cs="黑体"/>
          <w:color w:val="auto"/>
          <w:sz w:val="32"/>
          <w:szCs w:val="32"/>
        </w:rPr>
        <w:t>附件2</w:t>
      </w:r>
      <w:bookmarkEnd w:id="142"/>
      <w:bookmarkEnd w:id="143"/>
      <w:bookmarkEnd w:id="144"/>
      <w:bookmarkEnd w:id="145"/>
      <w:bookmarkEnd w:id="146"/>
    </w:p>
    <w:p>
      <w:pPr>
        <w:pStyle w:val="4"/>
        <w:rPr>
          <w:rFonts w:hint="eastAsia"/>
          <w:color w:val="auto"/>
        </w:rPr>
      </w:pPr>
    </w:p>
    <w:p>
      <w:pPr>
        <w:spacing w:line="580" w:lineRule="exact"/>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乐山市五通桥区空港产业园物流园区基础设施项目</w:t>
      </w:r>
    </w:p>
    <w:p>
      <w:pPr>
        <w:spacing w:line="580" w:lineRule="exact"/>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专项债202</w:t>
      </w:r>
      <w:r>
        <w:rPr>
          <w:rFonts w:hint="eastAsia" w:ascii="方正小标宋简体" w:hAnsi="方正小标宋简体" w:eastAsia="方正小标宋简体" w:cs="方正小标宋简体"/>
          <w:color w:val="auto"/>
          <w:sz w:val="36"/>
          <w:szCs w:val="36"/>
          <w:lang w:val="en-US" w:eastAsia="zh-CN"/>
        </w:rPr>
        <w:t>3</w:t>
      </w:r>
      <w:r>
        <w:rPr>
          <w:rFonts w:hint="eastAsia" w:ascii="方正小标宋简体" w:hAnsi="方正小标宋简体" w:eastAsia="方正小标宋简体" w:cs="方正小标宋简体"/>
          <w:color w:val="auto"/>
          <w:sz w:val="36"/>
          <w:szCs w:val="36"/>
          <w:lang w:eastAsia="zh-CN"/>
        </w:rPr>
        <w:t>年绩效评价报告</w:t>
      </w:r>
    </w:p>
    <w:p>
      <w:pPr>
        <w:spacing w:line="580" w:lineRule="exact"/>
        <w:ind w:firstLine="640" w:firstLineChars="200"/>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rPr>
      </w:pPr>
      <w:bookmarkStart w:id="147" w:name="_Toc8765"/>
      <w:bookmarkStart w:id="148" w:name="_Toc5002"/>
      <w:bookmarkStart w:id="149" w:name="_Toc31517"/>
      <w:bookmarkStart w:id="150" w:name="_Toc27825"/>
      <w:bookmarkStart w:id="151" w:name="_Toc12723"/>
      <w:r>
        <w:rPr>
          <w:rFonts w:hint="eastAsia" w:ascii="黑体" w:hAnsi="黑体" w:eastAsia="黑体" w:cs="黑体"/>
          <w:sz w:val="32"/>
          <w:szCs w:val="32"/>
        </w:rPr>
        <w:t>一、项目基本概况</w:t>
      </w:r>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乐山市五通桥区空港产业园物流园区基础设施项目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其中新居路</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lang w:val="en-US" w:eastAsia="zh-CN"/>
        </w:rPr>
        <w:t>I标段</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val="en-US" w:eastAsia="zh-CN"/>
        </w:rPr>
        <w:t>537</w:t>
      </w:r>
      <w:r>
        <w:rPr>
          <w:rFonts w:hint="eastAsia" w:ascii="仿宋_GB2312" w:hAnsi="仿宋_GB2312" w:eastAsia="仿宋_GB2312" w:cs="仿宋_GB2312"/>
          <w:color w:val="auto"/>
          <w:sz w:val="32"/>
          <w:szCs w:val="32"/>
        </w:rPr>
        <w:t>米，宽</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eastAsia="zh-CN"/>
        </w:rPr>
        <w:t>，项目中标价</w:t>
      </w:r>
      <w:r>
        <w:rPr>
          <w:rFonts w:hint="eastAsia" w:ascii="仿宋_GB2312" w:hAnsi="仿宋_GB2312" w:eastAsia="仿宋_GB2312" w:cs="仿宋_GB2312"/>
          <w:color w:val="auto"/>
          <w:sz w:val="32"/>
          <w:szCs w:val="32"/>
          <w:lang w:val="en-US" w:eastAsia="zh-CN"/>
        </w:rPr>
        <w:t>1749.65万元</w:t>
      </w:r>
      <w:r>
        <w:rPr>
          <w:rFonts w:hint="eastAsia" w:ascii="仿宋_GB2312" w:hAnsi="仿宋_GB2312" w:eastAsia="仿宋_GB2312" w:cs="仿宋_GB2312"/>
          <w:color w:val="auto"/>
          <w:sz w:val="32"/>
          <w:szCs w:val="32"/>
        </w:rPr>
        <w:t>；创新路一期，长约556米，宽20米；修身路一期长约</w:t>
      </w:r>
      <w:r>
        <w:rPr>
          <w:rFonts w:hint="eastAsia" w:ascii="仿宋_GB2312" w:hAnsi="仿宋_GB2312" w:eastAsia="仿宋_GB2312" w:cs="仿宋_GB2312"/>
          <w:color w:val="auto"/>
          <w:sz w:val="32"/>
          <w:szCs w:val="32"/>
          <w:lang w:val="en-US" w:eastAsia="zh-CN"/>
        </w:rPr>
        <w:t>270</w:t>
      </w:r>
      <w:r>
        <w:rPr>
          <w:rFonts w:hint="eastAsia" w:ascii="仿宋_GB2312" w:hAnsi="仿宋_GB2312" w:eastAsia="仿宋_GB2312" w:cs="仿宋_GB2312"/>
          <w:color w:val="auto"/>
          <w:sz w:val="32"/>
          <w:szCs w:val="32"/>
        </w:rPr>
        <w:t>米，宽20米；</w:t>
      </w:r>
      <w:r>
        <w:rPr>
          <w:rFonts w:hint="eastAsia" w:ascii="仿宋_GB2312" w:hAnsi="仿宋_GB2312" w:eastAsia="仿宋_GB2312" w:cs="仿宋_GB2312"/>
          <w:color w:val="auto"/>
          <w:sz w:val="32"/>
          <w:szCs w:val="32"/>
          <w:lang w:eastAsia="zh-CN"/>
        </w:rPr>
        <w:t>创新路一期、修身路一期</w:t>
      </w:r>
      <w:r>
        <w:rPr>
          <w:rFonts w:hint="eastAsia" w:ascii="仿宋_GB2312" w:hAnsi="仿宋_GB2312" w:eastAsia="仿宋_GB2312" w:cs="仿宋_GB2312"/>
          <w:color w:val="auto"/>
          <w:sz w:val="32"/>
          <w:szCs w:val="32"/>
        </w:rPr>
        <w:t>项目中标价1881.05</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新区一路、新区五路、一纵二标段项目结算价</w:t>
      </w:r>
      <w:r>
        <w:rPr>
          <w:rFonts w:hint="eastAsia" w:ascii="仿宋_GB2312" w:hAnsi="仿宋_GB2312" w:eastAsia="仿宋_GB2312" w:cs="仿宋_GB2312"/>
          <w:color w:val="auto"/>
          <w:sz w:val="32"/>
          <w:szCs w:val="32"/>
          <w:lang w:val="en-US" w:eastAsia="zh-CN"/>
        </w:rPr>
        <w:t>17939.1万元；海空连接线道路工程，方案全长3.866公里，总投资约38800万元；共计约60369.8045万元。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（一）项目资金申报及批复情况。</w:t>
      </w:r>
      <w:r>
        <w:rPr>
          <w:rFonts w:hint="eastAsia" w:ascii="仿宋_GB2312" w:hAnsi="仿宋_GB2312" w:eastAsia="仿宋_GB2312" w:cs="仿宋_GB2312"/>
          <w:sz w:val="32"/>
          <w:szCs w:val="32"/>
        </w:rPr>
        <w:t>上述项目</w:t>
      </w: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共申报</w:t>
      </w:r>
      <w:r>
        <w:rPr>
          <w:rFonts w:hint="eastAsia" w:ascii="仿宋_GB2312" w:hAnsi="仿宋_GB2312" w:eastAsia="仿宋_GB2312" w:cs="仿宋_GB2312"/>
          <w:sz w:val="32"/>
          <w:szCs w:val="32"/>
          <w:lang w:eastAsia="zh-CN"/>
        </w:rPr>
        <w:t>专项债</w:t>
      </w:r>
      <w:bookmarkStart w:id="152" w:name="OLE_LINK5"/>
      <w:r>
        <w:rPr>
          <w:rFonts w:hint="eastAsia" w:ascii="仿宋_GB2312" w:hAnsi="仿宋_GB2312" w:eastAsia="仿宋_GB2312" w:cs="仿宋_GB2312"/>
          <w:sz w:val="32"/>
          <w:szCs w:val="32"/>
          <w:lang w:val="en-US" w:eastAsia="zh-CN"/>
        </w:rPr>
        <w:t>6314.64</w:t>
      </w:r>
      <w:bookmarkEnd w:id="152"/>
      <w:r>
        <w:rPr>
          <w:rFonts w:hint="eastAsia" w:ascii="仿宋_GB2312" w:hAnsi="仿宋_GB2312" w:eastAsia="仿宋_GB2312" w:cs="仿宋_GB2312"/>
          <w:sz w:val="32"/>
          <w:szCs w:val="32"/>
        </w:rPr>
        <w:t>万元，批复</w:t>
      </w:r>
      <w:r>
        <w:rPr>
          <w:rFonts w:hint="eastAsia" w:ascii="仿宋_GB2312" w:hAnsi="仿宋_GB2312" w:eastAsia="仿宋_GB2312" w:cs="仿宋_GB2312"/>
          <w:sz w:val="32"/>
          <w:szCs w:val="32"/>
          <w:lang w:val="en-US" w:eastAsia="zh-CN"/>
        </w:rPr>
        <w:t>6314.64</w:t>
      </w:r>
      <w:r>
        <w:rPr>
          <w:rFonts w:hint="eastAsia" w:ascii="仿宋_GB2312" w:hAnsi="仿宋_GB2312" w:eastAsia="仿宋_GB2312" w:cs="仿宋_GB2312"/>
          <w:sz w:val="32"/>
          <w:szCs w:val="32"/>
        </w:rPr>
        <w:t>万元，实际到位资金</w:t>
      </w:r>
      <w:r>
        <w:rPr>
          <w:rFonts w:hint="eastAsia" w:ascii="仿宋_GB2312" w:hAnsi="仿宋_GB2312" w:eastAsia="仿宋_GB2312" w:cs="仿宋_GB2312"/>
          <w:sz w:val="32"/>
          <w:szCs w:val="32"/>
          <w:lang w:val="en-US" w:eastAsia="zh-CN"/>
        </w:rPr>
        <w:t>6314.64</w:t>
      </w:r>
      <w:r>
        <w:rPr>
          <w:rFonts w:hint="eastAsia" w:ascii="仿宋_GB2312" w:hAnsi="仿宋_GB2312" w:eastAsia="仿宋_GB2312" w:cs="仿宋_GB2312"/>
          <w:sz w:val="32"/>
          <w:szCs w:val="32"/>
        </w:rPr>
        <w:t>万元。该资金的使用严格按照资金管理办法的相关规定使用。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上述项目除海空连接线项目、</w:t>
      </w:r>
      <w:r>
        <w:rPr>
          <w:rFonts w:hint="eastAsia" w:ascii="仿宋_GB2312" w:hAnsi="仿宋_GB2312" w:eastAsia="仿宋_GB2312" w:cs="仿宋_GB2312"/>
          <w:sz w:val="32"/>
          <w:szCs w:val="32"/>
          <w:lang w:val="en-US" w:eastAsia="zh-CN"/>
        </w:rPr>
        <w:t>新居路一期II标段项目，</w:t>
      </w:r>
      <w:r>
        <w:rPr>
          <w:rFonts w:hint="eastAsia" w:ascii="仿宋_GB2312" w:hAnsi="仿宋_GB2312" w:eastAsia="仿宋_GB2312" w:cs="仿宋_GB2312"/>
          <w:sz w:val="32"/>
          <w:szCs w:val="32"/>
          <w:lang w:eastAsia="zh-CN"/>
        </w:rPr>
        <w:t>已全部竣工验收。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（三）项目资金申报相符性。</w:t>
      </w:r>
      <w:r>
        <w:rPr>
          <w:rFonts w:hint="eastAsia" w:ascii="楷体_GB2312" w:hAnsi="楷体_GB2312" w:eastAsia="楷体_GB2312" w:cs="楷体_GB2312"/>
          <w:sz w:val="32"/>
          <w:szCs w:val="32"/>
          <w:lang w:eastAsia="zh-CN"/>
        </w:rPr>
        <w:t>专项债</w:t>
      </w:r>
      <w:r>
        <w:rPr>
          <w:rFonts w:hint="eastAsia" w:ascii="仿宋_GB2312" w:hAnsi="仿宋_GB2312" w:eastAsia="仿宋_GB2312" w:cs="仿宋_GB2312"/>
          <w:sz w:val="32"/>
          <w:szCs w:val="32"/>
        </w:rPr>
        <w:t>的申报项目内容与具体实施的项目内容</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，申报目标切实合理可行。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rPr>
      </w:pPr>
      <w:bookmarkStart w:id="153" w:name="_Toc27734"/>
      <w:bookmarkStart w:id="154" w:name="_Toc3507"/>
      <w:bookmarkStart w:id="155" w:name="_Toc10853"/>
      <w:bookmarkStart w:id="156" w:name="_Toc30875"/>
      <w:bookmarkStart w:id="157" w:name="_Toc14140"/>
      <w:r>
        <w:rPr>
          <w:rFonts w:hint="eastAsia" w:ascii="黑体" w:hAnsi="黑体" w:eastAsia="黑体" w:cs="黑体"/>
          <w:sz w:val="32"/>
          <w:szCs w:val="32"/>
        </w:rPr>
        <w:t>二、项目实施及管理情况</w:t>
      </w:r>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1．资金计划及到位</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专项债</w:t>
      </w:r>
      <w:r>
        <w:rPr>
          <w:rFonts w:hint="eastAsia" w:ascii="仿宋_GB2312" w:hAnsi="仿宋_GB2312" w:eastAsia="仿宋_GB2312" w:cs="仿宋_GB2312"/>
          <w:sz w:val="32"/>
          <w:szCs w:val="32"/>
          <w:lang w:val="en-US" w:eastAsia="zh-CN"/>
        </w:rPr>
        <w:t>6314.64</w:t>
      </w:r>
      <w:r>
        <w:rPr>
          <w:rFonts w:hint="eastAsia" w:ascii="仿宋_GB2312" w:hAnsi="仿宋_GB2312" w:eastAsia="仿宋_GB2312" w:cs="仿宋_GB2312"/>
          <w:sz w:val="32"/>
          <w:szCs w:val="32"/>
        </w:rPr>
        <w:t>万元均严格按照施工合同的约定并经审验已完成的工程进度进行支付。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2．资金使用。截至目前，</w:t>
      </w: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lang w:eastAsia="zh-CN"/>
        </w:rPr>
        <w:t>专项债</w:t>
      </w:r>
      <w:r>
        <w:rPr>
          <w:rFonts w:hint="eastAsia" w:ascii="仿宋_GB2312" w:hAnsi="仿宋_GB2312" w:eastAsia="仿宋_GB2312" w:cs="仿宋_GB2312"/>
          <w:sz w:val="32"/>
          <w:szCs w:val="32"/>
        </w:rPr>
        <w:t>到位资金</w:t>
      </w:r>
      <w:r>
        <w:rPr>
          <w:rFonts w:hint="eastAsia" w:ascii="仿宋_GB2312" w:hAnsi="仿宋_GB2312" w:eastAsia="仿宋_GB2312" w:cs="仿宋_GB2312"/>
          <w:sz w:val="32"/>
          <w:szCs w:val="32"/>
          <w:lang w:val="en-US" w:eastAsia="zh-CN"/>
        </w:rPr>
        <w:t>6314.64</w:t>
      </w:r>
      <w:r>
        <w:rPr>
          <w:rFonts w:hint="eastAsia" w:ascii="仿宋_GB2312" w:hAnsi="仿宋_GB2312" w:eastAsia="仿宋_GB2312" w:cs="仿宋_GB2312"/>
          <w:sz w:val="32"/>
          <w:szCs w:val="32"/>
        </w:rPr>
        <w:t>万元，实际使用</w:t>
      </w:r>
      <w:r>
        <w:rPr>
          <w:rFonts w:hint="eastAsia" w:ascii="仿宋_GB2312" w:hAnsi="仿宋_GB2312" w:eastAsia="仿宋_GB2312" w:cs="仿宋_GB2312"/>
          <w:sz w:val="32"/>
          <w:szCs w:val="32"/>
          <w:lang w:val="en-US" w:eastAsia="zh-CN"/>
        </w:rPr>
        <w:t>6314.64</w:t>
      </w:r>
      <w:r>
        <w:rPr>
          <w:rFonts w:hint="eastAsia" w:ascii="仿宋_GB2312" w:hAnsi="仿宋_GB2312" w:eastAsia="仿宋_GB2312" w:cs="仿宋_GB2312"/>
          <w:sz w:val="32"/>
          <w:szCs w:val="32"/>
        </w:rPr>
        <w:t>万元，使用率100%。资金全部用于该项目直接相关的工程款、设计、监理、勘察等费用。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进一步建立健全项目财务管理制度和项目资金管理办法，严格执行财务管理制度，财务处理准确及时，会计核算规范合理，严格按照工程进度进行支付，做到专款专用。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项目组织管理规范严格，机构设置、监管措施、执行相关管理制度（如招投标、政府采购、项目公示等）合法合规。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rPr>
      </w:pPr>
      <w:bookmarkStart w:id="158" w:name="_Toc16465"/>
      <w:bookmarkStart w:id="159" w:name="_Toc14121"/>
      <w:bookmarkStart w:id="160" w:name="_Toc25055"/>
      <w:bookmarkStart w:id="161" w:name="_Toc2824"/>
      <w:bookmarkStart w:id="162" w:name="_Toc15663"/>
      <w:r>
        <w:rPr>
          <w:rFonts w:hint="eastAsia" w:ascii="黑体" w:hAnsi="黑体" w:eastAsia="黑体" w:cs="黑体"/>
          <w:sz w:val="32"/>
          <w:szCs w:val="32"/>
        </w:rPr>
        <w:t>三、项目绩效情况</w:t>
      </w:r>
      <w:bookmarkEnd w:id="158"/>
      <w:bookmarkEnd w:id="159"/>
      <w:bookmarkEnd w:id="160"/>
      <w:bookmarkEnd w:id="161"/>
      <w:bookmarkEnd w:id="162"/>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rPr>
        <w:t>（一）项目完成情况。</w:t>
      </w:r>
      <w:r>
        <w:rPr>
          <w:rFonts w:hint="eastAsia" w:ascii="仿宋_GB2312" w:hAnsi="仿宋_GB2312" w:eastAsia="仿宋_GB2312" w:cs="仿宋_GB2312"/>
          <w:color w:val="auto"/>
          <w:sz w:val="32"/>
          <w:szCs w:val="32"/>
          <w:lang w:eastAsia="zh-CN"/>
        </w:rPr>
        <w:t>新区一路、新区五路、新区一纵二期</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lang w:eastAsia="zh-CN"/>
        </w:rPr>
        <w:t>标段项目于</w:t>
      </w:r>
      <w:r>
        <w:rPr>
          <w:rFonts w:hint="eastAsia" w:ascii="仿宋_GB2312" w:hAnsi="仿宋_GB2312" w:eastAsia="仿宋_GB2312" w:cs="仿宋_GB2312"/>
          <w:color w:val="auto"/>
          <w:sz w:val="32"/>
          <w:szCs w:val="32"/>
          <w:lang w:val="en-US" w:eastAsia="zh-CN"/>
        </w:rPr>
        <w:t>2021年12月31日完成竣工验收,其中新区一路长1171.713米，宽30米；新区五路长1351.933米，宽30米；新区一纵二期A段长606.472米，宽40米。创新路一期长约556米，宽20米；修身路一期长约270米，宽20米。</w:t>
      </w:r>
      <w:r>
        <w:rPr>
          <w:rFonts w:hint="eastAsia" w:ascii="仿宋_GB2312" w:hAnsi="仿宋_GB2312" w:eastAsia="仿宋_GB2312" w:cs="仿宋_GB2312"/>
          <w:color w:val="auto"/>
          <w:sz w:val="32"/>
          <w:szCs w:val="32"/>
        </w:rPr>
        <w:t>创新路一期、修身路一期项目</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5月10日</w:t>
      </w:r>
      <w:r>
        <w:rPr>
          <w:rFonts w:hint="eastAsia" w:ascii="仿宋_GB2312" w:hAnsi="仿宋_GB2312" w:eastAsia="仿宋_GB2312" w:cs="仿宋_GB2312"/>
          <w:color w:val="auto"/>
          <w:sz w:val="32"/>
          <w:szCs w:val="32"/>
          <w:lang w:eastAsia="zh-CN"/>
        </w:rPr>
        <w:t>完成竣工</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新居路一期</w:t>
      </w:r>
      <w:r>
        <w:rPr>
          <w:rFonts w:hint="eastAsia" w:ascii="仿宋_GB2312" w:hAnsi="仿宋_GB2312" w:eastAsia="仿宋_GB2312" w:cs="仿宋_GB2312"/>
          <w:color w:val="auto"/>
          <w:sz w:val="32"/>
          <w:szCs w:val="32"/>
          <w:lang w:val="en-US" w:eastAsia="zh-CN"/>
        </w:rPr>
        <w:t>I标段长537米，宽20米，项目于2022年7月26日完成竣工验收。新居路一期II标段长540米，宽20米，项目在正常推进中。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楷体_GB2312" w:hAnsi="楷体_GB2312" w:eastAsia="楷体_GB2312" w:cs="楷体_GB2312"/>
          <w:sz w:val="32"/>
          <w:szCs w:val="32"/>
        </w:rPr>
        <w:t>（二）项目效益情况。</w:t>
      </w:r>
      <w:r>
        <w:rPr>
          <w:rFonts w:hint="eastAsia" w:ascii="仿宋_GB2312" w:hAnsi="仿宋_GB2312" w:eastAsia="仿宋_GB2312" w:cs="仿宋_GB2312"/>
          <w:sz w:val="32"/>
          <w:szCs w:val="32"/>
        </w:rPr>
        <w:t>该项目建成后，社会群体满意度进一步提高，直接受益人数达到20000余人，切实提升冠英新区整体形象。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rPr>
      </w:pPr>
      <w:bookmarkStart w:id="163" w:name="_Toc1477"/>
      <w:bookmarkStart w:id="164" w:name="_Toc1634"/>
      <w:bookmarkStart w:id="165" w:name="_Toc13347"/>
      <w:bookmarkStart w:id="166" w:name="_Toc16283"/>
      <w:bookmarkStart w:id="167" w:name="_Toc20911"/>
      <w:r>
        <w:rPr>
          <w:rFonts w:hint="eastAsia" w:ascii="黑体" w:hAnsi="黑体" w:eastAsia="黑体" w:cs="黑体"/>
          <w:sz w:val="32"/>
          <w:szCs w:val="32"/>
        </w:rPr>
        <w:t>四、问题及建议</w:t>
      </w:r>
      <w:bookmarkEnd w:id="163"/>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海天连接线工程项目、</w:t>
      </w:r>
      <w:r>
        <w:rPr>
          <w:rFonts w:hint="eastAsia" w:ascii="仿宋_GB2312" w:hAnsi="仿宋_GB2312" w:eastAsia="仿宋_GB2312" w:cs="仿宋_GB2312"/>
          <w:sz w:val="32"/>
          <w:szCs w:val="32"/>
          <w:lang w:val="en-US" w:eastAsia="zh-CN"/>
        </w:rPr>
        <w:t>新居路一期II标段项目</w:t>
      </w:r>
      <w:r>
        <w:rPr>
          <w:rFonts w:hint="eastAsia" w:ascii="仿宋_GB2312" w:hAnsi="仿宋_GB2312" w:eastAsia="仿宋_GB2312" w:cs="仿宋_GB2312"/>
          <w:sz w:val="32"/>
          <w:szCs w:val="32"/>
          <w:lang w:eastAsia="zh-CN"/>
        </w:rPr>
        <w:t>正在推进，需加强资金管理使用。</w:t>
      </w:r>
      <w:r>
        <w:rPr>
          <w:rFonts w:hint="eastAsia" w:ascii="仿宋_GB2312" w:hAnsi="仿宋_GB2312" w:eastAsia="仿宋_GB2312" w:cs="仿宋_GB2312"/>
          <w:sz w:val="32"/>
          <w:szCs w:val="32"/>
          <w:lang w:val="en-US" w:eastAsia="zh-CN"/>
        </w:rPr>
        <w:t>专项债项目资金的穿透使用，因不在管辖范围内，不能对支付终端进行监管。按照专项债资金支付计划，仅能对项目支付程序监管。需要相关部门对接，合力建立对支付终端的监管制度。</w:t>
      </w:r>
    </w:p>
    <w:p/>
    <w:p>
      <w:pPr>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FF0000"/>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FF0000"/>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FF0000"/>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FF0000"/>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FF0000"/>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FF0000"/>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FF0000"/>
          <w:sz w:val="32"/>
          <w:szCs w:val="32"/>
        </w:rPr>
      </w:pPr>
    </w:p>
    <w:p>
      <w:pPr>
        <w:spacing w:line="580" w:lineRule="exact"/>
        <w:ind w:firstLine="640" w:firstLineChars="200"/>
        <w:rPr>
          <w:rFonts w:hint="eastAsia" w:ascii="黑体" w:hAnsi="黑体" w:eastAsia="黑体" w:cs="黑体"/>
          <w:color w:val="auto"/>
          <w:sz w:val="32"/>
          <w:szCs w:val="32"/>
          <w:lang w:eastAsia="zh-CN"/>
        </w:rPr>
      </w:pPr>
    </w:p>
    <w:p>
      <w:pPr>
        <w:pageBreakBefore w:val="0"/>
        <w:widowControl w:val="0"/>
        <w:kinsoku/>
        <w:wordWrap/>
        <w:overflowPunct/>
        <w:topLinePunct w:val="0"/>
        <w:autoSpaceDE/>
        <w:autoSpaceDN/>
        <w:bidi w:val="0"/>
        <w:adjustRightInd/>
        <w:snapToGrid/>
        <w:spacing w:line="600" w:lineRule="exact"/>
        <w:ind w:firstLine="1760" w:firstLineChars="400"/>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600" w:lineRule="exact"/>
        <w:ind w:firstLine="1760" w:firstLineChars="400"/>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600" w:lineRule="exact"/>
        <w:ind w:firstLine="1760" w:firstLineChars="400"/>
        <w:jc w:val="center"/>
        <w:textAlignment w:val="auto"/>
        <w:rPr>
          <w:rFonts w:hint="eastAsia" w:ascii="黑体" w:hAnsi="黑体" w:eastAsia="黑体" w:cs="黑体"/>
          <w:sz w:val="44"/>
          <w:szCs w:val="44"/>
        </w:rPr>
      </w:pPr>
    </w:p>
    <w:p>
      <w:pPr>
        <w:pageBreakBefore w:val="0"/>
        <w:widowControl w:val="0"/>
        <w:kinsoku/>
        <w:wordWrap/>
        <w:overflowPunct/>
        <w:topLinePunct w:val="0"/>
        <w:autoSpaceDE/>
        <w:autoSpaceDN/>
        <w:bidi w:val="0"/>
        <w:adjustRightInd/>
        <w:snapToGrid/>
        <w:spacing w:line="600" w:lineRule="exact"/>
        <w:ind w:firstLine="2640" w:firstLineChars="600"/>
        <w:jc w:val="both"/>
        <w:textAlignment w:val="auto"/>
        <w:outlineLvl w:val="0"/>
        <w:rPr>
          <w:rFonts w:hint="eastAsia" w:ascii="黑体" w:hAnsi="黑体" w:eastAsia="黑体" w:cs="黑体"/>
          <w:sz w:val="44"/>
          <w:szCs w:val="44"/>
        </w:rPr>
      </w:pPr>
      <w:bookmarkStart w:id="168" w:name="_Toc8225"/>
      <w:bookmarkStart w:id="169" w:name="_Toc19606"/>
      <w:bookmarkStart w:id="170" w:name="_Toc22000"/>
      <w:bookmarkStart w:id="171" w:name="_Toc4060"/>
      <w:bookmarkStart w:id="172" w:name="_Toc24898"/>
    </w:p>
    <w:p>
      <w:pPr>
        <w:pageBreakBefore w:val="0"/>
        <w:widowControl w:val="0"/>
        <w:kinsoku/>
        <w:wordWrap/>
        <w:overflowPunct/>
        <w:topLinePunct w:val="0"/>
        <w:autoSpaceDE/>
        <w:autoSpaceDN/>
        <w:bidi w:val="0"/>
        <w:adjustRightInd/>
        <w:snapToGrid/>
        <w:spacing w:line="600" w:lineRule="exact"/>
        <w:ind w:firstLine="2640" w:firstLineChars="600"/>
        <w:jc w:val="both"/>
        <w:textAlignment w:val="auto"/>
        <w:outlineLvl w:val="0"/>
        <w:rPr>
          <w:rFonts w:hint="eastAsia" w:ascii="黑体" w:hAnsi="黑体" w:eastAsia="黑体" w:cs="黑体"/>
          <w:sz w:val="44"/>
          <w:szCs w:val="44"/>
        </w:rPr>
      </w:pPr>
      <w:r>
        <w:rPr>
          <w:rFonts w:hint="eastAsia" w:ascii="黑体" w:hAnsi="黑体" w:eastAsia="黑体" w:cs="黑体"/>
          <w:sz w:val="44"/>
          <w:szCs w:val="44"/>
        </w:rPr>
        <w:t>第五部分 附表</w:t>
      </w:r>
      <w:bookmarkEnd w:id="168"/>
      <w:bookmarkEnd w:id="169"/>
      <w:bookmarkEnd w:id="170"/>
      <w:bookmarkEnd w:id="171"/>
      <w:bookmarkEnd w:id="172"/>
    </w:p>
    <w:p>
      <w:pPr>
        <w:pStyle w:val="4"/>
        <w:rPr>
          <w:rFonts w:hint="eastAsia"/>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十、政府性基金预算财政拨款收入支出决算表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十一、国有资本经营预算财政拨款收入支出决算表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十二、国有资本经营预算财政拨款支出决算表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十三、财政拨款“三公”经费支出决算表</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十四、部门预算项目支出绩效自评表（2023年度）</w:t>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2FB28"/>
    <w:multiLevelType w:val="singleLevel"/>
    <w:tmpl w:val="3072FB28"/>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2IzYTU5M2FjNmQ1N2UxOGY3Nzg1NTlkMGM0N2MifQ=="/>
    <w:docVar w:name="KSO_WPS_MARK_KEY" w:val="54a9a9eb-1648-4e7a-9041-d6a4c1d0d0c1"/>
  </w:docVars>
  <w:rsids>
    <w:rsidRoot w:val="59EB46D3"/>
    <w:rsid w:val="00435198"/>
    <w:rsid w:val="00E405FF"/>
    <w:rsid w:val="018C33F1"/>
    <w:rsid w:val="01CD0351"/>
    <w:rsid w:val="020F7A82"/>
    <w:rsid w:val="027A6F48"/>
    <w:rsid w:val="02C468EE"/>
    <w:rsid w:val="032928CD"/>
    <w:rsid w:val="033243F7"/>
    <w:rsid w:val="0334789D"/>
    <w:rsid w:val="038A15CE"/>
    <w:rsid w:val="03AF1937"/>
    <w:rsid w:val="03CA2E01"/>
    <w:rsid w:val="03FF48AB"/>
    <w:rsid w:val="050D1AA2"/>
    <w:rsid w:val="053718C6"/>
    <w:rsid w:val="058C67CB"/>
    <w:rsid w:val="063303E1"/>
    <w:rsid w:val="0662280C"/>
    <w:rsid w:val="07452042"/>
    <w:rsid w:val="07A344B1"/>
    <w:rsid w:val="07F86E22"/>
    <w:rsid w:val="088F624C"/>
    <w:rsid w:val="092C7268"/>
    <w:rsid w:val="0991497F"/>
    <w:rsid w:val="0A1C36D8"/>
    <w:rsid w:val="0A77704E"/>
    <w:rsid w:val="0AC97464"/>
    <w:rsid w:val="0B32149F"/>
    <w:rsid w:val="0B6E2E6E"/>
    <w:rsid w:val="0BA24760"/>
    <w:rsid w:val="0BD17ECD"/>
    <w:rsid w:val="0C2D1C85"/>
    <w:rsid w:val="0E5005EE"/>
    <w:rsid w:val="0F3B1FB3"/>
    <w:rsid w:val="0F5E5C01"/>
    <w:rsid w:val="0F840267"/>
    <w:rsid w:val="10DD39DB"/>
    <w:rsid w:val="112F74F6"/>
    <w:rsid w:val="11387309"/>
    <w:rsid w:val="11421D1E"/>
    <w:rsid w:val="11B00A36"/>
    <w:rsid w:val="12100271"/>
    <w:rsid w:val="12152320"/>
    <w:rsid w:val="122A3EB1"/>
    <w:rsid w:val="12AB011E"/>
    <w:rsid w:val="132A45E7"/>
    <w:rsid w:val="13AB5AFA"/>
    <w:rsid w:val="144B3B3B"/>
    <w:rsid w:val="14656EF6"/>
    <w:rsid w:val="146B7154"/>
    <w:rsid w:val="14897C7A"/>
    <w:rsid w:val="158900AD"/>
    <w:rsid w:val="1620797C"/>
    <w:rsid w:val="1703785A"/>
    <w:rsid w:val="172B1F5C"/>
    <w:rsid w:val="17863890"/>
    <w:rsid w:val="17F55358"/>
    <w:rsid w:val="18983292"/>
    <w:rsid w:val="18EE35C1"/>
    <w:rsid w:val="19A33C83"/>
    <w:rsid w:val="19B73D87"/>
    <w:rsid w:val="1AA0707E"/>
    <w:rsid w:val="1B057A55"/>
    <w:rsid w:val="1B7927E1"/>
    <w:rsid w:val="1B901F36"/>
    <w:rsid w:val="1BD842DF"/>
    <w:rsid w:val="1D3F2155"/>
    <w:rsid w:val="1D84004E"/>
    <w:rsid w:val="1DB626F2"/>
    <w:rsid w:val="1DB743C4"/>
    <w:rsid w:val="1E036842"/>
    <w:rsid w:val="1E4B1ED8"/>
    <w:rsid w:val="1E6E5F01"/>
    <w:rsid w:val="1EFF774A"/>
    <w:rsid w:val="1F0B23A6"/>
    <w:rsid w:val="1F281CC5"/>
    <w:rsid w:val="1FBA37F1"/>
    <w:rsid w:val="1FC3402A"/>
    <w:rsid w:val="1FE53EC9"/>
    <w:rsid w:val="200D21F6"/>
    <w:rsid w:val="20BC5D8A"/>
    <w:rsid w:val="20E83C71"/>
    <w:rsid w:val="21360E7C"/>
    <w:rsid w:val="21BC3A66"/>
    <w:rsid w:val="21D706E8"/>
    <w:rsid w:val="21F027E7"/>
    <w:rsid w:val="2228286B"/>
    <w:rsid w:val="226F2254"/>
    <w:rsid w:val="228018E0"/>
    <w:rsid w:val="237F64BA"/>
    <w:rsid w:val="244C0F96"/>
    <w:rsid w:val="247B3126"/>
    <w:rsid w:val="24B63F5D"/>
    <w:rsid w:val="24C74BFC"/>
    <w:rsid w:val="251F0553"/>
    <w:rsid w:val="25BE5F96"/>
    <w:rsid w:val="262748A0"/>
    <w:rsid w:val="263A6915"/>
    <w:rsid w:val="264144E7"/>
    <w:rsid w:val="266F7A8A"/>
    <w:rsid w:val="26E14DE3"/>
    <w:rsid w:val="26FE3B9A"/>
    <w:rsid w:val="27DE75C3"/>
    <w:rsid w:val="28100CC6"/>
    <w:rsid w:val="28183F68"/>
    <w:rsid w:val="28EC5824"/>
    <w:rsid w:val="296B5D65"/>
    <w:rsid w:val="2A257BA8"/>
    <w:rsid w:val="2A5341FD"/>
    <w:rsid w:val="2A6A0FC2"/>
    <w:rsid w:val="2A826FBF"/>
    <w:rsid w:val="2B0861F0"/>
    <w:rsid w:val="2B0B0D60"/>
    <w:rsid w:val="2B562CD7"/>
    <w:rsid w:val="2B724D12"/>
    <w:rsid w:val="2BB52DD3"/>
    <w:rsid w:val="2BCE4483"/>
    <w:rsid w:val="2BD26D2A"/>
    <w:rsid w:val="2BF64B84"/>
    <w:rsid w:val="2C1F1530"/>
    <w:rsid w:val="2C6E17C2"/>
    <w:rsid w:val="2D3076E9"/>
    <w:rsid w:val="2EBB6E77"/>
    <w:rsid w:val="2FEA1011"/>
    <w:rsid w:val="30004E27"/>
    <w:rsid w:val="309E1139"/>
    <w:rsid w:val="31602B76"/>
    <w:rsid w:val="316164CC"/>
    <w:rsid w:val="31EB3964"/>
    <w:rsid w:val="325F5E35"/>
    <w:rsid w:val="3286478E"/>
    <w:rsid w:val="333A4AF6"/>
    <w:rsid w:val="33A17442"/>
    <w:rsid w:val="33CF7490"/>
    <w:rsid w:val="340A09C8"/>
    <w:rsid w:val="340F388A"/>
    <w:rsid w:val="34757BAF"/>
    <w:rsid w:val="352E1AEE"/>
    <w:rsid w:val="355E29A1"/>
    <w:rsid w:val="35CF58BD"/>
    <w:rsid w:val="35E055D7"/>
    <w:rsid w:val="35E477C0"/>
    <w:rsid w:val="35E70DE3"/>
    <w:rsid w:val="35F25212"/>
    <w:rsid w:val="361E25AC"/>
    <w:rsid w:val="36566AEC"/>
    <w:rsid w:val="36F84B07"/>
    <w:rsid w:val="375F20A9"/>
    <w:rsid w:val="37D22DAB"/>
    <w:rsid w:val="382316B2"/>
    <w:rsid w:val="38380DA2"/>
    <w:rsid w:val="389A0501"/>
    <w:rsid w:val="38EC7CA0"/>
    <w:rsid w:val="390A7769"/>
    <w:rsid w:val="39241105"/>
    <w:rsid w:val="392B2E21"/>
    <w:rsid w:val="3A4E4DE9"/>
    <w:rsid w:val="3A5866E4"/>
    <w:rsid w:val="3A7E2F76"/>
    <w:rsid w:val="3C65669D"/>
    <w:rsid w:val="3D315D89"/>
    <w:rsid w:val="3E4647E5"/>
    <w:rsid w:val="3F300695"/>
    <w:rsid w:val="3F9307E3"/>
    <w:rsid w:val="3FA03183"/>
    <w:rsid w:val="3FB53265"/>
    <w:rsid w:val="40077EA7"/>
    <w:rsid w:val="40BA66CD"/>
    <w:rsid w:val="41870F04"/>
    <w:rsid w:val="41D310DD"/>
    <w:rsid w:val="425214C7"/>
    <w:rsid w:val="426C2FB7"/>
    <w:rsid w:val="427C5B2B"/>
    <w:rsid w:val="43A165BC"/>
    <w:rsid w:val="44E43521"/>
    <w:rsid w:val="45595D30"/>
    <w:rsid w:val="45FC679D"/>
    <w:rsid w:val="462D6A65"/>
    <w:rsid w:val="46E979A9"/>
    <w:rsid w:val="487A5D03"/>
    <w:rsid w:val="48A4738E"/>
    <w:rsid w:val="48ED1CCD"/>
    <w:rsid w:val="49B502FA"/>
    <w:rsid w:val="49B7712F"/>
    <w:rsid w:val="4AC36325"/>
    <w:rsid w:val="4B0C003F"/>
    <w:rsid w:val="4B555BCF"/>
    <w:rsid w:val="4BBF639A"/>
    <w:rsid w:val="4C33642A"/>
    <w:rsid w:val="4D830B2F"/>
    <w:rsid w:val="4D951248"/>
    <w:rsid w:val="4FB85B46"/>
    <w:rsid w:val="4FD301F7"/>
    <w:rsid w:val="4FD6787D"/>
    <w:rsid w:val="50D71373"/>
    <w:rsid w:val="5145136F"/>
    <w:rsid w:val="517058DC"/>
    <w:rsid w:val="51D5759B"/>
    <w:rsid w:val="51E514AF"/>
    <w:rsid w:val="520C2BB3"/>
    <w:rsid w:val="52287A3F"/>
    <w:rsid w:val="52CD24EF"/>
    <w:rsid w:val="53600B31"/>
    <w:rsid w:val="5361397C"/>
    <w:rsid w:val="53916DCA"/>
    <w:rsid w:val="54A42D89"/>
    <w:rsid w:val="554154C2"/>
    <w:rsid w:val="55D6404C"/>
    <w:rsid w:val="562F4E03"/>
    <w:rsid w:val="567A6461"/>
    <w:rsid w:val="57961A49"/>
    <w:rsid w:val="57F91240"/>
    <w:rsid w:val="5817778A"/>
    <w:rsid w:val="587D0D52"/>
    <w:rsid w:val="58847BE4"/>
    <w:rsid w:val="58D41007"/>
    <w:rsid w:val="59967ADE"/>
    <w:rsid w:val="59EB46D3"/>
    <w:rsid w:val="5A065A54"/>
    <w:rsid w:val="5AB10A53"/>
    <w:rsid w:val="5BBF3CB7"/>
    <w:rsid w:val="5C111BA0"/>
    <w:rsid w:val="5C262FBF"/>
    <w:rsid w:val="5C82647A"/>
    <w:rsid w:val="5C861E69"/>
    <w:rsid w:val="5CC1755D"/>
    <w:rsid w:val="5CC63B98"/>
    <w:rsid w:val="5D002BB2"/>
    <w:rsid w:val="5D6121B1"/>
    <w:rsid w:val="5E714AFD"/>
    <w:rsid w:val="5E9E6181"/>
    <w:rsid w:val="5F0B0889"/>
    <w:rsid w:val="60205E06"/>
    <w:rsid w:val="60C92C1E"/>
    <w:rsid w:val="60D374ED"/>
    <w:rsid w:val="61C50CEC"/>
    <w:rsid w:val="621A518F"/>
    <w:rsid w:val="630E75E6"/>
    <w:rsid w:val="63AF4844"/>
    <w:rsid w:val="645C0CA0"/>
    <w:rsid w:val="64C2485F"/>
    <w:rsid w:val="64DD2A77"/>
    <w:rsid w:val="65C15EE3"/>
    <w:rsid w:val="65FD2C93"/>
    <w:rsid w:val="660C5C80"/>
    <w:rsid w:val="663F11BD"/>
    <w:rsid w:val="66B54129"/>
    <w:rsid w:val="67541A6A"/>
    <w:rsid w:val="676352C6"/>
    <w:rsid w:val="68C0552F"/>
    <w:rsid w:val="68FC2FC1"/>
    <w:rsid w:val="693069CD"/>
    <w:rsid w:val="6A722FA9"/>
    <w:rsid w:val="6AB84681"/>
    <w:rsid w:val="6BD85CFC"/>
    <w:rsid w:val="6BFE7CCA"/>
    <w:rsid w:val="6C9B7E1E"/>
    <w:rsid w:val="6D8E2F8E"/>
    <w:rsid w:val="6DAC3239"/>
    <w:rsid w:val="6DCC5A70"/>
    <w:rsid w:val="6E420514"/>
    <w:rsid w:val="6EE669BA"/>
    <w:rsid w:val="6F083913"/>
    <w:rsid w:val="6F241291"/>
    <w:rsid w:val="6FCA2165"/>
    <w:rsid w:val="71CD5C10"/>
    <w:rsid w:val="71D30711"/>
    <w:rsid w:val="729B7D8B"/>
    <w:rsid w:val="7325079F"/>
    <w:rsid w:val="733207B2"/>
    <w:rsid w:val="7372502B"/>
    <w:rsid w:val="739B1790"/>
    <w:rsid w:val="743E7A26"/>
    <w:rsid w:val="748C0004"/>
    <w:rsid w:val="74B74FAB"/>
    <w:rsid w:val="75973D3F"/>
    <w:rsid w:val="759E3B76"/>
    <w:rsid w:val="779D3E2C"/>
    <w:rsid w:val="781A6EC8"/>
    <w:rsid w:val="784029DB"/>
    <w:rsid w:val="78827996"/>
    <w:rsid w:val="79214144"/>
    <w:rsid w:val="792E257A"/>
    <w:rsid w:val="796718AF"/>
    <w:rsid w:val="79AA5BE6"/>
    <w:rsid w:val="79D7762B"/>
    <w:rsid w:val="7A311A69"/>
    <w:rsid w:val="7A5B24BC"/>
    <w:rsid w:val="7AF6787B"/>
    <w:rsid w:val="7BB41690"/>
    <w:rsid w:val="7C9436BB"/>
    <w:rsid w:val="7CAD0B17"/>
    <w:rsid w:val="7CC8366D"/>
    <w:rsid w:val="7D7521DA"/>
    <w:rsid w:val="7DFC2D30"/>
    <w:rsid w:val="7E4210B2"/>
    <w:rsid w:val="7E5E2B03"/>
    <w:rsid w:val="7E857198"/>
    <w:rsid w:val="7F271055"/>
    <w:rsid w:val="7F2D7E34"/>
    <w:rsid w:val="7F47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Body Text Indent"/>
    <w:basedOn w:val="1"/>
    <w:next w:val="6"/>
    <w:qFormat/>
    <w:uiPriority w:val="0"/>
    <w:pPr>
      <w:spacing w:after="120"/>
      <w:ind w:leftChars="200"/>
    </w:pPr>
    <w:rPr>
      <w:rFonts w:ascii="仿宋_GB2312"/>
      <w:szCs w:val="32"/>
    </w:rPr>
  </w:style>
  <w:style w:type="paragraph" w:styleId="6">
    <w:name w:val="Body Text First Indent 2"/>
    <w:basedOn w:val="5"/>
    <w:next w:val="1"/>
    <w:unhideWhenUsed/>
    <w:qFormat/>
    <w:uiPriority w:val="99"/>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spacing w:before="93"/>
      <w:jc w:val="center"/>
    </w:pPr>
    <w:rPr>
      <w:rFonts w:ascii="仿宋" w:hAnsi="仿宋" w:eastAsia="仿宋"/>
      <w:sz w:val="28"/>
      <w:szCs w:val="28"/>
    </w:rPr>
  </w:style>
  <w:style w:type="paragraph" w:styleId="10">
    <w:name w:val="footnote text"/>
    <w:basedOn w:val="1"/>
    <w:next w:val="6"/>
    <w:autoRedefine/>
    <w:semiHidden/>
    <w:qFormat/>
    <w:uiPriority w:val="0"/>
    <w:pPr>
      <w:snapToGrid w:val="0"/>
      <w:jc w:val="left"/>
    </w:pPr>
    <w:rPr>
      <w:sz w:val="18"/>
      <w:szCs w:val="18"/>
    </w:rPr>
  </w:style>
  <w:style w:type="paragraph" w:styleId="11">
    <w:name w:val="table of figures"/>
    <w:basedOn w:val="1"/>
    <w:next w:val="1"/>
    <w:autoRedefine/>
    <w:qFormat/>
    <w:uiPriority w:val="99"/>
    <w:pPr>
      <w:ind w:left="200" w:leftChars="200" w:hanging="200" w:hangingChars="200"/>
    </w:pPr>
  </w:style>
  <w:style w:type="paragraph" w:styleId="12">
    <w:name w:val="toc 2"/>
    <w:basedOn w:val="1"/>
    <w:next w:val="1"/>
    <w:autoRedefine/>
    <w:unhideWhenUsed/>
    <w:qFormat/>
    <w:uiPriority w:val="39"/>
    <w:pPr>
      <w:ind w:left="420" w:leftChars="200"/>
    </w:p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16">
    <w:name w:val=" Char Char5"/>
    <w:basedOn w:val="15"/>
    <w:link w:val="3"/>
    <w:autoRedefine/>
    <w:qFormat/>
    <w:locked/>
    <w:uiPriority w:val="9"/>
    <w:rPr>
      <w:rFonts w:ascii="Cambria" w:hAnsi="Cambria"/>
      <w:b/>
      <w:bCs/>
      <w:sz w:val="32"/>
      <w:szCs w:val="32"/>
    </w:rPr>
  </w:style>
  <w:style w:type="character" w:customStyle="1" w:styleId="17">
    <w:name w:val="font11"/>
    <w:basedOn w:val="15"/>
    <w:qFormat/>
    <w:uiPriority w:val="0"/>
    <w:rPr>
      <w:rFonts w:hint="default" w:ascii="Arial" w:hAnsi="Arial" w:cs="Arial"/>
      <w:color w:val="000000"/>
      <w:sz w:val="20"/>
      <w:szCs w:val="20"/>
      <w:u w:val="none"/>
    </w:rPr>
  </w:style>
  <w:style w:type="character" w:customStyle="1" w:styleId="18">
    <w:name w:val="font21"/>
    <w:basedOn w:val="15"/>
    <w:autoRedefine/>
    <w:qFormat/>
    <w:uiPriority w:val="0"/>
    <w:rPr>
      <w:rFonts w:hint="eastAsia" w:ascii="宋体" w:hAnsi="宋体" w:eastAsia="宋体" w:cs="宋体"/>
      <w:color w:val="000000"/>
      <w:sz w:val="20"/>
      <w:szCs w:val="20"/>
      <w:u w:val="none"/>
    </w:rPr>
  </w:style>
  <w:style w:type="paragraph" w:styleId="19">
    <w:name w:val="List Paragraph"/>
    <w:basedOn w:val="1"/>
    <w:qFormat/>
    <w:uiPriority w:val="34"/>
    <w:pPr>
      <w:ind w:firstLine="420" w:firstLineChars="200"/>
    </w:p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3&#24180;&#20915;&#31639;&#20844;&#24320;\2023&#24180;&#20915;&#31639;&#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3&#24180;&#20915;&#31639;&#20844;&#24320;\2023&#24180;&#20915;&#31639;&#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24180;&#20915;&#31639;&#20844;&#24320;\2023&#24180;&#20915;&#31639;&#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3&#24180;&#20915;&#31639;&#20844;&#24320;\2023&#24180;&#20915;&#31639;&#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3&#24180;&#20915;&#31639;&#20844;&#24320;\2023&#24180;&#20915;&#31639;&#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013;&#24515;\2023&#24180;&#20915;&#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endParaRPr altLang="en-US"/>
          </a:p>
        </c:rich>
      </c:tx>
      <c:layout/>
      <c:overlay val="0"/>
      <c:spPr>
        <a:noFill/>
        <a:ln>
          <a:noFill/>
        </a:ln>
        <a:effectLst/>
      </c:spPr>
    </c:title>
    <c:autoTitleDeleted val="0"/>
    <c:plotArea>
      <c:layout>
        <c:manualLayout>
          <c:layoutTarget val="inner"/>
          <c:xMode val="edge"/>
          <c:yMode val="edge"/>
          <c:x val="0.165267649759628"/>
          <c:y val="0.20308066477503"/>
          <c:w val="0.731939718035975"/>
          <c:h val="0.439683826509931"/>
        </c:manualLayout>
      </c:layout>
      <c:barChart>
        <c:barDir val="col"/>
        <c:grouping val="clustered"/>
        <c:varyColors val="0"/>
        <c:ser>
          <c:idx val="0"/>
          <c:order val="0"/>
          <c:tx>
            <c:strRef>
              <c:f>'[2023年决算图表.xlsx]图1收支决算总计变动图 '!$G$7</c:f>
              <c:strCache>
                <c:ptCount val="1"/>
                <c:pt idx="0">
                  <c:v/>
                </c:pt>
              </c:strCache>
            </c:strRef>
          </c:tx>
          <c:spPr>
            <a:solidFill>
              <a:schemeClr val="accent1"/>
            </a:solidFill>
            <a:ln>
              <a:noFill/>
            </a:ln>
            <a:effectLst/>
          </c:spPr>
          <c:invertIfNegative val="0"/>
          <c:dLbls>
            <c:dLbl>
              <c:idx val="1"/>
              <c:layout>
                <c:manualLayout>
                  <c:x val="-0.0160427807486631"/>
                  <c:y val="0.01520064856100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'[2023年决算图表.xlsx]图1收支决算总计变动图 '!$F$8:$F$13</c:f>
              <c:numCache>
                <c:formatCode>General</c:formatCode>
                <c:ptCount val="6"/>
                <c:pt idx="0">
                  <c:v>2022</c:v>
                </c:pt>
                <c:pt idx="1">
                  <c:v>2023</c:v>
                </c:pt>
              </c:numCache>
            </c:numRef>
          </c:cat>
          <c:val>
            <c:numRef>
              <c:f>'[2023年决算图表.xlsx]图1收支决算总计变动图 '!$G$8:$G$13</c:f>
              <c:numCache>
                <c:formatCode>General</c:formatCode>
                <c:ptCount val="6"/>
                <c:pt idx="0">
                  <c:v>29568.03</c:v>
                </c:pt>
                <c:pt idx="1" c:formatCode="0.00_ ">
                  <c:v>22335.22</c:v>
                </c:pt>
              </c:numCache>
            </c:numRef>
          </c:val>
        </c:ser>
        <c:ser>
          <c:idx val="1"/>
          <c:order val="1"/>
          <c:tx>
            <c:strRef>
              <c:f>'[2023年决算图表.xlsx]图1收支决算总计变动图 '!$H$7</c:f>
              <c:strCache>
                <c:ptCount val="1"/>
                <c:pt idx="0">
                  <c:v/>
                </c:pt>
              </c:strCache>
            </c:strRef>
          </c:tx>
          <c:spPr>
            <a:solidFill>
              <a:schemeClr val="accent2"/>
            </a:solidFill>
            <a:ln>
              <a:noFill/>
            </a:ln>
            <a:effectLst/>
          </c:spPr>
          <c:invertIfNegative val="0"/>
          <c:dLbls>
            <c:dLbl>
              <c:idx val="2"/>
              <c:layout>
                <c:manualLayout>
                  <c:x val="-0.0035650623885918"/>
                  <c:y val="0.0030401297122010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695187165775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130124777183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'[2023年决算图表.xlsx]图1收支决算总计变动图 '!$F$8:$F$13</c:f>
              <c:numCache>
                <c:formatCode>General</c:formatCode>
                <c:ptCount val="6"/>
                <c:pt idx="0">
                  <c:v>2022</c:v>
                </c:pt>
                <c:pt idx="1">
                  <c:v>2023</c:v>
                </c:pt>
              </c:numCache>
            </c:numRef>
          </c:cat>
          <c:val>
            <c:numRef>
              <c:f>'[2023年决算图表.xlsx]图1收支决算总计变动图 '!$H$8:$H$13</c:f>
              <c:numCache>
                <c:formatCode>General</c:formatCode>
                <c:ptCount val="6"/>
              </c:numCache>
            </c:numRef>
          </c:val>
        </c:ser>
        <c:ser>
          <c:idx val="2"/>
          <c:order val="2"/>
          <c:tx>
            <c:strRef>
              <c:f>'[2023年决算图表.xlsx]图1收支决算总计变动图 '!$I$7</c:f>
              <c:strCache>
                <c:ptCount val="1"/>
                <c:pt idx="0">
                  <c:v/>
                </c:pt>
              </c:strCache>
            </c:strRef>
          </c:tx>
          <c:spPr>
            <a:solidFill>
              <a:schemeClr val="accent3"/>
            </a:solidFill>
            <a:ln>
              <a:noFill/>
            </a:ln>
            <a:effectLst/>
          </c:spPr>
          <c:invertIfNegative val="0"/>
          <c:dLbls>
            <c:dLbl>
              <c:idx val="1"/>
              <c:layout>
                <c:manualLayout>
                  <c:x val="0.01782531194295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4777183600713"/>
                  <c:y val="0.006080259424402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477718360071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60249554367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'[2023年决算图表.xlsx]图1收支决算总计变动图 '!$F$8:$F$13</c:f>
              <c:numCache>
                <c:formatCode>General</c:formatCode>
                <c:ptCount val="6"/>
                <c:pt idx="0">
                  <c:v>2022</c:v>
                </c:pt>
                <c:pt idx="1">
                  <c:v>2023</c:v>
                </c:pt>
              </c:numCache>
            </c:numRef>
          </c:cat>
          <c:val>
            <c:numRef>
              <c:f>'[2023年决算图表.xlsx]图1收支决算总计变动图 '!$I$8:$I$13</c:f>
              <c:numCache>
                <c:formatCode>General</c:formatCode>
                <c:ptCount val="6"/>
              </c:numCache>
            </c:numRef>
          </c:val>
        </c:ser>
        <c:dLbls>
          <c:showLegendKey val="0"/>
          <c:showVal val="1"/>
          <c:showCatName val="0"/>
          <c:showSerName val="0"/>
          <c:showPercent val="0"/>
          <c:showBubbleSize val="0"/>
        </c:dLbls>
        <c:gapWidth val="219"/>
        <c:overlap val="-27"/>
        <c:axId val="451387723"/>
        <c:axId val="444212283"/>
      </c:barChart>
      <c:catAx>
        <c:axId val="451387723"/>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a:t>年度</a:t>
                </a:r>
                <a:endParaRPr altLang="en-US"/>
              </a:p>
            </c:rich>
          </c:tx>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212283"/>
        <c:crosses val="autoZero"/>
        <c:auto val="1"/>
        <c:lblAlgn val="ctr"/>
        <c:lblOffset val="100"/>
        <c:noMultiLvlLbl val="0"/>
      </c:catAx>
      <c:valAx>
        <c:axId val="4442122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manualLayout>
              <c:xMode val="edge"/>
              <c:yMode val="edge"/>
              <c:x val="0.0107488355428162"/>
              <c:y val="0.295952950261099"/>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3877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图</a:t>
            </a:r>
            <a:r>
              <a:rPr lang="en-US" altLang="zh-CN"/>
              <a:t>2</a:t>
            </a:r>
            <a:r>
              <a:rPr altLang="en-US"/>
              <a:t>：收入决算结构图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0229166666666667"/>
                  <c:y val="-0.0659722222222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48697068764241"/>
                  <c:y val="-0.0874047537060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39452326799981"/>
                  <c:y val="-0.005474130640552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177325614023"/>
                  <c:y val="-0.001998044000028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'[2023年决算图表.xlsx]图2收入决算结构图 (2)'!$F$12:$F$15</c:f>
              <c:strCache>
                <c:ptCount val="4"/>
                <c:pt idx="0">
                  <c:v>一般公共预算财政拨款收入</c:v>
                </c:pt>
                <c:pt idx="1">
                  <c:v>政府性基金预算财政拨款收入</c:v>
                </c:pt>
              </c:strCache>
            </c:strRef>
          </c:cat>
          <c:val>
            <c:numRef>
              <c:f>'[2023年决算图表.xlsx]图2收入决算结构图 (2)'!$G$12:$G$15</c:f>
              <c:numCache>
                <c:formatCode>0.00%</c:formatCode>
                <c:ptCount val="4"/>
                <c:pt idx="0">
                  <c:v>0.0857</c:v>
                </c:pt>
                <c:pt idx="1">
                  <c:v>0.9143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图</a:t>
            </a:r>
            <a:r>
              <a:rPr lang="en-US" altLang="zh-CN"/>
              <a:t>3</a:t>
            </a:r>
            <a:r>
              <a:rPr altLang="en-US"/>
              <a:t>：支出决算结构图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0229166666666667"/>
                  <c:y val="-0.0659722222222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48697068764241"/>
                  <c:y val="-0.0874047537060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39452326799981"/>
                  <c:y val="-0.005474130640552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177325614023"/>
                  <c:y val="-0.001998044000028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[2023年决算图表.xlsx]图3支出决算结构图!$F$12:$F$15</c:f>
              <c:strCache>
                <c:ptCount val="4"/>
                <c:pt idx="0">
                  <c:v>基本支出</c:v>
                </c:pt>
                <c:pt idx="1">
                  <c:v>项目支出</c:v>
                </c:pt>
              </c:strCache>
            </c:strRef>
          </c:cat>
          <c:val>
            <c:numRef>
              <c:f>[2023年决算图表.xlsx]图3支出决算结构图!$G$12:$G$15</c:f>
              <c:numCache>
                <c:formatCode>0.00%</c:formatCode>
                <c:ptCount val="4"/>
                <c:pt idx="0">
                  <c:v>0.0179</c:v>
                </c:pt>
                <c:pt idx="1">
                  <c:v>0.9821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a:t>
            </a:r>
            <a:endParaRPr altLang="en-US"/>
          </a:p>
        </c:rich>
      </c:tx>
      <c:layout/>
      <c:overlay val="0"/>
      <c:spPr>
        <a:noFill/>
        <a:ln>
          <a:noFill/>
        </a:ln>
        <a:effectLst/>
      </c:spPr>
    </c:title>
    <c:autoTitleDeleted val="0"/>
    <c:plotArea>
      <c:layout>
        <c:manualLayout>
          <c:layoutTarget val="inner"/>
          <c:xMode val="edge"/>
          <c:yMode val="edge"/>
          <c:x val="0.165267649759628"/>
          <c:y val="0.20308066477503"/>
          <c:w val="0.731939718035975"/>
          <c:h val="0.439683826509931"/>
        </c:manualLayout>
      </c:layout>
      <c:barChart>
        <c:barDir val="col"/>
        <c:grouping val="clustered"/>
        <c:varyColors val="0"/>
        <c:ser>
          <c:idx val="0"/>
          <c:order val="0"/>
          <c:tx>
            <c:strRef>
              <c:f>'[2023年决算图表.xlsx]图4财政拨款收支决算总计变动图 (2)'!$G$7</c:f>
              <c:strCache>
                <c:ptCount val="1"/>
                <c:pt idx="0">
                  <c:v/>
                </c:pt>
              </c:strCache>
            </c:strRef>
          </c:tx>
          <c:spPr>
            <a:solidFill>
              <a:schemeClr val="accent1"/>
            </a:solidFill>
            <a:ln>
              <a:noFill/>
            </a:ln>
            <a:effectLst/>
          </c:spPr>
          <c:invertIfNegative val="0"/>
          <c:dLbls>
            <c:dLbl>
              <c:idx val="1"/>
              <c:layout>
                <c:manualLayout>
                  <c:x val="-0.0160427807486631"/>
                  <c:y val="0.01520064856100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'[2023年决算图表.xlsx]图4财政拨款收支决算总计变动图 (2)'!$F$8:$F$13</c:f>
              <c:numCache>
                <c:formatCode>General</c:formatCode>
                <c:ptCount val="6"/>
                <c:pt idx="0">
                  <c:v>2022</c:v>
                </c:pt>
                <c:pt idx="1">
                  <c:v>2023</c:v>
                </c:pt>
              </c:numCache>
            </c:numRef>
          </c:cat>
          <c:val>
            <c:numRef>
              <c:f>'[2023年决算图表.xlsx]图4财政拨款收支决算总计变动图 (2)'!$G$8:$G$13</c:f>
              <c:numCache>
                <c:formatCode>General</c:formatCode>
                <c:ptCount val="6"/>
                <c:pt idx="0">
                  <c:v>29568.03</c:v>
                </c:pt>
                <c:pt idx="1">
                  <c:v>22335.22</c:v>
                </c:pt>
              </c:numCache>
            </c:numRef>
          </c:val>
        </c:ser>
        <c:ser>
          <c:idx val="1"/>
          <c:order val="1"/>
          <c:tx>
            <c:strRef>
              <c:f>'[2023年决算图表.xlsx]图4财政拨款收支决算总计变动图 (2)'!$H$7</c:f>
              <c:strCache>
                <c:ptCount val="1"/>
                <c:pt idx="0">
                  <c:v/>
                </c:pt>
              </c:strCache>
            </c:strRef>
          </c:tx>
          <c:spPr>
            <a:solidFill>
              <a:schemeClr val="accent2"/>
            </a:solidFill>
            <a:ln>
              <a:noFill/>
            </a:ln>
            <a:effectLst/>
          </c:spPr>
          <c:invertIfNegative val="0"/>
          <c:dLbls>
            <c:dLbl>
              <c:idx val="2"/>
              <c:layout>
                <c:manualLayout>
                  <c:x val="-0.0035650623885918"/>
                  <c:y val="0.0030401297122010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695187165775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130124777183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'[2023年决算图表.xlsx]图4财政拨款收支决算总计变动图 (2)'!$F$8:$F$13</c:f>
              <c:numCache>
                <c:formatCode>General</c:formatCode>
                <c:ptCount val="6"/>
                <c:pt idx="0">
                  <c:v>2022</c:v>
                </c:pt>
                <c:pt idx="1">
                  <c:v>2023</c:v>
                </c:pt>
              </c:numCache>
            </c:numRef>
          </c:cat>
          <c:val>
            <c:numRef>
              <c:f>'[2023年决算图表.xlsx]图4财政拨款收支决算总计变动图 (2)'!$H$8:$H$13</c:f>
              <c:numCache>
                <c:formatCode>General</c:formatCode>
                <c:ptCount val="6"/>
              </c:numCache>
            </c:numRef>
          </c:val>
        </c:ser>
        <c:ser>
          <c:idx val="2"/>
          <c:order val="2"/>
          <c:tx>
            <c:strRef>
              <c:f>'[2023年决算图表.xlsx]图4财政拨款收支决算总计变动图 (2)'!$I$7</c:f>
              <c:strCache>
                <c:ptCount val="1"/>
                <c:pt idx="0">
                  <c:v/>
                </c:pt>
              </c:strCache>
            </c:strRef>
          </c:tx>
          <c:spPr>
            <a:solidFill>
              <a:schemeClr val="accent3"/>
            </a:solidFill>
            <a:ln>
              <a:noFill/>
            </a:ln>
            <a:effectLst/>
          </c:spPr>
          <c:invertIfNegative val="0"/>
          <c:dLbls>
            <c:dLbl>
              <c:idx val="1"/>
              <c:layout>
                <c:manualLayout>
                  <c:x val="0.01782531194295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4777183600713"/>
                  <c:y val="0.006080259424402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477718360071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60249554367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'[2023年决算图表.xlsx]图4财政拨款收支决算总计变动图 (2)'!$F$8:$F$13</c:f>
              <c:numCache>
                <c:formatCode>General</c:formatCode>
                <c:ptCount val="6"/>
                <c:pt idx="0">
                  <c:v>2022</c:v>
                </c:pt>
                <c:pt idx="1">
                  <c:v>2023</c:v>
                </c:pt>
              </c:numCache>
            </c:numRef>
          </c:cat>
          <c:val>
            <c:numRef>
              <c:f>'[2023年决算图表.xlsx]图4财政拨款收支决算总计变动图 (2)'!$I$8:$I$13</c:f>
              <c:numCache>
                <c:formatCode>General</c:formatCode>
                <c:ptCount val="6"/>
              </c:numCache>
            </c:numRef>
          </c:val>
        </c:ser>
        <c:dLbls>
          <c:showLegendKey val="0"/>
          <c:showVal val="1"/>
          <c:showCatName val="0"/>
          <c:showSerName val="0"/>
          <c:showPercent val="0"/>
          <c:showBubbleSize val="0"/>
        </c:dLbls>
        <c:gapWidth val="219"/>
        <c:overlap val="-27"/>
        <c:axId val="451387723"/>
        <c:axId val="444212283"/>
      </c:barChart>
      <c:catAx>
        <c:axId val="451387723"/>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212283"/>
        <c:crosses val="autoZero"/>
        <c:auto val="1"/>
        <c:lblAlgn val="ctr"/>
        <c:lblOffset val="100"/>
        <c:noMultiLvlLbl val="0"/>
      </c:catAx>
      <c:valAx>
        <c:axId val="4442122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收支金额</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3877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：一般公共预算财政拨款支出决算变动情况</a:t>
            </a:r>
            <a:endParaRPr altLang="en-US"/>
          </a:p>
        </c:rich>
      </c:tx>
      <c:layout/>
      <c:overlay val="0"/>
      <c:spPr>
        <a:noFill/>
        <a:ln>
          <a:noFill/>
        </a:ln>
        <a:effectLst/>
      </c:spPr>
    </c:title>
    <c:autoTitleDeleted val="0"/>
    <c:plotArea>
      <c:layout>
        <c:manualLayout>
          <c:layoutTarget val="inner"/>
          <c:xMode val="edge"/>
          <c:yMode val="edge"/>
          <c:x val="0.165267649759628"/>
          <c:y val="0.20308066477503"/>
          <c:w val="0.731939718035975"/>
          <c:h val="0.439683826509931"/>
        </c:manualLayout>
      </c:layout>
      <c:barChart>
        <c:barDir val="col"/>
        <c:grouping val="clustered"/>
        <c:varyColors val="0"/>
        <c:ser>
          <c:idx val="0"/>
          <c:order val="0"/>
          <c:tx>
            <c:strRef>
              <c:f>[2023年决算图表.xlsx]图5一般公共预算财政拨款支出决算变动情况!$G$7</c:f>
              <c:strCache>
                <c:ptCount val="1"/>
                <c:pt idx="0">
                  <c:v/>
                </c:pt>
              </c:strCache>
            </c:strRef>
          </c:tx>
          <c:spPr>
            <a:solidFill>
              <a:schemeClr val="accent1"/>
            </a:solidFill>
            <a:ln>
              <a:noFill/>
            </a:ln>
            <a:effectLst/>
          </c:spPr>
          <c:invertIfNegative val="0"/>
          <c:dLbls>
            <c:dLbl>
              <c:idx val="1"/>
              <c:layout>
                <c:manualLayout>
                  <c:x val="-0.0160427807486631"/>
                  <c:y val="0.01520064856100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[2023年决算图表.xlsx]图5一般公共预算财政拨款支出决算变动情况!$F$8:$F$13</c:f>
              <c:numCache>
                <c:formatCode>General</c:formatCode>
                <c:ptCount val="6"/>
                <c:pt idx="0">
                  <c:v>2022</c:v>
                </c:pt>
                <c:pt idx="1">
                  <c:v>2023</c:v>
                </c:pt>
              </c:numCache>
            </c:numRef>
          </c:cat>
          <c:val>
            <c:numRef>
              <c:f>[2023年决算图表.xlsx]图5一般公共预算财政拨款支出决算变动情况!$G$8:$G$13</c:f>
              <c:numCache>
                <c:formatCode>General</c:formatCode>
                <c:ptCount val="6"/>
                <c:pt idx="0">
                  <c:v>391.25</c:v>
                </c:pt>
                <c:pt idx="1">
                  <c:v>1914.38</c:v>
                </c:pt>
              </c:numCache>
            </c:numRef>
          </c:val>
        </c:ser>
        <c:ser>
          <c:idx val="1"/>
          <c:order val="1"/>
          <c:tx>
            <c:strRef>
              <c:f>[2023年决算图表.xlsx]图5一般公共预算财政拨款支出决算变动情况!$H$7</c:f>
              <c:strCache>
                <c:ptCount val="1"/>
                <c:pt idx="0">
                  <c:v/>
                </c:pt>
              </c:strCache>
            </c:strRef>
          </c:tx>
          <c:spPr>
            <a:solidFill>
              <a:schemeClr val="accent2"/>
            </a:solidFill>
            <a:ln>
              <a:noFill/>
            </a:ln>
            <a:effectLst/>
          </c:spPr>
          <c:invertIfNegative val="0"/>
          <c:dLbls>
            <c:dLbl>
              <c:idx val="2"/>
              <c:layout>
                <c:manualLayout>
                  <c:x val="-0.0035650623885918"/>
                  <c:y val="0.0030401297122010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695187165775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130124777183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[2023年决算图表.xlsx]图5一般公共预算财政拨款支出决算变动情况!$F$8:$F$13</c:f>
              <c:numCache>
                <c:formatCode>General</c:formatCode>
                <c:ptCount val="6"/>
                <c:pt idx="0">
                  <c:v>2022</c:v>
                </c:pt>
                <c:pt idx="1">
                  <c:v>2023</c:v>
                </c:pt>
              </c:numCache>
            </c:numRef>
          </c:cat>
          <c:val>
            <c:numRef>
              <c:f>[2023年决算图表.xlsx]图5一般公共预算财政拨款支出决算变动情况!$H$8:$H$13</c:f>
              <c:numCache>
                <c:formatCode>General</c:formatCode>
                <c:ptCount val="6"/>
              </c:numCache>
            </c:numRef>
          </c:val>
        </c:ser>
        <c:ser>
          <c:idx val="2"/>
          <c:order val="2"/>
          <c:tx>
            <c:strRef>
              <c:f>[2023年决算图表.xlsx]图5一般公共预算财政拨款支出决算变动情况!$I$7</c:f>
              <c:strCache>
                <c:ptCount val="1"/>
                <c:pt idx="0">
                  <c:v/>
                </c:pt>
              </c:strCache>
            </c:strRef>
          </c:tx>
          <c:spPr>
            <a:solidFill>
              <a:schemeClr val="accent3"/>
            </a:solidFill>
            <a:ln>
              <a:noFill/>
            </a:ln>
            <a:effectLst/>
          </c:spPr>
          <c:invertIfNegative val="0"/>
          <c:dLbls>
            <c:dLbl>
              <c:idx val="1"/>
              <c:layout>
                <c:manualLayout>
                  <c:x val="0.01782531194295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4777183600713"/>
                  <c:y val="0.006080259424402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477718360071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60249554367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[2023年决算图表.xlsx]图5一般公共预算财政拨款支出决算变动情况!$F$8:$F$13</c:f>
              <c:numCache>
                <c:formatCode>General</c:formatCode>
                <c:ptCount val="6"/>
                <c:pt idx="0">
                  <c:v>2022</c:v>
                </c:pt>
                <c:pt idx="1">
                  <c:v>2023</c:v>
                </c:pt>
              </c:numCache>
            </c:numRef>
          </c:cat>
          <c:val>
            <c:numRef>
              <c:f>[2023年决算图表.xlsx]图5一般公共预算财政拨款支出决算变动情况!$I$8:$I$13</c:f>
              <c:numCache>
                <c:formatCode>General</c:formatCode>
                <c:ptCount val="6"/>
              </c:numCache>
            </c:numRef>
          </c:val>
        </c:ser>
        <c:dLbls>
          <c:showLegendKey val="0"/>
          <c:showVal val="1"/>
          <c:showCatName val="0"/>
          <c:showSerName val="0"/>
          <c:showPercent val="0"/>
          <c:showBubbleSize val="0"/>
        </c:dLbls>
        <c:gapWidth val="219"/>
        <c:overlap val="-27"/>
        <c:axId val="451387723"/>
        <c:axId val="444212283"/>
      </c:barChart>
      <c:catAx>
        <c:axId val="451387723"/>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212283"/>
        <c:crosses val="autoZero"/>
        <c:auto val="1"/>
        <c:lblAlgn val="ctr"/>
        <c:lblOffset val="100"/>
        <c:noMultiLvlLbl val="0"/>
      </c:catAx>
      <c:valAx>
        <c:axId val="4442122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3877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图</a:t>
            </a:r>
            <a:r>
              <a:rPr lang="en-US" altLang="zh-CN"/>
              <a:t>6</a:t>
            </a:r>
            <a:r>
              <a:rPr altLang="en-US"/>
              <a:t>：一般公共预算财政拨款支出决算结构情况</a:t>
            </a:r>
            <a:endParaRPr altLang="en-US"/>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0229166666666667"/>
                  <c:y val="-0.0659722222222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48697068764241"/>
                  <c:y val="-0.0874047537060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39452326799981"/>
                  <c:y val="-0.005474130640552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177325614023"/>
                  <c:y val="-0.001998044000028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'[2023年决算图表.xlsx]图6一般公共预算财政拨款支出决算结构情况 (2)'!$F$12:$F$15</c:f>
              <c:strCache>
                <c:ptCount val="4"/>
                <c:pt idx="0">
                  <c:v>住房保障支出</c:v>
                </c:pt>
                <c:pt idx="1">
                  <c:v>社会保障和就业支出</c:v>
                </c:pt>
                <c:pt idx="2">
                  <c:v>卫生健康支出</c:v>
                </c:pt>
                <c:pt idx="3">
                  <c:v>资源勘探信息支出</c:v>
                </c:pt>
              </c:strCache>
            </c:strRef>
          </c:cat>
          <c:val>
            <c:numRef>
              <c:f>'[2023年决算图表.xlsx]图6一般公共预算财政拨款支出决算结构情况 (2)'!$G$12:$G$15</c:f>
              <c:numCache>
                <c:formatCode>0.00%</c:formatCode>
                <c:ptCount val="4"/>
                <c:pt idx="0">
                  <c:v>0</c:v>
                </c:pt>
                <c:pt idx="1">
                  <c:v>0.0322</c:v>
                </c:pt>
                <c:pt idx="2">
                  <c:v>0.0057</c:v>
                </c:pt>
                <c:pt idx="3">
                  <c:v>0.9472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8269</Words>
  <Characters>9028</Characters>
  <Lines>0</Lines>
  <Paragraphs>0</Paragraphs>
  <TotalTime>0</TotalTime>
  <ScaleCrop>false</ScaleCrop>
  <LinksUpToDate>false</LinksUpToDate>
  <CharactersWithSpaces>9200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2021-09-18T01:44:00Z</dcterms:created>
  <dc:creator>Administrator</dc:creator>
  <cp:lastModifiedBy>Administrator</cp:lastModifiedBy>
  <cp:lastPrinted>2024-01-30T03:08:00Z</cp:lastPrinted>
  <dcterms:modified xsi:type="dcterms:W3CDTF">2024-10-25T06:39:41Z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F03D0944D4DB4BEDB5671510E8803A4D_13</vt:lpwstr>
  </property>
</Properties>
</file>