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both"/>
        <w:rPr>
          <w:rFonts w:hint="eastAsia" w:ascii="Times New Roman" w:hAnsi="Times New Roman" w:eastAsia="方正小标宋简体" w:cs="Times New Roman"/>
          <w:color w:val="auto"/>
          <w:kern w:val="2"/>
          <w:sz w:val="44"/>
          <w:szCs w:val="44"/>
          <w:highlight w:val="none"/>
          <w:lang w:val="en-US" w:eastAsia="zh-CN" w:bidi="ar-SA"/>
        </w:rPr>
      </w:pPr>
      <w:bookmarkStart w:id="0" w:name="_Toc15396476"/>
      <w:bookmarkStart w:id="1" w:name="_Toc15377426"/>
      <w:bookmarkStart w:id="2" w:name="_Toc15378442"/>
      <w:bookmarkStart w:id="3" w:name="_Toc15396598"/>
      <w:bookmarkStart w:id="4" w:name="_Toc15377194"/>
      <w:bookmarkStart w:id="5" w:name="_Toc15306267"/>
      <w:bookmarkStart w:id="6" w:name="_Toc15378441"/>
      <w:bookmarkStart w:id="7" w:name="_Toc15396475"/>
      <w:bookmarkStart w:id="8" w:name="_Toc15377425"/>
      <w:bookmarkStart w:id="9" w:name="_Toc15396597"/>
      <w:bookmarkStart w:id="10" w:name="_Toc15377193"/>
    </w:p>
    <w:p>
      <w:pPr>
        <w:pStyle w:val="7"/>
        <w:jc w:val="both"/>
        <w:rPr>
          <w:rFonts w:hint="eastAsia" w:ascii="Times New Roman" w:hAnsi="Times New Roman" w:eastAsia="方正小标宋简体" w:cs="Times New Roman"/>
          <w:color w:val="auto"/>
          <w:kern w:val="2"/>
          <w:sz w:val="44"/>
          <w:szCs w:val="44"/>
          <w:highlight w:val="none"/>
          <w:lang w:val="en-US" w:eastAsia="zh-CN" w:bidi="ar-SA"/>
        </w:rPr>
      </w:pPr>
    </w:p>
    <w:p>
      <w:pPr>
        <w:pStyle w:val="7"/>
        <w:jc w:val="both"/>
        <w:rPr>
          <w:rFonts w:hint="eastAsia" w:ascii="Times New Roman" w:hAnsi="Times New Roman" w:eastAsia="方正小标宋简体" w:cs="Times New Roman"/>
          <w:color w:val="auto"/>
          <w:kern w:val="2"/>
          <w:sz w:val="44"/>
          <w:szCs w:val="44"/>
          <w:highlight w:val="none"/>
          <w:lang w:val="en-US" w:eastAsia="zh-CN" w:bidi="ar-SA"/>
        </w:rPr>
      </w:pPr>
    </w:p>
    <w:p>
      <w:pPr>
        <w:pStyle w:val="7"/>
        <w:jc w:val="both"/>
        <w:rPr>
          <w:rFonts w:hint="eastAsia" w:ascii="Times New Roman" w:hAnsi="Times New Roman" w:eastAsia="方正小标宋简体" w:cs="Times New Roman"/>
          <w:color w:val="auto"/>
          <w:kern w:val="2"/>
          <w:sz w:val="44"/>
          <w:szCs w:val="44"/>
          <w:highlight w:val="none"/>
          <w:lang w:val="en-US" w:eastAsia="zh-CN" w:bidi="ar-SA"/>
        </w:rPr>
      </w:pPr>
    </w:p>
    <w:p>
      <w:pPr>
        <w:pStyle w:val="7"/>
        <w:jc w:val="both"/>
        <w:rPr>
          <w:rFonts w:hint="eastAsia" w:ascii="Times New Roman" w:hAnsi="Times New Roman" w:eastAsia="方正小标宋简体" w:cs="Times New Roman"/>
          <w:color w:val="auto"/>
          <w:kern w:val="2"/>
          <w:sz w:val="44"/>
          <w:szCs w:val="44"/>
          <w:highlight w:val="none"/>
          <w:lang w:val="en-US" w:eastAsia="zh-CN" w:bidi="ar-SA"/>
        </w:rPr>
      </w:pPr>
    </w:p>
    <w:p>
      <w:pPr>
        <w:pStyle w:val="7"/>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2024年度四川省</w:t>
      </w:r>
      <w:bookmarkStart w:id="11" w:name="_Toc15306268"/>
      <w:r>
        <w:rPr>
          <w:rFonts w:hint="eastAsia" w:ascii="Times New Roman" w:hAnsi="Times New Roman" w:eastAsia="方正小标宋简体" w:cs="Times New Roman"/>
          <w:color w:val="auto"/>
          <w:kern w:val="2"/>
          <w:sz w:val="44"/>
          <w:szCs w:val="44"/>
          <w:highlight w:val="none"/>
          <w:lang w:val="en-US" w:eastAsia="zh-CN" w:bidi="ar-SA"/>
        </w:rPr>
        <w:t>中国共产党五通桥区委员会统一战线工作部</w:t>
      </w:r>
    </w:p>
    <w:p>
      <w:pPr>
        <w:pStyle w:val="7"/>
        <w:jc w:val="center"/>
        <w:rPr>
          <w:rFonts w:hint="eastAsia" w:ascii="Times New Roman" w:hAnsi="Times New Roman" w:eastAsia="方正小标宋简体"/>
          <w:lang w:val="en-US" w:eastAsia="zh-CN"/>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r>
        <w:rPr>
          <w:rFonts w:hint="eastAsia" w:ascii="Times New Roman" w:hAnsi="Times New Roman" w:eastAsia="方正小标宋简体" w:cs="Times New Roman"/>
          <w:color w:val="auto"/>
          <w:kern w:val="2"/>
          <w:sz w:val="44"/>
          <w:szCs w:val="44"/>
          <w:highlight w:val="none"/>
          <w:lang w:val="en-US" w:eastAsia="zh-CN" w:bidi="ar-SA"/>
        </w:rPr>
        <w:t>部门决</w:t>
      </w:r>
      <w:bookmarkEnd w:id="0"/>
      <w:bookmarkEnd w:id="1"/>
      <w:bookmarkEnd w:id="2"/>
      <w:bookmarkEnd w:id="3"/>
      <w:bookmarkEnd w:id="4"/>
      <w:bookmarkEnd w:id="11"/>
      <w:r>
        <w:rPr>
          <w:rFonts w:hint="eastAsia" w:ascii="Times New Roman" w:eastAsia="方正小标宋简体" w:cs="Times New Roman"/>
          <w:color w:val="auto"/>
          <w:kern w:val="2"/>
          <w:sz w:val="44"/>
          <w:szCs w:val="44"/>
          <w:highlight w:val="none"/>
          <w:lang w:val="en-US" w:eastAsia="zh-CN" w:bidi="ar-SA"/>
        </w:rPr>
        <w:t>算</w:t>
      </w:r>
      <w:bookmarkStart w:id="178" w:name="_GoBack"/>
      <w:bookmarkEnd w:id="178"/>
    </w:p>
    <w:bookmarkEnd w:id="5"/>
    <w:bookmarkEnd w:id="6"/>
    <w:bookmarkEnd w:id="7"/>
    <w:bookmarkEnd w:id="8"/>
    <w:bookmarkEnd w:id="9"/>
    <w:bookmarkEnd w:id="10"/>
    <w:p>
      <w:pPr>
        <w:rPr>
          <w:rFonts w:ascii="Times New Roman" w:hAnsi="Times New Roman"/>
          <w:color w:val="auto"/>
          <w:highlight w:val="none"/>
        </w:rPr>
      </w:pPr>
    </w:p>
    <w:sdt>
      <w:sdtPr>
        <w:rPr>
          <w:rFonts w:ascii="宋体" w:hAnsi="宋体" w:eastAsia="宋体" w:cs="Times New Roman"/>
          <w:kern w:val="2"/>
          <w:sz w:val="21"/>
          <w:szCs w:val="24"/>
          <w:lang w:val="en-US" w:eastAsia="zh-CN" w:bidi="ar-SA"/>
        </w:rPr>
        <w:id w:val="147472187"/>
        <w:docPartObj>
          <w:docPartGallery w:val="Table of Contents"/>
          <w:docPartUnique/>
        </w:docPartObj>
      </w:sdtPr>
      <w:sdtEndPr>
        <w:rPr>
          <w:rFonts w:ascii="Times New Roman" w:hAnsi="Times New Roman" w:eastAsia="宋体" w:cs="Times New Roman"/>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bookmarkStart w:id="12" w:name="_Toc16377_WPSOffice_Type2"/>
          <w:r>
            <w:rPr>
              <w:rFonts w:ascii="宋体" w:hAnsi="宋体" w:eastAsia="宋体"/>
              <w:sz w:val="21"/>
            </w:rPr>
            <w:t>目录</w:t>
          </w:r>
        </w:p>
        <w:p>
          <w:pPr>
            <w:pStyle w:val="39"/>
            <w:tabs>
              <w:tab w:val="right" w:leader="dot" w:pos="8306"/>
            </w:tabs>
          </w:pPr>
          <w:r>
            <w:rPr>
              <w:b/>
              <w:bCs/>
            </w:rPr>
            <w:fldChar w:fldCharType="begin"/>
          </w:r>
          <w:r>
            <w:instrText xml:space="preserve"> HYPERLINK \l _Toc28730_WPSOffice_Level1 </w:instrText>
          </w:r>
          <w:r>
            <w:rPr>
              <w:b/>
              <w:bCs/>
            </w:rPr>
            <w:fldChar w:fldCharType="separate"/>
          </w:r>
          <w:sdt>
            <w:sdtPr>
              <w:rPr>
                <w:rFonts w:ascii="仿宋_GB2312" w:hAnsi="Times New Roman" w:eastAsia="宋体" w:cs="Times New Roman"/>
                <w:b/>
                <w:bCs/>
                <w:kern w:val="2"/>
                <w:sz w:val="21"/>
                <w:szCs w:val="32"/>
                <w:lang w:val="en-US" w:eastAsia="zh-CN" w:bidi="ar-SA"/>
              </w:rPr>
              <w:id w:val="147472191"/>
              <w:placeholder>
                <w:docPart w:val="{85ce102d-bfe7-483e-a89c-72c6c353e31c}"/>
              </w:placeholder>
            </w:sdtPr>
            <w:sdtEndPr>
              <w:rPr>
                <w:rFonts w:ascii="仿宋_GB2312" w:hAnsi="Times New Roman" w:eastAsia="宋体" w:cs="Times New Roman"/>
                <w:b/>
                <w:bCs/>
                <w:kern w:val="2"/>
                <w:sz w:val="21"/>
                <w:szCs w:val="32"/>
                <w:lang w:val="en-US" w:eastAsia="zh-CN" w:bidi="ar-SA"/>
              </w:rPr>
            </w:sdtEndPr>
            <w:sdtContent>
              <w:r>
                <w:rPr>
                  <w:rFonts w:hint="eastAsia" w:ascii="Times New Roman" w:hAnsi="Times New Roman" w:eastAsia="方正小标宋简体" w:cs="方正小标宋简体"/>
                  <w:b/>
                  <w:bCs/>
                </w:rPr>
                <w:t>第一部分  部门概况</w:t>
              </w:r>
            </w:sdtContent>
          </w:sdt>
          <w:r>
            <w:rPr>
              <w:b/>
              <w:bCs/>
            </w:rPr>
            <w:tab/>
          </w:r>
          <w:bookmarkStart w:id="13" w:name="_Toc28730_WPSOffice_Level1Page"/>
          <w:r>
            <w:rPr>
              <w:b/>
              <w:bCs/>
            </w:rPr>
            <w:t>1</w:t>
          </w:r>
          <w:bookmarkEnd w:id="13"/>
          <w:r>
            <w:rPr>
              <w:b/>
              <w:bCs/>
            </w:rPr>
            <w:fldChar w:fldCharType="end"/>
          </w:r>
        </w:p>
        <w:p>
          <w:pPr>
            <w:pStyle w:val="40"/>
            <w:tabs>
              <w:tab w:val="right" w:leader="dot" w:pos="8306"/>
            </w:tabs>
          </w:pPr>
          <w:r>
            <w:fldChar w:fldCharType="begin"/>
          </w:r>
          <w:r>
            <w:instrText xml:space="preserve"> HYPERLINK \l _Toc5628_WPSOffice_Level2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e841f602-e037-4d98-bc33-93c8c099276f}"/>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heme="majorBidi"/>
                </w:rPr>
                <w:t>一、部门职责</w:t>
              </w:r>
            </w:sdtContent>
          </w:sdt>
          <w:r>
            <w:tab/>
          </w:r>
          <w:bookmarkStart w:id="14" w:name="_Toc5628_WPSOffice_Level2Page"/>
          <w:r>
            <w:t>1</w:t>
          </w:r>
          <w:bookmarkEnd w:id="14"/>
          <w:r>
            <w:fldChar w:fldCharType="end"/>
          </w:r>
        </w:p>
        <w:p>
          <w:pPr>
            <w:pStyle w:val="40"/>
            <w:tabs>
              <w:tab w:val="right" w:leader="dot" w:pos="8306"/>
            </w:tabs>
          </w:pPr>
          <w:r>
            <w:fldChar w:fldCharType="begin"/>
          </w:r>
          <w:r>
            <w:instrText xml:space="preserve"> HYPERLINK \l _Toc5337_WPSOffice_Level2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a56340f8-d48d-456a-8bd4-218d37e1470f}"/>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heme="majorBidi"/>
                </w:rPr>
                <w:t>二、机构设置</w:t>
              </w:r>
            </w:sdtContent>
          </w:sdt>
          <w:r>
            <w:tab/>
          </w:r>
          <w:bookmarkStart w:id="15" w:name="_Toc5337_WPSOffice_Level2Page"/>
          <w:r>
            <w:t>4</w:t>
          </w:r>
          <w:bookmarkEnd w:id="15"/>
          <w:r>
            <w:fldChar w:fldCharType="end"/>
          </w:r>
        </w:p>
        <w:p>
          <w:pPr>
            <w:pStyle w:val="39"/>
            <w:tabs>
              <w:tab w:val="right" w:leader="dot" w:pos="8306"/>
            </w:tabs>
          </w:pPr>
          <w:r>
            <w:rPr>
              <w:b/>
              <w:bCs/>
            </w:rPr>
            <w:fldChar w:fldCharType="begin"/>
          </w:r>
          <w:r>
            <w:instrText xml:space="preserve"> HYPERLINK \l _Toc5628_WPSOffice_Level1 </w:instrText>
          </w:r>
          <w:r>
            <w:rPr>
              <w:b/>
              <w:bCs/>
            </w:rPr>
            <w:fldChar w:fldCharType="separate"/>
          </w:r>
          <w:sdt>
            <w:sdtPr>
              <w:rPr>
                <w:rFonts w:ascii="仿宋_GB2312" w:hAnsi="Times New Roman" w:eastAsia="宋体" w:cs="Times New Roman"/>
                <w:b/>
                <w:bCs/>
                <w:kern w:val="2"/>
                <w:sz w:val="21"/>
                <w:szCs w:val="32"/>
                <w:lang w:val="en-US" w:eastAsia="zh-CN" w:bidi="ar-SA"/>
              </w:rPr>
              <w:id w:val="147472191"/>
              <w:placeholder>
                <w:docPart w:val="{0c29cb93-3aad-48a4-bdd9-1d9a4c825363}"/>
              </w:placeholder>
            </w:sdtPr>
            <w:sdtEndPr>
              <w:rPr>
                <w:rFonts w:ascii="仿宋_GB2312" w:hAnsi="Times New Roman" w:eastAsia="宋体" w:cs="Times New Roman"/>
                <w:b/>
                <w:bCs/>
                <w:kern w:val="2"/>
                <w:sz w:val="21"/>
                <w:szCs w:val="32"/>
                <w:lang w:val="en-US" w:eastAsia="zh-CN" w:bidi="ar-SA"/>
              </w:rPr>
            </w:sdtEndPr>
            <w:sdtContent>
              <w:r>
                <w:rPr>
                  <w:rFonts w:hint="eastAsia" w:ascii="Times New Roman" w:hAnsi="Times New Roman" w:eastAsia="方正小标宋简体" w:cs="方正小标宋简体"/>
                  <w:b/>
                  <w:bCs/>
                </w:rPr>
                <w:t>第二部分  2024年度部门决算情况说明</w:t>
              </w:r>
            </w:sdtContent>
          </w:sdt>
          <w:r>
            <w:rPr>
              <w:b/>
              <w:bCs/>
            </w:rPr>
            <w:tab/>
          </w:r>
          <w:bookmarkStart w:id="16" w:name="_Toc5628_WPSOffice_Level1Page"/>
          <w:r>
            <w:rPr>
              <w:b/>
              <w:bCs/>
            </w:rPr>
            <w:t>4</w:t>
          </w:r>
          <w:bookmarkEnd w:id="16"/>
          <w:r>
            <w:rPr>
              <w:b/>
              <w:bCs/>
            </w:rPr>
            <w:fldChar w:fldCharType="end"/>
          </w:r>
        </w:p>
        <w:p>
          <w:pPr>
            <w:pStyle w:val="40"/>
            <w:tabs>
              <w:tab w:val="right" w:leader="dot" w:pos="8306"/>
            </w:tabs>
          </w:pPr>
          <w:r>
            <w:fldChar w:fldCharType="begin"/>
          </w:r>
          <w:r>
            <w:instrText xml:space="preserve"> HYPERLINK \l _Toc8387_WPSOffice_Level2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aade7f37-59a2-40a4-a737-2e63b2121441}"/>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imes New Roman"/>
                </w:rPr>
                <w:t>一、收</w:t>
              </w:r>
              <w:r>
                <w:rPr>
                  <w:rFonts w:hint="eastAsia" w:ascii="Times New Roman" w:hAnsi="Times New Roman" w:eastAsia="黑体" w:cstheme="majorBidi"/>
                </w:rPr>
                <w:t>入支出决算总体情况说明</w:t>
              </w:r>
            </w:sdtContent>
          </w:sdt>
          <w:r>
            <w:tab/>
          </w:r>
          <w:bookmarkStart w:id="17" w:name="_Toc8387_WPSOffice_Level2Page"/>
          <w:r>
            <w:t>5</w:t>
          </w:r>
          <w:bookmarkEnd w:id="17"/>
          <w:r>
            <w:fldChar w:fldCharType="end"/>
          </w:r>
        </w:p>
        <w:p>
          <w:pPr>
            <w:pStyle w:val="40"/>
            <w:tabs>
              <w:tab w:val="right" w:leader="dot" w:pos="8306"/>
            </w:tabs>
          </w:pPr>
          <w:r>
            <w:fldChar w:fldCharType="begin"/>
          </w:r>
          <w:r>
            <w:instrText xml:space="preserve"> HYPERLINK \l _Toc31480_WPSOffice_Level2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f2519859-e514-44e5-bfce-c3c0a0be49d0}"/>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imes New Roman"/>
                </w:rPr>
                <w:t>二、收入决算情况说明</w:t>
              </w:r>
            </w:sdtContent>
          </w:sdt>
          <w:r>
            <w:tab/>
          </w:r>
          <w:bookmarkStart w:id="18" w:name="_Toc31480_WPSOffice_Level2Page"/>
          <w:r>
            <w:t>5</w:t>
          </w:r>
          <w:bookmarkEnd w:id="18"/>
          <w:r>
            <w:fldChar w:fldCharType="end"/>
          </w:r>
        </w:p>
        <w:p>
          <w:pPr>
            <w:pStyle w:val="40"/>
            <w:tabs>
              <w:tab w:val="right" w:leader="dot" w:pos="8306"/>
            </w:tabs>
          </w:pPr>
          <w:r>
            <w:fldChar w:fldCharType="begin"/>
          </w:r>
          <w:r>
            <w:instrText xml:space="preserve"> HYPERLINK \l _Toc27695_WPSOffice_Level2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2c2bff76-9e36-4329-aa84-299403289d24}"/>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imes New Roman"/>
                </w:rPr>
                <w:t>三、支</w:t>
              </w:r>
              <w:r>
                <w:rPr>
                  <w:rFonts w:hint="eastAsia" w:ascii="Times New Roman" w:hAnsi="Times New Roman" w:eastAsia="黑体" w:cstheme="majorBidi"/>
                </w:rPr>
                <w:t>出决算情况说明</w:t>
              </w:r>
            </w:sdtContent>
          </w:sdt>
          <w:r>
            <w:tab/>
          </w:r>
          <w:bookmarkStart w:id="19" w:name="_Toc27695_WPSOffice_Level2Page"/>
          <w:r>
            <w:t>6</w:t>
          </w:r>
          <w:bookmarkEnd w:id="19"/>
          <w:r>
            <w:fldChar w:fldCharType="end"/>
          </w:r>
        </w:p>
        <w:p>
          <w:pPr>
            <w:pStyle w:val="40"/>
            <w:tabs>
              <w:tab w:val="right" w:leader="dot" w:pos="8306"/>
            </w:tabs>
          </w:pPr>
          <w:r>
            <w:fldChar w:fldCharType="begin"/>
          </w:r>
          <w:r>
            <w:instrText xml:space="preserve"> HYPERLINK \l _Toc27635_WPSOffice_Level2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2d057212-a8cc-4ef3-b704-118d41d226da}"/>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imes New Roman"/>
                </w:rPr>
                <w:t>四、财</w:t>
              </w:r>
              <w:r>
                <w:rPr>
                  <w:rFonts w:hint="eastAsia" w:ascii="Times New Roman" w:hAnsi="Times New Roman" w:eastAsia="黑体" w:cstheme="majorBidi"/>
                </w:rPr>
                <w:t>政拨款收入支出决算总体情况说明</w:t>
              </w:r>
            </w:sdtContent>
          </w:sdt>
          <w:r>
            <w:tab/>
          </w:r>
          <w:bookmarkStart w:id="20" w:name="_Toc27635_WPSOffice_Level2Page"/>
          <w:r>
            <w:t>7</w:t>
          </w:r>
          <w:bookmarkEnd w:id="20"/>
          <w:r>
            <w:fldChar w:fldCharType="end"/>
          </w:r>
        </w:p>
        <w:p>
          <w:pPr>
            <w:pStyle w:val="40"/>
            <w:tabs>
              <w:tab w:val="right" w:leader="dot" w:pos="8306"/>
            </w:tabs>
          </w:pPr>
          <w:r>
            <w:fldChar w:fldCharType="begin"/>
          </w:r>
          <w:r>
            <w:instrText xml:space="preserve"> HYPERLINK \l _Toc14751_WPSOffice_Level2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8faed1e9-e998-485d-ba8f-ee9bfb0f75ae}"/>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imes New Roman"/>
                </w:rPr>
                <w:t>五、一</w:t>
              </w:r>
              <w:r>
                <w:rPr>
                  <w:rFonts w:hint="eastAsia" w:ascii="Times New Roman" w:hAnsi="Times New Roman" w:eastAsia="黑体" w:cstheme="majorBidi"/>
                </w:rPr>
                <w:t>般公共预算财政拨款支出决算情况说明</w:t>
              </w:r>
            </w:sdtContent>
          </w:sdt>
          <w:r>
            <w:tab/>
          </w:r>
          <w:bookmarkStart w:id="21" w:name="_Toc14751_WPSOffice_Level2Page"/>
          <w:r>
            <w:t>8</w:t>
          </w:r>
          <w:bookmarkEnd w:id="21"/>
          <w:r>
            <w:fldChar w:fldCharType="end"/>
          </w:r>
        </w:p>
        <w:p>
          <w:pPr>
            <w:pStyle w:val="40"/>
            <w:tabs>
              <w:tab w:val="right" w:leader="dot" w:pos="8306"/>
            </w:tabs>
          </w:pPr>
          <w:r>
            <w:fldChar w:fldCharType="begin"/>
          </w:r>
          <w:r>
            <w:instrText xml:space="preserve"> HYPERLINK \l _Toc21538_WPSOffice_Level2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7083c9f3-edc6-4b11-b751-06b54ea375e3}"/>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imes New Roman"/>
                </w:rPr>
                <w:t>六、一</w:t>
              </w:r>
              <w:r>
                <w:rPr>
                  <w:rFonts w:hint="eastAsia" w:ascii="Times New Roman" w:hAnsi="Times New Roman" w:eastAsia="黑体" w:cstheme="majorBidi"/>
                </w:rPr>
                <w:t>般公共预算财政拨款基本支出决算情况说明</w:t>
              </w:r>
            </w:sdtContent>
          </w:sdt>
          <w:r>
            <w:tab/>
          </w:r>
          <w:bookmarkStart w:id="22" w:name="_Toc21538_WPSOffice_Level2Page"/>
          <w:r>
            <w:t>12</w:t>
          </w:r>
          <w:bookmarkEnd w:id="22"/>
          <w:r>
            <w:fldChar w:fldCharType="end"/>
          </w:r>
        </w:p>
        <w:p>
          <w:pPr>
            <w:pStyle w:val="40"/>
            <w:tabs>
              <w:tab w:val="right" w:leader="dot" w:pos="8306"/>
            </w:tabs>
          </w:pPr>
          <w:r>
            <w:fldChar w:fldCharType="begin"/>
          </w:r>
          <w:r>
            <w:instrText xml:space="preserve"> HYPERLINK \l _Toc31409_WPSOffice_Level2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dfbadeb3-591c-4232-9afe-dcc7abe3fc36}"/>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imes New Roman"/>
                </w:rPr>
                <w:t>七、</w:t>
              </w:r>
              <w:r>
                <w:rPr>
                  <w:rFonts w:hint="eastAsia" w:ascii="Times New Roman" w:hAnsi="Times New Roman" w:eastAsia="黑体" w:cstheme="majorBidi"/>
                </w:rPr>
                <w:t>财政拨款“三公”经费支出决算情况说明</w:t>
              </w:r>
            </w:sdtContent>
          </w:sdt>
          <w:r>
            <w:tab/>
          </w:r>
          <w:bookmarkStart w:id="23" w:name="_Toc31409_WPSOffice_Level2Page"/>
          <w:r>
            <w:t>12</w:t>
          </w:r>
          <w:bookmarkEnd w:id="23"/>
          <w:r>
            <w:fldChar w:fldCharType="end"/>
          </w:r>
        </w:p>
        <w:p>
          <w:pPr>
            <w:pStyle w:val="40"/>
            <w:tabs>
              <w:tab w:val="right" w:leader="dot" w:pos="8306"/>
            </w:tabs>
          </w:pPr>
          <w:r>
            <w:fldChar w:fldCharType="begin"/>
          </w:r>
          <w:r>
            <w:instrText xml:space="preserve"> HYPERLINK \l _Toc25265_WPSOffice_Level2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caf92e7f-eea7-4c3c-a14b-779b64127abe}"/>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imes New Roman"/>
                </w:rPr>
                <w:t>八、</w:t>
              </w:r>
              <w:r>
                <w:rPr>
                  <w:rFonts w:hint="eastAsia" w:ascii="Times New Roman" w:hAnsi="Times New Roman" w:eastAsia="黑体" w:cstheme="majorBidi"/>
                </w:rPr>
                <w:t>政府性基金预算支出决算情况说明</w:t>
              </w:r>
            </w:sdtContent>
          </w:sdt>
          <w:r>
            <w:tab/>
          </w:r>
          <w:bookmarkStart w:id="24" w:name="_Toc25265_WPSOffice_Level2Page"/>
          <w:r>
            <w:t>14</w:t>
          </w:r>
          <w:bookmarkEnd w:id="24"/>
          <w:r>
            <w:fldChar w:fldCharType="end"/>
          </w:r>
        </w:p>
        <w:p>
          <w:pPr>
            <w:pStyle w:val="40"/>
            <w:tabs>
              <w:tab w:val="right" w:leader="dot" w:pos="8306"/>
            </w:tabs>
          </w:pPr>
          <w:r>
            <w:fldChar w:fldCharType="begin"/>
          </w:r>
          <w:r>
            <w:instrText xml:space="preserve"> HYPERLINK \l _Toc7645_WPSOffice_Level2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3d2da8de-d820-41dc-98ab-4995255db628}"/>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heme="majorBidi"/>
                </w:rPr>
                <w:t>九、国有资本经营预算支出决算情况说明</w:t>
              </w:r>
            </w:sdtContent>
          </w:sdt>
          <w:r>
            <w:tab/>
          </w:r>
          <w:bookmarkStart w:id="25" w:name="_Toc7645_WPSOffice_Level2Page"/>
          <w:r>
            <w:t>15</w:t>
          </w:r>
          <w:bookmarkEnd w:id="25"/>
          <w:r>
            <w:fldChar w:fldCharType="end"/>
          </w:r>
        </w:p>
        <w:p>
          <w:pPr>
            <w:pStyle w:val="40"/>
            <w:tabs>
              <w:tab w:val="right" w:leader="dot" w:pos="8306"/>
            </w:tabs>
          </w:pPr>
          <w:r>
            <w:fldChar w:fldCharType="begin"/>
          </w:r>
          <w:r>
            <w:instrText xml:space="preserve"> HYPERLINK \l _Toc16452_WPSOffice_Level2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1526ee58-fae5-4652-b75b-5f750df87eef}"/>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heme="majorBidi"/>
                </w:rPr>
                <w:t>十、其他重要事项的情况说明</w:t>
              </w:r>
            </w:sdtContent>
          </w:sdt>
          <w:r>
            <w:tab/>
          </w:r>
          <w:bookmarkStart w:id="26" w:name="_Toc16452_WPSOffice_Level2Page"/>
          <w:r>
            <w:t>15</w:t>
          </w:r>
          <w:bookmarkEnd w:id="26"/>
          <w:r>
            <w:fldChar w:fldCharType="end"/>
          </w:r>
        </w:p>
        <w:p>
          <w:pPr>
            <w:pStyle w:val="39"/>
            <w:tabs>
              <w:tab w:val="right" w:leader="dot" w:pos="8306"/>
            </w:tabs>
          </w:pPr>
          <w:r>
            <w:rPr>
              <w:b/>
              <w:bCs/>
            </w:rPr>
            <w:fldChar w:fldCharType="begin"/>
          </w:r>
          <w:r>
            <w:instrText xml:space="preserve"> HYPERLINK \l _Toc5337_WPSOffice_Level1 </w:instrText>
          </w:r>
          <w:r>
            <w:rPr>
              <w:b/>
              <w:bCs/>
            </w:rPr>
            <w:fldChar w:fldCharType="separate"/>
          </w:r>
          <w:sdt>
            <w:sdtPr>
              <w:rPr>
                <w:rFonts w:ascii="仿宋_GB2312" w:hAnsi="Times New Roman" w:eastAsia="宋体" w:cs="Times New Roman"/>
                <w:b/>
                <w:bCs/>
                <w:kern w:val="2"/>
                <w:sz w:val="21"/>
                <w:szCs w:val="32"/>
                <w:lang w:val="en-US" w:eastAsia="zh-CN" w:bidi="ar-SA"/>
              </w:rPr>
              <w:id w:val="147472191"/>
              <w:placeholder>
                <w:docPart w:val="{aa4f1146-ca24-40a1-9093-39fe00197c56}"/>
              </w:placeholder>
            </w:sdtPr>
            <w:sdtEndPr>
              <w:rPr>
                <w:rFonts w:ascii="仿宋_GB2312" w:hAnsi="Times New Roman" w:eastAsia="宋体" w:cs="Times New Roman"/>
                <w:b/>
                <w:bCs/>
                <w:kern w:val="2"/>
                <w:sz w:val="21"/>
                <w:szCs w:val="32"/>
                <w:lang w:val="en-US" w:eastAsia="zh-CN" w:bidi="ar-SA"/>
              </w:rPr>
            </w:sdtEndPr>
            <w:sdtContent>
              <w:r>
                <w:rPr>
                  <w:rFonts w:hint="eastAsia" w:ascii="Times New Roman" w:hAnsi="Times New Roman" w:eastAsia="黑体" w:cs="Times New Roman"/>
                  <w:b/>
                  <w:bCs/>
                </w:rPr>
                <w:t>第三部分  名词解释</w:t>
              </w:r>
            </w:sdtContent>
          </w:sdt>
          <w:r>
            <w:rPr>
              <w:b/>
              <w:bCs/>
            </w:rPr>
            <w:tab/>
          </w:r>
          <w:bookmarkStart w:id="27" w:name="_Toc5337_WPSOffice_Level1Page"/>
          <w:r>
            <w:rPr>
              <w:b/>
              <w:bCs/>
            </w:rPr>
            <w:t>17</w:t>
          </w:r>
          <w:bookmarkEnd w:id="27"/>
          <w:r>
            <w:rPr>
              <w:b/>
              <w:bCs/>
            </w:rPr>
            <w:fldChar w:fldCharType="end"/>
          </w:r>
        </w:p>
        <w:p>
          <w:pPr>
            <w:pStyle w:val="39"/>
            <w:tabs>
              <w:tab w:val="right" w:leader="dot" w:pos="8306"/>
            </w:tabs>
          </w:pPr>
          <w:r>
            <w:rPr>
              <w:b/>
              <w:bCs/>
            </w:rPr>
            <w:fldChar w:fldCharType="begin"/>
          </w:r>
          <w:r>
            <w:instrText xml:space="preserve"> HYPERLINK \l _Toc8387_WPSOffice_Level1 </w:instrText>
          </w:r>
          <w:r>
            <w:rPr>
              <w:b/>
              <w:bCs/>
            </w:rPr>
            <w:fldChar w:fldCharType="separate"/>
          </w:r>
          <w:sdt>
            <w:sdtPr>
              <w:rPr>
                <w:rFonts w:ascii="仿宋_GB2312" w:hAnsi="Times New Roman" w:eastAsia="宋体" w:cs="Times New Roman"/>
                <w:b/>
                <w:bCs/>
                <w:kern w:val="2"/>
                <w:sz w:val="21"/>
                <w:szCs w:val="32"/>
                <w:lang w:val="en-US" w:eastAsia="zh-CN" w:bidi="ar-SA"/>
              </w:rPr>
              <w:id w:val="147472191"/>
              <w:placeholder>
                <w:docPart w:val="{2007ce0e-54e1-4382-b90f-0ccb234d2714}"/>
              </w:placeholder>
            </w:sdtPr>
            <w:sdtEndPr>
              <w:rPr>
                <w:rFonts w:ascii="仿宋_GB2312" w:hAnsi="Times New Roman" w:eastAsia="宋体" w:cs="Times New Roman"/>
                <w:b/>
                <w:bCs/>
                <w:kern w:val="2"/>
                <w:sz w:val="21"/>
                <w:szCs w:val="32"/>
                <w:lang w:val="en-US" w:eastAsia="zh-CN" w:bidi="ar-SA"/>
              </w:rPr>
            </w:sdtEndPr>
            <w:sdtContent>
              <w:r>
                <w:rPr>
                  <w:rFonts w:hint="eastAsia" w:ascii="Times New Roman" w:hAnsi="Times New Roman" w:eastAsia="黑体" w:cs="Times New Roman"/>
                  <w:b/>
                  <w:bCs/>
                </w:rPr>
                <w:t>第四部分  附件</w:t>
              </w:r>
            </w:sdtContent>
          </w:sdt>
          <w:r>
            <w:rPr>
              <w:b/>
              <w:bCs/>
            </w:rPr>
            <w:tab/>
          </w:r>
          <w:bookmarkStart w:id="28" w:name="_Toc8387_WPSOffice_Level1Page"/>
          <w:r>
            <w:rPr>
              <w:b/>
              <w:bCs/>
            </w:rPr>
            <w:t>21</w:t>
          </w:r>
          <w:bookmarkEnd w:id="28"/>
          <w:r>
            <w:rPr>
              <w:b/>
              <w:bCs/>
            </w:rPr>
            <w:fldChar w:fldCharType="end"/>
          </w:r>
        </w:p>
        <w:p>
          <w:pPr>
            <w:pStyle w:val="40"/>
            <w:tabs>
              <w:tab w:val="right" w:leader="dot" w:pos="8306"/>
            </w:tabs>
          </w:pPr>
          <w:r>
            <w:fldChar w:fldCharType="begin"/>
          </w:r>
          <w:r>
            <w:instrText xml:space="preserve"> HYPERLINK \l _Toc5376_WPSOffice_Level2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e363f8d3-ba0b-4809-8b3f-60fd89036a1d}"/>
              </w:placeholder>
            </w:sdtPr>
            <w:sdtEndPr>
              <w:rPr>
                <w:rFonts w:ascii="仿宋_GB2312" w:hAnsi="Times New Roman" w:eastAsia="宋体" w:cs="Times New Roman"/>
                <w:kern w:val="2"/>
                <w:sz w:val="21"/>
                <w:szCs w:val="32"/>
                <w:lang w:val="en-US" w:eastAsia="zh-CN" w:bidi="ar-SA"/>
              </w:rPr>
            </w:sdtEndPr>
            <w:sdtContent>
              <w:r>
                <w:rPr>
                  <w:rFonts w:hint="eastAsia" w:ascii="方正小标宋简体" w:hAnsi="宋体" w:eastAsia="方正小标宋简体" w:cs="Times New Roman"/>
                </w:rPr>
                <w:t>中共乐山市五通桥区委统战部</w:t>
              </w:r>
            </w:sdtContent>
          </w:sdt>
          <w:r>
            <w:tab/>
          </w:r>
          <w:bookmarkStart w:id="29" w:name="_Toc5376_WPSOffice_Level2Page"/>
          <w:r>
            <w:t>21</w:t>
          </w:r>
          <w:bookmarkEnd w:id="29"/>
          <w:r>
            <w:fldChar w:fldCharType="end"/>
          </w:r>
        </w:p>
        <w:p>
          <w:pPr>
            <w:pStyle w:val="40"/>
            <w:tabs>
              <w:tab w:val="right" w:leader="dot" w:pos="8306"/>
            </w:tabs>
          </w:pPr>
          <w:r>
            <w:fldChar w:fldCharType="begin"/>
          </w:r>
          <w:r>
            <w:instrText xml:space="preserve"> HYPERLINK \l _Toc31718_WPSOffice_Level2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d62889a8-b80f-4c28-be76-ef0465d831f0}"/>
              </w:placeholder>
            </w:sdtPr>
            <w:sdtEndPr>
              <w:rPr>
                <w:rFonts w:ascii="仿宋_GB2312" w:hAnsi="Times New Roman" w:eastAsia="宋体" w:cs="Times New Roman"/>
                <w:kern w:val="2"/>
                <w:sz w:val="21"/>
                <w:szCs w:val="32"/>
                <w:lang w:val="en-US" w:eastAsia="zh-CN" w:bidi="ar-SA"/>
              </w:rPr>
            </w:sdtEndPr>
            <w:sdtContent>
              <w:r>
                <w:rPr>
                  <w:rFonts w:hint="eastAsia" w:ascii="方正小标宋简体" w:hAnsi="宋体" w:eastAsia="方正小标宋简体" w:cs="Times New Roman"/>
                </w:rPr>
                <w:t>部门整体绩效自评报告</w:t>
              </w:r>
            </w:sdtContent>
          </w:sdt>
          <w:r>
            <w:tab/>
          </w:r>
          <w:bookmarkStart w:id="30" w:name="_Toc31718_WPSOffice_Level2Page"/>
          <w:r>
            <w:t>21</w:t>
          </w:r>
          <w:bookmarkEnd w:id="30"/>
          <w:r>
            <w:fldChar w:fldCharType="end"/>
          </w:r>
        </w:p>
        <w:p>
          <w:pPr>
            <w:pStyle w:val="40"/>
            <w:tabs>
              <w:tab w:val="right" w:leader="dot" w:pos="8306"/>
            </w:tabs>
          </w:pPr>
          <w:r>
            <w:fldChar w:fldCharType="begin"/>
          </w:r>
          <w:r>
            <w:instrText xml:space="preserve"> HYPERLINK \l _Toc3346_WPSOffice_Level2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0eb74748-a75e-469f-9bd5-91825780d022}"/>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一、部门基本情况</w:t>
              </w:r>
            </w:sdtContent>
          </w:sdt>
          <w:r>
            <w:tab/>
          </w:r>
          <w:bookmarkStart w:id="31" w:name="_Toc3346_WPSOffice_Level2Page"/>
          <w:r>
            <w:t>21</w:t>
          </w:r>
          <w:bookmarkEnd w:id="31"/>
          <w:r>
            <w:fldChar w:fldCharType="end"/>
          </w:r>
        </w:p>
        <w:p>
          <w:pPr>
            <w:pStyle w:val="40"/>
            <w:tabs>
              <w:tab w:val="right" w:leader="dot" w:pos="8306"/>
            </w:tabs>
          </w:pPr>
          <w:r>
            <w:fldChar w:fldCharType="begin"/>
          </w:r>
          <w:r>
            <w:instrText xml:space="preserve"> HYPERLINK \l _Toc26726_WPSOffice_Level2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f8e06999-250f-416a-af78-3633961936c3}"/>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二、部门财政资金收支情况</w:t>
              </w:r>
            </w:sdtContent>
          </w:sdt>
          <w:r>
            <w:tab/>
          </w:r>
          <w:bookmarkStart w:id="32" w:name="_Toc26726_WPSOffice_Level2Page"/>
          <w:r>
            <w:t>25</w:t>
          </w:r>
          <w:bookmarkEnd w:id="32"/>
          <w:r>
            <w:fldChar w:fldCharType="end"/>
          </w:r>
        </w:p>
        <w:p>
          <w:pPr>
            <w:pStyle w:val="40"/>
            <w:tabs>
              <w:tab w:val="right" w:leader="dot" w:pos="8306"/>
            </w:tabs>
          </w:pPr>
          <w:r>
            <w:fldChar w:fldCharType="begin"/>
          </w:r>
          <w:r>
            <w:instrText xml:space="preserve"> HYPERLINK \l _Toc18579_WPSOffice_Level2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e82c7822-f22b-49ce-8b88-11f91654db8b}"/>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三、部门整体绩效管理情况</w:t>
              </w:r>
            </w:sdtContent>
          </w:sdt>
          <w:r>
            <w:tab/>
          </w:r>
          <w:bookmarkStart w:id="33" w:name="_Toc18579_WPSOffice_Level2Page"/>
          <w:r>
            <w:t>25</w:t>
          </w:r>
          <w:bookmarkEnd w:id="33"/>
          <w:r>
            <w:fldChar w:fldCharType="end"/>
          </w:r>
        </w:p>
        <w:p>
          <w:pPr>
            <w:pStyle w:val="40"/>
            <w:tabs>
              <w:tab w:val="right" w:leader="dot" w:pos="8306"/>
            </w:tabs>
          </w:pPr>
          <w:r>
            <w:fldChar w:fldCharType="begin"/>
          </w:r>
          <w:r>
            <w:instrText xml:space="preserve"> HYPERLINK \l _Toc13698_WPSOffice_Level2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abd37f09-3d5d-4e11-bfa9-a5f2368223c9}"/>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四、评价结论及建议</w:t>
              </w:r>
            </w:sdtContent>
          </w:sdt>
          <w:r>
            <w:tab/>
          </w:r>
          <w:bookmarkStart w:id="34" w:name="_Toc13698_WPSOffice_Level2Page"/>
          <w:r>
            <w:t>30</w:t>
          </w:r>
          <w:bookmarkEnd w:id="34"/>
          <w:r>
            <w:fldChar w:fldCharType="end"/>
          </w:r>
        </w:p>
        <w:p>
          <w:pPr>
            <w:pStyle w:val="40"/>
            <w:tabs>
              <w:tab w:val="right" w:leader="dot" w:pos="8306"/>
            </w:tabs>
          </w:pPr>
          <w:r>
            <w:fldChar w:fldCharType="begin"/>
          </w:r>
          <w:r>
            <w:instrText xml:space="preserve"> HYPERLINK \l _Toc23168_WPSOffice_Level2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0dbccb61-3707-498f-ad74-b48abb2136b8}"/>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方正小标宋简体" w:cs="方正小标宋简体"/>
                </w:rPr>
                <w:t>专项预算项目绩效评价报告</w:t>
              </w:r>
            </w:sdtContent>
          </w:sdt>
          <w:r>
            <w:tab/>
          </w:r>
          <w:bookmarkStart w:id="35" w:name="_Toc23168_WPSOffice_Level2Page"/>
          <w:r>
            <w:t>37</w:t>
          </w:r>
          <w:bookmarkEnd w:id="35"/>
          <w:r>
            <w:fldChar w:fldCharType="end"/>
          </w:r>
        </w:p>
        <w:p>
          <w:pPr>
            <w:pStyle w:val="40"/>
            <w:tabs>
              <w:tab w:val="right" w:leader="dot" w:pos="8306"/>
            </w:tabs>
          </w:pPr>
          <w:r>
            <w:fldChar w:fldCharType="begin"/>
          </w:r>
          <w:r>
            <w:instrText xml:space="preserve"> HYPERLINK \l _Toc11160_WPSOffice_Level2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f5901d2f-b3d4-4de7-8e97-b952529ebb81}"/>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黑体" w:cs="Times New Roman"/>
                </w:rPr>
                <w:t>一、项目概况</w:t>
              </w:r>
            </w:sdtContent>
          </w:sdt>
          <w:r>
            <w:tab/>
          </w:r>
          <w:bookmarkStart w:id="36" w:name="_Toc11160_WPSOffice_Level2Page"/>
          <w:r>
            <w:t>37</w:t>
          </w:r>
          <w:bookmarkEnd w:id="36"/>
          <w:r>
            <w:fldChar w:fldCharType="end"/>
          </w:r>
        </w:p>
        <w:p>
          <w:pPr>
            <w:pStyle w:val="40"/>
            <w:tabs>
              <w:tab w:val="right" w:leader="dot" w:pos="8306"/>
            </w:tabs>
          </w:pPr>
          <w:r>
            <w:fldChar w:fldCharType="begin"/>
          </w:r>
          <w:r>
            <w:instrText xml:space="preserve"> HYPERLINK \l _Toc11721_WPSOffice_Level2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19a2928a-cd51-455b-b509-9489e9169cfa}"/>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二、评价实施</w:t>
              </w:r>
            </w:sdtContent>
          </w:sdt>
          <w:r>
            <w:tab/>
          </w:r>
          <w:bookmarkStart w:id="37" w:name="_Toc11721_WPSOffice_Level2Page"/>
          <w:r>
            <w:t>39</w:t>
          </w:r>
          <w:bookmarkEnd w:id="37"/>
          <w:r>
            <w:fldChar w:fldCharType="end"/>
          </w:r>
        </w:p>
        <w:p>
          <w:pPr>
            <w:pStyle w:val="40"/>
            <w:tabs>
              <w:tab w:val="right" w:leader="dot" w:pos="8306"/>
            </w:tabs>
          </w:pPr>
          <w:r>
            <w:fldChar w:fldCharType="begin"/>
          </w:r>
          <w:r>
            <w:instrText xml:space="preserve"> HYPERLINK \l _Toc26038_WPSOffice_Level2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dba049ab-83d7-44aa-b1d8-cf93491bef4d}"/>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三、绩效分析</w:t>
              </w:r>
            </w:sdtContent>
          </w:sdt>
          <w:r>
            <w:tab/>
          </w:r>
          <w:bookmarkStart w:id="38" w:name="_Toc26038_WPSOffice_Level2Page"/>
          <w:r>
            <w:t>40</w:t>
          </w:r>
          <w:bookmarkEnd w:id="38"/>
          <w:r>
            <w:fldChar w:fldCharType="end"/>
          </w:r>
        </w:p>
        <w:p>
          <w:pPr>
            <w:pStyle w:val="40"/>
            <w:tabs>
              <w:tab w:val="right" w:leader="dot" w:pos="8306"/>
            </w:tabs>
          </w:pPr>
          <w:r>
            <w:fldChar w:fldCharType="begin"/>
          </w:r>
          <w:r>
            <w:instrText xml:space="preserve"> HYPERLINK \l _Toc26017_WPSOffice_Level2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da7c5d4c-fea5-4323-8d74-08761b5cb8fd}"/>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四、评价结论</w:t>
              </w:r>
            </w:sdtContent>
          </w:sdt>
          <w:r>
            <w:tab/>
          </w:r>
          <w:bookmarkStart w:id="39" w:name="_Toc26017_WPSOffice_Level2Page"/>
          <w:r>
            <w:t>41</w:t>
          </w:r>
          <w:bookmarkEnd w:id="39"/>
          <w:r>
            <w:fldChar w:fldCharType="end"/>
          </w:r>
        </w:p>
        <w:p>
          <w:pPr>
            <w:pStyle w:val="40"/>
            <w:tabs>
              <w:tab w:val="right" w:leader="dot" w:pos="8306"/>
            </w:tabs>
          </w:pPr>
          <w:r>
            <w:fldChar w:fldCharType="begin"/>
          </w:r>
          <w:r>
            <w:instrText xml:space="preserve"> HYPERLINK \l _Toc1335_WPSOffice_Level2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bc0dc382-f6b3-4858-97d0-4d12ca19bb80}"/>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五、存在主要问题</w:t>
              </w:r>
            </w:sdtContent>
          </w:sdt>
          <w:r>
            <w:tab/>
          </w:r>
          <w:bookmarkStart w:id="40" w:name="_Toc1335_WPSOffice_Level2Page"/>
          <w:r>
            <w:t>41</w:t>
          </w:r>
          <w:bookmarkEnd w:id="40"/>
          <w:r>
            <w:fldChar w:fldCharType="end"/>
          </w:r>
        </w:p>
        <w:p>
          <w:pPr>
            <w:pStyle w:val="40"/>
            <w:tabs>
              <w:tab w:val="right" w:leader="dot" w:pos="8306"/>
            </w:tabs>
          </w:pPr>
          <w:r>
            <w:fldChar w:fldCharType="begin"/>
          </w:r>
          <w:r>
            <w:instrText xml:space="preserve"> HYPERLINK \l _Toc17696_WPSOffice_Level2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b81b9041-a291-4f67-a1df-a6b45cb45481}"/>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六、改进建议</w:t>
              </w:r>
            </w:sdtContent>
          </w:sdt>
          <w:r>
            <w:tab/>
          </w:r>
          <w:bookmarkStart w:id="41" w:name="_Toc17696_WPSOffice_Level2Page"/>
          <w:r>
            <w:t>41</w:t>
          </w:r>
          <w:bookmarkEnd w:id="41"/>
          <w:r>
            <w:fldChar w:fldCharType="end"/>
          </w:r>
        </w:p>
        <w:p>
          <w:pPr>
            <w:pStyle w:val="40"/>
            <w:tabs>
              <w:tab w:val="right" w:leader="dot" w:pos="8306"/>
            </w:tabs>
          </w:pPr>
          <w:r>
            <w:fldChar w:fldCharType="begin"/>
          </w:r>
          <w:r>
            <w:instrText xml:space="preserve"> HYPERLINK \l _Toc29529_WPSOffice_Level2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bdaacf36-d54d-4ee1-b8da-19a7a01bb66c}"/>
              </w:placeholder>
            </w:sdtPr>
            <w:sdtEndPr>
              <w:rPr>
                <w:rFonts w:ascii="仿宋_GB2312" w:hAnsi="Times New Roman" w:eastAsia="宋体" w:cs="Times New Roman"/>
                <w:kern w:val="2"/>
                <w:sz w:val="21"/>
                <w:szCs w:val="32"/>
                <w:lang w:val="en-US" w:eastAsia="zh-CN" w:bidi="ar-SA"/>
              </w:rPr>
            </w:sdtEndPr>
            <w:sdtContent>
              <w:r>
                <w:rPr>
                  <w:rFonts w:hint="eastAsia" w:ascii="方正小标宋简体" w:hAnsi="方正小标宋简体" w:eastAsia="方正小标宋简体" w:cs="方正小标宋简体"/>
                </w:rPr>
                <w:t>专项预算项目绩效评价报告</w:t>
              </w:r>
            </w:sdtContent>
          </w:sdt>
          <w:r>
            <w:tab/>
          </w:r>
          <w:bookmarkStart w:id="42" w:name="_Toc29529_WPSOffice_Level2Page"/>
          <w:r>
            <w:t>42</w:t>
          </w:r>
          <w:bookmarkEnd w:id="42"/>
          <w:r>
            <w:fldChar w:fldCharType="end"/>
          </w:r>
        </w:p>
        <w:p>
          <w:pPr>
            <w:pStyle w:val="40"/>
            <w:tabs>
              <w:tab w:val="right" w:leader="dot" w:pos="8306"/>
            </w:tabs>
          </w:pPr>
          <w:r>
            <w:fldChar w:fldCharType="begin"/>
          </w:r>
          <w:r>
            <w:instrText xml:space="preserve"> HYPERLINK \l _Toc260_WPSOffice_Level2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9e040cb5-5976-439c-a819-475b872b14f6}"/>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一、项目概况</w:t>
              </w:r>
            </w:sdtContent>
          </w:sdt>
          <w:r>
            <w:tab/>
          </w:r>
          <w:bookmarkStart w:id="43" w:name="_Toc260_WPSOffice_Level2Page"/>
          <w:r>
            <w:t>42</w:t>
          </w:r>
          <w:bookmarkEnd w:id="43"/>
          <w:r>
            <w:fldChar w:fldCharType="end"/>
          </w:r>
        </w:p>
        <w:p>
          <w:pPr>
            <w:pStyle w:val="40"/>
            <w:tabs>
              <w:tab w:val="right" w:leader="dot" w:pos="8306"/>
            </w:tabs>
          </w:pPr>
          <w:r>
            <w:fldChar w:fldCharType="begin"/>
          </w:r>
          <w:r>
            <w:instrText xml:space="preserve"> HYPERLINK \l _Toc10349_WPSOffice_Level2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69943e59-5f78-4a0b-850f-fb423241634c}"/>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二、评价实施</w:t>
              </w:r>
            </w:sdtContent>
          </w:sdt>
          <w:r>
            <w:tab/>
          </w:r>
          <w:bookmarkStart w:id="44" w:name="_Toc10349_WPSOffice_Level2Page"/>
          <w:r>
            <w:t>44</w:t>
          </w:r>
          <w:bookmarkEnd w:id="44"/>
          <w:r>
            <w:fldChar w:fldCharType="end"/>
          </w:r>
        </w:p>
        <w:p>
          <w:pPr>
            <w:pStyle w:val="40"/>
            <w:tabs>
              <w:tab w:val="right" w:leader="dot" w:pos="8306"/>
            </w:tabs>
          </w:pPr>
          <w:r>
            <w:fldChar w:fldCharType="begin"/>
          </w:r>
          <w:r>
            <w:instrText xml:space="preserve"> HYPERLINK \l _Toc13479_WPSOffice_Level2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99ae58a5-e293-47cb-b84e-b7ecc2424156}"/>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三、绩效分析</w:t>
              </w:r>
            </w:sdtContent>
          </w:sdt>
          <w:r>
            <w:tab/>
          </w:r>
          <w:bookmarkStart w:id="45" w:name="_Toc13479_WPSOffice_Level2Page"/>
          <w:r>
            <w:t>44</w:t>
          </w:r>
          <w:bookmarkEnd w:id="45"/>
          <w:r>
            <w:fldChar w:fldCharType="end"/>
          </w:r>
        </w:p>
        <w:p>
          <w:pPr>
            <w:pStyle w:val="40"/>
            <w:tabs>
              <w:tab w:val="right" w:leader="dot" w:pos="8306"/>
            </w:tabs>
          </w:pPr>
          <w:r>
            <w:fldChar w:fldCharType="begin"/>
          </w:r>
          <w:r>
            <w:instrText xml:space="preserve"> HYPERLINK \l _Toc28043_WPSOffice_Level2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5491af17-aaa7-47d6-917b-1be1c32dc49a}"/>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四、评价结论</w:t>
              </w:r>
            </w:sdtContent>
          </w:sdt>
          <w:r>
            <w:tab/>
          </w:r>
          <w:bookmarkStart w:id="46" w:name="_Toc28043_WPSOffice_Level2Page"/>
          <w:r>
            <w:t>45</w:t>
          </w:r>
          <w:bookmarkEnd w:id="46"/>
          <w:r>
            <w:fldChar w:fldCharType="end"/>
          </w:r>
        </w:p>
        <w:p>
          <w:pPr>
            <w:pStyle w:val="40"/>
            <w:tabs>
              <w:tab w:val="right" w:leader="dot" w:pos="8306"/>
            </w:tabs>
          </w:pPr>
          <w:r>
            <w:fldChar w:fldCharType="begin"/>
          </w:r>
          <w:r>
            <w:instrText xml:space="preserve"> HYPERLINK \l _Toc15192_WPSOffice_Level2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c5131bea-fd8d-4e63-b0ab-3134abee38a2}"/>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五、存在主要问题</w:t>
              </w:r>
            </w:sdtContent>
          </w:sdt>
          <w:r>
            <w:tab/>
          </w:r>
          <w:bookmarkStart w:id="47" w:name="_Toc15192_WPSOffice_Level2Page"/>
          <w:r>
            <w:t>46</w:t>
          </w:r>
          <w:bookmarkEnd w:id="47"/>
          <w:r>
            <w:fldChar w:fldCharType="end"/>
          </w:r>
        </w:p>
        <w:p>
          <w:pPr>
            <w:pStyle w:val="40"/>
            <w:tabs>
              <w:tab w:val="right" w:leader="dot" w:pos="8306"/>
            </w:tabs>
          </w:pPr>
          <w:r>
            <w:fldChar w:fldCharType="begin"/>
          </w:r>
          <w:r>
            <w:instrText xml:space="preserve"> HYPERLINK \l _Toc29943_WPSOffice_Level2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232d7e22-b271-479f-aeae-38f6223d45a3}"/>
              </w:placeholder>
            </w:sdtPr>
            <w:sdtEndPr>
              <w:rPr>
                <w:rFonts w:ascii="仿宋_GB2312" w:hAnsi="Times New Roman" w:eastAsia="宋体" w:cs="Times New Roman"/>
                <w:kern w:val="2"/>
                <w:sz w:val="21"/>
                <w:szCs w:val="32"/>
                <w:lang w:val="en-US" w:eastAsia="zh-CN" w:bidi="ar-SA"/>
              </w:rPr>
            </w:sdtEndPr>
            <w:sdtContent>
              <w:r>
                <w:rPr>
                  <w:rFonts w:hint="eastAsia" w:ascii="黑体" w:hAnsi="黑体" w:eastAsia="黑体" w:cs="黑体"/>
                </w:rPr>
                <w:t>六、改进建议</w:t>
              </w:r>
            </w:sdtContent>
          </w:sdt>
          <w:r>
            <w:tab/>
          </w:r>
          <w:bookmarkStart w:id="48" w:name="_Toc29943_WPSOffice_Level2Page"/>
          <w:r>
            <w:t>46</w:t>
          </w:r>
          <w:bookmarkEnd w:id="48"/>
          <w:r>
            <w:fldChar w:fldCharType="end"/>
          </w:r>
        </w:p>
        <w:p>
          <w:pPr>
            <w:pStyle w:val="39"/>
            <w:tabs>
              <w:tab w:val="right" w:leader="dot" w:pos="8306"/>
            </w:tabs>
          </w:pPr>
          <w:r>
            <w:rPr>
              <w:b/>
              <w:bCs/>
            </w:rPr>
            <w:fldChar w:fldCharType="begin"/>
          </w:r>
          <w:r>
            <w:instrText xml:space="preserve"> HYPERLINK \l _Toc31480_WPSOffice_Level1 </w:instrText>
          </w:r>
          <w:r>
            <w:rPr>
              <w:b/>
              <w:bCs/>
            </w:rPr>
            <w:fldChar w:fldCharType="separate"/>
          </w:r>
          <w:sdt>
            <w:sdtPr>
              <w:rPr>
                <w:rFonts w:ascii="仿宋_GB2312" w:hAnsi="Times New Roman" w:eastAsia="宋体" w:cs="Times New Roman"/>
                <w:b/>
                <w:bCs/>
                <w:kern w:val="2"/>
                <w:sz w:val="21"/>
                <w:szCs w:val="32"/>
                <w:lang w:val="en-US" w:eastAsia="zh-CN" w:bidi="ar-SA"/>
              </w:rPr>
              <w:id w:val="147472191"/>
              <w:placeholder>
                <w:docPart w:val="{f809f7bf-8ec4-4917-9294-3adce79d2e55}"/>
              </w:placeholder>
            </w:sdtPr>
            <w:sdtEndPr>
              <w:rPr>
                <w:rFonts w:ascii="仿宋_GB2312" w:hAnsi="Times New Roman" w:eastAsia="宋体" w:cs="Times New Roman"/>
                <w:b/>
                <w:bCs/>
                <w:kern w:val="2"/>
                <w:sz w:val="21"/>
                <w:szCs w:val="32"/>
                <w:lang w:val="en-US" w:eastAsia="zh-CN" w:bidi="ar-SA"/>
              </w:rPr>
            </w:sdtEndPr>
            <w:sdtContent>
              <w:r>
                <w:rPr>
                  <w:rFonts w:hint="eastAsia" w:ascii="Times New Roman" w:hAnsi="Times New Roman" w:eastAsia="黑体" w:cs="Times New Roman"/>
                  <w:b/>
                  <w:bCs/>
                </w:rPr>
                <w:t>第五部分 附表</w:t>
              </w:r>
            </w:sdtContent>
          </w:sdt>
          <w:r>
            <w:rPr>
              <w:b/>
              <w:bCs/>
            </w:rPr>
            <w:tab/>
          </w:r>
          <w:bookmarkStart w:id="49" w:name="_Toc31480_WPSOffice_Level1Page"/>
          <w:r>
            <w:rPr>
              <w:b/>
              <w:bCs/>
            </w:rPr>
            <w:t>47</w:t>
          </w:r>
          <w:bookmarkEnd w:id="49"/>
          <w:r>
            <w:rPr>
              <w:b/>
              <w:bCs/>
            </w:rPr>
            <w:fldChar w:fldCharType="end"/>
          </w:r>
        </w:p>
        <w:p>
          <w:pPr>
            <w:pStyle w:val="40"/>
            <w:tabs>
              <w:tab w:val="right" w:leader="dot" w:pos="8306"/>
            </w:tabs>
          </w:pPr>
          <w:r>
            <w:fldChar w:fldCharType="begin"/>
          </w:r>
          <w:r>
            <w:instrText xml:space="preserve"> HYPERLINK \l _Toc31158_WPSOffice_Level2 </w:instrText>
          </w:r>
          <w:r>
            <w:fldChar w:fldCharType="separate"/>
          </w:r>
          <w:sdt>
            <w:sdtPr>
              <w:rPr>
                <w:rFonts w:ascii="仿宋_GB2312" w:hAnsi="Times New Roman" w:eastAsia="宋体" w:cs="Times New Roman"/>
                <w:kern w:val="2"/>
                <w:sz w:val="21"/>
                <w:szCs w:val="32"/>
                <w:lang w:val="en-US" w:eastAsia="zh-CN" w:bidi="ar-SA"/>
              </w:rPr>
              <w:id w:val="147472191"/>
              <w:placeholder>
                <w:docPart w:val="{b26865f4-a909-4632-be48-0c4c6b5fcbac}"/>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一、收入支出决算总表</w:t>
              </w:r>
            </w:sdtContent>
          </w:sdt>
          <w:r>
            <w:tab/>
          </w:r>
          <w:bookmarkStart w:id="50" w:name="_Toc31158_WPSOffice_Level2Page"/>
          <w:r>
            <w:t>47</w:t>
          </w:r>
          <w:bookmarkEnd w:id="50"/>
          <w:r>
            <w:fldChar w:fldCharType="end"/>
          </w:r>
        </w:p>
        <w:p>
          <w:pPr>
            <w:pStyle w:val="40"/>
            <w:tabs>
              <w:tab w:val="right" w:leader="dot" w:pos="8306"/>
            </w:tabs>
          </w:pPr>
          <w:r>
            <w:fldChar w:fldCharType="begin"/>
          </w:r>
          <w:r>
            <w:instrText xml:space="preserve"> HYPERLINK \l _Toc18072_WPSOffice_Level2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368644b6-e39b-4a14-a4c8-c737ea389ccb}"/>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二、收入决算表</w:t>
              </w:r>
            </w:sdtContent>
          </w:sdt>
          <w:r>
            <w:tab/>
          </w:r>
          <w:bookmarkStart w:id="51" w:name="_Toc18072_WPSOffice_Level2Page"/>
          <w:r>
            <w:t>47</w:t>
          </w:r>
          <w:bookmarkEnd w:id="51"/>
          <w:r>
            <w:fldChar w:fldCharType="end"/>
          </w:r>
        </w:p>
        <w:p>
          <w:pPr>
            <w:pStyle w:val="40"/>
            <w:tabs>
              <w:tab w:val="right" w:leader="dot" w:pos="8306"/>
            </w:tabs>
          </w:pPr>
          <w:r>
            <w:fldChar w:fldCharType="begin"/>
          </w:r>
          <w:r>
            <w:instrText xml:space="preserve"> HYPERLINK \l _Toc16377_WPSOffice_Level2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391b0cd6-35dc-4b9b-b92b-2d80f05610fa}"/>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三、支出决算表</w:t>
              </w:r>
            </w:sdtContent>
          </w:sdt>
          <w:r>
            <w:tab/>
          </w:r>
          <w:bookmarkStart w:id="52" w:name="_Toc16377_WPSOffice_Level2Page"/>
          <w:r>
            <w:t>47</w:t>
          </w:r>
          <w:bookmarkEnd w:id="52"/>
          <w:r>
            <w:fldChar w:fldCharType="end"/>
          </w:r>
        </w:p>
        <w:p>
          <w:pPr>
            <w:pStyle w:val="40"/>
            <w:tabs>
              <w:tab w:val="right" w:leader="dot" w:pos="8306"/>
            </w:tabs>
          </w:pPr>
          <w:r>
            <w:fldChar w:fldCharType="begin"/>
          </w:r>
          <w:r>
            <w:instrText xml:space="preserve"> HYPERLINK \l _Toc23201_WPSOffice_Level2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8d68a79b-f5e7-419c-a05f-bfde21a55e0d}"/>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四、财政拨款收入支出决算总表</w:t>
              </w:r>
            </w:sdtContent>
          </w:sdt>
          <w:r>
            <w:tab/>
          </w:r>
          <w:bookmarkStart w:id="53" w:name="_Toc23201_WPSOffice_Level2Page"/>
          <w:r>
            <w:t>47</w:t>
          </w:r>
          <w:bookmarkEnd w:id="53"/>
          <w:r>
            <w:fldChar w:fldCharType="end"/>
          </w:r>
        </w:p>
        <w:p>
          <w:pPr>
            <w:pStyle w:val="40"/>
            <w:tabs>
              <w:tab w:val="right" w:leader="dot" w:pos="8306"/>
            </w:tabs>
          </w:pPr>
          <w:r>
            <w:fldChar w:fldCharType="begin"/>
          </w:r>
          <w:r>
            <w:instrText xml:space="preserve"> HYPERLINK \l _Toc32450_WPSOffice_Level2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b9bc73ea-ae15-40fd-bc22-f892433f4f60}"/>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五、财政拨款支出决算明细表</w:t>
              </w:r>
            </w:sdtContent>
          </w:sdt>
          <w:r>
            <w:tab/>
          </w:r>
          <w:bookmarkStart w:id="54" w:name="_Toc32450_WPSOffice_Level2Page"/>
          <w:r>
            <w:t>47</w:t>
          </w:r>
          <w:bookmarkEnd w:id="54"/>
          <w:r>
            <w:fldChar w:fldCharType="end"/>
          </w:r>
        </w:p>
        <w:p>
          <w:pPr>
            <w:pStyle w:val="40"/>
            <w:tabs>
              <w:tab w:val="right" w:leader="dot" w:pos="8306"/>
            </w:tabs>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p>
        <w:p>
          <w:pPr>
            <w:pStyle w:val="40"/>
            <w:tabs>
              <w:tab w:val="right" w:leader="dot" w:pos="8306"/>
            </w:tabs>
          </w:pPr>
          <w:r>
            <w:fldChar w:fldCharType="begin"/>
          </w:r>
          <w:r>
            <w:instrText xml:space="preserve"> HYPERLINK \l _Toc9027_WPSOffice_Level2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dc6f976f-e059-475a-b23e-df4929cca7f7}"/>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六、一般公共预算财政拨款支出决算表</w:t>
              </w:r>
            </w:sdtContent>
          </w:sdt>
          <w:r>
            <w:tab/>
          </w:r>
          <w:bookmarkStart w:id="55" w:name="_Toc9027_WPSOffice_Level2Page"/>
          <w:r>
            <w:t>47</w:t>
          </w:r>
          <w:bookmarkEnd w:id="55"/>
          <w:r>
            <w:fldChar w:fldCharType="end"/>
          </w:r>
        </w:p>
        <w:p>
          <w:pPr>
            <w:pStyle w:val="40"/>
            <w:tabs>
              <w:tab w:val="right" w:leader="dot" w:pos="8306"/>
            </w:tabs>
          </w:pPr>
          <w:r>
            <w:fldChar w:fldCharType="begin"/>
          </w:r>
          <w:r>
            <w:instrText xml:space="preserve"> HYPERLINK \l _Toc31622_WPSOffice_Level2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907069c1-2e44-4c74-a785-dad31b1a19e8}"/>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七、一般公共预算财政拨款支出决算明细表</w:t>
              </w:r>
            </w:sdtContent>
          </w:sdt>
          <w:r>
            <w:tab/>
          </w:r>
          <w:bookmarkStart w:id="56" w:name="_Toc31622_WPSOffice_Level2Page"/>
          <w:r>
            <w:t>47</w:t>
          </w:r>
          <w:bookmarkEnd w:id="56"/>
          <w:r>
            <w:fldChar w:fldCharType="end"/>
          </w:r>
        </w:p>
        <w:p>
          <w:pPr>
            <w:pStyle w:val="40"/>
            <w:tabs>
              <w:tab w:val="right" w:leader="dot" w:pos="8306"/>
            </w:tabs>
          </w:pPr>
          <w:r>
            <w:fldChar w:fldCharType="begin"/>
          </w:r>
          <w:r>
            <w:instrText xml:space="preserve"> HYPERLINK \l _Toc30747_WPSOffice_Level2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4a3de757-3e3b-44e2-b5a1-8bd0d602d70d}"/>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八、一般公共预算财政拨款基本支出决算表</w:t>
              </w:r>
            </w:sdtContent>
          </w:sdt>
          <w:r>
            <w:tab/>
          </w:r>
          <w:bookmarkStart w:id="57" w:name="_Toc30747_WPSOffice_Level2Page"/>
          <w:r>
            <w:t>47</w:t>
          </w:r>
          <w:bookmarkEnd w:id="57"/>
          <w:r>
            <w:fldChar w:fldCharType="end"/>
          </w:r>
        </w:p>
        <w:p>
          <w:pPr>
            <w:pStyle w:val="40"/>
            <w:tabs>
              <w:tab w:val="right" w:leader="dot" w:pos="8306"/>
            </w:tabs>
          </w:pPr>
          <w:r>
            <w:fldChar w:fldCharType="begin"/>
          </w:r>
          <w:r>
            <w:instrText xml:space="preserve"> HYPERLINK \l _Toc11824_WPSOffice_Level2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f1a9199a-eb26-4a41-9265-965e89238c27}"/>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九、一般公共预算财政拨款项目支出决算表</w:t>
              </w:r>
            </w:sdtContent>
          </w:sdt>
          <w:r>
            <w:tab/>
          </w:r>
          <w:bookmarkStart w:id="58" w:name="_Toc11824_WPSOffice_Level2Page"/>
          <w:r>
            <w:t>47</w:t>
          </w:r>
          <w:bookmarkEnd w:id="58"/>
          <w:r>
            <w:fldChar w:fldCharType="end"/>
          </w:r>
        </w:p>
        <w:p>
          <w:pPr>
            <w:pStyle w:val="40"/>
            <w:tabs>
              <w:tab w:val="right" w:leader="dot" w:pos="8306"/>
            </w:tabs>
          </w:pPr>
          <w:r>
            <w:fldChar w:fldCharType="begin"/>
          </w:r>
          <w:r>
            <w:instrText xml:space="preserve"> HYPERLINK \l _Toc5282_WPSOffice_Level2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7a2a52f2-8806-48b6-a71e-ffe9f03bc433}"/>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十、政府性基金预算财政拨款收入支出决算表</w:t>
              </w:r>
            </w:sdtContent>
          </w:sdt>
          <w:r>
            <w:tab/>
          </w:r>
          <w:bookmarkStart w:id="59" w:name="_Toc5282_WPSOffice_Level2Page"/>
          <w:r>
            <w:t>47</w:t>
          </w:r>
          <w:bookmarkEnd w:id="59"/>
          <w:r>
            <w:fldChar w:fldCharType="end"/>
          </w:r>
        </w:p>
        <w:p>
          <w:pPr>
            <w:pStyle w:val="40"/>
            <w:tabs>
              <w:tab w:val="right" w:leader="dot" w:pos="8306"/>
            </w:tabs>
          </w:pPr>
          <w:r>
            <w:fldChar w:fldCharType="begin"/>
          </w:r>
          <w:r>
            <w:instrText xml:space="preserve"> HYPERLINK \l _Toc25261_WPSOffice_Level2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6e0f3676-abef-4655-a4ca-31f57bb4667a}"/>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十一、国有资本经营预算财政拨款收入支出决算表</w:t>
              </w:r>
            </w:sdtContent>
          </w:sdt>
          <w:r>
            <w:tab/>
          </w:r>
          <w:bookmarkStart w:id="60" w:name="_Toc25261_WPSOffice_Level2Page"/>
          <w:r>
            <w:t>47</w:t>
          </w:r>
          <w:bookmarkEnd w:id="60"/>
          <w:r>
            <w:fldChar w:fldCharType="end"/>
          </w:r>
        </w:p>
        <w:p>
          <w:pPr>
            <w:pStyle w:val="40"/>
            <w:tabs>
              <w:tab w:val="right" w:leader="dot" w:pos="8306"/>
            </w:tabs>
          </w:pPr>
          <w:r>
            <w:fldChar w:fldCharType="begin"/>
          </w:r>
          <w:r>
            <w:instrText xml:space="preserve"> HYPERLINK \l _Toc25117_WPSOffice_Level2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60195480-566b-47e6-9a27-73bff677a616}"/>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十二、国有资本经营预算财政拨款支出决算表</w:t>
              </w:r>
            </w:sdtContent>
          </w:sdt>
          <w:r>
            <w:tab/>
          </w:r>
          <w:bookmarkStart w:id="61" w:name="_Toc25117_WPSOffice_Level2Page"/>
          <w:r>
            <w:t>47</w:t>
          </w:r>
          <w:bookmarkEnd w:id="61"/>
          <w:r>
            <w:fldChar w:fldCharType="end"/>
          </w:r>
        </w:p>
        <w:p>
          <w:pPr>
            <w:pStyle w:val="40"/>
            <w:tabs>
              <w:tab w:val="right" w:leader="dot" w:pos="8306"/>
            </w:tabs>
          </w:pPr>
          <w:r>
            <w:fldChar w:fldCharType="begin"/>
          </w:r>
          <w:r>
            <w:instrText xml:space="preserve"> HYPERLINK \l _Toc7689_WPSOffice_Level2 </w:instrText>
          </w:r>
          <w:r>
            <w:fldChar w:fldCharType="separate"/>
          </w:r>
          <w:sdt>
            <w:sdtPr>
              <w:rPr>
                <w:rFonts w:ascii="仿宋_GB2312" w:hAnsi="Times New Roman" w:eastAsia="宋体" w:cs="Times New Roman"/>
                <w:kern w:val="2"/>
                <w:sz w:val="21"/>
                <w:szCs w:val="32"/>
                <w:lang w:val="en-US" w:eastAsia="zh-CN" w:bidi="ar-SA"/>
              </w:rPr>
              <w:id w:val="147472187"/>
              <w:placeholder>
                <w:docPart w:val="{cf135e12-2990-4d38-90b8-09f22ec9ab85}"/>
              </w:placeholder>
            </w:sdtPr>
            <w:sdtEndPr>
              <w:rPr>
                <w:rFonts w:ascii="仿宋_GB2312" w:hAnsi="Times New Roman" w:eastAsia="宋体" w:cs="Times New Roman"/>
                <w:kern w:val="2"/>
                <w:sz w:val="21"/>
                <w:szCs w:val="32"/>
                <w:lang w:val="en-US" w:eastAsia="zh-CN" w:bidi="ar-SA"/>
              </w:rPr>
            </w:sdtEndPr>
            <w:sdtContent>
              <w:r>
                <w:rPr>
                  <w:rFonts w:hint="eastAsia" w:ascii="Times New Roman" w:hAnsi="Times New Roman" w:eastAsia="仿宋_GB2312" w:cs="仿宋_GB2312"/>
                </w:rPr>
                <w:t>十三、财政拨款“三公”经费支出决算表</w:t>
              </w:r>
            </w:sdtContent>
          </w:sdt>
          <w:r>
            <w:tab/>
          </w:r>
          <w:bookmarkStart w:id="62" w:name="_Toc7689_WPSOffice_Level2Page"/>
          <w:r>
            <w:t>47</w:t>
          </w:r>
          <w:bookmarkEnd w:id="62"/>
          <w:r>
            <w:fldChar w:fldCharType="end"/>
          </w:r>
          <w:bookmarkEnd w:id="12"/>
        </w:p>
      </w:sdtContent>
    </w:sdt>
    <w:p>
      <w:pPr>
        <w:pStyle w:val="3"/>
        <w:ind w:left="0" w:leftChars="0" w:firstLine="0" w:firstLineChars="0"/>
        <w:rPr>
          <w:rFonts w:hint="eastAsia"/>
        </w:rPr>
        <w:sectPr>
          <w:footerReference r:id="rId8" w:type="first"/>
          <w:footerReference r:id="rId7" w:type="default"/>
          <w:pgSz w:w="11906" w:h="16838"/>
          <w:pgMar w:top="1440" w:right="1800" w:bottom="1440" w:left="1800" w:header="851" w:footer="992" w:gutter="0"/>
          <w:pgNumType w:fmt="numberInDash" w:start="1"/>
          <w:cols w:space="425" w:num="1"/>
          <w:docGrid w:type="lines" w:linePitch="312" w:charSpace="0"/>
        </w:sectPr>
      </w:pPr>
    </w:p>
    <w:p>
      <w:pPr>
        <w:keepNext w:val="0"/>
        <w:keepLines w:val="0"/>
        <w:pageBreakBefore w:val="0"/>
        <w:widowControl/>
        <w:kinsoku/>
        <w:wordWrap/>
        <w:overflowPunct/>
        <w:topLinePunct w:val="0"/>
        <w:autoSpaceDE/>
        <w:autoSpaceDN/>
        <w:bidi w:val="0"/>
        <w:spacing w:line="560" w:lineRule="exact"/>
        <w:jc w:val="center"/>
        <w:textAlignment w:val="auto"/>
        <w:rPr>
          <w:rStyle w:val="30"/>
          <w:rFonts w:hint="eastAsia" w:ascii="Times New Roman" w:hAnsi="Times New Roman" w:eastAsia="方正小标宋简体" w:cs="方正小标宋简体"/>
          <w:b/>
          <w:bCs w:val="0"/>
          <w:color w:val="auto"/>
          <w:sz w:val="44"/>
          <w:szCs w:val="44"/>
          <w:highlight w:val="none"/>
        </w:rPr>
      </w:pPr>
      <w:bookmarkStart w:id="63" w:name="_Toc28730_WPSOffice_Level1"/>
      <w:r>
        <w:rPr>
          <w:rFonts w:hint="eastAsia" w:ascii="Times New Roman" w:hAnsi="Times New Roman" w:eastAsia="方正小标宋简体" w:cs="方正小标宋简体"/>
          <w:b w:val="0"/>
          <w:color w:val="auto"/>
          <w:sz w:val="44"/>
          <w:szCs w:val="44"/>
          <w:highlight w:val="none"/>
        </w:rPr>
        <w:t>第一部分</w:t>
      </w:r>
      <w:r>
        <w:rPr>
          <w:rFonts w:hint="eastAsia" w:ascii="Times New Roman" w:hAnsi="Times New Roman" w:eastAsia="方正小标宋简体" w:cs="方正小标宋简体"/>
          <w:b w:val="0"/>
          <w:color w:val="auto"/>
          <w:sz w:val="44"/>
          <w:szCs w:val="44"/>
          <w:highlight w:val="none"/>
          <w:lang w:val="en-US" w:eastAsia="zh-CN"/>
        </w:rPr>
        <w:t xml:space="preserve"> </w:t>
      </w:r>
      <w:r>
        <w:rPr>
          <w:rFonts w:hint="eastAsia" w:ascii="Times New Roman" w:hAnsi="Times New Roman" w:eastAsia="方正小标宋简体" w:cs="方正小标宋简体"/>
          <w:b w:val="0"/>
          <w:color w:val="auto"/>
          <w:sz w:val="44"/>
          <w:szCs w:val="44"/>
          <w:highlight w:val="none"/>
        </w:rPr>
        <w:t xml:space="preserve"> </w:t>
      </w:r>
      <w:r>
        <w:rPr>
          <w:rStyle w:val="30"/>
          <w:rFonts w:hint="eastAsia" w:ascii="Times New Roman" w:hAnsi="Times New Roman" w:eastAsia="方正小标宋简体" w:cs="方正小标宋简体"/>
          <w:b w:val="0"/>
          <w:bCs w:val="0"/>
          <w:color w:val="auto"/>
          <w:sz w:val="44"/>
          <w:szCs w:val="44"/>
          <w:highlight w:val="none"/>
        </w:rPr>
        <w:t>部门概况</w:t>
      </w:r>
      <w:bookmarkEnd w:id="63"/>
    </w:p>
    <w:p>
      <w:pPr>
        <w:widowControl/>
        <w:jc w:val="left"/>
        <w:rPr>
          <w:rFonts w:ascii="Times New Roman" w:hAnsi="Times New Roman" w:eastAsia="黑体"/>
          <w:color w:val="auto"/>
          <w:sz w:val="32"/>
          <w:szCs w:val="32"/>
          <w:highlight w:val="none"/>
        </w:rPr>
      </w:pPr>
    </w:p>
    <w:p>
      <w:pPr>
        <w:pStyle w:val="5"/>
        <w:numPr>
          <w:ilvl w:val="0"/>
          <w:numId w:val="0"/>
        </w:numPr>
        <w:ind w:firstLine="640" w:firstLineChars="200"/>
        <w:rPr>
          <w:rFonts w:hint="eastAsia" w:ascii="Times New Roman" w:hAnsi="Times New Roman" w:eastAsia="黑体"/>
          <w:b w:val="0"/>
          <w:color w:val="auto"/>
          <w:highlight w:val="none"/>
          <w:lang w:eastAsia="zh-CN"/>
        </w:rPr>
      </w:pPr>
      <w:bookmarkStart w:id="64" w:name="_Toc5628_WPSOffice_Level2"/>
      <w:r>
        <w:rPr>
          <w:rFonts w:hint="eastAsia" w:ascii="Times New Roman" w:hAnsi="Times New Roman" w:eastAsia="黑体"/>
          <w:b w:val="0"/>
          <w:color w:val="auto"/>
          <w:highlight w:val="none"/>
          <w:lang w:eastAsia="zh-CN"/>
        </w:rPr>
        <w:t>一、部门职责</w:t>
      </w:r>
      <w:bookmarkEnd w:id="64"/>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中共乐山市五通桥区委统战部（以下简称区委统战部）是五通桥区委主管统一战线工作的职能部门。</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加强党对统一战线工作的集中领导的要求，发挥区委在统战工作方面的参谋机构、组织协调机构、具体执行机构、督促检查机构作用，了解情况、掌握政策、协调关系、安排人事、增进共识、加强团结，协调统一战线各方面关系，组织落实中央、省委、市委和区委关于统一战线工作重大决策部署，巩固和发展最广泛的统一战线。</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调查研究我区统一战线的实际情况，向区委如实反映并提出开展统战工作的意见建议，组织协调统一战线方针政策和法律法规的贯彻落实，协调全区统一战线各方面关系。</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负责发现、培养党外代表人士，制定党外人士培养发现计划。</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负责开展统一战线宣传工作。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联系各民主党派，通报情况、反映意见、制定年度政党协商计划，贯彻落实中国共产党领导的多党合作和政治协商制度以及民主党派的方针政策，支持和帮助民主党派加强自身建设，做好支持民主党派履行职责、发挥作用的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贯彻落实党的民族工作方针，研究拟订民族工作的政策措施，协调处理民族工作的重大问题。根据分工，统筹协调做好少数民族干部工作，领导区民族宗教事务局依法管理民族事务，全面促进民族团结。</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党的宗教工作的基本方针和政策，研究拟订宗教工作政策措施并督促落实。领导区民族宗教事务局依法管理宗教事务，保护公民宗教信仰自由和正常的宗教活动，维护宗教界合法权益，抵御境外利用宗教进行渗透，引导各宗教坚持中国化方向，巩固和发展同宗教界的爱国统一战线。</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负责联系、培养无党派代表人士，支持无党派加强自身建设、发挥作用。</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负责联系、培养新的社会阶层人士，支持、帮助新的社会阶层人士加强自身建设、发挥作用。</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承担全区非公有制经济协调工作，负责全区非公有制经济代表人士工作。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统一领导港澳台统战工作。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统一管理对台工作。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统一管理侨务工作。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受区委委托，领导区工商联党组，指导工商联工作。领导区民族宗教事务局工作。做好统一战线有关单位和团体及事业单位工作。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负责职责范围内的安全生产和职业健康、生态环境保护等工作。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完成区委交办的其他任务。</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乐山市五通桥区工商业联合会（以下简称区工商联）为区委领导下的人民团体。</w:t>
      </w:r>
    </w:p>
    <w:p>
      <w:pPr>
        <w:ind w:firstLine="800" w:firstLineChars="25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zh-CN"/>
        </w:rPr>
        <w:t>参与政治、经济、社会生活中的重要问题的政治协商，发挥民主监督作用，积极参政议政。</w:t>
      </w:r>
    </w:p>
    <w:p>
      <w:pPr>
        <w:ind w:firstLine="800" w:firstLineChars="25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zh-CN"/>
        </w:rPr>
        <w:t>加强和改进非公有制经济人士思想政治工作。</w:t>
      </w:r>
    </w:p>
    <w:p>
      <w:pPr>
        <w:ind w:firstLine="800" w:firstLineChars="25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引导会员爱国、敬业、诚信、守法、贡献，当好中国特色社会主义事业建设者。</w:t>
      </w:r>
    </w:p>
    <w:p>
      <w:pPr>
        <w:ind w:firstLine="800" w:firstLineChars="25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zh-CN"/>
        </w:rPr>
        <w:t>引导会员致富思源、富而思进，投身光彩事业。</w:t>
      </w:r>
    </w:p>
    <w:p>
      <w:pPr>
        <w:ind w:firstLine="800" w:firstLineChars="25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zh-CN"/>
        </w:rPr>
        <w:t>引导会员按照科学发展观的要求，转变经济发展方式，建立和谐劳动关系，遵纪守法、照章纳税，代表并维护会员的合法权益，反映会员的意见、要求和建议，参与经济纠纷的调解、仲裁。</w:t>
      </w:r>
    </w:p>
    <w:p>
      <w:pPr>
        <w:ind w:firstLine="800" w:firstLineChars="25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zh-CN"/>
        </w:rPr>
        <w:t>为会员提供培训、融资、科技、法律、信息咨询等服务，帮助会员增强自主创新能力，提高核心竞争力和可持续发展能力，加强自身建设，体现特色，提高履行职责和发挥作用的能力，增强凝聚力。</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zh-CN"/>
        </w:rPr>
        <w:t>承办政府和有关部门委托事项。</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乐山市归侨侨眷联合会（以下简称区侨联）为区委领导下的人民团体，归口区委统战部统一管理。</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负责党的侨务方针政策宣传工作。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负责侨界人大代表，政协委员联络服务工作。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负责涉侨捐赠事务、贫困归侨侨眷帮扶工作。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负责对侨胞及其社团（包括港澳台地区）联谊和服务工作。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开展招才引智、引资、引技等工作。</w:t>
      </w:r>
    </w:p>
    <w:p>
      <w:pPr>
        <w:ind w:firstLine="800" w:firstLineChars="250"/>
        <w:rPr>
          <w:rFonts w:hint="eastAsia"/>
          <w:lang w:eastAsia="zh-CN"/>
        </w:rPr>
      </w:pPr>
      <w:r>
        <w:rPr>
          <w:rFonts w:hint="eastAsia" w:ascii="仿宋_GB2312" w:hAnsi="仿宋_GB2312" w:eastAsia="仿宋_GB2312" w:cs="仿宋_GB2312"/>
          <w:sz w:val="32"/>
          <w:szCs w:val="32"/>
        </w:rPr>
        <w:t>开展涉侨文化交流活动，组织实施有关华文教育项目。</w:t>
      </w:r>
    </w:p>
    <w:p>
      <w:pPr>
        <w:pStyle w:val="5"/>
        <w:ind w:firstLine="640" w:firstLineChars="200"/>
        <w:rPr>
          <w:rStyle w:val="31"/>
          <w:rFonts w:ascii="Times New Roman" w:hAnsi="Times New Roman"/>
          <w:b w:val="0"/>
          <w:bCs w:val="0"/>
          <w:color w:val="auto"/>
          <w:highlight w:val="none"/>
        </w:rPr>
      </w:pPr>
      <w:bookmarkStart w:id="65" w:name="_Toc15396601"/>
      <w:bookmarkStart w:id="66" w:name="_Toc15377200"/>
      <w:bookmarkStart w:id="67" w:name="_Toc5337_WPSOffice_Level2"/>
      <w:r>
        <w:rPr>
          <w:rFonts w:hint="eastAsia" w:ascii="Times New Roman" w:hAnsi="Times New Roman" w:eastAsia="黑体"/>
          <w:b w:val="0"/>
          <w:color w:val="auto"/>
          <w:highlight w:val="none"/>
          <w:lang w:eastAsia="zh-CN"/>
        </w:rPr>
        <w:t>二、</w:t>
      </w:r>
      <w:r>
        <w:rPr>
          <w:rFonts w:hint="eastAsia" w:ascii="Times New Roman" w:hAnsi="Times New Roman" w:eastAsia="黑体"/>
          <w:b w:val="0"/>
          <w:color w:val="auto"/>
          <w:highlight w:val="none"/>
        </w:rPr>
        <w:t>机</w:t>
      </w:r>
      <w:r>
        <w:rPr>
          <w:rStyle w:val="31"/>
          <w:rFonts w:hint="eastAsia" w:ascii="Times New Roman" w:hAnsi="Times New Roman" w:eastAsia="黑体"/>
          <w:b w:val="0"/>
          <w:bCs w:val="0"/>
          <w:color w:val="auto"/>
          <w:highlight w:val="none"/>
        </w:rPr>
        <w:t>构设置</w:t>
      </w:r>
      <w:bookmarkEnd w:id="65"/>
      <w:bookmarkEnd w:id="66"/>
      <w:bookmarkEnd w:id="67"/>
    </w:p>
    <w:p>
      <w:pPr>
        <w:ind w:firstLine="800" w:firstLineChars="25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中共乐山市五通桥区委统一战线工作部</w:t>
      </w:r>
      <w:r>
        <w:rPr>
          <w:rFonts w:hint="eastAsia" w:ascii="Times New Roman" w:hAnsi="Times New Roman" w:eastAsia="仿宋_GB2312" w:cs="仿宋_GB2312"/>
          <w:color w:val="auto"/>
          <w:sz w:val="32"/>
          <w:szCs w:val="32"/>
          <w:highlight w:val="none"/>
        </w:rPr>
        <w:t>下属二级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w:t>
      </w:r>
      <w:r>
        <w:rPr>
          <w:rFonts w:hint="eastAsia" w:eastAsia="仿宋_GB2312" w:cs="仿宋_GB2312"/>
          <w:color w:val="auto"/>
          <w:sz w:val="32"/>
          <w:szCs w:val="32"/>
          <w:highlight w:val="none"/>
          <w:lang w:val="en-US" w:eastAsia="zh-CN"/>
        </w:rPr>
        <w:t>2</w:t>
      </w:r>
      <w:r>
        <w:rPr>
          <w:rFonts w:hint="eastAsia" w:ascii="Times New Roman" w:hAnsi="Times New Roman" w:eastAsia="仿宋_GB2312" w:cs="仿宋_GB2312"/>
          <w:color w:val="auto"/>
          <w:sz w:val="32"/>
          <w:szCs w:val="32"/>
          <w:highlight w:val="none"/>
        </w:rPr>
        <w:t>个，其中参照公务员法管理的事业单位</w:t>
      </w:r>
      <w:r>
        <w:rPr>
          <w:rFonts w:hint="eastAsia" w:eastAsia="仿宋_GB2312" w:cs="仿宋_GB2312"/>
          <w:bCs/>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个，其他事业单位</w:t>
      </w:r>
      <w:r>
        <w:rPr>
          <w:rFonts w:hint="eastAsia"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w:t>
      </w:r>
    </w:p>
    <w:p>
      <w:pPr>
        <w:pStyle w:val="7"/>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纳入</w:t>
      </w:r>
      <w:r>
        <w:rPr>
          <w:sz w:val="32"/>
          <w:szCs w:val="32"/>
        </w:rPr>
        <w:t>中共乐山市五通桥区委统一战线工作部</w:t>
      </w:r>
      <w:r>
        <w:rPr>
          <w:rFonts w:hint="eastAsia" w:ascii="Times New Roman" w:hAnsi="Times New Roman" w:eastAsia="仿宋_GB2312" w:cs="仿宋_GB2312"/>
          <w:color w:val="auto"/>
          <w:sz w:val="32"/>
          <w:szCs w:val="32"/>
          <w:highlight w:val="none"/>
          <w:lang w:eastAsia="zh-CN"/>
        </w:rPr>
        <w:t>2024年度</w:t>
      </w:r>
      <w:r>
        <w:rPr>
          <w:rFonts w:hint="eastAsia" w:ascii="Times New Roman" w:hAnsi="Times New Roman" w:eastAsia="仿宋_GB2312" w:cs="仿宋_GB2312"/>
          <w:color w:val="auto"/>
          <w:sz w:val="32"/>
          <w:szCs w:val="32"/>
          <w:highlight w:val="none"/>
        </w:rPr>
        <w:t>部门决算编制范围的二级预算单位包括：</w:t>
      </w:r>
    </w:p>
    <w:p>
      <w:pPr>
        <w:ind w:firstLine="800" w:firstLineChars="250"/>
        <w:rPr>
          <w:rFonts w:ascii="仿宋_GB2312" w:hAnsi="Times New Roman" w:eastAsia="仿宋_GB2312" w:cs="Times New Roman"/>
          <w:kern w:val="0"/>
          <w:sz w:val="32"/>
          <w:szCs w:val="32"/>
          <w:lang w:val="en-US" w:eastAsia="zh-CN" w:bidi="ar-SA"/>
        </w:rPr>
      </w:pPr>
      <w:bookmarkStart w:id="68" w:name="_Toc15306276"/>
      <w:bookmarkStart w:id="69" w:name="_Toc15377433"/>
      <w:bookmarkStart w:id="70" w:name="_Toc15378449"/>
      <w:bookmarkStart w:id="71" w:name="_Toc15377202"/>
      <w:bookmarkStart w:id="72" w:name="_Toc15378450"/>
      <w:bookmarkStart w:id="73" w:name="_Toc15377203"/>
      <w:bookmarkStart w:id="74" w:name="_Toc15306277"/>
      <w:bookmarkStart w:id="75" w:name="_Toc15377434"/>
      <w:r>
        <w:rPr>
          <w:rFonts w:hint="eastAsia" w:ascii="仿宋_GB2312" w:hAnsi="Times New Roman" w:eastAsia="仿宋_GB2312" w:cs="Times New Roman"/>
          <w:kern w:val="0"/>
          <w:sz w:val="32"/>
          <w:szCs w:val="32"/>
          <w:lang w:val="en-US" w:eastAsia="zh-CN" w:bidi="ar-SA"/>
        </w:rPr>
        <w:t>1.乐山市五通桥区工商业联合会</w:t>
      </w:r>
      <w:bookmarkEnd w:id="68"/>
      <w:bookmarkEnd w:id="69"/>
      <w:bookmarkEnd w:id="70"/>
      <w:bookmarkEnd w:id="71"/>
    </w:p>
    <w:p>
      <w:pPr>
        <w:ind w:firstLine="800" w:firstLineChars="250"/>
        <w:rPr>
          <w:rFonts w:hint="eastAsia" w:ascii="Times New Roman" w:hAnsi="Times New Roman" w:eastAsia="方正小标宋简体" w:cs="方正小标宋简体"/>
          <w:b w:val="0"/>
          <w:color w:val="auto"/>
          <w:highlight w:val="none"/>
        </w:rPr>
      </w:pPr>
      <w:r>
        <w:rPr>
          <w:rFonts w:hint="eastAsia" w:ascii="仿宋_GB2312" w:hAnsi="Times New Roman" w:eastAsia="仿宋_GB2312" w:cs="Times New Roman"/>
          <w:kern w:val="0"/>
          <w:sz w:val="32"/>
          <w:szCs w:val="32"/>
          <w:lang w:val="en-US" w:eastAsia="zh-CN" w:bidi="ar-SA"/>
        </w:rPr>
        <w:t>2.乐山市归侨侨眷联合会</w:t>
      </w:r>
      <w:bookmarkEnd w:id="72"/>
      <w:bookmarkEnd w:id="73"/>
      <w:bookmarkEnd w:id="74"/>
      <w:bookmarkEnd w:id="75"/>
      <w:bookmarkStart w:id="76" w:name="_Toc15377204"/>
      <w:bookmarkStart w:id="77" w:name="_Toc15396602"/>
    </w:p>
    <w:p>
      <w:pPr>
        <w:pStyle w:val="4"/>
        <w:jc w:val="both"/>
        <w:rPr>
          <w:rFonts w:hint="eastAsia" w:ascii="Times New Roman" w:hAnsi="Times New Roman" w:eastAsia="方正小标宋简体" w:cs="方正小标宋简体"/>
          <w:b w:val="0"/>
          <w:color w:val="auto"/>
          <w:highlight w:val="none"/>
        </w:rPr>
      </w:pPr>
    </w:p>
    <w:p>
      <w:pPr>
        <w:pStyle w:val="4"/>
        <w:jc w:val="both"/>
        <w:rPr>
          <w:rFonts w:hint="eastAsia" w:ascii="Times New Roman" w:hAnsi="Times New Roman" w:eastAsia="方正小标宋简体" w:cs="方正小标宋简体"/>
          <w:b w:val="0"/>
          <w:color w:val="auto"/>
          <w:highlight w:val="none"/>
        </w:rPr>
      </w:pPr>
      <w:bookmarkStart w:id="78" w:name="_Toc5628_WPSOffice_Level1"/>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76"/>
      <w:bookmarkEnd w:id="77"/>
      <w:bookmarkEnd w:id="78"/>
    </w:p>
    <w:p>
      <w:pPr>
        <w:rPr>
          <w:rFonts w:ascii="Times New Roman" w:hAnsi="Times New Roman"/>
          <w:color w:val="auto"/>
          <w:highlight w:val="none"/>
        </w:rPr>
      </w:pP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eastAsia" w:ascii="Times New Roman" w:hAnsi="Times New Roman" w:eastAsia="黑体"/>
          <w:b w:val="0"/>
          <w:color w:val="auto"/>
          <w:highlight w:val="none"/>
        </w:rPr>
      </w:pPr>
      <w:bookmarkStart w:id="79" w:name="_Toc15396603"/>
      <w:bookmarkStart w:id="80" w:name="_Toc15377205"/>
      <w:bookmarkStart w:id="81" w:name="_Toc8387_WPSOffice_Level2"/>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1"/>
          <w:rFonts w:hint="eastAsia" w:ascii="Times New Roman" w:hAnsi="Times New Roman" w:eastAsia="黑体"/>
          <w:b w:val="0"/>
          <w:color w:val="auto"/>
          <w:highlight w:val="none"/>
        </w:rPr>
        <w:t>入支出决算总体情况说明</w:t>
      </w:r>
      <w:bookmarkEnd w:id="79"/>
      <w:bookmarkEnd w:id="80"/>
      <w:bookmarkEnd w:id="81"/>
    </w:p>
    <w:p>
      <w:pPr>
        <w:pStyle w:val="29"/>
        <w:spacing w:line="600" w:lineRule="exact"/>
        <w:ind w:firstLine="640"/>
        <w:outlineLvl w:val="1"/>
        <w:rPr>
          <w:rFonts w:hint="eastAsia" w:eastAsia="仿宋_GB2312" w:cs="仿宋_GB2312"/>
          <w:sz w:val="32"/>
          <w:szCs w:val="32"/>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lang w:val="en-US" w:eastAsia="zh-CN"/>
        </w:rPr>
        <w:t>432.95</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总计各减少</w:t>
      </w:r>
      <w:r>
        <w:rPr>
          <w:rFonts w:hint="eastAsia" w:eastAsia="仿宋_GB2312" w:cs="仿宋_GB2312"/>
          <w:color w:val="auto"/>
          <w:sz w:val="32"/>
          <w:szCs w:val="32"/>
          <w:highlight w:val="none"/>
          <w:lang w:val="en-US" w:eastAsia="zh-CN"/>
        </w:rPr>
        <w:t>30.49</w:t>
      </w:r>
      <w:r>
        <w:rPr>
          <w:rFonts w:hint="eastAsia" w:ascii="Times New Roman" w:hAnsi="Times New Roman" w:eastAsia="仿宋_GB2312" w:cs="仿宋_GB2312"/>
          <w:color w:val="auto"/>
          <w:sz w:val="32"/>
          <w:szCs w:val="32"/>
          <w:highlight w:val="none"/>
        </w:rPr>
        <w:t>万元，下降</w:t>
      </w:r>
      <w:r>
        <w:rPr>
          <w:rFonts w:hint="eastAsia" w:eastAsia="仿宋_GB2312" w:cs="仿宋_GB2312"/>
          <w:color w:val="auto"/>
          <w:sz w:val="32"/>
          <w:szCs w:val="32"/>
          <w:highlight w:val="none"/>
          <w:lang w:val="en-US" w:eastAsia="zh-CN"/>
        </w:rPr>
        <w:t>6.58</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eastAsia="zh-CN"/>
        </w:rPr>
        <w:t>一般公共服务支出增加</w:t>
      </w:r>
      <w:r>
        <w:rPr>
          <w:rFonts w:hint="eastAsia" w:eastAsia="仿宋_GB2312" w:cs="仿宋_GB2312"/>
          <w:color w:val="auto"/>
          <w:sz w:val="32"/>
          <w:szCs w:val="32"/>
          <w:highlight w:val="none"/>
          <w:lang w:val="en-US" w:eastAsia="zh-CN"/>
        </w:rPr>
        <w:t>6.5万元，社会保障和就业支出减少38.91万元，卫生健康支出减少0.49万元，住房保障支出增加0.22万元。</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仿宋_GB2312"/>
          <w:color w:val="auto"/>
          <w:sz w:val="32"/>
          <w:szCs w:val="32"/>
          <w:highlight w:val="none"/>
          <w:lang w:val="en-US" w:eastAsia="zh-CN"/>
        </w:rPr>
      </w:pPr>
    </w:p>
    <w:p>
      <w:pPr>
        <w:pStyle w:val="7"/>
        <w:rPr>
          <w:rFonts w:hint="eastAsia" w:ascii="Times New Roman" w:hAnsi="Times New Roman" w:eastAsia="仿宋_GB2312" w:cs="仿宋_GB2312"/>
          <w:color w:val="auto"/>
          <w:sz w:val="32"/>
          <w:szCs w:val="32"/>
          <w:highlight w:val="none"/>
        </w:rPr>
      </w:pPr>
      <w:r>
        <w:drawing>
          <wp:inline distT="0" distB="0" distL="114300" distR="114300">
            <wp:extent cx="5037455" cy="2783840"/>
            <wp:effectExtent l="170815" t="123190" r="201930" b="27432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82" w:name="_Toc15396604"/>
      <w:bookmarkStart w:id="83" w:name="_Toc15377206"/>
      <w:bookmarkStart w:id="84" w:name="_Toc31480_WPSOffice_Level2"/>
      <w:r>
        <w:rPr>
          <w:rFonts w:hint="eastAsia" w:ascii="Times New Roman" w:hAnsi="Times New Roman" w:eastAsia="黑体"/>
          <w:color w:val="auto"/>
          <w:sz w:val="32"/>
          <w:szCs w:val="32"/>
          <w:highlight w:val="none"/>
          <w:lang w:eastAsia="zh-CN"/>
        </w:rPr>
        <w:t>二、收入决算情况说明</w:t>
      </w:r>
      <w:bookmarkEnd w:id="82"/>
      <w:bookmarkEnd w:id="83"/>
      <w:bookmarkEnd w:id="84"/>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lang w:val="en-US" w:eastAsia="zh-CN"/>
        </w:rPr>
        <w:t>430.2</w:t>
      </w:r>
      <w:r>
        <w:rPr>
          <w:rFonts w:hint="eastAsia" w:ascii="仿宋_GB2312" w:hAnsi="仿宋_GB2312" w:eastAsia="仿宋_GB2312" w:cs="仿宋_GB2312"/>
          <w:sz w:val="32"/>
          <w:szCs w:val="32"/>
        </w:rPr>
        <w:t>万元，其中：一般公共预算财政拨款收入425.19</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5.01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color w:val="auto"/>
          <w:sz w:val="32"/>
          <w:szCs w:val="32"/>
          <w:highlight w:val="none"/>
          <w:lang w:eastAsia="zh-CN"/>
        </w:rPr>
        <w:t>%。</w:t>
      </w:r>
    </w:p>
    <w:p>
      <w:pPr>
        <w:ind w:firstLine="525" w:firstLineChars="250"/>
        <w:rPr>
          <w:rFonts w:hint="eastAsia" w:ascii="Times New Roman" w:hAnsi="Times New Roman" w:eastAsia="仿宋_GB2312" w:cs="仿宋_GB2312"/>
          <w:color w:val="auto"/>
          <w:sz w:val="32"/>
          <w:szCs w:val="32"/>
          <w:highlight w:val="none"/>
          <w:lang w:eastAsia="zh-CN"/>
        </w:rPr>
      </w:pPr>
      <w:r>
        <w:drawing>
          <wp:inline distT="0" distB="0" distL="114300" distR="114300">
            <wp:extent cx="5266690" cy="3629025"/>
            <wp:effectExtent l="4445" t="4445" r="5715" b="5080"/>
            <wp:docPr id="528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eastAsia" w:ascii="Times New Roman" w:hAnsi="Times New Roman" w:eastAsia="黑体"/>
          <w:b w:val="0"/>
          <w:color w:val="auto"/>
          <w:highlight w:val="none"/>
        </w:rPr>
      </w:pPr>
      <w:bookmarkStart w:id="85" w:name="_Toc15377207"/>
      <w:bookmarkStart w:id="86" w:name="_Toc15396605"/>
      <w:bookmarkStart w:id="87" w:name="_Toc27695_WPSOffice_Level2"/>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1"/>
          <w:rFonts w:hint="eastAsia" w:ascii="Times New Roman" w:hAnsi="Times New Roman" w:eastAsia="黑体"/>
          <w:b w:val="0"/>
          <w:color w:val="auto"/>
          <w:highlight w:val="none"/>
        </w:rPr>
        <w:t>出决算情况说明</w:t>
      </w:r>
      <w:bookmarkEnd w:id="85"/>
      <w:bookmarkEnd w:id="86"/>
      <w:bookmarkEnd w:id="87"/>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430.76</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381.61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lang w:val="en-US" w:eastAsia="zh-CN"/>
        </w:rPr>
        <w:t>89</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49.16</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11</w:t>
      </w:r>
      <w:r>
        <w:rPr>
          <w:rFonts w:hint="eastAsia" w:ascii="仿宋_GB2312" w:hAnsi="仿宋_GB2312" w:eastAsia="仿宋_GB2312" w:cs="仿宋_GB2312"/>
          <w:color w:val="auto"/>
          <w:sz w:val="32"/>
          <w:szCs w:val="32"/>
          <w:highlight w:val="none"/>
          <w:lang w:eastAsia="zh-CN"/>
        </w:rPr>
        <w:t>%。</w:t>
      </w:r>
    </w:p>
    <w:p>
      <w:pPr>
        <w:pStyle w:val="7"/>
        <w:rPr>
          <w:rFonts w:hint="eastAsia" w:ascii="Times New Roman" w:hAnsi="Times New Roman" w:eastAsia="仿宋_GB2312" w:cs="仿宋_GB2312"/>
          <w:color w:val="auto"/>
          <w:sz w:val="32"/>
          <w:szCs w:val="32"/>
          <w:highlight w:val="none"/>
          <w:lang w:eastAsia="zh-CN"/>
        </w:rPr>
      </w:pPr>
    </w:p>
    <w:p>
      <w:pPr>
        <w:pStyle w:val="7"/>
        <w:rPr>
          <w:rFonts w:hint="eastAsia" w:ascii="Times New Roman" w:hAnsi="Times New Roman" w:eastAsia="仿宋_GB2312" w:cs="仿宋_GB2312"/>
          <w:color w:val="auto"/>
          <w:sz w:val="32"/>
          <w:szCs w:val="32"/>
          <w:highlight w:val="none"/>
          <w:lang w:eastAsia="zh-CN"/>
        </w:rPr>
      </w:pPr>
      <w:r>
        <w:drawing>
          <wp:inline distT="0" distB="0" distL="114300" distR="114300">
            <wp:extent cx="4951095" cy="3114040"/>
            <wp:effectExtent l="156845" t="137795" r="168910" b="158115"/>
            <wp:docPr id="835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spacing w:line="600" w:lineRule="exact"/>
        <w:ind w:firstLine="640" w:firstLineChars="200"/>
        <w:outlineLvl w:val="1"/>
        <w:rPr>
          <w:rStyle w:val="31"/>
          <w:rFonts w:ascii="Times New Roman" w:hAnsi="Times New Roman" w:eastAsia="黑体"/>
          <w:b w:val="0"/>
          <w:color w:val="auto"/>
          <w:highlight w:val="none"/>
        </w:rPr>
      </w:pPr>
      <w:bookmarkStart w:id="88" w:name="_Toc15377208"/>
      <w:bookmarkStart w:id="89" w:name="_Toc15396606"/>
      <w:bookmarkStart w:id="90" w:name="_Toc27635_WPSOffice_Level2"/>
      <w:r>
        <w:rPr>
          <w:rFonts w:hint="eastAsia" w:ascii="Times New Roman" w:hAnsi="Times New Roman" w:eastAsia="黑体"/>
          <w:color w:val="auto"/>
          <w:sz w:val="32"/>
          <w:szCs w:val="32"/>
          <w:highlight w:val="none"/>
        </w:rPr>
        <w:t>四、财</w:t>
      </w:r>
      <w:r>
        <w:rPr>
          <w:rStyle w:val="31"/>
          <w:rFonts w:hint="eastAsia" w:ascii="Times New Roman" w:hAnsi="Times New Roman" w:eastAsia="黑体"/>
          <w:b w:val="0"/>
          <w:color w:val="auto"/>
          <w:highlight w:val="none"/>
        </w:rPr>
        <w:t>政拨款收入支出决算总体情况说明</w:t>
      </w:r>
      <w:bookmarkEnd w:id="88"/>
      <w:bookmarkEnd w:id="89"/>
      <w:bookmarkEnd w:id="90"/>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425.19</w:t>
      </w:r>
      <w:r>
        <w:rPr>
          <w:rFonts w:hint="eastAsia" w:ascii="仿宋_GB2312" w:hAnsi="仿宋_GB2312" w:eastAsia="仿宋_GB2312" w:cs="仿宋_GB2312"/>
          <w:color w:val="auto"/>
          <w:kern w:val="2"/>
          <w:sz w:val="32"/>
          <w:szCs w:val="32"/>
          <w:highlight w:val="none"/>
          <w:lang w:val="en-US" w:eastAsia="zh-CN" w:bidi="ar-SA"/>
        </w:rPr>
        <w:t>万元。与2023年度相比，财政拨款收入总计、支出总计各减少38.25万元，下降8.25%。主要变动原因是：一般公共服务支出增加1.08万元，社会保障和就业支出减少38.91万元，卫生健康支出减少0.49万元，住房保障支出增加0.06万元。</w:t>
      </w:r>
    </w:p>
    <w:p>
      <w:pPr>
        <w:pStyle w:val="7"/>
        <w:rPr>
          <w:rFonts w:hint="eastAsia" w:ascii="Times New Roman" w:hAnsi="Times New Roman" w:eastAsia="仿宋_GB2312" w:cs="仿宋_GB2312"/>
          <w:color w:val="auto"/>
          <w:kern w:val="2"/>
          <w:sz w:val="32"/>
          <w:szCs w:val="32"/>
          <w:highlight w:val="none"/>
          <w:lang w:val="en-US" w:eastAsia="zh-CN" w:bidi="ar-SA"/>
        </w:rPr>
      </w:pPr>
      <w:r>
        <w:drawing>
          <wp:inline distT="0" distB="0" distL="114300" distR="114300">
            <wp:extent cx="4438015" cy="2895600"/>
            <wp:effectExtent l="4445" t="5080" r="15240" b="13970"/>
            <wp:docPr id="3189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spacing w:line="600" w:lineRule="exact"/>
        <w:ind w:firstLine="640" w:firstLineChars="200"/>
        <w:outlineLvl w:val="1"/>
        <w:rPr>
          <w:rStyle w:val="31"/>
          <w:rFonts w:ascii="Times New Roman" w:hAnsi="Times New Roman" w:eastAsia="黑体"/>
          <w:b w:val="0"/>
          <w:color w:val="auto"/>
          <w:highlight w:val="none"/>
        </w:rPr>
      </w:pPr>
      <w:bookmarkStart w:id="91" w:name="_Toc15377209"/>
      <w:bookmarkStart w:id="92" w:name="_Toc15396607"/>
      <w:bookmarkStart w:id="93" w:name="_Toc14751_WPSOffice_Level2"/>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1"/>
          <w:rFonts w:hint="eastAsia" w:ascii="Times New Roman" w:hAnsi="Times New Roman" w:eastAsia="黑体"/>
          <w:b w:val="0"/>
          <w:color w:val="auto"/>
          <w:highlight w:val="none"/>
        </w:rPr>
        <w:t>般公共预算财政拨款支出决算情况说明</w:t>
      </w:r>
      <w:bookmarkEnd w:id="91"/>
      <w:bookmarkEnd w:id="92"/>
      <w:bookmarkEnd w:id="93"/>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94" w:name="_Toc15377210"/>
      <w:r>
        <w:rPr>
          <w:rFonts w:hint="eastAsia" w:ascii="Times New Roman" w:hAnsi="Times New Roman" w:eastAsia="楷体_GB2312" w:cs="楷体_GB2312"/>
          <w:b w:val="0"/>
          <w:bCs/>
          <w:color w:val="auto"/>
          <w:sz w:val="32"/>
          <w:szCs w:val="32"/>
          <w:highlight w:val="none"/>
        </w:rPr>
        <w:t>（一）一般公共预算财政拨款支出决算总体情况</w:t>
      </w:r>
      <w:bookmarkEnd w:id="94"/>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425.19</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98.7</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减少38.25万元，下降8.25%。主要变动原因是一般公共服务支出增加1.08万元，社会保障和就业支出减少38.91万元，卫生健康支出减少0.49万元，住房保障支出增加0.06万元。</w:t>
      </w:r>
    </w:p>
    <w:p>
      <w:pPr>
        <w:pStyle w:val="7"/>
        <w:rPr>
          <w:rFonts w:hint="eastAsia" w:ascii="仿宋_GB2312" w:hAnsi="仿宋_GB2312" w:eastAsia="仿宋_GB2312" w:cs="仿宋_GB2312"/>
          <w:color w:val="auto"/>
          <w:kern w:val="2"/>
          <w:sz w:val="32"/>
          <w:szCs w:val="32"/>
          <w:highlight w:val="none"/>
          <w:lang w:val="en-US" w:eastAsia="zh-CN" w:bidi="ar-SA"/>
        </w:rPr>
      </w:pPr>
    </w:p>
    <w:p>
      <w:pPr>
        <w:pStyle w:val="7"/>
        <w:rPr>
          <w:rFonts w:hint="eastAsia" w:ascii="仿宋_GB2312" w:hAnsi="仿宋_GB2312" w:eastAsia="仿宋_GB2312" w:cs="仿宋_GB2312"/>
          <w:color w:val="auto"/>
          <w:kern w:val="2"/>
          <w:sz w:val="32"/>
          <w:szCs w:val="32"/>
          <w:highlight w:val="none"/>
          <w:lang w:val="en-US" w:eastAsia="zh-CN" w:bidi="ar-SA"/>
        </w:rPr>
      </w:pPr>
      <w:r>
        <w:drawing>
          <wp:inline distT="0" distB="0" distL="114300" distR="114300">
            <wp:extent cx="4264025" cy="3352800"/>
            <wp:effectExtent l="5080" t="4445" r="17145" b="14605"/>
            <wp:docPr id="4213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95" w:name="_Toc15377211"/>
      <w:r>
        <w:rPr>
          <w:rFonts w:hint="eastAsia" w:ascii="Times New Roman" w:hAnsi="Times New Roman" w:eastAsia="楷体_GB2312" w:cs="楷体_GB2312"/>
          <w:b w:val="0"/>
          <w:bCs/>
          <w:color w:val="auto"/>
          <w:sz w:val="32"/>
          <w:szCs w:val="32"/>
          <w:highlight w:val="none"/>
        </w:rPr>
        <w:t>（二）一般公共预算财政拨款支出决算结构情况</w:t>
      </w:r>
      <w:bookmarkEnd w:id="95"/>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425.19</w:t>
      </w:r>
      <w:r>
        <w:rPr>
          <w:rFonts w:hint="eastAsia" w:ascii="仿宋_GB2312" w:hAnsi="仿宋_GB2312" w:eastAsia="仿宋_GB2312" w:cs="仿宋_GB2312"/>
          <w:color w:val="auto"/>
          <w:kern w:val="2"/>
          <w:sz w:val="32"/>
          <w:szCs w:val="32"/>
          <w:highlight w:val="none"/>
          <w:lang w:val="en-US" w:eastAsia="zh-CN" w:bidi="ar-SA"/>
        </w:rPr>
        <w:t>万元，主要用于以下方面：一般公共服务支出332.51万元，占78%；社会保障和就业支出55.61万元，占13%；卫生健康支出11.09万元，占3%；住房保障支出25.97万元，占6%。</w:t>
      </w:r>
    </w:p>
    <w:p>
      <w:pPr>
        <w:pStyle w:val="7"/>
        <w:rPr>
          <w:rFonts w:hint="eastAsia" w:ascii="Times New Roman" w:hAnsi="Times New Roman" w:eastAsia="仿宋_GB2312" w:cs="仿宋_GB2312"/>
          <w:color w:val="auto"/>
          <w:kern w:val="2"/>
          <w:sz w:val="32"/>
          <w:szCs w:val="32"/>
          <w:highlight w:val="none"/>
          <w:lang w:val="en-US" w:eastAsia="zh-CN" w:bidi="ar-SA"/>
        </w:rPr>
      </w:pPr>
      <w:r>
        <w:drawing>
          <wp:inline distT="0" distB="0" distL="114300" distR="114300">
            <wp:extent cx="5270500" cy="2025015"/>
            <wp:effectExtent l="4445" t="4445" r="20955" b="8890"/>
            <wp:docPr id="6363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pStyle w:val="7"/>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96" w:name="_Toc15377212"/>
      <w:r>
        <w:rPr>
          <w:rFonts w:hint="eastAsia" w:ascii="Times New Roman" w:hAnsi="Times New Roman" w:eastAsia="楷体_GB2312" w:cs="楷体_GB2312"/>
          <w:b w:val="0"/>
          <w:bCs/>
          <w:color w:val="auto"/>
          <w:sz w:val="32"/>
          <w:szCs w:val="32"/>
          <w:highlight w:val="none"/>
        </w:rPr>
        <w:t>（三）一般公共预算财政拨款支出决算具体情况</w:t>
      </w:r>
      <w:bookmarkEnd w:id="96"/>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97" w:name="_Toc15377444"/>
      <w:bookmarkStart w:id="98" w:name="_Toc15378460"/>
      <w:bookmarkStart w:id="99" w:name="_Toc15377213"/>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425.19</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99.36</w:t>
      </w:r>
      <w:r>
        <w:rPr>
          <w:rFonts w:hint="eastAsia" w:ascii="Times New Roman" w:hAnsi="Times New Roman" w:eastAsia="仿宋_GB2312" w:cs="仿宋_GB2312"/>
          <w:color w:val="auto"/>
          <w:kern w:val="2"/>
          <w:sz w:val="32"/>
          <w:szCs w:val="32"/>
          <w:highlight w:val="none"/>
          <w:lang w:val="en-US" w:eastAsia="zh-CN" w:bidi="ar-SA"/>
        </w:rPr>
        <w:t>%。其中：</w:t>
      </w:r>
      <w:bookmarkEnd w:id="97"/>
      <w:bookmarkEnd w:id="98"/>
      <w:bookmarkEnd w:id="99"/>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民族事务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民族工作专项</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0.19</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港台事务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一般行政管理事务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9.65</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民主党派及工商联事务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其他民主党派及工商联事务支出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12.84</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统战事务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行政运行</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103.27</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统战事务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宗教事务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10.8</w:t>
      </w:r>
      <w:r>
        <w:rPr>
          <w:rFonts w:hint="eastAsia" w:ascii="Times New Roman" w:hAnsi="Times New Roman" w:eastAsia="仿宋_GB2312" w:cs="仿宋_GB2312"/>
          <w:color w:val="auto"/>
          <w:kern w:val="2"/>
          <w:sz w:val="32"/>
          <w:szCs w:val="32"/>
          <w:highlight w:val="none"/>
          <w:lang w:val="en-US" w:eastAsia="zh-CN" w:bidi="ar-SA"/>
        </w:rPr>
        <w:t xml:space="preserve">万元，完成预算100%，决算数等于预算数。               </w:t>
      </w:r>
    </w:p>
    <w:p>
      <w:pPr>
        <w:numPr>
          <w:ilvl w:val="0"/>
          <w:numId w:val="0"/>
        </w:numPr>
        <w:spacing w:line="600" w:lineRule="exact"/>
        <w:ind w:firstLine="640" w:firstLineChars="200"/>
        <w:rPr>
          <w:rFonts w:hint="eastAsia"/>
          <w:lang w:val="en-US" w:eastAsia="zh-CN"/>
        </w:rPr>
      </w:pP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统战事务</w:t>
      </w:r>
      <w:r>
        <w:rPr>
          <w:rFonts w:hint="eastAsia" w:ascii="Times New Roman" w:hAnsi="Times New Roman" w:eastAsia="仿宋_GB2312" w:cs="仿宋_GB2312"/>
          <w:color w:val="auto"/>
          <w:kern w:val="2"/>
          <w:sz w:val="32"/>
          <w:szCs w:val="32"/>
          <w:highlight w:val="none"/>
          <w:lang w:val="en-US" w:eastAsia="zh-CN" w:bidi="ar-SA"/>
        </w:rPr>
        <w:t>（款）事业运行（项）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30.057</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统战事务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其他统战事务支出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15.68</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en-US" w:eastAsia="zh-CN" w:bidi="ar-SA"/>
        </w:rPr>
        <w:t>.社会保障和就业（类）</w:t>
      </w:r>
      <w:r>
        <w:rPr>
          <w:rFonts w:hint="eastAsia" w:eastAsia="仿宋_GB2312"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机关事业单位基本养老保险支出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28.58</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.社会保障和就业（类）</w:t>
      </w:r>
      <w:r>
        <w:rPr>
          <w:rFonts w:hint="eastAsia" w:eastAsia="仿宋_GB2312"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机关事业单位职业年金缴费支出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14.29</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.社会保障和就业（类）</w:t>
      </w:r>
      <w:r>
        <w:rPr>
          <w:rFonts w:hint="eastAsia" w:eastAsia="仿宋_GB2312" w:cs="仿宋_GB2312"/>
          <w:color w:val="auto"/>
          <w:kern w:val="2"/>
          <w:sz w:val="32"/>
          <w:szCs w:val="32"/>
          <w:highlight w:val="none"/>
          <w:lang w:val="en-US" w:eastAsia="zh-CN" w:bidi="ar-SA"/>
        </w:rPr>
        <w:t>行政事业单位养老支出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其他行政事业单位养老支出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10.6</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.社会保障和就业（类）</w:t>
      </w:r>
      <w:r>
        <w:rPr>
          <w:rFonts w:hint="eastAsia" w:eastAsia="仿宋_GB2312" w:cs="仿宋_GB2312"/>
          <w:color w:val="auto"/>
          <w:kern w:val="2"/>
          <w:sz w:val="32"/>
          <w:szCs w:val="32"/>
          <w:highlight w:val="none"/>
          <w:lang w:val="en-US"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2.15</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.卫生健康（类）</w:t>
      </w:r>
      <w:r>
        <w:rPr>
          <w:rFonts w:hint="eastAsia" w:eastAsia="仿宋_GB2312"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行政单位医疗</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7.26</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.卫生健康（类）</w:t>
      </w:r>
      <w:r>
        <w:rPr>
          <w:rFonts w:hint="eastAsia" w:eastAsia="仿宋_GB2312"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事业单位医疗</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0.93</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.卫生健康（类）</w:t>
      </w:r>
      <w:r>
        <w:rPr>
          <w:rFonts w:hint="eastAsia" w:eastAsia="仿宋_GB2312" w:cs="仿宋_GB2312"/>
          <w:color w:val="auto"/>
          <w:kern w:val="2"/>
          <w:sz w:val="32"/>
          <w:szCs w:val="32"/>
          <w:highlight w:val="none"/>
          <w:lang w:val="en-US"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（款）公务员</w:t>
      </w:r>
      <w:r>
        <w:rPr>
          <w:rFonts w:hint="eastAsia" w:eastAsia="仿宋_GB2312" w:cs="仿宋_GB2312"/>
          <w:color w:val="auto"/>
          <w:kern w:val="2"/>
          <w:sz w:val="32"/>
          <w:szCs w:val="32"/>
          <w:highlight w:val="none"/>
          <w:lang w:val="en-US" w:eastAsia="zh-CN" w:bidi="ar-SA"/>
        </w:rPr>
        <w:t>医疗补助</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2.9</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.住房保障（类）</w:t>
      </w:r>
      <w:r>
        <w:rPr>
          <w:rFonts w:hint="eastAsia" w:eastAsia="仿宋_GB2312" w:cs="仿宋_GB2312"/>
          <w:color w:val="auto"/>
          <w:kern w:val="2"/>
          <w:sz w:val="32"/>
          <w:szCs w:val="32"/>
          <w:highlight w:val="none"/>
          <w:lang w:val="en-US" w:eastAsia="zh-CN" w:bidi="ar-SA"/>
        </w:rPr>
        <w:t>住房改革支出</w:t>
      </w:r>
      <w:r>
        <w:rPr>
          <w:rFonts w:hint="eastAsia" w:ascii="Times New Roman" w:hAnsi="Times New Roman" w:eastAsia="仿宋_GB2312" w:cs="仿宋_GB2312"/>
          <w:color w:val="auto"/>
          <w:kern w:val="2"/>
          <w:sz w:val="32"/>
          <w:szCs w:val="32"/>
          <w:highlight w:val="none"/>
          <w:lang w:val="en-US" w:eastAsia="zh-CN" w:bidi="ar-SA"/>
        </w:rPr>
        <w:t>（款）住房公积金（项）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25.97</w:t>
      </w:r>
      <w:r>
        <w:rPr>
          <w:rFonts w:hint="eastAsia" w:ascii="Times New Roman" w:hAnsi="Times New Roman" w:eastAsia="仿宋_GB2312" w:cs="仿宋_GB2312"/>
          <w:color w:val="auto"/>
          <w:kern w:val="2"/>
          <w:sz w:val="32"/>
          <w:szCs w:val="32"/>
          <w:highlight w:val="none"/>
          <w:lang w:val="en-US" w:eastAsia="zh-CN" w:bidi="ar-SA"/>
        </w:rPr>
        <w:t>万元，完成预算100%，决算数等于预算数。</w:t>
      </w:r>
    </w:p>
    <w:p>
      <w:pPr>
        <w:tabs>
          <w:tab w:val="right" w:pos="8306"/>
        </w:tabs>
        <w:spacing w:line="600" w:lineRule="exact"/>
        <w:ind w:firstLine="640"/>
        <w:outlineLvl w:val="1"/>
        <w:rPr>
          <w:rStyle w:val="31"/>
          <w:rFonts w:ascii="Times New Roman" w:hAnsi="Times New Roman"/>
          <w:color w:val="auto"/>
          <w:highlight w:val="none"/>
        </w:rPr>
      </w:pPr>
      <w:bookmarkStart w:id="100" w:name="_Toc15377214"/>
      <w:bookmarkStart w:id="101" w:name="_Toc15396608"/>
      <w:bookmarkStart w:id="102" w:name="_Toc21538_WPSOffice_Level2"/>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1"/>
          <w:rFonts w:hint="eastAsia" w:ascii="Times New Roman" w:hAnsi="Times New Roman" w:eastAsia="黑体"/>
          <w:b w:val="0"/>
          <w:color w:val="auto"/>
          <w:highlight w:val="none"/>
        </w:rPr>
        <w:t>般公共预算财政拨款基本支出决算情况说明</w:t>
      </w:r>
      <w:bookmarkEnd w:id="100"/>
      <w:bookmarkEnd w:id="101"/>
      <w:bookmarkEnd w:id="102"/>
      <w:r>
        <w:rPr>
          <w:rStyle w:val="31"/>
          <w:rFonts w:ascii="Times New Roman" w:hAnsi="Times New Roman" w:eastAsia="黑体"/>
          <w:b w:val="0"/>
          <w:color w:val="auto"/>
          <w:highlight w:val="none"/>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color w:val="auto"/>
          <w:sz w:val="32"/>
          <w:szCs w:val="32"/>
        </w:rPr>
        <w:t>376.03</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325.73</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元，主要包括：基本工资、津贴补贴、奖金、伙食补助费、绩效工资、机关事业单位基本养老保险缴费、职业年金缴费、其他社会保障缴费、生活补助、住房公积金、其他对个人和家庭的补助支出等。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50.3</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元，主要包括：办公费、水费、电费、邮电费、差旅费、会议费、培训费、公务接待费、委托业务费、工会经费、福利费、其他交通费、其他商品和服务支出等。</w:t>
      </w:r>
    </w:p>
    <w:p>
      <w:pPr>
        <w:spacing w:line="600" w:lineRule="exact"/>
        <w:ind w:firstLine="640"/>
        <w:outlineLvl w:val="1"/>
        <w:rPr>
          <w:rStyle w:val="31"/>
          <w:rFonts w:ascii="Times New Roman" w:hAnsi="Times New Roman" w:eastAsia="黑体"/>
          <w:b w:val="0"/>
          <w:color w:val="auto"/>
          <w:highlight w:val="none"/>
        </w:rPr>
      </w:pPr>
      <w:bookmarkStart w:id="103" w:name="_Toc15377215"/>
      <w:bookmarkStart w:id="104" w:name="_Toc15396609"/>
      <w:bookmarkStart w:id="105" w:name="_Toc31409_WPSOffice_Level2"/>
      <w:r>
        <w:rPr>
          <w:rFonts w:hint="eastAsia" w:ascii="Times New Roman" w:hAnsi="Times New Roman" w:eastAsia="黑体"/>
          <w:color w:val="auto"/>
          <w:sz w:val="32"/>
          <w:szCs w:val="32"/>
          <w:highlight w:val="none"/>
        </w:rPr>
        <w:t>七、</w:t>
      </w:r>
      <w:r>
        <w:rPr>
          <w:rStyle w:val="31"/>
          <w:rFonts w:hint="eastAsia" w:ascii="Times New Roman" w:hAnsi="Times New Roman" w:eastAsia="黑体"/>
          <w:b w:val="0"/>
          <w:color w:val="auto"/>
          <w:highlight w:val="none"/>
        </w:rPr>
        <w:t>财政拨款</w:t>
      </w:r>
      <w:r>
        <w:rPr>
          <w:rStyle w:val="31"/>
          <w:rFonts w:hint="eastAsia" w:ascii="Times New Roman" w:hAnsi="Times New Roman" w:eastAsia="黑体"/>
          <w:color w:val="auto"/>
          <w:highlight w:val="none"/>
        </w:rPr>
        <w:t>“</w:t>
      </w:r>
      <w:r>
        <w:rPr>
          <w:rStyle w:val="31"/>
          <w:rFonts w:hint="eastAsia" w:ascii="Times New Roman" w:hAnsi="Times New Roman" w:eastAsia="黑体"/>
          <w:b w:val="0"/>
          <w:color w:val="auto"/>
          <w:highlight w:val="none"/>
        </w:rPr>
        <w:t>三公”经费支出决算情况说明</w:t>
      </w:r>
      <w:bookmarkEnd w:id="103"/>
      <w:bookmarkEnd w:id="104"/>
      <w:bookmarkEnd w:id="105"/>
    </w:p>
    <w:p>
      <w:pPr>
        <w:spacing w:line="600" w:lineRule="exact"/>
        <w:ind w:firstLine="640" w:firstLineChars="200"/>
        <w:outlineLvl w:val="2"/>
        <w:rPr>
          <w:rFonts w:hint="eastAsia" w:ascii="Times New Roman" w:hAnsi="Times New Roman" w:eastAsia="楷体_GB2312" w:cs="楷体_GB2312"/>
          <w:b/>
          <w:color w:val="auto"/>
          <w:sz w:val="32"/>
          <w:szCs w:val="32"/>
          <w:highlight w:val="none"/>
        </w:rPr>
      </w:pPr>
      <w:bookmarkStart w:id="106" w:name="_Toc15377216"/>
      <w:r>
        <w:rPr>
          <w:rFonts w:hint="eastAsia" w:ascii="楷体" w:hAnsi="楷体" w:eastAsia="楷体" w:cs="楷体"/>
          <w:b w:val="0"/>
          <w:bCs/>
          <w:color w:val="auto"/>
          <w:sz w:val="32"/>
          <w:szCs w:val="32"/>
          <w:highlight w:val="none"/>
        </w:rPr>
        <w:t>（一）“三公”经费财政拨款支出决算总体情况说明</w:t>
      </w:r>
      <w:bookmarkEnd w:id="106"/>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3.35</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较上年度增加</w:t>
      </w:r>
      <w:r>
        <w:rPr>
          <w:rFonts w:hint="eastAsia" w:eastAsia="仿宋_GB2312" w:cs="仿宋_GB2312"/>
          <w:color w:val="auto"/>
          <w:kern w:val="2"/>
          <w:sz w:val="32"/>
          <w:szCs w:val="32"/>
          <w:highlight w:val="none"/>
          <w:lang w:val="en-US" w:eastAsia="zh-CN" w:bidi="ar-SA"/>
        </w:rPr>
        <w:t>2.05</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157.69</w:t>
      </w:r>
      <w:r>
        <w:rPr>
          <w:rFonts w:hint="eastAsia" w:ascii="Times New Roman" w:hAnsi="Times New Roman" w:eastAsia="仿宋_GB2312" w:cs="仿宋_GB2312"/>
          <w:color w:val="auto"/>
          <w:kern w:val="2"/>
          <w:sz w:val="32"/>
          <w:szCs w:val="32"/>
          <w:highlight w:val="none"/>
          <w:lang w:val="en-US" w:eastAsia="zh-CN" w:bidi="ar-SA"/>
        </w:rPr>
        <w:t>%。决算数与预算数持平</w:t>
      </w:r>
      <w:r>
        <w:rPr>
          <w:rFonts w:hint="eastAsia" w:eastAsia="仿宋_GB2312" w:cs="仿宋_GB2312"/>
          <w:color w:val="auto"/>
          <w:kern w:val="2"/>
          <w:sz w:val="32"/>
          <w:szCs w:val="32"/>
          <w:highlight w:val="none"/>
          <w:lang w:val="en-US" w:eastAsia="zh-CN" w:bidi="ar-SA"/>
        </w:rPr>
        <w:t>。</w:t>
      </w:r>
    </w:p>
    <w:p>
      <w:pPr>
        <w:spacing w:line="600" w:lineRule="exact"/>
        <w:ind w:firstLine="640" w:firstLineChars="200"/>
        <w:outlineLvl w:val="2"/>
        <w:rPr>
          <w:rFonts w:hint="eastAsia" w:ascii="楷体" w:hAnsi="楷体" w:eastAsia="楷体" w:cs="楷体"/>
          <w:b w:val="0"/>
          <w:bCs/>
          <w:color w:val="auto"/>
          <w:sz w:val="32"/>
          <w:szCs w:val="32"/>
          <w:highlight w:val="none"/>
        </w:rPr>
      </w:pPr>
      <w:bookmarkStart w:id="107" w:name="_Toc15377217"/>
      <w:r>
        <w:rPr>
          <w:rFonts w:hint="eastAsia" w:ascii="楷体" w:hAnsi="楷体" w:eastAsia="楷体" w:cs="楷体"/>
          <w:b w:val="0"/>
          <w:bCs/>
          <w:color w:val="auto"/>
          <w:sz w:val="32"/>
          <w:szCs w:val="32"/>
          <w:highlight w:val="none"/>
        </w:rPr>
        <w:t>（二）“三公”经费财政拨款支出决算具体情况说明</w:t>
      </w:r>
      <w:bookmarkEnd w:id="107"/>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万元，占0%；公务接待费支出决算</w:t>
      </w:r>
      <w:r>
        <w:rPr>
          <w:rFonts w:hint="eastAsia" w:ascii="仿宋_GB2312" w:hAnsi="仿宋_GB2312" w:eastAsia="仿宋_GB2312" w:cs="仿宋_GB2312"/>
          <w:sz w:val="32"/>
          <w:szCs w:val="32"/>
        </w:rPr>
        <w:t>3.35</w:t>
      </w:r>
      <w:r>
        <w:rPr>
          <w:rFonts w:hint="eastAsia" w:ascii="仿宋_GB2312" w:hAnsi="仿宋_GB2312" w:eastAsia="仿宋_GB2312" w:cs="仿宋_GB2312"/>
          <w:color w:val="auto"/>
          <w:kern w:val="2"/>
          <w:sz w:val="32"/>
          <w:szCs w:val="32"/>
          <w:highlight w:val="none"/>
          <w:lang w:val="en-US" w:eastAsia="zh-CN" w:bidi="ar-SA"/>
        </w:rPr>
        <w:t>万元，占100%。具体情况如下：</w:t>
      </w:r>
    </w:p>
    <w:p>
      <w:pPr>
        <w:pStyle w:val="7"/>
        <w:rPr>
          <w:rFonts w:hint="eastAsia" w:ascii="仿宋_GB2312" w:hAnsi="仿宋_GB2312" w:eastAsia="仿宋_GB2312" w:cs="仿宋_GB2312"/>
          <w:color w:val="auto"/>
          <w:kern w:val="2"/>
          <w:sz w:val="32"/>
          <w:szCs w:val="32"/>
          <w:highlight w:val="none"/>
          <w:lang w:val="en-US" w:eastAsia="zh-CN" w:bidi="ar-SA"/>
        </w:rPr>
      </w:pPr>
      <w:r>
        <w:drawing>
          <wp:inline distT="0" distB="0" distL="114300" distR="114300">
            <wp:extent cx="4979035" cy="3467100"/>
            <wp:effectExtent l="5080" t="4445" r="6985" b="14605"/>
            <wp:docPr id="9435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pPr>
        <w:numPr>
          <w:ilvl w:val="0"/>
          <w:numId w:val="3"/>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val="0"/>
          <w:bCs w:val="0"/>
          <w:color w:val="auto"/>
          <w:kern w:val="2"/>
          <w:sz w:val="32"/>
          <w:szCs w:val="32"/>
          <w:highlight w:val="none"/>
          <w:lang w:val="en-US" w:eastAsia="zh-CN" w:bidi="ar-SA"/>
        </w:rPr>
        <w:t>因公出国（境）经费支出</w:t>
      </w:r>
      <w:r>
        <w:rPr>
          <w:rFonts w:hint="eastAsia" w:eastAsia="仿宋_GB2312" w:cs="仿宋_GB2312"/>
          <w:b w:val="0"/>
          <w:bCs w:val="0"/>
          <w:color w:val="auto"/>
          <w:kern w:val="2"/>
          <w:sz w:val="32"/>
          <w:szCs w:val="32"/>
          <w:highlight w:val="none"/>
          <w:lang w:val="en-US" w:eastAsia="zh-CN" w:bidi="ar-SA"/>
        </w:rPr>
        <w:t>0</w:t>
      </w:r>
      <w:r>
        <w:rPr>
          <w:rFonts w:hint="eastAsia" w:ascii="Times New Roman" w:hAnsi="Times New Roman" w:eastAsia="仿宋_GB2312" w:cs="仿宋_GB2312"/>
          <w:b w:val="0"/>
          <w:bCs w:val="0"/>
          <w:color w:val="auto"/>
          <w:kern w:val="2"/>
          <w:sz w:val="32"/>
          <w:szCs w:val="32"/>
          <w:highlight w:val="none"/>
          <w:lang w:val="en-US" w:eastAsia="zh-CN" w:bidi="ar-SA"/>
        </w:rPr>
        <w:t>万元，完成预算</w:t>
      </w:r>
      <w:r>
        <w:rPr>
          <w:rFonts w:hint="eastAsia" w:eastAsia="仿宋_GB2312" w:cs="仿宋_GB2312"/>
          <w:b w:val="0"/>
          <w:bCs w:val="0"/>
          <w:color w:val="auto"/>
          <w:kern w:val="2"/>
          <w:sz w:val="32"/>
          <w:szCs w:val="32"/>
          <w:highlight w:val="none"/>
          <w:lang w:val="en-US" w:eastAsia="zh-CN" w:bidi="ar-SA"/>
        </w:rPr>
        <w:t>0</w:t>
      </w:r>
      <w:r>
        <w:rPr>
          <w:rFonts w:hint="eastAsia" w:ascii="Times New Roman" w:hAnsi="Times New Roman" w:eastAsia="仿宋_GB2312" w:cs="仿宋_GB2312"/>
          <w:b w:val="0"/>
          <w:bCs w:val="0"/>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。因公出国（境）支出决算比2023年增加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无。</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开支内容包括：</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（团组名称、出访地点、取得成效等）</w:t>
      </w:r>
    </w:p>
    <w:p>
      <w:pPr>
        <w:numPr>
          <w:ilvl w:val="0"/>
          <w:numId w:val="3"/>
        </w:numPr>
        <w:spacing w:line="600" w:lineRule="exact"/>
        <w:ind w:left="0" w:leftChars="0" w:firstLine="640" w:firstLineChars="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val="0"/>
          <w:bCs w:val="0"/>
          <w:color w:val="auto"/>
          <w:kern w:val="2"/>
          <w:sz w:val="32"/>
          <w:szCs w:val="32"/>
          <w:highlight w:val="none"/>
          <w:lang w:val="en-US" w:eastAsia="zh-CN" w:bidi="ar-SA"/>
        </w:rPr>
        <w:t>公务用车购置及运行维护费支出</w:t>
      </w:r>
      <w:r>
        <w:rPr>
          <w:rFonts w:hint="eastAsia" w:ascii="仿宋_GB2312" w:hAnsi="仿宋_GB2312" w:eastAsia="仿宋_GB2312" w:cs="仿宋_GB2312"/>
          <w:b w:val="0"/>
          <w:bCs w:val="0"/>
          <w:color w:val="auto"/>
          <w:kern w:val="2"/>
          <w:sz w:val="32"/>
          <w:szCs w:val="32"/>
          <w:highlight w:val="none"/>
          <w:lang w:val="en-US" w:eastAsia="zh-CN" w:bidi="ar-SA"/>
        </w:rPr>
        <w:t>0万</w:t>
      </w:r>
      <w:r>
        <w:rPr>
          <w:rFonts w:hint="eastAsia" w:ascii="Times New Roman" w:hAnsi="Times New Roman" w:eastAsia="仿宋_GB2312" w:cs="仿宋_GB2312"/>
          <w:b w:val="0"/>
          <w:bCs w:val="0"/>
          <w:color w:val="auto"/>
          <w:kern w:val="2"/>
          <w:sz w:val="32"/>
          <w:szCs w:val="32"/>
          <w:highlight w:val="none"/>
          <w:lang w:val="en-US" w:eastAsia="zh-CN" w:bidi="ar-SA"/>
        </w:rPr>
        <w:t>元</w:t>
      </w:r>
      <w:r>
        <w:rPr>
          <w:rFonts w:hint="eastAsia" w:eastAsia="仿宋_GB2312" w:cs="仿宋_GB2312"/>
          <w:b w:val="0"/>
          <w:bCs w:val="0"/>
          <w:color w:val="auto"/>
          <w:kern w:val="2"/>
          <w:sz w:val="32"/>
          <w:szCs w:val="32"/>
          <w:highlight w:val="none"/>
          <w:lang w:val="en-US" w:eastAsia="zh-CN" w:bidi="ar-SA"/>
        </w:rPr>
        <w:t>，</w:t>
      </w:r>
      <w:r>
        <w:rPr>
          <w:rFonts w:hint="eastAsia" w:ascii="Times New Roman" w:hAnsi="Times New Roman" w:eastAsia="仿宋_GB2312" w:cs="仿宋_GB2312"/>
          <w:b w:val="0"/>
          <w:bCs w:val="0"/>
          <w:color w:val="auto"/>
          <w:kern w:val="2"/>
          <w:sz w:val="32"/>
          <w:szCs w:val="32"/>
          <w:highlight w:val="none"/>
          <w:lang w:val="en-US" w:eastAsia="zh-CN" w:bidi="ar-SA"/>
        </w:rPr>
        <w:t>完成预算</w:t>
      </w:r>
      <w:r>
        <w:rPr>
          <w:rFonts w:hint="eastAsia" w:eastAsia="仿宋_GB2312" w:cs="仿宋_GB2312"/>
          <w:b w:val="0"/>
          <w:bCs w:val="0"/>
          <w:color w:val="auto"/>
          <w:kern w:val="2"/>
          <w:sz w:val="32"/>
          <w:szCs w:val="32"/>
          <w:highlight w:val="none"/>
          <w:lang w:val="en-US" w:eastAsia="zh-CN" w:bidi="ar-SA"/>
        </w:rPr>
        <w:t>0</w:t>
      </w:r>
      <w:r>
        <w:rPr>
          <w:rFonts w:hint="eastAsia" w:ascii="Times New Roman" w:hAnsi="Times New Roman" w:eastAsia="仿宋_GB2312" w:cs="仿宋_GB2312"/>
          <w:b w:val="0"/>
          <w:bCs w:val="0"/>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公务用车购置及运行维护费支出决算比2023年度增加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无。</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。截至2024年12月31日，单位共有公务用车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万元。主要用于</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（具体工作）所需的公务用车燃料费、维修费、过路过桥费、保险费等支出。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val="0"/>
          <w:bCs w:val="0"/>
          <w:color w:val="auto"/>
          <w:kern w:val="2"/>
          <w:sz w:val="32"/>
          <w:szCs w:val="32"/>
          <w:highlight w:val="none"/>
          <w:lang w:val="en-US" w:eastAsia="zh-CN" w:bidi="ar-SA"/>
        </w:rPr>
        <w:t>3.公务接待费支出</w:t>
      </w:r>
      <w:r>
        <w:rPr>
          <w:rFonts w:hint="eastAsia" w:ascii="仿宋_GB2312" w:hAnsi="仿宋_GB2312" w:eastAsia="仿宋_GB2312" w:cs="仿宋_GB2312"/>
          <w:b w:val="0"/>
          <w:bCs w:val="0"/>
          <w:color w:val="auto"/>
          <w:kern w:val="2"/>
          <w:sz w:val="32"/>
          <w:szCs w:val="32"/>
          <w:highlight w:val="none"/>
          <w:lang w:val="en-US" w:eastAsia="zh-CN" w:bidi="ar-SA"/>
        </w:rPr>
        <w:t>3.35万</w:t>
      </w:r>
      <w:r>
        <w:rPr>
          <w:rFonts w:hint="eastAsia" w:ascii="Times New Roman" w:hAnsi="Times New Roman" w:eastAsia="仿宋_GB2312" w:cs="仿宋_GB2312"/>
          <w:b w:val="0"/>
          <w:bCs w:val="0"/>
          <w:color w:val="auto"/>
          <w:kern w:val="2"/>
          <w:sz w:val="32"/>
          <w:szCs w:val="32"/>
          <w:highlight w:val="none"/>
          <w:lang w:val="en-US" w:eastAsia="zh-CN" w:bidi="ar-SA"/>
        </w:rPr>
        <w:t>元，完成预算</w:t>
      </w:r>
      <w:r>
        <w:rPr>
          <w:rFonts w:hint="eastAsia" w:eastAsia="仿宋_GB2312" w:cs="仿宋_GB2312"/>
          <w:b w:val="0"/>
          <w:bCs w:val="0"/>
          <w:color w:val="auto"/>
          <w:kern w:val="2"/>
          <w:sz w:val="32"/>
          <w:szCs w:val="32"/>
          <w:highlight w:val="none"/>
          <w:lang w:val="en-US" w:eastAsia="zh-CN" w:bidi="ar-SA"/>
        </w:rPr>
        <w:t>100</w:t>
      </w:r>
      <w:r>
        <w:rPr>
          <w:rFonts w:hint="eastAsia" w:ascii="Times New Roman" w:hAnsi="Times New Roman" w:eastAsia="仿宋_GB2312" w:cs="仿宋_GB2312"/>
          <w:b w:val="0"/>
          <w:bCs w:val="0"/>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公务接待费支出决算比2023年度增加</w:t>
      </w:r>
      <w:r>
        <w:rPr>
          <w:rFonts w:hint="eastAsia" w:eastAsia="仿宋_GB2312" w:cs="仿宋_GB2312"/>
          <w:color w:val="auto"/>
          <w:kern w:val="2"/>
          <w:sz w:val="32"/>
          <w:szCs w:val="32"/>
          <w:highlight w:val="none"/>
          <w:lang w:val="en-US" w:eastAsia="zh-CN" w:bidi="ar-SA"/>
        </w:rPr>
        <w:t>2.05</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157.69</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专项接待工作增加5次</w:t>
      </w:r>
      <w:r>
        <w:rPr>
          <w:rFonts w:hint="eastAsia" w:ascii="Times New Roman" w:hAnsi="Times New Roman" w:eastAsia="仿宋_GB2312" w:cs="仿宋_GB2312"/>
          <w:color w:val="auto"/>
          <w:kern w:val="2"/>
          <w:sz w:val="32"/>
          <w:szCs w:val="32"/>
          <w:highlight w:val="none"/>
          <w:lang w:val="en-US" w:eastAsia="zh-CN" w:bidi="ar-SA"/>
        </w:rPr>
        <w:t>。其中：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3.35</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元，主要用于执行公务、开展业务活动开支的交通费、住宿费、用餐费等。国内公务接</w:t>
      </w:r>
      <w:r>
        <w:rPr>
          <w:rFonts w:hint="eastAsia" w:ascii="仿宋_GB2312" w:hAnsi="仿宋_GB2312" w:eastAsia="仿宋_GB2312" w:cs="仿宋_GB2312"/>
          <w:color w:val="auto"/>
          <w:kern w:val="2"/>
          <w:sz w:val="32"/>
          <w:szCs w:val="32"/>
          <w:highlight w:val="none"/>
          <w:lang w:val="en-US" w:eastAsia="zh-CN" w:bidi="ar-SA"/>
        </w:rPr>
        <w:t>待</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705</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3.35</w:t>
      </w:r>
      <w:r>
        <w:rPr>
          <w:rFonts w:hint="eastAsia" w:ascii="Times New Roman" w:hAnsi="Times New Roman" w:eastAsia="仿宋_GB2312" w:cs="仿宋_GB2312"/>
          <w:color w:val="auto"/>
          <w:kern w:val="2"/>
          <w:sz w:val="32"/>
          <w:szCs w:val="32"/>
          <w:highlight w:val="none"/>
          <w:lang w:val="en-US" w:eastAsia="zh-CN" w:bidi="ar-SA"/>
        </w:rPr>
        <w:t>万元，具体内容包括：</w:t>
      </w:r>
      <w:r>
        <w:rPr>
          <w:rFonts w:hint="eastAsia" w:eastAsia="仿宋_GB2312" w:cs="仿宋_GB2312"/>
          <w:color w:val="auto"/>
          <w:kern w:val="2"/>
          <w:sz w:val="32"/>
          <w:szCs w:val="32"/>
          <w:highlight w:val="none"/>
          <w:lang w:val="en-US" w:eastAsia="zh-CN" w:bidi="ar-SA"/>
        </w:rPr>
        <w:t>海外华文媒体来桥采访调研接待费用4100元；海外华裔青少年夏令营研学接待费用1430元；</w:t>
      </w:r>
      <w:r>
        <w:rPr>
          <w:rFonts w:hint="eastAsia" w:ascii="仿宋_GB2312" w:eastAsia="仿宋_GB2312"/>
          <w:sz w:val="32"/>
          <w:szCs w:val="32"/>
          <w:highlight w:val="none"/>
          <w:lang w:val="en-US" w:eastAsia="zh-CN"/>
        </w:rPr>
        <w:t>一带一路知名华商行接待费用6300元；省侨联来桥调研接待费用1560元；</w:t>
      </w:r>
      <w:r>
        <w:rPr>
          <w:rFonts w:hint="eastAsia" w:ascii="仿宋_GB2312" w:eastAsia="仿宋_GB2312"/>
          <w:sz w:val="32"/>
          <w:szCs w:val="32"/>
          <w:highlight w:val="none"/>
          <w:lang w:eastAsia="zh-CN"/>
        </w:rPr>
        <w:t>广安市委</w:t>
      </w:r>
      <w:r>
        <w:rPr>
          <w:rFonts w:hint="eastAsia" w:ascii="仿宋_GB2312" w:eastAsia="仿宋_GB2312"/>
          <w:sz w:val="32"/>
          <w:szCs w:val="32"/>
          <w:highlight w:val="none"/>
        </w:rPr>
        <w:t>统战部来桥调研</w:t>
      </w:r>
      <w:r>
        <w:rPr>
          <w:rFonts w:hint="eastAsia" w:ascii="仿宋_GB2312" w:eastAsia="仿宋_GB2312"/>
          <w:sz w:val="32"/>
          <w:szCs w:val="32"/>
          <w:highlight w:val="none"/>
          <w:lang w:eastAsia="zh-CN"/>
        </w:rPr>
        <w:t>接待费用</w:t>
      </w:r>
      <w:r>
        <w:rPr>
          <w:rFonts w:hint="eastAsia" w:ascii="仿宋_GB2312" w:eastAsia="仿宋_GB2312"/>
          <w:sz w:val="32"/>
          <w:szCs w:val="32"/>
          <w:highlight w:val="none"/>
          <w:lang w:val="en-US" w:eastAsia="zh-CN"/>
        </w:rPr>
        <w:t>1780</w:t>
      </w:r>
      <w:r>
        <w:rPr>
          <w:rFonts w:hint="eastAsia" w:ascii="仿宋_GB2312" w:eastAsia="仿宋_GB2312"/>
          <w:sz w:val="32"/>
          <w:szCs w:val="32"/>
          <w:highlight w:val="none"/>
        </w:rPr>
        <w:t>元</w:t>
      </w:r>
      <w:r>
        <w:rPr>
          <w:rFonts w:hint="eastAsia" w:ascii="仿宋_GB2312" w:eastAsia="仿宋_GB2312"/>
          <w:sz w:val="32"/>
          <w:szCs w:val="32"/>
          <w:highlight w:val="none"/>
          <w:lang w:eastAsia="zh-CN"/>
        </w:rPr>
        <w:t>；省委台办来桥调研</w:t>
      </w:r>
      <w:r>
        <w:rPr>
          <w:rFonts w:hint="eastAsia" w:ascii="仿宋_GB2312" w:eastAsia="仿宋_GB2312"/>
          <w:sz w:val="32"/>
          <w:szCs w:val="32"/>
          <w:highlight w:val="none"/>
          <w:lang w:val="en-US" w:eastAsia="zh-CN"/>
        </w:rPr>
        <w:t>2次</w:t>
      </w:r>
      <w:r>
        <w:rPr>
          <w:rFonts w:hint="eastAsia" w:ascii="仿宋_GB2312" w:eastAsia="仿宋_GB2312"/>
          <w:sz w:val="32"/>
          <w:szCs w:val="32"/>
          <w:highlight w:val="none"/>
          <w:lang w:eastAsia="zh-CN"/>
        </w:rPr>
        <w:t>接待费用</w:t>
      </w:r>
      <w:r>
        <w:rPr>
          <w:rFonts w:hint="eastAsia" w:ascii="仿宋_GB2312" w:eastAsia="仿宋_GB2312"/>
          <w:sz w:val="32"/>
          <w:szCs w:val="32"/>
          <w:highlight w:val="none"/>
          <w:lang w:val="en-US" w:eastAsia="zh-CN"/>
        </w:rPr>
        <w:t>1650元；汉源县统战部来桥调研接待费用3845元 ；省委统一战线领导小组督查工作接待费用1700元；犍为县、井研县统战部来桥调研2次接待费用6070元；中央统战部来桥调研接待费用1498；台胞回桥探亲等3次接待费用3607</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万元，主要用于无（具体项目）。外事接待</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批次，</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人次（不包括陪同人员），共计支出0万</w:t>
      </w:r>
      <w:r>
        <w:rPr>
          <w:rFonts w:hint="eastAsia" w:ascii="Times New Roman" w:hAnsi="Times New Roman" w:eastAsia="仿宋_GB2312" w:cs="仿宋_GB2312"/>
          <w:color w:val="auto"/>
          <w:kern w:val="2"/>
          <w:sz w:val="32"/>
          <w:szCs w:val="32"/>
          <w:highlight w:val="none"/>
          <w:lang w:val="en-US" w:eastAsia="zh-CN" w:bidi="ar-SA"/>
        </w:rPr>
        <w:t>元。</w:t>
      </w:r>
      <w:bookmarkStart w:id="108" w:name="_Toc15396610"/>
      <w:bookmarkStart w:id="109" w:name="_Toc15377218"/>
    </w:p>
    <w:p>
      <w:pPr>
        <w:spacing w:line="600" w:lineRule="exact"/>
        <w:ind w:firstLine="640"/>
        <w:outlineLvl w:val="1"/>
        <w:rPr>
          <w:rStyle w:val="31"/>
          <w:rFonts w:ascii="Times New Roman" w:hAnsi="Times New Roman" w:eastAsia="黑体"/>
          <w:color w:val="auto"/>
          <w:highlight w:val="none"/>
        </w:rPr>
      </w:pPr>
      <w:bookmarkStart w:id="110" w:name="_Toc25265_WPSOffice_Level2"/>
      <w:r>
        <w:rPr>
          <w:rFonts w:hint="eastAsia" w:ascii="Times New Roman" w:hAnsi="Times New Roman" w:eastAsia="黑体"/>
          <w:color w:val="auto"/>
          <w:sz w:val="32"/>
          <w:szCs w:val="32"/>
          <w:highlight w:val="none"/>
        </w:rPr>
        <w:t>八、</w:t>
      </w:r>
      <w:r>
        <w:rPr>
          <w:rStyle w:val="31"/>
          <w:rFonts w:hint="eastAsia" w:ascii="Times New Roman" w:hAnsi="Times New Roman" w:eastAsia="黑体"/>
          <w:b w:val="0"/>
          <w:color w:val="auto"/>
          <w:highlight w:val="none"/>
        </w:rPr>
        <w:t>政府性基金预算支出决算情况说明</w:t>
      </w:r>
      <w:bookmarkEnd w:id="108"/>
      <w:bookmarkEnd w:id="109"/>
      <w:bookmarkEnd w:id="110"/>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无。</w:t>
      </w:r>
    </w:p>
    <w:p>
      <w:pPr>
        <w:numPr>
          <w:ilvl w:val="0"/>
          <w:numId w:val="0"/>
        </w:numPr>
        <w:spacing w:line="600" w:lineRule="exact"/>
        <w:ind w:left="630" w:leftChars="0"/>
        <w:outlineLvl w:val="1"/>
        <w:rPr>
          <w:rStyle w:val="31"/>
          <w:rFonts w:ascii="Times New Roman" w:hAnsi="Times New Roman" w:eastAsia="黑体"/>
          <w:b w:val="0"/>
          <w:color w:val="auto"/>
          <w:highlight w:val="none"/>
        </w:rPr>
      </w:pPr>
      <w:bookmarkStart w:id="111" w:name="_Toc15377219"/>
      <w:bookmarkStart w:id="112" w:name="_Toc15396611"/>
      <w:bookmarkStart w:id="113" w:name="_Toc7645_WPSOffice_Level2"/>
      <w:r>
        <w:rPr>
          <w:rStyle w:val="31"/>
          <w:rFonts w:hint="eastAsia" w:ascii="Times New Roman" w:hAnsi="Times New Roman" w:eastAsia="黑体"/>
          <w:b w:val="0"/>
          <w:color w:val="auto"/>
          <w:highlight w:val="none"/>
          <w:lang w:eastAsia="zh-CN"/>
        </w:rPr>
        <w:t>九、</w:t>
      </w:r>
      <w:r>
        <w:rPr>
          <w:rStyle w:val="31"/>
          <w:rFonts w:hint="eastAsia" w:ascii="Times New Roman" w:hAnsi="Times New Roman" w:eastAsia="黑体"/>
          <w:b w:val="0"/>
          <w:color w:val="auto"/>
          <w:highlight w:val="none"/>
        </w:rPr>
        <w:t>国有资本经营预算支出决算情况说明</w:t>
      </w:r>
      <w:bookmarkEnd w:id="111"/>
      <w:bookmarkEnd w:id="112"/>
      <w:bookmarkEnd w:id="11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。与2023年度相比，国有资本经营预算财政拨款支出增加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无。</w:t>
      </w:r>
    </w:p>
    <w:p>
      <w:pPr>
        <w:numPr>
          <w:ilvl w:val="0"/>
          <w:numId w:val="0"/>
        </w:numPr>
        <w:spacing w:line="600" w:lineRule="exact"/>
        <w:ind w:left="630" w:leftChars="0"/>
        <w:outlineLvl w:val="1"/>
        <w:rPr>
          <w:rStyle w:val="31"/>
          <w:rFonts w:hint="eastAsia" w:ascii="Times New Roman" w:hAnsi="Times New Roman" w:eastAsia="黑体"/>
          <w:b w:val="0"/>
          <w:color w:val="auto"/>
          <w:highlight w:val="none"/>
        </w:rPr>
      </w:pPr>
      <w:bookmarkStart w:id="114" w:name="_Toc15377221"/>
      <w:bookmarkStart w:id="115" w:name="_Toc15396612"/>
      <w:bookmarkStart w:id="116" w:name="_Toc16452_WPSOffice_Level2"/>
      <w:r>
        <w:rPr>
          <w:rStyle w:val="31"/>
          <w:rFonts w:hint="eastAsia" w:ascii="Times New Roman" w:hAnsi="Times New Roman" w:eastAsia="黑体"/>
          <w:b w:val="0"/>
          <w:color w:val="auto"/>
          <w:highlight w:val="none"/>
          <w:lang w:eastAsia="zh-CN"/>
        </w:rPr>
        <w:t>十、</w:t>
      </w:r>
      <w:r>
        <w:rPr>
          <w:rStyle w:val="31"/>
          <w:rFonts w:hint="eastAsia" w:ascii="Times New Roman" w:hAnsi="Times New Roman" w:eastAsia="黑体"/>
          <w:b w:val="0"/>
          <w:color w:val="auto"/>
          <w:highlight w:val="none"/>
        </w:rPr>
        <w:t>其他重要事项的情况说明</w:t>
      </w:r>
      <w:bookmarkEnd w:id="114"/>
      <w:bookmarkEnd w:id="115"/>
      <w:bookmarkEnd w:id="116"/>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117" w:name="_Toc15377222"/>
      <w:r>
        <w:rPr>
          <w:rFonts w:hint="eastAsia" w:ascii="Times New Roman" w:hAnsi="Times New Roman" w:eastAsia="楷体_GB2312" w:cs="楷体_GB2312"/>
          <w:b w:val="0"/>
          <w:bCs/>
          <w:color w:val="auto"/>
          <w:sz w:val="32"/>
          <w:szCs w:val="32"/>
          <w:highlight w:val="none"/>
        </w:rPr>
        <w:t>（一）机关运行经费支出情况</w:t>
      </w:r>
      <w:bookmarkEnd w:id="11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中共乐山市五通桥区委统一战线工作部</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47.11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元，比2023年度增加</w:t>
      </w:r>
      <w:r>
        <w:rPr>
          <w:rFonts w:hint="eastAsia" w:eastAsia="仿宋_GB2312" w:cs="仿宋_GB2312"/>
          <w:color w:val="auto"/>
          <w:kern w:val="2"/>
          <w:sz w:val="32"/>
          <w:szCs w:val="32"/>
          <w:highlight w:val="none"/>
          <w:lang w:val="en-US" w:eastAsia="zh-CN" w:bidi="ar-SA"/>
        </w:rPr>
        <w:t>3.42</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7.8</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2024年调入2人（统战调入1人，侨联调入1人），公用经费增加。</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118" w:name="_Toc15377223"/>
      <w:r>
        <w:rPr>
          <w:rFonts w:hint="eastAsia" w:ascii="Times New Roman" w:hAnsi="Times New Roman" w:eastAsia="楷体_GB2312" w:cs="楷体_GB2312"/>
          <w:b w:val="0"/>
          <w:bCs/>
          <w:color w:val="auto"/>
          <w:sz w:val="32"/>
          <w:szCs w:val="32"/>
          <w:highlight w:val="none"/>
        </w:rPr>
        <w:t>（二）政府采购支出情况</w:t>
      </w:r>
      <w:bookmarkEnd w:id="118"/>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中共乐山市五通桥区委统一战线工作部</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0.91</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0.91</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万元。主要用于工商联采购4台办公用空调。授予中小企业合同金额</w:t>
      </w:r>
      <w:r>
        <w:rPr>
          <w:rFonts w:hint="eastAsia" w:ascii="仿宋_GB2312" w:hAnsi="仿宋_GB2312" w:eastAsia="仿宋_GB2312" w:cs="仿宋_GB2312"/>
          <w:sz w:val="32"/>
          <w:szCs w:val="32"/>
        </w:rPr>
        <w:t>0.91</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bookmarkStart w:id="119" w:name="_Toc15377224"/>
      <w:r>
        <w:rPr>
          <w:rFonts w:hint="eastAsia" w:ascii="Times New Roman" w:hAnsi="Times New Roman" w:eastAsia="楷体_GB2312" w:cs="楷体_GB2312"/>
          <w:b w:val="0"/>
          <w:bCs/>
          <w:color w:val="auto"/>
          <w:sz w:val="32"/>
          <w:szCs w:val="32"/>
          <w:highlight w:val="none"/>
        </w:rPr>
        <w:t>（三）国有资产占有使用情况</w:t>
      </w:r>
      <w:bookmarkEnd w:id="11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中共乐山市五通桥区委统一战线工作部</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辆，其他用车主要是用于无。单价100万元（含）以上设备（不含车辆）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firstLineChars="200"/>
        <w:outlineLvl w:val="2"/>
        <w:rPr>
          <w:rFonts w:hint="eastAsia" w:ascii="Times New Roman" w:hAnsi="Times New Roman" w:eastAsia="楷体_GB2312" w:cs="楷体_GB2312"/>
          <w:b w:val="0"/>
          <w:bCs/>
          <w:color w:val="auto"/>
          <w:sz w:val="32"/>
          <w:szCs w:val="32"/>
          <w:highlight w:val="none"/>
        </w:rPr>
      </w:pPr>
      <w:r>
        <w:rPr>
          <w:rFonts w:hint="eastAsia" w:ascii="Times New Roman" w:hAnsi="Times New Roman" w:eastAsia="楷体_GB2312" w:cs="楷体_GB2312"/>
          <w:b w:val="0"/>
          <w:bCs/>
          <w:color w:val="auto"/>
          <w:sz w:val="32"/>
          <w:szCs w:val="32"/>
          <w:highlight w:val="none"/>
        </w:rPr>
        <w:t>（四）预算绩效管理情况</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我部门</w:t>
      </w:r>
      <w:r>
        <w:rPr>
          <w:rFonts w:hint="eastAsia" w:ascii="Times New Roman" w:hAnsi="Times New Roman" w:eastAsia="仿宋_GB2312" w:cs="仿宋_GB2312"/>
          <w:color w:val="auto"/>
          <w:kern w:val="2"/>
          <w:sz w:val="32"/>
          <w:szCs w:val="32"/>
          <w:highlight w:val="none"/>
          <w:lang w:val="en-US" w:eastAsia="zh-CN" w:bidi="ar-SA"/>
        </w:rPr>
        <w:t>在2024年度预算编制阶段，组织对</w:t>
      </w:r>
      <w:r>
        <w:rPr>
          <w:rFonts w:hint="eastAsia" w:eastAsia="仿宋_GB2312" w:cs="仿宋_GB2312"/>
          <w:color w:val="auto"/>
          <w:kern w:val="2"/>
          <w:sz w:val="32"/>
          <w:szCs w:val="32"/>
          <w:highlight w:val="none"/>
          <w:lang w:val="en-US" w:eastAsia="zh-CN" w:bidi="ar-SA"/>
        </w:rPr>
        <w:t>6个宗教场所师傅生活费及医疗费、华侨事务工作经费、党派交流专项经费、侨台专项经费、统战工作专项经费、民族专项资金等6个</w:t>
      </w:r>
      <w:r>
        <w:rPr>
          <w:rFonts w:hint="eastAsia" w:ascii="Times New Roman" w:hAnsi="Times New Roman" w:eastAsia="仿宋_GB2312" w:cs="仿宋_GB2312"/>
          <w:color w:val="auto"/>
          <w:kern w:val="2"/>
          <w:sz w:val="32"/>
          <w:szCs w:val="32"/>
          <w:highlight w:val="none"/>
          <w:lang w:val="en-US" w:eastAsia="zh-CN" w:bidi="ar-SA"/>
        </w:rPr>
        <w:t>项目开展了预算事前绩效评估，对</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个项目开展绩效监控。</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w:t>
      </w:r>
      <w:r>
        <w:rPr>
          <w:rFonts w:hint="eastAsia" w:eastAsia="仿宋_GB2312" w:cs="仿宋_GB2312"/>
          <w:color w:val="auto"/>
          <w:kern w:val="2"/>
          <w:sz w:val="32"/>
          <w:szCs w:val="32"/>
          <w:highlight w:val="none"/>
          <w:lang w:val="en-US" w:eastAsia="zh-CN" w:bidi="ar-SA"/>
        </w:rPr>
        <w:t>资金</w:t>
      </w:r>
      <w:r>
        <w:rPr>
          <w:rFonts w:hint="eastAsia" w:ascii="Times New Roman" w:hAnsi="Times New Roman" w:eastAsia="仿宋_GB2312" w:cs="仿宋_GB2312"/>
          <w:color w:val="auto"/>
          <w:kern w:val="2"/>
          <w:sz w:val="32"/>
          <w:szCs w:val="32"/>
          <w:highlight w:val="none"/>
          <w:lang w:val="en-US" w:eastAsia="zh-CN" w:bidi="ar-SA"/>
        </w:rPr>
        <w:t>全面开展绩效自评，形成部门整体（含部门预算项目）绩效自评报告部门整体（含部门预算项目）绩效自评得分为</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优。</w:t>
      </w:r>
      <w:r>
        <w:rPr>
          <w:rFonts w:hint="eastAsia" w:ascii="Times New Roman" w:hAnsi="Times New Roman" w:eastAsia="仿宋_GB2312" w:cs="仿宋_GB2312"/>
          <w:color w:val="auto"/>
          <w:kern w:val="2"/>
          <w:sz w:val="32"/>
          <w:szCs w:val="32"/>
          <w:highlight w:val="none"/>
          <w:lang w:val="en-US" w:eastAsia="zh-CN" w:bidi="ar-SA"/>
        </w:rPr>
        <w:t>绩效自评报告详见附件。</w:t>
      </w:r>
    </w:p>
    <w:p>
      <w:pPr>
        <w:pStyle w:val="7"/>
        <w:rPr>
          <w:rFonts w:hint="eastAsia" w:ascii="Times New Roman" w:hAnsi="Times New Roman" w:eastAsia="仿宋_GB2312" w:cs="仿宋_GB2312"/>
          <w:color w:val="auto"/>
          <w:kern w:val="2"/>
          <w:sz w:val="32"/>
          <w:szCs w:val="32"/>
          <w:highlight w:val="none"/>
          <w:lang w:val="en-US" w:eastAsia="zh-CN" w:bidi="ar-SA"/>
        </w:rPr>
      </w:pPr>
    </w:p>
    <w:p>
      <w:pPr>
        <w:pStyle w:val="7"/>
        <w:rPr>
          <w:rFonts w:hint="eastAsia" w:ascii="Times New Roman" w:hAnsi="Times New Roman" w:eastAsia="仿宋_GB2312" w:cs="仿宋_GB2312"/>
          <w:color w:val="auto"/>
          <w:kern w:val="2"/>
          <w:sz w:val="32"/>
          <w:szCs w:val="32"/>
          <w:highlight w:val="none"/>
          <w:lang w:val="en-US" w:eastAsia="zh-CN" w:bidi="ar-SA"/>
        </w:rPr>
      </w:pPr>
    </w:p>
    <w:p>
      <w:pPr>
        <w:pStyle w:val="7"/>
        <w:rPr>
          <w:rFonts w:hint="eastAsia" w:ascii="Times New Roman" w:hAnsi="Times New Roman" w:eastAsia="仿宋_GB2312" w:cs="仿宋_GB2312"/>
          <w:color w:val="auto"/>
          <w:kern w:val="2"/>
          <w:sz w:val="32"/>
          <w:szCs w:val="32"/>
          <w:highlight w:val="none"/>
          <w:lang w:val="en-US" w:eastAsia="zh-CN" w:bidi="ar-SA"/>
        </w:rPr>
      </w:pPr>
    </w:p>
    <w:p>
      <w:pPr>
        <w:pStyle w:val="7"/>
        <w:rPr>
          <w:rFonts w:hint="eastAsia" w:ascii="Times New Roman" w:hAnsi="Times New Roman" w:eastAsia="仿宋_GB2312" w:cs="仿宋_GB2312"/>
          <w:color w:val="auto"/>
          <w:kern w:val="2"/>
          <w:sz w:val="32"/>
          <w:szCs w:val="32"/>
          <w:highlight w:val="none"/>
          <w:lang w:val="en-US" w:eastAsia="zh-CN" w:bidi="ar-SA"/>
        </w:rPr>
      </w:pPr>
    </w:p>
    <w:p>
      <w:pPr>
        <w:pStyle w:val="7"/>
        <w:rPr>
          <w:rFonts w:hint="eastAsia" w:ascii="Times New Roman" w:hAnsi="Times New Roman" w:eastAsia="仿宋_GB2312" w:cs="仿宋_GB2312"/>
          <w:color w:val="auto"/>
          <w:kern w:val="2"/>
          <w:sz w:val="32"/>
          <w:szCs w:val="32"/>
          <w:highlight w:val="none"/>
          <w:lang w:val="en-US" w:eastAsia="zh-CN" w:bidi="ar-SA"/>
        </w:rPr>
      </w:pPr>
    </w:p>
    <w:p>
      <w:pPr>
        <w:pStyle w:val="7"/>
        <w:rPr>
          <w:rFonts w:hint="eastAsia" w:ascii="Times New Roman" w:hAnsi="Times New Roman" w:eastAsia="仿宋_GB2312" w:cs="仿宋_GB2312"/>
          <w:color w:val="auto"/>
          <w:kern w:val="2"/>
          <w:sz w:val="32"/>
          <w:szCs w:val="32"/>
          <w:highlight w:val="none"/>
          <w:lang w:val="en-US" w:eastAsia="zh-CN" w:bidi="ar-SA"/>
        </w:rPr>
      </w:pPr>
    </w:p>
    <w:p>
      <w:pPr>
        <w:pStyle w:val="7"/>
        <w:rPr>
          <w:rFonts w:hint="eastAsia" w:ascii="Times New Roman" w:hAnsi="Times New Roman" w:eastAsia="仿宋_GB2312" w:cs="仿宋_GB2312"/>
          <w:color w:val="auto"/>
          <w:kern w:val="2"/>
          <w:sz w:val="32"/>
          <w:szCs w:val="32"/>
          <w:highlight w:val="none"/>
          <w:lang w:val="en-US" w:eastAsia="zh-CN" w:bidi="ar-SA"/>
        </w:rPr>
      </w:pPr>
    </w:p>
    <w:p>
      <w:pPr>
        <w:spacing w:line="600" w:lineRule="exact"/>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120" w:name="_Toc15396613"/>
      <w:bookmarkStart w:id="121" w:name="_Toc15377225"/>
      <w:bookmarkStart w:id="122" w:name="_Toc5337_WPSOffice_Level1"/>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120"/>
      <w:bookmarkEnd w:id="121"/>
      <w:bookmarkEnd w:id="122"/>
    </w:p>
    <w:p>
      <w:pPr>
        <w:spacing w:line="600" w:lineRule="exact"/>
        <w:jc w:val="left"/>
        <w:rPr>
          <w:rFonts w:ascii="Times New Roman" w:hAnsi="Times New Roman"/>
          <w:b/>
          <w:color w:val="auto"/>
          <w:sz w:val="44"/>
          <w:szCs w:val="44"/>
          <w:highlight w:val="none"/>
        </w:rPr>
      </w:pP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2.事业收入：指事业单位开展专业业务活动及辅助活动取得的收入。</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w:t>
      </w:r>
    </w:p>
    <w:p>
      <w:pPr>
        <w:spacing w:line="600" w:lineRule="exact"/>
        <w:ind w:firstLine="640" w:firstLineChars="200"/>
        <w:jc w:val="left"/>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4.其他收入：指单位取得的除上述收入以外的各项收入。 </w:t>
      </w:r>
    </w:p>
    <w:p>
      <w:pPr>
        <w:spacing w:line="60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6.年初结转和结余：指以前年度尚未完成、结转到本年按有关规定继续使用的资金。 </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8.年末结转和结余：指单位按有关规定结转到下年或以后年度继续使用的资金。</w:t>
      </w:r>
    </w:p>
    <w:p>
      <w:pPr>
        <w:pStyle w:val="7"/>
        <w:ind w:firstLine="643" w:firstLineChars="200"/>
        <w:rPr>
          <w:rFonts w:hint="eastAsia" w:ascii="仿宋_GB2312" w:hAnsi="仿宋_GB2312" w:eastAsia="仿宋_GB2312" w:cs="仿宋_GB2312"/>
          <w:sz w:val="32"/>
          <w:szCs w:val="32"/>
          <w:lang w:val="en-US" w:eastAsia="zh-CN"/>
        </w:rPr>
      </w:pPr>
      <w:r>
        <w:rPr>
          <w:rStyle w:val="19"/>
          <w:rFonts w:hint="eastAsia" w:ascii="仿宋_GB2312" w:hAnsi="仿宋_GB2312" w:eastAsia="仿宋_GB2312" w:cs="仿宋_GB2312"/>
          <w:bCs/>
          <w:sz w:val="32"/>
          <w:szCs w:val="32"/>
          <w:lang w:val="en-US" w:eastAsia="zh-CN"/>
        </w:rPr>
        <w:t>9.</w:t>
      </w:r>
      <w:r>
        <w:rPr>
          <w:rStyle w:val="19"/>
          <w:rFonts w:hint="eastAsia" w:ascii="仿宋_GB2312" w:hAnsi="仿宋_GB2312" w:eastAsia="仿宋_GB2312" w:cs="仿宋_GB2312"/>
          <w:bCs/>
          <w:sz w:val="32"/>
          <w:szCs w:val="32"/>
        </w:rPr>
        <w:t>一般公共服务支出（类）</w:t>
      </w:r>
      <w:r>
        <w:rPr>
          <w:rStyle w:val="19"/>
          <w:rFonts w:hint="eastAsia" w:ascii="仿宋_GB2312" w:hAnsi="仿宋_GB2312" w:eastAsia="仿宋_GB2312" w:cs="仿宋_GB2312"/>
          <w:bCs/>
          <w:sz w:val="32"/>
          <w:szCs w:val="32"/>
          <w:lang w:eastAsia="zh-CN"/>
        </w:rPr>
        <w:t>民族</w:t>
      </w:r>
      <w:r>
        <w:rPr>
          <w:rStyle w:val="19"/>
          <w:rFonts w:hint="eastAsia" w:ascii="仿宋_GB2312" w:hAnsi="仿宋_GB2312" w:eastAsia="仿宋_GB2312" w:cs="仿宋_GB2312"/>
          <w:bCs/>
          <w:sz w:val="32"/>
          <w:szCs w:val="32"/>
        </w:rPr>
        <w:t>事务（款）</w:t>
      </w:r>
      <w:r>
        <w:rPr>
          <w:rStyle w:val="19"/>
          <w:rFonts w:hint="eastAsia" w:ascii="仿宋_GB2312" w:hAnsi="仿宋_GB2312" w:eastAsia="仿宋_GB2312" w:cs="仿宋_GB2312"/>
          <w:bCs/>
          <w:sz w:val="32"/>
          <w:szCs w:val="32"/>
          <w:lang w:eastAsia="zh-CN"/>
        </w:rPr>
        <w:t>民族工作专项</w:t>
      </w:r>
      <w:r>
        <w:rPr>
          <w:rStyle w:val="19"/>
          <w:rFonts w:hint="eastAsia" w:ascii="仿宋_GB2312" w:hAnsi="仿宋_GB2312" w:eastAsia="仿宋_GB2312" w:cs="仿宋_GB2312"/>
          <w:bCs/>
          <w:sz w:val="32"/>
          <w:szCs w:val="32"/>
        </w:rPr>
        <w:t>（项）:</w:t>
      </w:r>
      <w:r>
        <w:rPr>
          <w:rStyle w:val="19"/>
          <w:rFonts w:hint="eastAsia" w:ascii="仿宋_GB2312" w:hAnsi="仿宋_GB2312" w:eastAsia="仿宋_GB2312" w:cs="仿宋_GB2312"/>
          <w:bCs/>
          <w:sz w:val="32"/>
          <w:szCs w:val="32"/>
          <w:lang w:val="en-US" w:eastAsia="zh-CN"/>
        </w:rPr>
        <w:t xml:space="preserve"> </w:t>
      </w:r>
      <w:r>
        <w:rPr>
          <w:rStyle w:val="19"/>
          <w:rFonts w:hint="eastAsia" w:ascii="仿宋_GB2312" w:hAnsi="仿宋_GB2312" w:eastAsia="仿宋_GB2312" w:cs="仿宋_GB2312"/>
          <w:b w:val="0"/>
          <w:sz w:val="32"/>
          <w:szCs w:val="32"/>
          <w:lang w:eastAsia="zh-CN"/>
        </w:rPr>
        <w:t>反映</w:t>
      </w:r>
      <w:r>
        <w:rPr>
          <w:rStyle w:val="19"/>
          <w:rFonts w:hint="eastAsia" w:hAnsi="仿宋_GB2312" w:cs="仿宋_GB2312"/>
          <w:b w:val="0"/>
          <w:sz w:val="32"/>
          <w:szCs w:val="32"/>
          <w:lang w:eastAsia="zh-CN"/>
        </w:rPr>
        <w:t>用于民族事务管理方面的支出。</w:t>
      </w:r>
    </w:p>
    <w:p>
      <w:pPr>
        <w:spacing w:line="600" w:lineRule="exact"/>
        <w:ind w:firstLine="643" w:firstLineChars="200"/>
        <w:rPr>
          <w:rStyle w:val="19"/>
          <w:rFonts w:hint="eastAsia" w:ascii="仿宋_GB2312" w:hAnsi="仿宋_GB2312" w:eastAsia="仿宋_GB2312" w:cs="仿宋_GB2312"/>
          <w:b w:val="0"/>
          <w:sz w:val="32"/>
          <w:szCs w:val="32"/>
        </w:rPr>
      </w:pPr>
      <w:r>
        <w:rPr>
          <w:rStyle w:val="19"/>
          <w:rFonts w:hint="eastAsia" w:ascii="仿宋_GB2312" w:hAnsi="仿宋_GB2312" w:eastAsia="仿宋_GB2312" w:cs="仿宋_GB2312"/>
          <w:bCs/>
          <w:sz w:val="32"/>
          <w:szCs w:val="32"/>
          <w:lang w:val="en-US" w:eastAsia="zh-CN"/>
        </w:rPr>
        <w:t>10</w:t>
      </w:r>
      <w:r>
        <w:rPr>
          <w:rStyle w:val="19"/>
          <w:rFonts w:hint="eastAsia" w:ascii="仿宋_GB2312" w:hAnsi="仿宋_GB2312" w:eastAsia="仿宋_GB2312" w:cs="仿宋_GB2312"/>
          <w:bCs/>
          <w:sz w:val="32"/>
          <w:szCs w:val="32"/>
        </w:rPr>
        <w:t>.一般公共服务支出（类）港澳台事务（款）一般行政管理事务（项）:</w:t>
      </w:r>
      <w:r>
        <w:rPr>
          <w:rStyle w:val="19"/>
          <w:rFonts w:hint="eastAsia" w:ascii="仿宋_GB2312" w:hAnsi="仿宋_GB2312" w:eastAsia="仿宋_GB2312" w:cs="仿宋_GB2312"/>
          <w:b w:val="0"/>
          <w:sz w:val="32"/>
          <w:szCs w:val="32"/>
        </w:rPr>
        <w:t>反映行政单位未单独设置项级科目的其他项目支出。</w:t>
      </w:r>
    </w:p>
    <w:p>
      <w:pPr>
        <w:spacing w:line="600" w:lineRule="exact"/>
        <w:ind w:firstLine="643" w:firstLineChars="200"/>
        <w:rPr>
          <w:rStyle w:val="19"/>
          <w:rFonts w:hint="eastAsia" w:ascii="仿宋_GB2312" w:hAnsi="仿宋_GB2312" w:eastAsia="仿宋_GB2312" w:cs="仿宋_GB2312"/>
          <w:bCs/>
          <w:sz w:val="32"/>
          <w:szCs w:val="32"/>
          <w:lang w:eastAsia="zh-CN"/>
        </w:rPr>
      </w:pPr>
      <w:r>
        <w:rPr>
          <w:rStyle w:val="19"/>
          <w:rFonts w:hint="eastAsia" w:ascii="仿宋_GB2312" w:hAnsi="仿宋_GB2312" w:eastAsia="仿宋_GB2312" w:cs="仿宋_GB2312"/>
          <w:bCs/>
          <w:sz w:val="32"/>
          <w:szCs w:val="32"/>
        </w:rPr>
        <w:t>1</w:t>
      </w:r>
      <w:r>
        <w:rPr>
          <w:rStyle w:val="19"/>
          <w:rFonts w:hint="eastAsia" w:ascii="仿宋_GB2312" w:hAnsi="仿宋_GB2312" w:eastAsia="仿宋_GB2312" w:cs="仿宋_GB2312"/>
          <w:bCs/>
          <w:sz w:val="32"/>
          <w:szCs w:val="32"/>
          <w:lang w:val="en-US" w:eastAsia="zh-CN"/>
        </w:rPr>
        <w:t>1</w:t>
      </w:r>
      <w:r>
        <w:rPr>
          <w:rStyle w:val="19"/>
          <w:rFonts w:hint="eastAsia" w:ascii="仿宋_GB2312" w:hAnsi="仿宋_GB2312" w:eastAsia="仿宋_GB2312" w:cs="仿宋_GB2312"/>
          <w:bCs/>
          <w:sz w:val="32"/>
          <w:szCs w:val="32"/>
        </w:rPr>
        <w:t>.一般公共服务支出（类）港澳台事务（款）</w:t>
      </w:r>
      <w:r>
        <w:rPr>
          <w:rStyle w:val="19"/>
          <w:rFonts w:hint="eastAsia" w:ascii="仿宋_GB2312" w:hAnsi="仿宋_GB2312" w:eastAsia="仿宋_GB2312" w:cs="仿宋_GB2312"/>
          <w:bCs/>
          <w:sz w:val="32"/>
          <w:szCs w:val="32"/>
          <w:lang w:eastAsia="zh-CN"/>
        </w:rPr>
        <w:t>机关服务</w:t>
      </w:r>
      <w:r>
        <w:rPr>
          <w:rStyle w:val="19"/>
          <w:rFonts w:hint="eastAsia" w:ascii="仿宋_GB2312" w:hAnsi="仿宋_GB2312" w:eastAsia="仿宋_GB2312" w:cs="仿宋_GB2312"/>
          <w:bCs/>
          <w:sz w:val="32"/>
          <w:szCs w:val="32"/>
        </w:rPr>
        <w:t>（项）:</w:t>
      </w:r>
      <w:r>
        <w:rPr>
          <w:rStyle w:val="19"/>
          <w:rFonts w:hint="eastAsia" w:ascii="仿宋_GB2312" w:hAnsi="仿宋_GB2312" w:eastAsia="仿宋_GB2312" w:cs="仿宋_GB2312"/>
          <w:b w:val="0"/>
          <w:sz w:val="32"/>
          <w:szCs w:val="32"/>
          <w:lang w:val="en-US" w:eastAsia="zh-CN"/>
        </w:rPr>
        <w:t xml:space="preserve"> </w:t>
      </w:r>
      <w:r>
        <w:rPr>
          <w:rStyle w:val="19"/>
          <w:rFonts w:hint="eastAsia" w:ascii="仿宋_GB2312" w:hAnsi="仿宋_GB2312" w:eastAsia="仿宋_GB2312" w:cs="仿宋_GB2312"/>
          <w:b w:val="0"/>
          <w:sz w:val="32"/>
          <w:szCs w:val="32"/>
          <w:lang w:eastAsia="zh-CN"/>
        </w:rPr>
        <w:t>反映行政单位（包括实行公务员管理的事业单位）提供后勤服务的各类后勤服务中心。</w:t>
      </w:r>
    </w:p>
    <w:p>
      <w:pPr>
        <w:spacing w:line="600" w:lineRule="exact"/>
        <w:ind w:firstLine="643" w:firstLineChars="200"/>
        <w:rPr>
          <w:rStyle w:val="19"/>
          <w:rFonts w:hint="eastAsia" w:ascii="仿宋_GB2312" w:hAnsi="仿宋_GB2312" w:eastAsia="仿宋_GB2312" w:cs="仿宋_GB2312"/>
          <w:bCs/>
          <w:sz w:val="32"/>
          <w:szCs w:val="32"/>
          <w:lang w:eastAsia="zh-CN"/>
        </w:rPr>
      </w:pPr>
      <w:r>
        <w:rPr>
          <w:rStyle w:val="19"/>
          <w:rFonts w:hint="eastAsia" w:ascii="仿宋_GB2312" w:hAnsi="仿宋_GB2312" w:eastAsia="仿宋_GB2312" w:cs="仿宋_GB2312"/>
          <w:bCs/>
          <w:sz w:val="32"/>
          <w:szCs w:val="32"/>
        </w:rPr>
        <w:t>1</w:t>
      </w:r>
      <w:r>
        <w:rPr>
          <w:rStyle w:val="19"/>
          <w:rFonts w:hint="eastAsia" w:ascii="仿宋_GB2312" w:hAnsi="仿宋_GB2312" w:eastAsia="仿宋_GB2312" w:cs="仿宋_GB2312"/>
          <w:bCs/>
          <w:sz w:val="32"/>
          <w:szCs w:val="32"/>
          <w:lang w:val="en-US" w:eastAsia="zh-CN"/>
        </w:rPr>
        <w:t>2</w:t>
      </w:r>
      <w:r>
        <w:rPr>
          <w:rStyle w:val="19"/>
          <w:rFonts w:hint="eastAsia" w:ascii="仿宋_GB2312" w:hAnsi="仿宋_GB2312" w:eastAsia="仿宋_GB2312" w:cs="仿宋_GB2312"/>
          <w:bCs/>
          <w:sz w:val="32"/>
          <w:szCs w:val="32"/>
        </w:rPr>
        <w:t>.</w:t>
      </w:r>
      <w:r>
        <w:rPr>
          <w:rFonts w:hint="eastAsia" w:ascii="仿宋_GB2312" w:hAnsi="仿宋_GB2312" w:eastAsia="仿宋_GB2312" w:cs="仿宋_GB2312"/>
          <w:b/>
          <w:bCs/>
          <w:sz w:val="32"/>
          <w:szCs w:val="32"/>
        </w:rPr>
        <w:t>一般公共服务支出</w:t>
      </w:r>
      <w:r>
        <w:rPr>
          <w:rStyle w:val="19"/>
          <w:rFonts w:hint="eastAsia" w:ascii="仿宋_GB2312" w:hAnsi="仿宋_GB2312" w:eastAsia="仿宋_GB2312" w:cs="仿宋_GB2312"/>
          <w:bCs/>
          <w:sz w:val="32"/>
          <w:szCs w:val="32"/>
        </w:rPr>
        <w:t>（类）民主党派及工商联事务（款）</w:t>
      </w:r>
      <w:r>
        <w:rPr>
          <w:rStyle w:val="19"/>
          <w:rFonts w:hint="eastAsia" w:ascii="仿宋_GB2312" w:hAnsi="仿宋_GB2312" w:eastAsia="仿宋_GB2312" w:cs="仿宋_GB2312"/>
          <w:bCs/>
          <w:sz w:val="32"/>
          <w:szCs w:val="32"/>
          <w:lang w:eastAsia="zh-CN"/>
        </w:rPr>
        <w:t>行政运行</w:t>
      </w:r>
      <w:r>
        <w:rPr>
          <w:rStyle w:val="19"/>
          <w:rFonts w:hint="eastAsia" w:ascii="仿宋_GB2312" w:hAnsi="仿宋_GB2312" w:eastAsia="仿宋_GB2312" w:cs="仿宋_GB2312"/>
          <w:bCs/>
          <w:sz w:val="32"/>
          <w:szCs w:val="32"/>
        </w:rPr>
        <w:t>（项）:</w:t>
      </w:r>
      <w:r>
        <w:rPr>
          <w:rStyle w:val="19"/>
          <w:rFonts w:hint="eastAsia" w:ascii="仿宋_GB2312" w:hAnsi="仿宋_GB2312" w:eastAsia="仿宋_GB2312" w:cs="仿宋_GB2312"/>
          <w:b w:val="0"/>
          <w:sz w:val="32"/>
          <w:szCs w:val="32"/>
          <w:lang w:eastAsia="zh-CN"/>
        </w:rPr>
        <w:t>反映行政单位（包括实行公务员管理的事业单位）的基本支出。</w:t>
      </w:r>
    </w:p>
    <w:p>
      <w:pPr>
        <w:spacing w:line="600" w:lineRule="exact"/>
        <w:ind w:firstLine="643" w:firstLineChars="200"/>
        <w:rPr>
          <w:rStyle w:val="19"/>
          <w:rFonts w:hint="eastAsia" w:ascii="仿宋_GB2312" w:hAnsi="仿宋_GB2312" w:eastAsia="仿宋_GB2312" w:cs="仿宋_GB2312"/>
          <w:b w:val="0"/>
          <w:bCs/>
          <w:sz w:val="32"/>
          <w:szCs w:val="32"/>
        </w:rPr>
      </w:pPr>
      <w:r>
        <w:rPr>
          <w:rStyle w:val="19"/>
          <w:rFonts w:hint="eastAsia" w:ascii="仿宋_GB2312" w:hAnsi="仿宋_GB2312" w:eastAsia="仿宋_GB2312" w:cs="仿宋_GB2312"/>
          <w:bCs/>
          <w:sz w:val="32"/>
          <w:szCs w:val="32"/>
        </w:rPr>
        <w:t>1</w:t>
      </w:r>
      <w:r>
        <w:rPr>
          <w:rStyle w:val="19"/>
          <w:rFonts w:hint="eastAsia" w:ascii="仿宋_GB2312" w:hAnsi="仿宋_GB2312" w:eastAsia="仿宋_GB2312" w:cs="仿宋_GB2312"/>
          <w:bCs/>
          <w:sz w:val="32"/>
          <w:szCs w:val="32"/>
          <w:lang w:val="en-US" w:eastAsia="zh-CN"/>
        </w:rPr>
        <w:t>3</w:t>
      </w:r>
      <w:r>
        <w:rPr>
          <w:rStyle w:val="19"/>
          <w:rFonts w:hint="eastAsia" w:ascii="仿宋_GB2312" w:hAnsi="仿宋_GB2312" w:eastAsia="仿宋_GB2312" w:cs="仿宋_GB2312"/>
          <w:bCs/>
          <w:sz w:val="32"/>
          <w:szCs w:val="32"/>
        </w:rPr>
        <w:t>.</w:t>
      </w:r>
      <w:r>
        <w:rPr>
          <w:rFonts w:hint="eastAsia" w:ascii="仿宋_GB2312" w:hAnsi="仿宋_GB2312" w:eastAsia="仿宋_GB2312" w:cs="仿宋_GB2312"/>
          <w:b/>
          <w:bCs/>
          <w:sz w:val="32"/>
          <w:szCs w:val="32"/>
        </w:rPr>
        <w:t>一般公共服务支出</w:t>
      </w:r>
      <w:r>
        <w:rPr>
          <w:rStyle w:val="19"/>
          <w:rFonts w:hint="eastAsia" w:ascii="仿宋_GB2312" w:hAnsi="仿宋_GB2312" w:eastAsia="仿宋_GB2312" w:cs="仿宋_GB2312"/>
          <w:bCs/>
          <w:sz w:val="32"/>
          <w:szCs w:val="32"/>
        </w:rPr>
        <w:t>（类）民主党派及工商联事务（款）其他民主党派及工商联事务支出（项）:</w:t>
      </w:r>
      <w:r>
        <w:rPr>
          <w:rStyle w:val="19"/>
          <w:rFonts w:hint="eastAsia" w:ascii="仿宋_GB2312" w:hAnsi="仿宋_GB2312" w:eastAsia="仿宋_GB2312" w:cs="仿宋_GB2312"/>
          <w:b w:val="0"/>
          <w:bCs/>
          <w:sz w:val="32"/>
          <w:szCs w:val="32"/>
        </w:rPr>
        <w:t>反映用于其他民主党派及工商联事务方面的支出。</w:t>
      </w:r>
    </w:p>
    <w:p>
      <w:pPr>
        <w:pStyle w:val="7"/>
        <w:spacing w:before="93"/>
        <w:ind w:firstLine="640"/>
        <w:rPr>
          <w:rStyle w:val="19"/>
          <w:rFonts w:hint="eastAsia" w:ascii="仿宋_GB2312" w:hAnsi="仿宋_GB2312" w:eastAsia="仿宋_GB2312" w:cs="仿宋_GB2312"/>
          <w:b w:val="0"/>
          <w:bCs/>
          <w:sz w:val="32"/>
          <w:szCs w:val="32"/>
        </w:rPr>
      </w:pPr>
      <w:r>
        <w:rPr>
          <w:rStyle w:val="19"/>
          <w:rFonts w:hint="eastAsia" w:ascii="仿宋_GB2312" w:hAnsi="仿宋_GB2312" w:eastAsia="仿宋_GB2312" w:cs="仿宋_GB2312"/>
          <w:b w:val="0"/>
          <w:bCs/>
          <w:sz w:val="32"/>
          <w:szCs w:val="32"/>
        </w:rPr>
        <w:t>1</w:t>
      </w:r>
      <w:r>
        <w:rPr>
          <w:rStyle w:val="19"/>
          <w:rFonts w:hint="eastAsia" w:ascii="仿宋_GB2312" w:hAnsi="仿宋_GB2312" w:eastAsia="仿宋_GB2312" w:cs="仿宋_GB2312"/>
          <w:b w:val="0"/>
          <w:bCs/>
          <w:sz w:val="32"/>
          <w:szCs w:val="32"/>
          <w:lang w:val="en-US" w:eastAsia="zh-CN"/>
        </w:rPr>
        <w:t>4</w:t>
      </w:r>
      <w:r>
        <w:rPr>
          <w:rStyle w:val="19"/>
          <w:rFonts w:hint="eastAsia" w:ascii="仿宋_GB2312" w:hAnsi="仿宋_GB2312" w:eastAsia="仿宋_GB2312" w:cs="仿宋_GB2312"/>
          <w:b w:val="0"/>
          <w:bCs/>
          <w:sz w:val="32"/>
          <w:szCs w:val="32"/>
        </w:rPr>
        <w:t>.一</w:t>
      </w:r>
      <w:r>
        <w:rPr>
          <w:rFonts w:hint="eastAsia" w:ascii="仿宋_GB2312" w:hAnsi="仿宋_GB2312" w:eastAsia="仿宋_GB2312" w:cs="仿宋_GB2312"/>
          <w:b/>
          <w:bCs/>
          <w:sz w:val="32"/>
          <w:szCs w:val="32"/>
        </w:rPr>
        <w:t>般公共服务支出</w:t>
      </w:r>
      <w:r>
        <w:rPr>
          <w:rStyle w:val="19"/>
          <w:rFonts w:hint="eastAsia" w:ascii="仿宋_GB2312" w:hAnsi="仿宋_GB2312" w:eastAsia="仿宋_GB2312" w:cs="仿宋_GB2312"/>
          <w:bCs/>
          <w:sz w:val="32"/>
          <w:szCs w:val="32"/>
        </w:rPr>
        <w:t>（类）统战事务（款）行政运行（项）：</w:t>
      </w:r>
      <w:r>
        <w:rPr>
          <w:rStyle w:val="19"/>
          <w:rFonts w:hint="eastAsia" w:ascii="仿宋_GB2312" w:hAnsi="仿宋_GB2312" w:eastAsia="仿宋_GB2312" w:cs="仿宋_GB2312"/>
          <w:b w:val="0"/>
          <w:sz w:val="32"/>
          <w:szCs w:val="32"/>
        </w:rPr>
        <w:t>反映行政单位的基本支出。</w:t>
      </w:r>
    </w:p>
    <w:p>
      <w:pPr>
        <w:pStyle w:val="7"/>
        <w:spacing w:before="93"/>
        <w:ind w:firstLine="640"/>
        <w:rPr>
          <w:rStyle w:val="19"/>
          <w:rFonts w:hint="eastAsia" w:ascii="仿宋_GB2312" w:hAnsi="仿宋_GB2312" w:eastAsia="仿宋_GB2312" w:cs="仿宋_GB2312"/>
          <w:b w:val="0"/>
          <w:bCs/>
          <w:sz w:val="32"/>
          <w:szCs w:val="32"/>
        </w:rPr>
      </w:pPr>
      <w:r>
        <w:rPr>
          <w:rStyle w:val="19"/>
          <w:rFonts w:hint="eastAsia" w:ascii="仿宋_GB2312" w:hAnsi="仿宋_GB2312" w:eastAsia="仿宋_GB2312" w:cs="仿宋_GB2312"/>
          <w:b w:val="0"/>
          <w:bCs/>
          <w:sz w:val="32"/>
          <w:szCs w:val="32"/>
        </w:rPr>
        <w:t>1</w:t>
      </w:r>
      <w:r>
        <w:rPr>
          <w:rStyle w:val="19"/>
          <w:rFonts w:hint="eastAsia" w:ascii="仿宋_GB2312" w:hAnsi="仿宋_GB2312" w:eastAsia="仿宋_GB2312" w:cs="仿宋_GB2312"/>
          <w:b w:val="0"/>
          <w:bCs/>
          <w:sz w:val="32"/>
          <w:szCs w:val="32"/>
          <w:lang w:val="en-US" w:eastAsia="zh-CN"/>
        </w:rPr>
        <w:t>5</w:t>
      </w:r>
      <w:r>
        <w:rPr>
          <w:rStyle w:val="19"/>
          <w:rFonts w:hint="eastAsia" w:ascii="仿宋_GB2312" w:hAnsi="仿宋_GB2312" w:eastAsia="仿宋_GB2312" w:cs="仿宋_GB2312"/>
          <w:b w:val="0"/>
          <w:bCs/>
          <w:sz w:val="32"/>
          <w:szCs w:val="32"/>
        </w:rPr>
        <w:t>.一</w:t>
      </w:r>
      <w:r>
        <w:rPr>
          <w:rFonts w:hint="eastAsia" w:ascii="仿宋_GB2312" w:hAnsi="仿宋_GB2312" w:eastAsia="仿宋_GB2312" w:cs="仿宋_GB2312"/>
          <w:b/>
          <w:bCs/>
          <w:sz w:val="32"/>
          <w:szCs w:val="32"/>
        </w:rPr>
        <w:t>般公共服务支出</w:t>
      </w:r>
      <w:r>
        <w:rPr>
          <w:rStyle w:val="19"/>
          <w:rFonts w:hint="eastAsia" w:ascii="仿宋_GB2312" w:hAnsi="仿宋_GB2312" w:eastAsia="仿宋_GB2312" w:cs="仿宋_GB2312"/>
          <w:bCs/>
          <w:sz w:val="32"/>
          <w:szCs w:val="32"/>
        </w:rPr>
        <w:t>（类）统战事务（款）宗教事务（项）：</w:t>
      </w:r>
      <w:r>
        <w:rPr>
          <w:rStyle w:val="19"/>
          <w:rFonts w:hint="eastAsia" w:ascii="仿宋_GB2312" w:hAnsi="仿宋_GB2312" w:eastAsia="仿宋_GB2312" w:cs="仿宋_GB2312"/>
          <w:b w:val="0"/>
          <w:sz w:val="32"/>
          <w:szCs w:val="32"/>
        </w:rPr>
        <w:t>反映用于宗教事务管理方面的支出。</w:t>
      </w:r>
    </w:p>
    <w:p>
      <w:pPr>
        <w:pStyle w:val="7"/>
        <w:spacing w:before="93"/>
        <w:ind w:firstLine="640"/>
        <w:rPr>
          <w:rStyle w:val="19"/>
          <w:rFonts w:hint="eastAsia" w:ascii="仿宋_GB2312" w:hAnsi="仿宋_GB2312" w:eastAsia="仿宋_GB2312" w:cs="仿宋_GB2312"/>
          <w:b w:val="0"/>
          <w:sz w:val="32"/>
          <w:szCs w:val="32"/>
        </w:rPr>
      </w:pPr>
      <w:r>
        <w:rPr>
          <w:rStyle w:val="19"/>
          <w:rFonts w:hint="eastAsia" w:ascii="仿宋_GB2312" w:hAnsi="仿宋_GB2312" w:eastAsia="仿宋_GB2312" w:cs="仿宋_GB2312"/>
          <w:b w:val="0"/>
          <w:bCs/>
          <w:sz w:val="32"/>
          <w:szCs w:val="32"/>
        </w:rPr>
        <w:t>1</w:t>
      </w:r>
      <w:r>
        <w:rPr>
          <w:rStyle w:val="19"/>
          <w:rFonts w:hint="eastAsia" w:ascii="仿宋_GB2312" w:hAnsi="仿宋_GB2312" w:eastAsia="仿宋_GB2312" w:cs="仿宋_GB2312"/>
          <w:b w:val="0"/>
          <w:bCs/>
          <w:sz w:val="32"/>
          <w:szCs w:val="32"/>
          <w:lang w:val="en-US" w:eastAsia="zh-CN"/>
        </w:rPr>
        <w:t>6</w:t>
      </w:r>
      <w:r>
        <w:rPr>
          <w:rStyle w:val="19"/>
          <w:rFonts w:hint="eastAsia" w:ascii="仿宋_GB2312" w:hAnsi="仿宋_GB2312" w:eastAsia="仿宋_GB2312" w:cs="仿宋_GB2312"/>
          <w:b w:val="0"/>
          <w:bCs/>
          <w:sz w:val="32"/>
          <w:szCs w:val="32"/>
        </w:rPr>
        <w:t>.一</w:t>
      </w:r>
      <w:r>
        <w:rPr>
          <w:rFonts w:hint="eastAsia" w:ascii="仿宋_GB2312" w:hAnsi="仿宋_GB2312" w:eastAsia="仿宋_GB2312" w:cs="仿宋_GB2312"/>
          <w:b/>
          <w:bCs/>
          <w:sz w:val="32"/>
          <w:szCs w:val="32"/>
        </w:rPr>
        <w:t>般公共服务支出</w:t>
      </w:r>
      <w:r>
        <w:rPr>
          <w:rStyle w:val="19"/>
          <w:rFonts w:hint="eastAsia" w:ascii="仿宋_GB2312" w:hAnsi="仿宋_GB2312" w:eastAsia="仿宋_GB2312" w:cs="仿宋_GB2312"/>
          <w:bCs/>
          <w:sz w:val="32"/>
          <w:szCs w:val="32"/>
        </w:rPr>
        <w:t>（类）统战事务（款）事业运行（项）：</w:t>
      </w:r>
      <w:r>
        <w:rPr>
          <w:rStyle w:val="19"/>
          <w:rFonts w:hint="eastAsia" w:ascii="仿宋_GB2312" w:hAnsi="仿宋_GB2312" w:eastAsia="仿宋_GB2312" w:cs="仿宋_GB2312"/>
          <w:b w:val="0"/>
          <w:sz w:val="32"/>
          <w:szCs w:val="32"/>
        </w:rPr>
        <w:t>反映事业的基本支出，不包括行政单位后勤服务中心、医务室等附属事业单位。</w:t>
      </w:r>
    </w:p>
    <w:p>
      <w:pPr>
        <w:pStyle w:val="7"/>
        <w:spacing w:before="93"/>
        <w:ind w:firstLine="640"/>
        <w:rPr>
          <w:rStyle w:val="19"/>
          <w:rFonts w:hint="eastAsia" w:ascii="仿宋_GB2312" w:hAnsi="仿宋_GB2312" w:eastAsia="仿宋_GB2312" w:cs="仿宋_GB2312"/>
          <w:b w:val="0"/>
          <w:sz w:val="32"/>
          <w:szCs w:val="32"/>
          <w:lang w:eastAsia="zh-CN"/>
        </w:rPr>
      </w:pPr>
      <w:r>
        <w:rPr>
          <w:rStyle w:val="19"/>
          <w:rFonts w:hint="eastAsia" w:ascii="仿宋_GB2312" w:hAnsi="仿宋_GB2312" w:eastAsia="仿宋_GB2312" w:cs="仿宋_GB2312"/>
          <w:b w:val="0"/>
          <w:sz w:val="32"/>
          <w:szCs w:val="32"/>
          <w:lang w:val="en-US" w:eastAsia="zh-CN"/>
        </w:rPr>
        <w:t>17.</w:t>
      </w:r>
      <w:r>
        <w:rPr>
          <w:rStyle w:val="19"/>
          <w:rFonts w:hint="eastAsia" w:ascii="仿宋_GB2312" w:hAnsi="仿宋_GB2312" w:eastAsia="仿宋_GB2312" w:cs="仿宋_GB2312"/>
          <w:b w:val="0"/>
          <w:bCs/>
          <w:sz w:val="32"/>
          <w:szCs w:val="32"/>
        </w:rPr>
        <w:t>一</w:t>
      </w:r>
      <w:r>
        <w:rPr>
          <w:rFonts w:hint="eastAsia" w:ascii="仿宋_GB2312" w:hAnsi="仿宋_GB2312" w:eastAsia="仿宋_GB2312" w:cs="仿宋_GB2312"/>
          <w:b/>
          <w:bCs/>
          <w:sz w:val="32"/>
          <w:szCs w:val="32"/>
        </w:rPr>
        <w:t>般公共服务支出</w:t>
      </w:r>
      <w:r>
        <w:rPr>
          <w:rStyle w:val="19"/>
          <w:rFonts w:hint="eastAsia" w:ascii="仿宋_GB2312" w:hAnsi="仿宋_GB2312" w:eastAsia="仿宋_GB2312" w:cs="仿宋_GB2312"/>
          <w:bCs/>
          <w:sz w:val="32"/>
          <w:szCs w:val="32"/>
        </w:rPr>
        <w:t>（类）统战事务（款）</w:t>
      </w:r>
      <w:r>
        <w:rPr>
          <w:rStyle w:val="19"/>
          <w:rFonts w:hint="eastAsia" w:ascii="仿宋_GB2312" w:hAnsi="仿宋_GB2312" w:eastAsia="仿宋_GB2312" w:cs="仿宋_GB2312"/>
          <w:bCs/>
          <w:sz w:val="32"/>
          <w:szCs w:val="32"/>
          <w:lang w:eastAsia="zh-CN"/>
        </w:rPr>
        <w:t>其他统战事务支出</w:t>
      </w:r>
      <w:r>
        <w:rPr>
          <w:rStyle w:val="19"/>
          <w:rFonts w:hint="eastAsia" w:ascii="仿宋_GB2312" w:hAnsi="仿宋_GB2312" w:eastAsia="仿宋_GB2312" w:cs="仿宋_GB2312"/>
          <w:bCs/>
          <w:sz w:val="32"/>
          <w:szCs w:val="32"/>
        </w:rPr>
        <w:t>（项）：</w:t>
      </w:r>
      <w:r>
        <w:rPr>
          <w:rStyle w:val="19"/>
          <w:rFonts w:hint="eastAsia" w:ascii="仿宋_GB2312" w:hAnsi="仿宋_GB2312" w:eastAsia="仿宋_GB2312" w:cs="仿宋_GB2312"/>
          <w:b w:val="0"/>
          <w:sz w:val="32"/>
          <w:szCs w:val="32"/>
          <w:lang w:eastAsia="zh-CN"/>
        </w:rPr>
        <w:t>反映其他用于中国共产党统战部门的事务支出。</w:t>
      </w:r>
    </w:p>
    <w:p>
      <w:pPr>
        <w:pStyle w:val="7"/>
        <w:spacing w:before="93"/>
        <w:ind w:firstLine="640"/>
        <w:rPr>
          <w:rStyle w:val="19"/>
          <w:rFonts w:hint="eastAsia" w:ascii="仿宋_GB2312" w:hAnsi="仿宋_GB2312" w:eastAsia="仿宋_GB2312" w:cs="仿宋_GB2312"/>
          <w:b w:val="0"/>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.社会保障和就业支出（</w:t>
      </w:r>
      <w:r>
        <w:rPr>
          <w:rStyle w:val="19"/>
          <w:rFonts w:hint="eastAsia" w:ascii="仿宋_GB2312" w:hAnsi="仿宋_GB2312" w:eastAsia="仿宋_GB2312" w:cs="仿宋_GB2312"/>
          <w:bCs/>
          <w:sz w:val="32"/>
          <w:szCs w:val="32"/>
        </w:rPr>
        <w:t>类）行政事业单位养老支出（款）机关事业单位基本养老保险缴费支出（项）：</w:t>
      </w:r>
      <w:r>
        <w:rPr>
          <w:rStyle w:val="19"/>
          <w:rFonts w:hint="eastAsia" w:ascii="仿宋_GB2312" w:hAnsi="仿宋_GB2312" w:eastAsia="仿宋_GB2312" w:cs="仿宋_GB2312"/>
          <w:b w:val="0"/>
          <w:sz w:val="32"/>
          <w:szCs w:val="32"/>
        </w:rPr>
        <w:t>反映机关事业单位实施养老保险制度由单位缴纳的基本养老保险费支出。</w:t>
      </w:r>
    </w:p>
    <w:p>
      <w:pPr>
        <w:pStyle w:val="7"/>
        <w:spacing w:before="93"/>
        <w:ind w:firstLine="640"/>
        <w:rPr>
          <w:rStyle w:val="19"/>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.社会保障和就业支出（</w:t>
      </w:r>
      <w:r>
        <w:rPr>
          <w:rStyle w:val="19"/>
          <w:rFonts w:hint="eastAsia" w:ascii="仿宋_GB2312" w:hAnsi="仿宋_GB2312" w:eastAsia="仿宋_GB2312" w:cs="仿宋_GB2312"/>
          <w:bCs/>
          <w:sz w:val="32"/>
          <w:szCs w:val="32"/>
        </w:rPr>
        <w:t>类）行政事业单位养老支出（款）机关事业单位职业年金缴费支出（项）：</w:t>
      </w:r>
      <w:r>
        <w:rPr>
          <w:rStyle w:val="19"/>
          <w:rFonts w:hint="eastAsia" w:ascii="仿宋_GB2312" w:hAnsi="仿宋_GB2312" w:eastAsia="仿宋_GB2312" w:cs="仿宋_GB2312"/>
          <w:b w:val="0"/>
          <w:sz w:val="32"/>
          <w:szCs w:val="32"/>
        </w:rPr>
        <w:t>反映机关事业单位实施养老保险制度由单位实际缴纳的职业年金支出。</w:t>
      </w:r>
    </w:p>
    <w:p>
      <w:pPr>
        <w:pStyle w:val="7"/>
        <w:spacing w:before="93"/>
        <w:ind w:firstLine="643" w:firstLineChars="200"/>
        <w:rPr>
          <w:rStyle w:val="19"/>
          <w:rFonts w:hint="eastAsia" w:ascii="仿宋_GB2312" w:hAnsi="仿宋_GB2312" w:eastAsia="仿宋_GB2312" w:cs="仿宋_GB2312"/>
          <w:b w:val="0"/>
          <w:sz w:val="32"/>
          <w:szCs w:val="32"/>
        </w:rPr>
      </w:pPr>
      <w:r>
        <w:rPr>
          <w:rFonts w:hint="eastAsia" w:ascii="仿宋_GB2312" w:hAnsi="仿宋_GB2312" w:eastAsia="仿宋_GB2312" w:cs="仿宋_GB2312"/>
          <w:b/>
          <w:bCs/>
          <w:sz w:val="32"/>
          <w:szCs w:val="32"/>
          <w:lang w:val="en-US" w:eastAsia="zh-CN"/>
        </w:rPr>
        <w:t>20</w:t>
      </w:r>
      <w:r>
        <w:rPr>
          <w:rFonts w:hint="eastAsia" w:ascii="仿宋_GB2312" w:hAnsi="仿宋_GB2312" w:eastAsia="仿宋_GB2312" w:cs="仿宋_GB2312"/>
          <w:b/>
          <w:bCs/>
          <w:sz w:val="32"/>
          <w:szCs w:val="32"/>
        </w:rPr>
        <w:t>.社会保障和就业支出（</w:t>
      </w:r>
      <w:r>
        <w:rPr>
          <w:rStyle w:val="19"/>
          <w:rFonts w:hint="eastAsia" w:ascii="仿宋_GB2312" w:hAnsi="仿宋_GB2312" w:eastAsia="仿宋_GB2312" w:cs="仿宋_GB2312"/>
          <w:bCs/>
          <w:sz w:val="32"/>
          <w:szCs w:val="32"/>
        </w:rPr>
        <w:t>类）行政事业单位养老支出（款）其他行政事业单位养老支出（项）：</w:t>
      </w:r>
      <w:r>
        <w:rPr>
          <w:rStyle w:val="19"/>
          <w:rFonts w:hint="eastAsia" w:ascii="仿宋_GB2312" w:hAnsi="仿宋_GB2312" w:eastAsia="仿宋_GB2312" w:cs="仿宋_GB2312"/>
          <w:b w:val="0"/>
          <w:sz w:val="32"/>
          <w:szCs w:val="32"/>
        </w:rPr>
        <w:t>反映其他用于行政事业单位养老方面的支出。</w:t>
      </w:r>
    </w:p>
    <w:p>
      <w:pPr>
        <w:pStyle w:val="7"/>
        <w:spacing w:before="93"/>
        <w:ind w:firstLine="640" w:firstLineChars="200"/>
        <w:rPr>
          <w:rStyle w:val="19"/>
          <w:rFonts w:hint="eastAsia" w:ascii="仿宋_GB2312" w:hAnsi="仿宋_GB2312" w:eastAsia="仿宋_GB2312" w:cs="仿宋_GB2312"/>
          <w:b w:val="0"/>
          <w:sz w:val="32"/>
          <w:szCs w:val="32"/>
          <w:lang w:val="en-US" w:eastAsia="zh-CN"/>
        </w:rPr>
      </w:pPr>
      <w:r>
        <w:rPr>
          <w:rStyle w:val="19"/>
          <w:rFonts w:hint="eastAsia" w:ascii="仿宋_GB2312" w:hAnsi="仿宋_GB2312" w:eastAsia="仿宋_GB2312" w:cs="仿宋_GB2312"/>
          <w:b w:val="0"/>
          <w:sz w:val="32"/>
          <w:szCs w:val="32"/>
          <w:lang w:val="en-US" w:eastAsia="zh-CN"/>
        </w:rPr>
        <w:t>21.</w:t>
      </w:r>
      <w:r>
        <w:rPr>
          <w:rFonts w:hint="eastAsia" w:ascii="仿宋_GB2312" w:hAnsi="仿宋_GB2312" w:eastAsia="仿宋_GB2312" w:cs="仿宋_GB2312"/>
          <w:b/>
          <w:bCs/>
          <w:sz w:val="32"/>
          <w:szCs w:val="32"/>
        </w:rPr>
        <w:t>社会保障和就业支出（</w:t>
      </w:r>
      <w:r>
        <w:rPr>
          <w:rStyle w:val="19"/>
          <w:rFonts w:hint="eastAsia" w:ascii="仿宋_GB2312" w:hAnsi="仿宋_GB2312" w:eastAsia="仿宋_GB2312" w:cs="仿宋_GB2312"/>
          <w:bCs/>
          <w:sz w:val="32"/>
          <w:szCs w:val="32"/>
        </w:rPr>
        <w:t>类）</w:t>
      </w:r>
      <w:r>
        <w:rPr>
          <w:rStyle w:val="19"/>
          <w:rFonts w:hint="eastAsia" w:ascii="仿宋_GB2312" w:hAnsi="仿宋_GB2312" w:eastAsia="仿宋_GB2312" w:cs="仿宋_GB2312"/>
          <w:bCs/>
          <w:sz w:val="32"/>
          <w:szCs w:val="32"/>
          <w:lang w:eastAsia="zh-CN"/>
        </w:rPr>
        <w:t>其他社会保障和就业</w:t>
      </w:r>
      <w:r>
        <w:rPr>
          <w:rStyle w:val="19"/>
          <w:rFonts w:hint="eastAsia" w:ascii="仿宋_GB2312" w:hAnsi="仿宋_GB2312" w:eastAsia="仿宋_GB2312" w:cs="仿宋_GB2312"/>
          <w:bCs/>
          <w:sz w:val="32"/>
          <w:szCs w:val="32"/>
        </w:rPr>
        <w:t>支出（款）</w:t>
      </w:r>
      <w:r>
        <w:rPr>
          <w:rStyle w:val="19"/>
          <w:rFonts w:hint="eastAsia" w:ascii="仿宋_GB2312" w:hAnsi="仿宋_GB2312" w:eastAsia="仿宋_GB2312" w:cs="仿宋_GB2312"/>
          <w:bCs/>
          <w:sz w:val="32"/>
          <w:szCs w:val="32"/>
          <w:lang w:eastAsia="zh-CN"/>
        </w:rPr>
        <w:t>其他社会保障和就业</w:t>
      </w:r>
      <w:r>
        <w:rPr>
          <w:rStyle w:val="19"/>
          <w:rFonts w:hint="eastAsia" w:ascii="仿宋_GB2312" w:hAnsi="仿宋_GB2312" w:eastAsia="仿宋_GB2312" w:cs="仿宋_GB2312"/>
          <w:bCs/>
          <w:sz w:val="32"/>
          <w:szCs w:val="32"/>
        </w:rPr>
        <w:t>支出（项）：</w:t>
      </w:r>
      <w:r>
        <w:rPr>
          <w:rStyle w:val="19"/>
          <w:rFonts w:hint="eastAsia" w:ascii="仿宋_GB2312" w:hAnsi="仿宋_GB2312" w:eastAsia="仿宋_GB2312" w:cs="仿宋_GB2312"/>
          <w:b w:val="0"/>
          <w:sz w:val="32"/>
          <w:szCs w:val="32"/>
        </w:rPr>
        <w:t>反映</w:t>
      </w:r>
      <w:r>
        <w:rPr>
          <w:rStyle w:val="19"/>
          <w:rFonts w:hint="eastAsia" w:hAnsi="仿宋_GB2312" w:cs="仿宋_GB2312"/>
          <w:b w:val="0"/>
          <w:sz w:val="32"/>
          <w:szCs w:val="32"/>
          <w:lang w:eastAsia="zh-CN"/>
        </w:rPr>
        <w:t>其他用于社会保障和就业方面的支出。</w:t>
      </w:r>
    </w:p>
    <w:p>
      <w:pPr>
        <w:pStyle w:val="7"/>
        <w:spacing w:before="93"/>
        <w:ind w:firstLine="643" w:firstLineChars="200"/>
        <w:rPr>
          <w:rStyle w:val="19"/>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lang w:val="en-US" w:eastAsia="zh-CN"/>
        </w:rPr>
        <w:t>22</w:t>
      </w:r>
      <w:r>
        <w:rPr>
          <w:rFonts w:hint="eastAsia" w:ascii="仿宋_GB2312" w:hAnsi="仿宋_GB2312" w:eastAsia="仿宋_GB2312" w:cs="仿宋_GB2312"/>
          <w:b/>
          <w:bCs/>
          <w:sz w:val="32"/>
          <w:szCs w:val="32"/>
        </w:rPr>
        <w:t>.卫生健康支出（</w:t>
      </w:r>
      <w:r>
        <w:rPr>
          <w:rStyle w:val="19"/>
          <w:rFonts w:hint="eastAsia" w:ascii="仿宋_GB2312" w:hAnsi="仿宋_GB2312" w:eastAsia="仿宋_GB2312" w:cs="仿宋_GB2312"/>
          <w:bCs/>
          <w:sz w:val="32"/>
          <w:szCs w:val="32"/>
        </w:rPr>
        <w:t>类）行政事业单位医疗（款）行政单位医疗（项）：</w:t>
      </w:r>
      <w:r>
        <w:rPr>
          <w:rFonts w:hint="eastAsia" w:ascii="仿宋_GB2312" w:hAnsi="仿宋_GB2312" w:eastAsia="仿宋_GB2312" w:cs="仿宋_GB2312"/>
          <w:sz w:val="32"/>
          <w:szCs w:val="32"/>
        </w:rPr>
        <w:t>指行政单位及参公管理事业单位用于缴纳单位基本医疗保险支出。</w:t>
      </w:r>
    </w:p>
    <w:p>
      <w:pPr>
        <w:pStyle w:val="37"/>
        <w:numPr>
          <w:ilvl w:val="0"/>
          <w:numId w:val="0"/>
        </w:numPr>
        <w:ind w:firstLine="643" w:firstLineChars="200"/>
        <w:rPr>
          <w:rStyle w:val="19"/>
          <w:rFonts w:hint="eastAsia" w:ascii="仿宋_GB2312" w:hAnsi="仿宋_GB2312" w:eastAsia="仿宋_GB2312" w:cs="仿宋_GB2312"/>
          <w:bCs/>
          <w:sz w:val="32"/>
          <w:szCs w:val="32"/>
        </w:rPr>
      </w:pPr>
      <w:r>
        <w:rPr>
          <w:rFonts w:hint="eastAsia" w:ascii="仿宋_GB2312" w:hAnsi="仿宋_GB2312" w:eastAsia="仿宋_GB2312" w:cs="仿宋_GB2312"/>
          <w:b/>
          <w:bCs/>
          <w:kern w:val="0"/>
          <w:sz w:val="32"/>
          <w:szCs w:val="32"/>
        </w:rPr>
        <w:t>2</w:t>
      </w:r>
      <w:r>
        <w:rPr>
          <w:rFonts w:hint="eastAsia" w:ascii="仿宋_GB2312" w:hAnsi="仿宋_GB2312" w:eastAsia="仿宋_GB2312" w:cs="仿宋_GB2312"/>
          <w:b/>
          <w:bCs/>
          <w:kern w:val="0"/>
          <w:sz w:val="32"/>
          <w:szCs w:val="32"/>
          <w:lang w:val="en-US" w:eastAsia="zh-CN"/>
        </w:rPr>
        <w:t>3</w:t>
      </w:r>
      <w:r>
        <w:rPr>
          <w:rFonts w:hint="eastAsia" w:ascii="仿宋_GB2312" w:hAnsi="仿宋_GB2312" w:eastAsia="仿宋_GB2312" w:cs="仿宋_GB2312"/>
          <w:b/>
          <w:bCs/>
          <w:kern w:val="0"/>
          <w:sz w:val="32"/>
          <w:szCs w:val="32"/>
        </w:rPr>
        <w:t>.卫生健康支出</w:t>
      </w:r>
      <w:r>
        <w:rPr>
          <w:rStyle w:val="19"/>
          <w:rFonts w:hint="eastAsia" w:ascii="仿宋_GB2312" w:hAnsi="仿宋_GB2312" w:eastAsia="仿宋_GB2312" w:cs="仿宋_GB2312"/>
          <w:bCs/>
          <w:sz w:val="32"/>
          <w:szCs w:val="32"/>
        </w:rPr>
        <w:t>（类）行政事业单位医疗（款）事业单位医疗（项）：</w:t>
      </w:r>
      <w:r>
        <w:rPr>
          <w:rFonts w:hint="eastAsia" w:ascii="仿宋_GB2312" w:hAnsi="仿宋_GB2312" w:eastAsia="仿宋_GB2312" w:cs="仿宋_GB2312"/>
          <w:sz w:val="32"/>
          <w:szCs w:val="32"/>
        </w:rPr>
        <w:t>指事业单位用于缴纳单位基本医疗保险支出。</w:t>
      </w:r>
    </w:p>
    <w:p>
      <w:pPr>
        <w:pStyle w:val="7"/>
        <w:spacing w:before="93"/>
        <w:ind w:firstLine="643" w:firstLineChars="200"/>
        <w:rPr>
          <w:rStyle w:val="19"/>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.卫生健康支出（</w:t>
      </w:r>
      <w:r>
        <w:rPr>
          <w:rStyle w:val="19"/>
          <w:rFonts w:hint="eastAsia" w:ascii="仿宋_GB2312" w:hAnsi="仿宋_GB2312" w:eastAsia="仿宋_GB2312" w:cs="仿宋_GB2312"/>
          <w:bCs/>
          <w:sz w:val="32"/>
          <w:szCs w:val="32"/>
        </w:rPr>
        <w:t>类）行政事业单位医疗（款）公务员医疗补助（项）：</w:t>
      </w:r>
      <w:r>
        <w:rPr>
          <w:rFonts w:hint="eastAsia" w:ascii="仿宋_GB2312" w:hAnsi="仿宋_GB2312" w:eastAsia="仿宋_GB2312" w:cs="仿宋_GB2312"/>
          <w:sz w:val="32"/>
          <w:szCs w:val="32"/>
        </w:rPr>
        <w:t>指行政单位及参公管理事业单位用于集中缴纳公务员医疗补助支出。</w:t>
      </w:r>
    </w:p>
    <w:p>
      <w:pPr>
        <w:pStyle w:val="7"/>
        <w:spacing w:before="93"/>
        <w:ind w:firstLine="643" w:firstLineChars="200"/>
        <w:rPr>
          <w:rStyle w:val="19"/>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.住房保障支出（</w:t>
      </w:r>
      <w:r>
        <w:rPr>
          <w:rStyle w:val="19"/>
          <w:rFonts w:hint="eastAsia" w:ascii="仿宋_GB2312" w:hAnsi="仿宋_GB2312" w:eastAsia="仿宋_GB2312" w:cs="仿宋_GB2312"/>
          <w:bCs/>
          <w:sz w:val="32"/>
          <w:szCs w:val="32"/>
        </w:rPr>
        <w:t>类）住房改革支出（款）住房公积金（项）：</w:t>
      </w:r>
      <w:r>
        <w:rPr>
          <w:rFonts w:hint="eastAsia" w:ascii="仿宋_GB2312" w:hAnsi="仿宋_GB2312" w:eastAsia="仿宋_GB2312" w:cs="仿宋_GB2312"/>
          <w:sz w:val="32"/>
          <w:szCs w:val="32"/>
        </w:rPr>
        <w:t>指由单位及其在职职工按规定缴存的住房公积金支出。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26.基本支出：指为保障机构正常运转、完成日常工作任务而发生的人员支出和公用支出。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27.项目支出：指在基本支出之外为完成特定行政任务和事业发展目标所发生的支出。 </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28.经营支出：指事业单位在专业业务活动及其辅助活动之外开展非独立核算经营活动发生的支出。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rPr>
          <w:rStyle w:val="30"/>
          <w:rFonts w:hint="eastAsia" w:ascii="Times New Roman" w:hAnsi="Times New Roman" w:eastAsia="黑体"/>
          <w:b w:val="0"/>
          <w:color w:val="auto"/>
          <w:highlight w:val="none"/>
          <w:lang w:eastAsia="zh-CN"/>
        </w:rPr>
      </w:pPr>
      <w:bookmarkStart w:id="123"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124" w:name="_Toc15396614"/>
      <w:bookmarkStart w:id="125" w:name="_Toc8387_WPSOffice_Level1"/>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124"/>
      <w:bookmarkEnd w:id="125"/>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方正小标宋简体"/>
          <w:color w:val="auto"/>
          <w:sz w:val="44"/>
          <w:szCs w:val="44"/>
          <w:highlight w:val="none"/>
          <w:lang w:val="en-US" w:eastAsia="zh-CN"/>
        </w:rPr>
      </w:pPr>
      <w:r>
        <w:rPr>
          <w:rFonts w:hint="eastAsia" w:ascii="Times New Roman" w:hAnsi="Times New Roman" w:eastAsia="黑体" w:cs="黑体"/>
          <w:color w:val="auto"/>
          <w:sz w:val="32"/>
          <w:szCs w:val="32"/>
          <w:highlight w:val="none"/>
        </w:rPr>
        <w:t>附件</w:t>
      </w:r>
      <w:r>
        <w:rPr>
          <w:rFonts w:hint="eastAsia" w:ascii="Times New Roman" w:hAnsi="Times New Roman" w:eastAsia="黑体" w:cs="黑体"/>
          <w:color w:val="auto"/>
          <w:sz w:val="32"/>
          <w:szCs w:val="32"/>
          <w:highlight w:val="none"/>
          <w:lang w:val="en-US" w:eastAsia="zh-CN"/>
        </w:rPr>
        <w:t>1</w:t>
      </w:r>
    </w:p>
    <w:p>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p>
    <w:p>
      <w:pPr>
        <w:widowControl/>
        <w:spacing w:line="580" w:lineRule="exact"/>
        <w:contextualSpacing/>
        <w:jc w:val="center"/>
        <w:rPr>
          <w:rFonts w:hint="eastAsia" w:ascii="方正小标宋简体" w:hAnsi="宋体" w:eastAsia="方正小标宋简体"/>
          <w:sz w:val="44"/>
          <w:szCs w:val="44"/>
          <w:shd w:val="clear" w:color="auto" w:fill="FFFFFF"/>
        </w:rPr>
      </w:pPr>
      <w:bookmarkStart w:id="126" w:name="_Toc5376_WPSOffice_Level2"/>
      <w:r>
        <w:rPr>
          <w:rFonts w:hint="eastAsia" w:ascii="方正小标宋简体" w:hAnsi="宋体" w:eastAsia="方正小标宋简体"/>
          <w:sz w:val="44"/>
          <w:szCs w:val="44"/>
          <w:shd w:val="clear" w:color="auto" w:fill="FFFFFF"/>
        </w:rPr>
        <w:t>中共乐山市五通桥区委统战部</w:t>
      </w:r>
      <w:bookmarkEnd w:id="126"/>
    </w:p>
    <w:p>
      <w:pPr>
        <w:widowControl/>
        <w:spacing w:line="580" w:lineRule="exact"/>
        <w:contextualSpacing/>
        <w:jc w:val="center"/>
        <w:rPr>
          <w:rFonts w:hint="eastAsia" w:ascii="方正小标宋简体" w:hAnsi="宋体" w:eastAsia="方正小标宋简体"/>
          <w:sz w:val="44"/>
          <w:szCs w:val="44"/>
          <w:shd w:val="clear" w:color="auto" w:fill="FFFFFF"/>
        </w:rPr>
      </w:pPr>
      <w:bookmarkStart w:id="127" w:name="_Toc31718_WPSOffice_Level2"/>
      <w:r>
        <w:rPr>
          <w:rFonts w:hint="eastAsia" w:ascii="方正小标宋简体" w:hAnsi="宋体" w:eastAsia="方正小标宋简体"/>
          <w:sz w:val="44"/>
          <w:szCs w:val="44"/>
          <w:shd w:val="clear" w:color="auto" w:fill="FFFFFF"/>
        </w:rPr>
        <w:t>部门整体绩效自评报告</w:t>
      </w:r>
      <w:bookmarkEnd w:id="127"/>
    </w:p>
    <w:p>
      <w:pPr>
        <w:widowControl/>
        <w:spacing w:line="580" w:lineRule="exact"/>
        <w:contextualSpacing/>
        <w:jc w:val="center"/>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（报告范围包括机关和下属单位）</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rPr>
      </w:pPr>
    </w:p>
    <w:p>
      <w:pPr>
        <w:widowControl/>
        <w:adjustRightInd w:val="0"/>
        <w:snapToGrid w:val="0"/>
        <w:spacing w:line="580" w:lineRule="exact"/>
        <w:ind w:firstLine="640" w:firstLineChars="200"/>
        <w:contextualSpacing/>
        <w:jc w:val="left"/>
        <w:rPr>
          <w:rFonts w:hint="eastAsia" w:ascii="黑体" w:hAnsi="黑体" w:eastAsia="黑体" w:cs="黑体"/>
          <w:color w:val="000000"/>
          <w:kern w:val="0"/>
          <w:sz w:val="32"/>
          <w:szCs w:val="32"/>
          <w:shd w:val="clear" w:color="auto" w:fill="FFFFFF"/>
          <w:lang w:val="zh-CN"/>
        </w:rPr>
      </w:pPr>
      <w:bookmarkStart w:id="128" w:name="_Toc3346_WPSOffice_Level2"/>
      <w:r>
        <w:rPr>
          <w:rFonts w:hint="eastAsia" w:ascii="黑体" w:hAnsi="黑体" w:eastAsia="黑体" w:cs="黑体"/>
          <w:color w:val="000000"/>
          <w:kern w:val="0"/>
          <w:sz w:val="32"/>
          <w:szCs w:val="32"/>
          <w:shd w:val="clear" w:color="auto" w:fill="FFFFFF"/>
        </w:rPr>
        <w:t>一、</w:t>
      </w:r>
      <w:r>
        <w:rPr>
          <w:rFonts w:hint="eastAsia" w:ascii="黑体" w:hAnsi="黑体" w:eastAsia="黑体" w:cs="黑体"/>
          <w:color w:val="000000"/>
          <w:kern w:val="0"/>
          <w:sz w:val="32"/>
          <w:szCs w:val="32"/>
          <w:shd w:val="clear" w:color="auto" w:fill="FFFFFF"/>
          <w:lang w:val="zh-CN"/>
        </w:rPr>
        <w:t>部门基本情况</w:t>
      </w:r>
      <w:bookmarkEnd w:id="128"/>
    </w:p>
    <w:p>
      <w:pPr>
        <w:widowControl/>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color w:val="000000"/>
          <w:kern w:val="0"/>
          <w:sz w:val="32"/>
          <w:szCs w:val="32"/>
          <w:highlight w:val="none"/>
          <w:shd w:val="clear" w:color="auto" w:fill="FFFFFF"/>
          <w:lang w:val="zh-CN"/>
        </w:rPr>
      </w:pPr>
      <w:r>
        <w:rPr>
          <w:rFonts w:hint="eastAsia" w:ascii="仿宋_GB2312" w:hAnsi="仿宋_GB2312" w:eastAsia="仿宋_GB2312" w:cs="仿宋_GB2312"/>
          <w:sz w:val="32"/>
          <w:szCs w:val="32"/>
          <w:lang w:eastAsia="zh-CN"/>
        </w:rPr>
        <w:t>我部为一级预算单位，</w:t>
      </w:r>
      <w:r>
        <w:rPr>
          <w:rFonts w:hint="eastAsia" w:ascii="仿宋_GB2312" w:hAnsi="仿宋_GB2312" w:eastAsia="仿宋_GB2312" w:cs="仿宋_GB2312"/>
          <w:color w:val="000000"/>
          <w:sz w:val="32"/>
          <w:szCs w:val="32"/>
          <w:lang w:val="en-US" w:eastAsia="zh-CN"/>
        </w:rPr>
        <w:t>下属事业单位乐山市五通桥区归侨侨眷联合会，</w:t>
      </w:r>
      <w:r>
        <w:rPr>
          <w:rFonts w:hint="eastAsia" w:ascii="仿宋_GB2312" w:hAnsi="仿宋_GB2312" w:eastAsia="仿宋_GB2312" w:cs="仿宋_GB2312"/>
          <w:color w:val="000000"/>
          <w:sz w:val="32"/>
          <w:szCs w:val="32"/>
          <w:highlight w:val="none"/>
          <w:lang w:val="en-US" w:eastAsia="zh-CN"/>
        </w:rPr>
        <w:t>下属人民团体</w:t>
      </w:r>
      <w:r>
        <w:rPr>
          <w:rFonts w:hint="eastAsia" w:ascii="仿宋_GB2312" w:hAnsi="仿宋_GB2312" w:eastAsia="仿宋_GB2312" w:cs="仿宋_GB2312"/>
          <w:color w:val="auto"/>
          <w:kern w:val="0"/>
          <w:sz w:val="32"/>
          <w:szCs w:val="32"/>
          <w:highlight w:val="none"/>
          <w:shd w:val="clear" w:color="auto" w:fill="FFFFFF"/>
          <w:lang w:val="en-US" w:eastAsia="zh-CN"/>
        </w:rPr>
        <w:t>乐山市五通桥区工商业联合会。</w:t>
      </w:r>
    </w:p>
    <w:p>
      <w:pPr>
        <w:widowControl/>
        <w:numPr>
          <w:ilvl w:val="0"/>
          <w:numId w:val="4"/>
        </w:numPr>
        <w:adjustRightInd w:val="0"/>
        <w:snapToGrid w:val="0"/>
        <w:spacing w:line="580" w:lineRule="exact"/>
        <w:ind w:firstLine="640" w:firstLineChars="200"/>
        <w:contextualSpacing/>
        <w:jc w:val="left"/>
        <w:rPr>
          <w:rFonts w:hint="eastAsia" w:ascii="楷体" w:hAnsi="楷体" w:eastAsia="楷体" w:cs="楷体"/>
          <w:color w:val="000000"/>
          <w:kern w:val="0"/>
          <w:sz w:val="32"/>
          <w:szCs w:val="32"/>
          <w:highlight w:val="none"/>
          <w:shd w:val="clear" w:color="auto" w:fill="FFFFFF"/>
          <w:lang w:val="zh-CN"/>
        </w:rPr>
      </w:pPr>
      <w:r>
        <w:rPr>
          <w:rFonts w:hint="eastAsia" w:ascii="楷体" w:hAnsi="楷体" w:eastAsia="楷体" w:cs="楷体"/>
          <w:color w:val="000000"/>
          <w:kern w:val="0"/>
          <w:sz w:val="32"/>
          <w:szCs w:val="32"/>
          <w:highlight w:val="none"/>
          <w:shd w:val="clear" w:color="auto" w:fill="FFFFFF"/>
          <w:lang w:val="zh-CN"/>
        </w:rPr>
        <w:t>机构职能和人员概况。</w:t>
      </w:r>
    </w:p>
    <w:p>
      <w:pPr>
        <w:pStyle w:val="2"/>
        <w:keepNext w:val="0"/>
        <w:keepLines w:val="0"/>
        <w:pageBreakBefore w:val="0"/>
        <w:kinsoku/>
        <w:wordWrap/>
        <w:overflowPunct/>
        <w:autoSpaceDE/>
        <w:autoSpaceDN/>
        <w:bidi w:val="0"/>
        <w:spacing w:line="580" w:lineRule="exac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中共乐山市五通桥区委统战部（以下简称区委统战部）是五通桥区委主管统一战线工作的职能部门。</w:t>
      </w: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年年末在职人员</w:t>
      </w: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lang w:eastAsia="zh-CN"/>
        </w:rPr>
        <w:t>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区外调入</w:t>
      </w:r>
      <w:r>
        <w:rPr>
          <w:rFonts w:hint="eastAsia" w:ascii="仿宋_GB2312" w:hAnsi="仿宋_GB2312" w:eastAsia="仿宋_GB2312" w:cs="仿宋_GB2312"/>
          <w:kern w:val="0"/>
          <w:sz w:val="32"/>
          <w:szCs w:val="32"/>
          <w:highlight w:val="none"/>
          <w:lang w:val="en-US" w:eastAsia="zh-CN"/>
        </w:rPr>
        <w:t>1人；</w:t>
      </w: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年年末退休人员</w:t>
      </w: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lang w:eastAsia="zh-CN"/>
        </w:rPr>
        <w:t>人</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color w:val="000000"/>
          <w:sz w:val="32"/>
          <w:szCs w:val="32"/>
          <w:highlight w:val="none"/>
          <w:lang w:val="en-US" w:eastAsia="zh-CN"/>
        </w:rPr>
        <w:t>乐山市五通桥区归侨侨眷联合会，</w:t>
      </w: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年年末在职人员</w:t>
      </w: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lang w:eastAsia="zh-CN"/>
        </w:rPr>
        <w:t>人</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kern w:val="0"/>
          <w:sz w:val="32"/>
          <w:szCs w:val="32"/>
          <w:highlight w:val="none"/>
          <w:lang w:eastAsia="zh-CN"/>
        </w:rPr>
        <w:t>区内调入</w:t>
      </w:r>
      <w:r>
        <w:rPr>
          <w:rFonts w:hint="eastAsia" w:ascii="仿宋_GB2312" w:hAnsi="仿宋_GB2312" w:eastAsia="仿宋_GB2312" w:cs="仿宋_GB2312"/>
          <w:kern w:val="0"/>
          <w:sz w:val="32"/>
          <w:szCs w:val="32"/>
          <w:highlight w:val="none"/>
          <w:lang w:val="en-US" w:eastAsia="zh-CN"/>
        </w:rPr>
        <w:t>1人；</w:t>
      </w: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年年末退休人员</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lang w:eastAsia="zh-CN"/>
        </w:rPr>
        <w:t>人</w:t>
      </w:r>
      <w:r>
        <w:rPr>
          <w:rFonts w:hint="eastAsia" w:ascii="仿宋_GB2312" w:hAnsi="仿宋_GB2312" w:eastAsia="仿宋_GB2312" w:cs="仿宋_GB2312"/>
          <w:kern w:val="0"/>
          <w:sz w:val="32"/>
          <w:szCs w:val="32"/>
          <w:highlight w:val="none"/>
        </w:rPr>
        <w:t>。</w:t>
      </w:r>
    </w:p>
    <w:p>
      <w:pPr>
        <w:widowControl/>
        <w:adjustRightInd w:val="0"/>
        <w:snapToGrid w:val="0"/>
        <w:spacing w:line="580" w:lineRule="exact"/>
        <w:ind w:firstLine="640" w:firstLineChars="200"/>
        <w:contextualSpacing/>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auto"/>
          <w:kern w:val="0"/>
          <w:sz w:val="32"/>
          <w:szCs w:val="32"/>
          <w:highlight w:val="none"/>
          <w:shd w:val="clear" w:color="auto" w:fill="FFFFFF"/>
          <w:lang w:val="en-US" w:eastAsia="zh-CN"/>
        </w:rPr>
        <w:t>乐山市五通桥区工商业联合会职能为：</w:t>
      </w:r>
      <w:r>
        <w:rPr>
          <w:rFonts w:hint="eastAsia" w:ascii="仿宋_GB2312" w:hAnsi="仿宋_GB2312" w:eastAsia="仿宋_GB2312" w:cs="仿宋_GB2312"/>
          <w:color w:val="000000"/>
          <w:kern w:val="0"/>
          <w:sz w:val="32"/>
          <w:szCs w:val="32"/>
          <w:shd w:val="clear" w:color="auto" w:fill="FFFFFF"/>
          <w:lang w:val="zh-CN"/>
        </w:rPr>
        <w:t>参与政治协商，参政议政；加强和改进非公有制经济人士思想政治工作；引导会员爱国、敬业、诚信、守法、贡献；代表并维护会员的合法权益；参与经济纠纷的调解、仲裁；为会员提供培训、融资、科技、法律、信息咨询等服务，提供对内、对外经贸交流服务等。</w:t>
      </w: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4</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zh-CN"/>
        </w:rPr>
        <w:t>年末在职</w:t>
      </w:r>
      <w:r>
        <w:rPr>
          <w:rFonts w:hint="eastAsia" w:ascii="仿宋_GB2312" w:hAnsi="仿宋_GB2312" w:eastAsia="仿宋_GB2312" w:cs="仿宋_GB2312"/>
          <w:color w:val="000000"/>
          <w:kern w:val="0"/>
          <w:sz w:val="32"/>
          <w:szCs w:val="32"/>
          <w:shd w:val="clear" w:color="auto" w:fill="FFFFFF"/>
          <w:lang w:val="en-US" w:eastAsia="zh-CN"/>
        </w:rPr>
        <w:t>8</w:t>
      </w:r>
      <w:r>
        <w:rPr>
          <w:rFonts w:hint="eastAsia" w:ascii="仿宋_GB2312" w:hAnsi="仿宋_GB2312" w:eastAsia="仿宋_GB2312" w:cs="仿宋_GB2312"/>
          <w:color w:val="000000"/>
          <w:kern w:val="0"/>
          <w:sz w:val="32"/>
          <w:szCs w:val="32"/>
          <w:shd w:val="clear" w:color="auto" w:fill="FFFFFF"/>
          <w:lang w:val="zh-CN"/>
        </w:rPr>
        <w:t>人；</w:t>
      </w:r>
      <w:r>
        <w:rPr>
          <w:rFonts w:hint="eastAsia" w:ascii="仿宋_GB2312" w:hAnsi="仿宋_GB2312" w:eastAsia="仿宋_GB2312" w:cs="仿宋_GB2312"/>
          <w:color w:val="000000"/>
          <w:kern w:val="0"/>
          <w:sz w:val="32"/>
          <w:szCs w:val="32"/>
          <w:shd w:val="clear" w:color="auto" w:fill="FFFFFF"/>
          <w:lang w:val="en-US" w:eastAsia="zh-CN"/>
        </w:rPr>
        <w:t>2024年年末</w:t>
      </w:r>
      <w:r>
        <w:rPr>
          <w:rFonts w:hint="eastAsia" w:ascii="仿宋_GB2312" w:hAnsi="仿宋_GB2312" w:eastAsia="仿宋_GB2312" w:cs="仿宋_GB2312"/>
          <w:color w:val="000000"/>
          <w:kern w:val="0"/>
          <w:sz w:val="32"/>
          <w:szCs w:val="32"/>
          <w:shd w:val="clear" w:color="auto" w:fill="FFFFFF"/>
          <w:lang w:val="zh-CN"/>
        </w:rPr>
        <w:t>退休人员</w:t>
      </w:r>
      <w:r>
        <w:rPr>
          <w:rFonts w:hint="eastAsia" w:ascii="仿宋_GB2312" w:hAnsi="仿宋_GB2312" w:eastAsia="仿宋_GB2312" w:cs="仿宋_GB2312"/>
          <w:color w:val="000000"/>
          <w:kern w:val="0"/>
          <w:sz w:val="32"/>
          <w:szCs w:val="32"/>
          <w:shd w:val="clear" w:color="auto" w:fill="FFFFFF"/>
        </w:rPr>
        <w:t>5人。</w:t>
      </w:r>
    </w:p>
    <w:p>
      <w:pPr>
        <w:widowControl/>
        <w:numPr>
          <w:ilvl w:val="0"/>
          <w:numId w:val="4"/>
        </w:numPr>
        <w:adjustRightInd w:val="0"/>
        <w:snapToGrid w:val="0"/>
        <w:spacing w:line="580" w:lineRule="exact"/>
        <w:ind w:left="0" w:leftChars="0"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年度主要工作任务。</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中共乐山市五通桥区委统战部</w:t>
      </w:r>
      <w:r>
        <w:rPr>
          <w:rFonts w:hint="eastAsia" w:ascii="仿宋_GB2312" w:hAnsi="仿宋_GB2312" w:eastAsia="仿宋_GB2312" w:cs="仿宋_GB2312"/>
          <w:sz w:val="32"/>
          <w:szCs w:val="32"/>
          <w:highlight w:val="none"/>
          <w:lang w:val="en-US" w:eastAsia="zh-CN"/>
        </w:rPr>
        <w:t>2024年度主要工作任务为：</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贯彻落实加强党对统一战线工作的集中领导的要求，发挥区委在统战工作方面的参谋机构、组织协调机构、具体执行机构、督促检查机构作用，了解情况、掌握政策、协调关系、安排人事、增进共识、加强团结，协调统一战线各方面关系，组织落实中央、省委、市委和区委关于统一战线工作重大决策部署，巩固和发展最广泛的统一战线。</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2.调查研究我区统一战线的实际情况，向区委如实反映并提出开展统战工作的意见建议，组织协调统一战线方针政策和法律法规的贯彻落实，协调全区统一战线各方面关系。</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3.负责发现、培养党外代表人士，制定党外人士培养发现计划。</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4.负责开展统一战线宣传工作。</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5.负责联系各民主党派，通报情况、反映意见、制定年度政党协商计划，贯彻落实中国共产党领导的多党合作和政治协商制度以及民主党派的方针政策，支持和帮助民主党派加强自身建设，做好支持民主党派履行职责、发挥作用的工作。</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6.贯彻落实党的民族工作方针，研究拟订民族工作的政策措施，协调处理民族工作的重大问题。根据分工，统筹协调做好少数民族干部工作，领导区民族宗教事务局依法管理民族事务，全面促进民族团结。</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7.贯彻落实党的宗教工作的基本方针和政策，研究拟订宗教工作政策措施并督促落实。领导区民族宗教事务局依法管理宗教事务，保护公民宗教信仰自由和正常的宗教活动，维护宗教界合法权益，抵御境外利用宗教进行渗透，引导各宗教坚持中国化方向，巩固和发展同宗教界的爱国统一战线。</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8.负责联系、培养无党派代表人士，支持无党派加强自身建设、发挥作用。</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9.负责联系、培养新的社会阶层人士，支持、帮助新的社会阶层人士加强自身建设、发挥作用。</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10.承担全区非公有制经济协调工作，负责全区非公有制经济代表人士工作。</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11.统一领导港澳台统战工作。</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12.统一管理对台工作。</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13.统一管理侨务工作。</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14.受区委委托，领导区工商联党组，指导工商联工作。领导区民族宗教事务局工作。做好统一战线有关单位和团体及事业单位工作。</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15.负责职责范围内的安全生产和职业健康、生态环境保护等工作。</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contextualSpacing/>
        <w:jc w:val="both"/>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16.完成区委交办的其他任务。</w:t>
      </w:r>
    </w:p>
    <w:p>
      <w:pPr>
        <w:keepNext w:val="0"/>
        <w:keepLines w:val="0"/>
        <w:pageBreakBefore w:val="0"/>
        <w:widowControl w:val="0"/>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下属事业单位乐山市归侨侨眷联合会</w:t>
      </w:r>
      <w:r>
        <w:rPr>
          <w:rFonts w:hint="eastAsia" w:ascii="仿宋_GB2312" w:hAnsi="仿宋_GB2312" w:eastAsia="仿宋_GB2312" w:cs="仿宋_GB2312"/>
          <w:sz w:val="32"/>
          <w:szCs w:val="32"/>
          <w:highlight w:val="none"/>
          <w:lang w:val="en-US" w:eastAsia="zh-CN"/>
        </w:rPr>
        <w:t>2024年度主要工作任务为：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负责党的侨务方针政策宣传工作</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负责侨界人大代表，政协委员联络服务工作</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负责涉侨捐赠事务、贫困归侨侨眷帮扶工作</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负责对侨胞及其社团（包括港澳台地区）联谊和服务工作</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开展招才引智、引资、引技等工作</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开展涉侨文化交流活动，组织实施有关华文教育项目。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sz w:val="32"/>
          <w:szCs w:val="32"/>
          <w:highlight w:val="yellow"/>
          <w:lang w:val="en-US" w:eastAsia="zh-CN"/>
        </w:rPr>
      </w:pPr>
      <w:r>
        <w:rPr>
          <w:rFonts w:hint="eastAsia" w:ascii="仿宋_GB2312" w:hAnsi="仿宋_GB2312" w:eastAsia="仿宋_GB2312" w:cs="仿宋_GB2312"/>
          <w:sz w:val="32"/>
          <w:szCs w:val="32"/>
          <w:lang w:val="en-US" w:eastAsia="zh-CN"/>
        </w:rPr>
        <w:t>7.承担民主党派、无党派、工商联的联络服务工作。</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color w:val="000000"/>
          <w:sz w:val="32"/>
          <w:szCs w:val="32"/>
          <w:highlight w:val="none"/>
          <w:lang w:val="en-US" w:eastAsia="zh-CN"/>
        </w:rPr>
        <w:t>下属人民团体</w:t>
      </w:r>
      <w:r>
        <w:rPr>
          <w:rFonts w:hint="eastAsia" w:ascii="仿宋_GB2312" w:hAnsi="仿宋_GB2312" w:eastAsia="仿宋_GB2312" w:cs="仿宋_GB2312"/>
          <w:color w:val="auto"/>
          <w:kern w:val="0"/>
          <w:sz w:val="32"/>
          <w:szCs w:val="32"/>
          <w:highlight w:val="none"/>
          <w:shd w:val="clear" w:color="auto" w:fill="FFFFFF"/>
          <w:lang w:val="en-US" w:eastAsia="zh-CN"/>
        </w:rPr>
        <w:t>乐山市五通桥区工商业联合会2024年度主要工作任务为：</w:t>
      </w:r>
      <w:r>
        <w:rPr>
          <w:rFonts w:hint="eastAsia" w:ascii="仿宋_GB2312" w:hAnsi="仿宋_GB2312" w:eastAsia="仿宋_GB2312" w:cs="仿宋_GB2312"/>
          <w:b/>
          <w:sz w:val="32"/>
          <w:szCs w:val="32"/>
          <w:highlight w:val="none"/>
        </w:rPr>
        <w:t>一</w:t>
      </w:r>
      <w:r>
        <w:rPr>
          <w:rFonts w:hint="eastAsia" w:ascii="仿宋_GB2312" w:hAnsi="仿宋_GB2312" w:eastAsia="仿宋_GB2312" w:cs="仿宋_GB2312"/>
          <w:b/>
          <w:sz w:val="32"/>
          <w:szCs w:val="32"/>
        </w:rPr>
        <w:t>是</w:t>
      </w:r>
      <w:r>
        <w:rPr>
          <w:rFonts w:hint="eastAsia" w:ascii="仿宋_GB2312" w:hAnsi="仿宋_GB2312" w:eastAsia="仿宋_GB2312" w:cs="仿宋_GB2312"/>
          <w:sz w:val="32"/>
          <w:szCs w:val="32"/>
        </w:rPr>
        <w:t>强化宣传教育。在非公有制企业开展宣传教育，深入学习党的十九大、十九届六中全会、省第十一次党代会、市第八次党代会和区第九次党代会精神，引导非公有制经济人士在思想上同心同德、在目标上同心同向、在行动上同心同行，用实际行动为非公有制经济健康发展做积极贡献。</w:t>
      </w:r>
      <w:r>
        <w:rPr>
          <w:rFonts w:hint="eastAsia" w:ascii="仿宋_GB2312" w:hAnsi="仿宋_GB2312" w:eastAsia="仿宋_GB2312" w:cs="仿宋_GB2312"/>
          <w:b/>
          <w:sz w:val="32"/>
          <w:szCs w:val="32"/>
        </w:rPr>
        <w:t>二是</w:t>
      </w:r>
      <w:r>
        <w:rPr>
          <w:rFonts w:hint="eastAsia" w:ascii="仿宋_GB2312" w:hAnsi="仿宋_GB2312" w:eastAsia="仿宋_GB2312" w:cs="仿宋_GB2312"/>
          <w:sz w:val="32"/>
          <w:szCs w:val="32"/>
        </w:rPr>
        <w:t>搞好调查研究。以推进</w:t>
      </w:r>
      <w:r>
        <w:rPr>
          <w:rFonts w:hint="eastAsia" w:ascii="仿宋_GB2312" w:hAnsi="仿宋_GB2312" w:eastAsia="仿宋_GB2312" w:cs="仿宋_GB2312"/>
          <w:sz w:val="32"/>
          <w:szCs w:val="32"/>
          <w:lang w:eastAsia="zh-CN"/>
        </w:rPr>
        <w:t>非公有制</w:t>
      </w:r>
      <w:r>
        <w:rPr>
          <w:rFonts w:hint="eastAsia" w:ascii="仿宋_GB2312" w:hAnsi="仿宋_GB2312" w:eastAsia="仿宋_GB2312" w:cs="仿宋_GB2312"/>
          <w:sz w:val="32"/>
          <w:szCs w:val="32"/>
        </w:rPr>
        <w:t>经济发展的热点、难点以及工商联在新形势下如何更好地发挥作用等为题，深入开展调研；充分发挥工商联组织优势，认真做好反映意见建议和协商建言工作，进一步搭建好非公经济领域党代表、人大代表、政协委员及工商联企业家执常委开展相互交流、深入研讨的平台，不断提高非公有制经济人士建言献策水平。</w:t>
      </w:r>
      <w:r>
        <w:rPr>
          <w:rFonts w:hint="eastAsia" w:ascii="仿宋_GB2312" w:hAnsi="仿宋_GB2312" w:eastAsia="仿宋_GB2312" w:cs="仿宋_GB2312"/>
          <w:b/>
          <w:sz w:val="32"/>
          <w:szCs w:val="32"/>
        </w:rPr>
        <w:t>三是</w:t>
      </w:r>
      <w:r>
        <w:rPr>
          <w:rFonts w:hint="eastAsia" w:ascii="仿宋_GB2312" w:hAnsi="仿宋_GB2312" w:eastAsia="仿宋_GB2312" w:cs="仿宋_GB2312"/>
          <w:sz w:val="32"/>
          <w:szCs w:val="32"/>
        </w:rPr>
        <w:t>加强会员服务。会同商务、税务、人社等部门，通过微信群分享、上门服务等形式，为会员提供税务、法律法规、就业政策等信息，积极组织动员企业参加各类经贸活动，继续组织动员会员企业参加全国、省、市各类培训班，不断提升服务水平。</w:t>
      </w:r>
      <w:r>
        <w:rPr>
          <w:rFonts w:hint="eastAsia" w:ascii="仿宋_GB2312" w:hAnsi="仿宋_GB2312" w:eastAsia="仿宋_GB2312" w:cs="仿宋_GB2312"/>
          <w:b/>
          <w:sz w:val="32"/>
          <w:szCs w:val="32"/>
        </w:rPr>
        <w:t>四是</w:t>
      </w:r>
      <w:r>
        <w:rPr>
          <w:rFonts w:hint="eastAsia" w:ascii="仿宋_GB2312" w:hAnsi="仿宋_GB2312" w:eastAsia="仿宋_GB2312" w:cs="仿宋_GB2312"/>
          <w:sz w:val="32"/>
          <w:szCs w:val="32"/>
        </w:rPr>
        <w:t>搞好组织建设。继续加强机关干部队伍建设，建设学习型、实干型机关，着力提升能力素质，提升工作质量和工作效率，不断开创工商联工作新局面；同时推进乡镇商会规范化建设，在有条件的镇建立商会，加大对基层商会的规范和引导。</w:t>
      </w:r>
    </w:p>
    <w:p>
      <w:pPr>
        <w:widowControl/>
        <w:numPr>
          <w:ilvl w:val="0"/>
          <w:numId w:val="4"/>
        </w:numPr>
        <w:adjustRightInd w:val="0"/>
        <w:snapToGrid w:val="0"/>
        <w:spacing w:line="580" w:lineRule="exact"/>
        <w:ind w:left="0" w:leftChars="0"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部门整体支出绩效目标。</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Cs/>
          <w:kern w:val="2"/>
          <w:sz w:val="32"/>
          <w:szCs w:val="32"/>
          <w:lang w:val="en-US" w:eastAsia="zh-CN" w:bidi="ar-SA"/>
        </w:rPr>
        <w:t>我部的总目标是扎实开展各项</w:t>
      </w:r>
      <w:r>
        <w:rPr>
          <w:rFonts w:hint="eastAsia" w:ascii="仿宋_GB2312" w:hAnsi="仿宋_GB2312" w:eastAsia="仿宋_GB2312" w:cs="仿宋_GB2312"/>
          <w:bCs/>
          <w:kern w:val="2"/>
          <w:sz w:val="32"/>
          <w:szCs w:val="32"/>
          <w:highlight w:val="none"/>
          <w:lang w:val="en-US" w:eastAsia="zh-CN" w:bidi="ar-SA"/>
        </w:rPr>
        <w:t>统战工</w:t>
      </w:r>
      <w:r>
        <w:rPr>
          <w:rFonts w:hint="eastAsia" w:ascii="仿宋_GB2312" w:hAnsi="仿宋_GB2312" w:eastAsia="仿宋_GB2312" w:cs="仿宋_GB2312"/>
          <w:bCs/>
          <w:kern w:val="2"/>
          <w:sz w:val="32"/>
          <w:szCs w:val="32"/>
          <w:lang w:val="en-US" w:eastAsia="zh-CN" w:bidi="ar-SA"/>
        </w:rPr>
        <w:t>作，根据年度绩效目标表三级指标内容，项目产出指标、效益指标、成本指标、满意度等都已达到指标值。已按绩效目标完成任务指标，全年总体目标全部完成。</w:t>
      </w:r>
    </w:p>
    <w:p>
      <w:pPr>
        <w:widowControl/>
        <w:adjustRightInd w:val="0"/>
        <w:snapToGrid w:val="0"/>
        <w:spacing w:line="580" w:lineRule="exact"/>
        <w:ind w:firstLine="640" w:firstLineChars="200"/>
        <w:contextualSpacing/>
        <w:jc w:val="left"/>
        <w:rPr>
          <w:rFonts w:hint="eastAsia" w:ascii="黑体" w:hAnsi="黑体" w:eastAsia="黑体" w:cs="黑体"/>
          <w:color w:val="000000"/>
          <w:kern w:val="0"/>
          <w:sz w:val="32"/>
          <w:szCs w:val="32"/>
          <w:shd w:val="clear" w:color="auto" w:fill="FFFFFF"/>
        </w:rPr>
      </w:pPr>
      <w:bookmarkStart w:id="129" w:name="_Toc26726_WPSOffice_Level2"/>
      <w:r>
        <w:rPr>
          <w:rFonts w:hint="eastAsia" w:ascii="黑体" w:hAnsi="黑体" w:eastAsia="黑体" w:cs="黑体"/>
          <w:color w:val="000000"/>
          <w:kern w:val="0"/>
          <w:sz w:val="32"/>
          <w:szCs w:val="32"/>
          <w:shd w:val="clear" w:color="auto" w:fill="FFFFFF"/>
        </w:rPr>
        <w:t>二、部门财政资金收支情况</w:t>
      </w:r>
      <w:bookmarkEnd w:id="129"/>
    </w:p>
    <w:p>
      <w:pPr>
        <w:widowControl/>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（一）部门财政资金收入情况。</w:t>
      </w:r>
    </w:p>
    <w:p>
      <w:pPr>
        <w:keepNext w:val="0"/>
        <w:keepLines w:val="0"/>
        <w:pageBreakBefore w:val="0"/>
        <w:widowControl/>
        <w:numPr>
          <w:ilvl w:val="0"/>
          <w:numId w:val="0"/>
        </w:numPr>
        <w:kinsoku/>
        <w:wordWrap/>
        <w:overflowPunct/>
        <w:autoSpaceDE/>
        <w:autoSpaceDN/>
        <w:bidi w:val="0"/>
        <w:adjustRightInd w:val="0"/>
        <w:snapToGrid w:val="0"/>
        <w:spacing w:line="580" w:lineRule="exact"/>
        <w:ind w:firstLine="640" w:firstLineChars="200"/>
        <w:contextualSpacing/>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我部</w:t>
      </w:r>
      <w:r>
        <w:rPr>
          <w:rFonts w:hint="eastAsia" w:ascii="仿宋_GB2312" w:hAnsi="仿宋_GB2312" w:eastAsia="仿宋_GB2312" w:cs="仿宋_GB2312"/>
          <w:kern w:val="0"/>
          <w:sz w:val="32"/>
          <w:szCs w:val="32"/>
        </w:rPr>
        <w:t>收入</w:t>
      </w:r>
      <w:r>
        <w:rPr>
          <w:rFonts w:hint="eastAsia" w:ascii="仿宋_GB2312" w:hAnsi="仿宋_GB2312" w:eastAsia="仿宋_GB2312" w:cs="仿宋_GB2312"/>
          <w:kern w:val="0"/>
          <w:sz w:val="32"/>
          <w:szCs w:val="32"/>
          <w:lang w:val="en-US" w:eastAsia="zh-CN"/>
        </w:rPr>
        <w:t>430.2万</w:t>
      </w:r>
      <w:r>
        <w:rPr>
          <w:rFonts w:hint="eastAsia" w:ascii="仿宋_GB2312" w:hAnsi="仿宋_GB2312" w:eastAsia="仿宋_GB2312" w:cs="仿宋_GB2312"/>
          <w:kern w:val="0"/>
          <w:sz w:val="32"/>
          <w:szCs w:val="32"/>
        </w:rPr>
        <w:t>元，其中基本支出-人员经费</w:t>
      </w:r>
      <w:r>
        <w:rPr>
          <w:rFonts w:hint="eastAsia" w:ascii="仿宋_GB2312" w:hAnsi="仿宋_GB2312" w:eastAsia="仿宋_GB2312" w:cs="仿宋_GB2312"/>
          <w:kern w:val="0"/>
          <w:sz w:val="32"/>
          <w:szCs w:val="32"/>
          <w:lang w:val="en-US" w:eastAsia="zh-CN"/>
        </w:rPr>
        <w:t>327.94万</w:t>
      </w:r>
      <w:r>
        <w:rPr>
          <w:rFonts w:hint="eastAsia" w:ascii="仿宋_GB2312" w:hAnsi="仿宋_GB2312" w:eastAsia="仿宋_GB2312" w:cs="仿宋_GB2312"/>
          <w:kern w:val="0"/>
          <w:sz w:val="32"/>
          <w:szCs w:val="32"/>
        </w:rPr>
        <w:t>元，基本支出-公用经费</w:t>
      </w:r>
      <w:r>
        <w:rPr>
          <w:rFonts w:hint="eastAsia" w:ascii="仿宋_GB2312" w:hAnsi="仿宋_GB2312" w:eastAsia="仿宋_GB2312" w:cs="仿宋_GB2312"/>
          <w:kern w:val="0"/>
          <w:sz w:val="32"/>
          <w:szCs w:val="32"/>
          <w:lang w:val="en-US" w:eastAsia="zh-CN"/>
        </w:rPr>
        <w:t>53.67万</w:t>
      </w:r>
      <w:r>
        <w:rPr>
          <w:rFonts w:hint="eastAsia" w:ascii="仿宋_GB2312" w:hAnsi="仿宋_GB2312" w:eastAsia="仿宋_GB2312" w:cs="仿宋_GB2312"/>
          <w:kern w:val="0"/>
          <w:sz w:val="32"/>
          <w:szCs w:val="32"/>
        </w:rPr>
        <w:t>元，项目支出</w:t>
      </w:r>
      <w:r>
        <w:rPr>
          <w:rFonts w:hint="eastAsia" w:ascii="仿宋_GB2312" w:hAnsi="仿宋_GB2312" w:eastAsia="仿宋_GB2312" w:cs="仿宋_GB2312"/>
          <w:kern w:val="0"/>
          <w:sz w:val="32"/>
          <w:szCs w:val="32"/>
          <w:lang w:val="en-US" w:eastAsia="zh-CN"/>
        </w:rPr>
        <w:t>49.16万</w:t>
      </w:r>
      <w:r>
        <w:rPr>
          <w:rFonts w:hint="eastAsia" w:ascii="仿宋_GB2312" w:hAnsi="仿宋_GB2312" w:eastAsia="仿宋_GB2312" w:cs="仿宋_GB2312"/>
          <w:kern w:val="0"/>
          <w:sz w:val="32"/>
          <w:szCs w:val="32"/>
        </w:rPr>
        <w:t>元。</w:t>
      </w:r>
    </w:p>
    <w:p>
      <w:pPr>
        <w:widowControl/>
        <w:numPr>
          <w:ilvl w:val="0"/>
          <w:numId w:val="5"/>
        </w:numPr>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部门财政资金支出情况。</w:t>
      </w:r>
    </w:p>
    <w:p>
      <w:pPr>
        <w:keepNext w:val="0"/>
        <w:keepLines w:val="0"/>
        <w:pageBreakBefore w:val="0"/>
        <w:widowControl/>
        <w:kinsoku/>
        <w:wordWrap/>
        <w:overflowPunct/>
        <w:autoSpaceDE/>
        <w:autoSpaceDN/>
        <w:bidi w:val="0"/>
        <w:adjustRightInd w:val="0"/>
        <w:snapToGrid w:val="0"/>
        <w:spacing w:line="580" w:lineRule="exact"/>
        <w:ind w:firstLine="640" w:firstLineChars="200"/>
        <w:contextualSpacing/>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我部</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kern w:val="0"/>
          <w:sz w:val="32"/>
          <w:szCs w:val="32"/>
          <w:lang w:val="en-US" w:eastAsia="zh-CN"/>
        </w:rPr>
        <w:t>430.76万元</w:t>
      </w:r>
      <w:r>
        <w:rPr>
          <w:rFonts w:hint="eastAsia" w:ascii="仿宋_GB2312" w:hAnsi="仿宋_GB2312" w:eastAsia="仿宋_GB2312" w:cs="仿宋_GB2312"/>
          <w:kern w:val="0"/>
          <w:sz w:val="32"/>
          <w:szCs w:val="32"/>
        </w:rPr>
        <w:t>，其中基本支出-人员经费</w:t>
      </w:r>
      <w:r>
        <w:rPr>
          <w:rFonts w:hint="eastAsia" w:ascii="仿宋_GB2312" w:hAnsi="仿宋_GB2312" w:eastAsia="仿宋_GB2312" w:cs="仿宋_GB2312"/>
          <w:kern w:val="0"/>
          <w:sz w:val="32"/>
          <w:szCs w:val="32"/>
          <w:lang w:val="en-US" w:eastAsia="zh-CN"/>
        </w:rPr>
        <w:t>327.94万</w:t>
      </w:r>
      <w:r>
        <w:rPr>
          <w:rFonts w:hint="eastAsia" w:ascii="仿宋_GB2312" w:hAnsi="仿宋_GB2312" w:eastAsia="仿宋_GB2312" w:cs="仿宋_GB2312"/>
          <w:kern w:val="0"/>
          <w:sz w:val="32"/>
          <w:szCs w:val="32"/>
        </w:rPr>
        <w:t>元，基本支出-公用经费</w:t>
      </w:r>
      <w:r>
        <w:rPr>
          <w:rFonts w:hint="eastAsia" w:ascii="仿宋_GB2312" w:hAnsi="仿宋_GB2312" w:eastAsia="仿宋_GB2312" w:cs="仿宋_GB2312"/>
          <w:kern w:val="0"/>
          <w:sz w:val="32"/>
          <w:szCs w:val="32"/>
          <w:lang w:val="en-US" w:eastAsia="zh-CN"/>
        </w:rPr>
        <w:t>53.67万</w:t>
      </w:r>
      <w:r>
        <w:rPr>
          <w:rFonts w:hint="eastAsia" w:ascii="仿宋_GB2312" w:hAnsi="仿宋_GB2312" w:eastAsia="仿宋_GB2312" w:cs="仿宋_GB2312"/>
          <w:kern w:val="0"/>
          <w:sz w:val="32"/>
          <w:szCs w:val="32"/>
        </w:rPr>
        <w:t>元，项目支出</w:t>
      </w:r>
      <w:r>
        <w:rPr>
          <w:rFonts w:hint="eastAsia" w:ascii="仿宋_GB2312" w:hAnsi="仿宋_GB2312" w:eastAsia="仿宋_GB2312" w:cs="仿宋_GB2312"/>
          <w:kern w:val="0"/>
          <w:sz w:val="32"/>
          <w:szCs w:val="32"/>
          <w:lang w:val="en-US" w:eastAsia="zh-CN"/>
        </w:rPr>
        <w:t>49.16万</w:t>
      </w:r>
      <w:r>
        <w:rPr>
          <w:rFonts w:hint="eastAsia" w:ascii="仿宋_GB2312" w:hAnsi="仿宋_GB2312" w:eastAsia="仿宋_GB2312" w:cs="仿宋_GB2312"/>
          <w:kern w:val="0"/>
          <w:sz w:val="32"/>
          <w:szCs w:val="32"/>
        </w:rPr>
        <w:t>元。</w:t>
      </w:r>
    </w:p>
    <w:p>
      <w:pPr>
        <w:widowControl/>
        <w:numPr>
          <w:ilvl w:val="0"/>
          <w:numId w:val="5"/>
        </w:numPr>
        <w:adjustRightInd w:val="0"/>
        <w:snapToGrid w:val="0"/>
        <w:spacing w:line="580" w:lineRule="exact"/>
        <w:ind w:left="0" w:leftChars="0"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部门财政资金结转结余情况。</w:t>
      </w:r>
    </w:p>
    <w:p>
      <w:pPr>
        <w:pStyle w:val="38"/>
        <w:keepNext w:val="0"/>
        <w:keepLines w:val="0"/>
        <w:pageBreakBefore w:val="0"/>
        <w:numPr>
          <w:ilvl w:val="0"/>
          <w:numId w:val="0"/>
        </w:numPr>
        <w:kinsoku/>
        <w:wordWrap/>
        <w:overflowPunct/>
        <w:topLinePunct w:val="0"/>
        <w:autoSpaceDE/>
        <w:autoSpaceDN/>
        <w:bidi w:val="0"/>
        <w:spacing w:line="576" w:lineRule="exact"/>
        <w:ind w:firstLine="563" w:firstLineChars="176"/>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highlight w:val="none"/>
        </w:rPr>
        <w:t>20</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我部</w:t>
      </w:r>
      <w:r>
        <w:rPr>
          <w:rFonts w:hint="eastAsia" w:ascii="仿宋_GB2312" w:hAnsi="仿宋_GB2312" w:eastAsia="仿宋_GB2312" w:cs="仿宋_GB2312"/>
          <w:sz w:val="32"/>
          <w:szCs w:val="32"/>
        </w:rPr>
        <w:t>年末结转和结余资金</w:t>
      </w:r>
      <w:r>
        <w:rPr>
          <w:rFonts w:hint="eastAsia" w:ascii="仿宋_GB2312" w:hAnsi="仿宋_GB2312" w:eastAsia="仿宋_GB2312" w:cs="仿宋_GB2312"/>
          <w:sz w:val="32"/>
          <w:szCs w:val="32"/>
          <w:lang w:val="en-US" w:eastAsia="zh-CN"/>
        </w:rPr>
        <w:t>2.18万</w:t>
      </w:r>
      <w:r>
        <w:rPr>
          <w:rFonts w:hint="eastAsia" w:ascii="仿宋_GB2312" w:hAnsi="仿宋_GB2312" w:eastAsia="仿宋_GB2312" w:cs="仿宋_GB2312"/>
          <w:sz w:val="32"/>
          <w:szCs w:val="32"/>
        </w:rPr>
        <w:t>元。</w:t>
      </w:r>
    </w:p>
    <w:p>
      <w:pPr>
        <w:widowControl/>
        <w:adjustRightInd w:val="0"/>
        <w:snapToGrid w:val="0"/>
        <w:spacing w:line="580" w:lineRule="exact"/>
        <w:ind w:firstLine="640" w:firstLineChars="200"/>
        <w:contextualSpacing/>
        <w:jc w:val="left"/>
        <w:rPr>
          <w:rFonts w:hint="eastAsia" w:ascii="黑体" w:hAnsi="黑体" w:eastAsia="黑体" w:cs="黑体"/>
          <w:color w:val="000000"/>
          <w:kern w:val="0"/>
          <w:sz w:val="32"/>
          <w:szCs w:val="32"/>
          <w:shd w:val="clear" w:color="auto" w:fill="FFFFFF"/>
        </w:rPr>
      </w:pPr>
      <w:bookmarkStart w:id="130" w:name="_Toc18579_WPSOffice_Level2"/>
      <w:r>
        <w:rPr>
          <w:rFonts w:hint="eastAsia" w:ascii="黑体" w:hAnsi="黑体" w:eastAsia="黑体" w:cs="黑体"/>
          <w:color w:val="000000"/>
          <w:kern w:val="0"/>
          <w:sz w:val="32"/>
          <w:szCs w:val="32"/>
          <w:shd w:val="clear" w:color="auto" w:fill="FFFFFF"/>
        </w:rPr>
        <w:t>三、部门整体绩效管理情况</w:t>
      </w:r>
      <w:bookmarkEnd w:id="130"/>
    </w:p>
    <w:p>
      <w:pPr>
        <w:widowControl/>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（一）部门整体履职绩效分析。</w:t>
      </w:r>
    </w:p>
    <w:p>
      <w:pPr>
        <w:keepNext w:val="0"/>
        <w:keepLines w:val="0"/>
        <w:pageBreakBefore w:val="0"/>
        <w:widowControl/>
        <w:kinsoku/>
        <w:wordWrap/>
        <w:overflowPunct/>
        <w:autoSpaceDE/>
        <w:autoSpaceDN/>
        <w:bidi w:val="0"/>
        <w:adjustRightInd w:val="0"/>
        <w:snapToGrid w:val="0"/>
        <w:spacing w:line="580" w:lineRule="exact"/>
        <w:ind w:firstLine="640" w:firstLineChars="200"/>
        <w:contextualSpacing/>
        <w:jc w:val="left"/>
        <w:textAlignment w:val="auto"/>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部门整体绩效目标完成情况</w:t>
      </w:r>
      <w:bookmarkStart w:id="131" w:name="OLE_LINK1"/>
      <w:r>
        <w:rPr>
          <w:rFonts w:hint="eastAsia" w:ascii="仿宋_GB2312" w:hAnsi="仿宋_GB2312" w:eastAsia="仿宋_GB2312" w:cs="仿宋_GB2312"/>
          <w:kern w:val="0"/>
          <w:sz w:val="32"/>
          <w:szCs w:val="32"/>
          <w:lang w:val="zh-CN"/>
        </w:rPr>
        <w:t>及部门履职情况绩效分析：</w:t>
      </w:r>
      <w:bookmarkEnd w:id="131"/>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1.弘扬思想政治“主旋律”，同心统战的基础更加坚实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始终坚持把思想政治引领作为首要任务，确保统一战线沿着正确的政治方向前进。</w:t>
      </w:r>
      <w:r>
        <w:rPr>
          <w:rFonts w:hint="eastAsia" w:ascii="仿宋_GB2312" w:hAnsi="仿宋_GB2312" w:eastAsia="仿宋_GB2312" w:cs="仿宋_GB2312"/>
          <w:b/>
          <w:bCs/>
          <w:color w:val="auto"/>
          <w:sz w:val="32"/>
          <w:szCs w:val="32"/>
          <w:lang w:val="en-US" w:eastAsia="zh-CN"/>
        </w:rPr>
        <w:t>一是党的领导坚强有力。</w:t>
      </w:r>
      <w:r>
        <w:rPr>
          <w:rFonts w:hint="eastAsia" w:ascii="仿宋_GB2312" w:hAnsi="仿宋_GB2312" w:eastAsia="仿宋_GB2312" w:cs="仿宋_GB2312"/>
          <w:b w:val="0"/>
          <w:bCs w:val="0"/>
          <w:color w:val="auto"/>
          <w:sz w:val="32"/>
          <w:szCs w:val="32"/>
          <w:lang w:val="en-US" w:eastAsia="zh-CN"/>
        </w:rPr>
        <w:t>坚持</w:t>
      </w:r>
      <w:r>
        <w:rPr>
          <w:rFonts w:hint="eastAsia" w:ascii="仿宋_GB2312" w:hAnsi="仿宋_GB2312" w:eastAsia="仿宋_GB2312" w:cs="仿宋_GB2312"/>
          <w:color w:val="auto"/>
          <w:sz w:val="32"/>
          <w:szCs w:val="32"/>
          <w:lang w:val="en-US" w:eastAsia="zh-CN"/>
        </w:rPr>
        <w:t>把统战工作纳入党委重要议事日程，自觉做到“四个纳入”“三个带头”，全年区委常委会议安排部署统战工作6次、领导小组会议专题研究1次，党委统一领导、统战部门牵头协调、有关方面各负其责的大统战工作格局进一步巩固和完善。</w:t>
      </w:r>
      <w:r>
        <w:rPr>
          <w:rFonts w:hint="eastAsia" w:ascii="仿宋_GB2312" w:hAnsi="仿宋_GB2312" w:eastAsia="仿宋_GB2312" w:cs="仿宋_GB2312"/>
          <w:b/>
          <w:bCs/>
          <w:color w:val="auto"/>
          <w:sz w:val="32"/>
          <w:szCs w:val="32"/>
          <w:lang w:val="en-US" w:eastAsia="zh-CN"/>
        </w:rPr>
        <w:t>二是理论武装坚实有方。</w:t>
      </w:r>
      <w:r>
        <w:rPr>
          <w:rFonts w:hint="eastAsia" w:ascii="仿宋_GB2312" w:hAnsi="仿宋_GB2312" w:eastAsia="仿宋_GB2312" w:cs="仿宋_GB2312"/>
          <w:b w:val="0"/>
          <w:bCs w:val="0"/>
          <w:sz w:val="32"/>
          <w:szCs w:val="32"/>
          <w:lang w:val="en-US" w:eastAsia="zh-CN"/>
        </w:rPr>
        <w:t>常态化</w:t>
      </w:r>
      <w:r>
        <w:rPr>
          <w:rFonts w:hint="eastAsia" w:ascii="仿宋_GB2312" w:hAnsi="仿宋_GB2312" w:eastAsia="仿宋_GB2312" w:cs="仿宋_GB2312"/>
          <w:b w:val="0"/>
          <w:bCs w:val="0"/>
          <w:sz w:val="32"/>
          <w:szCs w:val="32"/>
        </w:rPr>
        <w:t>组织统战系统干部</w:t>
      </w:r>
      <w:r>
        <w:rPr>
          <w:rFonts w:hint="eastAsia" w:ascii="仿宋_GB2312" w:hAnsi="仿宋_GB2312" w:eastAsia="仿宋_GB2312" w:cs="仿宋_GB2312"/>
          <w:b w:val="0"/>
          <w:bCs w:val="0"/>
          <w:sz w:val="32"/>
          <w:szCs w:val="32"/>
          <w:lang w:val="en-US" w:eastAsia="zh-CN"/>
        </w:rPr>
        <w:t>开展</w:t>
      </w:r>
      <w:r>
        <w:rPr>
          <w:rFonts w:hint="eastAsia" w:ascii="仿宋_GB2312" w:hAnsi="仿宋_GB2312" w:eastAsia="仿宋_GB2312" w:cs="仿宋_GB2312"/>
          <w:b w:val="0"/>
          <w:bCs w:val="0"/>
          <w:sz w:val="32"/>
          <w:szCs w:val="32"/>
        </w:rPr>
        <w:t>政治理论学习，在持续学习中开阔眼界、提升理念。</w:t>
      </w:r>
      <w:r>
        <w:rPr>
          <w:rFonts w:hint="eastAsia" w:ascii="仿宋_GB2312" w:hAnsi="仿宋_GB2312" w:eastAsia="仿宋_GB2312" w:cs="仿宋_GB2312"/>
          <w:sz w:val="32"/>
          <w:szCs w:val="32"/>
        </w:rPr>
        <w:t>扎实开展党纪学习教育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节奏更快、效率更高、质量更优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主题实践活动</w:t>
      </w:r>
      <w:r>
        <w:rPr>
          <w:rFonts w:hint="eastAsia" w:ascii="仿宋_GB2312" w:hAnsi="仿宋_GB2312" w:eastAsia="仿宋_GB2312" w:cs="仿宋_GB2312"/>
          <w:sz w:val="32"/>
          <w:szCs w:val="32"/>
        </w:rPr>
        <w:t>，引导</w:t>
      </w:r>
      <w:r>
        <w:rPr>
          <w:rFonts w:hint="eastAsia" w:ascii="仿宋_GB2312" w:hAnsi="仿宋_GB2312" w:eastAsia="仿宋_GB2312" w:cs="仿宋_GB2312"/>
          <w:sz w:val="32"/>
          <w:szCs w:val="32"/>
          <w:lang w:val="en-US" w:eastAsia="zh-CN"/>
        </w:rPr>
        <w:t>统战领域</w:t>
      </w:r>
      <w:r>
        <w:rPr>
          <w:rFonts w:hint="eastAsia" w:ascii="仿宋_GB2312" w:hAnsi="仿宋_GB2312" w:eastAsia="仿宋_GB2312" w:cs="仿宋_GB2312"/>
          <w:sz w:val="32"/>
          <w:szCs w:val="32"/>
        </w:rPr>
        <w:t>党员干部</w:t>
      </w:r>
      <w:r>
        <w:rPr>
          <w:rFonts w:hint="eastAsia" w:ascii="仿宋_GB2312" w:hAnsi="仿宋_GB2312" w:eastAsia="仿宋_GB2312" w:cs="仿宋_GB2312"/>
          <w:sz w:val="32"/>
          <w:szCs w:val="32"/>
          <w:lang w:val="en-US" w:eastAsia="zh-CN"/>
        </w:rPr>
        <w:t>明纪守纪转作风、创先创优干事业</w:t>
      </w:r>
      <w:r>
        <w:rPr>
          <w:rFonts w:hint="eastAsia" w:ascii="仿宋_GB2312" w:hAnsi="仿宋_GB2312" w:eastAsia="仿宋_GB2312" w:cs="仿宋_GB2312"/>
          <w:sz w:val="32"/>
          <w:szCs w:val="32"/>
        </w:rPr>
        <w:t>。</w:t>
      </w:r>
      <w:r>
        <w:rPr>
          <w:rFonts w:hint="eastAsia" w:ascii="仿宋_GB2312" w:hAnsi="仿宋_GB2312" w:eastAsia="仿宋_GB2312" w:cs="仿宋_GB2312"/>
          <w:b/>
          <w:bCs/>
          <w:color w:val="auto"/>
          <w:sz w:val="32"/>
          <w:szCs w:val="32"/>
          <w:lang w:val="en-US" w:eastAsia="zh-CN"/>
        </w:rPr>
        <w:t>三是思想根基坚定有挚。</w:t>
      </w:r>
      <w:r>
        <w:rPr>
          <w:rFonts w:hint="eastAsia" w:ascii="仿宋_GB2312" w:hAnsi="仿宋_GB2312" w:eastAsia="仿宋_GB2312" w:cs="仿宋_GB2312"/>
          <w:sz w:val="32"/>
          <w:szCs w:val="32"/>
        </w:rPr>
        <w:t>持续深入开展“凝心铸魂强根基、团结奋进新征程”主题教育等各类学习教育活动，</w:t>
      </w:r>
      <w:r>
        <w:rPr>
          <w:rFonts w:hint="eastAsia" w:ascii="仿宋_GB2312" w:hAnsi="仿宋_GB2312" w:eastAsia="仿宋_GB2312" w:cs="仿宋_GB2312"/>
          <w:sz w:val="32"/>
          <w:szCs w:val="32"/>
          <w:lang w:val="en-US" w:eastAsia="zh-CN"/>
        </w:rPr>
        <w:t>各民主党派组织开展纪律学习教育，</w:t>
      </w:r>
      <w:r>
        <w:rPr>
          <w:rFonts w:hint="eastAsia" w:ascii="仿宋_GB2312" w:hAnsi="仿宋_GB2312" w:eastAsia="仿宋_GB2312" w:cs="仿宋_GB2312"/>
          <w:sz w:val="32"/>
          <w:szCs w:val="32"/>
        </w:rPr>
        <w:t>进一步增进统战成员听党话、感党恩、跟党走的真挚情感和坚定信念。组织统战各界代表人士</w:t>
      </w:r>
      <w:r>
        <w:rPr>
          <w:rFonts w:hint="eastAsia" w:ascii="仿宋_GB2312" w:hAnsi="仿宋_GB2312" w:eastAsia="仿宋_GB2312" w:cs="仿宋_GB2312"/>
          <w:sz w:val="32"/>
          <w:szCs w:val="32"/>
          <w:lang w:val="en-US" w:eastAsia="zh-CN"/>
        </w:rPr>
        <w:t>参加五通桥</w:t>
      </w:r>
      <w:r>
        <w:rPr>
          <w:rFonts w:hint="eastAsia" w:ascii="仿宋_GB2312" w:hAnsi="仿宋_GB2312" w:eastAsia="仿宋_GB2312" w:cs="仿宋_GB2312"/>
          <w:sz w:val="32"/>
          <w:szCs w:val="32"/>
        </w:rPr>
        <w:t>第21届龙舟文化展演活动，引导统战成员传承和弘扬“奋楫争先、勇立潮头”龙舟精神，进一步凝聚人心、汇聚力量，共绘最大同心圆。</w:t>
      </w:r>
    </w:p>
    <w:p>
      <w:pPr>
        <w:keepNext w:val="0"/>
        <w:keepLines w:val="0"/>
        <w:pageBreakBefore w:val="0"/>
        <w:widowControl w:val="0"/>
        <w:kinsoku/>
        <w:wordWrap/>
        <w:overflowPunct/>
        <w:topLinePunct w:val="0"/>
        <w:autoSpaceDE/>
        <w:autoSpaceDN/>
        <w:bidi w:val="0"/>
        <w:adjustRightInd/>
        <w:snapToGrid/>
        <w:spacing w:line="600" w:lineRule="exact"/>
        <w:ind w:left="0" w:right="0" w:rightChars="0"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2.围绕服务发展“主战线”，经济统战的质效更加显现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始终坚持把重心所在、大局所需与统战所长相结合，持续向中心聚焦、为大局聚力。</w:t>
      </w:r>
      <w:r>
        <w:rPr>
          <w:rFonts w:hint="eastAsia" w:ascii="仿宋_GB2312" w:hAnsi="仿宋_GB2312" w:eastAsia="仿宋_GB2312" w:cs="仿宋_GB2312"/>
          <w:b/>
          <w:bCs/>
          <w:color w:val="auto"/>
          <w:sz w:val="32"/>
          <w:szCs w:val="32"/>
          <w:lang w:val="en-US" w:eastAsia="zh-CN"/>
        </w:rPr>
        <w:t>一是聚力解困增扶抓发展。</w:t>
      </w:r>
      <w:r>
        <w:rPr>
          <w:rFonts w:hint="eastAsia" w:ascii="仿宋_GB2312" w:hAnsi="仿宋_GB2312" w:eastAsia="仿宋_GB2312" w:cs="仿宋_GB2312"/>
          <w:b w:val="0"/>
          <w:bCs w:val="0"/>
          <w:color w:val="auto"/>
          <w:sz w:val="32"/>
          <w:szCs w:val="32"/>
          <w:lang w:val="en-US" w:eastAsia="zh-CN"/>
        </w:rPr>
        <w:t>制定“两个健康”年度重点工作任务和“十百千”民营企业家战略性培养计划重点工作任务两张清单，深化拓展统战部部长与民营经济人士沟通协商“面对面”活动，</w:t>
      </w:r>
      <w:bookmarkStart w:id="132" w:name="OLE_LINK6"/>
      <w:r>
        <w:rPr>
          <w:rFonts w:hint="eastAsia" w:ascii="仿宋_GB2312" w:hAnsi="仿宋_GB2312" w:eastAsia="仿宋_GB2312" w:cs="仿宋_GB2312"/>
          <w:b w:val="0"/>
          <w:bCs w:val="0"/>
          <w:color w:val="auto"/>
          <w:sz w:val="32"/>
          <w:szCs w:val="32"/>
          <w:lang w:val="en-US" w:eastAsia="zh-CN"/>
        </w:rPr>
        <w:t>《五通桥构建园区大统战工作格局助力民营经济高质量发展实践经验研究》</w:t>
      </w:r>
      <w:bookmarkEnd w:id="132"/>
      <w:r>
        <w:rPr>
          <w:rFonts w:hint="eastAsia" w:ascii="仿宋_GB2312" w:hAnsi="仿宋_GB2312" w:eastAsia="仿宋_GB2312" w:cs="仿宋_GB2312"/>
          <w:b w:val="0"/>
          <w:bCs w:val="0"/>
          <w:color w:val="auto"/>
          <w:sz w:val="32"/>
          <w:szCs w:val="32"/>
          <w:lang w:val="en-US" w:eastAsia="zh-CN"/>
        </w:rPr>
        <w:t>获全市统战理论政策研究创新成果。牵头开展“进民企、解难题、助发展”行动，常态化开展企业走访调研300余场次，收集整理企业发展诉求60件，转发并协调相关部门多措并举为企业纾困解难。持续推动“百企兴百村”行动，积极引导民营企业家在回馈社会、助力乡村振兴等方面建功立业、担当作为。区委统战部获评全市统一战线助力经济高质量发展先进单位并作交流发言，福华集团获评“光彩事业发起实施30周年四川先进典型”。</w:t>
      </w:r>
      <w:r>
        <w:rPr>
          <w:rFonts w:hint="eastAsia" w:ascii="仿宋_GB2312" w:hAnsi="仿宋_GB2312" w:eastAsia="仿宋_GB2312" w:cs="仿宋_GB2312"/>
          <w:b/>
          <w:bCs/>
          <w:color w:val="auto"/>
          <w:kern w:val="2"/>
          <w:sz w:val="32"/>
          <w:szCs w:val="32"/>
          <w:lang w:val="en-US" w:eastAsia="zh-CN" w:bidi="ar-SA"/>
        </w:rPr>
        <w:t>二</w:t>
      </w:r>
      <w:r>
        <w:rPr>
          <w:rFonts w:hint="eastAsia" w:ascii="仿宋_GB2312" w:hAnsi="仿宋_GB2312" w:eastAsia="仿宋_GB2312" w:cs="仿宋_GB2312"/>
          <w:b/>
          <w:bCs/>
          <w:color w:val="auto"/>
          <w:sz w:val="32"/>
          <w:szCs w:val="32"/>
          <w:lang w:val="en-US" w:eastAsia="zh-CN"/>
        </w:rPr>
        <w:t>是</w:t>
      </w:r>
      <w:r>
        <w:rPr>
          <w:rFonts w:hint="eastAsia" w:ascii="仿宋_GB2312" w:hAnsi="仿宋_GB2312" w:eastAsia="仿宋_GB2312" w:cs="仿宋_GB2312"/>
          <w:b/>
          <w:bCs/>
          <w:color w:val="auto"/>
          <w:kern w:val="2"/>
          <w:sz w:val="32"/>
          <w:szCs w:val="32"/>
          <w:lang w:val="en-US" w:eastAsia="zh-CN" w:bidi="ar-SA"/>
        </w:rPr>
        <w:t>聚力参政合作提质效。</w:t>
      </w:r>
      <w:r>
        <w:rPr>
          <w:rFonts w:hint="eastAsia" w:ascii="仿宋_GB2312" w:hAnsi="仿宋_GB2312" w:eastAsia="仿宋_GB2312" w:cs="仿宋_GB2312"/>
          <w:b w:val="0"/>
          <w:bCs w:val="0"/>
          <w:color w:val="auto"/>
          <w:kern w:val="2"/>
          <w:sz w:val="32"/>
          <w:szCs w:val="32"/>
          <w:lang w:val="en-US" w:eastAsia="zh-CN" w:bidi="ar-SA"/>
        </w:rPr>
        <w:t>精心制定年度政党协商计划，先后召开政党协商会、统一战线建言献策会等各类会议7场次，听取党外代表人士意见建议21条，区委、政府决策和工作得到了最广泛的理解和民意支持。巩固拓展“九冠合作”成果，建强“九冠合作”园区，顺利接待全国人大常委会副委员长、九三学社中央主席、中国科学院院士武维华视察调研并获肯定。</w:t>
      </w:r>
      <w:r>
        <w:rPr>
          <w:rFonts w:hint="eastAsia" w:ascii="仿宋_GB2312" w:hAnsi="仿宋_GB2312" w:eastAsia="仿宋_GB2312" w:cs="仿宋_GB2312"/>
          <w:sz w:val="32"/>
          <w:szCs w:val="32"/>
          <w:lang w:val="en-US" w:eastAsia="zh-CN"/>
        </w:rPr>
        <w:t>农工党五通桥区支部委员会、九三学社五通桥委员会分别获评2024年全省先进基层组织、九三学社四川省委员会成立40周年优秀基层组织。</w:t>
      </w:r>
      <w:r>
        <w:rPr>
          <w:rFonts w:hint="eastAsia" w:ascii="仿宋_GB2312" w:hAnsi="仿宋_GB2312" w:eastAsia="仿宋_GB2312" w:cs="仿宋_GB2312"/>
          <w:b/>
          <w:bCs/>
          <w:color w:val="auto"/>
          <w:sz w:val="32"/>
          <w:szCs w:val="32"/>
          <w:lang w:val="en-US" w:eastAsia="zh-CN"/>
        </w:rPr>
        <w:t>三是聚力新阶新为促跃升。</w:t>
      </w:r>
      <w:r>
        <w:rPr>
          <w:rFonts w:hint="eastAsia" w:ascii="仿宋_GB2312" w:hAnsi="仿宋_GB2312" w:eastAsia="仿宋_GB2312" w:cs="仿宋_GB2312"/>
          <w:b w:val="0"/>
          <w:bCs w:val="0"/>
          <w:color w:val="auto"/>
          <w:kern w:val="2"/>
          <w:sz w:val="32"/>
          <w:szCs w:val="32"/>
          <w:lang w:val="en-US" w:eastAsia="zh-CN" w:bidi="ar-SA"/>
        </w:rPr>
        <w:t>进一步构建完善大统战工作格局，先后成立五通桥区新联会经开区分会、五通桥区网络代表人士联谊会、卫健系统知联会等，进一步扩大统战工作影响力，拓展统一战线朋友圈。充分发挥新阶网络新媒体人士优势，区新联会“网络分会”积极参与承办乐山市首届直播电商大赛，培训本土电商销售达人500余人次，助推直播电商产教融合成果产业化。深入开展“新阶新为·助学圆梦”“同心健康公益行”“律动乡村”等公益活动20余场次，进一步培养新阶人士贡献微光、造炬成阳的家国情怀和责任担当。</w:t>
      </w:r>
    </w:p>
    <w:p>
      <w:pPr>
        <w:keepNext w:val="0"/>
        <w:keepLines w:val="0"/>
        <w:pageBreakBefore w:val="0"/>
        <w:widowControl w:val="0"/>
        <w:kinsoku/>
        <w:wordWrap/>
        <w:overflowPunct/>
        <w:topLinePunct w:val="0"/>
        <w:autoSpaceDE/>
        <w:autoSpaceDN/>
        <w:bidi w:val="0"/>
        <w:adjustRightInd/>
        <w:snapToGrid/>
        <w:spacing w:line="600" w:lineRule="exact"/>
        <w:ind w:left="0" w:right="0" w:rightChars="0"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3.突出维护稳定“主抓手”，和谐统战的氛围更加浓厚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sz w:val="32"/>
          <w:szCs w:val="32"/>
        </w:rPr>
        <w:t>始终坚持把维护安全稳定作为头等大事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着力做好统战领域风险隐患防范化解工作，以统战之稳保障改革发展大局之进。</w:t>
      </w:r>
      <w:r>
        <w:rPr>
          <w:rFonts w:hint="eastAsia" w:ascii="仿宋_GB2312" w:hAnsi="仿宋_GB2312" w:eastAsia="仿宋_GB2312" w:cs="仿宋_GB2312"/>
          <w:b/>
          <w:bCs/>
          <w:color w:val="auto"/>
          <w:sz w:val="32"/>
          <w:szCs w:val="32"/>
          <w:lang w:val="en-US" w:eastAsia="zh-CN"/>
        </w:rPr>
        <w:t>一是认真落实民族政策。</w:t>
      </w:r>
      <w:r>
        <w:rPr>
          <w:rFonts w:hint="eastAsia" w:ascii="仿宋_GB2312" w:hAnsi="仿宋_GB2312" w:eastAsia="仿宋_GB2312" w:cs="仿宋_GB2312"/>
          <w:b w:val="0"/>
          <w:bCs w:val="0"/>
          <w:color w:val="auto"/>
          <w:kern w:val="2"/>
          <w:sz w:val="32"/>
          <w:szCs w:val="32"/>
          <w:lang w:val="en-US" w:eastAsia="zh-CN" w:bidi="ar-SA"/>
        </w:rPr>
        <w:t>深化开展党的民族政策和民族团结宣传教育，进一步铸牢中华民族共同体意识。全面落实少数民族管理相关规定，对园区企业务工少数民族群众进行全面摸底，进一步做好少数民族流动人口服务管理。</w:t>
      </w:r>
      <w:r>
        <w:rPr>
          <w:rFonts w:hint="eastAsia" w:ascii="仿宋_GB2312" w:hAnsi="仿宋_GB2312" w:eastAsia="仿宋_GB2312" w:cs="仿宋_GB2312"/>
          <w:b/>
          <w:bCs/>
          <w:color w:val="auto"/>
          <w:sz w:val="32"/>
          <w:szCs w:val="32"/>
          <w:lang w:val="en-US" w:eastAsia="zh-CN"/>
        </w:rPr>
        <w:t>二是依法管理宗教事务。</w:t>
      </w:r>
      <w:r>
        <w:rPr>
          <w:rFonts w:hint="eastAsia" w:ascii="仿宋_GB2312" w:hAnsi="仿宋_GB2312" w:eastAsia="仿宋_GB2312" w:cs="仿宋_GB2312"/>
          <w:sz w:val="32"/>
          <w:szCs w:val="32"/>
          <w:lang w:val="en-US" w:eastAsia="zh-CN"/>
        </w:rPr>
        <w:t>扎实开展</w:t>
      </w:r>
      <w:r>
        <w:rPr>
          <w:rFonts w:hint="eastAsia" w:ascii="仿宋_GB2312" w:hAnsi="仿宋_GB2312" w:eastAsia="仿宋_GB2312" w:cs="仿宋_GB2312"/>
          <w:sz w:val="32"/>
          <w:szCs w:val="32"/>
        </w:rPr>
        <w:t>宗教场所</w:t>
      </w:r>
      <w:r>
        <w:rPr>
          <w:rFonts w:hint="eastAsia" w:ascii="仿宋_GB2312" w:hAnsi="仿宋_GB2312" w:eastAsia="仿宋_GB2312" w:cs="仿宋_GB2312"/>
          <w:sz w:val="32"/>
          <w:szCs w:val="32"/>
          <w:lang w:eastAsia="zh-CN"/>
        </w:rPr>
        <w:t>扫黄打非、</w:t>
      </w:r>
      <w:r>
        <w:rPr>
          <w:rFonts w:hint="eastAsia" w:ascii="仿宋_GB2312" w:hAnsi="仿宋_GB2312" w:eastAsia="仿宋_GB2312" w:cs="仿宋_GB2312"/>
          <w:sz w:val="32"/>
          <w:szCs w:val="32"/>
        </w:rPr>
        <w:t>安全隐患和</w:t>
      </w:r>
      <w:r>
        <w:rPr>
          <w:rFonts w:hint="eastAsia" w:ascii="仿宋_GB2312" w:hAnsi="仿宋_GB2312" w:eastAsia="仿宋_GB2312" w:cs="仿宋_GB2312"/>
          <w:sz w:val="32"/>
          <w:szCs w:val="32"/>
          <w:lang w:val="en-US" w:eastAsia="zh-CN"/>
        </w:rPr>
        <w:t>涉稳</w:t>
      </w:r>
      <w:r>
        <w:rPr>
          <w:rFonts w:hint="eastAsia" w:ascii="仿宋_GB2312" w:hAnsi="仿宋_GB2312" w:eastAsia="仿宋_GB2312" w:cs="仿宋_GB2312"/>
          <w:sz w:val="32"/>
          <w:szCs w:val="32"/>
        </w:rPr>
        <w:t>因素排查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排查</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督促整改</w:t>
      </w:r>
      <w:r>
        <w:rPr>
          <w:rFonts w:hint="eastAsia" w:ascii="仿宋_GB2312" w:hAnsi="仿宋_GB2312" w:eastAsia="仿宋_GB2312" w:cs="仿宋_GB2312"/>
          <w:bCs/>
          <w:sz w:val="32"/>
          <w:szCs w:val="32"/>
          <w:lang w:eastAsia="zh-CN"/>
        </w:rPr>
        <w:t>问题</w:t>
      </w:r>
      <w:r>
        <w:rPr>
          <w:rFonts w:hint="eastAsia" w:ascii="仿宋_GB2312" w:hAnsi="仿宋_GB2312" w:eastAsia="仿宋_GB2312" w:cs="仿宋_GB2312"/>
          <w:bCs/>
          <w:sz w:val="32"/>
          <w:szCs w:val="32"/>
          <w:lang w:val="en-US" w:eastAsia="zh-CN"/>
        </w:rPr>
        <w:t>30</w:t>
      </w:r>
      <w:r>
        <w:rPr>
          <w:rFonts w:hint="eastAsia" w:ascii="仿宋_GB2312" w:hAnsi="仿宋_GB2312" w:eastAsia="仿宋_GB2312" w:cs="仿宋_GB2312"/>
          <w:bCs/>
          <w:sz w:val="32"/>
          <w:szCs w:val="32"/>
        </w:rPr>
        <w:t>余个。</w:t>
      </w:r>
      <w:r>
        <w:rPr>
          <w:rFonts w:hint="eastAsia" w:ascii="仿宋_GB2312" w:hAnsi="仿宋_GB2312" w:eastAsia="仿宋_GB2312" w:cs="仿宋_GB2312"/>
          <w:bCs/>
          <w:sz w:val="32"/>
          <w:szCs w:val="32"/>
          <w:lang w:val="en-US" w:eastAsia="zh-CN"/>
        </w:rPr>
        <w:t>开展五通桥区宗教界“以案促改，从严治教”教育整顿活动，督促指导宗教团体、宗教活动场所负责人及全体教职人员签订承诺书，进一步推动教风整治工作走深走实。</w:t>
      </w:r>
      <w:r>
        <w:rPr>
          <w:rFonts w:hint="eastAsia" w:ascii="仿宋_GB2312" w:hAnsi="仿宋_GB2312" w:eastAsia="仿宋_GB2312" w:cs="仿宋_GB2312"/>
          <w:b/>
          <w:bCs/>
          <w:color w:val="auto"/>
          <w:kern w:val="2"/>
          <w:sz w:val="32"/>
          <w:szCs w:val="32"/>
          <w:lang w:val="en-US" w:eastAsia="zh-CN" w:bidi="ar-SA"/>
        </w:rPr>
        <w:t>三</w:t>
      </w:r>
      <w:r>
        <w:rPr>
          <w:rFonts w:hint="eastAsia" w:ascii="仿宋_GB2312" w:hAnsi="仿宋_GB2312" w:eastAsia="仿宋_GB2312" w:cs="仿宋_GB2312"/>
          <w:b/>
          <w:bCs/>
          <w:color w:val="auto"/>
          <w:sz w:val="32"/>
          <w:szCs w:val="32"/>
          <w:lang w:val="en-US" w:eastAsia="zh-CN"/>
        </w:rPr>
        <w:t>是</w:t>
      </w:r>
      <w:r>
        <w:rPr>
          <w:rFonts w:hint="eastAsia" w:ascii="仿宋_GB2312" w:hAnsi="仿宋_GB2312" w:eastAsia="仿宋_GB2312" w:cs="仿宋_GB2312"/>
          <w:b/>
          <w:bCs/>
          <w:color w:val="auto"/>
          <w:kern w:val="2"/>
          <w:sz w:val="32"/>
          <w:szCs w:val="32"/>
          <w:lang w:val="en-US" w:eastAsia="zh-CN" w:bidi="ar-SA"/>
        </w:rPr>
        <w:t>着力擦亮侨台品牌。</w:t>
      </w:r>
      <w:r>
        <w:rPr>
          <w:rFonts w:hint="eastAsia" w:ascii="仿宋_GB2312" w:hAnsi="仿宋_GB2312" w:eastAsia="仿宋_GB2312" w:cs="仿宋_GB2312"/>
          <w:b w:val="0"/>
          <w:bCs w:val="0"/>
          <w:color w:val="auto"/>
          <w:kern w:val="2"/>
          <w:sz w:val="32"/>
          <w:szCs w:val="32"/>
          <w:lang w:val="en-US" w:eastAsia="zh-CN" w:bidi="ar-SA"/>
        </w:rPr>
        <w:t>积极推进检侨共建，与区检察院携手打造“侨益侨”合作品牌，探索建立畅通有序、互动高效的检侨合作新模式。用好中国根书艺术馆“海峡两岸青少年艺术教育与实习基地”，搭建联谊交流平台，成功承办海外华文媒体四川采访行、“一带一路”知名华商四川行等活动，五通桥区“侨胞之家”获评</w:t>
      </w:r>
      <w:bookmarkStart w:id="133" w:name="OLE_LINK4"/>
      <w:r>
        <w:rPr>
          <w:rFonts w:hint="eastAsia" w:ascii="仿宋_GB2312" w:hAnsi="仿宋_GB2312" w:eastAsia="仿宋_GB2312" w:cs="仿宋_GB2312"/>
          <w:b w:val="0"/>
          <w:bCs w:val="0"/>
          <w:color w:val="auto"/>
          <w:kern w:val="2"/>
          <w:sz w:val="32"/>
          <w:szCs w:val="32"/>
          <w:lang w:val="en-US" w:eastAsia="zh-CN" w:bidi="ar-SA"/>
        </w:rPr>
        <w:t>全省侨联系统“侨胞之家”典型选树单位</w:t>
      </w:r>
      <w:bookmarkEnd w:id="133"/>
      <w:r>
        <w:rPr>
          <w:rFonts w:hint="eastAsia" w:ascii="仿宋_GB2312" w:hAnsi="仿宋_GB2312" w:eastAsia="仿宋_GB2312" w:cs="仿宋_GB2312"/>
          <w:b w:val="0"/>
          <w:bCs w:val="0"/>
          <w:color w:val="auto"/>
          <w:kern w:val="2"/>
          <w:sz w:val="32"/>
          <w:szCs w:val="32"/>
          <w:lang w:val="en-US" w:eastAsia="zh-CN" w:bidi="ar-SA"/>
        </w:rPr>
        <w:t>。积极回应海外华校需求，选派1名优秀教师赴老挝任教，《海内海外一家亲  同根同源中华情——五通桥区打造港澳台海外统战工作“寻根聚魂”新名片》获全市统战工作实践创新通报表扬。</w:t>
      </w:r>
    </w:p>
    <w:p>
      <w:pPr>
        <w:keepNext w:val="0"/>
        <w:keepLines w:val="0"/>
        <w:pageBreakBefore w:val="0"/>
        <w:widowControl w:val="0"/>
        <w:kinsoku/>
        <w:wordWrap/>
        <w:overflowPunct/>
        <w:topLinePunct w:val="0"/>
        <w:autoSpaceDE/>
        <w:autoSpaceDN/>
        <w:bidi w:val="0"/>
        <w:adjustRightInd/>
        <w:snapToGrid/>
        <w:spacing w:line="600" w:lineRule="exact"/>
        <w:ind w:left="0" w:right="0" w:rightChars="0"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4.抓好队伍建设“主力军”，活力统战的机制更加健全</w:t>
      </w:r>
    </w:p>
    <w:p>
      <w:pPr>
        <w:pStyle w:val="16"/>
        <w:keepNext w:val="0"/>
        <w:keepLines w:val="0"/>
        <w:pageBreakBefore w:val="0"/>
        <w:widowControl w:val="0"/>
        <w:kinsoku/>
        <w:wordWrap/>
        <w:overflowPunct/>
        <w:topLinePunct w:val="0"/>
        <w:autoSpaceDE/>
        <w:autoSpaceDN/>
        <w:bidi w:val="0"/>
        <w:adjustRightInd/>
        <w:snapToGrid/>
        <w:spacing w:before="0" w:after="0" w:line="600" w:lineRule="exact"/>
        <w:ind w:firstLine="640" w:firstLineChars="200"/>
        <w:jc w:val="both"/>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sz w:val="32"/>
          <w:szCs w:val="32"/>
        </w:rPr>
        <w:t>始终坚持把队伍建设作为做好统战工作的重要基石，凝聚各方共识、汇聚各方力量。</w:t>
      </w:r>
      <w:r>
        <w:rPr>
          <w:rFonts w:hint="eastAsia" w:ascii="仿宋_GB2312" w:hAnsi="仿宋_GB2312" w:eastAsia="仿宋_GB2312" w:cs="仿宋_GB2312"/>
          <w:b/>
          <w:bCs/>
          <w:color w:val="auto"/>
          <w:kern w:val="2"/>
          <w:sz w:val="32"/>
          <w:szCs w:val="32"/>
          <w:lang w:val="en-US" w:eastAsia="zh-CN" w:bidi="ar-SA"/>
        </w:rPr>
        <w:t>一</w:t>
      </w:r>
      <w:r>
        <w:rPr>
          <w:rFonts w:hint="eastAsia" w:ascii="仿宋_GB2312" w:hAnsi="仿宋_GB2312" w:eastAsia="仿宋_GB2312" w:cs="仿宋_GB2312"/>
          <w:b/>
          <w:bCs/>
          <w:color w:val="auto"/>
          <w:sz w:val="32"/>
          <w:szCs w:val="32"/>
          <w:lang w:val="en-US" w:eastAsia="zh-CN"/>
        </w:rPr>
        <w:t>是</w:t>
      </w:r>
      <w:r>
        <w:rPr>
          <w:rFonts w:hint="eastAsia" w:ascii="仿宋_GB2312" w:hAnsi="仿宋_GB2312" w:eastAsia="仿宋_GB2312" w:cs="仿宋_GB2312"/>
          <w:b/>
          <w:bCs/>
          <w:color w:val="auto"/>
          <w:kern w:val="2"/>
          <w:sz w:val="32"/>
          <w:szCs w:val="32"/>
          <w:lang w:val="en-US" w:eastAsia="zh-CN" w:bidi="ar-SA"/>
        </w:rPr>
        <w:t>“菁英培养”夯基础。</w:t>
      </w:r>
      <w:r>
        <w:rPr>
          <w:rFonts w:hint="eastAsia" w:ascii="仿宋_GB2312" w:hAnsi="仿宋_GB2312" w:eastAsia="仿宋_GB2312" w:cs="仿宋_GB2312"/>
          <w:b w:val="0"/>
          <w:bCs w:val="0"/>
          <w:color w:val="auto"/>
          <w:kern w:val="2"/>
          <w:sz w:val="32"/>
          <w:szCs w:val="32"/>
          <w:lang w:val="en-US" w:eastAsia="zh-CN" w:bidi="ar-SA"/>
        </w:rPr>
        <w:t>切实加强党外后备干部队伍建设，指导各民主党派制定成员长期发展规划和年度发展计划，持续做好党外代表人士发现、培养、推荐、使用、管理工作，1名党外事业干部提拔为正科级，3名新阶人士推荐担任乐山市网络代表人士联谊会理事和会员。</w:t>
      </w:r>
      <w:r>
        <w:rPr>
          <w:rFonts w:hint="eastAsia" w:ascii="仿宋_GB2312" w:hAnsi="仿宋_GB2312" w:eastAsia="仿宋_GB2312" w:cs="仿宋_GB2312"/>
          <w:b/>
          <w:bCs/>
          <w:color w:val="auto"/>
          <w:kern w:val="2"/>
          <w:sz w:val="32"/>
          <w:szCs w:val="32"/>
          <w:lang w:val="en-US" w:eastAsia="zh-CN" w:bidi="ar-SA"/>
        </w:rPr>
        <w:t>二</w:t>
      </w:r>
      <w:r>
        <w:rPr>
          <w:rFonts w:hint="eastAsia" w:ascii="仿宋_GB2312" w:hAnsi="仿宋_GB2312" w:eastAsia="仿宋_GB2312" w:cs="仿宋_GB2312"/>
          <w:b/>
          <w:bCs/>
          <w:color w:val="auto"/>
          <w:sz w:val="32"/>
          <w:szCs w:val="32"/>
          <w:lang w:val="en-US" w:eastAsia="zh-CN"/>
        </w:rPr>
        <w:t>是</w:t>
      </w:r>
      <w:r>
        <w:rPr>
          <w:rFonts w:hint="eastAsia" w:ascii="仿宋_GB2312" w:hAnsi="仿宋_GB2312" w:eastAsia="仿宋_GB2312" w:cs="仿宋_GB2312"/>
          <w:b/>
          <w:bCs/>
          <w:color w:val="auto"/>
          <w:kern w:val="2"/>
          <w:sz w:val="32"/>
          <w:szCs w:val="32"/>
          <w:lang w:val="en-US" w:eastAsia="zh-CN" w:bidi="ar-SA"/>
        </w:rPr>
        <w:t>“培优提能”强素质。</w:t>
      </w:r>
      <w:r>
        <w:rPr>
          <w:rFonts w:hint="eastAsia" w:ascii="仿宋_GB2312" w:hAnsi="仿宋_GB2312" w:eastAsia="仿宋_GB2312" w:cs="仿宋_GB2312"/>
          <w:b w:val="0"/>
          <w:bCs w:val="0"/>
          <w:color w:val="auto"/>
          <w:kern w:val="2"/>
          <w:sz w:val="32"/>
          <w:szCs w:val="32"/>
          <w:lang w:val="en-US" w:eastAsia="zh-CN" w:bidi="ar-SA"/>
        </w:rPr>
        <w:t>全面加强统战干部队伍建设，常态化组织开展统战理论学习、业务培训等，着力提升统战干部政治理论素养和工作能力水平，不断提高统战工作科学化、规范化、制度化水平。指导区台联会、区新联会圆满完成换届，选优配强新一届理事会及领导班子，基层统战工作力量不断加强。</w:t>
      </w:r>
    </w:p>
    <w:p>
      <w:pPr>
        <w:widowControl/>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（二）特定目标类项目绩效分析。</w:t>
      </w:r>
    </w:p>
    <w:p>
      <w:pPr>
        <w:keepNext w:val="0"/>
        <w:keepLines w:val="0"/>
        <w:pageBreakBefore w:val="0"/>
        <w:widowControl/>
        <w:kinsoku/>
        <w:wordWrap/>
        <w:overflowPunct/>
        <w:autoSpaceDE/>
        <w:autoSpaceDN/>
        <w:bidi w:val="0"/>
        <w:adjustRightInd w:val="0"/>
        <w:snapToGrid w:val="0"/>
        <w:spacing w:line="580" w:lineRule="exact"/>
        <w:ind w:firstLine="640" w:firstLineChars="200"/>
        <w:contextualSpacing/>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000000"/>
          <w:kern w:val="0"/>
          <w:sz w:val="32"/>
          <w:szCs w:val="32"/>
          <w:shd w:val="clear" w:color="auto" w:fill="FFFFFF"/>
          <w:lang w:val="zh-CN"/>
        </w:rPr>
        <w:t>1.整体情况：</w:t>
      </w:r>
      <w:r>
        <w:rPr>
          <w:rFonts w:hint="eastAsia" w:ascii="仿宋_GB2312" w:hAnsi="仿宋_GB2312" w:eastAsia="仿宋_GB2312" w:cs="仿宋_GB2312"/>
          <w:color w:val="000000"/>
          <w:kern w:val="0"/>
          <w:sz w:val="32"/>
          <w:szCs w:val="32"/>
          <w:shd w:val="clear" w:color="auto" w:fill="FFFFFF"/>
          <w:lang w:val="en-US" w:eastAsia="zh-CN"/>
        </w:rPr>
        <w:t>2024年我部整体</w:t>
      </w:r>
      <w:r>
        <w:rPr>
          <w:rFonts w:hint="eastAsia" w:ascii="仿宋_GB2312" w:hAnsi="仿宋_GB2312" w:eastAsia="仿宋_GB2312" w:cs="仿宋_GB2312"/>
          <w:color w:val="000000"/>
          <w:kern w:val="0"/>
          <w:sz w:val="32"/>
          <w:szCs w:val="32"/>
          <w:shd w:val="clear" w:color="auto" w:fill="FFFFFF"/>
          <w:lang w:val="zh-CN"/>
        </w:rPr>
        <w:t>绩效目标编制科学合理、规范完整、指标编制已细化量化、绩效指标编制与预算安排相匹配，部门绩效目标已纳入部门党组会集体决策范围。部门整体支出绩效目标实现程度与预期目标的偏离度较小，</w:t>
      </w:r>
      <w:r>
        <w:rPr>
          <w:rFonts w:hint="eastAsia" w:ascii="仿宋_GB2312" w:hAnsi="仿宋_GB2312" w:eastAsia="仿宋_GB2312" w:cs="仿宋_GB2312"/>
          <w:color w:val="000000"/>
          <w:kern w:val="0"/>
          <w:sz w:val="32"/>
          <w:szCs w:val="32"/>
          <w:shd w:val="clear" w:color="auto" w:fill="FFFFFF"/>
          <w:lang w:val="en-US" w:eastAsia="zh-CN"/>
        </w:rPr>
        <w:t>项目偏离度为</w:t>
      </w:r>
      <w:r>
        <w:rPr>
          <w:rFonts w:hint="eastAsia" w:ascii="仿宋_GB2312" w:hAnsi="仿宋_GB2312" w:eastAsia="仿宋_GB2312" w:cs="仿宋_GB2312"/>
          <w:color w:val="000000"/>
          <w:kern w:val="0"/>
          <w:sz w:val="32"/>
          <w:szCs w:val="32"/>
          <w:highlight w:val="none"/>
          <w:shd w:val="clear" w:color="auto" w:fill="FFFFFF"/>
          <w:lang w:val="en-US" w:eastAsia="zh-CN"/>
        </w:rPr>
        <w:t>0</w:t>
      </w:r>
      <w:r>
        <w:rPr>
          <w:rFonts w:hint="eastAsia" w:ascii="仿宋_GB2312" w:hAnsi="仿宋_GB2312" w:eastAsia="仿宋_GB2312" w:cs="仿宋_GB2312"/>
          <w:color w:val="000000"/>
          <w:kern w:val="0"/>
          <w:sz w:val="32"/>
          <w:szCs w:val="32"/>
          <w:highlight w:val="none"/>
          <w:shd w:val="clear" w:color="auto" w:fill="FFFFFF"/>
          <w:lang w:val="zh-CN"/>
        </w:rPr>
        <w:t>。</w:t>
      </w:r>
      <w:r>
        <w:rPr>
          <w:rFonts w:hint="eastAsia" w:ascii="仿宋_GB2312" w:hAnsi="仿宋_GB2312" w:eastAsia="仿宋_GB2312" w:cs="仿宋_GB2312"/>
          <w:color w:val="000000"/>
          <w:kern w:val="0"/>
          <w:sz w:val="32"/>
          <w:szCs w:val="32"/>
          <w:shd w:val="clear" w:color="auto" w:fill="FFFFFF"/>
          <w:lang w:val="zh-CN"/>
        </w:rPr>
        <w:t>整体</w:t>
      </w:r>
      <w:r>
        <w:rPr>
          <w:rFonts w:hint="eastAsia" w:ascii="仿宋_GB2312" w:hAnsi="仿宋_GB2312" w:eastAsia="仿宋_GB2312" w:cs="仿宋_GB2312"/>
          <w:color w:val="000000"/>
          <w:kern w:val="0"/>
          <w:sz w:val="32"/>
          <w:szCs w:val="32"/>
          <w:shd w:val="clear" w:color="auto" w:fill="FFFFFF"/>
          <w:lang w:val="en-US" w:eastAsia="zh-CN"/>
        </w:rPr>
        <w:t>支出控制较好，单位日常公用经费支出中“办公费、水费、电费”等科目年初预算数与决算数偏差程度较小。我单位在开展绩效运行监控后，及时将绩效监控结果应用到预算调整。预算执行进度在6、9、11月应达到序时进度，除因个别项目暂未达到支付节点，其余资金均达到序时进度。</w:t>
      </w:r>
      <w:r>
        <w:rPr>
          <w:rFonts w:hint="eastAsia" w:ascii="仿宋_GB2312" w:hAnsi="仿宋_GB2312" w:eastAsia="仿宋_GB2312" w:cs="仿宋_GB2312"/>
          <w:color w:val="000000"/>
          <w:kern w:val="0"/>
          <w:sz w:val="32"/>
          <w:szCs w:val="32"/>
          <w:highlight w:val="none"/>
          <w:shd w:val="clear" w:color="auto" w:fill="FFFFFF"/>
          <w:lang w:val="en-US" w:eastAsia="zh-CN"/>
        </w:rPr>
        <w:t>部门预算项目年终资金结余0。依</w:t>
      </w:r>
      <w:r>
        <w:rPr>
          <w:rFonts w:hint="eastAsia" w:ascii="仿宋_GB2312" w:hAnsi="仿宋_GB2312" w:eastAsia="仿宋_GB2312" w:cs="仿宋_GB2312"/>
          <w:color w:val="000000"/>
          <w:kern w:val="0"/>
          <w:sz w:val="32"/>
          <w:szCs w:val="32"/>
          <w:shd w:val="clear" w:color="auto" w:fill="FFFFFF"/>
          <w:lang w:val="en-US" w:eastAsia="zh-CN"/>
        </w:rPr>
        <w:t>据单位自查，未出现未落实党政机关过紧日子相关要求，以及部门预算管理方面违纪违规等问题。</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zh-CN"/>
        </w:rPr>
        <w:t>2.</w:t>
      </w:r>
      <w:r>
        <w:rPr>
          <w:rFonts w:hint="eastAsia" w:ascii="仿宋_GB2312" w:hAnsi="仿宋_GB2312" w:eastAsia="仿宋_GB2312" w:cs="仿宋_GB2312"/>
          <w:color w:val="000000"/>
          <w:kern w:val="0"/>
          <w:sz w:val="32"/>
          <w:szCs w:val="32"/>
          <w:shd w:val="clear" w:color="auto" w:fill="FFFFFF"/>
          <w:lang w:val="en-US" w:eastAsia="zh-CN"/>
        </w:rPr>
        <w:t>5</w:t>
      </w:r>
      <w:r>
        <w:rPr>
          <w:rFonts w:hint="eastAsia" w:ascii="仿宋_GB2312" w:hAnsi="仿宋_GB2312" w:eastAsia="仿宋_GB2312" w:cs="仿宋_GB2312"/>
          <w:color w:val="000000"/>
          <w:kern w:val="0"/>
          <w:sz w:val="32"/>
          <w:szCs w:val="32"/>
          <w:shd w:val="clear" w:color="auto" w:fill="FFFFFF"/>
          <w:lang w:val="zh-CN"/>
        </w:rPr>
        <w:t>0万以上项目：</w:t>
      </w:r>
    </w:p>
    <w:p>
      <w:pPr>
        <w:keepNext w:val="0"/>
        <w:keepLines w:val="0"/>
        <w:pageBreakBefore w:val="0"/>
        <w:widowControl/>
        <w:kinsoku/>
        <w:wordWrap/>
        <w:overflowPunct/>
        <w:autoSpaceDE/>
        <w:autoSpaceDN/>
        <w:bidi w:val="0"/>
        <w:adjustRightInd w:val="0"/>
        <w:snapToGrid w:val="0"/>
        <w:spacing w:line="580" w:lineRule="exact"/>
        <w:ind w:firstLine="640" w:firstLineChars="200"/>
        <w:contextualSpacing/>
        <w:jc w:val="left"/>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en-US" w:eastAsia="zh-CN"/>
        </w:rPr>
        <w:t>2024年，我部无50万以上项目。</w:t>
      </w:r>
    </w:p>
    <w:p>
      <w:pPr>
        <w:widowControl/>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（三）结果应用情况。</w:t>
      </w:r>
    </w:p>
    <w:p>
      <w:pPr>
        <w:pStyle w:val="15"/>
        <w:keepNext w:val="0"/>
        <w:keepLines w:val="0"/>
        <w:pageBreakBefore w:val="0"/>
        <w:shd w:val="clear" w:color="auto" w:fill="FFFFFF"/>
        <w:kinsoku/>
        <w:wordWrap/>
        <w:overflowPunct/>
        <w:autoSpaceDE/>
        <w:autoSpaceDN/>
        <w:bidi w:val="0"/>
        <w:spacing w:before="0" w:beforeAutospacing="0" w:after="0" w:afterAutospacing="0" w:line="580" w:lineRule="exact"/>
        <w:ind w:firstLine="482"/>
        <w:jc w:val="both"/>
        <w:textAlignment w:val="auto"/>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仿宋_GB2312" w:eastAsia="仿宋_GB2312" w:cs="仿宋_GB2312"/>
          <w:color w:val="000000"/>
          <w:kern w:val="0"/>
          <w:sz w:val="32"/>
          <w:szCs w:val="32"/>
          <w:shd w:val="clear" w:color="auto" w:fill="FFFFFF"/>
          <w:lang w:val="en-US" w:eastAsia="zh-CN" w:bidi="ar-SA"/>
        </w:rPr>
        <w:t>2024年，我部绩效自评已公开，针对存在的问题已进行整改，绩效自评结果已用于2025年的预算编制中，使2025年预算编制更为科学、合理。</w:t>
      </w:r>
    </w:p>
    <w:p>
      <w:pPr>
        <w:widowControl/>
        <w:adjustRightInd w:val="0"/>
        <w:snapToGrid w:val="0"/>
        <w:spacing w:line="580" w:lineRule="exact"/>
        <w:ind w:firstLine="640" w:firstLineChars="200"/>
        <w:contextualSpacing/>
        <w:jc w:val="left"/>
        <w:rPr>
          <w:rFonts w:hint="eastAsia" w:ascii="黑体" w:hAnsi="黑体" w:eastAsia="黑体" w:cs="黑体"/>
          <w:color w:val="000000"/>
          <w:kern w:val="0"/>
          <w:sz w:val="32"/>
          <w:szCs w:val="32"/>
          <w:shd w:val="clear" w:color="auto" w:fill="FFFFFF"/>
        </w:rPr>
      </w:pPr>
      <w:bookmarkStart w:id="134" w:name="_Toc13698_WPSOffice_Level2"/>
      <w:r>
        <w:rPr>
          <w:rFonts w:hint="eastAsia" w:ascii="黑体" w:hAnsi="黑体" w:eastAsia="黑体" w:cs="黑体"/>
          <w:color w:val="000000"/>
          <w:kern w:val="0"/>
          <w:sz w:val="32"/>
          <w:szCs w:val="32"/>
          <w:shd w:val="clear" w:color="auto" w:fill="FFFFFF"/>
        </w:rPr>
        <w:t>四、评价结论及建议</w:t>
      </w:r>
      <w:bookmarkEnd w:id="134"/>
    </w:p>
    <w:p>
      <w:pPr>
        <w:widowControl/>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（一）评价结论。</w:t>
      </w:r>
    </w:p>
    <w:p>
      <w:pPr>
        <w:pStyle w:val="15"/>
        <w:keepNext w:val="0"/>
        <w:keepLines w:val="0"/>
        <w:pageBreakBefore w:val="0"/>
        <w:shd w:val="clear" w:color="auto" w:fill="FFFFFF"/>
        <w:kinsoku/>
        <w:wordWrap/>
        <w:overflowPunct/>
        <w:autoSpaceDE/>
        <w:autoSpaceDN/>
        <w:bidi w:val="0"/>
        <w:spacing w:before="0" w:beforeAutospacing="0" w:after="0" w:afterAutospacing="0" w:line="580" w:lineRule="exact"/>
        <w:ind w:firstLine="482"/>
        <w:jc w:val="both"/>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000000"/>
          <w:kern w:val="0"/>
          <w:sz w:val="32"/>
          <w:szCs w:val="32"/>
          <w:shd w:val="clear" w:color="auto" w:fill="FFFFFF"/>
          <w:lang w:val="en-US" w:eastAsia="zh-CN" w:bidi="ar-SA"/>
        </w:rPr>
        <w:t>我部按要求对2024年部门整体支出绩效评价情况开展自评。在上级部门的领导下，积极履行职责，强化管理，高质量开展各项业务工作，较好地完成了年度工作目标。同时，加强预算收支的管理，建立健全内部管理制度，严格内部管理流程，部门整体支出和项目支出管理得到了提升，取得了较好的绩效。</w:t>
      </w:r>
    </w:p>
    <w:p>
      <w:pPr>
        <w:widowControl/>
        <w:numPr>
          <w:ilvl w:val="0"/>
          <w:numId w:val="6"/>
        </w:numPr>
        <w:adjustRightInd w:val="0"/>
        <w:snapToGrid w:val="0"/>
        <w:spacing w:line="580" w:lineRule="exact"/>
        <w:ind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存在问题。</w:t>
      </w:r>
    </w:p>
    <w:p>
      <w:pPr>
        <w:pStyle w:val="2"/>
        <w:keepNext w:val="0"/>
        <w:keepLines w:val="0"/>
        <w:pageBreakBefore w:val="0"/>
        <w:numPr>
          <w:ilvl w:val="0"/>
          <w:numId w:val="0"/>
        </w:numPr>
        <w:kinsoku/>
        <w:wordWrap/>
        <w:overflowPunct/>
        <w:autoSpaceDE/>
        <w:autoSpaceDN/>
        <w:bidi w:val="0"/>
        <w:spacing w:line="58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color w:val="000000"/>
          <w:kern w:val="0"/>
          <w:sz w:val="32"/>
          <w:szCs w:val="32"/>
          <w:shd w:val="clear" w:color="auto" w:fill="FFFFFF"/>
          <w:lang w:val="en-US" w:eastAsia="zh-CN" w:bidi="ar-SA"/>
        </w:rPr>
        <w:t>我部在编制2024度部门预算时，虽然根据本部门职能职责和年度工作计划严格考量和评估，并在实施过程中严格量入为出。但在2024年部门预算执行过程中，仍然存在由于工作任务的突发性，一些无法预计未列入年初预算的支出，需要在年度中间进行预算追加和调整。</w:t>
      </w:r>
    </w:p>
    <w:p>
      <w:pPr>
        <w:widowControl/>
        <w:numPr>
          <w:ilvl w:val="0"/>
          <w:numId w:val="6"/>
        </w:numPr>
        <w:adjustRightInd w:val="0"/>
        <w:snapToGrid w:val="0"/>
        <w:spacing w:line="580" w:lineRule="exact"/>
        <w:ind w:left="0" w:leftChars="0" w:firstLine="640" w:firstLineChars="200"/>
        <w:contextualSpacing/>
        <w:jc w:val="left"/>
        <w:rPr>
          <w:rFonts w:hint="eastAsia" w:ascii="楷体" w:hAnsi="楷体" w:eastAsia="楷体" w:cs="楷体"/>
          <w:color w:val="000000"/>
          <w:kern w:val="0"/>
          <w:sz w:val="32"/>
          <w:szCs w:val="32"/>
          <w:shd w:val="clear" w:color="auto" w:fill="FFFFFF"/>
          <w:lang w:val="zh-CN"/>
        </w:rPr>
      </w:pPr>
      <w:r>
        <w:rPr>
          <w:rFonts w:hint="eastAsia" w:ascii="楷体" w:hAnsi="楷体" w:eastAsia="楷体" w:cs="楷体"/>
          <w:color w:val="000000"/>
          <w:kern w:val="0"/>
          <w:sz w:val="32"/>
          <w:szCs w:val="32"/>
          <w:shd w:val="clear" w:color="auto" w:fill="FFFFFF"/>
          <w:lang w:val="zh-CN"/>
        </w:rPr>
        <w:t>改进建议。</w:t>
      </w:r>
    </w:p>
    <w:p>
      <w:pPr>
        <w:pStyle w:val="2"/>
        <w:keepNext w:val="0"/>
        <w:keepLines w:val="0"/>
        <w:pageBreakBefore w:val="0"/>
        <w:numPr>
          <w:ilvl w:val="0"/>
          <w:numId w:val="0"/>
        </w:numPr>
        <w:kinsoku/>
        <w:wordWrap/>
        <w:overflowPunct/>
        <w:autoSpaceDE/>
        <w:autoSpaceDN/>
        <w:bidi w:val="0"/>
        <w:spacing w:line="580" w:lineRule="exact"/>
        <w:ind w:firstLine="640" w:firstLineChars="200"/>
        <w:textAlignment w:val="auto"/>
        <w:rPr>
          <w:rFonts w:hint="eastAsia" w:ascii="仿宋_GB2312" w:hAnsi="仿宋_GB2312" w:eastAsia="仿宋_GB2312" w:cs="仿宋_GB2312"/>
          <w:color w:val="000000"/>
          <w:kern w:val="0"/>
          <w:sz w:val="32"/>
          <w:szCs w:val="32"/>
          <w:shd w:val="clear" w:color="auto" w:fill="FFFFFF"/>
          <w:lang w:val="en-US" w:eastAsia="zh-CN" w:bidi="ar-SA"/>
        </w:rPr>
      </w:pPr>
      <w:r>
        <w:rPr>
          <w:rFonts w:hint="eastAsia" w:ascii="仿宋_GB2312" w:hAnsi="仿宋_GB2312" w:eastAsia="仿宋_GB2312" w:cs="仿宋_GB2312"/>
          <w:color w:val="000000"/>
          <w:kern w:val="0"/>
          <w:sz w:val="32"/>
          <w:szCs w:val="32"/>
          <w:shd w:val="clear" w:color="auto" w:fill="FFFFFF"/>
          <w:lang w:val="en-US" w:eastAsia="zh-CN" w:bidi="ar-SA"/>
        </w:rPr>
        <w:t>在今后的工作中我部将认真贯彻落实上级及区财政部门关于预算绩效管理工作精神，积极参加财政等部门组织的预算绩效管理业务培训，提高业务能力。进一步严肃财经纪律，强化财务管理确保资金的合理使用。落实预算执行分析，及时了解预算执行差异，合理调整、纠正预算执行偏差，切实提高部门预算收支管理水平。</w:t>
      </w:r>
    </w:p>
    <w:p>
      <w:pPr>
        <w:pStyle w:val="3"/>
        <w:rPr>
          <w:rFonts w:hint="eastAsia" w:ascii="仿宋_GB2312" w:hAnsi="仿宋_GB2312" w:eastAsia="仿宋_GB2312" w:cs="仿宋_GB2312"/>
          <w:color w:val="000000"/>
          <w:kern w:val="0"/>
          <w:sz w:val="32"/>
          <w:szCs w:val="32"/>
          <w:shd w:val="clear" w:color="auto" w:fill="FFFFFF"/>
          <w:lang w:val="en-US" w:eastAsia="zh-CN" w:bidi="ar-SA"/>
        </w:rPr>
      </w:pPr>
    </w:p>
    <w:p>
      <w:pPr>
        <w:pStyle w:val="3"/>
        <w:rPr>
          <w:rFonts w:hint="eastAsia" w:ascii="仿宋_GB2312" w:hAnsi="仿宋_GB2312" w:eastAsia="仿宋_GB2312" w:cs="仿宋_GB2312"/>
          <w:color w:val="000000"/>
          <w:kern w:val="0"/>
          <w:sz w:val="32"/>
          <w:szCs w:val="32"/>
          <w:shd w:val="clear" w:color="auto" w:fill="FFFFFF"/>
          <w:lang w:val="en-US" w:eastAsia="zh-CN" w:bidi="ar-SA"/>
        </w:rPr>
      </w:pPr>
    </w:p>
    <w:p>
      <w:pPr>
        <w:pStyle w:val="3"/>
        <w:rPr>
          <w:rFonts w:hint="eastAsia" w:ascii="仿宋_GB2312" w:hAnsi="仿宋_GB2312" w:eastAsia="仿宋_GB2312" w:cs="仿宋_GB2312"/>
          <w:color w:val="000000"/>
          <w:kern w:val="0"/>
          <w:sz w:val="32"/>
          <w:szCs w:val="32"/>
          <w:shd w:val="clear" w:color="auto" w:fill="FFFFFF"/>
          <w:lang w:val="en-US" w:eastAsia="zh-CN" w:bidi="ar-SA"/>
        </w:rPr>
      </w:pPr>
    </w:p>
    <w:p>
      <w:pPr>
        <w:pStyle w:val="3"/>
        <w:rPr>
          <w:rFonts w:hint="eastAsia" w:ascii="仿宋_GB2312" w:hAnsi="仿宋_GB2312" w:eastAsia="仿宋_GB2312" w:cs="仿宋_GB2312"/>
          <w:color w:val="000000"/>
          <w:kern w:val="0"/>
          <w:sz w:val="32"/>
          <w:szCs w:val="32"/>
          <w:shd w:val="clear" w:color="auto" w:fill="FFFFFF"/>
          <w:lang w:val="en-US" w:eastAsia="zh-CN" w:bidi="ar-SA"/>
        </w:rPr>
      </w:pPr>
    </w:p>
    <w:p>
      <w:pPr>
        <w:pStyle w:val="3"/>
        <w:rPr>
          <w:rFonts w:hint="eastAsia" w:ascii="仿宋_GB2312" w:hAnsi="仿宋_GB2312" w:eastAsia="仿宋_GB2312" w:cs="仿宋_GB2312"/>
          <w:color w:val="000000"/>
          <w:kern w:val="0"/>
          <w:sz w:val="32"/>
          <w:szCs w:val="32"/>
          <w:shd w:val="clear" w:color="auto" w:fill="FFFFFF"/>
          <w:lang w:val="en-US" w:eastAsia="zh-CN" w:bidi="ar-SA"/>
        </w:rPr>
      </w:pPr>
    </w:p>
    <w:p>
      <w:pPr>
        <w:pStyle w:val="3"/>
        <w:rPr>
          <w:rFonts w:hint="eastAsia" w:ascii="仿宋_GB2312" w:hAnsi="仿宋_GB2312" w:eastAsia="仿宋_GB2312" w:cs="仿宋_GB2312"/>
          <w:color w:val="000000"/>
          <w:kern w:val="0"/>
          <w:sz w:val="32"/>
          <w:szCs w:val="32"/>
          <w:shd w:val="clear" w:color="auto" w:fill="FFFFFF"/>
          <w:lang w:val="en-US" w:eastAsia="zh-CN" w:bidi="ar-SA"/>
        </w:rPr>
      </w:pPr>
    </w:p>
    <w:p>
      <w:pPr>
        <w:pStyle w:val="3"/>
        <w:rPr>
          <w:rFonts w:hint="eastAsia" w:ascii="仿宋_GB2312" w:hAnsi="仿宋_GB2312" w:eastAsia="仿宋_GB2312" w:cs="仿宋_GB2312"/>
          <w:color w:val="000000"/>
          <w:kern w:val="0"/>
          <w:sz w:val="32"/>
          <w:szCs w:val="32"/>
          <w:shd w:val="clear" w:color="auto" w:fill="FFFFFF"/>
          <w:lang w:val="en-US" w:eastAsia="zh-CN" w:bidi="ar-SA"/>
        </w:rPr>
      </w:pPr>
    </w:p>
    <w:p>
      <w:pPr>
        <w:pStyle w:val="3"/>
        <w:rPr>
          <w:rFonts w:hint="eastAsia" w:ascii="仿宋_GB2312" w:hAnsi="仿宋_GB2312" w:eastAsia="仿宋_GB2312" w:cs="仿宋_GB2312"/>
          <w:color w:val="000000"/>
          <w:kern w:val="0"/>
          <w:sz w:val="32"/>
          <w:szCs w:val="32"/>
          <w:shd w:val="clear" w:color="auto" w:fill="FFFFFF"/>
          <w:lang w:val="en-US" w:eastAsia="zh-CN" w:bidi="ar-SA"/>
        </w:rPr>
      </w:pPr>
    </w:p>
    <w:p>
      <w:pPr>
        <w:pStyle w:val="3"/>
        <w:rPr>
          <w:rFonts w:hint="eastAsia" w:ascii="仿宋_GB2312" w:hAnsi="仿宋_GB2312" w:eastAsia="仿宋_GB2312" w:cs="仿宋_GB2312"/>
          <w:color w:val="000000"/>
          <w:kern w:val="0"/>
          <w:sz w:val="32"/>
          <w:szCs w:val="32"/>
          <w:shd w:val="clear" w:color="auto" w:fill="FFFFFF"/>
          <w:lang w:val="en-US" w:eastAsia="zh-CN" w:bidi="ar-SA"/>
        </w:rPr>
      </w:pPr>
    </w:p>
    <w:p>
      <w:pPr>
        <w:pStyle w:val="3"/>
        <w:ind w:left="0" w:leftChars="0" w:firstLine="0" w:firstLineChars="0"/>
        <w:rPr>
          <w:rFonts w:hint="eastAsia" w:ascii="仿宋_GB2312" w:hAnsi="仿宋_GB2312" w:eastAsia="仿宋_GB2312" w:cs="仿宋_GB2312"/>
          <w:color w:val="000000"/>
          <w:kern w:val="0"/>
          <w:sz w:val="32"/>
          <w:szCs w:val="32"/>
          <w:shd w:val="clear" w:color="auto" w:fill="FFFFFF"/>
          <w:lang w:val="en-US" w:eastAsia="zh-CN" w:bidi="ar-SA"/>
        </w:rPr>
      </w:pPr>
    </w:p>
    <w:tbl>
      <w:tblPr>
        <w:tblStyle w:val="17"/>
        <w:tblW w:w="905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38"/>
        <w:gridCol w:w="867"/>
        <w:gridCol w:w="668"/>
        <w:gridCol w:w="803"/>
        <w:gridCol w:w="692"/>
        <w:gridCol w:w="1239"/>
        <w:gridCol w:w="1303"/>
        <w:gridCol w:w="567"/>
        <w:gridCol w:w="545"/>
        <w:gridCol w:w="7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9051"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30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统战工作专项经费</w:t>
            </w:r>
          </w:p>
        </w:tc>
        <w:tc>
          <w:tcPr>
            <w:tcW w:w="12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0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12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9051"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3173" w:type="dxa"/>
            <w:gridSpan w:val="3"/>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5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8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317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4.71</w:t>
            </w:r>
          </w:p>
        </w:tc>
        <w:tc>
          <w:tcPr>
            <w:tcW w:w="25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4.71</w:t>
            </w:r>
          </w:p>
        </w:tc>
        <w:tc>
          <w:tcPr>
            <w:tcW w:w="18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317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4.71</w:t>
            </w:r>
          </w:p>
        </w:tc>
        <w:tc>
          <w:tcPr>
            <w:tcW w:w="25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4.71</w:t>
            </w:r>
          </w:p>
        </w:tc>
        <w:tc>
          <w:tcPr>
            <w:tcW w:w="18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317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5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26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269" w:type="dxa"/>
            <w:gridSpan w:val="5"/>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用于开展节假日慰问、座谈交流等工作，引导服务对象时刻保持与党思想同心、行动同步。</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53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2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545"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721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4668" w:type="dxa"/>
            <w:gridSpan w:val="5"/>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节假日走访慰问次数</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1次</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节假日走访慰问发放准确率</w:t>
            </w:r>
          </w:p>
        </w:tc>
        <w:tc>
          <w:tcPr>
            <w:tcW w:w="1239"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03"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节假日走访慰问发放及时率</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成本控制数</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5万元</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4.71万元</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保障统战工作正常运转</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239" w:type="dxa"/>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03" w:type="dxa"/>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9051" w:type="dxa"/>
            <w:gridSpan w:val="10"/>
            <w:tcBorders>
              <w:top w:val="single" w:color="000000"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9051"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6个宗教场所师傅生活费及医疗费用</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9051"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2505"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250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250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250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30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3030"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保障民宗局运转</w:t>
            </w:r>
          </w:p>
        </w:tc>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567"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590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3976"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67"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发放宗教场所师傅生活费及医疗费用次数</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12次</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12次</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资金发放准确率</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资金发放及时率</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项目总成本</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10.8万元</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10.8万元</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资金应发尽发率</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宗教师傅满意度</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9051" w:type="dxa"/>
            <w:gridSpan w:val="10"/>
            <w:tcBorders>
              <w:top w:val="single" w:color="000000" w:sz="4" w:space="0"/>
              <w:left w:val="nil"/>
              <w:bottom w:val="nil"/>
              <w:right w:val="nil"/>
            </w:tcBorders>
            <w:shd w:val="clear" w:color="auto" w:fill="auto"/>
            <w:tcMar>
              <w:top w:w="15" w:type="dxa"/>
              <w:left w:w="15" w:type="dxa"/>
              <w:right w:w="15" w:type="dxa"/>
            </w:tcMar>
            <w:vAlign w:val="center"/>
          </w:tcPr>
          <w:tbl>
            <w:tblPr>
              <w:tblStyle w:val="17"/>
              <w:tblW w:w="90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38"/>
              <w:gridCol w:w="1568"/>
              <w:gridCol w:w="1"/>
              <w:gridCol w:w="1786"/>
              <w:gridCol w:w="1403"/>
              <w:gridCol w:w="1097"/>
              <w:gridCol w:w="1123"/>
              <w:gridCol w:w="472"/>
              <w:gridCol w:w="322"/>
              <w:gridCol w:w="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gridAfter w:val="1"/>
                <w:wAfter w:w="110" w:type="dxa"/>
                <w:trHeight w:val="907" w:hRule="atLeast"/>
              </w:trPr>
              <w:tc>
                <w:tcPr>
                  <w:tcW w:w="8910"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11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33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党派交流专项经费</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312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11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3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12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9020"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2706"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5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27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5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27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5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27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5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11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75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12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52"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758"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引导各民主党派、无党派人士发挥专业和人才智力资源优势，扎实开展“党委出题，党派调研”活动。</w:t>
                  </w:r>
                </w:p>
              </w:tc>
              <w:tc>
                <w:tcPr>
                  <w:tcW w:w="312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40" w:hRule="atLeast"/>
              </w:trPr>
              <w:tc>
                <w:tcPr>
                  <w:tcW w:w="11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1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472"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699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4493"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11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招待场次</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5场次</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5场次</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调研、考察、学习开展次数</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3次</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3次</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调研、考察、学习人员出勤率</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3"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资金发放及时率</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调研、考察、学习成本控制数</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12.84万元</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12.84万元</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11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6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参会人员党派交流信念教育</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优</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优</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1" w:hRule="atLeast"/>
              </w:trPr>
              <w:tc>
                <w:tcPr>
                  <w:tcW w:w="113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培训人员满意度</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96%</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96%</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keepNext w:val="0"/>
              <w:keepLines w:val="0"/>
              <w:widowControl/>
              <w:suppressLineNumbers w:val="0"/>
              <w:jc w:val="left"/>
              <w:textAlignment w:val="center"/>
              <w:rPr>
                <w:rFonts w:hint="eastAsia" w:ascii="宋体" w:hAnsi="宋体" w:eastAsia="宋体" w:cs="宋体"/>
                <w:i w:val="0"/>
                <w:color w:val="000000"/>
                <w:sz w:val="22"/>
                <w:szCs w:val="22"/>
                <w:u w:val="none"/>
              </w:rPr>
            </w:pPr>
          </w:p>
        </w:tc>
      </w:tr>
    </w:tbl>
    <w:p>
      <w:pPr>
        <w:pStyle w:val="3"/>
        <w:ind w:left="0" w:leftChars="0" w:firstLine="0" w:firstLineChars="0"/>
        <w:rPr>
          <w:rFonts w:hint="eastAsia" w:ascii="仿宋_GB2312" w:hAnsi="仿宋_GB2312" w:eastAsia="仿宋_GB2312" w:cs="仿宋_GB2312"/>
          <w:color w:val="000000"/>
          <w:kern w:val="0"/>
          <w:sz w:val="32"/>
          <w:szCs w:val="32"/>
          <w:shd w:val="clear" w:color="auto" w:fill="FFFFFF"/>
          <w:lang w:val="zh-CN" w:eastAsia="zh-CN" w:bidi="ar-SA"/>
        </w:rPr>
      </w:pPr>
    </w:p>
    <w:tbl>
      <w:tblPr>
        <w:tblStyle w:val="17"/>
        <w:tblW w:w="85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291"/>
        <w:gridCol w:w="1354"/>
        <w:gridCol w:w="1922"/>
        <w:gridCol w:w="1081"/>
        <w:gridCol w:w="977"/>
        <w:gridCol w:w="842"/>
        <w:gridCol w:w="409"/>
        <w:gridCol w:w="7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34" w:hRule="atLeast"/>
        </w:trPr>
        <w:tc>
          <w:tcPr>
            <w:tcW w:w="8580" w:type="dxa"/>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327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侨台专项经费</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2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27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858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2645"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9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11.42</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10.97</w:t>
            </w:r>
          </w:p>
        </w:tc>
        <w:tc>
          <w:tcPr>
            <w:tcW w:w="19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11.42</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10.97</w:t>
            </w:r>
          </w:p>
        </w:tc>
        <w:tc>
          <w:tcPr>
            <w:tcW w:w="19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3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2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55"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357"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加强台联会建设、运行，及时了解掌握台胞台属所思、所想、所盼，常态关注台胞台属工作生活状况，引导台胞台属时刻保持与党思想同心、行动同步。</w:t>
            </w:r>
          </w:p>
        </w:tc>
        <w:tc>
          <w:tcPr>
            <w:tcW w:w="2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8" w:hRule="atLeast"/>
        </w:trPr>
        <w:tc>
          <w:tcPr>
            <w:tcW w:w="1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3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4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662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456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节假日走访慰问次数</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5次</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5次</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8"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节假日走访慰问发放准确率</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8"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节假日走访慰问发放及时率</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成本控制数</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11.42万元</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1.42万元</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促进中台两岸侨胞交流</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3" w:hRule="atLeast"/>
        </w:trPr>
        <w:tc>
          <w:tcPr>
            <w:tcW w:w="12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台胞台属满意度</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pStyle w:val="3"/>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7"/>
        <w:rPr>
          <w:rFonts w:hint="eastAsia" w:ascii="Times New Roman" w:hAnsi="Times New Roman" w:cs="宋体"/>
          <w:color w:val="FF0000"/>
          <w:kern w:val="0"/>
          <w:sz w:val="32"/>
          <w:szCs w:val="32"/>
          <w:highlight w:val="yellow"/>
          <w:shd w:val="clear" w:color="auto" w:fill="FFFFFF"/>
          <w:lang w:val="zh-CN"/>
        </w:rPr>
      </w:pPr>
    </w:p>
    <w:tbl>
      <w:tblPr>
        <w:tblStyle w:val="17"/>
        <w:tblW w:w="89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56"/>
        <w:gridCol w:w="1422"/>
        <w:gridCol w:w="2018"/>
        <w:gridCol w:w="1136"/>
        <w:gridCol w:w="1025"/>
        <w:gridCol w:w="884"/>
        <w:gridCol w:w="430"/>
        <w:gridCol w:w="6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48" w:hRule="atLeast"/>
        </w:trPr>
        <w:tc>
          <w:tcPr>
            <w:tcW w:w="8960" w:type="dxa"/>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344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华侨事务工作经费</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30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44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0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896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778"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20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9.64</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9.64</w:t>
            </w:r>
          </w:p>
        </w:tc>
        <w:tc>
          <w:tcPr>
            <w:tcW w:w="20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9.64</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9.64</w:t>
            </w:r>
          </w:p>
        </w:tc>
        <w:tc>
          <w:tcPr>
            <w:tcW w:w="20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277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0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4576"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30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8"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4576" w:type="dxa"/>
            <w:gridSpan w:val="3"/>
            <w:tcBorders>
              <w:top w:val="single" w:color="000000" w:sz="4" w:space="0"/>
              <w:left w:val="single" w:color="000000" w:sz="4" w:space="0"/>
              <w:bottom w:val="nil"/>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highlight w:val="none"/>
                <w:lang w:val="en-US" w:eastAsia="zh-CN"/>
              </w:rPr>
              <w:t>打造各类具有侨联特色的服务项目和品牌活动，不断拓展侨联为大局服务和为侨服务的功能。</w:t>
            </w:r>
          </w:p>
        </w:tc>
        <w:tc>
          <w:tcPr>
            <w:tcW w:w="30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58" w:hRule="atLeast"/>
        </w:trPr>
        <w:tc>
          <w:tcPr>
            <w:tcW w:w="13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4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430"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695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4796"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特色服务项目</w:t>
            </w:r>
          </w:p>
        </w:tc>
        <w:tc>
          <w:tcPr>
            <w:tcW w:w="113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 个</w:t>
            </w:r>
          </w:p>
        </w:tc>
        <w:tc>
          <w:tcPr>
            <w:tcW w:w="102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 个</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特色品牌活动</w:t>
            </w:r>
          </w:p>
        </w:tc>
        <w:tc>
          <w:tcPr>
            <w:tcW w:w="1136"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 次</w:t>
            </w:r>
          </w:p>
        </w:tc>
        <w:tc>
          <w:tcPr>
            <w:tcW w:w="1025" w:type="dxa"/>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 次</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资金拨付准确率</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资金拨付及时率</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成本控制数</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9.64万元</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9.64万元</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推动华侨事务管理</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1356"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9" w:hRule="atLeast"/>
        </w:trPr>
        <w:tc>
          <w:tcPr>
            <w:tcW w:w="135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422"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20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侨眷和海外侨胞满意度</w:t>
            </w:r>
          </w:p>
        </w:tc>
        <w:tc>
          <w:tcPr>
            <w:tcW w:w="1136"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96%</w:t>
            </w:r>
          </w:p>
        </w:tc>
        <w:tc>
          <w:tcPr>
            <w:tcW w:w="102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96%</w:t>
            </w:r>
          </w:p>
        </w:tc>
        <w:tc>
          <w:tcPr>
            <w:tcW w:w="8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rPr>
          <w:rFonts w:hint="eastAsia" w:ascii="Times New Roman" w:hAnsi="Times New Roman" w:eastAsia="黑体" w:cs="黑体"/>
          <w:color w:val="auto"/>
          <w:kern w:val="0"/>
          <w:sz w:val="32"/>
          <w:szCs w:val="32"/>
          <w:highlight w:val="none"/>
          <w:shd w:val="clear" w:color="auto" w:fill="FFFFFF"/>
          <w:lang w:val="zh-CN"/>
        </w:rPr>
      </w:pPr>
      <w:r>
        <w:rPr>
          <w:rFonts w:hint="eastAsia" w:ascii="Times New Roman" w:hAnsi="Times New Roman" w:eastAsia="黑体" w:cs="黑体"/>
          <w:color w:val="auto"/>
          <w:kern w:val="0"/>
          <w:sz w:val="32"/>
          <w:szCs w:val="32"/>
          <w:highlight w:val="none"/>
          <w:shd w:val="clear" w:color="auto" w:fill="FFFFFF"/>
          <w:lang w:val="zh-CN"/>
        </w:rPr>
        <w:br w:type="page"/>
      </w:r>
    </w:p>
    <w:p>
      <w:pPr>
        <w:pStyle w:val="7"/>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kern w:val="0"/>
          <w:sz w:val="32"/>
          <w:szCs w:val="32"/>
          <w:highlight w:val="none"/>
          <w:shd w:val="clear" w:color="auto" w:fill="FFFFFF"/>
          <w:lang w:val="zh-CN"/>
        </w:rPr>
        <w:t>附件</w:t>
      </w:r>
      <w:r>
        <w:rPr>
          <w:rFonts w:hint="eastAsia" w:ascii="Times New Roman" w:hAnsi="Times New Roman" w:eastAsia="黑体" w:cs="黑体"/>
          <w:color w:val="auto"/>
          <w:kern w:val="0"/>
          <w:sz w:val="32"/>
          <w:szCs w:val="32"/>
          <w:highlight w:val="none"/>
          <w:shd w:val="clear" w:color="auto" w:fill="FFFFFF"/>
          <w:lang w:val="en-US" w:eastAsia="zh-CN"/>
        </w:rPr>
        <w:t>2</w:t>
      </w:r>
    </w:p>
    <w:p>
      <w:pPr>
        <w:pStyle w:val="36"/>
        <w:pageBreakBefore w:val="0"/>
        <w:kinsoku/>
        <w:wordWrap/>
        <w:overflowPunct/>
        <w:autoSpaceDE/>
        <w:autoSpaceDN/>
        <w:bidi w:val="0"/>
        <w:spacing w:line="560" w:lineRule="exact"/>
        <w:jc w:val="center"/>
        <w:rPr>
          <w:rFonts w:ascii="Times New Roman" w:hAnsi="Times New Roman" w:eastAsia="方正小标宋简体" w:cs="方正小标宋简体"/>
          <w:color w:val="auto"/>
          <w:kern w:val="2"/>
          <w:sz w:val="44"/>
          <w:szCs w:val="44"/>
          <w:lang w:val="en-US"/>
        </w:rPr>
      </w:pPr>
      <w:bookmarkStart w:id="135" w:name="_Toc23168_WPSOffice_Level2"/>
      <w:r>
        <w:rPr>
          <w:rFonts w:hint="eastAsia" w:ascii="Times New Roman" w:hAnsi="Times New Roman" w:eastAsia="方正小标宋简体" w:cs="方正小标宋简体"/>
          <w:color w:val="auto"/>
          <w:kern w:val="2"/>
          <w:sz w:val="44"/>
          <w:szCs w:val="44"/>
          <w:lang w:val="en-US"/>
        </w:rPr>
        <w:t>专项预算项目绩效评价报告</w:t>
      </w:r>
      <w:bookmarkEnd w:id="135"/>
    </w:p>
    <w:p>
      <w:pPr>
        <w:pStyle w:val="36"/>
        <w:pageBreakBefore w:val="0"/>
        <w:kinsoku/>
        <w:wordWrap/>
        <w:overflowPunct/>
        <w:autoSpaceDE/>
        <w:autoSpaceDN/>
        <w:bidi w:val="0"/>
        <w:spacing w:line="560" w:lineRule="exact"/>
        <w:ind w:firstLine="640"/>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（党派交流专项经费项目）</w:t>
      </w:r>
    </w:p>
    <w:p>
      <w:pPr>
        <w:pageBreakBefore w:val="0"/>
        <w:kinsoku/>
        <w:wordWrap/>
        <w:overflowPunct/>
        <w:autoSpaceDE/>
        <w:autoSpaceDN/>
        <w:bidi w:val="0"/>
        <w:adjustRightInd w:val="0"/>
        <w:snapToGrid w:val="0"/>
        <w:spacing w:line="560" w:lineRule="exact"/>
        <w:ind w:firstLine="640" w:firstLineChars="200"/>
        <w:rPr>
          <w:rFonts w:eastAsia="黑体"/>
          <w:sz w:val="32"/>
          <w:szCs w:val="32"/>
          <w:lang w:val="zh-CN"/>
        </w:rPr>
      </w:pPr>
      <w:bookmarkStart w:id="136" w:name="_Toc11160_WPSOffice_Level2"/>
      <w:r>
        <w:rPr>
          <w:rFonts w:hint="eastAsia" w:eastAsia="黑体"/>
          <w:sz w:val="32"/>
          <w:szCs w:val="32"/>
        </w:rPr>
        <w:t>一、</w:t>
      </w:r>
      <w:r>
        <w:rPr>
          <w:rFonts w:hint="eastAsia" w:eastAsia="黑体"/>
          <w:sz w:val="32"/>
          <w:szCs w:val="32"/>
          <w:lang w:val="zh-CN"/>
        </w:rPr>
        <w:t>项目概况</w:t>
      </w:r>
      <w:bookmarkEnd w:id="136"/>
    </w:p>
    <w:p>
      <w:pPr>
        <w:pageBreakBefore w:val="0"/>
        <w:widowControl/>
        <w:kinsoku/>
        <w:wordWrap/>
        <w:overflowPunct/>
        <w:autoSpaceDE/>
        <w:autoSpaceDN/>
        <w:bidi w:val="0"/>
        <w:adjustRightInd w:val="0"/>
        <w:snapToGrid w:val="0"/>
        <w:spacing w:line="560" w:lineRule="exact"/>
        <w:ind w:firstLine="643" w:firstLineChars="200"/>
        <w:contextualSpacing/>
        <w:jc w:val="left"/>
        <w:rPr>
          <w:rFonts w:hint="eastAsia" w:ascii="楷体" w:hAnsi="楷体" w:eastAsia="楷体" w:cs="楷体"/>
          <w:kern w:val="0"/>
          <w:sz w:val="32"/>
          <w:szCs w:val="32"/>
          <w:highlight w:val="yellow"/>
          <w:shd w:val="clear" w:color="auto" w:fill="FFFFFF"/>
          <w:lang w:val="zh-CN"/>
        </w:rPr>
      </w:pPr>
      <w:r>
        <w:rPr>
          <w:rFonts w:hint="eastAsia" w:ascii="楷体" w:hAnsi="楷体" w:eastAsia="楷体" w:cs="楷体"/>
          <w:b/>
          <w:sz w:val="32"/>
          <w:szCs w:val="32"/>
          <w:lang w:val="zh-CN"/>
        </w:rPr>
        <w:t>（</w:t>
      </w:r>
      <w:r>
        <w:rPr>
          <w:rFonts w:hint="eastAsia" w:ascii="楷体" w:hAnsi="楷体" w:eastAsia="楷体" w:cs="楷体"/>
          <w:b w:val="0"/>
          <w:bCs/>
          <w:sz w:val="32"/>
          <w:szCs w:val="32"/>
          <w:lang w:val="zh-CN"/>
        </w:rPr>
        <w:t>一）设立背景及基本情况。</w:t>
      </w:r>
    </w:p>
    <w:p>
      <w:pPr>
        <w:pStyle w:val="2"/>
        <w:pageBreakBefore w:val="0"/>
        <w:kinsoku/>
        <w:wordWrap/>
        <w:overflowPunct/>
        <w:autoSpaceDE/>
        <w:autoSpaceDN/>
        <w:bidi w:val="0"/>
        <w:spacing w:line="560" w:lineRule="exact"/>
        <w:ind w:left="0" w:leftChars="0"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依据《中共中央关于加强中国特色社会主义参政党建设的意见》等文件精神，为深入推进多党合作事业发展，强化党外人士思想引领，提升民主党派参政议政能力，设立党派交流专项经费项目。</w:t>
      </w:r>
      <w:r>
        <w:rPr>
          <w:rFonts w:hint="eastAsia" w:ascii="仿宋_GB2312" w:hAnsi="仿宋_GB2312" w:eastAsia="仿宋_GB2312" w:cs="仿宋_GB2312"/>
          <w:kern w:val="0"/>
          <w:sz w:val="32"/>
          <w:szCs w:val="32"/>
          <w:lang w:val="zh-CN"/>
        </w:rPr>
        <w:t>项目主要内容：</w:t>
      </w:r>
      <w:r>
        <w:rPr>
          <w:rFonts w:hint="eastAsia" w:ascii="仿宋_GB2312" w:hAnsi="仿宋_GB2312" w:eastAsia="仿宋_GB2312" w:cs="仿宋_GB2312"/>
          <w:sz w:val="32"/>
          <w:szCs w:val="32"/>
        </w:rPr>
        <w:t>专项经费主要用于保障各民主党派、党外知识分子联谊会等团体开展党派间交流研讨、专题调研、政策宣讲、跨区域交流协作等活动，通过多样化交流形式凝聚思想共识，强化参政议政能力建设。</w:t>
      </w:r>
    </w:p>
    <w:p>
      <w:pPr>
        <w:pageBreakBefore w:val="0"/>
        <w:numPr>
          <w:ilvl w:val="0"/>
          <w:numId w:val="7"/>
        </w:numPr>
        <w:kinsoku/>
        <w:wordWrap/>
        <w:overflowPunct/>
        <w:autoSpaceDE/>
        <w:autoSpaceDN/>
        <w:bidi w:val="0"/>
        <w:adjustRightInd w:val="0"/>
        <w:snapToGrid w:val="0"/>
        <w:spacing w:line="560" w:lineRule="exact"/>
        <w:ind w:left="-13" w:leftChars="0" w:firstLine="643" w:firstLineChars="0"/>
        <w:rPr>
          <w:rFonts w:hint="eastAsia" w:ascii="楷体" w:hAnsi="楷体" w:eastAsia="楷体" w:cs="楷体"/>
          <w:b w:val="0"/>
          <w:bCs/>
          <w:kern w:val="0"/>
          <w:sz w:val="32"/>
          <w:szCs w:val="32"/>
          <w:lang w:val="zh-CN"/>
        </w:rPr>
      </w:pPr>
      <w:bookmarkStart w:id="137" w:name="OLE_LINK2"/>
      <w:r>
        <w:rPr>
          <w:rFonts w:hint="eastAsia" w:ascii="楷体" w:hAnsi="楷体" w:eastAsia="楷体" w:cs="楷体"/>
          <w:b w:val="0"/>
          <w:bCs/>
          <w:sz w:val="32"/>
          <w:szCs w:val="32"/>
        </w:rPr>
        <w:t>实施目的及支持方向。</w:t>
      </w:r>
    </w:p>
    <w:bookmarkEnd w:id="137"/>
    <w:p>
      <w:pPr>
        <w:pStyle w:val="2"/>
        <w:pageBreakBefore w:val="0"/>
        <w:kinsoku/>
        <w:wordWrap/>
        <w:overflowPunct/>
        <w:autoSpaceDE/>
        <w:autoSpaceDN/>
        <w:bidi w:val="0"/>
        <w:spacing w:line="560" w:lineRule="exact"/>
        <w:ind w:left="0" w:leftChars="0" w:firstLine="585"/>
        <w:rPr>
          <w:rFonts w:hint="eastAsia" w:ascii="仿宋_GB2312" w:hAnsi="仿宋_GB2312" w:eastAsia="仿宋_GB2312" w:cs="仿宋_GB2312"/>
          <w:kern w:val="0"/>
          <w:sz w:val="32"/>
          <w:szCs w:val="32"/>
        </w:rPr>
      </w:pPr>
      <w:r>
        <w:rPr>
          <w:rFonts w:hint="eastAsia"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项目资金</w:t>
      </w:r>
      <w:r>
        <w:rPr>
          <w:rFonts w:hint="eastAsia" w:ascii="仿宋_GB2312" w:hAnsi="仿宋_GB2312" w:eastAsia="仿宋_GB2312" w:cs="仿宋_GB2312"/>
          <w:kern w:val="0"/>
          <w:sz w:val="32"/>
          <w:szCs w:val="32"/>
          <w:lang w:val="zh-CN"/>
        </w:rPr>
        <w:t>管理办法制定情况：</w:t>
      </w:r>
      <w:r>
        <w:rPr>
          <w:rFonts w:hint="eastAsia" w:ascii="仿宋_GB2312" w:hAnsi="仿宋_GB2312" w:eastAsia="仿宋_GB2312" w:cs="仿宋_GB2312"/>
          <w:kern w:val="0"/>
          <w:sz w:val="32"/>
          <w:szCs w:val="32"/>
        </w:rPr>
        <w:t>制定项目资金管理办法，确立“集中管理、统一核算、统筹安排、量入为出”的原则，确保经费效用最大化，并鼓励各党派积极作为。</w:t>
      </w:r>
    </w:p>
    <w:p>
      <w:pPr>
        <w:pStyle w:val="2"/>
        <w:pageBreakBefore w:val="0"/>
        <w:kinsoku/>
        <w:wordWrap/>
        <w:overflowPunct/>
        <w:autoSpaceDE/>
        <w:autoSpaceDN/>
        <w:bidi w:val="0"/>
        <w:spacing w:line="560" w:lineRule="exact"/>
        <w:ind w:left="0" w:leftChars="0" w:firstLine="585"/>
        <w:rPr>
          <w:rFonts w:hint="eastAsia" w:ascii="仿宋_GB2312" w:hAnsi="仿宋_GB2312" w:eastAsia="仿宋_GB2312" w:cs="仿宋_GB2312"/>
          <w:kern w:val="0"/>
          <w:sz w:val="32"/>
          <w:szCs w:val="32"/>
        </w:rPr>
      </w:pPr>
      <w:r>
        <w:rPr>
          <w:rFonts w:hint="eastAsia"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项目实施目的：一是强化思想政治引领。通过支持各类交流活动，组织民主党派成员深入学习政治理论与多党合作优良传统，不断凝聚思想政治共识，坚定“四个自信”，做到“两个维护”。二是提升参政议政效能。为民主党派开展专题调研、政策研讨等活动提供经费保障，支持其围绕区域发展大局建言献策，将智力资源转化为推动高质量发展的实际成效。三是夯实多党合作基础。搭建党派间、跨区域的交流协作平台，增进团结联谊，解决民主党派基层组织经费不足等问题，保障其更好地履行职能、发挥作用。</w:t>
      </w:r>
    </w:p>
    <w:p>
      <w:pPr>
        <w:pStyle w:val="3"/>
        <w:pageBreakBefore w:val="0"/>
        <w:kinsoku/>
        <w:wordWrap/>
        <w:overflowPunct/>
        <w:autoSpaceDE/>
        <w:autoSpaceDN/>
        <w:bidi w:val="0"/>
        <w:spacing w:line="560" w:lineRule="exact"/>
        <w:ind w:left="0" w:leftChars="0" w:firstLine="640"/>
        <w:rPr>
          <w:rFonts w:hint="eastAsia" w:ascii="仿宋_GB2312" w:hAnsi="仿宋_GB2312" w:eastAsia="仿宋_GB2312" w:cs="仿宋_GB2312"/>
          <w:kern w:val="0"/>
          <w:sz w:val="32"/>
          <w:szCs w:val="32"/>
          <w:lang w:val="zh-CN"/>
        </w:rPr>
      </w:pPr>
      <w:r>
        <w:rPr>
          <w:rFonts w:hint="eastAsia"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val="zh-CN"/>
        </w:rPr>
        <w:t>主要工作任务：一是前期统筹与立项。组织民主党派申报年度交流项目，开展可行性论证，结合工作重点确定资助项目清单，明确实施主体、活动内容及绩效目标，并完成预算编制与资金分配。二是过程推进与监管。按照项目进度及时拨付经费，对活动开展情况进行常态化跟踪，通过审阅资料、实地抽查等方式，监控经费使用合规性与活动实施质量，协调解决实施中的困难。三是收尾评估与总结。组织项目验收，核查经费使用情况，开展绩效评价，梳理活动成果与典型案例，分析存在问题并推动整改，为下年度项目优化提供依据。</w:t>
      </w:r>
    </w:p>
    <w:p>
      <w:pPr>
        <w:pStyle w:val="3"/>
        <w:pageBreakBefore w:val="0"/>
        <w:kinsoku/>
        <w:wordWrap/>
        <w:overflowPunct/>
        <w:autoSpaceDE/>
        <w:autoSpaceDN/>
        <w:bidi w:val="0"/>
        <w:spacing w:line="560" w:lineRule="exact"/>
        <w:ind w:left="0" w:leftChars="0" w:firstLine="640"/>
        <w:rPr>
          <w:rFonts w:hint="eastAsia" w:ascii="仿宋_GB2312" w:hAnsi="仿宋_GB2312" w:eastAsia="仿宋_GB2312" w:cs="仿宋_GB2312"/>
          <w:sz w:val="32"/>
          <w:szCs w:val="32"/>
        </w:rPr>
      </w:pPr>
      <w:r>
        <w:rPr>
          <w:rFonts w:hint="eastAsia"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val="zh-CN"/>
        </w:rPr>
        <w:t>项目支持方向：一是思想政治建设类。支持各民主党派开展政治理论培训、专题学习研讨、多党合作历史教育等活动。二是参政议政与调研类。资助围绕经济发展、民生保障、生态环保等重点领域开展的专题调研、考察活动，包括交通、住宿、数据采集等费用。支持召开调研成果研讨会、政策咨询会，以及形成高质量调研报告、提案建议等材料的相关开支。三是团结联谊与交流类。支持党派间开展的纪念座谈、节日联谊、文化交流等活动，增进成员间的感情与协作。 资助跨区域党派交流协作项目，如对接上级民主党派开展帮扶合作、组织异地考察学习等。</w:t>
      </w:r>
    </w:p>
    <w:p>
      <w:pPr>
        <w:pageBreakBefore w:val="0"/>
        <w:widowControl/>
        <w:numPr>
          <w:ilvl w:val="0"/>
          <w:numId w:val="7"/>
        </w:numPr>
        <w:kinsoku/>
        <w:wordWrap/>
        <w:overflowPunct/>
        <w:autoSpaceDE/>
        <w:autoSpaceDN/>
        <w:bidi w:val="0"/>
        <w:adjustRightInd w:val="0"/>
        <w:snapToGrid w:val="0"/>
        <w:spacing w:line="560" w:lineRule="exact"/>
        <w:ind w:left="-13" w:leftChars="0" w:firstLine="643" w:firstLineChars="0"/>
        <w:contextualSpacing/>
        <w:jc w:val="left"/>
        <w:rPr>
          <w:rFonts w:hint="eastAsia" w:ascii="楷体" w:hAnsi="楷体" w:eastAsia="楷体" w:cs="楷体"/>
          <w:b w:val="0"/>
          <w:bCs/>
          <w:kern w:val="0"/>
          <w:sz w:val="32"/>
          <w:szCs w:val="32"/>
          <w:lang w:val="zh-CN"/>
        </w:rPr>
      </w:pPr>
      <w:r>
        <w:rPr>
          <w:rFonts w:hint="eastAsia" w:ascii="楷体" w:hAnsi="楷体" w:eastAsia="楷体" w:cs="楷体"/>
          <w:b w:val="0"/>
          <w:bCs/>
          <w:sz w:val="32"/>
          <w:szCs w:val="32"/>
        </w:rPr>
        <w:t>预算安排及分配管理</w:t>
      </w:r>
      <w:r>
        <w:rPr>
          <w:rFonts w:hint="eastAsia" w:ascii="楷体" w:hAnsi="楷体" w:eastAsia="楷体" w:cs="楷体"/>
          <w:b w:val="0"/>
          <w:bCs/>
          <w:sz w:val="32"/>
          <w:szCs w:val="32"/>
          <w:lang w:val="zh-CN"/>
        </w:rPr>
        <w:t>。</w:t>
      </w:r>
    </w:p>
    <w:p>
      <w:pPr>
        <w:pStyle w:val="2"/>
        <w:pageBreakBefore w:val="0"/>
        <w:kinsoku/>
        <w:wordWrap/>
        <w:overflowPunct/>
        <w:autoSpaceDE/>
        <w:autoSpaceDN/>
        <w:bidi w:val="0"/>
        <w:spacing w:line="560" w:lineRule="exact"/>
        <w:ind w:left="0" w:leftChars="0" w:firstLine="640" w:firstLineChars="200"/>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202</w:t>
      </w: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zh-CN"/>
        </w:rPr>
        <w:t>年度财政预算安排党派交流专项经费</w:t>
      </w:r>
      <w:r>
        <w:rPr>
          <w:rFonts w:hint="eastAsia" w:ascii="仿宋_GB2312" w:hAnsi="仿宋_GB2312" w:eastAsia="仿宋_GB2312" w:cs="仿宋_GB2312"/>
          <w:kern w:val="0"/>
          <w:sz w:val="32"/>
          <w:szCs w:val="32"/>
        </w:rPr>
        <w:t>12.84</w:t>
      </w:r>
      <w:r>
        <w:rPr>
          <w:rFonts w:hint="eastAsia" w:ascii="仿宋_GB2312" w:hAnsi="仿宋_GB2312" w:eastAsia="仿宋_GB2312" w:cs="仿宋_GB2312"/>
          <w:kern w:val="0"/>
          <w:sz w:val="32"/>
          <w:szCs w:val="32"/>
          <w:lang w:val="zh-CN"/>
        </w:rPr>
        <w:t>万元，截至202</w:t>
      </w: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zh-CN"/>
        </w:rPr>
        <w:t>年12月31日，实际支出</w:t>
      </w:r>
      <w:r>
        <w:rPr>
          <w:rFonts w:hint="eastAsia" w:ascii="仿宋_GB2312" w:hAnsi="仿宋_GB2312" w:eastAsia="仿宋_GB2312" w:cs="仿宋_GB2312"/>
          <w:kern w:val="0"/>
          <w:sz w:val="32"/>
          <w:szCs w:val="32"/>
        </w:rPr>
        <w:t>12.84</w:t>
      </w:r>
      <w:r>
        <w:rPr>
          <w:rFonts w:hint="eastAsia" w:ascii="仿宋_GB2312" w:hAnsi="仿宋_GB2312" w:eastAsia="仿宋_GB2312" w:cs="仿宋_GB2312"/>
          <w:kern w:val="0"/>
          <w:sz w:val="32"/>
          <w:szCs w:val="32"/>
          <w:lang w:val="zh-CN"/>
        </w:rPr>
        <w:t>万元，预算执行率</w:t>
      </w:r>
      <w:r>
        <w:rPr>
          <w:rFonts w:hint="eastAsia"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lang w:val="zh-CN"/>
        </w:rPr>
        <w:t>%。资金主要用于交流活动组织费、调研差旅费、材料印制费、会议费、公务接待费等合规支出方向。</w:t>
      </w:r>
    </w:p>
    <w:p>
      <w:pPr>
        <w:pageBreakBefore w:val="0"/>
        <w:numPr>
          <w:ilvl w:val="0"/>
          <w:numId w:val="7"/>
        </w:numPr>
        <w:kinsoku/>
        <w:wordWrap/>
        <w:overflowPunct/>
        <w:autoSpaceDE/>
        <w:autoSpaceDN/>
        <w:bidi w:val="0"/>
        <w:adjustRightInd w:val="0"/>
        <w:snapToGrid w:val="0"/>
        <w:spacing w:line="560" w:lineRule="exact"/>
        <w:ind w:left="-13" w:leftChars="0" w:firstLine="643" w:firstLineChars="0"/>
        <w:rPr>
          <w:rFonts w:hint="eastAsia" w:ascii="楷体" w:hAnsi="楷体" w:eastAsia="楷体" w:cs="楷体"/>
          <w:b w:val="0"/>
          <w:bCs/>
          <w:kern w:val="0"/>
          <w:sz w:val="32"/>
          <w:szCs w:val="32"/>
          <w:lang w:val="zh-CN"/>
        </w:rPr>
      </w:pPr>
      <w:r>
        <w:rPr>
          <w:rFonts w:hint="eastAsia" w:ascii="楷体" w:hAnsi="楷体" w:eastAsia="楷体" w:cs="楷体"/>
          <w:b w:val="0"/>
          <w:bCs/>
          <w:sz w:val="32"/>
          <w:szCs w:val="32"/>
          <w:lang w:val="zh-CN"/>
        </w:rPr>
        <w:t>项目绩效目标设置。</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整体绩效目标：2024年度实现辖区内重点党派组织交流活动覆盖率100%，活动主题与统一战线工作重点契合度达95%以上，参与党派成员满意度达90%以上</w:t>
      </w:r>
      <w:r>
        <w:rPr>
          <w:rFonts w:hint="eastAsia" w:ascii="仿宋_GB2312" w:hAnsi="仿宋_GB2312" w:eastAsia="仿宋_GB2312" w:cs="仿宋_GB2312"/>
          <w:sz w:val="32"/>
          <w:szCs w:val="32"/>
          <w:highlight w:val="none"/>
        </w:rPr>
        <w:t>。</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自评工作开展情况：我部成立自评工作组，于2024年12月开展年度自评，通过查阅经费台账、核对活动档案、实地走访党派组织、与成员代表座谈等方式，全面核查项目执行情况，确保自评数据真实、结论客观。</w:t>
      </w:r>
    </w:p>
    <w:p>
      <w:pPr>
        <w:pageBreakBefore w:val="0"/>
        <w:kinsoku/>
        <w:wordWrap/>
        <w:overflowPunct/>
        <w:autoSpaceDE/>
        <w:autoSpaceDN/>
        <w:bidi w:val="0"/>
        <w:adjustRightInd w:val="0"/>
        <w:snapToGrid w:val="0"/>
        <w:spacing w:line="560" w:lineRule="exact"/>
        <w:ind w:firstLine="640" w:firstLineChars="200"/>
        <w:rPr>
          <w:rFonts w:hint="eastAsia" w:ascii="黑体" w:hAnsi="黑体" w:eastAsia="黑体" w:cs="黑体"/>
          <w:sz w:val="32"/>
          <w:szCs w:val="32"/>
        </w:rPr>
      </w:pPr>
      <w:bookmarkStart w:id="138" w:name="_Toc11721_WPSOffice_Level2"/>
      <w:r>
        <w:rPr>
          <w:rFonts w:hint="eastAsia" w:ascii="黑体" w:hAnsi="黑体" w:eastAsia="黑体" w:cs="黑体"/>
          <w:sz w:val="32"/>
          <w:szCs w:val="32"/>
        </w:rPr>
        <w:t>二、评价实施</w:t>
      </w:r>
      <w:bookmarkEnd w:id="138"/>
    </w:p>
    <w:p>
      <w:pPr>
        <w:pStyle w:val="29"/>
        <w:pageBreakBefore w:val="0"/>
        <w:numPr>
          <w:ilvl w:val="0"/>
          <w:numId w:val="8"/>
        </w:numPr>
        <w:kinsoku/>
        <w:wordWrap/>
        <w:overflowPunct/>
        <w:autoSpaceDE/>
        <w:autoSpaceDN/>
        <w:bidi w:val="0"/>
        <w:spacing w:line="560" w:lineRule="exact"/>
        <w:ind w:firstLineChars="0"/>
        <w:rPr>
          <w:rFonts w:hint="eastAsia" w:ascii="楷体" w:hAnsi="楷体" w:eastAsia="楷体" w:cs="楷体"/>
          <w:b w:val="0"/>
          <w:bCs/>
          <w:kern w:val="0"/>
          <w:sz w:val="32"/>
          <w:szCs w:val="32"/>
          <w:lang w:val="zh-CN"/>
        </w:rPr>
      </w:pPr>
      <w:r>
        <w:rPr>
          <w:rFonts w:hint="eastAsia" w:ascii="楷体" w:hAnsi="楷体" w:eastAsia="楷体" w:cs="楷体"/>
          <w:b w:val="0"/>
          <w:bCs/>
          <w:sz w:val="32"/>
          <w:szCs w:val="32"/>
          <w:lang w:val="zh-CN"/>
        </w:rPr>
        <w:t>评价目的。</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本次绩效自评，全面掌握党派交流专项经费的使用效率、活动组织成效与目标完成情况，识别经费分配、活动管理、效果转化等环节的短板问题，优化经费分配机制与活动组织流程，为下一年度预算安排、政策调整提供科学依据，进一步提升党派交流工作的质量与效能。</w:t>
      </w:r>
    </w:p>
    <w:p>
      <w:pPr>
        <w:pageBreakBefore w:val="0"/>
        <w:numPr>
          <w:ilvl w:val="0"/>
          <w:numId w:val="9"/>
        </w:numPr>
        <w:kinsoku/>
        <w:wordWrap/>
        <w:overflowPunct/>
        <w:autoSpaceDE/>
        <w:autoSpaceDN/>
        <w:bidi w:val="0"/>
        <w:adjustRightInd w:val="0"/>
        <w:snapToGrid w:val="0"/>
        <w:spacing w:line="560" w:lineRule="exact"/>
        <w:ind w:firstLine="640" w:firstLineChars="200"/>
        <w:rPr>
          <w:rFonts w:hint="eastAsia" w:ascii="楷体" w:hAnsi="楷体" w:eastAsia="楷体" w:cs="楷体"/>
          <w:b w:val="0"/>
          <w:bCs/>
          <w:sz w:val="32"/>
          <w:szCs w:val="32"/>
          <w:lang w:val="zh-CN"/>
        </w:rPr>
      </w:pPr>
      <w:r>
        <w:rPr>
          <w:rFonts w:hint="eastAsia" w:ascii="楷体" w:hAnsi="楷体" w:eastAsia="楷体" w:cs="楷体"/>
          <w:b w:val="0"/>
          <w:bCs/>
          <w:sz w:val="32"/>
          <w:szCs w:val="32"/>
          <w:lang w:val="zh-CN"/>
        </w:rPr>
        <w:t>预设问题及评价重点。</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预设问题：一是经费分配是否精准（是否贴合各党派实际活动需求，有无倾斜失衡情况）；二是经费使用是否合规（是否存在超范围支出、报销材料不规范等问题）；三是活动成效是否达标（是否实现政治引领、能力提升目标，成果转化是否充分）；四是监督管理是否到位（是否建立全流程监管机制，有无监管缺位情况）。</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评价重点：围绕绩效评价指标体系，重点评价“经费分配精准性”“预算执行率”“活动成效达标度”“成员满意度”四大核心维度，覆盖经费支出全流程（从分配拨付到使用报销）及实施效果（政治引领、履职支撑、社会影响）。</w:t>
      </w:r>
    </w:p>
    <w:p>
      <w:pPr>
        <w:pageBreakBefore w:val="0"/>
        <w:kinsoku/>
        <w:wordWrap/>
        <w:overflowPunct/>
        <w:autoSpaceDE/>
        <w:autoSpaceDN/>
        <w:bidi w:val="0"/>
        <w:adjustRightInd w:val="0"/>
        <w:snapToGrid w:val="0"/>
        <w:spacing w:line="560" w:lineRule="exact"/>
        <w:ind w:firstLine="640" w:firstLineChars="200"/>
        <w:rPr>
          <w:rFonts w:hint="eastAsia" w:ascii="楷体" w:hAnsi="楷体" w:eastAsia="楷体" w:cs="楷体"/>
          <w:b w:val="0"/>
          <w:bCs/>
          <w:sz w:val="32"/>
          <w:szCs w:val="32"/>
          <w:lang w:val="zh-CN"/>
        </w:rPr>
      </w:pPr>
      <w:r>
        <w:rPr>
          <w:rFonts w:hint="eastAsia" w:ascii="楷体" w:hAnsi="楷体" w:eastAsia="楷体" w:cs="楷体"/>
          <w:b w:val="0"/>
          <w:bCs/>
          <w:sz w:val="32"/>
          <w:szCs w:val="32"/>
          <w:lang w:val="zh-CN"/>
        </w:rPr>
        <w:t>（三）评价方法。</w:t>
      </w:r>
    </w:p>
    <w:p>
      <w:pPr>
        <w:pageBreakBefore w:val="0"/>
        <w:kinsoku/>
        <w:wordWrap/>
        <w:overflowPunct/>
        <w:autoSpaceDE/>
        <w:autoSpaceDN/>
        <w:bidi w:val="0"/>
        <w:spacing w:line="560" w:lineRule="exact"/>
        <w:ind w:firstLine="640"/>
        <w:rPr>
          <w:rFonts w:hint="eastAsia" w:ascii="仿宋_GB2312" w:hAnsi="仿宋_GB2312" w:eastAsia="仿宋_GB2312" w:cs="仿宋_GB2312"/>
          <w:bCs/>
          <w:sz w:val="32"/>
          <w:szCs w:val="32"/>
        </w:rPr>
      </w:pPr>
      <w:r>
        <w:rPr>
          <w:rFonts w:hint="eastAsia" w:ascii="仿宋_GB2312" w:hAnsi="仿宋_GB2312" w:eastAsia="仿宋_GB2312" w:cs="仿宋_GB2312"/>
          <w:kern w:val="0"/>
          <w:sz w:val="32"/>
          <w:szCs w:val="32"/>
          <w:lang w:val="zh-CN"/>
        </w:rPr>
        <w:t>采用书面评价与实地评价相结合的方式，通过资料审阅法核查预算文件、财务凭证、活动记录等基础资料；运用实地调查、座谈访谈等方式核实活动开展实效；综合采用比较法、因素分析法对比绩效目标与实施效果，量化分析影响绩效的关键因素。</w:t>
      </w:r>
    </w:p>
    <w:p>
      <w:pPr>
        <w:pageBreakBefore w:val="0"/>
        <w:kinsoku/>
        <w:wordWrap/>
        <w:overflowPunct/>
        <w:autoSpaceDE/>
        <w:autoSpaceDN/>
        <w:bidi w:val="0"/>
        <w:adjustRightInd w:val="0"/>
        <w:snapToGrid w:val="0"/>
        <w:spacing w:line="560" w:lineRule="exact"/>
        <w:ind w:firstLine="640" w:firstLineChars="200"/>
        <w:rPr>
          <w:rFonts w:hint="eastAsia" w:ascii="黑体" w:hAnsi="黑体" w:eastAsia="黑体" w:cs="黑体"/>
          <w:sz w:val="32"/>
          <w:szCs w:val="32"/>
          <w:lang w:val="zh-CN"/>
        </w:rPr>
      </w:pPr>
      <w:bookmarkStart w:id="139" w:name="_Toc26038_WPSOffice_Level2"/>
      <w:r>
        <w:rPr>
          <w:rFonts w:hint="eastAsia" w:ascii="黑体" w:hAnsi="黑体" w:eastAsia="黑体" w:cs="黑体"/>
          <w:sz w:val="32"/>
          <w:szCs w:val="32"/>
        </w:rPr>
        <w:t>三、绩效分析</w:t>
      </w:r>
      <w:bookmarkEnd w:id="139"/>
      <w:r>
        <w:rPr>
          <w:rFonts w:hint="eastAsia" w:ascii="黑体" w:hAnsi="黑体" w:eastAsia="黑体" w:cs="黑体"/>
          <w:sz w:val="32"/>
          <w:szCs w:val="32"/>
          <w:lang w:val="zh-CN"/>
        </w:rPr>
        <w:tab/>
      </w:r>
    </w:p>
    <w:p>
      <w:pPr>
        <w:pageBreakBefore w:val="0"/>
        <w:kinsoku/>
        <w:wordWrap/>
        <w:overflowPunct/>
        <w:autoSpaceDE/>
        <w:autoSpaceDN/>
        <w:bidi w:val="0"/>
        <w:spacing w:line="560" w:lineRule="exact"/>
        <w:ind w:firstLine="640"/>
        <w:rPr>
          <w:rFonts w:hint="eastAsia" w:ascii="楷体" w:hAnsi="楷体" w:eastAsia="楷体" w:cs="楷体"/>
          <w:b w:val="0"/>
          <w:bCs/>
          <w:sz w:val="32"/>
          <w:szCs w:val="32"/>
        </w:rPr>
      </w:pPr>
      <w:r>
        <w:rPr>
          <w:rFonts w:hint="eastAsia" w:ascii="楷体" w:hAnsi="楷体" w:eastAsia="楷体" w:cs="楷体"/>
          <w:b w:val="0"/>
          <w:bCs/>
          <w:sz w:val="32"/>
          <w:szCs w:val="32"/>
          <w:lang w:val="zh-CN"/>
        </w:rPr>
        <w:t>（一）</w:t>
      </w:r>
      <w:r>
        <w:rPr>
          <w:rFonts w:hint="eastAsia" w:ascii="楷体" w:hAnsi="楷体" w:eastAsia="楷体" w:cs="楷体"/>
          <w:b w:val="0"/>
          <w:bCs/>
          <w:sz w:val="32"/>
          <w:szCs w:val="32"/>
        </w:rPr>
        <w:t>通用指标</w:t>
      </w:r>
      <w:r>
        <w:rPr>
          <w:rFonts w:hint="eastAsia" w:ascii="楷体" w:hAnsi="楷体" w:eastAsia="楷体" w:cs="楷体"/>
          <w:b w:val="0"/>
          <w:bCs/>
          <w:color w:val="000000"/>
          <w:kern w:val="0"/>
          <w:sz w:val="32"/>
          <w:szCs w:val="32"/>
          <w:shd w:val="clear" w:color="auto" w:fill="FFFFFF"/>
          <w:lang w:val="zh-CN"/>
        </w:rPr>
        <w:t>绩效分析。</w:t>
      </w:r>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项目决策：一是决策程序，项目立项经统战部部务会议审议、财政部门预算批复，程序完整合规。二是规划论证：立项前开展党派需求调研、召开座谈会征求意见，形成《项目可行性研究报告》，论证充分。三是资金投向：经费严格用于党派交流活动，投向符合政策要求</w:t>
      </w:r>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项目管理：一是制度办法，制定专项经费管理办法。二是分配管理：按组织规模、活动需求、过往成效分配经费，标准公开透明。三是绩效监管：建立经费使用台账核查机制，</w:t>
      </w:r>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项目实施：一是预算执行年度预算12.84万元，实际支出12.84万元，预算执行率100%。二是资金使用，经费拨付通过银行转账，报销凭证齐全、附件完整，无挪用挤占情况。</w:t>
      </w:r>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 项目结果：一是目标完成，重点党派组织交流活动覆盖率100%、经费使用合规率100%。二是完成时效：活动按计划时间开展。</w:t>
      </w:r>
    </w:p>
    <w:p>
      <w:pPr>
        <w:pageBreakBefore w:val="0"/>
        <w:kinsoku/>
        <w:wordWrap/>
        <w:overflowPunct/>
        <w:autoSpaceDE/>
        <w:autoSpaceDN/>
        <w:bidi w:val="0"/>
        <w:spacing w:line="560" w:lineRule="exact"/>
        <w:ind w:firstLine="640"/>
        <w:rPr>
          <w:rFonts w:hint="eastAsia" w:ascii="黑体" w:hAnsi="黑体" w:eastAsia="黑体" w:cs="黑体"/>
          <w:kern w:val="0"/>
          <w:sz w:val="32"/>
          <w:szCs w:val="32"/>
        </w:rPr>
      </w:pPr>
      <w:bookmarkStart w:id="140" w:name="_Toc26017_WPSOffice_Level2"/>
      <w:r>
        <w:rPr>
          <w:rFonts w:hint="eastAsia" w:ascii="黑体" w:hAnsi="黑体" w:eastAsia="黑体" w:cs="黑体"/>
          <w:kern w:val="0"/>
          <w:sz w:val="32"/>
          <w:szCs w:val="32"/>
        </w:rPr>
        <w:t>四、评价结论</w:t>
      </w:r>
      <w:bookmarkEnd w:id="140"/>
    </w:p>
    <w:p>
      <w:pPr>
        <w:pageBreakBefore w:val="0"/>
        <w:kinsoku/>
        <w:wordWrap/>
        <w:overflowPunct/>
        <w:autoSpaceDE/>
        <w:autoSpaceDN/>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zh-CN"/>
        </w:rPr>
        <w:t>经全面评价，202</w:t>
      </w:r>
      <w:r>
        <w:rPr>
          <w:rFonts w:hint="eastAsia"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val="zh-CN"/>
        </w:rPr>
        <w:t>年度党派交流专项经费项目立项依据充分，程序规范，绩效目标设置科学，资金管理符合财务规定，活动实施有序推进，基本达成年度绩效目标。最终综合评价得分</w:t>
      </w:r>
      <w:r>
        <w:rPr>
          <w:rFonts w:hint="eastAsia" w:ascii="仿宋_GB2312" w:hAnsi="仿宋_GB2312" w:eastAsia="仿宋_GB2312" w:cs="仿宋_GB2312"/>
          <w:kern w:val="0"/>
          <w:sz w:val="32"/>
          <w:szCs w:val="32"/>
        </w:rPr>
        <w:t>100</w:t>
      </w:r>
      <w:r>
        <w:rPr>
          <w:rFonts w:hint="eastAsia" w:ascii="仿宋_GB2312" w:hAnsi="仿宋_GB2312" w:eastAsia="仿宋_GB2312" w:cs="仿宋_GB2312"/>
          <w:kern w:val="0"/>
          <w:sz w:val="32"/>
          <w:szCs w:val="32"/>
          <w:lang w:val="zh-CN"/>
        </w:rPr>
        <w:t>分，评价等次为优。</w:t>
      </w:r>
    </w:p>
    <w:p>
      <w:pPr>
        <w:pageBreakBefore w:val="0"/>
        <w:kinsoku/>
        <w:wordWrap/>
        <w:overflowPunct/>
        <w:autoSpaceDE/>
        <w:autoSpaceDN/>
        <w:bidi w:val="0"/>
        <w:spacing w:line="560" w:lineRule="exact"/>
        <w:ind w:firstLine="640"/>
        <w:rPr>
          <w:rFonts w:hint="eastAsia" w:ascii="黑体" w:hAnsi="黑体" w:eastAsia="黑体" w:cs="黑体"/>
          <w:kern w:val="0"/>
          <w:sz w:val="32"/>
          <w:szCs w:val="32"/>
          <w:lang w:val="zh-CN"/>
        </w:rPr>
      </w:pPr>
      <w:bookmarkStart w:id="141" w:name="_Toc1335_WPSOffice_Level2"/>
      <w:r>
        <w:rPr>
          <w:rFonts w:hint="eastAsia" w:ascii="黑体" w:hAnsi="黑体" w:eastAsia="黑体" w:cs="黑体"/>
          <w:kern w:val="0"/>
          <w:sz w:val="32"/>
          <w:szCs w:val="32"/>
        </w:rPr>
        <w:t>五、存在主要问题</w:t>
      </w:r>
      <w:bookmarkEnd w:id="141"/>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一是预算执行精准度不足：部分交流活动因参与人员协调、场地安排等原因延期，导致经费支出进度滞后，预算执行率未达预期目标。</w:t>
      </w:r>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二是绩效目标细化程度不够：部分产出指标未明确区分不同交流类型的量化标准，如专题调研与跨区域交流的成果评价标准未细化，影响绩效考核的精准性。</w:t>
      </w:r>
    </w:p>
    <w:p>
      <w:pPr>
        <w:pageBreakBefore w:val="0"/>
        <w:kinsoku/>
        <w:wordWrap/>
        <w:overflowPunct/>
        <w:autoSpaceDE/>
        <w:autoSpaceDN/>
        <w:bidi w:val="0"/>
        <w:spacing w:line="560" w:lineRule="exact"/>
        <w:ind w:firstLine="640"/>
        <w:rPr>
          <w:rFonts w:hint="eastAsia" w:ascii="黑体" w:hAnsi="黑体" w:eastAsia="黑体" w:cs="黑体"/>
          <w:kern w:val="0"/>
          <w:sz w:val="32"/>
          <w:szCs w:val="32"/>
          <w:lang w:val="zh-CN"/>
        </w:rPr>
      </w:pPr>
      <w:bookmarkStart w:id="142" w:name="_Toc17696_WPSOffice_Level2"/>
      <w:r>
        <w:rPr>
          <w:rFonts w:hint="eastAsia" w:ascii="黑体" w:hAnsi="黑体" w:eastAsia="黑体" w:cs="黑体"/>
          <w:kern w:val="0"/>
          <w:sz w:val="32"/>
          <w:szCs w:val="32"/>
          <w:lang w:val="zh-CN"/>
        </w:rPr>
        <w:t>六、改进建议</w:t>
      </w:r>
      <w:bookmarkEnd w:id="142"/>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一是强化预算编制与执行管理：结合往年活动实施经验，科学预判活动开展周期与资金需求，细化季度支出计划；建立活动计划动态调整机制，对确需延期的活动提前履行备案程序，加强经费使用进度监控，提升预算执行率。</w:t>
      </w:r>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lang w:val="zh-CN"/>
        </w:rPr>
      </w:pPr>
      <w:r>
        <w:rPr>
          <w:rFonts w:hint="eastAsia" w:ascii="仿宋_GB2312" w:hAnsi="仿宋_GB2312" w:eastAsia="仿宋_GB2312" w:cs="仿宋_GB2312"/>
          <w:kern w:val="0"/>
          <w:sz w:val="32"/>
          <w:szCs w:val="32"/>
          <w:lang w:val="zh-CN"/>
        </w:rPr>
        <w:t>二是优化绩效目标设定：按“交流类型+成果形式”细化绩效指标，明确不同活动的数量标准、质量要求与转化目标，如设定跨区域交流活动不少于</w:t>
      </w:r>
      <w:r>
        <w:rPr>
          <w:rFonts w:hint="eastAsia"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val="zh-CN"/>
        </w:rPr>
        <w:t>场、调研报告采纳率不低于</w:t>
      </w:r>
      <w:r>
        <w:rPr>
          <w:rFonts w:hint="eastAsia" w:ascii="仿宋_GB2312" w:hAnsi="仿宋_GB2312" w:eastAsia="仿宋_GB2312" w:cs="仿宋_GB2312"/>
          <w:kern w:val="0"/>
          <w:sz w:val="32"/>
          <w:szCs w:val="32"/>
        </w:rPr>
        <w:t>80</w:t>
      </w:r>
      <w:r>
        <w:rPr>
          <w:rFonts w:hint="eastAsia" w:ascii="仿宋_GB2312" w:hAnsi="仿宋_GB2312" w:eastAsia="仿宋_GB2312" w:cs="仿宋_GB2312"/>
          <w:kern w:val="0"/>
          <w:sz w:val="32"/>
          <w:szCs w:val="32"/>
          <w:lang w:val="zh-CN"/>
        </w:rPr>
        <w:t>%等具体指标，增强可考核性。</w:t>
      </w:r>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rPr>
      </w:pPr>
    </w:p>
    <w:p>
      <w:pPr>
        <w:pStyle w:val="36"/>
        <w:pageBreakBefore w:val="0"/>
        <w:kinsoku/>
        <w:wordWrap/>
        <w:overflowPunct/>
        <w:autoSpaceDE/>
        <w:autoSpaceDN/>
        <w:bidi w:val="0"/>
        <w:spacing w:line="560" w:lineRule="exact"/>
        <w:jc w:val="center"/>
        <w:rPr>
          <w:rFonts w:hint="eastAsia" w:ascii="方正小标宋简体" w:hAnsi="方正小标宋简体" w:eastAsia="方正小标宋简体" w:cs="方正小标宋简体"/>
          <w:color w:val="auto"/>
          <w:kern w:val="2"/>
          <w:sz w:val="44"/>
          <w:szCs w:val="44"/>
          <w:lang w:val="en-US"/>
        </w:rPr>
      </w:pPr>
      <w:bookmarkStart w:id="143" w:name="_Toc29529_WPSOffice_Level2"/>
      <w:r>
        <w:rPr>
          <w:rFonts w:hint="eastAsia" w:ascii="方正小标宋简体" w:hAnsi="方正小标宋简体" w:eastAsia="方正小标宋简体" w:cs="方正小标宋简体"/>
          <w:color w:val="auto"/>
          <w:kern w:val="2"/>
          <w:sz w:val="44"/>
          <w:szCs w:val="44"/>
          <w:lang w:val="en-US"/>
        </w:rPr>
        <w:t>专项预算项目绩效评价报告</w:t>
      </w:r>
      <w:bookmarkEnd w:id="143"/>
    </w:p>
    <w:p>
      <w:pPr>
        <w:pageBreakBefore w:val="0"/>
        <w:widowControl/>
        <w:kinsoku/>
        <w:wordWrap/>
        <w:overflowPunct/>
        <w:autoSpaceDE/>
        <w:autoSpaceDN/>
        <w:bidi w:val="0"/>
        <w:spacing w:line="560" w:lineRule="exact"/>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color w:val="000000"/>
          <w:kern w:val="0"/>
          <w:sz w:val="32"/>
          <w:szCs w:val="32"/>
          <w:lang w:bidi="ar"/>
        </w:rPr>
        <w:t>6个宗教场所师傅生活费及医疗费用项目</w:t>
      </w:r>
      <w:r>
        <w:rPr>
          <w:rFonts w:hint="eastAsia" w:ascii="仿宋_GB2312" w:hAnsi="仿宋_GB2312" w:eastAsia="仿宋_GB2312" w:cs="仿宋_GB2312"/>
          <w:sz w:val="32"/>
          <w:szCs w:val="32"/>
        </w:rPr>
        <w:t>）</w:t>
      </w:r>
    </w:p>
    <w:p>
      <w:pPr>
        <w:pageBreakBefore w:val="0"/>
        <w:kinsoku/>
        <w:wordWrap/>
        <w:overflowPunct/>
        <w:autoSpaceDE/>
        <w:autoSpaceDN/>
        <w:bidi w:val="0"/>
        <w:adjustRightInd w:val="0"/>
        <w:snapToGrid w:val="0"/>
        <w:spacing w:line="560" w:lineRule="exact"/>
        <w:ind w:firstLine="640" w:firstLineChars="200"/>
        <w:rPr>
          <w:rFonts w:hint="eastAsia" w:ascii="黑体" w:hAnsi="黑体" w:eastAsia="黑体" w:cs="黑体"/>
          <w:sz w:val="32"/>
          <w:szCs w:val="32"/>
          <w:lang w:val="zh-CN"/>
        </w:rPr>
      </w:pPr>
      <w:bookmarkStart w:id="144" w:name="_Toc260_WPSOffice_Level2"/>
      <w:r>
        <w:rPr>
          <w:rFonts w:hint="eastAsia" w:ascii="黑体" w:hAnsi="黑体" w:eastAsia="黑体" w:cs="黑体"/>
          <w:sz w:val="32"/>
          <w:szCs w:val="32"/>
        </w:rPr>
        <w:t>一、</w:t>
      </w:r>
      <w:r>
        <w:rPr>
          <w:rFonts w:hint="eastAsia" w:ascii="黑体" w:hAnsi="黑体" w:eastAsia="黑体" w:cs="黑体"/>
          <w:sz w:val="32"/>
          <w:szCs w:val="32"/>
          <w:lang w:val="zh-CN"/>
        </w:rPr>
        <w:t>项目概况</w:t>
      </w:r>
      <w:bookmarkEnd w:id="144"/>
    </w:p>
    <w:p>
      <w:pPr>
        <w:pageBreakBefore w:val="0"/>
        <w:widowControl/>
        <w:kinsoku/>
        <w:wordWrap/>
        <w:overflowPunct/>
        <w:autoSpaceDE/>
        <w:autoSpaceDN/>
        <w:bidi w:val="0"/>
        <w:adjustRightInd w:val="0"/>
        <w:snapToGrid w:val="0"/>
        <w:spacing w:line="560" w:lineRule="exact"/>
        <w:ind w:firstLine="640" w:firstLineChars="200"/>
        <w:contextualSpacing/>
        <w:jc w:val="left"/>
        <w:rPr>
          <w:rFonts w:hint="eastAsia" w:ascii="楷体" w:hAnsi="楷体" w:eastAsia="楷体" w:cs="楷体"/>
          <w:b w:val="0"/>
          <w:bCs/>
          <w:kern w:val="0"/>
          <w:sz w:val="32"/>
          <w:szCs w:val="32"/>
        </w:rPr>
      </w:pPr>
      <w:r>
        <w:rPr>
          <w:rFonts w:hint="eastAsia" w:ascii="楷体" w:hAnsi="楷体" w:eastAsia="楷体" w:cs="楷体"/>
          <w:b w:val="0"/>
          <w:bCs/>
          <w:sz w:val="32"/>
          <w:szCs w:val="32"/>
          <w:lang w:val="zh-CN"/>
        </w:rPr>
        <w:t>（一）设立背景及基本情况。</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立背景：为贯彻落实国家宗教信仰自由政策，保障宗教场所神职人员（以下简称“师傅”）基本生活与医疗权益，解决其因收入来源单一、医疗保障不足导致的生活困难问题，夯实宗教领域和谐稳定基础，依据《宗教事务条例》《关于进一步保障宗教教职人员权益的意见》等政策文件，设立本专项项目。</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项目主要内容：为辖区内依法登记的宗教场所（佛教寺庙、道教宫观）中经认定备案的师傅，发放月度生活费补贴，并报销其基本医疗、大病医疗相关费用，覆盖生活保障、医疗救助两大核心领域。</w:t>
      </w:r>
    </w:p>
    <w:p>
      <w:pPr>
        <w:pageBreakBefore w:val="0"/>
        <w:kinsoku/>
        <w:wordWrap/>
        <w:overflowPunct/>
        <w:autoSpaceDE/>
        <w:autoSpaceDN/>
        <w:bidi w:val="0"/>
        <w:adjustRightInd w:val="0"/>
        <w:snapToGrid w:val="0"/>
        <w:spacing w:line="560" w:lineRule="exact"/>
        <w:ind w:firstLine="640" w:firstLineChars="200"/>
        <w:rPr>
          <w:rFonts w:hint="eastAsia" w:ascii="楷体" w:hAnsi="楷体" w:eastAsia="楷体" w:cs="楷体"/>
          <w:b w:val="0"/>
          <w:bCs/>
          <w:sz w:val="32"/>
          <w:szCs w:val="32"/>
        </w:rPr>
      </w:pPr>
      <w:r>
        <w:rPr>
          <w:rFonts w:hint="eastAsia" w:ascii="楷体" w:hAnsi="楷体" w:eastAsia="楷体" w:cs="楷体"/>
          <w:b w:val="0"/>
          <w:bCs/>
          <w:sz w:val="32"/>
          <w:szCs w:val="32"/>
          <w:lang w:val="zh-CN"/>
        </w:rPr>
        <w:t>（二）</w:t>
      </w:r>
      <w:r>
        <w:rPr>
          <w:rFonts w:hint="eastAsia" w:ascii="楷体" w:hAnsi="楷体" w:eastAsia="楷体" w:cs="楷体"/>
          <w:b w:val="0"/>
          <w:bCs/>
          <w:sz w:val="32"/>
          <w:szCs w:val="32"/>
        </w:rPr>
        <w:t>实施目的及支持方向。</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项目实施目的：通过专项资金保障，切实改善宗教场所师傅基本生活条件，减轻其医疗负担，增强宗教教职人员的归属感与幸福感，推动宗教场所规范化管理，维护宗教领域长期稳定。</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主要工作任务：一是精准核定补贴对象，确保符合条件的师傅全覆盖；二是按月足额发放生活费补贴，按季度报销医疗费用；三是建立动态监管机制，跟踪资金使用与政策落实效果。</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支持方向：严格限定于师傅基本生活费（含餐饮、住宿补助）及医疗费用（含门诊、住院、药品、检查等合规支出），不涵盖宗教场所基建、宗教活动开展等其他用途。</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资金管理办法：已制定《宗教场所师傅生活费及医疗费用专项资金管理办法》，明确资金申领流程、使用范围、审核标准及监督责任，确保资金专款专用、规范高效。</w:t>
      </w:r>
    </w:p>
    <w:p>
      <w:pPr>
        <w:pageBreakBefore w:val="0"/>
        <w:widowControl/>
        <w:kinsoku/>
        <w:wordWrap/>
        <w:overflowPunct/>
        <w:autoSpaceDE/>
        <w:autoSpaceDN/>
        <w:bidi w:val="0"/>
        <w:adjustRightInd w:val="0"/>
        <w:snapToGrid w:val="0"/>
        <w:spacing w:line="560" w:lineRule="exact"/>
        <w:ind w:firstLine="640" w:firstLineChars="200"/>
        <w:contextualSpacing/>
        <w:jc w:val="left"/>
        <w:rPr>
          <w:rFonts w:hint="eastAsia" w:ascii="楷体" w:hAnsi="楷体" w:eastAsia="楷体" w:cs="楷体"/>
          <w:b w:val="0"/>
          <w:bCs/>
          <w:kern w:val="0"/>
          <w:sz w:val="32"/>
          <w:szCs w:val="32"/>
          <w:lang w:val="zh-CN"/>
        </w:rPr>
      </w:pPr>
      <w:r>
        <w:rPr>
          <w:rFonts w:hint="eastAsia" w:ascii="楷体" w:hAnsi="楷体" w:eastAsia="楷体" w:cs="楷体"/>
          <w:b w:val="0"/>
          <w:bCs/>
          <w:sz w:val="32"/>
          <w:szCs w:val="32"/>
          <w:lang w:val="zh-CN"/>
        </w:rPr>
        <w:t>（三）</w:t>
      </w:r>
      <w:r>
        <w:rPr>
          <w:rFonts w:hint="eastAsia" w:ascii="楷体" w:hAnsi="楷体" w:eastAsia="楷体" w:cs="楷体"/>
          <w:b w:val="0"/>
          <w:bCs/>
          <w:sz w:val="32"/>
          <w:szCs w:val="32"/>
        </w:rPr>
        <w:t>预算安排及分配管理</w:t>
      </w:r>
      <w:r>
        <w:rPr>
          <w:rFonts w:hint="eastAsia" w:ascii="楷体" w:hAnsi="楷体" w:eastAsia="楷体" w:cs="楷体"/>
          <w:b w:val="0"/>
          <w:bCs/>
          <w:sz w:val="32"/>
          <w:szCs w:val="32"/>
          <w:lang w:val="zh-CN"/>
        </w:rPr>
        <w:t>。</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预算安排情况：20224年度项目预算总额10.8万元。</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资金分配原则：遵循“公平公正、按需分配、动态调整”原则，分配时重点考虑因素：一是宗教场所规模及师傅人数；二是师傅年龄及健康状况。</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资金分配情况：2024年度资金覆盖辖区内依法登记宗教场所、</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名</w:t>
      </w:r>
      <w:r>
        <w:rPr>
          <w:rFonts w:hint="eastAsia" w:ascii="仿宋_GB2312" w:hAnsi="仿宋_GB2312" w:eastAsia="仿宋_GB2312" w:cs="仿宋_GB2312"/>
          <w:sz w:val="32"/>
          <w:szCs w:val="32"/>
          <w:highlight w:val="none"/>
          <w:lang w:eastAsia="zh-CN"/>
        </w:rPr>
        <w:t>宗教</w:t>
      </w:r>
      <w:r>
        <w:rPr>
          <w:rFonts w:hint="eastAsia" w:ascii="仿宋_GB2312" w:hAnsi="仿宋_GB2312" w:eastAsia="仿宋_GB2312" w:cs="仿宋_GB2312"/>
          <w:sz w:val="32"/>
          <w:szCs w:val="32"/>
          <w:highlight w:val="none"/>
        </w:rPr>
        <w:t>师傅。其中，生活</w:t>
      </w:r>
      <w:r>
        <w:rPr>
          <w:rFonts w:hint="eastAsia" w:ascii="仿宋_GB2312" w:hAnsi="仿宋_GB2312" w:eastAsia="仿宋_GB2312" w:cs="仿宋_GB2312"/>
          <w:sz w:val="32"/>
          <w:szCs w:val="32"/>
          <w:highlight w:val="none"/>
          <w:lang w:eastAsia="zh-CN"/>
        </w:rPr>
        <w:t>及医疗补助</w:t>
      </w:r>
      <w:r>
        <w:rPr>
          <w:rFonts w:hint="eastAsia" w:ascii="仿宋_GB2312" w:hAnsi="仿宋_GB2312" w:eastAsia="仿宋_GB2312" w:cs="仿宋_GB2312"/>
          <w:sz w:val="32"/>
          <w:szCs w:val="32"/>
          <w:highlight w:val="none"/>
        </w:rPr>
        <w:t>按每人每月</w:t>
      </w:r>
      <w:r>
        <w:rPr>
          <w:rFonts w:hint="eastAsia" w:ascii="仿宋_GB2312" w:hAnsi="仿宋_GB2312" w:eastAsia="仿宋_GB2312" w:cs="仿宋_GB2312"/>
          <w:sz w:val="32"/>
          <w:szCs w:val="32"/>
          <w:highlight w:val="none"/>
          <w:lang w:val="en-US" w:eastAsia="zh-CN"/>
        </w:rPr>
        <w:t>1500</w:t>
      </w:r>
      <w:r>
        <w:rPr>
          <w:rFonts w:hint="eastAsia" w:ascii="仿宋_GB2312" w:hAnsi="仿宋_GB2312" w:eastAsia="仿宋_GB2312" w:cs="仿宋_GB2312"/>
          <w:sz w:val="32"/>
          <w:szCs w:val="32"/>
          <w:highlight w:val="none"/>
        </w:rPr>
        <w:t>元标准发放，合计支出</w:t>
      </w:r>
      <w:r>
        <w:rPr>
          <w:rFonts w:hint="eastAsia" w:ascii="仿宋_GB2312" w:hAnsi="仿宋_GB2312" w:eastAsia="仿宋_GB2312" w:cs="仿宋_GB2312"/>
          <w:sz w:val="32"/>
          <w:szCs w:val="32"/>
          <w:highlight w:val="none"/>
          <w:lang w:val="en-US" w:eastAsia="zh-CN"/>
        </w:rPr>
        <w:t>10.8</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资金分配已全部下达至各宗教场所所属辖区主管部门。</w:t>
      </w:r>
    </w:p>
    <w:p>
      <w:pPr>
        <w:pageBreakBefore w:val="0"/>
        <w:kinsoku/>
        <w:wordWrap/>
        <w:overflowPunct/>
        <w:autoSpaceDE/>
        <w:autoSpaceDN/>
        <w:bidi w:val="0"/>
        <w:adjustRightInd w:val="0"/>
        <w:snapToGrid w:val="0"/>
        <w:spacing w:line="560" w:lineRule="exact"/>
        <w:ind w:firstLine="640" w:firstLineChars="200"/>
        <w:rPr>
          <w:rFonts w:hint="eastAsia" w:ascii="楷体" w:hAnsi="楷体" w:eastAsia="楷体" w:cs="楷体"/>
          <w:b w:val="0"/>
          <w:bCs/>
          <w:kern w:val="0"/>
          <w:sz w:val="32"/>
          <w:szCs w:val="32"/>
          <w:lang w:val="zh-CN"/>
        </w:rPr>
      </w:pPr>
      <w:r>
        <w:rPr>
          <w:rFonts w:hint="eastAsia" w:ascii="楷体" w:hAnsi="楷体" w:eastAsia="楷体" w:cs="楷体"/>
          <w:b w:val="0"/>
          <w:bCs/>
          <w:sz w:val="32"/>
          <w:szCs w:val="32"/>
          <w:lang w:val="zh-CN"/>
        </w:rPr>
        <w:t>（四）项目绩效目标设置。</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整体绩效目标：2024年度实现辖区内备案宗教师傅生活费100%足额发放、合规医疗费用100%按标准报销，师傅生活满意度达90%以上，无因生活或医疗问题引发的宗教领域不稳定事件。</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自评工作开展情况：我部成立自评工作组，于2024年12月开展年度自评，通过查阅资金台账、核对发放记录、实地走访宗教场所、与师傅座谈等方式，全面核查项目执行情况，确保自评数据真实、结论客观。</w:t>
      </w:r>
    </w:p>
    <w:p>
      <w:pPr>
        <w:pageBreakBefore w:val="0"/>
        <w:kinsoku/>
        <w:wordWrap/>
        <w:overflowPunct/>
        <w:autoSpaceDE/>
        <w:autoSpaceDN/>
        <w:bidi w:val="0"/>
        <w:adjustRightInd w:val="0"/>
        <w:snapToGrid w:val="0"/>
        <w:spacing w:line="560" w:lineRule="exact"/>
        <w:ind w:firstLine="640" w:firstLineChars="200"/>
        <w:rPr>
          <w:rFonts w:hint="eastAsia" w:ascii="黑体" w:hAnsi="黑体" w:eastAsia="黑体" w:cs="黑体"/>
          <w:sz w:val="32"/>
          <w:szCs w:val="32"/>
        </w:rPr>
      </w:pPr>
      <w:bookmarkStart w:id="145" w:name="_Toc10349_WPSOffice_Level2"/>
      <w:r>
        <w:rPr>
          <w:rFonts w:hint="eastAsia" w:ascii="黑体" w:hAnsi="黑体" w:eastAsia="黑体" w:cs="黑体"/>
          <w:sz w:val="32"/>
          <w:szCs w:val="32"/>
        </w:rPr>
        <w:t>二、评价实施</w:t>
      </w:r>
      <w:bookmarkEnd w:id="145"/>
    </w:p>
    <w:p>
      <w:pPr>
        <w:pageBreakBefore w:val="0"/>
        <w:kinsoku/>
        <w:wordWrap/>
        <w:overflowPunct/>
        <w:autoSpaceDE/>
        <w:autoSpaceDN/>
        <w:bidi w:val="0"/>
        <w:spacing w:line="560" w:lineRule="exact"/>
        <w:ind w:firstLine="640"/>
        <w:rPr>
          <w:rFonts w:hint="eastAsia" w:ascii="楷体" w:hAnsi="楷体" w:eastAsia="楷体" w:cs="楷体"/>
          <w:b w:val="0"/>
          <w:bCs/>
          <w:kern w:val="0"/>
          <w:sz w:val="32"/>
          <w:szCs w:val="32"/>
          <w:lang w:val="zh-CN"/>
        </w:rPr>
      </w:pPr>
      <w:r>
        <w:rPr>
          <w:rFonts w:hint="eastAsia" w:ascii="楷体" w:hAnsi="楷体" w:eastAsia="楷体" w:cs="楷体"/>
          <w:b w:val="0"/>
          <w:bCs/>
          <w:sz w:val="32"/>
          <w:szCs w:val="32"/>
          <w:lang w:val="zh-CN"/>
        </w:rPr>
        <w:t>（一）评价目的。</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本次绩效自评，全面掌握宗教场所师傅生活费及医疗费用项目的资金使用效率、政策落实效果与目标完成情况，识别项目实施过程中的短板与问题，优化资金分配机制与管理流程，为下一年度项目预算安排、政策调整提供科学依据，进一步提升宗教教职人员权益保障水平。</w:t>
      </w:r>
    </w:p>
    <w:p>
      <w:pPr>
        <w:pageBreakBefore w:val="0"/>
        <w:kinsoku/>
        <w:wordWrap/>
        <w:overflowPunct/>
        <w:autoSpaceDE/>
        <w:autoSpaceDN/>
        <w:bidi w:val="0"/>
        <w:adjustRightInd w:val="0"/>
        <w:snapToGrid w:val="0"/>
        <w:spacing w:line="560" w:lineRule="exact"/>
        <w:ind w:firstLine="640" w:firstLineChars="200"/>
        <w:rPr>
          <w:rFonts w:hint="eastAsia" w:ascii="楷体" w:hAnsi="楷体" w:eastAsia="楷体" w:cs="楷体"/>
          <w:b w:val="0"/>
          <w:bCs/>
          <w:sz w:val="32"/>
          <w:szCs w:val="32"/>
          <w:lang w:val="zh-CN"/>
        </w:rPr>
      </w:pPr>
      <w:r>
        <w:rPr>
          <w:rFonts w:hint="eastAsia" w:ascii="楷体" w:hAnsi="楷体" w:eastAsia="楷体" w:cs="楷体"/>
          <w:b w:val="0"/>
          <w:bCs/>
          <w:sz w:val="32"/>
          <w:szCs w:val="32"/>
          <w:lang w:val="zh-CN"/>
        </w:rPr>
        <w:t>（二）预设问题及评价重点。</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预设问题：一是补贴对象识别是否精准（是否存在漏报、错报、冒领情况）；二是资金发放与报销是否及时合规（是否存在延迟发放、超范围报销等问题）；三是资金使用效益是否达标（师傅生活与医疗负担是否切实减轻、满意度是否达标）；四是监管机制是否健全（是否存在资金挪用、监管缺位情况）。</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重点：围绕绩效评价指标体系，重点评价“资金分配精准性”“预算执行率”“目标完成度”“师傅满意度”四大核心维度，覆盖资金支出全流程（从立项分配到使用报销）及实施效果（生活保障、医疗救助、社会稳定）。</w:t>
      </w:r>
    </w:p>
    <w:p>
      <w:pPr>
        <w:pageBreakBefore w:val="0"/>
        <w:kinsoku/>
        <w:wordWrap/>
        <w:overflowPunct/>
        <w:autoSpaceDE/>
        <w:autoSpaceDN/>
        <w:bidi w:val="0"/>
        <w:spacing w:line="560" w:lineRule="exact"/>
        <w:ind w:firstLine="640"/>
        <w:rPr>
          <w:rFonts w:hint="eastAsia" w:ascii="楷体" w:hAnsi="楷体" w:eastAsia="楷体" w:cs="楷体"/>
          <w:b w:val="0"/>
          <w:bCs/>
          <w:kern w:val="0"/>
          <w:sz w:val="32"/>
          <w:szCs w:val="32"/>
          <w:lang w:val="zh-CN"/>
        </w:rPr>
      </w:pPr>
      <w:r>
        <w:rPr>
          <w:rFonts w:hint="eastAsia" w:ascii="楷体" w:hAnsi="楷体" w:eastAsia="楷体" w:cs="楷体"/>
          <w:b w:val="0"/>
          <w:bCs/>
          <w:sz w:val="32"/>
          <w:szCs w:val="32"/>
          <w:lang w:val="zh-CN"/>
        </w:rPr>
        <w:t>（三）评价方法。</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案卷研究法：查阅项目立项文件、预算批复、资金台账、发放记录、报销凭证等档案资料，核查项目决策程序、资金使用合规性。</w:t>
      </w:r>
    </w:p>
    <w:p>
      <w:pPr>
        <w:pageBreakBefore w:val="0"/>
        <w:kinsoku/>
        <w:wordWrap/>
        <w:overflowPunct/>
        <w:autoSpaceDE/>
        <w:autoSpaceDN/>
        <w:bidi w:val="0"/>
        <w:adjustRightInd w:val="0"/>
        <w:snapToGrid w:val="0"/>
        <w:spacing w:line="560" w:lineRule="exact"/>
        <w:ind w:firstLine="640" w:firstLineChars="200"/>
        <w:rPr>
          <w:rFonts w:hint="eastAsia" w:ascii="黑体" w:hAnsi="黑体" w:eastAsia="黑体" w:cs="黑体"/>
          <w:sz w:val="32"/>
          <w:szCs w:val="32"/>
          <w:lang w:val="zh-CN"/>
        </w:rPr>
      </w:pPr>
      <w:bookmarkStart w:id="146" w:name="_Toc13479_WPSOffice_Level2"/>
      <w:r>
        <w:rPr>
          <w:rFonts w:hint="eastAsia" w:ascii="黑体" w:hAnsi="黑体" w:eastAsia="黑体" w:cs="黑体"/>
          <w:sz w:val="32"/>
          <w:szCs w:val="32"/>
        </w:rPr>
        <w:t>三、绩效分析</w:t>
      </w:r>
      <w:bookmarkEnd w:id="146"/>
      <w:r>
        <w:rPr>
          <w:rFonts w:hint="eastAsia" w:ascii="黑体" w:hAnsi="黑体" w:eastAsia="黑体" w:cs="黑体"/>
          <w:sz w:val="32"/>
          <w:szCs w:val="32"/>
          <w:lang w:val="zh-CN"/>
        </w:rPr>
        <w:tab/>
      </w:r>
    </w:p>
    <w:p>
      <w:pPr>
        <w:pageBreakBefore w:val="0"/>
        <w:kinsoku/>
        <w:wordWrap/>
        <w:overflowPunct/>
        <w:autoSpaceDE/>
        <w:autoSpaceDN/>
        <w:bidi w:val="0"/>
        <w:spacing w:line="560" w:lineRule="exact"/>
        <w:ind w:firstLine="64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zh-CN"/>
        </w:rPr>
        <w:t>（一）</w:t>
      </w:r>
      <w:r>
        <w:rPr>
          <w:rFonts w:hint="eastAsia" w:ascii="仿宋_GB2312" w:hAnsi="仿宋_GB2312" w:eastAsia="仿宋_GB2312" w:cs="仿宋_GB2312"/>
          <w:b w:val="0"/>
          <w:bCs/>
          <w:sz w:val="32"/>
          <w:szCs w:val="32"/>
        </w:rPr>
        <w:t>通用指标</w:t>
      </w:r>
      <w:r>
        <w:rPr>
          <w:rFonts w:hint="eastAsia" w:ascii="仿宋_GB2312" w:hAnsi="仿宋_GB2312" w:eastAsia="仿宋_GB2312" w:cs="仿宋_GB2312"/>
          <w:b w:val="0"/>
          <w:bCs/>
          <w:color w:val="000000"/>
          <w:kern w:val="0"/>
          <w:sz w:val="32"/>
          <w:szCs w:val="32"/>
          <w:shd w:val="clear" w:color="auto" w:fill="FFFFFF"/>
          <w:lang w:val="zh-CN"/>
        </w:rPr>
        <w:t>绩效分析。</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决策：一是决策程序，项目立项经主管部门党组会议审议、财政部门预算批复，程序完整合规。二是规划论证，立项前开展宗教场所调研、师傅需求摸底，形成《项目可行性研究报告》，论证充分。三是资金投向，资金严格用于生活费及医疗费用，投向符合政策要求。</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项目管理：一是制度办法，制定专项资金管理办法。二是分配管理：按人数、年龄、区域等因素分配资金，标准公开透明。三是绩效监管，建立月度台账核查机制。</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项目实施：一是预算执行，年度预算10.8万元，实际支出10.8万元，预算执行率100%二是资金使用，资金发放与报销均通过银行转账，凭证齐全、无挪用挤占情况</w:t>
      </w:r>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项目结果：一是目标完成，生活费足额发放率100%、医疗费用合规报销率100%，二是完成时效，资金发放及时率100%。</w:t>
      </w:r>
    </w:p>
    <w:p>
      <w:pPr>
        <w:pageBreakBefore w:val="0"/>
        <w:kinsoku/>
        <w:wordWrap/>
        <w:overflowPunct/>
        <w:autoSpaceDE/>
        <w:autoSpaceDN/>
        <w:bidi w:val="0"/>
        <w:spacing w:line="560" w:lineRule="exact"/>
        <w:ind w:firstLine="640"/>
        <w:rPr>
          <w:rFonts w:hint="eastAsia" w:ascii="黑体" w:hAnsi="黑体" w:eastAsia="黑体" w:cs="黑体"/>
          <w:kern w:val="0"/>
          <w:sz w:val="32"/>
          <w:szCs w:val="32"/>
        </w:rPr>
      </w:pPr>
      <w:bookmarkStart w:id="147" w:name="_Toc28043_WPSOffice_Level2"/>
      <w:r>
        <w:rPr>
          <w:rFonts w:hint="eastAsia" w:ascii="黑体" w:hAnsi="黑体" w:eastAsia="黑体" w:cs="黑体"/>
          <w:kern w:val="0"/>
          <w:sz w:val="32"/>
          <w:szCs w:val="32"/>
        </w:rPr>
        <w:t>四、评价结论</w:t>
      </w:r>
      <w:bookmarkEnd w:id="147"/>
    </w:p>
    <w:p>
      <w:pPr>
        <w:pageBreakBefore w:val="0"/>
        <w:kinsoku/>
        <w:wordWrap/>
        <w:overflowPunct/>
        <w:autoSpaceDE/>
        <w:autoSpaceDN/>
        <w:bidi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总得分为100分，项目整体实施情况良好：一是核心目标基本达成：辖区内备案宗教师傅生活费100%足额发放，合规医疗费用100%按标准报销，有效保障了师傅基本生活与医疗权益，全年未发生宗教领域因生活或医疗问题引发的不稳定事件。二是资金管理总体规范：预算执行率100%，资金使用无挪用、挤占等违规情况，分配过程公开透明，符合“专款专用”原则。三是群众认可度较高：师傅总体满意度达88%，对生活费发放及时性、医疗负担减轻效果评价积极，政策落实取得阶段性成效。</w:t>
      </w:r>
    </w:p>
    <w:p>
      <w:pPr>
        <w:pageBreakBefore w:val="0"/>
        <w:kinsoku/>
        <w:wordWrap/>
        <w:overflowPunct/>
        <w:autoSpaceDE/>
        <w:autoSpaceDN/>
        <w:bidi w:val="0"/>
        <w:spacing w:line="560" w:lineRule="exact"/>
        <w:ind w:firstLine="640"/>
        <w:rPr>
          <w:rFonts w:hint="eastAsia" w:ascii="黑体" w:hAnsi="黑体" w:eastAsia="黑体" w:cs="黑体"/>
          <w:kern w:val="0"/>
          <w:sz w:val="32"/>
          <w:szCs w:val="32"/>
        </w:rPr>
      </w:pPr>
      <w:bookmarkStart w:id="148" w:name="_Toc15192_WPSOffice_Level2"/>
      <w:r>
        <w:rPr>
          <w:rFonts w:hint="eastAsia" w:ascii="黑体" w:hAnsi="黑体" w:eastAsia="黑体" w:cs="黑体"/>
          <w:kern w:val="0"/>
          <w:sz w:val="32"/>
          <w:szCs w:val="32"/>
        </w:rPr>
        <w:t>五、存在主要问题</w:t>
      </w:r>
      <w:bookmarkEnd w:id="148"/>
    </w:p>
    <w:p>
      <w:pPr>
        <w:pageBreakBefore w:val="0"/>
        <w:kinsoku/>
        <w:wordWrap/>
        <w:overflowPunct/>
        <w:autoSpaceDE/>
        <w:autoSpaceDN/>
        <w:bidi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一是政策宣传与调研深度不足；二是管理制度细节不完善；三是监管与执行存在短板，未开展中期绩效监控，监管频次不足，偶有生活费发放延迟情况。</w:t>
      </w:r>
    </w:p>
    <w:p>
      <w:pPr>
        <w:pageBreakBefore w:val="0"/>
        <w:kinsoku/>
        <w:wordWrap/>
        <w:overflowPunct/>
        <w:autoSpaceDE/>
        <w:autoSpaceDN/>
        <w:bidi w:val="0"/>
        <w:spacing w:line="560" w:lineRule="exact"/>
        <w:ind w:firstLine="640"/>
        <w:rPr>
          <w:rFonts w:hint="eastAsia" w:ascii="黑体" w:hAnsi="黑体" w:eastAsia="黑体" w:cs="黑体"/>
          <w:kern w:val="0"/>
          <w:sz w:val="32"/>
          <w:szCs w:val="32"/>
          <w:lang w:val="zh-CN"/>
        </w:rPr>
      </w:pPr>
      <w:bookmarkStart w:id="149" w:name="_Toc29943_WPSOffice_Level2"/>
      <w:r>
        <w:rPr>
          <w:rFonts w:hint="eastAsia" w:ascii="黑体" w:hAnsi="黑体" w:eastAsia="黑体" w:cs="黑体"/>
          <w:kern w:val="0"/>
          <w:sz w:val="32"/>
          <w:szCs w:val="32"/>
          <w:lang w:val="zh-CN"/>
        </w:rPr>
        <w:t>六、改进建议</w:t>
      </w:r>
      <w:bookmarkEnd w:id="149"/>
    </w:p>
    <w:p>
      <w:pPr>
        <w:pageBreakBefore w:val="0"/>
        <w:kinsoku/>
        <w:wordWrap/>
        <w:overflowPunct/>
        <w:autoSpaceDE/>
        <w:autoSpaceDN/>
        <w:bidi w:val="0"/>
        <w:spacing w:line="560" w:lineRule="exact"/>
        <w:ind w:firstLine="64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rPr>
        <w:t>一是强化政策宣传与需求调研；二是完善管理制度细节；三是健全监管与执行机制，建立“月度核查+中期监控”双重监管机制，每季度开展1次中期绩效评估，及时发现并整改资金发放延迟问题</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150" w:name="_Toc15396618"/>
      <w:r>
        <w:rPr>
          <w:rFonts w:hint="eastAsia" w:ascii="Times New Roman" w:hAnsi="Times New Roman" w:eastAsia="仿宋_GB2312" w:cs="仿宋_GB2312"/>
          <w:b w:val="0"/>
          <w:bCs w:val="0"/>
          <w:kern w:val="0"/>
          <w:position w:val="0"/>
          <w:sz w:val="32"/>
          <w:szCs w:val="32"/>
          <w:highlight w:val="none"/>
          <w:lang w:val="en-US" w:eastAsia="zh-CN" w:bidi="ar-SA"/>
        </w:rPr>
        <w:br w:type="page"/>
      </w:r>
    </w:p>
    <w:p>
      <w:pPr>
        <w:widowControl/>
        <w:jc w:val="center"/>
        <w:rPr>
          <w:rFonts w:hint="eastAsia" w:ascii="Times New Roman" w:hAnsi="Times New Roman" w:eastAsia="仿宋"/>
          <w:b w:val="0"/>
          <w:color w:val="auto"/>
          <w:highlight w:val="none"/>
        </w:rPr>
      </w:pPr>
      <w:bookmarkStart w:id="151" w:name="_Toc31480_WPSOffice_Level1"/>
      <w:r>
        <w:rPr>
          <w:rFonts w:hint="eastAsia" w:ascii="Times New Roman" w:hAnsi="Times New Roman" w:eastAsia="黑体"/>
          <w:color w:val="auto"/>
          <w:sz w:val="44"/>
          <w:szCs w:val="44"/>
          <w:highlight w:val="none"/>
        </w:rPr>
        <w:t>第</w:t>
      </w:r>
      <w:r>
        <w:rPr>
          <w:rStyle w:val="30"/>
          <w:rFonts w:hint="eastAsia" w:ascii="Times New Roman" w:hAnsi="Times New Roman" w:eastAsia="黑体"/>
          <w:b w:val="0"/>
          <w:color w:val="auto"/>
          <w:highlight w:val="none"/>
        </w:rPr>
        <w:t>五部分 附表</w:t>
      </w:r>
      <w:bookmarkEnd w:id="123"/>
      <w:bookmarkEnd w:id="150"/>
      <w:bookmarkEnd w:id="151"/>
      <w:bookmarkStart w:id="152"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53" w:name="_Toc31158_WPSOffice_Level2"/>
      <w:r>
        <w:rPr>
          <w:rFonts w:hint="eastAsia" w:ascii="Times New Roman" w:hAnsi="Times New Roman" w:eastAsia="仿宋_GB2312" w:cs="仿宋_GB2312"/>
          <w:color w:val="auto"/>
          <w:sz w:val="32"/>
          <w:szCs w:val="32"/>
          <w:highlight w:val="none"/>
        </w:rPr>
        <w:t>一、收入支出决算总表</w:t>
      </w:r>
      <w:bookmarkEnd w:id="152"/>
      <w:bookmarkEnd w:id="153"/>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54" w:name="_Toc15396620"/>
      <w:bookmarkStart w:id="155" w:name="_Toc18072_WPSOffice_Level2"/>
      <w:r>
        <w:rPr>
          <w:rFonts w:hint="eastAsia" w:ascii="Times New Roman" w:hAnsi="Times New Roman" w:eastAsia="仿宋_GB2312" w:cs="仿宋_GB2312"/>
          <w:color w:val="auto"/>
          <w:sz w:val="32"/>
          <w:szCs w:val="32"/>
          <w:highlight w:val="none"/>
        </w:rPr>
        <w:t>二、收入决算表</w:t>
      </w:r>
      <w:bookmarkEnd w:id="154"/>
      <w:bookmarkEnd w:id="155"/>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56" w:name="_Toc15396621"/>
      <w:bookmarkStart w:id="157" w:name="_Toc16377_WPSOffice_Level2"/>
      <w:r>
        <w:rPr>
          <w:rFonts w:hint="eastAsia" w:ascii="Times New Roman" w:hAnsi="Times New Roman" w:eastAsia="仿宋_GB2312" w:cs="仿宋_GB2312"/>
          <w:color w:val="auto"/>
          <w:sz w:val="32"/>
          <w:szCs w:val="32"/>
          <w:highlight w:val="none"/>
        </w:rPr>
        <w:t>三、支出决算表</w:t>
      </w:r>
      <w:bookmarkEnd w:id="156"/>
      <w:bookmarkEnd w:id="157"/>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58" w:name="_Toc15396622"/>
      <w:bookmarkStart w:id="159" w:name="_Toc23201_WPSOffice_Level2"/>
      <w:r>
        <w:rPr>
          <w:rFonts w:hint="eastAsia" w:ascii="Times New Roman" w:hAnsi="Times New Roman" w:eastAsia="仿宋_GB2312" w:cs="仿宋_GB2312"/>
          <w:color w:val="auto"/>
          <w:sz w:val="32"/>
          <w:szCs w:val="32"/>
          <w:highlight w:val="none"/>
        </w:rPr>
        <w:t>四、财政拨款收入支出决算总表</w:t>
      </w:r>
      <w:bookmarkEnd w:id="158"/>
      <w:bookmarkEnd w:id="15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60" w:name="_Toc15396623"/>
      <w:bookmarkStart w:id="161" w:name="_Toc32450_WPSOffice_Level2"/>
      <w:r>
        <w:rPr>
          <w:rFonts w:hint="eastAsia" w:ascii="Times New Roman" w:hAnsi="Times New Roman" w:eastAsia="仿宋_GB2312" w:cs="仿宋_GB2312"/>
          <w:color w:val="auto"/>
          <w:sz w:val="32"/>
          <w:szCs w:val="32"/>
          <w:highlight w:val="none"/>
        </w:rPr>
        <w:t>五、财政拨款支出决算明细表</w:t>
      </w:r>
      <w:bookmarkEnd w:id="160"/>
      <w:bookmarkEnd w:id="161"/>
      <w:bookmarkStart w:id="162" w:name="_Toc1539662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63" w:name="_Toc9027_WPSOffice_Level2"/>
      <w:r>
        <w:rPr>
          <w:rFonts w:hint="eastAsia" w:ascii="Times New Roman" w:hAnsi="Times New Roman" w:eastAsia="仿宋_GB2312" w:cs="仿宋_GB2312"/>
          <w:color w:val="auto"/>
          <w:sz w:val="32"/>
          <w:szCs w:val="32"/>
          <w:highlight w:val="none"/>
        </w:rPr>
        <w:t>六、一般公共预算财政拨款支出决算表</w:t>
      </w:r>
      <w:bookmarkEnd w:id="162"/>
      <w:bookmarkEnd w:id="163"/>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64" w:name="_Toc15396625"/>
      <w:bookmarkStart w:id="165" w:name="_Toc31622_WPSOffice_Level2"/>
      <w:r>
        <w:rPr>
          <w:rFonts w:hint="eastAsia" w:ascii="Times New Roman" w:hAnsi="Times New Roman" w:eastAsia="仿宋_GB2312" w:cs="仿宋_GB2312"/>
          <w:color w:val="auto"/>
          <w:sz w:val="32"/>
          <w:szCs w:val="32"/>
          <w:highlight w:val="none"/>
        </w:rPr>
        <w:t>七、一般公共预算财政拨款支出决算明细表</w:t>
      </w:r>
      <w:bookmarkEnd w:id="164"/>
      <w:bookmarkEnd w:id="165"/>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66" w:name="_Toc15396626"/>
      <w:bookmarkStart w:id="167" w:name="_Toc30747_WPSOffice_Level2"/>
      <w:r>
        <w:rPr>
          <w:rFonts w:hint="eastAsia" w:ascii="Times New Roman" w:hAnsi="Times New Roman" w:eastAsia="仿宋_GB2312" w:cs="仿宋_GB2312"/>
          <w:color w:val="auto"/>
          <w:sz w:val="32"/>
          <w:szCs w:val="32"/>
          <w:highlight w:val="none"/>
        </w:rPr>
        <w:t>八、一般公共预算财政拨款基本支出决算表</w:t>
      </w:r>
      <w:bookmarkEnd w:id="166"/>
      <w:bookmarkEnd w:id="167"/>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68" w:name="_Toc15396627"/>
      <w:bookmarkStart w:id="169" w:name="_Toc11824_WPSOffice_Level2"/>
      <w:r>
        <w:rPr>
          <w:rFonts w:hint="eastAsia" w:ascii="Times New Roman" w:hAnsi="Times New Roman" w:eastAsia="仿宋_GB2312" w:cs="仿宋_GB2312"/>
          <w:color w:val="auto"/>
          <w:sz w:val="32"/>
          <w:szCs w:val="32"/>
          <w:highlight w:val="none"/>
        </w:rPr>
        <w:t>九、一般公共预算财政拨款项目支出决算表</w:t>
      </w:r>
      <w:bookmarkEnd w:id="168"/>
      <w:bookmarkEnd w:id="16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70" w:name="_Toc15396628"/>
      <w:bookmarkStart w:id="171" w:name="_Toc5282_WPSOffice_Level2"/>
      <w:r>
        <w:rPr>
          <w:rFonts w:hint="eastAsia" w:ascii="Times New Roman" w:hAnsi="Times New Roman" w:eastAsia="仿宋_GB2312" w:cs="仿宋_GB2312"/>
          <w:color w:val="auto"/>
          <w:sz w:val="32"/>
          <w:szCs w:val="32"/>
          <w:highlight w:val="none"/>
        </w:rPr>
        <w:t>十、</w:t>
      </w:r>
      <w:bookmarkEnd w:id="170"/>
      <w:r>
        <w:rPr>
          <w:rFonts w:hint="eastAsia" w:ascii="Times New Roman" w:hAnsi="Times New Roman" w:eastAsia="仿宋_GB2312" w:cs="仿宋_GB2312"/>
          <w:color w:val="auto"/>
          <w:sz w:val="32"/>
          <w:szCs w:val="32"/>
          <w:highlight w:val="none"/>
        </w:rPr>
        <w:t>政府性基金预算财政拨款收入支出决算表</w:t>
      </w:r>
      <w:bookmarkEnd w:id="17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72" w:name="_Toc15396629"/>
      <w:bookmarkStart w:id="173" w:name="_Toc25261_WPSOffice_Level2"/>
      <w:r>
        <w:rPr>
          <w:rFonts w:hint="eastAsia" w:ascii="Times New Roman" w:hAnsi="Times New Roman" w:eastAsia="仿宋_GB2312" w:cs="仿宋_GB2312"/>
          <w:color w:val="auto"/>
          <w:sz w:val="32"/>
          <w:szCs w:val="32"/>
          <w:highlight w:val="none"/>
        </w:rPr>
        <w:t>十一、</w:t>
      </w:r>
      <w:bookmarkEnd w:id="172"/>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bookmarkEnd w:id="173"/>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174" w:name="_Toc15396630"/>
      <w:bookmarkStart w:id="175" w:name="_Toc25117_WPSOffice_Level2"/>
      <w:r>
        <w:rPr>
          <w:rFonts w:hint="eastAsia" w:ascii="Times New Roman" w:hAnsi="Times New Roman" w:eastAsia="仿宋_GB2312" w:cs="仿宋_GB2312"/>
          <w:color w:val="auto"/>
          <w:sz w:val="32"/>
          <w:szCs w:val="32"/>
          <w:highlight w:val="none"/>
        </w:rPr>
        <w:t>十二、</w:t>
      </w:r>
      <w:bookmarkEnd w:id="174"/>
      <w:r>
        <w:rPr>
          <w:rFonts w:hint="eastAsia" w:ascii="Times New Roman" w:hAnsi="Times New Roman" w:eastAsia="仿宋_GB2312" w:cs="仿宋_GB2312"/>
          <w:color w:val="auto"/>
          <w:sz w:val="32"/>
          <w:szCs w:val="32"/>
          <w:highlight w:val="none"/>
          <w:lang w:eastAsia="zh-CN"/>
        </w:rPr>
        <w:t>国有资本经营预算财政拨款支出决算表</w:t>
      </w:r>
      <w:bookmarkEnd w:id="175"/>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176" w:name="_Toc15396631"/>
      <w:bookmarkStart w:id="177" w:name="_Toc7689_WPSOffice_Level2"/>
      <w:r>
        <w:rPr>
          <w:rFonts w:hint="eastAsia" w:ascii="Times New Roman" w:hAnsi="Times New Roman" w:eastAsia="仿宋_GB2312" w:cs="仿宋_GB2312"/>
          <w:color w:val="auto"/>
          <w:sz w:val="32"/>
          <w:szCs w:val="32"/>
          <w:highlight w:val="none"/>
        </w:rPr>
        <w:t>十三、</w:t>
      </w:r>
      <w:bookmarkEnd w:id="176"/>
      <w:r>
        <w:rPr>
          <w:rFonts w:hint="eastAsia" w:ascii="Times New Roman" w:hAnsi="Times New Roman" w:eastAsia="仿宋_GB2312" w:cs="仿宋_GB2312"/>
          <w:color w:val="auto"/>
          <w:sz w:val="32"/>
          <w:szCs w:val="32"/>
          <w:highlight w:val="none"/>
          <w:lang w:eastAsia="zh-CN"/>
        </w:rPr>
        <w:t>财政拨款“三公”经费支出决算表</w:t>
      </w:r>
      <w:bookmarkEnd w:id="177"/>
    </w:p>
    <w:p>
      <w:pPr>
        <w:rPr>
          <w:rFonts w:hint="eastAsia" w:ascii="Times New Roman" w:hAnsi="Times New Roman"/>
          <w:lang w:eastAsia="zh-CN"/>
        </w:rPr>
      </w:pPr>
    </w:p>
    <w:sectPr>
      <w:footerReference r:id="rId10" w:type="first"/>
      <w:footerReference r:id="rId9"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735040"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- 1 -</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7350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- 1 -</w:t>
                    </w:r>
                    <w:r>
                      <w:rPr>
                        <w:rFonts w:hint="eastAsia"/>
                        <w:sz w:val="28"/>
                        <w:szCs w:val="28"/>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78316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- 2 -</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7831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- 2 -</w:t>
                    </w:r>
                    <w:r>
                      <w:rPr>
                        <w:rFonts w:hint="eastAsia"/>
                        <w:sz w:val="28"/>
                        <w:szCs w:val="28"/>
                        <w:lang w:eastAsia="zh-CN"/>
                      </w:rPr>
                      <w:fldChar w:fldCharType="end"/>
                    </w:r>
                  </w:p>
                </w:txbxContent>
              </v:textbox>
            </v:shape>
          </w:pict>
        </mc:Fallback>
      </mc:AlternateContent>
    </w:r>
  </w:p>
  <w:p>
    <w:pPr>
      <w:pStyle w:val="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860992"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- 1 -</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8609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10"/>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- 1 -</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FDF2FB"/>
    <w:multiLevelType w:val="singleLevel"/>
    <w:tmpl w:val="B1FDF2FB"/>
    <w:lvl w:ilvl="0" w:tentative="0">
      <w:start w:val="2"/>
      <w:numFmt w:val="chineseCounting"/>
      <w:suff w:val="nothing"/>
      <w:lvlText w:val="（%1）"/>
      <w:lvlJc w:val="left"/>
      <w:rPr>
        <w:rFonts w:hint="eastAsia"/>
      </w:rPr>
    </w:lvl>
  </w:abstractNum>
  <w:abstractNum w:abstractNumId="1">
    <w:nsid w:val="03765404"/>
    <w:multiLevelType w:val="singleLevel"/>
    <w:tmpl w:val="03765404"/>
    <w:lvl w:ilvl="0" w:tentative="0">
      <w:start w:val="2"/>
      <w:numFmt w:val="chineseCounting"/>
      <w:suff w:val="nothing"/>
      <w:lvlText w:val="（%1）"/>
      <w:lvlJc w:val="left"/>
      <w:rPr>
        <w:rFonts w:hint="eastAsia"/>
      </w:rPr>
    </w:lvl>
  </w:abstractNum>
  <w:abstractNum w:abstractNumId="2">
    <w:nsid w:val="27D53E15"/>
    <w:multiLevelType w:val="multilevel"/>
    <w:tmpl w:val="27D53E15"/>
    <w:lvl w:ilvl="0" w:tentative="0">
      <w:start w:val="1"/>
      <w:numFmt w:val="japaneseCounting"/>
      <w:lvlText w:val="（%1）"/>
      <w:lvlJc w:val="left"/>
      <w:pPr>
        <w:ind w:left="1600" w:hanging="960"/>
      </w:pPr>
      <w:rPr>
        <w:rFonts w:hint="default" w:eastAsia="楷体_GB2312" w:cs="Times New Roman"/>
        <w:b/>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abstractNum w:abstractNumId="3">
    <w:nsid w:val="434F7B04"/>
    <w:multiLevelType w:val="multilevel"/>
    <w:tmpl w:val="434F7B04"/>
    <w:lvl w:ilvl="0" w:tentative="0">
      <w:start w:val="1"/>
      <w:numFmt w:val="chineseCountingThousand"/>
      <w:pStyle w:val="38"/>
      <w:suff w:val="nothing"/>
      <w:lvlText w:val="（%1）"/>
      <w:lvlJc w:val="left"/>
      <w:pPr>
        <w:ind w:left="0" w:firstLine="635"/>
      </w:pPr>
      <w:rPr>
        <w:b w:val="0"/>
        <w:bCs w:val="0"/>
        <w:i w:val="0"/>
        <w:iCs w:val="0"/>
        <w:caps w:val="0"/>
        <w:smallCaps w:val="0"/>
        <w:strike w:val="0"/>
        <w:dstrike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3A98217"/>
    <w:multiLevelType w:val="singleLevel"/>
    <w:tmpl w:val="43A98217"/>
    <w:lvl w:ilvl="0" w:tentative="0">
      <w:start w:val="2"/>
      <w:numFmt w:val="chineseCounting"/>
      <w:suff w:val="nothing"/>
      <w:lvlText w:val="（%1）"/>
      <w:lvlJc w:val="left"/>
      <w:rPr>
        <w:rFonts w:hint="eastAsia"/>
      </w:rPr>
    </w:lvl>
  </w:abstractNum>
  <w:abstractNum w:abstractNumId="5">
    <w:nsid w:val="51445E39"/>
    <w:multiLevelType w:val="singleLevel"/>
    <w:tmpl w:val="51445E39"/>
    <w:lvl w:ilvl="0" w:tentative="0">
      <w:start w:val="1"/>
      <w:numFmt w:val="decimal"/>
      <w:lvlText w:val="%1."/>
      <w:lvlJc w:val="left"/>
      <w:pPr>
        <w:tabs>
          <w:tab w:val="left" w:pos="312"/>
        </w:tabs>
      </w:pPr>
    </w:lvl>
  </w:abstractNum>
  <w:abstractNum w:abstractNumId="6">
    <w:nsid w:val="5B63281F"/>
    <w:multiLevelType w:val="multilevel"/>
    <w:tmpl w:val="5B63281F"/>
    <w:lvl w:ilvl="0" w:tentative="0">
      <w:start w:val="1"/>
      <w:numFmt w:val="decimal"/>
      <w:pStyle w:val="37"/>
      <w:suff w:val="nothing"/>
      <w:lvlText w:val="%1."/>
      <w:lvlJc w:val="left"/>
      <w:pPr>
        <w:ind w:left="0" w:firstLine="635"/>
      </w:pPr>
      <w:rPr>
        <w:rFonts w:hint="eastAsia"/>
      </w:rPr>
    </w:lvl>
    <w:lvl w:ilvl="1" w:tentative="0">
      <w:start w:val="1"/>
      <w:numFmt w:val="lowerLetter"/>
      <w:lvlText w:val="%2)"/>
      <w:lvlJc w:val="left"/>
      <w:pPr>
        <w:ind w:left="1475" w:hanging="420"/>
      </w:pPr>
    </w:lvl>
    <w:lvl w:ilvl="2" w:tentative="0">
      <w:start w:val="1"/>
      <w:numFmt w:val="lowerRoman"/>
      <w:lvlText w:val="%3."/>
      <w:lvlJc w:val="right"/>
      <w:pPr>
        <w:ind w:left="1895" w:hanging="420"/>
      </w:pPr>
    </w:lvl>
    <w:lvl w:ilvl="3" w:tentative="0">
      <w:start w:val="1"/>
      <w:numFmt w:val="decimal"/>
      <w:lvlText w:val="%4."/>
      <w:lvlJc w:val="left"/>
      <w:pPr>
        <w:ind w:left="2315" w:hanging="420"/>
      </w:pPr>
    </w:lvl>
    <w:lvl w:ilvl="4" w:tentative="0">
      <w:start w:val="1"/>
      <w:numFmt w:val="lowerLetter"/>
      <w:lvlText w:val="%5)"/>
      <w:lvlJc w:val="left"/>
      <w:pPr>
        <w:ind w:left="2735" w:hanging="420"/>
      </w:pPr>
    </w:lvl>
    <w:lvl w:ilvl="5" w:tentative="0">
      <w:start w:val="1"/>
      <w:numFmt w:val="lowerRoman"/>
      <w:lvlText w:val="%6."/>
      <w:lvlJc w:val="right"/>
      <w:pPr>
        <w:ind w:left="3155" w:hanging="420"/>
      </w:pPr>
    </w:lvl>
    <w:lvl w:ilvl="6" w:tentative="0">
      <w:start w:val="1"/>
      <w:numFmt w:val="decimal"/>
      <w:lvlText w:val="%7."/>
      <w:lvlJc w:val="left"/>
      <w:pPr>
        <w:ind w:left="3575" w:hanging="420"/>
      </w:pPr>
    </w:lvl>
    <w:lvl w:ilvl="7" w:tentative="0">
      <w:start w:val="1"/>
      <w:numFmt w:val="lowerLetter"/>
      <w:lvlText w:val="%8)"/>
      <w:lvlJc w:val="left"/>
      <w:pPr>
        <w:ind w:left="3995" w:hanging="420"/>
      </w:pPr>
    </w:lvl>
    <w:lvl w:ilvl="8" w:tentative="0">
      <w:start w:val="1"/>
      <w:numFmt w:val="lowerRoman"/>
      <w:lvlText w:val="%9."/>
      <w:lvlJc w:val="right"/>
      <w:pPr>
        <w:ind w:left="4415" w:hanging="420"/>
      </w:pPr>
    </w:lvl>
  </w:abstractNum>
  <w:abstractNum w:abstractNumId="7">
    <w:nsid w:val="720DE1D5"/>
    <w:multiLevelType w:val="singleLevel"/>
    <w:tmpl w:val="720DE1D5"/>
    <w:lvl w:ilvl="0" w:tentative="0">
      <w:start w:val="2"/>
      <w:numFmt w:val="chineseCounting"/>
      <w:suff w:val="nothing"/>
      <w:lvlText w:val="（%1）"/>
      <w:lvlJc w:val="left"/>
      <w:pPr>
        <w:ind w:left="-13"/>
      </w:pPr>
      <w:rPr>
        <w:rFonts w:hint="eastAsia"/>
      </w:rPr>
    </w:lvl>
  </w:abstractNum>
  <w:abstractNum w:abstractNumId="8">
    <w:nsid w:val="7A8DCB8F"/>
    <w:multiLevelType w:val="singleLevel"/>
    <w:tmpl w:val="7A8DCB8F"/>
    <w:lvl w:ilvl="0" w:tentative="0">
      <w:start w:val="2"/>
      <w:numFmt w:val="chineseCounting"/>
      <w:suff w:val="nothing"/>
      <w:lvlText w:val="（%1）"/>
      <w:lvlJc w:val="left"/>
      <w:rPr>
        <w:rFonts w:hint="eastAsia"/>
      </w:rPr>
    </w:lvl>
  </w:abstractNum>
  <w:num w:numId="1">
    <w:abstractNumId w:val="6"/>
  </w:num>
  <w:num w:numId="2">
    <w:abstractNumId w:val="3"/>
  </w:num>
  <w:num w:numId="3">
    <w:abstractNumId w:val="5"/>
  </w:num>
  <w:num w:numId="4">
    <w:abstractNumId w:val="8"/>
  </w:num>
  <w:num w:numId="5">
    <w:abstractNumId w:val="1"/>
  </w:num>
  <w:num w:numId="6">
    <w:abstractNumId w:val="0"/>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E7ACE"/>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A97E15"/>
    <w:rsid w:val="02E91FD8"/>
    <w:rsid w:val="02FEBE30"/>
    <w:rsid w:val="03EB2FB2"/>
    <w:rsid w:val="040A757F"/>
    <w:rsid w:val="04533756"/>
    <w:rsid w:val="04590AF4"/>
    <w:rsid w:val="04916F1E"/>
    <w:rsid w:val="061E35DE"/>
    <w:rsid w:val="066E0107"/>
    <w:rsid w:val="06BC7422"/>
    <w:rsid w:val="075923FF"/>
    <w:rsid w:val="07996F6E"/>
    <w:rsid w:val="07DFD8BA"/>
    <w:rsid w:val="08403DE3"/>
    <w:rsid w:val="08A74CB6"/>
    <w:rsid w:val="09867E8F"/>
    <w:rsid w:val="09AC31F0"/>
    <w:rsid w:val="09FF5BAE"/>
    <w:rsid w:val="0A2032A3"/>
    <w:rsid w:val="0BD154CE"/>
    <w:rsid w:val="0CA8290A"/>
    <w:rsid w:val="0CB70319"/>
    <w:rsid w:val="0CED4578"/>
    <w:rsid w:val="0D35B1ED"/>
    <w:rsid w:val="0DE04319"/>
    <w:rsid w:val="0E254B6B"/>
    <w:rsid w:val="0EF930CD"/>
    <w:rsid w:val="0F1060D0"/>
    <w:rsid w:val="0F2964BA"/>
    <w:rsid w:val="0F98263C"/>
    <w:rsid w:val="101860EC"/>
    <w:rsid w:val="101F47CC"/>
    <w:rsid w:val="106E13E2"/>
    <w:rsid w:val="10C055FF"/>
    <w:rsid w:val="11694EBD"/>
    <w:rsid w:val="11772AA4"/>
    <w:rsid w:val="118107EC"/>
    <w:rsid w:val="123A5C3D"/>
    <w:rsid w:val="12424419"/>
    <w:rsid w:val="12E24EE2"/>
    <w:rsid w:val="13D50BC4"/>
    <w:rsid w:val="14B17F78"/>
    <w:rsid w:val="15D27C07"/>
    <w:rsid w:val="15E82500"/>
    <w:rsid w:val="165E0673"/>
    <w:rsid w:val="16B2727C"/>
    <w:rsid w:val="16B831D5"/>
    <w:rsid w:val="16BB723D"/>
    <w:rsid w:val="17336558"/>
    <w:rsid w:val="17E50567"/>
    <w:rsid w:val="18151F98"/>
    <w:rsid w:val="186504BB"/>
    <w:rsid w:val="18954AF5"/>
    <w:rsid w:val="18DC300D"/>
    <w:rsid w:val="1991789E"/>
    <w:rsid w:val="19A445FC"/>
    <w:rsid w:val="19A54773"/>
    <w:rsid w:val="1B14112B"/>
    <w:rsid w:val="1B3C3642"/>
    <w:rsid w:val="1B520959"/>
    <w:rsid w:val="1BE8440E"/>
    <w:rsid w:val="1D155CEE"/>
    <w:rsid w:val="1D1638FE"/>
    <w:rsid w:val="1E312DEB"/>
    <w:rsid w:val="1E740ACF"/>
    <w:rsid w:val="1E9850CA"/>
    <w:rsid w:val="1ED707F8"/>
    <w:rsid w:val="1F3776B1"/>
    <w:rsid w:val="1FCF2077"/>
    <w:rsid w:val="1FF35744"/>
    <w:rsid w:val="1FF6BC77"/>
    <w:rsid w:val="206C48FC"/>
    <w:rsid w:val="2186353C"/>
    <w:rsid w:val="226B704F"/>
    <w:rsid w:val="22CC4B0C"/>
    <w:rsid w:val="23860B96"/>
    <w:rsid w:val="240371BF"/>
    <w:rsid w:val="244F3473"/>
    <w:rsid w:val="24C22989"/>
    <w:rsid w:val="24C97D99"/>
    <w:rsid w:val="2579341F"/>
    <w:rsid w:val="25A718F0"/>
    <w:rsid w:val="25BB59F6"/>
    <w:rsid w:val="260F557C"/>
    <w:rsid w:val="26970054"/>
    <w:rsid w:val="26D857C8"/>
    <w:rsid w:val="26F436F2"/>
    <w:rsid w:val="27D552D6"/>
    <w:rsid w:val="27EB7075"/>
    <w:rsid w:val="281408E2"/>
    <w:rsid w:val="29FD04D3"/>
    <w:rsid w:val="2AA72913"/>
    <w:rsid w:val="2BFF7BC6"/>
    <w:rsid w:val="2C686292"/>
    <w:rsid w:val="2C8A61B5"/>
    <w:rsid w:val="2CFF2357"/>
    <w:rsid w:val="2DF04E50"/>
    <w:rsid w:val="2E586DFA"/>
    <w:rsid w:val="2E746ECC"/>
    <w:rsid w:val="2F040D46"/>
    <w:rsid w:val="2F6B035B"/>
    <w:rsid w:val="2FAE5751"/>
    <w:rsid w:val="2FB1A395"/>
    <w:rsid w:val="2FD9A7D8"/>
    <w:rsid w:val="2FDBF714"/>
    <w:rsid w:val="30111752"/>
    <w:rsid w:val="30AB6865"/>
    <w:rsid w:val="3188435A"/>
    <w:rsid w:val="319F7F4E"/>
    <w:rsid w:val="32BD1EF1"/>
    <w:rsid w:val="3304709D"/>
    <w:rsid w:val="33A773CB"/>
    <w:rsid w:val="349D6851"/>
    <w:rsid w:val="34C02123"/>
    <w:rsid w:val="35713311"/>
    <w:rsid w:val="364D13F6"/>
    <w:rsid w:val="36AA5135"/>
    <w:rsid w:val="36B158B1"/>
    <w:rsid w:val="36BE0DA7"/>
    <w:rsid w:val="376B6AA6"/>
    <w:rsid w:val="376D39B2"/>
    <w:rsid w:val="37E16F03"/>
    <w:rsid w:val="37F53A3B"/>
    <w:rsid w:val="38510DA4"/>
    <w:rsid w:val="389B6C89"/>
    <w:rsid w:val="38D469F0"/>
    <w:rsid w:val="39627CCD"/>
    <w:rsid w:val="397B012C"/>
    <w:rsid w:val="397BAF1F"/>
    <w:rsid w:val="39891BDC"/>
    <w:rsid w:val="3997704C"/>
    <w:rsid w:val="39D14C21"/>
    <w:rsid w:val="3AB79AF3"/>
    <w:rsid w:val="3AE834C0"/>
    <w:rsid w:val="3B7EF35A"/>
    <w:rsid w:val="3B9FDB6C"/>
    <w:rsid w:val="3BF5BC2F"/>
    <w:rsid w:val="3CEBA265"/>
    <w:rsid w:val="3D98207C"/>
    <w:rsid w:val="3DA45DDE"/>
    <w:rsid w:val="3DEE7CF3"/>
    <w:rsid w:val="3E3961F7"/>
    <w:rsid w:val="3E740A63"/>
    <w:rsid w:val="3E78745D"/>
    <w:rsid w:val="3EE17838"/>
    <w:rsid w:val="3F243586"/>
    <w:rsid w:val="3F55381A"/>
    <w:rsid w:val="3F7F7599"/>
    <w:rsid w:val="3FF4CAE0"/>
    <w:rsid w:val="3FF7B227"/>
    <w:rsid w:val="40F62E5A"/>
    <w:rsid w:val="41E506EE"/>
    <w:rsid w:val="44E268DA"/>
    <w:rsid w:val="450D13D7"/>
    <w:rsid w:val="45506656"/>
    <w:rsid w:val="45EF46C7"/>
    <w:rsid w:val="47233D09"/>
    <w:rsid w:val="482550A0"/>
    <w:rsid w:val="484D425A"/>
    <w:rsid w:val="484E5AD7"/>
    <w:rsid w:val="486A6C7A"/>
    <w:rsid w:val="49F2344D"/>
    <w:rsid w:val="4A627F82"/>
    <w:rsid w:val="4A704496"/>
    <w:rsid w:val="4B0E749A"/>
    <w:rsid w:val="4B1D5700"/>
    <w:rsid w:val="4B2477C4"/>
    <w:rsid w:val="4B4F25DA"/>
    <w:rsid w:val="4BE068DB"/>
    <w:rsid w:val="4C0D4EE3"/>
    <w:rsid w:val="4D577224"/>
    <w:rsid w:val="4DBF1CEB"/>
    <w:rsid w:val="4DF0007C"/>
    <w:rsid w:val="4E8C471D"/>
    <w:rsid w:val="4E930559"/>
    <w:rsid w:val="4EAB630A"/>
    <w:rsid w:val="4ECE2238"/>
    <w:rsid w:val="4F833267"/>
    <w:rsid w:val="4FE9BD67"/>
    <w:rsid w:val="4FFB052F"/>
    <w:rsid w:val="513F7059"/>
    <w:rsid w:val="51AF551D"/>
    <w:rsid w:val="52B27B5F"/>
    <w:rsid w:val="537E6D0A"/>
    <w:rsid w:val="53C00345"/>
    <w:rsid w:val="53F74C96"/>
    <w:rsid w:val="548B6F74"/>
    <w:rsid w:val="55170BA8"/>
    <w:rsid w:val="553218C9"/>
    <w:rsid w:val="5538172A"/>
    <w:rsid w:val="55445527"/>
    <w:rsid w:val="559B6B35"/>
    <w:rsid w:val="561511FC"/>
    <w:rsid w:val="567E1AA5"/>
    <w:rsid w:val="56E47B74"/>
    <w:rsid w:val="57175D52"/>
    <w:rsid w:val="57BD3DD4"/>
    <w:rsid w:val="585A7CEC"/>
    <w:rsid w:val="59C4581C"/>
    <w:rsid w:val="5AF92295"/>
    <w:rsid w:val="5B250254"/>
    <w:rsid w:val="5BDD79E6"/>
    <w:rsid w:val="5BF561CA"/>
    <w:rsid w:val="5BFF5DFC"/>
    <w:rsid w:val="5CD71FC4"/>
    <w:rsid w:val="5CF55819"/>
    <w:rsid w:val="5D1F11B5"/>
    <w:rsid w:val="5D695134"/>
    <w:rsid w:val="5DAE1B18"/>
    <w:rsid w:val="5DE7D9E5"/>
    <w:rsid w:val="5ECEC941"/>
    <w:rsid w:val="5FBC323D"/>
    <w:rsid w:val="5FBF9FF3"/>
    <w:rsid w:val="5FCD4E2C"/>
    <w:rsid w:val="5FEF394A"/>
    <w:rsid w:val="5FF67715"/>
    <w:rsid w:val="60590FC4"/>
    <w:rsid w:val="62B6303C"/>
    <w:rsid w:val="62BF3928"/>
    <w:rsid w:val="62D06FA8"/>
    <w:rsid w:val="62EE61BB"/>
    <w:rsid w:val="63B3701E"/>
    <w:rsid w:val="646B03B1"/>
    <w:rsid w:val="647F5392"/>
    <w:rsid w:val="65474897"/>
    <w:rsid w:val="65E66580"/>
    <w:rsid w:val="664B1D71"/>
    <w:rsid w:val="664B4E8E"/>
    <w:rsid w:val="67277B67"/>
    <w:rsid w:val="679D7F7A"/>
    <w:rsid w:val="67AA3209"/>
    <w:rsid w:val="67D0363C"/>
    <w:rsid w:val="692421AD"/>
    <w:rsid w:val="698D0931"/>
    <w:rsid w:val="6A286284"/>
    <w:rsid w:val="6A7FE5F3"/>
    <w:rsid w:val="6A95128F"/>
    <w:rsid w:val="6B053271"/>
    <w:rsid w:val="6BDD78B3"/>
    <w:rsid w:val="6BE217E2"/>
    <w:rsid w:val="6C4A05C8"/>
    <w:rsid w:val="6C8742B8"/>
    <w:rsid w:val="6CCC5011"/>
    <w:rsid w:val="6DBF5E93"/>
    <w:rsid w:val="6DD56D4C"/>
    <w:rsid w:val="6DFF077E"/>
    <w:rsid w:val="6E714EF0"/>
    <w:rsid w:val="6E7E3605"/>
    <w:rsid w:val="6E7FDCC7"/>
    <w:rsid w:val="6ED6A62E"/>
    <w:rsid w:val="6EE00B15"/>
    <w:rsid w:val="6F6FB3EB"/>
    <w:rsid w:val="6F8731EA"/>
    <w:rsid w:val="6FCE6052"/>
    <w:rsid w:val="6FD26D25"/>
    <w:rsid w:val="6FD57C00"/>
    <w:rsid w:val="6FEFFFD8"/>
    <w:rsid w:val="6FF5CC65"/>
    <w:rsid w:val="6FFB47EC"/>
    <w:rsid w:val="6FFF034A"/>
    <w:rsid w:val="70484440"/>
    <w:rsid w:val="712A28F1"/>
    <w:rsid w:val="715C0E4B"/>
    <w:rsid w:val="71992E7C"/>
    <w:rsid w:val="72233669"/>
    <w:rsid w:val="72734D90"/>
    <w:rsid w:val="73160E6D"/>
    <w:rsid w:val="731F07AB"/>
    <w:rsid w:val="7332FE48"/>
    <w:rsid w:val="73AB61DA"/>
    <w:rsid w:val="73AD73D5"/>
    <w:rsid w:val="73B6EB34"/>
    <w:rsid w:val="73FA497D"/>
    <w:rsid w:val="744731E5"/>
    <w:rsid w:val="74BBD01D"/>
    <w:rsid w:val="74ED5379"/>
    <w:rsid w:val="75020E35"/>
    <w:rsid w:val="75CE0930"/>
    <w:rsid w:val="75DEEEC2"/>
    <w:rsid w:val="75E32345"/>
    <w:rsid w:val="76B75DD8"/>
    <w:rsid w:val="76D904A2"/>
    <w:rsid w:val="76E3355F"/>
    <w:rsid w:val="76FF5125"/>
    <w:rsid w:val="776F6FFA"/>
    <w:rsid w:val="778769C8"/>
    <w:rsid w:val="77A75DCA"/>
    <w:rsid w:val="77DC22F5"/>
    <w:rsid w:val="783E271A"/>
    <w:rsid w:val="78616DE9"/>
    <w:rsid w:val="78E875D7"/>
    <w:rsid w:val="79086DAD"/>
    <w:rsid w:val="79D7FD79"/>
    <w:rsid w:val="79EE5BA4"/>
    <w:rsid w:val="79EF6868"/>
    <w:rsid w:val="7A545CF2"/>
    <w:rsid w:val="7A6849C9"/>
    <w:rsid w:val="7A894339"/>
    <w:rsid w:val="7AD284E8"/>
    <w:rsid w:val="7AFF7572"/>
    <w:rsid w:val="7B6C7DFB"/>
    <w:rsid w:val="7BBFBED0"/>
    <w:rsid w:val="7BC3E394"/>
    <w:rsid w:val="7C1F3737"/>
    <w:rsid w:val="7CBFC87B"/>
    <w:rsid w:val="7CFE0F48"/>
    <w:rsid w:val="7D272ABC"/>
    <w:rsid w:val="7D7EC23E"/>
    <w:rsid w:val="7DC02A8A"/>
    <w:rsid w:val="7E8ADEBF"/>
    <w:rsid w:val="7EB87EED"/>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next w:val="3"/>
    <w:qFormat/>
    <w:uiPriority w:val="0"/>
    <w:pPr>
      <w:spacing w:after="120"/>
      <w:ind w:leftChars="200"/>
    </w:pPr>
    <w:rPr>
      <w:rFonts w:ascii="仿宋_GB2312"/>
      <w:szCs w:val="32"/>
    </w:rPr>
  </w:style>
  <w:style w:type="paragraph" w:styleId="3">
    <w:name w:val="Body Text First Indent 2"/>
    <w:basedOn w:val="2"/>
    <w:unhideWhenUsed/>
    <w:qFormat/>
    <w:uiPriority w:val="99"/>
    <w:pPr>
      <w:ind w:firstLine="420" w:firstLineChars="200"/>
    </w:pPr>
  </w:style>
  <w:style w:type="paragraph" w:styleId="7">
    <w:name w:val="Body Text"/>
    <w:basedOn w:val="1"/>
    <w:link w:val="27"/>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3"/>
    <w:semiHidden/>
    <w:unhideWhenUsed/>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3"/>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qFormat/>
    <w:uiPriority w:val="0"/>
    <w:rPr>
      <w:rFonts w:ascii="Times New Roman" w:hAnsi="Times New Roman"/>
      <w:sz w:val="24"/>
    </w:rPr>
  </w:style>
  <w:style w:type="paragraph" w:styleId="16">
    <w:name w:val="Title"/>
    <w:basedOn w:val="1"/>
    <w:qFormat/>
    <w:uiPriority w:val="0"/>
    <w:pPr>
      <w:spacing w:before="240" w:after="60"/>
      <w:jc w:val="center"/>
      <w:textAlignment w:val="baseline"/>
    </w:pPr>
    <w:rPr>
      <w:rFonts w:ascii="Cambria" w:hAnsi="Cambria" w:eastAsia="宋体" w:cs="Cambria"/>
      <w:b/>
      <w:bCs/>
      <w:sz w:val="32"/>
      <w:szCs w:val="32"/>
    </w:r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Char"/>
    <w:link w:val="11"/>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Char"/>
    <w:link w:val="10"/>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Char"/>
    <w:link w:val="7"/>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8"/>
    <w:link w:val="4"/>
    <w:qFormat/>
    <w:uiPriority w:val="9"/>
    <w:rPr>
      <w:rFonts w:ascii="Times New Roman" w:hAnsi="Times New Roman"/>
      <w:b/>
      <w:bCs/>
      <w:kern w:val="44"/>
      <w:sz w:val="44"/>
      <w:szCs w:val="44"/>
    </w:rPr>
  </w:style>
  <w:style w:type="character" w:customStyle="1" w:styleId="31">
    <w:name w:val="标题 2 Char"/>
    <w:basedOn w:val="18"/>
    <w:link w:val="5"/>
    <w:qFormat/>
    <w:uiPriority w:val="9"/>
    <w:rPr>
      <w:rFonts w:asciiTheme="majorHAnsi" w:hAnsiTheme="majorHAnsi" w:eastAsiaTheme="majorEastAsia" w:cstheme="majorBidi"/>
      <w:b/>
      <w:bCs/>
      <w:kern w:val="2"/>
      <w:sz w:val="32"/>
      <w:szCs w:val="32"/>
    </w:rPr>
  </w:style>
  <w:style w:type="paragraph" w:customStyle="1" w:styleId="32">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9"/>
    <w:semiHidden/>
    <w:qFormat/>
    <w:uiPriority w:val="99"/>
    <w:rPr>
      <w:rFonts w:ascii="Times New Roman" w:hAnsi="Times New Roman"/>
      <w:kern w:val="2"/>
      <w:sz w:val="18"/>
      <w:szCs w:val="18"/>
    </w:rPr>
  </w:style>
  <w:style w:type="character" w:customStyle="1" w:styleId="34">
    <w:name w:val="标题 3 Char"/>
    <w:basedOn w:val="18"/>
    <w:link w:val="6"/>
    <w:qFormat/>
    <w:uiPriority w:val="9"/>
    <w:rPr>
      <w:rFonts w:ascii="Times New Roman" w:hAnsi="Times New Roman"/>
      <w:b/>
      <w:bCs/>
      <w:kern w:val="2"/>
      <w:sz w:val="32"/>
      <w:szCs w:val="32"/>
    </w:rPr>
  </w:style>
  <w:style w:type="paragraph" w:customStyle="1" w:styleId="35">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7">
    <w:name w:val="〖B03〗三级标题"/>
    <w:basedOn w:val="1"/>
    <w:qFormat/>
    <w:uiPriority w:val="0"/>
    <w:pPr>
      <w:numPr>
        <w:ilvl w:val="0"/>
        <w:numId w:val="1"/>
      </w:numPr>
      <w:topLinePunct/>
      <w:spacing w:line="600" w:lineRule="exact"/>
      <w:outlineLvl w:val="2"/>
    </w:pPr>
    <w:rPr>
      <w:rFonts w:ascii="楷体_GB2312" w:hAnsi="Calibri" w:eastAsia="楷体_GB2312"/>
      <w:sz w:val="32"/>
      <w:szCs w:val="32"/>
    </w:rPr>
  </w:style>
  <w:style w:type="paragraph" w:customStyle="1" w:styleId="38">
    <w:name w:val="〖B02〗二级标题"/>
    <w:next w:val="1"/>
    <w:qFormat/>
    <w:uiPriority w:val="0"/>
    <w:pPr>
      <w:widowControl w:val="0"/>
      <w:numPr>
        <w:ilvl w:val="0"/>
        <w:numId w:val="2"/>
      </w:numPr>
      <w:spacing w:line="600" w:lineRule="exact"/>
      <w:outlineLvl w:val="1"/>
    </w:pPr>
    <w:rPr>
      <w:rFonts w:ascii="楷体_GB2312" w:hAnsi="Calibri" w:eastAsia="楷体_GB2312" w:cs="Times New Roman"/>
      <w:kern w:val="2"/>
      <w:sz w:val="32"/>
      <w:szCs w:val="21"/>
      <w:lang w:val="zh-CN" w:eastAsia="zh-CN" w:bidi="ar-SA"/>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chart" Target="charts/chart7.xml"/><Relationship Id="rId17" Type="http://schemas.openxmlformats.org/officeDocument/2006/relationships/chart" Target="charts/chart6.xml"/><Relationship Id="rId16" Type="http://schemas.openxmlformats.org/officeDocument/2006/relationships/chart" Target="charts/chart5.xml"/><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H:\&#37096;&#38376;&#20915;&#31639;&#20844;&#24320;&#35828;&#26126;&#25991;&#26723;&#32534;&#21046;&#20013;&#25152;&#28041;&#22270;&#34920;&#30340;&#21046;&#20316;&#21450;&#22686;&#20943;&#21464;&#21270;&#27604;&#20363;&#31561;&#25968;&#25454;&#35745;&#31639;&#29983;&#25104;&#24037;&#20855;.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37096;&#38376;&#20915;&#31639;&#20844;&#24320;&#35828;&#26126;&#25991;&#26723;&#32534;&#21046;&#20013;&#25152;&#28041;&#22270;&#34920;&#30340;&#21046;&#20316;&#21450;&#22686;&#20943;&#21464;&#21270;&#27604;&#20363;&#31561;&#25968;&#25454;&#35745;&#31639;&#29983;&#25104;&#24037;&#20855;.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37096;&#38376;&#20915;&#31639;&#20844;&#24320;&#35828;&#26126;&#25991;&#26723;&#32534;&#21046;&#20013;&#25152;&#28041;&#22270;&#34920;&#30340;&#21046;&#20316;&#21450;&#22686;&#20943;&#21464;&#21270;&#27604;&#20363;&#31561;&#25968;&#25454;&#35745;&#31639;&#29983;&#25104;&#24037;&#20855;.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37096;&#38376;&#20915;&#31639;&#20844;&#24320;&#35828;&#26126;&#25991;&#26723;&#32534;&#21046;&#20013;&#25152;&#28041;&#22270;&#34920;&#30340;&#21046;&#20316;&#21450;&#22686;&#20943;&#21464;&#21270;&#27604;&#20363;&#31561;&#25968;&#25454;&#35745;&#31639;&#29983;&#25104;&#24037;&#20855;.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37096;&#38376;&#20915;&#31639;&#20844;&#24320;&#35828;&#26126;&#25991;&#26723;&#32534;&#21046;&#20013;&#25152;&#28041;&#22270;&#34920;&#30340;&#21046;&#20316;&#21450;&#22686;&#20943;&#21464;&#21270;&#27604;&#20363;&#31561;&#25968;&#25454;&#35745;&#31639;&#29983;&#25104;&#24037;&#20855;.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360MoveData\Users\Administrator\Desktop\2024&#24180;&#20915;&#31639;&#20844;&#24320;\&#37096;&#38376;&#20915;&#31639;&#20844;&#24320;&#35828;&#26126;&#25991;&#26723;&#32534;&#21046;&#20013;&#25152;&#28041;&#22270;&#34920;&#30340;&#21046;&#20316;&#21450;&#22686;&#20943;&#21464;&#21270;&#27604;&#20363;&#31561;&#25968;&#25454;&#35745;&#31639;&#29983;&#25104;&#24037;&#20855;.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360MoveData\Users\Administrator\Desktop\2024&#24180;&#20915;&#31639;&#20844;&#24320;\&#37096;&#38376;&#20915;&#31639;&#20844;&#24320;&#35828;&#26126;&#25991;&#26723;&#32534;&#21046;&#20013;&#25152;&#28041;&#22270;&#34920;&#30340;&#21046;&#20316;&#21450;&#22686;&#20943;&#21464;&#21270;&#27604;&#20363;&#31561;&#25968;&#25454;&#35745;&#31639;&#29983;&#25104;&#24037;&#2085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42"/>
    </mc:Choice>
    <mc:Fallback>
      <c:style val="42"/>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solidFill>
                  <a:sysClr val="windowText" lastClr="000000"/>
                </a:solidFill>
              </a:rPr>
              <a:t>收支决算总计变动情况图</a:t>
            </a:r>
            <a:endParaRPr lang="zh-CN" altLang="en-US" sz="1800" b="1" i="0" u="none" strike="noStrike" baseline="0">
              <a:solidFill>
                <a:sysClr val="windowText" lastClr="000000"/>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205627705627706"/>
          <c:y val="0.201388888888889"/>
          <c:w val="0.606060606060606"/>
          <c:h val="0.576388888888889"/>
        </c:manualLayout>
      </c:layout>
      <c:barChart>
        <c:barDir val="col"/>
        <c:grouping val="clustered"/>
        <c:varyColors val="0"/>
        <c:ser>
          <c:idx val="0"/>
          <c:order val="0"/>
          <c:tx>
            <c:strRef>
              <c:f>[部门决算公开说明文档编制中所涉图表的制作及增减变化比例等数据计算生成工具.xls]图1!$A$6</c:f>
              <c:strCache>
                <c:ptCount val="1"/>
                <c:pt idx="0">
                  <c:v>2023年</c:v>
                </c:pt>
              </c:strCache>
            </c:strRef>
          </c:tx>
          <c:invertIfNegative val="0"/>
          <c:dLbls>
            <c:numFmt formatCode="General" sourceLinked="1"/>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[部门决算公开说明文档编制中所涉图表的制作及增减变化比例等数据计算生成工具.xls]图1!$B$5</c:f>
              <c:numCache>
                <c:formatCode>General</c:formatCode>
                <c:ptCount val="1"/>
              </c:numCache>
            </c:numRef>
          </c:cat>
          <c:val>
            <c:numRef>
              <c:f>[部门决算公开说明文档编制中所涉图表的制作及增减变化比例等数据计算生成工具.xls]图1!$B$6</c:f>
              <c:numCache>
                <c:formatCode>#,##0.00</c:formatCode>
                <c:ptCount val="1"/>
                <c:pt idx="0">
                  <c:v>463.44</c:v>
                </c:pt>
              </c:numCache>
            </c:numRef>
          </c:val>
        </c:ser>
        <c:ser>
          <c:idx val="1"/>
          <c:order val="1"/>
          <c:tx>
            <c:strRef>
              <c:f>[部门决算公开说明文档编制中所涉图表的制作及增减变化比例等数据计算生成工具.xls]图1!$A$7</c:f>
              <c:strCache>
                <c:ptCount val="1"/>
                <c:pt idx="0">
                  <c:v>2024年</c:v>
                </c:pt>
              </c:strCache>
            </c:strRef>
          </c:tx>
          <c:invertIfNegative val="0"/>
          <c:dLbls>
            <c:numFmt formatCode="General" sourceLinked="1"/>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[部门决算公开说明文档编制中所涉图表的制作及增减变化比例等数据计算生成工具.xls]图1!$B$5</c:f>
              <c:numCache>
                <c:formatCode>General</c:formatCode>
                <c:ptCount val="1"/>
              </c:numCache>
            </c:numRef>
          </c:cat>
          <c:val>
            <c:numRef>
              <c:f>[部门决算公开说明文档编制中所涉图表的制作及增减变化比例等数据计算生成工具.xls]图1!$B$7</c:f>
              <c:numCache>
                <c:formatCode>#,##0.00</c:formatCode>
                <c:ptCount val="1"/>
                <c:pt idx="0">
                  <c:v>432.95</c:v>
                </c:pt>
              </c:numCache>
            </c:numRef>
          </c:val>
        </c:ser>
        <c:ser>
          <c:idx val="2"/>
          <c:order val="2"/>
          <c:tx>
            <c:strRef>
              <c:f>[部门决算公开说明文档编制中所涉图表的制作及增减变化比例等数据计算生成工具.xls]图1!$A$8</c:f>
              <c:strCache>
                <c:ptCount val="1"/>
                <c:pt idx="0">
                  <c:v>增减数目</c:v>
                </c:pt>
              </c:strCache>
            </c:strRef>
          </c:tx>
          <c:invertIfNegative val="0"/>
          <c:dLbls>
            <c:numFmt formatCode="General" sourceLinked="1"/>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[部门决算公开说明文档编制中所涉图表的制作及增减变化比例等数据计算生成工具.xls]图1!$B$5</c:f>
              <c:numCache>
                <c:formatCode>General</c:formatCode>
                <c:ptCount val="1"/>
              </c:numCache>
            </c:numRef>
          </c:cat>
          <c:val>
            <c:numRef>
              <c:f>[部门决算公开说明文档编制中所涉图表的制作及增减变化比例等数据计算生成工具.xls]图1!$B$8</c:f>
              <c:numCache>
                <c:formatCode>#,##0.00_ </c:formatCode>
                <c:ptCount val="1"/>
                <c:pt idx="0">
                  <c:v>-30.49</c:v>
                </c:pt>
              </c:numCache>
            </c:numRef>
          </c:val>
        </c:ser>
        <c:ser>
          <c:idx val="3"/>
          <c:order val="3"/>
          <c:tx>
            <c:strRef>
              <c:f>[部门决算公开说明文档编制中所涉图表的制作及增减变化比例等数据计算生成工具.xls]图1!$A$9</c:f>
              <c:strCache>
                <c:ptCount val="1"/>
                <c:pt idx="0">
                  <c:v>增减幅度%</c:v>
                </c:pt>
              </c:strCache>
            </c:strRef>
          </c:tx>
          <c:invertIfNegative val="0"/>
          <c:dLbls>
            <c:numFmt formatCode="General" sourceLinked="1"/>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[部门决算公开说明文档编制中所涉图表的制作及增减变化比例等数据计算生成工具.xls]图1!$B$5</c:f>
              <c:numCache>
                <c:formatCode>General</c:formatCode>
                <c:ptCount val="1"/>
              </c:numCache>
            </c:numRef>
          </c:cat>
          <c:val>
            <c:numRef>
              <c:f>[部门决算公开说明文档编制中所涉图表的制作及增减变化比例等数据计算生成工具.xls]图1!$B$9</c:f>
              <c:numCache>
                <c:formatCode>0.00</c:formatCode>
                <c:ptCount val="1"/>
                <c:pt idx="0">
                  <c:v>-6.57906093561195</c:v>
                </c:pt>
              </c:numCache>
            </c:numRef>
          </c:val>
        </c:ser>
        <c:dLbls>
          <c:showLegendKey val="0"/>
          <c:showVal val="0"/>
          <c:showCatName val="0"/>
          <c:showSerName val="0"/>
          <c:showPercent val="0"/>
          <c:showBubbleSize val="0"/>
        </c:dLbls>
        <c:gapWidth val="150"/>
        <c:overlap val="0"/>
        <c:axId val="349783218"/>
        <c:axId val="515319130"/>
      </c:barChart>
      <c:catAx>
        <c:axId val="349783218"/>
        <c:scaling>
          <c:orientation val="minMax"/>
        </c:scaling>
        <c:delete val="0"/>
        <c:axPos val="b"/>
        <c:title>
          <c:tx>
            <c:rich>
              <a:bodyPr rot="0" spcFirstLastPara="0" vertOverflow="ellipsis" vert="horz" wrap="square" anchor="ctr" anchorCtr="1"/>
              <a:lstStyle/>
              <a:p>
                <a:pPr>
                  <a:defRPr lang="zh-CN" sz="10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solidFill>
                      <a:sysClr val="windowText" lastClr="000000"/>
                    </a:solidFill>
                  </a:rPr>
                  <a:t>单位：万元</a:t>
                </a:r>
                <a:endParaRPr lang="zh-CN" altLang="en-US" sz="1000" b="1" i="0" u="none" strike="noStrike" baseline="0">
                  <a:solidFill>
                    <a:sysClr val="windowText" lastClr="000000"/>
                  </a:solidFill>
                  <a:latin typeface="宋体" panose="02010600030101010101" charset="-122"/>
                  <a:ea typeface="宋体" panose="02010600030101010101" charset="-122"/>
                  <a:cs typeface="宋体" panose="02010600030101010101" charset="-122"/>
                </a:endParaRPr>
              </a:p>
            </c:rich>
          </c:tx>
          <c:layout>
            <c:manualLayout>
              <c:xMode val="edge"/>
              <c:yMode val="edge"/>
              <c:x val="0.0370294072409191"/>
              <c:y val="0.0694445043684608"/>
            </c:manualLayout>
          </c:layout>
          <c:overlay val="0"/>
          <c:spPr>
            <a:ln>
              <a:solidFill>
                <a:schemeClr val="tx1"/>
              </a:solidFill>
            </a:ln>
          </c:spPr>
        </c:title>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lt1"/>
                </a:solidFill>
                <a:latin typeface="+mn-lt"/>
                <a:ea typeface="+mn-ea"/>
                <a:cs typeface="+mn-cs"/>
              </a:defRPr>
            </a:pPr>
          </a:p>
        </c:txPr>
        <c:crossAx val="515319130"/>
        <c:crosses val="autoZero"/>
        <c:auto val="1"/>
        <c:lblAlgn val="ctr"/>
        <c:lblOffset val="100"/>
        <c:noMultiLvlLbl val="0"/>
      </c:catAx>
      <c:valAx>
        <c:axId val="515319130"/>
        <c:scaling>
          <c:orientation val="minMax"/>
        </c:scaling>
        <c:delete val="0"/>
        <c:axPos val="l"/>
        <c:majorGridlines/>
        <c:numFmt formatCode="#,##0.00" sourceLinked="1"/>
        <c:majorTickMark val="out"/>
        <c:minorTickMark val="none"/>
        <c:tickLblPos val="nextTo"/>
        <c:spPr>
          <a:solidFill>
            <a:schemeClr val="tx1"/>
          </a:solidFill>
        </c:spPr>
        <c:txPr>
          <a:bodyPr rot="-60000000" spcFirstLastPara="0" vertOverflow="ellipsis" vert="horz" wrap="square" anchor="ctr" anchorCtr="1"/>
          <a:lstStyle/>
          <a:p>
            <a:pPr>
              <a:defRPr lang="zh-CN" sz="1000" b="0" i="0" u="none" strike="noStrike" kern="1200" baseline="0">
                <a:solidFill>
                  <a:schemeClr val="lt1"/>
                </a:solidFill>
                <a:latin typeface="+mn-lt"/>
                <a:ea typeface="+mn-ea"/>
                <a:cs typeface="+mn-cs"/>
              </a:defRPr>
            </a:pPr>
          </a:p>
        </c:txPr>
        <c:crossAx val="349783218"/>
        <c:crosses val="autoZero"/>
        <c:crossBetween val="between"/>
      </c:valAx>
      <c:spPr>
        <a:solidFill>
          <a:schemeClr val="bg1"/>
        </a:solidFill>
      </c:spPr>
    </c:plotArea>
    <c:legend>
      <c:legendPos val="b"/>
      <c:layout>
        <c:manualLayout>
          <c:xMode val="edge"/>
          <c:yMode val="edge"/>
          <c:x val="0.178595180328357"/>
          <c:y val="0.839024556861899"/>
          <c:w val="0.662973470471201"/>
          <c:h val="0.13286304965304"/>
        </c:manualLayout>
      </c:layout>
      <c:overlay val="0"/>
      <c:txPr>
        <a:bodyPr rot="0" spcFirstLastPara="0" vertOverflow="ellipsis" vert="horz" wrap="square" anchor="ctr" anchorCtr="1"/>
        <a:lstStyle/>
        <a:p>
          <a:pPr>
            <a:defRPr lang="zh-CN" sz="1000" b="0" i="0" u="none" strike="noStrike" kern="1200" baseline="0">
              <a:ln w="6350">
                <a:solidFill>
                  <a:schemeClr val="tx1"/>
                </a:solidFill>
              </a:ln>
              <a:solidFill>
                <a:schemeClr val="lt1"/>
              </a:solidFill>
              <a:latin typeface="+mn-lt"/>
              <a:ea typeface="+mn-ea"/>
              <a:cs typeface="+mn-cs"/>
            </a:defRPr>
          </a:pPr>
        </a:p>
      </c:txPr>
    </c:legend>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a:outerShdw blurRad="279400" dist="50800" dir="5400000" sx="98000" sy="98000" algn="ctr" rotWithShape="0">
        <a:srgbClr val="000000">
          <a:alpha val="79000"/>
        </a:srgbClr>
      </a:outerShdw>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effectLst>
                  <a:glow rad="292100">
                    <a:schemeClr val="accent1">
                      <a:alpha val="40000"/>
                    </a:schemeClr>
                  </a:glow>
                </a:effectLst>
                <a:latin typeface="宋体" panose="02010600030101010101" charset="-122"/>
                <a:ea typeface="宋体" panose="02010600030101010101" charset="-122"/>
                <a:cs typeface="宋体" panose="02010600030101010101" charset="-122"/>
              </a:defRPr>
            </a:pPr>
            <a:r>
              <a:rPr lang="zh-CN"/>
              <a:t>收入决算结构图</a:t>
            </a:r>
            <a:endParaRPr lang="zh-CN"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title>
    <c:autoTitleDeleted val="0"/>
    <c:view3D>
      <c:rotX val="40"/>
      <c:rotY val="0"/>
      <c:depthPercent val="100"/>
      <c:rAngAx val="0"/>
      <c:perspective val="20"/>
    </c:view3D>
    <c:floor>
      <c:thickness val="0"/>
    </c:floor>
    <c:sideWall>
      <c:thickness val="0"/>
    </c:sideWall>
    <c:backWall>
      <c:thickness val="0"/>
    </c:backWall>
    <c:plotArea>
      <c:layout>
        <c:manualLayout>
          <c:layoutTarget val="inner"/>
          <c:xMode val="edge"/>
          <c:yMode val="edge"/>
          <c:x val="0.149299150764221"/>
          <c:y val="0.242727454343798"/>
          <c:w val="0.761678985382331"/>
          <c:h val="0.662226631119929"/>
        </c:manualLayout>
      </c:layout>
      <c:pie3DChart>
        <c:varyColors val="1"/>
        <c:ser>
          <c:idx val="0"/>
          <c:order val="0"/>
          <c:explosion val="0"/>
          <c:dPt>
            <c:idx val="0"/>
            <c:bubble3D val="0"/>
            <c:explosion val="0"/>
            <c:spPr>
              <a:solidFill>
                <a:schemeClr val="accent1"/>
              </a:solidFill>
              <a:ln w="25400">
                <a:solidFill>
                  <a:schemeClr val="lt1"/>
                </a:solidFill>
              </a:ln>
              <a:effectLst/>
              <a:scene3d>
                <a:camera prst="orthographicFront"/>
                <a:lightRig rig="threePt" dir="t"/>
              </a:scene3d>
              <a:sp3d contourW="25400">
                <a:contourClr>
                  <a:schemeClr val="lt1"/>
                </a:contourClr>
              </a:sp3d>
            </c:spPr>
          </c:dPt>
          <c:dPt>
            <c:idx val="1"/>
            <c:bubble3D val="0"/>
            <c:explosion val="0"/>
            <c:spPr>
              <a:solidFill>
                <a:schemeClr val="accent2"/>
              </a:solidFill>
              <a:ln w="25400">
                <a:solidFill>
                  <a:schemeClr val="lt1"/>
                </a:solidFill>
              </a:ln>
              <a:effectLst/>
              <a:scene3d>
                <a:camera prst="orthographicFront"/>
                <a:lightRig rig="threePt" dir="t"/>
              </a:scene3d>
              <a:sp3d contourW="25400">
                <a:contourClr>
                  <a:schemeClr val="lt1"/>
                </a:contourClr>
              </a:sp3d>
            </c:spPr>
          </c:dPt>
          <c:dPt>
            <c:idx val="2"/>
            <c:bubble3D val="0"/>
            <c:explosion val="0"/>
            <c:spPr>
              <a:solidFill>
                <a:schemeClr val="accent3"/>
              </a:solidFill>
              <a:ln w="25400">
                <a:solidFill>
                  <a:schemeClr val="lt1"/>
                </a:solidFill>
              </a:ln>
              <a:effectLst/>
              <a:scene3d>
                <a:camera prst="orthographicFront"/>
                <a:lightRig rig="threePt" dir="t"/>
              </a:scene3d>
              <a:sp3d contourW="25400">
                <a:contourClr>
                  <a:schemeClr val="lt1"/>
                </a:contourClr>
              </a:sp3d>
            </c:spPr>
          </c:dPt>
          <c:dPt>
            <c:idx val="3"/>
            <c:bubble3D val="0"/>
            <c:explosion val="0"/>
            <c:spPr>
              <a:solidFill>
                <a:schemeClr val="accent4"/>
              </a:solidFill>
              <a:ln w="25400">
                <a:solidFill>
                  <a:schemeClr val="lt1"/>
                </a:solidFill>
              </a:ln>
              <a:effectLst/>
              <a:scene3d>
                <a:camera prst="orthographicFront"/>
                <a:lightRig rig="threePt" dir="t"/>
              </a:scene3d>
              <a:sp3d contourW="25400">
                <a:contourClr>
                  <a:schemeClr val="lt1"/>
                </a:contourClr>
              </a:sp3d>
            </c:spPr>
          </c:dPt>
          <c:dPt>
            <c:idx val="4"/>
            <c:bubble3D val="0"/>
            <c:explosion val="0"/>
            <c:spPr>
              <a:solidFill>
                <a:schemeClr val="accent5"/>
              </a:solidFill>
              <a:ln w="25400">
                <a:solidFill>
                  <a:schemeClr val="lt1"/>
                </a:solidFill>
              </a:ln>
              <a:effectLst/>
              <a:scene3d>
                <a:camera prst="orthographicFront"/>
                <a:lightRig rig="threePt" dir="t"/>
              </a:scene3d>
              <a:sp3d contourW="25400">
                <a:contourClr>
                  <a:schemeClr val="lt1"/>
                </a:contourClr>
              </a:sp3d>
            </c:spPr>
          </c:dPt>
          <c:dPt>
            <c:idx val="5"/>
            <c:bubble3D val="0"/>
            <c:explosion val="0"/>
            <c:spPr>
              <a:solidFill>
                <a:schemeClr val="accent6"/>
              </a:solidFill>
              <a:ln w="25400">
                <a:solidFill>
                  <a:schemeClr val="lt1"/>
                </a:solidFill>
              </a:ln>
              <a:effectLst/>
              <a:scene3d>
                <a:camera prst="orthographicFront"/>
                <a:lightRig rig="threePt" dir="t"/>
              </a:scene3d>
              <a:sp3d contourW="25400">
                <a:contourClr>
                  <a:schemeClr val="lt1"/>
                </a:contourClr>
              </a:sp3d>
            </c:spPr>
          </c:dPt>
          <c:dPt>
            <c:idx val="6"/>
            <c:bubble3D val="0"/>
            <c:explosion val="0"/>
            <c:spPr>
              <a:solidFill>
                <a:schemeClr val="accent1">
                  <a:lumMod val="60000"/>
                </a:schemeClr>
              </a:solidFill>
              <a:ln w="25400">
                <a:solidFill>
                  <a:schemeClr val="lt1"/>
                </a:solidFill>
              </a:ln>
              <a:effectLst/>
              <a:scene3d>
                <a:camera prst="orthographicFront"/>
                <a:lightRig rig="threePt" dir="t"/>
              </a:scene3d>
              <a:sp3d contourW="25400">
                <a:contourClr>
                  <a:schemeClr val="lt1"/>
                </a:contourClr>
              </a:sp3d>
            </c:spPr>
          </c:dPt>
          <c:dPt>
            <c:idx val="7"/>
            <c:bubble3D val="0"/>
            <c:explosion val="0"/>
            <c:spPr>
              <a:solidFill>
                <a:schemeClr val="accent2">
                  <a:lumMod val="60000"/>
                </a:schemeClr>
              </a:solidFill>
              <a:ln w="25400">
                <a:solidFill>
                  <a:schemeClr val="lt1"/>
                </a:solidFill>
              </a:ln>
              <a:effectLst/>
              <a:scene3d>
                <a:camera prst="orthographicFront"/>
                <a:lightRig rig="threePt" dir="t"/>
              </a:scene3d>
              <a:sp3d contourW="25400">
                <a:contourClr>
                  <a:schemeClr val="lt1"/>
                </a:contourClr>
              </a:sp3d>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effectLst>
                      <a:glow rad="292100">
                        <a:schemeClr val="accent1">
                          <a:alpha val="40000"/>
                        </a:schemeClr>
                      </a:glow>
                    </a:effectLst>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[部门决算公开说明文档编制中所涉图表的制作及增减变化比例等数据计算生成工具.xls]图2!$A$5:$A$12</c:f>
              <c:strCache>
                <c:ptCount val="8"/>
                <c:pt idx="0">
                  <c:v>一、一般公共预算财政拨款收入</c:v>
                </c:pt>
                <c:pt idx="1">
                  <c:v>二、政府性基金预算财政拨款</c:v>
                </c:pt>
                <c:pt idx="2">
                  <c:v>三、国有资本经营预算财政拨款收入</c:v>
                </c:pt>
                <c:pt idx="3">
                  <c:v>四、上级补助收入</c:v>
                </c:pt>
                <c:pt idx="4">
                  <c:v>五、事业收入</c:v>
                </c:pt>
                <c:pt idx="5">
                  <c:v>六、经营收入</c:v>
                </c:pt>
                <c:pt idx="6">
                  <c:v>七、附属单位上缴收入</c:v>
                </c:pt>
                <c:pt idx="7">
                  <c:v>八、其他收入</c:v>
                </c:pt>
              </c:strCache>
            </c:strRef>
          </c:cat>
          <c:val>
            <c:numRef>
              <c:f>[部门决算公开说明文档编制中所涉图表的制作及增减变化比例等数据计算生成工具.xls]图2!$B$5:$B$12</c:f>
              <c:numCache>
                <c:formatCode>#,##0.00</c:formatCode>
                <c:ptCount val="8"/>
                <c:pt idx="0">
                  <c:v>425.19</c:v>
                </c:pt>
                <c:pt idx="7" c:formatCode="General">
                  <c:v>5.01</c:v>
                </c:pt>
              </c:numCache>
            </c:numRef>
          </c:val>
        </c:ser>
        <c:dLbls>
          <c:showLegendKey val="0"/>
          <c:showVal val="0"/>
          <c:showCatName val="0"/>
          <c:showSerName val="0"/>
          <c:showPercent val="0"/>
          <c:showBubbleSize val="0"/>
        </c:dLbls>
      </c:pie3DChart>
      <c:spPr>
        <a:noFill/>
        <a:ln>
          <a:noFill/>
        </a:ln>
        <a:effectLst/>
      </c:spPr>
    </c:plotArea>
    <c:plotVisOnly val="1"/>
    <c:dispBlanksAs val="gap"/>
    <c:showDLblsOverMax val="0"/>
  </c:chart>
  <c:spPr>
    <a:solidFill>
      <a:schemeClr val="bg1"/>
    </a:solidFill>
    <a:ln w="9525" cap="flat" cmpd="sng" algn="ctr">
      <a:solidFill>
        <a:schemeClr val="tx1"/>
      </a:solidFill>
      <a:prstDash val="solid"/>
      <a:round/>
    </a:ln>
    <a:effectLst/>
  </c:spPr>
  <c:txPr>
    <a:bodyPr wrap="square"/>
    <a:lstStyle/>
    <a:p>
      <a:pPr>
        <a:defRPr lang="zh-CN">
          <a:effectLst>
            <a:glow rad="292100">
              <a:schemeClr val="accent1">
                <a:alpha val="40000"/>
              </a:schemeClr>
            </a:glow>
          </a:effectLst>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支出决算结构图</a:t>
            </a:r>
            <a:endParaRPr lang="zh-CN" altLang="en-US"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title>
    <c:autoTitleDeleted val="0"/>
    <c:view3D>
      <c:rotX val="50"/>
      <c:rotY val="0"/>
      <c:depthPercent val="100"/>
      <c:rAngAx val="0"/>
      <c:perspective val="0"/>
    </c:view3D>
    <c:floor>
      <c:thickness val="0"/>
    </c:floor>
    <c:sideWall>
      <c:thickness val="0"/>
    </c:sideWall>
    <c:backWall>
      <c:thickness val="0"/>
    </c:backWall>
    <c:plotArea>
      <c:layout>
        <c:manualLayout>
          <c:layoutTarget val="inner"/>
          <c:xMode val="edge"/>
          <c:yMode val="edge"/>
          <c:x val="0.0177190154380309"/>
          <c:y val="0.26094110538341"/>
          <c:w val="0.612896645793292"/>
          <c:h val="0.695863592590495"/>
        </c:manualLayout>
      </c:layout>
      <c:pie3DChart>
        <c:varyColors val="1"/>
        <c:ser>
          <c:idx val="0"/>
          <c:order val="0"/>
          <c:spPr>
            <a:effectLst>
              <a:outerShdw dist="23000" sx="1000" sy="1000" rotWithShape="0">
                <a:srgbClr val="000000">
                  <a:alpha val="0"/>
                </a:srgbClr>
              </a:outerShdw>
            </a:effectLst>
          </c:spPr>
          <c:explosion val="7"/>
          <c:dPt>
            <c:idx val="0"/>
            <c:bubble3D val="0"/>
            <c:explosion val="7"/>
            <c:spPr>
              <a:effectLst>
                <a:outerShdw dist="23000" sx="1000" sy="1000" rotWithShape="0">
                  <a:srgbClr val="000000">
                    <a:alpha val="0"/>
                  </a:srgbClr>
                </a:outerShdw>
              </a:effectLst>
            </c:spPr>
          </c:dPt>
          <c:dPt>
            <c:idx val="1"/>
            <c:bubble3D val="0"/>
            <c:explosion val="7"/>
            <c:spPr>
              <a:effectLst>
                <a:outerShdw dist="23000" sx="1000" sy="1000" rotWithShape="0">
                  <a:srgbClr val="000000">
                    <a:alpha val="0"/>
                  </a:srgbClr>
                </a:outerShdw>
              </a:effectLst>
            </c:spPr>
          </c:dPt>
          <c:dLbls>
            <c:dLbl>
              <c:idx val="0"/>
              <c:layout>
                <c:manualLayout>
                  <c:x val="-0.181275489602261"/>
                  <c:y val="0.0360846637289605"/>
                </c:manualLayout>
              </c:layout>
              <c:numFmt formatCode="General" sourceLinked="1"/>
              <c:spPr>
                <a:noFill/>
                <a:ln w="25400">
                  <a:noFill/>
                </a:ln>
                <a:effectLst>
                  <a:glow rad="762000">
                    <a:schemeClr val="accent1">
                      <a:alpha val="0"/>
                    </a:schemeClr>
                  </a:glow>
                </a:effectLst>
                <a:scene3d>
                  <a:camera prst="orthographicFront"/>
                  <a:lightRig rig="threePt" dir="t"/>
                </a:scene3d>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dLbl>
              <c:idx val="1"/>
              <c:layout>
                <c:manualLayout>
                  <c:x val="0.158942963860287"/>
                  <c:y val="-0.121559071171149"/>
                </c:manualLayout>
              </c:layout>
              <c:numFmt formatCode="General" sourceLinked="1"/>
              <c:spPr>
                <a:noFill/>
                <a:ln w="25400">
                  <a:noFill/>
                </a:ln>
                <a:effectLst>
                  <a:glow rad="762000">
                    <a:schemeClr val="accent1">
                      <a:alpha val="0"/>
                    </a:schemeClr>
                  </a:glow>
                </a:effectLst>
                <a:scene3d>
                  <a:camera prst="orthographicFront"/>
                  <a:lightRig rig="threePt" dir="t"/>
                </a:scene3d>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numFmt formatCode="General" sourceLinked="1"/>
            <c:spPr>
              <a:noFill/>
              <a:ln w="25400">
                <a:noFill/>
              </a:ln>
              <a:effectLst>
                <a:glow rad="762000">
                  <a:schemeClr val="accent1">
                    <a:alpha val="0"/>
                  </a:schemeClr>
                </a:glow>
              </a:effectLst>
              <a:scene3d>
                <a:camera prst="orthographicFront"/>
                <a:lightRig rig="threePt" dir="t"/>
              </a:scene3d>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[部门决算公开说明文档编制中所涉图表的制作及增减变化比例等数据计算生成工具.xls]图3!$A$5:$B$5</c:f>
              <c:strCache>
                <c:ptCount val="2"/>
                <c:pt idx="0">
                  <c:v>基本支出</c:v>
                </c:pt>
                <c:pt idx="1">
                  <c:v>项目支出</c:v>
                </c:pt>
              </c:strCache>
            </c:strRef>
          </c:cat>
          <c:val>
            <c:numRef>
              <c:f>[部门决算公开说明文档编制中所涉图表的制作及增减变化比例等数据计算生成工具.xls]图3!$A$6:$B$6</c:f>
              <c:numCache>
                <c:formatCode>#,##0.00</c:formatCode>
                <c:ptCount val="2"/>
                <c:pt idx="0">
                  <c:v>381.61</c:v>
                </c:pt>
                <c:pt idx="1">
                  <c:v>49.16</c:v>
                </c:pt>
              </c:numCache>
            </c:numRef>
          </c:val>
        </c:ser>
        <c:dLbls>
          <c:showLegendKey val="0"/>
          <c:showVal val="0"/>
          <c:showCatName val="0"/>
          <c:showSerName val="0"/>
          <c:showPercent val="0"/>
          <c:showBubbleSize val="0"/>
        </c:dLbls>
      </c:pie3D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ln w="0" cap="flat" cmpd="sng" algn="ctr">
      <a:solidFill>
        <a:schemeClr val="tx1"/>
      </a:solidFill>
      <a:prstDash val="solid"/>
      <a:round/>
    </a:ln>
    <a:effectLst>
      <a:glow rad="152400">
        <a:schemeClr val="bg1">
          <a:alpha val="86000"/>
        </a:schemeClr>
      </a:glow>
      <a:outerShdw blurRad="25400" sx="1000" sy="1000" algn="ctr" rotWithShape="0">
        <a:srgbClr val="000000">
          <a:alpha val="96000"/>
        </a:srgbClr>
      </a:outerShdw>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财政拨款收支总计变动情况</a:t>
            </a:r>
            <a:endParaRPr lang="zh-CN" altLang="en-US"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146296296296296"/>
          <c:y val="0.180722891566265"/>
          <c:w val="0.661111111111111"/>
          <c:h val="0.620481927710843"/>
        </c:manualLayout>
      </c:layout>
      <c:barChart>
        <c:barDir val="col"/>
        <c:grouping val="clustered"/>
        <c:varyColors val="0"/>
        <c:ser>
          <c:idx val="0"/>
          <c:order val="0"/>
          <c:tx>
            <c:strRef>
              <c:f>[部门决算公开说明文档编制中所涉图表的制作及增减变化比例等数据计算生成工具.xls]图4!$A$6</c:f>
              <c:strCache>
                <c:ptCount val="1"/>
                <c:pt idx="0">
                  <c:v>2023年</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[部门决算公开说明文档编制中所涉图表的制作及增减变化比例等数据计算生成工具.xls]图4!$B$5</c:f>
              <c:strCache>
                <c:ptCount val="1"/>
                <c:pt idx="0">
                  <c:v>财政拨款收入、支出决算总计</c:v>
                </c:pt>
              </c:strCache>
            </c:strRef>
          </c:cat>
          <c:val>
            <c:numRef>
              <c:f>[部门决算公开说明文档编制中所涉图表的制作及增减变化比例等数据计算生成工具.xls]图4!$B$6</c:f>
              <c:numCache>
                <c:formatCode>#,##0.00</c:formatCode>
                <c:ptCount val="1"/>
                <c:pt idx="0">
                  <c:v>463.44</c:v>
                </c:pt>
              </c:numCache>
            </c:numRef>
          </c:val>
        </c:ser>
        <c:ser>
          <c:idx val="1"/>
          <c:order val="1"/>
          <c:tx>
            <c:strRef>
              <c:f>[部门决算公开说明文档编制中所涉图表的制作及增减变化比例等数据计算生成工具.xls]图4!$A$7</c:f>
              <c:strCache>
                <c:ptCount val="1"/>
                <c:pt idx="0">
                  <c:v>2024年</c:v>
                </c:pt>
              </c:strCache>
            </c:strRef>
          </c:tx>
          <c:spPr>
            <a:ln w="9525">
              <a:solidFill>
                <a:schemeClr val="accent1"/>
              </a:solidFill>
            </a:ln>
            <a:effectLst>
              <a:outerShdw blurRad="152400" dist="23000" dir="5340000" rotWithShape="0">
                <a:srgbClr val="000000">
                  <a:alpha val="35000"/>
                </a:srgbClr>
              </a:outerShdw>
            </a:effectLst>
          </c:spPr>
          <c:invertIfNegative val="0"/>
          <c:dLbls>
            <c:dLbl>
              <c:idx val="0"/>
              <c:layout>
                <c:manualLayout>
                  <c:x val="0.0286123032904149"/>
                  <c:y val="0.0087719298245614"/>
                </c:manualLayout>
              </c:layout>
              <c:numFmt formatCode="General" sourceLinked="1"/>
              <c:spPr>
                <a:noFill/>
                <a:ln>
                  <a:noFill/>
                </a:ln>
                <a:effectLst/>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[部门决算公开说明文档编制中所涉图表的制作及增减变化比例等数据计算生成工具.xls]图4!$B$5</c:f>
              <c:strCache>
                <c:ptCount val="1"/>
                <c:pt idx="0">
                  <c:v>财政拨款收入、支出决算总计</c:v>
                </c:pt>
              </c:strCache>
            </c:strRef>
          </c:cat>
          <c:val>
            <c:numRef>
              <c:f>[部门决算公开说明文档编制中所涉图表的制作及增减变化比例等数据计算生成工具.xls]图4!$B$7</c:f>
              <c:numCache>
                <c:formatCode>#,##0.00</c:formatCode>
                <c:ptCount val="1"/>
                <c:pt idx="0">
                  <c:v>425.19</c:v>
                </c:pt>
              </c:numCache>
            </c:numRef>
          </c:val>
        </c:ser>
        <c:ser>
          <c:idx val="2"/>
          <c:order val="2"/>
          <c:tx>
            <c:strRef>
              <c:f>[部门决算公开说明文档编制中所涉图表的制作及增减变化比例等数据计算生成工具.xls]图4!$A$8</c:f>
              <c:strCache>
                <c:ptCount val="1"/>
                <c:pt idx="0">
                  <c:v>增减数目</c:v>
                </c:pt>
              </c:strCache>
            </c:strRef>
          </c:tx>
          <c:invertIfNegative val="0"/>
          <c:dLbls>
            <c:dLbl>
              <c:idx val="0"/>
              <c:layout>
                <c:manualLayout>
                  <c:x val="0.0286123032904149"/>
                  <c:y val="-0.0087719298245614"/>
                </c:manualLayout>
              </c:layout>
              <c:numFmt formatCode="General" sourceLinked="1"/>
              <c:spPr>
                <a:noFill/>
                <a:ln>
                  <a:noFill/>
                </a:ln>
                <a:effectLst>
                  <a:softEdge rad="0"/>
                </a:effectLst>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a:softEdge rad="0"/>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[部门决算公开说明文档编制中所涉图表的制作及增减变化比例等数据计算生成工具.xls]图4!$B$5</c:f>
              <c:strCache>
                <c:ptCount val="1"/>
                <c:pt idx="0">
                  <c:v>财政拨款收入、支出决算总计</c:v>
                </c:pt>
              </c:strCache>
            </c:strRef>
          </c:cat>
          <c:val>
            <c:numRef>
              <c:f>[部门决算公开说明文档编制中所涉图表的制作及增减变化比例等数据计算生成工具.xls]图4!$B$8</c:f>
              <c:numCache>
                <c:formatCode>#,##0.00_ </c:formatCode>
                <c:ptCount val="1"/>
                <c:pt idx="0">
                  <c:v>-38.25</c:v>
                </c:pt>
              </c:numCache>
            </c:numRef>
          </c:val>
        </c:ser>
        <c:ser>
          <c:idx val="3"/>
          <c:order val="3"/>
          <c:tx>
            <c:strRef>
              <c:f>[部门决算公开说明文档编制中所涉图表的制作及增减变化比例等数据计算生成工具.xls]图4!$A$9</c:f>
              <c:strCache>
                <c:ptCount val="1"/>
                <c:pt idx="0">
                  <c:v>增减幅度%</c:v>
                </c:pt>
              </c:strCache>
            </c:strRef>
          </c:tx>
          <c:spPr>
            <a:effectLst>
              <a:outerShdw blurRad="40000" dist="2527300" dir="1440000" sx="18000" sy="18000" rotWithShape="0">
                <a:srgbClr val="000000">
                  <a:alpha val="97000"/>
                </a:srgbClr>
              </a:outerShdw>
            </a:effectLst>
          </c:spPr>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[部门决算公开说明文档编制中所涉图表的制作及增减变化比例等数据计算生成工具.xls]图4!$B$5</c:f>
              <c:strCache>
                <c:ptCount val="1"/>
                <c:pt idx="0">
                  <c:v>财政拨款收入、支出决算总计</c:v>
                </c:pt>
              </c:strCache>
            </c:strRef>
          </c:cat>
          <c:val>
            <c:numRef>
              <c:f>[部门决算公开说明文档编制中所涉图表的制作及增减变化比例等数据计算生成工具.xls]图4!$B$9</c:f>
              <c:numCache>
                <c:formatCode>0.00</c:formatCode>
                <c:ptCount val="1"/>
                <c:pt idx="0">
                  <c:v>-8.25349559813568</c:v>
                </c:pt>
              </c:numCache>
            </c:numRef>
          </c:val>
        </c:ser>
        <c:dLbls>
          <c:showLegendKey val="0"/>
          <c:showVal val="0"/>
          <c:showCatName val="0"/>
          <c:showSerName val="0"/>
          <c:showPercent val="0"/>
          <c:showBubbleSize val="0"/>
        </c:dLbls>
        <c:gapWidth val="0"/>
        <c:overlap val="0"/>
        <c:axId val="933344844"/>
        <c:axId val="672386289"/>
      </c:barChart>
      <c:catAx>
        <c:axId val="933344844"/>
        <c:scaling>
          <c:orientation val="minMax"/>
        </c:scaling>
        <c:delete val="1"/>
        <c:axPos val="b"/>
        <c:title>
          <c:tx>
            <c:rich>
              <a:bodyPr rot="0" spcFirstLastPara="0" vertOverflow="ellipsis" vert="horz" wrap="square" anchor="ctr" anchorCtr="1"/>
              <a:lstStyle/>
              <a:p>
                <a:pPr>
                  <a:defRPr lang="zh-CN" sz="10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单位：万元</a:t>
                </a:r>
                <a:endParaRPr lang="zh-CN" altLang="en-US" sz="10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0123492503351244"/>
              <c:y val="0.0795700372979693"/>
            </c:manualLayout>
          </c:layout>
          <c:overlay val="0"/>
        </c:title>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672386289"/>
        <c:crosses val="autoZero"/>
        <c:auto val="1"/>
        <c:lblAlgn val="ctr"/>
        <c:lblOffset val="100"/>
        <c:noMultiLvlLbl val="0"/>
      </c:catAx>
      <c:valAx>
        <c:axId val="672386289"/>
        <c:scaling>
          <c:orientation val="minMax"/>
        </c:scaling>
        <c:delete val="0"/>
        <c:axPos val="l"/>
        <c:numFmt formatCode="#,##0.00" sourceLinked="1"/>
        <c:majorTickMark val="out"/>
        <c:minorTickMark val="none"/>
        <c:tickLblPos val="nextTo"/>
        <c:spPr>
          <a:ln w="9525" cap="flat" cmpd="sng" algn="ctr">
            <a:solidFill>
              <a:schemeClr val="accent1">
                <a:alpha val="78000"/>
              </a:schemeClr>
            </a:solid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933344844"/>
        <c:crosses val="autoZero"/>
        <c:crossBetween val="between"/>
      </c:valAx>
      <c:spPr>
        <a:solidFill>
          <a:schemeClr val="bg1"/>
        </a:solidFill>
        <a:ln>
          <a:noFill/>
        </a:ln>
        <a:effectLst/>
      </c:spPr>
    </c:plotArea>
    <c:legend>
      <c:legendPos val="b"/>
      <c:layout/>
      <c:overlay val="0"/>
      <c:spPr>
        <a:effectLst>
          <a:softEdge rad="0"/>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18"/>
    </mc:Choice>
    <mc:Fallback>
      <c:style val="18"/>
    </mc:Fallback>
  </mc:AlternateContent>
  <c:chart>
    <c:title>
      <c:tx>
        <c:rich>
          <a:bodyPr rot="0" spcFirstLastPara="0" vertOverflow="ellipsis" vert="horz" wrap="square" anchor="ctr" anchorCtr="1"/>
          <a:lstStyle/>
          <a:p>
            <a:pPr>
              <a:defRPr lang="zh-CN" sz="16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sz="1600"/>
              <a:t>一般公共预算财政拨款支出</a:t>
            </a:r>
            <a:endParaRPr lang="zh-CN" altLang="en-US" sz="16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286578300719244"/>
          <c:y val="0.217241047116301"/>
          <c:w val="0.564645729078854"/>
          <c:h val="0.572763179883413"/>
        </c:manualLayout>
      </c:layout>
      <c:barChart>
        <c:barDir val="col"/>
        <c:grouping val="clustered"/>
        <c:varyColors val="0"/>
        <c:ser>
          <c:idx val="0"/>
          <c:order val="0"/>
          <c:tx>
            <c:strRef>
              <c:f>[部门决算公开说明文档编制中所涉图表的制作及增减变化比例等数据计算生成工具.xls]图5!$A$7</c:f>
              <c:strCache>
                <c:ptCount val="1"/>
                <c:pt idx="0">
                  <c:v>2023年</c:v>
                </c:pt>
              </c:strCache>
            </c:strRef>
          </c:tx>
          <c:invertIfNegative val="0"/>
          <c:dLbls>
            <c:delete val="1"/>
          </c:dLbls>
          <c:cat>
            <c:numRef>
              <c:f>[部门决算公开说明文档编制中所涉图表的制作及增减变化比例等数据计算生成工具.xls]图5!$B$6</c:f>
              <c:numCache>
                <c:formatCode>General</c:formatCode>
                <c:ptCount val="1"/>
              </c:numCache>
            </c:numRef>
          </c:cat>
          <c:val>
            <c:numRef>
              <c:f>[部门决算公开说明文档编制中所涉图表的制作及增减变化比例等数据计算生成工具.xls]图5!$B$7</c:f>
              <c:numCache>
                <c:formatCode>#,##0.00</c:formatCode>
                <c:ptCount val="1"/>
                <c:pt idx="0">
                  <c:v>463.44</c:v>
                </c:pt>
              </c:numCache>
            </c:numRef>
          </c:val>
        </c:ser>
        <c:ser>
          <c:idx val="1"/>
          <c:order val="1"/>
          <c:tx>
            <c:strRef>
              <c:f>[部门决算公开说明文档编制中所涉图表的制作及增减变化比例等数据计算生成工具.xls]图5!$A$8</c:f>
              <c:strCache>
                <c:ptCount val="1"/>
                <c:pt idx="0">
                  <c:v>2024年</c:v>
                </c:pt>
              </c:strCache>
            </c:strRef>
          </c:tx>
          <c:invertIfNegative val="0"/>
          <c:dLbls>
            <c:delete val="1"/>
          </c:dLbls>
          <c:cat>
            <c:numRef>
              <c:f>[部门决算公开说明文档编制中所涉图表的制作及增减变化比例等数据计算生成工具.xls]图5!$B$6</c:f>
              <c:numCache>
                <c:formatCode>General</c:formatCode>
                <c:ptCount val="1"/>
              </c:numCache>
            </c:numRef>
          </c:cat>
          <c:val>
            <c:numRef>
              <c:f>[部门决算公开说明文档编制中所涉图表的制作及增减变化比例等数据计算生成工具.xls]图5!$B$8</c:f>
              <c:numCache>
                <c:formatCode>#,##0.00</c:formatCode>
                <c:ptCount val="1"/>
                <c:pt idx="0">
                  <c:v>425.19</c:v>
                </c:pt>
              </c:numCache>
            </c:numRef>
          </c:val>
        </c:ser>
        <c:ser>
          <c:idx val="2"/>
          <c:order val="2"/>
          <c:tx>
            <c:strRef>
              <c:f>[部门决算公开说明文档编制中所涉图表的制作及增减变化比例等数据计算生成工具.xls]图5!$A$9</c:f>
              <c:strCache>
                <c:ptCount val="1"/>
                <c:pt idx="0">
                  <c:v>增减数目</c:v>
                </c:pt>
              </c:strCache>
            </c:strRef>
          </c:tx>
          <c:invertIfNegative val="0"/>
          <c:dLbls>
            <c:delete val="1"/>
          </c:dLbls>
          <c:cat>
            <c:numRef>
              <c:f>[部门决算公开说明文档编制中所涉图表的制作及增减变化比例等数据计算生成工具.xls]图5!$B$6</c:f>
              <c:numCache>
                <c:formatCode>General</c:formatCode>
                <c:ptCount val="1"/>
              </c:numCache>
            </c:numRef>
          </c:cat>
          <c:val>
            <c:numRef>
              <c:f>[部门决算公开说明文档编制中所涉图表的制作及增减变化比例等数据计算生成工具.xls]图5!$B$9</c:f>
              <c:numCache>
                <c:formatCode>#,##0.00_ </c:formatCode>
                <c:ptCount val="1"/>
                <c:pt idx="0">
                  <c:v>-38.25</c:v>
                </c:pt>
              </c:numCache>
            </c:numRef>
          </c:val>
        </c:ser>
        <c:ser>
          <c:idx val="3"/>
          <c:order val="3"/>
          <c:tx>
            <c:strRef>
              <c:f>[部门决算公开说明文档编制中所涉图表的制作及增减变化比例等数据计算生成工具.xls]图5!$A$10</c:f>
              <c:strCache>
                <c:ptCount val="1"/>
                <c:pt idx="0">
                  <c:v>增减幅度%</c:v>
                </c:pt>
              </c:strCache>
            </c:strRef>
          </c:tx>
          <c:invertIfNegative val="0"/>
          <c:dLbls>
            <c:delete val="1"/>
          </c:dLbls>
          <c:cat>
            <c:numRef>
              <c:f>[部门决算公开说明文档编制中所涉图表的制作及增减变化比例等数据计算生成工具.xls]图5!$B$6</c:f>
              <c:numCache>
                <c:formatCode>General</c:formatCode>
                <c:ptCount val="1"/>
              </c:numCache>
            </c:numRef>
          </c:cat>
          <c:val>
            <c:numRef>
              <c:f>[部门决算公开说明文档编制中所涉图表的制作及增减变化比例等数据计算生成工具.xls]图5!$B$10</c:f>
              <c:numCache>
                <c:formatCode>0.00</c:formatCode>
                <c:ptCount val="1"/>
                <c:pt idx="0">
                  <c:v>-8.25349559813568</c:v>
                </c:pt>
              </c:numCache>
            </c:numRef>
          </c:val>
        </c:ser>
        <c:dLbls>
          <c:showLegendKey val="0"/>
          <c:showVal val="0"/>
          <c:showCatName val="0"/>
          <c:showSerName val="0"/>
          <c:showPercent val="0"/>
          <c:showBubbleSize val="0"/>
        </c:dLbls>
        <c:gapWidth val="150"/>
        <c:overlap val="0"/>
        <c:axId val="570351490"/>
        <c:axId val="280690170"/>
      </c:barChart>
      <c:catAx>
        <c:axId val="570351490"/>
        <c:scaling>
          <c:orientation val="minMax"/>
        </c:scaling>
        <c:delete val="1"/>
        <c:axPos val="b"/>
        <c:title>
          <c:tx>
            <c:rich>
              <a:bodyPr rot="0" spcFirstLastPara="0" vertOverflow="ellipsis" vert="horz" wrap="square" anchor="ctr" anchorCtr="1"/>
              <a:lstStyle/>
              <a:p>
                <a:pPr>
                  <a:defRPr lang="zh-CN" sz="10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单位：万元</a:t>
                </a:r>
                <a:endParaRPr lang="zh-CN" altLang="en-US" sz="10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0997940101237345"/>
              <c:y val="0.188548973991887"/>
            </c:manualLayout>
          </c:layout>
          <c:overlay val="0"/>
        </c:title>
        <c:majorTickMark val="out"/>
        <c:minorTickMark val="none"/>
        <c:tickLblPos val="nextTo"/>
        <c:txPr>
          <a:bodyPr rot="-60000000" spcFirstLastPara="0" vertOverflow="ellipsis" vert="horz" wrap="square" anchor="ctr" anchorCtr="1"/>
          <a:lstStyle/>
          <a:p>
            <a:pPr>
              <a:defRPr lang="zh-CN" sz="1000" b="0" i="0" u="none" strike="noStrike" kern="1200" baseline="0">
                <a:solidFill>
                  <a:srgbClr val="000000"/>
                </a:solidFill>
                <a:latin typeface="+mn-lt"/>
                <a:ea typeface="+mn-ea"/>
                <a:cs typeface="+mn-cs"/>
              </a:defRPr>
            </a:pPr>
          </a:p>
        </c:txPr>
        <c:crossAx val="280690170"/>
        <c:crosses val="autoZero"/>
        <c:auto val="1"/>
        <c:lblAlgn val="ctr"/>
        <c:lblOffset val="100"/>
        <c:noMultiLvlLbl val="0"/>
      </c:catAx>
      <c:valAx>
        <c:axId val="280690170"/>
        <c:scaling>
          <c:orientation val="minMax"/>
        </c:scaling>
        <c:delete val="0"/>
        <c:axPos val="l"/>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570351490"/>
        <c:crosses val="autoZero"/>
        <c:crossBetween val="between"/>
      </c:valAx>
      <c:dTable>
        <c:showHorzBorder val="1"/>
        <c:showVertBorder val="1"/>
        <c:showOutline val="1"/>
        <c:showKeys val="1"/>
        <c:spPr>
          <a:ln w="9525" cap="flat" cmpd="sng" algn="ctr">
            <a:noFill/>
            <a:prstDash val="solid"/>
            <a:round/>
          </a:ln>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dTable>
      <c:spPr>
        <a:solidFill>
          <a:schemeClr val="bg1"/>
        </a:solidFill>
        <a:ln>
          <a:noFill/>
        </a:ln>
        <a:effectLst/>
      </c:spPr>
    </c:plotArea>
    <c:plotVisOnly val="1"/>
    <c:dispBlanksAs val="gap"/>
    <c:showDLblsOverMax val="0"/>
  </c:chart>
  <c:spPr>
    <a:solidFill>
      <a:schemeClr val="bg1">
        <a:alpha val="99000"/>
      </a:schemeClr>
    </a:solidFill>
    <a:ln w="9525" cap="flat" cmpd="sng" algn="ctr">
      <a:solidFill>
        <a:schemeClr val="tx1">
          <a:alpha val="98000"/>
        </a:schemeClr>
      </a:solidFill>
      <a:prstDash val="solid"/>
      <a:round/>
    </a:ln>
    <a:effectLst>
      <a:softEdge rad="38100"/>
    </a:effectLst>
    <a:scene3d>
      <a:camera prst="orthographicFront"/>
      <a:lightRig rig="threePt" dir="t"/>
    </a:scene3d>
    <a:sp3d>
      <a:bevelT w="25400" h="38100" prst="relaxedInset"/>
      <a:bevelB w="114300" prst="hardEdge"/>
    </a:sp3d>
  </c:spPr>
  <c:txPr>
    <a:bodyPr wrap="square"/>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ltLang="en-US"/>
              <a:t>一般公共预算财政拨款支出结构</a:t>
            </a:r>
            <a:endParaRPr lang="zh-CN" altLang="en-US"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219654801214364"/>
          <c:y val="0.0147058446962422"/>
        </c:manualLayout>
      </c:layout>
      <c:overlay val="0"/>
    </c:title>
    <c:autoTitleDeleted val="0"/>
    <c:plotArea>
      <c:layout/>
      <c:pieChart>
        <c:varyColors val="1"/>
        <c:ser>
          <c:idx val="0"/>
          <c:order val="0"/>
          <c:explosion val="0"/>
          <c:dPt>
            <c:idx val="0"/>
            <c:bubble3D val="0"/>
            <c:explosion val="0"/>
          </c:dPt>
          <c:dPt>
            <c:idx val="1"/>
            <c:bubble3D val="0"/>
            <c:explosion val="0"/>
          </c:dPt>
          <c:dPt>
            <c:idx val="2"/>
            <c:bubble3D val="0"/>
            <c:explosion val="0"/>
          </c:dPt>
          <c:dPt>
            <c:idx val="3"/>
            <c:bubble3D val="0"/>
            <c:explosion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[部门决算公开说明文档编制中所涉图表的制作及增减变化比例等数据计算生成工具.xls]图6!$A$7:$A$10</c:f>
              <c:strCache>
                <c:ptCount val="4"/>
                <c:pt idx="0">
                  <c:v>一、一般公共服务支出</c:v>
                </c:pt>
                <c:pt idx="1">
                  <c:v>二、社会保障和就业支出</c:v>
                </c:pt>
                <c:pt idx="2">
                  <c:v>三、卫生健康支出</c:v>
                </c:pt>
                <c:pt idx="3">
                  <c:v>四、住房保障支出</c:v>
                </c:pt>
              </c:strCache>
            </c:strRef>
          </c:cat>
          <c:val>
            <c:numRef>
              <c:f>[部门决算公开说明文档编制中所涉图表的制作及增减变化比例等数据计算生成工具.xls]图6!$B$7:$B$10</c:f>
              <c:numCache>
                <c:formatCode>#,##0.00</c:formatCode>
                <c:ptCount val="4"/>
                <c:pt idx="0">
                  <c:v>332.51</c:v>
                </c:pt>
                <c:pt idx="1">
                  <c:v>55.61</c:v>
                </c:pt>
                <c:pt idx="2">
                  <c:v>11.09</c:v>
                </c:pt>
                <c:pt idx="3">
                  <c:v>25.97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58275296233132"/>
          <c:y val="0.0844456638042196"/>
          <c:w val="0.3365"/>
          <c:h val="0.9045"/>
        </c:manualLayout>
      </c:layout>
      <c:overlay val="0"/>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p>
      </c:txPr>
    </c:legend>
    <c:plotVisOnly val="1"/>
    <c:dispBlanksAs val="zero"/>
    <c:showDLblsOverMax val="0"/>
  </c:chart>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r>
              <a:rPr lang="zh-CN"/>
              <a:t>三公经费财政拨款支出结构</a:t>
            </a:r>
            <a:endParaRPr lang="zh-CN" sz="1800" b="1"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215946362345242"/>
          <c:y val="0.0558882062819071"/>
        </c:manualLayout>
      </c:layout>
      <c:overlay val="0"/>
      <c:spPr>
        <a:solidFill>
          <a:schemeClr val="bg1"/>
        </a:solidFill>
      </c:spPr>
    </c:title>
    <c:autoTitleDeleted val="0"/>
    <c:view3D>
      <c:rotX val="40"/>
      <c:rotY val="20"/>
      <c:depthPercent val="100"/>
      <c:rAngAx val="0"/>
      <c:perspective val="0"/>
    </c:view3D>
    <c:floor>
      <c:thickness val="0"/>
    </c:floor>
    <c:sideWall>
      <c:thickness val="0"/>
    </c:sideWall>
    <c:backWall>
      <c:thickness val="0"/>
    </c:backWall>
    <c:plotArea>
      <c:layout>
        <c:manualLayout>
          <c:layoutTarget val="inner"/>
          <c:xMode val="edge"/>
          <c:yMode val="edge"/>
          <c:x val="0.159376903890838"/>
          <c:y val="0.238150904213896"/>
          <c:w val="0.696542559331135"/>
          <c:h val="0.521804101410401"/>
        </c:manualLayout>
      </c:layout>
      <c:pie3DChart>
        <c:varyColors val="1"/>
        <c:ser>
          <c:idx val="0"/>
          <c:order val="0"/>
          <c:explosion val="0"/>
          <c:dPt>
            <c:idx val="0"/>
            <c:bubble3D val="0"/>
            <c:explosion val="0"/>
          </c:dPt>
          <c:dPt>
            <c:idx val="1"/>
            <c:bubble3D val="0"/>
            <c:explosion val="0"/>
          </c:dPt>
          <c:dPt>
            <c:idx val="2"/>
            <c:bubble3D val="0"/>
            <c:explosion val="0"/>
          </c:dPt>
          <c:dLbls>
            <c:dLbl>
              <c:idx val="1"/>
              <c:layout>
                <c:manualLayout>
                  <c:x val="-0.18158573928259"/>
                  <c:y val="-0.170164041994751"/>
                </c:manualLayout>
              </c:layout>
              <c:numFmt formatCode="General" sourceLinked="1"/>
              <c:spPr>
                <a:noFill/>
                <a:ln>
                  <a:noFill/>
                </a:ln>
                <a:effectLst>
                  <a:glow rad="571500">
                    <a:schemeClr val="accent1">
                      <a:alpha val="2000"/>
                    </a:schemeClr>
                  </a:glow>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dLbl>
              <c:idx val="2"/>
              <c:layout>
                <c:manualLayout>
                  <c:x val="0.151272722854088"/>
                  <c:y val="0.0537510936132983"/>
                </c:manualLayout>
              </c:layout>
              <c:numFmt formatCode="General" sourceLinked="1"/>
              <c:spPr>
                <a:noFill/>
                <a:ln>
                  <a:noFill/>
                </a:ln>
                <a:effectLst>
                  <a:glow rad="571500">
                    <a:schemeClr val="accent1">
                      <a:alpha val="2000"/>
                    </a:schemeClr>
                  </a:glow>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numFmt formatCode="General" sourceLinked="1"/>
            <c:spPr>
              <a:noFill/>
              <a:ln w="25400">
                <a:noFill/>
              </a:ln>
              <a:effectLst>
                <a:glow rad="571500">
                  <a:schemeClr val="accent1">
                    <a:alpha val="2000"/>
                  </a:schemeClr>
                </a:glow>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[部门决算公开说明文档编制中所涉图表的制作及增减变化比例等数据计算生成工具.xls]图7!$C$17:$E$17</c:f>
              <c:strCache>
                <c:ptCount val="3"/>
                <c:pt idx="0">
                  <c:v>因公出国（境）费用</c:v>
                </c:pt>
                <c:pt idx="1">
                  <c:v>公务用车购置及运行费</c:v>
                </c:pt>
                <c:pt idx="2">
                  <c:v>公务接待费</c:v>
                </c:pt>
              </c:strCache>
            </c:strRef>
          </c:cat>
          <c:val>
            <c:numRef>
              <c:f>[部门决算公开说明文档编制中所涉图表的制作及增减变化比例等数据计算生成工具.xls]图7!$C$18:$E$18</c:f>
              <c:numCache>
                <c:formatCode>General</c:formatCode>
                <c:ptCount val="3"/>
                <c:pt idx="0">
                  <c:v>0</c:v>
                </c:pt>
                <c:pt idx="1" c:formatCode="#,##0.00">
                  <c:v>0</c:v>
                </c:pt>
                <c:pt idx="2">
                  <c:v>3.35</c:v>
                </c:pt>
              </c:numCache>
            </c:numRef>
          </c:val>
        </c:ser>
        <c:dLbls>
          <c:showLegendKey val="0"/>
          <c:showVal val="0"/>
          <c:showCatName val="0"/>
          <c:showSerName val="0"/>
          <c:showPercent val="0"/>
          <c:showBubbleSize val="0"/>
        </c:dLbls>
      </c:pie3DChart>
      <c:spPr>
        <a:noFill/>
        <a:ln>
          <a:noFill/>
        </a:ln>
        <a:effectLst/>
      </c:spPr>
    </c:plotArea>
    <c:legend>
      <c:legendPos val="b"/>
      <c:layout>
        <c:manualLayout>
          <c:xMode val="edge"/>
          <c:yMode val="edge"/>
          <c:x val="0.100326101684708"/>
          <c:y val="0.816546104813821"/>
          <c:w val="0.835039119154083"/>
          <c:h val="0.0662377779700615"/>
        </c:manualLayout>
      </c:layout>
      <c:overlay val="0"/>
      <c:spPr>
        <a:ln>
          <a:solidFill>
            <a:schemeClr val="tx1"/>
          </a:solidFill>
        </a:ln>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noFill/>
    <a:ln w="0" cap="flat" cmpd="thickThin" algn="ctr">
      <a:solidFill>
        <a:schemeClr val="tx1"/>
      </a:solidFill>
      <a:prstDash val="solid"/>
      <a:bevel/>
    </a:ln>
    <a:effectLst>
      <a:innerShdw blurRad="165100" dist="2133600" dir="5400000">
        <a:prstClr val="black">
          <a:alpha val="50000"/>
        </a:prstClr>
      </a:innerShdw>
    </a:effectLst>
    <a:scene3d>
      <a:camera prst="orthographicFront"/>
      <a:lightRig rig="threePt" dir="t"/>
    </a:scene3d>
  </c:spPr>
  <c:txPr>
    <a:bodyPr wrap="square"/>
    <a:lstStyle/>
    <a:p>
      <a:pPr>
        <a:defRPr lang="zh-CN"/>
      </a:pP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5ce102d-bfe7-483e-a89c-72c6c353e31c}"/>
        <w:style w:val=""/>
        <w:category>
          <w:name w:val="常规"/>
          <w:gallery w:val="placeholder"/>
        </w:category>
        <w:types>
          <w:type w:val="bbPlcHdr"/>
        </w:types>
        <w:behaviors>
          <w:behavior w:val="content"/>
        </w:behaviors>
        <w:description w:val=""/>
        <w:guid w:val="{85ce102d-bfe7-483e-a89c-72c6c353e31c}"/>
      </w:docPartPr>
      <w:docPartBody>
        <w:p>
          <w:r>
            <w:rPr>
              <w:color w:val="808080"/>
            </w:rPr>
            <w:t>单击此处输入文字。</w:t>
          </w:r>
        </w:p>
      </w:docPartBody>
    </w:docPart>
    <w:docPart>
      <w:docPartPr>
        <w:name w:val="{e841f602-e037-4d98-bc33-93c8c099276f}"/>
        <w:style w:val=""/>
        <w:category>
          <w:name w:val="常规"/>
          <w:gallery w:val="placeholder"/>
        </w:category>
        <w:types>
          <w:type w:val="bbPlcHdr"/>
        </w:types>
        <w:behaviors>
          <w:behavior w:val="content"/>
        </w:behaviors>
        <w:description w:val=""/>
        <w:guid w:val="{e841f602-e037-4d98-bc33-93c8c099276f}"/>
      </w:docPartPr>
      <w:docPartBody>
        <w:p>
          <w:r>
            <w:rPr>
              <w:color w:val="808080"/>
            </w:rPr>
            <w:t>单击此处输入文字。</w:t>
          </w:r>
        </w:p>
      </w:docPartBody>
    </w:docPart>
    <w:docPart>
      <w:docPartPr>
        <w:name w:val="{a56340f8-d48d-456a-8bd4-218d37e1470f}"/>
        <w:style w:val=""/>
        <w:category>
          <w:name w:val="常规"/>
          <w:gallery w:val="placeholder"/>
        </w:category>
        <w:types>
          <w:type w:val="bbPlcHdr"/>
        </w:types>
        <w:behaviors>
          <w:behavior w:val="content"/>
        </w:behaviors>
        <w:description w:val=""/>
        <w:guid w:val="{a56340f8-d48d-456a-8bd4-218d37e1470f}"/>
      </w:docPartPr>
      <w:docPartBody>
        <w:p>
          <w:r>
            <w:rPr>
              <w:color w:val="808080"/>
            </w:rPr>
            <w:t>单击此处输入文字。</w:t>
          </w:r>
        </w:p>
      </w:docPartBody>
    </w:docPart>
    <w:docPart>
      <w:docPartPr>
        <w:name w:val="{0c29cb93-3aad-48a4-bdd9-1d9a4c825363}"/>
        <w:style w:val=""/>
        <w:category>
          <w:name w:val="常规"/>
          <w:gallery w:val="placeholder"/>
        </w:category>
        <w:types>
          <w:type w:val="bbPlcHdr"/>
        </w:types>
        <w:behaviors>
          <w:behavior w:val="content"/>
        </w:behaviors>
        <w:description w:val=""/>
        <w:guid w:val="{0c29cb93-3aad-48a4-bdd9-1d9a4c825363}"/>
      </w:docPartPr>
      <w:docPartBody>
        <w:p>
          <w:r>
            <w:rPr>
              <w:color w:val="808080"/>
            </w:rPr>
            <w:t>单击此处输入文字。</w:t>
          </w:r>
        </w:p>
      </w:docPartBody>
    </w:docPart>
    <w:docPart>
      <w:docPartPr>
        <w:name w:val="{aade7f37-59a2-40a4-a737-2e63b2121441}"/>
        <w:style w:val=""/>
        <w:category>
          <w:name w:val="常规"/>
          <w:gallery w:val="placeholder"/>
        </w:category>
        <w:types>
          <w:type w:val="bbPlcHdr"/>
        </w:types>
        <w:behaviors>
          <w:behavior w:val="content"/>
        </w:behaviors>
        <w:description w:val=""/>
        <w:guid w:val="{aade7f37-59a2-40a4-a737-2e63b2121441}"/>
      </w:docPartPr>
      <w:docPartBody>
        <w:p>
          <w:r>
            <w:rPr>
              <w:color w:val="808080"/>
            </w:rPr>
            <w:t>单击此处输入文字。</w:t>
          </w:r>
        </w:p>
      </w:docPartBody>
    </w:docPart>
    <w:docPart>
      <w:docPartPr>
        <w:name w:val="{f2519859-e514-44e5-bfce-c3c0a0be49d0}"/>
        <w:style w:val=""/>
        <w:category>
          <w:name w:val="常规"/>
          <w:gallery w:val="placeholder"/>
        </w:category>
        <w:types>
          <w:type w:val="bbPlcHdr"/>
        </w:types>
        <w:behaviors>
          <w:behavior w:val="content"/>
        </w:behaviors>
        <w:description w:val=""/>
        <w:guid w:val="{f2519859-e514-44e5-bfce-c3c0a0be49d0}"/>
      </w:docPartPr>
      <w:docPartBody>
        <w:p>
          <w:r>
            <w:rPr>
              <w:color w:val="808080"/>
            </w:rPr>
            <w:t>单击此处输入文字。</w:t>
          </w:r>
        </w:p>
      </w:docPartBody>
    </w:docPart>
    <w:docPart>
      <w:docPartPr>
        <w:name w:val="{2c2bff76-9e36-4329-aa84-299403289d24}"/>
        <w:style w:val=""/>
        <w:category>
          <w:name w:val="常规"/>
          <w:gallery w:val="placeholder"/>
        </w:category>
        <w:types>
          <w:type w:val="bbPlcHdr"/>
        </w:types>
        <w:behaviors>
          <w:behavior w:val="content"/>
        </w:behaviors>
        <w:description w:val=""/>
        <w:guid w:val="{2c2bff76-9e36-4329-aa84-299403289d24}"/>
      </w:docPartPr>
      <w:docPartBody>
        <w:p>
          <w:r>
            <w:rPr>
              <w:color w:val="808080"/>
            </w:rPr>
            <w:t>单击此处输入文字。</w:t>
          </w:r>
        </w:p>
      </w:docPartBody>
    </w:docPart>
    <w:docPart>
      <w:docPartPr>
        <w:name w:val="{2d057212-a8cc-4ef3-b704-118d41d226da}"/>
        <w:style w:val=""/>
        <w:category>
          <w:name w:val="常规"/>
          <w:gallery w:val="placeholder"/>
        </w:category>
        <w:types>
          <w:type w:val="bbPlcHdr"/>
        </w:types>
        <w:behaviors>
          <w:behavior w:val="content"/>
        </w:behaviors>
        <w:description w:val=""/>
        <w:guid w:val="{2d057212-a8cc-4ef3-b704-118d41d226da}"/>
      </w:docPartPr>
      <w:docPartBody>
        <w:p>
          <w:r>
            <w:rPr>
              <w:color w:val="808080"/>
            </w:rPr>
            <w:t>单击此处输入文字。</w:t>
          </w:r>
        </w:p>
      </w:docPartBody>
    </w:docPart>
    <w:docPart>
      <w:docPartPr>
        <w:name w:val="{8faed1e9-e998-485d-ba8f-ee9bfb0f75ae}"/>
        <w:style w:val=""/>
        <w:category>
          <w:name w:val="常规"/>
          <w:gallery w:val="placeholder"/>
        </w:category>
        <w:types>
          <w:type w:val="bbPlcHdr"/>
        </w:types>
        <w:behaviors>
          <w:behavior w:val="content"/>
        </w:behaviors>
        <w:description w:val=""/>
        <w:guid w:val="{8faed1e9-e998-485d-ba8f-ee9bfb0f75ae}"/>
      </w:docPartPr>
      <w:docPartBody>
        <w:p>
          <w:r>
            <w:rPr>
              <w:color w:val="808080"/>
            </w:rPr>
            <w:t>单击此处输入文字。</w:t>
          </w:r>
        </w:p>
      </w:docPartBody>
    </w:docPart>
    <w:docPart>
      <w:docPartPr>
        <w:name w:val="{7083c9f3-edc6-4b11-b751-06b54ea375e3}"/>
        <w:style w:val=""/>
        <w:category>
          <w:name w:val="常规"/>
          <w:gallery w:val="placeholder"/>
        </w:category>
        <w:types>
          <w:type w:val="bbPlcHdr"/>
        </w:types>
        <w:behaviors>
          <w:behavior w:val="content"/>
        </w:behaviors>
        <w:description w:val=""/>
        <w:guid w:val="{7083c9f3-edc6-4b11-b751-06b54ea375e3}"/>
      </w:docPartPr>
      <w:docPartBody>
        <w:p>
          <w:r>
            <w:rPr>
              <w:color w:val="808080"/>
            </w:rPr>
            <w:t>单击此处输入文字。</w:t>
          </w:r>
        </w:p>
      </w:docPartBody>
    </w:docPart>
    <w:docPart>
      <w:docPartPr>
        <w:name w:val="{dfbadeb3-591c-4232-9afe-dcc7abe3fc36}"/>
        <w:style w:val=""/>
        <w:category>
          <w:name w:val="常规"/>
          <w:gallery w:val="placeholder"/>
        </w:category>
        <w:types>
          <w:type w:val="bbPlcHdr"/>
        </w:types>
        <w:behaviors>
          <w:behavior w:val="content"/>
        </w:behaviors>
        <w:description w:val=""/>
        <w:guid w:val="{dfbadeb3-591c-4232-9afe-dcc7abe3fc36}"/>
      </w:docPartPr>
      <w:docPartBody>
        <w:p>
          <w:r>
            <w:rPr>
              <w:color w:val="808080"/>
            </w:rPr>
            <w:t>单击此处输入文字。</w:t>
          </w:r>
        </w:p>
      </w:docPartBody>
    </w:docPart>
    <w:docPart>
      <w:docPartPr>
        <w:name w:val="{caf92e7f-eea7-4c3c-a14b-779b64127abe}"/>
        <w:style w:val=""/>
        <w:category>
          <w:name w:val="常规"/>
          <w:gallery w:val="placeholder"/>
        </w:category>
        <w:types>
          <w:type w:val="bbPlcHdr"/>
        </w:types>
        <w:behaviors>
          <w:behavior w:val="content"/>
        </w:behaviors>
        <w:description w:val=""/>
        <w:guid w:val="{caf92e7f-eea7-4c3c-a14b-779b64127abe}"/>
      </w:docPartPr>
      <w:docPartBody>
        <w:p>
          <w:r>
            <w:rPr>
              <w:color w:val="808080"/>
            </w:rPr>
            <w:t>单击此处输入文字。</w:t>
          </w:r>
        </w:p>
      </w:docPartBody>
    </w:docPart>
    <w:docPart>
      <w:docPartPr>
        <w:name w:val="{3d2da8de-d820-41dc-98ab-4995255db628}"/>
        <w:style w:val=""/>
        <w:category>
          <w:name w:val="常规"/>
          <w:gallery w:val="placeholder"/>
        </w:category>
        <w:types>
          <w:type w:val="bbPlcHdr"/>
        </w:types>
        <w:behaviors>
          <w:behavior w:val="content"/>
        </w:behaviors>
        <w:description w:val=""/>
        <w:guid w:val="{3d2da8de-d820-41dc-98ab-4995255db628}"/>
      </w:docPartPr>
      <w:docPartBody>
        <w:p>
          <w:r>
            <w:rPr>
              <w:color w:val="808080"/>
            </w:rPr>
            <w:t>单击此处输入文字。</w:t>
          </w:r>
        </w:p>
      </w:docPartBody>
    </w:docPart>
    <w:docPart>
      <w:docPartPr>
        <w:name w:val="{1526ee58-fae5-4652-b75b-5f750df87eef}"/>
        <w:style w:val=""/>
        <w:category>
          <w:name w:val="常规"/>
          <w:gallery w:val="placeholder"/>
        </w:category>
        <w:types>
          <w:type w:val="bbPlcHdr"/>
        </w:types>
        <w:behaviors>
          <w:behavior w:val="content"/>
        </w:behaviors>
        <w:description w:val=""/>
        <w:guid w:val="{1526ee58-fae5-4652-b75b-5f750df87eef}"/>
      </w:docPartPr>
      <w:docPartBody>
        <w:p>
          <w:r>
            <w:rPr>
              <w:color w:val="808080"/>
            </w:rPr>
            <w:t>单击此处输入文字。</w:t>
          </w:r>
        </w:p>
      </w:docPartBody>
    </w:docPart>
    <w:docPart>
      <w:docPartPr>
        <w:name w:val="{aa4f1146-ca24-40a1-9093-39fe00197c56}"/>
        <w:style w:val=""/>
        <w:category>
          <w:name w:val="常规"/>
          <w:gallery w:val="placeholder"/>
        </w:category>
        <w:types>
          <w:type w:val="bbPlcHdr"/>
        </w:types>
        <w:behaviors>
          <w:behavior w:val="content"/>
        </w:behaviors>
        <w:description w:val=""/>
        <w:guid w:val="{aa4f1146-ca24-40a1-9093-39fe00197c56}"/>
      </w:docPartPr>
      <w:docPartBody>
        <w:p>
          <w:r>
            <w:rPr>
              <w:color w:val="808080"/>
            </w:rPr>
            <w:t>单击此处输入文字。</w:t>
          </w:r>
        </w:p>
      </w:docPartBody>
    </w:docPart>
    <w:docPart>
      <w:docPartPr>
        <w:name w:val="{2007ce0e-54e1-4382-b90f-0ccb234d2714}"/>
        <w:style w:val=""/>
        <w:category>
          <w:name w:val="常规"/>
          <w:gallery w:val="placeholder"/>
        </w:category>
        <w:types>
          <w:type w:val="bbPlcHdr"/>
        </w:types>
        <w:behaviors>
          <w:behavior w:val="content"/>
        </w:behaviors>
        <w:description w:val=""/>
        <w:guid w:val="{2007ce0e-54e1-4382-b90f-0ccb234d2714}"/>
      </w:docPartPr>
      <w:docPartBody>
        <w:p>
          <w:r>
            <w:rPr>
              <w:color w:val="808080"/>
            </w:rPr>
            <w:t>单击此处输入文字。</w:t>
          </w:r>
        </w:p>
      </w:docPartBody>
    </w:docPart>
    <w:docPart>
      <w:docPartPr>
        <w:name w:val="{e363f8d3-ba0b-4809-8b3f-60fd89036a1d}"/>
        <w:style w:val=""/>
        <w:category>
          <w:name w:val="常规"/>
          <w:gallery w:val="placeholder"/>
        </w:category>
        <w:types>
          <w:type w:val="bbPlcHdr"/>
        </w:types>
        <w:behaviors>
          <w:behavior w:val="content"/>
        </w:behaviors>
        <w:description w:val=""/>
        <w:guid w:val="{e363f8d3-ba0b-4809-8b3f-60fd89036a1d}"/>
      </w:docPartPr>
      <w:docPartBody>
        <w:p>
          <w:r>
            <w:rPr>
              <w:color w:val="808080"/>
            </w:rPr>
            <w:t>单击此处输入文字。</w:t>
          </w:r>
        </w:p>
      </w:docPartBody>
    </w:docPart>
    <w:docPart>
      <w:docPartPr>
        <w:name w:val="{d62889a8-b80f-4c28-be76-ef0465d831f0}"/>
        <w:style w:val=""/>
        <w:category>
          <w:name w:val="常规"/>
          <w:gallery w:val="placeholder"/>
        </w:category>
        <w:types>
          <w:type w:val="bbPlcHdr"/>
        </w:types>
        <w:behaviors>
          <w:behavior w:val="content"/>
        </w:behaviors>
        <w:description w:val=""/>
        <w:guid w:val="{d62889a8-b80f-4c28-be76-ef0465d831f0}"/>
      </w:docPartPr>
      <w:docPartBody>
        <w:p>
          <w:r>
            <w:rPr>
              <w:color w:val="808080"/>
            </w:rPr>
            <w:t>单击此处输入文字。</w:t>
          </w:r>
        </w:p>
      </w:docPartBody>
    </w:docPart>
    <w:docPart>
      <w:docPartPr>
        <w:name w:val="{0eb74748-a75e-469f-9bd5-91825780d022}"/>
        <w:style w:val=""/>
        <w:category>
          <w:name w:val="常规"/>
          <w:gallery w:val="placeholder"/>
        </w:category>
        <w:types>
          <w:type w:val="bbPlcHdr"/>
        </w:types>
        <w:behaviors>
          <w:behavior w:val="content"/>
        </w:behaviors>
        <w:description w:val=""/>
        <w:guid w:val="{0eb74748-a75e-469f-9bd5-91825780d022}"/>
      </w:docPartPr>
      <w:docPartBody>
        <w:p>
          <w:r>
            <w:rPr>
              <w:color w:val="808080"/>
            </w:rPr>
            <w:t>单击此处输入文字。</w:t>
          </w:r>
        </w:p>
      </w:docPartBody>
    </w:docPart>
    <w:docPart>
      <w:docPartPr>
        <w:name w:val="{f8e06999-250f-416a-af78-3633961936c3}"/>
        <w:style w:val=""/>
        <w:category>
          <w:name w:val="常规"/>
          <w:gallery w:val="placeholder"/>
        </w:category>
        <w:types>
          <w:type w:val="bbPlcHdr"/>
        </w:types>
        <w:behaviors>
          <w:behavior w:val="content"/>
        </w:behaviors>
        <w:description w:val=""/>
        <w:guid w:val="{f8e06999-250f-416a-af78-3633961936c3}"/>
      </w:docPartPr>
      <w:docPartBody>
        <w:p>
          <w:r>
            <w:rPr>
              <w:color w:val="808080"/>
            </w:rPr>
            <w:t>单击此处输入文字。</w:t>
          </w:r>
        </w:p>
      </w:docPartBody>
    </w:docPart>
    <w:docPart>
      <w:docPartPr>
        <w:name w:val="{e82c7822-f22b-49ce-8b88-11f91654db8b}"/>
        <w:style w:val=""/>
        <w:category>
          <w:name w:val="常规"/>
          <w:gallery w:val="placeholder"/>
        </w:category>
        <w:types>
          <w:type w:val="bbPlcHdr"/>
        </w:types>
        <w:behaviors>
          <w:behavior w:val="content"/>
        </w:behaviors>
        <w:description w:val=""/>
        <w:guid w:val="{e82c7822-f22b-49ce-8b88-11f91654db8b}"/>
      </w:docPartPr>
      <w:docPartBody>
        <w:p>
          <w:r>
            <w:rPr>
              <w:color w:val="808080"/>
            </w:rPr>
            <w:t>单击此处输入文字。</w:t>
          </w:r>
        </w:p>
      </w:docPartBody>
    </w:docPart>
    <w:docPart>
      <w:docPartPr>
        <w:name w:val="{abd37f09-3d5d-4e11-bfa9-a5f2368223c9}"/>
        <w:style w:val=""/>
        <w:category>
          <w:name w:val="常规"/>
          <w:gallery w:val="placeholder"/>
        </w:category>
        <w:types>
          <w:type w:val="bbPlcHdr"/>
        </w:types>
        <w:behaviors>
          <w:behavior w:val="content"/>
        </w:behaviors>
        <w:description w:val=""/>
        <w:guid w:val="{abd37f09-3d5d-4e11-bfa9-a5f2368223c9}"/>
      </w:docPartPr>
      <w:docPartBody>
        <w:p>
          <w:r>
            <w:rPr>
              <w:color w:val="808080"/>
            </w:rPr>
            <w:t>单击此处输入文字。</w:t>
          </w:r>
        </w:p>
      </w:docPartBody>
    </w:docPart>
    <w:docPart>
      <w:docPartPr>
        <w:name w:val="{0dbccb61-3707-498f-ad74-b48abb2136b8}"/>
        <w:style w:val=""/>
        <w:category>
          <w:name w:val="常规"/>
          <w:gallery w:val="placeholder"/>
        </w:category>
        <w:types>
          <w:type w:val="bbPlcHdr"/>
        </w:types>
        <w:behaviors>
          <w:behavior w:val="content"/>
        </w:behaviors>
        <w:description w:val=""/>
        <w:guid w:val="{0dbccb61-3707-498f-ad74-b48abb2136b8}"/>
      </w:docPartPr>
      <w:docPartBody>
        <w:p>
          <w:r>
            <w:rPr>
              <w:color w:val="808080"/>
            </w:rPr>
            <w:t>单击此处输入文字。</w:t>
          </w:r>
        </w:p>
      </w:docPartBody>
    </w:docPart>
    <w:docPart>
      <w:docPartPr>
        <w:name w:val="{f5901d2f-b3d4-4de7-8e97-b952529ebb81}"/>
        <w:style w:val=""/>
        <w:category>
          <w:name w:val="常规"/>
          <w:gallery w:val="placeholder"/>
        </w:category>
        <w:types>
          <w:type w:val="bbPlcHdr"/>
        </w:types>
        <w:behaviors>
          <w:behavior w:val="content"/>
        </w:behaviors>
        <w:description w:val=""/>
        <w:guid w:val="{f5901d2f-b3d4-4de7-8e97-b952529ebb81}"/>
      </w:docPartPr>
      <w:docPartBody>
        <w:p>
          <w:r>
            <w:rPr>
              <w:color w:val="808080"/>
            </w:rPr>
            <w:t>单击此处输入文字。</w:t>
          </w:r>
        </w:p>
      </w:docPartBody>
    </w:docPart>
    <w:docPart>
      <w:docPartPr>
        <w:name w:val="{19a2928a-cd51-455b-b509-9489e9169cfa}"/>
        <w:style w:val=""/>
        <w:category>
          <w:name w:val="常规"/>
          <w:gallery w:val="placeholder"/>
        </w:category>
        <w:types>
          <w:type w:val="bbPlcHdr"/>
        </w:types>
        <w:behaviors>
          <w:behavior w:val="content"/>
        </w:behaviors>
        <w:description w:val=""/>
        <w:guid w:val="{19a2928a-cd51-455b-b509-9489e9169cfa}"/>
      </w:docPartPr>
      <w:docPartBody>
        <w:p>
          <w:r>
            <w:rPr>
              <w:color w:val="808080"/>
            </w:rPr>
            <w:t>单击此处输入文字。</w:t>
          </w:r>
        </w:p>
      </w:docPartBody>
    </w:docPart>
    <w:docPart>
      <w:docPartPr>
        <w:name w:val="{dba049ab-83d7-44aa-b1d8-cf93491bef4d}"/>
        <w:style w:val=""/>
        <w:category>
          <w:name w:val="常规"/>
          <w:gallery w:val="placeholder"/>
        </w:category>
        <w:types>
          <w:type w:val="bbPlcHdr"/>
        </w:types>
        <w:behaviors>
          <w:behavior w:val="content"/>
        </w:behaviors>
        <w:description w:val=""/>
        <w:guid w:val="{dba049ab-83d7-44aa-b1d8-cf93491bef4d}"/>
      </w:docPartPr>
      <w:docPartBody>
        <w:p>
          <w:r>
            <w:rPr>
              <w:color w:val="808080"/>
            </w:rPr>
            <w:t>单击此处输入文字。</w:t>
          </w:r>
        </w:p>
      </w:docPartBody>
    </w:docPart>
    <w:docPart>
      <w:docPartPr>
        <w:name w:val="{da7c5d4c-fea5-4323-8d74-08761b5cb8fd}"/>
        <w:style w:val=""/>
        <w:category>
          <w:name w:val="常规"/>
          <w:gallery w:val="placeholder"/>
        </w:category>
        <w:types>
          <w:type w:val="bbPlcHdr"/>
        </w:types>
        <w:behaviors>
          <w:behavior w:val="content"/>
        </w:behaviors>
        <w:description w:val=""/>
        <w:guid w:val="{da7c5d4c-fea5-4323-8d74-08761b5cb8fd}"/>
      </w:docPartPr>
      <w:docPartBody>
        <w:p>
          <w:r>
            <w:rPr>
              <w:color w:val="808080"/>
            </w:rPr>
            <w:t>单击此处输入文字。</w:t>
          </w:r>
        </w:p>
      </w:docPartBody>
    </w:docPart>
    <w:docPart>
      <w:docPartPr>
        <w:name w:val="{bc0dc382-f6b3-4858-97d0-4d12ca19bb80}"/>
        <w:style w:val=""/>
        <w:category>
          <w:name w:val="常规"/>
          <w:gallery w:val="placeholder"/>
        </w:category>
        <w:types>
          <w:type w:val="bbPlcHdr"/>
        </w:types>
        <w:behaviors>
          <w:behavior w:val="content"/>
        </w:behaviors>
        <w:description w:val=""/>
        <w:guid w:val="{bc0dc382-f6b3-4858-97d0-4d12ca19bb80}"/>
      </w:docPartPr>
      <w:docPartBody>
        <w:p>
          <w:r>
            <w:rPr>
              <w:color w:val="808080"/>
            </w:rPr>
            <w:t>单击此处输入文字。</w:t>
          </w:r>
        </w:p>
      </w:docPartBody>
    </w:docPart>
    <w:docPart>
      <w:docPartPr>
        <w:name w:val="{b81b9041-a291-4f67-a1df-a6b45cb45481}"/>
        <w:style w:val=""/>
        <w:category>
          <w:name w:val="常规"/>
          <w:gallery w:val="placeholder"/>
        </w:category>
        <w:types>
          <w:type w:val="bbPlcHdr"/>
        </w:types>
        <w:behaviors>
          <w:behavior w:val="content"/>
        </w:behaviors>
        <w:description w:val=""/>
        <w:guid w:val="{b81b9041-a291-4f67-a1df-a6b45cb45481}"/>
      </w:docPartPr>
      <w:docPartBody>
        <w:p>
          <w:r>
            <w:rPr>
              <w:color w:val="808080"/>
            </w:rPr>
            <w:t>单击此处输入文字。</w:t>
          </w:r>
        </w:p>
      </w:docPartBody>
    </w:docPart>
    <w:docPart>
      <w:docPartPr>
        <w:name w:val="{bdaacf36-d54d-4ee1-b8da-19a7a01bb66c}"/>
        <w:style w:val=""/>
        <w:category>
          <w:name w:val="常规"/>
          <w:gallery w:val="placeholder"/>
        </w:category>
        <w:types>
          <w:type w:val="bbPlcHdr"/>
        </w:types>
        <w:behaviors>
          <w:behavior w:val="content"/>
        </w:behaviors>
        <w:description w:val=""/>
        <w:guid w:val="{bdaacf36-d54d-4ee1-b8da-19a7a01bb66c}"/>
      </w:docPartPr>
      <w:docPartBody>
        <w:p>
          <w:r>
            <w:rPr>
              <w:color w:val="808080"/>
            </w:rPr>
            <w:t>单击此处输入文字。</w:t>
          </w:r>
        </w:p>
      </w:docPartBody>
    </w:docPart>
    <w:docPart>
      <w:docPartPr>
        <w:name w:val="{9e040cb5-5976-439c-a819-475b872b14f6}"/>
        <w:style w:val=""/>
        <w:category>
          <w:name w:val="常规"/>
          <w:gallery w:val="placeholder"/>
        </w:category>
        <w:types>
          <w:type w:val="bbPlcHdr"/>
        </w:types>
        <w:behaviors>
          <w:behavior w:val="content"/>
        </w:behaviors>
        <w:description w:val=""/>
        <w:guid w:val="{9e040cb5-5976-439c-a819-475b872b14f6}"/>
      </w:docPartPr>
      <w:docPartBody>
        <w:p>
          <w:r>
            <w:rPr>
              <w:color w:val="808080"/>
            </w:rPr>
            <w:t>单击此处输入文字。</w:t>
          </w:r>
        </w:p>
      </w:docPartBody>
    </w:docPart>
    <w:docPart>
      <w:docPartPr>
        <w:name w:val="{69943e59-5f78-4a0b-850f-fb423241634c}"/>
        <w:style w:val=""/>
        <w:category>
          <w:name w:val="常规"/>
          <w:gallery w:val="placeholder"/>
        </w:category>
        <w:types>
          <w:type w:val="bbPlcHdr"/>
        </w:types>
        <w:behaviors>
          <w:behavior w:val="content"/>
        </w:behaviors>
        <w:description w:val=""/>
        <w:guid w:val="{69943e59-5f78-4a0b-850f-fb423241634c}"/>
      </w:docPartPr>
      <w:docPartBody>
        <w:p>
          <w:r>
            <w:rPr>
              <w:color w:val="808080"/>
            </w:rPr>
            <w:t>单击此处输入文字。</w:t>
          </w:r>
        </w:p>
      </w:docPartBody>
    </w:docPart>
    <w:docPart>
      <w:docPartPr>
        <w:name w:val="{99ae58a5-e293-47cb-b84e-b7ecc2424156}"/>
        <w:style w:val=""/>
        <w:category>
          <w:name w:val="常规"/>
          <w:gallery w:val="placeholder"/>
        </w:category>
        <w:types>
          <w:type w:val="bbPlcHdr"/>
        </w:types>
        <w:behaviors>
          <w:behavior w:val="content"/>
        </w:behaviors>
        <w:description w:val=""/>
        <w:guid w:val="{99ae58a5-e293-47cb-b84e-b7ecc2424156}"/>
      </w:docPartPr>
      <w:docPartBody>
        <w:p>
          <w:r>
            <w:rPr>
              <w:color w:val="808080"/>
            </w:rPr>
            <w:t>单击此处输入文字。</w:t>
          </w:r>
        </w:p>
      </w:docPartBody>
    </w:docPart>
    <w:docPart>
      <w:docPartPr>
        <w:name w:val="{5491af17-aaa7-47d6-917b-1be1c32dc49a}"/>
        <w:style w:val=""/>
        <w:category>
          <w:name w:val="常规"/>
          <w:gallery w:val="placeholder"/>
        </w:category>
        <w:types>
          <w:type w:val="bbPlcHdr"/>
        </w:types>
        <w:behaviors>
          <w:behavior w:val="content"/>
        </w:behaviors>
        <w:description w:val=""/>
        <w:guid w:val="{5491af17-aaa7-47d6-917b-1be1c32dc49a}"/>
      </w:docPartPr>
      <w:docPartBody>
        <w:p>
          <w:r>
            <w:rPr>
              <w:color w:val="808080"/>
            </w:rPr>
            <w:t>单击此处输入文字。</w:t>
          </w:r>
        </w:p>
      </w:docPartBody>
    </w:docPart>
    <w:docPart>
      <w:docPartPr>
        <w:name w:val="{c5131bea-fd8d-4e63-b0ab-3134abee38a2}"/>
        <w:style w:val=""/>
        <w:category>
          <w:name w:val="常规"/>
          <w:gallery w:val="placeholder"/>
        </w:category>
        <w:types>
          <w:type w:val="bbPlcHdr"/>
        </w:types>
        <w:behaviors>
          <w:behavior w:val="content"/>
        </w:behaviors>
        <w:description w:val=""/>
        <w:guid w:val="{c5131bea-fd8d-4e63-b0ab-3134abee38a2}"/>
      </w:docPartPr>
      <w:docPartBody>
        <w:p>
          <w:r>
            <w:rPr>
              <w:color w:val="808080"/>
            </w:rPr>
            <w:t>单击此处输入文字。</w:t>
          </w:r>
        </w:p>
      </w:docPartBody>
    </w:docPart>
    <w:docPart>
      <w:docPartPr>
        <w:name w:val="{232d7e22-b271-479f-aeae-38f6223d45a3}"/>
        <w:style w:val=""/>
        <w:category>
          <w:name w:val="常规"/>
          <w:gallery w:val="placeholder"/>
        </w:category>
        <w:types>
          <w:type w:val="bbPlcHdr"/>
        </w:types>
        <w:behaviors>
          <w:behavior w:val="content"/>
        </w:behaviors>
        <w:description w:val=""/>
        <w:guid w:val="{232d7e22-b271-479f-aeae-38f6223d45a3}"/>
      </w:docPartPr>
      <w:docPartBody>
        <w:p>
          <w:r>
            <w:rPr>
              <w:color w:val="808080"/>
            </w:rPr>
            <w:t>单击此处输入文字。</w:t>
          </w:r>
        </w:p>
      </w:docPartBody>
    </w:docPart>
    <w:docPart>
      <w:docPartPr>
        <w:name w:val="{f809f7bf-8ec4-4917-9294-3adce79d2e55}"/>
        <w:style w:val=""/>
        <w:category>
          <w:name w:val="常规"/>
          <w:gallery w:val="placeholder"/>
        </w:category>
        <w:types>
          <w:type w:val="bbPlcHdr"/>
        </w:types>
        <w:behaviors>
          <w:behavior w:val="content"/>
        </w:behaviors>
        <w:description w:val=""/>
        <w:guid w:val="{f809f7bf-8ec4-4917-9294-3adce79d2e55}"/>
      </w:docPartPr>
      <w:docPartBody>
        <w:p>
          <w:r>
            <w:rPr>
              <w:color w:val="808080"/>
            </w:rPr>
            <w:t>单击此处输入文字。</w:t>
          </w:r>
        </w:p>
      </w:docPartBody>
    </w:docPart>
    <w:docPart>
      <w:docPartPr>
        <w:name w:val="{b26865f4-a909-4632-be48-0c4c6b5fcbac}"/>
        <w:style w:val=""/>
        <w:category>
          <w:name w:val="常规"/>
          <w:gallery w:val="placeholder"/>
        </w:category>
        <w:types>
          <w:type w:val="bbPlcHdr"/>
        </w:types>
        <w:behaviors>
          <w:behavior w:val="content"/>
        </w:behaviors>
        <w:description w:val=""/>
        <w:guid w:val="{b26865f4-a909-4632-be48-0c4c6b5fcbac}"/>
      </w:docPartPr>
      <w:docPartBody>
        <w:p>
          <w:r>
            <w:rPr>
              <w:color w:val="808080"/>
            </w:rPr>
            <w:t>单击此处输入文字。</w:t>
          </w:r>
        </w:p>
      </w:docPartBody>
    </w:docPart>
    <w:docPart>
      <w:docPartPr>
        <w:name w:val="{368644b6-e39b-4a14-a4c8-c737ea389ccb}"/>
        <w:style w:val=""/>
        <w:category>
          <w:name w:val="常规"/>
          <w:gallery w:val="placeholder"/>
        </w:category>
        <w:types>
          <w:type w:val="bbPlcHdr"/>
        </w:types>
        <w:behaviors>
          <w:behavior w:val="content"/>
        </w:behaviors>
        <w:description w:val=""/>
        <w:guid w:val="{368644b6-e39b-4a14-a4c8-c737ea389ccb}"/>
      </w:docPartPr>
      <w:docPartBody>
        <w:p>
          <w:r>
            <w:rPr>
              <w:color w:val="808080"/>
            </w:rPr>
            <w:t>单击此处输入文字。</w:t>
          </w:r>
        </w:p>
      </w:docPartBody>
    </w:docPart>
    <w:docPart>
      <w:docPartPr>
        <w:name w:val="{391b0cd6-35dc-4b9b-b92b-2d80f05610fa}"/>
        <w:style w:val=""/>
        <w:category>
          <w:name w:val="常规"/>
          <w:gallery w:val="placeholder"/>
        </w:category>
        <w:types>
          <w:type w:val="bbPlcHdr"/>
        </w:types>
        <w:behaviors>
          <w:behavior w:val="content"/>
        </w:behaviors>
        <w:description w:val=""/>
        <w:guid w:val="{391b0cd6-35dc-4b9b-b92b-2d80f05610fa}"/>
      </w:docPartPr>
      <w:docPartBody>
        <w:p>
          <w:r>
            <w:rPr>
              <w:color w:val="808080"/>
            </w:rPr>
            <w:t>单击此处输入文字。</w:t>
          </w:r>
        </w:p>
      </w:docPartBody>
    </w:docPart>
    <w:docPart>
      <w:docPartPr>
        <w:name w:val="{8d68a79b-f5e7-419c-a05f-bfde21a55e0d}"/>
        <w:style w:val=""/>
        <w:category>
          <w:name w:val="常规"/>
          <w:gallery w:val="placeholder"/>
        </w:category>
        <w:types>
          <w:type w:val="bbPlcHdr"/>
        </w:types>
        <w:behaviors>
          <w:behavior w:val="content"/>
        </w:behaviors>
        <w:description w:val=""/>
        <w:guid w:val="{8d68a79b-f5e7-419c-a05f-bfde21a55e0d}"/>
      </w:docPartPr>
      <w:docPartBody>
        <w:p>
          <w:r>
            <w:rPr>
              <w:color w:val="808080"/>
            </w:rPr>
            <w:t>单击此处输入文字。</w:t>
          </w:r>
        </w:p>
      </w:docPartBody>
    </w:docPart>
    <w:docPart>
      <w:docPartPr>
        <w:name w:val="{b9bc73ea-ae15-40fd-bc22-f892433f4f60}"/>
        <w:style w:val=""/>
        <w:category>
          <w:name w:val="常规"/>
          <w:gallery w:val="placeholder"/>
        </w:category>
        <w:types>
          <w:type w:val="bbPlcHdr"/>
        </w:types>
        <w:behaviors>
          <w:behavior w:val="content"/>
        </w:behaviors>
        <w:description w:val=""/>
        <w:guid w:val="{b9bc73ea-ae15-40fd-bc22-f892433f4f60}"/>
      </w:docPartPr>
      <w:docPartBody>
        <w:p>
          <w:r>
            <w:rPr>
              <w:color w:val="808080"/>
            </w:rPr>
            <w:t>单击此处输入文字。</w:t>
          </w:r>
        </w:p>
      </w:docPartBody>
    </w:docPart>
    <w:docPart>
      <w:docPartPr>
        <w:name w:val="{dc6f976f-e059-475a-b23e-df4929cca7f7}"/>
        <w:style w:val=""/>
        <w:category>
          <w:name w:val="常规"/>
          <w:gallery w:val="placeholder"/>
        </w:category>
        <w:types>
          <w:type w:val="bbPlcHdr"/>
        </w:types>
        <w:behaviors>
          <w:behavior w:val="content"/>
        </w:behaviors>
        <w:description w:val=""/>
        <w:guid w:val="{dc6f976f-e059-475a-b23e-df4929cca7f7}"/>
      </w:docPartPr>
      <w:docPartBody>
        <w:p>
          <w:r>
            <w:rPr>
              <w:color w:val="808080"/>
            </w:rPr>
            <w:t>单击此处输入文字。</w:t>
          </w:r>
        </w:p>
      </w:docPartBody>
    </w:docPart>
    <w:docPart>
      <w:docPartPr>
        <w:name w:val="{907069c1-2e44-4c74-a785-dad31b1a19e8}"/>
        <w:style w:val=""/>
        <w:category>
          <w:name w:val="常规"/>
          <w:gallery w:val="placeholder"/>
        </w:category>
        <w:types>
          <w:type w:val="bbPlcHdr"/>
        </w:types>
        <w:behaviors>
          <w:behavior w:val="content"/>
        </w:behaviors>
        <w:description w:val=""/>
        <w:guid w:val="{907069c1-2e44-4c74-a785-dad31b1a19e8}"/>
      </w:docPartPr>
      <w:docPartBody>
        <w:p>
          <w:r>
            <w:rPr>
              <w:color w:val="808080"/>
            </w:rPr>
            <w:t>单击此处输入文字。</w:t>
          </w:r>
        </w:p>
      </w:docPartBody>
    </w:docPart>
    <w:docPart>
      <w:docPartPr>
        <w:name w:val="{4a3de757-3e3b-44e2-b5a1-8bd0d602d70d}"/>
        <w:style w:val=""/>
        <w:category>
          <w:name w:val="常规"/>
          <w:gallery w:val="placeholder"/>
        </w:category>
        <w:types>
          <w:type w:val="bbPlcHdr"/>
        </w:types>
        <w:behaviors>
          <w:behavior w:val="content"/>
        </w:behaviors>
        <w:description w:val=""/>
        <w:guid w:val="{4a3de757-3e3b-44e2-b5a1-8bd0d602d70d}"/>
      </w:docPartPr>
      <w:docPartBody>
        <w:p>
          <w:r>
            <w:rPr>
              <w:color w:val="808080"/>
            </w:rPr>
            <w:t>单击此处输入文字。</w:t>
          </w:r>
        </w:p>
      </w:docPartBody>
    </w:docPart>
    <w:docPart>
      <w:docPartPr>
        <w:name w:val="{f1a9199a-eb26-4a41-9265-965e89238c27}"/>
        <w:style w:val=""/>
        <w:category>
          <w:name w:val="常规"/>
          <w:gallery w:val="placeholder"/>
        </w:category>
        <w:types>
          <w:type w:val="bbPlcHdr"/>
        </w:types>
        <w:behaviors>
          <w:behavior w:val="content"/>
        </w:behaviors>
        <w:description w:val=""/>
        <w:guid w:val="{f1a9199a-eb26-4a41-9265-965e89238c27}"/>
      </w:docPartPr>
      <w:docPartBody>
        <w:p>
          <w:r>
            <w:rPr>
              <w:color w:val="808080"/>
            </w:rPr>
            <w:t>单击此处输入文字。</w:t>
          </w:r>
        </w:p>
      </w:docPartBody>
    </w:docPart>
    <w:docPart>
      <w:docPartPr>
        <w:name w:val="{7a2a52f2-8806-48b6-a71e-ffe9f03bc433}"/>
        <w:style w:val=""/>
        <w:category>
          <w:name w:val="常规"/>
          <w:gallery w:val="placeholder"/>
        </w:category>
        <w:types>
          <w:type w:val="bbPlcHdr"/>
        </w:types>
        <w:behaviors>
          <w:behavior w:val="content"/>
        </w:behaviors>
        <w:description w:val=""/>
        <w:guid w:val="{7a2a52f2-8806-48b6-a71e-ffe9f03bc433}"/>
      </w:docPartPr>
      <w:docPartBody>
        <w:p>
          <w:r>
            <w:rPr>
              <w:color w:val="808080"/>
            </w:rPr>
            <w:t>单击此处输入文字。</w:t>
          </w:r>
        </w:p>
      </w:docPartBody>
    </w:docPart>
    <w:docPart>
      <w:docPartPr>
        <w:name w:val="{6e0f3676-abef-4655-a4ca-31f57bb4667a}"/>
        <w:style w:val=""/>
        <w:category>
          <w:name w:val="常规"/>
          <w:gallery w:val="placeholder"/>
        </w:category>
        <w:types>
          <w:type w:val="bbPlcHdr"/>
        </w:types>
        <w:behaviors>
          <w:behavior w:val="content"/>
        </w:behaviors>
        <w:description w:val=""/>
        <w:guid w:val="{6e0f3676-abef-4655-a4ca-31f57bb4667a}"/>
      </w:docPartPr>
      <w:docPartBody>
        <w:p>
          <w:r>
            <w:rPr>
              <w:color w:val="808080"/>
            </w:rPr>
            <w:t>单击此处输入文字。</w:t>
          </w:r>
        </w:p>
      </w:docPartBody>
    </w:docPart>
    <w:docPart>
      <w:docPartPr>
        <w:name w:val="{60195480-566b-47e6-9a27-73bff677a616}"/>
        <w:style w:val=""/>
        <w:category>
          <w:name w:val="常规"/>
          <w:gallery w:val="placeholder"/>
        </w:category>
        <w:types>
          <w:type w:val="bbPlcHdr"/>
        </w:types>
        <w:behaviors>
          <w:behavior w:val="content"/>
        </w:behaviors>
        <w:description w:val=""/>
        <w:guid w:val="{60195480-566b-47e6-9a27-73bff677a616}"/>
      </w:docPartPr>
      <w:docPartBody>
        <w:p>
          <w:r>
            <w:rPr>
              <w:color w:val="808080"/>
            </w:rPr>
            <w:t>单击此处输入文字。</w:t>
          </w:r>
        </w:p>
      </w:docPartBody>
    </w:docPart>
    <w:docPart>
      <w:docPartPr>
        <w:name w:val="{cf135e12-2990-4d38-90b8-09f22ec9ab85}"/>
        <w:style w:val=""/>
        <w:category>
          <w:name w:val="常规"/>
          <w:gallery w:val="placeholder"/>
        </w:category>
        <w:types>
          <w:type w:val="bbPlcHdr"/>
        </w:types>
        <w:behaviors>
          <w:behavior w:val="content"/>
        </w:behaviors>
        <w:description w:val=""/>
        <w:guid w:val="{cf135e12-2990-4d38-90b8-09f22ec9ab85}"/>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1299</Words>
  <Characters>7410</Characters>
  <Lines>61</Lines>
  <Paragraphs>17</Paragraphs>
  <TotalTime>1</TotalTime>
  <ScaleCrop>false</ScaleCrop>
  <LinksUpToDate>false</LinksUpToDate>
  <CharactersWithSpaces>8692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fhj</cp:lastModifiedBy>
  <cp:lastPrinted>2025-08-06T17:34:00Z</cp:lastPrinted>
  <dcterms:modified xsi:type="dcterms:W3CDTF">2025-10-30T09:40:21Z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04787F2533EB45DC91BCDE4AB213247F</vt:lpwstr>
  </property>
</Properties>
</file>