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outlineLvl w:val="0"/>
        <w:rPr>
          <w:rFonts w:hint="eastAsia" w:ascii="Times New Roman" w:eastAsia="方正小标宋简体"/>
          <w:kern w:val="2"/>
          <w:sz w:val="44"/>
          <w:szCs w:val="44"/>
        </w:rPr>
      </w:pPr>
      <w:bookmarkStart w:id="0" w:name="_Toc15396598"/>
      <w:bookmarkStart w:id="1" w:name="_Toc15378442"/>
      <w:bookmarkStart w:id="2" w:name="_Toc15396476"/>
      <w:bookmarkStart w:id="3" w:name="_Toc15377194"/>
      <w:bookmarkStart w:id="4" w:name="_Toc15306267"/>
      <w:bookmarkStart w:id="5" w:name="_Toc15377426"/>
    </w:p>
    <w:p>
      <w:pPr>
        <w:adjustRightInd w:val="0"/>
        <w:snapToGrid w:val="0"/>
        <w:spacing w:line="360" w:lineRule="auto"/>
        <w:jc w:val="center"/>
        <w:outlineLvl w:val="0"/>
        <w:rPr>
          <w:rFonts w:hint="eastAsia" w:ascii="Times New Roman" w:eastAsia="方正小标宋简体"/>
          <w:kern w:val="2"/>
          <w:sz w:val="44"/>
          <w:szCs w:val="44"/>
        </w:rPr>
      </w:pPr>
    </w:p>
    <w:p>
      <w:pPr>
        <w:adjustRightInd w:val="0"/>
        <w:snapToGrid w:val="0"/>
        <w:spacing w:line="360" w:lineRule="auto"/>
        <w:jc w:val="center"/>
        <w:outlineLvl w:val="0"/>
        <w:rPr>
          <w:rFonts w:hint="eastAsia" w:ascii="Times New Roman" w:eastAsia="方正小标宋简体"/>
          <w:kern w:val="2"/>
          <w:sz w:val="44"/>
          <w:szCs w:val="44"/>
        </w:rPr>
      </w:pPr>
    </w:p>
    <w:p>
      <w:pPr>
        <w:adjustRightInd w:val="0"/>
        <w:snapToGrid w:val="0"/>
        <w:spacing w:line="360" w:lineRule="auto"/>
        <w:jc w:val="center"/>
        <w:outlineLvl w:val="0"/>
        <w:rPr>
          <w:rFonts w:hint="eastAsia" w:ascii="Times New Roman" w:eastAsia="方正小标宋简体"/>
          <w:kern w:val="2"/>
          <w:sz w:val="44"/>
          <w:szCs w:val="44"/>
        </w:rPr>
      </w:pPr>
    </w:p>
    <w:p>
      <w:pPr>
        <w:adjustRightInd w:val="0"/>
        <w:snapToGrid w:val="0"/>
        <w:spacing w:line="360" w:lineRule="auto"/>
        <w:jc w:val="center"/>
        <w:outlineLvl w:val="0"/>
        <w:rPr>
          <w:rFonts w:hint="eastAsia" w:ascii="Times New Roman" w:eastAsia="方正小标宋简体"/>
          <w:kern w:val="2"/>
          <w:sz w:val="44"/>
          <w:szCs w:val="44"/>
        </w:rPr>
      </w:pPr>
    </w:p>
    <w:p>
      <w:pPr>
        <w:adjustRightInd w:val="0"/>
        <w:snapToGrid w:val="0"/>
        <w:spacing w:line="360" w:lineRule="auto"/>
        <w:jc w:val="center"/>
        <w:outlineLvl w:val="0"/>
        <w:rPr>
          <w:rFonts w:hint="eastAsia" w:ascii="Times New Roman" w:eastAsia="方正小标宋简体"/>
          <w:kern w:val="2"/>
          <w:sz w:val="44"/>
          <w:szCs w:val="44"/>
        </w:rPr>
      </w:pPr>
    </w:p>
    <w:p>
      <w:pPr>
        <w:adjustRightInd w:val="0"/>
        <w:snapToGrid w:val="0"/>
        <w:spacing w:line="360" w:lineRule="auto"/>
        <w:jc w:val="center"/>
        <w:outlineLvl w:val="0"/>
        <w:rPr>
          <w:rFonts w:hint="eastAsia" w:ascii="Times New Roman" w:eastAsia="方正小标宋简体"/>
          <w:kern w:val="2"/>
          <w:sz w:val="44"/>
          <w:szCs w:val="44"/>
        </w:rPr>
      </w:pPr>
    </w:p>
    <w:p>
      <w:pPr>
        <w:adjustRightInd w:val="0"/>
        <w:snapToGrid w:val="0"/>
        <w:spacing w:line="360" w:lineRule="auto"/>
        <w:jc w:val="center"/>
        <w:outlineLvl w:val="0"/>
        <w:rPr>
          <w:rFonts w:hint="eastAsia" w:ascii="Times New Roman" w:hAnsi="Times New Roman" w:eastAsia="方正小标宋简体" w:cs="Times New Roman"/>
          <w:kern w:val="2"/>
          <w:sz w:val="44"/>
          <w:szCs w:val="44"/>
        </w:rPr>
      </w:pPr>
      <w:r>
        <w:rPr>
          <w:rFonts w:hint="eastAsia" w:ascii="Times New Roman" w:eastAsia="方正小标宋简体"/>
          <w:kern w:val="2"/>
          <w:sz w:val="44"/>
          <w:szCs w:val="44"/>
        </w:rPr>
        <w:t>2024年度四川省</w:t>
      </w:r>
      <w:bookmarkEnd w:id="0"/>
      <w:bookmarkEnd w:id="1"/>
      <w:bookmarkEnd w:id="2"/>
      <w:bookmarkEnd w:id="3"/>
      <w:bookmarkEnd w:id="4"/>
      <w:bookmarkEnd w:id="5"/>
      <w:bookmarkStart w:id="6" w:name="_Toc15306268"/>
      <w:r>
        <w:rPr>
          <w:rFonts w:hint="eastAsia" w:ascii="Times New Roman" w:hAnsi="Times New Roman" w:eastAsia="方正小标宋简体" w:cs="Times New Roman"/>
          <w:kern w:val="2"/>
          <w:sz w:val="44"/>
          <w:szCs w:val="44"/>
        </w:rPr>
        <w:t>中国共产党五通桥区委员会统一战线工作部</w:t>
      </w:r>
    </w:p>
    <w:p>
      <w:pPr>
        <w:adjustRightInd w:val="0"/>
        <w:snapToGrid w:val="0"/>
        <w:spacing w:line="360" w:lineRule="auto"/>
        <w:jc w:val="center"/>
        <w:outlineLvl w:val="0"/>
        <w:rPr>
          <w:rFonts w:hint="eastAsia" w:ascii="Times New Roman" w:hAnsi="Times New Roman" w:eastAsia="方正小标宋简体" w:cs="Times New Roman"/>
          <w:kern w:val="2"/>
          <w:sz w:val="44"/>
          <w:szCs w:val="44"/>
        </w:rPr>
      </w:pPr>
      <w:r>
        <w:rPr>
          <w:rFonts w:hint="eastAsia" w:ascii="Times New Roman" w:hAnsi="Times New Roman" w:eastAsia="方正小标宋简体" w:cs="Times New Roman"/>
          <w:kern w:val="2"/>
          <w:sz w:val="44"/>
          <w:szCs w:val="44"/>
        </w:rPr>
        <w:t>单位决算</w:t>
      </w:r>
      <w:bookmarkEnd w:id="6"/>
    </w:p>
    <w:p>
      <w:pPr>
        <w:pStyle w:val="7"/>
        <w:spacing w:before="93"/>
        <w:jc w:val="center"/>
        <w:rPr>
          <w:rFonts w:ascii="Times New Roman" w:eastAsia="方正小标宋简体"/>
          <w:kern w:val="2"/>
          <w:sz w:val="44"/>
          <w:szCs w:val="44"/>
        </w:rPr>
      </w:pPr>
    </w:p>
    <w:p>
      <w:pPr>
        <w:widowControl/>
        <w:jc w:val="center"/>
        <w:rPr>
          <w:rFonts w:hint="eastAsia" w:eastAsia="黑体"/>
          <w:sz w:val="48"/>
          <w:szCs w:val="48"/>
        </w:rPr>
      </w:pPr>
    </w:p>
    <w:p>
      <w:pPr>
        <w:widowControl/>
        <w:jc w:val="center"/>
        <w:rPr>
          <w:rFonts w:hint="eastAsia" w:eastAsia="黑体"/>
          <w:sz w:val="48"/>
          <w:szCs w:val="48"/>
        </w:rPr>
      </w:pPr>
    </w:p>
    <w:p>
      <w:pPr>
        <w:widowControl/>
        <w:jc w:val="center"/>
        <w:rPr>
          <w:rFonts w:hint="eastAsia" w:eastAsia="黑体"/>
          <w:sz w:val="48"/>
          <w:szCs w:val="48"/>
        </w:rPr>
      </w:pPr>
    </w:p>
    <w:p>
      <w:pPr>
        <w:widowControl/>
        <w:jc w:val="center"/>
        <w:rPr>
          <w:rFonts w:hint="eastAsia" w:eastAsia="黑体"/>
          <w:sz w:val="48"/>
          <w:szCs w:val="48"/>
        </w:rPr>
      </w:pPr>
    </w:p>
    <w:p>
      <w:pPr>
        <w:widowControl/>
        <w:jc w:val="center"/>
        <w:rPr>
          <w:rFonts w:hint="eastAsia" w:eastAsia="黑体"/>
          <w:sz w:val="48"/>
          <w:szCs w:val="48"/>
        </w:rPr>
      </w:pPr>
    </w:p>
    <w:p>
      <w:pPr>
        <w:widowControl/>
        <w:jc w:val="center"/>
        <w:rPr>
          <w:rFonts w:hint="eastAsia" w:eastAsia="黑体"/>
          <w:sz w:val="48"/>
          <w:szCs w:val="48"/>
        </w:rPr>
      </w:pPr>
    </w:p>
    <w:p>
      <w:pPr>
        <w:widowControl/>
        <w:jc w:val="both"/>
        <w:rPr>
          <w:rFonts w:hint="eastAsia" w:eastAsia="黑体"/>
          <w:sz w:val="48"/>
          <w:szCs w:val="48"/>
        </w:rPr>
      </w:pPr>
    </w:p>
    <w:p>
      <w:pPr>
        <w:pStyle w:val="2"/>
        <w:rPr>
          <w:rFonts w:hint="eastAsia"/>
        </w:rPr>
      </w:pPr>
    </w:p>
    <w:p>
      <w:pPr>
        <w:pStyle w:val="3"/>
        <w:rPr>
          <w:rFonts w:hint="eastAsia"/>
        </w:rPr>
      </w:pPr>
      <w:bookmarkStart w:id="129" w:name="_GoBack"/>
      <w:bookmarkEnd w:id="129"/>
    </w:p>
    <w:sdt>
      <w:sdtPr>
        <w:rPr>
          <w:rFonts w:ascii="宋体" w:hAnsi="宋体" w:eastAsia="宋体" w:cs="Times New Roman"/>
          <w:kern w:val="2"/>
          <w:sz w:val="21"/>
          <w:szCs w:val="24"/>
          <w:lang w:val="en-US" w:eastAsia="zh-CN" w:bidi="ar-SA"/>
        </w:rPr>
        <w:id w:val="147470280"/>
        <w:docPartObj>
          <w:docPartGallery w:val="Table of Contents"/>
          <w:docPartUnique/>
        </w:docPartObj>
      </w:sdtPr>
      <w:sdtEndPr>
        <w:rPr>
          <w:rFonts w:asciiTheme="minorHAnsi" w:hAnsiTheme="minorHAnsi" w:eastAsiaTheme="minorEastAsia" w:cstheme="minorBidi"/>
          <w:kern w:val="2"/>
          <w:sz w:val="20"/>
          <w:szCs w:val="20"/>
          <w:lang w:val="en-US" w:eastAsia="zh-CN" w:bidi="ar-SA"/>
        </w:rPr>
      </w:sdtEndPr>
      <w:sdtContent>
        <w:p>
          <w:pPr>
            <w:spacing w:before="0" w:beforeLines="0" w:after="0" w:afterLines="0" w:line="240" w:lineRule="auto"/>
            <w:ind w:left="0" w:leftChars="0" w:right="0" w:rightChars="0" w:firstLine="0" w:firstLineChars="0"/>
            <w:jc w:val="center"/>
          </w:pPr>
          <w:bookmarkStart w:id="7" w:name="_Toc1990_WPSOffice_Type2"/>
          <w:r>
            <w:rPr>
              <w:rFonts w:ascii="宋体" w:hAnsi="宋体" w:eastAsia="宋体"/>
              <w:sz w:val="21"/>
            </w:rPr>
            <w:t>目录</w:t>
          </w:r>
        </w:p>
        <w:p>
          <w:pPr>
            <w:pStyle w:val="36"/>
            <w:tabs>
              <w:tab w:val="right" w:leader="dot" w:pos="8306"/>
            </w:tabs>
          </w:pPr>
          <w:r>
            <w:rPr>
              <w:b/>
              <w:bCs/>
            </w:rPr>
            <w:fldChar w:fldCharType="begin"/>
          </w:r>
          <w:r>
            <w:instrText xml:space="preserve"> HYPERLINK \l _Toc13785_WPSOffice_Level1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0280"/>
              <w:placeholder>
                <w:docPart w:val="{6ac02b4e-d40d-4a0d-a023-0396fea85867}"/>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方正小标宋简体" w:cs="方正小标宋简体"/>
                  <w:b/>
                  <w:bCs/>
                </w:rPr>
                <w:t>第一部分  部门概况</w:t>
              </w:r>
            </w:sdtContent>
          </w:sdt>
          <w:r>
            <w:rPr>
              <w:b/>
              <w:bCs/>
            </w:rPr>
            <w:tab/>
          </w:r>
          <w:bookmarkStart w:id="8" w:name="_Toc13785_WPSOffice_Level1Page"/>
          <w:r>
            <w:rPr>
              <w:b/>
              <w:bCs/>
            </w:rPr>
            <w:t>1</w:t>
          </w:r>
          <w:bookmarkEnd w:id="8"/>
          <w:r>
            <w:rPr>
              <w:b/>
              <w:bCs/>
            </w:rPr>
            <w:fldChar w:fldCharType="end"/>
          </w:r>
        </w:p>
        <w:p>
          <w:pPr>
            <w:pStyle w:val="37"/>
            <w:tabs>
              <w:tab w:val="right" w:leader="dot" w:pos="8306"/>
            </w:tabs>
          </w:pPr>
          <w:r>
            <w:fldChar w:fldCharType="begin"/>
          </w:r>
          <w:r>
            <w:instrText xml:space="preserve"> HYPERLINK \l _Toc1990_WPSOffice_Level2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ed005909-5034-4d44-95aa-bcb198dd092b}"/>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heme="majorBidi"/>
                </w:rPr>
                <w:t>一、部门职责</w:t>
              </w:r>
            </w:sdtContent>
          </w:sdt>
          <w:r>
            <w:tab/>
          </w:r>
          <w:bookmarkStart w:id="9" w:name="_Toc1990_WPSOffice_Level2Page"/>
          <w:r>
            <w:t>1</w:t>
          </w:r>
          <w:bookmarkEnd w:id="9"/>
          <w:r>
            <w:fldChar w:fldCharType="end"/>
          </w:r>
        </w:p>
        <w:p>
          <w:pPr>
            <w:pStyle w:val="37"/>
            <w:tabs>
              <w:tab w:val="right" w:leader="dot" w:pos="8306"/>
            </w:tabs>
          </w:pPr>
          <w:r>
            <w:fldChar w:fldCharType="begin"/>
          </w:r>
          <w:r>
            <w:instrText xml:space="preserve"> HYPERLINK \l _Toc2885_WPSOffice_Level2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9215e0f8-beb2-4532-bdd2-e87e817ffa20}"/>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heme="majorBidi"/>
                </w:rPr>
                <w:t>二、机构设置</w:t>
              </w:r>
            </w:sdtContent>
          </w:sdt>
          <w:r>
            <w:tab/>
          </w:r>
          <w:bookmarkStart w:id="10" w:name="_Toc2885_WPSOffice_Level2Page"/>
          <w:r>
            <w:t>3</w:t>
          </w:r>
          <w:bookmarkEnd w:id="10"/>
          <w:r>
            <w:fldChar w:fldCharType="end"/>
          </w:r>
        </w:p>
        <w:p>
          <w:pPr>
            <w:pStyle w:val="36"/>
            <w:tabs>
              <w:tab w:val="right" w:leader="dot" w:pos="8306"/>
            </w:tabs>
          </w:pPr>
          <w:r>
            <w:rPr>
              <w:b/>
              <w:bCs/>
            </w:rPr>
            <w:fldChar w:fldCharType="begin"/>
          </w:r>
          <w:r>
            <w:instrText xml:space="preserve"> HYPERLINK \l _Toc1990_WPSOffice_Level1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0280"/>
              <w:placeholder>
                <w:docPart w:val="{ddaa9e3a-2dd1-4919-a21f-5d82343c84a0}"/>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方正小标宋简体" w:cs="方正小标宋简体"/>
                  <w:b/>
                  <w:bCs/>
                </w:rPr>
                <w:t>第二部分  2024年度部门决算情况说明</w:t>
              </w:r>
            </w:sdtContent>
          </w:sdt>
          <w:r>
            <w:rPr>
              <w:b/>
              <w:bCs/>
            </w:rPr>
            <w:tab/>
          </w:r>
          <w:bookmarkStart w:id="11" w:name="_Toc1990_WPSOffice_Level1Page"/>
          <w:r>
            <w:rPr>
              <w:b/>
              <w:bCs/>
            </w:rPr>
            <w:t>4</w:t>
          </w:r>
          <w:bookmarkEnd w:id="11"/>
          <w:r>
            <w:rPr>
              <w:b/>
              <w:bCs/>
            </w:rPr>
            <w:fldChar w:fldCharType="end"/>
          </w:r>
        </w:p>
        <w:p>
          <w:pPr>
            <w:pStyle w:val="37"/>
            <w:tabs>
              <w:tab w:val="right" w:leader="dot" w:pos="8306"/>
            </w:tabs>
          </w:pPr>
          <w:r>
            <w:fldChar w:fldCharType="begin"/>
          </w:r>
          <w:r>
            <w:instrText xml:space="preserve"> HYPERLINK \l _Toc27953_WPSOffice_Level2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fde09b0b-9a55-4cf5-86e5-83575eb1b94c}"/>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一、收</w:t>
              </w:r>
              <w:r>
                <w:rPr>
                  <w:rFonts w:hint="eastAsia" w:ascii="Times New Roman" w:hAnsi="Times New Roman" w:eastAsia="黑体" w:cstheme="majorBidi"/>
                </w:rPr>
                <w:t>入支出决算总体情况说明</w:t>
              </w:r>
            </w:sdtContent>
          </w:sdt>
          <w:r>
            <w:tab/>
          </w:r>
          <w:bookmarkStart w:id="12" w:name="_Toc27953_WPSOffice_Level2Page"/>
          <w:r>
            <w:t>4</w:t>
          </w:r>
          <w:bookmarkEnd w:id="12"/>
          <w:r>
            <w:fldChar w:fldCharType="end"/>
          </w:r>
        </w:p>
        <w:p>
          <w:pPr>
            <w:pStyle w:val="37"/>
            <w:tabs>
              <w:tab w:val="right" w:leader="dot" w:pos="8306"/>
            </w:tabs>
          </w:pPr>
          <w:r>
            <w:fldChar w:fldCharType="begin"/>
          </w:r>
          <w:r>
            <w:instrText xml:space="preserve"> HYPERLINK \l _Toc3426_WPSOffice_Level2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aa0983c7-5f37-4122-8069-4601df557ca4}"/>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二、收入决算情况说明</w:t>
              </w:r>
            </w:sdtContent>
          </w:sdt>
          <w:r>
            <w:tab/>
          </w:r>
          <w:bookmarkStart w:id="13" w:name="_Toc3426_WPSOffice_Level2Page"/>
          <w:r>
            <w:t>4</w:t>
          </w:r>
          <w:bookmarkEnd w:id="13"/>
          <w:r>
            <w:fldChar w:fldCharType="end"/>
          </w:r>
        </w:p>
        <w:p>
          <w:pPr>
            <w:pStyle w:val="37"/>
            <w:tabs>
              <w:tab w:val="right" w:leader="dot" w:pos="8306"/>
            </w:tabs>
          </w:pPr>
          <w:r>
            <w:fldChar w:fldCharType="begin"/>
          </w:r>
          <w:r>
            <w:instrText xml:space="preserve"> HYPERLINK \l _Toc31072_WPSOffice_Level2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3fce0506-2271-453e-b9c1-163a030b5f56}"/>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三、支</w:t>
              </w:r>
              <w:r>
                <w:rPr>
                  <w:rFonts w:hint="eastAsia" w:ascii="Times New Roman" w:hAnsi="Times New Roman" w:eastAsia="黑体" w:cstheme="majorBidi"/>
                </w:rPr>
                <w:t>出决算情况说明</w:t>
              </w:r>
            </w:sdtContent>
          </w:sdt>
          <w:r>
            <w:tab/>
          </w:r>
          <w:bookmarkStart w:id="14" w:name="_Toc31072_WPSOffice_Level2Page"/>
          <w:r>
            <w:t>5</w:t>
          </w:r>
          <w:bookmarkEnd w:id="14"/>
          <w:r>
            <w:fldChar w:fldCharType="end"/>
          </w:r>
        </w:p>
        <w:p>
          <w:pPr>
            <w:pStyle w:val="37"/>
            <w:tabs>
              <w:tab w:val="right" w:leader="dot" w:pos="8306"/>
            </w:tabs>
          </w:pPr>
          <w:r>
            <w:fldChar w:fldCharType="begin"/>
          </w:r>
          <w:r>
            <w:instrText xml:space="preserve"> HYPERLINK \l _Toc13411_WPSOffice_Level2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1ef1bee6-9773-44bc-b3a0-2308e8be1660}"/>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四、财</w:t>
              </w:r>
              <w:r>
                <w:rPr>
                  <w:rFonts w:hint="eastAsia" w:ascii="Times New Roman" w:hAnsi="Times New Roman" w:eastAsia="黑体" w:cstheme="majorBidi"/>
                </w:rPr>
                <w:t>政拨款收入支出决算总体情况说明</w:t>
              </w:r>
            </w:sdtContent>
          </w:sdt>
          <w:r>
            <w:tab/>
          </w:r>
          <w:bookmarkStart w:id="15" w:name="_Toc13411_WPSOffice_Level2Page"/>
          <w:r>
            <w:t>5</w:t>
          </w:r>
          <w:bookmarkEnd w:id="15"/>
          <w:r>
            <w:fldChar w:fldCharType="end"/>
          </w:r>
        </w:p>
        <w:p>
          <w:pPr>
            <w:pStyle w:val="37"/>
            <w:tabs>
              <w:tab w:val="right" w:leader="dot" w:pos="8306"/>
            </w:tabs>
          </w:pPr>
          <w:r>
            <w:fldChar w:fldCharType="begin"/>
          </w:r>
          <w:r>
            <w:instrText xml:space="preserve"> HYPERLINK \l _Toc6232_WPSOffice_Level2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bdf4a07c-26c1-4342-81ca-00c60c0a8826}"/>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五、一</w:t>
              </w:r>
              <w:r>
                <w:rPr>
                  <w:rFonts w:hint="eastAsia" w:ascii="Times New Roman" w:hAnsi="Times New Roman" w:eastAsia="黑体" w:cstheme="majorBidi"/>
                </w:rPr>
                <w:t>般公共预算财政拨款支出决算情况说明</w:t>
              </w:r>
            </w:sdtContent>
          </w:sdt>
          <w:r>
            <w:tab/>
          </w:r>
          <w:bookmarkStart w:id="16" w:name="_Toc6232_WPSOffice_Level2Page"/>
          <w:r>
            <w:t>6</w:t>
          </w:r>
          <w:bookmarkEnd w:id="16"/>
          <w:r>
            <w:fldChar w:fldCharType="end"/>
          </w:r>
        </w:p>
        <w:p>
          <w:pPr>
            <w:pStyle w:val="37"/>
            <w:tabs>
              <w:tab w:val="right" w:leader="dot" w:pos="8306"/>
            </w:tabs>
          </w:pPr>
          <w:r>
            <w:fldChar w:fldCharType="begin"/>
          </w:r>
          <w:r>
            <w:instrText xml:space="preserve"> HYPERLINK \l _Toc14258_WPSOffice_Level2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fb369202-3879-4894-8113-2c6e43c0404a}"/>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六、一</w:t>
              </w:r>
              <w:r>
                <w:rPr>
                  <w:rFonts w:hint="eastAsia" w:ascii="Times New Roman" w:hAnsi="Times New Roman" w:eastAsia="黑体" w:cstheme="majorBidi"/>
                </w:rPr>
                <w:t>般公共预算财政拨款基本支出决算情况说明</w:t>
              </w:r>
            </w:sdtContent>
          </w:sdt>
          <w:r>
            <w:tab/>
          </w:r>
          <w:bookmarkStart w:id="17" w:name="_Toc14258_WPSOffice_Level2Page"/>
          <w:r>
            <w:t>9</w:t>
          </w:r>
          <w:bookmarkEnd w:id="17"/>
          <w:r>
            <w:fldChar w:fldCharType="end"/>
          </w:r>
        </w:p>
        <w:p>
          <w:pPr>
            <w:pStyle w:val="37"/>
            <w:tabs>
              <w:tab w:val="right" w:leader="dot" w:pos="8306"/>
            </w:tabs>
          </w:pPr>
          <w:r>
            <w:fldChar w:fldCharType="begin"/>
          </w:r>
          <w:r>
            <w:instrText xml:space="preserve"> HYPERLINK \l _Toc6501_WPSOffice_Level2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07cdde24-0f09-434f-a0f0-c56cd587de3d}"/>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七、</w:t>
              </w:r>
              <w:r>
                <w:rPr>
                  <w:rFonts w:hint="eastAsia" w:ascii="Times New Roman" w:hAnsi="Times New Roman" w:eastAsia="黑体" w:cstheme="majorBidi"/>
                </w:rPr>
                <w:t>财政拨款“三公”经费支出决算情况说明</w:t>
              </w:r>
            </w:sdtContent>
          </w:sdt>
          <w:r>
            <w:tab/>
          </w:r>
          <w:bookmarkStart w:id="18" w:name="_Toc6501_WPSOffice_Level2Page"/>
          <w:r>
            <w:t>10</w:t>
          </w:r>
          <w:bookmarkEnd w:id="18"/>
          <w:r>
            <w:fldChar w:fldCharType="end"/>
          </w:r>
        </w:p>
        <w:p>
          <w:pPr>
            <w:pStyle w:val="37"/>
            <w:tabs>
              <w:tab w:val="right" w:leader="dot" w:pos="8306"/>
            </w:tabs>
          </w:pPr>
          <w:r>
            <w:fldChar w:fldCharType="begin"/>
          </w:r>
          <w:r>
            <w:instrText xml:space="preserve"> HYPERLINK \l _Toc4276_WPSOffice_Level2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1ec580df-2177-48fb-a7a8-920e6acdab7b}"/>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rPr>
                <w:t>八、</w:t>
              </w:r>
              <w:r>
                <w:rPr>
                  <w:rFonts w:hint="eastAsia" w:ascii="Times New Roman" w:hAnsi="Times New Roman" w:eastAsia="黑体" w:cstheme="majorBidi"/>
                </w:rPr>
                <w:t>政府性基金预算支出决算情况说明</w:t>
              </w:r>
            </w:sdtContent>
          </w:sdt>
          <w:r>
            <w:tab/>
          </w:r>
          <w:bookmarkStart w:id="19" w:name="_Toc4276_WPSOffice_Level2Page"/>
          <w:r>
            <w:t>12</w:t>
          </w:r>
          <w:bookmarkEnd w:id="19"/>
          <w:r>
            <w:fldChar w:fldCharType="end"/>
          </w:r>
        </w:p>
        <w:p>
          <w:pPr>
            <w:pStyle w:val="37"/>
            <w:tabs>
              <w:tab w:val="right" w:leader="dot" w:pos="8306"/>
            </w:tabs>
          </w:pPr>
          <w:r>
            <w:fldChar w:fldCharType="begin"/>
          </w:r>
          <w:r>
            <w:instrText xml:space="preserve"> HYPERLINK \l _Toc644_WPSOffice_Level2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a0f064f7-5633-4c02-b0b5-ede7d9d7d799}"/>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heme="majorBidi"/>
                </w:rPr>
                <w:t>九、国有资本经营预算支出决算情况说明</w:t>
              </w:r>
            </w:sdtContent>
          </w:sdt>
          <w:r>
            <w:tab/>
          </w:r>
          <w:bookmarkStart w:id="20" w:name="_Toc644_WPSOffice_Level2Page"/>
          <w:r>
            <w:t>12</w:t>
          </w:r>
          <w:bookmarkEnd w:id="20"/>
          <w:r>
            <w:fldChar w:fldCharType="end"/>
          </w:r>
        </w:p>
        <w:p>
          <w:pPr>
            <w:pStyle w:val="37"/>
            <w:tabs>
              <w:tab w:val="right" w:leader="dot" w:pos="8306"/>
            </w:tabs>
          </w:pPr>
          <w:r>
            <w:fldChar w:fldCharType="begin"/>
          </w:r>
          <w:r>
            <w:instrText xml:space="preserve"> HYPERLINK \l _Toc24334_WPSOffice_Level2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388ef1d1-cedc-41a0-9945-a18a78da746f}"/>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heme="majorBidi"/>
                </w:rPr>
                <w:t>十、其他重要事项的情况说明</w:t>
              </w:r>
            </w:sdtContent>
          </w:sdt>
          <w:r>
            <w:tab/>
          </w:r>
          <w:bookmarkStart w:id="21" w:name="_Toc24334_WPSOffice_Level2Page"/>
          <w:r>
            <w:t>13</w:t>
          </w:r>
          <w:bookmarkEnd w:id="21"/>
          <w:r>
            <w:fldChar w:fldCharType="end"/>
          </w:r>
        </w:p>
        <w:p>
          <w:pPr>
            <w:pStyle w:val="36"/>
            <w:tabs>
              <w:tab w:val="right" w:leader="dot" w:pos="8306"/>
            </w:tabs>
          </w:pPr>
          <w:r>
            <w:rPr>
              <w:b/>
              <w:bCs/>
            </w:rPr>
            <w:fldChar w:fldCharType="begin"/>
          </w:r>
          <w:r>
            <w:instrText xml:space="preserve"> HYPERLINK \l _Toc2885_WPSOffice_Level1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0280"/>
              <w:placeholder>
                <w:docPart w:val="{82a912a4-540b-4586-a695-fde29771adbe}"/>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b/>
                  <w:bCs/>
                </w:rPr>
                <w:t>第三部分  名词解释</w:t>
              </w:r>
            </w:sdtContent>
          </w:sdt>
          <w:r>
            <w:rPr>
              <w:b/>
              <w:bCs/>
            </w:rPr>
            <w:tab/>
          </w:r>
          <w:bookmarkStart w:id="22" w:name="_Toc2885_WPSOffice_Level1Page"/>
          <w:r>
            <w:rPr>
              <w:b/>
              <w:bCs/>
            </w:rPr>
            <w:t>15</w:t>
          </w:r>
          <w:bookmarkEnd w:id="22"/>
          <w:r>
            <w:rPr>
              <w:b/>
              <w:bCs/>
            </w:rPr>
            <w:fldChar w:fldCharType="end"/>
          </w:r>
        </w:p>
        <w:p>
          <w:pPr>
            <w:pStyle w:val="36"/>
            <w:tabs>
              <w:tab w:val="right" w:leader="dot" w:pos="8306"/>
            </w:tabs>
          </w:pPr>
          <w:r>
            <w:rPr>
              <w:b/>
              <w:bCs/>
            </w:rPr>
            <w:fldChar w:fldCharType="begin"/>
          </w:r>
          <w:r>
            <w:instrText xml:space="preserve"> HYPERLINK \l _Toc27953_WPSOffice_Level1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0280"/>
              <w:placeholder>
                <w:docPart w:val="{42e6b62d-4ddb-4a68-b3cd-6933a75d1da8}"/>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b/>
                  <w:bCs/>
                </w:rPr>
                <w:t>第四部分  附件</w:t>
              </w:r>
            </w:sdtContent>
          </w:sdt>
          <w:r>
            <w:rPr>
              <w:b/>
              <w:bCs/>
            </w:rPr>
            <w:tab/>
          </w:r>
          <w:bookmarkStart w:id="23" w:name="_Toc27953_WPSOffice_Level1Page"/>
          <w:r>
            <w:rPr>
              <w:b/>
              <w:bCs/>
            </w:rPr>
            <w:t>19</w:t>
          </w:r>
          <w:bookmarkEnd w:id="23"/>
          <w:r>
            <w:rPr>
              <w:b/>
              <w:bCs/>
            </w:rPr>
            <w:fldChar w:fldCharType="end"/>
          </w:r>
        </w:p>
        <w:p>
          <w:pPr>
            <w:pStyle w:val="36"/>
            <w:tabs>
              <w:tab w:val="right" w:leader="dot" w:pos="8306"/>
            </w:tabs>
          </w:pPr>
          <w:r>
            <w:rPr>
              <w:b/>
              <w:bCs/>
            </w:rPr>
            <w:fldChar w:fldCharType="begin"/>
          </w:r>
          <w:r>
            <w:instrText xml:space="preserve"> HYPERLINK \l _Toc3426_WPSOffice_Level1 </w:instrText>
          </w:r>
          <w:r>
            <w:rPr>
              <w:b/>
              <w:bCs/>
            </w:rPr>
            <w:fldChar w:fldCharType="separate"/>
          </w:r>
          <w:sdt>
            <w:sdtPr>
              <w:rPr>
                <w:rFonts w:ascii="Times New Roman" w:hAnsi="Times New Roman" w:eastAsia="宋体" w:cs="Times New Roman"/>
                <w:b/>
                <w:bCs/>
                <w:kern w:val="44"/>
                <w:sz w:val="44"/>
                <w:szCs w:val="44"/>
                <w:lang w:val="en-US" w:eastAsia="zh-CN" w:bidi="ar-SA"/>
              </w:rPr>
              <w:id w:val="147470280"/>
              <w:placeholder>
                <w:docPart w:val="{e4b3a09c-0e2f-44f4-8395-9112ebbc33fc}"/>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黑体" w:cs="Times New Roman"/>
                  <w:b/>
                  <w:bCs/>
                </w:rPr>
                <w:t>第五部分 附表</w:t>
              </w:r>
            </w:sdtContent>
          </w:sdt>
          <w:r>
            <w:rPr>
              <w:b/>
              <w:bCs/>
            </w:rPr>
            <w:tab/>
          </w:r>
          <w:bookmarkStart w:id="24" w:name="_Toc3426_WPSOffice_Level1Page"/>
          <w:r>
            <w:rPr>
              <w:b/>
              <w:bCs/>
            </w:rPr>
            <w:t>25</w:t>
          </w:r>
          <w:bookmarkEnd w:id="24"/>
          <w:r>
            <w:rPr>
              <w:b/>
              <w:bCs/>
            </w:rPr>
            <w:fldChar w:fldCharType="end"/>
          </w:r>
        </w:p>
        <w:p>
          <w:pPr>
            <w:pStyle w:val="37"/>
            <w:tabs>
              <w:tab w:val="right" w:leader="dot" w:pos="8306"/>
            </w:tabs>
          </w:pPr>
          <w:r>
            <w:fldChar w:fldCharType="begin"/>
          </w:r>
          <w:r>
            <w:instrText xml:space="preserve"> HYPERLINK \l _Toc18417_WPSOffice_Level2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2daa0614-77bd-4de3-b06a-ce6ba2707ab9}"/>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一、收入支出决算总表</w:t>
              </w:r>
            </w:sdtContent>
          </w:sdt>
          <w:r>
            <w:tab/>
          </w:r>
          <w:bookmarkStart w:id="25" w:name="_Toc18417_WPSOffice_Level2Page"/>
          <w:r>
            <w:t>25</w:t>
          </w:r>
          <w:bookmarkEnd w:id="25"/>
          <w:r>
            <w:fldChar w:fldCharType="end"/>
          </w:r>
        </w:p>
        <w:p>
          <w:pPr>
            <w:pStyle w:val="37"/>
            <w:tabs>
              <w:tab w:val="right" w:leader="dot" w:pos="8306"/>
            </w:tabs>
          </w:pPr>
          <w:r>
            <w:fldChar w:fldCharType="begin"/>
          </w:r>
          <w:r>
            <w:instrText xml:space="preserve"> HYPERLINK \l _Toc5237_WPSOffice_Level2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c2cbf900-48e5-4a60-96c8-0ec1f70940e3}"/>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二、收入决算表</w:t>
              </w:r>
            </w:sdtContent>
          </w:sdt>
          <w:r>
            <w:tab/>
          </w:r>
          <w:bookmarkStart w:id="26" w:name="_Toc5237_WPSOffice_Level2Page"/>
          <w:r>
            <w:t>25</w:t>
          </w:r>
          <w:bookmarkEnd w:id="26"/>
          <w:r>
            <w:fldChar w:fldCharType="end"/>
          </w:r>
        </w:p>
        <w:p>
          <w:pPr>
            <w:pStyle w:val="37"/>
            <w:tabs>
              <w:tab w:val="right" w:leader="dot" w:pos="8306"/>
            </w:tabs>
          </w:pPr>
          <w:r>
            <w:fldChar w:fldCharType="begin"/>
          </w:r>
          <w:r>
            <w:instrText xml:space="preserve"> HYPERLINK \l _Toc20817_WPSOffice_Level2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c3194654-22c2-4d6d-af33-4448856a79f9}"/>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三、支出决算表</w:t>
              </w:r>
            </w:sdtContent>
          </w:sdt>
          <w:r>
            <w:tab/>
          </w:r>
          <w:bookmarkStart w:id="27" w:name="_Toc20817_WPSOffice_Level2Page"/>
          <w:r>
            <w:t>25</w:t>
          </w:r>
          <w:bookmarkEnd w:id="27"/>
          <w:r>
            <w:fldChar w:fldCharType="end"/>
          </w:r>
        </w:p>
        <w:p>
          <w:pPr>
            <w:pStyle w:val="37"/>
            <w:tabs>
              <w:tab w:val="right" w:leader="dot" w:pos="8306"/>
            </w:tabs>
          </w:pPr>
          <w:r>
            <w:fldChar w:fldCharType="begin"/>
          </w:r>
          <w:r>
            <w:instrText xml:space="preserve"> HYPERLINK \l _Toc19380_WPSOffice_Level2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69647594-c86f-400d-a5bf-4d896735ab54}"/>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四、财政拨款收入支出决算总表</w:t>
              </w:r>
            </w:sdtContent>
          </w:sdt>
          <w:r>
            <w:tab/>
          </w:r>
          <w:bookmarkStart w:id="28" w:name="_Toc19380_WPSOffice_Level2Page"/>
          <w:r>
            <w:t>25</w:t>
          </w:r>
          <w:bookmarkEnd w:id="28"/>
          <w:r>
            <w:fldChar w:fldCharType="end"/>
          </w:r>
        </w:p>
        <w:p>
          <w:pPr>
            <w:pStyle w:val="37"/>
            <w:tabs>
              <w:tab w:val="right" w:leader="dot" w:pos="8306"/>
            </w:tabs>
          </w:pPr>
          <w:r>
            <w:fldChar w:fldCharType="begin"/>
          </w:r>
          <w:r>
            <w:instrText xml:space="preserve"> HYPERLINK \l _Toc16663_WPSOffice_Level2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8e1c5f61-8bc2-4867-b929-082d7948dbf3}"/>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五、财政拨款支出决算明细表</w:t>
              </w:r>
            </w:sdtContent>
          </w:sdt>
          <w:r>
            <w:tab/>
          </w:r>
          <w:bookmarkStart w:id="29" w:name="_Toc16663_WPSOffice_Level2Page"/>
          <w:r>
            <w:t>25</w:t>
          </w:r>
          <w:bookmarkEnd w:id="29"/>
          <w:r>
            <w:fldChar w:fldCharType="end"/>
          </w:r>
        </w:p>
        <w:p>
          <w:pPr>
            <w:pStyle w:val="37"/>
            <w:tabs>
              <w:tab w:val="right" w:leader="dot" w:pos="8306"/>
            </w:tabs>
          </w:pPr>
          <w:r>
            <w:fldChar w:fldCharType="begin"/>
          </w:r>
          <w:r>
            <w:instrText xml:space="preserve"> HYPERLINK \l _Toc3325_WPSOffice_Level2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396b4e5b-8bb8-42ed-ad47-6bd29a2442ee}"/>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六、一般公共预算财政拨款支出决算表</w:t>
              </w:r>
            </w:sdtContent>
          </w:sdt>
          <w:r>
            <w:tab/>
          </w:r>
          <w:bookmarkStart w:id="30" w:name="_Toc3325_WPSOffice_Level2Page"/>
          <w:r>
            <w:t>25</w:t>
          </w:r>
          <w:bookmarkEnd w:id="30"/>
          <w:r>
            <w:fldChar w:fldCharType="end"/>
          </w:r>
        </w:p>
        <w:p>
          <w:pPr>
            <w:pStyle w:val="37"/>
            <w:tabs>
              <w:tab w:val="right" w:leader="dot" w:pos="8306"/>
            </w:tabs>
          </w:pPr>
          <w:r>
            <w:fldChar w:fldCharType="begin"/>
          </w:r>
          <w:r>
            <w:instrText xml:space="preserve"> HYPERLINK \l _Toc22540_WPSOffice_Level2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1d4fd289-b7b0-4ce5-b714-47442582452b}"/>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七、一般公共预算财政拨款支出决算明细表</w:t>
              </w:r>
            </w:sdtContent>
          </w:sdt>
          <w:r>
            <w:tab/>
          </w:r>
          <w:bookmarkStart w:id="31" w:name="_Toc22540_WPSOffice_Level2Page"/>
          <w:r>
            <w:t>25</w:t>
          </w:r>
          <w:bookmarkEnd w:id="31"/>
          <w:r>
            <w:fldChar w:fldCharType="end"/>
          </w:r>
        </w:p>
        <w:p>
          <w:pPr>
            <w:pStyle w:val="37"/>
            <w:tabs>
              <w:tab w:val="right" w:leader="dot" w:pos="8306"/>
            </w:tabs>
          </w:pPr>
          <w:r>
            <w:fldChar w:fldCharType="begin"/>
          </w:r>
          <w:r>
            <w:instrText xml:space="preserve"> HYPERLINK \l _Toc4559_WPSOffice_Level2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d5634e61-5493-43cd-abea-f72e9bd9f5d7}"/>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八、一般公共预算财政拨款基本支出决算表</w:t>
              </w:r>
            </w:sdtContent>
          </w:sdt>
          <w:r>
            <w:tab/>
          </w:r>
          <w:bookmarkStart w:id="32" w:name="_Toc4559_WPSOffice_Level2Page"/>
          <w:r>
            <w:t>25</w:t>
          </w:r>
          <w:bookmarkEnd w:id="32"/>
          <w:r>
            <w:fldChar w:fldCharType="end"/>
          </w:r>
        </w:p>
        <w:p>
          <w:pPr>
            <w:pStyle w:val="37"/>
            <w:tabs>
              <w:tab w:val="right" w:leader="dot" w:pos="8306"/>
            </w:tabs>
          </w:pPr>
          <w:r>
            <w:fldChar w:fldCharType="begin"/>
          </w:r>
          <w:r>
            <w:instrText xml:space="preserve"> HYPERLINK \l _Toc24102_WPSOffice_Level2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bb8d3cb5-3430-456b-9209-d4bde511ac4e}"/>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九、一般公共预算财政拨款项目支出决算表</w:t>
              </w:r>
            </w:sdtContent>
          </w:sdt>
          <w:r>
            <w:tab/>
          </w:r>
          <w:bookmarkStart w:id="33" w:name="_Toc24102_WPSOffice_Level2Page"/>
          <w:r>
            <w:t>25</w:t>
          </w:r>
          <w:bookmarkEnd w:id="33"/>
          <w:r>
            <w:fldChar w:fldCharType="end"/>
          </w:r>
        </w:p>
        <w:p>
          <w:pPr>
            <w:pStyle w:val="37"/>
            <w:tabs>
              <w:tab w:val="right" w:leader="dot" w:pos="8306"/>
            </w:tabs>
          </w:pPr>
          <w:r>
            <w:fldChar w:fldCharType="begin"/>
          </w:r>
          <w:r>
            <w:instrText xml:space="preserve"> HYPERLINK \l _Toc27888_WPSOffice_Level2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c966b0ba-6c92-4fa6-a444-792bd3b96297}"/>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十、政府性基金预算财政拨款收入支出决算表</w:t>
              </w:r>
            </w:sdtContent>
          </w:sdt>
          <w:r>
            <w:tab/>
          </w:r>
          <w:bookmarkStart w:id="34" w:name="_Toc27888_WPSOffice_Level2Page"/>
          <w:r>
            <w:t>25</w:t>
          </w:r>
          <w:bookmarkEnd w:id="34"/>
          <w:r>
            <w:fldChar w:fldCharType="end"/>
          </w:r>
        </w:p>
        <w:p>
          <w:pPr>
            <w:pStyle w:val="37"/>
            <w:tabs>
              <w:tab w:val="right" w:leader="dot" w:pos="8306"/>
            </w:tabs>
          </w:pPr>
          <w:r>
            <w:fldChar w:fldCharType="begin"/>
          </w:r>
          <w:r>
            <w:instrText xml:space="preserve"> HYPERLINK \l _Toc789_WPSOffice_Level2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066ab7ae-3489-42ad-b7b2-7ea94e0f8033}"/>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十一、国有资本经营预算财政拨款收入支出决算表</w:t>
              </w:r>
            </w:sdtContent>
          </w:sdt>
          <w:r>
            <w:tab/>
          </w:r>
          <w:bookmarkStart w:id="35" w:name="_Toc789_WPSOffice_Level2Page"/>
          <w:r>
            <w:t>25</w:t>
          </w:r>
          <w:bookmarkEnd w:id="35"/>
          <w:r>
            <w:fldChar w:fldCharType="end"/>
          </w:r>
        </w:p>
        <w:p>
          <w:pPr>
            <w:pStyle w:val="37"/>
            <w:tabs>
              <w:tab w:val="right" w:leader="dot" w:pos="8306"/>
            </w:tabs>
          </w:pPr>
          <w:r>
            <w:fldChar w:fldCharType="begin"/>
          </w:r>
          <w:r>
            <w:instrText xml:space="preserve"> HYPERLINK \l _Toc24395_WPSOffice_Level2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25476e5c-3536-4969-9122-c26b6c33bcf0}"/>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十二、国有资本经营预算财政拨款支出决算表</w:t>
              </w:r>
            </w:sdtContent>
          </w:sdt>
          <w:r>
            <w:tab/>
          </w:r>
          <w:bookmarkStart w:id="36" w:name="_Toc24395_WPSOffice_Level2Page"/>
          <w:r>
            <w:t>25</w:t>
          </w:r>
          <w:bookmarkEnd w:id="36"/>
          <w:r>
            <w:fldChar w:fldCharType="end"/>
          </w:r>
        </w:p>
        <w:p>
          <w:pPr>
            <w:pStyle w:val="37"/>
            <w:tabs>
              <w:tab w:val="right" w:leader="dot" w:pos="8306"/>
            </w:tabs>
          </w:pPr>
          <w:r>
            <w:fldChar w:fldCharType="begin"/>
          </w:r>
          <w:r>
            <w:instrText xml:space="preserve"> HYPERLINK \l _Toc31786_WPSOffice_Level2 </w:instrText>
          </w:r>
          <w:r>
            <w:fldChar w:fldCharType="separate"/>
          </w:r>
          <w:sdt>
            <w:sdtPr>
              <w:rPr>
                <w:rFonts w:ascii="Times New Roman" w:hAnsi="Times New Roman" w:eastAsia="宋体" w:cs="Times New Roman"/>
                <w:b/>
                <w:bCs/>
                <w:kern w:val="44"/>
                <w:sz w:val="44"/>
                <w:szCs w:val="44"/>
                <w:lang w:val="en-US" w:eastAsia="zh-CN" w:bidi="ar-SA"/>
              </w:rPr>
              <w:id w:val="147470280"/>
              <w:placeholder>
                <w:docPart w:val="{3c7c129f-1739-47eb-aee2-0ebdaaaa6d62}"/>
              </w:placeholder>
            </w:sdtPr>
            <w:sdtEndPr>
              <w:rPr>
                <w:rFonts w:ascii="Times New Roman" w:hAnsi="Times New Roman" w:eastAsia="宋体" w:cs="Times New Roman"/>
                <w:b/>
                <w:bCs/>
                <w:kern w:val="44"/>
                <w:sz w:val="44"/>
                <w:szCs w:val="44"/>
                <w:lang w:val="en-US" w:eastAsia="zh-CN" w:bidi="ar-SA"/>
              </w:rPr>
            </w:sdtEndPr>
            <w:sdtContent>
              <w:r>
                <w:rPr>
                  <w:rFonts w:hint="eastAsia" w:ascii="Times New Roman" w:hAnsi="Times New Roman" w:eastAsia="仿宋_GB2312" w:cs="仿宋_GB2312"/>
                </w:rPr>
                <w:t>十三、财政拨款“三公”经费支出决算表</w:t>
              </w:r>
            </w:sdtContent>
          </w:sdt>
          <w:r>
            <w:tab/>
          </w:r>
          <w:bookmarkStart w:id="37" w:name="_Toc31786_WPSOffice_Level2Page"/>
          <w:r>
            <w:t>25</w:t>
          </w:r>
          <w:bookmarkEnd w:id="37"/>
          <w:r>
            <w:fldChar w:fldCharType="end"/>
          </w:r>
          <w:bookmarkEnd w:id="7"/>
        </w:p>
      </w:sdtContent>
    </w:sdt>
    <w:p>
      <w:pPr>
        <w:pStyle w:val="4"/>
        <w:jc w:val="center"/>
        <w:rPr>
          <w:rFonts w:hint="eastAsia" w:eastAsia="方正小标宋简体" w:cs="方正小标宋简体"/>
          <w:b w:val="0"/>
        </w:rPr>
        <w:sectPr>
          <w:headerReference r:id="rId3" w:type="default"/>
          <w:footerReference r:id="rId4" w:type="default"/>
          <w:pgSz w:w="11906" w:h="16838"/>
          <w:pgMar w:top="1440" w:right="1800" w:bottom="1440" w:left="1800" w:header="851" w:footer="992" w:gutter="0"/>
          <w:pgNumType w:fmt="numberInDash" w:start="1"/>
          <w:cols w:space="425" w:num="1"/>
          <w:docGrid w:type="lines" w:linePitch="312" w:charSpace="0"/>
        </w:sectPr>
      </w:pPr>
    </w:p>
    <w:p>
      <w:pPr>
        <w:rPr>
          <w:rFonts w:hint="eastAsia"/>
        </w:rPr>
        <w:sectPr>
          <w:pgSz w:w="11906" w:h="16838"/>
          <w:pgMar w:top="1440" w:right="1800" w:bottom="1440" w:left="1800" w:header="851" w:footer="992" w:gutter="0"/>
          <w:pgNumType w:fmt="numberInDash" w:start="1"/>
          <w:cols w:space="425" w:num="1"/>
          <w:docGrid w:type="lines" w:linePitch="312" w:charSpace="0"/>
        </w:sectPr>
      </w:pPr>
    </w:p>
    <w:p>
      <w:pPr>
        <w:pStyle w:val="4"/>
        <w:jc w:val="center"/>
        <w:rPr>
          <w:rStyle w:val="28"/>
          <w:rFonts w:eastAsia="方正小标宋简体" w:cs="方正小标宋简体"/>
          <w:b/>
          <w:bCs w:val="0"/>
        </w:rPr>
      </w:pPr>
      <w:bookmarkStart w:id="38" w:name="_Toc13785_WPSOffice_Level1"/>
      <w:r>
        <w:rPr>
          <w:rFonts w:hint="eastAsia" w:eastAsia="方正小标宋简体" w:cs="方正小标宋简体"/>
          <w:b w:val="0"/>
        </w:rPr>
        <w:t xml:space="preserve">第一部分  </w:t>
      </w:r>
      <w:r>
        <w:rPr>
          <w:rStyle w:val="28"/>
          <w:rFonts w:hint="eastAsia" w:eastAsia="方正小标宋简体" w:cs="方正小标宋简体"/>
          <w:b w:val="0"/>
          <w:bCs w:val="0"/>
        </w:rPr>
        <w:t>部门概况</w:t>
      </w:r>
      <w:bookmarkEnd w:id="38"/>
    </w:p>
    <w:p>
      <w:pPr>
        <w:widowControl/>
        <w:jc w:val="left"/>
        <w:rPr>
          <w:rFonts w:eastAsia="黑体"/>
          <w:sz w:val="32"/>
          <w:szCs w:val="32"/>
        </w:rPr>
      </w:pPr>
    </w:p>
    <w:p>
      <w:pPr>
        <w:pStyle w:val="5"/>
        <w:numPr>
          <w:ilvl w:val="0"/>
          <w:numId w:val="0"/>
        </w:numPr>
        <w:ind w:leftChars="0" w:firstLine="640" w:firstLineChars="200"/>
        <w:rPr>
          <w:rFonts w:ascii="Times New Roman" w:hAnsi="Times New Roman" w:eastAsia="黑体"/>
          <w:b w:val="0"/>
        </w:rPr>
      </w:pPr>
      <w:bookmarkStart w:id="39" w:name="_Toc1990_WPSOffice_Level2"/>
      <w:r>
        <w:rPr>
          <w:rFonts w:hint="eastAsia" w:ascii="Times New Roman" w:hAnsi="Times New Roman" w:eastAsia="黑体"/>
          <w:b w:val="0"/>
          <w:lang w:eastAsia="zh-CN"/>
        </w:rPr>
        <w:t>一、</w:t>
      </w:r>
      <w:r>
        <w:rPr>
          <w:rFonts w:hint="eastAsia" w:ascii="Times New Roman" w:hAnsi="Times New Roman" w:eastAsia="黑体"/>
          <w:b w:val="0"/>
        </w:rPr>
        <w:t>部门职责</w:t>
      </w:r>
      <w:bookmarkEnd w:id="39"/>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中共乐山市五通桥区委统战部（以下简称区委统战部）是五通桥区委主管统一战线工作的职能部门。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加强党对统一战线工作的集中领导的要求，发挥区委在统战工作方面的参谋机构、组织协调机构、具体执行机构、督促检查机构作用，了解情况、掌握政策、协调关系、安排人事、增进共识、加强团结，协调统一战线各方面关系，组织落实中央、省委、市委和区委关于统一战线工作重大决策部署，巩固和发展最广泛的统一战线。</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调查研究我区统一战线的实际情况，向区委如实反映并提出开展统战工作的意见建议，组织协调统一战线方针政策和法律法规的贯彻落实，协调全区统一战线各方面关系。</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负责发现、培养党外代表人士，制定党外人士培养发现计划。</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负责开展统一战线宣传工作。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联系各民主党派，通报情况、反映意见、制定年度政党协商计划，贯彻落实中国共产党领导的多党合作和政治协商制度以及民主党派的方针政策，支持和帮助民主党派加强自身建设，做好支持民主党派履行职责、发挥作用的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贯彻落实党的民族工作方针，研究拟订民族工作的政策措施，协调处理民族工作的重大问题。根据分工，统筹协调做好少数民族干部工作，领导区民族宗教事务局依法管理民族事务，全面促进民族团结。</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贯彻落实党的宗教工作的基本方针和政策，研究拟订宗教工作政策措施并督促落实。领导区民族宗教事务局依法管理宗教事务，保护公民宗教信仰自由和正常的宗教活动，维护宗教界合法权益，抵御境外利用宗教进行渗透，引导各宗教坚持中国化方向，巩固和发展同宗教界的爱国统一战线。</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负责联系、培养无党派代表人士，支持无党派加强自身建设、发挥作用。</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负责联系、培养新的社会阶层人士，支持、帮助新的社会阶层人士加强自身建设、发挥作用。</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承担全区非公有制经济协调工作，负责全区非公有制经济代表人士工作。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统一领导港澳台统战工作。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统一管理对台工作。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统一管理侨务工作。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受区委委托，领导区工商联党组，指导工商联工作。领导区民族宗教事务局工作。做好统一战线有关单位和团体及事业单位工作。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负责职责范围内的安全生产和职业健康、生态环境保护等工作。</w:t>
      </w:r>
    </w:p>
    <w:p>
      <w:pPr>
        <w:ind w:firstLine="800" w:firstLineChars="25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完成区委交办的其他任务。</w:t>
      </w:r>
    </w:p>
    <w:p>
      <w:pPr>
        <w:pStyle w:val="5"/>
        <w:ind w:firstLine="640" w:firstLineChars="200"/>
        <w:rPr>
          <w:rStyle w:val="29"/>
          <w:rFonts w:ascii="Times New Roman" w:hAnsi="Times New Roman"/>
          <w:b w:val="0"/>
          <w:bCs w:val="0"/>
        </w:rPr>
      </w:pPr>
      <w:bookmarkStart w:id="40" w:name="_Toc2885_WPSOffice_Level2"/>
      <w:bookmarkStart w:id="41" w:name="_Toc15377200"/>
      <w:bookmarkStart w:id="42" w:name="_Toc15396601"/>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40"/>
      <w:bookmarkEnd w:id="41"/>
      <w:bookmarkEnd w:id="42"/>
    </w:p>
    <w:p>
      <w:pPr>
        <w:ind w:firstLine="640" w:firstLineChars="200"/>
        <w:rPr>
          <w:rFonts w:eastAsia="仿宋_GB2312" w:cs="仿宋_GB2312"/>
          <w:sz w:val="32"/>
          <w:szCs w:val="32"/>
        </w:rPr>
      </w:pPr>
      <w:r>
        <w:rPr>
          <w:rFonts w:hint="eastAsia" w:ascii="仿宋_GB2312" w:hAnsi="仿宋_GB2312" w:eastAsia="仿宋_GB2312" w:cs="仿宋_GB2312"/>
          <w:sz w:val="32"/>
          <w:szCs w:val="32"/>
        </w:rPr>
        <w:t>中共乐山市五通桥区委统一战线工作部（本级）</w:t>
      </w:r>
      <w:r>
        <w:rPr>
          <w:rFonts w:hint="eastAsia" w:eastAsia="仿宋_GB2312" w:cs="仿宋_GB2312"/>
          <w:sz w:val="32"/>
          <w:szCs w:val="32"/>
        </w:rPr>
        <w:t>下属二级预算单位2个，其中参照公务员法管理的事业单位</w:t>
      </w:r>
      <w:r>
        <w:rPr>
          <w:rFonts w:hint="eastAsia" w:eastAsia="仿宋_GB2312" w:cs="仿宋_GB2312"/>
          <w:bCs/>
          <w:sz w:val="32"/>
          <w:szCs w:val="32"/>
        </w:rPr>
        <w:t>1</w:t>
      </w:r>
      <w:r>
        <w:rPr>
          <w:rFonts w:hint="eastAsia" w:eastAsia="仿宋_GB2312" w:cs="仿宋_GB2312"/>
          <w:sz w:val="32"/>
          <w:szCs w:val="32"/>
        </w:rPr>
        <w:t>个，其他事业单位1个。</w:t>
      </w:r>
    </w:p>
    <w:p>
      <w:pPr>
        <w:pStyle w:val="7"/>
        <w:adjustRightInd w:val="0"/>
        <w:snapToGrid w:val="0"/>
        <w:spacing w:before="93" w:line="600" w:lineRule="exact"/>
        <w:ind w:firstLine="672" w:firstLineChars="210"/>
        <w:rPr>
          <w:rFonts w:ascii="Times New Roman" w:cs="仿宋_GB2312"/>
          <w:sz w:val="32"/>
          <w:szCs w:val="32"/>
        </w:rPr>
      </w:pPr>
      <w:r>
        <w:rPr>
          <w:rFonts w:hint="eastAsia" w:ascii="Times New Roman" w:cs="仿宋_GB2312"/>
          <w:sz w:val="32"/>
          <w:szCs w:val="32"/>
        </w:rPr>
        <w:t>纳入</w:t>
      </w:r>
      <w:r>
        <w:rPr>
          <w:sz w:val="32"/>
          <w:szCs w:val="32"/>
        </w:rPr>
        <w:t>中共乐山市五通桥区委统一战线工作部（本级）</w:t>
      </w:r>
      <w:r>
        <w:rPr>
          <w:rFonts w:hint="eastAsia" w:ascii="Times New Roman" w:cs="仿宋_GB2312"/>
          <w:sz w:val="32"/>
          <w:szCs w:val="32"/>
        </w:rPr>
        <w:t>2024年度部门决算编制范围的二级预算单位包括：</w:t>
      </w:r>
    </w:p>
    <w:p>
      <w:pPr>
        <w:ind w:firstLine="800" w:firstLineChars="250"/>
        <w:rPr>
          <w:rFonts w:ascii="仿宋_GB2312" w:eastAsia="仿宋_GB2312"/>
          <w:kern w:val="0"/>
          <w:sz w:val="32"/>
          <w:szCs w:val="32"/>
        </w:rPr>
      </w:pPr>
      <w:bookmarkStart w:id="43" w:name="_Toc15306276"/>
      <w:bookmarkStart w:id="44" w:name="_Toc15377433"/>
      <w:bookmarkStart w:id="45" w:name="_Toc15377202"/>
      <w:bookmarkStart w:id="46" w:name="_Toc15378449"/>
      <w:bookmarkStart w:id="47" w:name="_Toc15378450"/>
      <w:bookmarkStart w:id="48" w:name="_Toc15377434"/>
      <w:bookmarkStart w:id="49" w:name="_Toc15377203"/>
      <w:bookmarkStart w:id="50" w:name="_Toc15306277"/>
      <w:r>
        <w:rPr>
          <w:rFonts w:hint="eastAsia" w:ascii="仿宋_GB2312" w:eastAsia="仿宋_GB2312"/>
          <w:kern w:val="0"/>
          <w:sz w:val="32"/>
          <w:szCs w:val="32"/>
        </w:rPr>
        <w:t>1.乐山市五通桥区工商业联合会</w:t>
      </w:r>
      <w:bookmarkEnd w:id="43"/>
      <w:bookmarkEnd w:id="44"/>
      <w:bookmarkEnd w:id="45"/>
      <w:bookmarkEnd w:id="46"/>
    </w:p>
    <w:p>
      <w:pPr>
        <w:ind w:firstLine="800" w:firstLineChars="250"/>
        <w:rPr>
          <w:rFonts w:eastAsia="方正小标宋简体" w:cs="方正小标宋简体"/>
        </w:rPr>
      </w:pPr>
      <w:r>
        <w:rPr>
          <w:rFonts w:hint="eastAsia" w:ascii="仿宋_GB2312" w:eastAsia="仿宋_GB2312"/>
          <w:kern w:val="0"/>
          <w:sz w:val="32"/>
          <w:szCs w:val="32"/>
        </w:rPr>
        <w:t>2.乐山市归侨侨眷联合会</w:t>
      </w:r>
      <w:bookmarkEnd w:id="47"/>
      <w:bookmarkEnd w:id="48"/>
      <w:bookmarkEnd w:id="49"/>
      <w:bookmarkEnd w:id="50"/>
    </w:p>
    <w:p>
      <w:pPr>
        <w:widowControl/>
        <w:jc w:val="left"/>
        <w:rPr>
          <w:rFonts w:eastAsia="仿宋"/>
          <w:kern w:val="0"/>
          <w:sz w:val="32"/>
          <w:szCs w:val="32"/>
        </w:rPr>
      </w:pPr>
      <w:r>
        <w:rPr>
          <w:rFonts w:eastAsia="仿宋"/>
          <w:sz w:val="32"/>
          <w:szCs w:val="32"/>
        </w:rPr>
        <w:br w:type="page"/>
      </w:r>
    </w:p>
    <w:p>
      <w:pPr>
        <w:pStyle w:val="4"/>
        <w:jc w:val="center"/>
        <w:rPr>
          <w:rFonts w:eastAsia="方正小标宋简体" w:cs="方正小标宋简体"/>
          <w:b w:val="0"/>
        </w:rPr>
      </w:pPr>
      <w:bookmarkStart w:id="51" w:name="_Toc15377204"/>
      <w:bookmarkStart w:id="52" w:name="_Toc15396602"/>
      <w:bookmarkStart w:id="53" w:name="_Toc1990_WPSOffice_Level1"/>
      <w:r>
        <w:rPr>
          <w:rFonts w:hint="eastAsia" w:eastAsia="方正小标宋简体" w:cs="方正小标宋简体"/>
          <w:b w:val="0"/>
        </w:rPr>
        <w:t>第二部分  2024年度部门决算情况说明</w:t>
      </w:r>
      <w:bookmarkEnd w:id="51"/>
      <w:bookmarkEnd w:id="52"/>
      <w:bookmarkEnd w:id="53"/>
    </w:p>
    <w:p/>
    <w:p>
      <w:pPr>
        <w:pStyle w:val="27"/>
        <w:spacing w:line="600" w:lineRule="exact"/>
        <w:ind w:firstLine="640"/>
        <w:outlineLvl w:val="1"/>
        <w:rPr>
          <w:rStyle w:val="29"/>
          <w:rFonts w:ascii="Times New Roman" w:hAnsi="Times New Roman" w:eastAsia="黑体"/>
          <w:b w:val="0"/>
        </w:rPr>
      </w:pPr>
      <w:bookmarkStart w:id="54" w:name="_Toc15377205"/>
      <w:bookmarkStart w:id="55" w:name="_Toc15396603"/>
      <w:bookmarkStart w:id="56" w:name="_Toc27953_WPSOffice_Level2"/>
      <w:r>
        <w:rPr>
          <w:rFonts w:hint="eastAsia" w:eastAsia="黑体"/>
          <w:sz w:val="32"/>
          <w:szCs w:val="32"/>
        </w:rPr>
        <w:t>一、收</w:t>
      </w:r>
      <w:r>
        <w:rPr>
          <w:rStyle w:val="29"/>
          <w:rFonts w:hint="eastAsia" w:ascii="Times New Roman" w:hAnsi="Times New Roman" w:eastAsia="黑体"/>
          <w:b w:val="0"/>
        </w:rPr>
        <w:t>入支出决算总体情况说明</w:t>
      </w:r>
      <w:bookmarkEnd w:id="54"/>
      <w:bookmarkEnd w:id="55"/>
      <w:bookmarkEnd w:id="56"/>
    </w:p>
    <w:p>
      <w:pPr>
        <w:pStyle w:val="27"/>
        <w:spacing w:line="600" w:lineRule="exact"/>
        <w:ind w:firstLine="640"/>
        <w:outlineLvl w:val="1"/>
        <w:rPr>
          <w:rFonts w:hint="eastAsia" w:eastAsia="仿宋_GB2312" w:cs="仿宋_GB2312"/>
          <w:sz w:val="32"/>
          <w:szCs w:val="32"/>
        </w:rPr>
      </w:pPr>
      <w:r>
        <w:rPr>
          <w:rFonts w:hint="eastAsia" w:eastAsia="仿宋_GB2312" w:cs="仿宋_GB2312"/>
          <w:sz w:val="32"/>
          <w:szCs w:val="32"/>
        </w:rPr>
        <w:t>2024年度收入、支出总计均为</w:t>
      </w:r>
      <w:r>
        <w:rPr>
          <w:rFonts w:hint="eastAsia" w:ascii="仿宋_GB2312" w:hAnsi="仿宋_GB2312" w:eastAsia="仿宋_GB2312" w:cs="仿宋_GB2312"/>
          <w:sz w:val="32"/>
          <w:szCs w:val="32"/>
        </w:rPr>
        <w:t>185.94</w:t>
      </w:r>
      <w:r>
        <w:rPr>
          <w:rFonts w:hint="eastAsia" w:eastAsia="仿宋_GB2312" w:cs="仿宋_GB2312"/>
          <w:sz w:val="32"/>
          <w:szCs w:val="32"/>
        </w:rPr>
        <w:t>万元。与2023年度相比，收入、支出总计各减少11.16万元，下降5.66%。主要变动原因是一般公共服务支出减少5.24万元，社会保障和就业支出减少7.7万元，卫生健康支出减少0.57万元，住房保障支出增加0.17万元。</w:t>
      </w:r>
    </w:p>
    <w:p>
      <w:pPr>
        <w:ind w:firstLine="420" w:firstLineChars="200"/>
        <w:rPr>
          <w:rFonts w:hint="eastAsia" w:eastAsia="仿宋_GB2312" w:cs="仿宋_GB2312"/>
          <w:sz w:val="32"/>
          <w:szCs w:val="32"/>
        </w:rPr>
      </w:pPr>
      <w:r>
        <w:drawing>
          <wp:inline distT="0" distB="0" distL="0" distR="0">
            <wp:extent cx="4584700" cy="2781300"/>
            <wp:effectExtent l="209550" t="190500" r="234950" b="285750"/>
            <wp:docPr id="14543436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ind w:firstLine="640" w:firstLineChars="200"/>
        <w:rPr>
          <w:rFonts w:hint="eastAsia" w:eastAsia="仿宋_GB2312" w:cs="仿宋_GB2312"/>
          <w:sz w:val="32"/>
          <w:szCs w:val="32"/>
        </w:rPr>
      </w:pPr>
      <w:r>
        <w:rPr>
          <w:rFonts w:hint="eastAsia" w:eastAsia="仿宋_GB2312" w:cs="仿宋_GB2312"/>
          <w:sz w:val="32"/>
          <w:szCs w:val="32"/>
        </w:rPr>
        <w:t>（图1：收入、支出决算总计变动情况图）（柱状图）</w:t>
      </w:r>
    </w:p>
    <w:p>
      <w:pPr>
        <w:pStyle w:val="27"/>
        <w:spacing w:line="600" w:lineRule="exact"/>
        <w:ind w:firstLine="640"/>
        <w:outlineLvl w:val="1"/>
        <w:rPr>
          <w:rFonts w:eastAsia="黑体"/>
          <w:sz w:val="32"/>
          <w:szCs w:val="32"/>
        </w:rPr>
      </w:pPr>
      <w:bookmarkStart w:id="57" w:name="_Toc15377206"/>
      <w:bookmarkStart w:id="58" w:name="_Toc15396604"/>
      <w:bookmarkStart w:id="59" w:name="_Toc3426_WPSOffice_Level2"/>
      <w:r>
        <w:rPr>
          <w:rFonts w:hint="eastAsia" w:eastAsia="黑体"/>
          <w:sz w:val="32"/>
          <w:szCs w:val="32"/>
        </w:rPr>
        <w:t>二、收入决算情况说明</w:t>
      </w:r>
      <w:bookmarkEnd w:id="57"/>
      <w:bookmarkEnd w:id="58"/>
      <w:bookmarkEnd w:id="59"/>
    </w:p>
    <w:p>
      <w:pPr>
        <w:pStyle w:val="27"/>
        <w:spacing w:line="600" w:lineRule="exact"/>
        <w:ind w:firstLine="640"/>
        <w:jc w:val="left"/>
        <w:outlineLvl w:val="1"/>
        <w:rPr>
          <w:rFonts w:hint="eastAsia" w:eastAsia="仿宋_GB2312" w:cs="仿宋_GB2312"/>
          <w:b/>
          <w:bCs/>
          <w:sz w:val="32"/>
          <w:szCs w:val="32"/>
        </w:rPr>
      </w:pPr>
      <w:r>
        <w:rPr>
          <w:rFonts w:hint="eastAsia" w:ascii="仿宋_GB2312" w:hAnsi="仿宋_GB2312" w:eastAsia="仿宋_GB2312" w:cs="仿宋_GB2312"/>
          <w:sz w:val="32"/>
          <w:szCs w:val="32"/>
        </w:rPr>
        <w:t>2024年度本年收入合计183.19万元，其中：一般公共预算财政拨款收入178.18万元，占97%；其他收入5.01万元，占3%。</w:t>
      </w:r>
    </w:p>
    <w:p>
      <w:pPr>
        <w:ind w:firstLine="525" w:firstLineChars="250"/>
        <w:rPr>
          <w:rFonts w:hint="eastAsia" w:eastAsia="仿宋_GB2312" w:cs="仿宋_GB2312"/>
          <w:sz w:val="32"/>
          <w:szCs w:val="32"/>
        </w:rPr>
      </w:pPr>
      <w:r>
        <w:drawing>
          <wp:inline distT="0" distB="0" distL="0" distR="0">
            <wp:extent cx="4826000" cy="2165350"/>
            <wp:effectExtent l="0" t="0" r="12700" b="6350"/>
            <wp:docPr id="139934787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ind w:firstLine="800" w:firstLineChars="250"/>
        <w:rPr>
          <w:rFonts w:hint="eastAsia" w:eastAsia="仿宋_GB2312" w:cs="仿宋_GB2312"/>
          <w:sz w:val="32"/>
          <w:szCs w:val="32"/>
        </w:rPr>
      </w:pPr>
      <w:r>
        <w:rPr>
          <w:rFonts w:hint="eastAsia" w:eastAsia="仿宋_GB2312" w:cs="仿宋_GB2312"/>
          <w:sz w:val="32"/>
          <w:szCs w:val="32"/>
        </w:rPr>
        <w:t>（图2：收入决算结构图）（饼状图）</w:t>
      </w:r>
    </w:p>
    <w:p>
      <w:pPr>
        <w:pStyle w:val="27"/>
        <w:spacing w:line="600" w:lineRule="exact"/>
        <w:ind w:firstLine="640"/>
        <w:outlineLvl w:val="1"/>
        <w:rPr>
          <w:rStyle w:val="29"/>
          <w:rFonts w:ascii="Times New Roman" w:hAnsi="Times New Roman" w:eastAsia="黑体"/>
          <w:b w:val="0"/>
        </w:rPr>
      </w:pPr>
      <w:bookmarkStart w:id="60" w:name="_Toc15377207"/>
      <w:bookmarkStart w:id="61" w:name="_Toc31072_WPSOffice_Level2"/>
      <w:bookmarkStart w:id="62" w:name="_Toc15396605"/>
      <w:r>
        <w:rPr>
          <w:rFonts w:hint="eastAsia" w:eastAsia="黑体"/>
          <w:sz w:val="32"/>
          <w:szCs w:val="32"/>
        </w:rPr>
        <w:t>三、支</w:t>
      </w:r>
      <w:r>
        <w:rPr>
          <w:rStyle w:val="29"/>
          <w:rFonts w:hint="eastAsia" w:ascii="Times New Roman" w:hAnsi="Times New Roman" w:eastAsia="黑体"/>
          <w:b w:val="0"/>
        </w:rPr>
        <w:t>出决算情况说明</w:t>
      </w:r>
      <w:bookmarkEnd w:id="60"/>
      <w:bookmarkEnd w:id="61"/>
      <w:bookmarkEnd w:id="62"/>
    </w:p>
    <w:p>
      <w:pPr>
        <w:pStyle w:val="27"/>
        <w:spacing w:line="600" w:lineRule="exact"/>
        <w:ind w:firstLine="640"/>
        <w:jc w:val="left"/>
        <w:outlineLvl w:val="1"/>
        <w:rPr>
          <w:rFonts w:hint="eastAsia" w:eastAsia="仿宋_GB2312" w:cs="仿宋_GB2312"/>
          <w:sz w:val="32"/>
          <w:szCs w:val="32"/>
        </w:rPr>
      </w:pPr>
      <w:r>
        <w:rPr>
          <w:rFonts w:hint="eastAsia" w:ascii="仿宋_GB2312" w:hAnsi="仿宋_GB2312" w:eastAsia="仿宋_GB2312" w:cs="仿宋_GB2312"/>
          <w:sz w:val="32"/>
          <w:szCs w:val="32"/>
        </w:rPr>
        <w:t>2024年度本年支出合计183.76万元，其中：基本支出144.25万元，占78%；项目支出39.51万元，占22%。</w:t>
      </w:r>
    </w:p>
    <w:p>
      <w:pPr>
        <w:ind w:firstLine="525" w:firstLineChars="250"/>
        <w:rPr>
          <w:rFonts w:eastAsia="仿宋_GB2312" w:cs="仿宋_GB2312"/>
          <w:sz w:val="32"/>
          <w:szCs w:val="32"/>
        </w:rPr>
      </w:pPr>
      <w:r>
        <w:drawing>
          <wp:inline distT="0" distB="0" distL="0" distR="0">
            <wp:extent cx="4502150" cy="3175000"/>
            <wp:effectExtent l="152400" t="152400" r="146050" b="158750"/>
            <wp:docPr id="166441016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800" w:firstLineChars="250"/>
        <w:rPr>
          <w:rFonts w:hint="eastAsia" w:eastAsia="仿宋_GB2312" w:cs="仿宋_GB2312"/>
          <w:sz w:val="32"/>
          <w:szCs w:val="32"/>
        </w:rPr>
      </w:pPr>
      <w:r>
        <w:rPr>
          <w:rFonts w:hint="eastAsia" w:eastAsia="仿宋_GB2312" w:cs="仿宋_GB2312"/>
          <w:sz w:val="32"/>
          <w:szCs w:val="32"/>
        </w:rPr>
        <w:t>（图3：支出决算结构图）（饼状图）</w:t>
      </w:r>
    </w:p>
    <w:p>
      <w:pPr>
        <w:spacing w:line="600" w:lineRule="exact"/>
        <w:ind w:firstLine="640" w:firstLineChars="200"/>
        <w:outlineLvl w:val="1"/>
        <w:rPr>
          <w:rStyle w:val="29"/>
          <w:rFonts w:ascii="Times New Roman" w:hAnsi="Times New Roman" w:eastAsia="黑体"/>
          <w:b w:val="0"/>
        </w:rPr>
      </w:pPr>
      <w:bookmarkStart w:id="63" w:name="_Toc15377208"/>
      <w:bookmarkStart w:id="64" w:name="_Toc15396606"/>
      <w:bookmarkStart w:id="65" w:name="_Toc13411_WPSOffice_Level2"/>
      <w:r>
        <w:rPr>
          <w:rFonts w:hint="eastAsia" w:eastAsia="黑体"/>
          <w:sz w:val="32"/>
          <w:szCs w:val="32"/>
        </w:rPr>
        <w:t>四、财</w:t>
      </w:r>
      <w:r>
        <w:rPr>
          <w:rStyle w:val="29"/>
          <w:rFonts w:hint="eastAsia" w:ascii="Times New Roman" w:hAnsi="Times New Roman" w:eastAsia="黑体"/>
          <w:b w:val="0"/>
        </w:rPr>
        <w:t>政拨款收入支出决算总体情况说明</w:t>
      </w:r>
      <w:bookmarkEnd w:id="63"/>
      <w:bookmarkEnd w:id="64"/>
      <w:bookmarkEnd w:id="65"/>
    </w:p>
    <w:p>
      <w:pPr>
        <w:spacing w:line="600" w:lineRule="exact"/>
        <w:ind w:firstLine="640"/>
        <w:rPr>
          <w:rFonts w:hint="eastAsia"/>
        </w:rPr>
      </w:pPr>
      <w:r>
        <w:rPr>
          <w:rFonts w:hint="eastAsia" w:eastAsia="仿宋_GB2312" w:cs="仿宋_GB2312"/>
          <w:sz w:val="32"/>
          <w:szCs w:val="32"/>
        </w:rPr>
        <w:t>2024年度财政拨款收入、支出总计均为</w:t>
      </w:r>
      <w:r>
        <w:rPr>
          <w:rFonts w:hint="eastAsia" w:ascii="仿宋_GB2312" w:hAnsi="仿宋_GB2312" w:eastAsia="仿宋_GB2312" w:cs="仿宋_GB2312"/>
          <w:sz w:val="32"/>
          <w:szCs w:val="32"/>
        </w:rPr>
        <w:t>178.18</w:t>
      </w:r>
      <w:r>
        <w:rPr>
          <w:rFonts w:hint="eastAsia" w:eastAsia="仿宋_GB2312" w:cs="仿宋_GB2312"/>
          <w:sz w:val="32"/>
          <w:szCs w:val="32"/>
        </w:rPr>
        <w:t>万元。与2023年度相比，财政拨款收入总计、支出总计各/减少18.92万元，下降9.6%。主要变动原因是一般公共服务支出减少5.24万元，社会保障和就业支出减少7.7万元，卫生健康支出减少0.57万元，住房保障支出增加0.17万元。</w:t>
      </w:r>
    </w:p>
    <w:p>
      <w:pPr>
        <w:pStyle w:val="3"/>
        <w:ind w:left="420"/>
        <w:rPr>
          <w:rFonts w:hint="eastAsia"/>
        </w:rPr>
      </w:pPr>
      <w:r>
        <w:drawing>
          <wp:inline distT="0" distB="0" distL="0" distR="0">
            <wp:extent cx="3975100" cy="3543300"/>
            <wp:effectExtent l="0" t="0" r="6350" b="0"/>
            <wp:docPr id="116099987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hint="eastAsia" w:eastAsia="仿宋_GB2312" w:cs="仿宋_GB2312"/>
          <w:sz w:val="32"/>
          <w:szCs w:val="32"/>
        </w:rPr>
      </w:pPr>
      <w:r>
        <w:rPr>
          <w:rFonts w:hint="eastAsia" w:eastAsia="仿宋_GB2312" w:cs="仿宋_GB2312"/>
          <w:sz w:val="32"/>
          <w:szCs w:val="32"/>
        </w:rPr>
        <w:t>（图4：财政拨款收、支决算总计变动情况）（柱状图）</w:t>
      </w:r>
    </w:p>
    <w:p>
      <w:pPr>
        <w:spacing w:line="600" w:lineRule="exact"/>
        <w:ind w:firstLine="640" w:firstLineChars="200"/>
        <w:outlineLvl w:val="1"/>
        <w:rPr>
          <w:rStyle w:val="29"/>
          <w:rFonts w:ascii="Times New Roman" w:hAnsi="Times New Roman" w:eastAsia="黑体"/>
          <w:b w:val="0"/>
        </w:rPr>
      </w:pPr>
      <w:bookmarkStart w:id="66" w:name="_Toc15396607"/>
      <w:bookmarkStart w:id="67" w:name="_Toc15377209"/>
      <w:bookmarkStart w:id="68" w:name="_Toc6232_WPSOffice_Level2"/>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66"/>
      <w:bookmarkEnd w:id="67"/>
      <w:bookmarkEnd w:id="68"/>
    </w:p>
    <w:p>
      <w:pPr>
        <w:spacing w:line="600" w:lineRule="exact"/>
        <w:ind w:firstLine="643" w:firstLineChars="200"/>
        <w:outlineLvl w:val="2"/>
        <w:rPr>
          <w:rFonts w:eastAsia="楷体_GB2312" w:cs="楷体_GB2312"/>
          <w:b/>
          <w:sz w:val="32"/>
          <w:szCs w:val="32"/>
        </w:rPr>
      </w:pPr>
      <w:bookmarkStart w:id="69" w:name="_Toc15377210"/>
      <w:r>
        <w:rPr>
          <w:rFonts w:hint="eastAsia" w:eastAsia="楷体_GB2312" w:cs="楷体_GB2312"/>
          <w:b/>
          <w:sz w:val="32"/>
          <w:szCs w:val="32"/>
        </w:rPr>
        <w:t>（一）一般公共预算财政拨款支出决算总体情况</w:t>
      </w:r>
      <w:bookmarkEnd w:id="69"/>
    </w:p>
    <w:p>
      <w:pPr>
        <w:spacing w:line="600" w:lineRule="exact"/>
        <w:ind w:firstLine="640"/>
        <w:rPr>
          <w:rFonts w:hint="eastAsia" w:eastAsia="仿宋_GB2312" w:cs="仿宋_GB2312"/>
          <w:sz w:val="32"/>
          <w:szCs w:val="32"/>
        </w:rPr>
      </w:pPr>
      <w:r>
        <w:rPr>
          <w:rFonts w:hint="eastAsia" w:ascii="仿宋_GB2312" w:hAnsi="仿宋_GB2312" w:eastAsia="仿宋_GB2312" w:cs="仿宋_GB2312"/>
          <w:sz w:val="32"/>
          <w:szCs w:val="32"/>
        </w:rPr>
        <w:t>2024年度一般公共预算财政拨款支出178.18万元，占本年支出合计的96.96%。与2023年度相比，一般公共预算财政拨款支出减少18.92万元，下降9.6%。主要变动原因是</w:t>
      </w:r>
      <w:r>
        <w:rPr>
          <w:rFonts w:hint="eastAsia" w:eastAsia="仿宋_GB2312" w:cs="仿宋_GB2312"/>
          <w:sz w:val="32"/>
          <w:szCs w:val="32"/>
        </w:rPr>
        <w:t>一般公共服务支出减少5.24万元，社会保障和就业支出减少7.7万元，卫生健康支出减少0.57万元，住房保障支出增加0.17万元。</w:t>
      </w:r>
    </w:p>
    <w:p>
      <w:pPr>
        <w:pStyle w:val="3"/>
        <w:ind w:left="420"/>
        <w:rPr>
          <w:rFonts w:hint="eastAsia"/>
        </w:rPr>
      </w:pPr>
      <w:r>
        <w:drawing>
          <wp:inline distT="0" distB="0" distL="0" distR="0">
            <wp:extent cx="3911600" cy="3479800"/>
            <wp:effectExtent l="57150" t="57150" r="50800" b="44450"/>
            <wp:docPr id="68772123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rPr>
          <w:rFonts w:hint="eastAsia" w:eastAsia="仿宋_GB2312" w:cs="仿宋_GB2312"/>
          <w:sz w:val="32"/>
          <w:szCs w:val="32"/>
        </w:rPr>
      </w:pPr>
      <w:r>
        <w:rPr>
          <w:rFonts w:hint="eastAsia" w:eastAsia="仿宋_GB2312" w:cs="仿宋_GB2312"/>
          <w:sz w:val="32"/>
          <w:szCs w:val="32"/>
        </w:rPr>
        <w:t>（图5：一般公共预算财政拨款支出决算变动情况）（柱状图）</w:t>
      </w:r>
    </w:p>
    <w:p>
      <w:pPr>
        <w:spacing w:line="600" w:lineRule="exact"/>
        <w:ind w:firstLine="643" w:firstLineChars="200"/>
        <w:outlineLvl w:val="2"/>
        <w:rPr>
          <w:rFonts w:eastAsia="楷体_GB2312" w:cs="楷体_GB2312"/>
          <w:b/>
          <w:sz w:val="32"/>
          <w:szCs w:val="32"/>
        </w:rPr>
      </w:pPr>
      <w:bookmarkStart w:id="70" w:name="_Toc15377211"/>
      <w:r>
        <w:rPr>
          <w:rFonts w:hint="eastAsia" w:eastAsia="楷体_GB2312" w:cs="楷体_GB2312"/>
          <w:b/>
          <w:sz w:val="32"/>
          <w:szCs w:val="32"/>
        </w:rPr>
        <w:t>（二）一般公共预算财政拨款支出决算结构情况</w:t>
      </w:r>
      <w:bookmarkEnd w:id="70"/>
    </w:p>
    <w:p>
      <w:pPr>
        <w:spacing w:line="600" w:lineRule="exact"/>
        <w:ind w:firstLine="640"/>
        <w:rPr>
          <w:rFonts w:hint="eastAsia" w:eastAsia="仿宋_GB2312" w:cs="仿宋_GB2312"/>
          <w:b/>
          <w:bCs/>
          <w:sz w:val="32"/>
          <w:szCs w:val="32"/>
        </w:rPr>
      </w:pPr>
      <w:r>
        <w:rPr>
          <w:rFonts w:hint="eastAsia" w:eastAsia="仿宋_GB2312" w:cs="仿宋_GB2312"/>
          <w:sz w:val="32"/>
          <w:szCs w:val="32"/>
        </w:rPr>
        <w:t>2024年度一般公共预算财政拨款支出</w:t>
      </w:r>
      <w:r>
        <w:rPr>
          <w:rFonts w:hint="eastAsia" w:ascii="仿宋_GB2312" w:hAnsi="仿宋_GB2312" w:eastAsia="仿宋_GB2312" w:cs="仿宋_GB2312"/>
          <w:sz w:val="32"/>
          <w:szCs w:val="32"/>
        </w:rPr>
        <w:t>178.18万元</w:t>
      </w:r>
      <w:r>
        <w:rPr>
          <w:rFonts w:hint="eastAsia" w:eastAsia="仿宋_GB2312" w:cs="仿宋_GB2312"/>
          <w:sz w:val="32"/>
          <w:szCs w:val="32"/>
        </w:rPr>
        <w:t>，主要用于以下方面：一般公共服务支出142.78万元，占80%；社会保障和就业支出21.75万元，占12%；卫生健康支出4.46万元，占3%；住房保障支出9.2万元，占5%</w:t>
      </w:r>
      <w:r>
        <w:rPr>
          <w:rFonts w:hint="eastAsia" w:eastAsia="仿宋_GB2312" w:cs="仿宋_GB2312"/>
          <w:sz w:val="32"/>
          <w:szCs w:val="32"/>
          <w:lang w:eastAsia="zh-CN"/>
        </w:rPr>
        <w:t>。</w:t>
      </w:r>
    </w:p>
    <w:p>
      <w:pPr>
        <w:pStyle w:val="13"/>
      </w:pPr>
    </w:p>
    <w:p>
      <w:pPr>
        <w:pStyle w:val="3"/>
        <w:ind w:left="420"/>
        <w:rPr>
          <w:rFonts w:hint="eastAsia"/>
        </w:rPr>
      </w:pPr>
      <w:r>
        <w:drawing>
          <wp:inline distT="0" distB="0" distL="0" distR="0">
            <wp:extent cx="5274310" cy="2297430"/>
            <wp:effectExtent l="0" t="0" r="2540" b="7620"/>
            <wp:docPr id="153098339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hint="eastAsia" w:eastAsia="仿宋_GB2312" w:cs="仿宋_GB2312"/>
          <w:sz w:val="32"/>
          <w:szCs w:val="32"/>
        </w:rPr>
      </w:pPr>
      <w:r>
        <w:rPr>
          <w:rFonts w:hint="eastAsia" w:eastAsia="仿宋_GB2312" w:cs="仿宋_GB2312"/>
          <w:sz w:val="32"/>
          <w:szCs w:val="32"/>
        </w:rPr>
        <w:t>（图6：一般公共预算财政拨款支出决算结构）（饼状图）</w:t>
      </w:r>
    </w:p>
    <w:p>
      <w:pPr>
        <w:spacing w:line="600" w:lineRule="exact"/>
        <w:ind w:firstLine="643" w:firstLineChars="200"/>
        <w:outlineLvl w:val="2"/>
        <w:rPr>
          <w:rFonts w:eastAsia="楷体_GB2312" w:cs="楷体_GB2312"/>
          <w:b/>
          <w:sz w:val="32"/>
          <w:szCs w:val="32"/>
        </w:rPr>
      </w:pPr>
      <w:bookmarkStart w:id="71" w:name="_Toc15377212"/>
      <w:r>
        <w:rPr>
          <w:rFonts w:hint="eastAsia" w:eastAsia="楷体_GB2312" w:cs="楷体_GB2312"/>
          <w:b/>
          <w:sz w:val="32"/>
          <w:szCs w:val="32"/>
        </w:rPr>
        <w:t>（三）一般公共预算财政拨款支出决算具体情况</w:t>
      </w:r>
      <w:bookmarkEnd w:id="71"/>
    </w:p>
    <w:p>
      <w:pPr>
        <w:spacing w:line="600" w:lineRule="exact"/>
        <w:ind w:firstLine="640"/>
        <w:rPr>
          <w:rFonts w:eastAsia="仿宋_GB2312" w:cs="仿宋_GB2312"/>
          <w:sz w:val="32"/>
          <w:szCs w:val="32"/>
        </w:rPr>
      </w:pPr>
      <w:bookmarkStart w:id="72" w:name="_Toc15377444"/>
      <w:bookmarkStart w:id="73" w:name="_Toc15378460"/>
      <w:bookmarkStart w:id="74" w:name="_Toc15377213"/>
      <w:r>
        <w:rPr>
          <w:rFonts w:hint="eastAsia" w:eastAsia="仿宋_GB2312" w:cs="仿宋_GB2312"/>
          <w:sz w:val="32"/>
          <w:szCs w:val="32"/>
        </w:rPr>
        <w:t>2024年度一般公共预算财政拨款支出决算数为</w:t>
      </w:r>
      <w:r>
        <w:rPr>
          <w:rFonts w:hint="eastAsia" w:ascii="仿宋_GB2312" w:hAnsi="仿宋_GB2312" w:eastAsia="仿宋_GB2312" w:cs="仿宋_GB2312"/>
          <w:sz w:val="32"/>
          <w:szCs w:val="32"/>
        </w:rPr>
        <w:t>178.18，</w:t>
      </w:r>
      <w:r>
        <w:rPr>
          <w:rFonts w:hint="eastAsia" w:eastAsia="仿宋_GB2312" w:cs="仿宋_GB2312"/>
          <w:sz w:val="32"/>
          <w:szCs w:val="32"/>
        </w:rPr>
        <w:t>完成预算</w:t>
      </w:r>
      <w:r>
        <w:rPr>
          <w:rFonts w:hint="eastAsia" w:eastAsia="仿宋_GB2312" w:cs="仿宋_GB2312"/>
          <w:sz w:val="32"/>
          <w:szCs w:val="32"/>
          <w:highlight w:val="none"/>
        </w:rPr>
        <w:t>98.74%。</w:t>
      </w:r>
      <w:r>
        <w:rPr>
          <w:rFonts w:hint="eastAsia" w:eastAsia="仿宋_GB2312" w:cs="仿宋_GB2312"/>
          <w:sz w:val="32"/>
          <w:szCs w:val="32"/>
        </w:rPr>
        <w:t>其中：</w:t>
      </w:r>
      <w:bookmarkEnd w:id="72"/>
      <w:bookmarkEnd w:id="73"/>
      <w:bookmarkEnd w:id="74"/>
    </w:p>
    <w:p>
      <w:pPr>
        <w:spacing w:line="600" w:lineRule="exact"/>
        <w:ind w:firstLine="640" w:firstLineChars="200"/>
        <w:rPr>
          <w:rFonts w:eastAsia="仿宋_GB2312" w:cs="仿宋_GB2312"/>
          <w:sz w:val="32"/>
          <w:szCs w:val="32"/>
        </w:rPr>
      </w:pPr>
      <w:r>
        <w:rPr>
          <w:rFonts w:hint="eastAsia" w:eastAsia="仿宋_GB2312" w:cs="仿宋_GB2312"/>
          <w:sz w:val="32"/>
          <w:szCs w:val="32"/>
        </w:rPr>
        <w:t>1.一般公共服务（类）民族事务（款）民族工作专项（项）：支出决算为0.19万元，完成预算100%，决算数等于预算数。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2.一般公共服务（类）民主党派及工商联事务（款）其他民主党派及工商联事务支出（项）：支出决算为12.84万元，完成预算100%，决算数等于预算数。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3.一般公共服务（类）统战事务（款）行政运行（项）：支出决算为103.27万元，完成预算100%，决算数等于预算数。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 xml:space="preserve">4.一般公共服务（类）统战事务（款）宗教事务（项）：支出决算为10.8万元，完成预算100%，决算数等于预算数。               </w:t>
      </w:r>
    </w:p>
    <w:p>
      <w:pPr>
        <w:spacing w:line="600" w:lineRule="exact"/>
        <w:ind w:firstLine="640" w:firstLineChars="200"/>
        <w:rPr>
          <w:rFonts w:eastAsia="仿宋_GB2312" w:cs="仿宋_GB2312"/>
          <w:sz w:val="32"/>
          <w:szCs w:val="32"/>
        </w:rPr>
      </w:pPr>
      <w:r>
        <w:rPr>
          <w:rFonts w:hint="eastAsia" w:eastAsia="仿宋_GB2312" w:cs="仿宋_GB2312"/>
          <w:sz w:val="32"/>
          <w:szCs w:val="32"/>
        </w:rPr>
        <w:t>5.一般公共服务（类）统战事务（款）其他统战事务支出（项）：支出决算为15.68万元，完成预算100%，决算数等于预算数。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6.社会保障和就业（类）行政事业单位养老支出（款）机关事业单位基本养老保险支出（项）：支出决算为9.23万元，完成预算100%，决算数等于预算数。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7.社会保障和就业（类）行政事业单位养老支出（款）机关事业单位职业年金缴费支出（项）：支出决算为4.67万元，完成预算100%，决算数等于预算数。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8.社会保障和就业（类）行政事业单位养老支出（款）其他行政事业单位养老支出（项）：支出决算为7.12万元，完成预算100%，决算数等于预算数。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9.社会保障和就业（类）其他社会保障和就业支出（款）其他社会保障和就业支出（项）：支出决算为0.79万元，完成预算100%，决算数等于预算数。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10.卫生健康（类）行政事业单位医疗（款）行政单位医疗（项）：支出决算为3.06万元，完成预算100%，决算数等于预算数。</w:t>
      </w:r>
    </w:p>
    <w:p>
      <w:pPr>
        <w:spacing w:line="600" w:lineRule="exact"/>
        <w:ind w:firstLine="640" w:firstLineChars="200"/>
        <w:rPr>
          <w:rFonts w:eastAsia="仿宋_GB2312" w:cs="仿宋_GB2312"/>
          <w:sz w:val="32"/>
          <w:szCs w:val="32"/>
        </w:rPr>
      </w:pPr>
      <w:r>
        <w:rPr>
          <w:rFonts w:hint="eastAsia" w:eastAsia="仿宋_GB2312" w:cs="仿宋_GB2312"/>
          <w:sz w:val="32"/>
          <w:szCs w:val="32"/>
        </w:rPr>
        <w:t>11.卫生健康（类）行政事业单位医疗（款）公务员医疗补助（项）：支出决算为1.4万元，完成预算100%，决算数等于预算数。</w:t>
      </w:r>
    </w:p>
    <w:p>
      <w:pPr>
        <w:spacing w:line="600" w:lineRule="exact"/>
        <w:ind w:firstLine="640"/>
        <w:rPr>
          <w:rFonts w:eastAsia="仿宋_GB2312" w:cs="仿宋_GB2312"/>
          <w:sz w:val="32"/>
          <w:szCs w:val="32"/>
        </w:rPr>
      </w:pPr>
      <w:r>
        <w:rPr>
          <w:rFonts w:hint="eastAsia" w:eastAsia="仿宋_GB2312" w:cs="仿宋_GB2312"/>
          <w:sz w:val="32"/>
          <w:szCs w:val="32"/>
        </w:rPr>
        <w:t>12.住房保障（类）住房改革支出（款）住房公积金（项）：支出决算为9.2万元，完成预算100%，决算数等于预算数。</w:t>
      </w:r>
    </w:p>
    <w:p>
      <w:pPr>
        <w:tabs>
          <w:tab w:val="right" w:pos="8306"/>
        </w:tabs>
        <w:spacing w:line="600" w:lineRule="exact"/>
        <w:ind w:firstLine="640"/>
        <w:outlineLvl w:val="1"/>
        <w:rPr>
          <w:rStyle w:val="29"/>
          <w:rFonts w:ascii="Times New Roman" w:hAnsi="Times New Roman"/>
        </w:rPr>
      </w:pPr>
      <w:bookmarkStart w:id="75" w:name="_Toc15396608"/>
      <w:bookmarkStart w:id="76" w:name="_Toc15377214"/>
      <w:bookmarkStart w:id="77" w:name="_Toc14258_WPSOffice_Level2"/>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75"/>
      <w:bookmarkEnd w:id="76"/>
      <w:bookmarkEnd w:id="77"/>
      <w:r>
        <w:rPr>
          <w:rStyle w:val="29"/>
          <w:rFonts w:ascii="Times New Roman" w:hAnsi="Times New Roman" w:eastAsia="黑体"/>
          <w:b w:val="0"/>
        </w:rPr>
        <w:tab/>
      </w:r>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w:t>
      </w:r>
      <w:r>
        <w:rPr>
          <w:rFonts w:hint="eastAsia" w:ascii="仿宋_GB2312" w:hAnsi="仿宋_GB2312" w:eastAsia="仿宋_GB2312" w:cs="仿宋_GB2312"/>
          <w:sz w:val="32"/>
          <w:szCs w:val="32"/>
        </w:rPr>
        <w:t>138.67万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ascii="仿宋_GB2312" w:hAnsi="仿宋_GB2312" w:eastAsia="仿宋_GB2312" w:cs="仿宋_GB2312"/>
          <w:sz w:val="32"/>
          <w:szCs w:val="32"/>
        </w:rPr>
        <w:t>118.76万</w:t>
      </w:r>
      <w:r>
        <w:rPr>
          <w:rFonts w:hint="eastAsia" w:eastAsia="仿宋_GB2312" w:cs="仿宋_GB2312"/>
          <w:sz w:val="32"/>
          <w:szCs w:val="32"/>
        </w:rPr>
        <w:t>元，主要包括：基本工资、津贴补贴、奖金、伙食补助费、绩效工资、机关事业单位基本养老保险缴费、职业年金缴费、其他社会保障缴费、生活补助、住房公积金、其他对个人和家庭的补助支出等。</w:t>
      </w:r>
      <w:r>
        <w:rPr>
          <w:rFonts w:hint="eastAsia" w:eastAsia="仿宋_GB2312" w:cs="仿宋_GB2312"/>
          <w:sz w:val="32"/>
          <w:szCs w:val="32"/>
        </w:rPr>
        <w:br w:type="textWrapping"/>
      </w:r>
      <w:r>
        <w:rPr>
          <w:rFonts w:hint="eastAsia" w:eastAsia="仿宋_GB2312" w:cs="仿宋_GB2312"/>
          <w:sz w:val="32"/>
          <w:szCs w:val="32"/>
        </w:rPr>
        <w:t>　　公用经费</w:t>
      </w:r>
      <w:r>
        <w:rPr>
          <w:rFonts w:hint="eastAsia" w:ascii="仿宋_GB2312" w:hAnsi="仿宋_GB2312" w:eastAsia="仿宋_GB2312" w:cs="仿宋_GB2312"/>
          <w:sz w:val="32"/>
          <w:szCs w:val="32"/>
        </w:rPr>
        <w:t>19.92万</w:t>
      </w:r>
      <w:r>
        <w:rPr>
          <w:rFonts w:hint="eastAsia" w:eastAsia="仿宋_GB2312" w:cs="仿宋_GB2312"/>
          <w:sz w:val="32"/>
          <w:szCs w:val="32"/>
        </w:rPr>
        <w:t>元，主要包括：办公费、电费、邮电费、差旅费、会议费、公务接待费、委托业务费、工会经费、福利费、其他交通费、等。</w:t>
      </w:r>
    </w:p>
    <w:p>
      <w:pPr>
        <w:spacing w:line="600" w:lineRule="exact"/>
        <w:ind w:firstLine="640"/>
        <w:rPr>
          <w:rFonts w:hint="eastAsia" w:eastAsia="仿宋_GB2312" w:cs="仿宋_GB2312"/>
          <w:b/>
          <w:bCs/>
          <w:sz w:val="32"/>
          <w:szCs w:val="32"/>
        </w:rPr>
      </w:pPr>
      <w:r>
        <w:rPr>
          <w:rFonts w:hint="eastAsia" w:eastAsia="仿宋_GB2312" w:cs="仿宋_GB2312"/>
          <w:b/>
          <w:bCs/>
          <w:sz w:val="32"/>
          <w:szCs w:val="32"/>
        </w:rPr>
        <w:t>（注：仅罗列本部门实际支出涉及的经济分类科目）</w:t>
      </w:r>
    </w:p>
    <w:p>
      <w:pPr>
        <w:spacing w:line="600" w:lineRule="exact"/>
        <w:ind w:firstLine="640"/>
        <w:outlineLvl w:val="1"/>
        <w:rPr>
          <w:rStyle w:val="29"/>
          <w:rFonts w:ascii="Times New Roman" w:hAnsi="Times New Roman" w:eastAsia="黑体"/>
          <w:b w:val="0"/>
        </w:rPr>
      </w:pPr>
      <w:bookmarkStart w:id="78" w:name="_Toc15377215"/>
      <w:bookmarkStart w:id="79" w:name="_Toc15396609"/>
      <w:bookmarkStart w:id="80" w:name="_Toc6501_WPSOffice_Level2"/>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78"/>
      <w:bookmarkEnd w:id="79"/>
      <w:bookmarkEnd w:id="80"/>
    </w:p>
    <w:p>
      <w:pPr>
        <w:spacing w:line="600" w:lineRule="exact"/>
        <w:ind w:firstLine="643" w:firstLineChars="200"/>
        <w:outlineLvl w:val="2"/>
        <w:rPr>
          <w:rFonts w:eastAsia="楷体_GB2312" w:cs="楷体_GB2312"/>
          <w:b/>
          <w:sz w:val="32"/>
          <w:szCs w:val="32"/>
        </w:rPr>
      </w:pPr>
      <w:bookmarkStart w:id="81" w:name="_Toc15377216"/>
      <w:r>
        <w:rPr>
          <w:rFonts w:hint="eastAsia" w:eastAsia="楷体_GB2312" w:cs="楷体_GB2312"/>
          <w:b/>
          <w:sz w:val="32"/>
          <w:szCs w:val="32"/>
        </w:rPr>
        <w:t>（一）“三公”经费财政拨款支出决算总体情况说明</w:t>
      </w:r>
      <w:bookmarkEnd w:id="81"/>
    </w:p>
    <w:p>
      <w:pPr>
        <w:spacing w:line="600" w:lineRule="exact"/>
        <w:ind w:firstLine="640"/>
        <w:rPr>
          <w:rFonts w:eastAsia="仿宋_GB2312" w:cs="仿宋_GB2312"/>
          <w:sz w:val="32"/>
          <w:szCs w:val="32"/>
        </w:rPr>
      </w:pPr>
      <w:r>
        <w:rPr>
          <w:rFonts w:hint="eastAsia" w:eastAsia="仿宋_GB2312" w:cs="仿宋_GB2312"/>
          <w:sz w:val="32"/>
          <w:szCs w:val="32"/>
        </w:rPr>
        <w:t>2024年度“三公”经费财政拨款支出决算为</w:t>
      </w:r>
      <w:r>
        <w:rPr>
          <w:rFonts w:hint="eastAsia" w:ascii="仿宋_GB2312" w:hAnsi="仿宋_GB2312" w:eastAsia="仿宋_GB2312" w:cs="仿宋_GB2312"/>
          <w:sz w:val="32"/>
          <w:szCs w:val="32"/>
        </w:rPr>
        <w:t>2.3万元，完成预算100%，</w:t>
      </w:r>
      <w:r>
        <w:rPr>
          <w:rFonts w:hint="eastAsia" w:eastAsia="仿宋_GB2312" w:cs="仿宋_GB2312"/>
          <w:sz w:val="32"/>
          <w:szCs w:val="32"/>
        </w:rPr>
        <w:t>较上年度增加1万元，增长76.9%。决算数与预算数持平。</w:t>
      </w:r>
    </w:p>
    <w:p>
      <w:pPr>
        <w:spacing w:line="600" w:lineRule="exact"/>
        <w:ind w:firstLine="643" w:firstLineChars="200"/>
        <w:outlineLvl w:val="2"/>
        <w:rPr>
          <w:rFonts w:eastAsia="楷体_GB2312" w:cs="楷体_GB2312"/>
          <w:b/>
          <w:sz w:val="32"/>
          <w:szCs w:val="32"/>
        </w:rPr>
      </w:pPr>
      <w:bookmarkStart w:id="82" w:name="_Toc15377217"/>
      <w:r>
        <w:rPr>
          <w:rFonts w:hint="eastAsia" w:eastAsia="楷体_GB2312" w:cs="楷体_GB2312"/>
          <w:b/>
          <w:sz w:val="32"/>
          <w:szCs w:val="32"/>
        </w:rPr>
        <w:t>（二）“三公”经费财政拨款支出决算具体情况说明</w:t>
      </w:r>
      <w:bookmarkEnd w:id="82"/>
    </w:p>
    <w:p>
      <w:pPr>
        <w:spacing w:line="600" w:lineRule="exact"/>
        <w:ind w:firstLine="64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2024年度“三公”经费财政拨款支出决算中，因公出国（境）费支出决算0万元，占0%；公务用车购置及运行维护费支出决算0万元，占0%；公务接待费支出决算2.3万元，占100%。具体情况如下：</w:t>
      </w:r>
    </w:p>
    <w:p>
      <w:pPr>
        <w:pStyle w:val="3"/>
        <w:ind w:left="420"/>
        <w:rPr>
          <w:rFonts w:hint="eastAsia"/>
        </w:rPr>
      </w:pPr>
      <w:r>
        <w:drawing>
          <wp:inline distT="0" distB="0" distL="0" distR="0">
            <wp:extent cx="4451350" cy="3486150"/>
            <wp:effectExtent l="0" t="0" r="6350" b="0"/>
            <wp:docPr id="2014971709"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rPr>
          <w:rFonts w:eastAsia="仿宋_GB2312" w:cs="仿宋_GB2312"/>
          <w:sz w:val="32"/>
          <w:szCs w:val="32"/>
        </w:rPr>
      </w:pPr>
      <w:r>
        <w:rPr>
          <w:rFonts w:hint="eastAsia" w:eastAsia="仿宋_GB2312" w:cs="仿宋_GB2312"/>
          <w:sz w:val="32"/>
          <w:szCs w:val="32"/>
        </w:rPr>
        <w:t>（图7：“三公”经费财政拨款支出结构）（饼状图）</w:t>
      </w:r>
    </w:p>
    <w:p>
      <w:pPr>
        <w:spacing w:line="600" w:lineRule="exact"/>
        <w:ind w:firstLine="640"/>
        <w:rPr>
          <w:rFonts w:eastAsia="仿宋_GB2312" w:cs="仿宋_GB2312"/>
          <w:sz w:val="32"/>
          <w:szCs w:val="32"/>
        </w:rPr>
      </w:pPr>
      <w:r>
        <w:rPr>
          <w:rFonts w:hint="eastAsia" w:eastAsia="仿宋_GB2312" w:cs="仿宋_GB2312"/>
          <w:b/>
          <w:bCs/>
          <w:sz w:val="32"/>
          <w:szCs w:val="32"/>
        </w:rPr>
        <w:t>1.因公出国（境）经费支出0万元，完成预算0%。</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组0</w:t>
      </w:r>
      <w:r>
        <w:rPr>
          <w:rFonts w:hint="eastAsia" w:eastAsia="仿宋_GB2312" w:cs="仿宋_GB2312"/>
          <w:sz w:val="32"/>
          <w:szCs w:val="32"/>
        </w:rPr>
        <w:t>次，出国（境）</w:t>
      </w:r>
      <w:r>
        <w:rPr>
          <w:rFonts w:hint="eastAsia" w:ascii="仿宋_GB2312" w:hAnsi="仿宋_GB2312" w:eastAsia="仿宋_GB2312" w:cs="仿宋_GB2312"/>
          <w:sz w:val="32"/>
          <w:szCs w:val="32"/>
        </w:rPr>
        <w:t>0人</w:t>
      </w:r>
      <w:r>
        <w:rPr>
          <w:rFonts w:hint="eastAsia" w:eastAsia="仿宋_GB2312" w:cs="仿宋_GB2312"/>
          <w:sz w:val="32"/>
          <w:szCs w:val="32"/>
        </w:rPr>
        <w:t>。因公出国（境）支出决算比2023年增加/减少0万元，增长/下降0%。主要原因是无</w:t>
      </w:r>
    </w:p>
    <w:p>
      <w:pPr>
        <w:spacing w:line="600" w:lineRule="exact"/>
        <w:ind w:firstLine="640"/>
        <w:rPr>
          <w:rFonts w:eastAsia="仿宋_GB2312" w:cs="仿宋_GB2312"/>
          <w:sz w:val="32"/>
          <w:szCs w:val="32"/>
        </w:rPr>
      </w:pPr>
      <w:r>
        <w:rPr>
          <w:rFonts w:hint="eastAsia" w:eastAsia="仿宋_GB2312" w:cs="仿宋_GB2312"/>
          <w:sz w:val="32"/>
          <w:szCs w:val="32"/>
        </w:rPr>
        <w:t>开支内容包括：无（团组名称、出访地点、取得成效等）</w:t>
      </w:r>
    </w:p>
    <w:p>
      <w:pPr>
        <w:spacing w:line="600" w:lineRule="exact"/>
        <w:ind w:firstLine="640"/>
        <w:rPr>
          <w:rFonts w:eastAsia="仿宋_GB2312" w:cs="仿宋_GB2312"/>
          <w:sz w:val="32"/>
          <w:szCs w:val="32"/>
        </w:rPr>
      </w:pPr>
      <w:r>
        <w:rPr>
          <w:rFonts w:hint="eastAsia" w:eastAsia="仿宋_GB2312" w:cs="仿宋_GB2312"/>
          <w:b/>
          <w:bCs/>
          <w:sz w:val="32"/>
          <w:szCs w:val="32"/>
        </w:rPr>
        <w:t>2.公务用车购置及运行维护费支出</w:t>
      </w:r>
      <w:r>
        <w:rPr>
          <w:rFonts w:hint="eastAsia" w:ascii="仿宋_GB2312" w:hAnsi="仿宋_GB2312" w:eastAsia="仿宋_GB2312" w:cs="仿宋_GB2312"/>
          <w:b/>
          <w:bCs/>
          <w:sz w:val="32"/>
          <w:szCs w:val="32"/>
        </w:rPr>
        <w:t>0万</w:t>
      </w:r>
      <w:r>
        <w:rPr>
          <w:rFonts w:hint="eastAsia" w:eastAsia="仿宋_GB2312" w:cs="仿宋_GB2312"/>
          <w:b/>
          <w:bCs/>
          <w:sz w:val="32"/>
          <w:szCs w:val="32"/>
        </w:rPr>
        <w:t>元，完成预算0%。</w:t>
      </w:r>
      <w:r>
        <w:rPr>
          <w:rFonts w:hint="eastAsia" w:eastAsia="仿宋_GB2312" w:cs="仿宋_GB2312"/>
          <w:sz w:val="32"/>
          <w:szCs w:val="32"/>
        </w:rPr>
        <w:t>公务用车购置及运行维护费支出决算比2023年度增加/减少0万元，增长/下降0%。主要原因是无</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出0</w:t>
      </w:r>
      <w:r>
        <w:rPr>
          <w:rFonts w:hint="eastAsia" w:eastAsia="仿宋_GB2312" w:cs="仿宋_GB2312"/>
          <w:sz w:val="32"/>
          <w:szCs w:val="32"/>
        </w:rPr>
        <w:t>万元。全年按规定更新购置公务用车0辆，其中：轿车0辆、金额0万元，越野车0辆、金额0万元，载客汽车0辆、金额0万元，主要用于无。截至2024年12月31日，单位共有公务用车0辆，其中：轿车0辆、越野车0辆、载客汽车0辆。</w:t>
      </w:r>
    </w:p>
    <w:p>
      <w:pPr>
        <w:spacing w:line="600" w:lineRule="exact"/>
        <w:ind w:firstLine="640"/>
        <w:rPr>
          <w:rFonts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出0</w:t>
      </w:r>
      <w:r>
        <w:rPr>
          <w:rFonts w:hint="eastAsia" w:eastAsia="仿宋_GB2312" w:cs="仿宋_GB2312"/>
          <w:sz w:val="32"/>
          <w:szCs w:val="32"/>
        </w:rPr>
        <w:t>万元。主要用于无（具体工作）所需的公务用车燃料费、维修费、过路过桥费、保险费等支出。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ascii="仿宋_GB2312" w:hAnsi="仿宋_GB2312" w:eastAsia="仿宋_GB2312" w:cs="仿宋_GB2312"/>
          <w:b/>
          <w:bCs/>
          <w:sz w:val="32"/>
          <w:szCs w:val="32"/>
        </w:rPr>
        <w:t>2.3万</w:t>
      </w:r>
      <w:r>
        <w:rPr>
          <w:rFonts w:hint="eastAsia" w:eastAsia="仿宋_GB2312" w:cs="仿宋_GB2312"/>
          <w:b/>
          <w:bCs/>
          <w:sz w:val="32"/>
          <w:szCs w:val="32"/>
        </w:rPr>
        <w:t>元，完成预算100%。</w:t>
      </w:r>
      <w:r>
        <w:rPr>
          <w:rFonts w:hint="eastAsia" w:eastAsia="仿宋_GB2312" w:cs="仿宋_GB2312"/>
          <w:sz w:val="32"/>
          <w:szCs w:val="32"/>
        </w:rPr>
        <w:t>公务接待费支出决算比2023年度增加1万元，增长76.9%。主要原因是接待次数增加。其中：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sz w:val="32"/>
          <w:szCs w:val="32"/>
        </w:rPr>
        <w:t>国内公务接待支</w:t>
      </w:r>
      <w:r>
        <w:rPr>
          <w:rFonts w:hint="eastAsia" w:ascii="仿宋_GB2312" w:hAnsi="仿宋_GB2312" w:eastAsia="仿宋_GB2312" w:cs="仿宋_GB2312"/>
          <w:sz w:val="32"/>
          <w:szCs w:val="32"/>
        </w:rPr>
        <w:t>出2.3万</w:t>
      </w:r>
      <w:r>
        <w:rPr>
          <w:rFonts w:hint="eastAsia" w:eastAsia="仿宋_GB2312" w:cs="仿宋_GB2312"/>
          <w:sz w:val="32"/>
          <w:szCs w:val="32"/>
        </w:rPr>
        <w:t>元，主要用于执行公务、开展业务活动开支的交通费、住宿费、用餐费等。国内公务接</w:t>
      </w:r>
      <w:r>
        <w:rPr>
          <w:rFonts w:hint="eastAsia" w:ascii="仿宋_GB2312" w:hAnsi="仿宋_GB2312" w:eastAsia="仿宋_GB2312" w:cs="仿宋_GB2312"/>
          <w:sz w:val="32"/>
          <w:szCs w:val="32"/>
        </w:rPr>
        <w:t>待</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批次，331</w:t>
      </w:r>
      <w:r>
        <w:rPr>
          <w:rFonts w:hint="eastAsia" w:eastAsia="仿宋_GB2312" w:cs="仿宋_GB2312"/>
          <w:sz w:val="32"/>
          <w:szCs w:val="32"/>
        </w:rPr>
        <w:t>人次（不包括陪同人员），共计支出2.3万元，</w:t>
      </w:r>
      <w:r>
        <w:rPr>
          <w:rFonts w:hint="eastAsia" w:eastAsia="仿宋_GB2312" w:cs="仿宋_GB2312"/>
          <w:sz w:val="32"/>
          <w:szCs w:val="32"/>
          <w:highlight w:val="none"/>
        </w:rPr>
        <w:t>具体内容包括：</w:t>
      </w:r>
      <w:r>
        <w:rPr>
          <w:rFonts w:hint="eastAsia" w:ascii="仿宋_GB2312" w:eastAsia="仿宋_GB2312"/>
          <w:sz w:val="32"/>
          <w:szCs w:val="32"/>
          <w:highlight w:val="none"/>
          <w:lang w:val="en-US" w:eastAsia="zh-CN"/>
        </w:rPr>
        <w:t>汉源县统战部来桥调研接待费用3845元 ；犍为县、井研县统战部来桥调研2次接待费用6070元；中央统战部来桥调研接待费用1498；省委统一战线领导小组督查工作接待费用1700元；</w:t>
      </w:r>
      <w:r>
        <w:rPr>
          <w:rFonts w:hint="eastAsia" w:ascii="仿宋_GB2312" w:eastAsia="仿宋_GB2312"/>
          <w:sz w:val="32"/>
          <w:szCs w:val="32"/>
          <w:highlight w:val="none"/>
          <w:lang w:eastAsia="zh-CN"/>
        </w:rPr>
        <w:t>省委台办来桥调研</w:t>
      </w:r>
      <w:r>
        <w:rPr>
          <w:rFonts w:hint="eastAsia" w:ascii="仿宋_GB2312" w:eastAsia="仿宋_GB2312"/>
          <w:sz w:val="32"/>
          <w:szCs w:val="32"/>
          <w:highlight w:val="none"/>
          <w:lang w:val="en-US" w:eastAsia="zh-CN"/>
        </w:rPr>
        <w:t>2次</w:t>
      </w:r>
      <w:r>
        <w:rPr>
          <w:rFonts w:hint="eastAsia" w:ascii="仿宋_GB2312" w:eastAsia="仿宋_GB2312"/>
          <w:sz w:val="32"/>
          <w:szCs w:val="32"/>
          <w:highlight w:val="none"/>
          <w:lang w:eastAsia="zh-CN"/>
        </w:rPr>
        <w:t>接待费用</w:t>
      </w:r>
      <w:r>
        <w:rPr>
          <w:rFonts w:hint="eastAsia" w:ascii="仿宋_GB2312" w:eastAsia="仿宋_GB2312"/>
          <w:sz w:val="32"/>
          <w:szCs w:val="32"/>
          <w:highlight w:val="none"/>
          <w:lang w:val="en-US" w:eastAsia="zh-CN"/>
        </w:rPr>
        <w:t>1650元；台胞回桥探亲等3次接待费用3607；市统战、市民宗委来桥调研2次接待费用4913元</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eastAsia="仿宋_GB2312" w:cs="仿宋_GB2312"/>
          <w:sz w:val="32"/>
          <w:szCs w:val="32"/>
        </w:rPr>
      </w:pPr>
      <w:r>
        <w:rPr>
          <w:rFonts w:hint="eastAsia" w:eastAsia="仿宋_GB2312" w:cs="仿宋_GB2312"/>
          <w:sz w:val="32"/>
          <w:szCs w:val="32"/>
        </w:rPr>
        <w:t>外事接待支</w:t>
      </w:r>
      <w:r>
        <w:rPr>
          <w:rFonts w:hint="eastAsia" w:ascii="仿宋_GB2312" w:hAnsi="仿宋_GB2312" w:eastAsia="仿宋_GB2312" w:cs="仿宋_GB2312"/>
          <w:sz w:val="32"/>
          <w:szCs w:val="32"/>
        </w:rPr>
        <w:t>出0万元，主要用于无（具体项目）。外事接待0批次，0人次（不包括陪同人员），共计支出0万</w:t>
      </w:r>
      <w:r>
        <w:rPr>
          <w:rFonts w:hint="eastAsia" w:eastAsia="仿宋_GB2312" w:cs="仿宋_GB2312"/>
          <w:sz w:val="32"/>
          <w:szCs w:val="32"/>
        </w:rPr>
        <w:t>元。</w:t>
      </w:r>
      <w:bookmarkStart w:id="83" w:name="_Toc15377218"/>
      <w:bookmarkStart w:id="84" w:name="_Toc15396610"/>
    </w:p>
    <w:p>
      <w:pPr>
        <w:spacing w:line="600" w:lineRule="exact"/>
        <w:ind w:firstLine="640"/>
        <w:outlineLvl w:val="1"/>
        <w:rPr>
          <w:rStyle w:val="29"/>
          <w:rFonts w:ascii="Times New Roman" w:hAnsi="Times New Roman" w:eastAsia="黑体"/>
        </w:rPr>
      </w:pPr>
      <w:bookmarkStart w:id="85" w:name="_Toc4276_WPSOffice_Level2"/>
      <w:r>
        <w:rPr>
          <w:rFonts w:hint="eastAsia" w:eastAsia="黑体"/>
          <w:sz w:val="32"/>
          <w:szCs w:val="32"/>
        </w:rPr>
        <w:t>八、</w:t>
      </w:r>
      <w:r>
        <w:rPr>
          <w:rStyle w:val="29"/>
          <w:rFonts w:hint="eastAsia" w:ascii="Times New Roman" w:hAnsi="Times New Roman" w:eastAsia="黑体"/>
          <w:b w:val="0"/>
        </w:rPr>
        <w:t>政府性基金预算支出决算情况说明</w:t>
      </w:r>
      <w:bookmarkEnd w:id="83"/>
      <w:bookmarkEnd w:id="84"/>
      <w:bookmarkEnd w:id="85"/>
    </w:p>
    <w:p>
      <w:pPr>
        <w:spacing w:line="600" w:lineRule="exact"/>
        <w:ind w:firstLine="640"/>
        <w:rPr>
          <w:rFonts w:hint="eastAsia" w:eastAsia="仿宋_GB2312" w:cs="仿宋_GB2312"/>
          <w:b/>
          <w:bCs/>
          <w:sz w:val="32"/>
          <w:szCs w:val="32"/>
        </w:rPr>
      </w:pPr>
      <w:r>
        <w:rPr>
          <w:rFonts w:hint="eastAsia" w:ascii="仿宋_GB2312" w:hAnsi="仿宋_GB2312" w:eastAsia="仿宋_GB2312" w:cs="仿宋_GB2312"/>
          <w:sz w:val="32"/>
          <w:szCs w:val="32"/>
        </w:rPr>
        <w:t>2024年度政府性基金预算财政拨款支出0万元，占本年支出合计的0%</w:t>
      </w:r>
      <w:r>
        <w:rPr>
          <w:rFonts w:hint="eastAsia" w:eastAsia="仿宋_GB2312" w:cs="仿宋_GB2312"/>
          <w:sz w:val="32"/>
          <w:szCs w:val="32"/>
        </w:rPr>
        <w:t>。与2023年度相比，政府性基金预算财政拨款支出增加/减少0万元，增长/下降0%。主要变动原因是无</w:t>
      </w:r>
    </w:p>
    <w:p>
      <w:pPr>
        <w:spacing w:line="600" w:lineRule="exact"/>
        <w:ind w:left="630"/>
        <w:outlineLvl w:val="1"/>
        <w:rPr>
          <w:rStyle w:val="29"/>
          <w:rFonts w:ascii="Times New Roman" w:hAnsi="Times New Roman" w:eastAsia="黑体"/>
          <w:b w:val="0"/>
        </w:rPr>
      </w:pPr>
      <w:bookmarkStart w:id="86" w:name="_Toc15396611"/>
      <w:bookmarkStart w:id="87" w:name="_Toc15377219"/>
      <w:bookmarkStart w:id="88" w:name="_Toc644_WPSOffice_Level2"/>
      <w:r>
        <w:rPr>
          <w:rStyle w:val="29"/>
          <w:rFonts w:hint="eastAsia" w:ascii="Times New Roman" w:hAnsi="Times New Roman" w:eastAsia="黑体"/>
          <w:b w:val="0"/>
        </w:rPr>
        <w:t>九、国有资本经营预算支出决算情况说明</w:t>
      </w:r>
      <w:bookmarkEnd w:id="86"/>
      <w:bookmarkEnd w:id="87"/>
      <w:bookmarkEnd w:id="88"/>
    </w:p>
    <w:p>
      <w:pPr>
        <w:spacing w:line="600" w:lineRule="exact"/>
        <w:ind w:firstLine="640"/>
        <w:rPr>
          <w:rFonts w:hint="eastAsia" w:eastAsia="仿宋_GB2312" w:cs="仿宋_GB2312"/>
          <w:sz w:val="32"/>
          <w:szCs w:val="32"/>
        </w:rPr>
      </w:pPr>
      <w:r>
        <w:rPr>
          <w:rFonts w:hint="eastAsia" w:eastAsia="仿宋_GB2312" w:cs="仿宋_GB2312"/>
          <w:sz w:val="32"/>
          <w:szCs w:val="32"/>
        </w:rPr>
        <w:t>2024年度国有资本经营预算财政拨款支出</w:t>
      </w:r>
      <w:r>
        <w:rPr>
          <w:rFonts w:hint="eastAsia" w:ascii="仿宋_GB2312" w:hAnsi="仿宋_GB2312" w:eastAsia="仿宋_GB2312" w:cs="仿宋_GB2312"/>
          <w:sz w:val="32"/>
          <w:szCs w:val="32"/>
        </w:rPr>
        <w:t>0万元，占本年支出合计的0%</w:t>
      </w:r>
      <w:r>
        <w:rPr>
          <w:rFonts w:hint="eastAsia" w:eastAsia="仿宋_GB2312" w:cs="仿宋_GB2312"/>
          <w:sz w:val="32"/>
          <w:szCs w:val="32"/>
        </w:rPr>
        <w:t>。与2023年度相比，国有资本经营预算财政拨款支出增加/减少0万元，增长/下降0%。主要变动原因是无</w:t>
      </w:r>
      <w:r>
        <w:rPr>
          <w:rFonts w:hint="eastAsia" w:eastAsia="仿宋_GB2312" w:cs="仿宋_GB2312"/>
          <w:b/>
          <w:bCs/>
          <w:sz w:val="32"/>
          <w:szCs w:val="32"/>
        </w:rPr>
        <w:t>。</w:t>
      </w:r>
    </w:p>
    <w:p>
      <w:pPr>
        <w:spacing w:line="600" w:lineRule="exact"/>
        <w:ind w:left="630"/>
        <w:outlineLvl w:val="1"/>
        <w:rPr>
          <w:rStyle w:val="29"/>
          <w:rFonts w:ascii="Times New Roman" w:hAnsi="Times New Roman" w:eastAsia="黑体"/>
          <w:b w:val="0"/>
          <w:highlight w:val="none"/>
        </w:rPr>
      </w:pPr>
      <w:bookmarkStart w:id="89" w:name="_Toc15396612"/>
      <w:bookmarkStart w:id="90" w:name="_Toc15377221"/>
      <w:bookmarkStart w:id="91" w:name="_Toc24334_WPSOffice_Level2"/>
      <w:r>
        <w:rPr>
          <w:rStyle w:val="29"/>
          <w:rFonts w:hint="eastAsia" w:ascii="Times New Roman" w:hAnsi="Times New Roman" w:eastAsia="黑体"/>
          <w:b w:val="0"/>
          <w:highlight w:val="none"/>
        </w:rPr>
        <w:t>十、其他重要事项的情况说明</w:t>
      </w:r>
      <w:bookmarkEnd w:id="89"/>
      <w:bookmarkEnd w:id="90"/>
      <w:bookmarkEnd w:id="91"/>
    </w:p>
    <w:p>
      <w:pPr>
        <w:spacing w:line="600" w:lineRule="exact"/>
        <w:ind w:firstLine="643" w:firstLineChars="200"/>
        <w:outlineLvl w:val="2"/>
        <w:rPr>
          <w:rFonts w:eastAsia="楷体_GB2312" w:cs="楷体_GB2312"/>
          <w:b/>
          <w:sz w:val="32"/>
          <w:szCs w:val="32"/>
        </w:rPr>
      </w:pPr>
      <w:bookmarkStart w:id="92" w:name="_Toc15377222"/>
      <w:r>
        <w:rPr>
          <w:rFonts w:hint="eastAsia" w:eastAsia="楷体_GB2312" w:cs="楷体_GB2312"/>
          <w:b/>
          <w:sz w:val="32"/>
          <w:szCs w:val="32"/>
        </w:rPr>
        <w:t>（一）机关运行经费支出情况</w:t>
      </w:r>
      <w:bookmarkEnd w:id="92"/>
    </w:p>
    <w:p>
      <w:pPr>
        <w:spacing w:line="600" w:lineRule="exact"/>
        <w:ind w:firstLine="640"/>
        <w:rPr>
          <w:rFonts w:eastAsia="仿宋_GB2312" w:cs="仿宋_GB2312"/>
          <w:sz w:val="32"/>
          <w:szCs w:val="32"/>
        </w:rPr>
      </w:pPr>
      <w:r>
        <w:rPr>
          <w:rFonts w:hint="eastAsia" w:eastAsia="仿宋_GB2312" w:cs="仿宋_GB2312"/>
          <w:sz w:val="32"/>
          <w:szCs w:val="32"/>
        </w:rPr>
        <w:t>2024年度</w:t>
      </w:r>
      <w:r>
        <w:rPr>
          <w:rFonts w:hint="eastAsia" w:ascii="仿宋_GB2312" w:hAnsi="仿宋_GB2312" w:eastAsia="仿宋_GB2312" w:cs="仿宋_GB2312"/>
          <w:sz w:val="32"/>
          <w:szCs w:val="32"/>
        </w:rPr>
        <w:t>，中共乐山市五通桥区委统一战线工作部（本级）机关运行经费支出19.92万</w:t>
      </w:r>
      <w:r>
        <w:rPr>
          <w:rFonts w:hint="eastAsia" w:eastAsia="仿宋_GB2312" w:cs="仿宋_GB2312"/>
          <w:sz w:val="32"/>
          <w:szCs w:val="32"/>
        </w:rPr>
        <w:t>元，比2023年度增加</w:t>
      </w:r>
      <w:r>
        <w:rPr>
          <w:rFonts w:hint="eastAsia" w:eastAsia="仿宋_GB2312" w:cs="仿宋_GB2312"/>
          <w:sz w:val="32"/>
          <w:szCs w:val="32"/>
          <w:lang w:val="en-US" w:eastAsia="zh-CN"/>
        </w:rPr>
        <w:t>0.76</w:t>
      </w:r>
      <w:r>
        <w:rPr>
          <w:rFonts w:hint="eastAsia" w:eastAsia="仿宋_GB2312" w:cs="仿宋_GB2312"/>
          <w:sz w:val="32"/>
          <w:szCs w:val="32"/>
        </w:rPr>
        <w:t>万元，增长</w:t>
      </w:r>
      <w:r>
        <w:rPr>
          <w:rFonts w:hint="eastAsia" w:eastAsia="仿宋_GB2312" w:cs="仿宋_GB2312"/>
          <w:sz w:val="32"/>
          <w:szCs w:val="32"/>
          <w:lang w:val="en-US" w:eastAsia="zh-CN"/>
        </w:rPr>
        <w:t>3.97</w:t>
      </w:r>
      <w:r>
        <w:rPr>
          <w:rFonts w:hint="eastAsia" w:eastAsia="仿宋_GB2312" w:cs="仿宋_GB2312"/>
          <w:sz w:val="32"/>
          <w:szCs w:val="32"/>
        </w:rPr>
        <w:t>%。主要原因是</w:t>
      </w:r>
      <w:r>
        <w:rPr>
          <w:rFonts w:hint="eastAsia" w:eastAsia="仿宋_GB2312" w:cs="仿宋_GB2312"/>
          <w:sz w:val="32"/>
          <w:szCs w:val="32"/>
          <w:lang w:eastAsia="zh-CN"/>
        </w:rPr>
        <w:t>中途调入一人，公用经费增加。</w:t>
      </w:r>
    </w:p>
    <w:p>
      <w:pPr>
        <w:spacing w:line="600" w:lineRule="exact"/>
        <w:ind w:firstLine="643" w:firstLineChars="200"/>
        <w:outlineLvl w:val="2"/>
        <w:rPr>
          <w:rFonts w:eastAsia="楷体_GB2312" w:cs="楷体_GB2312"/>
          <w:b/>
          <w:sz w:val="32"/>
          <w:szCs w:val="32"/>
        </w:rPr>
      </w:pPr>
      <w:bookmarkStart w:id="93" w:name="_Toc15377223"/>
      <w:r>
        <w:rPr>
          <w:rFonts w:hint="eastAsia" w:eastAsia="楷体_GB2312" w:cs="楷体_GB2312"/>
          <w:b/>
          <w:sz w:val="32"/>
          <w:szCs w:val="32"/>
        </w:rPr>
        <w:t>（二）政府采购支出情况</w:t>
      </w:r>
      <w:bookmarkEnd w:id="93"/>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2024年度，中共乐山市五通桥区委统一战线工作部（本级）政府采购支出总额0万元，其中：政府采购货物支出0万元、政府采购工程支出0万元、政府采购服务支出0万元。主要用于</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（具体工作）。授予中小企业合同金额0万元，占政府采购支出总额的0%，其中：授予小微企业合同金额0万元，占政府采购支出总额的0%。</w:t>
      </w:r>
    </w:p>
    <w:p>
      <w:pPr>
        <w:spacing w:line="600" w:lineRule="exact"/>
        <w:ind w:firstLine="643" w:firstLineChars="200"/>
        <w:outlineLvl w:val="2"/>
        <w:rPr>
          <w:rFonts w:eastAsia="楷体_GB2312" w:cs="楷体_GB2312"/>
          <w:b/>
          <w:sz w:val="32"/>
          <w:szCs w:val="32"/>
        </w:rPr>
      </w:pPr>
      <w:bookmarkStart w:id="94" w:name="_Toc15377224"/>
      <w:r>
        <w:rPr>
          <w:rFonts w:hint="eastAsia" w:eastAsia="楷体_GB2312" w:cs="楷体_GB2312"/>
          <w:b/>
          <w:sz w:val="32"/>
          <w:szCs w:val="32"/>
        </w:rPr>
        <w:t>（三）国有资产占有使用情况</w:t>
      </w:r>
      <w:bookmarkEnd w:id="94"/>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截至2024年12月31日，中共乐山市五通桥区委统一战线工作部（本级）共有车辆0辆，其中：主要负责人用车0辆、机要通信用车0辆、应急保障用车0辆、其他用车0辆，其他用车主要是用于</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。单价100万元（含）以上设备（不含车辆）0台（套）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w:t>
      </w:r>
      <w:r>
        <w:rPr>
          <w:rFonts w:hint="eastAsia" w:eastAsia="仿宋_GB2312" w:cs="仿宋_GB2312"/>
          <w:color w:val="auto"/>
          <w:kern w:val="2"/>
          <w:sz w:val="32"/>
          <w:szCs w:val="32"/>
          <w:highlight w:val="none"/>
          <w:lang w:val="en-US" w:eastAsia="zh-CN" w:bidi="ar-SA"/>
        </w:rPr>
        <w:t>我部门</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eastAsia="仿宋_GB2312" w:cs="仿宋_GB2312"/>
          <w:color w:val="auto"/>
          <w:kern w:val="2"/>
          <w:sz w:val="32"/>
          <w:szCs w:val="32"/>
          <w:highlight w:val="none"/>
          <w:lang w:val="en-US" w:eastAsia="zh-CN" w:bidi="ar-SA"/>
        </w:rPr>
        <w:t>6个宗教场所师傅生活费及医疗费、党派交流专项经费、侨台专项经费、统战工作专项经费、民族专项资金等5个</w:t>
      </w:r>
      <w:r>
        <w:rPr>
          <w:rFonts w:hint="eastAsia" w:ascii="Times New Roman" w:hAnsi="Times New Roman" w:eastAsia="仿宋_GB2312" w:cs="仿宋_GB2312"/>
          <w:color w:val="auto"/>
          <w:kern w:val="2"/>
          <w:sz w:val="32"/>
          <w:szCs w:val="32"/>
          <w:highlight w:val="none"/>
          <w:lang w:val="en-US" w:eastAsia="zh-CN" w:bidi="ar-SA"/>
        </w:rPr>
        <w:t>项目开展了预算事前绩效评估，对</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个项目开展绩效监控。</w:t>
      </w:r>
    </w:p>
    <w:p>
      <w:pPr>
        <w:spacing w:line="600" w:lineRule="exact"/>
        <w:ind w:firstLine="640"/>
        <w:rPr>
          <w:rFonts w:eastAsia="仿宋_GB2312" w:cs="仿宋_GB2312"/>
          <w:sz w:val="32"/>
          <w:szCs w:val="32"/>
        </w:rPr>
      </w:pPr>
    </w:p>
    <w:p>
      <w:pPr>
        <w:pStyle w:val="2"/>
        <w:rPr>
          <w:rFonts w:eastAsia="仿宋_GB2312" w:cs="仿宋_GB2312"/>
          <w:sz w:val="32"/>
          <w:szCs w:val="32"/>
        </w:rPr>
      </w:pPr>
    </w:p>
    <w:p>
      <w:pPr>
        <w:pStyle w:val="3"/>
        <w:rPr>
          <w:rFonts w:eastAsia="仿宋_GB2312" w:cs="仿宋_GB2312"/>
          <w:sz w:val="32"/>
          <w:szCs w:val="32"/>
        </w:rPr>
      </w:pPr>
    </w:p>
    <w:p>
      <w:pPr>
        <w:pStyle w:val="3"/>
        <w:rPr>
          <w:rFonts w:eastAsia="仿宋_GB2312" w:cs="仿宋_GB2312"/>
          <w:sz w:val="32"/>
          <w:szCs w:val="32"/>
        </w:rPr>
      </w:pPr>
    </w:p>
    <w:p>
      <w:pPr>
        <w:pStyle w:val="3"/>
        <w:rPr>
          <w:rFonts w:eastAsia="仿宋_GB2312" w:cs="仿宋_GB2312"/>
          <w:sz w:val="32"/>
          <w:szCs w:val="32"/>
        </w:rPr>
      </w:pPr>
    </w:p>
    <w:p>
      <w:pPr>
        <w:pStyle w:val="3"/>
        <w:rPr>
          <w:rFonts w:eastAsia="仿宋_GB2312" w:cs="仿宋_GB2312"/>
          <w:sz w:val="32"/>
          <w:szCs w:val="32"/>
        </w:rPr>
      </w:pPr>
    </w:p>
    <w:p>
      <w:pPr>
        <w:spacing w:line="600" w:lineRule="exact"/>
        <w:ind w:firstLine="640"/>
        <w:rPr>
          <w:rFonts w:eastAsia="仿宋_GB2312" w:cs="仿宋_GB2312"/>
          <w:sz w:val="32"/>
          <w:szCs w:val="32"/>
        </w:rPr>
      </w:pPr>
    </w:p>
    <w:p>
      <w:pPr>
        <w:spacing w:line="600" w:lineRule="exact"/>
        <w:jc w:val="center"/>
        <w:outlineLvl w:val="0"/>
        <w:rPr>
          <w:rFonts w:hint="eastAsia" w:eastAsia="黑体"/>
          <w:sz w:val="44"/>
          <w:szCs w:val="44"/>
        </w:rPr>
      </w:pPr>
      <w:bookmarkStart w:id="95" w:name="_Toc15377225"/>
      <w:bookmarkStart w:id="96" w:name="_Toc15396613"/>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hint="eastAsia" w:eastAsia="黑体"/>
          <w:sz w:val="44"/>
          <w:szCs w:val="44"/>
        </w:rPr>
      </w:pPr>
    </w:p>
    <w:p>
      <w:pPr>
        <w:spacing w:line="600" w:lineRule="exact"/>
        <w:jc w:val="center"/>
        <w:outlineLvl w:val="0"/>
        <w:rPr>
          <w:rFonts w:eastAsia="黑体"/>
          <w:sz w:val="44"/>
          <w:szCs w:val="44"/>
        </w:rPr>
      </w:pPr>
      <w:bookmarkStart w:id="97" w:name="_Toc2885_WPSOffice_Level1"/>
      <w:r>
        <w:rPr>
          <w:rFonts w:hint="eastAsia" w:eastAsia="黑体"/>
          <w:sz w:val="44"/>
          <w:szCs w:val="44"/>
        </w:rPr>
        <w:t>第三部分  名词解释</w:t>
      </w:r>
      <w:bookmarkEnd w:id="95"/>
      <w:bookmarkEnd w:id="96"/>
      <w:bookmarkEnd w:id="97"/>
    </w:p>
    <w:p>
      <w:pPr>
        <w:spacing w:line="600" w:lineRule="exact"/>
        <w:jc w:val="left"/>
        <w:rPr>
          <w:b/>
          <w:sz w:val="44"/>
          <w:szCs w:val="44"/>
        </w:rPr>
      </w:pP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2.事业收入：指事业单位开展专业业务活动及辅助活动取得的收入。</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3.经营收入：指事业单位在专业业务活动及其辅助活动之外开展非独立核算经营活动取得的收入。</w:t>
      </w:r>
    </w:p>
    <w:p>
      <w:pPr>
        <w:spacing w:line="600" w:lineRule="exact"/>
        <w:ind w:firstLine="640" w:firstLineChars="200"/>
        <w:jc w:val="left"/>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4.其他收入：指单位取得的除上述收入以外的各项收入。 </w:t>
      </w:r>
    </w:p>
    <w:p>
      <w:pPr>
        <w:spacing w:line="600" w:lineRule="exact"/>
        <w:ind w:firstLine="640" w:firstLineChars="2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5.使用非财政拨款结余（含专用结余）：指事业单位使用以前年度积累的非财政拨款结余弥补当年收支差额的金额。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6.年初结转和结余：指以前年度尚未完成、结转到本年按有关规定继续使用的资金。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7.结余分配：指事业单位按照会计制度规定缴纳的所得税、提取的专用结余以及转入非财政拨款结余的金额等。</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8.年末结转和结余：指单位按有关规定结转到下年或以后年度继续使用的资金。</w:t>
      </w:r>
    </w:p>
    <w:p>
      <w:pPr>
        <w:pStyle w:val="7"/>
        <w:ind w:firstLine="643" w:firstLineChars="200"/>
        <w:rPr>
          <w:rFonts w:hint="eastAsia" w:ascii="仿宋_GB2312" w:hAnsi="仿宋_GB2312" w:eastAsia="仿宋_GB2312" w:cs="仿宋_GB2312"/>
          <w:sz w:val="32"/>
          <w:szCs w:val="32"/>
          <w:lang w:val="en-US" w:eastAsia="zh-CN"/>
        </w:rPr>
      </w:pPr>
      <w:r>
        <w:rPr>
          <w:rStyle w:val="17"/>
          <w:rFonts w:hint="eastAsia" w:ascii="仿宋_GB2312" w:hAnsi="仿宋_GB2312" w:eastAsia="仿宋_GB2312" w:cs="仿宋_GB2312"/>
          <w:bCs/>
          <w:sz w:val="32"/>
          <w:szCs w:val="32"/>
          <w:lang w:val="en-US" w:eastAsia="zh-CN"/>
        </w:rPr>
        <w:t>9.</w:t>
      </w:r>
      <w:r>
        <w:rPr>
          <w:rStyle w:val="17"/>
          <w:rFonts w:hint="eastAsia" w:ascii="仿宋_GB2312" w:hAnsi="仿宋_GB2312" w:eastAsia="仿宋_GB2312" w:cs="仿宋_GB2312"/>
          <w:bCs/>
          <w:sz w:val="32"/>
          <w:szCs w:val="32"/>
        </w:rPr>
        <w:t>一般公共服务支出（类）</w:t>
      </w:r>
      <w:r>
        <w:rPr>
          <w:rStyle w:val="17"/>
          <w:rFonts w:hint="eastAsia" w:ascii="仿宋_GB2312" w:hAnsi="仿宋_GB2312" w:eastAsia="仿宋_GB2312" w:cs="仿宋_GB2312"/>
          <w:bCs/>
          <w:sz w:val="32"/>
          <w:szCs w:val="32"/>
          <w:lang w:eastAsia="zh-CN"/>
        </w:rPr>
        <w:t>民族</w:t>
      </w:r>
      <w:r>
        <w:rPr>
          <w:rStyle w:val="17"/>
          <w:rFonts w:hint="eastAsia" w:ascii="仿宋_GB2312" w:hAnsi="仿宋_GB2312" w:eastAsia="仿宋_GB2312" w:cs="仿宋_GB2312"/>
          <w:bCs/>
          <w:sz w:val="32"/>
          <w:szCs w:val="32"/>
        </w:rPr>
        <w:t>事务（款）</w:t>
      </w:r>
      <w:r>
        <w:rPr>
          <w:rStyle w:val="17"/>
          <w:rFonts w:hint="eastAsia" w:ascii="仿宋_GB2312" w:hAnsi="仿宋_GB2312" w:eastAsia="仿宋_GB2312" w:cs="仿宋_GB2312"/>
          <w:bCs/>
          <w:sz w:val="32"/>
          <w:szCs w:val="32"/>
          <w:lang w:eastAsia="zh-CN"/>
        </w:rPr>
        <w:t>民族工作专项</w:t>
      </w:r>
      <w:r>
        <w:rPr>
          <w:rStyle w:val="17"/>
          <w:rFonts w:hint="eastAsia" w:ascii="仿宋_GB2312" w:hAnsi="仿宋_GB2312" w:eastAsia="仿宋_GB2312" w:cs="仿宋_GB2312"/>
          <w:bCs/>
          <w:sz w:val="32"/>
          <w:szCs w:val="32"/>
        </w:rPr>
        <w:t>（项）:</w:t>
      </w:r>
      <w:r>
        <w:rPr>
          <w:rStyle w:val="17"/>
          <w:rFonts w:hint="eastAsia" w:ascii="仿宋_GB2312" w:hAnsi="仿宋_GB2312" w:eastAsia="仿宋_GB2312" w:cs="仿宋_GB2312"/>
          <w:bCs/>
          <w:sz w:val="32"/>
          <w:szCs w:val="32"/>
          <w:lang w:val="en-US" w:eastAsia="zh-CN"/>
        </w:rPr>
        <w:t xml:space="preserve"> </w:t>
      </w:r>
      <w:r>
        <w:rPr>
          <w:rStyle w:val="17"/>
          <w:rFonts w:hint="eastAsia" w:ascii="仿宋_GB2312" w:hAnsi="仿宋_GB2312" w:eastAsia="仿宋_GB2312" w:cs="仿宋_GB2312"/>
          <w:b w:val="0"/>
          <w:sz w:val="32"/>
          <w:szCs w:val="32"/>
          <w:lang w:eastAsia="zh-CN"/>
        </w:rPr>
        <w:t>反映</w:t>
      </w:r>
      <w:r>
        <w:rPr>
          <w:rStyle w:val="17"/>
          <w:rFonts w:hint="eastAsia" w:hAnsi="仿宋_GB2312" w:cs="仿宋_GB2312"/>
          <w:b w:val="0"/>
          <w:sz w:val="32"/>
          <w:szCs w:val="32"/>
          <w:lang w:eastAsia="zh-CN"/>
        </w:rPr>
        <w:t>用于民族事务管理方面的支出。</w:t>
      </w:r>
    </w:p>
    <w:p>
      <w:pPr>
        <w:spacing w:line="600" w:lineRule="exact"/>
        <w:ind w:firstLine="643" w:firstLineChars="200"/>
        <w:rPr>
          <w:rStyle w:val="17"/>
          <w:rFonts w:hint="eastAsia" w:ascii="仿宋_GB2312" w:hAnsi="仿宋_GB2312" w:eastAsia="仿宋_GB2312" w:cs="仿宋_GB2312"/>
          <w:bCs/>
          <w:sz w:val="32"/>
          <w:szCs w:val="32"/>
          <w:lang w:eastAsia="zh-CN"/>
        </w:rPr>
      </w:pPr>
      <w:r>
        <w:rPr>
          <w:rStyle w:val="17"/>
          <w:rFonts w:hint="eastAsia" w:ascii="仿宋_GB2312" w:hAnsi="仿宋_GB2312" w:eastAsia="仿宋_GB2312" w:cs="仿宋_GB2312"/>
          <w:bCs/>
          <w:sz w:val="32"/>
          <w:szCs w:val="32"/>
        </w:rPr>
        <w:t>1</w:t>
      </w:r>
      <w:r>
        <w:rPr>
          <w:rStyle w:val="17"/>
          <w:rFonts w:hint="eastAsia" w:ascii="仿宋_GB2312" w:hAnsi="仿宋_GB2312" w:eastAsia="仿宋_GB2312" w:cs="仿宋_GB2312"/>
          <w:bCs/>
          <w:sz w:val="32"/>
          <w:szCs w:val="32"/>
          <w:lang w:val="en-US" w:eastAsia="zh-CN"/>
        </w:rPr>
        <w:t>0</w:t>
      </w:r>
      <w:r>
        <w:rPr>
          <w:rStyle w:val="17"/>
          <w:rFonts w:hint="eastAsia" w:ascii="仿宋_GB2312" w:hAnsi="仿宋_GB2312" w:eastAsia="仿宋_GB2312" w:cs="仿宋_GB2312"/>
          <w:bCs/>
          <w:sz w:val="32"/>
          <w:szCs w:val="32"/>
        </w:rPr>
        <w:t>.一般公共服务支出（类）港澳台事务（款）</w:t>
      </w:r>
      <w:r>
        <w:rPr>
          <w:rStyle w:val="17"/>
          <w:rFonts w:hint="eastAsia" w:ascii="仿宋_GB2312" w:hAnsi="仿宋_GB2312" w:eastAsia="仿宋_GB2312" w:cs="仿宋_GB2312"/>
          <w:bCs/>
          <w:sz w:val="32"/>
          <w:szCs w:val="32"/>
          <w:lang w:eastAsia="zh-CN"/>
        </w:rPr>
        <w:t>机关服务</w:t>
      </w:r>
      <w:r>
        <w:rPr>
          <w:rStyle w:val="17"/>
          <w:rFonts w:hint="eastAsia" w:ascii="仿宋_GB2312" w:hAnsi="仿宋_GB2312" w:eastAsia="仿宋_GB2312" w:cs="仿宋_GB2312"/>
          <w:bCs/>
          <w:sz w:val="32"/>
          <w:szCs w:val="32"/>
        </w:rPr>
        <w:t>（项）:</w:t>
      </w:r>
      <w:r>
        <w:rPr>
          <w:rStyle w:val="17"/>
          <w:rFonts w:hint="eastAsia" w:ascii="仿宋_GB2312" w:hAnsi="仿宋_GB2312" w:eastAsia="仿宋_GB2312" w:cs="仿宋_GB2312"/>
          <w:b w:val="0"/>
          <w:sz w:val="32"/>
          <w:szCs w:val="32"/>
          <w:lang w:val="en-US" w:eastAsia="zh-CN"/>
        </w:rPr>
        <w:t xml:space="preserve"> </w:t>
      </w:r>
      <w:r>
        <w:rPr>
          <w:rStyle w:val="17"/>
          <w:rFonts w:hint="eastAsia" w:ascii="仿宋_GB2312" w:hAnsi="仿宋_GB2312" w:eastAsia="仿宋_GB2312" w:cs="仿宋_GB2312"/>
          <w:b w:val="0"/>
          <w:sz w:val="32"/>
          <w:szCs w:val="32"/>
          <w:lang w:eastAsia="zh-CN"/>
        </w:rPr>
        <w:t>反映行政单位（包括实行公务员管理的事业单位）提供后勤服务的各类后勤服务中心。</w:t>
      </w:r>
    </w:p>
    <w:p>
      <w:pPr>
        <w:spacing w:line="600" w:lineRule="exact"/>
        <w:ind w:firstLine="643" w:firstLineChars="200"/>
        <w:rPr>
          <w:rStyle w:val="17"/>
          <w:rFonts w:hint="eastAsia" w:ascii="仿宋_GB2312" w:hAnsi="仿宋_GB2312" w:eastAsia="仿宋_GB2312" w:cs="仿宋_GB2312"/>
          <w:b w:val="0"/>
          <w:bCs/>
          <w:sz w:val="32"/>
          <w:szCs w:val="32"/>
        </w:rPr>
      </w:pPr>
      <w:r>
        <w:rPr>
          <w:rStyle w:val="17"/>
          <w:rFonts w:hint="eastAsia" w:ascii="仿宋_GB2312" w:hAnsi="仿宋_GB2312" w:eastAsia="仿宋_GB2312" w:cs="仿宋_GB2312"/>
          <w:bCs/>
          <w:sz w:val="32"/>
          <w:szCs w:val="32"/>
        </w:rPr>
        <w:t>1</w:t>
      </w:r>
      <w:r>
        <w:rPr>
          <w:rStyle w:val="17"/>
          <w:rFonts w:hint="eastAsia" w:ascii="仿宋_GB2312" w:hAnsi="仿宋_GB2312" w:eastAsia="仿宋_GB2312" w:cs="仿宋_GB2312"/>
          <w:bCs/>
          <w:sz w:val="32"/>
          <w:szCs w:val="32"/>
          <w:lang w:val="en-US" w:eastAsia="zh-CN"/>
        </w:rPr>
        <w:t>1</w:t>
      </w:r>
      <w:r>
        <w:rPr>
          <w:rStyle w:val="17"/>
          <w:rFonts w:hint="eastAsia" w:ascii="仿宋_GB2312" w:hAnsi="仿宋_GB2312" w:eastAsia="仿宋_GB2312" w:cs="仿宋_GB2312"/>
          <w:bCs/>
          <w:sz w:val="32"/>
          <w:szCs w:val="32"/>
        </w:rPr>
        <w:t>.</w:t>
      </w:r>
      <w:r>
        <w:rPr>
          <w:rFonts w:hint="eastAsia" w:ascii="仿宋_GB2312" w:hAnsi="仿宋_GB2312" w:eastAsia="仿宋_GB2312" w:cs="仿宋_GB2312"/>
          <w:b/>
          <w:bCs/>
          <w:sz w:val="32"/>
          <w:szCs w:val="32"/>
        </w:rPr>
        <w:t>一般公共服务支出</w:t>
      </w:r>
      <w:r>
        <w:rPr>
          <w:rStyle w:val="17"/>
          <w:rFonts w:hint="eastAsia" w:ascii="仿宋_GB2312" w:hAnsi="仿宋_GB2312" w:eastAsia="仿宋_GB2312" w:cs="仿宋_GB2312"/>
          <w:bCs/>
          <w:sz w:val="32"/>
          <w:szCs w:val="32"/>
        </w:rPr>
        <w:t>（类）民主党派及工商联事务（款）其他民主党派及工商联事务支出（项）:</w:t>
      </w:r>
      <w:r>
        <w:rPr>
          <w:rStyle w:val="17"/>
          <w:rFonts w:hint="eastAsia" w:ascii="仿宋_GB2312" w:hAnsi="仿宋_GB2312" w:eastAsia="仿宋_GB2312" w:cs="仿宋_GB2312"/>
          <w:b w:val="0"/>
          <w:bCs/>
          <w:sz w:val="32"/>
          <w:szCs w:val="32"/>
        </w:rPr>
        <w:t>反映用于其他民主党派及工商联事务方面的支出。</w:t>
      </w:r>
    </w:p>
    <w:p>
      <w:pPr>
        <w:pStyle w:val="7"/>
        <w:spacing w:before="93"/>
        <w:ind w:firstLine="640"/>
        <w:rPr>
          <w:rStyle w:val="17"/>
          <w:rFonts w:hint="eastAsia" w:ascii="仿宋_GB2312" w:hAnsi="仿宋_GB2312" w:eastAsia="仿宋_GB2312" w:cs="仿宋_GB2312"/>
          <w:b w:val="0"/>
          <w:bCs/>
          <w:sz w:val="32"/>
          <w:szCs w:val="32"/>
        </w:rPr>
      </w:pPr>
      <w:r>
        <w:rPr>
          <w:rStyle w:val="17"/>
          <w:rFonts w:hint="eastAsia" w:ascii="仿宋_GB2312" w:hAnsi="仿宋_GB2312" w:eastAsia="仿宋_GB2312" w:cs="仿宋_GB2312"/>
          <w:b w:val="0"/>
          <w:bCs/>
          <w:sz w:val="32"/>
          <w:szCs w:val="32"/>
        </w:rPr>
        <w:t>1</w:t>
      </w:r>
      <w:r>
        <w:rPr>
          <w:rStyle w:val="17"/>
          <w:rFonts w:hint="eastAsia" w:hAnsi="仿宋_GB2312" w:cs="仿宋_GB2312"/>
          <w:b w:val="0"/>
          <w:bCs/>
          <w:sz w:val="32"/>
          <w:szCs w:val="32"/>
          <w:lang w:val="en-US" w:eastAsia="zh-CN"/>
        </w:rPr>
        <w:t>2</w:t>
      </w:r>
      <w:r>
        <w:rPr>
          <w:rStyle w:val="17"/>
          <w:rFonts w:hint="eastAsia" w:ascii="仿宋_GB2312" w:hAnsi="仿宋_GB2312" w:eastAsia="仿宋_GB2312" w:cs="仿宋_GB2312"/>
          <w:b w:val="0"/>
          <w:bCs/>
          <w:sz w:val="32"/>
          <w:szCs w:val="32"/>
        </w:rPr>
        <w:t>.一</w:t>
      </w:r>
      <w:r>
        <w:rPr>
          <w:rFonts w:hint="eastAsia" w:ascii="仿宋_GB2312" w:hAnsi="仿宋_GB2312" w:eastAsia="仿宋_GB2312" w:cs="仿宋_GB2312"/>
          <w:b/>
          <w:bCs/>
          <w:sz w:val="32"/>
          <w:szCs w:val="32"/>
        </w:rPr>
        <w:t>般公共服务支出</w:t>
      </w:r>
      <w:r>
        <w:rPr>
          <w:rStyle w:val="17"/>
          <w:rFonts w:hint="eastAsia" w:ascii="仿宋_GB2312" w:hAnsi="仿宋_GB2312" w:eastAsia="仿宋_GB2312" w:cs="仿宋_GB2312"/>
          <w:bCs/>
          <w:sz w:val="32"/>
          <w:szCs w:val="32"/>
        </w:rPr>
        <w:t>（类）统战事务（款）行政运行（项）：</w:t>
      </w:r>
      <w:r>
        <w:rPr>
          <w:rStyle w:val="17"/>
          <w:rFonts w:hint="eastAsia" w:ascii="仿宋_GB2312" w:hAnsi="仿宋_GB2312" w:eastAsia="仿宋_GB2312" w:cs="仿宋_GB2312"/>
          <w:b w:val="0"/>
          <w:sz w:val="32"/>
          <w:szCs w:val="32"/>
        </w:rPr>
        <w:t>反映行政单位的基本支出。</w:t>
      </w:r>
    </w:p>
    <w:p>
      <w:pPr>
        <w:pStyle w:val="7"/>
        <w:spacing w:before="93"/>
        <w:ind w:firstLine="640"/>
        <w:rPr>
          <w:rStyle w:val="17"/>
          <w:rFonts w:hint="eastAsia" w:ascii="仿宋_GB2312" w:hAnsi="仿宋_GB2312" w:eastAsia="仿宋_GB2312" w:cs="仿宋_GB2312"/>
          <w:b w:val="0"/>
          <w:bCs/>
          <w:sz w:val="32"/>
          <w:szCs w:val="32"/>
        </w:rPr>
      </w:pPr>
      <w:r>
        <w:rPr>
          <w:rStyle w:val="17"/>
          <w:rFonts w:hint="eastAsia" w:ascii="仿宋_GB2312" w:hAnsi="仿宋_GB2312" w:eastAsia="仿宋_GB2312" w:cs="仿宋_GB2312"/>
          <w:b w:val="0"/>
          <w:bCs/>
          <w:sz w:val="32"/>
          <w:szCs w:val="32"/>
        </w:rPr>
        <w:t>1</w:t>
      </w:r>
      <w:r>
        <w:rPr>
          <w:rStyle w:val="17"/>
          <w:rFonts w:hint="eastAsia" w:hAnsi="仿宋_GB2312" w:cs="仿宋_GB2312"/>
          <w:b w:val="0"/>
          <w:bCs/>
          <w:sz w:val="32"/>
          <w:szCs w:val="32"/>
          <w:lang w:val="en-US" w:eastAsia="zh-CN"/>
        </w:rPr>
        <w:t>3</w:t>
      </w:r>
      <w:r>
        <w:rPr>
          <w:rStyle w:val="17"/>
          <w:rFonts w:hint="eastAsia" w:ascii="仿宋_GB2312" w:hAnsi="仿宋_GB2312" w:eastAsia="仿宋_GB2312" w:cs="仿宋_GB2312"/>
          <w:b w:val="0"/>
          <w:bCs/>
          <w:sz w:val="32"/>
          <w:szCs w:val="32"/>
        </w:rPr>
        <w:t>.一</w:t>
      </w:r>
      <w:r>
        <w:rPr>
          <w:rFonts w:hint="eastAsia" w:ascii="仿宋_GB2312" w:hAnsi="仿宋_GB2312" w:eastAsia="仿宋_GB2312" w:cs="仿宋_GB2312"/>
          <w:b/>
          <w:bCs/>
          <w:sz w:val="32"/>
          <w:szCs w:val="32"/>
        </w:rPr>
        <w:t>般公共服务支出</w:t>
      </w:r>
      <w:r>
        <w:rPr>
          <w:rStyle w:val="17"/>
          <w:rFonts w:hint="eastAsia" w:ascii="仿宋_GB2312" w:hAnsi="仿宋_GB2312" w:eastAsia="仿宋_GB2312" w:cs="仿宋_GB2312"/>
          <w:bCs/>
          <w:sz w:val="32"/>
          <w:szCs w:val="32"/>
        </w:rPr>
        <w:t>（类）统战事务（款）宗教事务（项）：</w:t>
      </w:r>
      <w:r>
        <w:rPr>
          <w:rStyle w:val="17"/>
          <w:rFonts w:hint="eastAsia" w:ascii="仿宋_GB2312" w:hAnsi="仿宋_GB2312" w:eastAsia="仿宋_GB2312" w:cs="仿宋_GB2312"/>
          <w:b w:val="0"/>
          <w:sz w:val="32"/>
          <w:szCs w:val="32"/>
        </w:rPr>
        <w:t>反映用于宗教事务管理方面的支出。</w:t>
      </w:r>
    </w:p>
    <w:p>
      <w:pPr>
        <w:pStyle w:val="7"/>
        <w:spacing w:before="93"/>
        <w:ind w:firstLine="640"/>
        <w:rPr>
          <w:rStyle w:val="17"/>
          <w:rFonts w:hint="eastAsia" w:ascii="仿宋_GB2312" w:hAnsi="仿宋_GB2312" w:eastAsia="仿宋_GB2312" w:cs="仿宋_GB2312"/>
          <w:b w:val="0"/>
          <w:sz w:val="32"/>
          <w:szCs w:val="32"/>
          <w:lang w:eastAsia="zh-CN"/>
        </w:rPr>
      </w:pPr>
      <w:r>
        <w:rPr>
          <w:rStyle w:val="17"/>
          <w:rFonts w:hint="eastAsia" w:ascii="仿宋_GB2312" w:hAnsi="仿宋_GB2312" w:eastAsia="仿宋_GB2312" w:cs="仿宋_GB2312"/>
          <w:b w:val="0"/>
          <w:sz w:val="32"/>
          <w:szCs w:val="32"/>
          <w:lang w:val="en-US" w:eastAsia="zh-CN"/>
        </w:rPr>
        <w:t>1</w:t>
      </w:r>
      <w:r>
        <w:rPr>
          <w:rStyle w:val="17"/>
          <w:rFonts w:hint="eastAsia" w:hAnsi="仿宋_GB2312" w:cs="仿宋_GB2312"/>
          <w:b w:val="0"/>
          <w:sz w:val="32"/>
          <w:szCs w:val="32"/>
          <w:lang w:val="en-US" w:eastAsia="zh-CN"/>
        </w:rPr>
        <w:t>4</w:t>
      </w:r>
      <w:r>
        <w:rPr>
          <w:rStyle w:val="17"/>
          <w:rFonts w:hint="eastAsia" w:ascii="仿宋_GB2312" w:hAnsi="仿宋_GB2312" w:eastAsia="仿宋_GB2312" w:cs="仿宋_GB2312"/>
          <w:b w:val="0"/>
          <w:sz w:val="32"/>
          <w:szCs w:val="32"/>
          <w:lang w:val="en-US" w:eastAsia="zh-CN"/>
        </w:rPr>
        <w:t>.</w:t>
      </w:r>
      <w:r>
        <w:rPr>
          <w:rStyle w:val="17"/>
          <w:rFonts w:hint="eastAsia" w:ascii="仿宋_GB2312" w:hAnsi="仿宋_GB2312" w:eastAsia="仿宋_GB2312" w:cs="仿宋_GB2312"/>
          <w:b w:val="0"/>
          <w:bCs/>
          <w:sz w:val="32"/>
          <w:szCs w:val="32"/>
        </w:rPr>
        <w:t>一</w:t>
      </w:r>
      <w:r>
        <w:rPr>
          <w:rFonts w:hint="eastAsia" w:ascii="仿宋_GB2312" w:hAnsi="仿宋_GB2312" w:eastAsia="仿宋_GB2312" w:cs="仿宋_GB2312"/>
          <w:b/>
          <w:bCs/>
          <w:sz w:val="32"/>
          <w:szCs w:val="32"/>
        </w:rPr>
        <w:t>般公共服务支出</w:t>
      </w:r>
      <w:r>
        <w:rPr>
          <w:rStyle w:val="17"/>
          <w:rFonts w:hint="eastAsia" w:ascii="仿宋_GB2312" w:hAnsi="仿宋_GB2312" w:eastAsia="仿宋_GB2312" w:cs="仿宋_GB2312"/>
          <w:bCs/>
          <w:sz w:val="32"/>
          <w:szCs w:val="32"/>
        </w:rPr>
        <w:t>（类）统战事务（款）</w:t>
      </w:r>
      <w:r>
        <w:rPr>
          <w:rStyle w:val="17"/>
          <w:rFonts w:hint="eastAsia" w:ascii="仿宋_GB2312" w:hAnsi="仿宋_GB2312" w:eastAsia="仿宋_GB2312" w:cs="仿宋_GB2312"/>
          <w:bCs/>
          <w:sz w:val="32"/>
          <w:szCs w:val="32"/>
          <w:lang w:eastAsia="zh-CN"/>
        </w:rPr>
        <w:t>其他统战事务支出</w:t>
      </w:r>
      <w:r>
        <w:rPr>
          <w:rStyle w:val="17"/>
          <w:rFonts w:hint="eastAsia" w:ascii="仿宋_GB2312" w:hAnsi="仿宋_GB2312" w:eastAsia="仿宋_GB2312" w:cs="仿宋_GB2312"/>
          <w:bCs/>
          <w:sz w:val="32"/>
          <w:szCs w:val="32"/>
        </w:rPr>
        <w:t>（项）：</w:t>
      </w:r>
      <w:r>
        <w:rPr>
          <w:rStyle w:val="17"/>
          <w:rFonts w:hint="eastAsia" w:ascii="仿宋_GB2312" w:hAnsi="仿宋_GB2312" w:eastAsia="仿宋_GB2312" w:cs="仿宋_GB2312"/>
          <w:b w:val="0"/>
          <w:sz w:val="32"/>
          <w:szCs w:val="32"/>
          <w:lang w:eastAsia="zh-CN"/>
        </w:rPr>
        <w:t>反映其他用于中国共产党统战部门的事务支出。</w:t>
      </w:r>
    </w:p>
    <w:p>
      <w:pPr>
        <w:pStyle w:val="7"/>
        <w:spacing w:before="93"/>
        <w:ind w:firstLine="640"/>
        <w:rPr>
          <w:rStyle w:val="17"/>
          <w:rFonts w:hint="eastAsia" w:ascii="仿宋_GB2312" w:hAnsi="仿宋_GB2312" w:eastAsia="仿宋_GB2312" w:cs="仿宋_GB2312"/>
          <w:b w:val="0"/>
          <w:sz w:val="32"/>
          <w:szCs w:val="32"/>
        </w:rPr>
      </w:pPr>
      <w:r>
        <w:rPr>
          <w:rFonts w:hint="eastAsia" w:ascii="仿宋_GB2312" w:hAnsi="仿宋_GB2312" w:eastAsia="仿宋_GB2312" w:cs="仿宋_GB2312"/>
          <w:b/>
          <w:bCs/>
          <w:sz w:val="32"/>
          <w:szCs w:val="32"/>
        </w:rPr>
        <w:t>1</w:t>
      </w:r>
      <w:r>
        <w:rPr>
          <w:rFonts w:hint="eastAsia" w:hAnsi="仿宋_GB2312" w:cs="仿宋_GB2312"/>
          <w:b/>
          <w:bCs/>
          <w:sz w:val="32"/>
          <w:szCs w:val="32"/>
          <w:lang w:val="en-US" w:eastAsia="zh-CN"/>
        </w:rPr>
        <w:t>5</w:t>
      </w:r>
      <w:r>
        <w:rPr>
          <w:rFonts w:hint="eastAsia" w:ascii="仿宋_GB2312" w:hAnsi="仿宋_GB2312" w:eastAsia="仿宋_GB2312" w:cs="仿宋_GB2312"/>
          <w:b/>
          <w:bCs/>
          <w:sz w:val="32"/>
          <w:szCs w:val="32"/>
        </w:rPr>
        <w:t>.社会保障和就业支出（</w:t>
      </w:r>
      <w:r>
        <w:rPr>
          <w:rStyle w:val="17"/>
          <w:rFonts w:hint="eastAsia" w:ascii="仿宋_GB2312" w:hAnsi="仿宋_GB2312" w:eastAsia="仿宋_GB2312" w:cs="仿宋_GB2312"/>
          <w:bCs/>
          <w:sz w:val="32"/>
          <w:szCs w:val="32"/>
        </w:rPr>
        <w:t>类）行政事业单位养老支出（款）机关事业单位基本养老保险缴费支出（项）：</w:t>
      </w:r>
      <w:r>
        <w:rPr>
          <w:rStyle w:val="17"/>
          <w:rFonts w:hint="eastAsia" w:ascii="仿宋_GB2312" w:hAnsi="仿宋_GB2312" w:eastAsia="仿宋_GB2312" w:cs="仿宋_GB2312"/>
          <w:b w:val="0"/>
          <w:sz w:val="32"/>
          <w:szCs w:val="32"/>
        </w:rPr>
        <w:t>反映机关事业单位实施养老保险制度由单位缴纳的基本养老保险费支出。</w:t>
      </w:r>
    </w:p>
    <w:p>
      <w:pPr>
        <w:pStyle w:val="7"/>
        <w:spacing w:before="93"/>
        <w:ind w:firstLine="640"/>
        <w:rPr>
          <w:rStyle w:val="17"/>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1</w:t>
      </w:r>
      <w:r>
        <w:rPr>
          <w:rFonts w:hint="eastAsia" w:hAnsi="仿宋_GB2312" w:cs="仿宋_GB2312"/>
          <w:b/>
          <w:bCs/>
          <w:sz w:val="32"/>
          <w:szCs w:val="32"/>
          <w:lang w:val="en-US" w:eastAsia="zh-CN"/>
        </w:rPr>
        <w:t>6</w:t>
      </w:r>
      <w:r>
        <w:rPr>
          <w:rFonts w:hint="eastAsia" w:ascii="仿宋_GB2312" w:hAnsi="仿宋_GB2312" w:eastAsia="仿宋_GB2312" w:cs="仿宋_GB2312"/>
          <w:b/>
          <w:bCs/>
          <w:sz w:val="32"/>
          <w:szCs w:val="32"/>
        </w:rPr>
        <w:t>.社会保障和就业支出（</w:t>
      </w:r>
      <w:r>
        <w:rPr>
          <w:rStyle w:val="17"/>
          <w:rFonts w:hint="eastAsia" w:ascii="仿宋_GB2312" w:hAnsi="仿宋_GB2312" w:eastAsia="仿宋_GB2312" w:cs="仿宋_GB2312"/>
          <w:bCs/>
          <w:sz w:val="32"/>
          <w:szCs w:val="32"/>
        </w:rPr>
        <w:t>类）行政事业单位养老支出（款）机关事业单位职业年金缴费支出（项）：</w:t>
      </w:r>
      <w:r>
        <w:rPr>
          <w:rStyle w:val="17"/>
          <w:rFonts w:hint="eastAsia" w:ascii="仿宋_GB2312" w:hAnsi="仿宋_GB2312" w:eastAsia="仿宋_GB2312" w:cs="仿宋_GB2312"/>
          <w:b w:val="0"/>
          <w:sz w:val="32"/>
          <w:szCs w:val="32"/>
        </w:rPr>
        <w:t>反映机关事业单位实施养老保险制度由单位实际缴纳的职业年金支出。</w:t>
      </w:r>
    </w:p>
    <w:p>
      <w:pPr>
        <w:pStyle w:val="7"/>
        <w:spacing w:before="93"/>
        <w:ind w:firstLine="643" w:firstLineChars="200"/>
        <w:rPr>
          <w:rStyle w:val="17"/>
          <w:rFonts w:hint="eastAsia" w:ascii="仿宋_GB2312" w:hAnsi="仿宋_GB2312" w:eastAsia="仿宋_GB2312" w:cs="仿宋_GB2312"/>
          <w:b w:val="0"/>
          <w:sz w:val="32"/>
          <w:szCs w:val="32"/>
        </w:rPr>
      </w:pPr>
      <w:r>
        <w:rPr>
          <w:rFonts w:hint="eastAsia" w:hAnsi="仿宋_GB2312" w:cs="仿宋_GB2312"/>
          <w:b/>
          <w:bCs/>
          <w:sz w:val="32"/>
          <w:szCs w:val="32"/>
          <w:lang w:val="en-US" w:eastAsia="zh-CN"/>
        </w:rPr>
        <w:t>17</w:t>
      </w:r>
      <w:r>
        <w:rPr>
          <w:rFonts w:hint="eastAsia" w:ascii="仿宋_GB2312" w:hAnsi="仿宋_GB2312" w:eastAsia="仿宋_GB2312" w:cs="仿宋_GB2312"/>
          <w:b/>
          <w:bCs/>
          <w:sz w:val="32"/>
          <w:szCs w:val="32"/>
        </w:rPr>
        <w:t>.社会保障和就业支出（</w:t>
      </w:r>
      <w:r>
        <w:rPr>
          <w:rStyle w:val="17"/>
          <w:rFonts w:hint="eastAsia" w:ascii="仿宋_GB2312" w:hAnsi="仿宋_GB2312" w:eastAsia="仿宋_GB2312" w:cs="仿宋_GB2312"/>
          <w:bCs/>
          <w:sz w:val="32"/>
          <w:szCs w:val="32"/>
        </w:rPr>
        <w:t>类）行政事业单位养老支出（款）其他行政事业单位养老支出（项）：</w:t>
      </w:r>
      <w:r>
        <w:rPr>
          <w:rStyle w:val="17"/>
          <w:rFonts w:hint="eastAsia" w:ascii="仿宋_GB2312" w:hAnsi="仿宋_GB2312" w:eastAsia="仿宋_GB2312" w:cs="仿宋_GB2312"/>
          <w:b w:val="0"/>
          <w:sz w:val="32"/>
          <w:szCs w:val="32"/>
        </w:rPr>
        <w:t>反映其他用于行政事业单位养老方面的支出。</w:t>
      </w:r>
    </w:p>
    <w:p>
      <w:pPr>
        <w:pStyle w:val="7"/>
        <w:spacing w:before="93"/>
        <w:ind w:firstLine="640" w:firstLineChars="200"/>
        <w:rPr>
          <w:rStyle w:val="17"/>
          <w:rFonts w:hint="eastAsia" w:ascii="仿宋_GB2312" w:hAnsi="仿宋_GB2312" w:eastAsia="仿宋_GB2312" w:cs="仿宋_GB2312"/>
          <w:b w:val="0"/>
          <w:sz w:val="32"/>
          <w:szCs w:val="32"/>
          <w:lang w:val="en-US" w:eastAsia="zh-CN"/>
        </w:rPr>
      </w:pPr>
      <w:r>
        <w:rPr>
          <w:rStyle w:val="17"/>
          <w:rFonts w:hint="eastAsia" w:hAnsi="仿宋_GB2312" w:cs="仿宋_GB2312"/>
          <w:b w:val="0"/>
          <w:sz w:val="32"/>
          <w:szCs w:val="32"/>
          <w:lang w:val="en-US" w:eastAsia="zh-CN"/>
        </w:rPr>
        <w:t>18</w:t>
      </w:r>
      <w:r>
        <w:rPr>
          <w:rStyle w:val="17"/>
          <w:rFonts w:hint="eastAsia" w:ascii="仿宋_GB2312" w:hAnsi="仿宋_GB2312" w:eastAsia="仿宋_GB2312" w:cs="仿宋_GB2312"/>
          <w:b w:val="0"/>
          <w:sz w:val="32"/>
          <w:szCs w:val="32"/>
          <w:lang w:val="en-US" w:eastAsia="zh-CN"/>
        </w:rPr>
        <w:t>.</w:t>
      </w:r>
      <w:r>
        <w:rPr>
          <w:rFonts w:hint="eastAsia" w:ascii="仿宋_GB2312" w:hAnsi="仿宋_GB2312" w:eastAsia="仿宋_GB2312" w:cs="仿宋_GB2312"/>
          <w:b/>
          <w:bCs/>
          <w:sz w:val="32"/>
          <w:szCs w:val="32"/>
        </w:rPr>
        <w:t>社会保障和就业支出（</w:t>
      </w:r>
      <w:r>
        <w:rPr>
          <w:rStyle w:val="17"/>
          <w:rFonts w:hint="eastAsia" w:ascii="仿宋_GB2312" w:hAnsi="仿宋_GB2312" w:eastAsia="仿宋_GB2312" w:cs="仿宋_GB2312"/>
          <w:bCs/>
          <w:sz w:val="32"/>
          <w:szCs w:val="32"/>
        </w:rPr>
        <w:t>类）</w:t>
      </w:r>
      <w:r>
        <w:rPr>
          <w:rStyle w:val="17"/>
          <w:rFonts w:hint="eastAsia" w:ascii="仿宋_GB2312" w:hAnsi="仿宋_GB2312" w:eastAsia="仿宋_GB2312" w:cs="仿宋_GB2312"/>
          <w:bCs/>
          <w:sz w:val="32"/>
          <w:szCs w:val="32"/>
          <w:lang w:eastAsia="zh-CN"/>
        </w:rPr>
        <w:t>其他社会保障和就业</w:t>
      </w:r>
      <w:r>
        <w:rPr>
          <w:rStyle w:val="17"/>
          <w:rFonts w:hint="eastAsia" w:ascii="仿宋_GB2312" w:hAnsi="仿宋_GB2312" w:eastAsia="仿宋_GB2312" w:cs="仿宋_GB2312"/>
          <w:bCs/>
          <w:sz w:val="32"/>
          <w:szCs w:val="32"/>
        </w:rPr>
        <w:t>支出（款）</w:t>
      </w:r>
      <w:r>
        <w:rPr>
          <w:rStyle w:val="17"/>
          <w:rFonts w:hint="eastAsia" w:ascii="仿宋_GB2312" w:hAnsi="仿宋_GB2312" w:eastAsia="仿宋_GB2312" w:cs="仿宋_GB2312"/>
          <w:bCs/>
          <w:sz w:val="32"/>
          <w:szCs w:val="32"/>
          <w:lang w:eastAsia="zh-CN"/>
        </w:rPr>
        <w:t>其他社会保障和就业</w:t>
      </w:r>
      <w:r>
        <w:rPr>
          <w:rStyle w:val="17"/>
          <w:rFonts w:hint="eastAsia" w:ascii="仿宋_GB2312" w:hAnsi="仿宋_GB2312" w:eastAsia="仿宋_GB2312" w:cs="仿宋_GB2312"/>
          <w:bCs/>
          <w:sz w:val="32"/>
          <w:szCs w:val="32"/>
        </w:rPr>
        <w:t>支出（项）：</w:t>
      </w:r>
      <w:r>
        <w:rPr>
          <w:rStyle w:val="17"/>
          <w:rFonts w:hint="eastAsia" w:ascii="仿宋_GB2312" w:hAnsi="仿宋_GB2312" w:eastAsia="仿宋_GB2312" w:cs="仿宋_GB2312"/>
          <w:b w:val="0"/>
          <w:sz w:val="32"/>
          <w:szCs w:val="32"/>
        </w:rPr>
        <w:t>反映</w:t>
      </w:r>
      <w:r>
        <w:rPr>
          <w:rStyle w:val="17"/>
          <w:rFonts w:hint="eastAsia" w:hAnsi="仿宋_GB2312" w:cs="仿宋_GB2312"/>
          <w:b w:val="0"/>
          <w:sz w:val="32"/>
          <w:szCs w:val="32"/>
          <w:lang w:eastAsia="zh-CN"/>
        </w:rPr>
        <w:t>其他用于社会保障和就业方面的支出。</w:t>
      </w:r>
    </w:p>
    <w:p>
      <w:pPr>
        <w:pStyle w:val="7"/>
        <w:spacing w:before="93"/>
        <w:ind w:firstLine="643" w:firstLineChars="200"/>
        <w:rPr>
          <w:rStyle w:val="17"/>
          <w:rFonts w:hint="eastAsia" w:ascii="仿宋_GB2312" w:hAnsi="仿宋_GB2312" w:eastAsia="仿宋_GB2312" w:cs="仿宋_GB2312"/>
          <w:b w:val="0"/>
          <w:bCs/>
          <w:sz w:val="32"/>
          <w:szCs w:val="32"/>
        </w:rPr>
      </w:pPr>
      <w:r>
        <w:rPr>
          <w:rFonts w:hint="eastAsia" w:hAnsi="仿宋_GB2312" w:cs="仿宋_GB2312"/>
          <w:b/>
          <w:bCs/>
          <w:sz w:val="32"/>
          <w:szCs w:val="32"/>
          <w:lang w:val="en-US" w:eastAsia="zh-CN"/>
        </w:rPr>
        <w:t>19</w:t>
      </w:r>
      <w:r>
        <w:rPr>
          <w:rFonts w:hint="eastAsia" w:ascii="仿宋_GB2312" w:hAnsi="仿宋_GB2312" w:eastAsia="仿宋_GB2312" w:cs="仿宋_GB2312"/>
          <w:b/>
          <w:bCs/>
          <w:sz w:val="32"/>
          <w:szCs w:val="32"/>
        </w:rPr>
        <w:t>.卫生健康支出（</w:t>
      </w:r>
      <w:r>
        <w:rPr>
          <w:rStyle w:val="17"/>
          <w:rFonts w:hint="eastAsia" w:ascii="仿宋_GB2312" w:hAnsi="仿宋_GB2312" w:eastAsia="仿宋_GB2312" w:cs="仿宋_GB2312"/>
          <w:bCs/>
          <w:sz w:val="32"/>
          <w:szCs w:val="32"/>
        </w:rPr>
        <w:t>类）行政事业单位医疗（款）行政单位医疗（项）：</w:t>
      </w:r>
      <w:r>
        <w:rPr>
          <w:rFonts w:hint="eastAsia" w:ascii="仿宋_GB2312" w:hAnsi="仿宋_GB2312" w:eastAsia="仿宋_GB2312" w:cs="仿宋_GB2312"/>
          <w:sz w:val="32"/>
          <w:szCs w:val="32"/>
        </w:rPr>
        <w:t>指行政单位及参公管理事业单位用于缴纳单位基本医疗保险支出。</w:t>
      </w:r>
    </w:p>
    <w:p>
      <w:pPr>
        <w:pStyle w:val="7"/>
        <w:spacing w:before="93"/>
        <w:ind w:firstLine="643" w:firstLineChars="200"/>
        <w:rPr>
          <w:rStyle w:val="17"/>
          <w:rFonts w:hint="eastAsia" w:ascii="仿宋_GB2312" w:hAnsi="仿宋_GB2312" w:eastAsia="仿宋_GB2312" w:cs="仿宋_GB2312"/>
          <w:bCs/>
          <w:sz w:val="32"/>
          <w:szCs w:val="32"/>
        </w:rPr>
      </w:pPr>
      <w:r>
        <w:rPr>
          <w:rFonts w:hint="eastAsia" w:ascii="仿宋_GB2312" w:hAnsi="仿宋_GB2312" w:eastAsia="仿宋_GB2312" w:cs="仿宋_GB2312"/>
          <w:b/>
          <w:bCs/>
          <w:sz w:val="32"/>
          <w:szCs w:val="32"/>
        </w:rPr>
        <w:t>2</w:t>
      </w:r>
      <w:r>
        <w:rPr>
          <w:rFonts w:hint="eastAsia" w:hAnsi="仿宋_GB2312" w:cs="仿宋_GB2312"/>
          <w:b/>
          <w:bCs/>
          <w:sz w:val="32"/>
          <w:szCs w:val="32"/>
          <w:lang w:val="en-US" w:eastAsia="zh-CN"/>
        </w:rPr>
        <w:t>0</w:t>
      </w:r>
      <w:r>
        <w:rPr>
          <w:rFonts w:hint="eastAsia" w:ascii="仿宋_GB2312" w:hAnsi="仿宋_GB2312" w:eastAsia="仿宋_GB2312" w:cs="仿宋_GB2312"/>
          <w:b/>
          <w:bCs/>
          <w:sz w:val="32"/>
          <w:szCs w:val="32"/>
        </w:rPr>
        <w:t>.卫生健康支出（</w:t>
      </w:r>
      <w:r>
        <w:rPr>
          <w:rStyle w:val="17"/>
          <w:rFonts w:hint="eastAsia" w:ascii="仿宋_GB2312" w:hAnsi="仿宋_GB2312" w:eastAsia="仿宋_GB2312" w:cs="仿宋_GB2312"/>
          <w:bCs/>
          <w:sz w:val="32"/>
          <w:szCs w:val="32"/>
        </w:rPr>
        <w:t>类）行政事业单位医疗（款）公务员医疗补助（项）：</w:t>
      </w:r>
      <w:r>
        <w:rPr>
          <w:rFonts w:hint="eastAsia" w:ascii="仿宋_GB2312" w:hAnsi="仿宋_GB2312" w:eastAsia="仿宋_GB2312" w:cs="仿宋_GB2312"/>
          <w:sz w:val="32"/>
          <w:szCs w:val="32"/>
        </w:rPr>
        <w:t>指行政单位及参公管理事业单位用于集中缴纳公务员医疗补助支出。</w:t>
      </w:r>
    </w:p>
    <w:p>
      <w:pPr>
        <w:pStyle w:val="7"/>
        <w:spacing w:before="93"/>
        <w:ind w:firstLine="643" w:firstLineChars="200"/>
        <w:rPr>
          <w:rStyle w:val="17"/>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2</w:t>
      </w:r>
      <w:r>
        <w:rPr>
          <w:rFonts w:hint="eastAsia" w:hAnsi="仿宋_GB2312" w:cs="仿宋_GB2312"/>
          <w:b/>
          <w:bCs/>
          <w:sz w:val="32"/>
          <w:szCs w:val="32"/>
          <w:lang w:val="en-US" w:eastAsia="zh-CN"/>
        </w:rPr>
        <w:t>1</w:t>
      </w:r>
      <w:r>
        <w:rPr>
          <w:rFonts w:hint="eastAsia" w:ascii="仿宋_GB2312" w:hAnsi="仿宋_GB2312" w:eastAsia="仿宋_GB2312" w:cs="仿宋_GB2312"/>
          <w:b/>
          <w:bCs/>
          <w:sz w:val="32"/>
          <w:szCs w:val="32"/>
        </w:rPr>
        <w:t>.住房保障支出（</w:t>
      </w:r>
      <w:r>
        <w:rPr>
          <w:rStyle w:val="17"/>
          <w:rFonts w:hint="eastAsia" w:ascii="仿宋_GB2312" w:hAnsi="仿宋_GB2312" w:eastAsia="仿宋_GB2312" w:cs="仿宋_GB2312"/>
          <w:bCs/>
          <w:sz w:val="32"/>
          <w:szCs w:val="32"/>
        </w:rPr>
        <w:t>类）住房改革支出（款）住房公积金（项）：</w:t>
      </w:r>
      <w:r>
        <w:rPr>
          <w:rFonts w:hint="eastAsia" w:ascii="仿宋_GB2312" w:hAnsi="仿宋_GB2312" w:eastAsia="仿宋_GB2312" w:cs="仿宋_GB2312"/>
          <w:sz w:val="32"/>
          <w:szCs w:val="32"/>
        </w:rPr>
        <w:t>指由单位及其在职职工按规定缴存的住房公积金支出。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22.基本支出：指为保障机构正常运转、完成日常工作任务而发生的人员支出和公用支出。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 xml:space="preserve">23.项目支出：指在基本支出之外为完成特定行政任务和事业发展目标所发生的支出。 </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24.经营支出：指事业单位在专业业务活动及其辅助活动之外开展非独立核算经营活动发生的支出。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25.“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ind w:firstLine="64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26.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rPr>
          <w:rStyle w:val="28"/>
          <w:rFonts w:eastAsia="黑体"/>
          <w:b w:val="0"/>
        </w:rPr>
      </w:pPr>
      <w:bookmarkStart w:id="98" w:name="_Toc15377226"/>
      <w:r>
        <w:rPr>
          <w:rFonts w:hint="eastAsia" w:eastAsia="仿宋_GB2312" w:cs="仿宋_GB2312"/>
          <w:sz w:val="32"/>
          <w:szCs w:val="32"/>
        </w:rPr>
        <w:br w:type="page"/>
      </w:r>
      <w:bookmarkStart w:id="99" w:name="_Toc15396614"/>
      <w:bookmarkStart w:id="100" w:name="_Toc27953_WPSOffice_Level1"/>
      <w:r>
        <w:rPr>
          <w:rFonts w:hint="eastAsia" w:eastAsia="黑体"/>
          <w:sz w:val="44"/>
          <w:szCs w:val="44"/>
        </w:rPr>
        <w:t>第四部分  附件</w:t>
      </w:r>
      <w:bookmarkEnd w:id="99"/>
      <w:bookmarkEnd w:id="100"/>
    </w:p>
    <w:p>
      <w:pPr>
        <w:spacing w:line="572" w:lineRule="exact"/>
        <w:jc w:val="left"/>
        <w:outlineLvl w:val="0"/>
        <w:rPr>
          <w:rFonts w:eastAsia="黑体" w:cs="黑体"/>
          <w:color w:val="FF0000"/>
          <w:sz w:val="32"/>
          <w:szCs w:val="32"/>
        </w:rPr>
      </w:pPr>
    </w:p>
    <w:p>
      <w:pPr>
        <w:spacing w:line="572" w:lineRule="exact"/>
        <w:jc w:val="left"/>
        <w:outlineLvl w:val="0"/>
        <w:rPr>
          <w:rFonts w:ascii="Times New Roman" w:eastAsia="仿宋_GB2312"/>
          <w:sz w:val="32"/>
          <w:lang w:val="zh-CN" w:bidi="ar"/>
        </w:rPr>
      </w:pPr>
      <w:r>
        <w:rPr>
          <w:rFonts w:hint="eastAsia" w:eastAsia="黑体" w:cs="黑体"/>
          <w:sz w:val="32"/>
          <w:szCs w:val="32"/>
        </w:rPr>
        <w:t>附件1</w:t>
      </w:r>
    </w:p>
    <w:p>
      <w:pPr>
        <w:pStyle w:val="3"/>
        <w:spacing w:line="560" w:lineRule="exact"/>
        <w:ind w:left="0" w:leftChars="0" w:firstLine="640"/>
        <w:rPr>
          <w:rFonts w:ascii="Times New Roman" w:eastAsia="仿宋_GB2312"/>
          <w:sz w:val="32"/>
          <w:lang w:val="zh-CN" w:bidi="ar"/>
        </w:rPr>
      </w:pPr>
      <w:r>
        <w:rPr>
          <w:rFonts w:hint="eastAsia" w:ascii="Times New Roman" w:eastAsia="仿宋_GB2312"/>
          <w:sz w:val="32"/>
          <w:lang w:val="zh-CN" w:bidi="ar"/>
        </w:rPr>
        <w:t>附表：</w:t>
      </w:r>
      <w:r>
        <w:rPr>
          <w:rFonts w:hint="eastAsia" w:ascii="Times New Roman" w:eastAsia="仿宋_GB2312"/>
          <w:sz w:val="32"/>
          <w:lang w:bidi="ar"/>
        </w:rPr>
        <w:t>部门预算项目支出绩效自评表（2024年度）</w:t>
      </w:r>
    </w:p>
    <w:tbl>
      <w:tblPr>
        <w:tblStyle w:val="15"/>
        <w:tblW w:w="905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638"/>
        <w:gridCol w:w="867"/>
        <w:gridCol w:w="668"/>
        <w:gridCol w:w="803"/>
        <w:gridCol w:w="692"/>
        <w:gridCol w:w="1239"/>
        <w:gridCol w:w="1303"/>
        <w:gridCol w:w="567"/>
        <w:gridCol w:w="545"/>
        <w:gridCol w:w="72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9051"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0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统战工作专项经费</w:t>
            </w:r>
          </w:p>
        </w:tc>
        <w:tc>
          <w:tcPr>
            <w:tcW w:w="12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0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2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9051"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3173" w:type="dxa"/>
            <w:gridSpan w:val="3"/>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5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317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25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1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317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25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4.71</w:t>
            </w:r>
          </w:p>
        </w:tc>
        <w:tc>
          <w:tcPr>
            <w:tcW w:w="1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3173"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54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841"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269"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269" w:type="dxa"/>
            <w:gridSpan w:val="5"/>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用于开展节假日慰问、座谈交流等工作，引导服务对象时刻保持与党思想同心、行动同步。</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53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2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5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545"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721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4668" w:type="dxa"/>
            <w:gridSpan w:val="5"/>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节假日走访慰问次数</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1次</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1次</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节假日走访慰问发放准确率</w:t>
            </w:r>
          </w:p>
        </w:tc>
        <w:tc>
          <w:tcPr>
            <w:tcW w:w="1239"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303" w:type="dxa"/>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节假日走访慰问发放及时率</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成本控制数</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5万元</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4.71万元</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保障统战工作正常运转</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16"/>
                <w:szCs w:val="16"/>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6"/>
                <w:szCs w:val="16"/>
                <w:u w:val="none"/>
              </w:rPr>
            </w:pPr>
          </w:p>
        </w:tc>
        <w:tc>
          <w:tcPr>
            <w:tcW w:w="1239"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303" w:type="dxa"/>
            <w:tcBorders>
              <w:top w:val="nil"/>
              <w:left w:val="nil"/>
              <w:bottom w:val="nil"/>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535" w:type="dxa"/>
            <w:gridSpan w:val="2"/>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49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服务对象满意度</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13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9051" w:type="dxa"/>
            <w:gridSpan w:val="10"/>
            <w:tcBorders>
              <w:top w:val="single" w:color="000000"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9051" w:type="dxa"/>
            <w:gridSpan w:val="10"/>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kern w:val="0"/>
                <w:sz w:val="36"/>
                <w:szCs w:val="36"/>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kern w:val="0"/>
                <w:sz w:val="36"/>
                <w:szCs w:val="36"/>
                <w:u w:val="none"/>
                <w:lang w:val="en-US" w:eastAsia="zh-CN" w:bidi="ar"/>
              </w:rPr>
            </w:pPr>
          </w:p>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6个宗教场所师傅生活费及医疗费用</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233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9051"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505"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50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50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w:t>
            </w: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250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3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3144"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3030"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3030"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保障民宗局运转</w:t>
            </w:r>
          </w:p>
        </w:tc>
        <w:tc>
          <w:tcPr>
            <w:tcW w:w="4383"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8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6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23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3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567"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5907"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3976"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67"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发放宗教场所师傅生活费及医疗费用次数</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12次</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12次</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资金发放准确率</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资金发放及时率</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项目总成本</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10.8万元</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10.8万元</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资金应发尽发率</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25</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867"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47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宗教师傅满意度</w:t>
            </w:r>
          </w:p>
        </w:tc>
        <w:tc>
          <w:tcPr>
            <w:tcW w:w="69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123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13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56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127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90" w:hRule="atLeast"/>
        </w:trPr>
        <w:tc>
          <w:tcPr>
            <w:tcW w:w="9051" w:type="dxa"/>
            <w:gridSpan w:val="10"/>
            <w:tcBorders>
              <w:top w:val="single" w:color="000000" w:sz="4" w:space="0"/>
              <w:left w:val="nil"/>
              <w:bottom w:val="nil"/>
              <w:right w:val="nil"/>
            </w:tcBorders>
            <w:shd w:val="clear" w:color="auto" w:fill="auto"/>
            <w:tcMar>
              <w:top w:w="15" w:type="dxa"/>
              <w:left w:w="15" w:type="dxa"/>
              <w:right w:w="15" w:type="dxa"/>
            </w:tcMar>
            <w:vAlign w:val="center"/>
          </w:tcPr>
          <w:tbl>
            <w:tblPr>
              <w:tblStyle w:val="15"/>
              <w:tblW w:w="90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38"/>
              <w:gridCol w:w="1568"/>
              <w:gridCol w:w="1"/>
              <w:gridCol w:w="1786"/>
              <w:gridCol w:w="1403"/>
              <w:gridCol w:w="1097"/>
              <w:gridCol w:w="1123"/>
              <w:gridCol w:w="472"/>
              <w:gridCol w:w="322"/>
              <w:gridCol w:w="1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gridAfter w:val="1"/>
                <w:wAfter w:w="110" w:type="dxa"/>
                <w:trHeight w:val="907" w:hRule="atLeast"/>
              </w:trPr>
              <w:tc>
                <w:tcPr>
                  <w:tcW w:w="8910" w:type="dxa"/>
                  <w:gridSpan w:val="9"/>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11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3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党派交流专项经费</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312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11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3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12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9020" w:type="dxa"/>
                  <w:gridSpan w:val="10"/>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2706"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5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27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5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27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5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270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50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27"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113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75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12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52"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758" w:type="dxa"/>
                  <w:gridSpan w:val="4"/>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引导各民主党派、无党派人士发挥专业和人才智力资源优势，扎实开展“党委出题，党派调研”活动。</w:t>
                  </w:r>
                </w:p>
              </w:tc>
              <w:tc>
                <w:tcPr>
                  <w:tcW w:w="312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0" w:hRule="atLeast"/>
              </w:trPr>
              <w:tc>
                <w:tcPr>
                  <w:tcW w:w="11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56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7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1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472"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6993"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4493" w:type="dxa"/>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11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招待场次</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5场次</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5场次</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调研、考察、学习开展次数</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3次</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3次</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7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调研、考察、学习人员出勤率</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3"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资金发放及时率</w:t>
                  </w:r>
                </w:p>
              </w:tc>
              <w:tc>
                <w:tcPr>
                  <w:tcW w:w="140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调研、考察、学习成本控制数</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12.84万元</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12.84万元</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1138"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6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参会人员党派交流信念教育</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优</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优</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9" w:hRule="atLeast"/>
              </w:trPr>
              <w:tc>
                <w:tcPr>
                  <w:tcW w:w="1138"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91" w:hRule="atLeast"/>
              </w:trPr>
              <w:tc>
                <w:tcPr>
                  <w:tcW w:w="1138"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568"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787"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培训人员满意度</w:t>
                  </w:r>
                </w:p>
              </w:tc>
              <w:tc>
                <w:tcPr>
                  <w:tcW w:w="140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96%</w:t>
                  </w:r>
                </w:p>
              </w:tc>
              <w:tc>
                <w:tcPr>
                  <w:tcW w:w="109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96%</w:t>
                  </w:r>
                </w:p>
              </w:tc>
              <w:tc>
                <w:tcPr>
                  <w:tcW w:w="11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keepNext w:val="0"/>
              <w:keepLines w:val="0"/>
              <w:widowControl/>
              <w:suppressLineNumbers w:val="0"/>
              <w:jc w:val="left"/>
              <w:textAlignment w:val="center"/>
              <w:rPr>
                <w:rFonts w:hint="eastAsia" w:ascii="宋体" w:hAnsi="宋体" w:eastAsia="宋体" w:cs="宋体"/>
                <w:i w:val="0"/>
                <w:color w:val="000000"/>
                <w:sz w:val="22"/>
                <w:szCs w:val="22"/>
                <w:u w:val="none"/>
              </w:rPr>
            </w:pPr>
          </w:p>
        </w:tc>
      </w:tr>
    </w:tbl>
    <w:p>
      <w:pPr>
        <w:pStyle w:val="3"/>
        <w:ind w:left="0" w:leftChars="0" w:firstLine="0" w:firstLineChars="0"/>
        <w:rPr>
          <w:rFonts w:hint="eastAsia" w:ascii="仿宋_GB2312" w:hAnsi="仿宋_GB2312" w:eastAsia="仿宋_GB2312" w:cs="仿宋_GB2312"/>
          <w:color w:val="000000"/>
          <w:kern w:val="0"/>
          <w:sz w:val="32"/>
          <w:szCs w:val="32"/>
          <w:shd w:val="clear" w:color="auto" w:fill="FFFFFF"/>
          <w:lang w:val="zh-CN" w:eastAsia="zh-CN" w:bidi="ar-SA"/>
        </w:rPr>
      </w:pPr>
    </w:p>
    <w:tbl>
      <w:tblPr>
        <w:tblStyle w:val="15"/>
        <w:tblW w:w="85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291"/>
        <w:gridCol w:w="1354"/>
        <w:gridCol w:w="1922"/>
        <w:gridCol w:w="1081"/>
        <w:gridCol w:w="977"/>
        <w:gridCol w:w="842"/>
        <w:gridCol w:w="409"/>
        <w:gridCol w:w="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834" w:hRule="atLeast"/>
        </w:trPr>
        <w:tc>
          <w:tcPr>
            <w:tcW w:w="8580"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327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侨台专项经费</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2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327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2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858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2645"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19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11.42</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10.97</w:t>
            </w:r>
          </w:p>
        </w:tc>
        <w:tc>
          <w:tcPr>
            <w:tcW w:w="19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11.42</w:t>
            </w: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10.97</w:t>
            </w:r>
          </w:p>
        </w:tc>
        <w:tc>
          <w:tcPr>
            <w:tcW w:w="19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0.96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264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58"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1955"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435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2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55"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4357"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加强台联会建设、运行，及时了解掌握台胞台属所思、所想、所盼，常态关注台胞台属工作生活状况，引导台胞台属时刻保持与党思想同心、行动同步。</w:t>
            </w:r>
          </w:p>
        </w:tc>
        <w:tc>
          <w:tcPr>
            <w:tcW w:w="293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8" w:hRule="atLeast"/>
        </w:trPr>
        <w:tc>
          <w:tcPr>
            <w:tcW w:w="1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3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9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4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409"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6625"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4567"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节假日走访慰问次数</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5次</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5次</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8"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节假日走访慰问发放准确率</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48"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节假日走访慰问发放及时率</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100%</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成本控制数</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11.42万元</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1.42万元</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促进中台两岸侨胞交流</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优</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40" w:hRule="atLeast"/>
        </w:trPr>
        <w:tc>
          <w:tcPr>
            <w:tcW w:w="1291"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3" w:hRule="atLeast"/>
        </w:trPr>
        <w:tc>
          <w:tcPr>
            <w:tcW w:w="12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354"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922"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台胞台属满意度</w:t>
            </w:r>
          </w:p>
        </w:tc>
        <w:tc>
          <w:tcPr>
            <w:tcW w:w="10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977"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98%</w:t>
            </w: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40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pStyle w:val="3"/>
        <w:keepNext w:val="0"/>
        <w:keepLines w:val="0"/>
        <w:pageBreakBefore w:val="0"/>
        <w:numPr>
          <w:ilvl w:val="0"/>
          <w:numId w:val="0"/>
        </w:numPr>
        <w:kinsoku/>
        <w:wordWrap/>
        <w:overflowPunct/>
        <w:topLinePunct w:val="0"/>
        <w:autoSpaceDE/>
        <w:autoSpaceDN/>
        <w:bidi w:val="0"/>
        <w:spacing w:line="560" w:lineRule="exact"/>
        <w:textAlignment w:val="auto"/>
        <w:rPr>
          <w:rFonts w:hint="eastAsia" w:ascii="Times New Roman" w:hAnsi="Times New Roman" w:cs="Times New Roman"/>
          <w:sz w:val="32"/>
          <w:szCs w:val="32"/>
          <w:highlight w:val="yellow"/>
          <w:lang w:val="zh-CN" w:eastAsia="zh-CN"/>
        </w:rPr>
      </w:pPr>
    </w:p>
    <w:p>
      <w:pPr>
        <w:pStyle w:val="7"/>
        <w:rPr>
          <w:rFonts w:hint="eastAsia" w:ascii="Times New Roman" w:hAnsi="Times New Roman" w:cs="宋体"/>
          <w:color w:val="FF0000"/>
          <w:kern w:val="0"/>
          <w:sz w:val="32"/>
          <w:szCs w:val="32"/>
          <w:highlight w:val="yellow"/>
          <w:shd w:val="clear" w:color="auto" w:fill="FFFFFF"/>
          <w:lang w:val="zh-CN"/>
        </w:rPr>
      </w:pPr>
    </w:p>
    <w:tbl>
      <w:tblPr>
        <w:tblStyle w:val="15"/>
        <w:tblW w:w="9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379"/>
        <w:gridCol w:w="1446"/>
        <w:gridCol w:w="2775"/>
        <w:gridCol w:w="1155"/>
        <w:gridCol w:w="1099"/>
        <w:gridCol w:w="899"/>
        <w:gridCol w:w="437"/>
        <w:gridCol w:w="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25" w:hRule="atLeast"/>
        </w:trPr>
        <w:tc>
          <w:tcPr>
            <w:tcW w:w="9920" w:type="dxa"/>
            <w:gridSpan w:val="8"/>
            <w:tcBorders>
              <w:top w:val="nil"/>
              <w:left w:val="nil"/>
              <w:bottom w:val="nil"/>
              <w:right w:val="nil"/>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6"/>
                <w:szCs w:val="36"/>
                <w:u w:val="none"/>
              </w:rPr>
            </w:pPr>
            <w:r>
              <w:rPr>
                <w:rFonts w:hint="eastAsia" w:ascii="宋体" w:hAnsi="宋体" w:eastAsia="宋体" w:cs="宋体"/>
                <w:b/>
                <w:i w:val="0"/>
                <w:color w:val="000000"/>
                <w:kern w:val="0"/>
                <w:sz w:val="36"/>
                <w:szCs w:val="36"/>
                <w:u w:val="none"/>
                <w:lang w:val="en-US" w:eastAsia="zh-CN" w:bidi="ar"/>
              </w:rPr>
              <w:t>区级项目支出绩效自评表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项目名称：</w:t>
            </w:r>
          </w:p>
        </w:tc>
        <w:tc>
          <w:tcPr>
            <w:tcW w:w="422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党派交流专项经费</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w:t>
            </w:r>
          </w:p>
        </w:tc>
        <w:tc>
          <w:tcPr>
            <w:tcW w:w="31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2024年度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主管部门：</w:t>
            </w:r>
          </w:p>
        </w:tc>
        <w:tc>
          <w:tcPr>
            <w:tcW w:w="4221"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实施单位：</w:t>
            </w:r>
          </w:p>
        </w:tc>
        <w:tc>
          <w:tcPr>
            <w:tcW w:w="31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五通桥区委统战部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9920" w:type="dxa"/>
            <w:gridSpan w:val="8"/>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项目资金（万元）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2825" w:type="dxa"/>
            <w:gridSpan w:val="2"/>
            <w:tcBorders>
              <w:top w:val="single" w:color="000000" w:sz="4" w:space="0"/>
              <w:left w:val="single" w:color="000000" w:sz="4" w:space="0"/>
              <w:bottom w:val="single" w:color="000000" w:sz="4" w:space="0"/>
              <w:right w:val="nil"/>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7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全年预算数</w:t>
            </w:r>
          </w:p>
        </w:tc>
        <w:tc>
          <w:tcPr>
            <w:tcW w:w="225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全年执行数</w:t>
            </w:r>
          </w:p>
        </w:tc>
        <w:tc>
          <w:tcPr>
            <w:tcW w:w="2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282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年度资金总额</w:t>
            </w:r>
          </w:p>
        </w:tc>
        <w:tc>
          <w:tcPr>
            <w:tcW w:w="27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25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282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其中：财政拨款</w:t>
            </w:r>
          </w:p>
        </w:tc>
        <w:tc>
          <w:tcPr>
            <w:tcW w:w="27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25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12.84</w:t>
            </w:r>
          </w:p>
        </w:tc>
        <w:tc>
          <w:tcPr>
            <w:tcW w:w="2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282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其他资金</w:t>
            </w:r>
          </w:p>
        </w:tc>
        <w:tc>
          <w:tcPr>
            <w:tcW w:w="27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254"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20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年度总体目标</w:t>
            </w:r>
          </w:p>
        </w:tc>
        <w:tc>
          <w:tcPr>
            <w:tcW w:w="537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预期目标</w:t>
            </w:r>
          </w:p>
        </w:tc>
        <w:tc>
          <w:tcPr>
            <w:tcW w:w="31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4"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宋体" w:hAnsi="宋体" w:eastAsia="宋体" w:cs="宋体"/>
                <w:i w:val="0"/>
                <w:color w:val="000000"/>
                <w:sz w:val="20"/>
                <w:szCs w:val="20"/>
                <w:u w:val="none"/>
              </w:rPr>
            </w:pPr>
          </w:p>
        </w:tc>
        <w:tc>
          <w:tcPr>
            <w:tcW w:w="5376" w:type="dxa"/>
            <w:gridSpan w:val="3"/>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引导各民主党派、无党派人士发挥专业和人才智力资源优势，扎实开展“党委出题，党派调研”活动。</w:t>
            </w:r>
          </w:p>
        </w:tc>
        <w:tc>
          <w:tcPr>
            <w:tcW w:w="316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trPr>
        <w:tc>
          <w:tcPr>
            <w:tcW w:w="137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4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7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8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分值/权重</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（百分制）</w:t>
            </w:r>
          </w:p>
        </w:tc>
        <w:tc>
          <w:tcPr>
            <w:tcW w:w="437"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扣分原因分析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7854"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    分</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5600" w:type="dxa"/>
            <w:gridSpan w:val="3"/>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预算执行率（10分）</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7" w:type="dxa"/>
            <w:tcBorders>
              <w:top w:val="single" w:color="000000" w:sz="4" w:space="0"/>
              <w:left w:val="nil"/>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产出指标</w:t>
            </w: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招待场次</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5场次</w:t>
            </w: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5场次</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数量指标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调研、考察、学习开展次数</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3次</w:t>
            </w: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3次</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1"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质量指标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调研、考察、学习人员出勤率</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100%</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1"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时效指标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资金发放及时率</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10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100%</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2"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成本指标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调研、考察、学习成本控制数</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12.84万元</w:t>
            </w: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12.84万元</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vMerge w:val="restar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效益指标</w:t>
            </w: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经济效益指标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社会效益指标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参会人员党派交流信念教育</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优</w:t>
            </w: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优</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生态效益指标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24" w:hRule="atLeast"/>
        </w:trPr>
        <w:tc>
          <w:tcPr>
            <w:tcW w:w="1379" w:type="dxa"/>
            <w:vMerge w:val="continue"/>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可持续影响指标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宋体" w:hAnsi="宋体" w:eastAsia="宋体" w:cs="宋体"/>
                <w:i w:val="0"/>
                <w:color w:val="333333"/>
                <w:sz w:val="18"/>
                <w:szCs w:val="18"/>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jc w:val="center"/>
              <w:rPr>
                <w:rFonts w:hint="eastAsia" w:ascii="宋体" w:hAnsi="宋体" w:eastAsia="宋体" w:cs="宋体"/>
                <w:i w:val="0"/>
                <w:color w:val="333333"/>
                <w:sz w:val="20"/>
                <w:szCs w:val="20"/>
                <w:u w:val="none"/>
              </w:rPr>
            </w:pP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20"/>
                <w:szCs w:val="20"/>
                <w:u w:val="none"/>
              </w:rPr>
            </w:pP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33" w:hRule="atLeast"/>
        </w:trPr>
        <w:tc>
          <w:tcPr>
            <w:tcW w:w="137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1446" w:type="dxa"/>
            <w:tcBorders>
              <w:top w:val="single" w:color="000000" w:sz="4" w:space="0"/>
              <w:left w:val="single" w:color="000000" w:sz="4" w:space="0"/>
              <w:bottom w:val="single" w:color="000000" w:sz="4" w:space="0"/>
              <w:right w:val="nil"/>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满意度指标</w:t>
            </w:r>
          </w:p>
        </w:tc>
        <w:tc>
          <w:tcPr>
            <w:tcW w:w="277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18"/>
                <w:szCs w:val="18"/>
                <w:u w:val="none"/>
              </w:rPr>
            </w:pPr>
            <w:r>
              <w:rPr>
                <w:rFonts w:hint="eastAsia" w:ascii="宋体" w:hAnsi="宋体" w:eastAsia="宋体" w:cs="宋体"/>
                <w:i w:val="0"/>
                <w:color w:val="333333"/>
                <w:kern w:val="0"/>
                <w:sz w:val="18"/>
                <w:szCs w:val="18"/>
                <w:u w:val="none"/>
                <w:lang w:val="en-US" w:eastAsia="zh-CN" w:bidi="ar"/>
              </w:rPr>
              <w:t>培训人员满意度</w:t>
            </w:r>
          </w:p>
        </w:tc>
        <w:tc>
          <w:tcPr>
            <w:tcW w:w="1155"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96%</w:t>
            </w:r>
          </w:p>
        </w:tc>
        <w:tc>
          <w:tcPr>
            <w:tcW w:w="10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333333"/>
                <w:sz w:val="20"/>
                <w:szCs w:val="20"/>
                <w:u w:val="none"/>
              </w:rPr>
            </w:pPr>
            <w:r>
              <w:rPr>
                <w:rFonts w:hint="eastAsia" w:ascii="宋体" w:hAnsi="宋体" w:eastAsia="宋体" w:cs="宋体"/>
                <w:i w:val="0"/>
                <w:color w:val="333333"/>
                <w:kern w:val="0"/>
                <w:sz w:val="20"/>
                <w:szCs w:val="20"/>
                <w:u w:val="none"/>
                <w:lang w:val="en-US" w:eastAsia="zh-CN" w:bidi="ar"/>
              </w:rPr>
              <w:t>96%</w:t>
            </w:r>
          </w:p>
        </w:tc>
        <w:tc>
          <w:tcPr>
            <w:tcW w:w="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43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bl>
    <w:p>
      <w:pPr>
        <w:pStyle w:val="3"/>
        <w:spacing w:line="560" w:lineRule="exact"/>
        <w:ind w:left="0" w:leftChars="0" w:firstLine="0" w:firstLineChars="0"/>
        <w:rPr>
          <w:rFonts w:ascii="Times New Roman"/>
          <w:sz w:val="32"/>
          <w:highlight w:val="yellow"/>
          <w:lang w:val="zh-CN"/>
        </w:rPr>
      </w:pPr>
    </w:p>
    <w:p>
      <w:pPr>
        <w:pStyle w:val="7"/>
        <w:spacing w:before="93"/>
        <w:rPr>
          <w:rFonts w:ascii="Times New Roman" w:cs="宋体"/>
          <w:color w:val="FF0000"/>
          <w:sz w:val="32"/>
          <w:szCs w:val="32"/>
          <w:highlight w:val="yellow"/>
          <w:shd w:val="clear" w:color="auto" w:fill="FFFFFF"/>
          <w:lang w:val="zh-CN"/>
        </w:rPr>
      </w:pPr>
    </w:p>
    <w:p>
      <w:pPr>
        <w:rPr>
          <w:rFonts w:eastAsia="仿宋_GB2312" w:cs="仿宋_GB2312"/>
          <w:kern w:val="0"/>
          <w:sz w:val="32"/>
          <w:szCs w:val="32"/>
        </w:rPr>
      </w:pPr>
      <w:r>
        <w:rPr>
          <w:rFonts w:hint="eastAsia" w:eastAsia="黑体" w:cs="黑体"/>
          <w:kern w:val="0"/>
          <w:sz w:val="32"/>
          <w:szCs w:val="32"/>
          <w:shd w:val="clear" w:color="auto" w:fill="FFFFFF"/>
          <w:lang w:val="zh-CN"/>
        </w:rPr>
        <w:br w:type="page"/>
      </w:r>
    </w:p>
    <w:p>
      <w:pPr>
        <w:spacing w:line="578" w:lineRule="exact"/>
        <w:jc w:val="center"/>
        <w:rPr>
          <w:rFonts w:eastAsia="仿宋"/>
        </w:rPr>
      </w:pPr>
      <w:bookmarkStart w:id="101" w:name="_Toc15396618"/>
      <w:bookmarkStart w:id="102" w:name="_Toc3426_WPSOffice_Level1"/>
      <w:r>
        <w:rPr>
          <w:rFonts w:hint="eastAsia" w:eastAsia="黑体"/>
          <w:sz w:val="44"/>
          <w:szCs w:val="44"/>
        </w:rPr>
        <w:t>第</w:t>
      </w:r>
      <w:r>
        <w:rPr>
          <w:rStyle w:val="28"/>
          <w:rFonts w:hint="eastAsia" w:eastAsia="黑体"/>
          <w:b w:val="0"/>
        </w:rPr>
        <w:t>五部分 附表</w:t>
      </w:r>
      <w:bookmarkEnd w:id="98"/>
      <w:bookmarkEnd w:id="101"/>
      <w:bookmarkEnd w:id="102"/>
      <w:bookmarkStart w:id="103" w:name="_Toc15396619"/>
    </w:p>
    <w:p>
      <w:pPr>
        <w:pStyle w:val="14"/>
        <w:adjustRightInd w:val="0"/>
        <w:snapToGrid w:val="0"/>
        <w:spacing w:line="560" w:lineRule="exact"/>
        <w:jc w:val="left"/>
        <w:rPr>
          <w:rFonts w:eastAsia="仿宋_GB2312" w:cs="仿宋_GB2312"/>
          <w:sz w:val="32"/>
          <w:szCs w:val="32"/>
        </w:rPr>
      </w:pPr>
    </w:p>
    <w:p>
      <w:pPr>
        <w:pStyle w:val="14"/>
        <w:adjustRightInd w:val="0"/>
        <w:snapToGrid w:val="0"/>
        <w:spacing w:line="560" w:lineRule="exact"/>
        <w:jc w:val="left"/>
        <w:rPr>
          <w:rFonts w:eastAsia="仿宋_GB2312" w:cs="仿宋_GB2312"/>
          <w:sz w:val="32"/>
          <w:szCs w:val="32"/>
        </w:rPr>
      </w:pPr>
      <w:bookmarkStart w:id="104" w:name="_Toc18417_WPSOffice_Level2"/>
      <w:r>
        <w:rPr>
          <w:rFonts w:hint="eastAsia" w:eastAsia="仿宋_GB2312" w:cs="仿宋_GB2312"/>
          <w:sz w:val="32"/>
          <w:szCs w:val="32"/>
        </w:rPr>
        <w:t>一、收入支出决算总表</w:t>
      </w:r>
      <w:bookmarkEnd w:id="103"/>
      <w:bookmarkEnd w:id="104"/>
    </w:p>
    <w:p>
      <w:pPr>
        <w:pStyle w:val="14"/>
        <w:adjustRightInd w:val="0"/>
        <w:snapToGrid w:val="0"/>
        <w:spacing w:line="560" w:lineRule="exact"/>
        <w:jc w:val="left"/>
        <w:rPr>
          <w:rFonts w:eastAsia="仿宋_GB2312" w:cs="仿宋_GB2312"/>
          <w:sz w:val="32"/>
          <w:szCs w:val="32"/>
        </w:rPr>
      </w:pPr>
      <w:bookmarkStart w:id="105" w:name="_Toc15396620"/>
      <w:bookmarkStart w:id="106" w:name="_Toc5237_WPSOffice_Level2"/>
      <w:r>
        <w:rPr>
          <w:rFonts w:hint="eastAsia" w:eastAsia="仿宋_GB2312" w:cs="仿宋_GB2312"/>
          <w:sz w:val="32"/>
          <w:szCs w:val="32"/>
        </w:rPr>
        <w:t>二、收入决算表</w:t>
      </w:r>
      <w:bookmarkEnd w:id="105"/>
      <w:bookmarkEnd w:id="106"/>
    </w:p>
    <w:p>
      <w:pPr>
        <w:pStyle w:val="14"/>
        <w:adjustRightInd w:val="0"/>
        <w:snapToGrid w:val="0"/>
        <w:spacing w:line="560" w:lineRule="exact"/>
        <w:jc w:val="left"/>
        <w:rPr>
          <w:rFonts w:eastAsia="仿宋_GB2312" w:cs="仿宋_GB2312"/>
          <w:sz w:val="32"/>
          <w:szCs w:val="32"/>
        </w:rPr>
      </w:pPr>
      <w:bookmarkStart w:id="107" w:name="_Toc15396621"/>
      <w:bookmarkStart w:id="108" w:name="_Toc20817_WPSOffice_Level2"/>
      <w:r>
        <w:rPr>
          <w:rFonts w:hint="eastAsia" w:eastAsia="仿宋_GB2312" w:cs="仿宋_GB2312"/>
          <w:sz w:val="32"/>
          <w:szCs w:val="32"/>
        </w:rPr>
        <w:t>三、支出决算表</w:t>
      </w:r>
      <w:bookmarkEnd w:id="107"/>
      <w:bookmarkEnd w:id="108"/>
    </w:p>
    <w:p>
      <w:pPr>
        <w:pStyle w:val="14"/>
        <w:adjustRightInd w:val="0"/>
        <w:snapToGrid w:val="0"/>
        <w:spacing w:line="560" w:lineRule="exact"/>
        <w:jc w:val="left"/>
        <w:rPr>
          <w:rFonts w:eastAsia="仿宋_GB2312" w:cs="仿宋_GB2312"/>
          <w:sz w:val="32"/>
          <w:szCs w:val="32"/>
        </w:rPr>
      </w:pPr>
      <w:bookmarkStart w:id="109" w:name="_Toc15396622"/>
      <w:bookmarkStart w:id="110" w:name="_Toc19380_WPSOffice_Level2"/>
      <w:r>
        <w:rPr>
          <w:rFonts w:hint="eastAsia" w:eastAsia="仿宋_GB2312" w:cs="仿宋_GB2312"/>
          <w:sz w:val="32"/>
          <w:szCs w:val="32"/>
        </w:rPr>
        <w:t>四、财政拨款收入支出决算总表</w:t>
      </w:r>
      <w:bookmarkEnd w:id="109"/>
      <w:bookmarkEnd w:id="110"/>
    </w:p>
    <w:p>
      <w:pPr>
        <w:pStyle w:val="14"/>
        <w:adjustRightInd w:val="0"/>
        <w:snapToGrid w:val="0"/>
        <w:spacing w:line="560" w:lineRule="exact"/>
        <w:jc w:val="left"/>
        <w:rPr>
          <w:rFonts w:eastAsia="仿宋_GB2312" w:cs="仿宋_GB2312"/>
          <w:sz w:val="32"/>
          <w:szCs w:val="32"/>
        </w:rPr>
      </w:pPr>
      <w:bookmarkStart w:id="111" w:name="_Toc15396623"/>
      <w:bookmarkStart w:id="112" w:name="_Toc16663_WPSOffice_Level2"/>
      <w:r>
        <w:rPr>
          <w:rFonts w:hint="eastAsia" w:eastAsia="仿宋_GB2312" w:cs="仿宋_GB2312"/>
          <w:sz w:val="32"/>
          <w:szCs w:val="32"/>
        </w:rPr>
        <w:t>五、财政拨款支出决算明细表</w:t>
      </w:r>
      <w:bookmarkEnd w:id="111"/>
      <w:bookmarkEnd w:id="112"/>
      <w:bookmarkStart w:id="113" w:name="_Toc15396624"/>
    </w:p>
    <w:p>
      <w:pPr>
        <w:pStyle w:val="14"/>
        <w:adjustRightInd w:val="0"/>
        <w:snapToGrid w:val="0"/>
        <w:spacing w:line="560" w:lineRule="exact"/>
        <w:jc w:val="left"/>
        <w:rPr>
          <w:rFonts w:eastAsia="仿宋_GB2312" w:cs="仿宋_GB2312"/>
          <w:sz w:val="32"/>
          <w:szCs w:val="32"/>
        </w:rPr>
      </w:pPr>
      <w:bookmarkStart w:id="114" w:name="_Toc3325_WPSOffice_Level2"/>
      <w:r>
        <w:rPr>
          <w:rFonts w:hint="eastAsia" w:eastAsia="仿宋_GB2312" w:cs="仿宋_GB2312"/>
          <w:sz w:val="32"/>
          <w:szCs w:val="32"/>
        </w:rPr>
        <w:t>六、一般公共预算财政拨款支出决算表</w:t>
      </w:r>
      <w:bookmarkEnd w:id="113"/>
      <w:bookmarkEnd w:id="114"/>
    </w:p>
    <w:p>
      <w:pPr>
        <w:pStyle w:val="14"/>
        <w:adjustRightInd w:val="0"/>
        <w:snapToGrid w:val="0"/>
        <w:spacing w:line="560" w:lineRule="exact"/>
        <w:jc w:val="left"/>
        <w:rPr>
          <w:rFonts w:eastAsia="仿宋_GB2312" w:cs="仿宋_GB2312"/>
          <w:sz w:val="32"/>
          <w:szCs w:val="32"/>
        </w:rPr>
      </w:pPr>
      <w:bookmarkStart w:id="115" w:name="_Toc15396625"/>
      <w:bookmarkStart w:id="116" w:name="_Toc22540_WPSOffice_Level2"/>
      <w:r>
        <w:rPr>
          <w:rFonts w:hint="eastAsia" w:eastAsia="仿宋_GB2312" w:cs="仿宋_GB2312"/>
          <w:sz w:val="32"/>
          <w:szCs w:val="32"/>
        </w:rPr>
        <w:t>七、一般公共预算财政拨款支出决算明细表</w:t>
      </w:r>
      <w:bookmarkEnd w:id="115"/>
      <w:bookmarkEnd w:id="116"/>
    </w:p>
    <w:p>
      <w:pPr>
        <w:pStyle w:val="14"/>
        <w:adjustRightInd w:val="0"/>
        <w:snapToGrid w:val="0"/>
        <w:spacing w:line="560" w:lineRule="exact"/>
        <w:jc w:val="left"/>
        <w:rPr>
          <w:rFonts w:eastAsia="仿宋_GB2312" w:cs="仿宋_GB2312"/>
          <w:sz w:val="32"/>
          <w:szCs w:val="32"/>
        </w:rPr>
      </w:pPr>
      <w:bookmarkStart w:id="117" w:name="_Toc15396626"/>
      <w:bookmarkStart w:id="118" w:name="_Toc4559_WPSOffice_Level2"/>
      <w:r>
        <w:rPr>
          <w:rFonts w:hint="eastAsia" w:eastAsia="仿宋_GB2312" w:cs="仿宋_GB2312"/>
          <w:sz w:val="32"/>
          <w:szCs w:val="32"/>
        </w:rPr>
        <w:t>八、一般公共预算财政拨款基本支出决算表</w:t>
      </w:r>
      <w:bookmarkEnd w:id="117"/>
      <w:bookmarkEnd w:id="118"/>
    </w:p>
    <w:p>
      <w:pPr>
        <w:pStyle w:val="14"/>
        <w:adjustRightInd w:val="0"/>
        <w:snapToGrid w:val="0"/>
        <w:spacing w:line="560" w:lineRule="exact"/>
        <w:jc w:val="left"/>
        <w:rPr>
          <w:rFonts w:eastAsia="仿宋_GB2312" w:cs="仿宋_GB2312"/>
          <w:sz w:val="32"/>
          <w:szCs w:val="32"/>
        </w:rPr>
      </w:pPr>
      <w:bookmarkStart w:id="119" w:name="_Toc15396627"/>
      <w:bookmarkStart w:id="120" w:name="_Toc24102_WPSOffice_Level2"/>
      <w:r>
        <w:rPr>
          <w:rFonts w:hint="eastAsia" w:eastAsia="仿宋_GB2312" w:cs="仿宋_GB2312"/>
          <w:sz w:val="32"/>
          <w:szCs w:val="32"/>
        </w:rPr>
        <w:t>九、一般公共预算财政拨款项目支出决算表</w:t>
      </w:r>
      <w:bookmarkEnd w:id="119"/>
      <w:bookmarkEnd w:id="120"/>
    </w:p>
    <w:p>
      <w:pPr>
        <w:pStyle w:val="14"/>
        <w:adjustRightInd w:val="0"/>
        <w:snapToGrid w:val="0"/>
        <w:spacing w:line="560" w:lineRule="exact"/>
        <w:jc w:val="left"/>
        <w:rPr>
          <w:rFonts w:eastAsia="仿宋_GB2312" w:cs="仿宋_GB2312"/>
          <w:sz w:val="32"/>
          <w:szCs w:val="32"/>
        </w:rPr>
      </w:pPr>
      <w:bookmarkStart w:id="121" w:name="_Toc15396628"/>
      <w:bookmarkStart w:id="122" w:name="_Toc27888_WPSOffice_Level2"/>
      <w:r>
        <w:rPr>
          <w:rFonts w:hint="eastAsia" w:eastAsia="仿宋_GB2312" w:cs="仿宋_GB2312"/>
          <w:sz w:val="32"/>
          <w:szCs w:val="32"/>
        </w:rPr>
        <w:t>十、</w:t>
      </w:r>
      <w:bookmarkEnd w:id="121"/>
      <w:r>
        <w:rPr>
          <w:rFonts w:hint="eastAsia" w:eastAsia="仿宋_GB2312" w:cs="仿宋_GB2312"/>
          <w:sz w:val="32"/>
          <w:szCs w:val="32"/>
        </w:rPr>
        <w:t>政府性基金预算财政拨款收入支出决算表</w:t>
      </w:r>
      <w:bookmarkEnd w:id="122"/>
    </w:p>
    <w:p>
      <w:pPr>
        <w:pStyle w:val="14"/>
        <w:adjustRightInd w:val="0"/>
        <w:snapToGrid w:val="0"/>
        <w:spacing w:line="560" w:lineRule="exact"/>
        <w:jc w:val="left"/>
        <w:rPr>
          <w:rFonts w:eastAsia="仿宋_GB2312" w:cs="仿宋_GB2312"/>
          <w:sz w:val="32"/>
          <w:szCs w:val="32"/>
        </w:rPr>
      </w:pPr>
      <w:bookmarkStart w:id="123" w:name="_Toc15396629"/>
      <w:bookmarkStart w:id="124" w:name="_Toc789_WPSOffice_Level2"/>
      <w:r>
        <w:rPr>
          <w:rFonts w:hint="eastAsia" w:eastAsia="仿宋_GB2312" w:cs="仿宋_GB2312"/>
          <w:sz w:val="32"/>
          <w:szCs w:val="32"/>
        </w:rPr>
        <w:t>十一、</w:t>
      </w:r>
      <w:bookmarkEnd w:id="123"/>
      <w:r>
        <w:rPr>
          <w:rFonts w:hint="eastAsia" w:eastAsia="仿宋_GB2312" w:cs="仿宋_GB2312"/>
          <w:sz w:val="32"/>
          <w:szCs w:val="32"/>
        </w:rPr>
        <w:t>国有资本经营预算财政拨款收入支出决算表</w:t>
      </w:r>
      <w:bookmarkEnd w:id="124"/>
    </w:p>
    <w:p>
      <w:pPr>
        <w:pStyle w:val="14"/>
        <w:adjustRightInd w:val="0"/>
        <w:snapToGrid w:val="0"/>
        <w:spacing w:line="560" w:lineRule="exact"/>
        <w:jc w:val="left"/>
        <w:rPr>
          <w:rFonts w:eastAsia="仿宋_GB2312" w:cs="仿宋_GB2312"/>
          <w:sz w:val="32"/>
          <w:szCs w:val="32"/>
        </w:rPr>
      </w:pPr>
      <w:bookmarkStart w:id="125" w:name="_Toc15396630"/>
      <w:bookmarkStart w:id="126" w:name="_Toc24395_WPSOffice_Level2"/>
      <w:r>
        <w:rPr>
          <w:rFonts w:hint="eastAsia" w:eastAsia="仿宋_GB2312" w:cs="仿宋_GB2312"/>
          <w:sz w:val="32"/>
          <w:szCs w:val="32"/>
        </w:rPr>
        <w:t>十二、</w:t>
      </w:r>
      <w:bookmarkEnd w:id="125"/>
      <w:r>
        <w:rPr>
          <w:rFonts w:hint="eastAsia" w:eastAsia="仿宋_GB2312" w:cs="仿宋_GB2312"/>
          <w:sz w:val="32"/>
          <w:szCs w:val="32"/>
        </w:rPr>
        <w:t>国有资本经营预算财政拨款支出决算表</w:t>
      </w:r>
      <w:bookmarkEnd w:id="126"/>
    </w:p>
    <w:p>
      <w:pPr>
        <w:pStyle w:val="14"/>
        <w:adjustRightInd w:val="0"/>
        <w:snapToGrid w:val="0"/>
        <w:spacing w:line="560" w:lineRule="exact"/>
        <w:jc w:val="left"/>
        <w:rPr>
          <w:rFonts w:eastAsia="仿宋_GB2312" w:cs="仿宋_GB2312"/>
          <w:sz w:val="32"/>
          <w:szCs w:val="32"/>
        </w:rPr>
      </w:pPr>
      <w:bookmarkStart w:id="127" w:name="_Toc15396631"/>
      <w:bookmarkStart w:id="128" w:name="_Toc31786_WPSOffice_Level2"/>
      <w:r>
        <w:rPr>
          <w:rFonts w:hint="eastAsia" w:eastAsia="仿宋_GB2312" w:cs="仿宋_GB2312"/>
          <w:sz w:val="32"/>
          <w:szCs w:val="32"/>
        </w:rPr>
        <w:t>十三、</w:t>
      </w:r>
      <w:bookmarkEnd w:id="127"/>
      <w:r>
        <w:rPr>
          <w:rFonts w:hint="eastAsia" w:eastAsia="仿宋_GB2312" w:cs="仿宋_GB2312"/>
          <w:sz w:val="32"/>
          <w:szCs w:val="32"/>
        </w:rPr>
        <w:t>财政拨款“三公”经费支出决算表</w:t>
      </w:r>
      <w:bookmarkEnd w:id="128"/>
    </w:p>
    <w:p/>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2010601030101010101"/>
    <w:charset w:val="86"/>
    <w:family w:val="script"/>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p>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posOffset>4975225</wp:posOffset>
              </wp:positionH>
              <wp:positionV relativeFrom="paragraph">
                <wp:posOffset>55880</wp:posOffset>
              </wp:positionV>
              <wp:extent cx="1828800" cy="11493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149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sz w:val="28"/>
                              <w:szCs w:val="28"/>
                              <w:lang w:eastAsia="zh-CN"/>
                            </w:rPr>
                          </w:pPr>
                          <w:r>
                            <w:rPr>
                              <w:rFonts w:hint="eastAsia"/>
                              <w:sz w:val="18"/>
                              <w:szCs w:val="18"/>
                              <w:lang w:eastAsia="zh-CN"/>
                            </w:rPr>
                            <w:fldChar w:fldCharType="begin"/>
                          </w:r>
                          <w:r>
                            <w:rPr>
                              <w:rFonts w:hint="eastAsia"/>
                              <w:sz w:val="18"/>
                              <w:szCs w:val="18"/>
                              <w:lang w:eastAsia="zh-CN"/>
                            </w:rPr>
                            <w:instrText xml:space="preserve"> PAGE  \* MERGEFORMAT </w:instrText>
                          </w:r>
                          <w:r>
                            <w:rPr>
                              <w:rFonts w:hint="eastAsia"/>
                              <w:sz w:val="18"/>
                              <w:szCs w:val="18"/>
                              <w:lang w:eastAsia="zh-CN"/>
                            </w:rPr>
                            <w:fldChar w:fldCharType="separate"/>
                          </w:r>
                          <w:r>
                            <w:rPr>
                              <w:rFonts w:hint="eastAsia"/>
                              <w:sz w:val="18"/>
                              <w:szCs w:val="18"/>
                              <w:lang w:eastAsia="zh-CN"/>
                            </w:rPr>
                            <w:t>- 2 -</w:t>
                          </w:r>
                          <w:r>
                            <w:rPr>
                              <w:rFonts w:hint="eastAsia"/>
                              <w:sz w:val="18"/>
                              <w:szCs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91.75pt;margin-top:4.4pt;height:9.05pt;width:144pt;mso-position-horizontal-relative:margin;mso-wrap-style:none;z-index:251659264;mso-width-relative:page;mso-height-relative:page;" filled="f" stroked="f" coordsize="21600,21600" o:gfxdata="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pc2ZN9kAAAAJAQAADwAAAAAAAAABACAAAAAiAAAAZHJzL2Rvd25y&#10;ZXYueG1sUEsBAhQAFAAAAAgAh07iQK1pGYU2AgAAYAQAAA4AAAAAAAAAAQAgAAAAKAEAAGRycy9l&#10;Mm9Eb2MueG1sUEsFBgAAAAAGAAYAWQEAANAFAAAAAA==&#10;">
              <v:fill on="f" focussize="0,0"/>
              <v:stroke on="f" weight="0.5pt"/>
              <v:imagedata o:title=""/>
              <o:lock v:ext="edit" aspectratio="f"/>
              <v:textbox inset="0mm,0mm,0mm,0mm">
                <w:txbxContent>
                  <w:p>
                    <w:pPr>
                      <w:pStyle w:val="10"/>
                      <w:rPr>
                        <w:rFonts w:hint="eastAsia" w:eastAsia="宋体"/>
                        <w:sz w:val="28"/>
                        <w:szCs w:val="28"/>
                        <w:lang w:eastAsia="zh-CN"/>
                      </w:rPr>
                    </w:pPr>
                    <w:r>
                      <w:rPr>
                        <w:rFonts w:hint="eastAsia"/>
                        <w:sz w:val="18"/>
                        <w:szCs w:val="18"/>
                        <w:lang w:eastAsia="zh-CN"/>
                      </w:rPr>
                      <w:fldChar w:fldCharType="begin"/>
                    </w:r>
                    <w:r>
                      <w:rPr>
                        <w:rFonts w:hint="eastAsia"/>
                        <w:sz w:val="18"/>
                        <w:szCs w:val="18"/>
                        <w:lang w:eastAsia="zh-CN"/>
                      </w:rPr>
                      <w:instrText xml:space="preserve"> PAGE  \* MERGEFORMAT </w:instrText>
                    </w:r>
                    <w:r>
                      <w:rPr>
                        <w:rFonts w:hint="eastAsia"/>
                        <w:sz w:val="18"/>
                        <w:szCs w:val="18"/>
                        <w:lang w:eastAsia="zh-CN"/>
                      </w:rPr>
                      <w:fldChar w:fldCharType="separate"/>
                    </w:r>
                    <w:r>
                      <w:rPr>
                        <w:rFonts w:hint="eastAsia"/>
                        <w:sz w:val="18"/>
                        <w:szCs w:val="18"/>
                        <w:lang w:eastAsia="zh-CN"/>
                      </w:rPr>
                      <w:t>- 2 -</w:t>
                    </w:r>
                    <w:r>
                      <w:rPr>
                        <w:rFonts w:hint="eastAsia"/>
                        <w:sz w:val="18"/>
                        <w:szCs w:val="18"/>
                        <w:lang w:eastAsia="zh-CN"/>
                      </w:rPr>
                      <w:fldChar w:fldCharType="end"/>
                    </w:r>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63281F"/>
    <w:multiLevelType w:val="multilevel"/>
    <w:tmpl w:val="5B63281F"/>
    <w:lvl w:ilvl="0" w:tentative="0">
      <w:start w:val="1"/>
      <w:numFmt w:val="decimal"/>
      <w:pStyle w:val="35"/>
      <w:suff w:val="nothing"/>
      <w:lvlText w:val="%1."/>
      <w:lvlJc w:val="left"/>
      <w:pPr>
        <w:ind w:left="0" w:firstLine="635"/>
      </w:pPr>
      <w:rPr>
        <w:rFonts w:hint="eastAsia"/>
      </w:rPr>
    </w:lvl>
    <w:lvl w:ilvl="1" w:tentative="0">
      <w:start w:val="1"/>
      <w:numFmt w:val="lowerLetter"/>
      <w:lvlText w:val="%2)"/>
      <w:lvlJc w:val="left"/>
      <w:pPr>
        <w:ind w:left="1475" w:hanging="420"/>
      </w:pPr>
    </w:lvl>
    <w:lvl w:ilvl="2" w:tentative="0">
      <w:start w:val="1"/>
      <w:numFmt w:val="lowerRoman"/>
      <w:lvlText w:val="%3."/>
      <w:lvlJc w:val="right"/>
      <w:pPr>
        <w:ind w:left="1895" w:hanging="420"/>
      </w:pPr>
    </w:lvl>
    <w:lvl w:ilvl="3" w:tentative="0">
      <w:start w:val="1"/>
      <w:numFmt w:val="decimal"/>
      <w:lvlText w:val="%4."/>
      <w:lvlJc w:val="left"/>
      <w:pPr>
        <w:ind w:left="2315" w:hanging="420"/>
      </w:pPr>
    </w:lvl>
    <w:lvl w:ilvl="4" w:tentative="0">
      <w:start w:val="1"/>
      <w:numFmt w:val="lowerLetter"/>
      <w:lvlText w:val="%5)"/>
      <w:lvlJc w:val="left"/>
      <w:pPr>
        <w:ind w:left="2735" w:hanging="420"/>
      </w:pPr>
    </w:lvl>
    <w:lvl w:ilvl="5" w:tentative="0">
      <w:start w:val="1"/>
      <w:numFmt w:val="lowerRoman"/>
      <w:lvlText w:val="%6."/>
      <w:lvlJc w:val="right"/>
      <w:pPr>
        <w:ind w:left="3155" w:hanging="420"/>
      </w:pPr>
    </w:lvl>
    <w:lvl w:ilvl="6" w:tentative="0">
      <w:start w:val="1"/>
      <w:numFmt w:val="decimal"/>
      <w:lvlText w:val="%7."/>
      <w:lvlJc w:val="left"/>
      <w:pPr>
        <w:ind w:left="3575" w:hanging="420"/>
      </w:pPr>
    </w:lvl>
    <w:lvl w:ilvl="7" w:tentative="0">
      <w:start w:val="1"/>
      <w:numFmt w:val="lowerLetter"/>
      <w:lvlText w:val="%8)"/>
      <w:lvlJc w:val="left"/>
      <w:pPr>
        <w:ind w:left="3995" w:hanging="420"/>
      </w:pPr>
    </w:lvl>
    <w:lvl w:ilvl="8" w:tentative="0">
      <w:start w:val="1"/>
      <w:numFmt w:val="lowerRoman"/>
      <w:lvlText w:val="%9."/>
      <w:lvlJc w:val="right"/>
      <w:pPr>
        <w:ind w:left="441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B2D66"/>
    <w:rsid w:val="001C0962"/>
    <w:rsid w:val="001D7531"/>
    <w:rsid w:val="001E737D"/>
    <w:rsid w:val="001F0592"/>
    <w:rsid w:val="001F2500"/>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A45EA"/>
    <w:rsid w:val="002B2613"/>
    <w:rsid w:val="002D6D05"/>
    <w:rsid w:val="002F1818"/>
    <w:rsid w:val="002F567B"/>
    <w:rsid w:val="003216A9"/>
    <w:rsid w:val="00335A74"/>
    <w:rsid w:val="0036561B"/>
    <w:rsid w:val="0037013F"/>
    <w:rsid w:val="00380C92"/>
    <w:rsid w:val="003A484F"/>
    <w:rsid w:val="003A4883"/>
    <w:rsid w:val="003A66FB"/>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93AE3"/>
    <w:rsid w:val="004A5561"/>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5F6DDB"/>
    <w:rsid w:val="00605688"/>
    <w:rsid w:val="006070AF"/>
    <w:rsid w:val="00607E6C"/>
    <w:rsid w:val="006101B1"/>
    <w:rsid w:val="00614E44"/>
    <w:rsid w:val="0062270A"/>
    <w:rsid w:val="00622830"/>
    <w:rsid w:val="00623DA0"/>
    <w:rsid w:val="00630AEF"/>
    <w:rsid w:val="006325F8"/>
    <w:rsid w:val="00633463"/>
    <w:rsid w:val="00634C9A"/>
    <w:rsid w:val="00637E09"/>
    <w:rsid w:val="006440E4"/>
    <w:rsid w:val="0066343B"/>
    <w:rsid w:val="00664777"/>
    <w:rsid w:val="006748A4"/>
    <w:rsid w:val="00681A31"/>
    <w:rsid w:val="00683E73"/>
    <w:rsid w:val="006A3141"/>
    <w:rsid w:val="006A5E34"/>
    <w:rsid w:val="006B2422"/>
    <w:rsid w:val="006B2B9A"/>
    <w:rsid w:val="006B440F"/>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662F"/>
    <w:rsid w:val="007C3177"/>
    <w:rsid w:val="007D1682"/>
    <w:rsid w:val="007D312A"/>
    <w:rsid w:val="007D3F19"/>
    <w:rsid w:val="007D5875"/>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2BF1"/>
    <w:rsid w:val="00871F71"/>
    <w:rsid w:val="00872FD8"/>
    <w:rsid w:val="00885AF4"/>
    <w:rsid w:val="008939CD"/>
    <w:rsid w:val="008A6E01"/>
    <w:rsid w:val="008B509D"/>
    <w:rsid w:val="008B768C"/>
    <w:rsid w:val="008B7E93"/>
    <w:rsid w:val="008C4DB1"/>
    <w:rsid w:val="008C4EAF"/>
    <w:rsid w:val="008C5176"/>
    <w:rsid w:val="008C7131"/>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074F"/>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A2AA3"/>
    <w:rsid w:val="00BB4DF0"/>
    <w:rsid w:val="00BC289F"/>
    <w:rsid w:val="00BC2D50"/>
    <w:rsid w:val="00BC5361"/>
    <w:rsid w:val="00BC5460"/>
    <w:rsid w:val="00BC6B50"/>
    <w:rsid w:val="00BD0E25"/>
    <w:rsid w:val="00BE753B"/>
    <w:rsid w:val="00BF5BD6"/>
    <w:rsid w:val="00C03E31"/>
    <w:rsid w:val="00C30D6D"/>
    <w:rsid w:val="00C33E72"/>
    <w:rsid w:val="00C354B2"/>
    <w:rsid w:val="00C35554"/>
    <w:rsid w:val="00C42709"/>
    <w:rsid w:val="00C533CC"/>
    <w:rsid w:val="00C5751C"/>
    <w:rsid w:val="00C61BFC"/>
    <w:rsid w:val="00C62B85"/>
    <w:rsid w:val="00C65438"/>
    <w:rsid w:val="00C8446D"/>
    <w:rsid w:val="00C87FD8"/>
    <w:rsid w:val="00C91381"/>
    <w:rsid w:val="00C91CBB"/>
    <w:rsid w:val="00CB4E70"/>
    <w:rsid w:val="00CC09B6"/>
    <w:rsid w:val="00CC666F"/>
    <w:rsid w:val="00CD1E3F"/>
    <w:rsid w:val="00CD2B6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32A5"/>
    <w:rsid w:val="00DC410D"/>
    <w:rsid w:val="00DC5A81"/>
    <w:rsid w:val="00DC68CA"/>
    <w:rsid w:val="00DC7CBA"/>
    <w:rsid w:val="00DD47C9"/>
    <w:rsid w:val="00DD73B7"/>
    <w:rsid w:val="00DE0840"/>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59A591E"/>
    <w:rsid w:val="061E35DE"/>
    <w:rsid w:val="066E0107"/>
    <w:rsid w:val="07996F6E"/>
    <w:rsid w:val="07DFD8BA"/>
    <w:rsid w:val="09867E8F"/>
    <w:rsid w:val="0A2032A3"/>
    <w:rsid w:val="0CA8290A"/>
    <w:rsid w:val="0D35B1ED"/>
    <w:rsid w:val="0E254B6B"/>
    <w:rsid w:val="0F98263C"/>
    <w:rsid w:val="101860EC"/>
    <w:rsid w:val="101879D2"/>
    <w:rsid w:val="101F47CC"/>
    <w:rsid w:val="10C055FF"/>
    <w:rsid w:val="11694EBD"/>
    <w:rsid w:val="11772AA4"/>
    <w:rsid w:val="118107EC"/>
    <w:rsid w:val="12E24EE2"/>
    <w:rsid w:val="13D50BC4"/>
    <w:rsid w:val="14B17F78"/>
    <w:rsid w:val="16462C86"/>
    <w:rsid w:val="165E0673"/>
    <w:rsid w:val="16B831D5"/>
    <w:rsid w:val="16BB723D"/>
    <w:rsid w:val="17E50567"/>
    <w:rsid w:val="186504BB"/>
    <w:rsid w:val="19A445FC"/>
    <w:rsid w:val="1BE8440E"/>
    <w:rsid w:val="1D155CEE"/>
    <w:rsid w:val="1D1638FE"/>
    <w:rsid w:val="1E312DEB"/>
    <w:rsid w:val="1E5A016A"/>
    <w:rsid w:val="1E740ACF"/>
    <w:rsid w:val="1FF35744"/>
    <w:rsid w:val="1FF6BC77"/>
    <w:rsid w:val="2186353C"/>
    <w:rsid w:val="23860B96"/>
    <w:rsid w:val="240371BF"/>
    <w:rsid w:val="244F3473"/>
    <w:rsid w:val="24C97D99"/>
    <w:rsid w:val="24EF1A2A"/>
    <w:rsid w:val="25A718F0"/>
    <w:rsid w:val="25BB59F6"/>
    <w:rsid w:val="260F557C"/>
    <w:rsid w:val="26970054"/>
    <w:rsid w:val="281408E2"/>
    <w:rsid w:val="29FD04D3"/>
    <w:rsid w:val="2AB352B0"/>
    <w:rsid w:val="2BFF7BC6"/>
    <w:rsid w:val="2C8A61B5"/>
    <w:rsid w:val="2D1919EA"/>
    <w:rsid w:val="2DF04E50"/>
    <w:rsid w:val="2E586DFA"/>
    <w:rsid w:val="2F040D46"/>
    <w:rsid w:val="2F6B035B"/>
    <w:rsid w:val="2FAE5751"/>
    <w:rsid w:val="2FB1A395"/>
    <w:rsid w:val="2FD9A7D8"/>
    <w:rsid w:val="2FDBF714"/>
    <w:rsid w:val="30AB6865"/>
    <w:rsid w:val="319F7F4E"/>
    <w:rsid w:val="32BD1EF1"/>
    <w:rsid w:val="3304709D"/>
    <w:rsid w:val="33A773CB"/>
    <w:rsid w:val="349D6851"/>
    <w:rsid w:val="358D61D9"/>
    <w:rsid w:val="35FF6315"/>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DFD25EF"/>
    <w:rsid w:val="3E514DC6"/>
    <w:rsid w:val="3E740A63"/>
    <w:rsid w:val="3E78745D"/>
    <w:rsid w:val="3EE17838"/>
    <w:rsid w:val="3F55381A"/>
    <w:rsid w:val="3F7F7599"/>
    <w:rsid w:val="3FF4CAE0"/>
    <w:rsid w:val="3FF7B227"/>
    <w:rsid w:val="44E268DA"/>
    <w:rsid w:val="450D13D7"/>
    <w:rsid w:val="45506656"/>
    <w:rsid w:val="461A6FE1"/>
    <w:rsid w:val="477B5CA5"/>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4D7027E"/>
    <w:rsid w:val="55170BA8"/>
    <w:rsid w:val="553218C9"/>
    <w:rsid w:val="567E1AA5"/>
    <w:rsid w:val="56E47B74"/>
    <w:rsid w:val="57175D52"/>
    <w:rsid w:val="57BD3DD4"/>
    <w:rsid w:val="5AF92295"/>
    <w:rsid w:val="5B250254"/>
    <w:rsid w:val="5B4E30CA"/>
    <w:rsid w:val="5BDD79E6"/>
    <w:rsid w:val="5BF561CA"/>
    <w:rsid w:val="5BFF5DFC"/>
    <w:rsid w:val="5CD71FC4"/>
    <w:rsid w:val="5D1F11B5"/>
    <w:rsid w:val="5D695134"/>
    <w:rsid w:val="5DAE1B18"/>
    <w:rsid w:val="5DE7D9E5"/>
    <w:rsid w:val="5ECEC941"/>
    <w:rsid w:val="5FBF9FF3"/>
    <w:rsid w:val="5FCD4E2C"/>
    <w:rsid w:val="5FEF394A"/>
    <w:rsid w:val="5FF67715"/>
    <w:rsid w:val="61E925A3"/>
    <w:rsid w:val="62BF3928"/>
    <w:rsid w:val="63B3701E"/>
    <w:rsid w:val="647F5392"/>
    <w:rsid w:val="65E66580"/>
    <w:rsid w:val="664B1D71"/>
    <w:rsid w:val="664B4E8E"/>
    <w:rsid w:val="67277B67"/>
    <w:rsid w:val="67AA3209"/>
    <w:rsid w:val="698D0931"/>
    <w:rsid w:val="6A7FE5F3"/>
    <w:rsid w:val="6B053271"/>
    <w:rsid w:val="6B3E71ED"/>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28241CD"/>
    <w:rsid w:val="73160E6D"/>
    <w:rsid w:val="7332FE48"/>
    <w:rsid w:val="73AB61DA"/>
    <w:rsid w:val="73AD73D5"/>
    <w:rsid w:val="73B6EB34"/>
    <w:rsid w:val="73FA497D"/>
    <w:rsid w:val="744731E5"/>
    <w:rsid w:val="74BBD01D"/>
    <w:rsid w:val="74ED5379"/>
    <w:rsid w:val="75DEEEC2"/>
    <w:rsid w:val="75E32345"/>
    <w:rsid w:val="76A31A3E"/>
    <w:rsid w:val="76E3355F"/>
    <w:rsid w:val="76FF5125"/>
    <w:rsid w:val="776F6FFA"/>
    <w:rsid w:val="778769C8"/>
    <w:rsid w:val="77A75DCA"/>
    <w:rsid w:val="77DC22F5"/>
    <w:rsid w:val="783E271A"/>
    <w:rsid w:val="78616DE9"/>
    <w:rsid w:val="78E875D7"/>
    <w:rsid w:val="79086DAD"/>
    <w:rsid w:val="793E1A20"/>
    <w:rsid w:val="79B61178"/>
    <w:rsid w:val="79D7FD79"/>
    <w:rsid w:val="79EE5BA4"/>
    <w:rsid w:val="7A894339"/>
    <w:rsid w:val="7AD284E8"/>
    <w:rsid w:val="7AFF7572"/>
    <w:rsid w:val="7B6C7DFB"/>
    <w:rsid w:val="7BBFBED0"/>
    <w:rsid w:val="7BC3E394"/>
    <w:rsid w:val="7C1F3737"/>
    <w:rsid w:val="7CBFC87B"/>
    <w:rsid w:val="7CFE0F48"/>
    <w:rsid w:val="7D1E3CC0"/>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200" w:leftChars="200"/>
    </w:pPr>
    <w:rPr>
      <w:rFonts w:ascii="仿宋_GB2312"/>
      <w:szCs w:val="32"/>
    </w:rPr>
  </w:style>
  <w:style w:type="paragraph" w:styleId="3">
    <w:name w:val="Body Text First Indent 2"/>
    <w:basedOn w:val="2"/>
    <w:unhideWhenUsed/>
    <w:qFormat/>
    <w:uiPriority w:val="99"/>
    <w:pPr>
      <w:ind w:firstLine="420" w:firstLineChars="200"/>
    </w:pPr>
  </w:style>
  <w:style w:type="paragraph" w:styleId="7">
    <w:name w:val="Body Text"/>
    <w:basedOn w:val="1"/>
    <w:link w:val="25"/>
    <w:qFormat/>
    <w:uiPriority w:val="99"/>
    <w:pPr>
      <w:spacing w:beforeLines="30"/>
    </w:pPr>
    <w:rPr>
      <w:rFonts w:ascii="仿宋_GB2312" w:eastAsia="仿宋_GB2312"/>
      <w:kern w:val="0"/>
      <w:sz w:val="30"/>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3"/>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7"/>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4"/>
    <w:qFormat/>
    <w:uiPriority w:val="9"/>
    <w:rPr>
      <w:rFonts w:ascii="Times New Roman" w:hAnsi="Times New Roman"/>
      <w:b/>
      <w:bCs/>
      <w:kern w:val="44"/>
      <w:sz w:val="44"/>
      <w:szCs w:val="44"/>
    </w:rPr>
  </w:style>
  <w:style w:type="character" w:customStyle="1" w:styleId="29">
    <w:name w:val="标题 2 字符"/>
    <w:basedOn w:val="16"/>
    <w:link w:val="5"/>
    <w:qFormat/>
    <w:uiPriority w:val="9"/>
    <w:rPr>
      <w:rFonts w:asciiTheme="majorHAnsi" w:hAnsiTheme="majorHAnsi" w:eastAsiaTheme="majorEastAsia" w:cstheme="majorBidi"/>
      <w:b/>
      <w:bCs/>
      <w:kern w:val="2"/>
      <w:sz w:val="32"/>
      <w:szCs w:val="32"/>
    </w:rPr>
  </w:style>
  <w:style w:type="paragraph" w:customStyle="1" w:styleId="30">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6"/>
    <w:qFormat/>
    <w:uiPriority w:val="9"/>
    <w:rPr>
      <w:rFonts w:ascii="Times New Roman" w:hAnsi="Times New Roman"/>
      <w:b/>
      <w:bCs/>
      <w:kern w:val="2"/>
      <w:sz w:val="32"/>
      <w:szCs w:val="32"/>
    </w:rPr>
  </w:style>
  <w:style w:type="paragraph" w:customStyle="1" w:styleId="33">
    <w:name w:val="TOC 标题2"/>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B03〗三级标题"/>
    <w:basedOn w:val="1"/>
    <w:qFormat/>
    <w:uiPriority w:val="0"/>
    <w:pPr>
      <w:numPr>
        <w:ilvl w:val="0"/>
        <w:numId w:val="1"/>
      </w:numPr>
      <w:topLinePunct/>
      <w:spacing w:line="600" w:lineRule="exact"/>
      <w:outlineLvl w:val="2"/>
    </w:pPr>
    <w:rPr>
      <w:rFonts w:ascii="楷体_GB2312" w:hAnsi="Calibri" w:eastAsia="楷体_GB2312"/>
      <w:sz w:val="32"/>
      <w:szCs w:val="32"/>
    </w:rPr>
  </w:style>
  <w:style w:type="paragraph" w:customStyle="1" w:styleId="36">
    <w:name w:val="WPSOffice手动目录 1"/>
    <w:uiPriority w:val="0"/>
    <w:pPr>
      <w:ind w:leftChars="0"/>
    </w:pPr>
    <w:rPr>
      <w:rFonts w:asciiTheme="minorHAnsi" w:hAnsiTheme="minorHAnsi" w:eastAsiaTheme="minorEastAsia" w:cstheme="minorBidi"/>
      <w:sz w:val="20"/>
      <w:szCs w:val="20"/>
    </w:rPr>
  </w:style>
  <w:style w:type="paragraph" w:customStyle="1" w:styleId="37">
    <w:name w:val="WPSOffice手动目录 2"/>
    <w:uiPriority w:val="0"/>
    <w:pPr>
      <w:ind w:leftChars="20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37096;&#38376;&#20915;&#31639;&#20844;&#24320;&#35828;&#26126;&#25991;&#26723;&#32534;&#21046;&#20013;&#25152;&#28041;&#22270;&#34920;&#30340;&#21046;&#20316;&#21450;&#22686;&#20943;&#21464;&#21270;&#27604;&#20363;&#31561;&#25968;&#25454;&#35745;&#31639;&#29983;&#25104;&#24037;&#20855;.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37096;&#38376;&#20915;&#31639;&#20844;&#24320;&#35828;&#26126;&#25991;&#26723;&#32534;&#21046;&#20013;&#25152;&#28041;&#22270;&#34920;&#30340;&#21046;&#20316;&#21450;&#22686;&#20943;&#21464;&#21270;&#27604;&#20363;&#31561;&#25968;&#25454;&#35745;&#31639;&#29983;&#25104;&#24037;&#20855;.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37096;&#38376;&#20915;&#31639;&#20844;&#24320;&#35828;&#26126;&#25991;&#26723;&#32534;&#21046;&#20013;&#25152;&#28041;&#22270;&#34920;&#30340;&#21046;&#20316;&#21450;&#22686;&#20943;&#21464;&#21270;&#27604;&#20363;&#31561;&#25968;&#25454;&#35745;&#31639;&#29983;&#25104;&#24037;&#20855;.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37096;&#38376;&#20915;&#31639;&#20844;&#24320;&#35828;&#26126;&#25991;&#26723;&#32534;&#21046;&#20013;&#25152;&#28041;&#22270;&#34920;&#30340;&#21046;&#20316;&#21450;&#22686;&#20943;&#21464;&#21270;&#27604;&#20363;&#31561;&#25968;&#25454;&#35745;&#31639;&#29983;&#25104;&#24037;&#20855;.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37096;&#38376;&#20915;&#31639;&#20844;&#24320;&#35828;&#26126;&#25991;&#26723;&#32534;&#21046;&#20013;&#25152;&#28041;&#22270;&#34920;&#30340;&#21046;&#20316;&#21450;&#22686;&#20943;&#21464;&#21270;&#27604;&#20363;&#31561;&#25968;&#25454;&#35745;&#31639;&#29983;&#25104;&#24037;&#20855;.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37096;&#38376;&#20915;&#31639;&#20844;&#24320;&#35828;&#26126;&#25991;&#26723;&#32534;&#21046;&#20013;&#25152;&#28041;&#22270;&#34920;&#30340;&#21046;&#20316;&#21450;&#22686;&#20943;&#21464;&#21270;&#27604;&#20363;&#31561;&#25968;&#25454;&#35745;&#31639;&#29983;&#25104;&#24037;&#20855;.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37096;&#38376;&#20915;&#31639;&#20844;&#24320;&#35828;&#26126;&#25991;&#26723;&#32534;&#21046;&#20013;&#25152;&#28041;&#22270;&#34920;&#30340;&#21046;&#20316;&#21450;&#22686;&#20943;&#21464;&#21270;&#27604;&#20363;&#31561;&#25968;&#25454;&#35745;&#31639;&#29983;&#25104;&#24037;&#20855;.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42"/>
    </mc:Choice>
    <mc:Fallback>
      <c:style val="42"/>
    </mc:Fallback>
  </mc:AlternateContent>
  <c:chart>
    <c:title>
      <c:tx>
        <c:rich>
          <a:bodyPr rot="0" spcFirstLastPara="0" vertOverflow="ellipsis" vert="horz" wrap="square" anchor="ctr" anchorCtr="1"/>
          <a:lstStyle/>
          <a:p>
            <a:pPr>
              <a:defRPr lang="zh-CN" sz="1800" b="1" i="0" u="none" strike="noStrike" kern="1200" baseline="0">
                <a:solidFill>
                  <a:schemeClr val="lt1"/>
                </a:solidFill>
                <a:latin typeface="+mn-lt"/>
                <a:ea typeface="+mn-ea"/>
                <a:cs typeface="+mn-cs"/>
              </a:defRPr>
            </a:pPr>
            <a:r>
              <a:rPr lang="zh-CN" altLang="en-US">
                <a:solidFill>
                  <a:sysClr val="windowText" lastClr="000000"/>
                </a:solidFill>
              </a:rPr>
              <a:t>收支决算总计变动情况图</a:t>
            </a:r>
            <a:endParaRPr lang="zh-CN" altLang="en-US">
              <a:solidFill>
                <a:sysClr val="windowText" lastClr="000000"/>
              </a:solidFill>
            </a:endParaRPr>
          </a:p>
        </c:rich>
      </c:tx>
      <c:layout/>
      <c:overlay val="0"/>
    </c:title>
    <c:autoTitleDeleted val="0"/>
    <c:plotArea>
      <c:layout>
        <c:manualLayout>
          <c:layoutTarget val="inner"/>
          <c:xMode val="edge"/>
          <c:yMode val="edge"/>
          <c:x val="0.205627705627706"/>
          <c:y val="0.201388888888889"/>
          <c:w val="0.606060606060606"/>
          <c:h val="0.576388888888889"/>
        </c:manualLayout>
      </c:layout>
      <c:barChart>
        <c:barDir val="col"/>
        <c:grouping val="clustered"/>
        <c:varyColors val="0"/>
        <c:ser>
          <c:idx val="0"/>
          <c:order val="0"/>
          <c:tx>
            <c:strRef>
              <c:f>图1!$A$6</c:f>
              <c:strCache>
                <c:ptCount val="1"/>
                <c:pt idx="0">
                  <c:v>2023年</c:v>
                </c:pt>
              </c:strCache>
            </c:strRef>
          </c:tx>
          <c:invertIfNegative val="0"/>
          <c:dLbls>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图1!$B$5</c:f>
              <c:numCache>
                <c:formatCode>General</c:formatCode>
                <c:ptCount val="1"/>
              </c:numCache>
            </c:numRef>
          </c:cat>
          <c:val>
            <c:numRef>
              <c:f>图1!$B$6</c:f>
              <c:numCache>
                <c:formatCode>#,##0.00</c:formatCode>
                <c:ptCount val="1"/>
                <c:pt idx="0">
                  <c:v>197.1</c:v>
                </c:pt>
              </c:numCache>
            </c:numRef>
          </c:val>
        </c:ser>
        <c:ser>
          <c:idx val="1"/>
          <c:order val="1"/>
          <c:tx>
            <c:strRef>
              <c:f>图1!$A$7</c:f>
              <c:strCache>
                <c:ptCount val="1"/>
                <c:pt idx="0">
                  <c:v>2024年</c:v>
                </c:pt>
              </c:strCache>
            </c:strRef>
          </c:tx>
          <c:invertIfNegative val="0"/>
          <c:dLbls>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图1!$B$5</c:f>
              <c:numCache>
                <c:formatCode>General</c:formatCode>
                <c:ptCount val="1"/>
              </c:numCache>
            </c:numRef>
          </c:cat>
          <c:val>
            <c:numRef>
              <c:f>图1!$B$7</c:f>
              <c:numCache>
                <c:formatCode>#,##0.00</c:formatCode>
                <c:ptCount val="1"/>
                <c:pt idx="0">
                  <c:v>185.94</c:v>
                </c:pt>
              </c:numCache>
            </c:numRef>
          </c:val>
        </c:ser>
        <c:ser>
          <c:idx val="2"/>
          <c:order val="2"/>
          <c:tx>
            <c:strRef>
              <c:f>图1!$A$8</c:f>
              <c:strCache>
                <c:ptCount val="1"/>
                <c:pt idx="0">
                  <c:v>增减数目</c:v>
                </c:pt>
              </c:strCache>
            </c:strRef>
          </c:tx>
          <c:invertIfNegative val="0"/>
          <c:dLbls>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图1!$B$5</c:f>
              <c:numCache>
                <c:formatCode>General</c:formatCode>
                <c:ptCount val="1"/>
              </c:numCache>
            </c:numRef>
          </c:cat>
          <c:val>
            <c:numRef>
              <c:f>图1!$B$8</c:f>
              <c:numCache>
                <c:formatCode>#,##0.00_ </c:formatCode>
                <c:ptCount val="1"/>
                <c:pt idx="0">
                  <c:v>-11.16</c:v>
                </c:pt>
              </c:numCache>
            </c:numRef>
          </c:val>
        </c:ser>
        <c:ser>
          <c:idx val="3"/>
          <c:order val="3"/>
          <c:tx>
            <c:strRef>
              <c:f>图1!$A$9</c:f>
              <c:strCache>
                <c:ptCount val="1"/>
                <c:pt idx="0">
                  <c:v>增减幅度%</c:v>
                </c:pt>
              </c:strCache>
            </c:strRef>
          </c:tx>
          <c:invertIfNegative val="0"/>
          <c:dLbls>
            <c:spPr>
              <a:solidFill>
                <a:schemeClr val="tx1"/>
              </a:solid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lt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numRef>
              <c:f>图1!$B$5</c:f>
              <c:numCache>
                <c:formatCode>General</c:formatCode>
                <c:ptCount val="1"/>
              </c:numCache>
            </c:numRef>
          </c:cat>
          <c:val>
            <c:numRef>
              <c:f>图1!$B$9</c:f>
              <c:numCache>
                <c:formatCode>0.00</c:formatCode>
                <c:ptCount val="1"/>
                <c:pt idx="0">
                  <c:v>-5.662100456621</c:v>
                </c:pt>
              </c:numCache>
            </c:numRef>
          </c:val>
        </c:ser>
        <c:dLbls>
          <c:showLegendKey val="0"/>
          <c:showVal val="0"/>
          <c:showCatName val="0"/>
          <c:showSerName val="0"/>
          <c:showPercent val="0"/>
          <c:showBubbleSize val="0"/>
        </c:dLbls>
        <c:gapWidth val="150"/>
        <c:axId val="1837827439"/>
        <c:axId val="1"/>
      </c:barChart>
      <c:catAx>
        <c:axId val="1837827439"/>
        <c:scaling>
          <c:orientation val="minMax"/>
        </c:scaling>
        <c:delete val="0"/>
        <c:axPos val="b"/>
        <c:title>
          <c:tx>
            <c:rich>
              <a:bodyPr rot="0" spcFirstLastPara="0" vertOverflow="ellipsis" vert="horz" wrap="square" anchor="ctr" anchorCtr="1"/>
              <a:lstStyle/>
              <a:p>
                <a:pPr>
                  <a:defRPr lang="zh-CN" sz="1000" b="1" i="0" u="none" strike="noStrike" kern="1200" baseline="0">
                    <a:solidFill>
                      <a:schemeClr val="lt1"/>
                    </a:solidFill>
                    <a:latin typeface="+mn-lt"/>
                    <a:ea typeface="+mn-ea"/>
                    <a:cs typeface="+mn-cs"/>
                  </a:defRPr>
                </a:pPr>
                <a:r>
                  <a:rPr lang="zh-CN" altLang="en-US">
                    <a:solidFill>
                      <a:sysClr val="windowText" lastClr="000000"/>
                    </a:solidFill>
                  </a:rPr>
                  <a:t>单位：万元</a:t>
                </a:r>
                <a:endParaRPr lang="zh-CN" altLang="en-US">
                  <a:solidFill>
                    <a:sysClr val="windowText" lastClr="000000"/>
                  </a:solidFill>
                </a:endParaRPr>
              </a:p>
            </c:rich>
          </c:tx>
          <c:layout>
            <c:manualLayout>
              <c:xMode val="edge"/>
              <c:yMode val="edge"/>
              <c:x val="0.0370294072409191"/>
              <c:y val="0.0694445043684608"/>
            </c:manualLayout>
          </c:layout>
          <c:overlay val="0"/>
          <c:spPr>
            <a:ln>
              <a:solidFill>
                <a:schemeClr val="tx1"/>
              </a:solidFill>
            </a:ln>
          </c:spPr>
        </c:title>
        <c:numFmt formatCode="General" sourceLinked="1"/>
        <c:majorTickMark val="none"/>
        <c:minorTickMark val="none"/>
        <c:tickLblPos val="nextTo"/>
        <c:txPr>
          <a:bodyPr rot="-60000000" spcFirstLastPara="0" vertOverflow="ellipsis" vert="horz" wrap="square" anchor="ctr" anchorCtr="1"/>
          <a:lstStyle/>
          <a:p>
            <a:pPr>
              <a:defRPr lang="zh-CN" sz="1000" b="0" i="0" u="none" strike="noStrike" kern="1200" baseline="0">
                <a:solidFill>
                  <a:schemeClr val="lt1"/>
                </a:solidFill>
                <a:latin typeface="+mn-lt"/>
                <a:ea typeface="+mn-ea"/>
                <a:cs typeface="+mn-cs"/>
              </a:defRPr>
            </a:pPr>
          </a:p>
        </c:txPr>
        <c:crossAx val="1"/>
        <c:crosses val="autoZero"/>
        <c:auto val="1"/>
        <c:lblAlgn val="ctr"/>
        <c:lblOffset val="100"/>
        <c:noMultiLvlLbl val="0"/>
      </c:catAx>
      <c:valAx>
        <c:axId val="1"/>
        <c:scaling>
          <c:orientation val="minMax"/>
        </c:scaling>
        <c:delete val="0"/>
        <c:axPos val="l"/>
        <c:majorGridlines/>
        <c:numFmt formatCode="#,##0.00" sourceLinked="1"/>
        <c:majorTickMark val="out"/>
        <c:minorTickMark val="none"/>
        <c:tickLblPos val="nextTo"/>
        <c:spPr>
          <a:solidFill>
            <a:schemeClr val="tx1"/>
          </a:solidFill>
        </c:spPr>
        <c:txPr>
          <a:bodyPr rot="-60000000" spcFirstLastPara="0" vertOverflow="ellipsis" vert="horz" wrap="square" anchor="ctr" anchorCtr="1"/>
          <a:lstStyle/>
          <a:p>
            <a:pPr>
              <a:defRPr lang="zh-CN" sz="1000" b="0" i="0" u="none" strike="noStrike" kern="1200" baseline="0">
                <a:solidFill>
                  <a:schemeClr val="lt1"/>
                </a:solidFill>
                <a:latin typeface="+mn-lt"/>
                <a:ea typeface="+mn-ea"/>
                <a:cs typeface="+mn-cs"/>
              </a:defRPr>
            </a:pPr>
          </a:p>
        </c:txPr>
        <c:crossAx val="1837827439"/>
        <c:crosses val="autoZero"/>
        <c:crossBetween val="between"/>
      </c:valAx>
      <c:spPr>
        <a:solidFill>
          <a:schemeClr val="bg1"/>
        </a:solidFill>
      </c:spPr>
    </c:plotArea>
    <c:legend>
      <c:legendPos val="r"/>
      <c:layout>
        <c:manualLayout>
          <c:xMode val="edge"/>
          <c:yMode val="edge"/>
          <c:x val="0.146819033931798"/>
          <c:y val="0.826512351124158"/>
          <c:w val="0.728554828755904"/>
          <c:h val="0.130141447552699"/>
        </c:manualLayout>
      </c:layout>
      <c:overlay val="0"/>
      <c:txPr>
        <a:bodyPr rot="0" spcFirstLastPara="0" vertOverflow="ellipsis" vert="horz" wrap="square" anchor="ctr" anchorCtr="1"/>
        <a:lstStyle/>
        <a:p>
          <a:pPr>
            <a:defRPr lang="zh-CN" sz="1000" b="0" i="0" u="none" strike="noStrike" kern="1200" baseline="0">
              <a:ln w="6350">
                <a:solidFill>
                  <a:schemeClr val="tx1"/>
                </a:solidFill>
              </a:ln>
              <a:solidFill>
                <a:schemeClr val="lt1"/>
              </a:solidFill>
              <a:latin typeface="+mn-lt"/>
              <a:ea typeface="+mn-ea"/>
              <a:cs typeface="+mn-cs"/>
            </a:defRPr>
          </a:pPr>
        </a:p>
      </c:txPr>
    </c:legend>
    <c:plotVisOnly val="1"/>
    <c:dispBlanksAs val="gap"/>
    <c:showDLblsOverMax val="0"/>
  </c:chart>
  <c:spPr>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gradFill>
    </a:ln>
    <a:effectLst>
      <a:outerShdw blurRad="279400" dist="50800" dir="5400000" sx="98000" sy="98000" algn="ctr" rotWithShape="0">
        <a:srgbClr val="000000">
          <a:alpha val="79000"/>
        </a:srgbClr>
      </a:outerShdw>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effectLst>
                  <a:glow rad="292100">
                    <a:schemeClr val="accent1">
                      <a:alpha val="40000"/>
                    </a:schemeClr>
                  </a:glow>
                </a:effectLst>
                <a:latin typeface="+mn-lt"/>
                <a:ea typeface="+mn-ea"/>
                <a:cs typeface="+mn-cs"/>
              </a:defRPr>
            </a:pPr>
            <a:r>
              <a:rPr lang="zh-CN"/>
              <a:t>收入决算结构图</a:t>
            </a:r>
            <a:endParaRPr lang="zh-CN"/>
          </a:p>
        </c:rich>
      </c:tx>
      <c:layout/>
      <c:overlay val="0"/>
      <c:spPr>
        <a:noFill/>
        <a:ln w="25400">
          <a:noFill/>
        </a:ln>
      </c:spPr>
    </c:title>
    <c:autoTitleDeleted val="0"/>
    <c:view3D>
      <c:rotX val="40"/>
      <c:rotY val="0"/>
      <c:depthPercent val="100"/>
      <c:rAngAx val="0"/>
      <c:perspective val="20"/>
    </c:view3D>
    <c:floor>
      <c:thickness val="0"/>
    </c:floor>
    <c:sideWall>
      <c:thickness val="0"/>
    </c:sideWall>
    <c:backWall>
      <c:thickness val="0"/>
    </c:backWall>
    <c:plotArea>
      <c:layout>
        <c:manualLayout>
          <c:layoutTarget val="inner"/>
          <c:xMode val="edge"/>
          <c:yMode val="edge"/>
          <c:x val="0.149299150764221"/>
          <c:y val="0.242727454343798"/>
          <c:w val="0.761678985382331"/>
          <c:h val="0.662226631119929"/>
        </c:manualLayout>
      </c:layout>
      <c:pie3DChart>
        <c:varyColors val="1"/>
        <c:ser>
          <c:idx val="0"/>
          <c:order val="0"/>
          <c:explosion val="0"/>
          <c:dPt>
            <c:idx val="0"/>
            <c:bubble3D val="0"/>
            <c:spPr>
              <a:solidFill>
                <a:schemeClr val="accent1"/>
              </a:solidFill>
              <a:ln w="25400">
                <a:solidFill>
                  <a:schemeClr val="lt1"/>
                </a:solidFill>
              </a:ln>
              <a:effectLst/>
              <a:scene3d>
                <a:camera prst="orthographicFront"/>
                <a:lightRig rig="threePt" dir="t"/>
              </a:scene3d>
              <a:sp3d contourW="25400">
                <a:contourClr>
                  <a:schemeClr val="lt1"/>
                </a:contourClr>
              </a:sp3d>
            </c:spPr>
          </c:dPt>
          <c:dPt>
            <c:idx val="1"/>
            <c:bubble3D val="0"/>
            <c:spPr>
              <a:solidFill>
                <a:schemeClr val="accent2"/>
              </a:solidFill>
              <a:ln w="25400">
                <a:solidFill>
                  <a:schemeClr val="lt1"/>
                </a:solidFill>
              </a:ln>
              <a:effectLst/>
              <a:scene3d>
                <a:camera prst="orthographicFront"/>
                <a:lightRig rig="threePt" dir="t"/>
              </a:scene3d>
              <a:sp3d contourW="25400">
                <a:contourClr>
                  <a:schemeClr val="lt1"/>
                </a:contourClr>
              </a:sp3d>
            </c:spPr>
          </c:dPt>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effectLst>
                      <a:glow rad="292100">
                        <a:schemeClr val="accent1">
                          <a:alpha val="40000"/>
                        </a:schemeClr>
                      </a:glow>
                    </a:effectLst>
                    <a:latin typeface="+mn-lt"/>
                    <a:ea typeface="+mn-ea"/>
                    <a:cs typeface="+mn-cs"/>
                  </a:defRPr>
                </a:pPr>
              </a:p>
            </c:txPr>
            <c:dLblPos val="bestFit"/>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图2!$A$5:$A$6</c:f>
              <c:strCache>
                <c:ptCount val="2"/>
                <c:pt idx="0">
                  <c:v>一、一般公共预算财政拨款收入</c:v>
                </c:pt>
                <c:pt idx="1">
                  <c:v>八、其他收入</c:v>
                </c:pt>
              </c:strCache>
            </c:strRef>
          </c:cat>
          <c:val>
            <c:numRef>
              <c:f>图2!$B$5:$B$6</c:f>
              <c:numCache>
                <c:formatCode>#,##0.00</c:formatCode>
                <c:ptCount val="2"/>
                <c:pt idx="0">
                  <c:v>178.18</c:v>
                </c:pt>
                <c:pt idx="1" c:formatCode="General">
                  <c:v>5.01</c:v>
                </c:pt>
              </c:numCache>
            </c:numRef>
          </c:val>
        </c:ser>
        <c:dLbls>
          <c:showLegendKey val="0"/>
          <c:showVal val="0"/>
          <c:showCatName val="0"/>
          <c:showSerName val="0"/>
          <c:showPercent val="0"/>
          <c:showBubbleSize val="0"/>
        </c:dLbls>
      </c:pie3DChart>
      <c:spPr>
        <a:noFill/>
        <a:ln w="25400">
          <a:noFill/>
        </a:ln>
      </c:spPr>
    </c:plotArea>
    <c:plotVisOnly val="1"/>
    <c:dispBlanksAs val="gap"/>
    <c:showDLblsOverMax val="0"/>
  </c:chart>
  <c:spPr>
    <a:solidFill>
      <a:schemeClr val="bg1"/>
    </a:solidFill>
    <a:ln w="9525" cap="flat" cmpd="sng" algn="ctr">
      <a:solidFill>
        <a:schemeClr val="tx1"/>
      </a:solidFill>
      <a:prstDash val="solid"/>
      <a:round/>
    </a:ln>
    <a:effectLst/>
  </c:spPr>
  <c:txPr>
    <a:bodyPr/>
    <a:lstStyle/>
    <a:p>
      <a:pPr>
        <a:defRPr lang="zh-CN">
          <a:effectLst>
            <a:glow rad="292100">
              <a:schemeClr val="accent1">
                <a:alpha val="40000"/>
              </a:schemeClr>
            </a:glow>
          </a:effectLst>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支出决算结构图</a:t>
            </a:r>
            <a:endParaRPr lang="zh-CN" altLang="en-US"/>
          </a:p>
        </c:rich>
      </c:tx>
      <c:layout/>
      <c:overlay val="0"/>
    </c:title>
    <c:autoTitleDeleted val="0"/>
    <c:view3D>
      <c:rotX val="50"/>
      <c:rotY val="0"/>
      <c:depthPercent val="100"/>
      <c:rAngAx val="0"/>
      <c:perspective val="0"/>
    </c:view3D>
    <c:floor>
      <c:thickness val="0"/>
    </c:floor>
    <c:sideWall>
      <c:thickness val="0"/>
    </c:sideWall>
    <c:backWall>
      <c:thickness val="0"/>
    </c:backWall>
    <c:plotArea>
      <c:layout>
        <c:manualLayout>
          <c:layoutTarget val="inner"/>
          <c:xMode val="edge"/>
          <c:yMode val="edge"/>
          <c:x val="0.0177190154380309"/>
          <c:y val="0.26094110538341"/>
          <c:w val="0.612896645793292"/>
          <c:h val="0.695863592590495"/>
        </c:manualLayout>
      </c:layout>
      <c:pie3DChart>
        <c:varyColors val="1"/>
        <c:ser>
          <c:idx val="0"/>
          <c:order val="0"/>
          <c:spPr>
            <a:effectLst>
              <a:outerShdw dist="23000" sx="1000" sy="1000" rotWithShape="0">
                <a:srgbClr val="000000">
                  <a:alpha val="0"/>
                </a:srgbClr>
              </a:outerShdw>
            </a:effectLst>
          </c:spPr>
          <c:explosion val="7"/>
          <c:dPt>
            <c:idx val="0"/>
            <c:bubble3D val="0"/>
            <c:spPr>
              <a:effectLst>
                <a:outerShdw dist="23000" sx="1000" sy="1000" rotWithShape="0">
                  <a:srgbClr val="000000">
                    <a:alpha val="0"/>
                  </a:srgbClr>
                </a:outerShdw>
              </a:effectLst>
            </c:spPr>
          </c:dPt>
          <c:dPt>
            <c:idx val="1"/>
            <c:bubble3D val="0"/>
            <c:spPr>
              <a:effectLst>
                <a:outerShdw dist="23000" sx="1000" sy="1000" rotWithShape="0">
                  <a:srgbClr val="000000">
                    <a:alpha val="0"/>
                  </a:srgbClr>
                </a:outerShdw>
              </a:effectLst>
            </c:spPr>
          </c:dPt>
          <c:dLbls>
            <c:dLbl>
              <c:idx val="0"/>
              <c:layout>
                <c:manualLayout>
                  <c:x val="-0.181275489602261"/>
                  <c:y val="0.0360846637289605"/>
                </c:manualLayout>
              </c:layout>
              <c:numFmt formatCode="General" sourceLinked="1"/>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dLbl>
              <c:idx val="1"/>
              <c:layout>
                <c:manualLayout>
                  <c:x val="0.158942963860287"/>
                  <c:y val="-0.121559071171149"/>
                </c:manualLayout>
              </c:layout>
              <c:numFmt formatCode="General" sourceLinked="1"/>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spPr>
              <a:noFill/>
              <a:ln w="25400">
                <a:noFill/>
              </a:ln>
              <a:effectLst>
                <a:glow rad="762000">
                  <a:schemeClr val="accent1">
                    <a:alpha val="0"/>
                  </a:schemeClr>
                </a:glow>
              </a:effectLst>
              <a:scene3d>
                <a:camera prst="orthographicFront"/>
                <a:lightRig rig="threePt" dir="t"/>
              </a:scene3d>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图3!$A$5:$B$5</c:f>
              <c:strCache>
                <c:ptCount val="2"/>
                <c:pt idx="0">
                  <c:v>基本支出</c:v>
                </c:pt>
                <c:pt idx="1">
                  <c:v>项目支出</c:v>
                </c:pt>
              </c:strCache>
            </c:strRef>
          </c:cat>
          <c:val>
            <c:numRef>
              <c:f>图3!$A$6:$B$6</c:f>
              <c:numCache>
                <c:formatCode>#,##0.00</c:formatCode>
                <c:ptCount val="2"/>
                <c:pt idx="0">
                  <c:v>144.25</c:v>
                </c:pt>
                <c:pt idx="1">
                  <c:v>39.51</c:v>
                </c:pt>
              </c:numCache>
            </c:numRef>
          </c:val>
        </c:ser>
        <c:dLbls>
          <c:showLegendKey val="0"/>
          <c:showVal val="0"/>
          <c:showCatName val="0"/>
          <c:showSerName val="0"/>
          <c:showPercent val="0"/>
          <c:showBubbleSize val="0"/>
        </c:dLbls>
      </c:pie3DChart>
      <c:spPr>
        <a:noFill/>
        <a:ln w="25400">
          <a:noFill/>
        </a:ln>
      </c:spPr>
    </c:plotArea>
    <c:legend>
      <c:legendPos val="r"/>
      <c:layout>
        <c:manualLayout>
          <c:xMode val="edge"/>
          <c:yMode val="edge"/>
          <c:x val="0.688316450606591"/>
          <c:y val="0.402012636505603"/>
          <c:w val="0.301843689405349"/>
          <c:h val="0.358011253405487"/>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ln w="0" cap="flat" cmpd="sng" algn="ctr">
      <a:solidFill>
        <a:schemeClr val="tx1"/>
      </a:solidFill>
      <a:prstDash val="solid"/>
      <a:round/>
    </a:ln>
    <a:effectLst>
      <a:glow rad="152400">
        <a:schemeClr val="bg1">
          <a:alpha val="86000"/>
        </a:schemeClr>
      </a:glow>
      <a:outerShdw blurRad="25400" sx="1000" sy="1000" algn="ctr" rotWithShape="0">
        <a:srgbClr val="000000">
          <a:alpha val="96000"/>
        </a:srgbClr>
      </a:outerShdw>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财政拨款收支总计变动情况</a:t>
            </a:r>
            <a:endParaRPr lang="zh-CN" altLang="en-US"/>
          </a:p>
        </c:rich>
      </c:tx>
      <c:layout/>
      <c:overlay val="0"/>
    </c:title>
    <c:autoTitleDeleted val="0"/>
    <c:plotArea>
      <c:layout>
        <c:manualLayout>
          <c:layoutTarget val="inner"/>
          <c:xMode val="edge"/>
          <c:yMode val="edge"/>
          <c:x val="0.152685970164273"/>
          <c:y val="0.258943799963936"/>
          <c:w val="0.661111111111111"/>
          <c:h val="0.620481927710843"/>
        </c:manualLayout>
      </c:layout>
      <c:barChart>
        <c:barDir val="col"/>
        <c:grouping val="clustered"/>
        <c:varyColors val="0"/>
        <c:ser>
          <c:idx val="0"/>
          <c:order val="0"/>
          <c:tx>
            <c:strRef>
              <c:f>图4!$A$6</c:f>
              <c:strCache>
                <c:ptCount val="1"/>
                <c:pt idx="0">
                  <c:v>2023年</c:v>
                </c:pt>
              </c:strCache>
            </c:strRef>
          </c:tx>
          <c:invertIfNegative val="0"/>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图4!$B$5</c:f>
              <c:strCache>
                <c:ptCount val="1"/>
                <c:pt idx="0">
                  <c:v>财政拨款收入、支出决算总计</c:v>
                </c:pt>
              </c:strCache>
            </c:strRef>
          </c:cat>
          <c:val>
            <c:numRef>
              <c:f>图4!$B$6</c:f>
              <c:numCache>
                <c:formatCode>#,##0.00</c:formatCode>
                <c:ptCount val="1"/>
                <c:pt idx="0">
                  <c:v>197.1</c:v>
                </c:pt>
              </c:numCache>
            </c:numRef>
          </c:val>
        </c:ser>
        <c:ser>
          <c:idx val="1"/>
          <c:order val="1"/>
          <c:tx>
            <c:strRef>
              <c:f>图4!$A$7</c:f>
              <c:strCache>
                <c:ptCount val="1"/>
                <c:pt idx="0">
                  <c:v>2024年</c:v>
                </c:pt>
              </c:strCache>
            </c:strRef>
          </c:tx>
          <c:spPr>
            <a:ln w="9525">
              <a:solidFill>
                <a:schemeClr val="accent1"/>
              </a:solidFill>
            </a:ln>
            <a:effectLst>
              <a:outerShdw blurRad="152400" dist="23000" dir="5340000" rotWithShape="0">
                <a:srgbClr val="000000">
                  <a:alpha val="35000"/>
                </a:srgbClr>
              </a:outerShdw>
            </a:effectLst>
          </c:spPr>
          <c:invertIfNegative val="0"/>
          <c:dLbls>
            <c:dLbl>
              <c:idx val="0"/>
              <c:layout>
                <c:manualLayout>
                  <c:x val="0.0286123032904149"/>
                  <c:y val="0.0087719298245614"/>
                </c:manualLayout>
              </c:layout>
              <c:numFmt formatCode="General" sourceLinked="1"/>
              <c:spPr>
                <a:noFill/>
                <a:ln w="25400">
                  <a:noFill/>
                </a:ln>
                <a:effectLst/>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extLst>
                <c:ext xmlns:c15="http://schemas.microsoft.com/office/drawing/2012/chart" uri="{CE6537A1-D6FC-4f65-9D91-7224C49458BB}">
                  <c15:layout/>
                </c:ext>
              </c:extLst>
            </c:dLbl>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图4!$B$5</c:f>
              <c:strCache>
                <c:ptCount val="1"/>
                <c:pt idx="0">
                  <c:v>财政拨款收入、支出决算总计</c:v>
                </c:pt>
              </c:strCache>
            </c:strRef>
          </c:cat>
          <c:val>
            <c:numRef>
              <c:f>图4!$B$7</c:f>
              <c:numCache>
                <c:formatCode>#,##0.00</c:formatCode>
                <c:ptCount val="1"/>
                <c:pt idx="0">
                  <c:v>178.18</c:v>
                </c:pt>
              </c:numCache>
            </c:numRef>
          </c:val>
        </c:ser>
        <c:ser>
          <c:idx val="2"/>
          <c:order val="2"/>
          <c:tx>
            <c:strRef>
              <c:f>图4!$A$8</c:f>
              <c:strCache>
                <c:ptCount val="1"/>
                <c:pt idx="0">
                  <c:v>增减数目</c:v>
                </c:pt>
              </c:strCache>
            </c:strRef>
          </c:tx>
          <c:invertIfNegative val="0"/>
          <c:dLbls>
            <c:dLbl>
              <c:idx val="0"/>
              <c:layout>
                <c:manualLayout>
                  <c:x val="0.0286123032904149"/>
                  <c:y val="-0.0087719298245614"/>
                </c:manualLayout>
              </c:layout>
              <c:numFmt formatCode="General" sourceLinked="1"/>
              <c:spPr>
                <a:noFill/>
                <a:ln>
                  <a:noFill/>
                </a:ln>
                <a:effectLst>
                  <a:softEdge rad="0"/>
                </a:effectLst>
              </c:spPr>
              <c:txPr>
                <a:bodyPr rot="0" spcFirstLastPara="0"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extLst>
                <c:ext xmlns:c15="http://schemas.microsoft.com/office/drawing/2012/chart" uri="{CE6537A1-D6FC-4f65-9D91-7224C49458BB}">
                  <c15:layout/>
                </c:ext>
              </c:extLst>
            </c:dLbl>
            <c:spPr>
              <a:noFill/>
              <a:ln>
                <a:noFill/>
              </a:ln>
              <a:effectLst>
                <a:softEdge rad="0"/>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图4!$B$5</c:f>
              <c:strCache>
                <c:ptCount val="1"/>
                <c:pt idx="0">
                  <c:v>财政拨款收入、支出决算总计</c:v>
                </c:pt>
              </c:strCache>
            </c:strRef>
          </c:cat>
          <c:val>
            <c:numRef>
              <c:f>图4!$B$8</c:f>
              <c:numCache>
                <c:formatCode>#,##0.00_ </c:formatCode>
                <c:ptCount val="1"/>
                <c:pt idx="0">
                  <c:v>-18.92</c:v>
                </c:pt>
              </c:numCache>
            </c:numRef>
          </c:val>
        </c:ser>
        <c:ser>
          <c:idx val="3"/>
          <c:order val="3"/>
          <c:tx>
            <c:strRef>
              <c:f>图4!$A$9</c:f>
              <c:strCache>
                <c:ptCount val="1"/>
                <c:pt idx="0">
                  <c:v>增减幅度%</c:v>
                </c:pt>
              </c:strCache>
            </c:strRef>
          </c:tx>
          <c:spPr>
            <a:effectLst>
              <a:outerShdw blurRad="40000" dist="2527300" dir="1440000" sx="18000" sy="18000" rotWithShape="0">
                <a:srgbClr val="000000">
                  <a:alpha val="97000"/>
                </a:srgbClr>
              </a:outerShdw>
            </a:effectLst>
          </c:spPr>
          <c:invertIfNegative val="0"/>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1"/>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图4!$B$5</c:f>
              <c:strCache>
                <c:ptCount val="1"/>
                <c:pt idx="0">
                  <c:v>财政拨款收入、支出决算总计</c:v>
                </c:pt>
              </c:strCache>
            </c:strRef>
          </c:cat>
          <c:val>
            <c:numRef>
              <c:f>图4!$B$9</c:f>
              <c:numCache>
                <c:formatCode>0.00</c:formatCode>
                <c:ptCount val="1"/>
                <c:pt idx="0">
                  <c:v>-9.59918822932521</c:v>
                </c:pt>
              </c:numCache>
            </c:numRef>
          </c:val>
        </c:ser>
        <c:dLbls>
          <c:showLegendKey val="0"/>
          <c:showVal val="0"/>
          <c:showCatName val="0"/>
          <c:showSerName val="0"/>
          <c:showPercent val="0"/>
          <c:showBubbleSize val="0"/>
        </c:dLbls>
        <c:gapWidth val="0"/>
        <c:axId val="1837843279"/>
        <c:axId val="1"/>
      </c:barChart>
      <c:catAx>
        <c:axId val="1837843279"/>
        <c:scaling>
          <c:orientation val="minMax"/>
        </c:scaling>
        <c:delete val="1"/>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单位：万元</a:t>
                </a:r>
                <a:endParaRPr lang="zh-CN" altLang="en-US"/>
              </a:p>
            </c:rich>
          </c:tx>
          <c:layout>
            <c:manualLayout>
              <c:xMode val="edge"/>
              <c:yMode val="edge"/>
              <c:x val="0.0123492503351244"/>
              <c:y val="0.0795700372979693"/>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auto val="1"/>
        <c:lblAlgn val="ctr"/>
        <c:lblOffset val="100"/>
        <c:noMultiLvlLbl val="0"/>
      </c:catAx>
      <c:valAx>
        <c:axId val="1"/>
        <c:scaling>
          <c:orientation val="minMax"/>
        </c:scaling>
        <c:delete val="0"/>
        <c:axPos val="l"/>
        <c:numFmt formatCode="#,##0.00" sourceLinked="1"/>
        <c:majorTickMark val="out"/>
        <c:minorTickMark val="none"/>
        <c:tickLblPos val="nextTo"/>
        <c:spPr>
          <a:ln w="9525" cap="flat" cmpd="sng" algn="ctr">
            <a:solidFill>
              <a:schemeClr val="accent1">
                <a:alpha val="78000"/>
              </a:schemeClr>
            </a:solid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37843279"/>
        <c:crosses val="autoZero"/>
        <c:crossBetween val="between"/>
      </c:valAx>
      <c:spPr>
        <a:solidFill>
          <a:schemeClr val="bg1"/>
        </a:solidFill>
        <a:ln>
          <a:noFill/>
        </a:ln>
        <a:effectLst/>
      </c:spPr>
    </c:plotArea>
    <c:legend>
      <c:legendPos val="r"/>
      <c:layout>
        <c:manualLayout>
          <c:xMode val="edge"/>
          <c:yMode val="edge"/>
          <c:x val="0.127799576816007"/>
          <c:y val="0.894320662881289"/>
          <c:w val="0.73484756669204"/>
          <c:h val="0.0739981635953785"/>
        </c:manualLayout>
      </c:layout>
      <c:overlay val="0"/>
      <c:spPr>
        <a:effectLst>
          <a:softEdge rad="0"/>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1"/>
  <mc:AlternateContent xmlns:mc="http://schemas.openxmlformats.org/markup-compatibility/2006">
    <mc:Choice xmlns:c14="http://schemas.microsoft.com/office/drawing/2007/8/2/chart" Requires="c14">
      <c14:style val="118"/>
    </mc:Choice>
    <mc:Fallback>
      <c:style val="18"/>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600"/>
              <a:t>一般公共预算财政拨款支出</a:t>
            </a:r>
            <a:endParaRPr lang="zh-CN" altLang="en-US" sz="1600"/>
          </a:p>
        </c:rich>
      </c:tx>
      <c:layout/>
      <c:overlay val="0"/>
    </c:title>
    <c:autoTitleDeleted val="0"/>
    <c:plotArea>
      <c:layout>
        <c:manualLayout>
          <c:layoutTarget val="inner"/>
          <c:xMode val="edge"/>
          <c:yMode val="edge"/>
          <c:x val="0.286578300719244"/>
          <c:y val="0.217241047116301"/>
          <c:w val="0.564645729078854"/>
          <c:h val="0.572763179883413"/>
        </c:manualLayout>
      </c:layout>
      <c:barChart>
        <c:barDir val="col"/>
        <c:grouping val="clustered"/>
        <c:varyColors val="0"/>
        <c:ser>
          <c:idx val="0"/>
          <c:order val="0"/>
          <c:tx>
            <c:strRef>
              <c:f>图5!$A$7</c:f>
              <c:strCache>
                <c:ptCount val="1"/>
                <c:pt idx="0">
                  <c:v>2023年</c:v>
                </c:pt>
              </c:strCache>
            </c:strRef>
          </c:tx>
          <c:invertIfNegative val="0"/>
          <c:dLbls>
            <c:delete val="1"/>
          </c:dLbls>
          <c:cat>
            <c:numRef>
              <c:f>图5!$B$6</c:f>
              <c:numCache>
                <c:formatCode>General</c:formatCode>
                <c:ptCount val="1"/>
              </c:numCache>
            </c:numRef>
          </c:cat>
          <c:val>
            <c:numRef>
              <c:f>图5!$B$7</c:f>
              <c:numCache>
                <c:formatCode>#,##0.00</c:formatCode>
                <c:ptCount val="1"/>
                <c:pt idx="0">
                  <c:v>197.1</c:v>
                </c:pt>
              </c:numCache>
            </c:numRef>
          </c:val>
        </c:ser>
        <c:ser>
          <c:idx val="1"/>
          <c:order val="1"/>
          <c:tx>
            <c:strRef>
              <c:f>图5!$A$8</c:f>
              <c:strCache>
                <c:ptCount val="1"/>
                <c:pt idx="0">
                  <c:v>2024年</c:v>
                </c:pt>
              </c:strCache>
            </c:strRef>
          </c:tx>
          <c:invertIfNegative val="0"/>
          <c:dLbls>
            <c:delete val="1"/>
          </c:dLbls>
          <c:cat>
            <c:numRef>
              <c:f>图5!$B$6</c:f>
              <c:numCache>
                <c:formatCode>General</c:formatCode>
                <c:ptCount val="1"/>
              </c:numCache>
            </c:numRef>
          </c:cat>
          <c:val>
            <c:numRef>
              <c:f>图5!$B$8</c:f>
              <c:numCache>
                <c:formatCode>#,##0.00</c:formatCode>
                <c:ptCount val="1"/>
                <c:pt idx="0">
                  <c:v>178.18</c:v>
                </c:pt>
              </c:numCache>
            </c:numRef>
          </c:val>
        </c:ser>
        <c:ser>
          <c:idx val="2"/>
          <c:order val="2"/>
          <c:tx>
            <c:strRef>
              <c:f>图5!$A$9</c:f>
              <c:strCache>
                <c:ptCount val="1"/>
                <c:pt idx="0">
                  <c:v>增减数目</c:v>
                </c:pt>
              </c:strCache>
            </c:strRef>
          </c:tx>
          <c:invertIfNegative val="0"/>
          <c:dLbls>
            <c:delete val="1"/>
          </c:dLbls>
          <c:cat>
            <c:numRef>
              <c:f>图5!$B$6</c:f>
              <c:numCache>
                <c:formatCode>General</c:formatCode>
                <c:ptCount val="1"/>
              </c:numCache>
            </c:numRef>
          </c:cat>
          <c:val>
            <c:numRef>
              <c:f>图5!$B$9</c:f>
              <c:numCache>
                <c:formatCode>#,##0.00_ </c:formatCode>
                <c:ptCount val="1"/>
                <c:pt idx="0">
                  <c:v>-18.92</c:v>
                </c:pt>
              </c:numCache>
            </c:numRef>
          </c:val>
        </c:ser>
        <c:ser>
          <c:idx val="3"/>
          <c:order val="3"/>
          <c:tx>
            <c:strRef>
              <c:f>图5!$A$10</c:f>
              <c:strCache>
                <c:ptCount val="1"/>
                <c:pt idx="0">
                  <c:v>增减幅度%</c:v>
                </c:pt>
              </c:strCache>
            </c:strRef>
          </c:tx>
          <c:invertIfNegative val="0"/>
          <c:dLbls>
            <c:delete val="1"/>
          </c:dLbls>
          <c:cat>
            <c:numRef>
              <c:f>图5!$B$6</c:f>
              <c:numCache>
                <c:formatCode>General</c:formatCode>
                <c:ptCount val="1"/>
              </c:numCache>
            </c:numRef>
          </c:cat>
          <c:val>
            <c:numRef>
              <c:f>图5!$B$10</c:f>
              <c:numCache>
                <c:formatCode>0.00</c:formatCode>
                <c:ptCount val="1"/>
                <c:pt idx="0">
                  <c:v>-9.59918822932521</c:v>
                </c:pt>
              </c:numCache>
            </c:numRef>
          </c:val>
        </c:ser>
        <c:dLbls>
          <c:showLegendKey val="0"/>
          <c:showVal val="0"/>
          <c:showCatName val="0"/>
          <c:showSerName val="0"/>
          <c:showPercent val="0"/>
          <c:showBubbleSize val="0"/>
        </c:dLbls>
        <c:gapWidth val="150"/>
        <c:axId val="1837845679"/>
        <c:axId val="1"/>
      </c:barChart>
      <c:catAx>
        <c:axId val="1837845679"/>
        <c:scaling>
          <c:orientation val="minMax"/>
        </c:scaling>
        <c:delete val="1"/>
        <c:axPos val="b"/>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单位：万元</a:t>
                </a:r>
                <a:endParaRPr lang="zh-CN" altLang="en-US"/>
              </a:p>
            </c:rich>
          </c:tx>
          <c:layout>
            <c:manualLayout>
              <c:xMode val="edge"/>
              <c:yMode val="edge"/>
              <c:x val="0.0997940101237345"/>
              <c:y val="0.188548973991887"/>
            </c:manualLayout>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auto val="1"/>
        <c:lblAlgn val="ctr"/>
        <c:lblOffset val="100"/>
        <c:noMultiLvlLbl val="0"/>
      </c:catAx>
      <c:valAx>
        <c:axId val="1"/>
        <c:scaling>
          <c:orientation val="minMax"/>
        </c:scaling>
        <c:delete val="0"/>
        <c:axPos val="l"/>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837845679"/>
        <c:crosses val="autoZero"/>
        <c:crossBetween val="between"/>
      </c:valAx>
      <c:dTable>
        <c:showHorzBorder val="1"/>
        <c:showVertBorder val="1"/>
        <c:showOutline val="1"/>
        <c:showKeys val="1"/>
        <c:spPr>
          <a:ln w="9525" cap="flat" cmpd="sng" algn="ctr">
            <a:noFill/>
            <a:prstDash val="solid"/>
            <a:round/>
          </a:ln>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solidFill>
          <a:schemeClr val="bg1"/>
        </a:solidFill>
        <a:ln>
          <a:noFill/>
        </a:ln>
        <a:effectLst/>
      </c:spPr>
    </c:plotArea>
    <c:plotVisOnly val="1"/>
    <c:dispBlanksAs val="gap"/>
    <c:showDLblsOverMax val="0"/>
  </c:chart>
  <c:spPr>
    <a:solidFill>
      <a:schemeClr val="bg1">
        <a:alpha val="99000"/>
      </a:schemeClr>
    </a:solidFill>
    <a:ln w="9525" cap="flat" cmpd="sng" algn="ctr">
      <a:solidFill>
        <a:schemeClr val="tx1">
          <a:alpha val="98000"/>
        </a:schemeClr>
      </a:solidFill>
      <a:prstDash val="solid"/>
      <a:round/>
    </a:ln>
    <a:effectLst>
      <a:softEdge rad="38100"/>
    </a:effectLst>
    <a:scene3d>
      <a:camera prst="orthographicFront"/>
      <a:lightRig rig="threePt" dir="t"/>
    </a:scene3d>
    <a:sp3d>
      <a:bevelT w="25400" h="38100" prst="relaxedInset"/>
      <a:bevelB w="114300" prst="hardEdge"/>
    </a:sp3d>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一般公共预算财政拨款支出结构</a:t>
            </a:r>
            <a:endParaRPr lang="zh-CN" altLang="en-US"/>
          </a:p>
        </c:rich>
      </c:tx>
      <c:layout>
        <c:manualLayout>
          <c:xMode val="edge"/>
          <c:yMode val="edge"/>
          <c:x val="0.219654801214364"/>
          <c:y val="0.0147058446962422"/>
        </c:manualLayout>
      </c:layout>
      <c:overlay val="0"/>
    </c:title>
    <c:autoTitleDeleted val="0"/>
    <c:plotArea>
      <c:layout/>
      <c:pieChart>
        <c:varyColors val="1"/>
        <c:ser>
          <c:idx val="0"/>
          <c:order val="0"/>
          <c:explosion val="0"/>
          <c:dPt>
            <c:idx val="0"/>
            <c:bubble3D val="0"/>
          </c:dPt>
          <c:dPt>
            <c:idx val="1"/>
            <c:bubble3D val="0"/>
          </c:dPt>
          <c:dPt>
            <c:idx val="2"/>
            <c:bubble3D val="0"/>
          </c:dPt>
          <c:dPt>
            <c:idx val="3"/>
            <c:bubble3D val="0"/>
          </c:dPt>
          <c:dLbls>
            <c:spPr>
              <a:noFill/>
              <a:ln w="25400">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图6!$A$7:$A$10</c:f>
              <c:strCache>
                <c:ptCount val="4"/>
                <c:pt idx="0">
                  <c:v>一、一般公共服务支出</c:v>
                </c:pt>
                <c:pt idx="1">
                  <c:v>二、社会保障和就业支出</c:v>
                </c:pt>
                <c:pt idx="2">
                  <c:v>三、卫生健康支出</c:v>
                </c:pt>
                <c:pt idx="3">
                  <c:v>四、住房保障支出</c:v>
                </c:pt>
              </c:strCache>
            </c:strRef>
          </c:cat>
          <c:val>
            <c:numRef>
              <c:f>图6!$B$7:$B$10</c:f>
              <c:numCache>
                <c:formatCode>#,##0.00</c:formatCode>
                <c:ptCount val="4"/>
                <c:pt idx="0">
                  <c:v>142.78</c:v>
                </c:pt>
                <c:pt idx="1">
                  <c:v>21.75</c:v>
                </c:pt>
                <c:pt idx="2">
                  <c:v>4.46</c:v>
                </c:pt>
                <c:pt idx="3">
                  <c:v>9.2</c:v>
                </c:pt>
              </c:numCache>
            </c:numRef>
          </c:val>
        </c:ser>
        <c:dLbls>
          <c:showLegendKey val="0"/>
          <c:showVal val="0"/>
          <c:showCatName val="0"/>
          <c:showSerName val="0"/>
          <c:showPercent val="0"/>
          <c:showBubbleSize val="0"/>
          <c:showLeaderLines val="1"/>
        </c:dLbls>
        <c:firstSliceAng val="0"/>
      </c:pieChart>
      <c:spPr>
        <a:noFill/>
        <a:ln w="25400">
          <a:noFill/>
        </a:ln>
      </c:spPr>
    </c:plotArea>
    <c:legend>
      <c:legendPos val="r"/>
      <c:layout>
        <c:manualLayout>
          <c:xMode val="edge"/>
          <c:yMode val="edge"/>
          <c:x val="0.622596703683888"/>
          <c:y val="0.108355563185574"/>
          <c:w val="0.36945298899923"/>
          <c:h val="0.865715801701405"/>
        </c:manualLayout>
      </c:layout>
      <c:overlay val="0"/>
      <c:txPr>
        <a:bodyPr rot="0" spcFirstLastPara="0" vertOverflow="ellipsis" vert="horz" wrap="square" anchor="ctr" anchorCtr="1"/>
        <a:lstStyle/>
        <a:p>
          <a:pPr>
            <a:defRPr lang="zh-CN" sz="800" b="0" i="0" u="none" strike="noStrike" kern="1200" baseline="0">
              <a:solidFill>
                <a:schemeClr val="tx1"/>
              </a:solidFill>
              <a:latin typeface="+mn-lt"/>
              <a:ea typeface="+mn-ea"/>
              <a:cs typeface="+mn-cs"/>
            </a:defRPr>
          </a:pPr>
        </a:p>
      </c:txPr>
    </c:legend>
    <c:plotVisOnly val="1"/>
    <c:dispBlanksAs val="zero"/>
    <c:showDLblsOverMax val="0"/>
  </c:chart>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26"/>
    </mc:Choice>
    <mc:Fallback>
      <c:style val="26"/>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t>三公经费财政拨款支出结构</a:t>
            </a:r>
            <a:endParaRPr lang="zh-CN"/>
          </a:p>
        </c:rich>
      </c:tx>
      <c:layout>
        <c:manualLayout>
          <c:xMode val="edge"/>
          <c:yMode val="edge"/>
          <c:x val="0.215946362345242"/>
          <c:y val="0.0558882062819071"/>
        </c:manualLayout>
      </c:layout>
      <c:overlay val="0"/>
      <c:spPr>
        <a:solidFill>
          <a:schemeClr val="bg1"/>
        </a:solidFill>
      </c:spPr>
    </c:title>
    <c:autoTitleDeleted val="0"/>
    <c:view3D>
      <c:rotX val="40"/>
      <c:rotY val="20"/>
      <c:depthPercent val="100"/>
      <c:rAngAx val="0"/>
      <c:perspective val="0"/>
    </c:view3D>
    <c:floor>
      <c:thickness val="0"/>
    </c:floor>
    <c:sideWall>
      <c:thickness val="0"/>
    </c:sideWall>
    <c:backWall>
      <c:thickness val="0"/>
    </c:backWall>
    <c:plotArea>
      <c:layout>
        <c:manualLayout>
          <c:layoutTarget val="inner"/>
          <c:xMode val="edge"/>
          <c:yMode val="edge"/>
          <c:x val="0.159376903890838"/>
          <c:y val="0.238150904213896"/>
          <c:w val="0.696542559331135"/>
          <c:h val="0.521804101410401"/>
        </c:manualLayout>
      </c:layout>
      <c:pie3DChart>
        <c:varyColors val="1"/>
        <c:ser>
          <c:idx val="0"/>
          <c:order val="0"/>
          <c:explosion val="0"/>
          <c:dPt>
            <c:idx val="0"/>
            <c:bubble3D val="0"/>
          </c:dPt>
          <c:dPt>
            <c:idx val="1"/>
            <c:bubble3D val="0"/>
          </c:dPt>
          <c:dPt>
            <c:idx val="2"/>
            <c:bubble3D val="0"/>
          </c:dPt>
          <c:dLbls>
            <c:dLbl>
              <c:idx val="1"/>
              <c:layout>
                <c:manualLayout>
                  <c:x val="-0.18158573928259"/>
                  <c:y val="-0.170164041994751"/>
                </c:manualLayout>
              </c:layout>
              <c:numFmt formatCode="General" sourceLinked="1"/>
              <c:spPr>
                <a:noFill/>
                <a:ln>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dLbl>
              <c:idx val="2"/>
              <c:layout>
                <c:manualLayout>
                  <c:x val="0.151272722854088"/>
                  <c:y val="0.0537510936132983"/>
                </c:manualLayout>
              </c:layout>
              <c:numFmt formatCode="General" sourceLinked="1"/>
              <c:spPr>
                <a:noFill/>
                <a:ln>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extLst>
                <c:ext xmlns:c15="http://schemas.microsoft.com/office/drawing/2012/chart" uri="{CE6537A1-D6FC-4f65-9D91-7224C49458BB}">
                  <c15:layout/>
                </c:ext>
              </c:extLst>
            </c:dLbl>
            <c:spPr>
              <a:noFill/>
              <a:ln w="25400">
                <a:noFill/>
              </a:ln>
              <a:effectLst>
                <a:glow rad="571500">
                  <a:schemeClr val="accent1">
                    <a:alpha val="2000"/>
                  </a:schemeClr>
                </a:glow>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1"/>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图7!$C$17:$E$17</c:f>
              <c:strCache>
                <c:ptCount val="3"/>
                <c:pt idx="0">
                  <c:v>因公出国（境）费用</c:v>
                </c:pt>
                <c:pt idx="1">
                  <c:v>公务用车购置及运行费</c:v>
                </c:pt>
                <c:pt idx="2">
                  <c:v>公务接待费</c:v>
                </c:pt>
              </c:strCache>
            </c:strRef>
          </c:cat>
          <c:val>
            <c:numRef>
              <c:f>图7!$C$18:$E$18</c:f>
              <c:numCache>
                <c:formatCode>General</c:formatCode>
                <c:ptCount val="3"/>
                <c:pt idx="0">
                  <c:v>0</c:v>
                </c:pt>
                <c:pt idx="1" c:formatCode="#,##0.00">
                  <c:v>0</c:v>
                </c:pt>
                <c:pt idx="2">
                  <c:v>2.3</c:v>
                </c:pt>
              </c:numCache>
            </c:numRef>
          </c:val>
        </c:ser>
        <c:dLbls>
          <c:showLegendKey val="0"/>
          <c:showVal val="0"/>
          <c:showCatName val="0"/>
          <c:showSerName val="0"/>
          <c:showPercent val="0"/>
          <c:showBubbleSize val="0"/>
        </c:dLbls>
      </c:pie3DChart>
      <c:spPr>
        <a:noFill/>
        <a:ln w="25400">
          <a:noFill/>
        </a:ln>
      </c:spPr>
    </c:plotArea>
    <c:legend>
      <c:legendPos val="r"/>
      <c:layout>
        <c:manualLayout>
          <c:xMode val="edge"/>
          <c:yMode val="edge"/>
          <c:x val="0.0499302188099718"/>
          <c:y val="0.817876597338794"/>
          <c:w val="0.93298180290633"/>
          <c:h val="0.0637543004607078"/>
        </c:manualLayout>
      </c:layout>
      <c:overlay val="0"/>
      <c:spPr>
        <a:ln>
          <a:solidFill>
            <a:schemeClr val="tx1"/>
          </a:solidFill>
        </a:ln>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zero"/>
    <c:showDLblsOverMax val="0"/>
  </c:chart>
  <c:spPr>
    <a:noFill/>
    <a:ln w="0" cap="flat" cmpd="thickThin" algn="ctr">
      <a:solidFill>
        <a:schemeClr val="tx1"/>
      </a:solidFill>
      <a:prstDash val="solid"/>
      <a:bevel/>
    </a:ln>
    <a:effectLst>
      <a:innerShdw blurRad="165100" dist="2133600" dir="5400000">
        <a:prstClr val="black">
          <a:alpha val="50000"/>
        </a:prstClr>
      </a:innerShdw>
    </a:effectLst>
    <a:scene3d>
      <a:camera prst="orthographicFront"/>
      <a:lightRig rig="threePt" dir="t"/>
    </a:scene3d>
  </c:spPr>
  <c:txPr>
    <a:bodyPr/>
    <a:lstStyle/>
    <a:p>
      <a:pPr>
        <a:defRPr lang="zh-CN"/>
      </a:pPr>
    </a:p>
  </c:txPr>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c02b4e-d40d-4a0d-a023-0396fea85867}"/>
        <w:style w:val=""/>
        <w:category>
          <w:name w:val="常规"/>
          <w:gallery w:val="placeholder"/>
        </w:category>
        <w:types>
          <w:type w:val="bbPlcHdr"/>
        </w:types>
        <w:behaviors>
          <w:behavior w:val="content"/>
        </w:behaviors>
        <w:description w:val=""/>
        <w:guid w:val="{6ac02b4e-d40d-4a0d-a023-0396fea85867}"/>
      </w:docPartPr>
      <w:docPartBody>
        <w:p>
          <w:r>
            <w:rPr>
              <w:color w:val="808080"/>
            </w:rPr>
            <w:t>单击此处输入文字。</w:t>
          </w:r>
        </w:p>
      </w:docPartBody>
    </w:docPart>
    <w:docPart>
      <w:docPartPr>
        <w:name w:val="{ed005909-5034-4d44-95aa-bcb198dd092b}"/>
        <w:style w:val=""/>
        <w:category>
          <w:name w:val="常规"/>
          <w:gallery w:val="placeholder"/>
        </w:category>
        <w:types>
          <w:type w:val="bbPlcHdr"/>
        </w:types>
        <w:behaviors>
          <w:behavior w:val="content"/>
        </w:behaviors>
        <w:description w:val=""/>
        <w:guid w:val="{ed005909-5034-4d44-95aa-bcb198dd092b}"/>
      </w:docPartPr>
      <w:docPartBody>
        <w:p>
          <w:r>
            <w:rPr>
              <w:color w:val="808080"/>
            </w:rPr>
            <w:t>单击此处输入文字。</w:t>
          </w:r>
        </w:p>
      </w:docPartBody>
    </w:docPart>
    <w:docPart>
      <w:docPartPr>
        <w:name w:val="{9215e0f8-beb2-4532-bdd2-e87e817ffa20}"/>
        <w:style w:val=""/>
        <w:category>
          <w:name w:val="常规"/>
          <w:gallery w:val="placeholder"/>
        </w:category>
        <w:types>
          <w:type w:val="bbPlcHdr"/>
        </w:types>
        <w:behaviors>
          <w:behavior w:val="content"/>
        </w:behaviors>
        <w:description w:val=""/>
        <w:guid w:val="{9215e0f8-beb2-4532-bdd2-e87e817ffa20}"/>
      </w:docPartPr>
      <w:docPartBody>
        <w:p>
          <w:r>
            <w:rPr>
              <w:color w:val="808080"/>
            </w:rPr>
            <w:t>单击此处输入文字。</w:t>
          </w:r>
        </w:p>
      </w:docPartBody>
    </w:docPart>
    <w:docPart>
      <w:docPartPr>
        <w:name w:val="{ddaa9e3a-2dd1-4919-a21f-5d82343c84a0}"/>
        <w:style w:val=""/>
        <w:category>
          <w:name w:val="常规"/>
          <w:gallery w:val="placeholder"/>
        </w:category>
        <w:types>
          <w:type w:val="bbPlcHdr"/>
        </w:types>
        <w:behaviors>
          <w:behavior w:val="content"/>
        </w:behaviors>
        <w:description w:val=""/>
        <w:guid w:val="{ddaa9e3a-2dd1-4919-a21f-5d82343c84a0}"/>
      </w:docPartPr>
      <w:docPartBody>
        <w:p>
          <w:r>
            <w:rPr>
              <w:color w:val="808080"/>
            </w:rPr>
            <w:t>单击此处输入文字。</w:t>
          </w:r>
        </w:p>
      </w:docPartBody>
    </w:docPart>
    <w:docPart>
      <w:docPartPr>
        <w:name w:val="{fde09b0b-9a55-4cf5-86e5-83575eb1b94c}"/>
        <w:style w:val=""/>
        <w:category>
          <w:name w:val="常规"/>
          <w:gallery w:val="placeholder"/>
        </w:category>
        <w:types>
          <w:type w:val="bbPlcHdr"/>
        </w:types>
        <w:behaviors>
          <w:behavior w:val="content"/>
        </w:behaviors>
        <w:description w:val=""/>
        <w:guid w:val="{fde09b0b-9a55-4cf5-86e5-83575eb1b94c}"/>
      </w:docPartPr>
      <w:docPartBody>
        <w:p>
          <w:r>
            <w:rPr>
              <w:color w:val="808080"/>
            </w:rPr>
            <w:t>单击此处输入文字。</w:t>
          </w:r>
        </w:p>
      </w:docPartBody>
    </w:docPart>
    <w:docPart>
      <w:docPartPr>
        <w:name w:val="{aa0983c7-5f37-4122-8069-4601df557ca4}"/>
        <w:style w:val=""/>
        <w:category>
          <w:name w:val="常规"/>
          <w:gallery w:val="placeholder"/>
        </w:category>
        <w:types>
          <w:type w:val="bbPlcHdr"/>
        </w:types>
        <w:behaviors>
          <w:behavior w:val="content"/>
        </w:behaviors>
        <w:description w:val=""/>
        <w:guid w:val="{aa0983c7-5f37-4122-8069-4601df557ca4}"/>
      </w:docPartPr>
      <w:docPartBody>
        <w:p>
          <w:r>
            <w:rPr>
              <w:color w:val="808080"/>
            </w:rPr>
            <w:t>单击此处输入文字。</w:t>
          </w:r>
        </w:p>
      </w:docPartBody>
    </w:docPart>
    <w:docPart>
      <w:docPartPr>
        <w:name w:val="{3fce0506-2271-453e-b9c1-163a030b5f56}"/>
        <w:style w:val=""/>
        <w:category>
          <w:name w:val="常规"/>
          <w:gallery w:val="placeholder"/>
        </w:category>
        <w:types>
          <w:type w:val="bbPlcHdr"/>
        </w:types>
        <w:behaviors>
          <w:behavior w:val="content"/>
        </w:behaviors>
        <w:description w:val=""/>
        <w:guid w:val="{3fce0506-2271-453e-b9c1-163a030b5f56}"/>
      </w:docPartPr>
      <w:docPartBody>
        <w:p>
          <w:r>
            <w:rPr>
              <w:color w:val="808080"/>
            </w:rPr>
            <w:t>单击此处输入文字。</w:t>
          </w:r>
        </w:p>
      </w:docPartBody>
    </w:docPart>
    <w:docPart>
      <w:docPartPr>
        <w:name w:val="{1ef1bee6-9773-44bc-b3a0-2308e8be1660}"/>
        <w:style w:val=""/>
        <w:category>
          <w:name w:val="常规"/>
          <w:gallery w:val="placeholder"/>
        </w:category>
        <w:types>
          <w:type w:val="bbPlcHdr"/>
        </w:types>
        <w:behaviors>
          <w:behavior w:val="content"/>
        </w:behaviors>
        <w:description w:val=""/>
        <w:guid w:val="{1ef1bee6-9773-44bc-b3a0-2308e8be1660}"/>
      </w:docPartPr>
      <w:docPartBody>
        <w:p>
          <w:r>
            <w:rPr>
              <w:color w:val="808080"/>
            </w:rPr>
            <w:t>单击此处输入文字。</w:t>
          </w:r>
        </w:p>
      </w:docPartBody>
    </w:docPart>
    <w:docPart>
      <w:docPartPr>
        <w:name w:val="{bdf4a07c-26c1-4342-81ca-00c60c0a8826}"/>
        <w:style w:val=""/>
        <w:category>
          <w:name w:val="常规"/>
          <w:gallery w:val="placeholder"/>
        </w:category>
        <w:types>
          <w:type w:val="bbPlcHdr"/>
        </w:types>
        <w:behaviors>
          <w:behavior w:val="content"/>
        </w:behaviors>
        <w:description w:val=""/>
        <w:guid w:val="{bdf4a07c-26c1-4342-81ca-00c60c0a8826}"/>
      </w:docPartPr>
      <w:docPartBody>
        <w:p>
          <w:r>
            <w:rPr>
              <w:color w:val="808080"/>
            </w:rPr>
            <w:t>单击此处输入文字。</w:t>
          </w:r>
        </w:p>
      </w:docPartBody>
    </w:docPart>
    <w:docPart>
      <w:docPartPr>
        <w:name w:val="{fb369202-3879-4894-8113-2c6e43c0404a}"/>
        <w:style w:val=""/>
        <w:category>
          <w:name w:val="常规"/>
          <w:gallery w:val="placeholder"/>
        </w:category>
        <w:types>
          <w:type w:val="bbPlcHdr"/>
        </w:types>
        <w:behaviors>
          <w:behavior w:val="content"/>
        </w:behaviors>
        <w:description w:val=""/>
        <w:guid w:val="{fb369202-3879-4894-8113-2c6e43c0404a}"/>
      </w:docPartPr>
      <w:docPartBody>
        <w:p>
          <w:r>
            <w:rPr>
              <w:color w:val="808080"/>
            </w:rPr>
            <w:t>单击此处输入文字。</w:t>
          </w:r>
        </w:p>
      </w:docPartBody>
    </w:docPart>
    <w:docPart>
      <w:docPartPr>
        <w:name w:val="{07cdde24-0f09-434f-a0f0-c56cd587de3d}"/>
        <w:style w:val=""/>
        <w:category>
          <w:name w:val="常规"/>
          <w:gallery w:val="placeholder"/>
        </w:category>
        <w:types>
          <w:type w:val="bbPlcHdr"/>
        </w:types>
        <w:behaviors>
          <w:behavior w:val="content"/>
        </w:behaviors>
        <w:description w:val=""/>
        <w:guid w:val="{07cdde24-0f09-434f-a0f0-c56cd587de3d}"/>
      </w:docPartPr>
      <w:docPartBody>
        <w:p>
          <w:r>
            <w:rPr>
              <w:color w:val="808080"/>
            </w:rPr>
            <w:t>单击此处输入文字。</w:t>
          </w:r>
        </w:p>
      </w:docPartBody>
    </w:docPart>
    <w:docPart>
      <w:docPartPr>
        <w:name w:val="{1ec580df-2177-48fb-a7a8-920e6acdab7b}"/>
        <w:style w:val=""/>
        <w:category>
          <w:name w:val="常规"/>
          <w:gallery w:val="placeholder"/>
        </w:category>
        <w:types>
          <w:type w:val="bbPlcHdr"/>
        </w:types>
        <w:behaviors>
          <w:behavior w:val="content"/>
        </w:behaviors>
        <w:description w:val=""/>
        <w:guid w:val="{1ec580df-2177-48fb-a7a8-920e6acdab7b}"/>
      </w:docPartPr>
      <w:docPartBody>
        <w:p>
          <w:r>
            <w:rPr>
              <w:color w:val="808080"/>
            </w:rPr>
            <w:t>单击此处输入文字。</w:t>
          </w:r>
        </w:p>
      </w:docPartBody>
    </w:docPart>
    <w:docPart>
      <w:docPartPr>
        <w:name w:val="{a0f064f7-5633-4c02-b0b5-ede7d9d7d799}"/>
        <w:style w:val=""/>
        <w:category>
          <w:name w:val="常规"/>
          <w:gallery w:val="placeholder"/>
        </w:category>
        <w:types>
          <w:type w:val="bbPlcHdr"/>
        </w:types>
        <w:behaviors>
          <w:behavior w:val="content"/>
        </w:behaviors>
        <w:description w:val=""/>
        <w:guid w:val="{a0f064f7-5633-4c02-b0b5-ede7d9d7d799}"/>
      </w:docPartPr>
      <w:docPartBody>
        <w:p>
          <w:r>
            <w:rPr>
              <w:color w:val="808080"/>
            </w:rPr>
            <w:t>单击此处输入文字。</w:t>
          </w:r>
        </w:p>
      </w:docPartBody>
    </w:docPart>
    <w:docPart>
      <w:docPartPr>
        <w:name w:val="{388ef1d1-cedc-41a0-9945-a18a78da746f}"/>
        <w:style w:val=""/>
        <w:category>
          <w:name w:val="常规"/>
          <w:gallery w:val="placeholder"/>
        </w:category>
        <w:types>
          <w:type w:val="bbPlcHdr"/>
        </w:types>
        <w:behaviors>
          <w:behavior w:val="content"/>
        </w:behaviors>
        <w:description w:val=""/>
        <w:guid w:val="{388ef1d1-cedc-41a0-9945-a18a78da746f}"/>
      </w:docPartPr>
      <w:docPartBody>
        <w:p>
          <w:r>
            <w:rPr>
              <w:color w:val="808080"/>
            </w:rPr>
            <w:t>单击此处输入文字。</w:t>
          </w:r>
        </w:p>
      </w:docPartBody>
    </w:docPart>
    <w:docPart>
      <w:docPartPr>
        <w:name w:val="{82a912a4-540b-4586-a695-fde29771adbe}"/>
        <w:style w:val=""/>
        <w:category>
          <w:name w:val="常规"/>
          <w:gallery w:val="placeholder"/>
        </w:category>
        <w:types>
          <w:type w:val="bbPlcHdr"/>
        </w:types>
        <w:behaviors>
          <w:behavior w:val="content"/>
        </w:behaviors>
        <w:description w:val=""/>
        <w:guid w:val="{82a912a4-540b-4586-a695-fde29771adbe}"/>
      </w:docPartPr>
      <w:docPartBody>
        <w:p>
          <w:r>
            <w:rPr>
              <w:color w:val="808080"/>
            </w:rPr>
            <w:t>单击此处输入文字。</w:t>
          </w:r>
        </w:p>
      </w:docPartBody>
    </w:docPart>
    <w:docPart>
      <w:docPartPr>
        <w:name w:val="{42e6b62d-4ddb-4a68-b3cd-6933a75d1da8}"/>
        <w:style w:val=""/>
        <w:category>
          <w:name w:val="常规"/>
          <w:gallery w:val="placeholder"/>
        </w:category>
        <w:types>
          <w:type w:val="bbPlcHdr"/>
        </w:types>
        <w:behaviors>
          <w:behavior w:val="content"/>
        </w:behaviors>
        <w:description w:val=""/>
        <w:guid w:val="{42e6b62d-4ddb-4a68-b3cd-6933a75d1da8}"/>
      </w:docPartPr>
      <w:docPartBody>
        <w:p>
          <w:r>
            <w:rPr>
              <w:color w:val="808080"/>
            </w:rPr>
            <w:t>单击此处输入文字。</w:t>
          </w:r>
        </w:p>
      </w:docPartBody>
    </w:docPart>
    <w:docPart>
      <w:docPartPr>
        <w:name w:val="{e4b3a09c-0e2f-44f4-8395-9112ebbc33fc}"/>
        <w:style w:val=""/>
        <w:category>
          <w:name w:val="常规"/>
          <w:gallery w:val="placeholder"/>
        </w:category>
        <w:types>
          <w:type w:val="bbPlcHdr"/>
        </w:types>
        <w:behaviors>
          <w:behavior w:val="content"/>
        </w:behaviors>
        <w:description w:val=""/>
        <w:guid w:val="{e4b3a09c-0e2f-44f4-8395-9112ebbc33fc}"/>
      </w:docPartPr>
      <w:docPartBody>
        <w:p>
          <w:r>
            <w:rPr>
              <w:color w:val="808080"/>
            </w:rPr>
            <w:t>单击此处输入文字。</w:t>
          </w:r>
        </w:p>
      </w:docPartBody>
    </w:docPart>
    <w:docPart>
      <w:docPartPr>
        <w:name w:val="{2daa0614-77bd-4de3-b06a-ce6ba2707ab9}"/>
        <w:style w:val=""/>
        <w:category>
          <w:name w:val="常规"/>
          <w:gallery w:val="placeholder"/>
        </w:category>
        <w:types>
          <w:type w:val="bbPlcHdr"/>
        </w:types>
        <w:behaviors>
          <w:behavior w:val="content"/>
        </w:behaviors>
        <w:description w:val=""/>
        <w:guid w:val="{2daa0614-77bd-4de3-b06a-ce6ba2707ab9}"/>
      </w:docPartPr>
      <w:docPartBody>
        <w:p>
          <w:r>
            <w:rPr>
              <w:color w:val="808080"/>
            </w:rPr>
            <w:t>单击此处输入文字。</w:t>
          </w:r>
        </w:p>
      </w:docPartBody>
    </w:docPart>
    <w:docPart>
      <w:docPartPr>
        <w:name w:val="{c2cbf900-48e5-4a60-96c8-0ec1f70940e3}"/>
        <w:style w:val=""/>
        <w:category>
          <w:name w:val="常规"/>
          <w:gallery w:val="placeholder"/>
        </w:category>
        <w:types>
          <w:type w:val="bbPlcHdr"/>
        </w:types>
        <w:behaviors>
          <w:behavior w:val="content"/>
        </w:behaviors>
        <w:description w:val=""/>
        <w:guid w:val="{c2cbf900-48e5-4a60-96c8-0ec1f70940e3}"/>
      </w:docPartPr>
      <w:docPartBody>
        <w:p>
          <w:r>
            <w:rPr>
              <w:color w:val="808080"/>
            </w:rPr>
            <w:t>单击此处输入文字。</w:t>
          </w:r>
        </w:p>
      </w:docPartBody>
    </w:docPart>
    <w:docPart>
      <w:docPartPr>
        <w:name w:val="{c3194654-22c2-4d6d-af33-4448856a79f9}"/>
        <w:style w:val=""/>
        <w:category>
          <w:name w:val="常规"/>
          <w:gallery w:val="placeholder"/>
        </w:category>
        <w:types>
          <w:type w:val="bbPlcHdr"/>
        </w:types>
        <w:behaviors>
          <w:behavior w:val="content"/>
        </w:behaviors>
        <w:description w:val=""/>
        <w:guid w:val="{c3194654-22c2-4d6d-af33-4448856a79f9}"/>
      </w:docPartPr>
      <w:docPartBody>
        <w:p>
          <w:r>
            <w:rPr>
              <w:color w:val="808080"/>
            </w:rPr>
            <w:t>单击此处输入文字。</w:t>
          </w:r>
        </w:p>
      </w:docPartBody>
    </w:docPart>
    <w:docPart>
      <w:docPartPr>
        <w:name w:val="{69647594-c86f-400d-a5bf-4d896735ab54}"/>
        <w:style w:val=""/>
        <w:category>
          <w:name w:val="常规"/>
          <w:gallery w:val="placeholder"/>
        </w:category>
        <w:types>
          <w:type w:val="bbPlcHdr"/>
        </w:types>
        <w:behaviors>
          <w:behavior w:val="content"/>
        </w:behaviors>
        <w:description w:val=""/>
        <w:guid w:val="{69647594-c86f-400d-a5bf-4d896735ab54}"/>
      </w:docPartPr>
      <w:docPartBody>
        <w:p>
          <w:r>
            <w:rPr>
              <w:color w:val="808080"/>
            </w:rPr>
            <w:t>单击此处输入文字。</w:t>
          </w:r>
        </w:p>
      </w:docPartBody>
    </w:docPart>
    <w:docPart>
      <w:docPartPr>
        <w:name w:val="{8e1c5f61-8bc2-4867-b929-082d7948dbf3}"/>
        <w:style w:val=""/>
        <w:category>
          <w:name w:val="常规"/>
          <w:gallery w:val="placeholder"/>
        </w:category>
        <w:types>
          <w:type w:val="bbPlcHdr"/>
        </w:types>
        <w:behaviors>
          <w:behavior w:val="content"/>
        </w:behaviors>
        <w:description w:val=""/>
        <w:guid w:val="{8e1c5f61-8bc2-4867-b929-082d7948dbf3}"/>
      </w:docPartPr>
      <w:docPartBody>
        <w:p>
          <w:r>
            <w:rPr>
              <w:color w:val="808080"/>
            </w:rPr>
            <w:t>单击此处输入文字。</w:t>
          </w:r>
        </w:p>
      </w:docPartBody>
    </w:docPart>
    <w:docPart>
      <w:docPartPr>
        <w:name w:val="{396b4e5b-8bb8-42ed-ad47-6bd29a2442ee}"/>
        <w:style w:val=""/>
        <w:category>
          <w:name w:val="常规"/>
          <w:gallery w:val="placeholder"/>
        </w:category>
        <w:types>
          <w:type w:val="bbPlcHdr"/>
        </w:types>
        <w:behaviors>
          <w:behavior w:val="content"/>
        </w:behaviors>
        <w:description w:val=""/>
        <w:guid w:val="{396b4e5b-8bb8-42ed-ad47-6bd29a2442ee}"/>
      </w:docPartPr>
      <w:docPartBody>
        <w:p>
          <w:r>
            <w:rPr>
              <w:color w:val="808080"/>
            </w:rPr>
            <w:t>单击此处输入文字。</w:t>
          </w:r>
        </w:p>
      </w:docPartBody>
    </w:docPart>
    <w:docPart>
      <w:docPartPr>
        <w:name w:val="{1d4fd289-b7b0-4ce5-b714-47442582452b}"/>
        <w:style w:val=""/>
        <w:category>
          <w:name w:val="常规"/>
          <w:gallery w:val="placeholder"/>
        </w:category>
        <w:types>
          <w:type w:val="bbPlcHdr"/>
        </w:types>
        <w:behaviors>
          <w:behavior w:val="content"/>
        </w:behaviors>
        <w:description w:val=""/>
        <w:guid w:val="{1d4fd289-b7b0-4ce5-b714-47442582452b}"/>
      </w:docPartPr>
      <w:docPartBody>
        <w:p>
          <w:r>
            <w:rPr>
              <w:color w:val="808080"/>
            </w:rPr>
            <w:t>单击此处输入文字。</w:t>
          </w:r>
        </w:p>
      </w:docPartBody>
    </w:docPart>
    <w:docPart>
      <w:docPartPr>
        <w:name w:val="{d5634e61-5493-43cd-abea-f72e9bd9f5d7}"/>
        <w:style w:val=""/>
        <w:category>
          <w:name w:val="常规"/>
          <w:gallery w:val="placeholder"/>
        </w:category>
        <w:types>
          <w:type w:val="bbPlcHdr"/>
        </w:types>
        <w:behaviors>
          <w:behavior w:val="content"/>
        </w:behaviors>
        <w:description w:val=""/>
        <w:guid w:val="{d5634e61-5493-43cd-abea-f72e9bd9f5d7}"/>
      </w:docPartPr>
      <w:docPartBody>
        <w:p>
          <w:r>
            <w:rPr>
              <w:color w:val="808080"/>
            </w:rPr>
            <w:t>单击此处输入文字。</w:t>
          </w:r>
        </w:p>
      </w:docPartBody>
    </w:docPart>
    <w:docPart>
      <w:docPartPr>
        <w:name w:val="{bb8d3cb5-3430-456b-9209-d4bde511ac4e}"/>
        <w:style w:val=""/>
        <w:category>
          <w:name w:val="常规"/>
          <w:gallery w:val="placeholder"/>
        </w:category>
        <w:types>
          <w:type w:val="bbPlcHdr"/>
        </w:types>
        <w:behaviors>
          <w:behavior w:val="content"/>
        </w:behaviors>
        <w:description w:val=""/>
        <w:guid w:val="{bb8d3cb5-3430-456b-9209-d4bde511ac4e}"/>
      </w:docPartPr>
      <w:docPartBody>
        <w:p>
          <w:r>
            <w:rPr>
              <w:color w:val="808080"/>
            </w:rPr>
            <w:t>单击此处输入文字。</w:t>
          </w:r>
        </w:p>
      </w:docPartBody>
    </w:docPart>
    <w:docPart>
      <w:docPartPr>
        <w:name w:val="{c966b0ba-6c92-4fa6-a444-792bd3b96297}"/>
        <w:style w:val=""/>
        <w:category>
          <w:name w:val="常规"/>
          <w:gallery w:val="placeholder"/>
        </w:category>
        <w:types>
          <w:type w:val="bbPlcHdr"/>
        </w:types>
        <w:behaviors>
          <w:behavior w:val="content"/>
        </w:behaviors>
        <w:description w:val=""/>
        <w:guid w:val="{c966b0ba-6c92-4fa6-a444-792bd3b96297}"/>
      </w:docPartPr>
      <w:docPartBody>
        <w:p>
          <w:r>
            <w:rPr>
              <w:color w:val="808080"/>
            </w:rPr>
            <w:t>单击此处输入文字。</w:t>
          </w:r>
        </w:p>
      </w:docPartBody>
    </w:docPart>
    <w:docPart>
      <w:docPartPr>
        <w:name w:val="{066ab7ae-3489-42ad-b7b2-7ea94e0f8033}"/>
        <w:style w:val=""/>
        <w:category>
          <w:name w:val="常规"/>
          <w:gallery w:val="placeholder"/>
        </w:category>
        <w:types>
          <w:type w:val="bbPlcHdr"/>
        </w:types>
        <w:behaviors>
          <w:behavior w:val="content"/>
        </w:behaviors>
        <w:description w:val=""/>
        <w:guid w:val="{066ab7ae-3489-42ad-b7b2-7ea94e0f8033}"/>
      </w:docPartPr>
      <w:docPartBody>
        <w:p>
          <w:r>
            <w:rPr>
              <w:color w:val="808080"/>
            </w:rPr>
            <w:t>单击此处输入文字。</w:t>
          </w:r>
        </w:p>
      </w:docPartBody>
    </w:docPart>
    <w:docPart>
      <w:docPartPr>
        <w:name w:val="{25476e5c-3536-4969-9122-c26b6c33bcf0}"/>
        <w:style w:val=""/>
        <w:category>
          <w:name w:val="常规"/>
          <w:gallery w:val="placeholder"/>
        </w:category>
        <w:types>
          <w:type w:val="bbPlcHdr"/>
        </w:types>
        <w:behaviors>
          <w:behavior w:val="content"/>
        </w:behaviors>
        <w:description w:val=""/>
        <w:guid w:val="{25476e5c-3536-4969-9122-c26b6c33bcf0}"/>
      </w:docPartPr>
      <w:docPartBody>
        <w:p>
          <w:r>
            <w:rPr>
              <w:color w:val="808080"/>
            </w:rPr>
            <w:t>单击此处输入文字。</w:t>
          </w:r>
        </w:p>
      </w:docPartBody>
    </w:docPart>
    <w:docPart>
      <w:docPartPr>
        <w:name w:val="{3c7c129f-1739-47eb-aee2-0ebdaaaa6d62}"/>
        <w:style w:val=""/>
        <w:category>
          <w:name w:val="常规"/>
          <w:gallery w:val="placeholder"/>
        </w:category>
        <w:types>
          <w:type w:val="bbPlcHdr"/>
        </w:types>
        <w:behaviors>
          <w:behavior w:val="content"/>
        </w:behaviors>
        <w:description w:val=""/>
        <w:guid w:val="{3c7c129f-1739-47eb-aee2-0ebdaaaa6d62}"/>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28</Pages>
  <Words>4880</Words>
  <Characters>5173</Characters>
  <Lines>431</Lines>
  <Paragraphs>372</Paragraphs>
  <TotalTime>5</TotalTime>
  <ScaleCrop>false</ScaleCrop>
  <LinksUpToDate>false</LinksUpToDate>
  <CharactersWithSpaces>9681</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admin</cp:lastModifiedBy>
  <cp:lastPrinted>2025-10-31T01:56:58Z</cp:lastPrinted>
  <dcterms:modified xsi:type="dcterms:W3CDTF">2025-10-31T01:57:25Z</dcterms:modified>
  <dc:title>四川省***</dc:title>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04787F2533EB45DC91BCDE4AB213247F</vt:lpwstr>
  </property>
</Properties>
</file>